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72CE" w:rsidR="000B2202" w:rsidP="000B2202" w:rsidRDefault="00F120DA" w14:paraId="49FF52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r w:rsidRPr="00A272CE">
        <w:rPr>
          <w:rFonts w:ascii="Arial" w:hAnsi="Arial" w:cs="Arial"/>
          <w:b/>
        </w:rPr>
        <w:tab/>
      </w:r>
      <w:r w:rsidRPr="00A272CE" w:rsidR="000B2202">
        <w:rPr>
          <w:rFonts w:ascii="Arial" w:hAnsi="Arial" w:cs="Arial"/>
          <w:b/>
          <w:lang w:val="en-CA"/>
        </w:rPr>
        <w:fldChar w:fldCharType="begin"/>
      </w:r>
      <w:r w:rsidRPr="00A272CE" w:rsidR="000B2202">
        <w:rPr>
          <w:rFonts w:ascii="Arial" w:hAnsi="Arial" w:cs="Arial"/>
          <w:b/>
          <w:lang w:val="en-CA"/>
        </w:rPr>
        <w:instrText xml:space="preserve"> SEQ CHAPTER \h \r 1</w:instrText>
      </w:r>
      <w:r w:rsidRPr="00A272CE" w:rsidR="000B2202">
        <w:rPr>
          <w:rFonts w:ascii="Arial" w:hAnsi="Arial" w:cs="Arial"/>
          <w:b/>
          <w:lang w:val="en-CA"/>
        </w:rPr>
        <w:fldChar w:fldCharType="end"/>
      </w:r>
      <w:r w:rsidRPr="00A272CE" w:rsidR="000B2202">
        <w:rPr>
          <w:rFonts w:ascii="Arial" w:hAnsi="Arial" w:cs="Arial"/>
          <w:b/>
          <w:bCs/>
          <w:sz w:val="32"/>
          <w:szCs w:val="32"/>
        </w:rPr>
        <w:t xml:space="preserve">Supporting </w:t>
      </w:r>
      <w:proofErr w:type="gramStart"/>
      <w:r w:rsidRPr="00A272CE" w:rsidR="000B2202">
        <w:rPr>
          <w:rFonts w:ascii="Arial" w:hAnsi="Arial" w:cs="Arial"/>
          <w:b/>
          <w:bCs/>
          <w:sz w:val="32"/>
          <w:szCs w:val="32"/>
        </w:rPr>
        <w:t>Statement</w:t>
      </w:r>
      <w:proofErr w:type="gramEnd"/>
      <w:r w:rsidRPr="00A272CE" w:rsidR="000B2202">
        <w:rPr>
          <w:rFonts w:ascii="Arial" w:hAnsi="Arial" w:cs="Arial"/>
          <w:b/>
          <w:bCs/>
          <w:sz w:val="32"/>
          <w:szCs w:val="32"/>
        </w:rPr>
        <w:t xml:space="preserve"> A</w:t>
      </w:r>
    </w:p>
    <w:p w:rsidRPr="00A272CE" w:rsidR="000B2202" w:rsidRDefault="00F120DA" w14:paraId="630BFE71" w14:textId="77777777">
      <w:pPr>
        <w:widowControl/>
        <w:tabs>
          <w:tab w:val="center" w:pos="4680"/>
        </w:tabs>
        <w:rPr>
          <w:rFonts w:ascii="Arial" w:hAnsi="Arial" w:cs="Arial"/>
          <w:b/>
          <w:sz w:val="32"/>
          <w:szCs w:val="32"/>
        </w:rPr>
      </w:pPr>
      <w:r w:rsidRPr="00A272CE">
        <w:rPr>
          <w:rFonts w:ascii="Arial" w:hAnsi="Arial" w:cs="Arial"/>
          <w:b/>
          <w:sz w:val="32"/>
          <w:szCs w:val="32"/>
        </w:rPr>
        <w:tab/>
      </w:r>
    </w:p>
    <w:p w:rsidRPr="00A272CE" w:rsidR="00F120DA" w:rsidP="000B2202" w:rsidRDefault="00F120DA" w14:paraId="5E2D1302" w14:textId="77777777">
      <w:pPr>
        <w:widowControl/>
        <w:tabs>
          <w:tab w:val="center" w:pos="4680"/>
        </w:tabs>
        <w:jc w:val="center"/>
        <w:rPr>
          <w:rFonts w:ascii="Arial" w:hAnsi="Arial" w:cs="Arial"/>
          <w:b/>
          <w:sz w:val="32"/>
          <w:szCs w:val="32"/>
        </w:rPr>
      </w:pPr>
      <w:r w:rsidRPr="00A272CE">
        <w:rPr>
          <w:rFonts w:ascii="Arial" w:hAnsi="Arial" w:cs="Arial"/>
          <w:b/>
          <w:sz w:val="32"/>
          <w:szCs w:val="32"/>
        </w:rPr>
        <w:t>30 CFR P</w:t>
      </w:r>
      <w:r w:rsidRPr="00A272CE" w:rsidR="000B2202">
        <w:rPr>
          <w:rFonts w:ascii="Arial" w:hAnsi="Arial" w:cs="Arial"/>
          <w:b/>
          <w:sz w:val="32"/>
          <w:szCs w:val="32"/>
        </w:rPr>
        <w:t>art</w:t>
      </w:r>
      <w:r w:rsidRPr="00A272CE">
        <w:rPr>
          <w:rFonts w:ascii="Arial" w:hAnsi="Arial" w:cs="Arial"/>
          <w:b/>
          <w:sz w:val="32"/>
          <w:szCs w:val="32"/>
        </w:rPr>
        <w:t xml:space="preserve"> 882</w:t>
      </w:r>
      <w:r w:rsidRPr="00A272CE" w:rsidR="001B4262">
        <w:rPr>
          <w:rFonts w:ascii="Arial" w:hAnsi="Arial" w:cs="Arial"/>
          <w:b/>
          <w:sz w:val="32"/>
          <w:szCs w:val="32"/>
        </w:rPr>
        <w:t>:  R</w:t>
      </w:r>
      <w:r w:rsidRPr="00A272CE" w:rsidR="000B2202">
        <w:rPr>
          <w:rFonts w:ascii="Arial" w:hAnsi="Arial" w:cs="Arial"/>
          <w:b/>
          <w:sz w:val="32"/>
          <w:szCs w:val="32"/>
        </w:rPr>
        <w:t>eclamation on Private Land</w:t>
      </w:r>
    </w:p>
    <w:p w:rsidRPr="00A272CE" w:rsidR="000B2202" w:rsidP="000B2202" w:rsidRDefault="000B2202" w14:paraId="023F2B64" w14:textId="77777777">
      <w:pPr>
        <w:widowControl/>
        <w:tabs>
          <w:tab w:val="center" w:pos="4680"/>
        </w:tabs>
        <w:jc w:val="center"/>
        <w:rPr>
          <w:rFonts w:ascii="Arial" w:hAnsi="Arial" w:cs="Arial"/>
          <w:b/>
          <w:sz w:val="32"/>
          <w:szCs w:val="32"/>
        </w:rPr>
      </w:pPr>
      <w:r w:rsidRPr="00A272CE">
        <w:rPr>
          <w:rFonts w:ascii="Arial" w:hAnsi="Arial" w:cs="Arial"/>
          <w:b/>
          <w:sz w:val="32"/>
          <w:szCs w:val="32"/>
        </w:rPr>
        <w:t>OMB Control Number:  1029-0057</w:t>
      </w:r>
    </w:p>
    <w:p w:rsidRPr="00A272CE" w:rsidR="001B4262" w:rsidRDefault="001B4262" w14:paraId="4C7051E0" w14:textId="77777777">
      <w:pPr>
        <w:widowControl/>
        <w:tabs>
          <w:tab w:val="center" w:pos="4680"/>
        </w:tabs>
        <w:rPr>
          <w:rFonts w:ascii="Arial" w:hAnsi="Arial" w:cs="Arial"/>
          <w:b/>
        </w:rPr>
      </w:pPr>
    </w:p>
    <w:p w:rsidRPr="00A272CE" w:rsidR="001B4262" w:rsidRDefault="001B4262" w14:paraId="0C01E136" w14:textId="77777777">
      <w:pPr>
        <w:widowControl/>
        <w:tabs>
          <w:tab w:val="center" w:pos="4680"/>
        </w:tabs>
        <w:rPr>
          <w:rFonts w:ascii="Arial" w:hAnsi="Arial" w:cs="Arial"/>
          <w:b/>
        </w:rPr>
      </w:pPr>
      <w:r w:rsidRPr="00A272CE">
        <w:rPr>
          <w:rFonts w:ascii="Arial" w:hAnsi="Arial" w:cs="Arial"/>
          <w:b/>
        </w:rPr>
        <w:t>Terms of Clearance:  None</w:t>
      </w:r>
    </w:p>
    <w:p w:rsidRPr="00A272CE" w:rsidR="00F120DA" w:rsidRDefault="00F120DA" w14:paraId="3F298F23" w14:textId="77777777">
      <w:pPr>
        <w:widowControl/>
        <w:tabs>
          <w:tab w:val="left" w:pos="1076"/>
        </w:tabs>
        <w:rPr>
          <w:rFonts w:ascii="Arial" w:hAnsi="Arial" w:cs="Arial"/>
        </w:rPr>
      </w:pPr>
    </w:p>
    <w:p w:rsidRPr="00A272CE" w:rsidR="00F120DA" w:rsidRDefault="00F120DA" w14:paraId="3865063C" w14:textId="77777777">
      <w:pPr>
        <w:widowControl/>
        <w:tabs>
          <w:tab w:val="left" w:pos="1076"/>
        </w:tabs>
        <w:rPr>
          <w:rFonts w:ascii="Arial" w:hAnsi="Arial" w:cs="Arial"/>
          <w:b/>
          <w:i/>
        </w:rPr>
      </w:pPr>
      <w:r w:rsidRPr="00A272CE">
        <w:rPr>
          <w:rFonts w:ascii="Arial" w:hAnsi="Arial" w:cs="Arial"/>
          <w:b/>
          <w:i/>
        </w:rPr>
        <w:t>Introduction</w:t>
      </w:r>
    </w:p>
    <w:p w:rsidRPr="00A272CE" w:rsidR="00F120DA" w:rsidRDefault="00F120DA" w14:paraId="16AD0171" w14:textId="77777777">
      <w:pPr>
        <w:widowControl/>
        <w:tabs>
          <w:tab w:val="left" w:pos="1076"/>
        </w:tabs>
        <w:rPr>
          <w:rFonts w:ascii="Arial" w:hAnsi="Arial" w:cs="Arial"/>
        </w:rPr>
      </w:pPr>
    </w:p>
    <w:p w:rsidRPr="00A272CE" w:rsidR="00F120DA" w:rsidRDefault="00F120DA" w14:paraId="061D1722" w14:textId="77777777">
      <w:pPr>
        <w:widowControl/>
        <w:tabs>
          <w:tab w:val="left" w:pos="1076"/>
        </w:tabs>
        <w:rPr>
          <w:rFonts w:ascii="Arial" w:hAnsi="Arial" w:cs="Arial"/>
        </w:rPr>
      </w:pPr>
      <w:r w:rsidRPr="00A272CE">
        <w:rPr>
          <w:rFonts w:ascii="Arial" w:hAnsi="Arial" w:cs="Arial"/>
        </w:rPr>
        <w:t>The Office of Surface Mining Reclamation and Enforcement (</w:t>
      </w:r>
      <w:r w:rsidR="003520C2">
        <w:rPr>
          <w:rFonts w:ascii="Arial" w:hAnsi="Arial" w:cs="Arial"/>
        </w:rPr>
        <w:t>OSMRE</w:t>
      </w:r>
      <w:r w:rsidRPr="00A272CE">
        <w:rPr>
          <w:rFonts w:ascii="Arial" w:hAnsi="Arial" w:cs="Arial"/>
        </w:rPr>
        <w:t xml:space="preserve">) requests permission to continue to collect information </w:t>
      </w:r>
      <w:r w:rsidRPr="00A272CE" w:rsidR="001B4262">
        <w:rPr>
          <w:rFonts w:ascii="Arial" w:hAnsi="Arial" w:cs="Arial"/>
        </w:rPr>
        <w:t xml:space="preserve">for </w:t>
      </w:r>
      <w:r w:rsidRPr="00A272CE">
        <w:rPr>
          <w:rFonts w:ascii="Arial" w:hAnsi="Arial" w:cs="Arial"/>
        </w:rPr>
        <w:t xml:space="preserve">30 CFR </w:t>
      </w:r>
      <w:r w:rsidR="00D7759C">
        <w:rPr>
          <w:rFonts w:ascii="Arial" w:hAnsi="Arial" w:cs="Arial"/>
        </w:rPr>
        <w:t>P</w:t>
      </w:r>
      <w:r w:rsidRPr="00A272CE">
        <w:rPr>
          <w:rFonts w:ascii="Arial" w:hAnsi="Arial" w:cs="Arial"/>
        </w:rPr>
        <w:t>art 882</w:t>
      </w:r>
      <w:r w:rsidRPr="00A272CE" w:rsidR="000B2202">
        <w:rPr>
          <w:rFonts w:ascii="Arial" w:hAnsi="Arial" w:cs="Arial"/>
        </w:rPr>
        <w:t xml:space="preserve"> - </w:t>
      </w:r>
      <w:r w:rsidRPr="00A272CE">
        <w:rPr>
          <w:rFonts w:ascii="Arial" w:hAnsi="Arial" w:cs="Arial"/>
        </w:rPr>
        <w:t xml:space="preserve">Reclamation on Private Land.  This </w:t>
      </w:r>
      <w:r w:rsidRPr="00A272CE" w:rsidR="000B2202">
        <w:rPr>
          <w:rFonts w:ascii="Arial" w:hAnsi="Arial" w:cs="Arial"/>
        </w:rPr>
        <w:t>P</w:t>
      </w:r>
      <w:r w:rsidRPr="00A272CE">
        <w:rPr>
          <w:rFonts w:ascii="Arial" w:hAnsi="Arial" w:cs="Arial"/>
        </w:rPr>
        <w:t xml:space="preserve">art establishes procedures for recovery of the cost of reclamation activities conducted on private property as specified in Section 408 of the Surface Mining Control and Reclamation Act (SMCRA) and 30 CFR </w:t>
      </w:r>
      <w:r w:rsidRPr="00A272CE" w:rsidR="000B2202">
        <w:rPr>
          <w:rFonts w:ascii="Arial" w:hAnsi="Arial" w:cs="Arial"/>
        </w:rPr>
        <w:t>s</w:t>
      </w:r>
      <w:r w:rsidRPr="00A272CE">
        <w:rPr>
          <w:rFonts w:ascii="Arial" w:hAnsi="Arial" w:cs="Arial"/>
        </w:rPr>
        <w:t>ection</w:t>
      </w:r>
      <w:r w:rsidRPr="00A272CE" w:rsidR="000B2202">
        <w:rPr>
          <w:rFonts w:ascii="Arial" w:hAnsi="Arial" w:cs="Arial"/>
        </w:rPr>
        <w:t>s</w:t>
      </w:r>
      <w:r w:rsidRPr="00A272CE">
        <w:rPr>
          <w:rFonts w:ascii="Arial" w:hAnsi="Arial" w:cs="Arial"/>
        </w:rPr>
        <w:t xml:space="preserve"> 882.12(a) and 882.13(b).  The Office of Management and Budget (OMB) previously approved the information collection for 30 CFR Part 882 and assigned it </w:t>
      </w:r>
      <w:r w:rsidRPr="00A272CE" w:rsidR="001B4262">
        <w:rPr>
          <w:rFonts w:ascii="Arial" w:hAnsi="Arial" w:cs="Arial"/>
        </w:rPr>
        <w:t>control</w:t>
      </w:r>
      <w:r w:rsidRPr="00A272CE">
        <w:rPr>
          <w:rFonts w:ascii="Arial" w:hAnsi="Arial" w:cs="Arial"/>
        </w:rPr>
        <w:t xml:space="preserve"> number 1029</w:t>
      </w:r>
      <w:r w:rsidRPr="00A272CE">
        <w:rPr>
          <w:rFonts w:ascii="Arial" w:hAnsi="Arial" w:cs="Arial"/>
        </w:rPr>
        <w:noBreakHyphen/>
        <w:t xml:space="preserve">0057. </w:t>
      </w:r>
    </w:p>
    <w:p w:rsidRPr="00A272CE" w:rsidR="00F120DA" w:rsidRDefault="00F120DA" w14:paraId="250D26FB" w14:textId="77777777">
      <w:pPr>
        <w:widowControl/>
        <w:tabs>
          <w:tab w:val="left" w:pos="1076"/>
        </w:tabs>
        <w:rPr>
          <w:rFonts w:ascii="Arial" w:hAnsi="Arial" w:cs="Arial"/>
        </w:rPr>
      </w:pPr>
    </w:p>
    <w:p w:rsidRPr="00A272CE" w:rsidR="00F120DA" w:rsidRDefault="00F120DA" w14:paraId="049D246F" w14:textId="77777777">
      <w:pPr>
        <w:widowControl/>
        <w:tabs>
          <w:tab w:val="left" w:pos="1076"/>
        </w:tabs>
        <w:rPr>
          <w:rFonts w:ascii="Arial" w:hAnsi="Arial" w:cs="Arial"/>
        </w:rPr>
      </w:pPr>
      <w:r w:rsidRPr="00A272CE">
        <w:rPr>
          <w:rFonts w:ascii="Arial" w:hAnsi="Arial" w:cs="Arial"/>
        </w:rPr>
        <w:t xml:space="preserve">The </w:t>
      </w:r>
      <w:r w:rsidRPr="00A272CE" w:rsidR="009B3A1D">
        <w:rPr>
          <w:rFonts w:ascii="Arial" w:hAnsi="Arial" w:cs="Arial"/>
        </w:rPr>
        <w:t>currently approved burden for</w:t>
      </w:r>
      <w:r w:rsidRPr="00A272CE">
        <w:rPr>
          <w:rFonts w:ascii="Arial" w:hAnsi="Arial" w:cs="Arial"/>
        </w:rPr>
        <w:t xml:space="preserve"> 30 CFR Part 882 </w:t>
      </w:r>
      <w:r w:rsidRPr="00A272CE" w:rsidR="009B3A1D">
        <w:rPr>
          <w:rFonts w:ascii="Arial" w:hAnsi="Arial" w:cs="Arial"/>
        </w:rPr>
        <w:t>is 1</w:t>
      </w:r>
      <w:r w:rsidRPr="00A272CE" w:rsidR="00303EF7">
        <w:rPr>
          <w:rFonts w:ascii="Arial" w:hAnsi="Arial" w:cs="Arial"/>
        </w:rPr>
        <w:t>20</w:t>
      </w:r>
      <w:r w:rsidRPr="00A272CE" w:rsidR="009B3A1D">
        <w:rPr>
          <w:rFonts w:ascii="Arial" w:hAnsi="Arial" w:cs="Arial"/>
        </w:rPr>
        <w:t xml:space="preserve"> hours.  This collection request will </w:t>
      </w:r>
      <w:r w:rsidRPr="00A272CE" w:rsidR="00303EF7">
        <w:rPr>
          <w:rFonts w:ascii="Arial" w:hAnsi="Arial" w:cs="Arial"/>
        </w:rPr>
        <w:t xml:space="preserve">not change </w:t>
      </w:r>
      <w:r w:rsidRPr="00A272CE" w:rsidR="007C6E33">
        <w:rPr>
          <w:rFonts w:ascii="Arial" w:hAnsi="Arial" w:cs="Arial"/>
        </w:rPr>
        <w:t>that burden</w:t>
      </w:r>
      <w:r w:rsidRPr="00A272CE" w:rsidR="000863D5">
        <w:rPr>
          <w:rFonts w:ascii="Arial" w:hAnsi="Arial" w:cs="Arial"/>
        </w:rPr>
        <w:t>.</w:t>
      </w:r>
    </w:p>
    <w:p w:rsidRPr="00A272CE" w:rsidR="000B2202" w:rsidP="00D7759C" w:rsidRDefault="000B2202" w14:paraId="1B8B611C" w14:textId="77777777">
      <w:pPr>
        <w:widowControl/>
        <w:tabs>
          <w:tab w:val="center" w:pos="4680"/>
        </w:tabs>
        <w:rPr>
          <w:rFonts w:ascii="Arial" w:hAnsi="Arial" w:cs="Arial"/>
        </w:rPr>
      </w:pPr>
    </w:p>
    <w:p w:rsidRPr="00A272CE" w:rsidR="000B2202" w:rsidP="000B2202" w:rsidRDefault="000B2202" w14:paraId="4D193E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b/>
          <w:bCs/>
          <w:i/>
        </w:rPr>
        <w:t>General Instructions</w:t>
      </w:r>
      <w:r w:rsidRPr="00A272CE">
        <w:rPr>
          <w:rFonts w:ascii="Arial" w:hAnsi="Arial" w:cs="Arial"/>
          <w:i/>
        </w:rPr>
        <w:t xml:space="preserve"> </w:t>
      </w:r>
    </w:p>
    <w:p w:rsidRPr="00A272CE" w:rsidR="000B2202" w:rsidP="000B2202" w:rsidRDefault="000B2202" w14:paraId="5C71FC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0B2202" w:rsidP="000B2202" w:rsidRDefault="000B2202" w14:paraId="1BF11D16"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rPr>
      </w:pPr>
      <w:r w:rsidRPr="00A272CE">
        <w:rPr>
          <w:rFonts w:ascii="Arial" w:hAnsi="Arial" w:cs="Arial"/>
          <w:i/>
        </w:rPr>
        <w:t xml:space="preserve">A completed Supporting Statement A must accompany each request for approval of a collection of information.  The Supporting Statement must be prepared in the format described </w:t>
      </w:r>
      <w:proofErr w:type="gramStart"/>
      <w:r w:rsidRPr="00A272CE">
        <w:rPr>
          <w:rFonts w:ascii="Arial" w:hAnsi="Arial" w:cs="Arial"/>
          <w:i/>
        </w:rPr>
        <w:t>below, and</w:t>
      </w:r>
      <w:proofErr w:type="gramEnd"/>
      <w:r w:rsidRPr="00A272CE">
        <w:rPr>
          <w:rFonts w:ascii="Arial" w:hAnsi="Arial" w:cs="Arial"/>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A272CE" w:rsidR="000B2202" w:rsidP="000B2202" w:rsidRDefault="000B2202" w14:paraId="0BF593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0B2202" w:rsidP="000B2202" w:rsidRDefault="000B2202" w14:paraId="671F22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b/>
          <w:bCs/>
          <w:i/>
        </w:rPr>
        <w:t>Specific Instructions</w:t>
      </w:r>
    </w:p>
    <w:p w:rsidRPr="00A272CE" w:rsidR="000B2202" w:rsidP="000B2202" w:rsidRDefault="000B2202" w14:paraId="3080DB5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0B2202" w:rsidP="000B2202" w:rsidRDefault="000B2202" w14:paraId="5A6BC3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b/>
          <w:bCs/>
          <w:i/>
        </w:rPr>
        <w:t>Justification</w:t>
      </w:r>
    </w:p>
    <w:p w:rsidRPr="00A272CE" w:rsidR="000B2202" w:rsidP="000B2202" w:rsidRDefault="000B2202" w14:paraId="732A25C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0B2202" w:rsidP="000B2202" w:rsidRDefault="000B2202" w14:paraId="32F90EA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w:t>
      </w:r>
      <w:r w:rsidRPr="00A272CE">
        <w:rPr>
          <w:rFonts w:ascii="Arial" w:hAnsi="Arial" w:cs="Arial"/>
          <w:i/>
        </w:rPr>
        <w:tab/>
        <w:t>Explain the circumstances that make the collection of information necessary.  Identify any legal or administrative requirements that necessitate the collection.</w:t>
      </w:r>
    </w:p>
    <w:p w:rsidRPr="00A272CE" w:rsidR="00497C9C" w:rsidP="00497C9C" w:rsidRDefault="00497C9C" w14:paraId="17B2F25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497C9C" w:rsidP="00497C9C" w:rsidRDefault="00497C9C" w14:paraId="47086BEB" w14:textId="77777777">
      <w:pPr>
        <w:widowControl/>
        <w:tabs>
          <w:tab w:val="left" w:pos="720"/>
        </w:tabs>
        <w:ind w:left="720" w:hanging="720"/>
        <w:rPr>
          <w:rFonts w:ascii="Arial" w:hAnsi="Arial" w:cs="Arial"/>
        </w:rPr>
      </w:pPr>
      <w:r w:rsidRPr="00A272CE">
        <w:rPr>
          <w:rFonts w:ascii="Arial" w:hAnsi="Arial" w:cs="Arial"/>
        </w:rPr>
        <w:tab/>
        <w:t xml:space="preserve">Statutory authority for sections 882.12(a) and 882.13(b) </w:t>
      </w:r>
      <w:proofErr w:type="gramStart"/>
      <w:r w:rsidRPr="00A272CE">
        <w:rPr>
          <w:rFonts w:ascii="Arial" w:hAnsi="Arial" w:cs="Arial"/>
        </w:rPr>
        <w:t>are</w:t>
      </w:r>
      <w:proofErr w:type="gramEnd"/>
      <w:r w:rsidRPr="00A272CE">
        <w:rPr>
          <w:rFonts w:ascii="Arial" w:hAnsi="Arial" w:cs="Arial"/>
        </w:rPr>
        <w:t xml:space="preserve"> found in Section 408 of SMCRA.  Section 408 allows the States/Indian tribes to file liens on private property reclaimed under certain conditions.</w:t>
      </w:r>
    </w:p>
    <w:p w:rsidRPr="00A272CE" w:rsidR="00497C9C" w:rsidP="00497C9C" w:rsidRDefault="00497C9C" w14:paraId="2920EE9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0B2202" w:rsidP="000B2202" w:rsidRDefault="000B2202" w14:paraId="6F6CDC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2.</w:t>
      </w:r>
      <w:r w:rsidRPr="00A272CE">
        <w:rPr>
          <w:rFonts w:ascii="Arial" w:hAnsi="Arial" w:cs="Arial"/>
          <w:i/>
        </w:rPr>
        <w:tab/>
        <w:t xml:space="preserve">Indicate how, by whom, and for what purpose the information is to be used.  Except for a new collection, indicate the actual use the agency has made of the </w:t>
      </w:r>
      <w:r w:rsidRPr="00A272CE">
        <w:rPr>
          <w:rFonts w:ascii="Arial" w:hAnsi="Arial" w:cs="Arial"/>
          <w:i/>
        </w:rPr>
        <w:lastRenderedPageBreak/>
        <w:t>information received from the current collection.  Be specific.  If this collection is a form or a questionnaire, every question needs to be justified.</w:t>
      </w:r>
    </w:p>
    <w:p w:rsidRPr="00A272CE" w:rsidR="00497C9C" w:rsidP="00497C9C" w:rsidRDefault="00497C9C" w14:paraId="3E45EBA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497C9C" w:rsidP="00497C9C" w:rsidRDefault="00497C9C" w14:paraId="1B6F3845" w14:textId="77777777">
      <w:pPr>
        <w:widowControl/>
        <w:ind w:left="720" w:hanging="720"/>
        <w:rPr>
          <w:rFonts w:ascii="Arial" w:hAnsi="Arial" w:cs="Arial"/>
        </w:rPr>
      </w:pPr>
      <w:r w:rsidRPr="00A272CE">
        <w:rPr>
          <w:rFonts w:ascii="Arial" w:hAnsi="Arial" w:cs="Arial"/>
        </w:rPr>
        <w:tab/>
        <w:t>These sections of the regulation establish procedures for recovery of the cost of reclamation activities conducted on private property.</w:t>
      </w:r>
      <w:r w:rsidRPr="00A272CE" w:rsidR="00D10CDB">
        <w:rPr>
          <w:rFonts w:ascii="Arial" w:hAnsi="Arial" w:cs="Arial"/>
        </w:rPr>
        <w:t xml:space="preserve">  </w:t>
      </w:r>
      <w:r w:rsidR="003520C2">
        <w:rPr>
          <w:rFonts w:ascii="Arial" w:hAnsi="Arial" w:cs="Arial"/>
        </w:rPr>
        <w:t>OSMRE</w:t>
      </w:r>
      <w:r w:rsidRPr="00A272CE" w:rsidR="00D10CDB">
        <w:rPr>
          <w:rFonts w:ascii="Arial" w:hAnsi="Arial" w:cs="Arial"/>
        </w:rPr>
        <w:t xml:space="preserve">, the State, or the Indian tribe has the discretionary authority to </w:t>
      </w:r>
      <w:r w:rsidRPr="00A272CE" w:rsidR="00474A11">
        <w:rPr>
          <w:rFonts w:ascii="Arial" w:hAnsi="Arial" w:cs="Arial"/>
        </w:rPr>
        <w:t xml:space="preserve">appraise the land and </w:t>
      </w:r>
      <w:r w:rsidRPr="00A272CE" w:rsidR="00D10CDB">
        <w:rPr>
          <w:rFonts w:ascii="Arial" w:hAnsi="Arial" w:cs="Arial"/>
        </w:rPr>
        <w:t>place or waive a lien against land reclaimed by the regulatory authority if the reclamation results in a significant increase in the fair market value.</w:t>
      </w:r>
    </w:p>
    <w:p w:rsidRPr="00A272CE" w:rsidR="00497C9C" w:rsidP="00497C9C" w:rsidRDefault="00497C9C" w14:paraId="14CE828A" w14:textId="77777777">
      <w:pPr>
        <w:widowControl/>
        <w:tabs>
          <w:tab w:val="left" w:pos="1076"/>
        </w:tabs>
        <w:rPr>
          <w:rFonts w:ascii="Arial" w:hAnsi="Arial" w:cs="Arial"/>
        </w:rPr>
      </w:pPr>
    </w:p>
    <w:p w:rsidRPr="00A272CE" w:rsidR="000B2202" w:rsidP="00497C9C" w:rsidRDefault="00497C9C" w14:paraId="5172A8F2" w14:textId="31A3844F">
      <w:pPr>
        <w:widowControl/>
        <w:ind w:left="720"/>
        <w:rPr>
          <w:rFonts w:ascii="Arial" w:hAnsi="Arial" w:cs="Arial"/>
        </w:rPr>
      </w:pPr>
      <w:r w:rsidRPr="00A272CE">
        <w:rPr>
          <w:rFonts w:ascii="Arial" w:hAnsi="Arial" w:cs="Arial"/>
        </w:rPr>
        <w:t>The regulatory authorit</w:t>
      </w:r>
      <w:r w:rsidRPr="00A272CE" w:rsidR="009D552D">
        <w:rPr>
          <w:rFonts w:ascii="Arial" w:hAnsi="Arial" w:cs="Arial"/>
        </w:rPr>
        <w:t>y receives the appraisal, prepares appropriate lien documentation per State law, and submits this information to the landowner and to the appropriate court.  T</w:t>
      </w:r>
      <w:r w:rsidRPr="00A272CE">
        <w:rPr>
          <w:rFonts w:ascii="Arial" w:hAnsi="Arial" w:cs="Arial"/>
        </w:rPr>
        <w:t xml:space="preserve">his information </w:t>
      </w:r>
      <w:r w:rsidRPr="00A272CE" w:rsidR="009D552D">
        <w:rPr>
          <w:rFonts w:ascii="Arial" w:hAnsi="Arial" w:cs="Arial"/>
        </w:rPr>
        <w:t xml:space="preserve">is used </w:t>
      </w:r>
      <w:r w:rsidRPr="00A272CE">
        <w:rPr>
          <w:rFonts w:ascii="Arial" w:hAnsi="Arial" w:cs="Arial"/>
        </w:rPr>
        <w:t xml:space="preserve">to ensure that States/Indian tribes have sufficient programmatic capability to file liens to recover costs for reclaiming private lands.   </w:t>
      </w:r>
    </w:p>
    <w:p w:rsidRPr="00A272CE" w:rsidR="00497C9C" w:rsidP="00497C9C" w:rsidRDefault="00497C9C" w14:paraId="36C82A53" w14:textId="77777777">
      <w:pPr>
        <w:widowControl/>
        <w:ind w:left="720"/>
        <w:rPr>
          <w:rFonts w:ascii="Arial" w:hAnsi="Arial" w:cs="Arial"/>
        </w:rPr>
      </w:pPr>
      <w:r w:rsidRPr="00A272CE">
        <w:rPr>
          <w:rFonts w:ascii="Arial" w:hAnsi="Arial" w:cs="Arial"/>
        </w:rPr>
        <w:t xml:space="preserve"> </w:t>
      </w:r>
    </w:p>
    <w:p w:rsidRPr="00A272CE" w:rsidR="000B2202" w:rsidP="000B2202" w:rsidRDefault="000B2202" w14:paraId="380C86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3.</w:t>
      </w:r>
      <w:r w:rsidRPr="00A272CE">
        <w:rPr>
          <w:rFonts w:ascii="Arial" w:hAnsi="Arial" w:cs="Arial"/>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A272CE" w:rsidR="00497C9C" w:rsidP="00497C9C" w:rsidRDefault="00497C9C" w14:paraId="539FE9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497C9C" w:rsidP="00497C9C" w:rsidRDefault="00497C9C" w14:paraId="38D6DCBD" w14:textId="77777777">
      <w:pPr>
        <w:widowControl/>
        <w:ind w:left="720" w:hanging="720"/>
        <w:rPr>
          <w:rFonts w:ascii="Arial" w:hAnsi="Arial" w:cs="Arial"/>
        </w:rPr>
      </w:pPr>
      <w:r w:rsidRPr="00A272CE">
        <w:rPr>
          <w:rFonts w:ascii="Arial" w:hAnsi="Arial" w:cs="Arial"/>
        </w:rPr>
        <w:tab/>
        <w:t xml:space="preserve">The information is unique to each respondent and the number of responses has been minimal.  </w:t>
      </w:r>
      <w:r w:rsidR="00D7759C">
        <w:rPr>
          <w:rFonts w:ascii="Arial" w:hAnsi="Arial" w:cs="Arial"/>
        </w:rPr>
        <w:t xml:space="preserve">Due to the legal nature of these documents, submission to landowners and courts are done in paper form.  </w:t>
      </w:r>
      <w:r w:rsidRPr="00A272CE">
        <w:rPr>
          <w:rFonts w:ascii="Arial" w:hAnsi="Arial" w:cs="Arial"/>
        </w:rPr>
        <w:t xml:space="preserve">For these reasons, it is not practical for respondents to supply the information electronically, or for </w:t>
      </w:r>
      <w:r w:rsidR="003520C2">
        <w:rPr>
          <w:rFonts w:ascii="Arial" w:hAnsi="Arial" w:cs="Arial"/>
        </w:rPr>
        <w:t>OSMRE</w:t>
      </w:r>
      <w:r w:rsidRPr="00A272CE">
        <w:rPr>
          <w:rFonts w:ascii="Arial" w:hAnsi="Arial" w:cs="Arial"/>
        </w:rPr>
        <w:t xml:space="preserve"> to automate its processing of the responses.</w:t>
      </w:r>
    </w:p>
    <w:p w:rsidRPr="00A272CE" w:rsidR="00497C9C" w:rsidP="00497C9C" w:rsidRDefault="00497C9C" w14:paraId="25DF19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0B2202" w:rsidP="000B2202" w:rsidRDefault="000B2202" w14:paraId="7AEC95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4.</w:t>
      </w:r>
      <w:r w:rsidRPr="00A272CE">
        <w:rPr>
          <w:rFonts w:ascii="Arial" w:hAnsi="Arial" w:cs="Arial"/>
          <w:i/>
        </w:rPr>
        <w:tab/>
        <w:t>Describe efforts to identify duplication.  Show specifically why any similar information already available cannot be used or modified for use for the purposes described in Item 2 above.</w:t>
      </w:r>
    </w:p>
    <w:p w:rsidRPr="00A272CE" w:rsidR="00497C9C" w:rsidP="00497C9C" w:rsidRDefault="00497C9C" w14:paraId="614251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497C9C" w:rsidP="00497C9C" w:rsidRDefault="00497C9C" w14:paraId="483E09B2" w14:textId="77777777">
      <w:pPr>
        <w:widowControl/>
        <w:ind w:left="720" w:hanging="720"/>
        <w:rPr>
          <w:rFonts w:ascii="Arial" w:hAnsi="Arial" w:cs="Arial"/>
        </w:rPr>
      </w:pPr>
      <w:r w:rsidRPr="00A272CE">
        <w:rPr>
          <w:rFonts w:ascii="Arial" w:hAnsi="Arial" w:cs="Arial"/>
        </w:rPr>
        <w:tab/>
        <w:t>No similar information is collected by other Federal agencies.</w:t>
      </w:r>
    </w:p>
    <w:p w:rsidRPr="00A272CE" w:rsidR="00497C9C" w:rsidP="00497C9C" w:rsidRDefault="00497C9C" w14:paraId="0F06DC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0B2202" w:rsidP="000B2202" w:rsidRDefault="000B2202" w14:paraId="153AE8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5.</w:t>
      </w:r>
      <w:r w:rsidRPr="00A272CE">
        <w:rPr>
          <w:rFonts w:ascii="Arial" w:hAnsi="Arial" w:cs="Arial"/>
          <w:i/>
        </w:rPr>
        <w:tab/>
        <w:t>If the collection of information impacts small businesses or other small entities, describe any methods used to minimize burden.</w:t>
      </w:r>
    </w:p>
    <w:p w:rsidRPr="00A272CE" w:rsidR="00497C9C" w:rsidP="00497C9C" w:rsidRDefault="00497C9C" w14:paraId="0FFDCFC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497C9C" w:rsidP="00497C9C" w:rsidRDefault="00497C9C" w14:paraId="1718DA57" w14:textId="77777777">
      <w:pPr>
        <w:widowControl/>
        <w:ind w:left="720" w:hanging="720"/>
        <w:rPr>
          <w:rFonts w:ascii="Arial" w:hAnsi="Arial" w:cs="Arial"/>
        </w:rPr>
      </w:pPr>
      <w:r w:rsidRPr="00A272CE">
        <w:rPr>
          <w:rFonts w:ascii="Arial" w:hAnsi="Arial" w:cs="Arial"/>
        </w:rPr>
        <w:tab/>
        <w:t>Information is collected only from States/Indian tribes eligible to recover reclamation costs.  No small businesses or other small entities are impacted.</w:t>
      </w:r>
    </w:p>
    <w:p w:rsidRPr="00A272CE" w:rsidR="00497C9C" w:rsidP="00497C9C" w:rsidRDefault="00497C9C" w14:paraId="2F7CF54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0B2202" w:rsidP="000B2202" w:rsidRDefault="000B2202" w14:paraId="67DB5F9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6.</w:t>
      </w:r>
      <w:r w:rsidRPr="00A272CE">
        <w:rPr>
          <w:rFonts w:ascii="Arial" w:hAnsi="Arial" w:cs="Arial"/>
          <w:i/>
        </w:rPr>
        <w:tab/>
        <w:t>Describe the consequence to Federal program or policy activities if the collection is not conducted or is conducted less frequently, as well as any technical or legal obstacles to reducing burden.</w:t>
      </w:r>
    </w:p>
    <w:p w:rsidRPr="00A272CE" w:rsidR="00497C9C" w:rsidP="00497C9C" w:rsidRDefault="00497C9C" w14:paraId="65EE1A4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9E0968" w:rsidP="009E0968" w:rsidRDefault="009E0968" w14:paraId="7A734FD6" w14:textId="77777777">
      <w:pPr>
        <w:widowControl/>
        <w:ind w:left="720" w:hanging="720"/>
        <w:rPr>
          <w:rFonts w:ascii="Arial" w:hAnsi="Arial" w:cs="Arial"/>
        </w:rPr>
      </w:pPr>
      <w:r w:rsidRPr="00A272CE">
        <w:rPr>
          <w:rFonts w:ascii="Arial" w:hAnsi="Arial" w:cs="Arial"/>
        </w:rPr>
        <w:lastRenderedPageBreak/>
        <w:tab/>
        <w:t>The information is collected at the time States/Indian tribes submit liens against private property to recover reclamation costs.  Without this information the States/Indian Tribes could not be reimbursed for reclamation costs on private lands</w:t>
      </w:r>
      <w:r w:rsidR="00D7759C">
        <w:rPr>
          <w:rFonts w:ascii="Arial" w:hAnsi="Arial" w:cs="Arial"/>
        </w:rPr>
        <w:t xml:space="preserve"> as authorized by Section 408 of SMCRA</w:t>
      </w:r>
      <w:r w:rsidRPr="00A272CE">
        <w:rPr>
          <w:rFonts w:ascii="Arial" w:hAnsi="Arial" w:cs="Arial"/>
        </w:rPr>
        <w:t>.</w:t>
      </w:r>
    </w:p>
    <w:p w:rsidRPr="00A272CE" w:rsidR="009E0968" w:rsidP="009E0968" w:rsidRDefault="009E0968" w14:paraId="34CAC578" w14:textId="77777777">
      <w:pPr>
        <w:widowControl/>
        <w:tabs>
          <w:tab w:val="left" w:pos="1076"/>
        </w:tabs>
        <w:rPr>
          <w:rFonts w:ascii="Arial" w:hAnsi="Arial" w:cs="Arial"/>
        </w:rPr>
      </w:pPr>
    </w:p>
    <w:p w:rsidRPr="00A272CE" w:rsidR="000B2202" w:rsidP="000B2202" w:rsidRDefault="000B2202" w14:paraId="620668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7.</w:t>
      </w:r>
      <w:r w:rsidRPr="00A272CE">
        <w:rPr>
          <w:rFonts w:ascii="Arial" w:hAnsi="Arial" w:cs="Arial"/>
          <w:i/>
        </w:rPr>
        <w:tab/>
        <w:t>Explain any special circumstances that would cause an information collection to be conducted in a manner:</w:t>
      </w:r>
    </w:p>
    <w:p w:rsidRPr="00A272CE" w:rsidR="000B2202" w:rsidP="000B2202" w:rsidRDefault="000B2202" w14:paraId="2AF07D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requiring respondents to report information to the agency more often than </w:t>
      </w:r>
      <w:proofErr w:type="gramStart"/>
      <w:r w:rsidRPr="00A272CE">
        <w:rPr>
          <w:rFonts w:ascii="Arial" w:hAnsi="Arial" w:cs="Arial"/>
          <w:i/>
        </w:rPr>
        <w:t>quarterly;</w:t>
      </w:r>
      <w:proofErr w:type="gramEnd"/>
    </w:p>
    <w:p w:rsidRPr="00A272CE" w:rsidR="000B2202" w:rsidP="000B2202" w:rsidRDefault="000B2202" w14:paraId="6719298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requiring respondents to prepare a written response to a collection of information in fewer than 30 days after receipt of </w:t>
      </w:r>
      <w:proofErr w:type="gramStart"/>
      <w:r w:rsidRPr="00A272CE">
        <w:rPr>
          <w:rFonts w:ascii="Arial" w:hAnsi="Arial" w:cs="Arial"/>
          <w:i/>
        </w:rPr>
        <w:t>it;</w:t>
      </w:r>
      <w:proofErr w:type="gramEnd"/>
    </w:p>
    <w:p w:rsidRPr="00A272CE" w:rsidR="000B2202" w:rsidP="000B2202" w:rsidRDefault="000B2202" w14:paraId="4B5AFA4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requiring respondents to submit more than an original and two copies of any </w:t>
      </w:r>
      <w:proofErr w:type="gramStart"/>
      <w:r w:rsidRPr="00A272CE">
        <w:rPr>
          <w:rFonts w:ascii="Arial" w:hAnsi="Arial" w:cs="Arial"/>
          <w:i/>
        </w:rPr>
        <w:t>document;</w:t>
      </w:r>
      <w:proofErr w:type="gramEnd"/>
    </w:p>
    <w:p w:rsidRPr="00A272CE" w:rsidR="000B2202" w:rsidP="000B2202" w:rsidRDefault="000B2202" w14:paraId="7C3F84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requiring respondents to retain records, other than health, medical, government contract, grant-in-aid, or tax records, for more than three </w:t>
      </w:r>
      <w:proofErr w:type="gramStart"/>
      <w:r w:rsidRPr="00A272CE">
        <w:rPr>
          <w:rFonts w:ascii="Arial" w:hAnsi="Arial" w:cs="Arial"/>
          <w:i/>
        </w:rPr>
        <w:t>years;</w:t>
      </w:r>
      <w:proofErr w:type="gramEnd"/>
    </w:p>
    <w:p w:rsidRPr="00A272CE" w:rsidR="000B2202" w:rsidP="000B2202" w:rsidRDefault="000B2202" w14:paraId="2BBCAA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in connection with a statistical survey that is not designed to produce valid and reliable results that can be generalized to the universe of </w:t>
      </w:r>
      <w:proofErr w:type="gramStart"/>
      <w:r w:rsidRPr="00A272CE">
        <w:rPr>
          <w:rFonts w:ascii="Arial" w:hAnsi="Arial" w:cs="Arial"/>
          <w:i/>
        </w:rPr>
        <w:t>study;</w:t>
      </w:r>
      <w:proofErr w:type="gramEnd"/>
    </w:p>
    <w:p w:rsidRPr="00A272CE" w:rsidR="000B2202" w:rsidP="000B2202" w:rsidRDefault="000B2202" w14:paraId="7FF03E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requiring the use of a statistical data classification that has not been reviewed and approved by </w:t>
      </w:r>
      <w:proofErr w:type="gramStart"/>
      <w:r w:rsidRPr="00A272CE">
        <w:rPr>
          <w:rFonts w:ascii="Arial" w:hAnsi="Arial" w:cs="Arial"/>
          <w:i/>
        </w:rPr>
        <w:t>OMB;</w:t>
      </w:r>
      <w:proofErr w:type="gramEnd"/>
    </w:p>
    <w:p w:rsidRPr="00A272CE" w:rsidR="000B2202" w:rsidP="000B2202" w:rsidRDefault="000B2202" w14:paraId="3E8E32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272CE" w:rsidR="000B2202" w:rsidP="000B2202" w:rsidRDefault="000B2202" w14:paraId="703F65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submit proprietary trade secrets, or other confidential information, unless the agency can demonstrate that it has instituted procedures to protect the information's confidentiality to the extent permitted by law.</w:t>
      </w:r>
    </w:p>
    <w:p w:rsidRPr="00A272CE" w:rsidR="00497C9C" w:rsidP="00497C9C" w:rsidRDefault="00497C9C" w14:paraId="4B2D303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9E0968" w:rsidP="009E0968" w:rsidRDefault="009E0968" w14:paraId="1FA04E3B" w14:textId="77777777">
      <w:pPr>
        <w:widowControl/>
        <w:ind w:left="720" w:hanging="720"/>
        <w:rPr>
          <w:rFonts w:ascii="Arial" w:hAnsi="Arial" w:cs="Arial"/>
        </w:rPr>
      </w:pPr>
      <w:r w:rsidRPr="00A272CE">
        <w:rPr>
          <w:rFonts w:ascii="Arial" w:hAnsi="Arial" w:cs="Arial"/>
        </w:rPr>
        <w:tab/>
        <w:t>Guidelines in 5 CFR 1320.5(d) (2) are not exceeded.</w:t>
      </w:r>
    </w:p>
    <w:p w:rsidRPr="00A272CE" w:rsidR="009E0968" w:rsidP="00497C9C" w:rsidRDefault="009E0968" w14:paraId="63E5FE8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0B2202" w:rsidP="000B2202" w:rsidRDefault="000B2202" w14:paraId="0961893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8.</w:t>
      </w:r>
      <w:r w:rsidRPr="00A272CE">
        <w:rPr>
          <w:rFonts w:ascii="Arial" w:hAnsi="Arial" w:cs="Arial"/>
          <w:i/>
        </w:rPr>
        <w:tab/>
        <w:t xml:space="preserve">If applicable, provide a copy and identify the date and page number of </w:t>
      </w:r>
      <w:proofErr w:type="gramStart"/>
      <w:r w:rsidRPr="00A272CE">
        <w:rPr>
          <w:rFonts w:ascii="Arial" w:hAnsi="Arial" w:cs="Arial"/>
          <w:i/>
        </w:rPr>
        <w:t>publication</w:t>
      </w:r>
      <w:proofErr w:type="gramEnd"/>
      <w:r w:rsidRPr="00A272CE">
        <w:rPr>
          <w:rFonts w:ascii="Arial" w:hAnsi="Arial" w:cs="Arial"/>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A272CE" w:rsidR="000B2202" w:rsidP="000B2202" w:rsidRDefault="000B2202" w14:paraId="7DDA8B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0B2202" w:rsidP="000B2202" w:rsidRDefault="000B2202" w14:paraId="442B683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272CE" w:rsidR="000B2202" w:rsidP="000B2202" w:rsidRDefault="000B2202" w14:paraId="504AFAB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0B2202" w:rsidP="000B2202" w:rsidRDefault="000B2202" w14:paraId="678264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 xml:space="preserve">Consultation with representatives of those from whom information is to be obtained or those who must compile records should occur at least once every </w:t>
      </w:r>
      <w:r w:rsidRPr="00A272CE">
        <w:rPr>
          <w:rFonts w:ascii="Arial" w:hAnsi="Arial" w:cs="Arial"/>
          <w:i/>
        </w:rPr>
        <w:lastRenderedPageBreak/>
        <w:t>three years — even if the collection of information activity is the same as in prior periods.  There may be circumstances that may preclude consultation in a specific situation.  These circumstances should be explained.</w:t>
      </w:r>
    </w:p>
    <w:p w:rsidRPr="00A272CE" w:rsidR="005C2070" w:rsidP="005C2070" w:rsidRDefault="005C2070" w14:paraId="2B227F88" w14:textId="77777777">
      <w:pPr>
        <w:widowControl/>
        <w:tabs>
          <w:tab w:val="left" w:pos="1076"/>
        </w:tabs>
        <w:ind w:left="1076"/>
        <w:rPr>
          <w:rFonts w:ascii="Arial" w:hAnsi="Arial" w:cs="Arial"/>
        </w:rPr>
      </w:pPr>
      <w:r>
        <w:rPr>
          <w:rFonts w:ascii="Arial" w:hAnsi="Arial" w:cs="Arial"/>
        </w:rPr>
        <w:br/>
      </w:r>
      <w:r>
        <w:rPr>
          <w:rFonts w:ascii="Arial" w:hAnsi="Arial" w:cs="Arial"/>
        </w:rPr>
        <w:br/>
      </w:r>
    </w:p>
    <w:p w:rsidRPr="00A272CE" w:rsidR="005C2070" w:rsidP="005C2070" w:rsidRDefault="005C2070" w14:paraId="65834B83" w14:textId="412F1B95">
      <w:pPr>
        <w:widowControl/>
        <w:tabs>
          <w:tab w:val="left" w:pos="720"/>
        </w:tabs>
        <w:ind w:left="720"/>
        <w:rPr>
          <w:rFonts w:ascii="Arial" w:hAnsi="Arial" w:cs="Arial"/>
        </w:rPr>
      </w:pPr>
      <w:r>
        <w:rPr>
          <w:rFonts w:ascii="Arial" w:hAnsi="Arial" w:cs="Arial"/>
        </w:rPr>
        <w:t>Contact information:</w:t>
      </w:r>
      <w:r>
        <w:rPr>
          <w:rFonts w:ascii="Arial" w:hAnsi="Arial" w:cs="Arial"/>
        </w:rPr>
        <w:br/>
      </w:r>
      <w:r>
        <w:rPr>
          <w:rFonts w:ascii="Arial" w:hAnsi="Arial" w:cs="Arial"/>
        </w:rPr>
        <w:br/>
      </w:r>
      <w:r>
        <w:rPr>
          <w:rFonts w:ascii="Arial" w:hAnsi="Arial" w:cs="Arial"/>
        </w:rPr>
        <w:t xml:space="preserve">Kentucky </w:t>
      </w:r>
      <w:r w:rsidRPr="00A272CE">
        <w:rPr>
          <w:rFonts w:ascii="Arial" w:hAnsi="Arial" w:cs="Arial"/>
        </w:rPr>
        <w:t>Department of Natural Resources</w:t>
      </w:r>
    </w:p>
    <w:p w:rsidRPr="00A272CE" w:rsidR="005C2070" w:rsidP="005C2070" w:rsidRDefault="005C2070" w14:paraId="78F4C8E3" w14:textId="77777777">
      <w:pPr>
        <w:widowControl/>
        <w:tabs>
          <w:tab w:val="left" w:pos="720"/>
        </w:tabs>
        <w:ind w:left="720"/>
        <w:rPr>
          <w:rFonts w:ascii="Arial" w:hAnsi="Arial" w:cs="Arial"/>
        </w:rPr>
      </w:pPr>
      <w:r>
        <w:rPr>
          <w:rFonts w:ascii="Arial" w:hAnsi="Arial" w:cs="Arial"/>
        </w:rPr>
        <w:t>2 Hudson Hollow Complex</w:t>
      </w:r>
    </w:p>
    <w:p w:rsidRPr="00A272CE" w:rsidR="005C2070" w:rsidP="005C2070" w:rsidRDefault="005C2070" w14:paraId="61CBA6AC" w14:textId="6917A0A4">
      <w:pPr>
        <w:widowControl/>
        <w:tabs>
          <w:tab w:val="left" w:pos="720"/>
        </w:tabs>
        <w:ind w:left="720"/>
        <w:rPr>
          <w:rFonts w:ascii="Arial" w:hAnsi="Arial" w:cs="Arial"/>
        </w:rPr>
      </w:pPr>
      <w:r w:rsidRPr="00A272CE">
        <w:rPr>
          <w:rFonts w:ascii="Arial" w:hAnsi="Arial" w:cs="Arial"/>
        </w:rPr>
        <w:t>Frankfort, Kentucky 40601</w:t>
      </w:r>
    </w:p>
    <w:p w:rsidRPr="00A272CE" w:rsidR="005C2070" w:rsidP="005C2070" w:rsidRDefault="005C2070" w14:paraId="5CC5F836" w14:textId="77777777">
      <w:pPr>
        <w:widowControl/>
        <w:tabs>
          <w:tab w:val="left" w:pos="720"/>
        </w:tabs>
        <w:ind w:left="720"/>
        <w:rPr>
          <w:rFonts w:ascii="Arial" w:hAnsi="Arial" w:cs="Arial"/>
        </w:rPr>
      </w:pPr>
    </w:p>
    <w:p w:rsidRPr="00A272CE" w:rsidR="00497C9C" w:rsidP="00497C9C" w:rsidRDefault="00497C9C" w14:paraId="105B35E7" w14:textId="49EBA3C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D9215B" w:rsidP="00D71D69" w:rsidRDefault="003520C2" w14:paraId="162FA85A" w14:textId="4741FF4A">
      <w:pPr>
        <w:widowControl/>
        <w:tabs>
          <w:tab w:val="left" w:pos="720"/>
        </w:tabs>
        <w:ind w:left="720"/>
        <w:rPr>
          <w:rFonts w:ascii="Arial" w:hAnsi="Arial" w:cs="Arial"/>
        </w:rPr>
      </w:pPr>
      <w:r>
        <w:rPr>
          <w:rFonts w:ascii="Arial" w:hAnsi="Arial" w:cs="Arial"/>
        </w:rPr>
        <w:t>OSMRE</w:t>
      </w:r>
      <w:r w:rsidRPr="00A272CE" w:rsidR="009E0968">
        <w:rPr>
          <w:rFonts w:ascii="Arial" w:hAnsi="Arial" w:cs="Arial"/>
        </w:rPr>
        <w:t xml:space="preserve"> </w:t>
      </w:r>
      <w:r w:rsidR="00A66E96">
        <w:rPr>
          <w:rFonts w:ascii="Arial" w:hAnsi="Arial" w:cs="Arial"/>
        </w:rPr>
        <w:t xml:space="preserve">determined </w:t>
      </w:r>
      <w:r w:rsidRPr="00A272CE" w:rsidR="00D9215B">
        <w:rPr>
          <w:rFonts w:ascii="Arial" w:hAnsi="Arial" w:cs="Arial"/>
        </w:rPr>
        <w:t xml:space="preserve">that no State or Tribe has utilized its authority under </w:t>
      </w:r>
      <w:r w:rsidR="00D7759C">
        <w:rPr>
          <w:rFonts w:ascii="Arial" w:hAnsi="Arial" w:cs="Arial"/>
        </w:rPr>
        <w:t>P</w:t>
      </w:r>
      <w:r w:rsidRPr="00A272CE" w:rsidR="00D9215B">
        <w:rPr>
          <w:rFonts w:ascii="Arial" w:hAnsi="Arial" w:cs="Arial"/>
        </w:rPr>
        <w:t xml:space="preserve">art 882 in the past 3 years. </w:t>
      </w:r>
      <w:r w:rsidR="00D71D69">
        <w:rPr>
          <w:rFonts w:ascii="Arial" w:hAnsi="Arial" w:cs="Arial"/>
        </w:rPr>
        <w:t xml:space="preserve"> We previously </w:t>
      </w:r>
      <w:r w:rsidRPr="00A272CE" w:rsidR="00D9215B">
        <w:rPr>
          <w:rFonts w:ascii="Arial" w:hAnsi="Arial" w:cs="Arial"/>
        </w:rPr>
        <w:t xml:space="preserve">received </w:t>
      </w:r>
      <w:r w:rsidR="00D71D69">
        <w:rPr>
          <w:rFonts w:ascii="Arial" w:hAnsi="Arial" w:cs="Arial"/>
        </w:rPr>
        <w:t xml:space="preserve">estimated burden </w:t>
      </w:r>
      <w:r w:rsidR="00326084">
        <w:rPr>
          <w:rFonts w:ascii="Arial" w:hAnsi="Arial" w:cs="Arial"/>
        </w:rPr>
        <w:t xml:space="preserve">hours </w:t>
      </w:r>
      <w:r w:rsidRPr="00A272CE" w:rsidR="00D9215B">
        <w:rPr>
          <w:rFonts w:ascii="Arial" w:hAnsi="Arial" w:cs="Arial"/>
        </w:rPr>
        <w:t>from the State of Kentucky.</w:t>
      </w:r>
      <w:r w:rsidR="00D71D69">
        <w:rPr>
          <w:rFonts w:ascii="Arial" w:hAnsi="Arial" w:cs="Arial"/>
        </w:rPr>
        <w:t xml:space="preserve">  Th</w:t>
      </w:r>
      <w:r w:rsidR="00326084">
        <w:rPr>
          <w:rFonts w:ascii="Arial" w:hAnsi="Arial" w:cs="Arial"/>
        </w:rPr>
        <w:t xml:space="preserve">is </w:t>
      </w:r>
      <w:r w:rsidR="00D71D69">
        <w:rPr>
          <w:rFonts w:ascii="Arial" w:hAnsi="Arial" w:cs="Arial"/>
        </w:rPr>
        <w:t xml:space="preserve">contact </w:t>
      </w:r>
      <w:r w:rsidRPr="00A272CE" w:rsidR="00D71D69">
        <w:rPr>
          <w:rFonts w:ascii="Arial" w:hAnsi="Arial" w:cs="Arial"/>
        </w:rPr>
        <w:t>did not have any problems or concerns regarding the availability of data, frequency of the collection, clarity of instruction and record keeping of the information collection requirements imposed on the State (Kentucky) to prepare the letter/lien.</w:t>
      </w:r>
    </w:p>
    <w:p w:rsidRPr="00A272CE" w:rsidR="00D9215B" w:rsidP="009E0968" w:rsidRDefault="00D9215B" w14:paraId="3D5A3879" w14:textId="77777777">
      <w:pPr>
        <w:widowControl/>
        <w:ind w:left="720" w:hanging="720"/>
        <w:rPr>
          <w:rFonts w:ascii="Arial" w:hAnsi="Arial" w:cs="Arial"/>
        </w:rPr>
      </w:pPr>
    </w:p>
    <w:p w:rsidRPr="00A272CE" w:rsidR="000863D5" w:rsidP="009E0968" w:rsidRDefault="000863D5" w14:paraId="3790A8C2" w14:textId="77777777">
      <w:pPr>
        <w:widowControl/>
        <w:tabs>
          <w:tab w:val="left" w:pos="720"/>
        </w:tabs>
        <w:ind w:left="720"/>
        <w:rPr>
          <w:rFonts w:ascii="Arial" w:hAnsi="Arial" w:cs="Arial"/>
        </w:rPr>
      </w:pPr>
    </w:p>
    <w:p w:rsidRPr="00A272CE" w:rsidR="000863D5" w:rsidP="000863D5" w:rsidRDefault="000863D5" w14:paraId="43A6F969" w14:textId="0B5A304D">
      <w:pPr>
        <w:ind w:left="720" w:hanging="720"/>
        <w:rPr>
          <w:rFonts w:ascii="Arial" w:hAnsi="Arial" w:cs="Arial"/>
        </w:rPr>
      </w:pPr>
      <w:r w:rsidRPr="00A272CE">
        <w:rPr>
          <w:rFonts w:ascii="Arial" w:hAnsi="Arial" w:cs="Arial"/>
        </w:rPr>
        <w:tab/>
        <w:t xml:space="preserve">On </w:t>
      </w:r>
      <w:r w:rsidR="00D71D69">
        <w:rPr>
          <w:rFonts w:ascii="Arial" w:hAnsi="Arial" w:cs="Arial"/>
        </w:rPr>
        <w:t>May</w:t>
      </w:r>
      <w:r w:rsidR="00E57F59">
        <w:rPr>
          <w:rFonts w:ascii="Arial" w:hAnsi="Arial" w:cs="Arial"/>
        </w:rPr>
        <w:t xml:space="preserve"> </w:t>
      </w:r>
      <w:r w:rsidR="00D71D69">
        <w:rPr>
          <w:rFonts w:ascii="Arial" w:hAnsi="Arial" w:cs="Arial"/>
        </w:rPr>
        <w:t>28</w:t>
      </w:r>
      <w:r w:rsidRPr="00A272CE">
        <w:rPr>
          <w:rFonts w:ascii="Arial" w:hAnsi="Arial" w:cs="Arial"/>
        </w:rPr>
        <w:t>, 20</w:t>
      </w:r>
      <w:r w:rsidR="00D71D69">
        <w:rPr>
          <w:rFonts w:ascii="Arial" w:hAnsi="Arial" w:cs="Arial"/>
        </w:rPr>
        <w:t>2</w:t>
      </w:r>
      <w:r w:rsidRPr="00A272CE" w:rsidR="00D9215B">
        <w:rPr>
          <w:rFonts w:ascii="Arial" w:hAnsi="Arial" w:cs="Arial"/>
        </w:rPr>
        <w:t>1</w:t>
      </w:r>
      <w:r w:rsidRPr="00A272CE">
        <w:rPr>
          <w:rFonts w:ascii="Arial" w:hAnsi="Arial" w:cs="Arial"/>
        </w:rPr>
        <w:t xml:space="preserve">, </w:t>
      </w:r>
      <w:r w:rsidR="003520C2">
        <w:rPr>
          <w:rFonts w:ascii="Arial" w:hAnsi="Arial" w:cs="Arial"/>
        </w:rPr>
        <w:t>OSMRE</w:t>
      </w:r>
      <w:r w:rsidRPr="00A272CE">
        <w:rPr>
          <w:rFonts w:ascii="Arial" w:hAnsi="Arial" w:cs="Arial"/>
        </w:rPr>
        <w:t xml:space="preserve"> published in the </w:t>
      </w:r>
      <w:r w:rsidRPr="00A272CE">
        <w:rPr>
          <w:rFonts w:ascii="Arial" w:hAnsi="Arial" w:cs="Arial"/>
          <w:u w:val="single"/>
        </w:rPr>
        <w:t>Federal</w:t>
      </w:r>
      <w:r w:rsidRPr="00A272CE">
        <w:rPr>
          <w:rFonts w:ascii="Arial" w:hAnsi="Arial" w:cs="Arial"/>
        </w:rPr>
        <w:t xml:space="preserve"> </w:t>
      </w:r>
      <w:r w:rsidRPr="00A272CE">
        <w:rPr>
          <w:rFonts w:ascii="Arial" w:hAnsi="Arial" w:cs="Arial"/>
          <w:u w:val="single"/>
        </w:rPr>
        <w:t>Register</w:t>
      </w:r>
      <w:r w:rsidR="00783D63">
        <w:rPr>
          <w:rFonts w:ascii="Arial" w:hAnsi="Arial" w:cs="Arial"/>
        </w:rPr>
        <w:t xml:space="preserve"> (</w:t>
      </w:r>
      <w:r w:rsidR="00E57F59">
        <w:rPr>
          <w:rFonts w:ascii="Arial" w:hAnsi="Arial" w:cs="Arial"/>
        </w:rPr>
        <w:t>8</w:t>
      </w:r>
      <w:r w:rsidR="00D71D69">
        <w:rPr>
          <w:rFonts w:ascii="Arial" w:hAnsi="Arial" w:cs="Arial"/>
        </w:rPr>
        <w:t>6</w:t>
      </w:r>
      <w:r w:rsidRPr="00A272CE">
        <w:rPr>
          <w:rFonts w:ascii="Arial" w:hAnsi="Arial" w:cs="Arial"/>
        </w:rPr>
        <w:t xml:space="preserve"> FR </w:t>
      </w:r>
      <w:r w:rsidR="00D71D69">
        <w:rPr>
          <w:rFonts w:ascii="Arial" w:hAnsi="Arial" w:cs="Arial"/>
        </w:rPr>
        <w:t>28887</w:t>
      </w:r>
      <w:r w:rsidRPr="00A272CE">
        <w:rPr>
          <w:rFonts w:ascii="Arial" w:hAnsi="Arial"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A272CE" w:rsidR="009E0968" w:rsidP="009E0968" w:rsidRDefault="009E0968" w14:paraId="77BB104D" w14:textId="77777777">
      <w:pPr>
        <w:widowControl/>
        <w:tabs>
          <w:tab w:val="left" w:pos="720"/>
        </w:tabs>
        <w:ind w:left="720"/>
        <w:rPr>
          <w:rFonts w:ascii="Arial" w:hAnsi="Arial" w:cs="Arial"/>
        </w:rPr>
      </w:pPr>
    </w:p>
    <w:p w:rsidRPr="00A272CE" w:rsidR="00A73BB3" w:rsidP="00A73BB3" w:rsidRDefault="00A73BB3" w14:paraId="5E6D4E0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9.</w:t>
      </w:r>
      <w:r w:rsidRPr="00A272CE">
        <w:rPr>
          <w:rFonts w:ascii="Arial" w:hAnsi="Arial" w:cs="Arial"/>
          <w:i/>
        </w:rPr>
        <w:tab/>
        <w:t>Explain any decision to provide any payment or gift to respondents, other than remuneration of contractors or grantees.</w:t>
      </w:r>
    </w:p>
    <w:p w:rsidRPr="00A272CE" w:rsidR="009E0968" w:rsidP="00497C9C" w:rsidRDefault="009E0968" w14:paraId="2257970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9E0968" w:rsidP="009E0968" w:rsidRDefault="009E0968" w14:paraId="154A70CB" w14:textId="02C21B26">
      <w:pPr>
        <w:widowControl/>
        <w:ind w:left="720" w:hanging="720"/>
        <w:rPr>
          <w:rFonts w:ascii="Arial" w:hAnsi="Arial" w:cs="Arial"/>
        </w:rPr>
      </w:pPr>
      <w:r w:rsidRPr="00A272CE">
        <w:rPr>
          <w:rFonts w:ascii="Arial" w:hAnsi="Arial" w:cs="Arial"/>
        </w:rPr>
        <w:tab/>
        <w:t>No payments or gifts, other than reimbursements are made to respondents.</w:t>
      </w:r>
    </w:p>
    <w:p w:rsidRPr="00A272CE" w:rsidR="009E0968" w:rsidP="009E0968" w:rsidRDefault="009E0968" w14:paraId="63D5CF85" w14:textId="77777777">
      <w:pPr>
        <w:widowControl/>
        <w:tabs>
          <w:tab w:val="left" w:pos="1076"/>
        </w:tabs>
        <w:rPr>
          <w:rFonts w:ascii="Arial" w:hAnsi="Arial" w:cs="Arial"/>
        </w:rPr>
      </w:pPr>
    </w:p>
    <w:p w:rsidRPr="00A272CE" w:rsidR="00A73BB3" w:rsidP="00A73BB3" w:rsidRDefault="00A73BB3" w14:paraId="1C870E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10.</w:t>
      </w:r>
      <w:r w:rsidRPr="00A272CE">
        <w:rPr>
          <w:rFonts w:ascii="Arial" w:hAnsi="Arial" w:cs="Arial"/>
          <w:i/>
        </w:rPr>
        <w:tab/>
        <w:t>Describe any assurance of confidentiality provided to respondents and the basis for the assurance in statute, regulation, or agency policy.</w:t>
      </w:r>
    </w:p>
    <w:p w:rsidRPr="00A272CE" w:rsidR="00497C9C" w:rsidP="00497C9C" w:rsidRDefault="00497C9C" w14:paraId="0451FD3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9E0968" w:rsidP="009E0968" w:rsidRDefault="009E0968" w14:paraId="586B1086" w14:textId="77777777">
      <w:pPr>
        <w:widowControl/>
        <w:ind w:left="720" w:hanging="720"/>
        <w:rPr>
          <w:rFonts w:ascii="Arial" w:hAnsi="Arial" w:cs="Arial"/>
        </w:rPr>
      </w:pPr>
      <w:r w:rsidRPr="00A272CE">
        <w:rPr>
          <w:rFonts w:ascii="Arial" w:hAnsi="Arial" w:cs="Arial"/>
        </w:rPr>
        <w:tab/>
        <w:t xml:space="preserve">The information submitted does not contain confidential information.  Also, </w:t>
      </w:r>
      <w:r w:rsidRPr="00A272CE" w:rsidR="00D10CDB">
        <w:rPr>
          <w:rFonts w:ascii="Arial" w:hAnsi="Arial" w:cs="Arial"/>
        </w:rPr>
        <w:t>Abandoned Mine Land Reclamation (</w:t>
      </w:r>
      <w:r w:rsidRPr="00A272CE">
        <w:rPr>
          <w:rFonts w:ascii="Arial" w:hAnsi="Arial" w:cs="Arial"/>
        </w:rPr>
        <w:t>AMLR</w:t>
      </w:r>
      <w:r w:rsidRPr="00A272CE" w:rsidR="00D10CDB">
        <w:rPr>
          <w:rFonts w:ascii="Arial" w:hAnsi="Arial" w:cs="Arial"/>
        </w:rPr>
        <w:t>)</w:t>
      </w:r>
      <w:r w:rsidRPr="00A272CE">
        <w:rPr>
          <w:rFonts w:ascii="Arial" w:hAnsi="Arial" w:cs="Arial"/>
        </w:rPr>
        <w:t xml:space="preserve"> Plans and reclamation activities are required to be a matter of public record.</w:t>
      </w:r>
    </w:p>
    <w:p w:rsidRPr="00A272CE" w:rsidR="009E0968" w:rsidP="00497C9C" w:rsidRDefault="009E0968" w14:paraId="1E65C8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A73BB3" w:rsidP="00A73BB3" w:rsidRDefault="00A73BB3" w14:paraId="41D1B4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11.</w:t>
      </w:r>
      <w:r w:rsidRPr="00A272CE">
        <w:rPr>
          <w:rFonts w:ascii="Arial" w:hAnsi="Arial" w:cs="Arial"/>
          <w:i/>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w:t>
      </w:r>
      <w:r w:rsidRPr="00A272CE">
        <w:rPr>
          <w:rFonts w:ascii="Arial" w:hAnsi="Arial" w:cs="Arial"/>
          <w:i/>
        </w:rPr>
        <w:lastRenderedPageBreak/>
        <w:t>the information, the explanation to be given to persons from whom the information is requested, and any steps to be taken to obtain their consent.</w:t>
      </w:r>
    </w:p>
    <w:p w:rsidRPr="00A272CE" w:rsidR="009E0968" w:rsidP="009E0968" w:rsidRDefault="009E0968" w14:paraId="2502956F" w14:textId="77777777">
      <w:pPr>
        <w:widowControl/>
        <w:tabs>
          <w:tab w:val="left" w:pos="1076"/>
        </w:tabs>
        <w:ind w:left="1440"/>
        <w:rPr>
          <w:rFonts w:ascii="Arial" w:hAnsi="Arial" w:cs="Arial"/>
        </w:rPr>
      </w:pPr>
    </w:p>
    <w:p w:rsidRPr="00A272CE" w:rsidR="009E0968" w:rsidP="009E0968" w:rsidRDefault="009E0968" w14:paraId="6F2B77C5" w14:textId="584FA6E2">
      <w:pPr>
        <w:widowControl/>
        <w:tabs>
          <w:tab w:val="left" w:pos="1076"/>
        </w:tabs>
        <w:ind w:left="720"/>
        <w:rPr>
          <w:rFonts w:ascii="Arial" w:hAnsi="Arial" w:cs="Arial"/>
        </w:rPr>
      </w:pPr>
      <w:r w:rsidRPr="00A272CE">
        <w:rPr>
          <w:rFonts w:ascii="Arial" w:hAnsi="Arial" w:cs="Arial"/>
        </w:rPr>
        <w:t>No sensitive questions are asked.</w:t>
      </w:r>
    </w:p>
    <w:p w:rsidRPr="00A272CE" w:rsidR="009E0968" w:rsidP="00497C9C" w:rsidRDefault="009E0968" w14:paraId="719EC6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A73BB3" w:rsidP="00A73BB3" w:rsidRDefault="00A73BB3" w14:paraId="73308D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12.</w:t>
      </w:r>
      <w:r w:rsidRPr="00A272CE">
        <w:rPr>
          <w:rFonts w:ascii="Arial" w:hAnsi="Arial" w:cs="Arial"/>
          <w:i/>
        </w:rPr>
        <w:tab/>
        <w:t>Provide estimates of the hour burden of the collection of information.  The statement should:</w:t>
      </w:r>
    </w:p>
    <w:p w:rsidRPr="00A272CE" w:rsidR="00A73BB3" w:rsidP="00A73BB3" w:rsidRDefault="00A73BB3" w14:paraId="28B0A8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272CE" w:rsidR="00A73BB3" w:rsidP="00A73BB3" w:rsidRDefault="00A73BB3" w14:paraId="1C3100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If this request for approval covers more than one form, provide separate hour burden estimates for each </w:t>
      </w:r>
      <w:proofErr w:type="gramStart"/>
      <w:r w:rsidRPr="00A272CE">
        <w:rPr>
          <w:rFonts w:ascii="Arial" w:hAnsi="Arial" w:cs="Arial"/>
          <w:i/>
        </w:rPr>
        <w:t>form</w:t>
      </w:r>
      <w:proofErr w:type="gramEnd"/>
      <w:r w:rsidRPr="00A272CE">
        <w:rPr>
          <w:rFonts w:ascii="Arial" w:hAnsi="Arial" w:cs="Arial"/>
          <w:i/>
        </w:rPr>
        <w:t xml:space="preserve"> and aggregate the hour burdens.</w:t>
      </w:r>
    </w:p>
    <w:p w:rsidRPr="00A272CE" w:rsidR="00A73BB3" w:rsidP="00A73BB3" w:rsidRDefault="00A73BB3" w14:paraId="1EF47C8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A272CE" w:rsidR="00497C9C" w:rsidP="00497C9C" w:rsidRDefault="00497C9C" w14:paraId="245A85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C264A1" w:rsidP="00497C9C" w:rsidRDefault="00C264A1" w14:paraId="3FC961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u w:val="single"/>
        </w:rPr>
      </w:pPr>
      <w:r w:rsidRPr="00A272CE">
        <w:rPr>
          <w:rFonts w:ascii="Arial" w:hAnsi="Arial" w:cs="Arial"/>
        </w:rPr>
        <w:tab/>
        <w:t xml:space="preserve">a.  </w:t>
      </w:r>
      <w:r w:rsidRPr="00A272CE">
        <w:rPr>
          <w:rFonts w:ascii="Arial" w:hAnsi="Arial" w:cs="Arial"/>
        </w:rPr>
        <w:tab/>
      </w:r>
      <w:r w:rsidRPr="00A272CE">
        <w:rPr>
          <w:rFonts w:ascii="Arial" w:hAnsi="Arial" w:cs="Arial"/>
          <w:u w:val="single"/>
        </w:rPr>
        <w:t>Burden Hour Estimates for Respondents</w:t>
      </w:r>
    </w:p>
    <w:p w:rsidRPr="00A272CE" w:rsidR="00C264A1" w:rsidP="00497C9C" w:rsidRDefault="00C264A1" w14:paraId="2BB5F9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9E0968" w:rsidP="009E0968" w:rsidRDefault="009E0968" w14:paraId="7F2420EF" w14:textId="15240D6C">
      <w:pPr>
        <w:widowControl/>
        <w:ind w:left="720" w:hanging="360"/>
        <w:rPr>
          <w:rFonts w:ascii="Arial" w:hAnsi="Arial" w:cs="Arial"/>
        </w:rPr>
      </w:pPr>
      <w:r w:rsidRPr="00A272CE">
        <w:rPr>
          <w:rFonts w:ascii="Arial" w:hAnsi="Arial" w:cs="Arial"/>
        </w:rPr>
        <w:tab/>
      </w:r>
      <w:r w:rsidRPr="00A272CE" w:rsidR="00326084">
        <w:rPr>
          <w:rFonts w:ascii="Arial" w:hAnsi="Arial" w:cs="Arial"/>
        </w:rPr>
        <w:t xml:space="preserve">States and Indian Tribes </w:t>
      </w:r>
      <w:r w:rsidR="00326084">
        <w:rPr>
          <w:rFonts w:ascii="Arial" w:hAnsi="Arial" w:cs="Arial"/>
        </w:rPr>
        <w:t xml:space="preserve">infrequently </w:t>
      </w:r>
      <w:r w:rsidRPr="00A272CE" w:rsidR="00326084">
        <w:rPr>
          <w:rFonts w:ascii="Arial" w:hAnsi="Arial" w:cs="Arial"/>
        </w:rPr>
        <w:t>use their authority to file liens on private property</w:t>
      </w:r>
      <w:r w:rsidR="00326084">
        <w:rPr>
          <w:rFonts w:ascii="Arial" w:hAnsi="Arial" w:cs="Arial"/>
        </w:rPr>
        <w:t xml:space="preserve">. </w:t>
      </w:r>
      <w:proofErr w:type="gramStart"/>
      <w:r w:rsidR="00326084">
        <w:rPr>
          <w:rFonts w:ascii="Arial" w:hAnsi="Arial" w:cs="Arial"/>
        </w:rPr>
        <w:t>F</w:t>
      </w:r>
      <w:r w:rsidRPr="00A272CE" w:rsidR="00326084">
        <w:rPr>
          <w:rFonts w:ascii="Arial" w:hAnsi="Arial" w:cs="Arial"/>
        </w:rPr>
        <w:t>or the purpose of</w:t>
      </w:r>
      <w:proofErr w:type="gramEnd"/>
      <w:r w:rsidRPr="00A272CE" w:rsidR="00326084">
        <w:rPr>
          <w:rFonts w:ascii="Arial" w:hAnsi="Arial" w:cs="Arial"/>
        </w:rPr>
        <w:t xml:space="preserve"> this </w:t>
      </w:r>
      <w:r w:rsidR="00326084">
        <w:rPr>
          <w:rFonts w:ascii="Arial" w:hAnsi="Arial" w:cs="Arial"/>
        </w:rPr>
        <w:t>renewal,</w:t>
      </w:r>
      <w:r w:rsidRPr="00A272CE" w:rsidR="00326084">
        <w:rPr>
          <w:rFonts w:ascii="Arial" w:hAnsi="Arial" w:cs="Arial"/>
        </w:rPr>
        <w:t xml:space="preserve"> w</w:t>
      </w:r>
      <w:r w:rsidR="00326084">
        <w:rPr>
          <w:rFonts w:ascii="Arial" w:hAnsi="Arial" w:cs="Arial"/>
        </w:rPr>
        <w:t>e</w:t>
      </w:r>
      <w:r w:rsidRPr="00A272CE" w:rsidR="00326084">
        <w:rPr>
          <w:rFonts w:ascii="Arial" w:hAnsi="Arial" w:cs="Arial"/>
        </w:rPr>
        <w:t xml:space="preserve"> assume that one is filed each year</w:t>
      </w:r>
      <w:r w:rsidR="00326084">
        <w:rPr>
          <w:rFonts w:ascii="Arial" w:hAnsi="Arial" w:cs="Arial"/>
        </w:rPr>
        <w:t>.</w:t>
      </w:r>
      <w:r w:rsidRPr="00A272CE" w:rsidR="00326084">
        <w:rPr>
          <w:rFonts w:ascii="Arial" w:hAnsi="Arial" w:cs="Arial"/>
        </w:rPr>
        <w:t xml:space="preserve"> </w:t>
      </w:r>
      <w:r w:rsidRPr="00A272CE">
        <w:rPr>
          <w:rFonts w:ascii="Arial" w:hAnsi="Arial" w:cs="Arial"/>
        </w:rPr>
        <w:t xml:space="preserve">The State of Kentucky filed </w:t>
      </w:r>
      <w:r w:rsidR="00326084">
        <w:rPr>
          <w:rFonts w:ascii="Arial" w:hAnsi="Arial" w:cs="Arial"/>
        </w:rPr>
        <w:t xml:space="preserve">the last </w:t>
      </w:r>
      <w:r w:rsidRPr="00A272CE">
        <w:rPr>
          <w:rFonts w:ascii="Arial" w:hAnsi="Arial" w:cs="Arial"/>
        </w:rPr>
        <w:t>lien estimat</w:t>
      </w:r>
      <w:r w:rsidR="00326084">
        <w:rPr>
          <w:rFonts w:ascii="Arial" w:hAnsi="Arial" w:cs="Arial"/>
        </w:rPr>
        <w:t xml:space="preserve">ing </w:t>
      </w:r>
      <w:r w:rsidRPr="00A272CE">
        <w:rPr>
          <w:rFonts w:ascii="Arial" w:hAnsi="Arial" w:cs="Arial"/>
        </w:rPr>
        <w:t>that it required 12</w:t>
      </w:r>
      <w:r w:rsidRPr="00A272CE" w:rsidR="00A73BB3">
        <w:rPr>
          <w:rFonts w:ascii="Arial" w:hAnsi="Arial" w:cs="Arial"/>
        </w:rPr>
        <w:t xml:space="preserve">0 hours </w:t>
      </w:r>
      <w:r w:rsidRPr="00A272CE">
        <w:rPr>
          <w:rFonts w:ascii="Arial" w:hAnsi="Arial" w:cs="Arial"/>
        </w:rPr>
        <w:t>to gather the data for the pre-reclamation and post-reclamation travel, appraisals</w:t>
      </w:r>
      <w:r w:rsidRPr="00A272CE" w:rsidR="00A73BB3">
        <w:rPr>
          <w:rFonts w:ascii="Arial" w:hAnsi="Arial" w:cs="Arial"/>
        </w:rPr>
        <w:t xml:space="preserve">, and have a </w:t>
      </w:r>
      <w:r w:rsidRPr="00A272CE">
        <w:rPr>
          <w:rFonts w:ascii="Arial" w:hAnsi="Arial" w:cs="Arial"/>
        </w:rPr>
        <w:t xml:space="preserve">Cabinet attorney draft and file the lien.   </w:t>
      </w:r>
    </w:p>
    <w:p w:rsidRPr="00A272CE" w:rsidR="009E0968" w:rsidP="009E0968" w:rsidRDefault="009E0968" w14:paraId="281073E0" w14:textId="77777777">
      <w:pPr>
        <w:widowControl/>
        <w:tabs>
          <w:tab w:val="left" w:pos="1076"/>
        </w:tabs>
        <w:ind w:left="1076" w:hanging="716"/>
        <w:rPr>
          <w:rFonts w:ascii="Arial" w:hAnsi="Arial" w:cs="Arial"/>
        </w:rPr>
      </w:pPr>
    </w:p>
    <w:p w:rsidRPr="00A272CE" w:rsidR="009E0968" w:rsidP="009E0968" w:rsidRDefault="009E0968" w14:paraId="1A3A2661" w14:textId="50BED17B">
      <w:pPr>
        <w:widowControl/>
        <w:ind w:left="720" w:hanging="360"/>
        <w:rPr>
          <w:rFonts w:ascii="Arial" w:hAnsi="Arial" w:cs="Arial"/>
        </w:rPr>
      </w:pPr>
      <w:r w:rsidRPr="00A272CE">
        <w:rPr>
          <w:rFonts w:ascii="Arial" w:hAnsi="Arial" w:cs="Arial"/>
        </w:rPr>
        <w:tab/>
        <w:t>.</w:t>
      </w:r>
    </w:p>
    <w:p w:rsidR="00927559" w:rsidP="00C264A1" w:rsidRDefault="00927559" w14:paraId="5D6A78B4" w14:textId="77777777">
      <w:pPr>
        <w:ind w:left="720"/>
        <w:rPr>
          <w:rFonts w:ascii="Arial" w:hAnsi="Arial" w:cs="Arial"/>
        </w:rPr>
      </w:pPr>
    </w:p>
    <w:p w:rsidRPr="00A272CE" w:rsidR="00C264A1" w:rsidP="00C264A1" w:rsidRDefault="00C264A1" w14:paraId="43DF0E16" w14:textId="77777777">
      <w:pPr>
        <w:ind w:left="720"/>
        <w:rPr>
          <w:rFonts w:ascii="Arial" w:hAnsi="Arial" w:cs="Arial"/>
        </w:rPr>
      </w:pPr>
      <w:r w:rsidRPr="00A272CE">
        <w:rPr>
          <w:rFonts w:ascii="Arial" w:hAnsi="Arial" w:cs="Arial"/>
        </w:rPr>
        <w:t xml:space="preserve">b.  </w:t>
      </w:r>
      <w:r w:rsidRPr="00A272CE">
        <w:rPr>
          <w:rFonts w:ascii="Arial" w:hAnsi="Arial" w:cs="Arial"/>
        </w:rPr>
        <w:tab/>
      </w:r>
      <w:r w:rsidRPr="00A272CE">
        <w:rPr>
          <w:rFonts w:ascii="Arial" w:hAnsi="Arial" w:cs="Arial"/>
          <w:u w:val="single"/>
        </w:rPr>
        <w:t>Estimated Wage Cost to Respondents</w:t>
      </w:r>
    </w:p>
    <w:p w:rsidRPr="00A272CE" w:rsidR="00C264A1" w:rsidP="00C264A1" w:rsidRDefault="00C264A1" w14:paraId="5F2C3A55" w14:textId="77777777">
      <w:pPr>
        <w:ind w:left="720" w:hanging="720"/>
        <w:rPr>
          <w:rFonts w:ascii="Arial" w:hAnsi="Arial" w:cs="Arial"/>
        </w:rPr>
      </w:pPr>
    </w:p>
    <w:p w:rsidRPr="00A272CE" w:rsidR="00AE17A5" w:rsidP="00AE17A5" w:rsidRDefault="00AE17A5" w14:paraId="3EC6AEA3" w14:textId="78D5802F">
      <w:pPr>
        <w:tabs>
          <w:tab w:val="left" w:pos="-1440"/>
        </w:tabs>
        <w:ind w:left="720" w:hanging="720"/>
        <w:rPr>
          <w:rFonts w:ascii="Arial" w:hAnsi="Arial" w:cs="Arial"/>
        </w:rPr>
      </w:pPr>
      <w:r w:rsidRPr="00A272CE">
        <w:rPr>
          <w:rFonts w:ascii="Arial" w:hAnsi="Arial" w:cs="Arial"/>
        </w:rPr>
        <w:tab/>
        <w:t xml:space="preserve">The following wage costs were estimated by </w:t>
      </w:r>
      <w:r w:rsidR="003520C2">
        <w:rPr>
          <w:rFonts w:ascii="Arial" w:hAnsi="Arial" w:cs="Arial"/>
        </w:rPr>
        <w:t>OSMRE</w:t>
      </w:r>
      <w:r w:rsidRPr="00A272CE">
        <w:rPr>
          <w:rFonts w:ascii="Arial" w:hAnsi="Arial" w:cs="Arial"/>
        </w:rPr>
        <w:t xml:space="preserve"> to complete this collection requirement. </w:t>
      </w:r>
      <w:r w:rsidRPr="005C2070" w:rsidR="005C2070">
        <w:rPr>
          <w:rFonts w:ascii="Arial" w:hAnsi="Arial" w:cs="Arial"/>
        </w:rPr>
        <w:t xml:space="preserve">OSMRE estimates </w:t>
      </w:r>
      <w:r w:rsidR="005C2070">
        <w:rPr>
          <w:rFonts w:ascii="Arial" w:hAnsi="Arial" w:cs="Arial"/>
        </w:rPr>
        <w:t xml:space="preserve">staff hours and wage rate for </w:t>
      </w:r>
      <w:r w:rsidRPr="005C2070" w:rsidR="005C2070">
        <w:rPr>
          <w:rFonts w:ascii="Arial" w:hAnsi="Arial" w:cs="Arial"/>
        </w:rPr>
        <w:t>State employee</w:t>
      </w:r>
      <w:r w:rsidR="005C2070">
        <w:rPr>
          <w:rFonts w:ascii="Arial" w:hAnsi="Arial" w:cs="Arial"/>
        </w:rPr>
        <w:t xml:space="preserve">s including administrative support, real estate assessor, mining engineer, manager, and attorney </w:t>
      </w:r>
      <w:r w:rsidRPr="005C2070" w:rsidR="005C2070">
        <w:rPr>
          <w:rFonts w:ascii="Arial" w:hAnsi="Arial" w:cs="Arial"/>
        </w:rPr>
        <w:t xml:space="preserve">based on Bureau of Labor Statistics (BLS) estimates found at </w:t>
      </w:r>
      <w:r w:rsidRPr="005C2070" w:rsidR="005C2070">
        <w:rPr>
          <w:rFonts w:ascii="Arial" w:hAnsi="Arial" w:cs="Arial"/>
        </w:rPr>
        <w:br/>
        <w:t xml:space="preserve">State government occupation wages are found at </w:t>
      </w:r>
      <w:hyperlink w:history="1" r:id="rId7">
        <w:r w:rsidRPr="005C2070" w:rsidR="005C2070">
          <w:rPr>
            <w:rStyle w:val="Hyperlink"/>
            <w:rFonts w:ascii="Arial" w:hAnsi="Arial" w:cs="Arial"/>
          </w:rPr>
          <w:t>http://www.bls.gov/oes/current/naics4_999200.htm</w:t>
        </w:r>
      </w:hyperlink>
      <w:r w:rsidRPr="005C2070" w:rsidR="005C2070">
        <w:rPr>
          <w:rFonts w:ascii="Arial" w:hAnsi="Arial" w:cs="Arial"/>
        </w:rPr>
        <w:t xml:space="preserve">.  </w:t>
      </w:r>
      <w:r w:rsidRPr="005C2070" w:rsidR="005C2070">
        <w:rPr>
          <w:rFonts w:ascii="Arial" w:hAnsi="Arial" w:cs="Arial"/>
        </w:rPr>
        <w:br/>
        <w:t xml:space="preserve">With benefits at a rate of 1.6 for state government employees </w:t>
      </w:r>
      <w:bookmarkStart w:name="_Hlk81568260" w:id="0"/>
      <w:r w:rsidRPr="005C2070" w:rsidR="005C2070">
        <w:rPr>
          <w:rFonts w:ascii="Arial" w:hAnsi="Arial" w:cs="Arial"/>
        </w:rPr>
        <w:t xml:space="preserve">a rate of $98.02 is calculated.   This is based on BLS news release </w:t>
      </w:r>
      <w:bookmarkStart w:name="_Hlk78549508" w:id="1"/>
      <w:r w:rsidRPr="005C2070" w:rsidR="005C2070">
        <w:rPr>
          <w:rFonts w:ascii="Arial" w:hAnsi="Arial" w:cs="Arial"/>
        </w:rPr>
        <w:t>USDL-21-1094</w:t>
      </w:r>
      <w:bookmarkEnd w:id="1"/>
      <w:r w:rsidRPr="005C2070" w:rsidR="005C2070">
        <w:rPr>
          <w:rFonts w:ascii="Arial" w:hAnsi="Arial" w:cs="Arial"/>
        </w:rPr>
        <w:t xml:space="preserve">, dated June 17, 2021, Employer Costs for Employee Compensation – March 2021 </w:t>
      </w:r>
      <w:r w:rsidRPr="005C2070" w:rsidR="005C2070">
        <w:rPr>
          <w:rFonts w:ascii="Arial" w:hAnsi="Arial" w:cs="Arial"/>
        </w:rPr>
        <w:lastRenderedPageBreak/>
        <w:t>(</w:t>
      </w:r>
      <w:hyperlink w:history="1" r:id="rId8">
        <w:r w:rsidRPr="005C2070" w:rsidR="005C2070">
          <w:rPr>
            <w:rStyle w:val="Hyperlink"/>
            <w:rFonts w:ascii="Arial" w:hAnsi="Arial" w:cs="Arial"/>
          </w:rPr>
          <w:t>http://www.bls.gov/news.release/pdf/ecec.pdf</w:t>
        </w:r>
      </w:hyperlink>
      <w:r w:rsidRPr="005C2070" w:rsidR="005C2070">
        <w:rPr>
          <w:rFonts w:ascii="Arial" w:hAnsi="Arial" w:cs="Arial"/>
        </w:rPr>
        <w:t xml:space="preserve">). </w:t>
      </w:r>
      <w:r w:rsidRPr="005C2070" w:rsidR="005C2070">
        <w:rPr>
          <w:rFonts w:ascii="Arial" w:hAnsi="Arial" w:cs="Arial"/>
        </w:rPr>
        <w:br/>
      </w:r>
      <w:bookmarkEnd w:id="0"/>
      <w:r w:rsidR="00326084">
        <w:rPr>
          <w:rFonts w:ascii="Arial" w:hAnsi="Arial" w:cs="Arial"/>
        </w:rPr>
        <w:br/>
      </w:r>
      <w:r w:rsidR="00326084">
        <w:rPr>
          <w:rFonts w:ascii="Arial" w:hAnsi="Arial" w:cs="Arial"/>
        </w:rPr>
        <w:br/>
      </w:r>
      <w:r w:rsidR="00326084">
        <w:rPr>
          <w:rFonts w:ascii="Arial" w:hAnsi="Arial" w:cs="Arial"/>
        </w:rPr>
        <w:br/>
      </w:r>
      <w:r w:rsidR="002D0EE1">
        <w:rPr>
          <w:rFonts w:ascii="Arial" w:hAnsi="Arial" w:cs="Arial"/>
        </w:rPr>
        <w:t xml:space="preserve">Accordingly, total wage cost for all state workers amounts to </w:t>
      </w:r>
      <w:r w:rsidRPr="006C5D68" w:rsidR="002D0EE1">
        <w:rPr>
          <w:rFonts w:ascii="Arial" w:hAnsi="Arial" w:cs="Arial"/>
          <w:b/>
          <w:bCs/>
          <w:color w:val="000000" w:themeColor="text1"/>
        </w:rPr>
        <w:t>$9,649</w:t>
      </w:r>
      <w:r w:rsidRPr="002D0EE1" w:rsidR="002D0EE1">
        <w:rPr>
          <w:rFonts w:ascii="Arial" w:hAnsi="Arial" w:cs="Arial"/>
          <w:color w:val="000000" w:themeColor="text1"/>
        </w:rPr>
        <w:t xml:space="preserve"> </w:t>
      </w:r>
      <w:r w:rsidR="002D0EE1">
        <w:rPr>
          <w:rFonts w:ascii="Arial" w:hAnsi="Arial" w:cs="Arial"/>
        </w:rPr>
        <w:t xml:space="preserve">(120 hours x $80.41/hour average).  </w:t>
      </w:r>
      <w:r w:rsidR="00326084">
        <w:rPr>
          <w:rFonts w:ascii="Arial" w:hAnsi="Arial" w:cs="Arial"/>
        </w:rPr>
        <w:br/>
      </w:r>
      <w:r w:rsidR="00326084">
        <w:rPr>
          <w:rFonts w:ascii="Arial" w:hAnsi="Arial" w:cs="Arial"/>
        </w:rPr>
        <w:br/>
      </w:r>
      <w:r w:rsidR="00326084">
        <w:rPr>
          <w:rFonts w:ascii="Arial" w:hAnsi="Arial" w:cs="Arial"/>
        </w:rPr>
        <w:br/>
      </w:r>
      <w:r w:rsidR="00326084">
        <w:rPr>
          <w:rFonts w:ascii="Arial" w:hAnsi="Arial" w:cs="Arial"/>
        </w:rPr>
        <w:br/>
      </w:r>
    </w:p>
    <w:p w:rsidRPr="00A272CE" w:rsidR="00D10CDB" w:rsidP="00AE17A5" w:rsidRDefault="00D10CDB" w14:paraId="6726824C" w14:textId="77777777">
      <w:pPr>
        <w:pStyle w:val="BodyTextIndent"/>
        <w:ind w:hanging="720"/>
        <w:rPr>
          <w:rFonts w:ascii="Arial" w:hAnsi="Arial" w:cs="Arial"/>
        </w:rPr>
      </w:pPr>
    </w:p>
    <w:p w:rsidRPr="00A272CE" w:rsidR="00AE17A5" w:rsidP="00AE17A5" w:rsidRDefault="00AE17A5" w14:paraId="4B618AB4" w14:textId="77777777">
      <w:pPr>
        <w:pStyle w:val="BodyTextIndent"/>
        <w:ind w:hanging="720"/>
        <w:jc w:val="center"/>
        <w:rPr>
          <w:rFonts w:ascii="Arial" w:hAnsi="Arial" w:cs="Arial"/>
        </w:rPr>
      </w:pPr>
      <w:r w:rsidRPr="00A272CE">
        <w:rPr>
          <w:rFonts w:ascii="Arial" w:hAnsi="Arial" w:cs="Arial"/>
        </w:rPr>
        <w:t>Industry Wage Cost</w:t>
      </w:r>
    </w:p>
    <w:p w:rsidR="00B61033" w:rsidP="00916013" w:rsidRDefault="00AE17A5" w14:paraId="311F5E82" w14:textId="77777777">
      <w:pPr>
        <w:widowControl/>
        <w:ind w:left="720" w:hanging="720"/>
        <w:rPr>
          <w:rFonts w:ascii="Arial" w:hAnsi="Arial" w:cs="Arial"/>
        </w:rPr>
      </w:pPr>
      <w:r w:rsidRPr="00A272CE">
        <w:rPr>
          <w:rFonts w:ascii="Arial" w:hAnsi="Arial" w:cs="Arial"/>
        </w:rPr>
        <w:t xml:space="preserve">  </w:t>
      </w:r>
      <w:r w:rsidRPr="00A272CE" w:rsidR="00916013">
        <w:rPr>
          <w:rFonts w:ascii="Arial" w:hAnsi="Arial" w:cs="Arial"/>
        </w:rPr>
        <w:tab/>
      </w:r>
    </w:p>
    <w:tbl>
      <w:tblPr>
        <w:tblW w:w="10220" w:type="dxa"/>
        <w:tblLook w:val="04A0" w:firstRow="1" w:lastRow="0" w:firstColumn="1" w:lastColumn="0" w:noHBand="0" w:noVBand="1"/>
      </w:tblPr>
      <w:tblGrid>
        <w:gridCol w:w="2660"/>
        <w:gridCol w:w="1380"/>
        <w:gridCol w:w="1840"/>
        <w:gridCol w:w="2360"/>
        <w:gridCol w:w="1980"/>
      </w:tblGrid>
      <w:tr w:rsidRPr="002D0EE1" w:rsidR="002D0EE1" w:rsidTr="002D0EE1" w14:paraId="7101D0DF" w14:textId="77777777">
        <w:trPr>
          <w:trHeight w:val="630"/>
        </w:trPr>
        <w:tc>
          <w:tcPr>
            <w:tcW w:w="26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2D0EE1" w:rsidR="002D0EE1" w:rsidP="002D0EE1" w:rsidRDefault="002D0EE1" w14:paraId="3C873100" w14:textId="77777777">
            <w:pPr>
              <w:widowControl/>
              <w:autoSpaceDE/>
              <w:autoSpaceDN/>
              <w:adjustRightInd/>
              <w:jc w:val="center"/>
              <w:rPr>
                <w:rFonts w:ascii="Arial" w:hAnsi="Arial" w:cs="Arial"/>
                <w:color w:val="000000"/>
              </w:rPr>
            </w:pPr>
            <w:r w:rsidRPr="002D0EE1">
              <w:rPr>
                <w:rFonts w:ascii="Arial" w:hAnsi="Arial" w:cs="Arial"/>
                <w:color w:val="000000"/>
              </w:rPr>
              <w:t>Occupation</w:t>
            </w:r>
          </w:p>
        </w:tc>
        <w:tc>
          <w:tcPr>
            <w:tcW w:w="1380" w:type="dxa"/>
            <w:tcBorders>
              <w:top w:val="single" w:color="auto" w:sz="8" w:space="0"/>
              <w:left w:val="nil"/>
              <w:bottom w:val="single" w:color="auto" w:sz="8" w:space="0"/>
              <w:right w:val="single" w:color="auto" w:sz="8" w:space="0"/>
            </w:tcBorders>
            <w:shd w:val="clear" w:color="auto" w:fill="auto"/>
            <w:vAlign w:val="center"/>
            <w:hideMark/>
          </w:tcPr>
          <w:p w:rsidRPr="002D0EE1" w:rsidR="002D0EE1" w:rsidP="002D0EE1" w:rsidRDefault="002D0EE1" w14:paraId="296FAFE8" w14:textId="77777777">
            <w:pPr>
              <w:widowControl/>
              <w:autoSpaceDE/>
              <w:autoSpaceDN/>
              <w:adjustRightInd/>
              <w:jc w:val="center"/>
              <w:rPr>
                <w:rFonts w:ascii="Arial" w:hAnsi="Arial" w:cs="Arial"/>
                <w:color w:val="000000"/>
              </w:rPr>
            </w:pPr>
            <w:r w:rsidRPr="002D0EE1">
              <w:rPr>
                <w:rFonts w:ascii="Arial" w:hAnsi="Arial" w:cs="Arial"/>
                <w:color w:val="000000"/>
              </w:rPr>
              <w:t>Hour per response</w:t>
            </w:r>
          </w:p>
        </w:tc>
        <w:tc>
          <w:tcPr>
            <w:tcW w:w="1840" w:type="dxa"/>
            <w:tcBorders>
              <w:top w:val="single" w:color="auto" w:sz="8" w:space="0"/>
              <w:left w:val="nil"/>
              <w:bottom w:val="single" w:color="auto" w:sz="8" w:space="0"/>
              <w:right w:val="single" w:color="auto" w:sz="8" w:space="0"/>
            </w:tcBorders>
            <w:shd w:val="clear" w:color="auto" w:fill="auto"/>
            <w:vAlign w:val="center"/>
            <w:hideMark/>
          </w:tcPr>
          <w:p w:rsidRPr="002D0EE1" w:rsidR="002D0EE1" w:rsidP="002D0EE1" w:rsidRDefault="002D0EE1" w14:paraId="3CBC2821" w14:textId="77777777">
            <w:pPr>
              <w:widowControl/>
              <w:autoSpaceDE/>
              <w:autoSpaceDN/>
              <w:adjustRightInd/>
              <w:jc w:val="center"/>
              <w:rPr>
                <w:rFonts w:ascii="Arial" w:hAnsi="Arial" w:cs="Arial"/>
                <w:color w:val="000000"/>
              </w:rPr>
            </w:pPr>
            <w:r w:rsidRPr="002D0EE1">
              <w:rPr>
                <w:rFonts w:ascii="Arial" w:hAnsi="Arial" w:cs="Arial"/>
                <w:color w:val="000000"/>
              </w:rPr>
              <w:t>BLS Wage ($)</w:t>
            </w:r>
          </w:p>
        </w:tc>
        <w:tc>
          <w:tcPr>
            <w:tcW w:w="2360" w:type="dxa"/>
            <w:tcBorders>
              <w:top w:val="single" w:color="auto" w:sz="8" w:space="0"/>
              <w:left w:val="nil"/>
              <w:bottom w:val="single" w:color="auto" w:sz="8" w:space="0"/>
              <w:right w:val="single" w:color="auto" w:sz="8" w:space="0"/>
            </w:tcBorders>
            <w:shd w:val="clear" w:color="auto" w:fill="auto"/>
            <w:vAlign w:val="center"/>
            <w:hideMark/>
          </w:tcPr>
          <w:p w:rsidRPr="002D0EE1" w:rsidR="002D0EE1" w:rsidP="002D0EE1" w:rsidRDefault="002D0EE1" w14:paraId="195C5375" w14:textId="77777777">
            <w:pPr>
              <w:widowControl/>
              <w:autoSpaceDE/>
              <w:autoSpaceDN/>
              <w:adjustRightInd/>
              <w:jc w:val="center"/>
              <w:rPr>
                <w:rFonts w:ascii="Arial" w:hAnsi="Arial" w:cs="Arial"/>
                <w:color w:val="000000"/>
              </w:rPr>
            </w:pPr>
            <w:r w:rsidRPr="002D0EE1">
              <w:rPr>
                <w:rFonts w:ascii="Arial" w:hAnsi="Arial" w:cs="Arial"/>
                <w:color w:val="000000"/>
              </w:rPr>
              <w:t>Hourly Rate including benefits (1.6)</w:t>
            </w:r>
          </w:p>
        </w:tc>
        <w:tc>
          <w:tcPr>
            <w:tcW w:w="1980" w:type="dxa"/>
            <w:tcBorders>
              <w:top w:val="single" w:color="auto" w:sz="8" w:space="0"/>
              <w:left w:val="nil"/>
              <w:bottom w:val="single" w:color="auto" w:sz="8" w:space="0"/>
              <w:right w:val="single" w:color="auto" w:sz="8" w:space="0"/>
            </w:tcBorders>
            <w:shd w:val="clear" w:color="auto" w:fill="auto"/>
            <w:vAlign w:val="center"/>
            <w:hideMark/>
          </w:tcPr>
          <w:p w:rsidRPr="002D0EE1" w:rsidR="002D0EE1" w:rsidP="002D0EE1" w:rsidRDefault="002D0EE1" w14:paraId="05FA5E57" w14:textId="77777777">
            <w:pPr>
              <w:widowControl/>
              <w:autoSpaceDE/>
              <w:autoSpaceDN/>
              <w:adjustRightInd/>
              <w:jc w:val="center"/>
              <w:rPr>
                <w:rFonts w:ascii="Arial" w:hAnsi="Arial" w:cs="Arial"/>
                <w:color w:val="000000"/>
              </w:rPr>
            </w:pPr>
            <w:r w:rsidRPr="002D0EE1">
              <w:rPr>
                <w:rFonts w:ascii="Arial" w:hAnsi="Arial" w:cs="Arial"/>
                <w:color w:val="000000"/>
              </w:rPr>
              <w:t xml:space="preserve">Total Wage Burden ($) </w:t>
            </w:r>
          </w:p>
        </w:tc>
      </w:tr>
      <w:tr w:rsidRPr="002D0EE1" w:rsidR="002D0EE1" w:rsidTr="002D0EE1" w14:paraId="28A70756" w14:textId="77777777">
        <w:trPr>
          <w:trHeight w:val="580"/>
        </w:trPr>
        <w:tc>
          <w:tcPr>
            <w:tcW w:w="2660" w:type="dxa"/>
            <w:tcBorders>
              <w:top w:val="nil"/>
              <w:left w:val="single" w:color="auto" w:sz="8" w:space="0"/>
              <w:bottom w:val="single" w:color="auto" w:sz="8" w:space="0"/>
              <w:right w:val="single" w:color="auto" w:sz="8" w:space="0"/>
            </w:tcBorders>
            <w:shd w:val="clear" w:color="auto" w:fill="auto"/>
            <w:vAlign w:val="center"/>
            <w:hideMark/>
          </w:tcPr>
          <w:p w:rsidRPr="002D0EE1" w:rsidR="002D0EE1" w:rsidP="002D0EE1" w:rsidRDefault="002D0EE1" w14:paraId="6DB6EDB9" w14:textId="77777777">
            <w:pPr>
              <w:widowControl/>
              <w:autoSpaceDE/>
              <w:autoSpaceDN/>
              <w:adjustRightInd/>
              <w:rPr>
                <w:rFonts w:ascii="Arial" w:hAnsi="Arial" w:cs="Arial"/>
                <w:color w:val="000000"/>
              </w:rPr>
            </w:pPr>
            <w:r w:rsidRPr="002D0EE1">
              <w:rPr>
                <w:rFonts w:ascii="Arial" w:hAnsi="Arial" w:cs="Arial"/>
                <w:color w:val="000000"/>
              </w:rPr>
              <w:t>Administrative assistant</w:t>
            </w:r>
          </w:p>
        </w:tc>
        <w:tc>
          <w:tcPr>
            <w:tcW w:w="13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1DCAD602" w14:textId="77777777">
            <w:pPr>
              <w:widowControl/>
              <w:autoSpaceDE/>
              <w:autoSpaceDN/>
              <w:adjustRightInd/>
              <w:jc w:val="center"/>
              <w:rPr>
                <w:rFonts w:ascii="Arial" w:hAnsi="Arial" w:cs="Arial"/>
                <w:color w:val="000000"/>
              </w:rPr>
            </w:pPr>
            <w:r w:rsidRPr="002D0EE1">
              <w:rPr>
                <w:rFonts w:ascii="Arial" w:hAnsi="Arial" w:cs="Arial"/>
                <w:color w:val="000000"/>
              </w:rPr>
              <w:t>8</w:t>
            </w:r>
          </w:p>
        </w:tc>
        <w:tc>
          <w:tcPr>
            <w:tcW w:w="184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0980D1B0" w14:textId="77777777">
            <w:pPr>
              <w:widowControl/>
              <w:autoSpaceDE/>
              <w:autoSpaceDN/>
              <w:adjustRightInd/>
              <w:jc w:val="center"/>
              <w:rPr>
                <w:rFonts w:ascii="Arial" w:hAnsi="Arial" w:cs="Arial"/>
                <w:color w:val="000000"/>
              </w:rPr>
            </w:pPr>
            <w:r w:rsidRPr="002D0EE1">
              <w:rPr>
                <w:rFonts w:ascii="Arial" w:hAnsi="Arial" w:cs="Arial"/>
                <w:color w:val="000000"/>
              </w:rPr>
              <w:t>21.90</w:t>
            </w:r>
          </w:p>
        </w:tc>
        <w:tc>
          <w:tcPr>
            <w:tcW w:w="236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2DF900F0" w14:textId="77777777">
            <w:pPr>
              <w:widowControl/>
              <w:autoSpaceDE/>
              <w:autoSpaceDN/>
              <w:adjustRightInd/>
              <w:jc w:val="center"/>
              <w:rPr>
                <w:rFonts w:ascii="Arial" w:hAnsi="Arial" w:cs="Arial"/>
                <w:color w:val="000000"/>
              </w:rPr>
            </w:pPr>
            <w:r w:rsidRPr="002D0EE1">
              <w:rPr>
                <w:rFonts w:ascii="Arial" w:hAnsi="Arial" w:cs="Arial"/>
                <w:color w:val="000000"/>
              </w:rPr>
              <w:t>35.04</w:t>
            </w:r>
          </w:p>
        </w:tc>
        <w:tc>
          <w:tcPr>
            <w:tcW w:w="19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44A5D346" w14:textId="77777777">
            <w:pPr>
              <w:widowControl/>
              <w:autoSpaceDE/>
              <w:autoSpaceDN/>
              <w:adjustRightInd/>
              <w:jc w:val="center"/>
              <w:rPr>
                <w:rFonts w:ascii="Arial" w:hAnsi="Arial" w:cs="Arial"/>
                <w:color w:val="000000"/>
              </w:rPr>
            </w:pPr>
            <w:r w:rsidRPr="002D0EE1">
              <w:rPr>
                <w:rFonts w:ascii="Arial" w:hAnsi="Arial" w:cs="Arial"/>
                <w:color w:val="000000"/>
              </w:rPr>
              <w:t>280</w:t>
            </w:r>
          </w:p>
        </w:tc>
      </w:tr>
      <w:tr w:rsidRPr="002D0EE1" w:rsidR="002D0EE1" w:rsidTr="002D0EE1" w14:paraId="1561BFAD" w14:textId="77777777">
        <w:trPr>
          <w:trHeight w:val="320"/>
        </w:trPr>
        <w:tc>
          <w:tcPr>
            <w:tcW w:w="2660" w:type="dxa"/>
            <w:tcBorders>
              <w:top w:val="nil"/>
              <w:left w:val="single" w:color="auto" w:sz="8" w:space="0"/>
              <w:bottom w:val="single" w:color="auto" w:sz="8" w:space="0"/>
              <w:right w:val="single" w:color="auto" w:sz="8" w:space="0"/>
            </w:tcBorders>
            <w:shd w:val="clear" w:color="auto" w:fill="auto"/>
            <w:vAlign w:val="center"/>
            <w:hideMark/>
          </w:tcPr>
          <w:p w:rsidRPr="002D0EE1" w:rsidR="002D0EE1" w:rsidP="002D0EE1" w:rsidRDefault="002D0EE1" w14:paraId="2AD13F17" w14:textId="77777777">
            <w:pPr>
              <w:widowControl/>
              <w:autoSpaceDE/>
              <w:autoSpaceDN/>
              <w:adjustRightInd/>
              <w:rPr>
                <w:rFonts w:ascii="Arial" w:hAnsi="Arial" w:cs="Arial"/>
                <w:color w:val="000000"/>
              </w:rPr>
            </w:pPr>
            <w:r w:rsidRPr="002D0EE1">
              <w:rPr>
                <w:rFonts w:ascii="Arial" w:hAnsi="Arial" w:cs="Arial"/>
                <w:color w:val="000000"/>
              </w:rPr>
              <w:t>Real Estate assessor</w:t>
            </w:r>
          </w:p>
        </w:tc>
        <w:tc>
          <w:tcPr>
            <w:tcW w:w="13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386E2ED2" w14:textId="77777777">
            <w:pPr>
              <w:widowControl/>
              <w:autoSpaceDE/>
              <w:autoSpaceDN/>
              <w:adjustRightInd/>
              <w:jc w:val="center"/>
              <w:rPr>
                <w:rFonts w:ascii="Arial" w:hAnsi="Arial" w:cs="Arial"/>
                <w:color w:val="000000"/>
              </w:rPr>
            </w:pPr>
            <w:r w:rsidRPr="002D0EE1">
              <w:rPr>
                <w:rFonts w:ascii="Arial" w:hAnsi="Arial" w:cs="Arial"/>
                <w:color w:val="000000"/>
              </w:rPr>
              <w:t>24</w:t>
            </w:r>
          </w:p>
        </w:tc>
        <w:tc>
          <w:tcPr>
            <w:tcW w:w="184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7607037B" w14:textId="77777777">
            <w:pPr>
              <w:widowControl/>
              <w:autoSpaceDE/>
              <w:autoSpaceDN/>
              <w:adjustRightInd/>
              <w:jc w:val="center"/>
              <w:rPr>
                <w:rFonts w:ascii="Arial" w:hAnsi="Arial" w:cs="Arial"/>
                <w:color w:val="000000"/>
              </w:rPr>
            </w:pPr>
            <w:r w:rsidRPr="002D0EE1">
              <w:rPr>
                <w:rFonts w:ascii="Arial" w:hAnsi="Arial" w:cs="Arial"/>
                <w:color w:val="000000"/>
              </w:rPr>
              <w:t>36.19</w:t>
            </w:r>
          </w:p>
        </w:tc>
        <w:tc>
          <w:tcPr>
            <w:tcW w:w="236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061D73AF" w14:textId="77777777">
            <w:pPr>
              <w:widowControl/>
              <w:autoSpaceDE/>
              <w:autoSpaceDN/>
              <w:adjustRightInd/>
              <w:jc w:val="center"/>
              <w:rPr>
                <w:rFonts w:ascii="Arial" w:hAnsi="Arial" w:cs="Arial"/>
                <w:color w:val="000000"/>
              </w:rPr>
            </w:pPr>
            <w:r w:rsidRPr="002D0EE1">
              <w:rPr>
                <w:rFonts w:ascii="Arial" w:hAnsi="Arial" w:cs="Arial"/>
                <w:color w:val="000000"/>
              </w:rPr>
              <w:t>57.90</w:t>
            </w:r>
          </w:p>
        </w:tc>
        <w:tc>
          <w:tcPr>
            <w:tcW w:w="19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32EBA690" w14:textId="77777777">
            <w:pPr>
              <w:widowControl/>
              <w:autoSpaceDE/>
              <w:autoSpaceDN/>
              <w:adjustRightInd/>
              <w:jc w:val="center"/>
              <w:rPr>
                <w:rFonts w:ascii="Arial" w:hAnsi="Arial" w:cs="Arial"/>
                <w:color w:val="000000"/>
              </w:rPr>
            </w:pPr>
            <w:r w:rsidRPr="002D0EE1">
              <w:rPr>
                <w:rFonts w:ascii="Arial" w:hAnsi="Arial" w:cs="Arial"/>
                <w:color w:val="000000"/>
              </w:rPr>
              <w:t>1,390</w:t>
            </w:r>
          </w:p>
        </w:tc>
      </w:tr>
      <w:tr w:rsidRPr="002D0EE1" w:rsidR="002D0EE1" w:rsidTr="002D0EE1" w14:paraId="18505F51" w14:textId="77777777">
        <w:trPr>
          <w:trHeight w:val="320"/>
        </w:trPr>
        <w:tc>
          <w:tcPr>
            <w:tcW w:w="2660" w:type="dxa"/>
            <w:tcBorders>
              <w:top w:val="nil"/>
              <w:left w:val="single" w:color="auto" w:sz="8" w:space="0"/>
              <w:bottom w:val="single" w:color="auto" w:sz="8" w:space="0"/>
              <w:right w:val="single" w:color="auto" w:sz="8" w:space="0"/>
            </w:tcBorders>
            <w:shd w:val="clear" w:color="auto" w:fill="auto"/>
            <w:vAlign w:val="center"/>
            <w:hideMark/>
          </w:tcPr>
          <w:p w:rsidRPr="002D0EE1" w:rsidR="002D0EE1" w:rsidP="002D0EE1" w:rsidRDefault="002D0EE1" w14:paraId="62030FC2" w14:textId="77777777">
            <w:pPr>
              <w:widowControl/>
              <w:autoSpaceDE/>
              <w:autoSpaceDN/>
              <w:adjustRightInd/>
              <w:rPr>
                <w:rFonts w:ascii="Arial" w:hAnsi="Arial" w:cs="Arial"/>
                <w:color w:val="000000"/>
              </w:rPr>
            </w:pPr>
            <w:r w:rsidRPr="002D0EE1">
              <w:rPr>
                <w:rFonts w:ascii="Arial" w:hAnsi="Arial" w:cs="Arial"/>
                <w:color w:val="000000"/>
              </w:rPr>
              <w:t>Mining engineer</w:t>
            </w:r>
          </w:p>
        </w:tc>
        <w:tc>
          <w:tcPr>
            <w:tcW w:w="13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2A80835C" w14:textId="77777777">
            <w:pPr>
              <w:widowControl/>
              <w:autoSpaceDE/>
              <w:autoSpaceDN/>
              <w:adjustRightInd/>
              <w:jc w:val="center"/>
              <w:rPr>
                <w:rFonts w:ascii="Arial" w:hAnsi="Arial" w:cs="Arial"/>
                <w:color w:val="000000"/>
              </w:rPr>
            </w:pPr>
            <w:r w:rsidRPr="002D0EE1">
              <w:rPr>
                <w:rFonts w:ascii="Arial" w:hAnsi="Arial" w:cs="Arial"/>
                <w:color w:val="000000"/>
              </w:rPr>
              <w:t>60</w:t>
            </w:r>
          </w:p>
        </w:tc>
        <w:tc>
          <w:tcPr>
            <w:tcW w:w="184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1F3C19E5" w14:textId="77777777">
            <w:pPr>
              <w:widowControl/>
              <w:autoSpaceDE/>
              <w:autoSpaceDN/>
              <w:adjustRightInd/>
              <w:jc w:val="center"/>
              <w:rPr>
                <w:rFonts w:ascii="Arial" w:hAnsi="Arial" w:cs="Arial"/>
                <w:color w:val="000000"/>
              </w:rPr>
            </w:pPr>
            <w:r w:rsidRPr="002D0EE1">
              <w:rPr>
                <w:rFonts w:ascii="Arial" w:hAnsi="Arial" w:cs="Arial"/>
                <w:color w:val="000000"/>
              </w:rPr>
              <w:t>61.26</w:t>
            </w:r>
          </w:p>
        </w:tc>
        <w:tc>
          <w:tcPr>
            <w:tcW w:w="236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5FBA25E1" w14:textId="77777777">
            <w:pPr>
              <w:widowControl/>
              <w:autoSpaceDE/>
              <w:autoSpaceDN/>
              <w:adjustRightInd/>
              <w:jc w:val="center"/>
              <w:rPr>
                <w:rFonts w:ascii="Arial" w:hAnsi="Arial" w:cs="Arial"/>
                <w:color w:val="000000"/>
              </w:rPr>
            </w:pPr>
            <w:r w:rsidRPr="002D0EE1">
              <w:rPr>
                <w:rFonts w:ascii="Arial" w:hAnsi="Arial" w:cs="Arial"/>
                <w:color w:val="000000"/>
              </w:rPr>
              <w:t>98.02</w:t>
            </w:r>
          </w:p>
        </w:tc>
        <w:tc>
          <w:tcPr>
            <w:tcW w:w="19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034C11B8" w14:textId="77777777">
            <w:pPr>
              <w:widowControl/>
              <w:autoSpaceDE/>
              <w:autoSpaceDN/>
              <w:adjustRightInd/>
              <w:jc w:val="center"/>
              <w:rPr>
                <w:rFonts w:ascii="Arial" w:hAnsi="Arial" w:cs="Arial"/>
                <w:color w:val="000000"/>
              </w:rPr>
            </w:pPr>
            <w:r w:rsidRPr="002D0EE1">
              <w:rPr>
                <w:rFonts w:ascii="Arial" w:hAnsi="Arial" w:cs="Arial"/>
                <w:color w:val="000000"/>
              </w:rPr>
              <w:t>5,881</w:t>
            </w:r>
          </w:p>
        </w:tc>
      </w:tr>
      <w:tr w:rsidRPr="002D0EE1" w:rsidR="002D0EE1" w:rsidTr="002D0EE1" w14:paraId="3F38C872" w14:textId="77777777">
        <w:trPr>
          <w:trHeight w:val="320"/>
        </w:trPr>
        <w:tc>
          <w:tcPr>
            <w:tcW w:w="2660" w:type="dxa"/>
            <w:tcBorders>
              <w:top w:val="nil"/>
              <w:left w:val="single" w:color="auto" w:sz="8" w:space="0"/>
              <w:bottom w:val="single" w:color="auto" w:sz="8" w:space="0"/>
              <w:right w:val="single" w:color="auto" w:sz="8" w:space="0"/>
            </w:tcBorders>
            <w:shd w:val="clear" w:color="auto" w:fill="auto"/>
            <w:vAlign w:val="center"/>
            <w:hideMark/>
          </w:tcPr>
          <w:p w:rsidRPr="002D0EE1" w:rsidR="002D0EE1" w:rsidP="002D0EE1" w:rsidRDefault="002D0EE1" w14:paraId="5E6564FE" w14:textId="77777777">
            <w:pPr>
              <w:widowControl/>
              <w:autoSpaceDE/>
              <w:autoSpaceDN/>
              <w:adjustRightInd/>
              <w:rPr>
                <w:rFonts w:ascii="Arial" w:hAnsi="Arial" w:cs="Arial"/>
                <w:color w:val="000000"/>
              </w:rPr>
            </w:pPr>
            <w:r w:rsidRPr="002D0EE1">
              <w:rPr>
                <w:rFonts w:ascii="Arial" w:hAnsi="Arial" w:cs="Arial"/>
                <w:color w:val="000000"/>
              </w:rPr>
              <w:t>Manager</w:t>
            </w:r>
          </w:p>
        </w:tc>
        <w:tc>
          <w:tcPr>
            <w:tcW w:w="13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72E04873" w14:textId="77777777">
            <w:pPr>
              <w:widowControl/>
              <w:autoSpaceDE/>
              <w:autoSpaceDN/>
              <w:adjustRightInd/>
              <w:jc w:val="center"/>
              <w:rPr>
                <w:rFonts w:ascii="Arial" w:hAnsi="Arial" w:cs="Arial"/>
                <w:color w:val="000000"/>
              </w:rPr>
            </w:pPr>
            <w:r w:rsidRPr="002D0EE1">
              <w:rPr>
                <w:rFonts w:ascii="Arial" w:hAnsi="Arial" w:cs="Arial"/>
                <w:color w:val="000000"/>
              </w:rPr>
              <w:t>4</w:t>
            </w:r>
          </w:p>
        </w:tc>
        <w:tc>
          <w:tcPr>
            <w:tcW w:w="184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21485E5D" w14:textId="77777777">
            <w:pPr>
              <w:widowControl/>
              <w:autoSpaceDE/>
              <w:autoSpaceDN/>
              <w:adjustRightInd/>
              <w:jc w:val="center"/>
              <w:rPr>
                <w:rFonts w:ascii="Arial" w:hAnsi="Arial" w:cs="Arial"/>
                <w:color w:val="000000"/>
              </w:rPr>
            </w:pPr>
            <w:r w:rsidRPr="002D0EE1">
              <w:rPr>
                <w:rFonts w:ascii="Arial" w:hAnsi="Arial" w:cs="Arial"/>
                <w:color w:val="000000"/>
              </w:rPr>
              <w:t>46.69</w:t>
            </w:r>
          </w:p>
        </w:tc>
        <w:tc>
          <w:tcPr>
            <w:tcW w:w="236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7058CF8D" w14:textId="77777777">
            <w:pPr>
              <w:widowControl/>
              <w:autoSpaceDE/>
              <w:autoSpaceDN/>
              <w:adjustRightInd/>
              <w:jc w:val="center"/>
              <w:rPr>
                <w:rFonts w:ascii="Arial" w:hAnsi="Arial" w:cs="Arial"/>
                <w:color w:val="000000"/>
              </w:rPr>
            </w:pPr>
            <w:r w:rsidRPr="002D0EE1">
              <w:rPr>
                <w:rFonts w:ascii="Arial" w:hAnsi="Arial" w:cs="Arial"/>
                <w:color w:val="000000"/>
              </w:rPr>
              <w:t>74.70</w:t>
            </w:r>
          </w:p>
        </w:tc>
        <w:tc>
          <w:tcPr>
            <w:tcW w:w="19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1A1F5627" w14:textId="77777777">
            <w:pPr>
              <w:widowControl/>
              <w:autoSpaceDE/>
              <w:autoSpaceDN/>
              <w:adjustRightInd/>
              <w:jc w:val="center"/>
              <w:rPr>
                <w:rFonts w:ascii="Arial" w:hAnsi="Arial" w:cs="Arial"/>
                <w:color w:val="000000"/>
              </w:rPr>
            </w:pPr>
            <w:r w:rsidRPr="002D0EE1">
              <w:rPr>
                <w:rFonts w:ascii="Arial" w:hAnsi="Arial" w:cs="Arial"/>
                <w:color w:val="000000"/>
              </w:rPr>
              <w:t>299</w:t>
            </w:r>
          </w:p>
        </w:tc>
      </w:tr>
      <w:tr w:rsidRPr="002D0EE1" w:rsidR="002D0EE1" w:rsidTr="002D0EE1" w14:paraId="28DA451B" w14:textId="77777777">
        <w:trPr>
          <w:trHeight w:val="320"/>
        </w:trPr>
        <w:tc>
          <w:tcPr>
            <w:tcW w:w="2660" w:type="dxa"/>
            <w:tcBorders>
              <w:top w:val="nil"/>
              <w:left w:val="single" w:color="auto" w:sz="8" w:space="0"/>
              <w:bottom w:val="single" w:color="auto" w:sz="8" w:space="0"/>
              <w:right w:val="single" w:color="auto" w:sz="8" w:space="0"/>
            </w:tcBorders>
            <w:shd w:val="clear" w:color="auto" w:fill="auto"/>
            <w:vAlign w:val="center"/>
            <w:hideMark/>
          </w:tcPr>
          <w:p w:rsidRPr="002D0EE1" w:rsidR="002D0EE1" w:rsidP="002D0EE1" w:rsidRDefault="002D0EE1" w14:paraId="006E92B0" w14:textId="77777777">
            <w:pPr>
              <w:widowControl/>
              <w:autoSpaceDE/>
              <w:autoSpaceDN/>
              <w:adjustRightInd/>
              <w:rPr>
                <w:rFonts w:ascii="Arial" w:hAnsi="Arial" w:cs="Arial"/>
                <w:color w:val="000000"/>
              </w:rPr>
            </w:pPr>
            <w:r w:rsidRPr="002D0EE1">
              <w:rPr>
                <w:rFonts w:ascii="Arial" w:hAnsi="Arial" w:cs="Arial"/>
                <w:color w:val="000000"/>
              </w:rPr>
              <w:t>Attorney</w:t>
            </w:r>
          </w:p>
        </w:tc>
        <w:tc>
          <w:tcPr>
            <w:tcW w:w="13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2CFE122D" w14:textId="77777777">
            <w:pPr>
              <w:widowControl/>
              <w:autoSpaceDE/>
              <w:autoSpaceDN/>
              <w:adjustRightInd/>
              <w:jc w:val="center"/>
              <w:rPr>
                <w:rFonts w:ascii="Arial" w:hAnsi="Arial" w:cs="Arial"/>
                <w:color w:val="000000"/>
              </w:rPr>
            </w:pPr>
            <w:r w:rsidRPr="002D0EE1">
              <w:rPr>
                <w:rFonts w:ascii="Arial" w:hAnsi="Arial" w:cs="Arial"/>
                <w:color w:val="000000"/>
              </w:rPr>
              <w:t>24</w:t>
            </w:r>
          </w:p>
        </w:tc>
        <w:tc>
          <w:tcPr>
            <w:tcW w:w="184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2A0C1095" w14:textId="77777777">
            <w:pPr>
              <w:widowControl/>
              <w:autoSpaceDE/>
              <w:autoSpaceDN/>
              <w:adjustRightInd/>
              <w:jc w:val="center"/>
              <w:rPr>
                <w:rFonts w:ascii="Arial" w:hAnsi="Arial" w:cs="Arial"/>
                <w:color w:val="000000"/>
              </w:rPr>
            </w:pPr>
            <w:r w:rsidRPr="002D0EE1">
              <w:rPr>
                <w:rFonts w:ascii="Arial" w:hAnsi="Arial" w:cs="Arial"/>
                <w:color w:val="000000"/>
              </w:rPr>
              <w:t>46.85</w:t>
            </w:r>
          </w:p>
        </w:tc>
        <w:tc>
          <w:tcPr>
            <w:tcW w:w="236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2BE4E701" w14:textId="77777777">
            <w:pPr>
              <w:widowControl/>
              <w:autoSpaceDE/>
              <w:autoSpaceDN/>
              <w:adjustRightInd/>
              <w:jc w:val="center"/>
              <w:rPr>
                <w:rFonts w:ascii="Arial" w:hAnsi="Arial" w:cs="Arial"/>
                <w:color w:val="000000"/>
              </w:rPr>
            </w:pPr>
            <w:r w:rsidRPr="002D0EE1">
              <w:rPr>
                <w:rFonts w:ascii="Arial" w:hAnsi="Arial" w:cs="Arial"/>
                <w:color w:val="000000"/>
              </w:rPr>
              <w:t>74.96</w:t>
            </w:r>
          </w:p>
        </w:tc>
        <w:tc>
          <w:tcPr>
            <w:tcW w:w="19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077EDC68" w14:textId="77777777">
            <w:pPr>
              <w:widowControl/>
              <w:autoSpaceDE/>
              <w:autoSpaceDN/>
              <w:adjustRightInd/>
              <w:jc w:val="center"/>
              <w:rPr>
                <w:rFonts w:ascii="Arial" w:hAnsi="Arial" w:cs="Arial"/>
                <w:color w:val="000000"/>
              </w:rPr>
            </w:pPr>
            <w:r w:rsidRPr="002D0EE1">
              <w:rPr>
                <w:rFonts w:ascii="Arial" w:hAnsi="Arial" w:cs="Arial"/>
                <w:color w:val="000000"/>
              </w:rPr>
              <w:t>1,799</w:t>
            </w:r>
          </w:p>
        </w:tc>
      </w:tr>
      <w:tr w:rsidRPr="002D0EE1" w:rsidR="002D0EE1" w:rsidTr="002D0EE1" w14:paraId="28FCC476" w14:textId="77777777">
        <w:trPr>
          <w:trHeight w:val="320"/>
        </w:trPr>
        <w:tc>
          <w:tcPr>
            <w:tcW w:w="2660" w:type="dxa"/>
            <w:tcBorders>
              <w:top w:val="nil"/>
              <w:left w:val="single" w:color="auto" w:sz="8" w:space="0"/>
              <w:bottom w:val="single" w:color="auto" w:sz="8" w:space="0"/>
              <w:right w:val="single" w:color="auto" w:sz="8" w:space="0"/>
            </w:tcBorders>
            <w:shd w:val="clear" w:color="auto" w:fill="auto"/>
            <w:vAlign w:val="center"/>
            <w:hideMark/>
          </w:tcPr>
          <w:p w:rsidRPr="002D0EE1" w:rsidR="002D0EE1" w:rsidP="002D0EE1" w:rsidRDefault="002D0EE1" w14:paraId="5899EB4B" w14:textId="77777777">
            <w:pPr>
              <w:widowControl/>
              <w:autoSpaceDE/>
              <w:autoSpaceDN/>
              <w:adjustRightInd/>
              <w:rPr>
                <w:rFonts w:ascii="Arial" w:hAnsi="Arial" w:cs="Arial"/>
                <w:color w:val="000000"/>
              </w:rPr>
            </w:pPr>
            <w:r w:rsidRPr="002D0EE1">
              <w:rPr>
                <w:rFonts w:ascii="Arial" w:hAnsi="Arial" w:cs="Arial"/>
                <w:color w:val="000000"/>
              </w:rPr>
              <w:t>All</w:t>
            </w:r>
          </w:p>
        </w:tc>
        <w:tc>
          <w:tcPr>
            <w:tcW w:w="13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23E49392" w14:textId="77777777">
            <w:pPr>
              <w:widowControl/>
              <w:autoSpaceDE/>
              <w:autoSpaceDN/>
              <w:adjustRightInd/>
              <w:jc w:val="center"/>
              <w:rPr>
                <w:rFonts w:ascii="Arial" w:hAnsi="Arial" w:cs="Arial"/>
                <w:color w:val="000000"/>
              </w:rPr>
            </w:pPr>
            <w:r w:rsidRPr="002D0EE1">
              <w:rPr>
                <w:rFonts w:ascii="Arial" w:hAnsi="Arial" w:cs="Arial"/>
                <w:noProof/>
                <w:color w:val="000000"/>
              </w:rPr>
              <w:t>120</w:t>
            </w:r>
          </w:p>
        </w:tc>
        <w:tc>
          <w:tcPr>
            <w:tcW w:w="184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12FE18D1" w14:textId="77777777">
            <w:pPr>
              <w:widowControl/>
              <w:autoSpaceDE/>
              <w:autoSpaceDN/>
              <w:adjustRightInd/>
              <w:jc w:val="center"/>
              <w:rPr>
                <w:rFonts w:ascii="Arial" w:hAnsi="Arial" w:cs="Arial"/>
                <w:color w:val="000000"/>
              </w:rPr>
            </w:pPr>
            <w:r w:rsidRPr="002D0EE1">
              <w:rPr>
                <w:rFonts w:ascii="Arial" w:hAnsi="Arial" w:cs="Arial"/>
                <w:color w:val="000000"/>
              </w:rPr>
              <w:t> </w:t>
            </w:r>
          </w:p>
        </w:tc>
        <w:tc>
          <w:tcPr>
            <w:tcW w:w="236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390AB60F" w14:textId="77777777">
            <w:pPr>
              <w:widowControl/>
              <w:autoSpaceDE/>
              <w:autoSpaceDN/>
              <w:adjustRightInd/>
              <w:jc w:val="center"/>
              <w:rPr>
                <w:rFonts w:ascii="Arial" w:hAnsi="Arial" w:cs="Arial"/>
                <w:color w:val="000000"/>
              </w:rPr>
            </w:pPr>
            <w:r w:rsidRPr="002D0EE1">
              <w:rPr>
                <w:rFonts w:ascii="Arial" w:hAnsi="Arial" w:cs="Arial"/>
                <w:color w:val="000000"/>
              </w:rPr>
              <w:t>80.41</w:t>
            </w:r>
          </w:p>
        </w:tc>
        <w:tc>
          <w:tcPr>
            <w:tcW w:w="1980" w:type="dxa"/>
            <w:tcBorders>
              <w:top w:val="nil"/>
              <w:left w:val="nil"/>
              <w:bottom w:val="single" w:color="auto" w:sz="8" w:space="0"/>
              <w:right w:val="single" w:color="auto" w:sz="8" w:space="0"/>
            </w:tcBorders>
            <w:shd w:val="clear" w:color="auto" w:fill="auto"/>
            <w:vAlign w:val="center"/>
            <w:hideMark/>
          </w:tcPr>
          <w:p w:rsidRPr="002D0EE1" w:rsidR="002D0EE1" w:rsidP="002D0EE1" w:rsidRDefault="002D0EE1" w14:paraId="6AF736C3" w14:textId="77777777">
            <w:pPr>
              <w:widowControl/>
              <w:autoSpaceDE/>
              <w:autoSpaceDN/>
              <w:adjustRightInd/>
              <w:jc w:val="center"/>
              <w:rPr>
                <w:rFonts w:ascii="Arial" w:hAnsi="Arial" w:cs="Arial"/>
                <w:color w:val="000000"/>
              </w:rPr>
            </w:pPr>
            <w:r w:rsidRPr="002D0EE1">
              <w:rPr>
                <w:rFonts w:ascii="Arial" w:hAnsi="Arial" w:cs="Arial"/>
                <w:noProof/>
                <w:color w:val="000000"/>
              </w:rPr>
              <w:t>9,649</w:t>
            </w:r>
          </w:p>
        </w:tc>
      </w:tr>
    </w:tbl>
    <w:p w:rsidRPr="00A272CE" w:rsidR="00916013" w:rsidP="00B61033" w:rsidRDefault="00326084" w14:paraId="6FB8FE86" w14:textId="0F153E16">
      <w:pPr>
        <w:widowControl/>
        <w:ind w:left="720" w:hanging="720"/>
        <w:rPr>
          <w:rFonts w:ascii="Arial" w:hAnsi="Arial" w:cs="Arial"/>
          <w:sz w:val="20"/>
          <w:szCs w:val="20"/>
        </w:rPr>
      </w:pPr>
      <w:r>
        <w:rPr>
          <w:rFonts w:ascii="Arial" w:hAnsi="Arial" w:cs="Arial"/>
        </w:rPr>
        <w:br/>
      </w:r>
      <w:r>
        <w:rPr>
          <w:rFonts w:ascii="Arial" w:hAnsi="Arial" w:cs="Arial"/>
        </w:rPr>
        <w:br/>
      </w:r>
    </w:p>
    <w:p w:rsidRPr="00A272CE" w:rsidR="000863D5" w:rsidP="00916013" w:rsidRDefault="000863D5" w14:paraId="270945E7" w14:textId="77777777">
      <w:pPr>
        <w:widowControl/>
        <w:tabs>
          <w:tab w:val="left" w:pos="720"/>
          <w:tab w:val="left" w:pos="1080"/>
        </w:tabs>
        <w:ind w:left="720" w:hanging="720"/>
        <w:rPr>
          <w:rFonts w:ascii="Arial" w:hAnsi="Arial" w:cs="Arial"/>
          <w:sz w:val="20"/>
          <w:szCs w:val="20"/>
        </w:rPr>
      </w:pPr>
    </w:p>
    <w:p w:rsidRPr="00A272CE" w:rsidR="00A73BB3" w:rsidP="00A73BB3" w:rsidRDefault="00A73BB3" w14:paraId="29CB86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13.</w:t>
      </w:r>
      <w:r w:rsidRPr="00A272CE">
        <w:rPr>
          <w:rFonts w:ascii="Arial" w:hAnsi="Arial" w:cs="Arial"/>
          <w:i/>
        </w:rPr>
        <w:tab/>
        <w:t>Provide an estimate of the total annual non-hour cost burden to respondents or recordkeepers resulting from the collection of information.  (Do not include the cost of any hour burden already reflected in item 12.)</w:t>
      </w:r>
    </w:p>
    <w:p w:rsidRPr="00A272CE" w:rsidR="00A73BB3" w:rsidP="00A73BB3" w:rsidRDefault="00A73BB3" w14:paraId="7FE2D0C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272CE">
        <w:rPr>
          <w:rFonts w:ascii="Arial" w:hAnsi="Arial" w:cs="Arial"/>
          <w:i/>
        </w:rPr>
        <w:t>take into account</w:t>
      </w:r>
      <w:proofErr w:type="gramEnd"/>
      <w:r w:rsidRPr="00A272CE">
        <w:rPr>
          <w:rFonts w:ascii="Arial" w:hAnsi="Arial" w:cs="Arial"/>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A272CE">
        <w:rPr>
          <w:rFonts w:ascii="Arial" w:hAnsi="Arial" w:cs="Arial"/>
          <w:i/>
        </w:rPr>
        <w:t>time period</w:t>
      </w:r>
      <w:proofErr w:type="gramEnd"/>
      <w:r w:rsidRPr="00A272CE">
        <w:rPr>
          <w:rFonts w:ascii="Arial" w:hAnsi="Arial" w:cs="Arial"/>
          <w:i/>
        </w:rPr>
        <w:t xml:space="preserve"> over which costs will be incurred.  Capital and start-up costs include, among other items, preparations for collecting information such as purchasing computers and software; monitoring, sampling, </w:t>
      </w:r>
      <w:proofErr w:type="gramStart"/>
      <w:r w:rsidRPr="00A272CE">
        <w:rPr>
          <w:rFonts w:ascii="Arial" w:hAnsi="Arial" w:cs="Arial"/>
          <w:i/>
        </w:rPr>
        <w:t>drilling</w:t>
      </w:r>
      <w:proofErr w:type="gramEnd"/>
      <w:r w:rsidRPr="00A272CE">
        <w:rPr>
          <w:rFonts w:ascii="Arial" w:hAnsi="Arial" w:cs="Arial"/>
          <w:i/>
        </w:rPr>
        <w:t xml:space="preserve"> and testing equipment; and record storage facilities.</w:t>
      </w:r>
    </w:p>
    <w:p w:rsidRPr="00A272CE" w:rsidR="00A73BB3" w:rsidP="00A73BB3" w:rsidRDefault="00A73BB3" w14:paraId="3B7143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If cost estimates are expected to vary widely, agencies should present ranges of cost burdens and explain the reasons for the variance.  The cost of purchasing </w:t>
      </w:r>
      <w:r w:rsidRPr="00A272CE">
        <w:rPr>
          <w:rFonts w:ascii="Arial" w:hAnsi="Arial" w:cs="Arial"/>
          <w:i/>
        </w:rPr>
        <w:lastRenderedPageBreak/>
        <w:t xml:space="preserve">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A272CE">
        <w:rPr>
          <w:rFonts w:ascii="Arial" w:hAnsi="Arial" w:cs="Arial"/>
          <w:i/>
        </w:rPr>
        <w:t>process</w:t>
      </w:r>
      <w:proofErr w:type="gramEnd"/>
      <w:r w:rsidRPr="00A272CE">
        <w:rPr>
          <w:rFonts w:ascii="Arial" w:hAnsi="Arial" w:cs="Arial"/>
          <w:i/>
        </w:rPr>
        <w:t xml:space="preserve"> and use existing economic or regulatory impact analysis associated with the rulemaking containing the information collection, as appropriate.</w:t>
      </w:r>
    </w:p>
    <w:p w:rsidRPr="00A272CE" w:rsidR="00A73BB3" w:rsidP="00A73BB3" w:rsidRDefault="00A73BB3" w14:paraId="0329302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272CE" w:rsidR="00497C9C" w:rsidP="00497C9C" w:rsidRDefault="00497C9C" w14:paraId="5E2999A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9E0968" w:rsidP="009E0968" w:rsidRDefault="009E0968" w14:paraId="7CF909DD" w14:textId="77777777">
      <w:pPr>
        <w:widowControl/>
        <w:ind w:left="720" w:hanging="720"/>
        <w:rPr>
          <w:rFonts w:ascii="Arial" w:hAnsi="Arial" w:cs="Arial"/>
        </w:rPr>
      </w:pPr>
      <w:r w:rsidRPr="00A272CE">
        <w:rPr>
          <w:rFonts w:ascii="Arial" w:hAnsi="Arial" w:cs="Arial"/>
        </w:rPr>
        <w:tab/>
        <w:t xml:space="preserve">There are no estimated costs </w:t>
      </w:r>
      <w:r w:rsidR="0081601C">
        <w:rPr>
          <w:rFonts w:ascii="Arial" w:hAnsi="Arial" w:cs="Arial"/>
        </w:rPr>
        <w:t>incurred beyond those identified in items</w:t>
      </w:r>
      <w:r w:rsidRPr="00A272CE">
        <w:rPr>
          <w:rFonts w:ascii="Arial" w:hAnsi="Arial" w:cs="Arial"/>
        </w:rPr>
        <w:t xml:space="preserve"> 12 or 14.</w:t>
      </w:r>
    </w:p>
    <w:p w:rsidRPr="00A272CE" w:rsidR="009E0968" w:rsidP="00497C9C" w:rsidRDefault="009E0968" w14:paraId="78FC64D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A73BB3" w:rsidP="00A73BB3" w:rsidRDefault="00A73BB3" w14:paraId="05B541D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14.</w:t>
      </w:r>
      <w:r w:rsidRPr="00A272CE">
        <w:rPr>
          <w:rFonts w:ascii="Arial" w:hAnsi="Arial" w:cs="Arial"/>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272CE" w:rsidR="00497C9C" w:rsidP="00497C9C" w:rsidRDefault="00497C9C" w14:paraId="15AB450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B51245" w:rsidP="00B51245" w:rsidRDefault="00B51245" w14:paraId="6682C273" w14:textId="77777777">
      <w:pPr>
        <w:widowControl/>
        <w:ind w:left="720" w:hanging="720"/>
        <w:rPr>
          <w:rFonts w:ascii="Arial" w:hAnsi="Arial" w:cs="Arial"/>
        </w:rPr>
      </w:pPr>
      <w:r w:rsidRPr="00A272CE">
        <w:rPr>
          <w:rFonts w:ascii="Arial" w:hAnsi="Arial" w:cs="Arial"/>
        </w:rPr>
        <w:tab/>
        <w:t xml:space="preserve">There is no cost to the Federal government since </w:t>
      </w:r>
      <w:r w:rsidR="003520C2">
        <w:rPr>
          <w:rFonts w:ascii="Arial" w:hAnsi="Arial" w:cs="Arial"/>
        </w:rPr>
        <w:t>OSMRE</w:t>
      </w:r>
      <w:r w:rsidRPr="00A272CE">
        <w:rPr>
          <w:rFonts w:ascii="Arial" w:hAnsi="Arial" w:cs="Arial"/>
        </w:rPr>
        <w:t xml:space="preserve"> generally does not reclaim private property, nor has there been a problem identified in primacy States requiring an oversight review.</w:t>
      </w:r>
    </w:p>
    <w:p w:rsidRPr="00A272CE" w:rsidR="009E0968" w:rsidP="00497C9C" w:rsidRDefault="009E0968" w14:paraId="416AB17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A73BB3" w:rsidP="00A73BB3" w:rsidRDefault="00A73BB3" w14:paraId="3527B7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15.</w:t>
      </w:r>
      <w:r w:rsidRPr="00A272CE">
        <w:rPr>
          <w:rFonts w:ascii="Arial" w:hAnsi="Arial" w:cs="Arial"/>
          <w:i/>
        </w:rPr>
        <w:tab/>
        <w:t>Explain the reasons for any program changes or adjustments in hour or cost burden.</w:t>
      </w:r>
    </w:p>
    <w:p w:rsidRPr="00A272CE" w:rsidR="000863D5" w:rsidP="00497C9C" w:rsidRDefault="000863D5" w14:paraId="4FBBEC8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9E0968" w:rsidP="00B51245" w:rsidRDefault="00B51245" w14:paraId="776D1555" w14:textId="77777777">
      <w:pPr>
        <w:widowControl/>
        <w:tabs>
          <w:tab w:val="left" w:pos="720"/>
        </w:tabs>
        <w:ind w:left="720" w:hanging="720"/>
        <w:rPr>
          <w:rFonts w:ascii="Arial" w:hAnsi="Arial" w:cs="Arial"/>
        </w:rPr>
      </w:pPr>
      <w:r w:rsidRPr="00A272CE">
        <w:rPr>
          <w:rFonts w:ascii="Arial" w:hAnsi="Arial" w:cs="Arial"/>
        </w:rPr>
        <w:tab/>
      </w:r>
      <w:r w:rsidR="003520C2">
        <w:rPr>
          <w:rFonts w:ascii="Arial" w:hAnsi="Arial" w:cs="Arial"/>
        </w:rPr>
        <w:t>OSMRE</w:t>
      </w:r>
      <w:r w:rsidRPr="00A272CE">
        <w:rPr>
          <w:rFonts w:ascii="Arial" w:hAnsi="Arial" w:cs="Arial"/>
        </w:rPr>
        <w:t xml:space="preserve"> is requesting approval of 120 burden hours</w:t>
      </w:r>
      <w:r w:rsidRPr="00A272CE" w:rsidR="00303EF7">
        <w:rPr>
          <w:rFonts w:ascii="Arial" w:hAnsi="Arial" w:cs="Arial"/>
        </w:rPr>
        <w:t>.  This request does not alter the burden currently approved by OMB</w:t>
      </w:r>
      <w:r w:rsidRPr="00A272CE">
        <w:rPr>
          <w:rFonts w:ascii="Arial" w:hAnsi="Arial" w:cs="Arial"/>
        </w:rPr>
        <w:t>.</w:t>
      </w:r>
    </w:p>
    <w:p w:rsidRPr="00A272CE" w:rsidR="009E0968" w:rsidP="00497C9C" w:rsidRDefault="009E0968" w14:paraId="2ED863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A272CE" w:rsidP="00A272CE" w:rsidRDefault="00A272CE" w14:paraId="3E6D14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16.</w:t>
      </w:r>
      <w:r w:rsidRPr="00A272CE">
        <w:rPr>
          <w:rFonts w:ascii="Arial" w:hAnsi="Arial" w:cs="Arial"/>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272CE" w:rsidR="00A272CE" w:rsidP="00497C9C" w:rsidRDefault="00A272CE" w14:paraId="79A7945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B51245" w:rsidP="00B51245" w:rsidRDefault="00B51245" w14:paraId="2CF37280" w14:textId="77777777">
      <w:pPr>
        <w:widowControl/>
        <w:ind w:left="720" w:hanging="720"/>
        <w:rPr>
          <w:rFonts w:ascii="Arial" w:hAnsi="Arial" w:cs="Arial"/>
        </w:rPr>
      </w:pPr>
      <w:r w:rsidRPr="00A272CE">
        <w:rPr>
          <w:rFonts w:ascii="Arial" w:hAnsi="Arial" w:cs="Arial"/>
        </w:rPr>
        <w:tab/>
        <w:t xml:space="preserve">There are no plans to publish this information. </w:t>
      </w:r>
    </w:p>
    <w:p w:rsidRPr="00A272CE" w:rsidR="009E0968" w:rsidP="00497C9C" w:rsidRDefault="009E0968" w14:paraId="127C73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A272CE" w:rsidR="00A272CE" w:rsidP="00A272CE" w:rsidRDefault="00A272CE" w14:paraId="4B6F02F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17.</w:t>
      </w:r>
      <w:r w:rsidRPr="00A272CE">
        <w:rPr>
          <w:rFonts w:ascii="Arial" w:hAnsi="Arial" w:cs="Arial"/>
          <w:i/>
        </w:rPr>
        <w:tab/>
        <w:t>If seeking approval to not display the expiration date for OMB approval of the information collection, explain the reasons that display would be inappropriate.</w:t>
      </w:r>
    </w:p>
    <w:p w:rsidRPr="00A272CE" w:rsidR="00497C9C" w:rsidP="00497C9C" w:rsidRDefault="00497C9C" w14:paraId="7CD100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A272CE" w:rsidR="009E0968" w:rsidP="00882A5C" w:rsidRDefault="00B51245" w14:paraId="5F9DCD84" w14:textId="474E9886">
      <w:pPr>
        <w:widowControl/>
        <w:ind w:left="720" w:hanging="720"/>
        <w:rPr>
          <w:rFonts w:ascii="Arial" w:hAnsi="Arial" w:cs="Arial"/>
          <w:i/>
        </w:rPr>
      </w:pPr>
      <w:r w:rsidRPr="00A272CE">
        <w:rPr>
          <w:rFonts w:ascii="Arial" w:hAnsi="Arial" w:cs="Arial"/>
        </w:rPr>
        <w:tab/>
      </w:r>
      <w:r w:rsidRPr="00882A5C" w:rsidR="00882A5C">
        <w:rPr>
          <w:rFonts w:ascii="Arial" w:hAnsi="Arial" w:cs="Arial"/>
        </w:rPr>
        <w:t>This collection is not associated with a specific form where OSMRE could display an expiration date.  The approved OMB control number is codified in 30 CFR 8</w:t>
      </w:r>
      <w:r w:rsidR="00882A5C">
        <w:rPr>
          <w:rFonts w:ascii="Arial" w:hAnsi="Arial" w:cs="Arial"/>
        </w:rPr>
        <w:t>82</w:t>
      </w:r>
      <w:r w:rsidRPr="00882A5C" w:rsidR="00882A5C">
        <w:rPr>
          <w:rFonts w:ascii="Arial" w:hAnsi="Arial" w:cs="Arial"/>
        </w:rPr>
        <w:t>.1</w:t>
      </w:r>
      <w:r w:rsidR="00882A5C">
        <w:rPr>
          <w:rFonts w:ascii="Arial" w:hAnsi="Arial" w:cs="Arial"/>
        </w:rPr>
        <w:t>0</w:t>
      </w:r>
      <w:r w:rsidRPr="00882A5C" w:rsidR="00882A5C">
        <w:rPr>
          <w:rFonts w:ascii="Arial" w:hAnsi="Arial" w:cs="Arial"/>
        </w:rPr>
        <w:t>.</w:t>
      </w:r>
    </w:p>
    <w:p w:rsidRPr="00A272CE" w:rsidR="00A272CE" w:rsidP="00A272CE" w:rsidRDefault="00A272CE" w14:paraId="43E227A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lastRenderedPageBreak/>
        <w:t>18.</w:t>
      </w:r>
      <w:r w:rsidRPr="00A272CE">
        <w:rPr>
          <w:rFonts w:ascii="Arial" w:hAnsi="Arial" w:cs="Arial"/>
          <w:i/>
        </w:rPr>
        <w:tab/>
        <w:t>Explain each exception to the topics of the certification statement identified in "Certification for Paperwork Reduction Act Submissions."</w:t>
      </w:r>
    </w:p>
    <w:p w:rsidRPr="00A272CE" w:rsidR="00497C9C" w:rsidRDefault="00497C9C" w14:paraId="5619192C" w14:textId="77777777">
      <w:pPr>
        <w:widowControl/>
        <w:tabs>
          <w:tab w:val="left" w:pos="1076"/>
        </w:tabs>
        <w:rPr>
          <w:rFonts w:ascii="Arial" w:hAnsi="Arial" w:cs="Arial"/>
        </w:rPr>
      </w:pPr>
    </w:p>
    <w:p w:rsidR="00F120DA" w:rsidP="007D5E34" w:rsidRDefault="00B51245" w14:paraId="270ACAD9" w14:textId="47E05338">
      <w:pPr>
        <w:widowControl/>
        <w:ind w:left="720" w:hanging="720"/>
        <w:rPr>
          <w:rFonts w:ascii="Arial" w:hAnsi="Arial" w:cs="Arial"/>
        </w:rPr>
      </w:pPr>
      <w:r w:rsidRPr="00A272CE">
        <w:rPr>
          <w:rFonts w:ascii="Arial" w:hAnsi="Arial" w:cs="Arial"/>
        </w:rPr>
        <w:tab/>
      </w:r>
      <w:r w:rsidRPr="00A272CE" w:rsidR="00F120DA">
        <w:rPr>
          <w:rFonts w:ascii="Arial" w:hAnsi="Arial" w:cs="Arial"/>
        </w:rPr>
        <w:t>There are no exceptions to the certification statement.</w:t>
      </w:r>
    </w:p>
    <w:p w:rsidRPr="00916013" w:rsidR="00927559" w:rsidP="007D5E34" w:rsidRDefault="00927559" w14:paraId="58A588D3" w14:textId="77777777">
      <w:pPr>
        <w:widowControl/>
        <w:ind w:left="720" w:hanging="720"/>
        <w:rPr>
          <w:rFonts w:ascii="Arial" w:hAnsi="Arial" w:cs="Arial"/>
        </w:rPr>
      </w:pPr>
    </w:p>
    <w:sectPr w:rsidRPr="00916013" w:rsidR="00927559" w:rsidSect="00F120DA">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E81F9" w14:textId="77777777" w:rsidR="000E2151" w:rsidRDefault="000E2151">
      <w:r>
        <w:separator/>
      </w:r>
    </w:p>
  </w:endnote>
  <w:endnote w:type="continuationSeparator" w:id="0">
    <w:p w14:paraId="794D9AEB" w14:textId="77777777" w:rsidR="000E2151" w:rsidRDefault="000E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099864"/>
      <w:docPartObj>
        <w:docPartGallery w:val="Page Numbers (Bottom of Page)"/>
        <w:docPartUnique/>
      </w:docPartObj>
    </w:sdtPr>
    <w:sdtEndPr>
      <w:rPr>
        <w:noProof/>
      </w:rPr>
    </w:sdtEndPr>
    <w:sdtContent>
      <w:p w14:paraId="131D3665" w14:textId="77777777" w:rsidR="0081601C" w:rsidRDefault="0081601C">
        <w:pPr>
          <w:pStyle w:val="Footer"/>
          <w:jc w:val="center"/>
        </w:pPr>
        <w:r>
          <w:fldChar w:fldCharType="begin"/>
        </w:r>
        <w:r>
          <w:instrText xml:space="preserve"> PAGE   \* MERGEFORMAT </w:instrText>
        </w:r>
        <w:r>
          <w:fldChar w:fldCharType="separate"/>
        </w:r>
        <w:r w:rsidR="00927559">
          <w:rPr>
            <w:noProof/>
          </w:rPr>
          <w:t>6</w:t>
        </w:r>
        <w:r>
          <w:rPr>
            <w:noProof/>
          </w:rPr>
          <w:fldChar w:fldCharType="end"/>
        </w:r>
      </w:p>
    </w:sdtContent>
  </w:sdt>
  <w:p w14:paraId="62BC699A" w14:textId="77777777" w:rsidR="00A73BB3" w:rsidRDefault="00A73B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45392" w14:textId="77777777" w:rsidR="000E2151" w:rsidRDefault="000E2151">
      <w:r>
        <w:separator/>
      </w:r>
    </w:p>
  </w:footnote>
  <w:footnote w:type="continuationSeparator" w:id="0">
    <w:p w14:paraId="5D7CB642" w14:textId="77777777" w:rsidR="000E2151" w:rsidRDefault="000E2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FB2"/>
    <w:multiLevelType w:val="hybridMultilevel"/>
    <w:tmpl w:val="91D8B360"/>
    <w:lvl w:ilvl="0" w:tplc="3A4CE592">
      <w:start w:val="1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9B91077"/>
    <w:multiLevelType w:val="hybridMultilevel"/>
    <w:tmpl w:val="CA5E2CA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DA"/>
    <w:rsid w:val="000863D5"/>
    <w:rsid w:val="00095B31"/>
    <w:rsid w:val="000A00AC"/>
    <w:rsid w:val="000A7081"/>
    <w:rsid w:val="000B2202"/>
    <w:rsid w:val="000B51DA"/>
    <w:rsid w:val="000E2151"/>
    <w:rsid w:val="000F5D68"/>
    <w:rsid w:val="00161479"/>
    <w:rsid w:val="0016407A"/>
    <w:rsid w:val="00177E16"/>
    <w:rsid w:val="001A2DAA"/>
    <w:rsid w:val="001B4262"/>
    <w:rsid w:val="0020514D"/>
    <w:rsid w:val="00226D2A"/>
    <w:rsid w:val="002567A5"/>
    <w:rsid w:val="00275BA5"/>
    <w:rsid w:val="002950A4"/>
    <w:rsid w:val="002D0D1C"/>
    <w:rsid w:val="002D0EE1"/>
    <w:rsid w:val="002F3ED8"/>
    <w:rsid w:val="00303EF7"/>
    <w:rsid w:val="00313B1C"/>
    <w:rsid w:val="00320F55"/>
    <w:rsid w:val="00326084"/>
    <w:rsid w:val="00344A54"/>
    <w:rsid w:val="003520C2"/>
    <w:rsid w:val="003676DD"/>
    <w:rsid w:val="003C6945"/>
    <w:rsid w:val="00404084"/>
    <w:rsid w:val="00435464"/>
    <w:rsid w:val="004679E4"/>
    <w:rsid w:val="00474A11"/>
    <w:rsid w:val="00497C9C"/>
    <w:rsid w:val="004C7AA4"/>
    <w:rsid w:val="004D6770"/>
    <w:rsid w:val="004E1E9F"/>
    <w:rsid w:val="0052628B"/>
    <w:rsid w:val="00526889"/>
    <w:rsid w:val="00526F73"/>
    <w:rsid w:val="00534A2A"/>
    <w:rsid w:val="00542F5E"/>
    <w:rsid w:val="005A61EF"/>
    <w:rsid w:val="005C2070"/>
    <w:rsid w:val="005D348E"/>
    <w:rsid w:val="00624116"/>
    <w:rsid w:val="006241B2"/>
    <w:rsid w:val="00640BAC"/>
    <w:rsid w:val="00663305"/>
    <w:rsid w:val="006C5D68"/>
    <w:rsid w:val="006F520D"/>
    <w:rsid w:val="00770076"/>
    <w:rsid w:val="00783D63"/>
    <w:rsid w:val="007C6E33"/>
    <w:rsid w:val="007D5E34"/>
    <w:rsid w:val="007D7EA4"/>
    <w:rsid w:val="007E05D6"/>
    <w:rsid w:val="0081601C"/>
    <w:rsid w:val="00830B13"/>
    <w:rsid w:val="00882A5C"/>
    <w:rsid w:val="008E1E3E"/>
    <w:rsid w:val="00916013"/>
    <w:rsid w:val="00927559"/>
    <w:rsid w:val="00946AE0"/>
    <w:rsid w:val="0095355F"/>
    <w:rsid w:val="00974211"/>
    <w:rsid w:val="009B3A1D"/>
    <w:rsid w:val="009D552D"/>
    <w:rsid w:val="009D67C4"/>
    <w:rsid w:val="009E0968"/>
    <w:rsid w:val="00A12837"/>
    <w:rsid w:val="00A16879"/>
    <w:rsid w:val="00A271D7"/>
    <w:rsid w:val="00A272CE"/>
    <w:rsid w:val="00A374FE"/>
    <w:rsid w:val="00A66E96"/>
    <w:rsid w:val="00A73BB3"/>
    <w:rsid w:val="00A84FD6"/>
    <w:rsid w:val="00AB0A79"/>
    <w:rsid w:val="00AC1302"/>
    <w:rsid w:val="00AD68D8"/>
    <w:rsid w:val="00AE17A5"/>
    <w:rsid w:val="00AE6B47"/>
    <w:rsid w:val="00B15D46"/>
    <w:rsid w:val="00B15EDC"/>
    <w:rsid w:val="00B30AD5"/>
    <w:rsid w:val="00B51245"/>
    <w:rsid w:val="00B61033"/>
    <w:rsid w:val="00B7276C"/>
    <w:rsid w:val="00BD4184"/>
    <w:rsid w:val="00BE1F28"/>
    <w:rsid w:val="00C264A1"/>
    <w:rsid w:val="00C65132"/>
    <w:rsid w:val="00C90AF8"/>
    <w:rsid w:val="00CA4C02"/>
    <w:rsid w:val="00CB0E7A"/>
    <w:rsid w:val="00CC0135"/>
    <w:rsid w:val="00CC7FCA"/>
    <w:rsid w:val="00D10CDB"/>
    <w:rsid w:val="00D71D69"/>
    <w:rsid w:val="00D7759C"/>
    <w:rsid w:val="00D9215B"/>
    <w:rsid w:val="00DA1FCE"/>
    <w:rsid w:val="00E418F3"/>
    <w:rsid w:val="00E57F59"/>
    <w:rsid w:val="00E67F44"/>
    <w:rsid w:val="00E70DB5"/>
    <w:rsid w:val="00EB0286"/>
    <w:rsid w:val="00EC0024"/>
    <w:rsid w:val="00EE6DCC"/>
    <w:rsid w:val="00F120DA"/>
    <w:rsid w:val="00F30D29"/>
    <w:rsid w:val="00F47F2E"/>
    <w:rsid w:val="00F50BC0"/>
    <w:rsid w:val="00F5490D"/>
    <w:rsid w:val="00F81CC2"/>
    <w:rsid w:val="00F83A19"/>
    <w:rsid w:val="00F83DCE"/>
    <w:rsid w:val="00F92909"/>
    <w:rsid w:val="00FC0FFE"/>
    <w:rsid w:val="00FE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35D3C7"/>
  <w15:docId w15:val="{C08DBC47-A876-4673-9927-FE682547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Univers" w:hAnsi="Univer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4C7AA4"/>
    <w:rPr>
      <w:color w:val="0000FF"/>
      <w:u w:val="single"/>
    </w:rPr>
  </w:style>
  <w:style w:type="paragraph" w:styleId="BalloonText">
    <w:name w:val="Balloon Text"/>
    <w:basedOn w:val="Normal"/>
    <w:link w:val="BalloonTextChar"/>
    <w:rsid w:val="00497C9C"/>
    <w:rPr>
      <w:rFonts w:ascii="Tahoma" w:hAnsi="Tahoma" w:cs="Tahoma"/>
      <w:sz w:val="16"/>
      <w:szCs w:val="16"/>
    </w:rPr>
  </w:style>
  <w:style w:type="character" w:customStyle="1" w:styleId="BalloonTextChar">
    <w:name w:val="Balloon Text Char"/>
    <w:link w:val="BalloonText"/>
    <w:rsid w:val="00497C9C"/>
    <w:rPr>
      <w:rFonts w:ascii="Tahoma" w:hAnsi="Tahoma" w:cs="Tahoma"/>
      <w:sz w:val="16"/>
      <w:szCs w:val="16"/>
    </w:rPr>
  </w:style>
  <w:style w:type="paragraph" w:styleId="BodyTextIndent">
    <w:name w:val="Body Text Indent"/>
    <w:basedOn w:val="Normal"/>
    <w:link w:val="BodyTextIndentChar"/>
    <w:rsid w:val="00C264A1"/>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264A1"/>
    <w:rPr>
      <w:sz w:val="24"/>
      <w:szCs w:val="24"/>
    </w:rPr>
  </w:style>
  <w:style w:type="table" w:styleId="TableGrid">
    <w:name w:val="Table Grid"/>
    <w:basedOn w:val="TableNormal"/>
    <w:rsid w:val="00AE17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1479"/>
    <w:rPr>
      <w:color w:val="800080"/>
      <w:u w:val="single"/>
    </w:rPr>
  </w:style>
  <w:style w:type="character" w:styleId="CommentReference">
    <w:name w:val="annotation reference"/>
    <w:semiHidden/>
    <w:rsid w:val="0020514D"/>
    <w:rPr>
      <w:sz w:val="16"/>
      <w:szCs w:val="16"/>
    </w:rPr>
  </w:style>
  <w:style w:type="paragraph" w:styleId="CommentText">
    <w:name w:val="annotation text"/>
    <w:basedOn w:val="Normal"/>
    <w:semiHidden/>
    <w:rsid w:val="0020514D"/>
    <w:rPr>
      <w:sz w:val="20"/>
      <w:szCs w:val="20"/>
    </w:rPr>
  </w:style>
  <w:style w:type="paragraph" w:styleId="CommentSubject">
    <w:name w:val="annotation subject"/>
    <w:basedOn w:val="CommentText"/>
    <w:next w:val="CommentText"/>
    <w:semiHidden/>
    <w:rsid w:val="0020514D"/>
    <w:rPr>
      <w:b/>
      <w:bCs/>
    </w:rPr>
  </w:style>
  <w:style w:type="paragraph" w:styleId="Header">
    <w:name w:val="header"/>
    <w:basedOn w:val="Normal"/>
    <w:link w:val="HeaderChar"/>
    <w:rsid w:val="0081601C"/>
    <w:pPr>
      <w:tabs>
        <w:tab w:val="center" w:pos="4680"/>
        <w:tab w:val="right" w:pos="9360"/>
      </w:tabs>
    </w:pPr>
  </w:style>
  <w:style w:type="character" w:customStyle="1" w:styleId="HeaderChar">
    <w:name w:val="Header Char"/>
    <w:basedOn w:val="DefaultParagraphFont"/>
    <w:link w:val="Header"/>
    <w:rsid w:val="0081601C"/>
    <w:rPr>
      <w:rFonts w:ascii="Univers" w:hAnsi="Univers"/>
      <w:sz w:val="24"/>
      <w:szCs w:val="24"/>
    </w:rPr>
  </w:style>
  <w:style w:type="paragraph" w:styleId="Footer">
    <w:name w:val="footer"/>
    <w:basedOn w:val="Normal"/>
    <w:link w:val="FooterChar"/>
    <w:uiPriority w:val="99"/>
    <w:rsid w:val="0081601C"/>
    <w:pPr>
      <w:tabs>
        <w:tab w:val="center" w:pos="4680"/>
        <w:tab w:val="right" w:pos="9360"/>
      </w:tabs>
    </w:pPr>
  </w:style>
  <w:style w:type="character" w:customStyle="1" w:styleId="FooterChar">
    <w:name w:val="Footer Char"/>
    <w:basedOn w:val="DefaultParagraphFont"/>
    <w:link w:val="Footer"/>
    <w:uiPriority w:val="99"/>
    <w:rsid w:val="0081601C"/>
    <w:rPr>
      <w:rFonts w:ascii="Univers" w:hAnsi="Univers"/>
      <w:sz w:val="24"/>
      <w:szCs w:val="24"/>
    </w:rPr>
  </w:style>
  <w:style w:type="character" w:styleId="UnresolvedMention">
    <w:name w:val="Unresolved Mention"/>
    <w:basedOn w:val="DefaultParagraphFont"/>
    <w:uiPriority w:val="99"/>
    <w:semiHidden/>
    <w:unhideWhenUsed/>
    <w:rsid w:val="005C2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344994">
      <w:bodyDiv w:val="1"/>
      <w:marLeft w:val="0"/>
      <w:marRight w:val="0"/>
      <w:marTop w:val="0"/>
      <w:marBottom w:val="0"/>
      <w:divBdr>
        <w:top w:val="none" w:sz="0" w:space="0" w:color="auto"/>
        <w:left w:val="none" w:sz="0" w:space="0" w:color="auto"/>
        <w:bottom w:val="none" w:sz="0" w:space="0" w:color="auto"/>
        <w:right w:val="none" w:sz="0" w:space="0" w:color="auto"/>
      </w:divBdr>
    </w:div>
    <w:div w:id="546645820">
      <w:bodyDiv w:val="1"/>
      <w:marLeft w:val="0"/>
      <w:marRight w:val="0"/>
      <w:marTop w:val="0"/>
      <w:marBottom w:val="0"/>
      <w:divBdr>
        <w:top w:val="none" w:sz="0" w:space="0" w:color="auto"/>
        <w:left w:val="none" w:sz="0" w:space="0" w:color="auto"/>
        <w:bottom w:val="none" w:sz="0" w:space="0" w:color="auto"/>
        <w:right w:val="none" w:sz="0" w:space="0" w:color="auto"/>
      </w:divBdr>
    </w:div>
    <w:div w:id="11801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openxmlformats.org/officeDocument/2006/relationships/settings" Target="settings.xml"/><Relationship Id="rId7" Type="http://schemas.openxmlformats.org/officeDocument/2006/relationships/hyperlink" Target="http://www.bls.gov/oes/current/naics4_9992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8</Pages>
  <Words>2396</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16123</CharactersWithSpaces>
  <SharedDoc>false</SharedDoc>
  <HLinks>
    <vt:vector size="12" baseType="variant">
      <vt:variant>
        <vt:i4>1900546</vt:i4>
      </vt:variant>
      <vt:variant>
        <vt:i4>11</vt:i4>
      </vt:variant>
      <vt:variant>
        <vt:i4>0</vt:i4>
      </vt:variant>
      <vt:variant>
        <vt:i4>5</vt:i4>
      </vt:variant>
      <vt:variant>
        <vt:lpwstr>http://www.bls.gov/news.release/pdf/ecec.pdf</vt:lpwstr>
      </vt:variant>
      <vt:variant>
        <vt:lpwstr/>
      </vt:variant>
      <vt:variant>
        <vt:i4>3407956</vt:i4>
      </vt:variant>
      <vt:variant>
        <vt:i4>2</vt:i4>
      </vt:variant>
      <vt:variant>
        <vt:i4>0</vt:i4>
      </vt:variant>
      <vt:variant>
        <vt:i4>5</vt:i4>
      </vt:variant>
      <vt:variant>
        <vt:lpwstr>mailto:steve.hohmann@ky.gov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jtreleas</dc:creator>
  <cp:lastModifiedBy>Gehlhar, Mark J</cp:lastModifiedBy>
  <cp:revision>9</cp:revision>
  <cp:lastPrinted>2015-12-22T11:49:00Z</cp:lastPrinted>
  <dcterms:created xsi:type="dcterms:W3CDTF">2021-09-11T19:39:00Z</dcterms:created>
  <dcterms:modified xsi:type="dcterms:W3CDTF">2021-09-12T22:06:00Z</dcterms:modified>
</cp:coreProperties>
</file>