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44E0A" w:rsidR="00295103" w:rsidRDefault="00295103" w14:paraId="10CAA9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144E0A">
        <w:rPr>
          <w:rFonts w:ascii="Arial" w:hAnsi="Arial" w:cs="Arial"/>
          <w:sz w:val="22"/>
          <w:szCs w:val="22"/>
          <w:lang w:val="en-CA"/>
        </w:rPr>
        <w:fldChar w:fldCharType="begin"/>
      </w:r>
      <w:r w:rsidRPr="00144E0A">
        <w:rPr>
          <w:rFonts w:ascii="Arial" w:hAnsi="Arial" w:cs="Arial"/>
          <w:sz w:val="22"/>
          <w:szCs w:val="22"/>
          <w:lang w:val="en-CA"/>
        </w:rPr>
        <w:instrText xml:space="preserve"> SEQ CHAPTER \h \r 1</w:instrText>
      </w:r>
      <w:r w:rsidRPr="00144E0A">
        <w:rPr>
          <w:rFonts w:ascii="Arial" w:hAnsi="Arial" w:cs="Arial"/>
          <w:sz w:val="22"/>
          <w:szCs w:val="22"/>
          <w:lang w:val="en-CA"/>
        </w:rPr>
        <w:fldChar w:fldCharType="end"/>
      </w:r>
      <w:r w:rsidRPr="00144E0A">
        <w:rPr>
          <w:rFonts w:ascii="Arial" w:hAnsi="Arial" w:cs="Arial"/>
          <w:b/>
          <w:bCs/>
          <w:sz w:val="22"/>
          <w:szCs w:val="22"/>
        </w:rPr>
        <w:t xml:space="preserve">Supporting </w:t>
      </w:r>
      <w:proofErr w:type="gramStart"/>
      <w:r w:rsidRPr="00144E0A">
        <w:rPr>
          <w:rFonts w:ascii="Arial" w:hAnsi="Arial" w:cs="Arial"/>
          <w:b/>
          <w:bCs/>
          <w:sz w:val="22"/>
          <w:szCs w:val="22"/>
        </w:rPr>
        <w:t>Statement</w:t>
      </w:r>
      <w:proofErr w:type="gramEnd"/>
      <w:r w:rsidRPr="00144E0A">
        <w:rPr>
          <w:rFonts w:ascii="Arial" w:hAnsi="Arial" w:cs="Arial"/>
          <w:b/>
          <w:bCs/>
          <w:sz w:val="22"/>
          <w:szCs w:val="22"/>
        </w:rPr>
        <w:t xml:space="preserve"> </w:t>
      </w:r>
      <w:r w:rsidRPr="00144E0A" w:rsidR="007851E9">
        <w:rPr>
          <w:rFonts w:ascii="Arial" w:hAnsi="Arial" w:cs="Arial"/>
          <w:b/>
          <w:bCs/>
          <w:sz w:val="22"/>
          <w:szCs w:val="22"/>
        </w:rPr>
        <w:t>A</w:t>
      </w:r>
    </w:p>
    <w:p w:rsidRPr="00144E0A" w:rsidR="009B359F" w:rsidRDefault="009B359F" w14:paraId="49E770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rsidRPr="00144E0A" w:rsidR="00295103" w:rsidP="00734ABC" w:rsidRDefault="00377DBD" w14:paraId="4EDC5D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144E0A">
        <w:rPr>
          <w:rFonts w:ascii="Arial" w:hAnsi="Arial" w:cs="Arial"/>
          <w:b/>
          <w:bCs/>
          <w:sz w:val="22"/>
          <w:szCs w:val="22"/>
        </w:rPr>
        <w:t>Class III Tribal State Gaming Compact Process</w:t>
      </w:r>
    </w:p>
    <w:p w:rsidRPr="00144E0A" w:rsidR="00734ABC" w:rsidP="00734ABC" w:rsidRDefault="00734ABC" w14:paraId="76EA68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p>
    <w:p w:rsidRPr="00144E0A" w:rsidR="00295103" w:rsidP="009B359F" w:rsidRDefault="00295103" w14:paraId="19AA95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r w:rsidRPr="00144E0A">
        <w:rPr>
          <w:rFonts w:ascii="Arial" w:hAnsi="Arial" w:cs="Arial"/>
          <w:b/>
          <w:bCs/>
          <w:sz w:val="22"/>
          <w:szCs w:val="22"/>
        </w:rPr>
        <w:t xml:space="preserve">OMB Control Number </w:t>
      </w:r>
      <w:r w:rsidRPr="00144E0A" w:rsidR="00551BB9">
        <w:rPr>
          <w:rFonts w:ascii="Arial" w:hAnsi="Arial" w:cs="Arial"/>
          <w:b/>
          <w:bCs/>
          <w:sz w:val="22"/>
          <w:szCs w:val="22"/>
        </w:rPr>
        <w:t>1076-0172</w:t>
      </w:r>
    </w:p>
    <w:p w:rsidRPr="00144E0A" w:rsidR="009B359F" w:rsidP="009B359F" w:rsidRDefault="009B359F" w14:paraId="4030A1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Pr="00144E0A" w:rsidR="009B359F" w:rsidP="000F3AF1" w:rsidRDefault="000F3AF1" w14:paraId="24A4CC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b/>
          <w:sz w:val="22"/>
          <w:szCs w:val="22"/>
        </w:rPr>
        <w:t>Terms of Clearance:</w:t>
      </w:r>
      <w:r w:rsidRPr="00144E0A">
        <w:rPr>
          <w:rFonts w:ascii="Arial" w:hAnsi="Arial" w:cs="Arial"/>
          <w:sz w:val="22"/>
          <w:szCs w:val="22"/>
        </w:rPr>
        <w:t xml:space="preserve"> </w:t>
      </w:r>
      <w:r w:rsidRPr="00144E0A" w:rsidR="002C2DA0">
        <w:rPr>
          <w:rFonts w:ascii="Arial" w:hAnsi="Arial" w:cs="Arial"/>
          <w:sz w:val="22"/>
          <w:szCs w:val="22"/>
        </w:rPr>
        <w:t>None.</w:t>
      </w:r>
    </w:p>
    <w:p w:rsidRPr="00144E0A" w:rsidR="009B359F" w:rsidP="009B359F" w:rsidRDefault="009B359F" w14:paraId="614787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Pr="00144E0A" w:rsidR="00295103" w:rsidRDefault="00295103" w14:paraId="102BCA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b/>
          <w:bCs/>
          <w:sz w:val="22"/>
          <w:szCs w:val="22"/>
        </w:rPr>
        <w:t>General Instructions</w:t>
      </w:r>
      <w:r w:rsidRPr="00144E0A">
        <w:rPr>
          <w:rFonts w:ascii="Arial" w:hAnsi="Arial" w:cs="Arial"/>
          <w:sz w:val="22"/>
          <w:szCs w:val="22"/>
        </w:rPr>
        <w:t xml:space="preserve"> </w:t>
      </w:r>
    </w:p>
    <w:p w:rsidRPr="00144E0A" w:rsidR="00295103" w:rsidRDefault="00295103" w14:paraId="68EC5A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4E5E93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b/>
          <w:bCs/>
          <w:sz w:val="22"/>
          <w:szCs w:val="22"/>
        </w:rPr>
        <w:t>Specific Instructions</w:t>
      </w:r>
    </w:p>
    <w:p w:rsidRPr="00144E0A" w:rsidR="00295103" w:rsidRDefault="00295103" w14:paraId="1D5274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7F5DC3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144E0A">
        <w:rPr>
          <w:rFonts w:ascii="Arial" w:hAnsi="Arial" w:cs="Arial"/>
          <w:b/>
          <w:bCs/>
          <w:sz w:val="22"/>
          <w:szCs w:val="22"/>
        </w:rPr>
        <w:t>Justification</w:t>
      </w:r>
    </w:p>
    <w:p w:rsidRPr="00144E0A" w:rsidR="00295103" w:rsidRDefault="00295103" w14:paraId="4B1A5B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4D28D7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1.</w:t>
      </w:r>
      <w:r w:rsidRPr="00144E0A">
        <w:rPr>
          <w:rFonts w:ascii="Arial" w:hAnsi="Arial" w:cs="Arial"/>
          <w:b/>
          <w:sz w:val="22"/>
          <w:szCs w:val="22"/>
        </w:rPr>
        <w:tab/>
        <w:t>Explain the circumstances that make the collection of information necessary.  Identify any legal or administrative requirements that necessitate the collection</w:t>
      </w:r>
      <w:r w:rsidRPr="00144E0A" w:rsidR="000F3AF1">
        <w:rPr>
          <w:rFonts w:ascii="Arial" w:hAnsi="Arial" w:cs="Arial"/>
          <w:b/>
          <w:sz w:val="22"/>
          <w:szCs w:val="22"/>
        </w:rPr>
        <w:t>.</w:t>
      </w:r>
    </w:p>
    <w:p w:rsidRPr="00144E0A" w:rsidR="00377DBD" w:rsidP="00377DBD" w:rsidRDefault="00377DBD" w14:paraId="32DDDAD3" w14:textId="77777777">
      <w:pPr>
        <w:rPr>
          <w:rFonts w:ascii="Arial" w:hAnsi="Arial" w:cs="Arial"/>
          <w:sz w:val="22"/>
          <w:szCs w:val="22"/>
        </w:rPr>
      </w:pPr>
    </w:p>
    <w:p w:rsidRPr="00144E0A" w:rsidR="00377DBD" w:rsidP="00377DBD" w:rsidRDefault="00377DBD" w14:paraId="0420A327" w14:textId="77777777">
      <w:pPr>
        <w:rPr>
          <w:rFonts w:ascii="Arial" w:hAnsi="Arial" w:cs="Arial"/>
          <w:color w:val="1F497D"/>
          <w:sz w:val="22"/>
          <w:szCs w:val="22"/>
        </w:rPr>
      </w:pPr>
      <w:r w:rsidRPr="00144E0A">
        <w:rPr>
          <w:rFonts w:ascii="Arial" w:hAnsi="Arial" w:cs="Arial"/>
          <w:sz w:val="22"/>
          <w:szCs w:val="22"/>
        </w:rPr>
        <w:t>The Secretary</w:t>
      </w:r>
      <w:r w:rsidRPr="00144E0A" w:rsidR="00E87AD9">
        <w:rPr>
          <w:rFonts w:ascii="Arial" w:hAnsi="Arial" w:cs="Arial"/>
          <w:sz w:val="22"/>
          <w:szCs w:val="22"/>
        </w:rPr>
        <w:t xml:space="preserve"> of the Interior (Secretary)</w:t>
      </w:r>
      <w:r w:rsidRPr="00144E0A">
        <w:rPr>
          <w:rFonts w:ascii="Arial" w:hAnsi="Arial" w:cs="Arial"/>
          <w:sz w:val="22"/>
          <w:szCs w:val="22"/>
        </w:rPr>
        <w:t xml:space="preserve"> has the authority to authorize Class III gaming activities on Indian lands under the Indian Gaming Regulatory Act (IGRA) and has promulgated regulations to implement IGRA at 25 CFR 293.</w:t>
      </w:r>
      <w:r w:rsidRPr="00144E0A">
        <w:rPr>
          <w:rFonts w:ascii="Arial" w:hAnsi="Arial" w:cs="Arial"/>
          <w:color w:val="1F497D"/>
          <w:sz w:val="22"/>
          <w:szCs w:val="22"/>
        </w:rPr>
        <w:t xml:space="preserve">  </w:t>
      </w:r>
      <w:r w:rsidRPr="00144E0A">
        <w:rPr>
          <w:rFonts w:ascii="Arial" w:hAnsi="Arial" w:cs="Arial"/>
          <w:sz w:val="22"/>
          <w:szCs w:val="22"/>
        </w:rPr>
        <w:t xml:space="preserve">The Secretary must approve, disapprove or “consider approved” (i.e. deem approved) a Tribal-State gaming compact or compact amendment and publish notice of that approval or considered approval in the Federal Register as promulgated regulations to implement the Act.  </w:t>
      </w:r>
      <w:r w:rsidRPr="00144E0A">
        <w:rPr>
          <w:rFonts w:ascii="Arial" w:hAnsi="Arial" w:cs="Arial"/>
          <w:i/>
          <w:sz w:val="22"/>
          <w:szCs w:val="22"/>
        </w:rPr>
        <w:t>See</w:t>
      </w:r>
      <w:r w:rsidRPr="00144E0A">
        <w:rPr>
          <w:rFonts w:ascii="Arial" w:hAnsi="Arial" w:cs="Arial"/>
          <w:sz w:val="22"/>
          <w:szCs w:val="22"/>
        </w:rPr>
        <w:t xml:space="preserve"> 25 U.S.C. 2710.  The Secretary must collect certain information to determine whether to approve, disapprove, or “consider approved” a Tribal-State gaming compact.  </w:t>
      </w:r>
    </w:p>
    <w:p w:rsidRPr="00144E0A" w:rsidR="002C2DA0" w:rsidRDefault="002C2DA0" w14:paraId="731FC2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2466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2.</w:t>
      </w:r>
      <w:r w:rsidRPr="00144E0A">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Pr="00144E0A" w:rsidR="00DE1FFE">
        <w:rPr>
          <w:rFonts w:ascii="Arial" w:hAnsi="Arial" w:cs="Arial"/>
          <w:b/>
          <w:sz w:val="22"/>
          <w:szCs w:val="22"/>
        </w:rPr>
        <w:t xml:space="preserve"> </w:t>
      </w:r>
      <w:r w:rsidRPr="00144E0A">
        <w:rPr>
          <w:rFonts w:ascii="Arial" w:hAnsi="Arial" w:cs="Arial"/>
          <w:b/>
          <w:sz w:val="22"/>
          <w:szCs w:val="22"/>
        </w:rPr>
        <w:t xml:space="preserve">Be specific.  If this collection is a form or a questionnaire, every </w:t>
      </w:r>
      <w:r w:rsidRPr="00144E0A" w:rsidR="00DE1FFE">
        <w:rPr>
          <w:rFonts w:ascii="Arial" w:hAnsi="Arial" w:cs="Arial"/>
          <w:b/>
          <w:sz w:val="22"/>
          <w:szCs w:val="22"/>
        </w:rPr>
        <w:t>question needs to be justified.</w:t>
      </w:r>
    </w:p>
    <w:p w:rsidRPr="00144E0A" w:rsidR="005F5E9F" w:rsidRDefault="005F5E9F" w14:paraId="1AA64C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377DBD" w:rsidP="00377DBD" w:rsidRDefault="00377DBD" w14:paraId="78C89F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sz w:val="22"/>
          <w:szCs w:val="22"/>
        </w:rPr>
        <w:t xml:space="preserve">Tribes and State governments submit Tribal-State compacts or compact amendments to the Secretary for review, approval, disapproval or considered approved.  The documentation that must be submitted with a Tribal-State compact or compact amendment </w:t>
      </w:r>
      <w:r w:rsidRPr="00144E0A" w:rsidR="0047795E">
        <w:rPr>
          <w:rFonts w:ascii="Arial" w:hAnsi="Arial" w:cs="Arial"/>
          <w:sz w:val="22"/>
          <w:szCs w:val="22"/>
        </w:rPr>
        <w:t>includes</w:t>
      </w:r>
      <w:r w:rsidRPr="00144E0A">
        <w:rPr>
          <w:rFonts w:ascii="Arial" w:hAnsi="Arial" w:cs="Arial"/>
          <w:sz w:val="22"/>
          <w:szCs w:val="22"/>
        </w:rPr>
        <w:t>:</w:t>
      </w:r>
    </w:p>
    <w:p w:rsidRPr="00144E0A" w:rsidR="00377DBD" w:rsidP="00377DBD" w:rsidRDefault="00377DBD" w14:paraId="439320B6" w14:textId="77777777">
      <w:pPr>
        <w:pStyle w:val="ListParagraph"/>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sz w:val="22"/>
          <w:szCs w:val="22"/>
        </w:rPr>
        <w:t xml:space="preserve">At least one original Tribal-State compact or compact amendment executed by both the Tribe and the </w:t>
      </w:r>
      <w:proofErr w:type="gramStart"/>
      <w:r w:rsidRPr="00144E0A">
        <w:rPr>
          <w:rFonts w:ascii="Arial" w:hAnsi="Arial" w:cs="Arial"/>
          <w:sz w:val="22"/>
          <w:szCs w:val="22"/>
        </w:rPr>
        <w:t>State;</w:t>
      </w:r>
      <w:proofErr w:type="gramEnd"/>
    </w:p>
    <w:p w:rsidRPr="00144E0A" w:rsidR="00377DBD" w:rsidP="00377DBD" w:rsidRDefault="00377DBD" w14:paraId="7E5ACFB0" w14:textId="77777777">
      <w:pPr>
        <w:pStyle w:val="ListParagraph"/>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sz w:val="22"/>
          <w:szCs w:val="22"/>
        </w:rPr>
        <w:t xml:space="preserve">A Tribal resolution or other document, including the date and place of adoption and the result of any vote taken, that certifies that the Tribe has adopted the Tribal-State compact or compact amendment in accordance with applicable Tribal </w:t>
      </w:r>
      <w:proofErr w:type="gramStart"/>
      <w:r w:rsidRPr="00144E0A">
        <w:rPr>
          <w:rFonts w:ascii="Arial" w:hAnsi="Arial" w:cs="Arial"/>
          <w:sz w:val="22"/>
          <w:szCs w:val="22"/>
        </w:rPr>
        <w:t>law;</w:t>
      </w:r>
      <w:proofErr w:type="gramEnd"/>
    </w:p>
    <w:p w:rsidRPr="00144E0A" w:rsidR="00377DBD" w:rsidP="00377DBD" w:rsidRDefault="00377DBD" w14:paraId="7CDE9084" w14:textId="77777777">
      <w:pPr>
        <w:pStyle w:val="ListParagraph"/>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sz w:val="22"/>
          <w:szCs w:val="22"/>
        </w:rPr>
        <w:t xml:space="preserve">Certification from the Governor or other representative of the State that he or she is authorized under State law to </w:t>
      </w:r>
      <w:proofErr w:type="gramStart"/>
      <w:r w:rsidRPr="00144E0A">
        <w:rPr>
          <w:rFonts w:ascii="Arial" w:hAnsi="Arial" w:cs="Arial"/>
          <w:sz w:val="22"/>
          <w:szCs w:val="22"/>
        </w:rPr>
        <w:t>enter into</w:t>
      </w:r>
      <w:proofErr w:type="gramEnd"/>
      <w:r w:rsidRPr="00144E0A">
        <w:rPr>
          <w:rFonts w:ascii="Arial" w:hAnsi="Arial" w:cs="Arial"/>
          <w:sz w:val="22"/>
          <w:szCs w:val="22"/>
        </w:rPr>
        <w:t xml:space="preserve"> the compact or amendment; and</w:t>
      </w:r>
    </w:p>
    <w:p w:rsidRPr="00144E0A" w:rsidR="00377DBD" w:rsidP="00377DBD" w:rsidRDefault="00377DBD" w14:paraId="015B0248" w14:textId="77777777">
      <w:pPr>
        <w:pStyle w:val="ListParagraph"/>
        <w:numPr>
          <w:ilvl w:val="0"/>
          <w:numId w:val="22"/>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sz w:val="22"/>
          <w:szCs w:val="22"/>
        </w:rPr>
        <w:t>Any other documentation requested by the Secretary that is necessary to determine whether to approve or disapprove the compact or amendment.</w:t>
      </w:r>
    </w:p>
    <w:p w:rsidRPr="00144E0A" w:rsidR="002C2DA0" w:rsidRDefault="002C2DA0" w14:paraId="1B732E0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2CBA24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3.</w:t>
      </w:r>
      <w:r w:rsidRPr="00144E0A">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144E0A" w:rsidR="003B5CB7" w:rsidRDefault="003B5CB7" w14:paraId="7C06EE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377DBD" w:rsidP="00377DBD" w:rsidRDefault="00377DBD" w14:paraId="30FB03F6" w14:textId="151CB385">
      <w:pPr>
        <w:rPr>
          <w:rFonts w:ascii="Arial" w:hAnsi="Arial" w:cs="Arial"/>
          <w:sz w:val="22"/>
          <w:szCs w:val="22"/>
        </w:rPr>
      </w:pPr>
      <w:r w:rsidRPr="00144E0A">
        <w:rPr>
          <w:rFonts w:ascii="Arial" w:hAnsi="Arial" w:cs="Arial"/>
          <w:sz w:val="22"/>
          <w:szCs w:val="22"/>
        </w:rPr>
        <w:t xml:space="preserve">The information contained in a proposed Class III Tribal State gaming compact or an amendment is unique to each Tribe. </w:t>
      </w:r>
      <w:r w:rsidR="00797BB6">
        <w:rPr>
          <w:rFonts w:ascii="Arial" w:hAnsi="Arial" w:cs="Arial"/>
          <w:sz w:val="22"/>
          <w:szCs w:val="22"/>
        </w:rPr>
        <w:t xml:space="preserve"> The Secretary (through the Office of Indian Gaming) accepts e</w:t>
      </w:r>
      <w:r w:rsidRPr="00144E0A">
        <w:rPr>
          <w:rFonts w:ascii="Arial" w:hAnsi="Arial" w:cs="Arial"/>
          <w:sz w:val="22"/>
          <w:szCs w:val="22"/>
        </w:rPr>
        <w:t>lectronic submission</w:t>
      </w:r>
      <w:r w:rsidR="00797BB6">
        <w:rPr>
          <w:rFonts w:ascii="Arial" w:hAnsi="Arial" w:cs="Arial"/>
          <w:sz w:val="22"/>
          <w:szCs w:val="22"/>
        </w:rPr>
        <w:t>s by email</w:t>
      </w:r>
      <w:r w:rsidRPr="00144E0A">
        <w:rPr>
          <w:rFonts w:ascii="Arial" w:hAnsi="Arial" w:cs="Arial"/>
          <w:sz w:val="22"/>
          <w:szCs w:val="22"/>
        </w:rPr>
        <w:t xml:space="preserve">.  </w:t>
      </w:r>
      <w:r w:rsidRPr="00144E0A" w:rsidR="003E4071">
        <w:rPr>
          <w:rFonts w:ascii="Arial" w:hAnsi="Arial" w:cs="Arial"/>
          <w:sz w:val="22"/>
          <w:szCs w:val="22"/>
        </w:rPr>
        <w:t>All d</w:t>
      </w:r>
      <w:r w:rsidRPr="00144E0A">
        <w:rPr>
          <w:rFonts w:ascii="Arial" w:hAnsi="Arial" w:cs="Arial"/>
          <w:sz w:val="22"/>
          <w:szCs w:val="22"/>
        </w:rPr>
        <w:t xml:space="preserve">ecision documents approving an application to conduct gaming on trust lands after October 17, </w:t>
      </w:r>
      <w:r w:rsidRPr="00144E0A" w:rsidR="006D794A">
        <w:rPr>
          <w:rFonts w:ascii="Arial" w:hAnsi="Arial" w:cs="Arial"/>
          <w:sz w:val="22"/>
          <w:szCs w:val="22"/>
        </w:rPr>
        <w:t xml:space="preserve">1988, are approved and stored at </w:t>
      </w:r>
      <w:r w:rsidRPr="00144E0A">
        <w:rPr>
          <w:rFonts w:ascii="Arial" w:hAnsi="Arial" w:cs="Arial"/>
          <w:sz w:val="22"/>
          <w:szCs w:val="22"/>
        </w:rPr>
        <w:t>Central Office.</w:t>
      </w:r>
    </w:p>
    <w:p w:rsidRPr="00144E0A" w:rsidR="00734ABC" w:rsidRDefault="00734ABC" w14:paraId="28D3B6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5D1F8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4.</w:t>
      </w:r>
      <w:r w:rsidRPr="00144E0A">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Pr="00144E0A" w:rsidR="00295103" w:rsidRDefault="00295103" w14:paraId="1CA55B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377DBD" w:rsidP="00377DBD" w:rsidRDefault="00377DBD" w14:paraId="0EAF8BC8" w14:textId="77777777">
      <w:pPr>
        <w:rPr>
          <w:rFonts w:ascii="Arial" w:hAnsi="Arial" w:cs="Arial"/>
          <w:sz w:val="22"/>
          <w:szCs w:val="22"/>
        </w:rPr>
      </w:pPr>
      <w:r w:rsidRPr="00144E0A">
        <w:rPr>
          <w:rFonts w:ascii="Arial" w:hAnsi="Arial" w:cs="Arial"/>
          <w:sz w:val="22"/>
          <w:szCs w:val="22"/>
        </w:rPr>
        <w:t xml:space="preserve">This information is not duplicated in any other data collection.  The information required is unique to each Tribe and must be updated to ensure the Tribal-State gaming compacts remains effective.  </w:t>
      </w:r>
    </w:p>
    <w:p w:rsidRPr="00144E0A" w:rsidR="00734ABC" w:rsidRDefault="00734ABC" w14:paraId="7F922E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Pr="00144E0A" w:rsidR="00295103" w:rsidRDefault="00295103" w14:paraId="2611C3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5.</w:t>
      </w:r>
      <w:r w:rsidRPr="00144E0A">
        <w:rPr>
          <w:rFonts w:ascii="Arial" w:hAnsi="Arial" w:cs="Arial"/>
          <w:b/>
          <w:sz w:val="22"/>
          <w:szCs w:val="22"/>
        </w:rPr>
        <w:tab/>
        <w:t>If the collection of information impacts small bus</w:t>
      </w:r>
      <w:r w:rsidRPr="00144E0A" w:rsidR="006E339F">
        <w:rPr>
          <w:rFonts w:ascii="Arial" w:hAnsi="Arial" w:cs="Arial"/>
          <w:b/>
          <w:sz w:val="22"/>
          <w:szCs w:val="22"/>
        </w:rPr>
        <w:t>inesses or other small entities</w:t>
      </w:r>
      <w:r w:rsidRPr="00144E0A">
        <w:rPr>
          <w:rFonts w:ascii="Arial" w:hAnsi="Arial" w:cs="Arial"/>
          <w:b/>
          <w:sz w:val="22"/>
          <w:szCs w:val="22"/>
        </w:rPr>
        <w:t>, describe any methods used to minimize burden.</w:t>
      </w:r>
    </w:p>
    <w:p w:rsidRPr="00144E0A" w:rsidR="00295103" w:rsidRDefault="00295103" w14:paraId="12758B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377DBD" w:rsidP="00377DBD" w:rsidRDefault="00377DBD" w14:paraId="42770C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sz w:val="22"/>
          <w:szCs w:val="22"/>
        </w:rPr>
        <w:t>The collection of this information does not impact small businesses or other small entities.  Tribes are not considered to be small entities by the federal government for these purposes.</w:t>
      </w:r>
    </w:p>
    <w:p w:rsidRPr="00144E0A" w:rsidR="002C2DA0" w:rsidRDefault="002C2DA0" w14:paraId="6C2AE6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44D6E1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6.</w:t>
      </w:r>
      <w:r w:rsidRPr="00144E0A">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144E0A" w:rsidR="00295103" w:rsidRDefault="00295103" w14:paraId="028965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377DBD" w:rsidP="00377DBD" w:rsidRDefault="00377DBD" w14:paraId="6C0E47A8" w14:textId="77777777">
      <w:pPr>
        <w:rPr>
          <w:rFonts w:ascii="Arial" w:hAnsi="Arial" w:cs="Arial"/>
          <w:sz w:val="22"/>
          <w:szCs w:val="22"/>
        </w:rPr>
      </w:pPr>
      <w:r w:rsidRPr="00144E0A">
        <w:rPr>
          <w:rFonts w:ascii="Arial" w:hAnsi="Arial" w:cs="Arial"/>
          <w:color w:val="000000"/>
          <w:sz w:val="22"/>
          <w:szCs w:val="22"/>
        </w:rPr>
        <w:t>Without this information collection, the Secretary cannot ensure that the provisions of IGRA, State law, Federal law and the trust obligations of the United States are met.  Therefore, we cannot reduce the burden.  The information is collected when the Class III Tribal State gaming compacts or compact amendments are submitted.</w:t>
      </w:r>
    </w:p>
    <w:p w:rsidRPr="00144E0A" w:rsidR="002C2DA0" w:rsidRDefault="002C2DA0" w14:paraId="7ADFDF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798E69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7.</w:t>
      </w:r>
      <w:r w:rsidRPr="00144E0A">
        <w:rPr>
          <w:rFonts w:ascii="Arial" w:hAnsi="Arial" w:cs="Arial"/>
          <w:b/>
          <w:sz w:val="22"/>
          <w:szCs w:val="22"/>
        </w:rPr>
        <w:tab/>
        <w:t>Explain any special circumstances that would cause an information collection to be conducted in a manner:</w:t>
      </w:r>
    </w:p>
    <w:p w:rsidRPr="00144E0A" w:rsidR="00295103" w:rsidRDefault="00295103" w14:paraId="6764B8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t>*</w:t>
      </w:r>
      <w:r w:rsidRPr="00144E0A">
        <w:rPr>
          <w:rFonts w:ascii="Arial" w:hAnsi="Arial" w:cs="Arial"/>
          <w:b/>
          <w:sz w:val="22"/>
          <w:szCs w:val="22"/>
        </w:rPr>
        <w:tab/>
        <w:t xml:space="preserve">requiring respondents to report information to the agency more often than </w:t>
      </w:r>
      <w:proofErr w:type="gramStart"/>
      <w:r w:rsidRPr="00144E0A">
        <w:rPr>
          <w:rFonts w:ascii="Arial" w:hAnsi="Arial" w:cs="Arial"/>
          <w:b/>
          <w:sz w:val="22"/>
          <w:szCs w:val="22"/>
        </w:rPr>
        <w:t>quarterly;</w:t>
      </w:r>
      <w:proofErr w:type="gramEnd"/>
    </w:p>
    <w:p w:rsidRPr="00144E0A" w:rsidR="00295103" w:rsidRDefault="007A471F" w14:paraId="1E046E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sz w:val="22"/>
          <w:szCs w:val="22"/>
        </w:rPr>
        <w:tab/>
      </w:r>
      <w:r w:rsidRPr="00144E0A" w:rsidR="00295103">
        <w:rPr>
          <w:rFonts w:ascii="Arial" w:hAnsi="Arial" w:cs="Arial"/>
          <w:b/>
          <w:sz w:val="22"/>
          <w:szCs w:val="22"/>
        </w:rPr>
        <w:t>*</w:t>
      </w:r>
      <w:r w:rsidRPr="00144E0A" w:rsidR="00295103">
        <w:rPr>
          <w:rFonts w:ascii="Arial" w:hAnsi="Arial" w:cs="Arial"/>
          <w:b/>
          <w:sz w:val="22"/>
          <w:szCs w:val="22"/>
        </w:rPr>
        <w:tab/>
        <w:t xml:space="preserve">requiring respondents to prepare a written response to a collection of information in fewer than 30 days after receipt of </w:t>
      </w:r>
      <w:proofErr w:type="gramStart"/>
      <w:r w:rsidRPr="00144E0A" w:rsidR="00295103">
        <w:rPr>
          <w:rFonts w:ascii="Arial" w:hAnsi="Arial" w:cs="Arial"/>
          <w:b/>
          <w:sz w:val="22"/>
          <w:szCs w:val="22"/>
        </w:rPr>
        <w:t>it;</w:t>
      </w:r>
      <w:proofErr w:type="gramEnd"/>
    </w:p>
    <w:p w:rsidRPr="00144E0A" w:rsidR="00295103" w:rsidRDefault="008464BB" w14:paraId="2B05F3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r>
      <w:r w:rsidRPr="00144E0A" w:rsidR="00295103">
        <w:rPr>
          <w:rFonts w:ascii="Arial" w:hAnsi="Arial" w:cs="Arial"/>
          <w:b/>
          <w:sz w:val="22"/>
          <w:szCs w:val="22"/>
        </w:rPr>
        <w:t>*</w:t>
      </w:r>
      <w:r w:rsidRPr="00144E0A" w:rsidR="00295103">
        <w:rPr>
          <w:rFonts w:ascii="Arial" w:hAnsi="Arial" w:cs="Arial"/>
          <w:b/>
          <w:sz w:val="22"/>
          <w:szCs w:val="22"/>
        </w:rPr>
        <w:tab/>
        <w:t xml:space="preserve">requiring respondents to submit more than an original and two copies of any </w:t>
      </w:r>
      <w:proofErr w:type="gramStart"/>
      <w:r w:rsidRPr="00144E0A" w:rsidR="00295103">
        <w:rPr>
          <w:rFonts w:ascii="Arial" w:hAnsi="Arial" w:cs="Arial"/>
          <w:b/>
          <w:sz w:val="22"/>
          <w:szCs w:val="22"/>
        </w:rPr>
        <w:t>document;</w:t>
      </w:r>
      <w:proofErr w:type="gramEnd"/>
    </w:p>
    <w:p w:rsidRPr="00144E0A" w:rsidR="00295103" w:rsidRDefault="008464BB" w14:paraId="1E6B95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r>
      <w:r w:rsidRPr="00144E0A" w:rsidR="00295103">
        <w:rPr>
          <w:rFonts w:ascii="Arial" w:hAnsi="Arial" w:cs="Arial"/>
          <w:b/>
          <w:sz w:val="22"/>
          <w:szCs w:val="22"/>
        </w:rPr>
        <w:t>*</w:t>
      </w:r>
      <w:r w:rsidRPr="00144E0A" w:rsidR="00295103">
        <w:rPr>
          <w:rFonts w:ascii="Arial" w:hAnsi="Arial" w:cs="Arial"/>
          <w:b/>
          <w:sz w:val="22"/>
          <w:szCs w:val="22"/>
        </w:rPr>
        <w:tab/>
        <w:t xml:space="preserve">requiring respondents to retain records, other than health, medical, government contract, grant-in-aid, or tax records, for more than three </w:t>
      </w:r>
      <w:proofErr w:type="gramStart"/>
      <w:r w:rsidRPr="00144E0A" w:rsidR="00295103">
        <w:rPr>
          <w:rFonts w:ascii="Arial" w:hAnsi="Arial" w:cs="Arial"/>
          <w:b/>
          <w:sz w:val="22"/>
          <w:szCs w:val="22"/>
        </w:rPr>
        <w:t>years;</w:t>
      </w:r>
      <w:proofErr w:type="gramEnd"/>
    </w:p>
    <w:p w:rsidRPr="00144E0A" w:rsidR="00295103" w:rsidRDefault="008464BB" w14:paraId="205EB6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r>
      <w:r w:rsidRPr="00144E0A" w:rsidR="00295103">
        <w:rPr>
          <w:rFonts w:ascii="Arial" w:hAnsi="Arial" w:cs="Arial"/>
          <w:b/>
          <w:sz w:val="22"/>
          <w:szCs w:val="22"/>
        </w:rPr>
        <w:t>*</w:t>
      </w:r>
      <w:r w:rsidRPr="00144E0A" w:rsidR="00295103">
        <w:rPr>
          <w:rFonts w:ascii="Arial" w:hAnsi="Arial" w:cs="Arial"/>
          <w:b/>
          <w:sz w:val="22"/>
          <w:szCs w:val="22"/>
        </w:rPr>
        <w:tab/>
        <w:t>in conne</w:t>
      </w:r>
      <w:r w:rsidRPr="00144E0A" w:rsidR="00352210">
        <w:rPr>
          <w:rFonts w:ascii="Arial" w:hAnsi="Arial" w:cs="Arial"/>
          <w:b/>
          <w:sz w:val="22"/>
          <w:szCs w:val="22"/>
        </w:rPr>
        <w:t>ction with a statistical survey</w:t>
      </w:r>
      <w:r w:rsidRPr="00144E0A" w:rsidR="00295103">
        <w:rPr>
          <w:rFonts w:ascii="Arial" w:hAnsi="Arial" w:cs="Arial"/>
          <w:b/>
          <w:sz w:val="22"/>
          <w:szCs w:val="22"/>
        </w:rPr>
        <w:t xml:space="preserve"> that is not designed to produce valid and reliable results that can be generalized to the universe of </w:t>
      </w:r>
      <w:proofErr w:type="gramStart"/>
      <w:r w:rsidRPr="00144E0A" w:rsidR="00295103">
        <w:rPr>
          <w:rFonts w:ascii="Arial" w:hAnsi="Arial" w:cs="Arial"/>
          <w:b/>
          <w:sz w:val="22"/>
          <w:szCs w:val="22"/>
        </w:rPr>
        <w:t>study;</w:t>
      </w:r>
      <w:proofErr w:type="gramEnd"/>
    </w:p>
    <w:p w:rsidRPr="00144E0A" w:rsidR="00295103" w:rsidRDefault="008464BB" w14:paraId="6C9EAF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r>
      <w:r w:rsidRPr="00144E0A" w:rsidR="00295103">
        <w:rPr>
          <w:rFonts w:ascii="Arial" w:hAnsi="Arial" w:cs="Arial"/>
          <w:b/>
          <w:sz w:val="22"/>
          <w:szCs w:val="22"/>
        </w:rPr>
        <w:t>*</w:t>
      </w:r>
      <w:r w:rsidRPr="00144E0A" w:rsidR="00295103">
        <w:rPr>
          <w:rFonts w:ascii="Arial" w:hAnsi="Arial" w:cs="Arial"/>
          <w:b/>
          <w:sz w:val="22"/>
          <w:szCs w:val="22"/>
        </w:rPr>
        <w:tab/>
        <w:t xml:space="preserve">requiring the use of a statistical data classification that has not been reviewed and approved by </w:t>
      </w:r>
      <w:proofErr w:type="gramStart"/>
      <w:r w:rsidRPr="00144E0A" w:rsidR="00295103">
        <w:rPr>
          <w:rFonts w:ascii="Arial" w:hAnsi="Arial" w:cs="Arial"/>
          <w:b/>
          <w:sz w:val="22"/>
          <w:szCs w:val="22"/>
        </w:rPr>
        <w:t>OMB;</w:t>
      </w:r>
      <w:proofErr w:type="gramEnd"/>
    </w:p>
    <w:p w:rsidRPr="00144E0A" w:rsidR="00295103" w:rsidRDefault="008464BB" w14:paraId="1EBBAB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r>
      <w:r w:rsidRPr="00144E0A" w:rsidR="00295103">
        <w:rPr>
          <w:rFonts w:ascii="Arial" w:hAnsi="Arial" w:cs="Arial"/>
          <w:b/>
          <w:sz w:val="22"/>
          <w:szCs w:val="22"/>
        </w:rPr>
        <w:t>*</w:t>
      </w:r>
      <w:r w:rsidRPr="00144E0A" w:rsidR="00295103">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44E0A" w:rsidR="00295103" w:rsidRDefault="008464BB" w14:paraId="20A896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r>
      <w:r w:rsidRPr="00144E0A" w:rsidR="00295103">
        <w:rPr>
          <w:rFonts w:ascii="Arial" w:hAnsi="Arial" w:cs="Arial"/>
          <w:b/>
          <w:sz w:val="22"/>
          <w:szCs w:val="22"/>
        </w:rPr>
        <w:t>*</w:t>
      </w:r>
      <w:r w:rsidRPr="00144E0A" w:rsidR="00295103">
        <w:rPr>
          <w:rFonts w:ascii="Arial" w:hAnsi="Arial" w:cs="Arial"/>
          <w:b/>
          <w:sz w:val="22"/>
          <w:szCs w:val="22"/>
        </w:rPr>
        <w:tab/>
        <w:t>requiring respondents to submit proprietary trade secrets, or other confidential information</w:t>
      </w:r>
      <w:r w:rsidRPr="00144E0A" w:rsidR="00352210">
        <w:rPr>
          <w:rFonts w:ascii="Arial" w:hAnsi="Arial" w:cs="Arial"/>
          <w:b/>
          <w:sz w:val="22"/>
          <w:szCs w:val="22"/>
        </w:rPr>
        <w:t>,</w:t>
      </w:r>
      <w:r w:rsidRPr="00144E0A" w:rsidR="00295103">
        <w:rPr>
          <w:rFonts w:ascii="Arial" w:hAnsi="Arial" w:cs="Arial"/>
          <w:b/>
          <w:sz w:val="22"/>
          <w:szCs w:val="22"/>
        </w:rPr>
        <w:t xml:space="preserve"> unless the agency can demonstrate that it has instituted procedures </w:t>
      </w:r>
      <w:r w:rsidRPr="00144E0A" w:rsidR="00295103">
        <w:rPr>
          <w:rFonts w:ascii="Arial" w:hAnsi="Arial" w:cs="Arial"/>
          <w:b/>
          <w:sz w:val="22"/>
          <w:szCs w:val="22"/>
        </w:rPr>
        <w:lastRenderedPageBreak/>
        <w:t>to protect the information's confidentiality to the extent permitted by law.</w:t>
      </w:r>
    </w:p>
    <w:p w:rsidRPr="00144E0A" w:rsidR="002C2DA0" w:rsidRDefault="002C2DA0" w14:paraId="7E98D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Pr="00144E0A" w:rsidR="00377DBD" w:rsidP="00377DBD" w:rsidRDefault="00377DBD" w14:paraId="4936584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3366FF"/>
          <w:sz w:val="22"/>
          <w:szCs w:val="22"/>
        </w:rPr>
      </w:pPr>
      <w:r w:rsidRPr="00144E0A">
        <w:rPr>
          <w:rFonts w:ascii="Arial" w:hAnsi="Arial" w:cs="Arial"/>
          <w:sz w:val="22"/>
          <w:szCs w:val="22"/>
        </w:rPr>
        <w:t xml:space="preserve">There are no special circumstances that will apply to this collection.  </w:t>
      </w:r>
    </w:p>
    <w:p w:rsidRPr="00144E0A" w:rsidR="008B1596" w:rsidRDefault="008B1596" w14:paraId="44E4F3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Pr="00144E0A" w:rsidR="00295103" w:rsidRDefault="00295103" w14:paraId="1E4F3AD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8.</w:t>
      </w:r>
      <w:r w:rsidRPr="00144E0A">
        <w:rPr>
          <w:rFonts w:ascii="Arial" w:hAnsi="Arial" w:cs="Arial"/>
          <w:b/>
          <w:sz w:val="22"/>
          <w:szCs w:val="22"/>
        </w:rPr>
        <w:tab/>
        <w:t xml:space="preserve">If applicable, provide a copy and identify the date and page number of </w:t>
      </w:r>
      <w:proofErr w:type="gramStart"/>
      <w:r w:rsidRPr="00144E0A">
        <w:rPr>
          <w:rFonts w:ascii="Arial" w:hAnsi="Arial" w:cs="Arial"/>
          <w:b/>
          <w:sz w:val="22"/>
          <w:szCs w:val="22"/>
        </w:rPr>
        <w:t>publication</w:t>
      </w:r>
      <w:proofErr w:type="gramEnd"/>
      <w:r w:rsidRPr="00144E0A">
        <w:rPr>
          <w:rFonts w:ascii="Arial" w:hAnsi="Arial" w:cs="Arial"/>
          <w:b/>
          <w:sz w:val="22"/>
          <w:szCs w:val="22"/>
        </w:rPr>
        <w:t xml:space="preserve"> in the Federal Register of the agency's notice, required by 5 CFR 1320.8(d), soliciting comments on the information collection prior to submission to OMB.  Summarize public comments recei</w:t>
      </w:r>
      <w:r w:rsidRPr="00144E0A" w:rsidR="00DE1FFE">
        <w:rPr>
          <w:rFonts w:ascii="Arial" w:hAnsi="Arial" w:cs="Arial"/>
          <w:b/>
          <w:sz w:val="22"/>
          <w:szCs w:val="22"/>
        </w:rPr>
        <w:t xml:space="preserve">ved in response to that notice </w:t>
      </w:r>
      <w:r w:rsidRPr="00144E0A">
        <w:rPr>
          <w:rFonts w:ascii="Arial" w:hAnsi="Arial" w:cs="Arial"/>
          <w:b/>
          <w:sz w:val="22"/>
          <w:szCs w:val="22"/>
        </w:rPr>
        <w:t>and in response to the PRA statement associated with the collec</w:t>
      </w:r>
      <w:r w:rsidRPr="00144E0A" w:rsidR="00DE1FFE">
        <w:rPr>
          <w:rFonts w:ascii="Arial" w:hAnsi="Arial" w:cs="Arial"/>
          <w:b/>
          <w:sz w:val="22"/>
          <w:szCs w:val="22"/>
        </w:rPr>
        <w:t xml:space="preserve">tion over the past three years, </w:t>
      </w:r>
      <w:r w:rsidRPr="00144E0A">
        <w:rPr>
          <w:rFonts w:ascii="Arial" w:hAnsi="Arial" w:cs="Arial"/>
          <w:b/>
          <w:sz w:val="22"/>
          <w:szCs w:val="22"/>
        </w:rPr>
        <w:t>and describe actions taken by the agency in response to these comments.  Specifically address comments received on cost and hour burden.</w:t>
      </w:r>
    </w:p>
    <w:p w:rsidRPr="00144E0A" w:rsidR="002C2DA0" w:rsidP="002C2DA0" w:rsidRDefault="002C2DA0" w14:paraId="608FF5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p w:rsidRPr="00144E0A" w:rsidR="00377DBD" w:rsidP="00377DBD" w:rsidRDefault="00377DBD" w14:paraId="0DCB568C" w14:textId="1E25FFE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sz w:val="22"/>
          <w:szCs w:val="22"/>
        </w:rPr>
        <w:t xml:space="preserve">A 60-day notice for public comments was published in the Federal Register on </w:t>
      </w:r>
      <w:r w:rsidR="00144E0A">
        <w:rPr>
          <w:rFonts w:ascii="Arial" w:hAnsi="Arial" w:cs="Arial"/>
          <w:sz w:val="22"/>
          <w:szCs w:val="22"/>
        </w:rPr>
        <w:t>March 26</w:t>
      </w:r>
      <w:r w:rsidRPr="00144E0A" w:rsidR="00E87AD9">
        <w:rPr>
          <w:rFonts w:ascii="Arial" w:hAnsi="Arial" w:cs="Arial"/>
          <w:sz w:val="22"/>
          <w:szCs w:val="22"/>
        </w:rPr>
        <w:t>, 20</w:t>
      </w:r>
      <w:r w:rsidR="00144E0A">
        <w:rPr>
          <w:rFonts w:ascii="Arial" w:hAnsi="Arial" w:cs="Arial"/>
          <w:sz w:val="22"/>
          <w:szCs w:val="22"/>
        </w:rPr>
        <w:t>21</w:t>
      </w:r>
      <w:r w:rsidRPr="00144E0A" w:rsidR="00E87AD9">
        <w:rPr>
          <w:rFonts w:ascii="Arial" w:hAnsi="Arial" w:cs="Arial"/>
          <w:sz w:val="22"/>
          <w:szCs w:val="22"/>
        </w:rPr>
        <w:t xml:space="preserve"> (8</w:t>
      </w:r>
      <w:r w:rsidR="00144E0A">
        <w:rPr>
          <w:rFonts w:ascii="Arial" w:hAnsi="Arial" w:cs="Arial"/>
          <w:sz w:val="22"/>
          <w:szCs w:val="22"/>
        </w:rPr>
        <w:t>6</w:t>
      </w:r>
      <w:r w:rsidRPr="00144E0A" w:rsidR="00203A20">
        <w:rPr>
          <w:rFonts w:ascii="Arial" w:hAnsi="Arial" w:cs="Arial"/>
          <w:sz w:val="22"/>
          <w:szCs w:val="22"/>
        </w:rPr>
        <w:t xml:space="preserve"> FR </w:t>
      </w:r>
      <w:r w:rsidR="00144E0A">
        <w:rPr>
          <w:rFonts w:ascii="Arial" w:hAnsi="Arial" w:cs="Arial"/>
          <w:sz w:val="22"/>
          <w:szCs w:val="22"/>
        </w:rPr>
        <w:t>16234</w:t>
      </w:r>
      <w:r w:rsidRPr="00144E0A">
        <w:rPr>
          <w:rFonts w:ascii="Arial" w:hAnsi="Arial" w:cs="Arial"/>
          <w:sz w:val="22"/>
          <w:szCs w:val="22"/>
        </w:rPr>
        <w:t xml:space="preserve">). </w:t>
      </w:r>
      <w:r w:rsidRPr="00144E0A" w:rsidR="00EB7E17">
        <w:rPr>
          <w:rFonts w:ascii="Arial" w:hAnsi="Arial" w:cs="Arial"/>
          <w:sz w:val="22"/>
          <w:szCs w:val="22"/>
        </w:rPr>
        <w:t xml:space="preserve"> </w:t>
      </w:r>
      <w:r w:rsidRPr="00144E0A" w:rsidR="00E87AD9">
        <w:rPr>
          <w:rFonts w:ascii="Arial" w:hAnsi="Arial" w:cs="Arial"/>
          <w:sz w:val="22"/>
          <w:szCs w:val="22"/>
        </w:rPr>
        <w:t>No</w:t>
      </w:r>
      <w:r w:rsidRPr="00144E0A" w:rsidR="00EB7E17">
        <w:rPr>
          <w:rFonts w:ascii="Arial" w:hAnsi="Arial" w:cs="Arial"/>
          <w:sz w:val="22"/>
          <w:szCs w:val="22"/>
        </w:rPr>
        <w:t xml:space="preserve"> comments </w:t>
      </w:r>
      <w:r w:rsidRPr="00144E0A" w:rsidR="00E87AD9">
        <w:rPr>
          <w:rFonts w:ascii="Arial" w:hAnsi="Arial" w:cs="Arial"/>
          <w:sz w:val="22"/>
          <w:szCs w:val="22"/>
        </w:rPr>
        <w:t xml:space="preserve">were </w:t>
      </w:r>
      <w:r w:rsidRPr="00144E0A" w:rsidR="00EB7E17">
        <w:rPr>
          <w:rFonts w:ascii="Arial" w:hAnsi="Arial" w:cs="Arial"/>
          <w:sz w:val="22"/>
          <w:szCs w:val="22"/>
        </w:rPr>
        <w:t>received in response to this notice.</w:t>
      </w:r>
    </w:p>
    <w:p w:rsidRPr="00144E0A" w:rsidR="005F5E9F" w:rsidP="005F5E9F" w:rsidRDefault="005F5E9F" w14:paraId="4CC4012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166D8C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144E0A">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44E0A" w:rsidR="00352210">
        <w:rPr>
          <w:rFonts w:ascii="Arial" w:hAnsi="Arial" w:cs="Arial"/>
          <w:b/>
          <w:sz w:val="22"/>
          <w:szCs w:val="22"/>
        </w:rPr>
        <w:t>.</w:t>
      </w:r>
    </w:p>
    <w:p w:rsidRPr="00144E0A" w:rsidR="003B5CB7" w:rsidP="002C2DA0" w:rsidRDefault="003B5CB7" w14:paraId="03C5980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4E6521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144E0A">
        <w:rPr>
          <w:rFonts w:ascii="Arial" w:hAnsi="Arial" w:cs="Arial"/>
          <w:b/>
          <w:sz w:val="22"/>
          <w:szCs w:val="22"/>
        </w:rPr>
        <w:t xml:space="preserve">Consultation with representatives of those from whom information is to be obtained or those who must compile records should occur at least once every </w:t>
      </w:r>
      <w:r w:rsidRPr="00144E0A" w:rsidR="00352210">
        <w:rPr>
          <w:rFonts w:ascii="Arial" w:hAnsi="Arial" w:cs="Arial"/>
          <w:b/>
          <w:sz w:val="22"/>
          <w:szCs w:val="22"/>
        </w:rPr>
        <w:t>three</w:t>
      </w:r>
      <w:r w:rsidRPr="00144E0A">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Pr="00144E0A" w:rsidR="00295103" w:rsidRDefault="00295103" w14:paraId="18C8BB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144E0A" w:rsidR="00EB7E17" w:rsidP="00797BB6" w:rsidRDefault="005B07B9" w14:paraId="67CD909C" w14:textId="3CE0CD4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sz w:val="22"/>
          <w:szCs w:val="22"/>
        </w:rPr>
      </w:pPr>
      <w:r w:rsidRPr="00144E0A">
        <w:rPr>
          <w:rFonts w:ascii="Arial" w:hAnsi="Arial" w:cs="Arial"/>
          <w:color w:val="000000"/>
          <w:sz w:val="22"/>
          <w:szCs w:val="22"/>
        </w:rPr>
        <w:t xml:space="preserve">The following persons outside the agency were contacted to obtain </w:t>
      </w:r>
      <w:r w:rsidRPr="00144E0A" w:rsidR="00EB7E17">
        <w:rPr>
          <w:rFonts w:ascii="Arial" w:hAnsi="Arial" w:cs="Arial"/>
          <w:color w:val="000000"/>
          <w:sz w:val="22"/>
          <w:szCs w:val="22"/>
        </w:rPr>
        <w:t xml:space="preserve">their views on the availability </w:t>
      </w:r>
      <w:r w:rsidRPr="00144E0A">
        <w:rPr>
          <w:rFonts w:ascii="Arial" w:hAnsi="Arial" w:cs="Arial"/>
          <w:color w:val="000000"/>
          <w:sz w:val="22"/>
          <w:szCs w:val="22"/>
        </w:rPr>
        <w:t xml:space="preserve">of data, frequency of collection, the clarity of instructions and recordkeeping, disclosure, or reporting format (if any), and on the data elements to be recorded, disclosed, or reported:  </w:t>
      </w:r>
      <w:r w:rsidRPr="00144E0A" w:rsidR="00631B72">
        <w:rPr>
          <w:rFonts w:ascii="Arial" w:hAnsi="Arial" w:cs="Arial"/>
          <w:color w:val="000000"/>
          <w:sz w:val="22"/>
          <w:szCs w:val="22"/>
        </w:rPr>
        <w:t xml:space="preserve">an attorney </w:t>
      </w:r>
      <w:r w:rsidR="00797BB6">
        <w:rPr>
          <w:rFonts w:ascii="Arial" w:hAnsi="Arial" w:cs="Arial"/>
          <w:color w:val="000000"/>
          <w:sz w:val="22"/>
          <w:szCs w:val="22"/>
        </w:rPr>
        <w:t xml:space="preserve">with </w:t>
      </w:r>
      <w:r w:rsidRPr="00144E0A" w:rsidR="00631B72">
        <w:rPr>
          <w:rFonts w:ascii="Arial" w:hAnsi="Arial" w:cs="Arial"/>
          <w:color w:val="000000"/>
          <w:sz w:val="22"/>
          <w:szCs w:val="22"/>
        </w:rPr>
        <w:t>the</w:t>
      </w:r>
      <w:r w:rsidRPr="00144E0A">
        <w:rPr>
          <w:rFonts w:ascii="Arial" w:hAnsi="Arial" w:cs="Arial"/>
          <w:color w:val="000000"/>
          <w:sz w:val="22"/>
          <w:szCs w:val="22"/>
        </w:rPr>
        <w:t xml:space="preserve"> </w:t>
      </w:r>
      <w:r w:rsidR="00797BB6">
        <w:rPr>
          <w:rFonts w:ascii="Arial" w:hAnsi="Arial" w:cs="Arial"/>
          <w:color w:val="000000"/>
          <w:sz w:val="22"/>
          <w:szCs w:val="22"/>
        </w:rPr>
        <w:t xml:space="preserve">Wyatt Rosette law firm, 411 Perimeter Center Place, Oklahoma City, OK 73112; an attorney with Hobbs Straus Dean and Walker, </w:t>
      </w:r>
      <w:r w:rsidRPr="00797BB6" w:rsidR="00797BB6">
        <w:rPr>
          <w:rFonts w:ascii="Arial" w:hAnsi="Arial" w:cs="Arial"/>
          <w:color w:val="000000"/>
          <w:sz w:val="22"/>
          <w:szCs w:val="22"/>
        </w:rPr>
        <w:t>1899 L Street, NW</w:t>
      </w:r>
      <w:r w:rsidR="00797BB6">
        <w:rPr>
          <w:rFonts w:ascii="Arial" w:hAnsi="Arial" w:cs="Arial"/>
          <w:color w:val="000000"/>
          <w:sz w:val="22"/>
          <w:szCs w:val="22"/>
        </w:rPr>
        <w:t xml:space="preserve">, </w:t>
      </w:r>
      <w:r w:rsidRPr="00797BB6" w:rsidR="00797BB6">
        <w:rPr>
          <w:rFonts w:ascii="Arial" w:hAnsi="Arial" w:cs="Arial"/>
          <w:color w:val="000000"/>
          <w:sz w:val="22"/>
          <w:szCs w:val="22"/>
        </w:rPr>
        <w:t>Suite 1200</w:t>
      </w:r>
      <w:r w:rsidR="00797BB6">
        <w:rPr>
          <w:rFonts w:ascii="Arial" w:hAnsi="Arial" w:cs="Arial"/>
          <w:color w:val="000000"/>
          <w:sz w:val="22"/>
          <w:szCs w:val="22"/>
        </w:rPr>
        <w:t xml:space="preserve">, </w:t>
      </w:r>
      <w:r w:rsidRPr="00797BB6" w:rsidR="00797BB6">
        <w:rPr>
          <w:rFonts w:ascii="Arial" w:hAnsi="Arial" w:cs="Arial"/>
          <w:color w:val="000000"/>
          <w:sz w:val="22"/>
          <w:szCs w:val="22"/>
        </w:rPr>
        <w:t>Washington, DC 20036</w:t>
      </w:r>
      <w:r w:rsidRPr="00144E0A" w:rsidR="00631B72">
        <w:rPr>
          <w:rFonts w:ascii="Arial" w:hAnsi="Arial" w:cs="Arial"/>
          <w:color w:val="000000"/>
          <w:sz w:val="22"/>
          <w:szCs w:val="22"/>
        </w:rPr>
        <w:t xml:space="preserve">; </w:t>
      </w:r>
      <w:r w:rsidR="00797BB6">
        <w:rPr>
          <w:rFonts w:ascii="Arial" w:hAnsi="Arial" w:cs="Arial"/>
          <w:color w:val="000000"/>
          <w:sz w:val="22"/>
          <w:szCs w:val="22"/>
        </w:rPr>
        <w:t xml:space="preserve">and </w:t>
      </w:r>
      <w:r w:rsidRPr="00144E0A" w:rsidR="00631B72">
        <w:rPr>
          <w:rFonts w:ascii="Arial" w:hAnsi="Arial" w:cs="Arial"/>
          <w:color w:val="000000"/>
          <w:sz w:val="22"/>
          <w:szCs w:val="22"/>
        </w:rPr>
        <w:t xml:space="preserve">an attorney with </w:t>
      </w:r>
      <w:r w:rsidRPr="00144E0A">
        <w:rPr>
          <w:rFonts w:ascii="Arial" w:hAnsi="Arial" w:cs="Arial"/>
          <w:color w:val="000000"/>
          <w:sz w:val="22"/>
          <w:szCs w:val="22"/>
        </w:rPr>
        <w:t>Dentons</w:t>
      </w:r>
      <w:r w:rsidRPr="00144E0A" w:rsidR="00B642F3">
        <w:rPr>
          <w:rFonts w:ascii="Arial" w:hAnsi="Arial" w:cs="Arial"/>
          <w:color w:val="000000"/>
          <w:sz w:val="22"/>
          <w:szCs w:val="22"/>
        </w:rPr>
        <w:t xml:space="preserve"> US LLP, 1301 K Street NW, Suite 600 E Tower,</w:t>
      </w:r>
      <w:r w:rsidRPr="00144E0A">
        <w:rPr>
          <w:rFonts w:ascii="Arial" w:hAnsi="Arial" w:cs="Arial"/>
          <w:color w:val="000000"/>
          <w:sz w:val="22"/>
          <w:szCs w:val="22"/>
        </w:rPr>
        <w:t xml:space="preserve"> Washington, D.C. </w:t>
      </w:r>
      <w:r w:rsidRPr="00144E0A" w:rsidR="00B642F3">
        <w:rPr>
          <w:rFonts w:ascii="Arial" w:hAnsi="Arial" w:cs="Arial"/>
          <w:color w:val="000000"/>
          <w:sz w:val="22"/>
          <w:szCs w:val="22"/>
        </w:rPr>
        <w:t>20005</w:t>
      </w:r>
      <w:r w:rsidR="00797BB6">
        <w:rPr>
          <w:rFonts w:ascii="Arial" w:hAnsi="Arial" w:cs="Arial"/>
          <w:color w:val="000000"/>
          <w:sz w:val="22"/>
          <w:szCs w:val="22"/>
        </w:rPr>
        <w:t xml:space="preserve">. Each of these individuals have been employed by Tribes to prepare and submit Tribal-State compacts. </w:t>
      </w:r>
      <w:r w:rsidRPr="00144E0A" w:rsidR="00EB7E17">
        <w:rPr>
          <w:rFonts w:ascii="Arial" w:hAnsi="Arial" w:cs="Arial"/>
          <w:color w:val="000000"/>
          <w:sz w:val="22"/>
          <w:szCs w:val="22"/>
        </w:rPr>
        <w:t xml:space="preserve">In summary, </w:t>
      </w:r>
      <w:r w:rsidRPr="00144E0A" w:rsidR="0047795E">
        <w:rPr>
          <w:rFonts w:ascii="Arial" w:hAnsi="Arial" w:cs="Arial"/>
          <w:color w:val="000000"/>
          <w:sz w:val="22"/>
          <w:szCs w:val="22"/>
        </w:rPr>
        <w:t>they</w:t>
      </w:r>
      <w:r w:rsidRPr="00144E0A" w:rsidR="00EB7E17">
        <w:rPr>
          <w:rFonts w:ascii="Arial" w:hAnsi="Arial" w:cs="Arial"/>
          <w:color w:val="000000"/>
          <w:sz w:val="22"/>
          <w:szCs w:val="22"/>
        </w:rPr>
        <w:t xml:space="preserve"> </w:t>
      </w:r>
      <w:r w:rsidR="00797BB6">
        <w:rPr>
          <w:rFonts w:ascii="Arial" w:hAnsi="Arial" w:cs="Arial"/>
          <w:color w:val="000000"/>
          <w:sz w:val="22"/>
          <w:szCs w:val="22"/>
        </w:rPr>
        <w:t>all stated that it is clear what information must be submitted and that the b</w:t>
      </w:r>
      <w:r w:rsidRPr="00144E0A" w:rsidR="00EB7E17">
        <w:rPr>
          <w:rFonts w:ascii="Arial" w:hAnsi="Arial" w:cs="Arial"/>
          <w:color w:val="000000"/>
          <w:sz w:val="22"/>
          <w:szCs w:val="22"/>
        </w:rPr>
        <w:t xml:space="preserve">urden </w:t>
      </w:r>
      <w:r w:rsidR="00797BB6">
        <w:rPr>
          <w:rFonts w:ascii="Arial" w:hAnsi="Arial" w:cs="Arial"/>
          <w:color w:val="000000"/>
          <w:sz w:val="22"/>
          <w:szCs w:val="22"/>
        </w:rPr>
        <w:t xml:space="preserve">estimates are reasonable.  </w:t>
      </w:r>
      <w:r w:rsidRPr="00144E0A" w:rsidR="00EB7E17">
        <w:rPr>
          <w:rFonts w:ascii="Arial" w:hAnsi="Arial" w:cs="Arial"/>
          <w:color w:val="000000"/>
          <w:sz w:val="22"/>
          <w:szCs w:val="22"/>
        </w:rPr>
        <w:t>Based on this feedback, no changes were made to this information collection.</w:t>
      </w:r>
    </w:p>
    <w:p w:rsidRPr="00144E0A" w:rsidR="00EB7E17" w:rsidRDefault="00EB7E17" w14:paraId="5431A7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color w:val="000000"/>
          <w:sz w:val="22"/>
          <w:szCs w:val="22"/>
        </w:rPr>
      </w:pPr>
    </w:p>
    <w:p w:rsidRPr="00144E0A" w:rsidR="00295103" w:rsidRDefault="00295103" w14:paraId="0FF6E3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9.</w:t>
      </w:r>
      <w:r w:rsidRPr="00144E0A">
        <w:rPr>
          <w:rFonts w:ascii="Arial" w:hAnsi="Arial" w:cs="Arial"/>
          <w:b/>
          <w:sz w:val="22"/>
          <w:szCs w:val="22"/>
        </w:rPr>
        <w:tab/>
        <w:t>Explain any decision to provide any payment or gift to respondents, other than remuneration of contractors or grantees.</w:t>
      </w:r>
    </w:p>
    <w:p w:rsidRPr="00144E0A" w:rsidR="00D7712F" w:rsidP="002C2DA0" w:rsidRDefault="00D7712F" w14:paraId="0D7282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Pr="00144E0A" w:rsidR="00377DBD" w:rsidP="00377DBD" w:rsidRDefault="00377DBD" w14:paraId="7CFDD6D4" w14:textId="77777777">
      <w:pPr>
        <w:rPr>
          <w:rFonts w:ascii="Arial" w:hAnsi="Arial" w:cs="Arial"/>
          <w:sz w:val="22"/>
          <w:szCs w:val="22"/>
        </w:rPr>
      </w:pPr>
      <w:r w:rsidRPr="00144E0A">
        <w:rPr>
          <w:rFonts w:ascii="Arial" w:hAnsi="Arial" w:cs="Arial"/>
          <w:sz w:val="22"/>
          <w:szCs w:val="22"/>
        </w:rPr>
        <w:t xml:space="preserve">Respondents will not receive any payment, gift, or other remuneration for providing the information collection requirements. </w:t>
      </w:r>
    </w:p>
    <w:p w:rsidRPr="00144E0A" w:rsidR="00295103" w:rsidRDefault="00295103" w14:paraId="312783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144E0A" w:rsidR="004A6DFA" w:rsidRDefault="00295103" w14:paraId="53F8CC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10.</w:t>
      </w:r>
      <w:r w:rsidRPr="00144E0A">
        <w:rPr>
          <w:rFonts w:ascii="Arial" w:hAnsi="Arial" w:cs="Arial"/>
          <w:b/>
          <w:sz w:val="22"/>
          <w:szCs w:val="22"/>
        </w:rPr>
        <w:tab/>
        <w:t>Describe any assurance of confidentiality provided to respondents and the basis for the assurance in statute, regulation, or agency policy.</w:t>
      </w:r>
    </w:p>
    <w:p w:rsidRPr="00144E0A" w:rsidR="003D048D" w:rsidP="003D048D" w:rsidRDefault="003D048D" w14:paraId="0AB91AD8" w14:textId="77777777">
      <w:pPr>
        <w:pStyle w:val="NormalWeb"/>
        <w:spacing w:before="0" w:beforeAutospacing="0" w:after="0" w:afterAutospacing="0"/>
        <w:rPr>
          <w:rFonts w:ascii="Arial" w:hAnsi="Arial" w:cs="Arial"/>
          <w:sz w:val="22"/>
          <w:szCs w:val="22"/>
        </w:rPr>
      </w:pPr>
    </w:p>
    <w:p w:rsidRPr="00144E0A" w:rsidR="00377DBD" w:rsidP="00377DBD" w:rsidRDefault="00377DBD" w14:paraId="7A477734" w14:textId="77777777">
      <w:pPr>
        <w:rPr>
          <w:rFonts w:ascii="Arial" w:hAnsi="Arial" w:cs="Arial"/>
          <w:sz w:val="22"/>
          <w:szCs w:val="22"/>
        </w:rPr>
      </w:pPr>
      <w:r w:rsidRPr="00144E0A">
        <w:rPr>
          <w:rFonts w:ascii="Arial" w:hAnsi="Arial" w:cs="Arial"/>
          <w:sz w:val="22"/>
          <w:szCs w:val="22"/>
        </w:rPr>
        <w:t xml:space="preserve">There is no assurance of confidentiality provided to respondents in connection with the information collection requirements. </w:t>
      </w:r>
    </w:p>
    <w:p w:rsidRPr="00144E0A" w:rsidR="003D048D" w:rsidP="003D048D" w:rsidRDefault="003D048D" w14:paraId="22B50293" w14:textId="77777777">
      <w:pPr>
        <w:pStyle w:val="NormalWeb"/>
        <w:spacing w:before="0" w:beforeAutospacing="0" w:after="0" w:afterAutospacing="0"/>
        <w:rPr>
          <w:rFonts w:ascii="Arial" w:hAnsi="Arial" w:cs="Arial"/>
          <w:b/>
          <w:sz w:val="22"/>
          <w:szCs w:val="22"/>
        </w:rPr>
      </w:pPr>
    </w:p>
    <w:p w:rsidRPr="00144E0A" w:rsidR="00295103" w:rsidRDefault="00295103" w14:paraId="15307E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11.</w:t>
      </w:r>
      <w:r w:rsidRPr="00144E0A">
        <w:rPr>
          <w:rFonts w:ascii="Arial" w:hAnsi="Arial" w:cs="Arial"/>
          <w:b/>
          <w:sz w:val="22"/>
          <w:szCs w:val="22"/>
        </w:rPr>
        <w:tab/>
        <w:t xml:space="preserve">Provide additional justification for any questions of a sensitive nature, such as sexual </w:t>
      </w:r>
      <w:r w:rsidRPr="00144E0A">
        <w:rPr>
          <w:rFonts w:ascii="Arial" w:hAnsi="Arial" w:cs="Arial"/>
          <w:b/>
          <w:sz w:val="22"/>
          <w:szCs w:val="22"/>
        </w:rPr>
        <w:lastRenderedPageBreak/>
        <w:t>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44E0A" w:rsidR="00D7712F" w:rsidP="002C2DA0" w:rsidRDefault="00D7712F" w14:paraId="00709CDC"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377DBD" w:rsidP="00377DBD" w:rsidRDefault="00377DBD" w14:paraId="7B3E608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144E0A">
        <w:rPr>
          <w:rFonts w:ascii="Arial" w:hAnsi="Arial" w:cs="Arial"/>
          <w:bCs/>
          <w:sz w:val="22"/>
          <w:szCs w:val="22"/>
        </w:rPr>
        <w:t xml:space="preserve">The information collection does not request any information of sensitive nature. </w:t>
      </w:r>
    </w:p>
    <w:p w:rsidRPr="00144E0A" w:rsidR="00295103" w:rsidRDefault="00295103" w14:paraId="230A65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144E0A" w:rsidR="00295103" w:rsidRDefault="00295103" w14:paraId="60F5FC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12.</w:t>
      </w:r>
      <w:r w:rsidRPr="00144E0A">
        <w:rPr>
          <w:rFonts w:ascii="Arial" w:hAnsi="Arial" w:cs="Arial"/>
          <w:b/>
          <w:sz w:val="22"/>
          <w:szCs w:val="22"/>
        </w:rPr>
        <w:tab/>
        <w:t>Provide estimates of the hour burden of the collection of information.  The statement should:</w:t>
      </w:r>
    </w:p>
    <w:p w:rsidRPr="00144E0A" w:rsidR="00295103" w:rsidRDefault="00295103" w14:paraId="57D785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t>*</w:t>
      </w:r>
      <w:r w:rsidRPr="00144E0A">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44E0A" w:rsidR="00295103" w:rsidRDefault="00295103" w14:paraId="022609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t>*</w:t>
      </w:r>
      <w:r w:rsidRPr="00144E0A">
        <w:rPr>
          <w:rFonts w:ascii="Arial" w:hAnsi="Arial" w:cs="Arial"/>
          <w:b/>
          <w:sz w:val="22"/>
          <w:szCs w:val="22"/>
        </w:rPr>
        <w:tab/>
        <w:t xml:space="preserve">If this request for approval covers more than one form, provide separate hour burden estimates for each </w:t>
      </w:r>
      <w:proofErr w:type="gramStart"/>
      <w:r w:rsidRPr="00144E0A">
        <w:rPr>
          <w:rFonts w:ascii="Arial" w:hAnsi="Arial" w:cs="Arial"/>
          <w:b/>
          <w:sz w:val="22"/>
          <w:szCs w:val="22"/>
        </w:rPr>
        <w:t>form</w:t>
      </w:r>
      <w:proofErr w:type="gramEnd"/>
      <w:r w:rsidRPr="00144E0A">
        <w:rPr>
          <w:rFonts w:ascii="Arial" w:hAnsi="Arial" w:cs="Arial"/>
          <w:b/>
          <w:sz w:val="22"/>
          <w:szCs w:val="22"/>
        </w:rPr>
        <w:t xml:space="preserve"> and aggregate the hour burdens.</w:t>
      </w:r>
    </w:p>
    <w:p w:rsidRPr="00144E0A" w:rsidR="00295103" w:rsidRDefault="00295103" w14:paraId="0839E8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t>*</w:t>
      </w:r>
      <w:r w:rsidRPr="00144E0A">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144E0A" w:rsidR="00DE7630">
        <w:rPr>
          <w:rFonts w:ascii="Arial" w:hAnsi="Arial" w:cs="Arial"/>
          <w:b/>
          <w:sz w:val="22"/>
          <w:szCs w:val="22"/>
        </w:rPr>
        <w:t>.</w:t>
      </w:r>
    </w:p>
    <w:p w:rsidRPr="00144E0A" w:rsidR="00D7712F" w:rsidP="002C2DA0" w:rsidRDefault="00D7712F" w14:paraId="308F92E1"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377DBD" w:rsidP="006D794A" w:rsidRDefault="00377DBD" w14:paraId="0F0291FB" w14:textId="6394E1F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144E0A">
        <w:rPr>
          <w:rFonts w:ascii="Arial" w:hAnsi="Arial" w:cs="Arial"/>
          <w:bCs/>
          <w:sz w:val="22"/>
          <w:szCs w:val="22"/>
        </w:rPr>
        <w:t xml:space="preserve">Annual reporting and record keeping for this collection of information is estimated to average </w:t>
      </w:r>
      <w:r w:rsidRPr="00144E0A" w:rsidR="003E4071">
        <w:rPr>
          <w:rFonts w:ascii="Arial" w:hAnsi="Arial" w:cs="Arial"/>
          <w:bCs/>
          <w:sz w:val="22"/>
          <w:szCs w:val="22"/>
        </w:rPr>
        <w:t>200</w:t>
      </w:r>
      <w:r w:rsidRPr="00144E0A">
        <w:rPr>
          <w:rFonts w:ascii="Arial" w:hAnsi="Arial" w:cs="Arial"/>
          <w:bCs/>
          <w:sz w:val="22"/>
          <w:szCs w:val="22"/>
        </w:rPr>
        <w:t xml:space="preserve"> hours for approximately </w:t>
      </w:r>
      <w:r w:rsidRPr="00144E0A" w:rsidR="003E4071">
        <w:rPr>
          <w:rFonts w:ascii="Arial" w:hAnsi="Arial" w:cs="Arial"/>
          <w:bCs/>
          <w:sz w:val="22"/>
          <w:szCs w:val="22"/>
        </w:rPr>
        <w:t>40</w:t>
      </w:r>
      <w:r w:rsidRPr="00144E0A">
        <w:rPr>
          <w:rFonts w:ascii="Arial" w:hAnsi="Arial" w:cs="Arial"/>
          <w:bCs/>
          <w:sz w:val="22"/>
          <w:szCs w:val="22"/>
        </w:rPr>
        <w:t xml:space="preserve"> respondents, annually, which is based on previous experience and information received from individuals consulted regarding this information collection.  This estimate includes the time for reviewing instructions, researching existing data sources, </w:t>
      </w:r>
      <w:proofErr w:type="gramStart"/>
      <w:r w:rsidRPr="00144E0A">
        <w:rPr>
          <w:rFonts w:ascii="Arial" w:hAnsi="Arial" w:cs="Arial"/>
          <w:bCs/>
          <w:sz w:val="22"/>
          <w:szCs w:val="22"/>
        </w:rPr>
        <w:t>gathering</w:t>
      </w:r>
      <w:proofErr w:type="gramEnd"/>
      <w:r w:rsidRPr="00144E0A">
        <w:rPr>
          <w:rFonts w:ascii="Arial" w:hAnsi="Arial" w:cs="Arial"/>
          <w:bCs/>
          <w:sz w:val="22"/>
          <w:szCs w:val="22"/>
        </w:rPr>
        <w:t xml:space="preserve"> and maintaining the data needed, and completing and reviewing the collection of information.  This is a one-time submission by the respondent and will not need renewal.  Therefore, the total annual estimated burden is </w:t>
      </w:r>
      <w:r w:rsidRPr="00144E0A" w:rsidR="003E4071">
        <w:rPr>
          <w:rFonts w:ascii="Arial" w:hAnsi="Arial" w:cs="Arial"/>
          <w:bCs/>
          <w:sz w:val="22"/>
          <w:szCs w:val="22"/>
        </w:rPr>
        <w:t>8</w:t>
      </w:r>
      <w:r w:rsidRPr="00144E0A">
        <w:rPr>
          <w:rFonts w:ascii="Arial" w:hAnsi="Arial" w:cs="Arial"/>
          <w:bCs/>
          <w:sz w:val="22"/>
          <w:szCs w:val="22"/>
        </w:rPr>
        <w:t>,</w:t>
      </w:r>
      <w:r w:rsidRPr="00144E0A" w:rsidR="000F27B2">
        <w:rPr>
          <w:rFonts w:ascii="Arial" w:hAnsi="Arial" w:cs="Arial"/>
          <w:bCs/>
          <w:sz w:val="22"/>
          <w:szCs w:val="22"/>
        </w:rPr>
        <w:t>0</w:t>
      </w:r>
      <w:r w:rsidRPr="00144E0A" w:rsidR="003E4071">
        <w:rPr>
          <w:rFonts w:ascii="Arial" w:hAnsi="Arial" w:cs="Arial"/>
          <w:bCs/>
          <w:sz w:val="22"/>
          <w:szCs w:val="22"/>
        </w:rPr>
        <w:t>00</w:t>
      </w:r>
      <w:r w:rsidRPr="00144E0A" w:rsidR="00551BB9">
        <w:rPr>
          <w:rFonts w:ascii="Arial" w:hAnsi="Arial" w:cs="Arial"/>
          <w:bCs/>
          <w:sz w:val="22"/>
          <w:szCs w:val="22"/>
        </w:rPr>
        <w:t xml:space="preserve"> hours or the amount equivalent to $</w:t>
      </w:r>
      <w:r w:rsidR="00284470">
        <w:rPr>
          <w:rFonts w:ascii="Arial" w:hAnsi="Arial" w:cs="Arial"/>
          <w:bCs/>
          <w:sz w:val="22"/>
          <w:szCs w:val="22"/>
        </w:rPr>
        <w:t>308,800.</w:t>
      </w:r>
    </w:p>
    <w:p w:rsidRPr="00144E0A" w:rsidR="00377DBD" w:rsidP="00377DBD" w:rsidRDefault="00377DBD" w14:paraId="70A7030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p>
    <w:p w:rsidRPr="00144E0A" w:rsidR="00377DBD" w:rsidP="00377DBD" w:rsidRDefault="00377DBD" w14:paraId="522B94D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p>
    <w:tbl>
      <w:tblPr>
        <w:tblW w:w="9018"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13"/>
        <w:gridCol w:w="1361"/>
        <w:gridCol w:w="1675"/>
        <w:gridCol w:w="1578"/>
        <w:gridCol w:w="1526"/>
        <w:gridCol w:w="1365"/>
      </w:tblGrid>
      <w:tr w:rsidRPr="00144E0A" w:rsidR="00FC5FB7" w:rsidTr="00FC5FB7" w14:paraId="5F547254" w14:textId="77777777">
        <w:tc>
          <w:tcPr>
            <w:tcW w:w="1445" w:type="dxa"/>
          </w:tcPr>
          <w:p w:rsidRPr="00144E0A" w:rsidR="00FC5FB7" w:rsidP="004D7C8D" w:rsidRDefault="00FC5FB7" w14:paraId="6CF90EC8"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144E0A">
              <w:rPr>
                <w:rFonts w:ascii="Arial" w:hAnsi="Arial" w:cs="Arial"/>
                <w:bCs/>
                <w:sz w:val="22"/>
                <w:szCs w:val="22"/>
              </w:rPr>
              <w:t># of Respondents</w:t>
            </w:r>
          </w:p>
        </w:tc>
        <w:tc>
          <w:tcPr>
            <w:tcW w:w="1365" w:type="dxa"/>
          </w:tcPr>
          <w:p w:rsidRPr="00144E0A" w:rsidR="00FC5FB7" w:rsidP="004D7C8D" w:rsidRDefault="00FC5FB7" w14:paraId="29B90E5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144E0A">
              <w:rPr>
                <w:rFonts w:ascii="Arial" w:hAnsi="Arial" w:cs="Arial"/>
                <w:bCs/>
                <w:sz w:val="22"/>
                <w:szCs w:val="22"/>
              </w:rPr>
              <w:t>Frequency of Response</w:t>
            </w:r>
          </w:p>
        </w:tc>
        <w:tc>
          <w:tcPr>
            <w:tcW w:w="1690" w:type="dxa"/>
          </w:tcPr>
          <w:p w:rsidRPr="00144E0A" w:rsidR="00FC5FB7" w:rsidP="004D7C8D" w:rsidRDefault="00FC5FB7" w14:paraId="3B67C08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144E0A">
              <w:rPr>
                <w:rFonts w:ascii="Arial" w:hAnsi="Arial" w:cs="Arial"/>
                <w:bCs/>
                <w:sz w:val="22"/>
                <w:szCs w:val="22"/>
              </w:rPr>
              <w:t>Time per Response</w:t>
            </w:r>
          </w:p>
        </w:tc>
        <w:tc>
          <w:tcPr>
            <w:tcW w:w="1599" w:type="dxa"/>
          </w:tcPr>
          <w:p w:rsidRPr="00144E0A" w:rsidR="00FC5FB7" w:rsidP="004D7C8D" w:rsidRDefault="00FC5FB7" w14:paraId="1650BE6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144E0A">
              <w:rPr>
                <w:rFonts w:ascii="Arial" w:hAnsi="Arial" w:cs="Arial"/>
                <w:bCs/>
                <w:sz w:val="22"/>
                <w:szCs w:val="22"/>
              </w:rPr>
              <w:t>Total Burden Hours</w:t>
            </w:r>
          </w:p>
        </w:tc>
        <w:tc>
          <w:tcPr>
            <w:tcW w:w="1547" w:type="dxa"/>
          </w:tcPr>
          <w:p w:rsidRPr="00144E0A" w:rsidR="00FC5FB7" w:rsidP="004D7C8D" w:rsidRDefault="00FC5FB7" w14:paraId="32A4347B"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144E0A">
              <w:rPr>
                <w:rFonts w:ascii="Arial" w:hAnsi="Arial" w:cs="Arial"/>
                <w:bCs/>
                <w:sz w:val="22"/>
                <w:szCs w:val="22"/>
              </w:rPr>
              <w:t>Hourly Rate*</w:t>
            </w:r>
          </w:p>
        </w:tc>
        <w:tc>
          <w:tcPr>
            <w:tcW w:w="1372" w:type="dxa"/>
          </w:tcPr>
          <w:p w:rsidRPr="00144E0A" w:rsidR="00FC5FB7" w:rsidP="004D7C8D" w:rsidRDefault="00FC5FB7" w14:paraId="607E10B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144E0A">
              <w:rPr>
                <w:rFonts w:ascii="Arial" w:hAnsi="Arial" w:cs="Arial"/>
                <w:b/>
                <w:bCs/>
                <w:sz w:val="22"/>
                <w:szCs w:val="22"/>
              </w:rPr>
              <w:t>Total</w:t>
            </w:r>
          </w:p>
        </w:tc>
      </w:tr>
      <w:tr w:rsidRPr="00144E0A" w:rsidR="00FC5FB7" w:rsidTr="00FC5FB7" w14:paraId="67313798" w14:textId="77777777">
        <w:trPr>
          <w:trHeight w:val="350"/>
        </w:trPr>
        <w:tc>
          <w:tcPr>
            <w:tcW w:w="1445" w:type="dxa"/>
          </w:tcPr>
          <w:p w:rsidRPr="00144E0A" w:rsidR="00FC5FB7" w:rsidP="004D7C8D" w:rsidRDefault="00FC5FB7" w14:paraId="45B2FAA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144E0A">
              <w:rPr>
                <w:rFonts w:ascii="Arial" w:hAnsi="Arial" w:cs="Arial"/>
                <w:bCs/>
                <w:sz w:val="22"/>
                <w:szCs w:val="22"/>
              </w:rPr>
              <w:t>40</w:t>
            </w:r>
          </w:p>
        </w:tc>
        <w:tc>
          <w:tcPr>
            <w:tcW w:w="1365" w:type="dxa"/>
          </w:tcPr>
          <w:p w:rsidRPr="00144E0A" w:rsidR="00FC5FB7" w:rsidP="000F27B2" w:rsidRDefault="00FC5FB7" w14:paraId="7E468EF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144E0A">
              <w:rPr>
                <w:rFonts w:ascii="Arial" w:hAnsi="Arial" w:cs="Arial"/>
                <w:bCs/>
                <w:sz w:val="22"/>
                <w:szCs w:val="22"/>
              </w:rPr>
              <w:t>1</w:t>
            </w:r>
          </w:p>
        </w:tc>
        <w:tc>
          <w:tcPr>
            <w:tcW w:w="1690" w:type="dxa"/>
          </w:tcPr>
          <w:p w:rsidRPr="00144E0A" w:rsidR="00FC5FB7" w:rsidP="004D7C8D" w:rsidRDefault="00FC5FB7" w14:paraId="73E87432"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144E0A">
              <w:rPr>
                <w:rFonts w:ascii="Arial" w:hAnsi="Arial" w:cs="Arial"/>
                <w:bCs/>
                <w:sz w:val="22"/>
                <w:szCs w:val="22"/>
              </w:rPr>
              <w:t>200 hours</w:t>
            </w:r>
          </w:p>
        </w:tc>
        <w:tc>
          <w:tcPr>
            <w:tcW w:w="1599" w:type="dxa"/>
          </w:tcPr>
          <w:p w:rsidRPr="00144E0A" w:rsidR="00FC5FB7" w:rsidP="000F27B2" w:rsidRDefault="00FC5FB7" w14:paraId="37BE9EC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144E0A">
              <w:rPr>
                <w:rFonts w:ascii="Arial" w:hAnsi="Arial" w:cs="Arial"/>
                <w:bCs/>
                <w:sz w:val="22"/>
                <w:szCs w:val="22"/>
              </w:rPr>
              <w:t>8,000 hours</w:t>
            </w:r>
          </w:p>
        </w:tc>
        <w:tc>
          <w:tcPr>
            <w:tcW w:w="1547" w:type="dxa"/>
          </w:tcPr>
          <w:p w:rsidRPr="00144E0A" w:rsidR="00FC5FB7" w:rsidP="000F27B2" w:rsidRDefault="00FC5FB7" w14:paraId="26DDC81B" w14:textId="7453B7D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144E0A">
              <w:rPr>
                <w:rFonts w:ascii="Arial" w:hAnsi="Arial" w:cs="Arial"/>
                <w:bCs/>
                <w:sz w:val="22"/>
                <w:szCs w:val="22"/>
              </w:rPr>
              <w:t>$</w:t>
            </w:r>
            <w:r w:rsidR="00144E0A">
              <w:rPr>
                <w:rFonts w:ascii="Arial" w:hAnsi="Arial" w:cs="Arial"/>
                <w:bCs/>
                <w:sz w:val="22"/>
                <w:szCs w:val="22"/>
              </w:rPr>
              <w:t>38.60</w:t>
            </w:r>
          </w:p>
        </w:tc>
        <w:tc>
          <w:tcPr>
            <w:tcW w:w="1372" w:type="dxa"/>
          </w:tcPr>
          <w:p w:rsidRPr="00144E0A" w:rsidR="00FC5FB7" w:rsidP="00FC5FB7" w:rsidRDefault="00FC5FB7" w14:paraId="255273CD" w14:textId="0334A87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144E0A">
              <w:rPr>
                <w:rFonts w:ascii="Arial" w:hAnsi="Arial" w:cs="Arial"/>
                <w:b/>
                <w:bCs/>
                <w:sz w:val="22"/>
                <w:szCs w:val="22"/>
              </w:rPr>
              <w:t>$</w:t>
            </w:r>
            <w:r w:rsidR="00144E0A">
              <w:rPr>
                <w:rFonts w:ascii="Arial" w:hAnsi="Arial" w:cs="Arial"/>
                <w:b/>
                <w:bCs/>
                <w:sz w:val="22"/>
                <w:szCs w:val="22"/>
              </w:rPr>
              <w:t>308,800</w:t>
            </w:r>
          </w:p>
        </w:tc>
      </w:tr>
    </w:tbl>
    <w:p w:rsidRPr="00144E0A" w:rsidR="00377DBD" w:rsidP="00734ABC" w:rsidRDefault="00377DBD" w14:paraId="662E9DEE" w14:textId="77777777">
      <w:pPr>
        <w:rPr>
          <w:rFonts w:ascii="Arial" w:hAnsi="Arial" w:cs="Arial"/>
          <w:sz w:val="22"/>
          <w:szCs w:val="22"/>
        </w:rPr>
      </w:pPr>
    </w:p>
    <w:p w:rsidRPr="00263BCA" w:rsidR="00144E0A" w:rsidP="00144E0A" w:rsidRDefault="00144E0A" w14:paraId="07D289F6" w14:textId="77777777">
      <w:pPr>
        <w:spacing w:before="100" w:beforeAutospacing="1"/>
        <w:contextualSpacing/>
        <w:rPr>
          <w:rFonts w:ascii="Arial" w:hAnsi="Arial" w:cs="Arial"/>
          <w:sz w:val="22"/>
          <w:szCs w:val="22"/>
        </w:rPr>
      </w:pPr>
      <w:r w:rsidRPr="00F74853">
        <w:rPr>
          <w:rFonts w:ascii="Arial" w:hAnsi="Arial" w:cs="Arial"/>
          <w:sz w:val="24"/>
          <w:szCs w:val="24"/>
        </w:rPr>
        <w:t xml:space="preserve">* </w:t>
      </w:r>
      <w:r w:rsidRPr="00263BCA">
        <w:rPr>
          <w:rFonts w:ascii="Arial" w:hAnsi="Arial" w:cs="Arial"/>
          <w:sz w:val="22"/>
          <w:szCs w:val="22"/>
        </w:rPr>
        <w:t>To obtain the hourly rate, BIA used $38.6</w:t>
      </w:r>
      <w:r>
        <w:rPr>
          <w:rFonts w:ascii="Arial" w:hAnsi="Arial" w:cs="Arial"/>
          <w:sz w:val="22"/>
          <w:szCs w:val="22"/>
        </w:rPr>
        <w:t>0,</w:t>
      </w:r>
      <w:r w:rsidRPr="00263BCA">
        <w:rPr>
          <w:rFonts w:ascii="Arial" w:hAnsi="Arial" w:cs="Arial"/>
          <w:sz w:val="22"/>
          <w:szCs w:val="22"/>
        </w:rPr>
        <w:t xml:space="preserve"> the wages and salaries </w:t>
      </w:r>
      <w:r>
        <w:rPr>
          <w:rFonts w:ascii="Arial" w:hAnsi="Arial" w:cs="Arial"/>
          <w:sz w:val="22"/>
          <w:szCs w:val="22"/>
        </w:rPr>
        <w:t xml:space="preserve">including benefits </w:t>
      </w:r>
      <w:r w:rsidRPr="00263BCA">
        <w:rPr>
          <w:rFonts w:ascii="Arial" w:hAnsi="Arial" w:cs="Arial"/>
          <w:sz w:val="22"/>
          <w:szCs w:val="22"/>
        </w:rPr>
        <w:t>figure for civilian workers from BLS Release USDL-2</w:t>
      </w:r>
      <w:r>
        <w:rPr>
          <w:rFonts w:ascii="Arial" w:hAnsi="Arial" w:cs="Arial"/>
          <w:sz w:val="22"/>
          <w:szCs w:val="22"/>
        </w:rPr>
        <w:t>1</w:t>
      </w:r>
      <w:r w:rsidRPr="00263BCA">
        <w:rPr>
          <w:rFonts w:ascii="Arial" w:hAnsi="Arial" w:cs="Arial"/>
          <w:sz w:val="22"/>
          <w:szCs w:val="22"/>
        </w:rPr>
        <w:t>-</w:t>
      </w:r>
      <w:r>
        <w:rPr>
          <w:rFonts w:ascii="Arial" w:hAnsi="Arial" w:cs="Arial"/>
          <w:sz w:val="22"/>
          <w:szCs w:val="22"/>
        </w:rPr>
        <w:t>0437</w:t>
      </w:r>
      <w:r w:rsidRPr="00263BCA">
        <w:rPr>
          <w:rFonts w:ascii="Arial" w:hAnsi="Arial" w:cs="Arial"/>
          <w:sz w:val="22"/>
          <w:szCs w:val="22"/>
        </w:rPr>
        <w:t>, Employer Costs for Employee Compensation—</w:t>
      </w:r>
      <w:r>
        <w:rPr>
          <w:rFonts w:ascii="Arial" w:hAnsi="Arial" w:cs="Arial"/>
          <w:sz w:val="22"/>
          <w:szCs w:val="22"/>
        </w:rPr>
        <w:t>Decembe</w:t>
      </w:r>
      <w:r w:rsidRPr="00263BCA">
        <w:rPr>
          <w:rFonts w:ascii="Arial" w:hAnsi="Arial" w:cs="Arial"/>
          <w:sz w:val="22"/>
          <w:szCs w:val="22"/>
        </w:rPr>
        <w:t xml:space="preserve">r 2020, Table </w:t>
      </w:r>
      <w:r>
        <w:rPr>
          <w:rFonts w:ascii="Arial" w:hAnsi="Arial" w:cs="Arial"/>
          <w:sz w:val="22"/>
          <w:szCs w:val="22"/>
        </w:rPr>
        <w:t>1</w:t>
      </w:r>
      <w:r w:rsidRPr="00263BCA">
        <w:rPr>
          <w:rFonts w:ascii="Arial" w:hAnsi="Arial" w:cs="Arial"/>
          <w:sz w:val="22"/>
          <w:szCs w:val="22"/>
        </w:rPr>
        <w:t xml:space="preserve">, </w:t>
      </w:r>
      <w:r w:rsidRPr="00282015">
        <w:rPr>
          <w:rFonts w:ascii="Arial" w:hAnsi="Arial" w:cs="Arial"/>
          <w:sz w:val="22"/>
          <w:szCs w:val="22"/>
        </w:rPr>
        <w:t>Table 1. Employer Costs for Employee Compensation by ownership</w:t>
      </w:r>
      <w:r w:rsidRPr="00263BCA">
        <w:rPr>
          <w:rFonts w:ascii="Arial" w:hAnsi="Arial" w:cs="Arial"/>
          <w:sz w:val="22"/>
          <w:szCs w:val="22"/>
        </w:rPr>
        <w:t xml:space="preserve">, at https://www.bls.gov/news.release/pdf/ecec.pdf.   </w:t>
      </w:r>
    </w:p>
    <w:p w:rsidRPr="00144E0A" w:rsidR="00FC5FB7" w:rsidP="00377DBD" w:rsidRDefault="00FC5FB7" w14:paraId="78B57EEA" w14:textId="77777777">
      <w:pPr>
        <w:widowControl/>
        <w:ind w:left="450"/>
        <w:rPr>
          <w:rFonts w:ascii="Arial" w:hAnsi="Arial" w:cs="Arial"/>
          <w:bCs/>
          <w:sz w:val="22"/>
          <w:szCs w:val="22"/>
        </w:rPr>
      </w:pPr>
    </w:p>
    <w:p w:rsidRPr="00144E0A" w:rsidR="00295103" w:rsidRDefault="00295103" w14:paraId="65D2D4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13.</w:t>
      </w:r>
      <w:r w:rsidRPr="00144E0A">
        <w:rPr>
          <w:rFonts w:ascii="Arial" w:hAnsi="Arial" w:cs="Arial"/>
          <w:b/>
          <w:sz w:val="22"/>
          <w:szCs w:val="22"/>
        </w:rPr>
        <w:tab/>
        <w:t xml:space="preserve">Provide an estimate of the total annual </w:t>
      </w:r>
      <w:r w:rsidRPr="00144E0A" w:rsidR="00DE1FFE">
        <w:rPr>
          <w:rFonts w:ascii="Arial" w:hAnsi="Arial" w:cs="Arial"/>
          <w:b/>
          <w:sz w:val="22"/>
          <w:szCs w:val="22"/>
        </w:rPr>
        <w:t>non-hour</w:t>
      </w:r>
      <w:r w:rsidRPr="00144E0A">
        <w:rPr>
          <w:rFonts w:ascii="Arial" w:hAnsi="Arial" w:cs="Arial"/>
          <w:b/>
          <w:sz w:val="22"/>
          <w:szCs w:val="22"/>
        </w:rPr>
        <w:t xml:space="preserve"> cost burden to respondents or recordkeepers resulting from the collection of information.  (Do not include the cost of any hour burden </w:t>
      </w:r>
      <w:r w:rsidRPr="00144E0A" w:rsidR="004A6DFA">
        <w:rPr>
          <w:rFonts w:ascii="Arial" w:hAnsi="Arial" w:cs="Arial"/>
          <w:b/>
          <w:sz w:val="22"/>
          <w:szCs w:val="22"/>
        </w:rPr>
        <w:t xml:space="preserve">already reflected </w:t>
      </w:r>
      <w:r w:rsidRPr="00144E0A" w:rsidR="00F73931">
        <w:rPr>
          <w:rFonts w:ascii="Arial" w:hAnsi="Arial" w:cs="Arial"/>
          <w:b/>
          <w:sz w:val="22"/>
          <w:szCs w:val="22"/>
        </w:rPr>
        <w:t>in item 12</w:t>
      </w:r>
      <w:r w:rsidRPr="00144E0A" w:rsidR="004A6DFA">
        <w:rPr>
          <w:rFonts w:ascii="Arial" w:hAnsi="Arial" w:cs="Arial"/>
          <w:b/>
          <w:sz w:val="22"/>
          <w:szCs w:val="22"/>
        </w:rPr>
        <w:t>.)</w:t>
      </w:r>
    </w:p>
    <w:p w:rsidRPr="00144E0A" w:rsidR="00295103" w:rsidRDefault="00295103" w14:paraId="6440C8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44E0A">
        <w:rPr>
          <w:rFonts w:ascii="Arial" w:hAnsi="Arial" w:cs="Arial"/>
          <w:b/>
          <w:sz w:val="22"/>
          <w:szCs w:val="22"/>
        </w:rPr>
        <w:lastRenderedPageBreak/>
        <w:t>*</w:t>
      </w:r>
      <w:r w:rsidRPr="00144E0A">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144E0A">
        <w:rPr>
          <w:rFonts w:ascii="Arial" w:hAnsi="Arial" w:cs="Arial"/>
          <w:b/>
          <w:sz w:val="22"/>
          <w:szCs w:val="22"/>
        </w:rPr>
        <w:t>take into account</w:t>
      </w:r>
      <w:proofErr w:type="gramEnd"/>
      <w:r w:rsidRPr="00144E0A">
        <w:rPr>
          <w:rFonts w:ascii="Arial" w:hAnsi="Arial" w:cs="Arial"/>
          <w:b/>
          <w:sz w:val="22"/>
          <w:szCs w:val="22"/>
        </w:rPr>
        <w:t xml:space="preserve"> costs associated with generating, maintaining, and disclosing or providing the information </w:t>
      </w:r>
      <w:r w:rsidRPr="00144E0A" w:rsidR="000257C8">
        <w:rPr>
          <w:rFonts w:ascii="Arial" w:hAnsi="Arial" w:cs="Arial"/>
          <w:b/>
          <w:sz w:val="22"/>
          <w:szCs w:val="22"/>
        </w:rPr>
        <w:t>(</w:t>
      </w:r>
      <w:r w:rsidRPr="00144E0A">
        <w:rPr>
          <w:rFonts w:ascii="Arial" w:hAnsi="Arial" w:cs="Arial"/>
          <w:b/>
          <w:sz w:val="22"/>
          <w:szCs w:val="22"/>
        </w:rPr>
        <w:t>including filing fees paid</w:t>
      </w:r>
      <w:r w:rsidRPr="00144E0A" w:rsidR="000257C8">
        <w:rPr>
          <w:rFonts w:ascii="Arial" w:hAnsi="Arial" w:cs="Arial"/>
          <w:b/>
          <w:sz w:val="22"/>
          <w:szCs w:val="22"/>
        </w:rPr>
        <w:t xml:space="preserve"> for form processing)</w:t>
      </w:r>
      <w:r w:rsidRPr="00144E0A">
        <w:rPr>
          <w:rFonts w:ascii="Arial" w:hAnsi="Arial" w:cs="Arial"/>
          <w:b/>
          <w:sz w:val="22"/>
          <w:szCs w:val="22"/>
        </w:rPr>
        <w:t xml:space="preserve">.  Include descriptions of methods used to estimate major cost factors including system and technology acquisition, expected useful life of capital equipment, the discount rate(s), and the </w:t>
      </w:r>
      <w:proofErr w:type="gramStart"/>
      <w:r w:rsidRPr="00144E0A">
        <w:rPr>
          <w:rFonts w:ascii="Arial" w:hAnsi="Arial" w:cs="Arial"/>
          <w:b/>
          <w:sz w:val="22"/>
          <w:szCs w:val="22"/>
        </w:rPr>
        <w:t>time period</w:t>
      </w:r>
      <w:proofErr w:type="gramEnd"/>
      <w:r w:rsidRPr="00144E0A">
        <w:rPr>
          <w:rFonts w:ascii="Arial" w:hAnsi="Arial" w:cs="Arial"/>
          <w:b/>
          <w:sz w:val="22"/>
          <w:szCs w:val="22"/>
        </w:rPr>
        <w:t xml:space="preserve"> over which costs will be incurred.  Capital and start-up costs include, among other items, preparations for collecting information such as purchasing computers and software; monitoring, sampling, </w:t>
      </w:r>
      <w:proofErr w:type="gramStart"/>
      <w:r w:rsidRPr="00144E0A">
        <w:rPr>
          <w:rFonts w:ascii="Arial" w:hAnsi="Arial" w:cs="Arial"/>
          <w:b/>
          <w:sz w:val="22"/>
          <w:szCs w:val="22"/>
        </w:rPr>
        <w:t>drilling</w:t>
      </w:r>
      <w:proofErr w:type="gramEnd"/>
      <w:r w:rsidRPr="00144E0A">
        <w:rPr>
          <w:rFonts w:ascii="Arial" w:hAnsi="Arial" w:cs="Arial"/>
          <w:b/>
          <w:sz w:val="22"/>
          <w:szCs w:val="22"/>
        </w:rPr>
        <w:t xml:space="preserve"> and testing equipment; and record storage facilities.</w:t>
      </w:r>
    </w:p>
    <w:p w:rsidRPr="00144E0A" w:rsidR="00295103" w:rsidRDefault="00295103" w14:paraId="244EDB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144E0A">
        <w:rPr>
          <w:rFonts w:ascii="Arial" w:hAnsi="Arial" w:cs="Arial"/>
          <w:b/>
          <w:sz w:val="22"/>
          <w:szCs w:val="22"/>
        </w:rPr>
        <w:t>*</w:t>
      </w:r>
      <w:r w:rsidRPr="00144E0A">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144E0A" w:rsidR="00295103" w:rsidRDefault="00295103" w14:paraId="0044A3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144E0A">
        <w:rPr>
          <w:rFonts w:ascii="Arial" w:hAnsi="Arial" w:cs="Arial"/>
          <w:b/>
          <w:sz w:val="22"/>
          <w:szCs w:val="22"/>
        </w:rPr>
        <w:tab/>
        <w:t>*</w:t>
      </w:r>
      <w:r w:rsidRPr="00144E0A">
        <w:rPr>
          <w:rFonts w:ascii="Arial" w:hAnsi="Arial" w:cs="Arial"/>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144E0A" w:rsidR="003E4071">
        <w:rPr>
          <w:rFonts w:ascii="Arial" w:hAnsi="Arial" w:cs="Arial"/>
          <w:b/>
          <w:sz w:val="22"/>
          <w:szCs w:val="22"/>
        </w:rPr>
        <w:t>government</w:t>
      </w:r>
      <w:r w:rsidRPr="00144E0A">
        <w:rPr>
          <w:rFonts w:ascii="Arial" w:hAnsi="Arial" w:cs="Arial"/>
          <w:b/>
          <w:sz w:val="22"/>
          <w:szCs w:val="22"/>
        </w:rPr>
        <w:t xml:space="preserve"> or (4) as part of customary and usual business or private practices.</w:t>
      </w:r>
    </w:p>
    <w:p w:rsidRPr="00144E0A" w:rsidR="00D7712F" w:rsidP="002C2DA0" w:rsidRDefault="00D7712F" w14:paraId="643FCE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377DBD" w:rsidP="00377DBD" w:rsidRDefault="00377DBD" w14:paraId="7EF1DA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sz w:val="22"/>
          <w:szCs w:val="22"/>
        </w:rPr>
        <w:t>There is no total annual cost burden to respondents or record keepers for this information collection.</w:t>
      </w:r>
    </w:p>
    <w:p w:rsidRPr="00144E0A" w:rsidR="00295103" w:rsidRDefault="00295103" w14:paraId="1F4BB9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144E0A" w:rsidR="0060758B" w:rsidRDefault="00295103" w14:paraId="370BE2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14.</w:t>
      </w:r>
      <w:r w:rsidRPr="00144E0A">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144E0A" w:rsidR="0060758B">
        <w:rPr>
          <w:rFonts w:ascii="Arial" w:hAnsi="Arial" w:cs="Arial"/>
          <w:b/>
          <w:sz w:val="22"/>
          <w:szCs w:val="22"/>
        </w:rPr>
        <w:t xml:space="preserve">his collection of information. </w:t>
      </w:r>
    </w:p>
    <w:p w:rsidRPr="00144E0A" w:rsidR="00D7712F" w:rsidP="002C2DA0" w:rsidRDefault="00D7712F" w14:paraId="5DFBD7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Pr="00144E0A" w:rsidR="00377DBD" w:rsidP="00EB7E17" w:rsidRDefault="00377DBD" w14:paraId="21829083" w14:textId="570D46D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144E0A">
        <w:rPr>
          <w:rFonts w:ascii="Arial" w:hAnsi="Arial" w:cs="Arial"/>
          <w:bCs/>
          <w:sz w:val="22"/>
          <w:szCs w:val="22"/>
        </w:rPr>
        <w:t xml:space="preserve">The estimated hourly salary cost to the Tribal contractors, on behalf of the federal </w:t>
      </w:r>
      <w:r w:rsidRPr="00144E0A" w:rsidR="00551BB9">
        <w:rPr>
          <w:rFonts w:ascii="Arial" w:hAnsi="Arial" w:cs="Arial"/>
          <w:bCs/>
          <w:sz w:val="22"/>
          <w:szCs w:val="22"/>
        </w:rPr>
        <w:t>government, is $</w:t>
      </w:r>
      <w:r w:rsidR="00797BB6">
        <w:rPr>
          <w:rFonts w:ascii="Arial" w:hAnsi="Arial" w:cs="Arial"/>
          <w:bCs/>
          <w:sz w:val="22"/>
          <w:szCs w:val="22"/>
        </w:rPr>
        <w:t>671,840</w:t>
      </w:r>
      <w:r w:rsidRPr="00144E0A">
        <w:rPr>
          <w:rFonts w:ascii="Arial" w:hAnsi="Arial" w:cs="Arial"/>
          <w:bCs/>
          <w:sz w:val="22"/>
          <w:szCs w:val="22"/>
        </w:rPr>
        <w:t xml:space="preserve">.  The review for Class III Tribal State gaming compacts and compact amendments takes approximately </w:t>
      </w:r>
      <w:r w:rsidRPr="00144E0A" w:rsidR="0081672A">
        <w:rPr>
          <w:rFonts w:ascii="Arial" w:hAnsi="Arial" w:cs="Arial"/>
          <w:bCs/>
          <w:sz w:val="22"/>
          <w:szCs w:val="22"/>
        </w:rPr>
        <w:t>200</w:t>
      </w:r>
      <w:r w:rsidRPr="00144E0A" w:rsidR="00EB7E17">
        <w:rPr>
          <w:rFonts w:ascii="Arial" w:hAnsi="Arial" w:cs="Arial"/>
          <w:bCs/>
          <w:sz w:val="22"/>
          <w:szCs w:val="22"/>
        </w:rPr>
        <w:t xml:space="preserve"> hours for each application</w:t>
      </w:r>
      <w:r w:rsidRPr="00144E0A" w:rsidR="006D794A">
        <w:rPr>
          <w:rFonts w:ascii="Arial" w:hAnsi="Arial" w:cs="Arial"/>
          <w:bCs/>
          <w:sz w:val="22"/>
          <w:szCs w:val="22"/>
        </w:rPr>
        <w:t>.</w:t>
      </w:r>
    </w:p>
    <w:p w:rsidRPr="00144E0A" w:rsidR="00377DBD" w:rsidP="00377DBD" w:rsidRDefault="00377DBD" w14:paraId="28EEB720"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Cs/>
          <w:sz w:val="22"/>
          <w:szCs w:val="22"/>
        </w:rPr>
      </w:pPr>
    </w:p>
    <w:tbl>
      <w:tblPr>
        <w:tblW w:w="946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900"/>
        <w:gridCol w:w="1458"/>
        <w:gridCol w:w="1818"/>
        <w:gridCol w:w="1803"/>
        <w:gridCol w:w="1489"/>
      </w:tblGrid>
      <w:tr w:rsidRPr="00144E0A" w:rsidR="00FC5FB7" w:rsidTr="00FC5FB7" w14:paraId="2BE34606" w14:textId="77777777">
        <w:trPr>
          <w:trHeight w:val="908"/>
        </w:trPr>
        <w:tc>
          <w:tcPr>
            <w:tcW w:w="2900" w:type="dxa"/>
            <w:shd w:val="clear" w:color="auto" w:fill="auto"/>
          </w:tcPr>
          <w:p w:rsidRPr="00144E0A" w:rsidR="00FC5FB7" w:rsidP="00551BB9" w:rsidRDefault="00FC5FB7" w14:paraId="68F40FA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144E0A">
              <w:rPr>
                <w:rFonts w:ascii="Arial" w:hAnsi="Arial" w:cs="Arial"/>
                <w:bCs/>
                <w:sz w:val="22"/>
                <w:szCs w:val="22"/>
              </w:rPr>
              <w:t>Position</w:t>
            </w:r>
          </w:p>
        </w:tc>
        <w:tc>
          <w:tcPr>
            <w:tcW w:w="1458" w:type="dxa"/>
            <w:shd w:val="clear" w:color="auto" w:fill="auto"/>
          </w:tcPr>
          <w:p w:rsidRPr="00144E0A" w:rsidR="00FC5FB7" w:rsidP="00551BB9" w:rsidRDefault="00FC5FB7" w14:paraId="760A63D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144E0A">
              <w:rPr>
                <w:rFonts w:ascii="Arial" w:hAnsi="Arial" w:cs="Arial"/>
                <w:bCs/>
                <w:sz w:val="22"/>
                <w:szCs w:val="22"/>
              </w:rPr>
              <w:t>Hourly Base Rate</w:t>
            </w:r>
          </w:p>
        </w:tc>
        <w:tc>
          <w:tcPr>
            <w:tcW w:w="1818" w:type="dxa"/>
            <w:shd w:val="clear" w:color="auto" w:fill="auto"/>
          </w:tcPr>
          <w:p w:rsidRPr="00144E0A" w:rsidR="00FC5FB7" w:rsidP="00551BB9" w:rsidRDefault="00FC5FB7" w14:paraId="07A63DC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144E0A">
              <w:rPr>
                <w:rFonts w:ascii="Arial" w:hAnsi="Arial" w:cs="Arial"/>
                <w:bCs/>
                <w:sz w:val="22"/>
                <w:szCs w:val="22"/>
              </w:rPr>
              <w:t>Time to Complete</w:t>
            </w:r>
          </w:p>
        </w:tc>
        <w:tc>
          <w:tcPr>
            <w:tcW w:w="1803" w:type="dxa"/>
          </w:tcPr>
          <w:p w:rsidRPr="00144E0A" w:rsidR="00FC5FB7" w:rsidP="00FC5FB7" w:rsidRDefault="00FC5FB7" w14:paraId="0F9DA895"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22"/>
                <w:szCs w:val="22"/>
              </w:rPr>
            </w:pPr>
            <w:r w:rsidRPr="00144E0A">
              <w:rPr>
                <w:rFonts w:ascii="Arial" w:hAnsi="Arial" w:cs="Arial"/>
                <w:bCs/>
                <w:sz w:val="22"/>
                <w:szCs w:val="22"/>
              </w:rPr>
              <w:t># of Applications Processed</w:t>
            </w:r>
          </w:p>
        </w:tc>
        <w:tc>
          <w:tcPr>
            <w:tcW w:w="1489" w:type="dxa"/>
            <w:shd w:val="clear" w:color="auto" w:fill="auto"/>
          </w:tcPr>
          <w:p w:rsidRPr="00144E0A" w:rsidR="00FC5FB7" w:rsidP="00551BB9" w:rsidRDefault="00FC5FB7" w14:paraId="2E591E1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2"/>
                <w:szCs w:val="22"/>
              </w:rPr>
            </w:pPr>
            <w:r w:rsidRPr="00144E0A">
              <w:rPr>
                <w:rFonts w:ascii="Arial" w:hAnsi="Arial" w:cs="Arial"/>
                <w:b/>
                <w:bCs/>
                <w:sz w:val="22"/>
                <w:szCs w:val="22"/>
              </w:rPr>
              <w:t>Total</w:t>
            </w:r>
          </w:p>
        </w:tc>
      </w:tr>
      <w:tr w:rsidRPr="00144E0A" w:rsidR="00FC5FB7" w:rsidTr="00FC5FB7" w14:paraId="5A60A847" w14:textId="77777777">
        <w:tc>
          <w:tcPr>
            <w:tcW w:w="2900" w:type="dxa"/>
            <w:shd w:val="clear" w:color="auto" w:fill="auto"/>
          </w:tcPr>
          <w:p w:rsidRPr="00144E0A" w:rsidR="00FC5FB7" w:rsidP="004D7C8D" w:rsidRDefault="00FC5FB7" w14:paraId="49021179" w14:textId="77777777">
            <w:pPr>
              <w:pStyle w:val="FootnoteText"/>
              <w:rPr>
                <w:rFonts w:ascii="Arial" w:hAnsi="Arial" w:cs="Arial"/>
                <w:sz w:val="22"/>
                <w:szCs w:val="22"/>
              </w:rPr>
            </w:pPr>
            <w:r w:rsidRPr="00144E0A">
              <w:rPr>
                <w:rFonts w:ascii="Arial" w:hAnsi="Arial" w:cs="Arial"/>
                <w:bCs/>
                <w:sz w:val="22"/>
                <w:szCs w:val="22"/>
              </w:rPr>
              <w:t>Review and Approval of Class III Tribal State Gaming Compact/Amendment (GS-14/6)</w:t>
            </w:r>
            <w:r w:rsidRPr="00144E0A">
              <w:rPr>
                <w:rStyle w:val="FootnoteReference"/>
                <w:rFonts w:ascii="Arial" w:hAnsi="Arial" w:cs="Arial"/>
                <w:sz w:val="22"/>
                <w:szCs w:val="22"/>
              </w:rPr>
              <w:t xml:space="preserve"> </w:t>
            </w:r>
            <w:r w:rsidRPr="00144E0A">
              <w:rPr>
                <w:rFonts w:ascii="Arial" w:hAnsi="Arial" w:cs="Arial"/>
                <w:sz w:val="22"/>
                <w:szCs w:val="22"/>
                <w:vertAlign w:val="superscript"/>
              </w:rPr>
              <w:t>1</w:t>
            </w:r>
          </w:p>
        </w:tc>
        <w:tc>
          <w:tcPr>
            <w:tcW w:w="1458" w:type="dxa"/>
            <w:shd w:val="clear" w:color="auto" w:fill="auto"/>
          </w:tcPr>
          <w:p w:rsidRPr="00144E0A" w:rsidR="00FC5FB7" w:rsidP="00FC5FB7" w:rsidRDefault="00FC5FB7" w14:paraId="6F6518C2" w14:textId="331F708B">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144E0A">
              <w:rPr>
                <w:rFonts w:ascii="Arial" w:hAnsi="Arial" w:cs="Arial"/>
                <w:bCs/>
                <w:sz w:val="22"/>
                <w:szCs w:val="22"/>
              </w:rPr>
              <w:t>$</w:t>
            </w:r>
            <w:r w:rsidR="00EB4117">
              <w:rPr>
                <w:rFonts w:ascii="Arial" w:hAnsi="Arial" w:cs="Arial"/>
                <w:bCs/>
                <w:sz w:val="22"/>
                <w:szCs w:val="22"/>
              </w:rPr>
              <w:t>83.98</w:t>
            </w:r>
          </w:p>
        </w:tc>
        <w:tc>
          <w:tcPr>
            <w:tcW w:w="1818" w:type="dxa"/>
            <w:shd w:val="clear" w:color="auto" w:fill="auto"/>
          </w:tcPr>
          <w:p w:rsidRPr="00144E0A" w:rsidR="00FC5FB7" w:rsidP="00551BB9" w:rsidRDefault="0081672A" w14:paraId="1473C776"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144E0A">
              <w:rPr>
                <w:rFonts w:ascii="Arial" w:hAnsi="Arial" w:cs="Arial"/>
                <w:bCs/>
                <w:sz w:val="22"/>
                <w:szCs w:val="22"/>
              </w:rPr>
              <w:t>200</w:t>
            </w:r>
            <w:r w:rsidRPr="00144E0A" w:rsidR="00FC5FB7">
              <w:rPr>
                <w:rFonts w:ascii="Arial" w:hAnsi="Arial" w:cs="Arial"/>
                <w:bCs/>
                <w:sz w:val="22"/>
                <w:szCs w:val="22"/>
              </w:rPr>
              <w:t xml:space="preserve"> hours</w:t>
            </w:r>
          </w:p>
        </w:tc>
        <w:tc>
          <w:tcPr>
            <w:tcW w:w="1803" w:type="dxa"/>
          </w:tcPr>
          <w:p w:rsidRPr="00144E0A" w:rsidR="00FC5FB7" w:rsidP="00710B12" w:rsidRDefault="00FC5FB7" w14:paraId="38B7AC7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22"/>
                <w:szCs w:val="22"/>
              </w:rPr>
            </w:pPr>
            <w:r w:rsidRPr="00144E0A">
              <w:rPr>
                <w:rFonts w:ascii="Arial" w:hAnsi="Arial" w:cs="Arial"/>
                <w:bCs/>
                <w:sz w:val="22"/>
                <w:szCs w:val="22"/>
              </w:rPr>
              <w:t>40</w:t>
            </w:r>
          </w:p>
        </w:tc>
        <w:tc>
          <w:tcPr>
            <w:tcW w:w="1489" w:type="dxa"/>
            <w:shd w:val="clear" w:color="auto" w:fill="auto"/>
          </w:tcPr>
          <w:p w:rsidRPr="00144E0A" w:rsidR="00FC5FB7" w:rsidP="0081672A" w:rsidRDefault="00FC5FB7" w14:paraId="795F5C30" w14:textId="470A475E">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22"/>
                <w:szCs w:val="22"/>
              </w:rPr>
            </w:pPr>
            <w:r w:rsidRPr="00144E0A">
              <w:rPr>
                <w:rFonts w:ascii="Arial" w:hAnsi="Arial" w:cs="Arial"/>
                <w:b/>
                <w:bCs/>
                <w:sz w:val="22"/>
                <w:szCs w:val="22"/>
              </w:rPr>
              <w:t>$</w:t>
            </w:r>
            <w:r w:rsidR="00EB4117">
              <w:rPr>
                <w:rFonts w:ascii="Arial" w:hAnsi="Arial" w:cs="Arial"/>
                <w:b/>
                <w:bCs/>
                <w:sz w:val="22"/>
                <w:szCs w:val="22"/>
              </w:rPr>
              <w:t>671,840</w:t>
            </w:r>
          </w:p>
        </w:tc>
      </w:tr>
    </w:tbl>
    <w:p w:rsidRPr="00144E0A" w:rsidR="00377DBD" w:rsidP="00FC5FB7" w:rsidRDefault="00377DBD" w14:paraId="49249BF6" w14:textId="081E3643">
      <w:pPr>
        <w:pStyle w:val="FootnoteText"/>
        <w:ind w:left="300"/>
        <w:rPr>
          <w:rFonts w:ascii="Arial" w:hAnsi="Arial" w:cs="Arial"/>
          <w:sz w:val="22"/>
          <w:szCs w:val="22"/>
        </w:rPr>
      </w:pPr>
      <w:r w:rsidRPr="00144E0A">
        <w:rPr>
          <w:rFonts w:ascii="Arial" w:hAnsi="Arial" w:cs="Arial"/>
          <w:sz w:val="22"/>
          <w:szCs w:val="22"/>
          <w:vertAlign w:val="superscript"/>
        </w:rPr>
        <w:t>1</w:t>
      </w:r>
      <w:r w:rsidRPr="00144E0A">
        <w:rPr>
          <w:rFonts w:ascii="Arial" w:hAnsi="Arial" w:cs="Arial"/>
          <w:sz w:val="22"/>
          <w:szCs w:val="22"/>
        </w:rPr>
        <w:t>The estimated average salary for Federal government and tribal compacting employees performing these duties</w:t>
      </w:r>
      <w:r w:rsidRPr="00144E0A" w:rsidR="00EB7E17">
        <w:rPr>
          <w:rFonts w:ascii="Arial" w:hAnsi="Arial" w:cs="Arial"/>
          <w:sz w:val="22"/>
          <w:szCs w:val="22"/>
        </w:rPr>
        <w:t xml:space="preserve"> is at the GS-14, Step 6 ($</w:t>
      </w:r>
      <w:r w:rsidR="00EB4117">
        <w:rPr>
          <w:rFonts w:ascii="Arial" w:hAnsi="Arial" w:cs="Arial"/>
          <w:sz w:val="22"/>
          <w:szCs w:val="22"/>
        </w:rPr>
        <w:t>52.49</w:t>
      </w:r>
      <w:r w:rsidRPr="00144E0A">
        <w:rPr>
          <w:rFonts w:ascii="Arial" w:hAnsi="Arial" w:cs="Arial"/>
          <w:sz w:val="22"/>
          <w:szCs w:val="22"/>
        </w:rPr>
        <w:t>/hour) level.  The salary associated with this grade and step is based on the General Schedule 20</w:t>
      </w:r>
      <w:r w:rsidR="00EB4117">
        <w:rPr>
          <w:rFonts w:ascii="Arial" w:hAnsi="Arial" w:cs="Arial"/>
          <w:sz w:val="22"/>
          <w:szCs w:val="22"/>
        </w:rPr>
        <w:t>21</w:t>
      </w:r>
      <w:r w:rsidRPr="00144E0A" w:rsidR="00EB7E17">
        <w:rPr>
          <w:rFonts w:ascii="Arial" w:hAnsi="Arial" w:cs="Arial"/>
          <w:sz w:val="22"/>
          <w:szCs w:val="22"/>
        </w:rPr>
        <w:t xml:space="preserve">, </w:t>
      </w:r>
      <w:r w:rsidRPr="00144E0A" w:rsidR="003E4071">
        <w:rPr>
          <w:rFonts w:ascii="Arial" w:hAnsi="Arial" w:cs="Arial"/>
          <w:sz w:val="22"/>
          <w:szCs w:val="22"/>
        </w:rPr>
        <w:t>incorporating</w:t>
      </w:r>
      <w:r w:rsidRPr="00144E0A" w:rsidR="00EB7E17">
        <w:rPr>
          <w:rFonts w:ascii="Arial" w:hAnsi="Arial" w:cs="Arial"/>
          <w:sz w:val="22"/>
          <w:szCs w:val="22"/>
        </w:rPr>
        <w:t xml:space="preserve"> the 1% </w:t>
      </w:r>
      <w:r w:rsidRPr="00144E0A" w:rsidR="00EB7E17">
        <w:rPr>
          <w:rFonts w:ascii="Arial" w:hAnsi="Arial" w:cs="Arial"/>
          <w:sz w:val="22"/>
          <w:szCs w:val="22"/>
        </w:rPr>
        <w:lastRenderedPageBreak/>
        <w:t xml:space="preserve">General Schedule Increase. </w:t>
      </w:r>
      <w:r w:rsidRPr="00144E0A" w:rsidR="00EB7E17">
        <w:rPr>
          <w:rFonts w:ascii="Arial" w:hAnsi="Arial" w:cs="Arial"/>
          <w:i/>
          <w:sz w:val="22"/>
          <w:szCs w:val="22"/>
        </w:rPr>
        <w:t>See</w:t>
      </w:r>
      <w:r w:rsidRPr="00144E0A" w:rsidR="00EB7E17">
        <w:rPr>
          <w:rFonts w:ascii="Arial" w:hAnsi="Arial" w:cs="Arial"/>
          <w:sz w:val="22"/>
          <w:szCs w:val="22"/>
        </w:rPr>
        <w:t xml:space="preserve"> </w:t>
      </w:r>
      <w:hyperlink w:history="1" r:id="rId10">
        <w:r w:rsidRPr="00E15942" w:rsidR="00EB4117">
          <w:rPr>
            <w:rStyle w:val="Hyperlink"/>
            <w:rFonts w:ascii="Arial" w:hAnsi="Arial" w:cs="Arial"/>
            <w:sz w:val="22"/>
            <w:szCs w:val="22"/>
          </w:rPr>
          <w:t>https://www.opm.gov/policy-data-oversight/pay-leave/salaries-wages/salary-tables/pdf/2021/GS_h.pdf</w:t>
        </w:r>
      </w:hyperlink>
      <w:r w:rsidR="00EB4117">
        <w:rPr>
          <w:rFonts w:ascii="Arial" w:hAnsi="Arial" w:cs="Arial"/>
          <w:sz w:val="22"/>
          <w:szCs w:val="22"/>
        </w:rPr>
        <w:t xml:space="preserve">. </w:t>
      </w:r>
      <w:r w:rsidRPr="00144E0A">
        <w:rPr>
          <w:rFonts w:ascii="Arial" w:hAnsi="Arial" w:cs="Arial"/>
          <w:sz w:val="22"/>
          <w:szCs w:val="22"/>
        </w:rPr>
        <w:t>This salary, multiplied by 1.</w:t>
      </w:r>
      <w:r w:rsidRPr="00144E0A" w:rsidR="00FC5FB7">
        <w:rPr>
          <w:rFonts w:ascii="Arial" w:hAnsi="Arial" w:cs="Arial"/>
          <w:sz w:val="22"/>
          <w:szCs w:val="22"/>
        </w:rPr>
        <w:t>6</w:t>
      </w:r>
      <w:r w:rsidRPr="00144E0A">
        <w:rPr>
          <w:rFonts w:ascii="Arial" w:hAnsi="Arial" w:cs="Arial"/>
          <w:sz w:val="22"/>
          <w:szCs w:val="22"/>
        </w:rPr>
        <w:t xml:space="preserve"> to cover benefits, equals a rate of $</w:t>
      </w:r>
      <w:r w:rsidR="00EB4117">
        <w:rPr>
          <w:rFonts w:ascii="Arial" w:hAnsi="Arial" w:cs="Arial"/>
          <w:sz w:val="22"/>
          <w:szCs w:val="22"/>
        </w:rPr>
        <w:t>83.98</w:t>
      </w:r>
      <w:r w:rsidRPr="00144E0A">
        <w:rPr>
          <w:rFonts w:ascii="Arial" w:hAnsi="Arial" w:cs="Arial"/>
          <w:sz w:val="22"/>
          <w:szCs w:val="22"/>
        </w:rPr>
        <w:t xml:space="preserve">/hour. </w:t>
      </w:r>
    </w:p>
    <w:p w:rsidRPr="00144E0A" w:rsidR="00734ABC" w:rsidP="00734ABC" w:rsidRDefault="00734ABC" w14:paraId="1C8002FD"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95103" w14:paraId="75FF56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15.</w:t>
      </w:r>
      <w:r w:rsidRPr="00144E0A">
        <w:rPr>
          <w:rFonts w:ascii="Arial" w:hAnsi="Arial" w:cs="Arial"/>
          <w:b/>
          <w:sz w:val="22"/>
          <w:szCs w:val="22"/>
        </w:rPr>
        <w:tab/>
        <w:t xml:space="preserve">Explain the reasons for any program changes or adjustments </w:t>
      </w:r>
      <w:r w:rsidRPr="00144E0A" w:rsidR="00F73931">
        <w:rPr>
          <w:rFonts w:ascii="Arial" w:hAnsi="Arial" w:cs="Arial"/>
          <w:b/>
          <w:sz w:val="22"/>
          <w:szCs w:val="22"/>
        </w:rPr>
        <w:t>in hour or cost burden</w:t>
      </w:r>
      <w:r w:rsidRPr="00144E0A" w:rsidR="0060758B">
        <w:rPr>
          <w:rFonts w:ascii="Arial" w:hAnsi="Arial" w:cs="Arial"/>
          <w:b/>
          <w:sz w:val="22"/>
          <w:szCs w:val="22"/>
        </w:rPr>
        <w:t>.</w:t>
      </w:r>
    </w:p>
    <w:p w:rsidRPr="00144E0A" w:rsidR="00D7712F" w:rsidP="002C2DA0" w:rsidRDefault="00D7712F" w14:paraId="5FA5C430" w14:textId="77777777">
      <w:pPr>
        <w:tabs>
          <w:tab w:val="left" w:pos="-1080"/>
          <w:tab w:val="left" w:pos="-720"/>
          <w:tab w:val="left" w:pos="0"/>
          <w:tab w:val="left" w:pos="27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5F5E9F" w:rsidP="00DA3736" w:rsidRDefault="00710B12" w14:paraId="75644A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144E0A">
        <w:rPr>
          <w:rFonts w:ascii="Arial" w:hAnsi="Arial" w:cs="Arial"/>
          <w:sz w:val="22"/>
          <w:szCs w:val="22"/>
        </w:rPr>
        <w:t>The</w:t>
      </w:r>
      <w:r w:rsidRPr="00144E0A" w:rsidR="00377DBD">
        <w:rPr>
          <w:rFonts w:ascii="Arial" w:hAnsi="Arial" w:cs="Arial"/>
          <w:sz w:val="22"/>
          <w:szCs w:val="22"/>
        </w:rPr>
        <w:t xml:space="preserve"> program changes </w:t>
      </w:r>
      <w:r w:rsidRPr="00144E0A">
        <w:rPr>
          <w:rFonts w:ascii="Arial" w:hAnsi="Arial" w:cs="Arial"/>
          <w:sz w:val="22"/>
          <w:szCs w:val="22"/>
        </w:rPr>
        <w:t>and</w:t>
      </w:r>
      <w:r w:rsidRPr="00144E0A" w:rsidR="0081672A">
        <w:rPr>
          <w:rFonts w:ascii="Arial" w:hAnsi="Arial" w:cs="Arial"/>
          <w:sz w:val="22"/>
          <w:szCs w:val="22"/>
        </w:rPr>
        <w:t xml:space="preserve"> adjustments in hour and</w:t>
      </w:r>
      <w:r w:rsidRPr="00144E0A" w:rsidR="00377DBD">
        <w:rPr>
          <w:rFonts w:ascii="Arial" w:hAnsi="Arial" w:cs="Arial"/>
          <w:sz w:val="22"/>
          <w:szCs w:val="22"/>
        </w:rPr>
        <w:t xml:space="preserve"> cost burden</w:t>
      </w:r>
      <w:r w:rsidRPr="00144E0A">
        <w:rPr>
          <w:rFonts w:ascii="Arial" w:hAnsi="Arial" w:cs="Arial"/>
          <w:sz w:val="22"/>
          <w:szCs w:val="22"/>
        </w:rPr>
        <w:t xml:space="preserve"> are based on updated figures from both the Bureau of Labor and Statistics and the Office of Personnel Management, along with a more streamlined approach to analyzing tribal state compacts</w:t>
      </w:r>
      <w:r w:rsidRPr="00144E0A" w:rsidR="00AA2D73">
        <w:rPr>
          <w:rFonts w:ascii="Arial" w:hAnsi="Arial" w:cs="Arial"/>
          <w:sz w:val="22"/>
          <w:szCs w:val="22"/>
        </w:rPr>
        <w:t xml:space="preserve"> and the Department’s use of a database for the surname process</w:t>
      </w:r>
      <w:r w:rsidRPr="00144E0A" w:rsidR="00377DBD">
        <w:rPr>
          <w:rFonts w:ascii="Arial" w:hAnsi="Arial" w:cs="Arial"/>
          <w:sz w:val="22"/>
          <w:szCs w:val="22"/>
        </w:rPr>
        <w:t>.</w:t>
      </w:r>
      <w:r w:rsidRPr="00144E0A" w:rsidR="00631B72">
        <w:rPr>
          <w:rFonts w:ascii="Arial" w:hAnsi="Arial" w:cs="Arial"/>
          <w:sz w:val="22"/>
          <w:szCs w:val="22"/>
        </w:rPr>
        <w:t xml:space="preserve">  The Department’s streamlined approach to analyzing compacts has led to a reduction in burden for the public. </w:t>
      </w:r>
    </w:p>
    <w:p w:rsidRPr="00144E0A" w:rsidR="00DA3736" w:rsidP="00DA3736" w:rsidRDefault="00DA3736" w14:paraId="237A45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144E0A" w:rsidR="00295103" w:rsidRDefault="00295103" w14:paraId="24D637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16.</w:t>
      </w:r>
      <w:r w:rsidRPr="00144E0A">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44E0A" w:rsidR="00D7712F" w:rsidP="002C2DA0" w:rsidRDefault="00D7712F" w14:paraId="4909CC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377DBD" w:rsidP="00377DBD" w:rsidRDefault="00377DBD" w14:paraId="180781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22"/>
          <w:szCs w:val="22"/>
        </w:rPr>
      </w:pPr>
      <w:r w:rsidRPr="00144E0A">
        <w:rPr>
          <w:rFonts w:ascii="Arial" w:hAnsi="Arial" w:cs="Arial"/>
          <w:bCs/>
          <w:sz w:val="22"/>
          <w:szCs w:val="22"/>
        </w:rPr>
        <w:t>The information collection will not be published.</w:t>
      </w:r>
    </w:p>
    <w:p w:rsidRPr="00144E0A" w:rsidR="00295103" w:rsidRDefault="00295103" w14:paraId="7302F0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144E0A" w:rsidR="00295103" w:rsidRDefault="00295103" w14:paraId="52D7AB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17.</w:t>
      </w:r>
      <w:r w:rsidRPr="00144E0A">
        <w:rPr>
          <w:rFonts w:ascii="Arial" w:hAnsi="Arial" w:cs="Arial"/>
          <w:b/>
          <w:sz w:val="22"/>
          <w:szCs w:val="22"/>
        </w:rPr>
        <w:tab/>
        <w:t>If seeking approval to not display the expiration date for OMB approval of the information collection, explain the reasons that display would be inappropriate.</w:t>
      </w:r>
    </w:p>
    <w:p w:rsidRPr="00144E0A" w:rsidR="00D7712F" w:rsidP="002C2DA0" w:rsidRDefault="00D7712F" w14:paraId="36CE12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377DBD" w:rsidP="00377DBD" w:rsidRDefault="00BA7684" w14:paraId="1A971B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144E0A">
        <w:rPr>
          <w:rFonts w:ascii="Arial" w:hAnsi="Arial" w:cs="Arial"/>
          <w:sz w:val="22"/>
          <w:szCs w:val="22"/>
        </w:rPr>
        <w:t>No forms are associated with this collection</w:t>
      </w:r>
      <w:r w:rsidRPr="00144E0A" w:rsidR="00377DBD">
        <w:rPr>
          <w:rFonts w:ascii="Arial" w:hAnsi="Arial" w:cs="Arial"/>
          <w:sz w:val="22"/>
          <w:szCs w:val="22"/>
        </w:rPr>
        <w:t>.</w:t>
      </w:r>
    </w:p>
    <w:p w:rsidRPr="00144E0A" w:rsidR="00295103" w:rsidRDefault="00295103" w14:paraId="31F92A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Pr="00144E0A" w:rsidR="00295103" w:rsidRDefault="00295103" w14:paraId="3EE1D0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144E0A">
        <w:rPr>
          <w:rFonts w:ascii="Arial" w:hAnsi="Arial" w:cs="Arial"/>
          <w:b/>
          <w:sz w:val="22"/>
          <w:szCs w:val="22"/>
        </w:rPr>
        <w:t>18.</w:t>
      </w:r>
      <w:r w:rsidRPr="00144E0A">
        <w:rPr>
          <w:rFonts w:ascii="Arial" w:hAnsi="Arial" w:cs="Arial"/>
          <w:b/>
          <w:sz w:val="22"/>
          <w:szCs w:val="22"/>
        </w:rPr>
        <w:tab/>
        <w:t xml:space="preserve">Explain each exception to the </w:t>
      </w:r>
      <w:r w:rsidRPr="00144E0A" w:rsidR="005D39A7">
        <w:rPr>
          <w:rFonts w:ascii="Arial" w:hAnsi="Arial" w:cs="Arial"/>
          <w:b/>
          <w:sz w:val="22"/>
          <w:szCs w:val="22"/>
        </w:rPr>
        <w:t xml:space="preserve">topics of the </w:t>
      </w:r>
      <w:r w:rsidRPr="00144E0A">
        <w:rPr>
          <w:rFonts w:ascii="Arial" w:hAnsi="Arial" w:cs="Arial"/>
          <w:b/>
          <w:sz w:val="22"/>
          <w:szCs w:val="22"/>
        </w:rPr>
        <w:t>certification statement identified in "Certification for Paperwork Reduction Act Submissions</w:t>
      </w:r>
      <w:r w:rsidRPr="00144E0A" w:rsidR="005D39A7">
        <w:rPr>
          <w:rFonts w:ascii="Arial" w:hAnsi="Arial" w:cs="Arial"/>
          <w:b/>
          <w:sz w:val="22"/>
          <w:szCs w:val="22"/>
        </w:rPr>
        <w:t>.</w:t>
      </w:r>
      <w:r w:rsidRPr="00144E0A">
        <w:rPr>
          <w:rFonts w:ascii="Arial" w:hAnsi="Arial" w:cs="Arial"/>
          <w:b/>
          <w:sz w:val="22"/>
          <w:szCs w:val="22"/>
        </w:rPr>
        <w:t>"</w:t>
      </w:r>
    </w:p>
    <w:p w:rsidRPr="00144E0A" w:rsidR="00D7712F" w:rsidRDefault="00D7712F" w14:paraId="780DFB9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Pr="00144E0A" w:rsidR="00295103" w:rsidRDefault="002C2DA0" w14:paraId="4B7AC6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r w:rsidRPr="00144E0A">
        <w:rPr>
          <w:rFonts w:ascii="Arial" w:hAnsi="Arial" w:cs="Arial"/>
          <w:sz w:val="22"/>
          <w:szCs w:val="22"/>
        </w:rPr>
        <w:t>There are no exceptions</w:t>
      </w:r>
      <w:r w:rsidRPr="00144E0A" w:rsidR="00D7712F">
        <w:rPr>
          <w:rFonts w:ascii="Arial" w:hAnsi="Arial" w:cs="Arial"/>
          <w:sz w:val="22"/>
          <w:szCs w:val="22"/>
        </w:rPr>
        <w:t>.</w:t>
      </w:r>
    </w:p>
    <w:sectPr w:rsidRPr="00144E0A" w:rsidR="00295103" w:rsidSect="00551BB9">
      <w:headerReference w:type="default" r:id="rId11"/>
      <w:footerReference w:type="default" r:id="rId12"/>
      <w:type w:val="continuous"/>
      <w:pgSz w:w="12240" w:h="15840"/>
      <w:pgMar w:top="1440" w:right="1440" w:bottom="1440" w:left="1440" w:header="1440" w:footer="6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FE62BA" w14:textId="77777777" w:rsidR="001E7BA0" w:rsidRDefault="001E7BA0">
      <w:r>
        <w:separator/>
      </w:r>
    </w:p>
  </w:endnote>
  <w:endnote w:type="continuationSeparator" w:id="0">
    <w:p w14:paraId="795341BF" w14:textId="77777777" w:rsidR="001E7BA0" w:rsidRDefault="001E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29075" w14:textId="77777777" w:rsidR="00551BB9" w:rsidRDefault="00551BB9">
    <w:pPr>
      <w:pStyle w:val="Footer"/>
      <w:jc w:val="center"/>
    </w:pPr>
    <w:r>
      <w:fldChar w:fldCharType="begin"/>
    </w:r>
    <w:r>
      <w:instrText xml:space="preserve"> PAGE   \* MERGEFORMAT </w:instrText>
    </w:r>
    <w:r>
      <w:fldChar w:fldCharType="separate"/>
    </w:r>
    <w:r w:rsidR="00F039C5">
      <w:rPr>
        <w:noProof/>
      </w:rPr>
      <w:t>1</w:t>
    </w:r>
    <w:r>
      <w:rPr>
        <w:noProof/>
      </w:rPr>
      <w:fldChar w:fldCharType="end"/>
    </w:r>
  </w:p>
  <w:p w14:paraId="074CBE56" w14:textId="77777777" w:rsidR="00551BB9" w:rsidRDefault="00551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397A9" w14:textId="77777777" w:rsidR="001E7BA0" w:rsidRDefault="001E7BA0">
      <w:r>
        <w:separator/>
      </w:r>
    </w:p>
  </w:footnote>
  <w:footnote w:type="continuationSeparator" w:id="0">
    <w:p w14:paraId="6D0EE2FA" w14:textId="77777777" w:rsidR="001E7BA0" w:rsidRDefault="001E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A9073" w14:textId="77777777" w:rsidR="000C5F61" w:rsidRDefault="000C5F61">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86D5B"/>
    <w:multiLevelType w:val="hybridMultilevel"/>
    <w:tmpl w:val="017A0DBC"/>
    <w:lvl w:ilvl="0" w:tplc="6D20DE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E4CBE"/>
    <w:multiLevelType w:val="hybridMultilevel"/>
    <w:tmpl w:val="CEF88D4A"/>
    <w:lvl w:ilvl="0" w:tplc="43E2994E">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232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85663D6"/>
    <w:multiLevelType w:val="hybridMultilevel"/>
    <w:tmpl w:val="2A3459AA"/>
    <w:lvl w:ilvl="0" w:tplc="057CB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FE76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2BB1998"/>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3462FA0"/>
    <w:multiLevelType w:val="hybridMultilevel"/>
    <w:tmpl w:val="B4FC9BD0"/>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EA621FC"/>
    <w:multiLevelType w:val="hybridMultilevel"/>
    <w:tmpl w:val="1008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4322D"/>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ABB2864"/>
    <w:multiLevelType w:val="hybridMultilevel"/>
    <w:tmpl w:val="87C06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6E7C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D5F725E"/>
    <w:multiLevelType w:val="hybridMultilevel"/>
    <w:tmpl w:val="8F648CCC"/>
    <w:lvl w:ilvl="0" w:tplc="6D20DE34">
      <w:start w:val="1"/>
      <w:numFmt w:val="lowerLetter"/>
      <w:lvlText w:val="%1)"/>
      <w:lvlJc w:val="left"/>
      <w:pPr>
        <w:ind w:left="25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3112FD"/>
    <w:multiLevelType w:val="multilevel"/>
    <w:tmpl w:val="30F6DA4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3" w15:restartNumberingAfterBreak="0">
    <w:nsid w:val="5F5631B9"/>
    <w:multiLevelType w:val="hybridMultilevel"/>
    <w:tmpl w:val="8662F7BC"/>
    <w:lvl w:ilvl="0" w:tplc="65085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4130AA"/>
    <w:multiLevelType w:val="hybridMultilevel"/>
    <w:tmpl w:val="5D6C53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36C0287"/>
    <w:multiLevelType w:val="hybridMultilevel"/>
    <w:tmpl w:val="316077D6"/>
    <w:lvl w:ilvl="0" w:tplc="E5D830A4">
      <w:start w:val="1"/>
      <w:numFmt w:val="decimal"/>
      <w:lvlText w:val="%1)"/>
      <w:lvlJc w:val="left"/>
      <w:pPr>
        <w:ind w:left="1080" w:hanging="720"/>
      </w:pPr>
      <w:rPr>
        <w:rFonts w:hint="default"/>
      </w:rPr>
    </w:lvl>
    <w:lvl w:ilvl="1" w:tplc="AA52963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41272A"/>
    <w:multiLevelType w:val="hybridMultilevel"/>
    <w:tmpl w:val="2D42A5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F863F2"/>
    <w:multiLevelType w:val="hybridMultilevel"/>
    <w:tmpl w:val="21CAADE8"/>
    <w:lvl w:ilvl="0" w:tplc="65304B9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9335C5"/>
    <w:multiLevelType w:val="hybridMultilevel"/>
    <w:tmpl w:val="F42CFB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3229D2"/>
    <w:multiLevelType w:val="hybridMultilevel"/>
    <w:tmpl w:val="172C4422"/>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76BB31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A207F8A"/>
    <w:multiLevelType w:val="hybridMultilevel"/>
    <w:tmpl w:val="5EC2CCD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18"/>
  </w:num>
  <w:num w:numId="2">
    <w:abstractNumId w:val="1"/>
  </w:num>
  <w:num w:numId="3">
    <w:abstractNumId w:val="7"/>
  </w:num>
  <w:num w:numId="4">
    <w:abstractNumId w:val="14"/>
  </w:num>
  <w:num w:numId="5">
    <w:abstractNumId w:val="8"/>
  </w:num>
  <w:num w:numId="6">
    <w:abstractNumId w:val="5"/>
  </w:num>
  <w:num w:numId="7">
    <w:abstractNumId w:val="21"/>
  </w:num>
  <w:num w:numId="8">
    <w:abstractNumId w:val="9"/>
  </w:num>
  <w:num w:numId="9">
    <w:abstractNumId w:val="3"/>
  </w:num>
  <w:num w:numId="10">
    <w:abstractNumId w:val="0"/>
  </w:num>
  <w:num w:numId="11">
    <w:abstractNumId w:val="11"/>
  </w:num>
  <w:num w:numId="12">
    <w:abstractNumId w:val="10"/>
  </w:num>
  <w:num w:numId="13">
    <w:abstractNumId w:val="6"/>
  </w:num>
  <w:num w:numId="14">
    <w:abstractNumId w:val="2"/>
  </w:num>
  <w:num w:numId="15">
    <w:abstractNumId w:val="20"/>
  </w:num>
  <w:num w:numId="16">
    <w:abstractNumId w:val="4"/>
  </w:num>
  <w:num w:numId="17">
    <w:abstractNumId w:val="12"/>
  </w:num>
  <w:num w:numId="18">
    <w:abstractNumId w:val="15"/>
  </w:num>
  <w:num w:numId="19">
    <w:abstractNumId w:val="19"/>
  </w:num>
  <w:num w:numId="20">
    <w:abstractNumId w:val="16"/>
  </w:num>
  <w:num w:numId="21">
    <w:abstractNumId w:val="17"/>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117E9"/>
    <w:rsid w:val="00017149"/>
    <w:rsid w:val="0001779A"/>
    <w:rsid w:val="000257C8"/>
    <w:rsid w:val="00026233"/>
    <w:rsid w:val="00065D83"/>
    <w:rsid w:val="000C5F61"/>
    <w:rsid w:val="000F1C17"/>
    <w:rsid w:val="000F27B2"/>
    <w:rsid w:val="000F3AF1"/>
    <w:rsid w:val="001207A4"/>
    <w:rsid w:val="00132E53"/>
    <w:rsid w:val="00133401"/>
    <w:rsid w:val="00144E0A"/>
    <w:rsid w:val="00145008"/>
    <w:rsid w:val="00156A20"/>
    <w:rsid w:val="00162B02"/>
    <w:rsid w:val="0017309F"/>
    <w:rsid w:val="001B41F2"/>
    <w:rsid w:val="001B469C"/>
    <w:rsid w:val="001C40ED"/>
    <w:rsid w:val="001E7BA0"/>
    <w:rsid w:val="00201DBB"/>
    <w:rsid w:val="00203A20"/>
    <w:rsid w:val="00284470"/>
    <w:rsid w:val="00295103"/>
    <w:rsid w:val="00295547"/>
    <w:rsid w:val="002B0341"/>
    <w:rsid w:val="002C2DA0"/>
    <w:rsid w:val="002F1310"/>
    <w:rsid w:val="002F2A85"/>
    <w:rsid w:val="002F638F"/>
    <w:rsid w:val="003073CA"/>
    <w:rsid w:val="00317881"/>
    <w:rsid w:val="00352210"/>
    <w:rsid w:val="00377DBD"/>
    <w:rsid w:val="00395167"/>
    <w:rsid w:val="003B4E52"/>
    <w:rsid w:val="003B5CB7"/>
    <w:rsid w:val="003C3292"/>
    <w:rsid w:val="003D048D"/>
    <w:rsid w:val="003E4071"/>
    <w:rsid w:val="00406014"/>
    <w:rsid w:val="004366F3"/>
    <w:rsid w:val="004477F6"/>
    <w:rsid w:val="00457864"/>
    <w:rsid w:val="00465CEA"/>
    <w:rsid w:val="00467472"/>
    <w:rsid w:val="0047795E"/>
    <w:rsid w:val="0048343B"/>
    <w:rsid w:val="00495298"/>
    <w:rsid w:val="004A6DFA"/>
    <w:rsid w:val="004B74DD"/>
    <w:rsid w:val="004C2B9F"/>
    <w:rsid w:val="004D6D3A"/>
    <w:rsid w:val="004D7C8D"/>
    <w:rsid w:val="004E7557"/>
    <w:rsid w:val="005162C0"/>
    <w:rsid w:val="005169F6"/>
    <w:rsid w:val="00525467"/>
    <w:rsid w:val="00527C6C"/>
    <w:rsid w:val="005306CF"/>
    <w:rsid w:val="00551BB9"/>
    <w:rsid w:val="00563E17"/>
    <w:rsid w:val="00570FD0"/>
    <w:rsid w:val="00582B5A"/>
    <w:rsid w:val="00596E84"/>
    <w:rsid w:val="005B07B9"/>
    <w:rsid w:val="005B0F1A"/>
    <w:rsid w:val="005C362C"/>
    <w:rsid w:val="005D39A7"/>
    <w:rsid w:val="005E0031"/>
    <w:rsid w:val="005F3CBF"/>
    <w:rsid w:val="005F5E9F"/>
    <w:rsid w:val="00602796"/>
    <w:rsid w:val="0060758B"/>
    <w:rsid w:val="0061766A"/>
    <w:rsid w:val="00631B72"/>
    <w:rsid w:val="00651E19"/>
    <w:rsid w:val="00660616"/>
    <w:rsid w:val="006772B8"/>
    <w:rsid w:val="006A4257"/>
    <w:rsid w:val="006C4AB3"/>
    <w:rsid w:val="006C644A"/>
    <w:rsid w:val="006D794A"/>
    <w:rsid w:val="006E339F"/>
    <w:rsid w:val="007016D9"/>
    <w:rsid w:val="00701C0C"/>
    <w:rsid w:val="00710B12"/>
    <w:rsid w:val="00734ABC"/>
    <w:rsid w:val="00740CEF"/>
    <w:rsid w:val="007851E9"/>
    <w:rsid w:val="00797BB6"/>
    <w:rsid w:val="007A471F"/>
    <w:rsid w:val="007A4FEA"/>
    <w:rsid w:val="007C233E"/>
    <w:rsid w:val="007C5F8E"/>
    <w:rsid w:val="007D0A3A"/>
    <w:rsid w:val="007E21B5"/>
    <w:rsid w:val="007F26FF"/>
    <w:rsid w:val="007F3FF6"/>
    <w:rsid w:val="0081259F"/>
    <w:rsid w:val="0081672A"/>
    <w:rsid w:val="00840B66"/>
    <w:rsid w:val="008464BB"/>
    <w:rsid w:val="0086114C"/>
    <w:rsid w:val="008656CA"/>
    <w:rsid w:val="008809B0"/>
    <w:rsid w:val="008A170C"/>
    <w:rsid w:val="008B126C"/>
    <w:rsid w:val="008B1596"/>
    <w:rsid w:val="008E3FD6"/>
    <w:rsid w:val="009036E9"/>
    <w:rsid w:val="009114A7"/>
    <w:rsid w:val="00912562"/>
    <w:rsid w:val="00940095"/>
    <w:rsid w:val="00944C21"/>
    <w:rsid w:val="009518B9"/>
    <w:rsid w:val="00980F31"/>
    <w:rsid w:val="009B359F"/>
    <w:rsid w:val="009B5EF1"/>
    <w:rsid w:val="009D7B3A"/>
    <w:rsid w:val="009F5F4A"/>
    <w:rsid w:val="00A05A5C"/>
    <w:rsid w:val="00A44883"/>
    <w:rsid w:val="00A44E36"/>
    <w:rsid w:val="00A47366"/>
    <w:rsid w:val="00AA2D73"/>
    <w:rsid w:val="00AE1C42"/>
    <w:rsid w:val="00B36FDD"/>
    <w:rsid w:val="00B642F3"/>
    <w:rsid w:val="00B90B7D"/>
    <w:rsid w:val="00B958F3"/>
    <w:rsid w:val="00BA7684"/>
    <w:rsid w:val="00BB031D"/>
    <w:rsid w:val="00BB196B"/>
    <w:rsid w:val="00BB2A69"/>
    <w:rsid w:val="00BC4376"/>
    <w:rsid w:val="00BD158A"/>
    <w:rsid w:val="00BD695F"/>
    <w:rsid w:val="00C05E06"/>
    <w:rsid w:val="00C158F9"/>
    <w:rsid w:val="00C30831"/>
    <w:rsid w:val="00C41FF2"/>
    <w:rsid w:val="00C5659B"/>
    <w:rsid w:val="00C670A9"/>
    <w:rsid w:val="00CA1CBD"/>
    <w:rsid w:val="00CF2E5D"/>
    <w:rsid w:val="00D150CE"/>
    <w:rsid w:val="00D22692"/>
    <w:rsid w:val="00D31E20"/>
    <w:rsid w:val="00D55B2E"/>
    <w:rsid w:val="00D7712F"/>
    <w:rsid w:val="00D810E0"/>
    <w:rsid w:val="00DA23BD"/>
    <w:rsid w:val="00DA3736"/>
    <w:rsid w:val="00DA5CEF"/>
    <w:rsid w:val="00DD6E96"/>
    <w:rsid w:val="00DE1FFE"/>
    <w:rsid w:val="00DE46B6"/>
    <w:rsid w:val="00DE7630"/>
    <w:rsid w:val="00DF088E"/>
    <w:rsid w:val="00E12C58"/>
    <w:rsid w:val="00E3146C"/>
    <w:rsid w:val="00E6013B"/>
    <w:rsid w:val="00E86FF7"/>
    <w:rsid w:val="00E87AD9"/>
    <w:rsid w:val="00E87DEF"/>
    <w:rsid w:val="00EB247D"/>
    <w:rsid w:val="00EB4117"/>
    <w:rsid w:val="00EB7E17"/>
    <w:rsid w:val="00EF0764"/>
    <w:rsid w:val="00F03039"/>
    <w:rsid w:val="00F039C5"/>
    <w:rsid w:val="00F20962"/>
    <w:rsid w:val="00F5174A"/>
    <w:rsid w:val="00F629B6"/>
    <w:rsid w:val="00F730C6"/>
    <w:rsid w:val="00F73931"/>
    <w:rsid w:val="00FA4FC9"/>
    <w:rsid w:val="00FB4D0B"/>
    <w:rsid w:val="00FB72C3"/>
    <w:rsid w:val="00FC2BFA"/>
    <w:rsid w:val="00FC5FB7"/>
    <w:rsid w:val="00FD2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39EB95"/>
  <w15:chartTrackingRefBased/>
  <w15:docId w15:val="{DFFED718-351E-47B9-9D6C-AE6AB591B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unhideWhenUsed/>
    <w:rsid w:val="00A44E36"/>
    <w:rPr>
      <w:color w:val="0000FF"/>
      <w:u w:val="single"/>
    </w:rPr>
  </w:style>
  <w:style w:type="character" w:styleId="FootnoteReference">
    <w:name w:val="footnote reference"/>
    <w:uiPriority w:val="99"/>
    <w:semiHidden/>
    <w:unhideWhenUsed/>
    <w:rsid w:val="00A44E36"/>
    <w:rPr>
      <w:vertAlign w:val="superscript"/>
    </w:rPr>
  </w:style>
  <w:style w:type="table" w:styleId="TableGrid">
    <w:name w:val="Table Grid"/>
    <w:basedOn w:val="TableNormal"/>
    <w:uiPriority w:val="99"/>
    <w:rsid w:val="00A44E36"/>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736"/>
    <w:pPr>
      <w:ind w:left="720"/>
      <w:contextualSpacing/>
    </w:pPr>
  </w:style>
  <w:style w:type="character" w:styleId="FollowedHyperlink">
    <w:name w:val="FollowedHyperlink"/>
    <w:uiPriority w:val="99"/>
    <w:semiHidden/>
    <w:unhideWhenUsed/>
    <w:rsid w:val="00CA1CBD"/>
    <w:rPr>
      <w:color w:val="800080"/>
      <w:u w:val="single"/>
    </w:rPr>
  </w:style>
  <w:style w:type="paragraph" w:styleId="Footer">
    <w:name w:val="footer"/>
    <w:basedOn w:val="Normal"/>
    <w:link w:val="FooterChar"/>
    <w:uiPriority w:val="99"/>
    <w:rsid w:val="009036E9"/>
    <w:pPr>
      <w:tabs>
        <w:tab w:val="center" w:pos="4320"/>
        <w:tab w:val="right" w:pos="8640"/>
      </w:tabs>
    </w:pPr>
  </w:style>
  <w:style w:type="character" w:customStyle="1" w:styleId="FooterChar">
    <w:name w:val="Footer Char"/>
    <w:link w:val="Footer"/>
    <w:uiPriority w:val="99"/>
    <w:rsid w:val="009036E9"/>
    <w:rPr>
      <w:rFonts w:ascii="Times New Roman" w:hAnsi="Times New Roman"/>
    </w:rPr>
  </w:style>
  <w:style w:type="paragraph" w:styleId="NormalWeb">
    <w:name w:val="Normal (Web)"/>
    <w:basedOn w:val="Normal"/>
    <w:uiPriority w:val="99"/>
    <w:rsid w:val="009036E9"/>
    <w:pPr>
      <w:widowControl/>
      <w:autoSpaceDE/>
      <w:autoSpaceDN/>
      <w:adjustRightInd/>
      <w:spacing w:before="100" w:beforeAutospacing="1" w:after="100" w:afterAutospacing="1"/>
    </w:pPr>
    <w:rPr>
      <w:sz w:val="24"/>
      <w:szCs w:val="24"/>
    </w:rPr>
  </w:style>
  <w:style w:type="character" w:styleId="CommentReference">
    <w:name w:val="annotation reference"/>
    <w:uiPriority w:val="99"/>
    <w:semiHidden/>
    <w:unhideWhenUsed/>
    <w:rsid w:val="002F638F"/>
    <w:rPr>
      <w:sz w:val="16"/>
      <w:szCs w:val="16"/>
    </w:rPr>
  </w:style>
  <w:style w:type="paragraph" w:styleId="CommentText">
    <w:name w:val="annotation text"/>
    <w:basedOn w:val="Normal"/>
    <w:link w:val="CommentTextChar"/>
    <w:uiPriority w:val="99"/>
    <w:semiHidden/>
    <w:unhideWhenUsed/>
    <w:rsid w:val="002F638F"/>
  </w:style>
  <w:style w:type="character" w:customStyle="1" w:styleId="CommentTextChar">
    <w:name w:val="Comment Text Char"/>
    <w:link w:val="CommentText"/>
    <w:uiPriority w:val="99"/>
    <w:semiHidden/>
    <w:rsid w:val="002F638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2F638F"/>
    <w:rPr>
      <w:b/>
      <w:bCs/>
    </w:rPr>
  </w:style>
  <w:style w:type="character" w:customStyle="1" w:styleId="CommentSubjectChar">
    <w:name w:val="Comment Subject Char"/>
    <w:link w:val="CommentSubject"/>
    <w:uiPriority w:val="99"/>
    <w:semiHidden/>
    <w:rsid w:val="002F638F"/>
    <w:rPr>
      <w:rFonts w:ascii="Times New Roman" w:hAnsi="Times New Roman"/>
      <w:b/>
      <w:bCs/>
    </w:rPr>
  </w:style>
  <w:style w:type="paragraph" w:styleId="NoSpacing">
    <w:name w:val="No Spacing"/>
    <w:uiPriority w:val="1"/>
    <w:qFormat/>
    <w:rsid w:val="001207A4"/>
    <w:rPr>
      <w:rFonts w:eastAsia="Calibri"/>
      <w:sz w:val="22"/>
      <w:szCs w:val="22"/>
    </w:rPr>
  </w:style>
  <w:style w:type="character" w:customStyle="1" w:styleId="Hypertext">
    <w:name w:val="Hypertext"/>
    <w:rsid w:val="00734ABC"/>
    <w:rPr>
      <w:color w:val="0000FF"/>
      <w:u w:val="single"/>
    </w:rPr>
  </w:style>
  <w:style w:type="paragraph" w:styleId="FootnoteText">
    <w:name w:val="footnote text"/>
    <w:basedOn w:val="Normal"/>
    <w:link w:val="FootnoteTextChar"/>
    <w:uiPriority w:val="99"/>
    <w:unhideWhenUsed/>
    <w:rsid w:val="00377DBD"/>
  </w:style>
  <w:style w:type="character" w:customStyle="1" w:styleId="FootnoteTextChar">
    <w:name w:val="Footnote Text Char"/>
    <w:link w:val="FootnoteText"/>
    <w:uiPriority w:val="99"/>
    <w:rsid w:val="00377DBD"/>
    <w:rPr>
      <w:rFonts w:ascii="Times New Roman" w:hAnsi="Times New Roman"/>
    </w:rPr>
  </w:style>
  <w:style w:type="paragraph" w:styleId="Header">
    <w:name w:val="header"/>
    <w:basedOn w:val="Normal"/>
    <w:link w:val="HeaderChar"/>
    <w:uiPriority w:val="99"/>
    <w:unhideWhenUsed/>
    <w:rsid w:val="00551BB9"/>
    <w:pPr>
      <w:tabs>
        <w:tab w:val="center" w:pos="4680"/>
        <w:tab w:val="right" w:pos="9360"/>
      </w:tabs>
    </w:pPr>
  </w:style>
  <w:style w:type="character" w:customStyle="1" w:styleId="HeaderChar">
    <w:name w:val="Header Char"/>
    <w:link w:val="Header"/>
    <w:uiPriority w:val="99"/>
    <w:rsid w:val="00551BB9"/>
    <w:rPr>
      <w:rFonts w:ascii="Times New Roman" w:hAnsi="Times New Roman"/>
    </w:rPr>
  </w:style>
  <w:style w:type="character" w:styleId="UnresolvedMention">
    <w:name w:val="Unresolved Mention"/>
    <w:basedOn w:val="DefaultParagraphFont"/>
    <w:uiPriority w:val="99"/>
    <w:semiHidden/>
    <w:unhideWhenUsed/>
    <w:rsid w:val="00EB4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158837">
      <w:bodyDiv w:val="1"/>
      <w:marLeft w:val="0"/>
      <w:marRight w:val="0"/>
      <w:marTop w:val="0"/>
      <w:marBottom w:val="0"/>
      <w:divBdr>
        <w:top w:val="none" w:sz="0" w:space="0" w:color="auto"/>
        <w:left w:val="none" w:sz="0" w:space="0" w:color="auto"/>
        <w:bottom w:val="none" w:sz="0" w:space="0" w:color="auto"/>
        <w:right w:val="none" w:sz="0" w:space="0" w:color="auto"/>
      </w:divBdr>
      <w:divsChild>
        <w:div w:id="383023893">
          <w:marLeft w:val="0"/>
          <w:marRight w:val="0"/>
          <w:marTop w:val="0"/>
          <w:marBottom w:val="0"/>
          <w:divBdr>
            <w:top w:val="none" w:sz="0" w:space="0" w:color="auto"/>
            <w:left w:val="none" w:sz="0" w:space="0" w:color="auto"/>
            <w:bottom w:val="none" w:sz="0" w:space="0" w:color="auto"/>
            <w:right w:val="none" w:sz="0" w:space="0" w:color="auto"/>
          </w:divBdr>
        </w:div>
        <w:div w:id="454451753">
          <w:marLeft w:val="0"/>
          <w:marRight w:val="0"/>
          <w:marTop w:val="0"/>
          <w:marBottom w:val="0"/>
          <w:divBdr>
            <w:top w:val="none" w:sz="0" w:space="0" w:color="auto"/>
            <w:left w:val="none" w:sz="0" w:space="0" w:color="auto"/>
            <w:bottom w:val="none" w:sz="0" w:space="0" w:color="auto"/>
            <w:right w:val="none" w:sz="0" w:space="0" w:color="auto"/>
          </w:divBdr>
        </w:div>
        <w:div w:id="673993565">
          <w:marLeft w:val="0"/>
          <w:marRight w:val="0"/>
          <w:marTop w:val="0"/>
          <w:marBottom w:val="0"/>
          <w:divBdr>
            <w:top w:val="none" w:sz="0" w:space="0" w:color="auto"/>
            <w:left w:val="none" w:sz="0" w:space="0" w:color="auto"/>
            <w:bottom w:val="none" w:sz="0" w:space="0" w:color="auto"/>
            <w:right w:val="none" w:sz="0" w:space="0" w:color="auto"/>
          </w:divBdr>
        </w:div>
        <w:div w:id="757479197">
          <w:marLeft w:val="0"/>
          <w:marRight w:val="0"/>
          <w:marTop w:val="0"/>
          <w:marBottom w:val="0"/>
          <w:divBdr>
            <w:top w:val="none" w:sz="0" w:space="0" w:color="auto"/>
            <w:left w:val="none" w:sz="0" w:space="0" w:color="auto"/>
            <w:bottom w:val="none" w:sz="0" w:space="0" w:color="auto"/>
            <w:right w:val="none" w:sz="0" w:space="0" w:color="auto"/>
          </w:divBdr>
        </w:div>
        <w:div w:id="1911579399">
          <w:marLeft w:val="0"/>
          <w:marRight w:val="0"/>
          <w:marTop w:val="0"/>
          <w:marBottom w:val="0"/>
          <w:divBdr>
            <w:top w:val="none" w:sz="0" w:space="0" w:color="auto"/>
            <w:left w:val="none" w:sz="0" w:space="0" w:color="auto"/>
            <w:bottom w:val="none" w:sz="0" w:space="0" w:color="auto"/>
            <w:right w:val="none" w:sz="0" w:space="0" w:color="auto"/>
          </w:divBdr>
        </w:div>
        <w:div w:id="2035959920">
          <w:marLeft w:val="0"/>
          <w:marRight w:val="0"/>
          <w:marTop w:val="0"/>
          <w:marBottom w:val="0"/>
          <w:divBdr>
            <w:top w:val="none" w:sz="0" w:space="0" w:color="auto"/>
            <w:left w:val="none" w:sz="0" w:space="0" w:color="auto"/>
            <w:bottom w:val="none" w:sz="0" w:space="0" w:color="auto"/>
            <w:right w:val="none" w:sz="0" w:space="0" w:color="auto"/>
          </w:divBdr>
        </w:div>
        <w:div w:id="2105103793">
          <w:marLeft w:val="0"/>
          <w:marRight w:val="0"/>
          <w:marTop w:val="0"/>
          <w:marBottom w:val="0"/>
          <w:divBdr>
            <w:top w:val="none" w:sz="0" w:space="0" w:color="auto"/>
            <w:left w:val="none" w:sz="0" w:space="0" w:color="auto"/>
            <w:bottom w:val="none" w:sz="0" w:space="0" w:color="auto"/>
            <w:right w:val="none" w:sz="0" w:space="0" w:color="auto"/>
          </w:divBdr>
        </w:div>
        <w:div w:id="2138523256">
          <w:marLeft w:val="0"/>
          <w:marRight w:val="0"/>
          <w:marTop w:val="0"/>
          <w:marBottom w:val="0"/>
          <w:divBdr>
            <w:top w:val="none" w:sz="0" w:space="0" w:color="auto"/>
            <w:left w:val="none" w:sz="0" w:space="0" w:color="auto"/>
            <w:bottom w:val="none" w:sz="0" w:space="0" w:color="auto"/>
            <w:right w:val="none" w:sz="0" w:space="0" w:color="auto"/>
          </w:divBdr>
        </w:div>
      </w:divsChild>
    </w:div>
    <w:div w:id="258686440">
      <w:bodyDiv w:val="1"/>
      <w:marLeft w:val="0"/>
      <w:marRight w:val="0"/>
      <w:marTop w:val="0"/>
      <w:marBottom w:val="0"/>
      <w:divBdr>
        <w:top w:val="none" w:sz="0" w:space="0" w:color="auto"/>
        <w:left w:val="none" w:sz="0" w:space="0" w:color="auto"/>
        <w:bottom w:val="none" w:sz="0" w:space="0" w:color="auto"/>
        <w:right w:val="none" w:sz="0" w:space="0" w:color="auto"/>
      </w:divBdr>
      <w:divsChild>
        <w:div w:id="485754276">
          <w:marLeft w:val="0"/>
          <w:marRight w:val="0"/>
          <w:marTop w:val="0"/>
          <w:marBottom w:val="0"/>
          <w:divBdr>
            <w:top w:val="none" w:sz="0" w:space="0" w:color="auto"/>
            <w:left w:val="none" w:sz="0" w:space="0" w:color="auto"/>
            <w:bottom w:val="none" w:sz="0" w:space="0" w:color="auto"/>
            <w:right w:val="none" w:sz="0" w:space="0" w:color="auto"/>
          </w:divBdr>
        </w:div>
        <w:div w:id="967130055">
          <w:marLeft w:val="0"/>
          <w:marRight w:val="0"/>
          <w:marTop w:val="0"/>
          <w:marBottom w:val="0"/>
          <w:divBdr>
            <w:top w:val="none" w:sz="0" w:space="0" w:color="auto"/>
            <w:left w:val="none" w:sz="0" w:space="0" w:color="auto"/>
            <w:bottom w:val="none" w:sz="0" w:space="0" w:color="auto"/>
            <w:right w:val="none" w:sz="0" w:space="0" w:color="auto"/>
          </w:divBdr>
        </w:div>
        <w:div w:id="1233542149">
          <w:marLeft w:val="0"/>
          <w:marRight w:val="0"/>
          <w:marTop w:val="0"/>
          <w:marBottom w:val="0"/>
          <w:divBdr>
            <w:top w:val="none" w:sz="0" w:space="0" w:color="auto"/>
            <w:left w:val="none" w:sz="0" w:space="0" w:color="auto"/>
            <w:bottom w:val="none" w:sz="0" w:space="0" w:color="auto"/>
            <w:right w:val="none" w:sz="0" w:space="0" w:color="auto"/>
          </w:divBdr>
        </w:div>
        <w:div w:id="1272668676">
          <w:marLeft w:val="0"/>
          <w:marRight w:val="0"/>
          <w:marTop w:val="0"/>
          <w:marBottom w:val="0"/>
          <w:divBdr>
            <w:top w:val="none" w:sz="0" w:space="0" w:color="auto"/>
            <w:left w:val="none" w:sz="0" w:space="0" w:color="auto"/>
            <w:bottom w:val="none" w:sz="0" w:space="0" w:color="auto"/>
            <w:right w:val="none" w:sz="0" w:space="0" w:color="auto"/>
          </w:divBdr>
        </w:div>
        <w:div w:id="1311597340">
          <w:marLeft w:val="0"/>
          <w:marRight w:val="0"/>
          <w:marTop w:val="0"/>
          <w:marBottom w:val="0"/>
          <w:divBdr>
            <w:top w:val="none" w:sz="0" w:space="0" w:color="auto"/>
            <w:left w:val="none" w:sz="0" w:space="0" w:color="auto"/>
            <w:bottom w:val="none" w:sz="0" w:space="0" w:color="auto"/>
            <w:right w:val="none" w:sz="0" w:space="0" w:color="auto"/>
          </w:divBdr>
        </w:div>
        <w:div w:id="1671329621">
          <w:marLeft w:val="0"/>
          <w:marRight w:val="0"/>
          <w:marTop w:val="0"/>
          <w:marBottom w:val="0"/>
          <w:divBdr>
            <w:top w:val="none" w:sz="0" w:space="0" w:color="auto"/>
            <w:left w:val="none" w:sz="0" w:space="0" w:color="auto"/>
            <w:bottom w:val="none" w:sz="0" w:space="0" w:color="auto"/>
            <w:right w:val="none" w:sz="0" w:space="0" w:color="auto"/>
          </w:divBdr>
        </w:div>
        <w:div w:id="1683974297">
          <w:marLeft w:val="0"/>
          <w:marRight w:val="0"/>
          <w:marTop w:val="0"/>
          <w:marBottom w:val="0"/>
          <w:divBdr>
            <w:top w:val="none" w:sz="0" w:space="0" w:color="auto"/>
            <w:left w:val="none" w:sz="0" w:space="0" w:color="auto"/>
            <w:bottom w:val="none" w:sz="0" w:space="0" w:color="auto"/>
            <w:right w:val="none" w:sz="0" w:space="0" w:color="auto"/>
          </w:divBdr>
        </w:div>
        <w:div w:id="2071614030">
          <w:marLeft w:val="0"/>
          <w:marRight w:val="0"/>
          <w:marTop w:val="0"/>
          <w:marBottom w:val="0"/>
          <w:divBdr>
            <w:top w:val="none" w:sz="0" w:space="0" w:color="auto"/>
            <w:left w:val="none" w:sz="0" w:space="0" w:color="auto"/>
            <w:bottom w:val="none" w:sz="0" w:space="0" w:color="auto"/>
            <w:right w:val="none" w:sz="0" w:space="0" w:color="auto"/>
          </w:divBdr>
        </w:div>
      </w:divsChild>
    </w:div>
    <w:div w:id="64751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pm.gov/policy-data-oversight/pay-leave/salaries-wages/salary-tables/pdf/2021/GS_h.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9E3E243E9C894EBE2D5D8CD80F38C3" ma:contentTypeVersion="5" ma:contentTypeDescription="Create a new document." ma:contentTypeScope="" ma:versionID="f66eff226ae50b5985a91431389f2a82">
  <xsd:schema xmlns:xsd="http://www.w3.org/2001/XMLSchema" xmlns:xs="http://www.w3.org/2001/XMLSchema" xmlns:p="http://schemas.microsoft.com/office/2006/metadata/properties" xmlns:ns3="4d898bb7-254c-44f4-86c7-ab0c0a355b11" xmlns:ns4="d9463545-f4ee-4282-bbcc-b58a402a3f4f" targetNamespace="http://schemas.microsoft.com/office/2006/metadata/properties" ma:root="true" ma:fieldsID="ada7418bf5ba160d29e911f3b48b0155" ns3:_="" ns4:_="">
    <xsd:import namespace="4d898bb7-254c-44f4-86c7-ab0c0a355b11"/>
    <xsd:import namespace="d9463545-f4ee-4282-bbcc-b58a402a3f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98bb7-254c-44f4-86c7-ab0c0a355b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463545-f4ee-4282-bbcc-b58a402a3f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76852-6B9F-4970-9D4E-D883A14E9146}">
  <ds:schemaRefs>
    <ds:schemaRef ds:uri="http://purl.org/dc/terms/"/>
    <ds:schemaRef ds:uri="http://schemas.openxmlformats.org/package/2006/metadata/core-properties"/>
    <ds:schemaRef ds:uri="4d898bb7-254c-44f4-86c7-ab0c0a355b11"/>
    <ds:schemaRef ds:uri="http://schemas.microsoft.com/office/2006/documentManagement/types"/>
    <ds:schemaRef ds:uri="http://schemas.microsoft.com/office/infopath/2007/PartnerControls"/>
    <ds:schemaRef ds:uri="http://purl.org/dc/elements/1.1/"/>
    <ds:schemaRef ds:uri="http://schemas.microsoft.com/office/2006/metadata/properties"/>
    <ds:schemaRef ds:uri="d9463545-f4ee-4282-bbcc-b58a402a3f4f"/>
    <ds:schemaRef ds:uri="http://www.w3.org/XML/1998/namespace"/>
    <ds:schemaRef ds:uri="http://purl.org/dc/dcmitype/"/>
  </ds:schemaRefs>
</ds:datastoreItem>
</file>

<file path=customXml/itemProps2.xml><?xml version="1.0" encoding="utf-8"?>
<ds:datastoreItem xmlns:ds="http://schemas.openxmlformats.org/officeDocument/2006/customXml" ds:itemID="{4EB338BC-BB8F-4838-B97D-40073A9471F8}">
  <ds:schemaRefs>
    <ds:schemaRef ds:uri="http://schemas.microsoft.com/sharepoint/v3/contenttype/forms"/>
  </ds:schemaRefs>
</ds:datastoreItem>
</file>

<file path=customXml/itemProps3.xml><?xml version="1.0" encoding="utf-8"?>
<ds:datastoreItem xmlns:ds="http://schemas.openxmlformats.org/officeDocument/2006/customXml" ds:itemID="{AFFCA056-B7B2-4918-B3D9-80A58E913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98bb7-254c-44f4-86c7-ab0c0a355b11"/>
    <ds:schemaRef ds:uri="d9463545-f4ee-4282-bbcc-b58a402a3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2834</Words>
  <Characters>13436</Characters>
  <Application>Microsoft Office Word</Application>
  <DocSecurity>4</DocSecurity>
  <Lines>312</Lines>
  <Paragraphs>80</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16190</CharactersWithSpaces>
  <SharedDoc>false</SharedDoc>
  <HLinks>
    <vt:vector size="6" baseType="variant">
      <vt:variant>
        <vt:i4>8060992</vt:i4>
      </vt:variant>
      <vt:variant>
        <vt:i4>2</vt:i4>
      </vt:variant>
      <vt:variant>
        <vt:i4>0</vt:i4>
      </vt:variant>
      <vt:variant>
        <vt:i4>5</vt:i4>
      </vt:variant>
      <vt:variant>
        <vt:lpwstr>http://www.opm.gov/policy-data-oversight/pay-leave/salaries-wages/salary-tables/pdf/2018/GS_h.pdf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cp:lastModifiedBy>Appel, Elizabeth K</cp:lastModifiedBy>
  <cp:revision>2</cp:revision>
  <cp:lastPrinted>2012-09-13T14:25:00Z</cp:lastPrinted>
  <dcterms:created xsi:type="dcterms:W3CDTF">2021-05-25T15:28:00Z</dcterms:created>
  <dcterms:modified xsi:type="dcterms:W3CDTF">2021-05-25T15:28:00Z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0x010100ED9E3E243E9C894EBE2D5D8CD80F38C3</vt:lpwstr>
  </property>
</Properties>
</file>