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7C2D" w:rsidR="004B7C2D" w:rsidP="004B7C2D" w:rsidRDefault="004B7C2D">
      <w:pPr>
        <w:jc w:val="center"/>
        <w:rPr>
          <w:b/>
          <w:bCs/>
        </w:rPr>
      </w:pPr>
      <w:r w:rsidRPr="004B7C2D">
        <w:rPr>
          <w:b/>
          <w:bCs/>
        </w:rPr>
        <w:t>Department of the Treasury</w:t>
      </w:r>
    </w:p>
    <w:p w:rsidRPr="004B7C2D" w:rsidR="004B7C2D" w:rsidP="004B7C2D" w:rsidRDefault="004B7C2D">
      <w:pPr>
        <w:jc w:val="center"/>
        <w:rPr>
          <w:b/>
          <w:bCs/>
        </w:rPr>
      </w:pPr>
      <w:r w:rsidRPr="004B7C2D">
        <w:rPr>
          <w:b/>
          <w:bCs/>
        </w:rPr>
        <w:t>Information Collection Request – Justification for Non-Substantive Change</w:t>
      </w:r>
    </w:p>
    <w:p w:rsidRPr="004B7C2D" w:rsidR="004B7C2D" w:rsidP="004B7C2D" w:rsidRDefault="004B7C2D">
      <w:pPr>
        <w:jc w:val="center"/>
        <w:rPr>
          <w:b/>
          <w:bCs/>
        </w:rPr>
      </w:pPr>
    </w:p>
    <w:p w:rsidRPr="004B7C2D" w:rsidR="004B7C2D" w:rsidP="004B7C2D" w:rsidRDefault="004B7C2D">
      <w:pPr>
        <w:jc w:val="center"/>
        <w:rPr>
          <w:b/>
          <w:bCs/>
        </w:rPr>
      </w:pPr>
      <w:r w:rsidRPr="004B7C2D">
        <w:rPr>
          <w:b/>
          <w:bCs/>
        </w:rPr>
        <w:t xml:space="preserve">Air Carrier Loan and Payroll Support Programs </w:t>
      </w:r>
    </w:p>
    <w:p w:rsidRPr="004B7C2D" w:rsidR="004B7C2D" w:rsidP="004B7C2D" w:rsidRDefault="004B7C2D">
      <w:pPr>
        <w:jc w:val="center"/>
        <w:rPr>
          <w:b/>
          <w:bCs/>
        </w:rPr>
      </w:pPr>
      <w:r w:rsidRPr="004B7C2D">
        <w:rPr>
          <w:b/>
          <w:bCs/>
        </w:rPr>
        <w:t>OMB No. 1505-0263</w:t>
      </w:r>
    </w:p>
    <w:p w:rsidR="004B7C2D" w:rsidP="004B7C2D" w:rsidRDefault="004B7C2D">
      <w:pPr>
        <w:jc w:val="center"/>
        <w:rPr>
          <w:b/>
          <w:bCs/>
        </w:rPr>
      </w:pPr>
      <w:r w:rsidRPr="004B7C2D">
        <w:rPr>
          <w:b/>
          <w:bCs/>
        </w:rPr>
        <w:t>Jan 8, 2021</w:t>
      </w:r>
    </w:p>
    <w:p w:rsidR="004B7C2D" w:rsidP="004B7C2D" w:rsidRDefault="004B7C2D">
      <w:pPr>
        <w:jc w:val="center"/>
        <w:rPr>
          <w:b/>
          <w:bCs/>
        </w:rPr>
      </w:pPr>
    </w:p>
    <w:p w:rsidR="004B7C2D" w:rsidP="004B7C2D" w:rsidRDefault="004B7C2D">
      <w:r w:rsidRPr="004B7C2D">
        <w:tab/>
      </w:r>
      <w:r>
        <w:t xml:space="preserve">Treasury </w:t>
      </w:r>
      <w:r w:rsidRPr="004B7C2D">
        <w:t>request</w:t>
      </w:r>
      <w:r>
        <w:t>s</w:t>
      </w:r>
      <w:r w:rsidRPr="004B7C2D">
        <w:t xml:space="preserve"> </w:t>
      </w:r>
      <w:r>
        <w:t xml:space="preserve">a </w:t>
      </w:r>
      <w:r w:rsidRPr="004B7C2D">
        <w:t>non-substantive change of OMB Control No. 1505-0263 i</w:t>
      </w:r>
      <w:r>
        <w:t xml:space="preserve">n order to add a new instrument: </w:t>
      </w:r>
      <w:proofErr w:type="gramStart"/>
      <w:r>
        <w:t>the</w:t>
      </w:r>
      <w:proofErr w:type="gramEnd"/>
      <w:r>
        <w:t xml:space="preserve"> Payroll Support Program Extension (PSP2) Application Online Portal. This application was described and the burden for it estimated in the previously approved revision of 1505-0263, however the online portal was not sufficiently developed in time to include the screenshots in the previous revision. Along with the inclusion of this new instrument, Treasury is requesting approval for the full burden estimated in the previously approved supporting statement and copied for reference below.</w:t>
      </w:r>
      <w:bookmarkStart w:name="_GoBack" w:id="0"/>
      <w:bookmarkEnd w:id="0"/>
    </w:p>
    <w:p w:rsidR="004B7C2D" w:rsidP="004B7C2D" w:rsidRDefault="004B7C2D"/>
    <w:tbl>
      <w:tblPr>
        <w:tblW w:w="10905" w:type="dxa"/>
        <w:jc w:val="center"/>
        <w:tblLook w:val="04A0" w:firstRow="1" w:lastRow="0" w:firstColumn="1" w:lastColumn="0" w:noHBand="0" w:noVBand="1"/>
      </w:tblPr>
      <w:tblGrid>
        <w:gridCol w:w="2275"/>
        <w:gridCol w:w="1775"/>
        <w:gridCol w:w="1391"/>
        <w:gridCol w:w="1391"/>
        <w:gridCol w:w="1170"/>
        <w:gridCol w:w="1553"/>
        <w:gridCol w:w="1350"/>
      </w:tblGrid>
      <w:tr w:rsidRPr="00EF2363" w:rsidR="004B7C2D" w:rsidTr="00290150">
        <w:trPr>
          <w:trHeight w:val="1110"/>
          <w:jc w:val="center"/>
        </w:trPr>
        <w:tc>
          <w:tcPr>
            <w:tcW w:w="2275"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6C4606" w:rsidR="004B7C2D" w:rsidP="00290150" w:rsidRDefault="004B7C2D">
            <w:pPr>
              <w:jc w:val="center"/>
              <w:rPr>
                <w:b/>
                <w:bCs/>
                <w:color w:val="000000"/>
              </w:rPr>
            </w:pPr>
            <w:bookmarkStart w:name="RANGE!A1:G18" w:id="1"/>
            <w:r w:rsidRPr="006C4606">
              <w:rPr>
                <w:b/>
                <w:bCs/>
                <w:color w:val="000000"/>
              </w:rPr>
              <w:t>Reporting</w:t>
            </w:r>
            <w:bookmarkEnd w:id="1"/>
          </w:p>
        </w:tc>
        <w:tc>
          <w:tcPr>
            <w:tcW w:w="1775" w:type="dxa"/>
            <w:tcBorders>
              <w:top w:val="single" w:color="auto" w:sz="8" w:space="0"/>
              <w:left w:val="nil"/>
              <w:bottom w:val="single" w:color="auto" w:sz="8" w:space="0"/>
              <w:right w:val="single" w:color="auto" w:sz="8" w:space="0"/>
            </w:tcBorders>
            <w:shd w:val="clear" w:color="000000" w:fill="FFFFFF"/>
            <w:vAlign w:val="center"/>
            <w:hideMark/>
          </w:tcPr>
          <w:p w:rsidRPr="006C4606" w:rsidR="004B7C2D" w:rsidP="00290150" w:rsidRDefault="004B7C2D">
            <w:pPr>
              <w:jc w:val="center"/>
              <w:rPr>
                <w:color w:val="000000"/>
              </w:rPr>
            </w:pPr>
            <w:r w:rsidRPr="006C4606">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4B7C2D" w:rsidP="00290150" w:rsidRDefault="004B7C2D">
            <w:pPr>
              <w:jc w:val="center"/>
              <w:rPr>
                <w:color w:val="000000"/>
              </w:rPr>
            </w:pPr>
            <w:r w:rsidRPr="006C4606">
              <w:rPr>
                <w:color w:val="000000"/>
              </w:rPr>
              <w:t># Responses Per Respondent</w:t>
            </w:r>
          </w:p>
          <w:p w:rsidRPr="006C4606" w:rsidR="004B7C2D" w:rsidP="00290150" w:rsidRDefault="004B7C2D">
            <w:pPr>
              <w:jc w:val="center"/>
              <w:rPr>
                <w:color w:val="000000"/>
              </w:rPr>
            </w:pP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4B7C2D" w:rsidP="00290150" w:rsidRDefault="004B7C2D">
            <w:pPr>
              <w:jc w:val="center"/>
              <w:rPr>
                <w:color w:val="000000"/>
              </w:rPr>
            </w:pPr>
            <w:r w:rsidRPr="006C4606">
              <w:rPr>
                <w:color w:val="000000"/>
              </w:rPr>
              <w:t>Total annual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6C4606" w:rsidR="004B7C2D" w:rsidP="00290150" w:rsidRDefault="004B7C2D">
            <w:pPr>
              <w:jc w:val="center"/>
              <w:rPr>
                <w:color w:val="000000"/>
              </w:rPr>
            </w:pPr>
            <w:r w:rsidRPr="006C4606">
              <w:rPr>
                <w:color w:val="000000"/>
              </w:rPr>
              <w:t>Hours per response</w:t>
            </w:r>
          </w:p>
        </w:tc>
        <w:tc>
          <w:tcPr>
            <w:tcW w:w="1553" w:type="dxa"/>
            <w:tcBorders>
              <w:top w:val="single" w:color="auto" w:sz="8" w:space="0"/>
              <w:left w:val="nil"/>
              <w:bottom w:val="single" w:color="auto" w:sz="8" w:space="0"/>
              <w:right w:val="single" w:color="auto" w:sz="8" w:space="0"/>
            </w:tcBorders>
            <w:shd w:val="clear" w:color="000000" w:fill="FFFFFF"/>
            <w:vAlign w:val="center"/>
            <w:hideMark/>
          </w:tcPr>
          <w:p w:rsidRPr="006C4606" w:rsidR="004B7C2D" w:rsidP="00290150" w:rsidRDefault="004B7C2D">
            <w:pPr>
              <w:jc w:val="center"/>
              <w:rPr>
                <w:color w:val="000000"/>
              </w:rPr>
            </w:pPr>
            <w:r w:rsidRPr="006C4606">
              <w:rPr>
                <w:color w:val="000000"/>
              </w:rPr>
              <w:t>Total Burden in Hours</w:t>
            </w:r>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6C4606" w:rsidR="004B7C2D" w:rsidP="00290150" w:rsidRDefault="004B7C2D">
            <w:pPr>
              <w:jc w:val="center"/>
              <w:rPr>
                <w:color w:val="000000"/>
              </w:rPr>
            </w:pPr>
            <w:r w:rsidRPr="006C4606">
              <w:rPr>
                <w:color w:val="000000"/>
              </w:rPr>
              <w:t>Cost to Respondent</w:t>
            </w:r>
          </w:p>
          <w:p w:rsidRPr="006C4606" w:rsidR="004B7C2D" w:rsidP="00290150" w:rsidRDefault="004B7C2D">
            <w:pPr>
              <w:jc w:val="center"/>
              <w:rPr>
                <w:color w:val="000000"/>
              </w:rPr>
            </w:pPr>
            <w:r w:rsidRPr="006C4606">
              <w:rPr>
                <w:color w:val="000000"/>
              </w:rPr>
              <w:t>($</w:t>
            </w:r>
            <w:r>
              <w:rPr>
                <w:color w:val="000000"/>
              </w:rPr>
              <w:t>49</w:t>
            </w:r>
            <w:r w:rsidRPr="006C4606">
              <w:rPr>
                <w:color w:val="000000"/>
              </w:rPr>
              <w:t>.</w:t>
            </w:r>
            <w:r>
              <w:rPr>
                <w:color w:val="000000"/>
              </w:rPr>
              <w:t>54</w:t>
            </w:r>
            <w:r w:rsidRPr="006C4606">
              <w:rPr>
                <w:color w:val="000000"/>
              </w:rPr>
              <w:t xml:space="preserve"> per hour*)</w:t>
            </w:r>
          </w:p>
        </w:tc>
      </w:tr>
      <w:tr w:rsidRPr="00EF2363" w:rsidR="004B7C2D" w:rsidTr="00290150">
        <w:trPr>
          <w:trHeight w:val="5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4B7C2D" w:rsidP="00290150" w:rsidRDefault="004B7C2D">
            <w:pPr>
              <w:jc w:val="center"/>
              <w:rPr>
                <w:color w:val="000000"/>
              </w:rPr>
            </w:pPr>
            <w:r>
              <w:rPr>
                <w:color w:val="000000"/>
              </w:rPr>
              <w:t>PSP2</w:t>
            </w:r>
            <w:r w:rsidRPr="006C4606">
              <w:rPr>
                <w:color w:val="000000"/>
              </w:rPr>
              <w:t xml:space="preserve"> Application</w:t>
            </w:r>
            <w:r>
              <w:rPr>
                <w:color w:val="000000"/>
              </w:rPr>
              <w:t>s</w:t>
            </w:r>
            <w:r w:rsidRPr="006C4606">
              <w:rPr>
                <w:color w:val="000000"/>
              </w:rPr>
              <w:t xml:space="preserve"> and Agreements</w:t>
            </w:r>
          </w:p>
        </w:tc>
        <w:tc>
          <w:tcPr>
            <w:tcW w:w="1775" w:type="dxa"/>
            <w:tcBorders>
              <w:top w:val="nil"/>
              <w:left w:val="nil"/>
              <w:bottom w:val="single" w:color="auto" w:sz="8" w:space="0"/>
              <w:right w:val="single" w:color="auto" w:sz="8" w:space="0"/>
            </w:tcBorders>
            <w:shd w:val="clear" w:color="000000" w:fill="FFFFFF"/>
            <w:vAlign w:val="center"/>
          </w:tcPr>
          <w:p w:rsidRPr="006C4606" w:rsidR="004B7C2D" w:rsidP="00290150" w:rsidRDefault="004B7C2D">
            <w:pPr>
              <w:jc w:val="center"/>
              <w:rPr>
                <w:color w:val="000000"/>
              </w:rPr>
            </w:pPr>
            <w:r>
              <w:rPr>
                <w:color w:val="000000"/>
              </w:rPr>
              <w:t>570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570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2</w:t>
            </w:r>
          </w:p>
        </w:tc>
        <w:tc>
          <w:tcPr>
            <w:tcW w:w="1553"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1,140</w:t>
            </w:r>
          </w:p>
        </w:tc>
        <w:tc>
          <w:tcPr>
            <w:tcW w:w="1350"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$56,476</w:t>
            </w:r>
          </w:p>
        </w:tc>
      </w:tr>
      <w:tr w:rsidRPr="00EF2363" w:rsidR="004B7C2D" w:rsidTr="00290150">
        <w:trPr>
          <w:trHeight w:val="8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4B7C2D" w:rsidP="00290150" w:rsidRDefault="004B7C2D">
            <w:pPr>
              <w:jc w:val="center"/>
              <w:rPr>
                <w:color w:val="000000"/>
              </w:rPr>
            </w:pPr>
            <w:r>
              <w:rPr>
                <w:color w:val="000000"/>
              </w:rPr>
              <w:t>PSP2 Applications for Certain PSP1 Participants</w:t>
            </w:r>
          </w:p>
        </w:tc>
        <w:tc>
          <w:tcPr>
            <w:tcW w:w="1775"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30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30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1</w:t>
            </w:r>
          </w:p>
        </w:tc>
        <w:tc>
          <w:tcPr>
            <w:tcW w:w="1553"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Pr>
                <w:color w:val="000000"/>
              </w:rPr>
              <w:t>30</w:t>
            </w:r>
          </w:p>
        </w:tc>
        <w:tc>
          <w:tcPr>
            <w:tcW w:w="1350"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sidRPr="006C4606">
              <w:rPr>
                <w:color w:val="000000"/>
              </w:rPr>
              <w:t>$</w:t>
            </w:r>
            <w:r>
              <w:rPr>
                <w:color w:val="000000"/>
              </w:rPr>
              <w:t>1486</w:t>
            </w:r>
          </w:p>
        </w:tc>
      </w:tr>
      <w:tr w:rsidRPr="00EF2363" w:rsidR="004B7C2D" w:rsidTr="00290150">
        <w:trPr>
          <w:trHeight w:val="8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4B7C2D" w:rsidP="00290150" w:rsidRDefault="004B7C2D">
            <w:pPr>
              <w:jc w:val="center"/>
              <w:rPr>
                <w:color w:val="000000"/>
              </w:rPr>
            </w:pPr>
            <w:r>
              <w:rPr>
                <w:color w:val="000000"/>
              </w:rPr>
              <w:t xml:space="preserve">Loan Program, PSP1, and PSP2 </w:t>
            </w:r>
            <w:r w:rsidRPr="006C4606">
              <w:rPr>
                <w:color w:val="000000"/>
              </w:rPr>
              <w:t>Compliance Reporting and Recordkeeping</w:t>
            </w:r>
          </w:p>
        </w:tc>
        <w:tc>
          <w:tcPr>
            <w:tcW w:w="1775"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sidRPr="006C4606">
              <w:rPr>
                <w:color w:val="000000"/>
              </w:rPr>
              <w:t>1,100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sidRPr="006C4606">
              <w:rPr>
                <w:color w:val="000000"/>
              </w:rPr>
              <w:t>4</w:t>
            </w:r>
          </w:p>
        </w:tc>
        <w:tc>
          <w:tcPr>
            <w:tcW w:w="1391"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sidRPr="006C4606">
              <w:rPr>
                <w:color w:val="000000"/>
              </w:rPr>
              <w:t>4,400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sidRPr="006C4606">
              <w:rPr>
                <w:color w:val="000000"/>
              </w:rPr>
              <w:t>4</w:t>
            </w:r>
          </w:p>
        </w:tc>
        <w:tc>
          <w:tcPr>
            <w:tcW w:w="1553"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sidRPr="006C4606">
              <w:rPr>
                <w:color w:val="000000"/>
              </w:rPr>
              <w:t>17,600</w:t>
            </w:r>
          </w:p>
        </w:tc>
        <w:tc>
          <w:tcPr>
            <w:tcW w:w="1350" w:type="dxa"/>
            <w:tcBorders>
              <w:top w:val="nil"/>
              <w:left w:val="nil"/>
              <w:bottom w:val="single" w:color="auto" w:sz="8" w:space="0"/>
              <w:right w:val="single" w:color="auto" w:sz="8" w:space="0"/>
            </w:tcBorders>
            <w:shd w:val="clear" w:color="000000" w:fill="FFFFFF"/>
            <w:noWrap/>
            <w:vAlign w:val="center"/>
          </w:tcPr>
          <w:p w:rsidRPr="006C4606" w:rsidR="004B7C2D" w:rsidP="00290150" w:rsidRDefault="004B7C2D">
            <w:pPr>
              <w:jc w:val="center"/>
              <w:rPr>
                <w:color w:val="000000"/>
              </w:rPr>
            </w:pPr>
            <w:r w:rsidRPr="006C4606">
              <w:rPr>
                <w:color w:val="000000"/>
              </w:rPr>
              <w:t>$</w:t>
            </w:r>
            <w:r>
              <w:rPr>
                <w:color w:val="000000"/>
              </w:rPr>
              <w:t>871,904</w:t>
            </w:r>
          </w:p>
        </w:tc>
      </w:tr>
      <w:tr w:rsidRPr="00EF2363" w:rsidR="004B7C2D" w:rsidTr="00290150">
        <w:trPr>
          <w:trHeight w:val="692"/>
          <w:jc w:val="center"/>
        </w:trPr>
        <w:tc>
          <w:tcPr>
            <w:tcW w:w="22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4B7C2D" w:rsidP="00290150" w:rsidRDefault="004B7C2D">
            <w:pPr>
              <w:jc w:val="center"/>
              <w:rPr>
                <w:b/>
                <w:bCs/>
                <w:color w:val="000000"/>
              </w:rPr>
            </w:pPr>
            <w:r w:rsidRPr="006C4606">
              <w:rPr>
                <w:b/>
                <w:bCs/>
                <w:color w:val="000000"/>
              </w:rPr>
              <w:t>TOTAL</w:t>
            </w:r>
          </w:p>
        </w:tc>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4B7C2D" w:rsidP="00290150" w:rsidRDefault="004B7C2D">
            <w:pPr>
              <w:jc w:val="center"/>
              <w:rPr>
                <w:b/>
                <w:color w:val="000000"/>
              </w:rPr>
            </w:pPr>
            <w:r>
              <w:rPr>
                <w:b/>
                <w:color w:val="000000"/>
              </w:rPr>
              <w:t>1</w:t>
            </w:r>
            <w:r w:rsidRPr="006C4606">
              <w:rPr>
                <w:b/>
                <w:color w:val="000000"/>
              </w:rPr>
              <w:t>,</w:t>
            </w:r>
            <w:r>
              <w:rPr>
                <w:b/>
                <w:color w:val="000000"/>
              </w:rPr>
              <w:t>7</w:t>
            </w:r>
            <w:r w:rsidRPr="006C4606">
              <w:rPr>
                <w:b/>
                <w:color w:val="000000"/>
              </w:rPr>
              <w:t>00</w:t>
            </w:r>
          </w:p>
        </w:tc>
        <w:tc>
          <w:tcPr>
            <w:tcW w:w="139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4B7C2D" w:rsidP="00290150" w:rsidRDefault="004B7C2D">
            <w:pPr>
              <w:jc w:val="center"/>
              <w:rPr>
                <w:b/>
                <w:color w:val="000000"/>
              </w:rPr>
            </w:pP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4B7C2D" w:rsidP="00290150" w:rsidRDefault="004B7C2D">
            <w:pPr>
              <w:jc w:val="center"/>
              <w:rPr>
                <w:b/>
                <w:color w:val="000000"/>
              </w:rPr>
            </w:pPr>
            <w:r w:rsidRPr="006C4606">
              <w:rPr>
                <w:b/>
                <w:color w:val="000000"/>
              </w:rPr>
              <w:t>5,</w:t>
            </w:r>
            <w:r>
              <w:rPr>
                <w:b/>
                <w:color w:val="000000"/>
              </w:rPr>
              <w:t>0</w:t>
            </w:r>
            <w:r w:rsidRPr="006C4606">
              <w:rPr>
                <w:b/>
                <w:color w:val="000000"/>
              </w:rPr>
              <w:t>00</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4B7C2D" w:rsidP="00290150" w:rsidRDefault="004B7C2D">
            <w:pPr>
              <w:jc w:val="center"/>
              <w:rPr>
                <w:b/>
                <w:color w:val="000000"/>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4B7C2D" w:rsidP="00290150" w:rsidRDefault="004B7C2D">
            <w:pPr>
              <w:jc w:val="center"/>
              <w:rPr>
                <w:b/>
                <w:color w:val="000000"/>
              </w:rPr>
            </w:pPr>
            <w:r w:rsidRPr="006C4606">
              <w:rPr>
                <w:b/>
                <w:color w:val="000000"/>
              </w:rPr>
              <w:t>1</w:t>
            </w:r>
            <w:r>
              <w:rPr>
                <w:b/>
                <w:color w:val="000000"/>
              </w:rPr>
              <w:t>8</w:t>
            </w:r>
            <w:r w:rsidRPr="006C4606">
              <w:rPr>
                <w:b/>
                <w:color w:val="000000"/>
              </w:rPr>
              <w:t>,</w:t>
            </w:r>
            <w:r>
              <w:rPr>
                <w:b/>
                <w:color w:val="000000"/>
              </w:rPr>
              <w:t>77</w:t>
            </w:r>
            <w:r w:rsidRPr="006C4606">
              <w:rPr>
                <w:b/>
                <w:color w:val="000000"/>
              </w:rPr>
              <w:t>0</w:t>
            </w: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4B7C2D" w:rsidP="00290150" w:rsidRDefault="004B7C2D">
            <w:pPr>
              <w:jc w:val="center"/>
              <w:rPr>
                <w:b/>
                <w:color w:val="000000"/>
              </w:rPr>
            </w:pPr>
            <w:r w:rsidRPr="006C4606">
              <w:rPr>
                <w:b/>
                <w:color w:val="000000"/>
              </w:rPr>
              <w:t>$</w:t>
            </w:r>
            <w:r>
              <w:rPr>
                <w:b/>
                <w:color w:val="000000"/>
              </w:rPr>
              <w:t>929,866</w:t>
            </w:r>
          </w:p>
        </w:tc>
      </w:tr>
    </w:tbl>
    <w:p w:rsidR="004B7C2D" w:rsidP="004B7C2D" w:rsidRDefault="004B7C2D">
      <w:pPr>
        <w:rPr>
          <w:sz w:val="20"/>
          <w:szCs w:val="20"/>
        </w:rPr>
      </w:pPr>
      <w:r w:rsidRPr="00BD5E56">
        <w:rPr>
          <w:sz w:val="20"/>
        </w:rPr>
        <w:t xml:space="preserve">* Bureau of Labor Statistics, U.S. Department of Labor, Occupational Outlook Handbook, Accountants and Auditors, on the Internet at </w:t>
      </w:r>
      <w:hyperlink w:history="1" r:id="rId4">
        <w:r w:rsidRPr="001240E6">
          <w:rPr>
            <w:rStyle w:val="Hyperlink"/>
            <w:sz w:val="20"/>
          </w:rPr>
          <w:t>https://www.bls.gov/ooh/business-and-financial/accountants-and-auditors.htm</w:t>
        </w:r>
      </w:hyperlink>
      <w:r w:rsidRPr="00BD5E56">
        <w:rPr>
          <w:sz w:val="20"/>
        </w:rPr>
        <w:t xml:space="preserve"> (visited </w:t>
      </w:r>
      <w:r>
        <w:rPr>
          <w:sz w:val="20"/>
        </w:rPr>
        <w:t>December</w:t>
      </w:r>
      <w:r w:rsidRPr="00BD5E56">
        <w:rPr>
          <w:sz w:val="20"/>
        </w:rPr>
        <w:t xml:space="preserve"> 28, 2020).</w:t>
      </w:r>
      <w:r w:rsidRPr="00753648">
        <w:rPr>
          <w:sz w:val="20"/>
          <w:szCs w:val="20"/>
        </w:rPr>
        <w:t xml:space="preserve"> Base wage of $3</w:t>
      </w:r>
      <w:r>
        <w:rPr>
          <w:sz w:val="20"/>
          <w:szCs w:val="20"/>
        </w:rPr>
        <w:t>4</w:t>
      </w:r>
      <w:r w:rsidRPr="00753648">
        <w:rPr>
          <w:sz w:val="20"/>
          <w:szCs w:val="20"/>
        </w:rPr>
        <w:t>.</w:t>
      </w:r>
      <w:r>
        <w:rPr>
          <w:sz w:val="20"/>
          <w:szCs w:val="20"/>
        </w:rPr>
        <w:t>40</w:t>
      </w:r>
      <w:r w:rsidRPr="00753648">
        <w:rPr>
          <w:sz w:val="20"/>
          <w:szCs w:val="20"/>
        </w:rPr>
        <w:t xml:space="preserve">/hour increased by 44% to account for </w:t>
      </w:r>
      <w:proofErr w:type="gramStart"/>
      <w:r w:rsidRPr="00753648">
        <w:rPr>
          <w:sz w:val="20"/>
          <w:szCs w:val="20"/>
        </w:rPr>
        <w:t>fully-loaded</w:t>
      </w:r>
      <w:proofErr w:type="gramEnd"/>
      <w:r w:rsidRPr="00753648">
        <w:rPr>
          <w:sz w:val="20"/>
          <w:szCs w:val="20"/>
        </w:rPr>
        <w:t xml:space="preserve"> employer cost of employee compensation (benefits, etc.)</w:t>
      </w:r>
    </w:p>
    <w:p w:rsidRPr="004B7C2D" w:rsidR="004B7C2D" w:rsidP="004B7C2D" w:rsidRDefault="004B7C2D"/>
    <w:sectPr w:rsidRPr="004B7C2D" w:rsidR="004B7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2D"/>
    <w:rsid w:val="00042F4A"/>
    <w:rsid w:val="003D76BE"/>
    <w:rsid w:val="004B7C2D"/>
    <w:rsid w:val="007D5732"/>
    <w:rsid w:val="00D8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AB22"/>
  <w15:chartTrackingRefBased/>
  <w15:docId w15:val="{1FFCCDA7-E8F0-48E0-BE3D-FAC97304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B7C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s.gov/ooh/business-and-financial/accountants-and-audi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247</Words>
  <Characters>1412</Characters>
  <Application>Microsoft Office Word</Application>
  <DocSecurity>0</DocSecurity>
  <Lines>11</Lines>
  <Paragraphs>3</Paragraphs>
  <ScaleCrop>false</ScaleCrop>
  <Company>U.S. Department of the Treasury</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Clark, Spencer</cp:lastModifiedBy>
  <cp:revision>1</cp:revision>
  <dcterms:created xsi:type="dcterms:W3CDTF">2021-01-08T16:36:00Z</dcterms:created>
  <dcterms:modified xsi:type="dcterms:W3CDTF">2021-01-08T16:47:00Z</dcterms:modified>
</cp:coreProperties>
</file>