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D73D2D" w:rsidRDefault="00AF1157" w14:paraId="316FFE1D" w14:textId="77777777">
      <w:pPr>
        <w:suppressAutoHyphens/>
        <w:jc w:val="center"/>
        <w:rPr>
          <w:rFonts w:ascii="Arial" w:hAnsi="Arial" w:cs="Arial"/>
          <w:b/>
          <w:sz w:val="22"/>
          <w:szCs w:val="22"/>
        </w:rPr>
      </w:pPr>
      <w:bookmarkStart w:name="_GoBack" w:id="0"/>
      <w:bookmarkEnd w:id="0"/>
      <w:r w:rsidRPr="007A5D4B">
        <w:rPr>
          <w:rFonts w:ascii="Arial" w:hAnsi="Arial" w:cs="Arial"/>
          <w:b/>
          <w:sz w:val="22"/>
          <w:szCs w:val="22"/>
        </w:rPr>
        <w:t>DEPARTMENT OF THE TREASURY</w:t>
      </w:r>
      <w:r w:rsidRPr="007A5D4B" w:rsidR="00D73D2D">
        <w:rPr>
          <w:rFonts w:ascii="Arial" w:hAnsi="Arial" w:cs="Arial"/>
          <w:b/>
          <w:sz w:val="22"/>
          <w:szCs w:val="22"/>
        </w:rPr>
        <w:t xml:space="preserve"> </w:t>
      </w:r>
    </w:p>
    <w:p w:rsidRPr="00522739" w:rsidR="00AF1157" w:rsidP="00D73D2D" w:rsidRDefault="00AF1157" w14:paraId="30746DD0" w14:textId="77777777">
      <w:pPr>
        <w:suppressAutoHyphens/>
        <w:jc w:val="center"/>
        <w:rPr>
          <w:rFonts w:ascii="Arial" w:hAnsi="Arial" w:cs="Arial"/>
          <w:b/>
          <w:sz w:val="22"/>
          <w:szCs w:val="22"/>
        </w:rPr>
      </w:pPr>
    </w:p>
    <w:p w:rsidRPr="007A5D4B" w:rsidR="00AF1157" w:rsidP="00D73D2D" w:rsidRDefault="00AF1157" w14:paraId="7DA57EC7"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6D02E5" w:rsidR="00AF1157" w:rsidP="00D73D2D" w:rsidRDefault="00AF1157" w14:paraId="50FD9DAA" w14:textId="77777777">
      <w:pPr>
        <w:suppressAutoHyphens/>
        <w:jc w:val="center"/>
        <w:rPr>
          <w:rFonts w:ascii="Arial" w:hAnsi="Arial" w:cs="Arial"/>
          <w:b/>
          <w:sz w:val="28"/>
          <w:szCs w:val="28"/>
        </w:rPr>
      </w:pPr>
    </w:p>
    <w:p w:rsidRPr="00BA7743" w:rsidR="00AF1157" w:rsidP="00D73D2D" w:rsidRDefault="00AF1157" w14:paraId="2C9668E3" w14:textId="3B727EF7">
      <w:pPr>
        <w:suppressAutoHyphens/>
        <w:jc w:val="center"/>
        <w:rPr>
          <w:rFonts w:ascii="Arial" w:hAnsi="Arial" w:cs="Arial"/>
          <w:b/>
          <w:caps/>
          <w:sz w:val="22"/>
          <w:szCs w:val="22"/>
        </w:rPr>
      </w:pPr>
      <w:r w:rsidRPr="00BA7743">
        <w:rPr>
          <w:rFonts w:ascii="Arial" w:hAnsi="Arial" w:cs="Arial"/>
          <w:b/>
          <w:caps/>
          <w:sz w:val="22"/>
          <w:szCs w:val="22"/>
        </w:rPr>
        <w:t xml:space="preserve">Supporting Statement </w:t>
      </w:r>
      <w:r w:rsidRPr="00BA7743" w:rsidR="00BA7743">
        <w:rPr>
          <w:rFonts w:ascii="Arial" w:hAnsi="Arial" w:cs="Arial"/>
          <w:b/>
          <w:caps/>
          <w:sz w:val="22"/>
          <w:szCs w:val="22"/>
        </w:rPr>
        <w:t xml:space="preserve">for </w:t>
      </w:r>
      <w:r w:rsidRPr="00BA7743">
        <w:rPr>
          <w:rFonts w:ascii="Arial" w:hAnsi="Arial" w:cs="Arial"/>
          <w:b/>
          <w:caps/>
          <w:sz w:val="22"/>
          <w:szCs w:val="22"/>
        </w:rPr>
        <w:t>Information Collection Request</w:t>
      </w:r>
      <w:r w:rsidRPr="00BA7743" w:rsidR="00D73D2D">
        <w:rPr>
          <w:rFonts w:ascii="Arial" w:hAnsi="Arial" w:cs="Arial"/>
          <w:b/>
          <w:caps/>
          <w:sz w:val="22"/>
          <w:szCs w:val="22"/>
        </w:rPr>
        <w:t xml:space="preserve"> </w:t>
      </w:r>
    </w:p>
    <w:p w:rsidRPr="00522739" w:rsidR="00AF1157" w:rsidP="00D73D2D" w:rsidRDefault="00AF1157" w14:paraId="2142960C" w14:textId="77777777">
      <w:pPr>
        <w:suppressAutoHyphens/>
        <w:jc w:val="center"/>
        <w:rPr>
          <w:rFonts w:ascii="Arial" w:hAnsi="Arial" w:cs="Arial"/>
          <w:b/>
          <w:sz w:val="22"/>
          <w:szCs w:val="22"/>
        </w:rPr>
      </w:pPr>
    </w:p>
    <w:p w:rsidRPr="006D02E5" w:rsidR="006D02E5" w:rsidP="006D02E5" w:rsidRDefault="006D02E5" w14:paraId="29F59788" w14:textId="3F57EABD">
      <w:pPr>
        <w:suppressAutoHyphens/>
        <w:jc w:val="center"/>
        <w:rPr>
          <w:rFonts w:ascii="Arial" w:hAnsi="Arial" w:cs="Arial"/>
          <w:b/>
          <w:sz w:val="22"/>
          <w:szCs w:val="22"/>
          <w:u w:val="single"/>
        </w:rPr>
      </w:pPr>
      <w:r w:rsidRPr="006D02E5">
        <w:rPr>
          <w:rFonts w:ascii="Arial" w:hAnsi="Arial" w:cs="Arial"/>
          <w:b/>
          <w:sz w:val="22"/>
          <w:szCs w:val="22"/>
          <w:u w:val="single"/>
        </w:rPr>
        <w:t xml:space="preserve">OMB Control Number 1513–0043 </w:t>
      </w:r>
    </w:p>
    <w:p w:rsidRPr="00522739" w:rsidR="006D02E5" w:rsidP="006D02E5" w:rsidRDefault="006D02E5" w14:paraId="6D1AFC60" w14:textId="77777777">
      <w:pPr>
        <w:suppressAutoHyphens/>
        <w:jc w:val="center"/>
        <w:rPr>
          <w:rFonts w:ascii="Arial" w:hAnsi="Arial" w:cs="Arial"/>
          <w:b/>
          <w:sz w:val="22"/>
          <w:szCs w:val="22"/>
        </w:rPr>
      </w:pPr>
    </w:p>
    <w:p w:rsidRPr="006D02E5" w:rsidR="00CE0782" w:rsidP="006D02E5" w:rsidRDefault="00CE0782" w14:paraId="6F6B67B9" w14:textId="32BBE3B2">
      <w:pPr>
        <w:suppressAutoHyphens/>
        <w:jc w:val="center"/>
        <w:rPr>
          <w:rFonts w:ascii="Arial" w:hAnsi="Arial" w:cs="Arial"/>
          <w:b/>
          <w:sz w:val="22"/>
          <w:szCs w:val="22"/>
        </w:rPr>
      </w:pPr>
      <w:r w:rsidRPr="006D02E5">
        <w:rPr>
          <w:rFonts w:ascii="Arial" w:hAnsi="Arial" w:cs="Arial"/>
          <w:b/>
          <w:sz w:val="22"/>
          <w:szCs w:val="22"/>
        </w:rPr>
        <w:t xml:space="preserve">Application and Permit to Ship Puerto Rican Spirits to the United States </w:t>
      </w:r>
    </w:p>
    <w:p w:rsidRPr="006D02E5" w:rsidR="00CE0782" w:rsidP="006D02E5" w:rsidRDefault="00CE0782" w14:paraId="6D8FA81C" w14:textId="2F565C58">
      <w:pPr>
        <w:suppressAutoHyphens/>
        <w:jc w:val="center"/>
        <w:rPr>
          <w:rFonts w:ascii="Arial" w:hAnsi="Arial" w:cs="Arial"/>
          <w:b/>
          <w:sz w:val="22"/>
          <w:szCs w:val="22"/>
        </w:rPr>
      </w:pPr>
      <w:r w:rsidRPr="006D02E5">
        <w:rPr>
          <w:rFonts w:ascii="Arial" w:hAnsi="Arial" w:cs="Arial"/>
          <w:b/>
          <w:sz w:val="22"/>
          <w:szCs w:val="22"/>
        </w:rPr>
        <w:t>Without Payment of Tax</w:t>
      </w:r>
      <w:r w:rsidRPr="006D02E5" w:rsidR="00BA7743">
        <w:rPr>
          <w:rFonts w:ascii="Arial" w:hAnsi="Arial" w:cs="Arial"/>
          <w:b/>
          <w:sz w:val="22"/>
          <w:szCs w:val="22"/>
        </w:rPr>
        <w:t xml:space="preserve"> </w:t>
      </w:r>
    </w:p>
    <w:p w:rsidRPr="00522739" w:rsidR="00D73D2D" w:rsidP="00D73D2D" w:rsidRDefault="00D73D2D" w14:paraId="7AC03968" w14:textId="77777777">
      <w:pPr>
        <w:suppressAutoHyphens/>
        <w:rPr>
          <w:rFonts w:ascii="Arial" w:hAnsi="Arial" w:cs="Arial"/>
          <w:sz w:val="28"/>
          <w:szCs w:val="28"/>
        </w:rPr>
      </w:pPr>
    </w:p>
    <w:p w:rsidRPr="007A5D4B" w:rsidR="00AF1157" w:rsidP="00D73D2D" w:rsidRDefault="00AF1157" w14:paraId="3B673182"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D73D2D" w:rsidRDefault="00AF1157" w14:paraId="00E32345" w14:textId="77777777">
      <w:pPr>
        <w:suppressAutoHyphens/>
        <w:rPr>
          <w:rFonts w:ascii="Arial" w:hAnsi="Arial" w:cs="Arial"/>
          <w:sz w:val="22"/>
          <w:szCs w:val="22"/>
        </w:rPr>
      </w:pPr>
    </w:p>
    <w:p w:rsidRPr="007A5D4B" w:rsidR="00AF1157" w:rsidP="00D73D2D" w:rsidRDefault="00D73D2D" w14:paraId="24CCB5C8"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812FFC" w:rsidRDefault="00AF1157" w14:paraId="5C667779" w14:textId="77777777">
      <w:pPr>
        <w:ind w:left="360"/>
        <w:rPr>
          <w:rFonts w:ascii="Arial" w:hAnsi="Arial" w:cs="Arial"/>
          <w:sz w:val="22"/>
          <w:szCs w:val="22"/>
        </w:rPr>
      </w:pPr>
    </w:p>
    <w:p w:rsidR="00CE0782" w:rsidP="004046C0" w:rsidRDefault="00CE0782" w14:paraId="234A57F8" w14:textId="4D24C0C6">
      <w:pPr>
        <w:ind w:left="360"/>
        <w:rPr>
          <w:rFonts w:ascii="Arial" w:hAnsi="Arial" w:cs="Arial"/>
          <w:sz w:val="22"/>
          <w:szCs w:val="22"/>
        </w:rPr>
      </w:pPr>
      <w:r w:rsidRPr="00CE0782">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w:t>
      </w:r>
      <w:r w:rsidR="00BA7743">
        <w:rPr>
          <w:rFonts w:ascii="Arial" w:hAnsi="Arial" w:cs="Arial"/>
          <w:sz w:val="22"/>
          <w:szCs w:val="22"/>
        </w:rPr>
        <w:t>y Act of 2002, as codified at 6 </w:t>
      </w:r>
      <w:r w:rsidRPr="00CE0782">
        <w:rPr>
          <w:rFonts w:ascii="Arial" w:hAnsi="Arial" w:cs="Arial"/>
          <w:sz w:val="22"/>
          <w:szCs w:val="22"/>
        </w:rPr>
        <w:t xml:space="preserve">U.S.C. 531(d).  In addition, the Secretary of the Treasury </w:t>
      </w:r>
      <w:r w:rsidR="006D02E5">
        <w:rPr>
          <w:rFonts w:ascii="Arial" w:hAnsi="Arial" w:cs="Arial"/>
          <w:sz w:val="22"/>
          <w:szCs w:val="22"/>
        </w:rPr>
        <w:t xml:space="preserve">(the Secretary) </w:t>
      </w:r>
      <w:r w:rsidRPr="00CE0782">
        <w:rPr>
          <w:rFonts w:ascii="Arial" w:hAnsi="Arial" w:cs="Arial"/>
          <w:sz w:val="22"/>
          <w:szCs w:val="22"/>
        </w:rPr>
        <w:t>has delegated certain IRC administrative and enforcement authorities to TTB through Treasury Department Order 120–01.</w:t>
      </w:r>
      <w:r>
        <w:rPr>
          <w:rFonts w:ascii="Arial" w:hAnsi="Arial" w:cs="Arial"/>
          <w:sz w:val="22"/>
          <w:szCs w:val="22"/>
        </w:rPr>
        <w:t xml:space="preserve"> </w:t>
      </w:r>
    </w:p>
    <w:p w:rsidRPr="00736886" w:rsidR="00C47946" w:rsidP="004046C0" w:rsidRDefault="00C47946" w14:paraId="0ADEA798" w14:textId="77777777">
      <w:pPr>
        <w:ind w:left="360"/>
        <w:rPr>
          <w:rFonts w:ascii="Arial" w:hAnsi="Arial" w:cs="Arial"/>
          <w:sz w:val="22"/>
          <w:szCs w:val="22"/>
        </w:rPr>
      </w:pPr>
    </w:p>
    <w:p w:rsidR="003946FB" w:rsidP="009B5709" w:rsidRDefault="003946FB" w14:paraId="5BE95B90" w14:textId="5E093047">
      <w:pPr>
        <w:suppressAutoHyphens/>
        <w:ind w:left="360"/>
        <w:rPr>
          <w:rFonts w:ascii="Arial" w:hAnsi="Arial" w:cs="Arial"/>
          <w:sz w:val="22"/>
          <w:szCs w:val="22"/>
        </w:rPr>
      </w:pPr>
      <w:r>
        <w:rPr>
          <w:rFonts w:ascii="Arial" w:hAnsi="Arial" w:cs="Arial"/>
          <w:sz w:val="22"/>
          <w:szCs w:val="22"/>
        </w:rPr>
        <w:t>T</w:t>
      </w:r>
      <w:r w:rsidRPr="003946FB">
        <w:rPr>
          <w:rFonts w:ascii="Arial" w:hAnsi="Arial" w:cs="Arial"/>
          <w:sz w:val="22"/>
          <w:szCs w:val="22"/>
        </w:rPr>
        <w:t xml:space="preserve">he </w:t>
      </w:r>
      <w:r>
        <w:rPr>
          <w:rFonts w:ascii="Arial" w:hAnsi="Arial" w:cs="Arial"/>
          <w:sz w:val="22"/>
          <w:szCs w:val="22"/>
        </w:rPr>
        <w:t>IRC</w:t>
      </w:r>
      <w:r w:rsidRPr="003946FB">
        <w:rPr>
          <w:rFonts w:ascii="Arial" w:hAnsi="Arial" w:cs="Arial"/>
          <w:sz w:val="22"/>
          <w:szCs w:val="22"/>
        </w:rPr>
        <w:t xml:space="preserve"> at 26 U.S.C. 7652 imposes on Puerto Rican distilled spirits shipped to the United States for consumption or sale a tax equal to the excise tax imposed in the United States on distilled spirits of domestic manufacture.  However, the IRC at 26 U.S.C. 5232 provides that </w:t>
      </w:r>
      <w:r w:rsidR="00522739">
        <w:rPr>
          <w:rFonts w:ascii="Arial" w:hAnsi="Arial" w:cs="Arial"/>
          <w:sz w:val="22"/>
          <w:szCs w:val="22"/>
        </w:rPr>
        <w:t xml:space="preserve">persons may withdraw </w:t>
      </w:r>
      <w:r w:rsidRPr="003946FB">
        <w:rPr>
          <w:rFonts w:ascii="Arial" w:hAnsi="Arial" w:cs="Arial"/>
          <w:sz w:val="22"/>
          <w:szCs w:val="22"/>
        </w:rPr>
        <w:t>spirits imported or brought into the United States in bulk containers from Customs custody and transferred to the bonded premises of a domestic distilled spirits plant without payment of the internal revenue tax imposed on such spirits</w:t>
      </w:r>
      <w:r>
        <w:rPr>
          <w:rFonts w:ascii="Arial" w:hAnsi="Arial" w:cs="Arial"/>
          <w:sz w:val="22"/>
          <w:szCs w:val="22"/>
        </w:rPr>
        <w:t xml:space="preserve">, </w:t>
      </w:r>
      <w:r w:rsidRPr="003946FB">
        <w:rPr>
          <w:rFonts w:ascii="Arial" w:hAnsi="Arial" w:cs="Arial"/>
          <w:sz w:val="22"/>
          <w:szCs w:val="22"/>
        </w:rPr>
        <w:t>under regulati</w:t>
      </w:r>
      <w:r>
        <w:rPr>
          <w:rFonts w:ascii="Arial" w:hAnsi="Arial" w:cs="Arial"/>
          <w:sz w:val="22"/>
          <w:szCs w:val="22"/>
        </w:rPr>
        <w:t>ons prescribed by the Secretary</w:t>
      </w:r>
      <w:r w:rsidRPr="003946FB">
        <w:rPr>
          <w:rFonts w:ascii="Arial" w:hAnsi="Arial" w:cs="Arial"/>
          <w:sz w:val="22"/>
          <w:szCs w:val="22"/>
        </w:rPr>
        <w:t xml:space="preserve">.  The IRC at 26 U.S.C. 5314 also states that spirits may be withdrawn from the bonded premises of a distilled spirits plant in Puerto Rico pursuant to an authorization issued </w:t>
      </w:r>
      <w:r>
        <w:rPr>
          <w:rFonts w:ascii="Arial" w:hAnsi="Arial" w:cs="Arial"/>
          <w:sz w:val="22"/>
          <w:szCs w:val="22"/>
        </w:rPr>
        <w:t xml:space="preserve">under the laws of Puerto Rico. </w:t>
      </w:r>
    </w:p>
    <w:p w:rsidR="003946FB" w:rsidP="009B5709" w:rsidRDefault="003946FB" w14:paraId="0150BC0D" w14:textId="77777777">
      <w:pPr>
        <w:suppressAutoHyphens/>
        <w:ind w:left="360"/>
        <w:rPr>
          <w:rFonts w:ascii="Arial" w:hAnsi="Arial" w:cs="Arial"/>
          <w:sz w:val="22"/>
          <w:szCs w:val="22"/>
        </w:rPr>
      </w:pPr>
    </w:p>
    <w:p w:rsidRPr="00B36965" w:rsidR="00812FFC" w:rsidP="009B5709" w:rsidRDefault="00BA7743" w14:paraId="2C35ECD7" w14:textId="7BCF156D">
      <w:pPr>
        <w:suppressAutoHyphens/>
        <w:ind w:left="360"/>
        <w:rPr>
          <w:rFonts w:ascii="Arial" w:hAnsi="Arial" w:cs="Arial"/>
          <w:sz w:val="22"/>
          <w:szCs w:val="22"/>
        </w:rPr>
      </w:pPr>
      <w:r>
        <w:rPr>
          <w:rFonts w:ascii="Arial" w:hAnsi="Arial" w:cs="Arial"/>
          <w:sz w:val="22"/>
          <w:szCs w:val="22"/>
        </w:rPr>
        <w:t xml:space="preserve">Under those IRC authorities, TTB has issued regulations in 27 CFR </w:t>
      </w:r>
      <w:r w:rsidR="00522739">
        <w:rPr>
          <w:rFonts w:ascii="Arial" w:hAnsi="Arial" w:cs="Arial"/>
          <w:sz w:val="22"/>
          <w:szCs w:val="22"/>
        </w:rPr>
        <w:t>p</w:t>
      </w:r>
      <w:r>
        <w:rPr>
          <w:rFonts w:ascii="Arial" w:hAnsi="Arial" w:cs="Arial"/>
          <w:sz w:val="22"/>
          <w:szCs w:val="22"/>
        </w:rPr>
        <w:t>art 26</w:t>
      </w:r>
      <w:r w:rsidR="00522739">
        <w:rPr>
          <w:rFonts w:ascii="Arial" w:hAnsi="Arial" w:cs="Arial"/>
          <w:sz w:val="22"/>
          <w:szCs w:val="22"/>
        </w:rPr>
        <w:t xml:space="preserve"> that</w:t>
      </w:r>
      <w:r w:rsidR="00E87025">
        <w:rPr>
          <w:rFonts w:ascii="Arial" w:hAnsi="Arial" w:cs="Arial"/>
          <w:sz w:val="22"/>
          <w:szCs w:val="22"/>
        </w:rPr>
        <w:t xml:space="preserve"> </w:t>
      </w:r>
      <w:r w:rsidR="00C8666A">
        <w:rPr>
          <w:rFonts w:ascii="Arial" w:hAnsi="Arial" w:cs="Arial"/>
          <w:sz w:val="22"/>
          <w:szCs w:val="22"/>
        </w:rPr>
        <w:t xml:space="preserve">require respondents to </w:t>
      </w:r>
      <w:r w:rsidR="009B5709">
        <w:rPr>
          <w:rFonts w:ascii="Arial" w:hAnsi="Arial" w:cs="Arial"/>
          <w:sz w:val="22"/>
          <w:szCs w:val="22"/>
        </w:rPr>
        <w:t xml:space="preserve">use </w:t>
      </w:r>
      <w:r w:rsidR="00C8666A">
        <w:rPr>
          <w:rFonts w:ascii="Arial" w:hAnsi="Arial" w:cs="Arial"/>
          <w:sz w:val="22"/>
          <w:szCs w:val="22"/>
        </w:rPr>
        <w:t xml:space="preserve">form </w:t>
      </w:r>
      <w:r w:rsidR="009B5709">
        <w:rPr>
          <w:rFonts w:ascii="Arial" w:hAnsi="Arial" w:cs="Arial"/>
          <w:sz w:val="22"/>
          <w:szCs w:val="22"/>
        </w:rPr>
        <w:t>TTB F </w:t>
      </w:r>
      <w:r w:rsidRPr="00B36965" w:rsidR="00812FFC">
        <w:rPr>
          <w:rFonts w:ascii="Arial" w:hAnsi="Arial" w:cs="Arial"/>
          <w:sz w:val="22"/>
          <w:szCs w:val="22"/>
        </w:rPr>
        <w:t>5110.31</w:t>
      </w:r>
      <w:r w:rsidR="006D02E5">
        <w:rPr>
          <w:rFonts w:ascii="Arial" w:hAnsi="Arial" w:cs="Arial"/>
          <w:sz w:val="22"/>
          <w:szCs w:val="22"/>
        </w:rPr>
        <w:t xml:space="preserve">, </w:t>
      </w:r>
      <w:r w:rsidRPr="006D02E5" w:rsidR="006D02E5">
        <w:rPr>
          <w:rFonts w:ascii="Arial" w:hAnsi="Arial" w:cs="Arial"/>
          <w:sz w:val="22"/>
          <w:szCs w:val="22"/>
        </w:rPr>
        <w:t>Application and Permit to Ship Puerto Rican Spirits to the United States Without Payment of Tax</w:t>
      </w:r>
      <w:r w:rsidR="006D02E5">
        <w:rPr>
          <w:rFonts w:ascii="Arial" w:hAnsi="Arial" w:cs="Arial"/>
          <w:sz w:val="22"/>
          <w:szCs w:val="22"/>
        </w:rPr>
        <w:t>,</w:t>
      </w:r>
      <w:r w:rsidRPr="006D02E5" w:rsidR="006D02E5">
        <w:rPr>
          <w:rFonts w:ascii="Arial" w:hAnsi="Arial" w:cs="Arial"/>
          <w:sz w:val="22"/>
          <w:szCs w:val="22"/>
        </w:rPr>
        <w:t xml:space="preserve"> </w:t>
      </w:r>
      <w:r w:rsidR="009B5709">
        <w:rPr>
          <w:rFonts w:ascii="Arial" w:hAnsi="Arial" w:cs="Arial"/>
          <w:sz w:val="22"/>
          <w:szCs w:val="22"/>
        </w:rPr>
        <w:t>to apply for</w:t>
      </w:r>
      <w:r w:rsidR="00D907E8">
        <w:rPr>
          <w:rFonts w:ascii="Arial" w:hAnsi="Arial" w:cs="Arial"/>
          <w:sz w:val="22"/>
          <w:szCs w:val="22"/>
        </w:rPr>
        <w:t xml:space="preserve"> and receive permission to </w:t>
      </w:r>
      <w:r w:rsidR="006D02E5">
        <w:rPr>
          <w:rFonts w:ascii="Arial" w:hAnsi="Arial" w:cs="Arial"/>
          <w:sz w:val="22"/>
          <w:szCs w:val="22"/>
        </w:rPr>
        <w:t xml:space="preserve">make such </w:t>
      </w:r>
      <w:r w:rsidR="00546ABD">
        <w:rPr>
          <w:rFonts w:ascii="Arial" w:hAnsi="Arial" w:cs="Arial"/>
          <w:sz w:val="22"/>
          <w:szCs w:val="22"/>
        </w:rPr>
        <w:t xml:space="preserve">untaxed </w:t>
      </w:r>
      <w:r w:rsidR="006D02E5">
        <w:rPr>
          <w:rFonts w:ascii="Arial" w:hAnsi="Arial" w:cs="Arial"/>
          <w:sz w:val="22"/>
          <w:szCs w:val="22"/>
        </w:rPr>
        <w:t xml:space="preserve">withdrawals and shipments.  </w:t>
      </w:r>
      <w:r w:rsidR="00736886">
        <w:rPr>
          <w:rFonts w:ascii="Arial" w:hAnsi="Arial" w:cs="Arial"/>
          <w:sz w:val="22"/>
          <w:szCs w:val="22"/>
        </w:rPr>
        <w:t xml:space="preserve">The form </w:t>
      </w:r>
      <w:r w:rsidR="0084316A">
        <w:rPr>
          <w:rFonts w:ascii="Arial" w:hAnsi="Arial" w:cs="Arial"/>
          <w:sz w:val="22"/>
          <w:szCs w:val="22"/>
        </w:rPr>
        <w:t xml:space="preserve">identifies </w:t>
      </w:r>
      <w:r w:rsidR="00C8666A">
        <w:rPr>
          <w:rFonts w:ascii="Arial" w:hAnsi="Arial" w:cs="Arial"/>
          <w:sz w:val="22"/>
          <w:szCs w:val="22"/>
        </w:rPr>
        <w:t xml:space="preserve">the </w:t>
      </w:r>
      <w:r w:rsidR="006A1558">
        <w:rPr>
          <w:rFonts w:ascii="Arial" w:hAnsi="Arial" w:cs="Arial"/>
          <w:sz w:val="22"/>
          <w:szCs w:val="22"/>
        </w:rPr>
        <w:t xml:space="preserve">specific </w:t>
      </w:r>
      <w:r w:rsidR="000B20EC">
        <w:rPr>
          <w:rFonts w:ascii="Arial" w:hAnsi="Arial" w:cs="Arial"/>
          <w:sz w:val="22"/>
          <w:szCs w:val="22"/>
        </w:rPr>
        <w:t xml:space="preserve">distilled </w:t>
      </w:r>
      <w:r w:rsidR="00C8666A">
        <w:rPr>
          <w:rFonts w:ascii="Arial" w:hAnsi="Arial" w:cs="Arial"/>
          <w:sz w:val="22"/>
          <w:szCs w:val="22"/>
        </w:rPr>
        <w:t>spirit</w:t>
      </w:r>
      <w:r w:rsidR="00D907E8">
        <w:rPr>
          <w:rFonts w:ascii="Arial" w:hAnsi="Arial" w:cs="Arial"/>
          <w:sz w:val="22"/>
          <w:szCs w:val="22"/>
        </w:rPr>
        <w:t xml:space="preserve">s </w:t>
      </w:r>
      <w:r w:rsidR="006D02E5">
        <w:rPr>
          <w:rFonts w:ascii="Arial" w:hAnsi="Arial" w:cs="Arial"/>
          <w:sz w:val="22"/>
          <w:szCs w:val="22"/>
        </w:rPr>
        <w:t xml:space="preserve">the respondent will ship, </w:t>
      </w:r>
      <w:r w:rsidR="0084316A">
        <w:rPr>
          <w:rFonts w:ascii="Arial" w:hAnsi="Arial" w:cs="Arial"/>
          <w:sz w:val="22"/>
          <w:szCs w:val="22"/>
        </w:rPr>
        <w:t xml:space="preserve">the </w:t>
      </w:r>
      <w:r w:rsidR="00AE562A">
        <w:rPr>
          <w:rFonts w:ascii="Arial" w:hAnsi="Arial" w:cs="Arial"/>
          <w:sz w:val="22"/>
          <w:szCs w:val="22"/>
        </w:rPr>
        <w:t xml:space="preserve">actual </w:t>
      </w:r>
      <w:r w:rsidR="0084316A">
        <w:rPr>
          <w:rFonts w:ascii="Arial" w:hAnsi="Arial" w:cs="Arial"/>
          <w:sz w:val="22"/>
          <w:szCs w:val="22"/>
        </w:rPr>
        <w:t xml:space="preserve">amount of </w:t>
      </w:r>
      <w:r w:rsidR="00922507">
        <w:rPr>
          <w:rFonts w:ascii="Arial" w:hAnsi="Arial" w:cs="Arial"/>
          <w:sz w:val="22"/>
          <w:szCs w:val="22"/>
        </w:rPr>
        <w:t>s</w:t>
      </w:r>
      <w:r w:rsidR="0084316A">
        <w:rPr>
          <w:rFonts w:ascii="Arial" w:hAnsi="Arial" w:cs="Arial"/>
          <w:sz w:val="22"/>
          <w:szCs w:val="22"/>
        </w:rPr>
        <w:t xml:space="preserve">pirits </w:t>
      </w:r>
      <w:r w:rsidR="006D02E5">
        <w:rPr>
          <w:rFonts w:ascii="Arial" w:hAnsi="Arial" w:cs="Arial"/>
          <w:sz w:val="22"/>
          <w:szCs w:val="22"/>
        </w:rPr>
        <w:t>subsequently</w:t>
      </w:r>
      <w:r w:rsidR="0084316A">
        <w:rPr>
          <w:rFonts w:ascii="Arial" w:hAnsi="Arial" w:cs="Arial"/>
          <w:sz w:val="22"/>
          <w:szCs w:val="22"/>
        </w:rPr>
        <w:t xml:space="preserve"> received, </w:t>
      </w:r>
      <w:r w:rsidR="00D907E8">
        <w:rPr>
          <w:rFonts w:ascii="Arial" w:hAnsi="Arial" w:cs="Arial"/>
          <w:sz w:val="22"/>
          <w:szCs w:val="22"/>
        </w:rPr>
        <w:t xml:space="preserve">and </w:t>
      </w:r>
      <w:r w:rsidR="00736886">
        <w:rPr>
          <w:rFonts w:ascii="Arial" w:hAnsi="Arial" w:cs="Arial"/>
          <w:sz w:val="22"/>
          <w:szCs w:val="22"/>
        </w:rPr>
        <w:t xml:space="preserve">the </w:t>
      </w:r>
      <w:r w:rsidR="00C8666A">
        <w:rPr>
          <w:rFonts w:ascii="Arial" w:hAnsi="Arial" w:cs="Arial"/>
          <w:sz w:val="22"/>
          <w:szCs w:val="22"/>
        </w:rPr>
        <w:t xml:space="preserve">shipment’s </w:t>
      </w:r>
      <w:r w:rsidR="00C47946">
        <w:rPr>
          <w:rFonts w:ascii="Arial" w:hAnsi="Arial" w:cs="Arial"/>
          <w:sz w:val="22"/>
          <w:szCs w:val="22"/>
        </w:rPr>
        <w:t xml:space="preserve">consignor </w:t>
      </w:r>
      <w:r w:rsidR="00736886">
        <w:rPr>
          <w:rFonts w:ascii="Arial" w:hAnsi="Arial" w:cs="Arial"/>
          <w:sz w:val="22"/>
          <w:szCs w:val="22"/>
        </w:rPr>
        <w:t xml:space="preserve">in Puerto Rico </w:t>
      </w:r>
      <w:r w:rsidR="00C8666A">
        <w:rPr>
          <w:rFonts w:ascii="Arial" w:hAnsi="Arial" w:cs="Arial"/>
          <w:sz w:val="22"/>
          <w:szCs w:val="22"/>
        </w:rPr>
        <w:t>and</w:t>
      </w:r>
      <w:r w:rsidR="00736886">
        <w:rPr>
          <w:rFonts w:ascii="Arial" w:hAnsi="Arial" w:cs="Arial"/>
          <w:sz w:val="22"/>
          <w:szCs w:val="22"/>
        </w:rPr>
        <w:t xml:space="preserve"> </w:t>
      </w:r>
      <w:r w:rsidR="00C47946">
        <w:rPr>
          <w:rFonts w:ascii="Arial" w:hAnsi="Arial" w:cs="Arial"/>
          <w:sz w:val="22"/>
          <w:szCs w:val="22"/>
        </w:rPr>
        <w:t xml:space="preserve">consignee </w:t>
      </w:r>
      <w:r w:rsidR="00736886">
        <w:rPr>
          <w:rFonts w:ascii="Arial" w:hAnsi="Arial" w:cs="Arial"/>
          <w:sz w:val="22"/>
          <w:szCs w:val="22"/>
        </w:rPr>
        <w:t>in the United States</w:t>
      </w:r>
      <w:r w:rsidR="00D907E8">
        <w:rPr>
          <w:rFonts w:ascii="Arial" w:hAnsi="Arial" w:cs="Arial"/>
          <w:sz w:val="22"/>
          <w:szCs w:val="22"/>
        </w:rPr>
        <w:t xml:space="preserve">.  </w:t>
      </w:r>
      <w:r w:rsidRPr="00FB1014" w:rsidR="00FB1014">
        <w:rPr>
          <w:rFonts w:ascii="Arial" w:hAnsi="Arial" w:cs="Arial"/>
          <w:sz w:val="22"/>
          <w:szCs w:val="22"/>
        </w:rPr>
        <w:t>Th</w:t>
      </w:r>
      <w:r w:rsidR="00FB1014">
        <w:rPr>
          <w:rFonts w:ascii="Arial" w:hAnsi="Arial" w:cs="Arial"/>
          <w:sz w:val="22"/>
          <w:szCs w:val="22"/>
        </w:rPr>
        <w:t xml:space="preserve">e collected </w:t>
      </w:r>
      <w:r w:rsidRPr="00FB1014" w:rsidR="00FB1014">
        <w:rPr>
          <w:rFonts w:ascii="Arial" w:hAnsi="Arial" w:cs="Arial"/>
          <w:sz w:val="22"/>
          <w:szCs w:val="22"/>
        </w:rPr>
        <w:t>information is n</w:t>
      </w:r>
      <w:r w:rsidR="00FB1014">
        <w:rPr>
          <w:rFonts w:ascii="Arial" w:hAnsi="Arial" w:cs="Arial"/>
          <w:sz w:val="22"/>
          <w:szCs w:val="22"/>
        </w:rPr>
        <w:t>ecessary to protect the revenue</w:t>
      </w:r>
      <w:r w:rsidR="00922507">
        <w:rPr>
          <w:rFonts w:ascii="Arial" w:hAnsi="Arial" w:cs="Arial"/>
          <w:sz w:val="22"/>
          <w:szCs w:val="22"/>
        </w:rPr>
        <w:t xml:space="preserve">. </w:t>
      </w:r>
      <w:r w:rsidR="001A089C">
        <w:rPr>
          <w:rFonts w:ascii="Arial" w:hAnsi="Arial" w:cs="Arial"/>
          <w:sz w:val="22"/>
          <w:szCs w:val="22"/>
        </w:rPr>
        <w:t xml:space="preserve"> </w:t>
      </w:r>
      <w:r w:rsidR="00D907E8">
        <w:rPr>
          <w:rFonts w:ascii="Arial" w:hAnsi="Arial" w:cs="Arial"/>
          <w:sz w:val="22"/>
          <w:szCs w:val="22"/>
        </w:rPr>
        <w:t xml:space="preserve">The specific </w:t>
      </w:r>
      <w:r w:rsidR="00736886">
        <w:rPr>
          <w:rFonts w:ascii="Arial" w:hAnsi="Arial" w:cs="Arial"/>
          <w:sz w:val="22"/>
          <w:szCs w:val="22"/>
        </w:rPr>
        <w:t xml:space="preserve">TTB </w:t>
      </w:r>
      <w:r w:rsidRPr="00B36965" w:rsidR="00812FFC">
        <w:rPr>
          <w:rFonts w:ascii="Arial" w:hAnsi="Arial" w:cs="Arial"/>
          <w:sz w:val="22"/>
          <w:szCs w:val="22"/>
        </w:rPr>
        <w:t xml:space="preserve">regulations </w:t>
      </w:r>
      <w:r w:rsidR="00E52F4D">
        <w:rPr>
          <w:rFonts w:ascii="Arial" w:hAnsi="Arial" w:cs="Arial"/>
          <w:sz w:val="22"/>
          <w:szCs w:val="22"/>
        </w:rPr>
        <w:t xml:space="preserve">requiring or governing the use of TTB F 5110.31 </w:t>
      </w:r>
      <w:r w:rsidRPr="00B36965" w:rsidR="00812FFC">
        <w:rPr>
          <w:rFonts w:ascii="Arial" w:hAnsi="Arial" w:cs="Arial"/>
          <w:sz w:val="22"/>
          <w:szCs w:val="22"/>
        </w:rPr>
        <w:t>are</w:t>
      </w:r>
      <w:r w:rsidR="00736886">
        <w:rPr>
          <w:rFonts w:ascii="Arial" w:hAnsi="Arial" w:cs="Arial"/>
          <w:sz w:val="22"/>
          <w:szCs w:val="22"/>
        </w:rPr>
        <w:t xml:space="preserve"> found at</w:t>
      </w:r>
      <w:r w:rsidR="00D907E8">
        <w:rPr>
          <w:rFonts w:ascii="Arial" w:hAnsi="Arial" w:cs="Arial"/>
          <w:sz w:val="22"/>
          <w:szCs w:val="22"/>
        </w:rPr>
        <w:t xml:space="preserve"> 27 CFR 26.199, 26.199a, 26.199b, 26.199d, and 26.199f. </w:t>
      </w:r>
    </w:p>
    <w:p w:rsidR="007F61A9" w:rsidP="009B5709" w:rsidRDefault="007F61A9" w14:paraId="3D4C9D75" w14:textId="77777777">
      <w:pPr>
        <w:suppressAutoHyphens/>
        <w:ind w:left="360"/>
        <w:rPr>
          <w:rFonts w:ascii="Arial" w:hAnsi="Arial" w:cs="Arial"/>
          <w:sz w:val="22"/>
          <w:szCs w:val="22"/>
        </w:rPr>
      </w:pPr>
    </w:p>
    <w:p w:rsidRPr="009C7A00" w:rsidR="00812FFC" w:rsidP="009B5709" w:rsidRDefault="00812FFC" w14:paraId="3F415D1B" w14:textId="63BBBF4F">
      <w:pPr>
        <w:suppressAutoHyphens/>
        <w:spacing w:line="240" w:lineRule="atLeast"/>
        <w:ind w:left="360"/>
        <w:rPr>
          <w:rFonts w:ascii="Arial" w:hAnsi="Arial" w:cs="Arial"/>
          <w:sz w:val="22"/>
          <w:szCs w:val="22"/>
        </w:rPr>
      </w:pPr>
      <w:r w:rsidRPr="009C7A00">
        <w:rPr>
          <w:rFonts w:ascii="Arial" w:hAnsi="Arial" w:cs="Arial"/>
          <w:sz w:val="22"/>
          <w:szCs w:val="22"/>
        </w:rPr>
        <w:t>This information collection is aligned with:</w:t>
      </w:r>
      <w:r w:rsidR="00D907E8">
        <w:rPr>
          <w:rFonts w:ascii="Arial" w:hAnsi="Arial" w:cs="Arial"/>
          <w:sz w:val="22"/>
          <w:szCs w:val="22"/>
        </w:rPr>
        <w:t xml:space="preserve"> </w:t>
      </w:r>
    </w:p>
    <w:p w:rsidR="00736886" w:rsidP="009B5709" w:rsidRDefault="00736886" w14:paraId="499DB936" w14:textId="77777777">
      <w:pPr>
        <w:suppressAutoHyphens/>
        <w:spacing w:line="240" w:lineRule="atLeast"/>
        <w:ind w:left="360"/>
        <w:rPr>
          <w:rFonts w:ascii="Arial" w:hAnsi="Arial" w:cs="Arial"/>
          <w:sz w:val="22"/>
          <w:szCs w:val="22"/>
        </w:rPr>
      </w:pPr>
    </w:p>
    <w:p w:rsidR="00812FFC" w:rsidP="00F07B68" w:rsidRDefault="00812FFC" w14:paraId="42D735BE" w14:textId="77777777">
      <w:pPr>
        <w:pStyle w:val="ListParagraph"/>
        <w:numPr>
          <w:ilvl w:val="0"/>
          <w:numId w:val="2"/>
        </w:numPr>
        <w:tabs>
          <w:tab w:val="left" w:pos="1080"/>
        </w:tabs>
        <w:suppressAutoHyphens/>
        <w:spacing w:after="120" w:line="240" w:lineRule="atLeast"/>
        <w:rPr>
          <w:rFonts w:ascii="Arial" w:hAnsi="Arial" w:cs="Arial"/>
          <w:sz w:val="22"/>
          <w:szCs w:val="22"/>
        </w:rPr>
      </w:pPr>
      <w:r w:rsidRPr="0084316A">
        <w:rPr>
          <w:rFonts w:ascii="Arial" w:hAnsi="Arial" w:cs="Arial"/>
          <w:sz w:val="22"/>
          <w:szCs w:val="22"/>
          <w:u w:val="single"/>
        </w:rPr>
        <w:t>Line of Business/Sub-function:</w:t>
      </w:r>
      <w:r w:rsidRPr="00D907E8">
        <w:rPr>
          <w:rFonts w:ascii="Arial" w:hAnsi="Arial" w:cs="Arial"/>
          <w:sz w:val="22"/>
          <w:szCs w:val="22"/>
        </w:rPr>
        <w:t xml:space="preserve">  General Government/Taxation Management.</w:t>
      </w:r>
      <w:r w:rsidRPr="00D907E8" w:rsidR="00736886">
        <w:rPr>
          <w:rFonts w:ascii="Arial" w:hAnsi="Arial" w:cs="Arial"/>
          <w:sz w:val="22"/>
          <w:szCs w:val="22"/>
        </w:rPr>
        <w:t xml:space="preserve"> </w:t>
      </w:r>
    </w:p>
    <w:p w:rsidRPr="00D907E8" w:rsidR="00D907E8" w:rsidP="00F07B68" w:rsidRDefault="00D907E8" w14:paraId="2551D278" w14:textId="77777777">
      <w:pPr>
        <w:pStyle w:val="ListParagraph"/>
        <w:tabs>
          <w:tab w:val="left" w:pos="1080"/>
        </w:tabs>
        <w:suppressAutoHyphens/>
        <w:spacing w:after="120" w:line="240" w:lineRule="atLeast"/>
        <w:ind w:left="1080"/>
        <w:rPr>
          <w:rFonts w:ascii="Arial" w:hAnsi="Arial" w:cs="Arial"/>
          <w:sz w:val="22"/>
          <w:szCs w:val="22"/>
        </w:rPr>
      </w:pPr>
    </w:p>
    <w:p w:rsidRPr="00217F9E" w:rsidR="006D02E5" w:rsidP="00217F9E" w:rsidRDefault="00812FFC" w14:paraId="0A9305E4" w14:textId="17100C30">
      <w:pPr>
        <w:pStyle w:val="ListParagraph"/>
        <w:numPr>
          <w:ilvl w:val="0"/>
          <w:numId w:val="2"/>
        </w:numPr>
        <w:tabs>
          <w:tab w:val="left" w:pos="1080"/>
        </w:tabs>
        <w:suppressAutoHyphens/>
        <w:spacing w:line="240" w:lineRule="atLeast"/>
        <w:rPr>
          <w:rFonts w:ascii="Arial" w:hAnsi="Arial" w:cs="Arial"/>
          <w:sz w:val="22"/>
          <w:szCs w:val="22"/>
        </w:rPr>
      </w:pPr>
      <w:r w:rsidRPr="0084316A">
        <w:rPr>
          <w:rFonts w:ascii="Arial" w:hAnsi="Arial" w:cs="Arial"/>
          <w:sz w:val="22"/>
          <w:szCs w:val="22"/>
          <w:u w:val="single"/>
        </w:rPr>
        <w:t>IT Investment:</w:t>
      </w:r>
      <w:r w:rsidRPr="00D907E8">
        <w:rPr>
          <w:rFonts w:ascii="Arial" w:hAnsi="Arial" w:cs="Arial"/>
          <w:sz w:val="22"/>
          <w:szCs w:val="22"/>
        </w:rPr>
        <w:t xml:space="preserve">  None</w:t>
      </w:r>
      <w:r w:rsidRPr="00D907E8" w:rsidR="00736886">
        <w:rPr>
          <w:rFonts w:ascii="Arial" w:hAnsi="Arial" w:cs="Arial"/>
          <w:sz w:val="22"/>
          <w:szCs w:val="22"/>
        </w:rPr>
        <w:t xml:space="preserve">. </w:t>
      </w:r>
    </w:p>
    <w:p w:rsidRPr="00522739" w:rsidR="005E4F99" w:rsidP="00D73D2D" w:rsidRDefault="005E4F99" w14:paraId="028D8170" w14:textId="77777777">
      <w:pPr>
        <w:suppressAutoHyphens/>
        <w:rPr>
          <w:rFonts w:ascii="Arial" w:hAnsi="Arial" w:cs="Arial"/>
          <w:sz w:val="28"/>
          <w:szCs w:val="28"/>
        </w:rPr>
      </w:pPr>
    </w:p>
    <w:p w:rsidRPr="007A5D4B" w:rsidR="00AF1157" w:rsidP="00D73D2D" w:rsidRDefault="00AF1157" w14:paraId="09AB4D41"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AF1157" w:rsidP="000329F4" w:rsidRDefault="00AF1157" w14:paraId="0BBF6680" w14:textId="77777777">
      <w:pPr>
        <w:suppressAutoHyphens/>
        <w:ind w:left="360"/>
        <w:rPr>
          <w:rFonts w:ascii="Arial" w:hAnsi="Arial" w:cs="Arial"/>
          <w:sz w:val="22"/>
          <w:szCs w:val="22"/>
        </w:rPr>
      </w:pPr>
    </w:p>
    <w:p w:rsidRPr="00217F9E" w:rsidR="00217F9E" w:rsidP="000B20EC" w:rsidRDefault="00336E48" w14:paraId="0FE3BBA3" w14:textId="319394DD">
      <w:pPr>
        <w:suppressAutoHyphens/>
        <w:ind w:left="360"/>
        <w:rPr>
          <w:rFonts w:ascii="Arial" w:hAnsi="Arial" w:cs="Arial"/>
          <w:sz w:val="22"/>
          <w:szCs w:val="22"/>
        </w:rPr>
      </w:pPr>
      <w:r>
        <w:rPr>
          <w:rFonts w:ascii="Arial" w:hAnsi="Arial" w:cs="Arial"/>
          <w:sz w:val="22"/>
          <w:szCs w:val="22"/>
        </w:rPr>
        <w:t>Respondents use TTB F </w:t>
      </w:r>
      <w:r w:rsidRPr="00336E48">
        <w:rPr>
          <w:rFonts w:ascii="Arial" w:hAnsi="Arial" w:cs="Arial"/>
          <w:sz w:val="22"/>
          <w:szCs w:val="22"/>
        </w:rPr>
        <w:t xml:space="preserve">5110.31 to apply for and receive permission to ship Puerto Rican distilled spirits to the United States without payment of </w:t>
      </w:r>
      <w:r w:rsidR="000B20EC">
        <w:rPr>
          <w:rFonts w:ascii="Arial" w:hAnsi="Arial" w:cs="Arial"/>
          <w:sz w:val="22"/>
          <w:szCs w:val="22"/>
        </w:rPr>
        <w:t xml:space="preserve">Federal </w:t>
      </w:r>
      <w:r w:rsidRPr="00336E48">
        <w:rPr>
          <w:rFonts w:ascii="Arial" w:hAnsi="Arial" w:cs="Arial"/>
          <w:sz w:val="22"/>
          <w:szCs w:val="22"/>
        </w:rPr>
        <w:t xml:space="preserve">excise tax.  </w:t>
      </w:r>
      <w:r w:rsidR="00AE562A">
        <w:rPr>
          <w:rFonts w:ascii="Arial" w:hAnsi="Arial" w:cs="Arial"/>
          <w:sz w:val="22"/>
          <w:szCs w:val="22"/>
        </w:rPr>
        <w:t xml:space="preserve">The Government of Puerto Rico and U.S. Customs and Border Protection </w:t>
      </w:r>
      <w:r>
        <w:rPr>
          <w:rFonts w:ascii="Arial" w:hAnsi="Arial" w:cs="Arial"/>
          <w:sz w:val="22"/>
          <w:szCs w:val="22"/>
        </w:rPr>
        <w:t>use the collected information to identify</w:t>
      </w:r>
      <w:r w:rsidRPr="00AE562A" w:rsidR="00AE562A">
        <w:rPr>
          <w:rFonts w:ascii="Arial" w:hAnsi="Arial" w:cs="Arial"/>
          <w:sz w:val="22"/>
          <w:szCs w:val="22"/>
        </w:rPr>
        <w:t xml:space="preserve"> the specific distilled spirits the respondent will ship, the actual amount of spirits subsequently received, and the shipment’s consignor in Puerto Rico and consignee in the United States.  </w:t>
      </w:r>
      <w:r w:rsidRPr="00FB1014" w:rsidR="000575E4">
        <w:rPr>
          <w:rFonts w:ascii="Arial" w:hAnsi="Arial" w:cs="Arial"/>
          <w:sz w:val="22"/>
          <w:szCs w:val="22"/>
        </w:rPr>
        <w:t xml:space="preserve">TTB uses the </w:t>
      </w:r>
      <w:r>
        <w:rPr>
          <w:rFonts w:ascii="Arial" w:hAnsi="Arial" w:cs="Arial"/>
          <w:sz w:val="22"/>
          <w:szCs w:val="22"/>
        </w:rPr>
        <w:t>c</w:t>
      </w:r>
      <w:r w:rsidRPr="00FB1014" w:rsidR="000575E4">
        <w:rPr>
          <w:rFonts w:ascii="Arial" w:hAnsi="Arial" w:cs="Arial"/>
          <w:sz w:val="22"/>
          <w:szCs w:val="22"/>
        </w:rPr>
        <w:t xml:space="preserve">ollected information to </w:t>
      </w:r>
      <w:r w:rsidR="00AE562A">
        <w:rPr>
          <w:rFonts w:ascii="Arial" w:hAnsi="Arial" w:cs="Arial"/>
          <w:sz w:val="22"/>
          <w:szCs w:val="22"/>
        </w:rPr>
        <w:t xml:space="preserve">account </w:t>
      </w:r>
      <w:r w:rsidRPr="00FB1014" w:rsidR="00E52F4D">
        <w:rPr>
          <w:rFonts w:ascii="Arial" w:hAnsi="Arial" w:cs="Arial"/>
          <w:sz w:val="22"/>
          <w:szCs w:val="22"/>
        </w:rPr>
        <w:t xml:space="preserve">for </w:t>
      </w:r>
      <w:r w:rsidR="00BA20A5">
        <w:rPr>
          <w:rFonts w:ascii="Arial" w:hAnsi="Arial" w:cs="Arial"/>
          <w:sz w:val="22"/>
          <w:szCs w:val="22"/>
        </w:rPr>
        <w:t xml:space="preserve">Puerto Rican spirits brought into the United States </w:t>
      </w:r>
      <w:r>
        <w:rPr>
          <w:rFonts w:ascii="Arial" w:hAnsi="Arial" w:cs="Arial"/>
          <w:sz w:val="22"/>
          <w:szCs w:val="22"/>
        </w:rPr>
        <w:t xml:space="preserve">without payment of </w:t>
      </w:r>
      <w:r w:rsidR="00AC34D3">
        <w:rPr>
          <w:rFonts w:ascii="Arial" w:hAnsi="Arial" w:cs="Arial"/>
          <w:sz w:val="22"/>
          <w:szCs w:val="22"/>
        </w:rPr>
        <w:t xml:space="preserve">Federal excise </w:t>
      </w:r>
      <w:r>
        <w:rPr>
          <w:rFonts w:ascii="Arial" w:hAnsi="Arial" w:cs="Arial"/>
          <w:sz w:val="22"/>
          <w:szCs w:val="22"/>
        </w:rPr>
        <w:t xml:space="preserve">tax </w:t>
      </w:r>
      <w:r w:rsidR="00BA20A5">
        <w:rPr>
          <w:rFonts w:ascii="Arial" w:hAnsi="Arial" w:cs="Arial"/>
          <w:sz w:val="22"/>
          <w:szCs w:val="22"/>
        </w:rPr>
        <w:t xml:space="preserve">since </w:t>
      </w:r>
      <w:r w:rsidR="00AC34D3">
        <w:rPr>
          <w:rFonts w:ascii="Arial" w:hAnsi="Arial" w:cs="Arial"/>
          <w:sz w:val="22"/>
          <w:szCs w:val="22"/>
        </w:rPr>
        <w:t xml:space="preserve">such </w:t>
      </w:r>
      <w:r w:rsidRPr="00FB1014" w:rsidR="007F61A9">
        <w:rPr>
          <w:rFonts w:ascii="Arial" w:hAnsi="Arial" w:cs="Arial"/>
          <w:sz w:val="22"/>
          <w:szCs w:val="22"/>
        </w:rPr>
        <w:t xml:space="preserve">taxes </w:t>
      </w:r>
      <w:r>
        <w:rPr>
          <w:rFonts w:ascii="Arial" w:hAnsi="Arial" w:cs="Arial"/>
          <w:sz w:val="22"/>
          <w:szCs w:val="22"/>
        </w:rPr>
        <w:t xml:space="preserve">are subsequently </w:t>
      </w:r>
      <w:r w:rsidR="00AC34D3">
        <w:rPr>
          <w:rFonts w:ascii="Arial" w:hAnsi="Arial" w:cs="Arial"/>
          <w:sz w:val="22"/>
          <w:szCs w:val="22"/>
        </w:rPr>
        <w:t xml:space="preserve">due </w:t>
      </w:r>
      <w:r w:rsidRPr="00FB1014" w:rsidR="007F61A9">
        <w:rPr>
          <w:rFonts w:ascii="Arial" w:hAnsi="Arial" w:cs="Arial"/>
          <w:sz w:val="22"/>
          <w:szCs w:val="22"/>
        </w:rPr>
        <w:t xml:space="preserve">on </w:t>
      </w:r>
      <w:r w:rsidR="00AC34D3">
        <w:rPr>
          <w:rFonts w:ascii="Arial" w:hAnsi="Arial" w:cs="Arial"/>
          <w:sz w:val="22"/>
          <w:szCs w:val="22"/>
        </w:rPr>
        <w:t xml:space="preserve">those </w:t>
      </w:r>
      <w:r w:rsidRPr="00FB1014" w:rsidR="007F61A9">
        <w:rPr>
          <w:rFonts w:ascii="Arial" w:hAnsi="Arial" w:cs="Arial"/>
          <w:sz w:val="22"/>
          <w:szCs w:val="22"/>
        </w:rPr>
        <w:t xml:space="preserve">spirits </w:t>
      </w:r>
      <w:r w:rsidR="00BA20A5">
        <w:rPr>
          <w:rFonts w:ascii="Arial" w:hAnsi="Arial" w:cs="Arial"/>
          <w:sz w:val="22"/>
          <w:szCs w:val="22"/>
        </w:rPr>
        <w:t>upon their removal from domestic distilled spirits plants</w:t>
      </w:r>
      <w:r>
        <w:rPr>
          <w:rFonts w:ascii="Arial" w:hAnsi="Arial" w:cs="Arial"/>
          <w:sz w:val="22"/>
          <w:szCs w:val="22"/>
        </w:rPr>
        <w:t xml:space="preserve">.  </w:t>
      </w:r>
      <w:r w:rsidR="009A5DE7">
        <w:rPr>
          <w:rFonts w:ascii="Arial" w:hAnsi="Arial" w:cs="Arial"/>
          <w:sz w:val="22"/>
          <w:szCs w:val="22"/>
        </w:rPr>
        <w:t>In addition</w:t>
      </w:r>
      <w:r w:rsidR="000B20EC">
        <w:rPr>
          <w:rFonts w:ascii="Arial" w:hAnsi="Arial" w:cs="Arial"/>
          <w:sz w:val="22"/>
          <w:szCs w:val="22"/>
        </w:rPr>
        <w:t>, a</w:t>
      </w:r>
      <w:r w:rsidR="00217F9E">
        <w:rPr>
          <w:rFonts w:ascii="Arial" w:hAnsi="Arial" w:cs="Arial"/>
          <w:sz w:val="22"/>
          <w:szCs w:val="22"/>
        </w:rPr>
        <w:t xml:space="preserve">s required by the IRC at 26 U.S.C. 7652(a)(3), </w:t>
      </w:r>
      <w:r w:rsidR="00AE562A">
        <w:rPr>
          <w:rFonts w:ascii="Arial" w:hAnsi="Arial" w:cs="Arial"/>
          <w:sz w:val="22"/>
          <w:szCs w:val="22"/>
        </w:rPr>
        <w:t xml:space="preserve">TTB then covers over (transfers) most of </w:t>
      </w:r>
      <w:r w:rsidR="00217F9E">
        <w:rPr>
          <w:rFonts w:ascii="Arial" w:hAnsi="Arial" w:cs="Arial"/>
          <w:sz w:val="22"/>
          <w:szCs w:val="22"/>
        </w:rPr>
        <w:t>t</w:t>
      </w:r>
      <w:r>
        <w:rPr>
          <w:rFonts w:ascii="Arial" w:hAnsi="Arial" w:cs="Arial"/>
          <w:sz w:val="22"/>
          <w:szCs w:val="22"/>
        </w:rPr>
        <w:t xml:space="preserve">he </w:t>
      </w:r>
      <w:r w:rsidR="00217F9E">
        <w:rPr>
          <w:rFonts w:ascii="Arial" w:hAnsi="Arial" w:cs="Arial"/>
          <w:sz w:val="22"/>
          <w:szCs w:val="22"/>
        </w:rPr>
        <w:t>taxes colle</w:t>
      </w:r>
      <w:r>
        <w:rPr>
          <w:rFonts w:ascii="Arial" w:hAnsi="Arial" w:cs="Arial"/>
          <w:sz w:val="22"/>
          <w:szCs w:val="22"/>
        </w:rPr>
        <w:t xml:space="preserve">cted </w:t>
      </w:r>
      <w:r w:rsidR="007D4CAE">
        <w:rPr>
          <w:rFonts w:ascii="Arial" w:hAnsi="Arial" w:cs="Arial"/>
          <w:sz w:val="22"/>
          <w:szCs w:val="22"/>
        </w:rPr>
        <w:t>on such product</w:t>
      </w:r>
      <w:r w:rsidR="00230348">
        <w:rPr>
          <w:rFonts w:ascii="Arial" w:hAnsi="Arial" w:cs="Arial"/>
          <w:sz w:val="22"/>
          <w:szCs w:val="22"/>
        </w:rPr>
        <w:t>s</w:t>
      </w:r>
      <w:r>
        <w:rPr>
          <w:rFonts w:ascii="Arial" w:hAnsi="Arial" w:cs="Arial"/>
          <w:sz w:val="22"/>
          <w:szCs w:val="22"/>
        </w:rPr>
        <w:t xml:space="preserve"> </w:t>
      </w:r>
      <w:r w:rsidRPr="00FB1014" w:rsidR="007F61A9">
        <w:rPr>
          <w:rFonts w:ascii="Arial" w:hAnsi="Arial" w:cs="Arial"/>
          <w:sz w:val="22"/>
          <w:szCs w:val="22"/>
        </w:rPr>
        <w:t>to the government of Puerto Rico.</w:t>
      </w:r>
      <w:r w:rsidR="007F61A9">
        <w:rPr>
          <w:rFonts w:ascii="Arial" w:hAnsi="Arial" w:cs="Arial"/>
          <w:sz w:val="22"/>
          <w:szCs w:val="22"/>
        </w:rPr>
        <w:t xml:space="preserve"> </w:t>
      </w:r>
      <w:r>
        <w:rPr>
          <w:rFonts w:ascii="Arial" w:hAnsi="Arial" w:cs="Arial"/>
          <w:sz w:val="22"/>
          <w:szCs w:val="22"/>
        </w:rPr>
        <w:t xml:space="preserve"> </w:t>
      </w:r>
      <w:r w:rsidR="00AC34D3">
        <w:rPr>
          <w:rFonts w:ascii="Arial" w:hAnsi="Arial" w:cs="Arial"/>
          <w:sz w:val="22"/>
          <w:szCs w:val="22"/>
        </w:rPr>
        <w:t xml:space="preserve">As such, TTB requires </w:t>
      </w:r>
      <w:r>
        <w:rPr>
          <w:rFonts w:ascii="Arial" w:hAnsi="Arial" w:cs="Arial"/>
          <w:sz w:val="22"/>
          <w:szCs w:val="22"/>
        </w:rPr>
        <w:t>t</w:t>
      </w:r>
      <w:r w:rsidRPr="00336E48">
        <w:rPr>
          <w:rFonts w:ascii="Arial" w:hAnsi="Arial" w:cs="Arial"/>
          <w:sz w:val="22"/>
          <w:szCs w:val="22"/>
        </w:rPr>
        <w:t xml:space="preserve">he collected information </w:t>
      </w:r>
      <w:r w:rsidR="000B20EC">
        <w:rPr>
          <w:rFonts w:ascii="Arial" w:hAnsi="Arial" w:cs="Arial"/>
          <w:sz w:val="22"/>
          <w:szCs w:val="22"/>
        </w:rPr>
        <w:t xml:space="preserve">to ensure that </w:t>
      </w:r>
      <w:r w:rsidRPr="00217F9E" w:rsidR="00217F9E">
        <w:rPr>
          <w:rFonts w:ascii="Arial" w:hAnsi="Arial" w:cs="Arial"/>
          <w:sz w:val="22"/>
          <w:szCs w:val="22"/>
        </w:rPr>
        <w:t>the relevant provisions of the IRC and the TTB regulations are appropriately applied</w:t>
      </w:r>
      <w:r w:rsidR="000B20EC">
        <w:rPr>
          <w:rFonts w:ascii="Arial" w:hAnsi="Arial" w:cs="Arial"/>
          <w:sz w:val="22"/>
          <w:szCs w:val="22"/>
        </w:rPr>
        <w:t xml:space="preserve">. </w:t>
      </w:r>
    </w:p>
    <w:p w:rsidRPr="00522739" w:rsidR="00217F9E" w:rsidP="00D73D2D" w:rsidRDefault="00217F9E" w14:paraId="13C5CF4A" w14:textId="77777777">
      <w:pPr>
        <w:ind w:left="576" w:hanging="576"/>
        <w:rPr>
          <w:rFonts w:ascii="Arial" w:hAnsi="Arial" w:cs="Arial"/>
          <w:sz w:val="28"/>
          <w:szCs w:val="28"/>
        </w:rPr>
      </w:pPr>
    </w:p>
    <w:p w:rsidRPr="007A5D4B" w:rsidR="00AF1157" w:rsidP="00D73D2D" w:rsidRDefault="00CA7E3C" w14:paraId="331A6B86"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Pr="007A5D4B" w:rsidR="00AF1157" w:rsidP="00D73D2D" w:rsidRDefault="00AF1157" w14:paraId="179BCAF9" w14:textId="77777777">
      <w:pPr>
        <w:suppressAutoHyphens/>
        <w:rPr>
          <w:rFonts w:ascii="Arial" w:hAnsi="Arial" w:cs="Arial"/>
          <w:sz w:val="22"/>
          <w:szCs w:val="22"/>
        </w:rPr>
      </w:pPr>
    </w:p>
    <w:p w:rsidRPr="000B20EC" w:rsidR="00E019B4" w:rsidP="000B20EC" w:rsidRDefault="00E019B4" w14:paraId="3859E18A" w14:textId="687E17D0">
      <w:pPr>
        <w:tabs>
          <w:tab w:val="left" w:pos="8496"/>
        </w:tabs>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w:t>
      </w:r>
      <w:r w:rsidRPr="00F10C50" w:rsidR="000B20EC">
        <w:rPr>
          <w:rFonts w:ascii="Arial" w:hAnsi="Arial" w:cs="Arial"/>
          <w:sz w:val="22"/>
          <w:szCs w:val="22"/>
        </w:rPr>
        <w:t>case-by-case</w:t>
      </w:r>
      <w:r w:rsidRPr="00F10C50">
        <w:rPr>
          <w:rFonts w:ascii="Arial" w:hAnsi="Arial" w:cs="Arial"/>
          <w:sz w:val="22"/>
          <w:szCs w:val="22"/>
        </w:rPr>
        <w:t xml:space="preserve"> basis, the use of improved information technology for the collection and maintenance of required information. </w:t>
      </w:r>
      <w:r>
        <w:rPr>
          <w:rFonts w:ascii="Arial" w:hAnsi="Arial" w:cs="Arial"/>
          <w:sz w:val="22"/>
          <w:szCs w:val="22"/>
        </w:rPr>
        <w:t xml:space="preserve"> Currently, </w:t>
      </w:r>
      <w:r w:rsidRPr="00E312AC">
        <w:rPr>
          <w:rFonts w:ascii="Arial" w:hAnsi="Arial" w:cs="Arial"/>
          <w:sz w:val="22"/>
          <w:szCs w:val="22"/>
        </w:rPr>
        <w:t>TTB F 5</w:t>
      </w:r>
      <w:r>
        <w:rPr>
          <w:rFonts w:ascii="Arial" w:hAnsi="Arial" w:cs="Arial"/>
          <w:sz w:val="22"/>
          <w:szCs w:val="22"/>
        </w:rPr>
        <w:t>110.31 is available free to the public on the TTB website as a fillable-printable form</w:t>
      </w:r>
      <w:r w:rsidR="000B20EC">
        <w:rPr>
          <w:rFonts w:ascii="Arial" w:hAnsi="Arial" w:cs="Arial"/>
          <w:sz w:val="22"/>
          <w:szCs w:val="22"/>
        </w:rPr>
        <w:t xml:space="preserve">; see </w:t>
      </w:r>
      <w:r w:rsidRPr="000B20EC" w:rsidR="000B20EC">
        <w:rPr>
          <w:rFonts w:ascii="Arial" w:hAnsi="Arial" w:cs="Arial"/>
          <w:i/>
          <w:sz w:val="22"/>
          <w:szCs w:val="22"/>
        </w:rPr>
        <w:t>https://www.ttb.gov/forms</w:t>
      </w:r>
      <w:r w:rsidR="000B20EC">
        <w:rPr>
          <w:rFonts w:ascii="Arial" w:hAnsi="Arial" w:cs="Arial"/>
          <w:sz w:val="22"/>
          <w:szCs w:val="22"/>
        </w:rPr>
        <w:t xml:space="preserve">. </w:t>
      </w:r>
    </w:p>
    <w:p w:rsidRPr="00522739" w:rsidR="00AF1157" w:rsidP="00D73D2D" w:rsidRDefault="00AF1157" w14:paraId="2FC50B05" w14:textId="77777777">
      <w:pPr>
        <w:suppressAutoHyphens/>
        <w:rPr>
          <w:rFonts w:ascii="Arial" w:hAnsi="Arial" w:cs="Arial"/>
          <w:sz w:val="28"/>
          <w:szCs w:val="28"/>
        </w:rPr>
      </w:pPr>
    </w:p>
    <w:p w:rsidRPr="007A5D4B" w:rsidR="00AF1157" w:rsidP="00D73D2D" w:rsidRDefault="00CA7E3C" w14:paraId="3544804E" w14:textId="77777777">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What efforts are used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r w:rsidRPr="007A5D4B" w:rsidR="00DF5F98">
        <w:rPr>
          <w:rFonts w:ascii="Arial" w:hAnsi="Arial" w:cs="Arial"/>
          <w:i/>
          <w:sz w:val="22"/>
          <w:szCs w:val="22"/>
        </w:rPr>
        <w:t xml:space="preserve"> </w:t>
      </w:r>
    </w:p>
    <w:p w:rsidRPr="007A5D4B" w:rsidR="00AF1157" w:rsidP="00D73D2D" w:rsidRDefault="00AF1157" w14:paraId="1FFB00BC" w14:textId="77777777">
      <w:pPr>
        <w:suppressAutoHyphens/>
        <w:ind w:left="480" w:hanging="480"/>
        <w:rPr>
          <w:rFonts w:ascii="Arial" w:hAnsi="Arial" w:cs="Arial"/>
          <w:sz w:val="22"/>
          <w:szCs w:val="22"/>
        </w:rPr>
      </w:pPr>
    </w:p>
    <w:p w:rsidRPr="00D50640" w:rsidR="00D50640" w:rsidP="00D50640" w:rsidRDefault="006665B1" w14:paraId="7B580250" w14:textId="4B72DB45">
      <w:pPr>
        <w:ind w:left="360"/>
        <w:rPr>
          <w:rFonts w:ascii="Arial" w:hAnsi="Arial" w:cs="Arial"/>
          <w:sz w:val="22"/>
          <w:szCs w:val="22"/>
        </w:rPr>
      </w:pPr>
      <w:r w:rsidRPr="006665B1">
        <w:rPr>
          <w:rFonts w:ascii="Arial" w:hAnsi="Arial" w:cs="Arial"/>
          <w:sz w:val="22"/>
          <w:szCs w:val="22"/>
        </w:rPr>
        <w:t xml:space="preserve">TTB F 5110.31 </w:t>
      </w:r>
      <w:r w:rsidRPr="006665B1" w:rsidR="00D50640">
        <w:rPr>
          <w:rFonts w:ascii="Arial" w:hAnsi="Arial" w:cs="Arial"/>
          <w:sz w:val="22"/>
          <w:szCs w:val="22"/>
        </w:rPr>
        <w:t>contain</w:t>
      </w:r>
      <w:r w:rsidRPr="006665B1">
        <w:rPr>
          <w:rFonts w:ascii="Arial" w:hAnsi="Arial" w:cs="Arial"/>
          <w:sz w:val="22"/>
          <w:szCs w:val="22"/>
        </w:rPr>
        <w:t>s</w:t>
      </w:r>
      <w:r w:rsidRPr="006665B1" w:rsidR="00D50640">
        <w:rPr>
          <w:rFonts w:ascii="Arial" w:hAnsi="Arial" w:cs="Arial"/>
          <w:sz w:val="22"/>
          <w:szCs w:val="22"/>
        </w:rPr>
        <w:t xml:space="preserve"> information pertinent to each respondent and applicable to </w:t>
      </w:r>
      <w:r w:rsidR="0023207D">
        <w:rPr>
          <w:rFonts w:ascii="Arial" w:hAnsi="Arial" w:cs="Arial"/>
          <w:sz w:val="22"/>
          <w:szCs w:val="22"/>
        </w:rPr>
        <w:t xml:space="preserve">the </w:t>
      </w:r>
      <w:r w:rsidRPr="006665B1" w:rsidR="00D50640">
        <w:rPr>
          <w:rFonts w:ascii="Arial" w:hAnsi="Arial" w:cs="Arial"/>
          <w:sz w:val="22"/>
          <w:szCs w:val="22"/>
        </w:rPr>
        <w:t xml:space="preserve">specific </w:t>
      </w:r>
      <w:r w:rsidR="0023207D">
        <w:rPr>
          <w:rFonts w:ascii="Arial" w:hAnsi="Arial" w:cs="Arial"/>
          <w:sz w:val="22"/>
          <w:szCs w:val="22"/>
        </w:rPr>
        <w:t xml:space="preserve">issue of </w:t>
      </w:r>
      <w:r w:rsidRPr="006665B1">
        <w:rPr>
          <w:rFonts w:ascii="Arial" w:hAnsi="Arial" w:cs="Arial"/>
          <w:sz w:val="22"/>
          <w:szCs w:val="22"/>
        </w:rPr>
        <w:t>shipments of Puerto Rican distilled spirits to the United States</w:t>
      </w:r>
      <w:r w:rsidR="00E019B4">
        <w:rPr>
          <w:rFonts w:ascii="Arial" w:hAnsi="Arial" w:cs="Arial"/>
          <w:sz w:val="22"/>
          <w:szCs w:val="22"/>
        </w:rPr>
        <w:t xml:space="preserve"> without payment of </w:t>
      </w:r>
      <w:r w:rsidR="000B20EC">
        <w:rPr>
          <w:rFonts w:ascii="Arial" w:hAnsi="Arial" w:cs="Arial"/>
          <w:sz w:val="22"/>
          <w:szCs w:val="22"/>
        </w:rPr>
        <w:t xml:space="preserve">Federal excise </w:t>
      </w:r>
      <w:r w:rsidR="00E019B4">
        <w:rPr>
          <w:rFonts w:ascii="Arial" w:hAnsi="Arial" w:cs="Arial"/>
          <w:sz w:val="22"/>
          <w:szCs w:val="22"/>
        </w:rPr>
        <w:t>tax</w:t>
      </w:r>
      <w:r w:rsidRPr="006665B1">
        <w:rPr>
          <w:rFonts w:ascii="Arial" w:hAnsi="Arial" w:cs="Arial"/>
          <w:sz w:val="22"/>
          <w:szCs w:val="22"/>
        </w:rPr>
        <w:t xml:space="preserve">.  </w:t>
      </w:r>
      <w:r w:rsidRPr="006665B1" w:rsidR="00D50640">
        <w:rPr>
          <w:rFonts w:ascii="Arial" w:hAnsi="Arial" w:cs="Arial"/>
          <w:sz w:val="22"/>
          <w:szCs w:val="22"/>
        </w:rPr>
        <w:t xml:space="preserve">As far as TTB is able to determine, similar information is not available </w:t>
      </w:r>
      <w:r w:rsidR="00E019B4">
        <w:rPr>
          <w:rFonts w:ascii="Arial" w:hAnsi="Arial" w:cs="Arial"/>
          <w:sz w:val="22"/>
          <w:szCs w:val="22"/>
        </w:rPr>
        <w:t xml:space="preserve">to the Bureau </w:t>
      </w:r>
      <w:r w:rsidRPr="006665B1" w:rsidR="00D50640">
        <w:rPr>
          <w:rFonts w:ascii="Arial" w:hAnsi="Arial" w:cs="Arial"/>
          <w:sz w:val="22"/>
          <w:szCs w:val="22"/>
        </w:rPr>
        <w:t>elsewhere.</w:t>
      </w:r>
      <w:r w:rsidR="00D50640">
        <w:rPr>
          <w:rFonts w:ascii="Arial" w:hAnsi="Arial" w:cs="Arial"/>
          <w:sz w:val="22"/>
          <w:szCs w:val="22"/>
        </w:rPr>
        <w:t xml:space="preserve"> </w:t>
      </w:r>
    </w:p>
    <w:p w:rsidRPr="00522739" w:rsidR="007A5D4B" w:rsidP="007A5D4B" w:rsidRDefault="007A5D4B" w14:paraId="7A5DA4FB" w14:textId="77777777">
      <w:pPr>
        <w:suppressAutoHyphens/>
        <w:rPr>
          <w:rFonts w:ascii="Arial" w:hAnsi="Arial" w:cs="Arial"/>
          <w:sz w:val="28"/>
          <w:szCs w:val="28"/>
        </w:rPr>
      </w:pPr>
    </w:p>
    <w:p w:rsidRPr="007A5D4B" w:rsidR="00AF1157" w:rsidP="00D73D2D" w:rsidRDefault="007A5D4B" w14:paraId="758F1D01" w14:textId="77777777">
      <w:pPr>
        <w:suppressAutoHyphens/>
        <w:rPr>
          <w:rFonts w:ascii="Arial" w:hAnsi="Arial" w:cs="Arial"/>
          <w:i/>
          <w:sz w:val="22"/>
          <w:szCs w:val="22"/>
        </w:rPr>
      </w:pPr>
      <w:r w:rsidRPr="007A5D4B">
        <w:rPr>
          <w:rFonts w:ascii="Arial" w:hAnsi="Arial" w:cs="Arial"/>
          <w:i/>
          <w:sz w:val="22"/>
          <w:szCs w:val="22"/>
        </w:rPr>
        <w:t xml:space="preserve">5.  </w:t>
      </w:r>
      <w:r w:rsidRPr="007A5D4B" w:rsidR="00AF1157">
        <w:rPr>
          <w:rFonts w:ascii="Arial" w:hAnsi="Arial" w:cs="Arial"/>
          <w:i/>
          <w:sz w:val="22"/>
          <w:szCs w:val="22"/>
        </w:rPr>
        <w:t>If this collection of information impacts small businesses or other small entities,</w:t>
      </w:r>
      <w:r w:rsidRPr="007A5D4B" w:rsidR="00DF5F98">
        <w:rPr>
          <w:rFonts w:ascii="Arial" w:hAnsi="Arial" w:cs="Arial"/>
          <w:i/>
          <w:sz w:val="22"/>
          <w:szCs w:val="22"/>
        </w:rPr>
        <w:t xml:space="preserve"> </w:t>
      </w:r>
      <w:r w:rsidRPr="007A5D4B" w:rsidR="00AF1157">
        <w:rPr>
          <w:rFonts w:ascii="Arial" w:hAnsi="Arial" w:cs="Arial"/>
          <w:i/>
          <w:sz w:val="22"/>
          <w:szCs w:val="22"/>
        </w:rPr>
        <w:t>what methods are used to minimize burden?</w:t>
      </w:r>
      <w:r w:rsidRPr="007A5D4B">
        <w:rPr>
          <w:rFonts w:ascii="Arial" w:hAnsi="Arial" w:cs="Arial"/>
          <w:i/>
          <w:sz w:val="22"/>
          <w:szCs w:val="22"/>
        </w:rPr>
        <w:t xml:space="preserve"> </w:t>
      </w:r>
    </w:p>
    <w:p w:rsidRPr="007A5D4B" w:rsidR="007A5D4B" w:rsidP="007A5D4B" w:rsidRDefault="007A5D4B" w14:paraId="0E5897E4" w14:textId="77777777">
      <w:pPr>
        <w:suppressAutoHyphens/>
        <w:ind w:left="480" w:hanging="480"/>
        <w:rPr>
          <w:rFonts w:ascii="Arial" w:hAnsi="Arial" w:cs="Arial"/>
          <w:sz w:val="22"/>
          <w:szCs w:val="22"/>
        </w:rPr>
      </w:pPr>
    </w:p>
    <w:p w:rsidR="00DF3E3C" w:rsidP="006665B1" w:rsidRDefault="006665B1" w14:paraId="46D91559" w14:textId="4582C5D3">
      <w:pPr>
        <w:ind w:left="360"/>
        <w:rPr>
          <w:rFonts w:ascii="Arial" w:hAnsi="Arial" w:cs="Arial"/>
          <w:sz w:val="22"/>
          <w:szCs w:val="22"/>
        </w:rPr>
      </w:pPr>
      <w:r w:rsidRPr="006665B1">
        <w:rPr>
          <w:rFonts w:ascii="Arial" w:hAnsi="Arial" w:cs="Arial"/>
          <w:sz w:val="22"/>
          <w:szCs w:val="22"/>
        </w:rPr>
        <w:t xml:space="preserve">All entities, regardless of size, are required </w:t>
      </w:r>
      <w:r>
        <w:rPr>
          <w:rFonts w:ascii="Arial" w:hAnsi="Arial" w:cs="Arial"/>
          <w:sz w:val="22"/>
          <w:szCs w:val="22"/>
        </w:rPr>
        <w:t xml:space="preserve">to </w:t>
      </w:r>
      <w:r w:rsidR="00E019B4">
        <w:rPr>
          <w:rFonts w:ascii="Arial" w:hAnsi="Arial" w:cs="Arial"/>
          <w:sz w:val="22"/>
          <w:szCs w:val="22"/>
        </w:rPr>
        <w:t xml:space="preserve">submit </w:t>
      </w:r>
      <w:r>
        <w:rPr>
          <w:rFonts w:ascii="Arial" w:hAnsi="Arial" w:cs="Arial"/>
          <w:sz w:val="22"/>
          <w:szCs w:val="22"/>
        </w:rPr>
        <w:t>TTB F 5110.31</w:t>
      </w:r>
      <w:r w:rsidR="00DC2732">
        <w:rPr>
          <w:rFonts w:ascii="Arial" w:hAnsi="Arial" w:cs="Arial"/>
          <w:sz w:val="22"/>
          <w:szCs w:val="22"/>
        </w:rPr>
        <w:t xml:space="preserve"> in order to meet the </w:t>
      </w:r>
      <w:r w:rsidR="00E019B4">
        <w:rPr>
          <w:rFonts w:ascii="Arial" w:hAnsi="Arial" w:cs="Arial"/>
          <w:sz w:val="22"/>
          <w:szCs w:val="22"/>
        </w:rPr>
        <w:t xml:space="preserve">relevant </w:t>
      </w:r>
      <w:r w:rsidR="00F010B4">
        <w:rPr>
          <w:rFonts w:ascii="Arial" w:hAnsi="Arial" w:cs="Arial"/>
          <w:sz w:val="22"/>
          <w:szCs w:val="22"/>
        </w:rPr>
        <w:t xml:space="preserve">IRC and </w:t>
      </w:r>
      <w:r w:rsidR="009F21E8">
        <w:rPr>
          <w:rFonts w:ascii="Arial" w:hAnsi="Arial" w:cs="Arial"/>
          <w:sz w:val="22"/>
          <w:szCs w:val="22"/>
        </w:rPr>
        <w:t xml:space="preserve">TTB regulatory </w:t>
      </w:r>
      <w:r w:rsidR="00F010B4">
        <w:rPr>
          <w:rFonts w:ascii="Arial" w:hAnsi="Arial" w:cs="Arial"/>
          <w:sz w:val="22"/>
          <w:szCs w:val="22"/>
        </w:rPr>
        <w:t xml:space="preserve">provisions related to shipments of Puerto Rican distilled spirits to the United States.  </w:t>
      </w:r>
      <w:r w:rsidRPr="00DF3E3C" w:rsidR="00DF3E3C">
        <w:rPr>
          <w:rFonts w:ascii="Arial" w:hAnsi="Arial" w:cs="Arial"/>
          <w:sz w:val="22"/>
          <w:szCs w:val="22"/>
        </w:rPr>
        <w:t>Waiver or reduction of these requirements, simply because the respondent's business is small, could jeopardize the revenue</w:t>
      </w:r>
      <w:r w:rsidR="00DF3E3C">
        <w:rPr>
          <w:rFonts w:ascii="Arial" w:hAnsi="Arial" w:cs="Arial"/>
          <w:sz w:val="22"/>
          <w:szCs w:val="22"/>
        </w:rPr>
        <w:t xml:space="preserve">. </w:t>
      </w:r>
    </w:p>
    <w:p w:rsidRPr="00522739" w:rsidR="007A5D4B" w:rsidP="007A5D4B" w:rsidRDefault="007A5D4B" w14:paraId="465B9D24" w14:textId="77777777">
      <w:pPr>
        <w:suppressAutoHyphens/>
        <w:rPr>
          <w:rFonts w:ascii="Arial" w:hAnsi="Arial" w:cs="Arial"/>
          <w:sz w:val="28"/>
          <w:szCs w:val="28"/>
        </w:rPr>
      </w:pPr>
    </w:p>
    <w:p w:rsidRPr="007A5D4B" w:rsidR="00AF1157" w:rsidP="00D73D2D" w:rsidRDefault="007A5D4B" w14:paraId="43A85B66" w14:textId="77777777">
      <w:pPr>
        <w:suppressAutoHyphens/>
        <w:rPr>
          <w:rFonts w:ascii="Arial" w:hAnsi="Arial" w:cs="Arial"/>
          <w:i/>
          <w:sz w:val="22"/>
          <w:szCs w:val="22"/>
        </w:rPr>
      </w:pPr>
      <w:r w:rsidRPr="007A5D4B">
        <w:rPr>
          <w:rFonts w:ascii="Arial" w:hAnsi="Arial" w:cs="Arial"/>
          <w:i/>
          <w:sz w:val="22"/>
          <w:szCs w:val="22"/>
        </w:rPr>
        <w:t xml:space="preserve">6.  </w:t>
      </w:r>
      <w:r w:rsidRPr="007A5D4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Pr="007A5D4B" w:rsidR="00AF1157" w:rsidP="00D73D2D" w:rsidRDefault="00AF1157" w14:paraId="2CC7326B" w14:textId="77777777">
      <w:pPr>
        <w:suppressAutoHyphens/>
        <w:ind w:left="480" w:hanging="480"/>
        <w:rPr>
          <w:rFonts w:ascii="Arial" w:hAnsi="Arial" w:cs="Arial"/>
          <w:sz w:val="22"/>
          <w:szCs w:val="22"/>
        </w:rPr>
      </w:pPr>
    </w:p>
    <w:p w:rsidRPr="00CA07BF" w:rsidR="00CA07BF" w:rsidP="00CA07BF" w:rsidRDefault="0023207D" w14:paraId="70E60EF5" w14:textId="36E64876">
      <w:pPr>
        <w:ind w:left="360"/>
        <w:rPr>
          <w:rFonts w:ascii="Arial" w:hAnsi="Arial" w:cs="Arial"/>
          <w:sz w:val="22"/>
          <w:szCs w:val="22"/>
        </w:rPr>
      </w:pPr>
      <w:r>
        <w:rPr>
          <w:rFonts w:ascii="Arial" w:hAnsi="Arial" w:cs="Arial"/>
          <w:sz w:val="22"/>
          <w:szCs w:val="22"/>
        </w:rPr>
        <w:t xml:space="preserve">Without this collection, </w:t>
      </w:r>
      <w:r w:rsidR="00D1403E">
        <w:rPr>
          <w:rFonts w:ascii="Arial" w:hAnsi="Arial" w:cs="Arial"/>
          <w:sz w:val="22"/>
          <w:szCs w:val="22"/>
        </w:rPr>
        <w:t xml:space="preserve">TTB would </w:t>
      </w:r>
      <w:r w:rsidR="009F21E8">
        <w:rPr>
          <w:rFonts w:ascii="Arial" w:hAnsi="Arial" w:cs="Arial"/>
          <w:sz w:val="22"/>
          <w:szCs w:val="22"/>
        </w:rPr>
        <w:t>be less</w:t>
      </w:r>
      <w:r w:rsidR="00D1403E">
        <w:rPr>
          <w:rFonts w:ascii="Arial" w:hAnsi="Arial" w:cs="Arial"/>
          <w:sz w:val="22"/>
          <w:szCs w:val="22"/>
        </w:rPr>
        <w:t xml:space="preserve"> able</w:t>
      </w:r>
      <w:r w:rsidR="00AC34D3">
        <w:rPr>
          <w:rFonts w:ascii="Arial" w:hAnsi="Arial" w:cs="Arial"/>
          <w:sz w:val="22"/>
          <w:szCs w:val="22"/>
        </w:rPr>
        <w:t>,</w:t>
      </w:r>
      <w:r w:rsidR="00D1403E">
        <w:rPr>
          <w:rFonts w:ascii="Arial" w:hAnsi="Arial" w:cs="Arial"/>
          <w:sz w:val="22"/>
          <w:szCs w:val="22"/>
        </w:rPr>
        <w:t xml:space="preserve"> to account for Puerto Rican</w:t>
      </w:r>
      <w:r w:rsidR="006C2C97">
        <w:rPr>
          <w:rFonts w:ascii="Arial" w:hAnsi="Arial" w:cs="Arial"/>
          <w:sz w:val="22"/>
          <w:szCs w:val="22"/>
        </w:rPr>
        <w:t xml:space="preserve"> distilled spirits </w:t>
      </w:r>
      <w:r w:rsidR="00D1403E">
        <w:rPr>
          <w:rFonts w:ascii="Arial" w:hAnsi="Arial" w:cs="Arial"/>
          <w:sz w:val="22"/>
          <w:szCs w:val="22"/>
        </w:rPr>
        <w:t>b</w:t>
      </w:r>
      <w:r w:rsidR="006C2C97">
        <w:rPr>
          <w:rFonts w:ascii="Arial" w:hAnsi="Arial" w:cs="Arial"/>
          <w:sz w:val="22"/>
          <w:szCs w:val="22"/>
        </w:rPr>
        <w:t>rought into the United States without payment of tax</w:t>
      </w:r>
      <w:r w:rsidRPr="006665B1" w:rsidR="006665B1">
        <w:rPr>
          <w:rFonts w:ascii="Arial" w:hAnsi="Arial" w:cs="Arial"/>
          <w:sz w:val="22"/>
          <w:szCs w:val="22"/>
        </w:rPr>
        <w:t>.</w:t>
      </w:r>
      <w:r w:rsidR="00F17249">
        <w:rPr>
          <w:rFonts w:ascii="Arial" w:hAnsi="Arial" w:cs="Arial"/>
          <w:sz w:val="22"/>
          <w:szCs w:val="22"/>
        </w:rPr>
        <w:t xml:space="preserve">  </w:t>
      </w:r>
      <w:r>
        <w:rPr>
          <w:rFonts w:ascii="Arial" w:hAnsi="Arial" w:cs="Arial"/>
          <w:sz w:val="22"/>
          <w:szCs w:val="22"/>
        </w:rPr>
        <w:t>Since</w:t>
      </w:r>
      <w:r w:rsidR="00F17249">
        <w:rPr>
          <w:rFonts w:ascii="Arial" w:hAnsi="Arial" w:cs="Arial"/>
          <w:sz w:val="22"/>
          <w:szCs w:val="22"/>
        </w:rPr>
        <w:t xml:space="preserve"> </w:t>
      </w:r>
      <w:r>
        <w:rPr>
          <w:rFonts w:ascii="Arial" w:hAnsi="Arial" w:cs="Arial"/>
          <w:sz w:val="22"/>
          <w:szCs w:val="22"/>
        </w:rPr>
        <w:t xml:space="preserve">such spirits are subject to tax upon their subsequent removal from domestic distilled spirits plants, </w:t>
      </w:r>
      <w:r w:rsidR="00331E4F">
        <w:rPr>
          <w:rFonts w:ascii="Arial" w:hAnsi="Arial" w:cs="Arial"/>
          <w:sz w:val="22"/>
          <w:szCs w:val="22"/>
        </w:rPr>
        <w:t>n</w:t>
      </w:r>
      <w:r w:rsidRPr="006665B1" w:rsidR="00331E4F">
        <w:rPr>
          <w:rFonts w:ascii="Arial" w:hAnsi="Arial" w:cs="Arial"/>
          <w:sz w:val="22"/>
          <w:szCs w:val="22"/>
        </w:rPr>
        <w:t>ot conducting th</w:t>
      </w:r>
      <w:r w:rsidR="00331E4F">
        <w:rPr>
          <w:rFonts w:ascii="Arial" w:hAnsi="Arial" w:cs="Arial"/>
          <w:sz w:val="22"/>
          <w:szCs w:val="22"/>
        </w:rPr>
        <w:t>is</w:t>
      </w:r>
      <w:r w:rsidRPr="006665B1" w:rsidR="00331E4F">
        <w:rPr>
          <w:rFonts w:ascii="Arial" w:hAnsi="Arial" w:cs="Arial"/>
          <w:sz w:val="22"/>
          <w:szCs w:val="22"/>
        </w:rPr>
        <w:t xml:space="preserve"> collection or </w:t>
      </w:r>
      <w:r w:rsidR="00331E4F">
        <w:rPr>
          <w:rFonts w:ascii="Arial" w:hAnsi="Arial" w:cs="Arial"/>
          <w:sz w:val="22"/>
          <w:szCs w:val="22"/>
        </w:rPr>
        <w:t xml:space="preserve">conducting it </w:t>
      </w:r>
      <w:r w:rsidRPr="006665B1" w:rsidR="00331E4F">
        <w:rPr>
          <w:rFonts w:ascii="Arial" w:hAnsi="Arial" w:cs="Arial"/>
          <w:sz w:val="22"/>
          <w:szCs w:val="22"/>
        </w:rPr>
        <w:t xml:space="preserve">less frequently would </w:t>
      </w:r>
      <w:r w:rsidR="00331E4F">
        <w:rPr>
          <w:rFonts w:ascii="Arial" w:hAnsi="Arial" w:cs="Arial"/>
          <w:sz w:val="22"/>
          <w:szCs w:val="22"/>
        </w:rPr>
        <w:t>jeopardize</w:t>
      </w:r>
      <w:r w:rsidRPr="006665B1" w:rsidR="00331E4F">
        <w:rPr>
          <w:rFonts w:ascii="Arial" w:hAnsi="Arial" w:cs="Arial"/>
          <w:sz w:val="22"/>
          <w:szCs w:val="22"/>
        </w:rPr>
        <w:t xml:space="preserve"> the revenue</w:t>
      </w:r>
      <w:r w:rsidR="00331E4F">
        <w:rPr>
          <w:rFonts w:ascii="Arial" w:hAnsi="Arial" w:cs="Arial"/>
          <w:sz w:val="22"/>
          <w:szCs w:val="22"/>
        </w:rPr>
        <w:t xml:space="preserve">.  In addition, </w:t>
      </w:r>
      <w:r>
        <w:rPr>
          <w:rFonts w:ascii="Arial" w:hAnsi="Arial" w:cs="Arial"/>
          <w:sz w:val="22"/>
          <w:szCs w:val="22"/>
        </w:rPr>
        <w:t xml:space="preserve">without </w:t>
      </w:r>
      <w:r>
        <w:rPr>
          <w:rFonts w:ascii="Arial" w:hAnsi="Arial" w:cs="Arial"/>
          <w:sz w:val="22"/>
          <w:szCs w:val="22"/>
        </w:rPr>
        <w:lastRenderedPageBreak/>
        <w:t xml:space="preserve">this collection, </w:t>
      </w:r>
      <w:r w:rsidR="00F17249">
        <w:rPr>
          <w:rFonts w:ascii="Arial" w:hAnsi="Arial" w:cs="Arial"/>
          <w:sz w:val="22"/>
          <w:szCs w:val="22"/>
        </w:rPr>
        <w:t>TTB would be less able</w:t>
      </w:r>
      <w:r w:rsidR="000B20EC">
        <w:rPr>
          <w:rFonts w:ascii="Arial" w:hAnsi="Arial" w:cs="Arial"/>
          <w:sz w:val="22"/>
          <w:szCs w:val="22"/>
        </w:rPr>
        <w:t xml:space="preserve"> </w:t>
      </w:r>
      <w:r w:rsidR="00F17249">
        <w:rPr>
          <w:rFonts w:ascii="Arial" w:hAnsi="Arial" w:cs="Arial"/>
          <w:sz w:val="22"/>
          <w:szCs w:val="22"/>
        </w:rPr>
        <w:t xml:space="preserve">to fulfill its statutory obligations regarding the cover over </w:t>
      </w:r>
      <w:r w:rsidR="00331E4F">
        <w:rPr>
          <w:rFonts w:ascii="Arial" w:hAnsi="Arial" w:cs="Arial"/>
          <w:sz w:val="22"/>
          <w:szCs w:val="22"/>
        </w:rPr>
        <w:t xml:space="preserve">(transfer) </w:t>
      </w:r>
      <w:r w:rsidR="00F17249">
        <w:rPr>
          <w:rFonts w:ascii="Arial" w:hAnsi="Arial" w:cs="Arial"/>
          <w:sz w:val="22"/>
          <w:szCs w:val="22"/>
        </w:rPr>
        <w:t xml:space="preserve">of </w:t>
      </w:r>
      <w:r w:rsidR="00AE562A">
        <w:rPr>
          <w:rFonts w:ascii="Arial" w:hAnsi="Arial" w:cs="Arial"/>
          <w:sz w:val="22"/>
          <w:szCs w:val="22"/>
        </w:rPr>
        <w:t>the majority o</w:t>
      </w:r>
      <w:r w:rsidR="00331E4F">
        <w:rPr>
          <w:rFonts w:ascii="Arial" w:hAnsi="Arial" w:cs="Arial"/>
          <w:sz w:val="22"/>
          <w:szCs w:val="22"/>
        </w:rPr>
        <w:t xml:space="preserve">f </w:t>
      </w:r>
      <w:r w:rsidR="00F07B68">
        <w:rPr>
          <w:rFonts w:ascii="Arial" w:hAnsi="Arial" w:cs="Arial"/>
          <w:sz w:val="22"/>
          <w:szCs w:val="22"/>
        </w:rPr>
        <w:t xml:space="preserve">the </w:t>
      </w:r>
      <w:r w:rsidR="00F17249">
        <w:rPr>
          <w:rFonts w:ascii="Arial" w:hAnsi="Arial" w:cs="Arial"/>
          <w:sz w:val="22"/>
          <w:szCs w:val="22"/>
        </w:rPr>
        <w:t xml:space="preserve">taxes </w:t>
      </w:r>
      <w:r w:rsidR="00331E4F">
        <w:rPr>
          <w:rFonts w:ascii="Arial" w:hAnsi="Arial" w:cs="Arial"/>
          <w:sz w:val="22"/>
          <w:szCs w:val="22"/>
        </w:rPr>
        <w:t xml:space="preserve">subsequently </w:t>
      </w:r>
      <w:r w:rsidR="00F17249">
        <w:rPr>
          <w:rFonts w:ascii="Arial" w:hAnsi="Arial" w:cs="Arial"/>
          <w:sz w:val="22"/>
          <w:szCs w:val="22"/>
        </w:rPr>
        <w:t xml:space="preserve">collected </w:t>
      </w:r>
      <w:r w:rsidR="00331E4F">
        <w:rPr>
          <w:rFonts w:ascii="Arial" w:hAnsi="Arial" w:cs="Arial"/>
          <w:sz w:val="22"/>
          <w:szCs w:val="22"/>
        </w:rPr>
        <w:t xml:space="preserve">on such spirits </w:t>
      </w:r>
      <w:r w:rsidR="00F17249">
        <w:rPr>
          <w:rFonts w:ascii="Arial" w:hAnsi="Arial" w:cs="Arial"/>
          <w:sz w:val="22"/>
          <w:szCs w:val="22"/>
        </w:rPr>
        <w:t xml:space="preserve">to the government of Puerto Rico. </w:t>
      </w:r>
    </w:p>
    <w:p w:rsidRPr="00522739" w:rsidR="007A5D4B" w:rsidP="007A5D4B" w:rsidRDefault="007A5D4B" w14:paraId="44D8AFE9" w14:textId="77777777">
      <w:pPr>
        <w:suppressAutoHyphens/>
        <w:rPr>
          <w:rFonts w:ascii="Arial" w:hAnsi="Arial" w:cs="Arial"/>
          <w:sz w:val="28"/>
          <w:szCs w:val="28"/>
        </w:rPr>
      </w:pPr>
    </w:p>
    <w:p w:rsidRPr="00714DD9" w:rsidR="00EC4FC3" w:rsidP="00D73D2D" w:rsidRDefault="007A5D4B" w14:paraId="47E14E7E" w14:textId="77777777">
      <w:pPr>
        <w:suppressAutoHyphens/>
        <w:rPr>
          <w:rFonts w:ascii="Arial" w:hAnsi="Arial" w:cs="Arial"/>
          <w:i/>
          <w:sz w:val="22"/>
          <w:szCs w:val="22"/>
        </w:rPr>
      </w:pPr>
      <w:r w:rsidRPr="00714DD9">
        <w:rPr>
          <w:rFonts w:ascii="Arial" w:hAnsi="Arial" w:cs="Arial"/>
          <w:i/>
          <w:sz w:val="22"/>
          <w:szCs w:val="22"/>
        </w:rPr>
        <w:t xml:space="preserve">7.  </w:t>
      </w:r>
      <w:r w:rsidRPr="00714DD9" w:rsidR="00EC4FC3">
        <w:rPr>
          <w:rFonts w:ascii="Arial" w:hAnsi="Arial" w:cs="Arial"/>
          <w:i/>
          <w:sz w:val="22"/>
          <w:szCs w:val="22"/>
        </w:rPr>
        <w:t>Are there any special circumstances associated with this information collection</w:t>
      </w:r>
      <w:r w:rsidRPr="00714DD9" w:rsidR="005C282B">
        <w:rPr>
          <w:rFonts w:ascii="Arial" w:hAnsi="Arial" w:cs="Arial"/>
          <w:i/>
          <w:sz w:val="22"/>
          <w:szCs w:val="22"/>
        </w:rPr>
        <w:t xml:space="preserve"> that would require it to be conducted in a manner inconsistent with OMB guidelines</w:t>
      </w:r>
      <w:r w:rsidRPr="00714DD9" w:rsidR="00EC4FC3">
        <w:rPr>
          <w:rFonts w:ascii="Arial" w:hAnsi="Arial" w:cs="Arial"/>
          <w:i/>
          <w:sz w:val="22"/>
          <w:szCs w:val="22"/>
        </w:rPr>
        <w:t xml:space="preserve">? </w:t>
      </w:r>
    </w:p>
    <w:p w:rsidRPr="00714DD9" w:rsidR="008D2CB6" w:rsidP="008D2CB6" w:rsidRDefault="008D2CB6" w14:paraId="157988F7" w14:textId="77777777">
      <w:pPr>
        <w:ind w:left="360"/>
        <w:rPr>
          <w:rFonts w:ascii="Arial" w:hAnsi="Arial" w:cs="Arial"/>
          <w:sz w:val="22"/>
          <w:szCs w:val="22"/>
        </w:rPr>
      </w:pPr>
    </w:p>
    <w:p w:rsidRPr="007A5D4B" w:rsidR="00EC4FC3" w:rsidP="004D086A" w:rsidRDefault="00714DD9" w14:paraId="23DB265B" w14:textId="7A8B2D7A">
      <w:pPr>
        <w:ind w:left="360"/>
        <w:rPr>
          <w:rFonts w:ascii="Arial" w:hAnsi="Arial" w:cs="Arial"/>
          <w:sz w:val="22"/>
          <w:szCs w:val="22"/>
        </w:rPr>
      </w:pPr>
      <w:r w:rsidRPr="00714DD9">
        <w:rPr>
          <w:rFonts w:ascii="Arial" w:hAnsi="Arial" w:cs="Arial"/>
          <w:sz w:val="22"/>
          <w:szCs w:val="22"/>
        </w:rPr>
        <w:t>Under 5 </w:t>
      </w:r>
      <w:r w:rsidRPr="00714DD9" w:rsidR="008D2CB6">
        <w:rPr>
          <w:rFonts w:ascii="Arial" w:hAnsi="Arial" w:cs="Arial"/>
          <w:sz w:val="22"/>
          <w:szCs w:val="22"/>
        </w:rPr>
        <w:t>CFR 1320.5(d)(2)(iii), requiring respondents to submit more than an original and two copies of any document is a special circumstan</w:t>
      </w:r>
      <w:r w:rsidRPr="00714DD9">
        <w:rPr>
          <w:rFonts w:ascii="Arial" w:hAnsi="Arial" w:cs="Arial"/>
          <w:sz w:val="22"/>
          <w:szCs w:val="22"/>
        </w:rPr>
        <w:t>ce.  The instructions for TTB F </w:t>
      </w:r>
      <w:r w:rsidRPr="00714DD9" w:rsidR="008D2CB6">
        <w:rPr>
          <w:rFonts w:ascii="Arial" w:hAnsi="Arial" w:cs="Arial"/>
          <w:sz w:val="22"/>
          <w:szCs w:val="22"/>
        </w:rPr>
        <w:t xml:space="preserve">5110.31 require respondents to prepare an original and five copies of the form for distribution </w:t>
      </w:r>
      <w:r w:rsidRPr="00714DD9">
        <w:rPr>
          <w:rFonts w:ascii="Arial" w:hAnsi="Arial" w:cs="Arial"/>
          <w:sz w:val="22"/>
          <w:szCs w:val="22"/>
        </w:rPr>
        <w:t>to the shipment’s consignor</w:t>
      </w:r>
      <w:r w:rsidR="004B78F6">
        <w:rPr>
          <w:rFonts w:ascii="Arial" w:hAnsi="Arial" w:cs="Arial"/>
          <w:sz w:val="22"/>
          <w:szCs w:val="22"/>
        </w:rPr>
        <w:t xml:space="preserve"> and</w:t>
      </w:r>
      <w:r w:rsidRPr="00714DD9">
        <w:rPr>
          <w:rFonts w:ascii="Arial" w:hAnsi="Arial" w:cs="Arial"/>
          <w:sz w:val="22"/>
          <w:szCs w:val="22"/>
        </w:rPr>
        <w:t xml:space="preserve"> consignee and to </w:t>
      </w:r>
      <w:r w:rsidR="004B78F6">
        <w:rPr>
          <w:rFonts w:ascii="Arial" w:hAnsi="Arial" w:cs="Arial"/>
          <w:sz w:val="22"/>
          <w:szCs w:val="22"/>
        </w:rPr>
        <w:t xml:space="preserve">various </w:t>
      </w:r>
      <w:r w:rsidRPr="00714DD9">
        <w:rPr>
          <w:rFonts w:ascii="Arial" w:hAnsi="Arial" w:cs="Arial"/>
          <w:sz w:val="22"/>
          <w:szCs w:val="22"/>
        </w:rPr>
        <w:t>government offices, as described in the form’s instructions.</w:t>
      </w:r>
      <w:r>
        <w:rPr>
          <w:rFonts w:ascii="Arial" w:hAnsi="Arial" w:cs="Arial"/>
          <w:sz w:val="22"/>
          <w:szCs w:val="22"/>
        </w:rPr>
        <w:t xml:space="preserve"> </w:t>
      </w:r>
    </w:p>
    <w:p w:rsidRPr="00522739" w:rsidR="00EC4FC3" w:rsidP="00D73D2D" w:rsidRDefault="00EC4FC3" w14:paraId="295B38B1" w14:textId="77777777">
      <w:pPr>
        <w:rPr>
          <w:rFonts w:ascii="Arial" w:hAnsi="Arial" w:cs="Arial"/>
          <w:sz w:val="28"/>
          <w:szCs w:val="28"/>
        </w:rPr>
      </w:pPr>
    </w:p>
    <w:p w:rsidRPr="007A5D4B" w:rsidR="005C282B" w:rsidP="00D73D2D" w:rsidRDefault="007A5D4B" w14:paraId="2B9AAAA7"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sidR="005C282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Pr="007A5D4B" w:rsidR="005C282B" w:rsidP="00D73D2D" w:rsidRDefault="005C282B" w14:paraId="6791A607" w14:textId="77777777">
      <w:pPr>
        <w:suppressAutoHyphens/>
        <w:ind w:left="480" w:hanging="480"/>
        <w:rPr>
          <w:rFonts w:ascii="Arial" w:hAnsi="Arial" w:cs="Arial"/>
          <w:sz w:val="22"/>
          <w:szCs w:val="22"/>
        </w:rPr>
      </w:pPr>
    </w:p>
    <w:p w:rsidRPr="00176CD6" w:rsidR="000B20EC" w:rsidP="000B20EC" w:rsidRDefault="000B20EC" w14:paraId="1C714245" w14:textId="77777777">
      <w:pPr>
        <w:ind w:left="360"/>
        <w:rPr>
          <w:rFonts w:ascii="Arial" w:hAnsi="Arial" w:cs="Arial"/>
          <w:sz w:val="22"/>
          <w:szCs w:val="22"/>
        </w:rPr>
      </w:pPr>
      <w:r w:rsidRPr="00176CD6">
        <w:rPr>
          <w:rFonts w:ascii="Arial" w:hAnsi="Arial" w:cs="Arial"/>
          <w:sz w:val="22"/>
          <w:szCs w:val="22"/>
        </w:rPr>
        <w:t xml:space="preserve">To solicit comments from the public, TTB published a “60-day” comment request notice regarding this information collection in the Federal Register on June 15, 2021, at 86 FR 31818.  TTB received no comments on this information collection in response. </w:t>
      </w:r>
    </w:p>
    <w:p w:rsidRPr="00522739" w:rsidR="00734B25" w:rsidP="00D73D2D" w:rsidRDefault="00734B25" w14:paraId="34128FCE" w14:textId="77777777">
      <w:pPr>
        <w:suppressAutoHyphens/>
        <w:rPr>
          <w:rFonts w:ascii="Arial" w:hAnsi="Arial" w:cs="Arial"/>
          <w:sz w:val="28"/>
          <w:szCs w:val="28"/>
        </w:rPr>
      </w:pPr>
    </w:p>
    <w:p w:rsidRPr="00D656EA" w:rsidR="00EC4FC3" w:rsidP="00D73D2D" w:rsidRDefault="005E4F9B" w14:paraId="4723B1AB" w14:textId="77777777">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sidR="00EC4FC3">
        <w:rPr>
          <w:rFonts w:ascii="Arial" w:hAnsi="Arial" w:cs="Arial"/>
          <w:i/>
          <w:sz w:val="22"/>
          <w:szCs w:val="22"/>
        </w:rPr>
        <w:t xml:space="preserve">gift </w:t>
      </w:r>
      <w:r w:rsidR="00D656EA">
        <w:rPr>
          <w:rFonts w:ascii="Arial" w:hAnsi="Arial" w:cs="Arial"/>
          <w:i/>
          <w:sz w:val="22"/>
          <w:szCs w:val="22"/>
        </w:rPr>
        <w:t xml:space="preserve">given </w:t>
      </w:r>
      <w:r w:rsidRPr="00D656EA" w:rsidR="00EC4FC3">
        <w:rPr>
          <w:rFonts w:ascii="Arial" w:hAnsi="Arial" w:cs="Arial"/>
          <w:i/>
          <w:sz w:val="22"/>
          <w:szCs w:val="22"/>
        </w:rPr>
        <w:t>to respondents, other than re</w:t>
      </w:r>
      <w:r w:rsidRPr="00D656EA" w:rsidR="00101DE7">
        <w:rPr>
          <w:rFonts w:ascii="Arial" w:hAnsi="Arial" w:cs="Arial"/>
          <w:i/>
          <w:sz w:val="22"/>
          <w:szCs w:val="22"/>
        </w:rPr>
        <w:t>mun</w:t>
      </w:r>
      <w:r w:rsidRPr="00D656EA" w:rsidR="00EC4FC3">
        <w:rPr>
          <w:rFonts w:ascii="Arial" w:hAnsi="Arial" w:cs="Arial"/>
          <w:i/>
          <w:sz w:val="22"/>
          <w:szCs w:val="22"/>
        </w:rPr>
        <w:t>eration of contractors or grantees?</w:t>
      </w:r>
      <w:r w:rsidR="00D656EA">
        <w:rPr>
          <w:rFonts w:ascii="Arial" w:hAnsi="Arial" w:cs="Arial"/>
          <w:i/>
          <w:sz w:val="22"/>
          <w:szCs w:val="22"/>
        </w:rPr>
        <w:t xml:space="preserve">  If so, why? </w:t>
      </w:r>
    </w:p>
    <w:p w:rsidRPr="007A5D4B" w:rsidR="00EC4FC3" w:rsidP="00D73D2D" w:rsidRDefault="00EC4FC3" w14:paraId="3F63D32C" w14:textId="77777777">
      <w:pPr>
        <w:suppressAutoHyphens/>
        <w:rPr>
          <w:rFonts w:ascii="Arial" w:hAnsi="Arial" w:cs="Arial"/>
          <w:sz w:val="22"/>
          <w:szCs w:val="22"/>
        </w:rPr>
      </w:pPr>
    </w:p>
    <w:p w:rsidRPr="007A5D4B" w:rsidR="00EC4FC3" w:rsidP="004D086A" w:rsidRDefault="00EC4FC3" w14:paraId="73A927F5" w14:textId="3B866A09">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0B20EC">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rsidRPr="00522739" w:rsidR="00EC4FC3" w:rsidP="00D73D2D" w:rsidRDefault="00EC4FC3" w14:paraId="3B6ECE33" w14:textId="77777777">
      <w:pPr>
        <w:suppressAutoHyphens/>
        <w:rPr>
          <w:rFonts w:ascii="Arial" w:hAnsi="Arial" w:cs="Arial"/>
          <w:sz w:val="28"/>
          <w:szCs w:val="28"/>
        </w:rPr>
      </w:pPr>
    </w:p>
    <w:p w:rsidRPr="00D656EA" w:rsidR="00EC4FC3" w:rsidP="00D73D2D" w:rsidRDefault="00D656EA" w14:paraId="24E95F75" w14:textId="77777777">
      <w:pPr>
        <w:suppressAutoHyphens/>
        <w:rPr>
          <w:rFonts w:ascii="Arial" w:hAnsi="Arial" w:cs="Arial"/>
          <w:i/>
          <w:sz w:val="22"/>
          <w:szCs w:val="22"/>
        </w:rPr>
      </w:pPr>
      <w:r w:rsidRPr="00D656EA">
        <w:rPr>
          <w:rFonts w:ascii="Arial" w:hAnsi="Arial" w:cs="Arial"/>
          <w:i/>
          <w:sz w:val="22"/>
          <w:szCs w:val="22"/>
        </w:rPr>
        <w:t>10.</w:t>
      </w:r>
      <w:r w:rsidRPr="00D656EA" w:rsidR="00EC4FC3">
        <w:rPr>
          <w:rFonts w:ascii="Arial" w:hAnsi="Arial" w:cs="Arial"/>
          <w:i/>
          <w:sz w:val="22"/>
          <w:szCs w:val="22"/>
        </w:rPr>
        <w:t xml:space="preserve">  What assurance of confidentiality was provided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P="005568F5" w:rsidRDefault="00EC4FC3" w14:paraId="27FFD8AF" w14:textId="77777777">
      <w:pPr>
        <w:ind w:left="360"/>
        <w:rPr>
          <w:rFonts w:ascii="Arial" w:hAnsi="Arial" w:cs="Arial"/>
          <w:sz w:val="22"/>
          <w:szCs w:val="22"/>
        </w:rPr>
      </w:pPr>
    </w:p>
    <w:p w:rsidRPr="005568F5" w:rsidR="0084640C" w:rsidP="005568F5" w:rsidRDefault="000B20EC" w14:paraId="1D286880" w14:textId="51A166E9">
      <w:pPr>
        <w:ind w:left="360"/>
        <w:rPr>
          <w:rFonts w:ascii="Arial" w:hAnsi="Arial" w:cs="Arial"/>
          <w:sz w:val="22"/>
          <w:szCs w:val="22"/>
        </w:rPr>
      </w:pPr>
      <w:r>
        <w:rPr>
          <w:rFonts w:ascii="Arial" w:hAnsi="Arial" w:cs="Arial"/>
          <w:sz w:val="22"/>
          <w:szCs w:val="22"/>
        </w:rPr>
        <w:t>TTB provides n</w:t>
      </w:r>
      <w:r w:rsidRPr="005568F5" w:rsidR="00E51AD7">
        <w:rPr>
          <w:rFonts w:ascii="Arial" w:hAnsi="Arial" w:cs="Arial"/>
          <w:sz w:val="22"/>
          <w:szCs w:val="22"/>
        </w:rPr>
        <w:t xml:space="preserve">o specific assurance of confidentiality </w:t>
      </w:r>
      <w:r>
        <w:rPr>
          <w:rFonts w:ascii="Arial" w:hAnsi="Arial" w:cs="Arial"/>
          <w:sz w:val="22"/>
          <w:szCs w:val="22"/>
        </w:rPr>
        <w:t xml:space="preserve">for this collection.  </w:t>
      </w:r>
      <w:r w:rsidRPr="005568F5" w:rsidR="00E51AD7">
        <w:rPr>
          <w:rFonts w:ascii="Arial" w:hAnsi="Arial" w:cs="Arial"/>
          <w:sz w:val="22"/>
          <w:szCs w:val="22"/>
        </w:rPr>
        <w:t>However, Federal law at 5</w:t>
      </w:r>
      <w:r w:rsidRPr="005568F5" w:rsidR="006665B1">
        <w:rPr>
          <w:rFonts w:ascii="Arial" w:hAnsi="Arial" w:cs="Arial"/>
          <w:sz w:val="22"/>
          <w:szCs w:val="22"/>
        </w:rPr>
        <w:t> </w:t>
      </w:r>
      <w:r w:rsidRPr="005568F5"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009A5DE7">
        <w:rPr>
          <w:rFonts w:ascii="Arial" w:hAnsi="Arial" w:cs="Arial"/>
          <w:sz w:val="22"/>
          <w:szCs w:val="22"/>
        </w:rPr>
        <w:t>that section s</w:t>
      </w:r>
      <w:r w:rsidRPr="005568F5" w:rsidR="00E51AD7">
        <w:rPr>
          <w:rFonts w:ascii="Arial" w:hAnsi="Arial" w:cs="Arial"/>
          <w:sz w:val="22"/>
          <w:szCs w:val="22"/>
        </w:rPr>
        <w:t>pecifically authorize</w:t>
      </w:r>
      <w:r w:rsidR="009A5DE7">
        <w:rPr>
          <w:rFonts w:ascii="Arial" w:hAnsi="Arial" w:cs="Arial"/>
          <w:sz w:val="22"/>
          <w:szCs w:val="22"/>
        </w:rPr>
        <w:t xml:space="preserve">s such </w:t>
      </w:r>
      <w:r w:rsidR="00AE562A">
        <w:rPr>
          <w:rFonts w:ascii="Arial" w:hAnsi="Arial" w:cs="Arial"/>
          <w:sz w:val="22"/>
          <w:szCs w:val="22"/>
        </w:rPr>
        <w:t>action</w:t>
      </w:r>
      <w:r w:rsidR="009A5DE7">
        <w:rPr>
          <w:rFonts w:ascii="Arial" w:hAnsi="Arial" w:cs="Arial"/>
          <w:sz w:val="22"/>
          <w:szCs w:val="22"/>
        </w:rPr>
        <w:t xml:space="preserve">.  </w:t>
      </w:r>
      <w:r>
        <w:rPr>
          <w:rFonts w:ascii="Arial" w:hAnsi="Arial" w:cs="Arial"/>
          <w:sz w:val="22"/>
          <w:szCs w:val="22"/>
        </w:rPr>
        <w:t>TTB maintains its cop</w:t>
      </w:r>
      <w:r w:rsidR="005568F5">
        <w:rPr>
          <w:rFonts w:ascii="Arial" w:hAnsi="Arial" w:cs="Arial"/>
          <w:sz w:val="22"/>
          <w:szCs w:val="22"/>
        </w:rPr>
        <w:t xml:space="preserve">ies of </w:t>
      </w:r>
      <w:r w:rsidRPr="005568F5" w:rsidR="0084640C">
        <w:rPr>
          <w:rFonts w:ascii="Arial" w:hAnsi="Arial" w:cs="Arial"/>
          <w:sz w:val="22"/>
          <w:szCs w:val="22"/>
        </w:rPr>
        <w:t>TTB F</w:t>
      </w:r>
      <w:r w:rsidR="005568F5">
        <w:rPr>
          <w:rFonts w:ascii="Arial" w:hAnsi="Arial" w:cs="Arial"/>
          <w:sz w:val="22"/>
          <w:szCs w:val="22"/>
        </w:rPr>
        <w:t> </w:t>
      </w:r>
      <w:r w:rsidRPr="005568F5" w:rsidR="0084640C">
        <w:rPr>
          <w:rFonts w:ascii="Arial" w:hAnsi="Arial" w:cs="Arial"/>
          <w:sz w:val="22"/>
          <w:szCs w:val="22"/>
        </w:rPr>
        <w:t>51</w:t>
      </w:r>
      <w:r w:rsidRPr="005568F5" w:rsidR="005568F5">
        <w:rPr>
          <w:rFonts w:ascii="Arial" w:hAnsi="Arial" w:cs="Arial"/>
          <w:sz w:val="22"/>
          <w:szCs w:val="22"/>
        </w:rPr>
        <w:t>10.31</w:t>
      </w:r>
      <w:r w:rsidRPr="005568F5" w:rsidR="0084640C">
        <w:rPr>
          <w:rFonts w:ascii="Arial" w:hAnsi="Arial" w:cs="Arial"/>
          <w:sz w:val="22"/>
          <w:szCs w:val="22"/>
        </w:rPr>
        <w:t xml:space="preserve"> in secure file rooms </w:t>
      </w:r>
      <w:r>
        <w:rPr>
          <w:rFonts w:ascii="Arial" w:hAnsi="Arial" w:cs="Arial"/>
          <w:sz w:val="22"/>
          <w:szCs w:val="22"/>
        </w:rPr>
        <w:t xml:space="preserve">and computer systems </w:t>
      </w:r>
      <w:r w:rsidRPr="005568F5" w:rsidR="0084640C">
        <w:rPr>
          <w:rFonts w:ascii="Arial" w:hAnsi="Arial" w:cs="Arial"/>
          <w:sz w:val="22"/>
          <w:szCs w:val="22"/>
        </w:rPr>
        <w:t xml:space="preserve">with controlled access. </w:t>
      </w:r>
    </w:p>
    <w:p w:rsidRPr="00522739" w:rsidR="00AF1157" w:rsidP="00D73D2D" w:rsidRDefault="00AF1157" w14:paraId="323DAF72" w14:textId="77777777">
      <w:pPr>
        <w:suppressAutoHyphens/>
        <w:rPr>
          <w:rFonts w:ascii="Arial" w:hAnsi="Arial" w:cs="Arial"/>
          <w:sz w:val="28"/>
          <w:szCs w:val="28"/>
        </w:rPr>
      </w:pPr>
    </w:p>
    <w:p w:rsidRPr="00965E7F" w:rsidR="00A201BF" w:rsidP="00A201BF" w:rsidRDefault="00A201BF" w14:paraId="0380840E" w14:textId="6B9D662C">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65E7F" w:rsidR="00A201BF" w:rsidP="00A201BF" w:rsidRDefault="00A201BF" w14:paraId="7456C62E" w14:textId="77777777">
      <w:pPr>
        <w:rPr>
          <w:rFonts w:ascii="Arial" w:hAnsi="Arial" w:cs="Arial"/>
          <w:i/>
          <w:sz w:val="22"/>
          <w:szCs w:val="22"/>
        </w:rPr>
      </w:pPr>
    </w:p>
    <w:p w:rsidR="00A201BF" w:rsidP="00A201BF" w:rsidRDefault="00A201BF" w14:paraId="3FFDBC49" w14:textId="77777777">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r w:rsidR="005568F5">
        <w:rPr>
          <w:rFonts w:ascii="Arial" w:hAnsi="Arial" w:cs="Arial"/>
          <w:sz w:val="22"/>
          <w:szCs w:val="22"/>
        </w:rPr>
        <w:t xml:space="preserve"> </w:t>
      </w:r>
      <w:r w:rsidR="00036B08">
        <w:rPr>
          <w:rFonts w:ascii="Arial" w:hAnsi="Arial" w:cs="Arial"/>
          <w:sz w:val="22"/>
          <w:szCs w:val="22"/>
        </w:rPr>
        <w:t>In addition, this</w:t>
      </w:r>
      <w:r w:rsidR="005568F5">
        <w:rPr>
          <w:rFonts w:ascii="Arial" w:hAnsi="Arial" w:cs="Arial"/>
          <w:sz w:val="22"/>
          <w:szCs w:val="22"/>
        </w:rPr>
        <w:t xml:space="preserve"> information collection does not collect personally identifiable information (PII) in an electronic system</w:t>
      </w:r>
      <w:r w:rsidR="00036B08">
        <w:rPr>
          <w:rFonts w:ascii="Arial" w:hAnsi="Arial" w:cs="Arial"/>
          <w:sz w:val="22"/>
          <w:szCs w:val="22"/>
        </w:rPr>
        <w:t xml:space="preserve">.  Therefore, no Privacy Impact Assessment (PIA) or System of Records Notice (SORN) is required for this collection. </w:t>
      </w:r>
    </w:p>
    <w:p w:rsidRPr="00522739" w:rsidR="00AF1157" w:rsidP="00D73D2D" w:rsidRDefault="00AF1157" w14:paraId="4B7251D9" w14:textId="77777777">
      <w:pPr>
        <w:suppressAutoHyphens/>
        <w:rPr>
          <w:rFonts w:ascii="Arial" w:hAnsi="Arial" w:cs="Arial"/>
          <w:sz w:val="28"/>
          <w:szCs w:val="28"/>
        </w:rPr>
      </w:pPr>
    </w:p>
    <w:p w:rsidRPr="00707228" w:rsidR="00AF1157" w:rsidP="00D73D2D" w:rsidRDefault="00AF060A" w14:paraId="7BBAD974" w14:textId="03FA36FA">
      <w:pPr>
        <w:suppressAutoHyphens/>
        <w:rPr>
          <w:rFonts w:ascii="Arial" w:hAnsi="Arial" w:cs="Arial"/>
          <w:i/>
          <w:sz w:val="22"/>
          <w:szCs w:val="22"/>
        </w:rPr>
      </w:pPr>
      <w:r w:rsidRPr="00707228">
        <w:rPr>
          <w:rFonts w:ascii="Arial" w:hAnsi="Arial" w:cs="Arial"/>
          <w:i/>
          <w:sz w:val="22"/>
          <w:szCs w:val="22"/>
        </w:rPr>
        <w:t xml:space="preserve">12.  </w:t>
      </w:r>
      <w:r w:rsidRPr="00707228" w:rsidR="00AF1157">
        <w:rPr>
          <w:rFonts w:ascii="Arial" w:hAnsi="Arial" w:cs="Arial"/>
          <w:i/>
          <w:sz w:val="22"/>
          <w:szCs w:val="22"/>
        </w:rPr>
        <w:t>What is the estimated hour burden of this collection of information?</w:t>
      </w:r>
      <w:r w:rsidRPr="00707228">
        <w:rPr>
          <w:rFonts w:ascii="Arial" w:hAnsi="Arial" w:cs="Arial"/>
          <w:i/>
          <w:sz w:val="22"/>
          <w:szCs w:val="22"/>
        </w:rPr>
        <w:t xml:space="preserve"> </w:t>
      </w:r>
    </w:p>
    <w:p w:rsidRPr="00707228" w:rsidR="00AF1157" w:rsidP="00D73D2D" w:rsidRDefault="00AF1157" w14:paraId="4A353F5C" w14:textId="77777777">
      <w:pPr>
        <w:suppressAutoHyphens/>
        <w:rPr>
          <w:rFonts w:ascii="Arial" w:hAnsi="Arial" w:cs="Arial"/>
          <w:sz w:val="22"/>
          <w:szCs w:val="22"/>
        </w:rPr>
      </w:pPr>
    </w:p>
    <w:p w:rsidRPr="00707228" w:rsidR="00546ABD" w:rsidP="000B20EC" w:rsidRDefault="000B20EC" w14:paraId="3AAF9F2C" w14:textId="7B9AAFC3">
      <w:pPr>
        <w:ind w:left="360"/>
        <w:rPr>
          <w:rFonts w:ascii="Arial" w:hAnsi="Arial" w:cs="Arial"/>
          <w:sz w:val="22"/>
          <w:szCs w:val="22"/>
        </w:rPr>
      </w:pPr>
      <w:r w:rsidRPr="00707228">
        <w:rPr>
          <w:rFonts w:ascii="Arial" w:hAnsi="Arial" w:cs="Arial"/>
          <w:sz w:val="22"/>
          <w:szCs w:val="22"/>
          <w:u w:val="single"/>
        </w:rPr>
        <w:lastRenderedPageBreak/>
        <w:t>Estimated Respondent Burden:</w:t>
      </w:r>
      <w:r w:rsidRPr="00707228">
        <w:rPr>
          <w:rFonts w:ascii="Arial" w:hAnsi="Arial" w:cs="Arial"/>
          <w:sz w:val="22"/>
          <w:szCs w:val="22"/>
        </w:rPr>
        <w:t xml:space="preserve">  </w:t>
      </w:r>
      <w:r w:rsidRPr="00707228" w:rsidR="00546ABD">
        <w:rPr>
          <w:rFonts w:ascii="Arial" w:hAnsi="Arial" w:cs="Arial"/>
          <w:sz w:val="22"/>
          <w:szCs w:val="22"/>
        </w:rPr>
        <w:t xml:space="preserve">Based on recent data, TTB estimates that, annually, there are 10 respondents to this information collection, each making 50 responses, for 500 </w:t>
      </w:r>
      <w:r w:rsidRPr="00707228" w:rsidR="008E451A">
        <w:rPr>
          <w:rFonts w:ascii="Arial" w:hAnsi="Arial" w:cs="Arial"/>
          <w:sz w:val="22"/>
          <w:szCs w:val="22"/>
        </w:rPr>
        <w:t xml:space="preserve">total </w:t>
      </w:r>
      <w:r w:rsidRPr="00707228" w:rsidR="00546ABD">
        <w:rPr>
          <w:rFonts w:ascii="Arial" w:hAnsi="Arial" w:cs="Arial"/>
          <w:sz w:val="22"/>
          <w:szCs w:val="22"/>
        </w:rPr>
        <w:t xml:space="preserve">responses.  TTB </w:t>
      </w:r>
      <w:r w:rsidRPr="00707228" w:rsidR="008E451A">
        <w:rPr>
          <w:rFonts w:ascii="Arial" w:hAnsi="Arial" w:cs="Arial"/>
          <w:sz w:val="22"/>
          <w:szCs w:val="22"/>
        </w:rPr>
        <w:t xml:space="preserve">further estimates that each response takes 0.75 hour (45 minutes) to complete, resulting in an estimated annual burden of 37.5 hours per respondent and 375 hours in total. </w:t>
      </w:r>
    </w:p>
    <w:p w:rsidRPr="00707228" w:rsidR="000B20EC" w:rsidP="000B20EC" w:rsidRDefault="000B20EC" w14:paraId="45472D83" w14:textId="77777777">
      <w:pPr>
        <w:autoSpaceDE w:val="0"/>
        <w:autoSpaceDN w:val="0"/>
        <w:adjustRightInd w:val="0"/>
        <w:ind w:left="360"/>
        <w:rPr>
          <w:rFonts w:ascii="Arial" w:hAnsi="Arial" w:cs="Arial"/>
          <w:sz w:val="22"/>
          <w:szCs w:val="22"/>
        </w:rPr>
      </w:pPr>
    </w:p>
    <w:p w:rsidRPr="00707228" w:rsidR="008E451A" w:rsidP="008E451A" w:rsidRDefault="008E451A" w14:paraId="4B925180" w14:textId="77777777">
      <w:pPr>
        <w:ind w:left="360"/>
        <w:rPr>
          <w:rFonts w:ascii="Arial" w:hAnsi="Arial" w:cs="Arial"/>
          <w:sz w:val="22"/>
          <w:szCs w:val="22"/>
        </w:rPr>
      </w:pPr>
      <w:r w:rsidRPr="00707228">
        <w:rPr>
          <w:rFonts w:ascii="Arial" w:hAnsi="Arial" w:cs="Arial"/>
          <w:sz w:val="22"/>
          <w:szCs w:val="22"/>
          <w:u w:val="single"/>
        </w:rPr>
        <w:t>Estimated Respondent Labor Costs:</w:t>
      </w:r>
      <w:r w:rsidRPr="00707228">
        <w:rPr>
          <w:rFonts w:ascii="Arial" w:hAnsi="Arial" w:cs="Arial"/>
          <w:sz w:val="22"/>
          <w:szCs w:val="22"/>
        </w:rPr>
        <w:t xml:space="preserve">  TTB estimates the annual per-respondent and total respondent labor costs for this information collection as follows: </w:t>
      </w:r>
    </w:p>
    <w:p w:rsidRPr="00707228" w:rsidR="008E451A" w:rsidP="008E451A" w:rsidRDefault="008E451A" w14:paraId="474D6F1F"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440"/>
        <w:gridCol w:w="1440"/>
        <w:gridCol w:w="1440"/>
        <w:gridCol w:w="1440"/>
        <w:gridCol w:w="1440"/>
        <w:gridCol w:w="1440"/>
      </w:tblGrid>
      <w:tr w:rsidRPr="00707228" w:rsidR="00707228" w:rsidTr="007E2CBD" w14:paraId="7F5B9441" w14:textId="77777777">
        <w:trPr>
          <w:trHeight w:val="720"/>
          <w:jc w:val="center"/>
        </w:trPr>
        <w:tc>
          <w:tcPr>
            <w:tcW w:w="1440" w:type="dxa"/>
            <w:gridSpan w:val="6"/>
            <w:vAlign w:val="center"/>
          </w:tcPr>
          <w:p w:rsidRPr="00707228" w:rsidR="008E451A" w:rsidP="00084AD1" w:rsidRDefault="008E451A" w14:paraId="00ACC704" w14:textId="61D3EE2E">
            <w:pPr>
              <w:suppressAutoHyphens/>
              <w:jc w:val="center"/>
              <w:rPr>
                <w:rFonts w:ascii="Arial" w:hAnsi="Arial" w:cs="Arial"/>
                <w:b/>
                <w:sz w:val="20"/>
                <w:szCs w:val="20"/>
              </w:rPr>
            </w:pPr>
            <w:r w:rsidRPr="00707228">
              <w:rPr>
                <w:rFonts w:ascii="Arial" w:hAnsi="Arial" w:cs="Arial"/>
                <w:b/>
                <w:sz w:val="20"/>
                <w:szCs w:val="20"/>
              </w:rPr>
              <w:t>NAICS 312000 – Beverage Manufacturing – Office &amp; Administrative Support Occupations – Fully-loaded Labor Rate/Hour</w:t>
            </w:r>
            <w:r w:rsidRPr="00707228">
              <w:rPr>
                <w:rFonts w:ascii="Arial" w:hAnsi="Arial" w:cs="Arial"/>
                <w:b/>
                <w:sz w:val="20"/>
                <w:szCs w:val="20"/>
                <w:vertAlign w:val="superscript"/>
              </w:rPr>
              <w:footnoteReference w:id="1"/>
            </w:r>
            <w:r w:rsidRPr="00707228">
              <w:rPr>
                <w:rFonts w:ascii="Arial" w:hAnsi="Arial" w:cs="Arial"/>
                <w:b/>
                <w:sz w:val="20"/>
                <w:szCs w:val="20"/>
              </w:rPr>
              <w:t xml:space="preserve"> = $30.50</w:t>
            </w:r>
            <w:r w:rsidR="00EC5E25">
              <w:rPr>
                <w:rFonts w:ascii="Arial" w:hAnsi="Arial" w:cs="Arial"/>
                <w:b/>
                <w:sz w:val="20"/>
                <w:szCs w:val="20"/>
              </w:rPr>
              <w:t>*</w:t>
            </w:r>
          </w:p>
        </w:tc>
      </w:tr>
      <w:tr w:rsidRPr="00707228" w:rsidR="00707228" w:rsidTr="007E2CBD" w14:paraId="23E15691" w14:textId="77777777">
        <w:trPr>
          <w:trHeight w:val="720"/>
          <w:jc w:val="center"/>
        </w:trPr>
        <w:tc>
          <w:tcPr>
            <w:tcW w:w="1440" w:type="dxa"/>
            <w:tcMar>
              <w:left w:w="29" w:type="dxa"/>
              <w:right w:w="29" w:type="dxa"/>
            </w:tcMar>
            <w:vAlign w:val="center"/>
          </w:tcPr>
          <w:p w:rsidRPr="00707228" w:rsidR="008E451A" w:rsidP="00084AD1" w:rsidRDefault="008E451A" w14:paraId="77537D78" w14:textId="77777777">
            <w:pPr>
              <w:suppressAutoHyphens/>
              <w:jc w:val="center"/>
              <w:rPr>
                <w:rFonts w:ascii="Arial" w:hAnsi="Arial" w:cs="Arial"/>
                <w:sz w:val="18"/>
                <w:szCs w:val="18"/>
              </w:rPr>
            </w:pPr>
            <w:r w:rsidRPr="00707228">
              <w:rPr>
                <w:rFonts w:ascii="Arial" w:hAnsi="Arial" w:cs="Arial"/>
                <w:sz w:val="18"/>
                <w:szCs w:val="18"/>
              </w:rPr>
              <w:t xml:space="preserve">Avg. Time / Response </w:t>
            </w:r>
          </w:p>
        </w:tc>
        <w:tc>
          <w:tcPr>
            <w:tcW w:w="1440" w:type="dxa"/>
            <w:tcMar>
              <w:left w:w="29" w:type="dxa"/>
              <w:right w:w="29" w:type="dxa"/>
            </w:tcMar>
            <w:vAlign w:val="center"/>
          </w:tcPr>
          <w:p w:rsidRPr="00707228" w:rsidR="008E451A" w:rsidP="00084AD1" w:rsidRDefault="008E451A" w14:paraId="590153B6" w14:textId="77777777">
            <w:pPr>
              <w:suppressAutoHyphens/>
              <w:jc w:val="center"/>
              <w:rPr>
                <w:rFonts w:ascii="Arial" w:hAnsi="Arial" w:cs="Arial"/>
                <w:sz w:val="18"/>
                <w:szCs w:val="18"/>
              </w:rPr>
            </w:pPr>
            <w:r w:rsidRPr="00707228">
              <w:rPr>
                <w:rFonts w:ascii="Arial" w:hAnsi="Arial" w:cs="Arial"/>
                <w:sz w:val="18"/>
                <w:szCs w:val="18"/>
              </w:rPr>
              <w:t>Labor Cost / Response</w:t>
            </w:r>
          </w:p>
        </w:tc>
        <w:tc>
          <w:tcPr>
            <w:tcW w:w="1440" w:type="dxa"/>
            <w:vAlign w:val="center"/>
          </w:tcPr>
          <w:p w:rsidRPr="00707228" w:rsidR="008E451A" w:rsidP="00084AD1" w:rsidRDefault="008E451A" w14:paraId="22F55558" w14:textId="77777777">
            <w:pPr>
              <w:suppressAutoHyphens/>
              <w:jc w:val="center"/>
              <w:rPr>
                <w:rFonts w:ascii="Arial" w:hAnsi="Arial" w:cs="Arial"/>
                <w:sz w:val="18"/>
                <w:szCs w:val="18"/>
              </w:rPr>
            </w:pPr>
            <w:r w:rsidRPr="00707228">
              <w:rPr>
                <w:rFonts w:ascii="Arial" w:hAnsi="Arial" w:cs="Arial"/>
                <w:sz w:val="18"/>
                <w:szCs w:val="18"/>
              </w:rPr>
              <w:t>Responses / Respondent</w:t>
            </w:r>
          </w:p>
        </w:tc>
        <w:tc>
          <w:tcPr>
            <w:tcW w:w="1440" w:type="dxa"/>
            <w:tcBorders>
              <w:right w:val="single" w:color="auto" w:sz="12" w:space="0"/>
            </w:tcBorders>
            <w:vAlign w:val="center"/>
          </w:tcPr>
          <w:p w:rsidRPr="00707228" w:rsidR="008E451A" w:rsidP="00084AD1" w:rsidRDefault="008E451A" w14:paraId="38D7DDD9" w14:textId="77777777">
            <w:pPr>
              <w:suppressAutoHyphens/>
              <w:jc w:val="center"/>
              <w:rPr>
                <w:rFonts w:ascii="Arial" w:hAnsi="Arial" w:cs="Arial"/>
                <w:sz w:val="18"/>
                <w:szCs w:val="18"/>
              </w:rPr>
            </w:pPr>
            <w:r w:rsidRPr="00707228">
              <w:rPr>
                <w:rFonts w:ascii="Arial" w:hAnsi="Arial" w:cs="Arial"/>
                <w:sz w:val="18"/>
                <w:szCs w:val="18"/>
              </w:rPr>
              <w:t xml:space="preserve">Labor Costs / Respondent </w:t>
            </w:r>
          </w:p>
        </w:tc>
        <w:tc>
          <w:tcPr>
            <w:tcW w:w="1440" w:type="dxa"/>
            <w:tcBorders>
              <w:left w:val="single" w:color="auto" w:sz="12" w:space="0"/>
            </w:tcBorders>
            <w:tcMar>
              <w:left w:w="29" w:type="dxa"/>
              <w:right w:w="29" w:type="dxa"/>
            </w:tcMar>
            <w:vAlign w:val="center"/>
          </w:tcPr>
          <w:p w:rsidRPr="00707228" w:rsidR="008E451A" w:rsidP="00084AD1" w:rsidRDefault="008E451A" w14:paraId="4C668F3E" w14:textId="77777777">
            <w:pPr>
              <w:suppressAutoHyphens/>
              <w:jc w:val="center"/>
              <w:rPr>
                <w:rFonts w:ascii="Arial" w:hAnsi="Arial" w:cs="Arial"/>
                <w:sz w:val="18"/>
                <w:szCs w:val="18"/>
              </w:rPr>
            </w:pPr>
            <w:r w:rsidRPr="00707228">
              <w:rPr>
                <w:rFonts w:ascii="Arial" w:hAnsi="Arial" w:cs="Arial"/>
                <w:sz w:val="18"/>
                <w:szCs w:val="18"/>
              </w:rPr>
              <w:t>Total Responses</w:t>
            </w:r>
          </w:p>
        </w:tc>
        <w:tc>
          <w:tcPr>
            <w:tcW w:w="1440" w:type="dxa"/>
            <w:tcMar>
              <w:left w:w="29" w:type="dxa"/>
              <w:right w:w="29" w:type="dxa"/>
            </w:tcMar>
            <w:vAlign w:val="center"/>
          </w:tcPr>
          <w:p w:rsidRPr="00707228" w:rsidR="008E451A" w:rsidP="00084AD1" w:rsidRDefault="008E451A" w14:paraId="15922D52" w14:textId="77777777">
            <w:pPr>
              <w:suppressAutoHyphens/>
              <w:jc w:val="center"/>
              <w:rPr>
                <w:rFonts w:ascii="Arial" w:hAnsi="Arial" w:cs="Arial"/>
                <w:sz w:val="18"/>
                <w:szCs w:val="18"/>
              </w:rPr>
            </w:pPr>
            <w:r w:rsidRPr="00707228">
              <w:rPr>
                <w:rFonts w:ascii="Arial" w:hAnsi="Arial" w:cs="Arial"/>
                <w:sz w:val="18"/>
                <w:szCs w:val="18"/>
              </w:rPr>
              <w:t xml:space="preserve">Total Labor Costs </w:t>
            </w:r>
          </w:p>
        </w:tc>
      </w:tr>
      <w:tr w:rsidRPr="00707228" w:rsidR="00707228" w:rsidTr="007E2CBD" w14:paraId="75933A6F" w14:textId="77777777">
        <w:trPr>
          <w:trHeight w:val="720"/>
          <w:jc w:val="center"/>
        </w:trPr>
        <w:tc>
          <w:tcPr>
            <w:tcW w:w="1440" w:type="dxa"/>
            <w:tcMar>
              <w:left w:w="29" w:type="dxa"/>
              <w:right w:w="29" w:type="dxa"/>
            </w:tcMar>
            <w:vAlign w:val="center"/>
          </w:tcPr>
          <w:p w:rsidRPr="00707228" w:rsidR="008E451A" w:rsidP="00084AD1" w:rsidRDefault="008E451A" w14:paraId="16C2BFDC" w14:textId="5FFFCE21">
            <w:pPr>
              <w:suppressAutoHyphens/>
              <w:jc w:val="center"/>
              <w:rPr>
                <w:rFonts w:ascii="Arial" w:hAnsi="Arial" w:cs="Arial"/>
                <w:sz w:val="20"/>
                <w:szCs w:val="20"/>
              </w:rPr>
            </w:pPr>
            <w:r w:rsidRPr="00707228">
              <w:rPr>
                <w:rFonts w:ascii="Arial" w:hAnsi="Arial" w:cs="Arial"/>
                <w:sz w:val="20"/>
                <w:szCs w:val="20"/>
              </w:rPr>
              <w:t>0.75 hour</w:t>
            </w:r>
          </w:p>
        </w:tc>
        <w:tc>
          <w:tcPr>
            <w:tcW w:w="1440" w:type="dxa"/>
            <w:tcMar>
              <w:left w:w="29" w:type="dxa"/>
              <w:right w:w="29" w:type="dxa"/>
            </w:tcMar>
            <w:vAlign w:val="center"/>
          </w:tcPr>
          <w:p w:rsidRPr="00707228" w:rsidR="008E451A" w:rsidP="00084AD1" w:rsidRDefault="008E451A" w14:paraId="484723D4" w14:textId="2D4C170B">
            <w:pPr>
              <w:suppressAutoHyphens/>
              <w:jc w:val="center"/>
              <w:rPr>
                <w:rFonts w:ascii="Arial" w:hAnsi="Arial" w:cs="Arial"/>
                <w:sz w:val="20"/>
                <w:szCs w:val="20"/>
              </w:rPr>
            </w:pPr>
            <w:r w:rsidRPr="00707228">
              <w:rPr>
                <w:rFonts w:ascii="Arial" w:hAnsi="Arial" w:cs="Arial"/>
                <w:sz w:val="20"/>
                <w:szCs w:val="20"/>
              </w:rPr>
              <w:t>$22.88</w:t>
            </w:r>
          </w:p>
        </w:tc>
        <w:tc>
          <w:tcPr>
            <w:tcW w:w="1440" w:type="dxa"/>
            <w:vAlign w:val="center"/>
          </w:tcPr>
          <w:p w:rsidRPr="00707228" w:rsidR="008E451A" w:rsidP="00707228" w:rsidRDefault="00707228" w14:paraId="6C364BBD" w14:textId="66B7656F">
            <w:pPr>
              <w:suppressAutoHyphens/>
              <w:jc w:val="center"/>
              <w:rPr>
                <w:rFonts w:ascii="Arial" w:hAnsi="Arial" w:cs="Arial"/>
                <w:sz w:val="20"/>
                <w:szCs w:val="20"/>
              </w:rPr>
            </w:pPr>
            <w:r w:rsidRPr="00707228">
              <w:rPr>
                <w:rFonts w:ascii="Arial" w:hAnsi="Arial" w:cs="Arial"/>
                <w:sz w:val="20"/>
                <w:szCs w:val="20"/>
              </w:rPr>
              <w:t>50</w:t>
            </w:r>
          </w:p>
        </w:tc>
        <w:tc>
          <w:tcPr>
            <w:tcW w:w="1440" w:type="dxa"/>
            <w:tcBorders>
              <w:right w:val="single" w:color="auto" w:sz="12" w:space="0"/>
            </w:tcBorders>
            <w:vAlign w:val="center"/>
          </w:tcPr>
          <w:p w:rsidRPr="00707228" w:rsidR="008E451A" w:rsidP="00084AD1" w:rsidRDefault="00707228" w14:paraId="7A0475B0" w14:textId="00DDEFCA">
            <w:pPr>
              <w:suppressAutoHyphens/>
              <w:jc w:val="center"/>
              <w:rPr>
                <w:rFonts w:ascii="Arial" w:hAnsi="Arial" w:cs="Arial"/>
                <w:sz w:val="20"/>
                <w:szCs w:val="20"/>
              </w:rPr>
            </w:pPr>
            <w:r w:rsidRPr="00707228">
              <w:rPr>
                <w:rFonts w:ascii="Arial" w:hAnsi="Arial" w:cs="Arial"/>
                <w:sz w:val="20"/>
                <w:szCs w:val="20"/>
              </w:rPr>
              <w:t>$1,144.00</w:t>
            </w:r>
          </w:p>
        </w:tc>
        <w:tc>
          <w:tcPr>
            <w:tcW w:w="1440" w:type="dxa"/>
            <w:tcBorders>
              <w:left w:val="single" w:color="auto" w:sz="12" w:space="0"/>
            </w:tcBorders>
            <w:tcMar>
              <w:left w:w="29" w:type="dxa"/>
              <w:right w:w="29" w:type="dxa"/>
            </w:tcMar>
            <w:vAlign w:val="center"/>
          </w:tcPr>
          <w:p w:rsidRPr="00707228" w:rsidR="008E451A" w:rsidP="00084AD1" w:rsidRDefault="008E451A" w14:paraId="1823CDA9" w14:textId="6F2C7A98">
            <w:pPr>
              <w:suppressAutoHyphens/>
              <w:jc w:val="center"/>
              <w:rPr>
                <w:rFonts w:ascii="Arial" w:hAnsi="Arial" w:cs="Arial"/>
                <w:sz w:val="20"/>
                <w:szCs w:val="20"/>
              </w:rPr>
            </w:pPr>
            <w:r w:rsidRPr="00707228">
              <w:rPr>
                <w:rFonts w:ascii="Arial" w:hAnsi="Arial" w:cs="Arial"/>
                <w:sz w:val="20"/>
                <w:szCs w:val="20"/>
              </w:rPr>
              <w:t>500</w:t>
            </w:r>
          </w:p>
        </w:tc>
        <w:tc>
          <w:tcPr>
            <w:tcW w:w="1440" w:type="dxa"/>
            <w:tcMar>
              <w:left w:w="29" w:type="dxa"/>
              <w:right w:w="29" w:type="dxa"/>
            </w:tcMar>
            <w:vAlign w:val="center"/>
          </w:tcPr>
          <w:p w:rsidRPr="00707228" w:rsidR="008E451A" w:rsidP="00707228" w:rsidRDefault="00707228" w14:paraId="30959573" w14:textId="5B0F6A98">
            <w:pPr>
              <w:suppressAutoHyphens/>
              <w:jc w:val="center"/>
              <w:rPr>
                <w:rFonts w:ascii="Arial" w:hAnsi="Arial" w:cs="Arial"/>
                <w:sz w:val="20"/>
                <w:szCs w:val="20"/>
              </w:rPr>
            </w:pPr>
            <w:r w:rsidRPr="00707228">
              <w:rPr>
                <w:rFonts w:ascii="Arial" w:hAnsi="Arial" w:cs="Arial"/>
                <w:sz w:val="20"/>
                <w:szCs w:val="20"/>
              </w:rPr>
              <w:t>$11,440.00</w:t>
            </w:r>
          </w:p>
        </w:tc>
      </w:tr>
    </w:tbl>
    <w:p w:rsidRPr="007E2CBD" w:rsidR="00EC5E25" w:rsidP="00EC5E25" w:rsidRDefault="00EC5E25" w14:paraId="67850F5D" w14:textId="77777777">
      <w:pPr>
        <w:ind w:left="360"/>
        <w:rPr>
          <w:rFonts w:ascii="Arial" w:hAnsi="Arial" w:cs="Arial"/>
          <w:sz w:val="12"/>
          <w:szCs w:val="12"/>
        </w:rPr>
      </w:pPr>
    </w:p>
    <w:p w:rsidR="008E451A" w:rsidP="00EC5E25" w:rsidRDefault="00EC5E25" w14:paraId="2C35B67A" w14:textId="012065CE">
      <w:pPr>
        <w:ind w:left="360"/>
        <w:rPr>
          <w:rFonts w:ascii="Arial" w:hAnsi="Arial" w:cs="Arial"/>
          <w:sz w:val="22"/>
          <w:szCs w:val="22"/>
        </w:rPr>
      </w:pPr>
      <w:r w:rsidRPr="00EC5E25">
        <w:rPr>
          <w:rFonts w:ascii="Arial" w:hAnsi="Arial" w:cs="Arial"/>
          <w:sz w:val="22"/>
          <w:szCs w:val="22"/>
        </w:rPr>
        <w:t>* Labor costs rounded to the nearest whole cent</w:t>
      </w:r>
      <w:r>
        <w:rPr>
          <w:rFonts w:ascii="Arial" w:hAnsi="Arial" w:cs="Arial"/>
          <w:sz w:val="22"/>
          <w:szCs w:val="22"/>
        </w:rPr>
        <w:t xml:space="preserve">. </w:t>
      </w:r>
    </w:p>
    <w:p w:rsidRPr="00707228" w:rsidR="00EC5E25" w:rsidP="00EC5E25" w:rsidRDefault="00EC5E25" w14:paraId="52EE4269" w14:textId="77777777">
      <w:pPr>
        <w:ind w:left="360"/>
        <w:rPr>
          <w:rFonts w:ascii="Arial" w:hAnsi="Arial" w:cs="Arial"/>
          <w:sz w:val="22"/>
          <w:szCs w:val="22"/>
        </w:rPr>
      </w:pPr>
    </w:p>
    <w:p w:rsidRPr="00707228" w:rsidR="000B20EC" w:rsidP="000B20EC" w:rsidRDefault="00707228" w14:paraId="09406918" w14:textId="6F5B3DF3">
      <w:pPr>
        <w:ind w:left="360"/>
        <w:rPr>
          <w:rFonts w:ascii="Arial" w:hAnsi="Arial" w:cs="Arial"/>
          <w:sz w:val="22"/>
          <w:szCs w:val="22"/>
        </w:rPr>
      </w:pPr>
      <w:r w:rsidRPr="00707228">
        <w:rPr>
          <w:rFonts w:ascii="Arial" w:hAnsi="Arial" w:cs="Arial"/>
          <w:sz w:val="22"/>
          <w:szCs w:val="22"/>
          <w:u w:val="single"/>
        </w:rPr>
        <w:t>Respondent Record Retention:</w:t>
      </w:r>
      <w:r w:rsidR="007C6536">
        <w:rPr>
          <w:rFonts w:ascii="Arial" w:hAnsi="Arial" w:cs="Arial"/>
          <w:sz w:val="22"/>
          <w:szCs w:val="22"/>
        </w:rPr>
        <w:t xml:space="preserve">  For persons and distilled spirits plant proprietors bringing </w:t>
      </w:r>
      <w:r w:rsidR="002261E6">
        <w:rPr>
          <w:rFonts w:ascii="Arial" w:hAnsi="Arial" w:cs="Arial"/>
          <w:sz w:val="22"/>
          <w:szCs w:val="22"/>
        </w:rPr>
        <w:t>l</w:t>
      </w:r>
      <w:r w:rsidR="007C6536">
        <w:rPr>
          <w:rFonts w:ascii="Arial" w:hAnsi="Arial" w:cs="Arial"/>
          <w:sz w:val="22"/>
          <w:szCs w:val="22"/>
        </w:rPr>
        <w:t>iq</w:t>
      </w:r>
      <w:r w:rsidR="002261E6">
        <w:rPr>
          <w:rFonts w:ascii="Arial" w:hAnsi="Arial" w:cs="Arial"/>
          <w:sz w:val="22"/>
          <w:szCs w:val="22"/>
        </w:rPr>
        <w:t>uors into the United States from Puerto Rico, th</w:t>
      </w:r>
      <w:r w:rsidR="007C6536">
        <w:rPr>
          <w:rFonts w:ascii="Arial" w:hAnsi="Arial" w:cs="Arial"/>
          <w:sz w:val="22"/>
          <w:szCs w:val="22"/>
        </w:rPr>
        <w:t xml:space="preserve">e TTB regulations at </w:t>
      </w:r>
      <w:r w:rsidR="00AC01C2">
        <w:rPr>
          <w:rFonts w:ascii="Arial" w:hAnsi="Arial" w:cs="Arial"/>
          <w:sz w:val="22"/>
          <w:szCs w:val="22"/>
        </w:rPr>
        <w:t xml:space="preserve">27 CFR </w:t>
      </w:r>
      <w:r w:rsidR="007C6536">
        <w:rPr>
          <w:rFonts w:ascii="Arial" w:hAnsi="Arial" w:cs="Arial"/>
          <w:sz w:val="22"/>
          <w:szCs w:val="22"/>
        </w:rPr>
        <w:t>26.163 and 26.164 cross-reference the recordkeeping requirements of 27 CFR parts 31 and 19, respectively.  Under those cross-references (</w:t>
      </w:r>
      <w:r w:rsidR="002261E6">
        <w:rPr>
          <w:rFonts w:ascii="Arial" w:hAnsi="Arial" w:cs="Arial"/>
          <w:sz w:val="22"/>
          <w:szCs w:val="22"/>
        </w:rPr>
        <w:t>see</w:t>
      </w:r>
      <w:r w:rsidR="007C6536">
        <w:rPr>
          <w:rFonts w:ascii="Arial" w:hAnsi="Arial" w:cs="Arial"/>
          <w:sz w:val="22"/>
          <w:szCs w:val="22"/>
        </w:rPr>
        <w:t xml:space="preserve"> 27 CFR 31.191, and 27 CFR 19.574 and 19.575), </w:t>
      </w:r>
      <w:r w:rsidR="002261E6">
        <w:rPr>
          <w:rFonts w:ascii="Arial" w:hAnsi="Arial" w:cs="Arial"/>
          <w:sz w:val="22"/>
          <w:szCs w:val="22"/>
        </w:rPr>
        <w:t>such persons or proprietors m</w:t>
      </w:r>
      <w:r w:rsidR="00AC01C2">
        <w:rPr>
          <w:rFonts w:ascii="Arial" w:hAnsi="Arial" w:cs="Arial"/>
          <w:sz w:val="22"/>
          <w:szCs w:val="22"/>
        </w:rPr>
        <w:t>ust retain records of such transactions for at least 3</w:t>
      </w:r>
      <w:r w:rsidR="002261E6">
        <w:rPr>
          <w:rFonts w:ascii="Arial" w:hAnsi="Arial" w:cs="Arial"/>
          <w:sz w:val="22"/>
          <w:szCs w:val="22"/>
        </w:rPr>
        <w:t> </w:t>
      </w:r>
      <w:r w:rsidR="00AC01C2">
        <w:rPr>
          <w:rFonts w:ascii="Arial" w:hAnsi="Arial" w:cs="Arial"/>
          <w:sz w:val="22"/>
          <w:szCs w:val="22"/>
        </w:rPr>
        <w:t xml:space="preserve">years </w:t>
      </w:r>
      <w:r w:rsidR="007C6536">
        <w:rPr>
          <w:rFonts w:ascii="Arial" w:hAnsi="Arial" w:cs="Arial"/>
          <w:sz w:val="22"/>
          <w:szCs w:val="22"/>
        </w:rPr>
        <w:t xml:space="preserve">and make those records available for TTB inspection during that time period. </w:t>
      </w:r>
    </w:p>
    <w:p w:rsidRPr="00522739" w:rsidR="000B20EC" w:rsidP="000B20EC" w:rsidRDefault="000B20EC" w14:paraId="070C65BC" w14:textId="77777777">
      <w:pPr>
        <w:autoSpaceDE w:val="0"/>
        <w:autoSpaceDN w:val="0"/>
        <w:adjustRightInd w:val="0"/>
        <w:rPr>
          <w:rFonts w:ascii="Arial" w:hAnsi="Arial" w:cs="Arial"/>
          <w:sz w:val="28"/>
          <w:szCs w:val="28"/>
        </w:rPr>
      </w:pPr>
    </w:p>
    <w:p w:rsidRPr="00707228" w:rsidR="000B20EC" w:rsidP="000B20EC" w:rsidRDefault="000B20EC" w14:paraId="01A790A0" w14:textId="77777777">
      <w:pPr>
        <w:autoSpaceDE w:val="0"/>
        <w:autoSpaceDN w:val="0"/>
        <w:adjustRightInd w:val="0"/>
        <w:rPr>
          <w:rFonts w:ascii="Arial" w:hAnsi="Arial" w:cs="Arial"/>
          <w:i/>
          <w:sz w:val="22"/>
          <w:szCs w:val="22"/>
        </w:rPr>
      </w:pPr>
      <w:r w:rsidRPr="00707228">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707228" w:rsidR="000B20EC" w:rsidP="000B20EC" w:rsidRDefault="000B20EC" w14:paraId="14640DDD" w14:textId="77777777">
      <w:pPr>
        <w:autoSpaceDE w:val="0"/>
        <w:autoSpaceDN w:val="0"/>
        <w:adjustRightInd w:val="0"/>
        <w:ind w:left="360"/>
        <w:rPr>
          <w:rFonts w:ascii="Arial" w:hAnsi="Arial" w:cs="Arial"/>
          <w:sz w:val="22"/>
          <w:szCs w:val="22"/>
        </w:rPr>
      </w:pPr>
    </w:p>
    <w:p w:rsidRPr="00707228" w:rsidR="000B20EC" w:rsidP="000B20EC" w:rsidRDefault="000B20EC" w14:paraId="5D74928E" w14:textId="476CDE49">
      <w:pPr>
        <w:autoSpaceDE w:val="0"/>
        <w:autoSpaceDN w:val="0"/>
        <w:adjustRightInd w:val="0"/>
        <w:ind w:left="360"/>
        <w:rPr>
          <w:rFonts w:ascii="Arial" w:hAnsi="Arial" w:cs="Arial"/>
          <w:sz w:val="22"/>
          <w:szCs w:val="22"/>
        </w:rPr>
      </w:pPr>
      <w:r w:rsidRPr="00707228">
        <w:rPr>
          <w:rFonts w:ascii="Arial" w:hAnsi="Arial" w:cs="Arial"/>
          <w:sz w:val="22"/>
          <w:szCs w:val="22"/>
        </w:rPr>
        <w:t>TTB believes there are no annualized start-up or ongoing operation or maintenance costs to respondents for this occasional information collection</w:t>
      </w:r>
      <w:r w:rsidRPr="00707228" w:rsidR="00707228">
        <w:rPr>
          <w:rFonts w:ascii="Arial" w:hAnsi="Arial" w:cs="Arial"/>
          <w:sz w:val="22"/>
          <w:szCs w:val="22"/>
        </w:rPr>
        <w:t xml:space="preserve">, which </w:t>
      </w:r>
      <w:r w:rsidR="005638E1">
        <w:rPr>
          <w:rFonts w:ascii="Arial" w:hAnsi="Arial" w:cs="Arial"/>
          <w:sz w:val="22"/>
          <w:szCs w:val="22"/>
        </w:rPr>
        <w:t>largely consists of c</w:t>
      </w:r>
      <w:r w:rsidRPr="00707228" w:rsidR="00707228">
        <w:rPr>
          <w:rFonts w:ascii="Arial" w:hAnsi="Arial" w:cs="Arial"/>
          <w:sz w:val="22"/>
          <w:szCs w:val="22"/>
        </w:rPr>
        <w:t xml:space="preserve">ustomary </w:t>
      </w:r>
      <w:r w:rsidR="005638E1">
        <w:rPr>
          <w:rFonts w:ascii="Arial" w:hAnsi="Arial" w:cs="Arial"/>
          <w:sz w:val="22"/>
          <w:szCs w:val="22"/>
        </w:rPr>
        <w:t xml:space="preserve">consignment </w:t>
      </w:r>
      <w:r w:rsidRPr="00707228" w:rsidR="00707228">
        <w:rPr>
          <w:rFonts w:ascii="Arial" w:hAnsi="Arial" w:cs="Arial"/>
          <w:sz w:val="22"/>
          <w:szCs w:val="22"/>
        </w:rPr>
        <w:t>and shipment information</w:t>
      </w:r>
      <w:r w:rsidR="005638E1">
        <w:rPr>
          <w:rFonts w:ascii="Arial" w:hAnsi="Arial" w:cs="Arial"/>
          <w:sz w:val="22"/>
          <w:szCs w:val="22"/>
        </w:rPr>
        <w:t xml:space="preserve"> kept during the normal course of business</w:t>
      </w:r>
      <w:r w:rsidRPr="00707228">
        <w:rPr>
          <w:rFonts w:ascii="Arial" w:hAnsi="Arial" w:cs="Arial"/>
          <w:sz w:val="22"/>
          <w:szCs w:val="22"/>
        </w:rPr>
        <w:t xml:space="preserve">.  TTB estimates </w:t>
      </w:r>
      <w:r w:rsidR="005638E1">
        <w:rPr>
          <w:rFonts w:ascii="Arial" w:hAnsi="Arial" w:cs="Arial"/>
          <w:sz w:val="22"/>
          <w:szCs w:val="22"/>
        </w:rPr>
        <w:t xml:space="preserve">respondent’s </w:t>
      </w:r>
      <w:r w:rsidRPr="00707228" w:rsidR="00707228">
        <w:rPr>
          <w:rFonts w:ascii="Arial" w:hAnsi="Arial" w:cs="Arial"/>
          <w:sz w:val="22"/>
          <w:szCs w:val="22"/>
        </w:rPr>
        <w:t xml:space="preserve">postage and </w:t>
      </w:r>
      <w:r w:rsidRPr="00707228">
        <w:rPr>
          <w:rFonts w:ascii="Arial" w:hAnsi="Arial" w:cs="Arial"/>
          <w:sz w:val="22"/>
          <w:szCs w:val="22"/>
        </w:rPr>
        <w:t xml:space="preserve">mailing </w:t>
      </w:r>
      <w:r w:rsidRPr="00707228" w:rsidR="00707228">
        <w:rPr>
          <w:rFonts w:ascii="Arial" w:hAnsi="Arial" w:cs="Arial"/>
          <w:sz w:val="22"/>
          <w:szCs w:val="22"/>
        </w:rPr>
        <w:t xml:space="preserve">supply </w:t>
      </w:r>
      <w:r w:rsidRPr="00707228">
        <w:rPr>
          <w:rFonts w:ascii="Arial" w:hAnsi="Arial" w:cs="Arial"/>
          <w:sz w:val="22"/>
          <w:szCs w:val="22"/>
        </w:rPr>
        <w:t>costs to be no more than $</w:t>
      </w:r>
      <w:r w:rsidR="003E3FF9">
        <w:rPr>
          <w:rFonts w:ascii="Arial" w:hAnsi="Arial" w:cs="Arial"/>
          <w:sz w:val="22"/>
          <w:szCs w:val="22"/>
        </w:rPr>
        <w:t>6</w:t>
      </w:r>
      <w:r w:rsidRPr="00707228" w:rsidR="00707228">
        <w:rPr>
          <w:rFonts w:ascii="Arial" w:hAnsi="Arial" w:cs="Arial"/>
          <w:sz w:val="22"/>
          <w:szCs w:val="22"/>
        </w:rPr>
        <w:t>.50</w:t>
      </w:r>
      <w:r w:rsidRPr="00707228">
        <w:rPr>
          <w:rFonts w:ascii="Arial" w:hAnsi="Arial" w:cs="Arial"/>
          <w:sz w:val="22"/>
          <w:szCs w:val="22"/>
        </w:rPr>
        <w:t xml:space="preserve"> per response.  Given that </w:t>
      </w:r>
      <w:r w:rsidRPr="00707228" w:rsidR="00707228">
        <w:rPr>
          <w:rFonts w:ascii="Arial" w:hAnsi="Arial" w:cs="Arial"/>
          <w:sz w:val="22"/>
          <w:szCs w:val="22"/>
        </w:rPr>
        <w:t>10</w:t>
      </w:r>
      <w:r w:rsidRPr="00707228">
        <w:rPr>
          <w:rFonts w:ascii="Arial" w:hAnsi="Arial" w:cs="Arial"/>
          <w:sz w:val="22"/>
          <w:szCs w:val="22"/>
        </w:rPr>
        <w:t xml:space="preserve"> </w:t>
      </w:r>
      <w:r w:rsidR="005638E1">
        <w:rPr>
          <w:rFonts w:ascii="Arial" w:hAnsi="Arial" w:cs="Arial"/>
          <w:sz w:val="22"/>
          <w:szCs w:val="22"/>
        </w:rPr>
        <w:t xml:space="preserve">annual </w:t>
      </w:r>
      <w:r w:rsidRPr="00707228">
        <w:rPr>
          <w:rFonts w:ascii="Arial" w:hAnsi="Arial" w:cs="Arial"/>
          <w:sz w:val="22"/>
          <w:szCs w:val="22"/>
        </w:rPr>
        <w:t xml:space="preserve">respondents make </w:t>
      </w:r>
      <w:r w:rsidRPr="00707228" w:rsidR="00707228">
        <w:rPr>
          <w:rFonts w:ascii="Arial" w:hAnsi="Arial" w:cs="Arial"/>
          <w:sz w:val="22"/>
          <w:szCs w:val="22"/>
        </w:rPr>
        <w:t>50</w:t>
      </w:r>
      <w:r w:rsidRPr="00707228">
        <w:rPr>
          <w:rFonts w:ascii="Arial" w:hAnsi="Arial" w:cs="Arial"/>
          <w:sz w:val="22"/>
          <w:szCs w:val="22"/>
        </w:rPr>
        <w:t xml:space="preserve"> </w:t>
      </w:r>
      <w:r w:rsidR="005638E1">
        <w:rPr>
          <w:rFonts w:ascii="Arial" w:hAnsi="Arial" w:cs="Arial"/>
          <w:sz w:val="22"/>
          <w:szCs w:val="22"/>
        </w:rPr>
        <w:t xml:space="preserve">responses to this collection, </w:t>
      </w:r>
      <w:r w:rsidRPr="00707228">
        <w:rPr>
          <w:rFonts w:ascii="Arial" w:hAnsi="Arial" w:cs="Arial"/>
          <w:sz w:val="22"/>
          <w:szCs w:val="22"/>
        </w:rPr>
        <w:t xml:space="preserve">TTB estimates </w:t>
      </w:r>
      <w:r w:rsidR="003E3FF9">
        <w:rPr>
          <w:rFonts w:ascii="Arial" w:hAnsi="Arial" w:cs="Arial"/>
          <w:sz w:val="22"/>
          <w:szCs w:val="22"/>
        </w:rPr>
        <w:t>m</w:t>
      </w:r>
      <w:r w:rsidRPr="00707228">
        <w:rPr>
          <w:rFonts w:ascii="Arial" w:hAnsi="Arial" w:cs="Arial"/>
          <w:sz w:val="22"/>
          <w:szCs w:val="22"/>
        </w:rPr>
        <w:t>ailing costs to be $</w:t>
      </w:r>
      <w:r w:rsidR="003E3FF9">
        <w:rPr>
          <w:rFonts w:ascii="Arial" w:hAnsi="Arial" w:cs="Arial"/>
          <w:sz w:val="22"/>
          <w:szCs w:val="22"/>
        </w:rPr>
        <w:t>325</w:t>
      </w:r>
      <w:r w:rsidRPr="00707228" w:rsidR="00707228">
        <w:rPr>
          <w:rFonts w:ascii="Arial" w:hAnsi="Arial" w:cs="Arial"/>
          <w:sz w:val="22"/>
          <w:szCs w:val="22"/>
        </w:rPr>
        <w:t>.00</w:t>
      </w:r>
      <w:r w:rsidR="005638E1">
        <w:rPr>
          <w:rFonts w:ascii="Arial" w:hAnsi="Arial" w:cs="Arial"/>
          <w:sz w:val="22"/>
          <w:szCs w:val="22"/>
        </w:rPr>
        <w:t xml:space="preserve"> </w:t>
      </w:r>
      <w:r w:rsidR="003E3FF9">
        <w:rPr>
          <w:rFonts w:ascii="Arial" w:hAnsi="Arial" w:cs="Arial"/>
          <w:sz w:val="22"/>
          <w:szCs w:val="22"/>
        </w:rPr>
        <w:t xml:space="preserve">per respondent </w:t>
      </w:r>
      <w:r w:rsidR="005638E1">
        <w:rPr>
          <w:rFonts w:ascii="Arial" w:hAnsi="Arial" w:cs="Arial"/>
          <w:sz w:val="22"/>
          <w:szCs w:val="22"/>
        </w:rPr>
        <w:t>annually</w:t>
      </w:r>
      <w:r w:rsidRPr="00707228" w:rsidR="00707228">
        <w:rPr>
          <w:rFonts w:ascii="Arial" w:hAnsi="Arial" w:cs="Arial"/>
          <w:sz w:val="22"/>
          <w:szCs w:val="22"/>
        </w:rPr>
        <w:t xml:space="preserve">, and </w:t>
      </w:r>
      <w:r w:rsidR="005638E1">
        <w:rPr>
          <w:rFonts w:ascii="Arial" w:hAnsi="Arial" w:cs="Arial"/>
          <w:sz w:val="22"/>
          <w:szCs w:val="22"/>
        </w:rPr>
        <w:t>$</w:t>
      </w:r>
      <w:r w:rsidR="003E3FF9">
        <w:rPr>
          <w:rFonts w:ascii="Arial" w:hAnsi="Arial" w:cs="Arial"/>
          <w:sz w:val="22"/>
          <w:szCs w:val="22"/>
        </w:rPr>
        <w:t>3,250</w:t>
      </w:r>
      <w:r w:rsidR="005638E1">
        <w:rPr>
          <w:rFonts w:ascii="Arial" w:hAnsi="Arial" w:cs="Arial"/>
          <w:sz w:val="22"/>
          <w:szCs w:val="22"/>
        </w:rPr>
        <w:t xml:space="preserve">.00 in total for </w:t>
      </w:r>
      <w:r w:rsidR="003E3FF9">
        <w:rPr>
          <w:rFonts w:ascii="Arial" w:hAnsi="Arial" w:cs="Arial"/>
          <w:sz w:val="22"/>
          <w:szCs w:val="22"/>
        </w:rPr>
        <w:t>all 10 r</w:t>
      </w:r>
      <w:r w:rsidRPr="00707228" w:rsidR="00707228">
        <w:rPr>
          <w:rFonts w:ascii="Arial" w:hAnsi="Arial" w:cs="Arial"/>
          <w:sz w:val="22"/>
          <w:szCs w:val="22"/>
        </w:rPr>
        <w:t xml:space="preserve">espondents. </w:t>
      </w:r>
    </w:p>
    <w:p w:rsidRPr="00522739" w:rsidR="000B20EC" w:rsidP="000B20EC" w:rsidRDefault="000B20EC" w14:paraId="5C272A90" w14:textId="77777777">
      <w:pPr>
        <w:autoSpaceDE w:val="0"/>
        <w:autoSpaceDN w:val="0"/>
        <w:adjustRightInd w:val="0"/>
        <w:rPr>
          <w:rFonts w:ascii="Arial" w:hAnsi="Arial" w:cs="Arial"/>
          <w:sz w:val="28"/>
          <w:szCs w:val="28"/>
        </w:rPr>
      </w:pPr>
    </w:p>
    <w:p w:rsidRPr="00F63086" w:rsidR="000B20EC" w:rsidP="000B20EC" w:rsidRDefault="000B20EC" w14:paraId="6598B7B8" w14:textId="77777777">
      <w:pPr>
        <w:autoSpaceDE w:val="0"/>
        <w:autoSpaceDN w:val="0"/>
        <w:adjustRightInd w:val="0"/>
        <w:rPr>
          <w:rFonts w:ascii="Arial" w:hAnsi="Arial" w:cs="Arial"/>
          <w:i/>
          <w:sz w:val="22"/>
          <w:szCs w:val="22"/>
        </w:rPr>
      </w:pPr>
      <w:r w:rsidRPr="00F63086">
        <w:rPr>
          <w:rFonts w:ascii="Arial" w:hAnsi="Arial" w:cs="Arial"/>
          <w:i/>
          <w:sz w:val="22"/>
          <w:szCs w:val="22"/>
        </w:rPr>
        <w:t xml:space="preserve">14.  What is the annualized cost to the Federal Government? </w:t>
      </w:r>
    </w:p>
    <w:p w:rsidRPr="00F63086" w:rsidR="000B20EC" w:rsidP="000B20EC" w:rsidRDefault="000B20EC" w14:paraId="2ECCECC7" w14:textId="77777777">
      <w:pPr>
        <w:autoSpaceDE w:val="0"/>
        <w:autoSpaceDN w:val="0"/>
        <w:adjustRightInd w:val="0"/>
        <w:ind w:left="360"/>
        <w:rPr>
          <w:rFonts w:ascii="Arial" w:hAnsi="Arial" w:cs="Arial"/>
          <w:sz w:val="22"/>
          <w:szCs w:val="22"/>
        </w:rPr>
      </w:pPr>
    </w:p>
    <w:p w:rsidR="007C6536" w:rsidP="000B20EC" w:rsidRDefault="000B20EC" w14:paraId="06A46D75" w14:textId="279FF1F7">
      <w:pPr>
        <w:autoSpaceDE w:val="0"/>
        <w:autoSpaceDN w:val="0"/>
        <w:adjustRightInd w:val="0"/>
        <w:ind w:left="360"/>
        <w:rPr>
          <w:rFonts w:ascii="Arial" w:hAnsi="Arial" w:cs="Arial"/>
          <w:sz w:val="22"/>
          <w:szCs w:val="22"/>
        </w:rPr>
      </w:pPr>
      <w:r w:rsidRPr="00F63086">
        <w:rPr>
          <w:rFonts w:ascii="Arial" w:hAnsi="Arial" w:cs="Arial"/>
          <w:sz w:val="22"/>
          <w:szCs w:val="22"/>
        </w:rPr>
        <w:t xml:space="preserve">TTB estimates </w:t>
      </w:r>
      <w:r w:rsidR="007E2CBD">
        <w:rPr>
          <w:rFonts w:ascii="Arial" w:hAnsi="Arial" w:cs="Arial"/>
          <w:sz w:val="22"/>
          <w:szCs w:val="22"/>
        </w:rPr>
        <w:t>its a</w:t>
      </w:r>
      <w:r w:rsidRPr="00F63086">
        <w:rPr>
          <w:rFonts w:ascii="Arial" w:hAnsi="Arial" w:cs="Arial"/>
          <w:sz w:val="22"/>
          <w:szCs w:val="22"/>
        </w:rPr>
        <w:t xml:space="preserve">nnualized labor costs for this information collection request as follows: </w:t>
      </w:r>
    </w:p>
    <w:p w:rsidR="007C6536" w:rsidRDefault="007C6536" w14:paraId="3E125690" w14:textId="77777777">
      <w:pPr>
        <w:rPr>
          <w:rFonts w:ascii="Arial" w:hAnsi="Arial" w:cs="Arial"/>
          <w:sz w:val="22"/>
          <w:szCs w:val="22"/>
        </w:rPr>
      </w:pPr>
      <w:r>
        <w:rPr>
          <w:rFonts w:ascii="Arial" w:hAnsi="Arial" w:cs="Arial"/>
          <w:sz w:val="22"/>
          <w:szCs w:val="22"/>
        </w:rPr>
        <w:br w:type="page"/>
      </w:r>
    </w:p>
    <w:tbl>
      <w:tblPr>
        <w:tblStyle w:val="TableGrid111"/>
        <w:tblW w:w="8640" w:type="dxa"/>
        <w:jc w:val="center"/>
        <w:tblBorders>
          <w:insideH w:val="dotted" w:color="auto" w:sz="4" w:space="0"/>
        </w:tblBorders>
        <w:tblLayout w:type="fixed"/>
        <w:tblLook w:val="04A0" w:firstRow="1" w:lastRow="0" w:firstColumn="1" w:lastColumn="0" w:noHBand="0" w:noVBand="1"/>
      </w:tblPr>
      <w:tblGrid>
        <w:gridCol w:w="1440"/>
        <w:gridCol w:w="1440"/>
        <w:gridCol w:w="1440"/>
        <w:gridCol w:w="1440"/>
        <w:gridCol w:w="1440"/>
        <w:gridCol w:w="1440"/>
      </w:tblGrid>
      <w:tr w:rsidRPr="00F63086" w:rsidR="00F63086" w:rsidTr="007E2CBD" w14:paraId="50DFA2FA" w14:textId="77777777">
        <w:trPr>
          <w:trHeight w:val="720"/>
          <w:jc w:val="center"/>
        </w:trPr>
        <w:tc>
          <w:tcPr>
            <w:tcW w:w="8640" w:type="dxa"/>
            <w:gridSpan w:val="6"/>
            <w:tcBorders>
              <w:bottom w:val="single" w:color="auto" w:sz="2" w:space="0"/>
            </w:tcBorders>
            <w:vAlign w:val="center"/>
          </w:tcPr>
          <w:p w:rsidRPr="00F63086" w:rsidR="00EC5E25" w:rsidP="00084AD1" w:rsidRDefault="00EC5E25" w14:paraId="3D5DACED" w14:textId="77777777">
            <w:pPr>
              <w:suppressAutoHyphens/>
              <w:jc w:val="center"/>
              <w:rPr>
                <w:rFonts w:ascii="Arial" w:hAnsi="Arial" w:cs="Arial"/>
                <w:b/>
                <w:sz w:val="20"/>
                <w:szCs w:val="20"/>
              </w:rPr>
            </w:pPr>
            <w:r w:rsidRPr="00F63086">
              <w:rPr>
                <w:rFonts w:ascii="Arial" w:hAnsi="Arial" w:cs="Arial"/>
                <w:b/>
                <w:sz w:val="20"/>
                <w:szCs w:val="20"/>
              </w:rPr>
              <w:lastRenderedPageBreak/>
              <w:t xml:space="preserve">Labor Costs for Personnel at TTB’s National Revenue Center in Cincinnati, Ohio, </w:t>
            </w:r>
          </w:p>
          <w:p w:rsidRPr="00F63086" w:rsidR="00EC5E25" w:rsidP="00EC5E25" w:rsidRDefault="00EC5E25" w14:paraId="4DBFC46F" w14:textId="7D062E22">
            <w:pPr>
              <w:suppressAutoHyphens/>
              <w:jc w:val="center"/>
              <w:rPr>
                <w:rFonts w:ascii="Arial" w:hAnsi="Arial" w:cs="Arial"/>
                <w:b/>
                <w:sz w:val="20"/>
                <w:szCs w:val="20"/>
              </w:rPr>
            </w:pPr>
            <w:r w:rsidRPr="00F63086">
              <w:rPr>
                <w:rFonts w:ascii="Arial" w:hAnsi="Arial" w:cs="Arial"/>
                <w:b/>
                <w:sz w:val="20"/>
                <w:szCs w:val="20"/>
              </w:rPr>
              <w:t>for OMB No. 1513–0043</w:t>
            </w:r>
            <w:r w:rsidR="007E2CBD">
              <w:rPr>
                <w:rFonts w:ascii="Arial" w:hAnsi="Arial" w:cs="Arial"/>
                <w:b/>
                <w:sz w:val="20"/>
                <w:szCs w:val="20"/>
              </w:rPr>
              <w:t>*</w:t>
            </w:r>
          </w:p>
        </w:tc>
      </w:tr>
      <w:tr w:rsidRPr="00F63086" w:rsidR="00F63086" w:rsidTr="00E41E30" w14:paraId="37DFB463" w14:textId="77777777">
        <w:trPr>
          <w:trHeight w:val="720"/>
          <w:jc w:val="center"/>
        </w:trPr>
        <w:tc>
          <w:tcPr>
            <w:tcW w:w="1440" w:type="dxa"/>
            <w:tcBorders>
              <w:top w:val="single" w:color="auto" w:sz="2" w:space="0"/>
              <w:left w:val="single" w:color="auto" w:sz="2" w:space="0"/>
              <w:bottom w:val="single" w:color="auto" w:sz="2" w:space="0"/>
              <w:right w:val="single" w:color="auto" w:sz="2" w:space="0"/>
            </w:tcBorders>
            <w:vAlign w:val="center"/>
          </w:tcPr>
          <w:p w:rsidRPr="00F63086" w:rsidR="00EC5E25" w:rsidP="00084AD1" w:rsidRDefault="00EC5E25" w14:paraId="2E7C23B1" w14:textId="77777777">
            <w:pPr>
              <w:suppressAutoHyphens/>
              <w:jc w:val="center"/>
              <w:rPr>
                <w:rFonts w:ascii="Arial" w:hAnsi="Arial" w:cs="Arial"/>
                <w:sz w:val="20"/>
                <w:szCs w:val="20"/>
              </w:rPr>
            </w:pPr>
            <w:r w:rsidRPr="00F63086">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63086" w:rsidR="00EC5E25" w:rsidP="00084AD1" w:rsidRDefault="00EC5E25" w14:paraId="6B721317" w14:textId="77777777">
            <w:pPr>
              <w:suppressAutoHyphens/>
              <w:jc w:val="center"/>
              <w:rPr>
                <w:rFonts w:ascii="Arial" w:hAnsi="Arial" w:cs="Arial"/>
                <w:sz w:val="20"/>
                <w:szCs w:val="20"/>
              </w:rPr>
            </w:pPr>
            <w:r w:rsidRPr="00F63086">
              <w:rPr>
                <w:rFonts w:ascii="Arial" w:hAnsi="Arial" w:cs="Arial"/>
                <w:sz w:val="20"/>
                <w:szCs w:val="20"/>
              </w:rPr>
              <w:t>Fully-loaded Labor Rate/Hour</w:t>
            </w:r>
            <w:r w:rsidRPr="00F63086">
              <w:rPr>
                <w:rFonts w:ascii="Arial" w:hAnsi="Arial" w:cs="Arial"/>
                <w:sz w:val="20"/>
                <w:szCs w:val="20"/>
                <w:vertAlign w:val="superscript"/>
              </w:rPr>
              <w:footnoteReference w:id="2"/>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63086" w:rsidR="00EC5E25" w:rsidP="00084AD1" w:rsidRDefault="00EC5E25" w14:paraId="125358BD" w14:textId="77777777">
            <w:pPr>
              <w:suppressAutoHyphens/>
              <w:jc w:val="center"/>
              <w:rPr>
                <w:rFonts w:ascii="Arial" w:hAnsi="Arial" w:cs="Arial"/>
                <w:sz w:val="20"/>
                <w:szCs w:val="20"/>
              </w:rPr>
            </w:pPr>
            <w:r w:rsidRPr="00F63086">
              <w:rPr>
                <w:rFonts w:ascii="Arial" w:hAnsi="Arial" w:cs="Arial"/>
                <w:sz w:val="20"/>
                <w:szCs w:val="20"/>
              </w:rPr>
              <w:t>Processing Time per Response</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63086" w:rsidR="00EC5E25" w:rsidP="00084AD1" w:rsidRDefault="00EC5E25" w14:paraId="227FF60C" w14:textId="77777777">
            <w:pPr>
              <w:suppressAutoHyphens/>
              <w:jc w:val="center"/>
              <w:rPr>
                <w:rFonts w:ascii="Arial" w:hAnsi="Arial" w:cs="Arial"/>
                <w:sz w:val="20"/>
                <w:szCs w:val="20"/>
              </w:rPr>
            </w:pPr>
            <w:r w:rsidRPr="00F63086">
              <w:rPr>
                <w:rFonts w:ascii="Arial" w:hAnsi="Arial" w:cs="Arial"/>
                <w:sz w:val="20"/>
                <w:szCs w:val="20"/>
              </w:rPr>
              <w:t>Labor Costs per Response</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63086" w:rsidR="00EC5E25" w:rsidP="00084AD1" w:rsidRDefault="00EC5E25" w14:paraId="220EE45B" w14:textId="77777777">
            <w:pPr>
              <w:suppressAutoHyphens/>
              <w:jc w:val="center"/>
              <w:rPr>
                <w:rFonts w:ascii="Arial" w:hAnsi="Arial" w:cs="Arial"/>
                <w:sz w:val="20"/>
                <w:szCs w:val="20"/>
              </w:rPr>
            </w:pPr>
            <w:r w:rsidRPr="00F63086">
              <w:rPr>
                <w:rFonts w:ascii="Arial" w:hAnsi="Arial" w:cs="Arial"/>
                <w:sz w:val="20"/>
                <w:szCs w:val="20"/>
              </w:rPr>
              <w:t>Total Responses</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63086" w:rsidR="00EC5E25" w:rsidP="00084AD1" w:rsidRDefault="00EC5E25" w14:paraId="305B412A" w14:textId="77777777">
            <w:pPr>
              <w:suppressAutoHyphens/>
              <w:jc w:val="center"/>
              <w:rPr>
                <w:rFonts w:ascii="Arial" w:hAnsi="Arial" w:cs="Arial"/>
                <w:sz w:val="20"/>
                <w:szCs w:val="20"/>
              </w:rPr>
            </w:pPr>
            <w:r w:rsidRPr="00F63086">
              <w:rPr>
                <w:rFonts w:ascii="Arial" w:hAnsi="Arial" w:cs="Arial"/>
                <w:sz w:val="20"/>
                <w:szCs w:val="20"/>
              </w:rPr>
              <w:t>Total TTB Labor Costs</w:t>
            </w:r>
          </w:p>
        </w:tc>
      </w:tr>
      <w:tr w:rsidRPr="00F63086" w:rsidR="00F63086" w:rsidTr="00E41E30" w14:paraId="74D768E2" w14:textId="77777777">
        <w:trPr>
          <w:trHeight w:val="720"/>
          <w:jc w:val="center"/>
        </w:trPr>
        <w:tc>
          <w:tcPr>
            <w:tcW w:w="1440" w:type="dxa"/>
            <w:tcBorders>
              <w:top w:val="single" w:color="auto" w:sz="2" w:space="0"/>
              <w:bottom w:val="single" w:color="auto" w:sz="2" w:space="0"/>
            </w:tcBorders>
            <w:vAlign w:val="center"/>
          </w:tcPr>
          <w:p w:rsidRPr="00F63086" w:rsidR="00EC5E25" w:rsidP="00084AD1" w:rsidRDefault="00AE562A" w14:paraId="6021B582" w14:textId="2D8EE24B">
            <w:pPr>
              <w:suppressAutoHyphens/>
              <w:jc w:val="center"/>
              <w:rPr>
                <w:rFonts w:ascii="Arial" w:hAnsi="Arial" w:cs="Arial"/>
                <w:sz w:val="20"/>
                <w:szCs w:val="20"/>
              </w:rPr>
            </w:pPr>
            <w:r>
              <w:rPr>
                <w:rFonts w:ascii="Arial" w:hAnsi="Arial" w:cs="Arial"/>
                <w:sz w:val="20"/>
                <w:szCs w:val="20"/>
              </w:rPr>
              <w:t>GS-9, Step 5 Specialist</w:t>
            </w:r>
          </w:p>
        </w:tc>
        <w:tc>
          <w:tcPr>
            <w:tcW w:w="1440" w:type="dxa"/>
            <w:tcBorders>
              <w:top w:val="single" w:color="auto" w:sz="2" w:space="0"/>
              <w:bottom w:val="single" w:color="auto" w:sz="2" w:space="0"/>
            </w:tcBorders>
            <w:tcMar>
              <w:left w:w="29" w:type="dxa"/>
              <w:right w:w="29" w:type="dxa"/>
            </w:tcMar>
            <w:vAlign w:val="center"/>
          </w:tcPr>
          <w:p w:rsidRPr="00F63086" w:rsidR="00EC5E25" w:rsidP="00EC5E25" w:rsidRDefault="007E2CBD" w14:paraId="083D38FC" w14:textId="3CD39BC1">
            <w:pPr>
              <w:suppressAutoHyphens/>
              <w:jc w:val="center"/>
              <w:rPr>
                <w:rFonts w:ascii="Arial" w:hAnsi="Arial" w:cs="Arial"/>
                <w:sz w:val="20"/>
                <w:szCs w:val="20"/>
              </w:rPr>
            </w:pPr>
            <w:r>
              <w:rPr>
                <w:rFonts w:ascii="Arial" w:hAnsi="Arial" w:cs="Arial"/>
                <w:sz w:val="20"/>
                <w:szCs w:val="20"/>
              </w:rPr>
              <w:t>49.18</w:t>
            </w:r>
          </w:p>
        </w:tc>
        <w:tc>
          <w:tcPr>
            <w:tcW w:w="1440" w:type="dxa"/>
            <w:tcBorders>
              <w:top w:val="single" w:color="auto" w:sz="2" w:space="0"/>
              <w:bottom w:val="single" w:color="auto" w:sz="2" w:space="0"/>
            </w:tcBorders>
            <w:tcMar>
              <w:left w:w="29" w:type="dxa"/>
              <w:right w:w="29" w:type="dxa"/>
            </w:tcMar>
            <w:vAlign w:val="center"/>
          </w:tcPr>
          <w:p w:rsidRPr="00F63086" w:rsidR="00EC5E25" w:rsidP="007E2CBD" w:rsidRDefault="007E2CBD" w14:paraId="2FBFDF95" w14:textId="68703960">
            <w:pPr>
              <w:suppressAutoHyphens/>
              <w:jc w:val="center"/>
              <w:rPr>
                <w:rFonts w:ascii="Arial" w:hAnsi="Arial" w:cs="Arial"/>
                <w:sz w:val="20"/>
                <w:szCs w:val="20"/>
              </w:rPr>
            </w:pPr>
            <w:r>
              <w:rPr>
                <w:rFonts w:ascii="Arial" w:hAnsi="Arial" w:cs="Arial"/>
                <w:sz w:val="20"/>
                <w:szCs w:val="20"/>
              </w:rPr>
              <w:t>0.2 hour</w:t>
            </w:r>
          </w:p>
        </w:tc>
        <w:tc>
          <w:tcPr>
            <w:tcW w:w="1440" w:type="dxa"/>
            <w:tcBorders>
              <w:top w:val="single" w:color="auto" w:sz="2" w:space="0"/>
              <w:bottom w:val="single" w:color="auto" w:sz="2" w:space="0"/>
            </w:tcBorders>
            <w:tcMar>
              <w:left w:w="29" w:type="dxa"/>
              <w:right w:w="29" w:type="dxa"/>
            </w:tcMar>
            <w:vAlign w:val="center"/>
          </w:tcPr>
          <w:p w:rsidRPr="00F63086" w:rsidR="00EC5E25" w:rsidP="00084AD1" w:rsidRDefault="007E2CBD" w14:paraId="6EF12E45" w14:textId="7976D2DB">
            <w:pPr>
              <w:suppressAutoHyphens/>
              <w:jc w:val="center"/>
              <w:rPr>
                <w:rFonts w:ascii="Arial" w:hAnsi="Arial" w:cs="Arial"/>
                <w:sz w:val="20"/>
                <w:szCs w:val="20"/>
              </w:rPr>
            </w:pPr>
            <w:r>
              <w:rPr>
                <w:rFonts w:ascii="Arial" w:hAnsi="Arial" w:cs="Arial"/>
                <w:sz w:val="20"/>
                <w:szCs w:val="20"/>
              </w:rPr>
              <w:t>$9.84</w:t>
            </w:r>
          </w:p>
        </w:tc>
        <w:tc>
          <w:tcPr>
            <w:tcW w:w="1440" w:type="dxa"/>
            <w:tcBorders>
              <w:top w:val="single" w:color="auto" w:sz="2" w:space="0"/>
              <w:bottom w:val="single" w:color="auto" w:sz="2" w:space="0"/>
            </w:tcBorders>
            <w:tcMar>
              <w:left w:w="29" w:type="dxa"/>
              <w:right w:w="29" w:type="dxa"/>
            </w:tcMar>
            <w:vAlign w:val="center"/>
          </w:tcPr>
          <w:p w:rsidRPr="00F63086" w:rsidR="00EC5E25" w:rsidP="00084AD1" w:rsidRDefault="00EC5E25" w14:paraId="3588F06C" w14:textId="5AA792CF">
            <w:pPr>
              <w:suppressAutoHyphens/>
              <w:jc w:val="center"/>
              <w:rPr>
                <w:rFonts w:ascii="Arial" w:hAnsi="Arial" w:cs="Arial"/>
                <w:sz w:val="20"/>
                <w:szCs w:val="20"/>
              </w:rPr>
            </w:pPr>
            <w:r w:rsidRPr="00F63086">
              <w:rPr>
                <w:rFonts w:ascii="Arial" w:hAnsi="Arial" w:cs="Arial"/>
                <w:sz w:val="20"/>
                <w:szCs w:val="20"/>
              </w:rPr>
              <w:t>500</w:t>
            </w:r>
          </w:p>
        </w:tc>
        <w:tc>
          <w:tcPr>
            <w:tcW w:w="1440" w:type="dxa"/>
            <w:tcBorders>
              <w:top w:val="single" w:color="auto" w:sz="2" w:space="0"/>
              <w:bottom w:val="single" w:color="auto" w:sz="2" w:space="0"/>
            </w:tcBorders>
            <w:tcMar>
              <w:left w:w="29" w:type="dxa"/>
              <w:right w:w="29" w:type="dxa"/>
            </w:tcMar>
            <w:vAlign w:val="center"/>
          </w:tcPr>
          <w:p w:rsidRPr="00F63086" w:rsidR="00EC5E25" w:rsidP="00084AD1" w:rsidRDefault="007E2CBD" w14:paraId="617C33AD" w14:textId="23690F6C">
            <w:pPr>
              <w:suppressAutoHyphens/>
              <w:jc w:val="center"/>
              <w:rPr>
                <w:rFonts w:ascii="Arial" w:hAnsi="Arial" w:cs="Arial"/>
                <w:sz w:val="20"/>
                <w:szCs w:val="20"/>
              </w:rPr>
            </w:pPr>
            <w:r>
              <w:rPr>
                <w:rFonts w:ascii="Arial" w:hAnsi="Arial" w:cs="Arial"/>
                <w:sz w:val="20"/>
                <w:szCs w:val="20"/>
              </w:rPr>
              <w:t>$4,920.00</w:t>
            </w:r>
          </w:p>
        </w:tc>
      </w:tr>
    </w:tbl>
    <w:p w:rsidRPr="007E2CBD" w:rsidR="007E2CBD" w:rsidP="007E2CBD" w:rsidRDefault="007E2CBD" w14:paraId="0C4BCD1B" w14:textId="77777777">
      <w:pPr>
        <w:ind w:left="360"/>
        <w:rPr>
          <w:rFonts w:ascii="Arial" w:hAnsi="Arial" w:cs="Arial"/>
          <w:sz w:val="12"/>
          <w:szCs w:val="12"/>
        </w:rPr>
      </w:pPr>
    </w:p>
    <w:p w:rsidR="007E2CBD" w:rsidP="007E2CBD" w:rsidRDefault="007E2CBD" w14:paraId="53083AF2" w14:textId="77777777">
      <w:pPr>
        <w:ind w:left="360"/>
        <w:rPr>
          <w:rFonts w:ascii="Arial" w:hAnsi="Arial" w:cs="Arial"/>
          <w:sz w:val="22"/>
          <w:szCs w:val="22"/>
        </w:rPr>
      </w:pPr>
      <w:r w:rsidRPr="00EC5E25">
        <w:rPr>
          <w:rFonts w:ascii="Arial" w:hAnsi="Arial" w:cs="Arial"/>
          <w:sz w:val="22"/>
          <w:szCs w:val="22"/>
        </w:rPr>
        <w:t>* Labor costs rounded to the nearest whole cent</w:t>
      </w:r>
      <w:r>
        <w:rPr>
          <w:rFonts w:ascii="Arial" w:hAnsi="Arial" w:cs="Arial"/>
          <w:sz w:val="22"/>
          <w:szCs w:val="22"/>
        </w:rPr>
        <w:t xml:space="preserve">. </w:t>
      </w:r>
    </w:p>
    <w:p w:rsidRPr="00F63086" w:rsidR="00EC5E25" w:rsidP="00EC5E25" w:rsidRDefault="00EC5E25" w14:paraId="71F2B559" w14:textId="77777777">
      <w:pPr>
        <w:widowControl w:val="0"/>
        <w:autoSpaceDE w:val="0"/>
        <w:autoSpaceDN w:val="0"/>
        <w:adjustRightInd w:val="0"/>
        <w:ind w:left="360"/>
        <w:rPr>
          <w:rFonts w:ascii="Arial" w:hAnsi="Arial" w:cs="Arial"/>
          <w:sz w:val="22"/>
          <w:szCs w:val="22"/>
        </w:rPr>
      </w:pPr>
    </w:p>
    <w:p w:rsidRPr="00F63086" w:rsidR="00F63086" w:rsidP="00EC5E25" w:rsidRDefault="00EC5E25" w14:paraId="3AEB3BA9" w14:textId="443E0447">
      <w:pPr>
        <w:widowControl w:val="0"/>
        <w:autoSpaceDE w:val="0"/>
        <w:autoSpaceDN w:val="0"/>
        <w:adjustRightInd w:val="0"/>
        <w:ind w:left="360"/>
        <w:rPr>
          <w:rFonts w:ascii="Arial" w:hAnsi="Arial" w:cs="Arial"/>
          <w:sz w:val="22"/>
          <w:szCs w:val="22"/>
        </w:rPr>
      </w:pPr>
      <w:r w:rsidRPr="00F63086">
        <w:rPr>
          <w:rFonts w:ascii="Arial" w:hAnsi="Arial" w:cs="Arial"/>
          <w:sz w:val="22"/>
          <w:szCs w:val="22"/>
        </w:rPr>
        <w:t xml:space="preserve">However, TTB’s printing and distribution costs have decreased to $0.00 in due to the availability of its forms to the public on the TTB website’s forms page at </w:t>
      </w:r>
      <w:r w:rsidRPr="00F63086">
        <w:rPr>
          <w:rFonts w:ascii="Arial" w:hAnsi="Arial" w:cs="Arial"/>
          <w:i/>
          <w:sz w:val="22"/>
          <w:szCs w:val="22"/>
        </w:rPr>
        <w:t>https://www.ttb.gov/forms</w:t>
      </w:r>
      <w:r w:rsidRPr="00F63086">
        <w:rPr>
          <w:rFonts w:ascii="Arial" w:hAnsi="Arial" w:cs="Arial"/>
          <w:sz w:val="22"/>
          <w:szCs w:val="22"/>
        </w:rPr>
        <w:t xml:space="preserve">. </w:t>
      </w:r>
    </w:p>
    <w:p w:rsidRPr="00522739" w:rsidR="00AF060A" w:rsidP="00D73D2D" w:rsidRDefault="00AF060A" w14:paraId="7D94FB02" w14:textId="6C30567C">
      <w:pPr>
        <w:rPr>
          <w:rFonts w:ascii="Arial" w:hAnsi="Arial" w:cs="Arial"/>
          <w:sz w:val="28"/>
          <w:szCs w:val="28"/>
        </w:rPr>
      </w:pPr>
    </w:p>
    <w:p w:rsidRPr="00325321" w:rsidR="00AF1157" w:rsidP="00D73D2D" w:rsidRDefault="00AF060A" w14:paraId="283ACF78" w14:textId="253B217B">
      <w:pPr>
        <w:suppressAutoHyphens/>
        <w:rPr>
          <w:rFonts w:ascii="Arial" w:hAnsi="Arial" w:cs="Arial"/>
          <w:i/>
          <w:sz w:val="22"/>
          <w:szCs w:val="22"/>
        </w:rPr>
      </w:pPr>
      <w:r w:rsidRPr="00325321">
        <w:rPr>
          <w:rFonts w:ascii="Arial" w:hAnsi="Arial" w:cs="Arial"/>
          <w:i/>
          <w:sz w:val="22"/>
          <w:szCs w:val="22"/>
        </w:rPr>
        <w:t xml:space="preserve">15.  </w:t>
      </w:r>
      <w:r w:rsidRPr="00325321" w:rsidR="00AF1157">
        <w:rPr>
          <w:rFonts w:ascii="Arial" w:hAnsi="Arial" w:cs="Arial"/>
          <w:i/>
          <w:sz w:val="22"/>
          <w:szCs w:val="22"/>
        </w:rPr>
        <w:t>What is the reason for any program changes or adjustments reported?</w:t>
      </w:r>
      <w:r w:rsidRPr="00325321">
        <w:rPr>
          <w:rFonts w:ascii="Arial" w:hAnsi="Arial" w:cs="Arial"/>
          <w:i/>
          <w:sz w:val="22"/>
          <w:szCs w:val="22"/>
        </w:rPr>
        <w:t xml:space="preserve"> </w:t>
      </w:r>
    </w:p>
    <w:p w:rsidRPr="00325321" w:rsidR="00AF1157" w:rsidP="00D73D2D" w:rsidRDefault="00AF1157" w14:paraId="733601FC" w14:textId="77777777">
      <w:pPr>
        <w:suppressAutoHyphens/>
        <w:rPr>
          <w:rFonts w:ascii="Arial" w:hAnsi="Arial" w:cs="Arial"/>
          <w:sz w:val="22"/>
          <w:szCs w:val="22"/>
        </w:rPr>
      </w:pPr>
    </w:p>
    <w:p w:rsidRPr="00325321" w:rsidR="00942956" w:rsidP="00FB6267" w:rsidRDefault="0069718A" w14:paraId="3BB1CF96" w14:textId="0CAA565F">
      <w:pPr>
        <w:ind w:left="360"/>
        <w:rPr>
          <w:rFonts w:ascii="Arial" w:hAnsi="Arial" w:cs="Arial"/>
          <w:sz w:val="22"/>
          <w:szCs w:val="22"/>
        </w:rPr>
      </w:pPr>
      <w:r w:rsidRPr="006112ED">
        <w:rPr>
          <w:rFonts w:ascii="Arial" w:hAnsi="Arial" w:cs="Arial"/>
          <w:sz w:val="22"/>
          <w:szCs w:val="22"/>
        </w:rPr>
        <w:t xml:space="preserve">There are no program changes </w:t>
      </w:r>
      <w:r w:rsidR="00FB6267">
        <w:rPr>
          <w:rFonts w:ascii="Arial" w:hAnsi="Arial" w:cs="Arial"/>
          <w:sz w:val="22"/>
          <w:szCs w:val="22"/>
        </w:rPr>
        <w:t xml:space="preserve">or adjustments </w:t>
      </w:r>
      <w:r w:rsidRPr="006112ED">
        <w:rPr>
          <w:rFonts w:ascii="Arial" w:hAnsi="Arial" w:cs="Arial"/>
          <w:sz w:val="22"/>
          <w:szCs w:val="22"/>
        </w:rPr>
        <w:t xml:space="preserve">associated with this </w:t>
      </w:r>
      <w:r w:rsidR="00FB6267">
        <w:rPr>
          <w:rFonts w:ascii="Arial" w:hAnsi="Arial" w:cs="Arial"/>
          <w:sz w:val="22"/>
          <w:szCs w:val="22"/>
        </w:rPr>
        <w:t xml:space="preserve">information </w:t>
      </w:r>
      <w:r w:rsidRPr="006112ED">
        <w:rPr>
          <w:rFonts w:ascii="Arial" w:hAnsi="Arial" w:cs="Arial"/>
          <w:sz w:val="22"/>
          <w:szCs w:val="22"/>
        </w:rPr>
        <w:t>collection</w:t>
      </w:r>
      <w:r w:rsidR="00FB6267">
        <w:rPr>
          <w:rFonts w:ascii="Arial" w:hAnsi="Arial" w:cs="Arial"/>
          <w:sz w:val="22"/>
          <w:szCs w:val="22"/>
        </w:rPr>
        <w:t xml:space="preserve"> at this time. </w:t>
      </w:r>
      <w:r w:rsidR="00F63086">
        <w:rPr>
          <w:rFonts w:ascii="Arial" w:hAnsi="Arial" w:cs="Arial"/>
          <w:sz w:val="22"/>
          <w:szCs w:val="22"/>
        </w:rPr>
        <w:t xml:space="preserve"> On form TTB F 5110.31, in the Paperwork Reduction Act notice, TTB is </w:t>
      </w:r>
      <w:r w:rsidR="00256AAB">
        <w:rPr>
          <w:rFonts w:ascii="Arial" w:hAnsi="Arial" w:cs="Arial"/>
          <w:sz w:val="22"/>
          <w:szCs w:val="22"/>
        </w:rPr>
        <w:t xml:space="preserve">adding 26 U.S.C. 5232 to the authority citation for this information collection and </w:t>
      </w:r>
      <w:r w:rsidR="00F63086">
        <w:rPr>
          <w:rFonts w:ascii="Arial" w:hAnsi="Arial" w:cs="Arial"/>
          <w:sz w:val="22"/>
          <w:szCs w:val="22"/>
        </w:rPr>
        <w:t xml:space="preserve">revising the </w:t>
      </w:r>
      <w:r w:rsidRPr="00F63086" w:rsidR="00F63086">
        <w:rPr>
          <w:rFonts w:ascii="Arial" w:hAnsi="Arial" w:cs="Arial"/>
          <w:sz w:val="22"/>
          <w:szCs w:val="22"/>
        </w:rPr>
        <w:t>position title of the staff member who receives public comments on the burden estimates associated with its collections.</w:t>
      </w:r>
      <w:r w:rsidR="00F63086">
        <w:rPr>
          <w:rFonts w:ascii="Arial" w:hAnsi="Arial" w:cs="Arial"/>
          <w:sz w:val="22"/>
          <w:szCs w:val="22"/>
        </w:rPr>
        <w:t xml:space="preserve"> </w:t>
      </w:r>
    </w:p>
    <w:p w:rsidRPr="00522739" w:rsidR="00AF060A" w:rsidP="00AF060A" w:rsidRDefault="00AF060A" w14:paraId="19A48C6F" w14:textId="77777777">
      <w:pPr>
        <w:suppressAutoHyphens/>
        <w:rPr>
          <w:rFonts w:ascii="Arial" w:hAnsi="Arial" w:cs="Arial"/>
          <w:sz w:val="28"/>
          <w:szCs w:val="28"/>
        </w:rPr>
      </w:pPr>
    </w:p>
    <w:p w:rsidRPr="00AF060A" w:rsidR="00AF1157" w:rsidP="00D73D2D" w:rsidRDefault="00AF060A" w14:paraId="58AC2C67" w14:textId="77777777">
      <w:pPr>
        <w:suppressAutoHyphens/>
        <w:rPr>
          <w:rFonts w:ascii="Arial" w:hAnsi="Arial" w:cs="Arial"/>
          <w:i/>
          <w:sz w:val="22"/>
          <w:szCs w:val="22"/>
        </w:rPr>
      </w:pPr>
      <w:r w:rsidRPr="00325321">
        <w:rPr>
          <w:rFonts w:ascii="Arial" w:hAnsi="Arial" w:cs="Arial"/>
          <w:i/>
          <w:sz w:val="22"/>
          <w:szCs w:val="22"/>
        </w:rPr>
        <w:t xml:space="preserve">16.  </w:t>
      </w:r>
      <w:r w:rsidRPr="00325321" w:rsidR="00AF1157">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Pr="007A5D4B" w:rsidR="00AF1157" w:rsidP="00D73D2D" w:rsidRDefault="00AF1157" w14:paraId="60306074" w14:textId="77777777">
      <w:pPr>
        <w:suppressAutoHyphens/>
        <w:ind w:left="480" w:hanging="480"/>
        <w:rPr>
          <w:rFonts w:ascii="Arial" w:hAnsi="Arial" w:cs="Arial"/>
          <w:sz w:val="22"/>
          <w:szCs w:val="22"/>
        </w:rPr>
      </w:pPr>
    </w:p>
    <w:p w:rsidRPr="007A5D4B" w:rsidR="00AF1157" w:rsidP="004D086A" w:rsidRDefault="00276081" w14:paraId="3AF137B4" w14:textId="1FF16B60">
      <w:pPr>
        <w:suppressAutoHyphens/>
        <w:ind w:left="360"/>
        <w:rPr>
          <w:rFonts w:ascii="Arial" w:hAnsi="Arial" w:cs="Arial"/>
          <w:sz w:val="22"/>
          <w:szCs w:val="22"/>
        </w:rPr>
      </w:pPr>
      <w:r w:rsidRPr="0069718A">
        <w:rPr>
          <w:rFonts w:ascii="Arial" w:hAnsi="Arial" w:cs="Arial"/>
          <w:sz w:val="22"/>
          <w:szCs w:val="22"/>
        </w:rPr>
        <w:t>TTB will not publish t</w:t>
      </w:r>
      <w:r w:rsidRPr="0069718A" w:rsidR="00AF1157">
        <w:rPr>
          <w:rFonts w:ascii="Arial" w:hAnsi="Arial" w:cs="Arial"/>
          <w:sz w:val="22"/>
          <w:szCs w:val="22"/>
        </w:rPr>
        <w:t xml:space="preserve">he </w:t>
      </w:r>
      <w:r w:rsidRPr="0069718A">
        <w:rPr>
          <w:rFonts w:ascii="Arial" w:hAnsi="Arial" w:cs="Arial"/>
          <w:sz w:val="22"/>
          <w:szCs w:val="22"/>
        </w:rPr>
        <w:t>result</w:t>
      </w:r>
      <w:r w:rsidRPr="0069718A" w:rsidR="00AF1157">
        <w:rPr>
          <w:rFonts w:ascii="Arial" w:hAnsi="Arial" w:cs="Arial"/>
          <w:sz w:val="22"/>
          <w:szCs w:val="22"/>
        </w:rPr>
        <w:t xml:space="preserve">s of this </w:t>
      </w:r>
      <w:r w:rsidR="00FB6267">
        <w:rPr>
          <w:rFonts w:ascii="Arial" w:hAnsi="Arial" w:cs="Arial"/>
          <w:sz w:val="22"/>
          <w:szCs w:val="22"/>
        </w:rPr>
        <w:t xml:space="preserve">information </w:t>
      </w:r>
      <w:r w:rsidRPr="0069718A" w:rsidR="00AF1157">
        <w:rPr>
          <w:rFonts w:ascii="Arial" w:hAnsi="Arial" w:cs="Arial"/>
          <w:sz w:val="22"/>
          <w:szCs w:val="22"/>
        </w:rPr>
        <w:t>collection.</w:t>
      </w:r>
      <w:r w:rsidR="00AF060A">
        <w:rPr>
          <w:rFonts w:ascii="Arial" w:hAnsi="Arial" w:cs="Arial"/>
          <w:sz w:val="22"/>
          <w:szCs w:val="22"/>
        </w:rPr>
        <w:t xml:space="preserve"> </w:t>
      </w:r>
    </w:p>
    <w:p w:rsidRPr="00522739" w:rsidR="00AF1157" w:rsidP="00D73D2D" w:rsidRDefault="00AF1157" w14:paraId="52F2CE01" w14:textId="77777777">
      <w:pPr>
        <w:suppressAutoHyphens/>
        <w:rPr>
          <w:rFonts w:ascii="Arial" w:hAnsi="Arial" w:cs="Arial"/>
          <w:sz w:val="28"/>
          <w:szCs w:val="28"/>
        </w:rPr>
      </w:pPr>
    </w:p>
    <w:p w:rsidRPr="00DF3E3C" w:rsidR="00AF1157" w:rsidP="00D73D2D" w:rsidRDefault="00AF060A" w14:paraId="47D5DF7E" w14:textId="227865DB">
      <w:pPr>
        <w:suppressAutoHyphens/>
        <w:rPr>
          <w:rFonts w:ascii="Arial" w:hAnsi="Arial" w:cs="Arial"/>
          <w:i/>
          <w:sz w:val="22"/>
          <w:szCs w:val="22"/>
        </w:rPr>
      </w:pPr>
      <w:r w:rsidRPr="00DF3E3C">
        <w:rPr>
          <w:rFonts w:ascii="Arial" w:hAnsi="Arial" w:cs="Arial"/>
          <w:i/>
          <w:sz w:val="22"/>
          <w:szCs w:val="22"/>
        </w:rPr>
        <w:t xml:space="preserve">17.  </w:t>
      </w:r>
      <w:r w:rsidRPr="00DF3E3C" w:rsidR="00AF1157">
        <w:rPr>
          <w:rFonts w:ascii="Arial" w:hAnsi="Arial" w:cs="Arial"/>
          <w:i/>
          <w:sz w:val="22"/>
          <w:szCs w:val="22"/>
        </w:rPr>
        <w:t>If seeking approval to not display the expiration date for OMB approval of this information collection, what are the reasons that the display would be inappropriate?</w:t>
      </w:r>
      <w:r w:rsidRPr="00DF3E3C" w:rsidR="004D086A">
        <w:rPr>
          <w:rFonts w:ascii="Arial" w:hAnsi="Arial" w:cs="Arial"/>
          <w:i/>
          <w:sz w:val="22"/>
          <w:szCs w:val="22"/>
        </w:rPr>
        <w:t xml:space="preserve"> </w:t>
      </w:r>
    </w:p>
    <w:p w:rsidRPr="007A5D4B" w:rsidR="00AF1157" w:rsidP="00D73D2D" w:rsidRDefault="00AF1157" w14:paraId="72EBCA86" w14:textId="77777777">
      <w:pPr>
        <w:suppressAutoHyphens/>
        <w:rPr>
          <w:rFonts w:ascii="Arial" w:hAnsi="Arial" w:cs="Arial"/>
          <w:sz w:val="22"/>
          <w:szCs w:val="22"/>
        </w:rPr>
      </w:pPr>
    </w:p>
    <w:p w:rsidR="00FB6267" w:rsidP="00764F9B" w:rsidRDefault="00FB6267" w14:paraId="3B8CAE64" w14:textId="5D2B3687">
      <w:pPr>
        <w:autoSpaceDE w:val="0"/>
        <w:autoSpaceDN w:val="0"/>
        <w:ind w:left="360"/>
        <w:rPr>
          <w:rFonts w:ascii="Arial" w:hAnsi="Arial" w:cs="Arial"/>
          <w:sz w:val="22"/>
          <w:szCs w:val="22"/>
        </w:rPr>
      </w:pPr>
      <w:r w:rsidRPr="00FB6267">
        <w:rPr>
          <w:rFonts w:ascii="Arial" w:hAnsi="Arial" w:cs="Arial"/>
          <w:sz w:val="22"/>
          <w:szCs w:val="22"/>
        </w:rPr>
        <w:t>As a cost saving measure for both TTB and the public, TTB is seeking approval not to display the expiration date for OMB approval of this information collecti</w:t>
      </w:r>
      <w:r>
        <w:rPr>
          <w:rFonts w:ascii="Arial" w:hAnsi="Arial" w:cs="Arial"/>
          <w:sz w:val="22"/>
          <w:szCs w:val="22"/>
        </w:rPr>
        <w:t>on on its related form, TTB F 5110.31</w:t>
      </w:r>
      <w:r w:rsidRPr="00FB6267">
        <w:rPr>
          <w:rFonts w:ascii="Arial" w:hAnsi="Arial" w:cs="Arial"/>
          <w:sz w:val="22"/>
          <w:szCs w:val="22"/>
        </w:rPr>
        <w:t>.  By not displaying that date on the form, TTB will not have to update the form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w:t>
      </w:r>
      <w:r>
        <w:rPr>
          <w:rFonts w:ascii="Arial" w:hAnsi="Arial" w:cs="Arial"/>
          <w:sz w:val="22"/>
          <w:szCs w:val="22"/>
        </w:rPr>
        <w:t xml:space="preserve"> </w:t>
      </w:r>
    </w:p>
    <w:p w:rsidRPr="00522739" w:rsidR="00764F9B" w:rsidP="00DF3E3C" w:rsidRDefault="00764F9B" w14:paraId="6169B974" w14:textId="77777777">
      <w:pPr>
        <w:autoSpaceDE w:val="0"/>
        <w:autoSpaceDN w:val="0"/>
        <w:rPr>
          <w:rFonts w:ascii="Arial" w:hAnsi="Arial" w:cs="Arial"/>
          <w:sz w:val="28"/>
          <w:szCs w:val="28"/>
        </w:rPr>
      </w:pPr>
    </w:p>
    <w:p w:rsidRPr="00362B4F" w:rsidR="00AF1157" w:rsidP="00D73D2D" w:rsidRDefault="00BA1A21" w14:paraId="481C96AE" w14:textId="39951E39">
      <w:pPr>
        <w:suppressAutoHyphens/>
        <w:rPr>
          <w:rFonts w:ascii="Arial" w:hAnsi="Arial" w:cs="Arial"/>
          <w:i/>
          <w:sz w:val="22"/>
          <w:szCs w:val="22"/>
        </w:rPr>
      </w:pPr>
      <w:r w:rsidRPr="00362B4F">
        <w:rPr>
          <w:rFonts w:ascii="Arial" w:hAnsi="Arial" w:cs="Arial"/>
          <w:i/>
          <w:sz w:val="22"/>
          <w:szCs w:val="22"/>
        </w:rPr>
        <w:t xml:space="preserve">18.  </w:t>
      </w:r>
      <w:r w:rsidRPr="00362B4F" w:rsidR="00AF1157">
        <w:rPr>
          <w:rFonts w:ascii="Arial" w:hAnsi="Arial" w:cs="Arial"/>
          <w:i/>
          <w:sz w:val="22"/>
          <w:szCs w:val="22"/>
        </w:rPr>
        <w:t>What are the exceptions to the certification statement?</w:t>
      </w:r>
      <w:r w:rsidRPr="00362B4F" w:rsidR="00D56B01">
        <w:rPr>
          <w:rFonts w:ascii="Arial" w:hAnsi="Arial" w:cs="Arial"/>
          <w:i/>
          <w:sz w:val="22"/>
          <w:szCs w:val="22"/>
        </w:rPr>
        <w:t xml:space="preserve"> </w:t>
      </w:r>
    </w:p>
    <w:p w:rsidRPr="00362B4F" w:rsidR="00D414AB" w:rsidP="00BA1A21" w:rsidRDefault="00D414AB" w14:paraId="017E972D" w14:textId="77777777">
      <w:pPr>
        <w:ind w:left="360"/>
        <w:rPr>
          <w:rFonts w:ascii="Arial" w:hAnsi="Arial" w:cs="Arial"/>
          <w:sz w:val="22"/>
          <w:szCs w:val="22"/>
        </w:rPr>
      </w:pPr>
    </w:p>
    <w:p w:rsidRPr="00362B4F" w:rsidR="00734B25" w:rsidP="00FB6267" w:rsidRDefault="00DF3E3C" w14:paraId="707A4BD9" w14:textId="2CF30F75">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362B4F" w:rsidR="00734B25">
        <w:rPr>
          <w:rFonts w:ascii="Arial" w:hAnsi="Arial" w:cs="Arial"/>
          <w:sz w:val="22"/>
          <w:szCs w:val="22"/>
        </w:rPr>
        <w:t>See item 5 above</w:t>
      </w:r>
      <w:r w:rsidRPr="00362B4F" w:rsidR="00E115FD">
        <w:rPr>
          <w:rFonts w:ascii="Arial" w:hAnsi="Arial" w:cs="Arial"/>
          <w:sz w:val="22"/>
          <w:szCs w:val="22"/>
        </w:rPr>
        <w:t>.</w:t>
      </w:r>
      <w:r w:rsidRPr="00362B4F" w:rsidR="00BA1A21">
        <w:rPr>
          <w:rFonts w:ascii="Arial" w:hAnsi="Arial" w:cs="Arial"/>
          <w:sz w:val="22"/>
          <w:szCs w:val="22"/>
        </w:rPr>
        <w:t xml:space="preserve"> </w:t>
      </w:r>
    </w:p>
    <w:p w:rsidRPr="00362B4F" w:rsidR="00362B4F" w:rsidP="00FB6267" w:rsidRDefault="00DF3E3C" w14:paraId="1EBCAE02" w14:textId="63185F7A">
      <w:pPr>
        <w:tabs>
          <w:tab w:val="left" w:pos="720"/>
        </w:tabs>
        <w:spacing w:after="120"/>
        <w:ind w:left="360"/>
        <w:rPr>
          <w:rFonts w:ascii="Arial" w:hAnsi="Arial" w:cs="Arial"/>
          <w:sz w:val="22"/>
          <w:szCs w:val="22"/>
        </w:rPr>
      </w:pPr>
      <w:r>
        <w:rPr>
          <w:rFonts w:ascii="Arial" w:hAnsi="Arial" w:cs="Arial"/>
          <w:sz w:val="22"/>
          <w:szCs w:val="22"/>
        </w:rPr>
        <w:lastRenderedPageBreak/>
        <w:t>(f)</w:t>
      </w:r>
      <w:r>
        <w:rPr>
          <w:rFonts w:ascii="Arial" w:hAnsi="Arial" w:cs="Arial"/>
          <w:sz w:val="22"/>
          <w:szCs w:val="22"/>
        </w:rPr>
        <w:tab/>
      </w:r>
      <w:r w:rsidRPr="00362B4F" w:rsidR="00362B4F">
        <w:rPr>
          <w:rFonts w:ascii="Arial" w:hAnsi="Arial" w:cs="Arial"/>
          <w:sz w:val="22"/>
          <w:szCs w:val="22"/>
        </w:rPr>
        <w:t xml:space="preserve">This is not a recordkeeping requirement. </w:t>
      </w:r>
    </w:p>
    <w:p w:rsidRPr="00362B4F" w:rsidR="00734B25" w:rsidP="00FB6267" w:rsidRDefault="00DF3E3C" w14:paraId="476C5094" w14:textId="4720491A">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362B4F" w:rsidR="00734B25">
        <w:rPr>
          <w:rFonts w:ascii="Arial" w:hAnsi="Arial" w:cs="Arial"/>
          <w:sz w:val="22"/>
          <w:szCs w:val="22"/>
        </w:rPr>
        <w:t>No statistics are involved</w:t>
      </w:r>
      <w:r w:rsidRPr="00362B4F" w:rsidR="00E115FD">
        <w:rPr>
          <w:rFonts w:ascii="Arial" w:hAnsi="Arial" w:cs="Arial"/>
          <w:sz w:val="22"/>
          <w:szCs w:val="22"/>
        </w:rPr>
        <w:t>.</w:t>
      </w:r>
      <w:r w:rsidRPr="00362B4F" w:rsidR="00BA1A21">
        <w:rPr>
          <w:rFonts w:ascii="Arial" w:hAnsi="Arial" w:cs="Arial"/>
          <w:sz w:val="22"/>
          <w:szCs w:val="22"/>
        </w:rPr>
        <w:t xml:space="preserve"> </w:t>
      </w:r>
    </w:p>
    <w:p w:rsidRPr="007A5D4B" w:rsidR="00734B25" w:rsidP="00FB6267" w:rsidRDefault="00DF3E3C" w14:paraId="215C0D0B" w14:textId="125DCF57">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Pr="00362B4F" w:rsidR="00734B25">
        <w:rPr>
          <w:rFonts w:ascii="Arial" w:hAnsi="Arial" w:cs="Arial"/>
          <w:sz w:val="22"/>
          <w:szCs w:val="22"/>
        </w:rPr>
        <w:t>See item 3 above</w:t>
      </w:r>
      <w:r w:rsidRPr="00362B4F" w:rsidR="00E115FD">
        <w:rPr>
          <w:rFonts w:ascii="Arial" w:hAnsi="Arial" w:cs="Arial"/>
          <w:sz w:val="22"/>
          <w:szCs w:val="22"/>
        </w:rPr>
        <w:t>.</w:t>
      </w:r>
      <w:r w:rsidR="00BA1A21">
        <w:rPr>
          <w:rFonts w:ascii="Arial" w:hAnsi="Arial" w:cs="Arial"/>
          <w:sz w:val="22"/>
          <w:szCs w:val="22"/>
        </w:rPr>
        <w:t xml:space="preserve"> </w:t>
      </w:r>
    </w:p>
    <w:p w:rsidRPr="00522739" w:rsidR="00362B4F" w:rsidP="00FB6267" w:rsidRDefault="00362B4F" w14:paraId="636D1937" w14:textId="77777777">
      <w:pPr>
        <w:rPr>
          <w:rFonts w:ascii="Arial" w:hAnsi="Arial" w:cs="Arial"/>
          <w:sz w:val="28"/>
          <w:szCs w:val="28"/>
        </w:rPr>
      </w:pPr>
    </w:p>
    <w:p w:rsidRPr="00522739" w:rsidR="00E115FD" w:rsidP="00D73D2D" w:rsidRDefault="00E115FD" w14:paraId="6B6D31FD" w14:textId="77777777">
      <w:pPr>
        <w:rPr>
          <w:rFonts w:ascii="Arial" w:hAnsi="Arial" w:cs="Arial"/>
          <w:sz w:val="28"/>
          <w:szCs w:val="28"/>
        </w:rPr>
      </w:pPr>
    </w:p>
    <w:p w:rsidRPr="007A5D4B" w:rsidR="00BD3333" w:rsidP="00D73D2D" w:rsidRDefault="00BD3333" w14:paraId="57239D09" w14:textId="77777777">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P="00D73D2D" w:rsidRDefault="00BD3333" w14:paraId="0C4C524A" w14:textId="77777777">
      <w:pPr>
        <w:pStyle w:val="Header"/>
        <w:tabs>
          <w:tab w:val="clear" w:pos="4320"/>
          <w:tab w:val="clear" w:pos="8640"/>
        </w:tabs>
        <w:rPr>
          <w:rFonts w:ascii="Arial" w:hAnsi="Arial" w:cs="Arial"/>
          <w:sz w:val="22"/>
          <w:szCs w:val="22"/>
        </w:rPr>
      </w:pPr>
    </w:p>
    <w:p w:rsidRPr="007A5D4B" w:rsidR="00BD3333" w:rsidP="00BA1A21" w:rsidRDefault="00BD3333" w14:paraId="66FDA990" w14:textId="041222F6">
      <w:pPr>
        <w:pStyle w:val="Header"/>
        <w:tabs>
          <w:tab w:val="clear" w:pos="4320"/>
          <w:tab w:val="clear" w:pos="8640"/>
        </w:tabs>
        <w:ind w:left="360"/>
        <w:rPr>
          <w:rFonts w:ascii="Arial" w:hAnsi="Arial" w:cs="Arial"/>
          <w:sz w:val="22"/>
          <w:szCs w:val="22"/>
        </w:rPr>
      </w:pPr>
      <w:r w:rsidRPr="007A5D4B">
        <w:rPr>
          <w:rFonts w:ascii="Arial" w:hAnsi="Arial" w:cs="Arial"/>
          <w:sz w:val="22"/>
          <w:szCs w:val="22"/>
        </w:rPr>
        <w:t xml:space="preserve">This </w:t>
      </w:r>
      <w:r w:rsidR="00FB6267">
        <w:rPr>
          <w:rFonts w:ascii="Arial" w:hAnsi="Arial" w:cs="Arial"/>
          <w:sz w:val="22"/>
          <w:szCs w:val="22"/>
        </w:rPr>
        <w:t xml:space="preserve">information </w:t>
      </w:r>
      <w:r w:rsidRPr="007A5D4B">
        <w:rPr>
          <w:rFonts w:ascii="Arial" w:hAnsi="Arial" w:cs="Arial"/>
          <w:sz w:val="22"/>
          <w:szCs w:val="22"/>
        </w:rPr>
        <w:t>collection does not employ statistical methods.</w:t>
      </w:r>
      <w:r w:rsidR="00BA1A21">
        <w:rPr>
          <w:rFonts w:ascii="Arial" w:hAnsi="Arial" w:cs="Arial"/>
          <w:sz w:val="22"/>
          <w:szCs w:val="22"/>
        </w:rPr>
        <w:t xml:space="preserve"> </w:t>
      </w:r>
    </w:p>
    <w:p w:rsidRPr="007A5D4B" w:rsidR="00FB1014" w:rsidRDefault="00FB1014" w14:paraId="57795F33" w14:textId="71A84267">
      <w:pPr>
        <w:suppressAutoHyphens/>
        <w:rPr>
          <w:rFonts w:ascii="Arial" w:hAnsi="Arial" w:cs="Arial"/>
          <w:sz w:val="22"/>
          <w:szCs w:val="22"/>
        </w:rPr>
      </w:pPr>
    </w:p>
    <w:sectPr w:rsidRPr="007A5D4B" w:rsidR="00FB1014"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D7CED" w14:textId="77777777" w:rsidR="0023207D" w:rsidRDefault="0023207D">
      <w:r>
        <w:separator/>
      </w:r>
    </w:p>
  </w:endnote>
  <w:endnote w:type="continuationSeparator" w:id="0">
    <w:p w14:paraId="2B9A482C" w14:textId="77777777" w:rsidR="0023207D" w:rsidRDefault="0023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807BC" w14:textId="77777777" w:rsidR="00F75496" w:rsidRDefault="00F75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B114" w14:textId="3CB8A121" w:rsidR="0023207D" w:rsidRPr="007A5D4B" w:rsidRDefault="006D02E5" w:rsidP="006D02E5">
    <w:pPr>
      <w:pStyle w:val="Footer"/>
      <w:tabs>
        <w:tab w:val="clear" w:pos="4320"/>
        <w:tab w:val="clear" w:pos="8640"/>
        <w:tab w:val="right" w:pos="9360"/>
      </w:tabs>
      <w:rPr>
        <w:rFonts w:ascii="Arial" w:hAnsi="Arial" w:cs="Arial"/>
        <w:sz w:val="20"/>
        <w:szCs w:val="20"/>
      </w:rPr>
    </w:pPr>
    <w:r>
      <w:rPr>
        <w:rFonts w:ascii="Arial" w:hAnsi="Arial" w:cs="Arial"/>
        <w:sz w:val="20"/>
        <w:szCs w:val="20"/>
      </w:rPr>
      <w:tab/>
      <w:t>OMB</w:t>
    </w:r>
    <w:r w:rsidRPr="006D02E5">
      <w:rPr>
        <w:rFonts w:ascii="Arial" w:hAnsi="Arial" w:cs="Arial"/>
        <w:sz w:val="20"/>
        <w:szCs w:val="20"/>
      </w:rPr>
      <w:t xml:space="preserve"> No. 1513–0043 </w:t>
    </w:r>
    <w:r w:rsidR="00546ABD">
      <w:rPr>
        <w:rFonts w:ascii="Arial" w:hAnsi="Arial" w:cs="Arial"/>
        <w:sz w:val="20"/>
        <w:szCs w:val="20"/>
      </w:rPr>
      <w:t xml:space="preserve">Supporting Statement </w:t>
    </w:r>
    <w:r w:rsidRPr="006D02E5">
      <w:rPr>
        <w:rFonts w:ascii="Arial" w:hAnsi="Arial" w:cs="Arial"/>
        <w:sz w:val="20"/>
        <w:szCs w:val="20"/>
      </w:rPr>
      <w:t>(10–2021)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B10CF" w14:textId="7C97A6AA" w:rsidR="0023207D" w:rsidRPr="007A5D4B" w:rsidRDefault="0023207D" w:rsidP="00E019B4">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6D02E5">
      <w:rPr>
        <w:rFonts w:ascii="Arial" w:hAnsi="Arial" w:cs="Arial"/>
        <w:sz w:val="20"/>
        <w:szCs w:val="20"/>
      </w:rPr>
      <w:t xml:space="preserve">OMB No. </w:t>
    </w:r>
    <w:r>
      <w:rPr>
        <w:rFonts w:ascii="Arial" w:hAnsi="Arial" w:cs="Arial"/>
        <w:sz w:val="20"/>
        <w:szCs w:val="20"/>
      </w:rPr>
      <w:t>1513–0043</w:t>
    </w:r>
    <w:r w:rsidR="00546ABD">
      <w:rPr>
        <w:rFonts w:ascii="Arial" w:hAnsi="Arial" w:cs="Arial"/>
        <w:sz w:val="20"/>
        <w:szCs w:val="20"/>
      </w:rPr>
      <w:t xml:space="preserve"> Supporting Statement</w:t>
    </w:r>
    <w:r>
      <w:rPr>
        <w:rFonts w:ascii="Arial" w:hAnsi="Arial" w:cs="Arial"/>
        <w:sz w:val="20"/>
        <w:szCs w:val="20"/>
      </w:rPr>
      <w:t xml:space="preserve"> (</w:t>
    </w:r>
    <w:r w:rsidR="006D02E5">
      <w:rPr>
        <w:rFonts w:ascii="Arial" w:hAnsi="Arial" w:cs="Arial"/>
        <w:sz w:val="20"/>
        <w:szCs w:val="20"/>
      </w:rPr>
      <w:t>10–2021</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0C6ED" w14:textId="77777777" w:rsidR="0023207D" w:rsidRDefault="0023207D">
      <w:r>
        <w:separator/>
      </w:r>
    </w:p>
  </w:footnote>
  <w:footnote w:type="continuationSeparator" w:id="0">
    <w:p w14:paraId="1D3458AD" w14:textId="77777777" w:rsidR="0023207D" w:rsidRDefault="0023207D">
      <w:r>
        <w:continuationSeparator/>
      </w:r>
    </w:p>
  </w:footnote>
  <w:footnote w:id="1">
    <w:p w14:paraId="23A62D6E" w14:textId="77777777" w:rsidR="008E451A" w:rsidRPr="00957D3D" w:rsidRDefault="008E451A" w:rsidP="008E451A">
      <w:pPr>
        <w:suppressAutoHyphens/>
        <w:rPr>
          <w:rFonts w:ascii="Arial" w:hAnsi="Arial" w:cs="Arial"/>
          <w:sz w:val="18"/>
          <w:szCs w:val="18"/>
        </w:rPr>
      </w:pPr>
      <w:r w:rsidRPr="002E688E">
        <w:rPr>
          <w:rStyle w:val="FootnoteReference"/>
          <w:rFonts w:ascii="Arial" w:hAnsi="Arial" w:cs="Arial"/>
          <w:sz w:val="22"/>
          <w:szCs w:val="22"/>
        </w:rPr>
        <w:footnoteRef/>
      </w:r>
      <w:r w:rsidRPr="002E688E">
        <w:rPr>
          <w:rFonts w:ascii="Arial" w:hAnsi="Arial" w:cs="Arial"/>
          <w:sz w:val="22"/>
          <w:szCs w:val="22"/>
        </w:rPr>
        <w:t xml:space="preserve"> </w:t>
      </w:r>
      <w:r w:rsidRPr="002E688E">
        <w:rPr>
          <w:rFonts w:ascii="Arial" w:hAnsi="Arial" w:cs="Arial"/>
          <w:sz w:val="18"/>
          <w:szCs w:val="18"/>
        </w:rPr>
        <w:t xml:space="preserve">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$30.50 ($21.18 for hourly wages plus $9.32 for benefit costs); see </w:t>
      </w:r>
      <w:r w:rsidRPr="002E688E">
        <w:rPr>
          <w:rFonts w:ascii="Arial" w:hAnsi="Arial" w:cs="Arial"/>
          <w:i/>
          <w:sz w:val="18"/>
          <w:szCs w:val="18"/>
        </w:rPr>
        <w:t>https://www.bls.gov/oes/current/naics4_312100.htm</w:t>
      </w:r>
      <w:r>
        <w:rPr>
          <w:rFonts w:ascii="Arial" w:hAnsi="Arial" w:cs="Arial"/>
          <w:sz w:val="18"/>
          <w:szCs w:val="18"/>
        </w:rPr>
        <w:t xml:space="preserve">. </w:t>
      </w:r>
    </w:p>
  </w:footnote>
  <w:footnote w:id="2">
    <w:p w14:paraId="47B62B61" w14:textId="01C682C5" w:rsidR="00EC5E25" w:rsidRPr="00C009D7" w:rsidRDefault="00EC5E25" w:rsidP="00EC5E25">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the Cincinnati, Ohio, </w:t>
      </w:r>
      <w:r w:rsidR="00F63086">
        <w:rPr>
          <w:rFonts w:ascii="Arial" w:hAnsi="Arial" w:cs="Arial"/>
          <w:sz w:val="18"/>
          <w:szCs w:val="18"/>
        </w:rPr>
        <w:t xml:space="preserve">wage </w:t>
      </w:r>
      <w:r w:rsidRPr="003D22B5">
        <w:rPr>
          <w:rFonts w:ascii="Arial" w:hAnsi="Arial" w:cs="Arial"/>
          <w:sz w:val="18"/>
          <w:szCs w:val="18"/>
        </w:rPr>
        <w:t>area are:  (1)</w:t>
      </w:r>
      <w:r w:rsidR="007E2CBD">
        <w:rPr>
          <w:rFonts w:ascii="Arial" w:hAnsi="Arial" w:cs="Arial"/>
          <w:sz w:val="18"/>
          <w:szCs w:val="18"/>
        </w:rPr>
        <w:t> GS–9</w:t>
      </w:r>
      <w:r w:rsidR="00F63086" w:rsidRPr="00F63086">
        <w:rPr>
          <w:rFonts w:ascii="Arial" w:hAnsi="Arial" w:cs="Arial"/>
          <w:sz w:val="18"/>
          <w:szCs w:val="18"/>
        </w:rPr>
        <w:t>, step 5, employee = $</w:t>
      </w:r>
      <w:r w:rsidR="007E2CBD">
        <w:rPr>
          <w:rFonts w:ascii="Arial" w:hAnsi="Arial" w:cs="Arial"/>
          <w:sz w:val="18"/>
          <w:szCs w:val="18"/>
        </w:rPr>
        <w:t>49.18 (</w:t>
      </w:r>
      <w:r w:rsidR="00F63086" w:rsidRPr="00F63086">
        <w:rPr>
          <w:rFonts w:ascii="Arial" w:hAnsi="Arial" w:cs="Arial"/>
          <w:sz w:val="18"/>
          <w:szCs w:val="18"/>
        </w:rPr>
        <w:t>$</w:t>
      </w:r>
      <w:r w:rsidR="007E2CBD">
        <w:rPr>
          <w:rFonts w:ascii="Arial" w:hAnsi="Arial" w:cs="Arial"/>
          <w:sz w:val="18"/>
          <w:szCs w:val="18"/>
        </w:rPr>
        <w:t>30.17</w:t>
      </w:r>
      <w:r w:rsidR="00F63086" w:rsidRPr="00F63086">
        <w:rPr>
          <w:rFonts w:ascii="Arial" w:hAnsi="Arial" w:cs="Arial"/>
          <w:sz w:val="18"/>
          <w:szCs w:val="18"/>
        </w:rPr>
        <w:t xml:space="preserve"> in wages plus $</w:t>
      </w:r>
      <w:r w:rsidR="007E2CBD">
        <w:rPr>
          <w:rFonts w:ascii="Arial" w:hAnsi="Arial" w:cs="Arial"/>
          <w:sz w:val="18"/>
          <w:szCs w:val="18"/>
        </w:rPr>
        <w:t xml:space="preserve">19.01 </w:t>
      </w:r>
      <w:r w:rsidR="00F63086" w:rsidRPr="00F63086">
        <w:rPr>
          <w:rFonts w:ascii="Arial" w:hAnsi="Arial" w:cs="Arial"/>
          <w:sz w:val="18"/>
          <w:szCs w:val="18"/>
        </w:rPr>
        <w:t>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301F4" w14:textId="77777777" w:rsidR="00F75496" w:rsidRDefault="00F7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76F4" w14:textId="07C02337" w:rsidR="0023207D" w:rsidRPr="007A5D4B" w:rsidRDefault="0023207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E06FF">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1E8D" w14:textId="77777777" w:rsidR="0023207D" w:rsidRPr="007A5D4B" w:rsidRDefault="0023207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00454"/>
    <w:multiLevelType w:val="hybridMultilevel"/>
    <w:tmpl w:val="85209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4D60"/>
    <w:rsid w:val="00012E43"/>
    <w:rsid w:val="00014CEB"/>
    <w:rsid w:val="0003032C"/>
    <w:rsid w:val="000329F4"/>
    <w:rsid w:val="00036B08"/>
    <w:rsid w:val="0004708F"/>
    <w:rsid w:val="000473AC"/>
    <w:rsid w:val="0004764C"/>
    <w:rsid w:val="000538C8"/>
    <w:rsid w:val="000575E4"/>
    <w:rsid w:val="00074031"/>
    <w:rsid w:val="00074898"/>
    <w:rsid w:val="000854EB"/>
    <w:rsid w:val="00095F53"/>
    <w:rsid w:val="000A2E33"/>
    <w:rsid w:val="000A4E1A"/>
    <w:rsid w:val="000A602D"/>
    <w:rsid w:val="000B20EC"/>
    <w:rsid w:val="000B3E08"/>
    <w:rsid w:val="000C0DAE"/>
    <w:rsid w:val="000D6313"/>
    <w:rsid w:val="000F03F9"/>
    <w:rsid w:val="00101DE7"/>
    <w:rsid w:val="001031AD"/>
    <w:rsid w:val="00137865"/>
    <w:rsid w:val="00154678"/>
    <w:rsid w:val="001608E4"/>
    <w:rsid w:val="00164FD9"/>
    <w:rsid w:val="00171747"/>
    <w:rsid w:val="00183A5C"/>
    <w:rsid w:val="001A089C"/>
    <w:rsid w:val="001B0976"/>
    <w:rsid w:val="001D6371"/>
    <w:rsid w:val="001E066D"/>
    <w:rsid w:val="001E7BDE"/>
    <w:rsid w:val="001F2913"/>
    <w:rsid w:val="00217F9E"/>
    <w:rsid w:val="0022156B"/>
    <w:rsid w:val="002261E6"/>
    <w:rsid w:val="00230348"/>
    <w:rsid w:val="0023207D"/>
    <w:rsid w:val="002467F2"/>
    <w:rsid w:val="00250066"/>
    <w:rsid w:val="00256AAB"/>
    <w:rsid w:val="00273CEE"/>
    <w:rsid w:val="00276081"/>
    <w:rsid w:val="002762AB"/>
    <w:rsid w:val="0028073B"/>
    <w:rsid w:val="002922C3"/>
    <w:rsid w:val="002A730A"/>
    <w:rsid w:val="002B2318"/>
    <w:rsid w:val="002B47FB"/>
    <w:rsid w:val="002D1324"/>
    <w:rsid w:val="002D3EB8"/>
    <w:rsid w:val="002E6145"/>
    <w:rsid w:val="00325321"/>
    <w:rsid w:val="003301DA"/>
    <w:rsid w:val="00331E4F"/>
    <w:rsid w:val="0033260C"/>
    <w:rsid w:val="00336E48"/>
    <w:rsid w:val="00362B4F"/>
    <w:rsid w:val="00381FFC"/>
    <w:rsid w:val="0038747C"/>
    <w:rsid w:val="003946FB"/>
    <w:rsid w:val="003C1FD2"/>
    <w:rsid w:val="003C4124"/>
    <w:rsid w:val="003E3FF9"/>
    <w:rsid w:val="004046C0"/>
    <w:rsid w:val="0040783B"/>
    <w:rsid w:val="00432F1F"/>
    <w:rsid w:val="0043772A"/>
    <w:rsid w:val="0044522E"/>
    <w:rsid w:val="00447B6B"/>
    <w:rsid w:val="00453199"/>
    <w:rsid w:val="00453A67"/>
    <w:rsid w:val="004569E0"/>
    <w:rsid w:val="004870BE"/>
    <w:rsid w:val="00491954"/>
    <w:rsid w:val="00493322"/>
    <w:rsid w:val="004A3DE5"/>
    <w:rsid w:val="004A766A"/>
    <w:rsid w:val="004B78F6"/>
    <w:rsid w:val="004D086A"/>
    <w:rsid w:val="004D1808"/>
    <w:rsid w:val="004D3468"/>
    <w:rsid w:val="004D4299"/>
    <w:rsid w:val="004E2C89"/>
    <w:rsid w:val="004F62C7"/>
    <w:rsid w:val="0050271B"/>
    <w:rsid w:val="0050368E"/>
    <w:rsid w:val="00522739"/>
    <w:rsid w:val="005278E4"/>
    <w:rsid w:val="00536D29"/>
    <w:rsid w:val="00546ABD"/>
    <w:rsid w:val="005568F5"/>
    <w:rsid w:val="0055733F"/>
    <w:rsid w:val="00560EB5"/>
    <w:rsid w:val="005638E1"/>
    <w:rsid w:val="005757ED"/>
    <w:rsid w:val="00595E7A"/>
    <w:rsid w:val="005A6AF2"/>
    <w:rsid w:val="005C282B"/>
    <w:rsid w:val="005E123E"/>
    <w:rsid w:val="005E4F99"/>
    <w:rsid w:val="005E4F9B"/>
    <w:rsid w:val="006112ED"/>
    <w:rsid w:val="006244FF"/>
    <w:rsid w:val="00631780"/>
    <w:rsid w:val="006601EB"/>
    <w:rsid w:val="00663972"/>
    <w:rsid w:val="006665B1"/>
    <w:rsid w:val="00675C5C"/>
    <w:rsid w:val="006879F1"/>
    <w:rsid w:val="0069718A"/>
    <w:rsid w:val="006A1558"/>
    <w:rsid w:val="006A35C6"/>
    <w:rsid w:val="006C2C97"/>
    <w:rsid w:val="006D02E5"/>
    <w:rsid w:val="006D27E6"/>
    <w:rsid w:val="006F2142"/>
    <w:rsid w:val="00707228"/>
    <w:rsid w:val="00714DD9"/>
    <w:rsid w:val="00721C76"/>
    <w:rsid w:val="0072763A"/>
    <w:rsid w:val="00734B25"/>
    <w:rsid w:val="00736886"/>
    <w:rsid w:val="00736DD6"/>
    <w:rsid w:val="00757A99"/>
    <w:rsid w:val="00764F9B"/>
    <w:rsid w:val="00770641"/>
    <w:rsid w:val="007A5D4B"/>
    <w:rsid w:val="007B4E08"/>
    <w:rsid w:val="007C6536"/>
    <w:rsid w:val="007D4CAE"/>
    <w:rsid w:val="007D5727"/>
    <w:rsid w:val="007E2CBD"/>
    <w:rsid w:val="007E57D5"/>
    <w:rsid w:val="007F3179"/>
    <w:rsid w:val="007F40E3"/>
    <w:rsid w:val="007F61A9"/>
    <w:rsid w:val="0080111F"/>
    <w:rsid w:val="00804B0C"/>
    <w:rsid w:val="00811A04"/>
    <w:rsid w:val="00812FFC"/>
    <w:rsid w:val="00827956"/>
    <w:rsid w:val="0084316A"/>
    <w:rsid w:val="0084640C"/>
    <w:rsid w:val="008603B9"/>
    <w:rsid w:val="00863434"/>
    <w:rsid w:val="00863E7F"/>
    <w:rsid w:val="0087102E"/>
    <w:rsid w:val="00871747"/>
    <w:rsid w:val="00887AAC"/>
    <w:rsid w:val="008B146B"/>
    <w:rsid w:val="008C399F"/>
    <w:rsid w:val="008C5E67"/>
    <w:rsid w:val="008D2CB6"/>
    <w:rsid w:val="008E451A"/>
    <w:rsid w:val="00922507"/>
    <w:rsid w:val="00937DD7"/>
    <w:rsid w:val="00942956"/>
    <w:rsid w:val="0094680E"/>
    <w:rsid w:val="00947BD6"/>
    <w:rsid w:val="0096457D"/>
    <w:rsid w:val="00965E7F"/>
    <w:rsid w:val="009823DC"/>
    <w:rsid w:val="0099307A"/>
    <w:rsid w:val="009A1CD5"/>
    <w:rsid w:val="009A5DE7"/>
    <w:rsid w:val="009A6532"/>
    <w:rsid w:val="009A78CF"/>
    <w:rsid w:val="009B5709"/>
    <w:rsid w:val="009C2D9D"/>
    <w:rsid w:val="009C4993"/>
    <w:rsid w:val="009E06FF"/>
    <w:rsid w:val="009E4E4C"/>
    <w:rsid w:val="009F21E8"/>
    <w:rsid w:val="00A00309"/>
    <w:rsid w:val="00A17E04"/>
    <w:rsid w:val="00A201BF"/>
    <w:rsid w:val="00A21186"/>
    <w:rsid w:val="00A371C6"/>
    <w:rsid w:val="00A7372B"/>
    <w:rsid w:val="00A969B1"/>
    <w:rsid w:val="00AA3F8F"/>
    <w:rsid w:val="00AA6829"/>
    <w:rsid w:val="00AA6881"/>
    <w:rsid w:val="00AC01C2"/>
    <w:rsid w:val="00AC34D3"/>
    <w:rsid w:val="00AC686F"/>
    <w:rsid w:val="00AD55D9"/>
    <w:rsid w:val="00AE562A"/>
    <w:rsid w:val="00AF060A"/>
    <w:rsid w:val="00AF1157"/>
    <w:rsid w:val="00B01FA8"/>
    <w:rsid w:val="00B06EE5"/>
    <w:rsid w:val="00B1047F"/>
    <w:rsid w:val="00B12327"/>
    <w:rsid w:val="00B23FF6"/>
    <w:rsid w:val="00B31E02"/>
    <w:rsid w:val="00B50DDF"/>
    <w:rsid w:val="00B72AC4"/>
    <w:rsid w:val="00B95061"/>
    <w:rsid w:val="00BA1A21"/>
    <w:rsid w:val="00BA20A5"/>
    <w:rsid w:val="00BA7743"/>
    <w:rsid w:val="00BB67E5"/>
    <w:rsid w:val="00BC1D1F"/>
    <w:rsid w:val="00BD3333"/>
    <w:rsid w:val="00BE3C19"/>
    <w:rsid w:val="00BF263E"/>
    <w:rsid w:val="00BF50EF"/>
    <w:rsid w:val="00C1362D"/>
    <w:rsid w:val="00C25D44"/>
    <w:rsid w:val="00C271EA"/>
    <w:rsid w:val="00C47946"/>
    <w:rsid w:val="00C64AFB"/>
    <w:rsid w:val="00C65912"/>
    <w:rsid w:val="00C71838"/>
    <w:rsid w:val="00C8666A"/>
    <w:rsid w:val="00CA07BF"/>
    <w:rsid w:val="00CA4346"/>
    <w:rsid w:val="00CA7E3C"/>
    <w:rsid w:val="00CC2DE7"/>
    <w:rsid w:val="00CD21EC"/>
    <w:rsid w:val="00CE0782"/>
    <w:rsid w:val="00CF1C87"/>
    <w:rsid w:val="00D004D6"/>
    <w:rsid w:val="00D01AA2"/>
    <w:rsid w:val="00D03A61"/>
    <w:rsid w:val="00D059BB"/>
    <w:rsid w:val="00D1403E"/>
    <w:rsid w:val="00D414AB"/>
    <w:rsid w:val="00D50640"/>
    <w:rsid w:val="00D56B01"/>
    <w:rsid w:val="00D6325C"/>
    <w:rsid w:val="00D656EA"/>
    <w:rsid w:val="00D73D2D"/>
    <w:rsid w:val="00D742EE"/>
    <w:rsid w:val="00D76DF0"/>
    <w:rsid w:val="00D907E8"/>
    <w:rsid w:val="00DA29D8"/>
    <w:rsid w:val="00DA5398"/>
    <w:rsid w:val="00DA686A"/>
    <w:rsid w:val="00DC2732"/>
    <w:rsid w:val="00DD0D6F"/>
    <w:rsid w:val="00DE3051"/>
    <w:rsid w:val="00DF3E3C"/>
    <w:rsid w:val="00DF5F98"/>
    <w:rsid w:val="00E019B4"/>
    <w:rsid w:val="00E115FD"/>
    <w:rsid w:val="00E21772"/>
    <w:rsid w:val="00E323CD"/>
    <w:rsid w:val="00E4044D"/>
    <w:rsid w:val="00E414F9"/>
    <w:rsid w:val="00E41E30"/>
    <w:rsid w:val="00E41ED9"/>
    <w:rsid w:val="00E45CBA"/>
    <w:rsid w:val="00E51AD7"/>
    <w:rsid w:val="00E52F4D"/>
    <w:rsid w:val="00E56E11"/>
    <w:rsid w:val="00E86B1B"/>
    <w:rsid w:val="00E87025"/>
    <w:rsid w:val="00EA4549"/>
    <w:rsid w:val="00EB1406"/>
    <w:rsid w:val="00EC4FC3"/>
    <w:rsid w:val="00EC5E25"/>
    <w:rsid w:val="00ED4A03"/>
    <w:rsid w:val="00ED7233"/>
    <w:rsid w:val="00EE4237"/>
    <w:rsid w:val="00F010B4"/>
    <w:rsid w:val="00F02F02"/>
    <w:rsid w:val="00F03208"/>
    <w:rsid w:val="00F058FA"/>
    <w:rsid w:val="00F07B68"/>
    <w:rsid w:val="00F17249"/>
    <w:rsid w:val="00F20D52"/>
    <w:rsid w:val="00F333A5"/>
    <w:rsid w:val="00F3501F"/>
    <w:rsid w:val="00F523D2"/>
    <w:rsid w:val="00F618E0"/>
    <w:rsid w:val="00F63086"/>
    <w:rsid w:val="00F726B4"/>
    <w:rsid w:val="00F75496"/>
    <w:rsid w:val="00F7696D"/>
    <w:rsid w:val="00F95A6D"/>
    <w:rsid w:val="00FA228E"/>
    <w:rsid w:val="00FB1014"/>
    <w:rsid w:val="00FB6267"/>
    <w:rsid w:val="00FC1B14"/>
    <w:rsid w:val="00FD18EE"/>
    <w:rsid w:val="00FE29D6"/>
    <w:rsid w:val="00FF0C74"/>
    <w:rsid w:val="00FF24E9"/>
    <w:rsid w:val="00FF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CE0782"/>
    <w:pPr>
      <w:ind w:left="720"/>
      <w:contextualSpacing/>
    </w:pPr>
  </w:style>
  <w:style w:type="character" w:styleId="FootnoteReference">
    <w:name w:val="footnote reference"/>
    <w:basedOn w:val="DefaultParagraphFont"/>
    <w:uiPriority w:val="99"/>
    <w:rsid w:val="000B20EC"/>
    <w:rPr>
      <w:vertAlign w:val="superscript"/>
    </w:rPr>
  </w:style>
  <w:style w:type="table" w:customStyle="1" w:styleId="TableGrid11">
    <w:name w:val="Table Grid11"/>
    <w:basedOn w:val="TableNormal"/>
    <w:next w:val="TableGrid"/>
    <w:uiPriority w:val="39"/>
    <w:rsid w:val="000B20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B20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C5E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DAF24-720F-4D93-B05B-663587ED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2075</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2021-07-19T17:29:00Z</dcterms:created>
  <dcterms:modified xsi:type="dcterms:W3CDTF">2021-10-19T19:59:00Z</dcterms:modified>
</cp:coreProperties>
</file>