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7C66" w:rsidRDefault="00767C66" w14:paraId="52DCC293" w14:textId="77777777">
      <w:pPr>
        <w:pStyle w:val="BodyText"/>
        <w:rPr>
          <w:rFonts w:ascii="Times New Roman"/>
          <w:sz w:val="20"/>
        </w:rPr>
      </w:pPr>
    </w:p>
    <w:p w:rsidR="00767C66" w:rsidRDefault="00767C66" w14:paraId="7A2157CB" w14:textId="77777777">
      <w:pPr>
        <w:pStyle w:val="BodyText"/>
        <w:spacing w:before="4"/>
        <w:rPr>
          <w:rFonts w:ascii="Times New Roman"/>
          <w:sz w:val="19"/>
        </w:rPr>
      </w:pPr>
    </w:p>
    <w:p w:rsidR="00767C66" w:rsidP="005D44EE" w:rsidRDefault="00E11BCD" w14:paraId="6C31F124" w14:textId="77777777">
      <w:pPr>
        <w:spacing w:before="58" w:line="268" w:lineRule="exact"/>
        <w:ind w:left="3584" w:right="2880"/>
        <w:jc w:val="center"/>
        <w:rPr>
          <w:b/>
        </w:rPr>
      </w:pPr>
      <w:r>
        <w:rPr>
          <w:b/>
        </w:rPr>
        <w:t>SUPPORTING STATEMENT</w:t>
      </w:r>
    </w:p>
    <w:p w:rsidR="005009D9" w:rsidP="005009D9" w:rsidRDefault="00E11BCD" w14:paraId="0D7C536F" w14:textId="77777777">
      <w:pPr>
        <w:spacing w:line="244" w:lineRule="auto"/>
        <w:ind w:left="3573" w:right="2880"/>
        <w:jc w:val="center"/>
        <w:rPr>
          <w:b/>
        </w:rPr>
      </w:pPr>
      <w:r>
        <w:rPr>
          <w:b/>
        </w:rPr>
        <w:t>Internal Revenue Service</w:t>
      </w:r>
    </w:p>
    <w:p w:rsidRPr="005D44EE" w:rsidR="00767C66" w:rsidP="005D44EE" w:rsidRDefault="00E11BCD" w14:paraId="52FCEF95" w14:textId="402A856D">
      <w:pPr>
        <w:spacing w:line="244" w:lineRule="auto"/>
        <w:ind w:left="1440" w:right="1440"/>
        <w:jc w:val="center"/>
        <w:rPr>
          <w:bCs/>
        </w:rPr>
      </w:pPr>
      <w:r>
        <w:rPr>
          <w:b/>
        </w:rPr>
        <w:t xml:space="preserve">Rev Proc </w:t>
      </w:r>
      <w:r w:rsidR="005009D9">
        <w:rPr>
          <w:b/>
        </w:rPr>
        <w:t>2017-15</w:t>
      </w:r>
      <w:r w:rsidR="000F375B">
        <w:rPr>
          <w:b/>
        </w:rPr>
        <w:t xml:space="preserve">, </w:t>
      </w:r>
      <w:r w:rsidRPr="005D44EE" w:rsidR="000F375B">
        <w:rPr>
          <w:bCs/>
        </w:rPr>
        <w:t>Qualified Intermediary Agreement</w:t>
      </w:r>
    </w:p>
    <w:p w:rsidRPr="005D44EE" w:rsidR="00767C66" w:rsidP="005D44EE" w:rsidRDefault="00E11BCD" w14:paraId="4C800A8F" w14:textId="575912CB">
      <w:pPr>
        <w:spacing w:line="260" w:lineRule="exact"/>
        <w:ind w:left="1440" w:right="1440"/>
        <w:jc w:val="center"/>
        <w:rPr>
          <w:bCs/>
        </w:rPr>
      </w:pPr>
      <w:r>
        <w:rPr>
          <w:b/>
        </w:rPr>
        <w:t>Form 14345</w:t>
      </w:r>
      <w:r w:rsidR="005009D9">
        <w:rPr>
          <w:b/>
        </w:rPr>
        <w:t xml:space="preserve">, </w:t>
      </w:r>
      <w:r w:rsidRPr="005D44EE" w:rsidR="005009D9">
        <w:rPr>
          <w:bCs/>
        </w:rPr>
        <w:t>Application for Qualified Intermediary, Withholding Foreign Partnership, or Withholding Foreign Trust Status</w:t>
      </w:r>
    </w:p>
    <w:p w:rsidR="00767C66" w:rsidP="005D44EE" w:rsidRDefault="00E11BCD" w14:paraId="6721EB36" w14:textId="4FB19C39">
      <w:pPr>
        <w:spacing w:line="267" w:lineRule="exact"/>
        <w:ind w:left="3570" w:right="2880"/>
        <w:jc w:val="center"/>
        <w:rPr>
          <w:b/>
        </w:rPr>
      </w:pPr>
      <w:r>
        <w:rPr>
          <w:b/>
        </w:rPr>
        <w:t xml:space="preserve">OMB </w:t>
      </w:r>
      <w:r w:rsidR="005009D9">
        <w:rPr>
          <w:b/>
        </w:rPr>
        <w:t>Control Num</w:t>
      </w:r>
      <w:r w:rsidR="00674371">
        <w:rPr>
          <w:b/>
        </w:rPr>
        <w:t>b</w:t>
      </w:r>
      <w:r w:rsidR="005009D9">
        <w:rPr>
          <w:b/>
        </w:rPr>
        <w:t>er</w:t>
      </w:r>
      <w:r w:rsidR="00674371">
        <w:rPr>
          <w:b/>
        </w:rPr>
        <w:t xml:space="preserve"> </w:t>
      </w:r>
      <w:r>
        <w:rPr>
          <w:b/>
        </w:rPr>
        <w:t>1545-1597</w:t>
      </w:r>
    </w:p>
    <w:p w:rsidR="00767C66" w:rsidRDefault="00767C66" w14:paraId="1B49599A" w14:textId="77777777">
      <w:pPr>
        <w:pStyle w:val="BodyText"/>
        <w:spacing w:before="3"/>
        <w:rPr>
          <w:b/>
        </w:rPr>
      </w:pPr>
    </w:p>
    <w:p w:rsidR="00767C66" w:rsidRDefault="00E11BCD" w14:paraId="67FF1A65" w14:textId="77777777">
      <w:pPr>
        <w:pStyle w:val="Heading1"/>
        <w:numPr>
          <w:ilvl w:val="0"/>
          <w:numId w:val="1"/>
        </w:numPr>
        <w:tabs>
          <w:tab w:val="left" w:pos="821"/>
          <w:tab w:val="left" w:pos="822"/>
        </w:tabs>
        <w:ind w:hanging="722"/>
        <w:rPr>
          <w:u w:val="none"/>
        </w:rPr>
      </w:pPr>
      <w:r>
        <w:t>CIRCUMSTANCES NECESSITATING COLLECTION OF</w:t>
      </w:r>
      <w:r>
        <w:rPr>
          <w:spacing w:val="-5"/>
        </w:rPr>
        <w:t xml:space="preserve"> </w:t>
      </w:r>
      <w:r>
        <w:rPr>
          <w:spacing w:val="-3"/>
        </w:rPr>
        <w:t>INFORMATION</w:t>
      </w:r>
    </w:p>
    <w:p w:rsidR="00767C66" w:rsidRDefault="00767C66" w14:paraId="40A49066" w14:textId="77777777">
      <w:pPr>
        <w:pStyle w:val="BodyText"/>
        <w:spacing w:before="11"/>
        <w:rPr>
          <w:b/>
          <w:sz w:val="16"/>
        </w:rPr>
      </w:pPr>
    </w:p>
    <w:p w:rsidR="000F375B" w:rsidRDefault="000F375B" w14:paraId="582D31CE" w14:textId="3FA8A198">
      <w:pPr>
        <w:pStyle w:val="BodyText"/>
        <w:spacing w:line="242" w:lineRule="auto"/>
        <w:ind w:left="821" w:right="385"/>
      </w:pPr>
    </w:p>
    <w:p w:rsidR="000F375B" w:rsidRDefault="005D44EE" w14:paraId="20993D28" w14:textId="443DC1DB">
      <w:pPr>
        <w:pStyle w:val="BodyText"/>
        <w:spacing w:line="242" w:lineRule="auto"/>
        <w:ind w:left="821" w:right="385"/>
      </w:pPr>
      <w:r>
        <w:t>Internal Revenue Code (IRC) Section 1441</w:t>
      </w:r>
      <w:r w:rsidR="00B92FC1">
        <w:t xml:space="preserve"> (Withholding of tax on nonresident aliens), states any nonresident alien individual or of any foreign partnership shall deduct and withhold from such items a tax equal to 30 percent</w:t>
      </w:r>
      <w:r w:rsidR="00114436">
        <w:t xml:space="preserve"> or 14 percent depending on circumstances. </w:t>
      </w:r>
      <w:r w:rsidR="000F375B">
        <w:t xml:space="preserve">Revenue Procedure 2017-15 sets forth the final qualified intermediary (QI) withholding agreement (QI agreement) </w:t>
      </w:r>
      <w:proofErr w:type="gramStart"/>
      <w:r w:rsidR="000F375B">
        <w:t>entered into</w:t>
      </w:r>
      <w:proofErr w:type="gramEnd"/>
      <w:r w:rsidR="000F375B">
        <w:t xml:space="preserve"> under Treasury Regulation 1.1441-1(e)(5). The QI agreement allows foreign persons to enter into an agreement with the IRS to simplify their obligations as withholding agents and as payors for amounts paid to their account holders. </w:t>
      </w:r>
    </w:p>
    <w:p w:rsidR="00767C66" w:rsidRDefault="00767C66" w14:paraId="73C04A9F" w14:textId="77777777">
      <w:pPr>
        <w:pStyle w:val="BodyText"/>
        <w:spacing w:before="3"/>
        <w:rPr>
          <w:sz w:val="21"/>
        </w:rPr>
      </w:pPr>
    </w:p>
    <w:p w:rsidR="00993B04" w:rsidP="005D44EE" w:rsidRDefault="00E11BCD" w14:paraId="7ADC5041" w14:textId="1E8FEB0A">
      <w:pPr>
        <w:pStyle w:val="BodyText"/>
        <w:spacing w:line="244" w:lineRule="auto"/>
        <w:ind w:left="821" w:right="274"/>
      </w:pPr>
      <w:r>
        <w:t xml:space="preserve">The reporting requirements (information collection) are set out in Section </w:t>
      </w:r>
      <w:r w:rsidR="005009D9">
        <w:t>5</w:t>
      </w:r>
      <w:r>
        <w:t>.01 of this Revenue Procedure:</w:t>
      </w:r>
      <w:r w:rsidR="005D44EE">
        <w:t xml:space="preserve"> </w:t>
      </w:r>
      <w:r>
        <w:t xml:space="preserve">A prospective QI must </w:t>
      </w:r>
      <w:proofErr w:type="gramStart"/>
      <w:r>
        <w:t>submit an application</w:t>
      </w:r>
      <w:proofErr w:type="gramEnd"/>
      <w:r>
        <w:t xml:space="preserve"> (Form 14345) to become a QI. </w:t>
      </w:r>
      <w:r w:rsidR="005009D9">
        <w:t xml:space="preserve">A prospective QI must submit the information specified in Form 14345 through the QI/WP/WT Application and Accounts Management System accessible through the QI landing page available at: </w:t>
      </w:r>
      <w:hyperlink w:history="1" r:id="rId8">
        <w:r w:rsidRPr="00116E0A" w:rsidR="000F375B">
          <w:rPr>
            <w:rStyle w:val="Hyperlink"/>
          </w:rPr>
          <w:t>https://www.irs.gov/businesses/corporations/qualified-intermediary-system</w:t>
        </w:r>
      </w:hyperlink>
      <w:r w:rsidR="000F375B">
        <w:t>. An application must also include any additional information and documentation requested by the IRS.</w:t>
      </w:r>
    </w:p>
    <w:p w:rsidR="00993B04" w:rsidRDefault="00993B04" w14:paraId="1EE9AF4C" w14:textId="77777777">
      <w:pPr>
        <w:pStyle w:val="BodyText"/>
        <w:ind w:left="821" w:right="126"/>
      </w:pPr>
    </w:p>
    <w:p w:rsidR="00993B04" w:rsidRDefault="005D44EE" w14:paraId="6696B53E" w14:textId="0184A56F">
      <w:pPr>
        <w:pStyle w:val="BodyText"/>
        <w:ind w:left="821" w:right="126"/>
      </w:pPr>
      <w:r>
        <w:t>Form 14345</w:t>
      </w:r>
      <w:r w:rsidR="00993B04">
        <w:t xml:space="preserve"> is an application form for foreign financial institutions requesting Qualified Intermediary Agreement with the IRS.</w:t>
      </w:r>
    </w:p>
    <w:p w:rsidR="00767C66" w:rsidRDefault="00767C66" w14:paraId="0BF8ABDE" w14:textId="0ED313E4">
      <w:pPr>
        <w:pStyle w:val="BodyText"/>
        <w:spacing w:line="218" w:lineRule="exact"/>
        <w:ind w:left="821"/>
      </w:pPr>
    </w:p>
    <w:p w:rsidR="00767C66" w:rsidRDefault="00767C66" w14:paraId="5DE612A1" w14:textId="77777777">
      <w:pPr>
        <w:pStyle w:val="BodyText"/>
        <w:spacing w:before="8"/>
        <w:rPr>
          <w:sz w:val="21"/>
        </w:rPr>
      </w:pPr>
    </w:p>
    <w:p w:rsidR="00767C66" w:rsidRDefault="00E11BCD" w14:paraId="5E65800E" w14:textId="77777777">
      <w:pPr>
        <w:pStyle w:val="Heading1"/>
        <w:numPr>
          <w:ilvl w:val="0"/>
          <w:numId w:val="1"/>
        </w:numPr>
        <w:tabs>
          <w:tab w:val="left" w:pos="821"/>
          <w:tab w:val="left" w:pos="822"/>
        </w:tabs>
        <w:ind w:hanging="722"/>
        <w:rPr>
          <w:u w:val="none"/>
        </w:rPr>
      </w:pPr>
      <w:r>
        <w:t>USE OF</w:t>
      </w:r>
      <w:r>
        <w:rPr>
          <w:spacing w:val="-9"/>
        </w:rPr>
        <w:t xml:space="preserve"> </w:t>
      </w:r>
      <w:r>
        <w:t>DATA</w:t>
      </w:r>
    </w:p>
    <w:p w:rsidR="00767C66" w:rsidRDefault="00767C66" w14:paraId="76EE838E" w14:textId="77777777">
      <w:pPr>
        <w:pStyle w:val="BodyText"/>
        <w:spacing w:before="6"/>
        <w:rPr>
          <w:b/>
          <w:sz w:val="17"/>
        </w:rPr>
      </w:pPr>
    </w:p>
    <w:p w:rsidR="00767C66" w:rsidRDefault="00E11BCD" w14:paraId="3739E30F" w14:textId="77777777">
      <w:pPr>
        <w:pStyle w:val="BodyText"/>
        <w:spacing w:before="58"/>
        <w:ind w:left="821" w:right="276"/>
      </w:pPr>
      <w:r>
        <w:t>The information will be used by the IRS to ensure compliance with the U.S. withholding system under the section 1441 regulations (especially proper entitlement to treaty benefits).</w:t>
      </w:r>
    </w:p>
    <w:p w:rsidR="00767C66" w:rsidRDefault="00767C66" w14:paraId="42C895AF" w14:textId="77777777">
      <w:pPr>
        <w:pStyle w:val="BodyText"/>
        <w:spacing w:before="1"/>
      </w:pPr>
    </w:p>
    <w:p w:rsidR="00767C66" w:rsidRDefault="00E11BCD" w14:paraId="24232F3F" w14:textId="77777777">
      <w:pPr>
        <w:pStyle w:val="BodyText"/>
        <w:ind w:left="821"/>
      </w:pPr>
      <w:r>
        <w:t xml:space="preserve">The information in the form will be used to determine </w:t>
      </w:r>
      <w:proofErr w:type="gramStart"/>
      <w:r>
        <w:t>whether or not</w:t>
      </w:r>
      <w:proofErr w:type="gramEnd"/>
      <w:r>
        <w:t xml:space="preserve"> to approve the entity for status as a QI, WP, or WT.</w:t>
      </w:r>
    </w:p>
    <w:p w:rsidR="00767C66" w:rsidRDefault="00767C66" w14:paraId="74D8411A" w14:textId="77777777">
      <w:pPr>
        <w:pStyle w:val="BodyText"/>
        <w:spacing w:before="1"/>
      </w:pPr>
    </w:p>
    <w:p w:rsidR="00767C66" w:rsidRDefault="00E11BCD" w14:paraId="27466BA5" w14:textId="77777777">
      <w:pPr>
        <w:pStyle w:val="Heading1"/>
        <w:numPr>
          <w:ilvl w:val="0"/>
          <w:numId w:val="1"/>
        </w:numPr>
        <w:tabs>
          <w:tab w:val="left" w:pos="821"/>
          <w:tab w:val="left" w:pos="822"/>
        </w:tabs>
        <w:ind w:hanging="722"/>
        <w:rPr>
          <w:u w:val="none"/>
        </w:rPr>
      </w:pPr>
      <w:r>
        <w:t xml:space="preserve">USE OF </w:t>
      </w:r>
      <w:r>
        <w:rPr>
          <w:spacing w:val="-3"/>
        </w:rPr>
        <w:t xml:space="preserve">IMPROVED INFORMATION TECHNOLOGY </w:t>
      </w:r>
      <w:r>
        <w:t xml:space="preserve">TO </w:t>
      </w:r>
      <w:r>
        <w:rPr>
          <w:spacing w:val="-3"/>
        </w:rPr>
        <w:t>REDUCE</w:t>
      </w:r>
      <w:r>
        <w:rPr>
          <w:spacing w:val="18"/>
        </w:rPr>
        <w:t xml:space="preserve"> </w:t>
      </w:r>
      <w:r>
        <w:t>BURDEN</w:t>
      </w:r>
    </w:p>
    <w:p w:rsidR="00767C66" w:rsidRDefault="00767C66" w14:paraId="539C73AE" w14:textId="77777777">
      <w:pPr>
        <w:pStyle w:val="BodyText"/>
        <w:rPr>
          <w:b/>
          <w:sz w:val="17"/>
        </w:rPr>
      </w:pPr>
    </w:p>
    <w:p w:rsidRPr="00993B04" w:rsidR="00993B04" w:rsidP="00993B04" w:rsidRDefault="00993B04" w14:paraId="47FA423A" w14:textId="14C01F6D">
      <w:pPr>
        <w:pStyle w:val="BodyText"/>
        <w:spacing w:before="58"/>
        <w:ind w:left="821" w:right="208"/>
        <w:rPr>
          <w:bCs/>
        </w:rPr>
      </w:pPr>
      <w:r>
        <w:t xml:space="preserve"> </w:t>
      </w:r>
      <w:r w:rsidRPr="00993B04">
        <w:rPr>
          <w:bCs/>
        </w:rPr>
        <w:t xml:space="preserve">The IRS has no plans to offer electronic enabling </w:t>
      </w:r>
      <w:r>
        <w:rPr>
          <w:bCs/>
        </w:rPr>
        <w:t xml:space="preserve">for Form 14345 </w:t>
      </w:r>
      <w:r w:rsidRPr="00993B04">
        <w:rPr>
          <w:bCs/>
        </w:rPr>
        <w:t xml:space="preserve">because this collection </w:t>
      </w:r>
      <w:r>
        <w:rPr>
          <w:bCs/>
        </w:rPr>
        <w:t xml:space="preserve">specifies the information required </w:t>
      </w:r>
      <w:r w:rsidR="006D5F2F">
        <w:rPr>
          <w:bCs/>
        </w:rPr>
        <w:t>for the Application for QI status.</w:t>
      </w:r>
    </w:p>
    <w:p w:rsidR="00767C66" w:rsidRDefault="00767C66" w14:paraId="32ED4A98" w14:textId="77777777">
      <w:pPr>
        <w:pStyle w:val="BodyText"/>
        <w:spacing w:before="4"/>
      </w:pPr>
    </w:p>
    <w:p w:rsidR="00767C66" w:rsidRDefault="00E11BCD" w14:paraId="54537BF0" w14:textId="77777777">
      <w:pPr>
        <w:pStyle w:val="Heading1"/>
        <w:numPr>
          <w:ilvl w:val="0"/>
          <w:numId w:val="1"/>
        </w:numPr>
        <w:tabs>
          <w:tab w:val="left" w:pos="821"/>
          <w:tab w:val="left" w:pos="822"/>
        </w:tabs>
        <w:ind w:hanging="722"/>
        <w:rPr>
          <w:u w:val="none"/>
        </w:rPr>
      </w:pPr>
      <w:r>
        <w:t xml:space="preserve">EFFORTS TO </w:t>
      </w:r>
      <w:r>
        <w:rPr>
          <w:spacing w:val="-3"/>
        </w:rPr>
        <w:t>IDENTIFY</w:t>
      </w:r>
      <w:r>
        <w:rPr>
          <w:spacing w:val="2"/>
        </w:rPr>
        <w:t xml:space="preserve"> </w:t>
      </w:r>
      <w:r>
        <w:t>DUPLICATION</w:t>
      </w:r>
    </w:p>
    <w:p w:rsidR="00767C66" w:rsidRDefault="00767C66" w14:paraId="21C69469" w14:textId="77777777">
      <w:pPr>
        <w:pStyle w:val="BodyText"/>
        <w:spacing w:before="6"/>
        <w:rPr>
          <w:b/>
          <w:sz w:val="17"/>
        </w:rPr>
      </w:pPr>
    </w:p>
    <w:p w:rsidR="00767C66" w:rsidRDefault="00E11BCD" w14:paraId="5A383B09" w14:textId="7538261B">
      <w:pPr>
        <w:pStyle w:val="BodyText"/>
        <w:spacing w:before="58"/>
        <w:ind w:left="821" w:right="196"/>
      </w:pPr>
      <w:r>
        <w:t xml:space="preserve">The information obtained through this collection is unique and is not already available </w:t>
      </w:r>
      <w:r w:rsidR="00674371">
        <w:t>f</w:t>
      </w:r>
      <w:r>
        <w:t>or use or adaption from another source.</w:t>
      </w:r>
    </w:p>
    <w:p w:rsidR="00767C66" w:rsidRDefault="00767C66" w14:paraId="3A3DBFA2" w14:textId="77777777">
      <w:pPr>
        <w:sectPr w:rsidR="00767C66" w:rsidSect="005D44EE">
          <w:headerReference w:type="default" r:id="rId9"/>
          <w:pgSz w:w="12240" w:h="15840"/>
          <w:pgMar w:top="1152" w:right="1325" w:bottom="274" w:left="1152" w:header="1440" w:footer="0" w:gutter="0"/>
          <w:cols w:space="720"/>
        </w:sectPr>
      </w:pPr>
    </w:p>
    <w:p w:rsidR="00767C66" w:rsidRDefault="00E11BCD" w14:paraId="6956AA09" w14:textId="77777777">
      <w:pPr>
        <w:pStyle w:val="Heading1"/>
        <w:numPr>
          <w:ilvl w:val="0"/>
          <w:numId w:val="1"/>
        </w:numPr>
        <w:tabs>
          <w:tab w:val="left" w:pos="821"/>
          <w:tab w:val="left" w:pos="822"/>
        </w:tabs>
        <w:spacing w:before="58"/>
        <w:ind w:hanging="722"/>
        <w:rPr>
          <w:u w:val="none"/>
        </w:rPr>
      </w:pPr>
      <w:r>
        <w:lastRenderedPageBreak/>
        <w:t xml:space="preserve">METHODS TO </w:t>
      </w:r>
      <w:r>
        <w:rPr>
          <w:spacing w:val="-3"/>
        </w:rPr>
        <w:t xml:space="preserve">MINIMIZE </w:t>
      </w:r>
      <w:r>
        <w:t xml:space="preserve">BURDEN ON SMALL </w:t>
      </w:r>
      <w:r>
        <w:rPr>
          <w:spacing w:val="-3"/>
        </w:rPr>
        <w:t xml:space="preserve">BUSINESSES </w:t>
      </w:r>
      <w:r>
        <w:t>OR OTHER SMALL</w:t>
      </w:r>
      <w:r>
        <w:rPr>
          <w:spacing w:val="10"/>
        </w:rPr>
        <w:t xml:space="preserve"> </w:t>
      </w:r>
      <w:r>
        <w:rPr>
          <w:spacing w:val="-3"/>
        </w:rPr>
        <w:t>ENTITIES</w:t>
      </w:r>
    </w:p>
    <w:p w:rsidR="00767C66" w:rsidRDefault="00767C66" w14:paraId="3CC618C6" w14:textId="77777777">
      <w:pPr>
        <w:pStyle w:val="BodyText"/>
        <w:rPr>
          <w:b/>
          <w:sz w:val="17"/>
        </w:rPr>
      </w:pPr>
    </w:p>
    <w:p w:rsidRPr="006D5F2F" w:rsidR="006D5F2F" w:rsidP="006D5F2F" w:rsidRDefault="006D5F2F" w14:paraId="0987ACA7" w14:textId="16D501F5">
      <w:pPr>
        <w:pStyle w:val="BodyText"/>
        <w:spacing w:before="58" w:line="244" w:lineRule="auto"/>
        <w:ind w:left="849"/>
      </w:pPr>
      <w:bookmarkStart w:name="_Hlk70182364" w:id="0"/>
      <w:bookmarkStart w:name="_Hlk68108696" w:id="1"/>
      <w:bookmarkStart w:name="_Hlk67957564" w:id="2"/>
      <w:r w:rsidRPr="006D5F2F">
        <w:rPr>
          <w:rFonts w:eastAsia="Times New Roman" w:cs="CG Times" w:asciiTheme="minorHAnsi" w:hAnsiTheme="minorHAnsi"/>
          <w:bCs/>
        </w:rPr>
        <w:t xml:space="preserve"> </w:t>
      </w:r>
      <w:r w:rsidRPr="006D5F2F">
        <w:rPr>
          <w:bCs/>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bookmarkEnd w:id="0"/>
      <w:r w:rsidRPr="006D5F2F">
        <w:rPr>
          <w:bCs/>
        </w:rPr>
        <w:t xml:space="preserve">The Agency will continue to as applicable find ways </w:t>
      </w:r>
      <w:r w:rsidRPr="006D5F2F">
        <w:t>to reduce the burden on small businesses or other small entities</w:t>
      </w:r>
      <w:bookmarkEnd w:id="1"/>
      <w:r w:rsidRPr="006D5F2F">
        <w:t>.</w:t>
      </w:r>
    </w:p>
    <w:bookmarkEnd w:id="2"/>
    <w:p w:rsidR="00767C66" w:rsidRDefault="00767C66" w14:paraId="2A088FD1" w14:textId="77777777">
      <w:pPr>
        <w:pStyle w:val="BodyText"/>
        <w:spacing w:before="2"/>
        <w:rPr>
          <w:sz w:val="21"/>
        </w:rPr>
      </w:pPr>
    </w:p>
    <w:p w:rsidR="00767C66" w:rsidRDefault="00E11BCD" w14:paraId="258205AA" w14:textId="77777777">
      <w:pPr>
        <w:pStyle w:val="Heading1"/>
        <w:numPr>
          <w:ilvl w:val="0"/>
          <w:numId w:val="1"/>
        </w:numPr>
        <w:tabs>
          <w:tab w:val="left" w:pos="821"/>
          <w:tab w:val="left" w:pos="822"/>
        </w:tabs>
        <w:spacing w:line="244" w:lineRule="auto"/>
        <w:ind w:right="875"/>
        <w:rPr>
          <w:u w:val="none"/>
        </w:rPr>
      </w:pPr>
      <w:r>
        <w:t xml:space="preserve">CONSEQUENCES OF LESS </w:t>
      </w:r>
      <w:r>
        <w:rPr>
          <w:spacing w:val="-3"/>
        </w:rPr>
        <w:t xml:space="preserve">FREQUENT </w:t>
      </w:r>
      <w:r>
        <w:t xml:space="preserve">COLLECTION ON FEDERAL </w:t>
      </w:r>
      <w:r>
        <w:rPr>
          <w:spacing w:val="-3"/>
        </w:rPr>
        <w:t xml:space="preserve">PROGRAMS </w:t>
      </w:r>
      <w:r>
        <w:t>OR POLICY ACTIVITIES</w:t>
      </w:r>
    </w:p>
    <w:p w:rsidR="00767C66" w:rsidRDefault="00767C66" w14:paraId="08202234" w14:textId="77777777">
      <w:pPr>
        <w:pStyle w:val="BodyText"/>
        <w:spacing w:before="5"/>
        <w:rPr>
          <w:b/>
          <w:sz w:val="16"/>
        </w:rPr>
      </w:pPr>
    </w:p>
    <w:p w:rsidR="00767C66" w:rsidRDefault="00E11BCD" w14:paraId="53CCD764" w14:textId="77777777">
      <w:pPr>
        <w:pStyle w:val="BodyText"/>
        <w:spacing w:before="59"/>
        <w:ind w:left="821" w:right="189"/>
      </w:pPr>
      <w:r>
        <w:t>The information required is needed to verify compliance with Treasury Regulations. A less frequent collection of taxes and tax information could adversely affect the government’s effectiveness and would reduce the oversight of the public in ensuring compliance with Internal Revenue Code and hinder the IRS from meeting its mission.</w:t>
      </w:r>
    </w:p>
    <w:p w:rsidR="00767C66" w:rsidRDefault="00767C66" w14:paraId="74700180" w14:textId="77777777">
      <w:pPr>
        <w:pStyle w:val="BodyText"/>
        <w:spacing w:before="6"/>
      </w:pPr>
    </w:p>
    <w:p w:rsidR="00767C66" w:rsidRDefault="00E11BCD" w14:paraId="07F6741B" w14:textId="77777777">
      <w:pPr>
        <w:pStyle w:val="Heading1"/>
        <w:numPr>
          <w:ilvl w:val="0"/>
          <w:numId w:val="1"/>
        </w:numPr>
        <w:tabs>
          <w:tab w:val="left" w:pos="821"/>
          <w:tab w:val="left" w:pos="822"/>
        </w:tabs>
        <w:spacing w:line="237" w:lineRule="auto"/>
        <w:ind w:right="1009"/>
        <w:rPr>
          <w:u w:val="none"/>
        </w:rPr>
      </w:pPr>
      <w:r>
        <w:t xml:space="preserve">SPECIAL </w:t>
      </w:r>
      <w:r>
        <w:rPr>
          <w:spacing w:val="-3"/>
        </w:rPr>
        <w:t xml:space="preserve">CIRCUMSTANCES REQUIRING </w:t>
      </w:r>
      <w:r>
        <w:t xml:space="preserve">DATA </w:t>
      </w:r>
      <w:r>
        <w:rPr>
          <w:spacing w:val="-3"/>
        </w:rPr>
        <w:t xml:space="preserve">COLLECTION </w:t>
      </w:r>
      <w:r>
        <w:t xml:space="preserve">TO BE </w:t>
      </w:r>
      <w:r>
        <w:rPr>
          <w:spacing w:val="-3"/>
        </w:rPr>
        <w:t xml:space="preserve">INCONSISTENT </w:t>
      </w:r>
      <w:r>
        <w:t>WITH GUIDELINES IN 5 CFR</w:t>
      </w:r>
      <w:r>
        <w:rPr>
          <w:spacing w:val="-2"/>
        </w:rPr>
        <w:t xml:space="preserve"> </w:t>
      </w:r>
      <w:r>
        <w:t>1320.5(d)(2)</w:t>
      </w:r>
    </w:p>
    <w:p w:rsidR="00767C66" w:rsidRDefault="00767C66" w14:paraId="14D0D2CE" w14:textId="77777777">
      <w:pPr>
        <w:pStyle w:val="BodyText"/>
        <w:spacing w:before="7"/>
        <w:rPr>
          <w:b/>
          <w:sz w:val="17"/>
        </w:rPr>
      </w:pPr>
    </w:p>
    <w:p w:rsidR="00767C66" w:rsidRDefault="00E11BCD" w14:paraId="2A33D5A5" w14:textId="77777777">
      <w:pPr>
        <w:pStyle w:val="BodyText"/>
        <w:spacing w:before="58"/>
        <w:ind w:left="821" w:right="294"/>
      </w:pPr>
      <w:r>
        <w:t>There are no special circumstances requiring data collection to be inconsistent with Guidelines in 5 CFR 1320.5(d)(2).</w:t>
      </w:r>
    </w:p>
    <w:p w:rsidR="00767C66" w:rsidRDefault="00767C66" w14:paraId="2197E63F" w14:textId="77777777">
      <w:pPr>
        <w:pStyle w:val="BodyText"/>
        <w:spacing w:before="3"/>
      </w:pPr>
    </w:p>
    <w:p w:rsidR="00767C66" w:rsidRDefault="00E11BCD" w14:paraId="5B68C76A" w14:textId="77777777">
      <w:pPr>
        <w:pStyle w:val="Heading1"/>
        <w:numPr>
          <w:ilvl w:val="0"/>
          <w:numId w:val="1"/>
        </w:numPr>
        <w:tabs>
          <w:tab w:val="left" w:pos="821"/>
          <w:tab w:val="left" w:pos="822"/>
        </w:tabs>
        <w:spacing w:before="1" w:line="237" w:lineRule="auto"/>
        <w:ind w:right="255"/>
        <w:rPr>
          <w:u w:val="none"/>
        </w:rPr>
      </w:pPr>
      <w:r>
        <w:t xml:space="preserve">CONSULTATION </w:t>
      </w:r>
      <w:r>
        <w:rPr>
          <w:spacing w:val="-4"/>
        </w:rPr>
        <w:t xml:space="preserve">WITH </w:t>
      </w:r>
      <w:r>
        <w:rPr>
          <w:spacing w:val="-3"/>
        </w:rPr>
        <w:t xml:space="preserve">INDIVIDUALS OUTSIDE </w:t>
      </w:r>
      <w:r>
        <w:t xml:space="preserve">OF </w:t>
      </w:r>
      <w:r>
        <w:rPr>
          <w:spacing w:val="-3"/>
        </w:rPr>
        <w:t xml:space="preserve">THE AGENCY </w:t>
      </w:r>
      <w:r>
        <w:t xml:space="preserve">ON AVAILABILITY OF DATA, </w:t>
      </w:r>
      <w:r>
        <w:rPr>
          <w:spacing w:val="-3"/>
        </w:rPr>
        <w:t xml:space="preserve">FREQUENCY </w:t>
      </w:r>
      <w:r>
        <w:t xml:space="preserve">OF COLLECTION, CLARITY OF </w:t>
      </w:r>
      <w:r>
        <w:rPr>
          <w:spacing w:val="-3"/>
        </w:rPr>
        <w:t xml:space="preserve">INSTRUCTIONS </w:t>
      </w:r>
      <w:r>
        <w:rPr>
          <w:spacing w:val="-4"/>
        </w:rPr>
        <w:t xml:space="preserve">AND </w:t>
      </w:r>
      <w:r>
        <w:rPr>
          <w:spacing w:val="-2"/>
        </w:rPr>
        <w:t xml:space="preserve">FORMS, </w:t>
      </w:r>
      <w:r>
        <w:t xml:space="preserve">AND </w:t>
      </w:r>
      <w:r>
        <w:rPr>
          <w:spacing w:val="-4"/>
        </w:rPr>
        <w:t>DATA</w:t>
      </w:r>
      <w:r>
        <w:rPr>
          <w:spacing w:val="-2"/>
        </w:rPr>
        <w:t xml:space="preserve"> </w:t>
      </w:r>
      <w:r>
        <w:rPr>
          <w:spacing w:val="-3"/>
        </w:rPr>
        <w:t>ELEMENTS</w:t>
      </w:r>
      <w:r>
        <w:rPr>
          <w:spacing w:val="3"/>
        </w:rPr>
        <w:t xml:space="preserve"> </w:t>
      </w:r>
    </w:p>
    <w:p w:rsidR="00767C66" w:rsidRDefault="00767C66" w14:paraId="5DB7271D" w14:textId="77777777">
      <w:pPr>
        <w:pStyle w:val="BodyText"/>
        <w:rPr>
          <w:b/>
          <w:sz w:val="17"/>
        </w:rPr>
      </w:pPr>
    </w:p>
    <w:p w:rsidR="00767C66" w:rsidRDefault="00E11BCD" w14:paraId="56647C2B" w14:textId="77777777">
      <w:pPr>
        <w:pStyle w:val="BodyText"/>
        <w:spacing w:before="58" w:line="244" w:lineRule="auto"/>
        <w:ind w:left="821" w:right="510"/>
      </w:pPr>
      <w:r>
        <w:t>In response to the Federal Register notice dated June 2, 2021 (86 FR 29626), IRS received no comments during the comment period regarding these regulations.</w:t>
      </w:r>
    </w:p>
    <w:p w:rsidR="00767C66" w:rsidRDefault="00767C66" w14:paraId="67FC6864" w14:textId="77777777">
      <w:pPr>
        <w:pStyle w:val="BodyText"/>
        <w:spacing w:before="2"/>
        <w:rPr>
          <w:sz w:val="21"/>
        </w:rPr>
      </w:pPr>
    </w:p>
    <w:p w:rsidR="00767C66" w:rsidRDefault="00E11BCD" w14:paraId="593DBE4F" w14:textId="77777777">
      <w:pPr>
        <w:pStyle w:val="Heading1"/>
        <w:numPr>
          <w:ilvl w:val="0"/>
          <w:numId w:val="1"/>
        </w:numPr>
        <w:tabs>
          <w:tab w:val="left" w:pos="821"/>
          <w:tab w:val="left" w:pos="822"/>
        </w:tabs>
        <w:spacing w:before="1"/>
        <w:ind w:hanging="722"/>
        <w:rPr>
          <w:u w:val="none"/>
        </w:rPr>
      </w:pPr>
      <w:r>
        <w:t xml:space="preserve">EXPLANATION OF DECISION TO PROVIDE ANY PAYMENT OR GIFT </w:t>
      </w:r>
      <w:r>
        <w:rPr>
          <w:spacing w:val="-5"/>
        </w:rPr>
        <w:t>TO</w:t>
      </w:r>
      <w:r>
        <w:rPr>
          <w:spacing w:val="-23"/>
        </w:rPr>
        <w:t xml:space="preserve"> </w:t>
      </w:r>
      <w:r>
        <w:rPr>
          <w:spacing w:val="-3"/>
        </w:rPr>
        <w:t>RESPONDENTS</w:t>
      </w:r>
    </w:p>
    <w:p w:rsidR="00767C66" w:rsidRDefault="00767C66" w14:paraId="30BAD1D0" w14:textId="77777777">
      <w:pPr>
        <w:pStyle w:val="BodyText"/>
        <w:spacing w:before="5"/>
        <w:rPr>
          <w:b/>
          <w:sz w:val="17"/>
        </w:rPr>
      </w:pPr>
    </w:p>
    <w:p w:rsidR="00767C66" w:rsidRDefault="00E11BCD" w14:paraId="0A0FEEBC" w14:textId="77777777">
      <w:pPr>
        <w:pStyle w:val="BodyText"/>
        <w:spacing w:before="58"/>
        <w:ind w:left="821"/>
      </w:pPr>
      <w:r>
        <w:t>No payment or gift has been provided to any respondents.</w:t>
      </w:r>
    </w:p>
    <w:p w:rsidR="00767C66" w:rsidRDefault="00767C66" w14:paraId="2046516E" w14:textId="77777777">
      <w:pPr>
        <w:pStyle w:val="BodyText"/>
        <w:spacing w:before="4"/>
      </w:pPr>
    </w:p>
    <w:p w:rsidR="00767C66" w:rsidRDefault="00E11BCD" w14:paraId="44AEA61A" w14:textId="77777777">
      <w:pPr>
        <w:pStyle w:val="Heading1"/>
        <w:numPr>
          <w:ilvl w:val="0"/>
          <w:numId w:val="1"/>
        </w:numPr>
        <w:tabs>
          <w:tab w:val="left" w:pos="821"/>
          <w:tab w:val="left" w:pos="822"/>
        </w:tabs>
        <w:ind w:hanging="722"/>
        <w:rPr>
          <w:u w:val="none"/>
        </w:rPr>
      </w:pPr>
      <w:r>
        <w:t xml:space="preserve">ASSURANCE OF </w:t>
      </w:r>
      <w:r>
        <w:rPr>
          <w:spacing w:val="-3"/>
        </w:rPr>
        <w:t xml:space="preserve">CONFIDENTIALITY </w:t>
      </w:r>
      <w:r>
        <w:t>OF</w:t>
      </w:r>
      <w:r>
        <w:rPr>
          <w:spacing w:val="-7"/>
        </w:rPr>
        <w:t xml:space="preserve"> </w:t>
      </w:r>
      <w:r>
        <w:t>RESPONSES</w:t>
      </w:r>
    </w:p>
    <w:p w:rsidR="00767C66" w:rsidRDefault="00767C66" w14:paraId="7B2715AC" w14:textId="77777777">
      <w:pPr>
        <w:pStyle w:val="BodyText"/>
        <w:spacing w:before="11"/>
        <w:rPr>
          <w:b/>
          <w:sz w:val="16"/>
        </w:rPr>
      </w:pPr>
    </w:p>
    <w:p w:rsidR="00767C66" w:rsidRDefault="00E11BCD" w14:paraId="25776CB5" w14:textId="77777777">
      <w:pPr>
        <w:pStyle w:val="BodyText"/>
        <w:spacing w:before="58"/>
        <w:ind w:left="821"/>
      </w:pPr>
      <w:r>
        <w:t>Generally, tax returns and tax return information are confidential as required by 26 USC 6103.</w:t>
      </w:r>
    </w:p>
    <w:p w:rsidR="00767C66" w:rsidRDefault="00767C66" w14:paraId="71923417" w14:textId="77777777">
      <w:pPr>
        <w:pStyle w:val="BodyText"/>
        <w:spacing w:before="3"/>
      </w:pPr>
    </w:p>
    <w:p w:rsidR="00767C66" w:rsidRDefault="00E11BCD" w14:paraId="10E55C7B" w14:textId="77777777">
      <w:pPr>
        <w:pStyle w:val="Heading1"/>
        <w:numPr>
          <w:ilvl w:val="0"/>
          <w:numId w:val="1"/>
        </w:numPr>
        <w:tabs>
          <w:tab w:val="left" w:pos="821"/>
          <w:tab w:val="left" w:pos="822"/>
        </w:tabs>
        <w:ind w:hanging="722"/>
        <w:rPr>
          <w:u w:val="none"/>
        </w:rPr>
      </w:pPr>
      <w:r>
        <w:t>JUSTIFICATION OF SENSITIVE</w:t>
      </w:r>
      <w:r>
        <w:rPr>
          <w:spacing w:val="-5"/>
        </w:rPr>
        <w:t xml:space="preserve"> </w:t>
      </w:r>
      <w:r>
        <w:rPr>
          <w:spacing w:val="-3"/>
        </w:rPr>
        <w:t>QUESTIONS</w:t>
      </w:r>
    </w:p>
    <w:p w:rsidR="00767C66" w:rsidRDefault="00767C66" w14:paraId="4A19938E" w14:textId="77777777">
      <w:pPr>
        <w:pStyle w:val="BodyText"/>
        <w:spacing w:before="11"/>
        <w:rPr>
          <w:b/>
          <w:sz w:val="16"/>
        </w:rPr>
      </w:pPr>
    </w:p>
    <w:p w:rsidR="00767C66" w:rsidRDefault="00E11BCD" w14:paraId="523E8341" w14:textId="77777777">
      <w:pPr>
        <w:pStyle w:val="BodyText"/>
        <w:spacing w:before="58"/>
        <w:ind w:left="821" w:right="280"/>
      </w:pPr>
      <w:r>
        <w:t>A privacy impact assessment (PIA) has been conducted for information collected under this request as part of the “Business Master File, BMF” system and a Privacy Act System of Records notice (SORN) has been issued for this system under: Treas/IRS 24.046 Customer Account Data Engine Business Master File and Treas/IRS 34.047 Audit trail and security records system.</w:t>
      </w:r>
    </w:p>
    <w:p w:rsidR="0099148A" w:rsidRDefault="0099148A" w14:paraId="33F22CB8" w14:textId="77777777">
      <w:pPr>
        <w:pStyle w:val="BodyText"/>
        <w:spacing w:before="1"/>
        <w:ind w:left="821"/>
      </w:pPr>
    </w:p>
    <w:p w:rsidR="0099148A" w:rsidRDefault="0099148A" w14:paraId="5F1A6348" w14:textId="77777777">
      <w:pPr>
        <w:pStyle w:val="BodyText"/>
        <w:spacing w:before="1"/>
        <w:ind w:left="821"/>
      </w:pPr>
    </w:p>
    <w:p w:rsidR="0099148A" w:rsidRDefault="0099148A" w14:paraId="7A95E59D" w14:textId="77777777">
      <w:pPr>
        <w:pStyle w:val="BodyText"/>
        <w:spacing w:before="1"/>
        <w:ind w:left="821"/>
      </w:pPr>
    </w:p>
    <w:p w:rsidR="0099148A" w:rsidRDefault="0099148A" w14:paraId="27019B1A" w14:textId="77777777">
      <w:pPr>
        <w:pStyle w:val="BodyText"/>
        <w:spacing w:before="1"/>
        <w:ind w:left="821"/>
      </w:pPr>
    </w:p>
    <w:p w:rsidR="0099148A" w:rsidRDefault="0099148A" w14:paraId="5C33F200" w14:textId="77777777">
      <w:pPr>
        <w:pStyle w:val="BodyText"/>
        <w:spacing w:before="1"/>
        <w:ind w:left="821"/>
      </w:pPr>
    </w:p>
    <w:p w:rsidR="0099148A" w:rsidRDefault="0099148A" w14:paraId="23898064" w14:textId="77777777">
      <w:pPr>
        <w:pStyle w:val="BodyText"/>
        <w:spacing w:before="1"/>
        <w:ind w:left="821"/>
      </w:pPr>
    </w:p>
    <w:p w:rsidR="0099148A" w:rsidRDefault="0099148A" w14:paraId="7E7DF767" w14:textId="77777777">
      <w:pPr>
        <w:pStyle w:val="BodyText"/>
        <w:spacing w:before="1"/>
        <w:ind w:left="821"/>
      </w:pPr>
    </w:p>
    <w:p w:rsidR="0099148A" w:rsidRDefault="0099148A" w14:paraId="4845CFB6" w14:textId="77777777">
      <w:pPr>
        <w:pStyle w:val="BodyText"/>
        <w:spacing w:before="1"/>
        <w:ind w:left="821"/>
      </w:pPr>
    </w:p>
    <w:p w:rsidR="0099148A" w:rsidRDefault="0099148A" w14:paraId="295457E8" w14:textId="77777777">
      <w:pPr>
        <w:pStyle w:val="BodyText"/>
        <w:spacing w:before="1"/>
        <w:ind w:left="821"/>
      </w:pPr>
    </w:p>
    <w:p w:rsidR="0099148A" w:rsidRDefault="0099148A" w14:paraId="2BD81C5C" w14:textId="77777777">
      <w:pPr>
        <w:pStyle w:val="BodyText"/>
        <w:spacing w:before="1"/>
        <w:ind w:left="821"/>
      </w:pPr>
    </w:p>
    <w:p w:rsidR="0099148A" w:rsidRDefault="0099148A" w14:paraId="4330C774" w14:textId="77777777">
      <w:pPr>
        <w:pStyle w:val="BodyText"/>
        <w:spacing w:before="1"/>
        <w:ind w:left="821"/>
      </w:pPr>
    </w:p>
    <w:p w:rsidR="0099148A" w:rsidRDefault="0099148A" w14:paraId="76CFA4B6" w14:textId="77777777">
      <w:pPr>
        <w:pStyle w:val="BodyText"/>
        <w:spacing w:before="1"/>
        <w:ind w:left="821"/>
      </w:pPr>
    </w:p>
    <w:p w:rsidR="00767C66" w:rsidRDefault="00E11BCD" w14:paraId="44FE9900" w14:textId="398678A8">
      <w:pPr>
        <w:pStyle w:val="BodyText"/>
        <w:spacing w:before="1"/>
        <w:ind w:left="821"/>
      </w:pPr>
      <w:r>
        <w:t xml:space="preserve">The Internal Revenue Service PIA’s can be found at </w:t>
      </w:r>
      <w:hyperlink r:id="rId10">
        <w:r>
          <w:rPr>
            <w:color w:val="0000FF"/>
            <w:u w:val="single" w:color="0000FF"/>
          </w:rPr>
          <w:t>https://www.irs.gov/uac/Privacy-Impact-</w:t>
        </w:r>
      </w:hyperlink>
    </w:p>
    <w:p w:rsidR="00767C66" w:rsidP="0099148A" w:rsidRDefault="000E6333" w14:paraId="31FE3970" w14:textId="30D36996">
      <w:pPr>
        <w:pStyle w:val="BodyText"/>
        <w:spacing w:before="58"/>
        <w:ind w:left="821"/>
        <w:rPr>
          <w:sz w:val="20"/>
        </w:rPr>
      </w:pPr>
      <w:hyperlink r:id="rId11">
        <w:r w:rsidR="00E11BCD">
          <w:rPr>
            <w:color w:val="0000FF"/>
            <w:u w:val="single" w:color="0000FF"/>
          </w:rPr>
          <w:t>Assessments-PIA</w:t>
        </w:r>
        <w:r w:rsidR="00E11BCD">
          <w:rPr>
            <w:color w:val="0000FF"/>
          </w:rPr>
          <w:t xml:space="preserve"> </w:t>
        </w:r>
      </w:hyperlink>
      <w:r w:rsidR="00E11BCD">
        <w:t>.</w:t>
      </w:r>
    </w:p>
    <w:p w:rsidR="00767C66" w:rsidRDefault="00767C66" w14:paraId="4E1A3BD5" w14:textId="77777777">
      <w:pPr>
        <w:pStyle w:val="BodyText"/>
        <w:spacing w:before="2"/>
        <w:rPr>
          <w:sz w:val="21"/>
        </w:rPr>
      </w:pPr>
    </w:p>
    <w:p w:rsidR="00767C66" w:rsidRDefault="00E11BCD" w14:paraId="5F763EEF" w14:textId="77777777">
      <w:pPr>
        <w:pStyle w:val="BodyText"/>
        <w:spacing w:before="58" w:line="242" w:lineRule="auto"/>
        <w:ind w:left="821" w:right="148"/>
      </w:pPr>
      <w: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767C66" w:rsidRDefault="00767C66" w14:paraId="565932FC" w14:textId="77777777">
      <w:pPr>
        <w:pStyle w:val="BodyText"/>
        <w:spacing w:before="3"/>
        <w:rPr>
          <w:sz w:val="21"/>
        </w:rPr>
      </w:pPr>
    </w:p>
    <w:p w:rsidR="00767C66" w:rsidRDefault="00E11BCD" w14:paraId="3705D76C" w14:textId="77777777">
      <w:pPr>
        <w:pStyle w:val="Heading1"/>
        <w:numPr>
          <w:ilvl w:val="0"/>
          <w:numId w:val="1"/>
        </w:numPr>
        <w:tabs>
          <w:tab w:val="left" w:pos="821"/>
          <w:tab w:val="left" w:pos="822"/>
        </w:tabs>
        <w:spacing w:before="1"/>
        <w:ind w:hanging="722"/>
        <w:rPr>
          <w:u w:val="none"/>
        </w:rPr>
      </w:pPr>
      <w:r>
        <w:t xml:space="preserve">ESTIMATED </w:t>
      </w:r>
      <w:r>
        <w:rPr>
          <w:spacing w:val="-3"/>
        </w:rPr>
        <w:t xml:space="preserve">BURDEN </w:t>
      </w:r>
      <w:r>
        <w:t xml:space="preserve">OF </w:t>
      </w:r>
      <w:r>
        <w:rPr>
          <w:spacing w:val="-3"/>
        </w:rPr>
        <w:t>INFORMATION</w:t>
      </w:r>
      <w:r>
        <w:rPr>
          <w:spacing w:val="1"/>
        </w:rPr>
        <w:t xml:space="preserve"> </w:t>
      </w:r>
      <w:r>
        <w:t>COLLECTION</w:t>
      </w:r>
    </w:p>
    <w:p w:rsidR="00767C66" w:rsidRDefault="00767C66" w14:paraId="762616F5" w14:textId="77777777">
      <w:pPr>
        <w:pStyle w:val="BodyText"/>
        <w:spacing w:before="6"/>
        <w:rPr>
          <w:b/>
          <w:sz w:val="17"/>
        </w:rPr>
      </w:pPr>
    </w:p>
    <w:p w:rsidR="00767C66" w:rsidRDefault="00E11BCD" w14:paraId="2E4BB535" w14:textId="77777777">
      <w:pPr>
        <w:pStyle w:val="BodyText"/>
        <w:spacing w:before="58" w:line="242" w:lineRule="auto"/>
        <w:ind w:left="821" w:right="191"/>
        <w:rPr>
          <w:b/>
        </w:rPr>
      </w:pPr>
      <w:r>
        <w:t xml:space="preserve">We estimate that approximately 3,000 persons will submit written applications via Form 14345, and that it will take approximately 1 hour, 20 minutes to complete each application or the average. </w:t>
      </w:r>
      <w:r>
        <w:rPr>
          <w:b/>
        </w:rPr>
        <w:t>The total time estimate is 4,000 hours.</w:t>
      </w:r>
    </w:p>
    <w:p w:rsidR="00767C66" w:rsidRDefault="00767C66" w14:paraId="29738401" w14:textId="77777777">
      <w:pPr>
        <w:pStyle w:val="BodyText"/>
        <w:spacing w:before="10"/>
        <w:rPr>
          <w:b/>
          <w:sz w:val="21"/>
        </w:rPr>
      </w:pPr>
    </w:p>
    <w:p w:rsidR="00767C66" w:rsidRDefault="00E11BCD" w14:paraId="4F9BD45B" w14:textId="77777777">
      <w:pPr>
        <w:pStyle w:val="BodyText"/>
        <w:ind w:left="821" w:right="169"/>
      </w:pPr>
      <w:r>
        <w:t xml:space="preserve">A withholding agreement includes the QI's, WP’s, or WT’s obligations to obtain </w:t>
      </w:r>
      <w:r>
        <w:rPr>
          <w:spacing w:val="-3"/>
        </w:rPr>
        <w:t xml:space="preserve">beneficial owner </w:t>
      </w:r>
      <w:r>
        <w:t xml:space="preserve">statements or documentation and report (or otherwise make available) </w:t>
      </w:r>
      <w:r>
        <w:rPr>
          <w:spacing w:val="-3"/>
        </w:rPr>
        <w:t xml:space="preserve">beneficial owner </w:t>
      </w:r>
      <w:r>
        <w:t xml:space="preserve">information to the IRS </w:t>
      </w:r>
      <w:r>
        <w:rPr>
          <w:spacing w:val="-3"/>
        </w:rPr>
        <w:t xml:space="preserve">under </w:t>
      </w:r>
      <w:r>
        <w:t xml:space="preserve">the </w:t>
      </w:r>
      <w:r>
        <w:rPr>
          <w:spacing w:val="-3"/>
        </w:rPr>
        <w:t xml:space="preserve">agreement. </w:t>
      </w:r>
      <w:r>
        <w:t xml:space="preserve">Most of the collections of information contained in the revenue procedure will be </w:t>
      </w:r>
      <w:r>
        <w:rPr>
          <w:spacing w:val="-3"/>
        </w:rPr>
        <w:t xml:space="preserve">reflected </w:t>
      </w:r>
      <w:r>
        <w:t xml:space="preserve">on the QI's Form W-8, </w:t>
      </w:r>
      <w:r>
        <w:rPr>
          <w:spacing w:val="-3"/>
        </w:rPr>
        <w:t xml:space="preserve">Form </w:t>
      </w:r>
      <w:proofErr w:type="gramStart"/>
      <w:r>
        <w:t>1042</w:t>
      </w:r>
      <w:proofErr w:type="gramEnd"/>
      <w:r>
        <w:t xml:space="preserve"> and </w:t>
      </w:r>
      <w:r>
        <w:rPr>
          <w:spacing w:val="-3"/>
        </w:rPr>
        <w:t xml:space="preserve">Form </w:t>
      </w:r>
      <w:r>
        <w:t xml:space="preserve">1042S (where necessary to be </w:t>
      </w:r>
      <w:r>
        <w:rPr>
          <w:spacing w:val="-3"/>
        </w:rPr>
        <w:t xml:space="preserve">filed), </w:t>
      </w:r>
      <w:r>
        <w:t xml:space="preserve">and the accompanying statements to </w:t>
      </w:r>
      <w:r>
        <w:rPr>
          <w:spacing w:val="-3"/>
        </w:rPr>
        <w:t xml:space="preserve">these </w:t>
      </w:r>
      <w:r>
        <w:t xml:space="preserve">forms.  However, there are some instances where the collections of information are not </w:t>
      </w:r>
      <w:r>
        <w:rPr>
          <w:spacing w:val="-3"/>
        </w:rPr>
        <w:t xml:space="preserve">included, </w:t>
      </w:r>
      <w:r>
        <w:rPr>
          <w:spacing w:val="-5"/>
        </w:rPr>
        <w:t xml:space="preserve">or </w:t>
      </w:r>
      <w:r>
        <w:t xml:space="preserve">provided for, in one of the </w:t>
      </w:r>
      <w:proofErr w:type="gramStart"/>
      <w:r>
        <w:t>previously-mentioned</w:t>
      </w:r>
      <w:proofErr w:type="gramEnd"/>
      <w:r>
        <w:t xml:space="preserve"> forms. These collections of information are as</w:t>
      </w:r>
      <w:r>
        <w:rPr>
          <w:spacing w:val="-36"/>
        </w:rPr>
        <w:t xml:space="preserve"> </w:t>
      </w:r>
      <w:r>
        <w:t>follows:</w:t>
      </w:r>
    </w:p>
    <w:p w:rsidR="00767C66" w:rsidRDefault="00767C66" w14:paraId="282E9787" w14:textId="77777777">
      <w:pPr>
        <w:pStyle w:val="BodyText"/>
        <w:spacing w:before="10"/>
        <w:rPr>
          <w:sz w:val="21"/>
        </w:rPr>
      </w:pPr>
    </w:p>
    <w:p w:rsidR="00767C66" w:rsidRDefault="00E11BCD" w14:paraId="1E77E22C" w14:textId="77777777">
      <w:pPr>
        <w:pStyle w:val="BodyText"/>
        <w:spacing w:before="1" w:line="242" w:lineRule="auto"/>
        <w:ind w:left="821" w:right="340"/>
        <w:rPr>
          <w:b/>
        </w:rPr>
      </w:pPr>
      <w:r>
        <w:t xml:space="preserve">The agreement requires a QI, WP, or WT to provide any identifying information (e.g., name, address, or TIN) it may have regarding a U.S. payee that is required to, but does not, provide a Form 1099. We estimate that the QIs will have to provide this information for approximately 6,500 payees and that it will take approximately .25 hours to complete each submission of information. </w:t>
      </w:r>
      <w:r>
        <w:rPr>
          <w:b/>
        </w:rPr>
        <w:t>The total time estimate is 1,625 hours.</w:t>
      </w:r>
    </w:p>
    <w:p w:rsidR="00767C66" w:rsidRDefault="00767C66" w14:paraId="782C7A70" w14:textId="77777777">
      <w:pPr>
        <w:pStyle w:val="BodyText"/>
        <w:spacing w:before="8"/>
        <w:rPr>
          <w:b/>
          <w:sz w:val="21"/>
        </w:rPr>
      </w:pPr>
    </w:p>
    <w:p w:rsidR="00767C66" w:rsidRDefault="00E11BCD" w14:paraId="5D620D54" w14:textId="77777777">
      <w:pPr>
        <w:pStyle w:val="BodyText"/>
        <w:ind w:left="821" w:right="127"/>
        <w:rPr>
          <w:b/>
        </w:rPr>
      </w:pPr>
      <w:r>
        <w:t>The agreement requires a QI, WP, or WT to obtain certain certifications and/or representations from non-individual payees claiming treaty benefits. We estimate that 88,379 non-</w:t>
      </w:r>
      <w:proofErr w:type="gramStart"/>
      <w:r>
        <w:t>individuals</w:t>
      </w:r>
      <w:proofErr w:type="gramEnd"/>
      <w:r>
        <w:t xml:space="preserve"> payees will have to provide this information to the QIs, WPs, and WTs, and that each occurrence would take approximately an average of .50 hours. </w:t>
      </w:r>
      <w:r>
        <w:rPr>
          <w:b/>
        </w:rPr>
        <w:t>The total time estimate is 44,190 hours.</w:t>
      </w:r>
    </w:p>
    <w:p w:rsidR="00767C66" w:rsidRDefault="00767C66" w14:paraId="15A62610" w14:textId="77777777">
      <w:pPr>
        <w:pStyle w:val="BodyText"/>
        <w:spacing w:before="9"/>
        <w:rPr>
          <w:b/>
          <w:sz w:val="21"/>
        </w:rPr>
      </w:pPr>
    </w:p>
    <w:p w:rsidR="00767C66" w:rsidRDefault="00E11BCD" w14:paraId="220EDF6C" w14:textId="77777777">
      <w:pPr>
        <w:pStyle w:val="BodyText"/>
        <w:ind w:left="821" w:right="208"/>
        <w:rPr>
          <w:b/>
        </w:rPr>
      </w:pPr>
      <w:r>
        <w:t xml:space="preserve">The agreement requires a QI, </w:t>
      </w:r>
      <w:r>
        <w:rPr>
          <w:spacing w:val="-2"/>
        </w:rPr>
        <w:t xml:space="preserve">WP, </w:t>
      </w:r>
      <w:r>
        <w:t xml:space="preserve">or WT to maintain a record of the documentation received and reviewed </w:t>
      </w:r>
      <w:r>
        <w:rPr>
          <w:spacing w:val="-3"/>
        </w:rPr>
        <w:t xml:space="preserve">for </w:t>
      </w:r>
      <w:r>
        <w:t xml:space="preserve">purposes of satisfying the terms of its </w:t>
      </w:r>
      <w:r>
        <w:rPr>
          <w:spacing w:val="-3"/>
        </w:rPr>
        <w:t xml:space="preserve">withholding agreement. </w:t>
      </w:r>
      <w:r>
        <w:t xml:space="preserve">We estimate that the QIs, WPs, and WTs will </w:t>
      </w:r>
      <w:r>
        <w:rPr>
          <w:spacing w:val="-3"/>
        </w:rPr>
        <w:t xml:space="preserve">have approximately 1,000,000 occurrences for record retention </w:t>
      </w:r>
      <w:r>
        <w:t xml:space="preserve">and that it will take </w:t>
      </w:r>
      <w:r>
        <w:rPr>
          <w:spacing w:val="-3"/>
        </w:rPr>
        <w:t xml:space="preserve">approximately </w:t>
      </w:r>
      <w:r>
        <w:t xml:space="preserve">.25 hours </w:t>
      </w:r>
      <w:r>
        <w:rPr>
          <w:spacing w:val="-3"/>
        </w:rPr>
        <w:t xml:space="preserve">per </w:t>
      </w:r>
      <w:r>
        <w:t xml:space="preserve">occurrence. </w:t>
      </w:r>
      <w:r>
        <w:rPr>
          <w:b/>
          <w:spacing w:val="-3"/>
        </w:rPr>
        <w:t xml:space="preserve">The </w:t>
      </w:r>
      <w:r>
        <w:rPr>
          <w:b/>
        </w:rPr>
        <w:t xml:space="preserve">total time estimate is </w:t>
      </w:r>
      <w:r>
        <w:rPr>
          <w:b/>
          <w:spacing w:val="-3"/>
        </w:rPr>
        <w:t xml:space="preserve">250,000 </w:t>
      </w:r>
      <w:r>
        <w:rPr>
          <w:b/>
        </w:rPr>
        <w:t>hours.</w:t>
      </w:r>
    </w:p>
    <w:p w:rsidR="00767C66" w:rsidRDefault="00767C66" w14:paraId="2F9E0123" w14:textId="77777777">
      <w:pPr>
        <w:pStyle w:val="BodyText"/>
        <w:spacing w:before="2"/>
        <w:rPr>
          <w:b/>
        </w:rPr>
      </w:pPr>
    </w:p>
    <w:p w:rsidR="00767C66" w:rsidRDefault="00E11BCD" w14:paraId="5B9E5974" w14:textId="77777777">
      <w:pPr>
        <w:pStyle w:val="BodyText"/>
        <w:spacing w:before="1"/>
        <w:ind w:left="821" w:right="314"/>
        <w:rPr>
          <w:b/>
        </w:rPr>
      </w:pPr>
      <w:r>
        <w:t xml:space="preserve">The agreement requires a QI, WP, or WT (who does not assume primary withholding responsibility) to provide sufficient information to a withholding agent so that the withholding agent can </w:t>
      </w:r>
      <w:proofErr w:type="gramStart"/>
      <w:r>
        <w:t>make adjustments</w:t>
      </w:r>
      <w:proofErr w:type="gramEnd"/>
      <w:r>
        <w:t xml:space="preserve"> for any over-and-under withholding. We estimate that there will be approximately 100 QIs in this situation and that it will take approximately 12 hours per QI, WP, or WT to provide this information. </w:t>
      </w:r>
      <w:r>
        <w:rPr>
          <w:b/>
        </w:rPr>
        <w:t>The total time estimate is 1,200 hours.</w:t>
      </w:r>
    </w:p>
    <w:p w:rsidR="00767C66" w:rsidRDefault="00767C66" w14:paraId="64DAAAC1" w14:textId="77777777">
      <w:pPr>
        <w:sectPr w:rsidR="00767C66">
          <w:pgSz w:w="12240" w:h="15840"/>
          <w:pgMar w:top="1700" w:right="1320" w:bottom="280" w:left="1340" w:header="1445" w:footer="0" w:gutter="0"/>
          <w:cols w:space="720"/>
        </w:sectPr>
      </w:pPr>
    </w:p>
    <w:p w:rsidR="00767C66" w:rsidRDefault="00E11BCD" w14:paraId="741B0F8C" w14:textId="16EED899">
      <w:pPr>
        <w:pStyle w:val="BodyText"/>
        <w:spacing w:before="60" w:line="237" w:lineRule="auto"/>
        <w:ind w:left="821" w:right="136"/>
        <w:rPr>
          <w:b/>
        </w:rPr>
      </w:pPr>
      <w:r>
        <w:lastRenderedPageBreak/>
        <w:t xml:space="preserve">The agreement requires a QI to give notice of termination to the IRS if it wishes to terminate the agreement. We estimate that approximately 12 QIs will submit this notification, and that it will take approximately .25 hours. </w:t>
      </w:r>
      <w:r>
        <w:rPr>
          <w:b/>
        </w:rPr>
        <w:t>The total time estimate is 3 hours.</w:t>
      </w:r>
    </w:p>
    <w:p w:rsidR="00767C66" w:rsidRDefault="00767C66" w14:paraId="4D306931" w14:textId="77777777">
      <w:pPr>
        <w:pStyle w:val="BodyText"/>
        <w:rPr>
          <w:b/>
          <w:sz w:val="20"/>
        </w:rPr>
      </w:pPr>
    </w:p>
    <w:p w:rsidR="00767C66" w:rsidRDefault="00767C66" w14:paraId="5540560A" w14:textId="77777777">
      <w:pPr>
        <w:pStyle w:val="BodyText"/>
        <w:spacing w:before="10" w:after="1"/>
        <w:rPr>
          <w:b/>
          <w:sz w:val="24"/>
        </w:rPr>
      </w:pPr>
    </w:p>
    <w:tbl>
      <w:tblPr>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635"/>
        <w:gridCol w:w="3061"/>
        <w:gridCol w:w="1080"/>
        <w:gridCol w:w="993"/>
        <w:gridCol w:w="1260"/>
      </w:tblGrid>
      <w:tr w:rsidR="00767C66" w14:paraId="21C03F6F" w14:textId="77777777">
        <w:trPr>
          <w:trHeight w:val="697"/>
        </w:trPr>
        <w:tc>
          <w:tcPr>
            <w:tcW w:w="1635" w:type="dxa"/>
          </w:tcPr>
          <w:p w:rsidR="00767C66" w:rsidRDefault="00767C66" w14:paraId="2031A449" w14:textId="77777777">
            <w:pPr>
              <w:pStyle w:val="TableParagraph"/>
              <w:spacing w:before="5"/>
              <w:rPr>
                <w:rFonts w:ascii="Calibri"/>
                <w:b/>
                <w:sz w:val="19"/>
              </w:rPr>
            </w:pPr>
          </w:p>
          <w:p w:rsidR="00767C66" w:rsidRDefault="00E11BCD" w14:paraId="2B785884" w14:textId="77777777">
            <w:pPr>
              <w:pStyle w:val="TableParagraph"/>
              <w:ind w:left="560" w:right="552"/>
              <w:jc w:val="center"/>
              <w:rPr>
                <w:sz w:val="20"/>
              </w:rPr>
            </w:pPr>
            <w:r>
              <w:rPr>
                <w:sz w:val="20"/>
              </w:rPr>
              <w:t>Form</w:t>
            </w:r>
          </w:p>
        </w:tc>
        <w:tc>
          <w:tcPr>
            <w:tcW w:w="3061" w:type="dxa"/>
          </w:tcPr>
          <w:p w:rsidR="00767C66" w:rsidRDefault="00767C66" w14:paraId="42E88B2E" w14:textId="77777777">
            <w:pPr>
              <w:pStyle w:val="TableParagraph"/>
              <w:spacing w:before="5"/>
              <w:rPr>
                <w:rFonts w:ascii="Calibri"/>
                <w:b/>
                <w:sz w:val="19"/>
              </w:rPr>
            </w:pPr>
          </w:p>
          <w:p w:rsidR="00767C66" w:rsidRDefault="00E11BCD" w14:paraId="6E304BA2" w14:textId="77777777">
            <w:pPr>
              <w:pStyle w:val="TableParagraph"/>
              <w:ind w:left="1098" w:right="1086"/>
              <w:jc w:val="center"/>
              <w:rPr>
                <w:sz w:val="20"/>
              </w:rPr>
            </w:pPr>
            <w:r>
              <w:rPr>
                <w:sz w:val="20"/>
              </w:rPr>
              <w:t>Description</w:t>
            </w:r>
          </w:p>
        </w:tc>
        <w:tc>
          <w:tcPr>
            <w:tcW w:w="1080" w:type="dxa"/>
          </w:tcPr>
          <w:p w:rsidR="00767C66" w:rsidRDefault="00E11BCD" w14:paraId="4DD28395" w14:textId="77777777">
            <w:pPr>
              <w:pStyle w:val="TableParagraph"/>
              <w:spacing w:before="6" w:line="230" w:lineRule="atLeast"/>
              <w:ind w:left="130" w:right="108" w:hanging="10"/>
              <w:jc w:val="center"/>
              <w:rPr>
                <w:sz w:val="20"/>
              </w:rPr>
            </w:pPr>
            <w:r>
              <w:rPr>
                <w:sz w:val="20"/>
              </w:rPr>
              <w:t>Total Annual Responses</w:t>
            </w:r>
          </w:p>
        </w:tc>
        <w:tc>
          <w:tcPr>
            <w:tcW w:w="993" w:type="dxa"/>
          </w:tcPr>
          <w:p w:rsidR="00767C66" w:rsidRDefault="00E11BCD" w14:paraId="200EBD2D" w14:textId="77777777">
            <w:pPr>
              <w:pStyle w:val="TableParagraph"/>
              <w:spacing w:before="122"/>
              <w:ind w:left="123" w:right="96" w:hanging="8"/>
              <w:rPr>
                <w:sz w:val="20"/>
              </w:rPr>
            </w:pPr>
            <w:r>
              <w:rPr>
                <w:sz w:val="20"/>
              </w:rPr>
              <w:t>Hours Per Response</w:t>
            </w:r>
          </w:p>
        </w:tc>
        <w:tc>
          <w:tcPr>
            <w:tcW w:w="1260" w:type="dxa"/>
          </w:tcPr>
          <w:p w:rsidR="00767C66" w:rsidRDefault="00767C66" w14:paraId="707C3D36" w14:textId="77777777">
            <w:pPr>
              <w:pStyle w:val="TableParagraph"/>
              <w:spacing w:before="5"/>
              <w:rPr>
                <w:rFonts w:ascii="Calibri"/>
                <w:b/>
                <w:sz w:val="19"/>
              </w:rPr>
            </w:pPr>
          </w:p>
          <w:p w:rsidR="00767C66" w:rsidRDefault="00E11BCD" w14:paraId="694546F6" w14:textId="77777777">
            <w:pPr>
              <w:pStyle w:val="TableParagraph"/>
              <w:ind w:left="141" w:right="124"/>
              <w:jc w:val="center"/>
              <w:rPr>
                <w:sz w:val="20"/>
              </w:rPr>
            </w:pPr>
            <w:r>
              <w:rPr>
                <w:sz w:val="20"/>
              </w:rPr>
              <w:t>Total Burden</w:t>
            </w:r>
          </w:p>
        </w:tc>
      </w:tr>
      <w:tr w:rsidR="00767C66" w14:paraId="1E69675F" w14:textId="77777777">
        <w:trPr>
          <w:trHeight w:val="921"/>
        </w:trPr>
        <w:tc>
          <w:tcPr>
            <w:tcW w:w="1635" w:type="dxa"/>
          </w:tcPr>
          <w:p w:rsidR="00767C66" w:rsidRDefault="00767C66" w14:paraId="674E46A9" w14:textId="77777777">
            <w:pPr>
              <w:pStyle w:val="TableParagraph"/>
              <w:spacing w:before="3"/>
              <w:rPr>
                <w:rFonts w:ascii="Calibri"/>
                <w:b/>
                <w:sz w:val="28"/>
              </w:rPr>
            </w:pPr>
          </w:p>
          <w:p w:rsidR="00767C66" w:rsidRDefault="00E11BCD" w14:paraId="40F9AA38" w14:textId="77777777">
            <w:pPr>
              <w:pStyle w:val="TableParagraph"/>
              <w:ind w:left="571" w:right="552"/>
              <w:jc w:val="center"/>
              <w:rPr>
                <w:sz w:val="20"/>
              </w:rPr>
            </w:pPr>
            <w:r>
              <w:rPr>
                <w:sz w:val="20"/>
              </w:rPr>
              <w:t>14345</w:t>
            </w:r>
          </w:p>
        </w:tc>
        <w:tc>
          <w:tcPr>
            <w:tcW w:w="3061" w:type="dxa"/>
          </w:tcPr>
          <w:p w:rsidR="00767C66" w:rsidRDefault="00E11BCD" w14:paraId="4504049B" w14:textId="77777777">
            <w:pPr>
              <w:pStyle w:val="TableParagraph"/>
              <w:ind w:left="108" w:right="182"/>
              <w:rPr>
                <w:sz w:val="20"/>
              </w:rPr>
            </w:pPr>
            <w:r>
              <w:rPr>
                <w:sz w:val="20"/>
              </w:rPr>
              <w:t>Application for Qualified Intermediary, Withholding</w:t>
            </w:r>
          </w:p>
          <w:p w:rsidR="00767C66" w:rsidRDefault="00E11BCD" w14:paraId="4631751E" w14:textId="77777777">
            <w:pPr>
              <w:pStyle w:val="TableParagraph"/>
              <w:spacing w:before="1" w:line="230" w:lineRule="atLeast"/>
              <w:ind w:left="108" w:right="338"/>
              <w:rPr>
                <w:sz w:val="20"/>
              </w:rPr>
            </w:pPr>
            <w:r>
              <w:rPr>
                <w:sz w:val="20"/>
              </w:rPr>
              <w:t>Foreign Partnership, or Withholding Foreign Trust Status</w:t>
            </w:r>
          </w:p>
        </w:tc>
        <w:tc>
          <w:tcPr>
            <w:tcW w:w="1080" w:type="dxa"/>
          </w:tcPr>
          <w:p w:rsidR="00767C66" w:rsidRDefault="00767C66" w14:paraId="7266CC53" w14:textId="77777777">
            <w:pPr>
              <w:pStyle w:val="TableParagraph"/>
              <w:spacing w:before="3"/>
              <w:rPr>
                <w:rFonts w:ascii="Calibri"/>
                <w:b/>
                <w:sz w:val="28"/>
              </w:rPr>
            </w:pPr>
          </w:p>
          <w:p w:rsidR="00767C66" w:rsidRDefault="00E11BCD" w14:paraId="6CB9707B" w14:textId="77777777">
            <w:pPr>
              <w:pStyle w:val="TableParagraph"/>
              <w:ind w:left="152" w:right="138"/>
              <w:jc w:val="center"/>
              <w:rPr>
                <w:sz w:val="20"/>
              </w:rPr>
            </w:pPr>
            <w:r>
              <w:rPr>
                <w:sz w:val="20"/>
              </w:rPr>
              <w:t>3,000</w:t>
            </w:r>
          </w:p>
        </w:tc>
        <w:tc>
          <w:tcPr>
            <w:tcW w:w="993" w:type="dxa"/>
          </w:tcPr>
          <w:p w:rsidR="00767C66" w:rsidRDefault="00767C66" w14:paraId="211D00EB" w14:textId="77777777">
            <w:pPr>
              <w:pStyle w:val="TableParagraph"/>
              <w:spacing w:before="10"/>
              <w:rPr>
                <w:rFonts w:ascii="Calibri"/>
                <w:b/>
                <w:sz w:val="18"/>
              </w:rPr>
            </w:pPr>
          </w:p>
          <w:p w:rsidR="00767C66" w:rsidRDefault="00E11BCD" w14:paraId="70B8EFF0" w14:textId="77777777">
            <w:pPr>
              <w:pStyle w:val="TableParagraph"/>
              <w:ind w:left="339" w:right="192" w:hanging="130"/>
              <w:rPr>
                <w:sz w:val="20"/>
              </w:rPr>
            </w:pPr>
            <w:r>
              <w:rPr>
                <w:sz w:val="20"/>
              </w:rPr>
              <w:t>1 hr. 20 min.</w:t>
            </w:r>
          </w:p>
        </w:tc>
        <w:tc>
          <w:tcPr>
            <w:tcW w:w="1260" w:type="dxa"/>
          </w:tcPr>
          <w:p w:rsidR="00767C66" w:rsidRDefault="00767C66" w14:paraId="01D9CFB7" w14:textId="77777777">
            <w:pPr>
              <w:pStyle w:val="TableParagraph"/>
              <w:spacing w:before="3"/>
              <w:rPr>
                <w:rFonts w:ascii="Calibri"/>
                <w:b/>
                <w:sz w:val="28"/>
              </w:rPr>
            </w:pPr>
          </w:p>
          <w:p w:rsidR="00767C66" w:rsidRDefault="00E11BCD" w14:paraId="1C0246F8" w14:textId="77777777">
            <w:pPr>
              <w:pStyle w:val="TableParagraph"/>
              <w:ind w:left="141" w:right="116"/>
              <w:jc w:val="center"/>
              <w:rPr>
                <w:sz w:val="20"/>
              </w:rPr>
            </w:pPr>
            <w:r>
              <w:rPr>
                <w:sz w:val="20"/>
              </w:rPr>
              <w:t>4,000</w:t>
            </w:r>
          </w:p>
        </w:tc>
      </w:tr>
      <w:tr w:rsidR="00767C66" w14:paraId="1D002510" w14:textId="77777777">
        <w:trPr>
          <w:trHeight w:val="691"/>
        </w:trPr>
        <w:tc>
          <w:tcPr>
            <w:tcW w:w="1635" w:type="dxa"/>
          </w:tcPr>
          <w:p w:rsidR="00767C66" w:rsidRDefault="00767C66" w14:paraId="4CAF78BC" w14:textId="77777777">
            <w:pPr>
              <w:pStyle w:val="TableParagraph"/>
              <w:rPr>
                <w:rFonts w:ascii="Times New Roman"/>
                <w:sz w:val="20"/>
              </w:rPr>
            </w:pPr>
          </w:p>
        </w:tc>
        <w:tc>
          <w:tcPr>
            <w:tcW w:w="3061" w:type="dxa"/>
          </w:tcPr>
          <w:p w:rsidR="00767C66" w:rsidRDefault="00E11BCD" w14:paraId="02B79A3E" w14:textId="77777777">
            <w:pPr>
              <w:pStyle w:val="TableParagraph"/>
              <w:spacing w:before="3" w:line="230" w:lineRule="exact"/>
              <w:ind w:left="108" w:right="411"/>
              <w:jc w:val="both"/>
              <w:rPr>
                <w:sz w:val="20"/>
              </w:rPr>
            </w:pPr>
            <w:r>
              <w:rPr>
                <w:sz w:val="20"/>
              </w:rPr>
              <w:t>identifying information (e.g., name, address, or TIN) regarding a U.S. payee</w:t>
            </w:r>
          </w:p>
        </w:tc>
        <w:tc>
          <w:tcPr>
            <w:tcW w:w="1080" w:type="dxa"/>
          </w:tcPr>
          <w:p w:rsidR="00767C66" w:rsidRDefault="00767C66" w14:paraId="58A4FD1C" w14:textId="77777777">
            <w:pPr>
              <w:pStyle w:val="TableParagraph"/>
              <w:spacing w:before="10"/>
              <w:rPr>
                <w:rFonts w:ascii="Calibri"/>
                <w:b/>
                <w:sz w:val="18"/>
              </w:rPr>
            </w:pPr>
          </w:p>
          <w:p w:rsidR="00767C66" w:rsidRDefault="00E11BCD" w14:paraId="4C8F0B0B" w14:textId="77777777">
            <w:pPr>
              <w:pStyle w:val="TableParagraph"/>
              <w:ind w:left="152" w:right="136"/>
              <w:jc w:val="center"/>
              <w:rPr>
                <w:sz w:val="20"/>
              </w:rPr>
            </w:pPr>
            <w:r>
              <w:rPr>
                <w:sz w:val="20"/>
              </w:rPr>
              <w:t>6,500</w:t>
            </w:r>
          </w:p>
        </w:tc>
        <w:tc>
          <w:tcPr>
            <w:tcW w:w="993" w:type="dxa"/>
          </w:tcPr>
          <w:p w:rsidR="00767C66" w:rsidRDefault="00767C66" w14:paraId="26A776BF" w14:textId="77777777">
            <w:pPr>
              <w:pStyle w:val="TableParagraph"/>
              <w:spacing w:before="10"/>
              <w:rPr>
                <w:rFonts w:ascii="Calibri"/>
                <w:b/>
                <w:sz w:val="18"/>
              </w:rPr>
            </w:pPr>
          </w:p>
          <w:p w:rsidR="00767C66" w:rsidRDefault="00E11BCD" w14:paraId="01833763" w14:textId="77777777">
            <w:pPr>
              <w:pStyle w:val="TableParagraph"/>
              <w:ind w:left="355" w:right="353"/>
              <w:jc w:val="center"/>
              <w:rPr>
                <w:sz w:val="20"/>
              </w:rPr>
            </w:pPr>
            <w:r>
              <w:rPr>
                <w:sz w:val="20"/>
              </w:rPr>
              <w:t>.25</w:t>
            </w:r>
          </w:p>
        </w:tc>
        <w:tc>
          <w:tcPr>
            <w:tcW w:w="1260" w:type="dxa"/>
          </w:tcPr>
          <w:p w:rsidR="00767C66" w:rsidRDefault="00767C66" w14:paraId="21F074B5" w14:textId="77777777">
            <w:pPr>
              <w:pStyle w:val="TableParagraph"/>
              <w:spacing w:before="10"/>
              <w:rPr>
                <w:rFonts w:ascii="Calibri"/>
                <w:b/>
                <w:sz w:val="18"/>
              </w:rPr>
            </w:pPr>
          </w:p>
          <w:p w:rsidR="00767C66" w:rsidRDefault="00E11BCD" w14:paraId="20BA0FE2" w14:textId="77777777">
            <w:pPr>
              <w:pStyle w:val="TableParagraph"/>
              <w:ind w:left="141" w:right="116"/>
              <w:jc w:val="center"/>
              <w:rPr>
                <w:sz w:val="20"/>
              </w:rPr>
            </w:pPr>
            <w:r>
              <w:rPr>
                <w:sz w:val="20"/>
              </w:rPr>
              <w:t>1,625</w:t>
            </w:r>
          </w:p>
        </w:tc>
      </w:tr>
      <w:tr w:rsidR="00767C66" w14:paraId="17EA4411" w14:textId="77777777">
        <w:trPr>
          <w:trHeight w:val="696"/>
        </w:trPr>
        <w:tc>
          <w:tcPr>
            <w:tcW w:w="1635" w:type="dxa"/>
          </w:tcPr>
          <w:p w:rsidR="00767C66" w:rsidRDefault="00767C66" w14:paraId="299A8B60" w14:textId="77777777">
            <w:pPr>
              <w:pStyle w:val="TableParagraph"/>
              <w:rPr>
                <w:rFonts w:ascii="Times New Roman"/>
                <w:sz w:val="20"/>
              </w:rPr>
            </w:pPr>
          </w:p>
        </w:tc>
        <w:tc>
          <w:tcPr>
            <w:tcW w:w="3061" w:type="dxa"/>
          </w:tcPr>
          <w:p w:rsidR="00767C66" w:rsidRDefault="00E11BCD" w14:paraId="28E1B8AE" w14:textId="77777777">
            <w:pPr>
              <w:pStyle w:val="TableParagraph"/>
              <w:spacing w:before="4"/>
              <w:ind w:left="108" w:right="310"/>
              <w:rPr>
                <w:sz w:val="20"/>
              </w:rPr>
            </w:pPr>
            <w:r>
              <w:rPr>
                <w:sz w:val="20"/>
              </w:rPr>
              <w:t>certifications and/or representations from non-individual payees claiming</w:t>
            </w:r>
          </w:p>
          <w:p w:rsidR="00767C66" w:rsidRDefault="00E11BCD" w14:paraId="7676C263" w14:textId="77777777">
            <w:pPr>
              <w:pStyle w:val="TableParagraph"/>
              <w:spacing w:before="3" w:line="210" w:lineRule="exact"/>
              <w:ind w:left="108"/>
              <w:rPr>
                <w:sz w:val="20"/>
              </w:rPr>
            </w:pPr>
            <w:r>
              <w:rPr>
                <w:sz w:val="20"/>
              </w:rPr>
              <w:t>treaty benefits</w:t>
            </w:r>
          </w:p>
        </w:tc>
        <w:tc>
          <w:tcPr>
            <w:tcW w:w="1080" w:type="dxa"/>
          </w:tcPr>
          <w:p w:rsidR="00767C66" w:rsidRDefault="00767C66" w14:paraId="450C49FC" w14:textId="77777777">
            <w:pPr>
              <w:pStyle w:val="TableParagraph"/>
              <w:spacing w:before="3"/>
              <w:rPr>
                <w:rFonts w:ascii="Calibri"/>
                <w:b/>
                <w:sz w:val="19"/>
              </w:rPr>
            </w:pPr>
          </w:p>
          <w:p w:rsidR="00767C66" w:rsidRDefault="00E11BCD" w14:paraId="037F2E14" w14:textId="77777777">
            <w:pPr>
              <w:pStyle w:val="TableParagraph"/>
              <w:ind w:left="152" w:right="131"/>
              <w:jc w:val="center"/>
              <w:rPr>
                <w:sz w:val="20"/>
              </w:rPr>
            </w:pPr>
            <w:r>
              <w:rPr>
                <w:sz w:val="20"/>
              </w:rPr>
              <w:t>88,379</w:t>
            </w:r>
          </w:p>
        </w:tc>
        <w:tc>
          <w:tcPr>
            <w:tcW w:w="993" w:type="dxa"/>
          </w:tcPr>
          <w:p w:rsidR="00767C66" w:rsidRDefault="00767C66" w14:paraId="41176D76" w14:textId="77777777">
            <w:pPr>
              <w:pStyle w:val="TableParagraph"/>
              <w:spacing w:before="3"/>
              <w:rPr>
                <w:rFonts w:ascii="Calibri"/>
                <w:b/>
                <w:sz w:val="19"/>
              </w:rPr>
            </w:pPr>
          </w:p>
          <w:p w:rsidR="00767C66" w:rsidRDefault="00E11BCD" w14:paraId="3ACF2A8C" w14:textId="77777777">
            <w:pPr>
              <w:pStyle w:val="TableParagraph"/>
              <w:ind w:left="355" w:right="353"/>
              <w:jc w:val="center"/>
              <w:rPr>
                <w:sz w:val="20"/>
              </w:rPr>
            </w:pPr>
            <w:r>
              <w:rPr>
                <w:sz w:val="20"/>
              </w:rPr>
              <w:t>.50</w:t>
            </w:r>
          </w:p>
        </w:tc>
        <w:tc>
          <w:tcPr>
            <w:tcW w:w="1260" w:type="dxa"/>
          </w:tcPr>
          <w:p w:rsidR="00767C66" w:rsidRDefault="00767C66" w14:paraId="38A01F2B" w14:textId="77777777">
            <w:pPr>
              <w:pStyle w:val="TableParagraph"/>
              <w:spacing w:before="3"/>
              <w:rPr>
                <w:rFonts w:ascii="Calibri"/>
                <w:b/>
                <w:sz w:val="19"/>
              </w:rPr>
            </w:pPr>
          </w:p>
          <w:p w:rsidR="00767C66" w:rsidRDefault="00E11BCD" w14:paraId="71D87415" w14:textId="77777777">
            <w:pPr>
              <w:pStyle w:val="TableParagraph"/>
              <w:ind w:left="141" w:right="123"/>
              <w:jc w:val="center"/>
              <w:rPr>
                <w:sz w:val="20"/>
              </w:rPr>
            </w:pPr>
            <w:r>
              <w:rPr>
                <w:sz w:val="20"/>
              </w:rPr>
              <w:t>44,190</w:t>
            </w:r>
          </w:p>
        </w:tc>
      </w:tr>
      <w:tr w:rsidR="00767C66" w14:paraId="2847D1DE" w14:textId="77777777">
        <w:trPr>
          <w:trHeight w:val="921"/>
        </w:trPr>
        <w:tc>
          <w:tcPr>
            <w:tcW w:w="1635" w:type="dxa"/>
          </w:tcPr>
          <w:p w:rsidR="00767C66" w:rsidRDefault="00767C66" w14:paraId="1141EC29" w14:textId="77777777">
            <w:pPr>
              <w:pStyle w:val="TableParagraph"/>
              <w:rPr>
                <w:rFonts w:ascii="Times New Roman"/>
                <w:sz w:val="20"/>
              </w:rPr>
            </w:pPr>
          </w:p>
        </w:tc>
        <w:tc>
          <w:tcPr>
            <w:tcW w:w="3061" w:type="dxa"/>
          </w:tcPr>
          <w:p w:rsidR="00767C66" w:rsidRDefault="00E11BCD" w14:paraId="290DAC46" w14:textId="77777777">
            <w:pPr>
              <w:pStyle w:val="TableParagraph"/>
              <w:ind w:left="108" w:right="155"/>
              <w:rPr>
                <w:sz w:val="20"/>
              </w:rPr>
            </w:pPr>
            <w:r>
              <w:rPr>
                <w:sz w:val="20"/>
              </w:rPr>
              <w:t>maintain a record of the documentation received and reviewed for purposes of satisfying the terms of</w:t>
            </w:r>
          </w:p>
          <w:p w:rsidR="00767C66" w:rsidRDefault="00E11BCD" w14:paraId="0C96C8EF" w14:textId="77777777">
            <w:pPr>
              <w:pStyle w:val="TableParagraph"/>
              <w:spacing w:before="2" w:line="210" w:lineRule="exact"/>
              <w:ind w:left="108"/>
              <w:rPr>
                <w:sz w:val="20"/>
              </w:rPr>
            </w:pPr>
            <w:r>
              <w:rPr>
                <w:sz w:val="20"/>
              </w:rPr>
              <w:t>its withholding agreement</w:t>
            </w:r>
          </w:p>
        </w:tc>
        <w:tc>
          <w:tcPr>
            <w:tcW w:w="1080" w:type="dxa"/>
          </w:tcPr>
          <w:p w:rsidR="00767C66" w:rsidRDefault="00767C66" w14:paraId="0FA72197" w14:textId="77777777">
            <w:pPr>
              <w:pStyle w:val="TableParagraph"/>
              <w:spacing w:before="3"/>
              <w:rPr>
                <w:rFonts w:ascii="Calibri"/>
                <w:b/>
                <w:sz w:val="28"/>
              </w:rPr>
            </w:pPr>
          </w:p>
          <w:p w:rsidR="00767C66" w:rsidRDefault="00E11BCD" w14:paraId="19C04A24" w14:textId="77777777">
            <w:pPr>
              <w:pStyle w:val="TableParagraph"/>
              <w:ind w:left="152" w:right="139"/>
              <w:jc w:val="center"/>
              <w:rPr>
                <w:sz w:val="20"/>
              </w:rPr>
            </w:pPr>
            <w:r>
              <w:rPr>
                <w:sz w:val="20"/>
              </w:rPr>
              <w:t>1,000,000</w:t>
            </w:r>
          </w:p>
        </w:tc>
        <w:tc>
          <w:tcPr>
            <w:tcW w:w="993" w:type="dxa"/>
          </w:tcPr>
          <w:p w:rsidR="00767C66" w:rsidRDefault="00767C66" w14:paraId="00E907F8" w14:textId="77777777">
            <w:pPr>
              <w:pStyle w:val="TableParagraph"/>
              <w:spacing w:before="3"/>
              <w:rPr>
                <w:rFonts w:ascii="Calibri"/>
                <w:b/>
                <w:sz w:val="28"/>
              </w:rPr>
            </w:pPr>
          </w:p>
          <w:p w:rsidR="00767C66" w:rsidRDefault="00E11BCD" w14:paraId="06E3741D" w14:textId="77777777">
            <w:pPr>
              <w:pStyle w:val="TableParagraph"/>
              <w:ind w:left="355" w:right="353"/>
              <w:jc w:val="center"/>
              <w:rPr>
                <w:sz w:val="20"/>
              </w:rPr>
            </w:pPr>
            <w:r>
              <w:rPr>
                <w:sz w:val="20"/>
              </w:rPr>
              <w:t>.25</w:t>
            </w:r>
          </w:p>
        </w:tc>
        <w:tc>
          <w:tcPr>
            <w:tcW w:w="1260" w:type="dxa"/>
          </w:tcPr>
          <w:p w:rsidR="00767C66" w:rsidRDefault="00767C66" w14:paraId="5EEA26CB" w14:textId="77777777">
            <w:pPr>
              <w:pStyle w:val="TableParagraph"/>
              <w:spacing w:before="3"/>
              <w:rPr>
                <w:rFonts w:ascii="Calibri"/>
                <w:b/>
                <w:sz w:val="28"/>
              </w:rPr>
            </w:pPr>
          </w:p>
          <w:p w:rsidR="00767C66" w:rsidRDefault="00E11BCD" w14:paraId="57DF302B" w14:textId="77777777">
            <w:pPr>
              <w:pStyle w:val="TableParagraph"/>
              <w:ind w:left="141" w:right="123"/>
              <w:jc w:val="center"/>
              <w:rPr>
                <w:sz w:val="20"/>
              </w:rPr>
            </w:pPr>
            <w:r>
              <w:rPr>
                <w:sz w:val="20"/>
              </w:rPr>
              <w:t>250,000</w:t>
            </w:r>
          </w:p>
        </w:tc>
      </w:tr>
      <w:tr w:rsidR="00767C66" w14:paraId="6A092512" w14:textId="77777777">
        <w:trPr>
          <w:trHeight w:val="921"/>
        </w:trPr>
        <w:tc>
          <w:tcPr>
            <w:tcW w:w="1635" w:type="dxa"/>
          </w:tcPr>
          <w:p w:rsidR="00767C66" w:rsidRDefault="00767C66" w14:paraId="664AE8DE" w14:textId="77777777">
            <w:pPr>
              <w:pStyle w:val="TableParagraph"/>
              <w:rPr>
                <w:rFonts w:ascii="Times New Roman"/>
                <w:sz w:val="20"/>
              </w:rPr>
            </w:pPr>
          </w:p>
        </w:tc>
        <w:tc>
          <w:tcPr>
            <w:tcW w:w="3061" w:type="dxa"/>
          </w:tcPr>
          <w:p w:rsidR="00767C66" w:rsidRDefault="00E11BCD" w14:paraId="62D487D4" w14:textId="77777777">
            <w:pPr>
              <w:pStyle w:val="TableParagraph"/>
              <w:spacing w:before="8" w:line="237" w:lineRule="auto"/>
              <w:ind w:left="108" w:right="228"/>
              <w:rPr>
                <w:sz w:val="20"/>
              </w:rPr>
            </w:pPr>
            <w:r>
              <w:rPr>
                <w:sz w:val="20"/>
              </w:rPr>
              <w:t xml:space="preserve">sufficient information to a withholding agent so that the withholding agent can </w:t>
            </w:r>
            <w:proofErr w:type="gramStart"/>
            <w:r>
              <w:rPr>
                <w:sz w:val="20"/>
              </w:rPr>
              <w:t>make adjustments</w:t>
            </w:r>
            <w:proofErr w:type="gramEnd"/>
            <w:r>
              <w:rPr>
                <w:sz w:val="20"/>
              </w:rPr>
              <w:t xml:space="preserve"> for any over-</w:t>
            </w:r>
          </w:p>
          <w:p w:rsidR="00767C66" w:rsidRDefault="00E11BCD" w14:paraId="0E6BC189" w14:textId="77777777">
            <w:pPr>
              <w:pStyle w:val="TableParagraph"/>
              <w:spacing w:before="1" w:line="210" w:lineRule="exact"/>
              <w:ind w:left="108"/>
              <w:rPr>
                <w:sz w:val="20"/>
              </w:rPr>
            </w:pPr>
            <w:r>
              <w:rPr>
                <w:sz w:val="20"/>
              </w:rPr>
              <w:t>and-under withholding</w:t>
            </w:r>
          </w:p>
        </w:tc>
        <w:tc>
          <w:tcPr>
            <w:tcW w:w="1080" w:type="dxa"/>
          </w:tcPr>
          <w:p w:rsidR="00767C66" w:rsidRDefault="00767C66" w14:paraId="56EC5F5D" w14:textId="77777777">
            <w:pPr>
              <w:pStyle w:val="TableParagraph"/>
              <w:spacing w:before="3"/>
              <w:rPr>
                <w:rFonts w:ascii="Calibri"/>
                <w:b/>
                <w:sz w:val="28"/>
              </w:rPr>
            </w:pPr>
          </w:p>
          <w:p w:rsidR="00767C66" w:rsidRDefault="00E11BCD" w14:paraId="45134E46" w14:textId="77777777">
            <w:pPr>
              <w:pStyle w:val="TableParagraph"/>
              <w:ind w:left="152" w:right="128"/>
              <w:jc w:val="center"/>
              <w:rPr>
                <w:sz w:val="20"/>
              </w:rPr>
            </w:pPr>
            <w:r>
              <w:rPr>
                <w:sz w:val="20"/>
              </w:rPr>
              <w:t>100</w:t>
            </w:r>
          </w:p>
        </w:tc>
        <w:tc>
          <w:tcPr>
            <w:tcW w:w="993" w:type="dxa"/>
          </w:tcPr>
          <w:p w:rsidR="00767C66" w:rsidRDefault="00767C66" w14:paraId="10AEA4F4" w14:textId="77777777">
            <w:pPr>
              <w:pStyle w:val="TableParagraph"/>
              <w:spacing w:before="3"/>
              <w:rPr>
                <w:rFonts w:ascii="Calibri"/>
                <w:b/>
                <w:sz w:val="28"/>
              </w:rPr>
            </w:pPr>
          </w:p>
          <w:p w:rsidR="00767C66" w:rsidRDefault="00E11BCD" w14:paraId="16FAF019" w14:textId="77777777">
            <w:pPr>
              <w:pStyle w:val="TableParagraph"/>
              <w:ind w:left="355" w:right="336"/>
              <w:jc w:val="center"/>
              <w:rPr>
                <w:sz w:val="20"/>
              </w:rPr>
            </w:pPr>
            <w:r>
              <w:rPr>
                <w:sz w:val="20"/>
              </w:rPr>
              <w:t>12</w:t>
            </w:r>
          </w:p>
        </w:tc>
        <w:tc>
          <w:tcPr>
            <w:tcW w:w="1260" w:type="dxa"/>
          </w:tcPr>
          <w:p w:rsidR="00767C66" w:rsidRDefault="00767C66" w14:paraId="33D99F30" w14:textId="77777777">
            <w:pPr>
              <w:pStyle w:val="TableParagraph"/>
              <w:spacing w:before="3"/>
              <w:rPr>
                <w:rFonts w:ascii="Calibri"/>
                <w:b/>
                <w:sz w:val="28"/>
              </w:rPr>
            </w:pPr>
          </w:p>
          <w:p w:rsidR="00767C66" w:rsidRDefault="00E11BCD" w14:paraId="3EBCBF71" w14:textId="77777777">
            <w:pPr>
              <w:pStyle w:val="TableParagraph"/>
              <w:ind w:left="141" w:right="116"/>
              <w:jc w:val="center"/>
              <w:rPr>
                <w:sz w:val="20"/>
              </w:rPr>
            </w:pPr>
            <w:r>
              <w:rPr>
                <w:sz w:val="20"/>
              </w:rPr>
              <w:t>1,200</w:t>
            </w:r>
          </w:p>
        </w:tc>
      </w:tr>
      <w:tr w:rsidR="00767C66" w14:paraId="3E0DE3DD" w14:textId="77777777">
        <w:trPr>
          <w:trHeight w:val="352"/>
        </w:trPr>
        <w:tc>
          <w:tcPr>
            <w:tcW w:w="1635" w:type="dxa"/>
          </w:tcPr>
          <w:p w:rsidR="00767C66" w:rsidRDefault="00767C66" w14:paraId="7BE00744" w14:textId="77777777">
            <w:pPr>
              <w:pStyle w:val="TableParagraph"/>
              <w:rPr>
                <w:rFonts w:ascii="Times New Roman"/>
                <w:sz w:val="20"/>
              </w:rPr>
            </w:pPr>
          </w:p>
        </w:tc>
        <w:tc>
          <w:tcPr>
            <w:tcW w:w="3061" w:type="dxa"/>
          </w:tcPr>
          <w:p w:rsidR="00767C66" w:rsidRDefault="00E11BCD" w14:paraId="5C83B2D6" w14:textId="77777777">
            <w:pPr>
              <w:pStyle w:val="TableParagraph"/>
              <w:spacing w:before="64"/>
              <w:ind w:left="108"/>
              <w:rPr>
                <w:sz w:val="20"/>
              </w:rPr>
            </w:pPr>
            <w:r>
              <w:rPr>
                <w:sz w:val="20"/>
              </w:rPr>
              <w:t>notice of termination</w:t>
            </w:r>
          </w:p>
        </w:tc>
        <w:tc>
          <w:tcPr>
            <w:tcW w:w="1080" w:type="dxa"/>
          </w:tcPr>
          <w:p w:rsidR="00767C66" w:rsidRDefault="00E11BCD" w14:paraId="4370B4C0" w14:textId="77777777">
            <w:pPr>
              <w:pStyle w:val="TableParagraph"/>
              <w:spacing w:before="64"/>
              <w:ind w:left="152" w:right="136"/>
              <w:jc w:val="center"/>
              <w:rPr>
                <w:sz w:val="20"/>
              </w:rPr>
            </w:pPr>
            <w:r>
              <w:rPr>
                <w:sz w:val="20"/>
              </w:rPr>
              <w:t>12</w:t>
            </w:r>
          </w:p>
        </w:tc>
        <w:tc>
          <w:tcPr>
            <w:tcW w:w="993" w:type="dxa"/>
          </w:tcPr>
          <w:p w:rsidR="00767C66" w:rsidRDefault="00E11BCD" w14:paraId="55D31100" w14:textId="77777777">
            <w:pPr>
              <w:pStyle w:val="TableParagraph"/>
              <w:spacing w:before="64"/>
              <w:ind w:left="355" w:right="353"/>
              <w:jc w:val="center"/>
              <w:rPr>
                <w:sz w:val="20"/>
              </w:rPr>
            </w:pPr>
            <w:r>
              <w:rPr>
                <w:sz w:val="20"/>
              </w:rPr>
              <w:t>.25</w:t>
            </w:r>
          </w:p>
        </w:tc>
        <w:tc>
          <w:tcPr>
            <w:tcW w:w="1260" w:type="dxa"/>
          </w:tcPr>
          <w:p w:rsidR="00767C66" w:rsidRDefault="00E11BCD" w14:paraId="1D401261" w14:textId="77777777">
            <w:pPr>
              <w:pStyle w:val="TableParagraph"/>
              <w:spacing w:before="64"/>
              <w:ind w:left="19"/>
              <w:jc w:val="center"/>
              <w:rPr>
                <w:sz w:val="20"/>
              </w:rPr>
            </w:pPr>
            <w:r>
              <w:rPr>
                <w:sz w:val="20"/>
              </w:rPr>
              <w:t>3</w:t>
            </w:r>
          </w:p>
        </w:tc>
      </w:tr>
      <w:tr w:rsidR="00767C66" w14:paraId="043B1C34" w14:textId="77777777">
        <w:trPr>
          <w:trHeight w:val="352"/>
        </w:trPr>
        <w:tc>
          <w:tcPr>
            <w:tcW w:w="1635" w:type="dxa"/>
          </w:tcPr>
          <w:p w:rsidR="00767C66" w:rsidRDefault="00767C66" w14:paraId="35EB59D8" w14:textId="77777777">
            <w:pPr>
              <w:pStyle w:val="TableParagraph"/>
              <w:rPr>
                <w:rFonts w:ascii="Times New Roman"/>
                <w:sz w:val="20"/>
              </w:rPr>
            </w:pPr>
          </w:p>
        </w:tc>
        <w:tc>
          <w:tcPr>
            <w:tcW w:w="3061" w:type="dxa"/>
          </w:tcPr>
          <w:p w:rsidR="00767C66" w:rsidRDefault="00767C66" w14:paraId="20E29507" w14:textId="77777777">
            <w:pPr>
              <w:pStyle w:val="TableParagraph"/>
              <w:rPr>
                <w:rFonts w:ascii="Times New Roman"/>
                <w:sz w:val="20"/>
              </w:rPr>
            </w:pPr>
          </w:p>
        </w:tc>
        <w:tc>
          <w:tcPr>
            <w:tcW w:w="1080" w:type="dxa"/>
          </w:tcPr>
          <w:p w:rsidR="00767C66" w:rsidRDefault="00E11BCD" w14:paraId="2F7BF40D" w14:textId="77777777">
            <w:pPr>
              <w:pStyle w:val="TableParagraph"/>
              <w:spacing w:before="64"/>
              <w:ind w:left="151" w:right="141"/>
              <w:jc w:val="center"/>
              <w:rPr>
                <w:sz w:val="20"/>
              </w:rPr>
            </w:pPr>
            <w:r>
              <w:rPr>
                <w:sz w:val="20"/>
              </w:rPr>
              <w:t>1,097,991</w:t>
            </w:r>
          </w:p>
        </w:tc>
        <w:tc>
          <w:tcPr>
            <w:tcW w:w="993" w:type="dxa"/>
          </w:tcPr>
          <w:p w:rsidR="00767C66" w:rsidRDefault="00767C66" w14:paraId="414E6DA4" w14:textId="77777777">
            <w:pPr>
              <w:pStyle w:val="TableParagraph"/>
              <w:rPr>
                <w:rFonts w:ascii="Times New Roman"/>
                <w:sz w:val="20"/>
              </w:rPr>
            </w:pPr>
          </w:p>
        </w:tc>
        <w:tc>
          <w:tcPr>
            <w:tcW w:w="1260" w:type="dxa"/>
          </w:tcPr>
          <w:p w:rsidR="00767C66" w:rsidRDefault="00E11BCD" w14:paraId="78D0FB06" w14:textId="77777777">
            <w:pPr>
              <w:pStyle w:val="TableParagraph"/>
              <w:spacing w:before="64"/>
              <w:ind w:left="141" w:right="123"/>
              <w:jc w:val="center"/>
              <w:rPr>
                <w:sz w:val="20"/>
              </w:rPr>
            </w:pPr>
            <w:r>
              <w:rPr>
                <w:sz w:val="20"/>
              </w:rPr>
              <w:t>301,018</w:t>
            </w:r>
          </w:p>
        </w:tc>
      </w:tr>
    </w:tbl>
    <w:p w:rsidR="00767C66" w:rsidRDefault="00767C66" w14:paraId="6AB5B6A7" w14:textId="77777777">
      <w:pPr>
        <w:pStyle w:val="BodyText"/>
        <w:rPr>
          <w:b/>
          <w:sz w:val="20"/>
        </w:rPr>
      </w:pPr>
    </w:p>
    <w:p w:rsidR="00767C66" w:rsidRDefault="00767C66" w14:paraId="582D149C" w14:textId="77777777">
      <w:pPr>
        <w:pStyle w:val="BodyText"/>
        <w:spacing w:before="5"/>
        <w:rPr>
          <w:b/>
          <w:sz w:val="19"/>
        </w:rPr>
      </w:pPr>
    </w:p>
    <w:p w:rsidR="00767C66" w:rsidRDefault="00E11BCD" w14:paraId="547C8CBF" w14:textId="77777777">
      <w:pPr>
        <w:pStyle w:val="Heading1"/>
        <w:numPr>
          <w:ilvl w:val="0"/>
          <w:numId w:val="1"/>
        </w:numPr>
        <w:tabs>
          <w:tab w:val="left" w:pos="821"/>
          <w:tab w:val="left" w:pos="822"/>
        </w:tabs>
        <w:spacing w:before="58"/>
        <w:ind w:hanging="722"/>
        <w:rPr>
          <w:u w:val="none"/>
        </w:rPr>
      </w:pPr>
      <w:r>
        <w:t xml:space="preserve">ESTIMATED </w:t>
      </w:r>
      <w:r>
        <w:rPr>
          <w:spacing w:val="-3"/>
        </w:rPr>
        <w:t xml:space="preserve">TOTAL ANNUAL </w:t>
      </w:r>
      <w:r>
        <w:t xml:space="preserve">COST </w:t>
      </w:r>
      <w:r>
        <w:rPr>
          <w:spacing w:val="-3"/>
        </w:rPr>
        <w:t xml:space="preserve">BURDEN </w:t>
      </w:r>
      <w:r>
        <w:t>TO</w:t>
      </w:r>
      <w:r>
        <w:rPr>
          <w:spacing w:val="10"/>
        </w:rPr>
        <w:t xml:space="preserve"> </w:t>
      </w:r>
      <w:r>
        <w:rPr>
          <w:spacing w:val="-3"/>
        </w:rPr>
        <w:t>RESPONDENTS</w:t>
      </w:r>
    </w:p>
    <w:p w:rsidR="00767C66" w:rsidRDefault="00767C66" w14:paraId="493060B1" w14:textId="77777777">
      <w:pPr>
        <w:pStyle w:val="BodyText"/>
        <w:spacing w:before="7"/>
        <w:rPr>
          <w:b/>
          <w:sz w:val="17"/>
        </w:rPr>
      </w:pPr>
    </w:p>
    <w:p w:rsidR="00767C66" w:rsidRDefault="00E11BCD" w14:paraId="5FFA2FF4" w14:textId="77777777">
      <w:pPr>
        <w:pStyle w:val="BodyText"/>
        <w:spacing w:before="60" w:line="237" w:lineRule="auto"/>
        <w:ind w:left="821" w:right="386"/>
      </w:pPr>
      <w: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767C66" w:rsidRDefault="00767C66" w14:paraId="1C0E92B0" w14:textId="77777777">
      <w:pPr>
        <w:pStyle w:val="BodyText"/>
        <w:spacing w:before="5"/>
      </w:pPr>
    </w:p>
    <w:p w:rsidR="00767C66" w:rsidRDefault="00E11BCD" w14:paraId="761E24C1" w14:textId="77777777">
      <w:pPr>
        <w:pStyle w:val="Heading1"/>
        <w:numPr>
          <w:ilvl w:val="0"/>
          <w:numId w:val="1"/>
        </w:numPr>
        <w:tabs>
          <w:tab w:val="left" w:pos="821"/>
          <w:tab w:val="left" w:pos="822"/>
        </w:tabs>
        <w:ind w:hanging="722"/>
        <w:rPr>
          <w:u w:val="none"/>
        </w:rPr>
      </w:pPr>
      <w:r>
        <w:t xml:space="preserve">ESTIMATED </w:t>
      </w:r>
      <w:r>
        <w:rPr>
          <w:spacing w:val="-3"/>
        </w:rPr>
        <w:t xml:space="preserve">ANNUALIZED </w:t>
      </w:r>
      <w:r>
        <w:t xml:space="preserve">COST TO </w:t>
      </w:r>
      <w:r>
        <w:rPr>
          <w:spacing w:val="-3"/>
        </w:rPr>
        <w:t xml:space="preserve">THE </w:t>
      </w:r>
      <w:r>
        <w:t>FEDERAL</w:t>
      </w:r>
      <w:r>
        <w:rPr>
          <w:spacing w:val="3"/>
        </w:rPr>
        <w:t xml:space="preserve"> </w:t>
      </w:r>
      <w:r>
        <w:t>GOVERNMENT</w:t>
      </w:r>
    </w:p>
    <w:p w:rsidR="00767C66" w:rsidRDefault="00767C66" w14:paraId="7D74F081" w14:textId="77777777">
      <w:pPr>
        <w:pStyle w:val="BodyText"/>
        <w:spacing w:before="6"/>
        <w:rPr>
          <w:b/>
          <w:sz w:val="17"/>
        </w:rPr>
      </w:pPr>
    </w:p>
    <w:p w:rsidR="00767C66" w:rsidRDefault="00E11BCD" w14:paraId="0A3B7064" w14:textId="4366FDC6">
      <w:pPr>
        <w:pStyle w:val="BodyText"/>
        <w:spacing w:before="58"/>
        <w:ind w:left="821" w:right="386"/>
      </w:pPr>
      <w: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99148A" w:rsidRDefault="0099148A" w14:paraId="61225A89" w14:textId="7DF83027">
      <w:pPr>
        <w:pStyle w:val="BodyText"/>
        <w:spacing w:before="58"/>
        <w:ind w:left="821" w:right="386"/>
      </w:pPr>
    </w:p>
    <w:p w:rsidR="0099148A" w:rsidRDefault="0099148A" w14:paraId="355C4812" w14:textId="3045B6C7">
      <w:pPr>
        <w:pStyle w:val="BodyText"/>
        <w:spacing w:before="58"/>
        <w:ind w:left="821" w:right="386"/>
      </w:pPr>
    </w:p>
    <w:p w:rsidR="0099148A" w:rsidRDefault="0099148A" w14:paraId="7D81BAC5" w14:textId="746AD98A">
      <w:pPr>
        <w:pStyle w:val="BodyText"/>
        <w:spacing w:before="58"/>
        <w:ind w:left="821" w:right="386"/>
      </w:pPr>
    </w:p>
    <w:p w:rsidR="0099148A" w:rsidRDefault="0099148A" w14:paraId="42286657" w14:textId="77777777">
      <w:pPr>
        <w:pStyle w:val="BodyText"/>
        <w:spacing w:before="58"/>
        <w:ind w:left="821" w:right="386"/>
      </w:pPr>
    </w:p>
    <w:p w:rsidR="0099148A" w:rsidRDefault="0099148A" w14:paraId="5DF2900E" w14:textId="3D8D64A5">
      <w:pPr>
        <w:pStyle w:val="BodyText"/>
        <w:spacing w:before="58"/>
        <w:ind w:left="821" w:right="386"/>
      </w:pPr>
    </w:p>
    <w:p w:rsidR="0099148A" w:rsidRDefault="0099148A" w14:paraId="745AD592" w14:textId="5BC034C1">
      <w:pPr>
        <w:pStyle w:val="BodyText"/>
        <w:spacing w:before="58"/>
        <w:ind w:left="821" w:right="386"/>
      </w:pPr>
    </w:p>
    <w:p w:rsidR="0099148A" w:rsidRDefault="0099148A" w14:paraId="77B4AD8C" w14:textId="77777777">
      <w:pPr>
        <w:pStyle w:val="BodyText"/>
        <w:spacing w:before="58"/>
        <w:ind w:left="821" w:right="386"/>
      </w:pPr>
    </w:p>
    <w:p w:rsidR="00767C66" w:rsidRDefault="00767C66" w14:paraId="2553529E" w14:textId="77777777">
      <w:pPr>
        <w:pStyle w:val="BodyText"/>
        <w:spacing w:before="10"/>
        <w:rPr>
          <w:sz w:val="21"/>
        </w:rPr>
      </w:pPr>
    </w:p>
    <w:p w:rsidRPr="0099148A" w:rsidR="00767C66" w:rsidP="0099148A" w:rsidRDefault="00E11BCD" w14:paraId="08954A46" w14:textId="165C77C1">
      <w:pPr>
        <w:pStyle w:val="Heading1"/>
        <w:numPr>
          <w:ilvl w:val="0"/>
          <w:numId w:val="1"/>
        </w:numPr>
        <w:tabs>
          <w:tab w:val="left" w:pos="821"/>
          <w:tab w:val="left" w:pos="822"/>
        </w:tabs>
        <w:rPr>
          <w:u w:val="none"/>
        </w:rPr>
      </w:pPr>
      <w:r>
        <w:lastRenderedPageBreak/>
        <w:t xml:space="preserve">REASONS FOR </w:t>
      </w:r>
      <w:r w:rsidRPr="0099148A">
        <w:rPr>
          <w:spacing w:val="-3"/>
        </w:rPr>
        <w:t xml:space="preserve">CHANGE </w:t>
      </w:r>
      <w:r>
        <w:t>IN</w:t>
      </w:r>
      <w:r w:rsidRPr="0099148A">
        <w:rPr>
          <w:spacing w:val="2"/>
        </w:rPr>
        <w:t xml:space="preserve"> </w:t>
      </w:r>
      <w:r>
        <w:t>BURDEN</w:t>
      </w:r>
    </w:p>
    <w:p w:rsidR="0099148A" w:rsidP="0099148A" w:rsidRDefault="0099148A" w14:paraId="052D8ED5" w14:textId="77777777">
      <w:pPr>
        <w:pStyle w:val="BodyText"/>
        <w:spacing w:before="58"/>
        <w:ind w:left="871"/>
      </w:pPr>
    </w:p>
    <w:p w:rsidR="00767C66" w:rsidP="0099148A" w:rsidRDefault="00E11BCD" w14:paraId="6E90B8D6" w14:textId="11A7A2CF">
      <w:pPr>
        <w:pStyle w:val="BodyText"/>
        <w:spacing w:before="58"/>
        <w:ind w:left="871"/>
        <w:rPr>
          <w:sz w:val="20"/>
        </w:rPr>
      </w:pPr>
      <w:r>
        <w:t>There is no change in the paperwork burden previously approved by OMB.</w:t>
      </w:r>
      <w:r w:rsidR="00AA13A7">
        <w:t xml:space="preserve"> </w:t>
      </w:r>
      <w:r w:rsidR="006D5F2F">
        <w:t>We are making this submission to renew OMB approval.</w:t>
      </w:r>
    </w:p>
    <w:p w:rsidR="00767C66" w:rsidRDefault="00767C66" w14:paraId="742BA3E5" w14:textId="77777777">
      <w:pPr>
        <w:pStyle w:val="BodyText"/>
        <w:rPr>
          <w:sz w:val="17"/>
        </w:rPr>
      </w:pPr>
    </w:p>
    <w:p w:rsidR="00767C66" w:rsidRDefault="00E11BCD" w14:paraId="493B8CE4" w14:textId="77777777">
      <w:pPr>
        <w:pStyle w:val="Heading1"/>
        <w:numPr>
          <w:ilvl w:val="0"/>
          <w:numId w:val="1"/>
        </w:numPr>
        <w:tabs>
          <w:tab w:val="left" w:pos="821"/>
          <w:tab w:val="left" w:pos="822"/>
        </w:tabs>
        <w:spacing w:before="58"/>
        <w:ind w:hanging="722"/>
        <w:rPr>
          <w:u w:val="none"/>
        </w:rPr>
      </w:pPr>
      <w:r>
        <w:t xml:space="preserve">PLANS FOR </w:t>
      </w:r>
      <w:r>
        <w:rPr>
          <w:spacing w:val="-3"/>
        </w:rPr>
        <w:t xml:space="preserve">TABULATION, </w:t>
      </w:r>
      <w:r>
        <w:t xml:space="preserve">STATISTICAL </w:t>
      </w:r>
      <w:r>
        <w:rPr>
          <w:spacing w:val="-3"/>
        </w:rPr>
        <w:t xml:space="preserve">ANALYSIS </w:t>
      </w:r>
      <w:r>
        <w:rPr>
          <w:spacing w:val="-4"/>
        </w:rPr>
        <w:t xml:space="preserve">AND </w:t>
      </w:r>
      <w:r>
        <w:t>PUBLICATION</w:t>
      </w:r>
    </w:p>
    <w:p w:rsidR="00767C66" w:rsidRDefault="00767C66" w14:paraId="0C98D4AF" w14:textId="77777777">
      <w:pPr>
        <w:pStyle w:val="BodyText"/>
        <w:spacing w:before="6"/>
        <w:rPr>
          <w:b/>
          <w:sz w:val="17"/>
        </w:rPr>
      </w:pPr>
    </w:p>
    <w:p w:rsidR="00767C66" w:rsidRDefault="00E11BCD" w14:paraId="5E23E67C" w14:textId="77777777">
      <w:pPr>
        <w:pStyle w:val="BodyText"/>
        <w:spacing w:before="58"/>
        <w:ind w:left="821"/>
      </w:pPr>
      <w:r>
        <w:t>There are no plans for tabulation, statistical analysis, and publication.</w:t>
      </w:r>
    </w:p>
    <w:p w:rsidR="00767C66" w:rsidRDefault="00767C66" w14:paraId="224E03A2" w14:textId="77777777">
      <w:pPr>
        <w:pStyle w:val="BodyText"/>
        <w:spacing w:before="8"/>
        <w:rPr>
          <w:sz w:val="21"/>
        </w:rPr>
      </w:pPr>
    </w:p>
    <w:p w:rsidR="00767C66" w:rsidRDefault="00E11BCD" w14:paraId="25EE1680" w14:textId="77777777">
      <w:pPr>
        <w:pStyle w:val="Heading1"/>
        <w:numPr>
          <w:ilvl w:val="0"/>
          <w:numId w:val="1"/>
        </w:numPr>
        <w:tabs>
          <w:tab w:val="left" w:pos="821"/>
          <w:tab w:val="left" w:pos="822"/>
        </w:tabs>
        <w:ind w:hanging="722"/>
        <w:rPr>
          <w:u w:val="none"/>
        </w:rPr>
      </w:pPr>
      <w:r>
        <w:t xml:space="preserve">REASONS </w:t>
      </w:r>
      <w:r>
        <w:rPr>
          <w:spacing w:val="-2"/>
        </w:rPr>
        <w:t xml:space="preserve">WHY </w:t>
      </w:r>
      <w:r>
        <w:t xml:space="preserve">DISPLAYING </w:t>
      </w:r>
      <w:r>
        <w:rPr>
          <w:spacing w:val="-3"/>
        </w:rPr>
        <w:t xml:space="preserve">THE </w:t>
      </w:r>
      <w:r>
        <w:t>OMB EXPIRATION DATE IS</w:t>
      </w:r>
      <w:r>
        <w:rPr>
          <w:spacing w:val="3"/>
        </w:rPr>
        <w:t xml:space="preserve"> </w:t>
      </w:r>
      <w:r>
        <w:rPr>
          <w:spacing w:val="-3"/>
        </w:rPr>
        <w:t>INAPPROPRIATE</w:t>
      </w:r>
    </w:p>
    <w:p w:rsidR="00767C66" w:rsidRDefault="00767C66" w14:paraId="39E1EC44" w14:textId="77777777">
      <w:pPr>
        <w:pStyle w:val="BodyText"/>
        <w:spacing w:before="7"/>
        <w:rPr>
          <w:b/>
          <w:sz w:val="17"/>
        </w:rPr>
      </w:pPr>
    </w:p>
    <w:p w:rsidR="00767C66" w:rsidRDefault="00E11BCD" w14:paraId="2B31B649" w14:textId="77777777">
      <w:pPr>
        <w:pStyle w:val="BodyText"/>
        <w:spacing w:before="58"/>
        <w:ind w:left="821" w:right="537"/>
      </w:pPr>
      <w:r>
        <w:t>IRS believes that displaying the OMB expiration date is inappropriate because it could cause confusion by leading taxpayers to believe that the form and/or regulation sunsets as of the expiration date. Taxpayers are not likely to be aware that the Service intends to request renewal of the OMB approval and obtain a new expiration date before the old one expires.</w:t>
      </w:r>
    </w:p>
    <w:p w:rsidR="00767C66" w:rsidRDefault="00767C66" w14:paraId="2D2AD03C" w14:textId="77777777">
      <w:pPr>
        <w:pStyle w:val="BodyText"/>
        <w:spacing w:before="9"/>
        <w:rPr>
          <w:sz w:val="21"/>
        </w:rPr>
      </w:pPr>
    </w:p>
    <w:p w:rsidR="00767C66" w:rsidRDefault="00E11BCD" w14:paraId="5E834CBC" w14:textId="77777777">
      <w:pPr>
        <w:pStyle w:val="Heading1"/>
        <w:numPr>
          <w:ilvl w:val="0"/>
          <w:numId w:val="1"/>
        </w:numPr>
        <w:tabs>
          <w:tab w:val="left" w:pos="821"/>
          <w:tab w:val="left" w:pos="822"/>
        </w:tabs>
        <w:ind w:hanging="722"/>
        <w:rPr>
          <w:u w:val="none"/>
        </w:rPr>
      </w:pPr>
      <w:r>
        <w:t xml:space="preserve">EXCEPTIONS TO </w:t>
      </w:r>
      <w:r>
        <w:rPr>
          <w:spacing w:val="-3"/>
        </w:rPr>
        <w:t xml:space="preserve">THE </w:t>
      </w:r>
      <w:r>
        <w:t>CERTIFICATION</w:t>
      </w:r>
      <w:r>
        <w:rPr>
          <w:spacing w:val="-5"/>
        </w:rPr>
        <w:t xml:space="preserve"> </w:t>
      </w:r>
      <w:r>
        <w:t>STATEMENT</w:t>
      </w:r>
    </w:p>
    <w:p w:rsidR="00767C66" w:rsidRDefault="00767C66" w14:paraId="6E23B850" w14:textId="77777777">
      <w:pPr>
        <w:pStyle w:val="BodyText"/>
        <w:spacing w:before="6"/>
        <w:rPr>
          <w:b/>
          <w:sz w:val="17"/>
        </w:rPr>
      </w:pPr>
    </w:p>
    <w:p w:rsidR="00767C66" w:rsidRDefault="00E11BCD" w14:paraId="6B62C41B" w14:textId="77777777">
      <w:pPr>
        <w:pStyle w:val="BodyText"/>
        <w:spacing w:before="58"/>
        <w:ind w:left="821"/>
      </w:pPr>
      <w:r>
        <w:t>There are no exceptions to the certification statement.</w:t>
      </w:r>
    </w:p>
    <w:p w:rsidR="00767C66" w:rsidRDefault="00767C66" w14:paraId="470A2124" w14:textId="77777777">
      <w:pPr>
        <w:pStyle w:val="BodyText"/>
      </w:pPr>
    </w:p>
    <w:p w:rsidR="00767C66" w:rsidRDefault="00767C66" w14:paraId="6AA63A1E" w14:textId="77777777">
      <w:pPr>
        <w:pStyle w:val="BodyText"/>
        <w:spacing w:before="1"/>
      </w:pPr>
    </w:p>
    <w:p w:rsidR="00767C66" w:rsidP="00AA13A7" w:rsidRDefault="00E11BCD" w14:paraId="06107B27" w14:textId="3FCD3FDF">
      <w:pPr>
        <w:pStyle w:val="BodyText"/>
        <w:ind w:left="100" w:firstLine="620"/>
      </w:pPr>
      <w:r>
        <w:rPr>
          <w:b/>
          <w:u w:val="single"/>
        </w:rPr>
        <w:t>Note:</w:t>
      </w:r>
      <w:r>
        <w:rPr>
          <w:b/>
        </w:rPr>
        <w:t xml:space="preserve"> </w:t>
      </w:r>
      <w:r w:rsidR="0099148A">
        <w:rPr>
          <w:b/>
        </w:rPr>
        <w:t xml:space="preserve"> </w:t>
      </w:r>
      <w:r>
        <w:t xml:space="preserve">The following paragraph applies to </w:t>
      </w:r>
      <w:proofErr w:type="gramStart"/>
      <w:r>
        <w:t>all of</w:t>
      </w:r>
      <w:proofErr w:type="gramEnd"/>
      <w:r>
        <w:t xml:space="preserve"> the collections of information in this submission:</w:t>
      </w:r>
    </w:p>
    <w:p w:rsidR="00767C66" w:rsidRDefault="00767C66" w14:paraId="41512A03" w14:textId="77777777">
      <w:pPr>
        <w:pStyle w:val="BodyText"/>
        <w:spacing w:before="6"/>
        <w:rPr>
          <w:sz w:val="17"/>
        </w:rPr>
      </w:pPr>
    </w:p>
    <w:p w:rsidR="00767C66" w:rsidP="0099148A" w:rsidRDefault="00E11BCD" w14:paraId="61C57A52" w14:textId="76CC89BF">
      <w:pPr>
        <w:pStyle w:val="BodyText"/>
        <w:spacing w:before="58"/>
        <w:ind w:left="720" w:right="241"/>
      </w:pPr>
      <w:r>
        <w:t xml:space="preserve">An agency may not conduct or sponsor, and a person is not required to respond to, a collection </w:t>
      </w:r>
      <w:r w:rsidR="0099148A">
        <w:t xml:space="preserve">  </w:t>
      </w:r>
      <w:r>
        <w:t xml:space="preserve">of information unless the collection of information displays a valid OMB control number. Books or records relating to a collection of information must be retained </w:t>
      </w:r>
      <w:proofErr w:type="gramStart"/>
      <w:r>
        <w:t>as long as</w:t>
      </w:r>
      <w:proofErr w:type="gramEnd"/>
      <w:r>
        <w:t xml:space="preserve"> their contents may become material in the administration of any internal revenue law. Generally, tax returns and tax return information are confidential, as required by 26 U.S.C. 6103.</w:t>
      </w:r>
    </w:p>
    <w:sectPr w:rsidR="00767C66">
      <w:pgSz w:w="12240" w:h="15840"/>
      <w:pgMar w:top="1700" w:right="1320" w:bottom="280" w:left="1340" w:header="14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A59A4" w14:textId="77777777" w:rsidR="000E6333" w:rsidRDefault="000E6333">
      <w:r>
        <w:separator/>
      </w:r>
    </w:p>
  </w:endnote>
  <w:endnote w:type="continuationSeparator" w:id="0">
    <w:p w14:paraId="32568423" w14:textId="77777777" w:rsidR="000E6333" w:rsidRDefault="000E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72B36" w14:textId="77777777" w:rsidR="000E6333" w:rsidRDefault="000E6333">
      <w:r>
        <w:separator/>
      </w:r>
    </w:p>
  </w:footnote>
  <w:footnote w:type="continuationSeparator" w:id="0">
    <w:p w14:paraId="5B05C543" w14:textId="77777777" w:rsidR="000E6333" w:rsidRDefault="000E6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33672" w14:textId="35BEE424" w:rsidR="00767C66" w:rsidRDefault="00767C6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42ED2"/>
    <w:multiLevelType w:val="hybridMultilevel"/>
    <w:tmpl w:val="47FC186E"/>
    <w:lvl w:ilvl="0" w:tplc="11D0D3F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51CC3"/>
    <w:multiLevelType w:val="hybridMultilevel"/>
    <w:tmpl w:val="4FF83404"/>
    <w:lvl w:ilvl="0" w:tplc="E4285E08">
      <w:start w:val="1"/>
      <w:numFmt w:val="decimal"/>
      <w:lvlText w:val="%1."/>
      <w:lvlJc w:val="left"/>
      <w:pPr>
        <w:ind w:left="821" w:hanging="721"/>
        <w:jc w:val="left"/>
      </w:pPr>
      <w:rPr>
        <w:rFonts w:hint="default"/>
        <w:b/>
        <w:bCs/>
        <w:spacing w:val="0"/>
        <w:w w:val="101"/>
        <w:lang w:val="en-US" w:eastAsia="en-US" w:bidi="ar-SA"/>
      </w:rPr>
    </w:lvl>
    <w:lvl w:ilvl="1" w:tplc="ADAE8772">
      <w:start w:val="1"/>
      <w:numFmt w:val="decimal"/>
      <w:lvlText w:val="(%2)"/>
      <w:lvlJc w:val="left"/>
      <w:pPr>
        <w:ind w:left="821" w:hanging="295"/>
        <w:jc w:val="left"/>
      </w:pPr>
      <w:rPr>
        <w:rFonts w:ascii="Calibri" w:eastAsia="Calibri" w:hAnsi="Calibri" w:cs="Calibri" w:hint="default"/>
        <w:spacing w:val="-3"/>
        <w:w w:val="101"/>
        <w:sz w:val="22"/>
        <w:szCs w:val="22"/>
        <w:lang w:val="en-US" w:eastAsia="en-US" w:bidi="ar-SA"/>
      </w:rPr>
    </w:lvl>
    <w:lvl w:ilvl="2" w:tplc="9632A8DC">
      <w:numFmt w:val="bullet"/>
      <w:lvlText w:val="•"/>
      <w:lvlJc w:val="left"/>
      <w:pPr>
        <w:ind w:left="2572" w:hanging="295"/>
      </w:pPr>
      <w:rPr>
        <w:rFonts w:hint="default"/>
        <w:lang w:val="en-US" w:eastAsia="en-US" w:bidi="ar-SA"/>
      </w:rPr>
    </w:lvl>
    <w:lvl w:ilvl="3" w:tplc="77C89B98">
      <w:numFmt w:val="bullet"/>
      <w:lvlText w:val="•"/>
      <w:lvlJc w:val="left"/>
      <w:pPr>
        <w:ind w:left="3448" w:hanging="295"/>
      </w:pPr>
      <w:rPr>
        <w:rFonts w:hint="default"/>
        <w:lang w:val="en-US" w:eastAsia="en-US" w:bidi="ar-SA"/>
      </w:rPr>
    </w:lvl>
    <w:lvl w:ilvl="4" w:tplc="9C088D7E">
      <w:numFmt w:val="bullet"/>
      <w:lvlText w:val="•"/>
      <w:lvlJc w:val="left"/>
      <w:pPr>
        <w:ind w:left="4324" w:hanging="295"/>
      </w:pPr>
      <w:rPr>
        <w:rFonts w:hint="default"/>
        <w:lang w:val="en-US" w:eastAsia="en-US" w:bidi="ar-SA"/>
      </w:rPr>
    </w:lvl>
    <w:lvl w:ilvl="5" w:tplc="7CC636F4">
      <w:numFmt w:val="bullet"/>
      <w:lvlText w:val="•"/>
      <w:lvlJc w:val="left"/>
      <w:pPr>
        <w:ind w:left="5200" w:hanging="295"/>
      </w:pPr>
      <w:rPr>
        <w:rFonts w:hint="default"/>
        <w:lang w:val="en-US" w:eastAsia="en-US" w:bidi="ar-SA"/>
      </w:rPr>
    </w:lvl>
    <w:lvl w:ilvl="6" w:tplc="7FF43180">
      <w:numFmt w:val="bullet"/>
      <w:lvlText w:val="•"/>
      <w:lvlJc w:val="left"/>
      <w:pPr>
        <w:ind w:left="6076" w:hanging="295"/>
      </w:pPr>
      <w:rPr>
        <w:rFonts w:hint="default"/>
        <w:lang w:val="en-US" w:eastAsia="en-US" w:bidi="ar-SA"/>
      </w:rPr>
    </w:lvl>
    <w:lvl w:ilvl="7" w:tplc="73562C74">
      <w:numFmt w:val="bullet"/>
      <w:lvlText w:val="•"/>
      <w:lvlJc w:val="left"/>
      <w:pPr>
        <w:ind w:left="6952" w:hanging="295"/>
      </w:pPr>
      <w:rPr>
        <w:rFonts w:hint="default"/>
        <w:lang w:val="en-US" w:eastAsia="en-US" w:bidi="ar-SA"/>
      </w:rPr>
    </w:lvl>
    <w:lvl w:ilvl="8" w:tplc="C44421E8">
      <w:numFmt w:val="bullet"/>
      <w:lvlText w:val="•"/>
      <w:lvlJc w:val="left"/>
      <w:pPr>
        <w:ind w:left="7828" w:hanging="295"/>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66"/>
    <w:rsid w:val="00033052"/>
    <w:rsid w:val="000E6333"/>
    <w:rsid w:val="000F375B"/>
    <w:rsid w:val="00114436"/>
    <w:rsid w:val="00182DFD"/>
    <w:rsid w:val="001C08C1"/>
    <w:rsid w:val="005009D9"/>
    <w:rsid w:val="005D44EE"/>
    <w:rsid w:val="00674371"/>
    <w:rsid w:val="006D5F2F"/>
    <w:rsid w:val="00767C66"/>
    <w:rsid w:val="00885F29"/>
    <w:rsid w:val="0099148A"/>
    <w:rsid w:val="00993B04"/>
    <w:rsid w:val="00AA13A7"/>
    <w:rsid w:val="00AC69B3"/>
    <w:rsid w:val="00B92FC1"/>
    <w:rsid w:val="00D9205B"/>
    <w:rsid w:val="00DE7B0E"/>
    <w:rsid w:val="00E11BCD"/>
    <w:rsid w:val="00F03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FD1AD"/>
  <w15:docId w15:val="{A86002B1-260D-4539-93EE-694DF987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21" w:hanging="722"/>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6"/>
      <w:ind w:left="60"/>
    </w:pPr>
    <w:rPr>
      <w:rFonts w:ascii="Courier New" w:eastAsia="Courier New" w:hAnsi="Courier New" w:cs="Courier New"/>
      <w:b/>
      <w:bCs/>
      <w:sz w:val="23"/>
      <w:szCs w:val="23"/>
    </w:rPr>
  </w:style>
  <w:style w:type="paragraph" w:styleId="ListParagraph">
    <w:name w:val="List Paragraph"/>
    <w:basedOn w:val="Normal"/>
    <w:uiPriority w:val="1"/>
    <w:qFormat/>
    <w:pPr>
      <w:ind w:left="821" w:hanging="722"/>
    </w:pPr>
  </w:style>
  <w:style w:type="paragraph" w:customStyle="1" w:styleId="TableParagraph">
    <w:name w:val="Table Paragraph"/>
    <w:basedOn w:val="Normal"/>
    <w:uiPriority w:val="1"/>
    <w:qFormat/>
    <w:rPr>
      <w:rFonts w:ascii="Arial Narrow" w:eastAsia="Arial Narrow" w:hAnsi="Arial Narrow" w:cs="Arial Narrow"/>
    </w:rPr>
  </w:style>
  <w:style w:type="paragraph" w:styleId="BalloonText">
    <w:name w:val="Balloon Text"/>
    <w:basedOn w:val="Normal"/>
    <w:link w:val="BalloonTextChar"/>
    <w:uiPriority w:val="99"/>
    <w:semiHidden/>
    <w:unhideWhenUsed/>
    <w:rsid w:val="00AA13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3A7"/>
    <w:rPr>
      <w:rFonts w:ascii="Segoe UI" w:eastAsia="Calibri" w:hAnsi="Segoe UI" w:cs="Segoe UI"/>
      <w:sz w:val="18"/>
      <w:szCs w:val="18"/>
    </w:rPr>
  </w:style>
  <w:style w:type="character" w:styleId="Hyperlink">
    <w:name w:val="Hyperlink"/>
    <w:basedOn w:val="DefaultParagraphFont"/>
    <w:uiPriority w:val="99"/>
    <w:unhideWhenUsed/>
    <w:rsid w:val="000F375B"/>
    <w:rPr>
      <w:color w:val="0000FF" w:themeColor="hyperlink"/>
      <w:u w:val="single"/>
    </w:rPr>
  </w:style>
  <w:style w:type="character" w:styleId="UnresolvedMention">
    <w:name w:val="Unresolved Mention"/>
    <w:basedOn w:val="DefaultParagraphFont"/>
    <w:uiPriority w:val="99"/>
    <w:semiHidden/>
    <w:unhideWhenUsed/>
    <w:rsid w:val="000F375B"/>
    <w:rPr>
      <w:color w:val="605E5C"/>
      <w:shd w:val="clear" w:color="auto" w:fill="E1DFDD"/>
    </w:rPr>
  </w:style>
  <w:style w:type="paragraph" w:styleId="Header">
    <w:name w:val="header"/>
    <w:basedOn w:val="Normal"/>
    <w:link w:val="HeaderChar"/>
    <w:uiPriority w:val="99"/>
    <w:unhideWhenUsed/>
    <w:rsid w:val="005D44EE"/>
    <w:pPr>
      <w:tabs>
        <w:tab w:val="center" w:pos="4680"/>
        <w:tab w:val="right" w:pos="9360"/>
      </w:tabs>
    </w:pPr>
  </w:style>
  <w:style w:type="character" w:customStyle="1" w:styleId="HeaderChar">
    <w:name w:val="Header Char"/>
    <w:basedOn w:val="DefaultParagraphFont"/>
    <w:link w:val="Header"/>
    <w:uiPriority w:val="99"/>
    <w:rsid w:val="005D44EE"/>
    <w:rPr>
      <w:rFonts w:ascii="Calibri" w:eastAsia="Calibri" w:hAnsi="Calibri" w:cs="Calibri"/>
    </w:rPr>
  </w:style>
  <w:style w:type="paragraph" w:styleId="Footer">
    <w:name w:val="footer"/>
    <w:basedOn w:val="Normal"/>
    <w:link w:val="FooterChar"/>
    <w:uiPriority w:val="99"/>
    <w:unhideWhenUsed/>
    <w:rsid w:val="005D44EE"/>
    <w:pPr>
      <w:tabs>
        <w:tab w:val="center" w:pos="4680"/>
        <w:tab w:val="right" w:pos="9360"/>
      </w:tabs>
    </w:pPr>
  </w:style>
  <w:style w:type="character" w:customStyle="1" w:styleId="FooterChar">
    <w:name w:val="Footer Char"/>
    <w:basedOn w:val="DefaultParagraphFont"/>
    <w:link w:val="Footer"/>
    <w:uiPriority w:val="99"/>
    <w:rsid w:val="005D44EE"/>
    <w:rPr>
      <w:rFonts w:ascii="Calibri" w:eastAsia="Calibri" w:hAnsi="Calibri" w:cs="Calibri"/>
    </w:rPr>
  </w:style>
  <w:style w:type="character" w:styleId="CommentReference">
    <w:name w:val="annotation reference"/>
    <w:basedOn w:val="DefaultParagraphFont"/>
    <w:uiPriority w:val="99"/>
    <w:semiHidden/>
    <w:unhideWhenUsed/>
    <w:rsid w:val="00674371"/>
    <w:rPr>
      <w:sz w:val="16"/>
      <w:szCs w:val="16"/>
    </w:rPr>
  </w:style>
  <w:style w:type="paragraph" w:styleId="CommentText">
    <w:name w:val="annotation text"/>
    <w:basedOn w:val="Normal"/>
    <w:link w:val="CommentTextChar"/>
    <w:uiPriority w:val="99"/>
    <w:semiHidden/>
    <w:unhideWhenUsed/>
    <w:rsid w:val="00674371"/>
    <w:rPr>
      <w:sz w:val="20"/>
      <w:szCs w:val="20"/>
    </w:rPr>
  </w:style>
  <w:style w:type="character" w:customStyle="1" w:styleId="CommentTextChar">
    <w:name w:val="Comment Text Char"/>
    <w:basedOn w:val="DefaultParagraphFont"/>
    <w:link w:val="CommentText"/>
    <w:uiPriority w:val="99"/>
    <w:semiHidden/>
    <w:rsid w:val="0067437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74371"/>
    <w:rPr>
      <w:b/>
      <w:bCs/>
    </w:rPr>
  </w:style>
  <w:style w:type="character" w:customStyle="1" w:styleId="CommentSubjectChar">
    <w:name w:val="Comment Subject Char"/>
    <w:basedOn w:val="CommentTextChar"/>
    <w:link w:val="CommentSubject"/>
    <w:uiPriority w:val="99"/>
    <w:semiHidden/>
    <w:rsid w:val="00674371"/>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irs.gov/businesses/corporations/qualified-intermediary-syste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uac/Privacy-Impact-Assessments-PIA" TargetMode="External"/><Relationship Id="rId5" Type="http://schemas.openxmlformats.org/officeDocument/2006/relationships/webSettings" Target="webSettings.xml"/><Relationship Id="rId10" Type="http://schemas.openxmlformats.org/officeDocument/2006/relationships/hyperlink" Target="https://www.irs.gov/uac/Privacy-Impact-Assessments-PIA"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1D0B5-A736-4E91-B66C-F0601CD60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Adams Paul D</dc:creator>
  <cp:lastModifiedBy>Adams Paul D</cp:lastModifiedBy>
  <cp:revision>2</cp:revision>
  <dcterms:created xsi:type="dcterms:W3CDTF">2021-09-29T01:10:00Z</dcterms:created>
  <dcterms:modified xsi:type="dcterms:W3CDTF">2021-09-29T01:10:00Z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2021-06-09T00:00:00Z</vt:filetime>
  </property>
  <property fmtid="{D5CDD505-2E9C-101B-9397-08002B2CF9AE}" pid="3" name="Creator">
    <vt:lpwstr>Microsoft® Word for Microsoft 365</vt:lpwstr>
  </property>
  <property fmtid="{D5CDD505-2E9C-101B-9397-08002B2CF9AE}" pid="4" name="LastSaved">
    <vt:filetime>2021-06-09T00:00:00Z</vt:filetime>
  </property>
</Properties>
</file>