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37255" w:rsidR="00564F55" w:rsidP="00EA19A3" w:rsidRDefault="003A57AF" w14:paraId="3B033669" w14:textId="77777777">
      <w:pPr>
        <w:tabs>
          <w:tab w:val="center" w:pos="4680"/>
        </w:tabs>
        <w:rPr>
          <w:rFonts w:ascii="Times New Roman" w:hAnsi="Times New Roman"/>
          <w:b/>
          <w:bCs/>
        </w:rPr>
      </w:pPr>
      <w:r w:rsidRPr="00737255">
        <w:rPr>
          <w:rFonts w:ascii="Times New Roman" w:hAnsi="Times New Roman"/>
        </w:rPr>
        <w:tab/>
      </w:r>
      <w:r w:rsidRPr="00737255">
        <w:rPr>
          <w:rFonts w:ascii="Times New Roman" w:hAnsi="Times New Roman"/>
          <w:b/>
          <w:bCs/>
        </w:rPr>
        <w:t xml:space="preserve">Supporting Statement </w:t>
      </w:r>
    </w:p>
    <w:p w:rsidR="00444034" w:rsidP="00EA19A3" w:rsidRDefault="003A57AF" w14:paraId="054B2155" w14:textId="77777777">
      <w:pPr>
        <w:tabs>
          <w:tab w:val="center" w:pos="4680"/>
        </w:tabs>
        <w:rPr>
          <w:rFonts w:ascii="Times New Roman" w:hAnsi="Times New Roman"/>
          <w:b/>
        </w:rPr>
      </w:pPr>
      <w:r w:rsidRPr="00737255">
        <w:rPr>
          <w:rFonts w:ascii="Times New Roman" w:hAnsi="Times New Roman"/>
          <w:b/>
          <w:bCs/>
        </w:rPr>
        <w:tab/>
      </w:r>
      <w:r w:rsidRPr="00737255" w:rsidR="00CF73EB">
        <w:rPr>
          <w:rFonts w:ascii="Times New Roman" w:hAnsi="Times New Roman"/>
          <w:b/>
        </w:rPr>
        <w:t xml:space="preserve">Procedures to Enhance the Accuracy and </w:t>
      </w:r>
    </w:p>
    <w:p w:rsidR="00444034" w:rsidP="00444034" w:rsidRDefault="00CF73EB" w14:paraId="2E4A5C6C" w14:textId="77777777">
      <w:pPr>
        <w:tabs>
          <w:tab w:val="center" w:pos="4680"/>
        </w:tabs>
        <w:jc w:val="center"/>
        <w:rPr>
          <w:rFonts w:ascii="Times New Roman" w:hAnsi="Times New Roman"/>
          <w:b/>
        </w:rPr>
      </w:pPr>
      <w:r w:rsidRPr="00737255">
        <w:rPr>
          <w:rFonts w:ascii="Times New Roman" w:hAnsi="Times New Roman"/>
          <w:b/>
        </w:rPr>
        <w:t>Integrity</w:t>
      </w:r>
      <w:r w:rsidR="00444034">
        <w:rPr>
          <w:rFonts w:ascii="Times New Roman" w:hAnsi="Times New Roman"/>
          <w:b/>
        </w:rPr>
        <w:t xml:space="preserve"> </w:t>
      </w:r>
      <w:r w:rsidRPr="00737255">
        <w:rPr>
          <w:rFonts w:ascii="Times New Roman" w:hAnsi="Times New Roman"/>
          <w:b/>
        </w:rPr>
        <w:t xml:space="preserve">of Information Furnished to Consumer </w:t>
      </w:r>
    </w:p>
    <w:p w:rsidRPr="00737255" w:rsidR="00CF73EB" w:rsidP="00444034" w:rsidRDefault="00CF73EB" w14:paraId="75C86AF5" w14:textId="77777777">
      <w:pPr>
        <w:tabs>
          <w:tab w:val="center" w:pos="4680"/>
        </w:tabs>
        <w:jc w:val="center"/>
        <w:rPr>
          <w:rFonts w:ascii="Times New Roman" w:hAnsi="Times New Roman"/>
          <w:b/>
        </w:rPr>
      </w:pPr>
      <w:r w:rsidRPr="00737255">
        <w:rPr>
          <w:rFonts w:ascii="Times New Roman" w:hAnsi="Times New Roman"/>
          <w:b/>
        </w:rPr>
        <w:t>Reporting Agencies</w:t>
      </w:r>
      <w:r w:rsidR="00444034">
        <w:rPr>
          <w:rFonts w:ascii="Times New Roman" w:hAnsi="Times New Roman"/>
          <w:b/>
        </w:rPr>
        <w:t xml:space="preserve"> </w:t>
      </w:r>
      <w:r w:rsidRPr="00737255">
        <w:rPr>
          <w:rFonts w:ascii="Times New Roman" w:hAnsi="Times New Roman"/>
          <w:b/>
        </w:rPr>
        <w:t xml:space="preserve">under Section 312 of the </w:t>
      </w:r>
    </w:p>
    <w:p w:rsidR="00CF73EB" w:rsidP="00EA19A3" w:rsidRDefault="00CF73EB" w14:paraId="24BC1D09" w14:textId="77777777">
      <w:pPr>
        <w:tabs>
          <w:tab w:val="center" w:pos="4680"/>
        </w:tabs>
        <w:jc w:val="center"/>
        <w:rPr>
          <w:rFonts w:ascii="Times New Roman" w:hAnsi="Times New Roman"/>
          <w:b/>
        </w:rPr>
      </w:pPr>
      <w:r w:rsidRPr="00737255">
        <w:rPr>
          <w:rFonts w:ascii="Times New Roman" w:hAnsi="Times New Roman"/>
          <w:b/>
        </w:rPr>
        <w:t>Fair and Accurate Credit Transactions Act of 2003</w:t>
      </w:r>
    </w:p>
    <w:p w:rsidRPr="00737255" w:rsidR="00444034" w:rsidP="00444034" w:rsidRDefault="00444034" w14:paraId="5FB2A8A0" w14:textId="77777777">
      <w:pPr>
        <w:tabs>
          <w:tab w:val="center" w:pos="4680"/>
        </w:tabs>
        <w:jc w:val="center"/>
        <w:rPr>
          <w:rFonts w:ascii="Times New Roman" w:hAnsi="Times New Roman"/>
          <w:b/>
          <w:bCs/>
        </w:rPr>
      </w:pPr>
      <w:r>
        <w:rPr>
          <w:rFonts w:ascii="Times New Roman" w:hAnsi="Times New Roman"/>
          <w:b/>
          <w:bCs/>
        </w:rPr>
        <w:t>OMB Control No.</w:t>
      </w:r>
      <w:r w:rsidRPr="00737255">
        <w:rPr>
          <w:rFonts w:ascii="Times New Roman" w:hAnsi="Times New Roman"/>
          <w:b/>
          <w:bCs/>
        </w:rPr>
        <w:t xml:space="preserve"> 1557-</w:t>
      </w:r>
      <w:r>
        <w:rPr>
          <w:rFonts w:ascii="Times New Roman" w:hAnsi="Times New Roman"/>
          <w:b/>
          <w:bCs/>
        </w:rPr>
        <w:t>0238</w:t>
      </w:r>
    </w:p>
    <w:p w:rsidRPr="00737255" w:rsidR="00444034" w:rsidP="00EA19A3" w:rsidRDefault="00444034" w14:paraId="63FBF177" w14:textId="77777777">
      <w:pPr>
        <w:tabs>
          <w:tab w:val="center" w:pos="4680"/>
        </w:tabs>
        <w:jc w:val="center"/>
        <w:rPr>
          <w:rFonts w:ascii="Times New Roman" w:hAnsi="Times New Roman"/>
          <w:b/>
        </w:rPr>
      </w:pPr>
    </w:p>
    <w:p w:rsidRPr="00737255" w:rsidR="00760A58" w:rsidP="00EA19A3" w:rsidRDefault="00760A58" w14:paraId="536B5F49" w14:textId="77777777">
      <w:pPr>
        <w:tabs>
          <w:tab w:val="center" w:pos="4680"/>
        </w:tabs>
        <w:rPr>
          <w:rFonts w:ascii="Times New Roman" w:hAnsi="Times New Roman"/>
        </w:rPr>
      </w:pPr>
    </w:p>
    <w:p w:rsidRPr="00FE4498" w:rsidR="00FE4498" w:rsidP="00FE4498" w:rsidRDefault="00FE4498" w14:paraId="5933536D" w14:textId="77777777">
      <w:pPr>
        <w:rPr>
          <w:rFonts w:ascii="Times New Roman" w:hAnsi="Times New Roman"/>
          <w:b/>
          <w:bCs/>
          <w:i/>
        </w:rPr>
      </w:pPr>
      <w:r w:rsidRPr="00FE4498">
        <w:rPr>
          <w:rFonts w:ascii="Times New Roman" w:hAnsi="Times New Roman"/>
          <w:b/>
          <w:bCs/>
          <w:i/>
        </w:rPr>
        <w:t>A.  Justification.</w:t>
      </w:r>
    </w:p>
    <w:p w:rsidRPr="00FE4498" w:rsidR="00FE4498" w:rsidP="00FE4498" w:rsidRDefault="00FE4498" w14:paraId="2114699F" w14:textId="77777777">
      <w:pPr>
        <w:rPr>
          <w:rFonts w:ascii="Times New Roman" w:hAnsi="Times New Roman"/>
          <w:b/>
          <w:i/>
        </w:rPr>
      </w:pPr>
    </w:p>
    <w:p w:rsidRPr="00FE4498" w:rsidR="00FE4498" w:rsidP="00FE4498" w:rsidRDefault="00FE4498" w14:paraId="2724B741" w14:textId="77777777">
      <w:pPr>
        <w:rPr>
          <w:rFonts w:ascii="Times New Roman" w:hAnsi="Times New Roman"/>
          <w:b/>
          <w:bCs/>
          <w:i/>
          <w:iCs/>
        </w:rPr>
      </w:pPr>
      <w:r w:rsidRPr="00FE4498">
        <w:rPr>
          <w:rFonts w:ascii="Times New Roman" w:hAnsi="Times New Roman"/>
          <w:b/>
          <w:bCs/>
          <w:i/>
          <w:iCs/>
        </w:rPr>
        <w:t>1.  Circumstances that make the collection necessary:</w:t>
      </w:r>
    </w:p>
    <w:p w:rsidRPr="00737255" w:rsidR="00654326" w:rsidP="00EA19A3" w:rsidRDefault="00654326" w14:paraId="4696FED2" w14:textId="77777777">
      <w:pPr>
        <w:tabs>
          <w:tab w:val="left" w:pos="-1440"/>
        </w:tabs>
        <w:ind w:left="360"/>
        <w:rPr>
          <w:rFonts w:ascii="Times New Roman" w:hAnsi="Times New Roman"/>
        </w:rPr>
      </w:pPr>
    </w:p>
    <w:p w:rsidR="003A57AF" w:rsidP="00EA19A3" w:rsidRDefault="00861139" w14:paraId="29BA9FB3" w14:textId="0D605F2E">
      <w:pPr>
        <w:rPr>
          <w:rFonts w:ascii="Times New Roman" w:hAnsi="Times New Roman"/>
        </w:rPr>
      </w:pPr>
      <w:r>
        <w:rPr>
          <w:rFonts w:ascii="Times New Roman" w:hAnsi="Times New Roman"/>
          <w:iCs/>
        </w:rPr>
        <w:t xml:space="preserve">            </w:t>
      </w:r>
      <w:r w:rsidRPr="00861139" w:rsidR="00C766BA">
        <w:rPr>
          <w:rFonts w:ascii="Times New Roman" w:hAnsi="Times New Roman"/>
          <w:iCs/>
        </w:rPr>
        <w:t xml:space="preserve">Section 312 of the FACT Act required the issuance of guidelines for use by furnishers regarding the accuracy and integrity of the information about consumers that they furnish to consumer reporting agencies and of regulations that require furnishers to establish reasonable policies and procedures for implementing the guidelines.  Section 312 also required the issuance of </w:t>
      </w:r>
      <w:r w:rsidRPr="00861139" w:rsidR="00C766BA">
        <w:rPr>
          <w:rFonts w:ascii="Times New Roman" w:hAnsi="Times New Roman"/>
        </w:rPr>
        <w:t>regulations identifying the circumstances under which a furnisher must reinvestigate disputes about the accuracy of information contained in a consumer report based on a direct request from a consumer.</w:t>
      </w:r>
    </w:p>
    <w:p w:rsidRPr="00861139" w:rsidR="00861139" w:rsidP="00EA19A3" w:rsidRDefault="00861139" w14:paraId="778D4E98" w14:textId="77777777">
      <w:pPr>
        <w:rPr>
          <w:rFonts w:ascii="Times New Roman" w:hAnsi="Times New Roman"/>
        </w:rPr>
      </w:pPr>
    </w:p>
    <w:p w:rsidRPr="00FE4498" w:rsidR="003E7428" w:rsidP="00FE4498" w:rsidRDefault="00FE4498" w14:paraId="030D22BF" w14:textId="77777777">
      <w:pPr>
        <w:pStyle w:val="BodyText"/>
        <w:rPr>
          <w:rFonts w:ascii="Times New Roman" w:hAnsi="Times New Roman" w:cs="Times New Roman"/>
          <w:b/>
          <w:bCs/>
          <w:i/>
        </w:rPr>
      </w:pPr>
      <w:r w:rsidRPr="00FE4498">
        <w:rPr>
          <w:rFonts w:ascii="Times New Roman" w:hAnsi="Times New Roman" w:cs="Times New Roman"/>
          <w:b/>
          <w:bCs/>
          <w:i/>
        </w:rPr>
        <w:t>2.  Use of the information:</w:t>
      </w:r>
    </w:p>
    <w:p w:rsidRPr="003E7428" w:rsidR="003E7428" w:rsidP="003E7428" w:rsidRDefault="003E7428" w14:paraId="0EFA80A8" w14:textId="2876291E">
      <w:pPr>
        <w:widowControl/>
        <w:rPr>
          <w:rFonts w:ascii="Times New Roman" w:hAnsi="Times New Roman"/>
        </w:rPr>
      </w:pPr>
      <w:r>
        <w:rPr>
          <w:rFonts w:ascii="Times New Roman" w:hAnsi="Times New Roman"/>
        </w:rPr>
        <w:tab/>
      </w:r>
      <w:r w:rsidRPr="003E7428">
        <w:rPr>
          <w:rFonts w:ascii="Times New Roman" w:hAnsi="Times New Roman"/>
        </w:rPr>
        <w:t>Becau</w:t>
      </w:r>
      <w:r>
        <w:rPr>
          <w:rFonts w:ascii="Times New Roman" w:hAnsi="Times New Roman"/>
        </w:rPr>
        <w:t xml:space="preserve">se consumer reports are used to </w:t>
      </w:r>
      <w:r w:rsidRPr="003E7428">
        <w:rPr>
          <w:rFonts w:ascii="Times New Roman" w:hAnsi="Times New Roman"/>
        </w:rPr>
        <w:t>determine whether, and</w:t>
      </w:r>
      <w:r w:rsidR="004B2460">
        <w:rPr>
          <w:rFonts w:ascii="Times New Roman" w:hAnsi="Times New Roman"/>
        </w:rPr>
        <w:t>,</w:t>
      </w:r>
      <w:r w:rsidRPr="003E7428">
        <w:rPr>
          <w:rFonts w:ascii="Times New Roman" w:hAnsi="Times New Roman"/>
        </w:rPr>
        <w:t xml:space="preserve"> in some cases</w:t>
      </w:r>
      <w:r w:rsidR="004B2460">
        <w:rPr>
          <w:rFonts w:ascii="Times New Roman" w:hAnsi="Times New Roman"/>
        </w:rPr>
        <w:t>,</w:t>
      </w:r>
      <w:r>
        <w:rPr>
          <w:rFonts w:ascii="Times New Roman" w:hAnsi="Times New Roman"/>
        </w:rPr>
        <w:t xml:space="preserve"> </w:t>
      </w:r>
      <w:r w:rsidRPr="003E7428">
        <w:rPr>
          <w:rFonts w:ascii="Times New Roman" w:hAnsi="Times New Roman"/>
        </w:rPr>
        <w:t>on what terms, consumers may be</w:t>
      </w:r>
      <w:r>
        <w:rPr>
          <w:rFonts w:ascii="Times New Roman" w:hAnsi="Times New Roman"/>
        </w:rPr>
        <w:t xml:space="preserve"> </w:t>
      </w:r>
      <w:r w:rsidRPr="003E7428">
        <w:rPr>
          <w:rFonts w:ascii="Times New Roman" w:hAnsi="Times New Roman"/>
        </w:rPr>
        <w:t>eligible for credit, insurance,</w:t>
      </w:r>
      <w:r>
        <w:rPr>
          <w:rFonts w:ascii="Times New Roman" w:hAnsi="Times New Roman"/>
        </w:rPr>
        <w:t xml:space="preserve"> </w:t>
      </w:r>
      <w:r w:rsidRPr="003E7428">
        <w:rPr>
          <w:rFonts w:ascii="Times New Roman" w:hAnsi="Times New Roman"/>
        </w:rPr>
        <w:t>employment, rental housing, and other</w:t>
      </w:r>
      <w:r>
        <w:rPr>
          <w:rFonts w:ascii="Times New Roman" w:hAnsi="Times New Roman"/>
        </w:rPr>
        <w:t xml:space="preserve"> </w:t>
      </w:r>
      <w:r w:rsidRPr="003E7428">
        <w:rPr>
          <w:rFonts w:ascii="Times New Roman" w:hAnsi="Times New Roman"/>
        </w:rPr>
        <w:t>important products, services, or</w:t>
      </w:r>
      <w:r>
        <w:rPr>
          <w:rFonts w:ascii="Times New Roman" w:hAnsi="Times New Roman"/>
        </w:rPr>
        <w:t xml:space="preserve"> </w:t>
      </w:r>
      <w:r w:rsidRPr="003E7428">
        <w:rPr>
          <w:rFonts w:ascii="Times New Roman" w:hAnsi="Times New Roman"/>
        </w:rPr>
        <w:t xml:space="preserve">benefits, </w:t>
      </w:r>
      <w:r w:rsidR="00F81219">
        <w:rPr>
          <w:rFonts w:ascii="Times New Roman" w:hAnsi="Times New Roman"/>
        </w:rPr>
        <w:t xml:space="preserve">improving </w:t>
      </w:r>
      <w:r w:rsidRPr="003E7428">
        <w:rPr>
          <w:rFonts w:ascii="Times New Roman" w:hAnsi="Times New Roman"/>
        </w:rPr>
        <w:t>the accuracy of the information</w:t>
      </w:r>
      <w:r>
        <w:rPr>
          <w:rFonts w:ascii="Times New Roman" w:hAnsi="Times New Roman"/>
        </w:rPr>
        <w:t xml:space="preserve"> </w:t>
      </w:r>
      <w:r w:rsidRPr="003E7428">
        <w:rPr>
          <w:rFonts w:ascii="Times New Roman" w:hAnsi="Times New Roman"/>
        </w:rPr>
        <w:t xml:space="preserve">in those reports is important. </w:t>
      </w:r>
      <w:r w:rsidR="00116C93">
        <w:rPr>
          <w:rFonts w:ascii="Times New Roman" w:hAnsi="Times New Roman"/>
        </w:rPr>
        <w:t xml:space="preserve"> </w:t>
      </w:r>
    </w:p>
    <w:p w:rsidRPr="00737255" w:rsidR="00B1576B" w:rsidP="00EA19A3" w:rsidRDefault="00CF0DB6" w14:paraId="3B2657E4" w14:textId="77777777">
      <w:pPr>
        <w:ind w:firstLine="720"/>
        <w:rPr>
          <w:rFonts w:ascii="Times New Roman" w:hAnsi="Times New Roman"/>
          <w:color w:val="000000"/>
        </w:rPr>
      </w:pPr>
      <w:r>
        <w:rPr>
          <w:rFonts w:ascii="Times New Roman" w:hAnsi="Times New Roman"/>
          <w:color w:val="000000"/>
        </w:rPr>
        <w:t>Twelve CFR</w:t>
      </w:r>
      <w:r w:rsidRPr="00737255" w:rsidR="00183C6D">
        <w:rPr>
          <w:rFonts w:ascii="Times New Roman" w:hAnsi="Times New Roman"/>
          <w:color w:val="000000"/>
        </w:rPr>
        <w:t xml:space="preserve"> </w:t>
      </w:r>
      <w:r w:rsidR="00D414E8">
        <w:rPr>
          <w:rFonts w:ascii="Times New Roman" w:hAnsi="Times New Roman"/>
          <w:color w:val="000000"/>
        </w:rPr>
        <w:t>1022</w:t>
      </w:r>
      <w:r w:rsidRPr="00737255" w:rsidR="00B1576B">
        <w:rPr>
          <w:rFonts w:ascii="Times New Roman" w:hAnsi="Times New Roman"/>
          <w:color w:val="000000"/>
        </w:rPr>
        <w:t>.42(a) require</w:t>
      </w:r>
      <w:r w:rsidRPr="00737255" w:rsidR="00754BF8">
        <w:rPr>
          <w:rFonts w:ascii="Times New Roman" w:hAnsi="Times New Roman"/>
          <w:color w:val="000000"/>
        </w:rPr>
        <w:t>s</w:t>
      </w:r>
      <w:r w:rsidRPr="00737255" w:rsidR="00B1576B">
        <w:rPr>
          <w:rFonts w:ascii="Times New Roman" w:hAnsi="Times New Roman"/>
          <w:color w:val="000000"/>
        </w:rPr>
        <w:t xml:space="preserve"> furnisher</w:t>
      </w:r>
      <w:r w:rsidRPr="00737255" w:rsidR="00C13CDA">
        <w:rPr>
          <w:rFonts w:ascii="Times New Roman" w:hAnsi="Times New Roman"/>
          <w:color w:val="000000"/>
        </w:rPr>
        <w:t>s</w:t>
      </w:r>
      <w:r w:rsidRPr="00737255" w:rsidR="00B1576B">
        <w:rPr>
          <w:rFonts w:ascii="Times New Roman" w:hAnsi="Times New Roman"/>
          <w:color w:val="000000"/>
        </w:rPr>
        <w:t xml:space="preserve"> to </w:t>
      </w:r>
      <w:r w:rsidRPr="00737255" w:rsidR="00C13CDA">
        <w:rPr>
          <w:rFonts w:ascii="Times New Roman" w:hAnsi="Times New Roman"/>
          <w:color w:val="000000"/>
        </w:rPr>
        <w:t xml:space="preserve">establish and </w:t>
      </w:r>
      <w:r w:rsidRPr="00737255" w:rsidR="00B1576B">
        <w:rPr>
          <w:rFonts w:ascii="Times New Roman" w:hAnsi="Times New Roman"/>
          <w:color w:val="000000"/>
        </w:rPr>
        <w:t xml:space="preserve">implement reasonable written policies and procedures regarding the accuracy and integrity of </w:t>
      </w:r>
      <w:r w:rsidR="00004F73">
        <w:rPr>
          <w:rFonts w:ascii="Times New Roman" w:hAnsi="Times New Roman"/>
          <w:color w:val="000000"/>
        </w:rPr>
        <w:t xml:space="preserve">consumer </w:t>
      </w:r>
      <w:r w:rsidRPr="00737255" w:rsidR="00B1576B">
        <w:rPr>
          <w:rFonts w:ascii="Times New Roman" w:hAnsi="Times New Roman"/>
          <w:color w:val="000000"/>
        </w:rPr>
        <w:t xml:space="preserve">information that </w:t>
      </w:r>
      <w:r w:rsidRPr="00737255" w:rsidR="00C13CDA">
        <w:rPr>
          <w:rFonts w:ascii="Times New Roman" w:hAnsi="Times New Roman"/>
          <w:color w:val="000000"/>
        </w:rPr>
        <w:t>they</w:t>
      </w:r>
      <w:r w:rsidRPr="00737255" w:rsidR="00B1576B">
        <w:rPr>
          <w:rFonts w:ascii="Times New Roman" w:hAnsi="Times New Roman"/>
          <w:color w:val="000000"/>
        </w:rPr>
        <w:t xml:space="preserve"> provide to a </w:t>
      </w:r>
      <w:r w:rsidRPr="00737255" w:rsidR="00C13CDA">
        <w:rPr>
          <w:rFonts w:ascii="Times New Roman" w:hAnsi="Times New Roman"/>
          <w:color w:val="000000"/>
        </w:rPr>
        <w:t>consumer reporting agency (</w:t>
      </w:r>
      <w:r w:rsidRPr="00737255" w:rsidR="00B1576B">
        <w:rPr>
          <w:rFonts w:ascii="Times New Roman" w:hAnsi="Times New Roman"/>
          <w:color w:val="000000"/>
        </w:rPr>
        <w:t>CRA</w:t>
      </w:r>
      <w:r w:rsidRPr="00737255" w:rsidR="00C13CDA">
        <w:rPr>
          <w:rFonts w:ascii="Times New Roman" w:hAnsi="Times New Roman"/>
          <w:color w:val="000000"/>
        </w:rPr>
        <w:t>)</w:t>
      </w:r>
      <w:r w:rsidR="00AC053A">
        <w:rPr>
          <w:rFonts w:ascii="Times New Roman" w:hAnsi="Times New Roman"/>
          <w:color w:val="000000"/>
        </w:rPr>
        <w:t>.</w:t>
      </w:r>
      <w:r w:rsidRPr="00737255" w:rsidR="00B1576B">
        <w:rPr>
          <w:rFonts w:ascii="Times New Roman" w:hAnsi="Times New Roman"/>
          <w:color w:val="000000"/>
        </w:rPr>
        <w:t xml:space="preserve">    </w:t>
      </w:r>
    </w:p>
    <w:p w:rsidRPr="00737255" w:rsidR="00FA4429" w:rsidP="00EA19A3" w:rsidRDefault="00FA4429" w14:paraId="49069BC5" w14:textId="77777777">
      <w:pPr>
        <w:ind w:firstLine="720"/>
        <w:rPr>
          <w:rFonts w:ascii="Times New Roman" w:hAnsi="Times New Roman"/>
          <w:color w:val="000000"/>
        </w:rPr>
      </w:pPr>
    </w:p>
    <w:p w:rsidR="00527A37" w:rsidP="00EA19A3" w:rsidRDefault="00D55BC6" w14:paraId="1D92BB85" w14:textId="1CE5350C">
      <w:pPr>
        <w:ind w:firstLine="720"/>
        <w:rPr>
          <w:rFonts w:ascii="Times New Roman" w:hAnsi="Times New Roman"/>
          <w:color w:val="000000"/>
        </w:rPr>
      </w:pPr>
      <w:r>
        <w:rPr>
          <w:rFonts w:ascii="Times New Roman" w:hAnsi="Times New Roman"/>
          <w:color w:val="000000"/>
        </w:rPr>
        <w:t>Twelve CFR</w:t>
      </w:r>
      <w:r w:rsidRPr="00737255" w:rsidR="00B1576B">
        <w:rPr>
          <w:rFonts w:ascii="Times New Roman" w:hAnsi="Times New Roman"/>
          <w:color w:val="000000"/>
        </w:rPr>
        <w:t xml:space="preserve"> </w:t>
      </w:r>
      <w:r w:rsidR="00D414E8">
        <w:rPr>
          <w:rFonts w:ascii="Times New Roman" w:hAnsi="Times New Roman"/>
          <w:color w:val="000000"/>
        </w:rPr>
        <w:t>1022</w:t>
      </w:r>
      <w:r w:rsidRPr="00737255" w:rsidR="00B1576B">
        <w:rPr>
          <w:rFonts w:ascii="Times New Roman" w:hAnsi="Times New Roman"/>
          <w:color w:val="000000"/>
        </w:rPr>
        <w:t>.43(a)</w:t>
      </w:r>
      <w:r w:rsidRPr="00737255" w:rsidR="00B1576B">
        <w:rPr>
          <w:rStyle w:val="FootnoteReference"/>
          <w:rFonts w:ascii="Times New Roman" w:hAnsi="Times New Roman"/>
          <w:color w:val="000000"/>
        </w:rPr>
        <w:t xml:space="preserve"> </w:t>
      </w:r>
      <w:r w:rsidRPr="00737255" w:rsidR="0044526B">
        <w:rPr>
          <w:rFonts w:ascii="Times New Roman" w:hAnsi="Times New Roman"/>
          <w:color w:val="000000"/>
        </w:rPr>
        <w:t xml:space="preserve">requires </w:t>
      </w:r>
      <w:r w:rsidR="00B307E3">
        <w:rPr>
          <w:rFonts w:ascii="Times New Roman" w:hAnsi="Times New Roman"/>
          <w:color w:val="000000"/>
        </w:rPr>
        <w:t xml:space="preserve">a </w:t>
      </w:r>
      <w:r w:rsidRPr="00737255" w:rsidR="0044526B">
        <w:rPr>
          <w:rFonts w:ascii="Times New Roman" w:hAnsi="Times New Roman"/>
          <w:color w:val="000000"/>
        </w:rPr>
        <w:t xml:space="preserve">furnisher </w:t>
      </w:r>
      <w:r w:rsidR="0044526B">
        <w:rPr>
          <w:rFonts w:ascii="Times New Roman" w:hAnsi="Times New Roman"/>
          <w:color w:val="000000"/>
        </w:rPr>
        <w:t xml:space="preserve">to </w:t>
      </w:r>
      <w:r w:rsidR="003045BB">
        <w:rPr>
          <w:rFonts w:ascii="Times New Roman" w:hAnsi="Times New Roman"/>
          <w:color w:val="000000"/>
        </w:rPr>
        <w:t>conduct a reasonable investigation of a dispute</w:t>
      </w:r>
      <w:r w:rsidR="0044526B">
        <w:rPr>
          <w:rFonts w:ascii="Times New Roman" w:hAnsi="Times New Roman"/>
          <w:color w:val="000000"/>
        </w:rPr>
        <w:t xml:space="preserve"> </w:t>
      </w:r>
      <w:r w:rsidR="002607D6">
        <w:rPr>
          <w:rFonts w:ascii="Times New Roman" w:hAnsi="Times New Roman"/>
          <w:color w:val="000000"/>
        </w:rPr>
        <w:t xml:space="preserve">initiated directly by </w:t>
      </w:r>
      <w:r w:rsidR="003045BB">
        <w:rPr>
          <w:rFonts w:ascii="Times New Roman" w:hAnsi="Times New Roman"/>
          <w:color w:val="000000"/>
        </w:rPr>
        <w:t>a consumer</w:t>
      </w:r>
      <w:r w:rsidR="002607D6">
        <w:rPr>
          <w:rFonts w:ascii="Times New Roman" w:hAnsi="Times New Roman"/>
          <w:color w:val="000000"/>
        </w:rPr>
        <w:t xml:space="preserve"> </w:t>
      </w:r>
      <w:r w:rsidR="00F80EE1">
        <w:rPr>
          <w:rFonts w:ascii="Times New Roman" w:hAnsi="Times New Roman"/>
          <w:color w:val="000000"/>
        </w:rPr>
        <w:t xml:space="preserve">(a direct dispute) </w:t>
      </w:r>
      <w:r w:rsidR="00AC053A">
        <w:rPr>
          <w:rFonts w:ascii="Times New Roman" w:hAnsi="Times New Roman"/>
          <w:color w:val="000000"/>
        </w:rPr>
        <w:t xml:space="preserve">in </w:t>
      </w:r>
      <w:r w:rsidR="00F80EE1">
        <w:rPr>
          <w:rFonts w:ascii="Times New Roman" w:hAnsi="Times New Roman"/>
          <w:color w:val="000000"/>
        </w:rPr>
        <w:t xml:space="preserve">specified </w:t>
      </w:r>
      <w:r w:rsidR="00AC053A">
        <w:rPr>
          <w:rFonts w:ascii="Times New Roman" w:hAnsi="Times New Roman"/>
          <w:color w:val="000000"/>
        </w:rPr>
        <w:t>circumstances</w:t>
      </w:r>
      <w:r w:rsidR="00F80EE1">
        <w:rPr>
          <w:rFonts w:ascii="Times New Roman" w:hAnsi="Times New Roman"/>
          <w:color w:val="000000"/>
        </w:rPr>
        <w:t xml:space="preserve"> and with specific requirements</w:t>
      </w:r>
      <w:r w:rsidRPr="00737255" w:rsidR="00B1576B">
        <w:rPr>
          <w:rFonts w:ascii="Times New Roman" w:hAnsi="Times New Roman"/>
          <w:color w:val="000000"/>
        </w:rPr>
        <w:t xml:space="preserve">.  </w:t>
      </w:r>
      <w:r w:rsidRPr="00737255" w:rsidR="00527A37">
        <w:rPr>
          <w:rFonts w:ascii="Times New Roman" w:hAnsi="Times New Roman"/>
          <w:color w:val="000000"/>
        </w:rPr>
        <w:t>Under the</w:t>
      </w:r>
      <w:r w:rsidRPr="00737255" w:rsidR="00B1576B">
        <w:rPr>
          <w:rFonts w:ascii="Times New Roman" w:hAnsi="Times New Roman"/>
          <w:color w:val="000000"/>
        </w:rPr>
        <w:t xml:space="preserve"> </w:t>
      </w:r>
      <w:r w:rsidRPr="00737255" w:rsidR="00754BF8">
        <w:rPr>
          <w:rFonts w:ascii="Times New Roman" w:hAnsi="Times New Roman"/>
          <w:color w:val="000000"/>
        </w:rPr>
        <w:t xml:space="preserve">final </w:t>
      </w:r>
      <w:r w:rsidR="00791D2B">
        <w:rPr>
          <w:rFonts w:ascii="Times New Roman" w:hAnsi="Times New Roman"/>
          <w:color w:val="000000"/>
        </w:rPr>
        <w:t xml:space="preserve">rule, </w:t>
      </w:r>
      <w:r w:rsidR="00DA332D">
        <w:rPr>
          <w:rFonts w:ascii="Times New Roman" w:hAnsi="Times New Roman"/>
          <w:color w:val="000000"/>
        </w:rPr>
        <w:t xml:space="preserve">duties of </w:t>
      </w:r>
      <w:r w:rsidR="00791D2B">
        <w:rPr>
          <w:rFonts w:ascii="Times New Roman" w:hAnsi="Times New Roman"/>
          <w:color w:val="000000"/>
        </w:rPr>
        <w:t xml:space="preserve">furnishers </w:t>
      </w:r>
      <w:r w:rsidR="00DA332D">
        <w:rPr>
          <w:rFonts w:ascii="Times New Roman" w:hAnsi="Times New Roman"/>
          <w:color w:val="000000"/>
        </w:rPr>
        <w:t xml:space="preserve">after they receive a direct dispute include </w:t>
      </w:r>
      <w:r w:rsidRPr="00DA332D" w:rsidR="00DA332D">
        <w:rPr>
          <w:rFonts w:ascii="Times New Roman" w:hAnsi="Times New Roman"/>
          <w:color w:val="000000"/>
        </w:rPr>
        <w:t xml:space="preserve">conducting a reasonable investigation and responding to the consumer within the time period applicable if the </w:t>
      </w:r>
      <w:r w:rsidR="00DA332D">
        <w:rPr>
          <w:rFonts w:ascii="Times New Roman" w:hAnsi="Times New Roman"/>
          <w:color w:val="000000"/>
        </w:rPr>
        <w:t xml:space="preserve">if the </w:t>
      </w:r>
      <w:r w:rsidR="009B5FCC">
        <w:rPr>
          <w:rFonts w:ascii="Times New Roman" w:hAnsi="Times New Roman"/>
          <w:color w:val="000000"/>
        </w:rPr>
        <w:t xml:space="preserve">consumer </w:t>
      </w:r>
      <w:r w:rsidRPr="00DA332D" w:rsidR="00DA332D">
        <w:rPr>
          <w:rFonts w:ascii="Times New Roman" w:hAnsi="Times New Roman"/>
          <w:color w:val="000000"/>
        </w:rPr>
        <w:t xml:space="preserve">had elected to dispute the information </w:t>
      </w:r>
      <w:r w:rsidRPr="00737255" w:rsidR="009836DA">
        <w:rPr>
          <w:rFonts w:ascii="Times New Roman" w:hAnsi="Times New Roman"/>
          <w:color w:val="000000"/>
        </w:rPr>
        <w:t>through a CRA</w:t>
      </w:r>
      <w:r w:rsidR="00791D2B">
        <w:rPr>
          <w:rFonts w:ascii="Times New Roman" w:hAnsi="Times New Roman"/>
          <w:color w:val="000000"/>
        </w:rPr>
        <w:t xml:space="preserve">.  </w:t>
      </w:r>
    </w:p>
    <w:p w:rsidRPr="00737255" w:rsidR="00C41452" w:rsidP="00EA19A3" w:rsidRDefault="00C41452" w14:paraId="2130A6D3" w14:textId="77777777">
      <w:pPr>
        <w:ind w:firstLine="720"/>
        <w:rPr>
          <w:rFonts w:ascii="Times New Roman" w:hAnsi="Times New Roman"/>
          <w:color w:val="000000"/>
        </w:rPr>
      </w:pPr>
    </w:p>
    <w:p w:rsidRPr="00737255" w:rsidR="00B1576B" w:rsidP="00EA19A3" w:rsidRDefault="00D55BC6" w14:paraId="627CA765" w14:textId="77777777">
      <w:pPr>
        <w:ind w:firstLine="720"/>
        <w:rPr>
          <w:rFonts w:ascii="Times New Roman" w:hAnsi="Times New Roman"/>
          <w:color w:val="000000"/>
        </w:rPr>
      </w:pPr>
      <w:r>
        <w:rPr>
          <w:rFonts w:ascii="Times New Roman" w:hAnsi="Times New Roman"/>
          <w:color w:val="000000"/>
        </w:rPr>
        <w:t>Twelve CFR</w:t>
      </w:r>
      <w:r w:rsidRPr="00737255" w:rsidR="00B1576B">
        <w:rPr>
          <w:rFonts w:ascii="Times New Roman" w:hAnsi="Times New Roman"/>
          <w:color w:val="000000"/>
        </w:rPr>
        <w:t xml:space="preserve"> </w:t>
      </w:r>
      <w:r w:rsidR="00D414E8">
        <w:rPr>
          <w:rFonts w:ascii="Times New Roman" w:hAnsi="Times New Roman"/>
          <w:color w:val="000000"/>
        </w:rPr>
        <w:t>1022</w:t>
      </w:r>
      <w:r w:rsidRPr="00737255" w:rsidR="00C97B19">
        <w:rPr>
          <w:rFonts w:ascii="Times New Roman" w:hAnsi="Times New Roman"/>
          <w:color w:val="000000"/>
        </w:rPr>
        <w:t>.43(f</w:t>
      </w:r>
      <w:r w:rsidRPr="00737255" w:rsidR="00B1576B">
        <w:rPr>
          <w:rFonts w:ascii="Times New Roman" w:hAnsi="Times New Roman"/>
          <w:color w:val="000000"/>
        </w:rPr>
        <w:t>)(2)</w:t>
      </w:r>
      <w:r w:rsidRPr="00737255" w:rsidR="00B1576B">
        <w:rPr>
          <w:rStyle w:val="FootnoteReference"/>
          <w:rFonts w:ascii="Times New Roman" w:hAnsi="Times New Roman"/>
          <w:color w:val="000000"/>
        </w:rPr>
        <w:t xml:space="preserve"> </w:t>
      </w:r>
      <w:r w:rsidRPr="00737255" w:rsidR="00B1576B">
        <w:rPr>
          <w:rFonts w:ascii="Times New Roman" w:hAnsi="Times New Roman"/>
          <w:color w:val="000000"/>
        </w:rPr>
        <w:t xml:space="preserve">incorporates the </w:t>
      </w:r>
      <w:r>
        <w:rPr>
          <w:rFonts w:ascii="Times New Roman" w:hAnsi="Times New Roman"/>
          <w:color w:val="000000"/>
        </w:rPr>
        <w:t xml:space="preserve">section 312 </w:t>
      </w:r>
      <w:r w:rsidRPr="00737255" w:rsidR="00C13CDA">
        <w:rPr>
          <w:rFonts w:ascii="Times New Roman" w:hAnsi="Times New Roman"/>
          <w:color w:val="000000"/>
        </w:rPr>
        <w:t xml:space="preserve">statutory </w:t>
      </w:r>
      <w:r w:rsidRPr="00737255" w:rsidR="00B1576B">
        <w:rPr>
          <w:rFonts w:ascii="Times New Roman" w:hAnsi="Times New Roman"/>
          <w:color w:val="000000"/>
        </w:rPr>
        <w:t xml:space="preserve">requirement that a furnisher must notify a consumer by mail or other means (if authorized by the consumer) </w:t>
      </w:r>
      <w:r w:rsidRPr="00737255" w:rsidR="00C13CDA">
        <w:rPr>
          <w:rFonts w:ascii="Times New Roman" w:hAnsi="Times New Roman"/>
          <w:color w:val="000000"/>
        </w:rPr>
        <w:t xml:space="preserve">not later than </w:t>
      </w:r>
      <w:r w:rsidRPr="00737255" w:rsidR="00B1576B">
        <w:rPr>
          <w:rFonts w:ascii="Times New Roman" w:hAnsi="Times New Roman"/>
          <w:color w:val="000000"/>
        </w:rPr>
        <w:t xml:space="preserve">five business days after making a determination that a dispute is frivolous or irrelevant.  </w:t>
      </w:r>
      <w:r>
        <w:rPr>
          <w:rFonts w:ascii="Times New Roman" w:hAnsi="Times New Roman"/>
          <w:color w:val="000000"/>
        </w:rPr>
        <w:t>Twelve CFR</w:t>
      </w:r>
      <w:r w:rsidRPr="00737255" w:rsidR="00B1576B">
        <w:rPr>
          <w:rFonts w:ascii="Times New Roman" w:hAnsi="Times New Roman"/>
          <w:color w:val="000000"/>
        </w:rPr>
        <w:t xml:space="preserve"> </w:t>
      </w:r>
      <w:r w:rsidR="00D414E8">
        <w:rPr>
          <w:rFonts w:ascii="Times New Roman" w:hAnsi="Times New Roman"/>
          <w:color w:val="000000"/>
        </w:rPr>
        <w:t>1022</w:t>
      </w:r>
      <w:r w:rsidRPr="00737255" w:rsidR="00C97B19">
        <w:rPr>
          <w:rFonts w:ascii="Times New Roman" w:hAnsi="Times New Roman"/>
          <w:color w:val="000000"/>
        </w:rPr>
        <w:t>.43(f</w:t>
      </w:r>
      <w:r w:rsidRPr="00737255" w:rsidR="00B1576B">
        <w:rPr>
          <w:rFonts w:ascii="Times New Roman" w:hAnsi="Times New Roman"/>
          <w:color w:val="000000"/>
        </w:rPr>
        <w:t xml:space="preserve">)(3) incorporates the </w:t>
      </w:r>
      <w:r>
        <w:rPr>
          <w:rFonts w:ascii="Times New Roman" w:hAnsi="Times New Roman"/>
          <w:color w:val="000000"/>
        </w:rPr>
        <w:t>section 312</w:t>
      </w:r>
      <w:r w:rsidRPr="00737255" w:rsidR="00C13CDA">
        <w:rPr>
          <w:rFonts w:ascii="Times New Roman" w:hAnsi="Times New Roman"/>
          <w:color w:val="000000"/>
        </w:rPr>
        <w:t xml:space="preserve"> </w:t>
      </w:r>
      <w:r w:rsidRPr="00737255" w:rsidR="007A62EE">
        <w:rPr>
          <w:rFonts w:ascii="Times New Roman" w:hAnsi="Times New Roman"/>
          <w:color w:val="000000"/>
        </w:rPr>
        <w:t>content requirements for the notices</w:t>
      </w:r>
      <w:r w:rsidRPr="00737255" w:rsidR="00B1576B">
        <w:rPr>
          <w:rFonts w:ascii="Times New Roman" w:hAnsi="Times New Roman"/>
          <w:color w:val="000000"/>
        </w:rPr>
        <w:t xml:space="preserve">.  </w:t>
      </w:r>
    </w:p>
    <w:p w:rsidR="00865FE2" w:rsidP="00454197" w:rsidRDefault="00865FE2" w14:paraId="632EB71D" w14:textId="77777777">
      <w:pPr>
        <w:pStyle w:val="BodyText"/>
        <w:widowControl w:val="0"/>
        <w:tabs>
          <w:tab w:val="left" w:pos="720"/>
        </w:tabs>
        <w:spacing w:line="240" w:lineRule="auto"/>
        <w:ind w:left="100" w:right="205"/>
        <w:rPr>
          <w:rFonts w:ascii="Times New Roman" w:hAnsi="Times New Roman"/>
          <w:b/>
          <w:bCs/>
          <w:i/>
          <w:iCs/>
        </w:rPr>
      </w:pPr>
    </w:p>
    <w:p w:rsidRPr="00FE4498" w:rsidR="00E120BC" w:rsidP="00E120BC" w:rsidRDefault="00E120BC" w14:paraId="1233C32E" w14:textId="77777777">
      <w:pPr>
        <w:rPr>
          <w:rFonts w:ascii="Times New Roman" w:hAnsi="Times New Roman"/>
          <w:b/>
          <w:bCs/>
          <w:i/>
          <w:iCs/>
        </w:rPr>
      </w:pPr>
      <w:r w:rsidRPr="00FE4498">
        <w:rPr>
          <w:rFonts w:ascii="Times New Roman" w:hAnsi="Times New Roman"/>
          <w:b/>
          <w:bCs/>
          <w:i/>
          <w:iCs/>
        </w:rPr>
        <w:t>3.  Consideration of the use of improved information technology:</w:t>
      </w:r>
    </w:p>
    <w:p w:rsidRPr="00737255" w:rsidR="003A57AF" w:rsidP="00EA19A3" w:rsidRDefault="003A57AF" w14:paraId="66D387E9" w14:textId="77777777">
      <w:pPr>
        <w:rPr>
          <w:rFonts w:ascii="Times New Roman" w:hAnsi="Times New Roman"/>
        </w:rPr>
      </w:pPr>
    </w:p>
    <w:p w:rsidRPr="00737255" w:rsidR="003A57AF" w:rsidP="00EA19A3" w:rsidRDefault="00DF0388" w14:paraId="5C11EB6E" w14:textId="77777777">
      <w:pPr>
        <w:ind w:firstLine="720"/>
        <w:rPr>
          <w:rFonts w:ascii="Times New Roman" w:hAnsi="Times New Roman"/>
        </w:rPr>
      </w:pPr>
      <w:r>
        <w:rPr>
          <w:rFonts w:ascii="Times New Roman" w:hAnsi="Times New Roman"/>
        </w:rPr>
        <w:lastRenderedPageBreak/>
        <w:t>The collection of information does not require the use of automated, electronic, mechanical, or other technological collection techniques, however, institutions</w:t>
      </w:r>
      <w:r w:rsidRPr="00737255" w:rsidR="003A57AF">
        <w:rPr>
          <w:rFonts w:ascii="Times New Roman" w:hAnsi="Times New Roman"/>
        </w:rPr>
        <w:t xml:space="preserve"> may adopt any technology relevant to producing or delivering the information.</w:t>
      </w:r>
      <w:r w:rsidR="008979F6">
        <w:rPr>
          <w:rFonts w:ascii="Times New Roman" w:hAnsi="Times New Roman"/>
        </w:rPr>
        <w:t xml:space="preserve">  </w:t>
      </w:r>
    </w:p>
    <w:p w:rsidR="00BA5B81" w:rsidP="00EA19A3" w:rsidRDefault="00BA5B81" w14:paraId="3681C97B" w14:textId="77777777">
      <w:pPr>
        <w:tabs>
          <w:tab w:val="left" w:pos="-1440"/>
        </w:tabs>
        <w:ind w:left="720" w:hanging="720"/>
        <w:rPr>
          <w:rFonts w:ascii="Times New Roman" w:hAnsi="Times New Roman"/>
        </w:rPr>
      </w:pPr>
    </w:p>
    <w:p w:rsidRPr="00FE4498" w:rsidR="00E120BC" w:rsidP="00E120BC" w:rsidRDefault="00E120BC" w14:paraId="2C1B4A74" w14:textId="77777777">
      <w:pPr>
        <w:rPr>
          <w:rFonts w:ascii="Times New Roman" w:hAnsi="Times New Roman"/>
          <w:b/>
          <w:bCs/>
          <w:i/>
          <w:iCs/>
        </w:rPr>
      </w:pPr>
      <w:r w:rsidRPr="00FE4498">
        <w:rPr>
          <w:rFonts w:ascii="Times New Roman" w:hAnsi="Times New Roman"/>
          <w:b/>
          <w:bCs/>
          <w:i/>
          <w:iCs/>
        </w:rPr>
        <w:t>4.  Efforts to identify duplication:</w:t>
      </w:r>
    </w:p>
    <w:p w:rsidRPr="00737255" w:rsidR="003A57AF" w:rsidP="00EA19A3" w:rsidRDefault="003A57AF" w14:paraId="2E0404A8" w14:textId="77777777">
      <w:pPr>
        <w:rPr>
          <w:rFonts w:ascii="Times New Roman" w:hAnsi="Times New Roman"/>
        </w:rPr>
      </w:pPr>
    </w:p>
    <w:p w:rsidRPr="00737255" w:rsidR="003A57AF" w:rsidP="00EA19A3" w:rsidRDefault="003A57AF" w14:paraId="6B336391" w14:textId="77777777">
      <w:pPr>
        <w:ind w:firstLine="720"/>
        <w:rPr>
          <w:rFonts w:ascii="Times New Roman" w:hAnsi="Times New Roman"/>
        </w:rPr>
      </w:pPr>
      <w:r w:rsidRPr="00737255">
        <w:rPr>
          <w:rFonts w:ascii="Times New Roman" w:hAnsi="Times New Roman"/>
        </w:rPr>
        <w:t xml:space="preserve">There is no duplication.  </w:t>
      </w:r>
      <w:r w:rsidR="00C93C49">
        <w:rPr>
          <w:rFonts w:ascii="Times New Roman" w:hAnsi="Times New Roman"/>
        </w:rPr>
        <w:t>Neither</w:t>
      </w:r>
      <w:r w:rsidRPr="00737255" w:rsidR="008960F2">
        <w:rPr>
          <w:rFonts w:ascii="Times New Roman" w:hAnsi="Times New Roman"/>
        </w:rPr>
        <w:t xml:space="preserve"> </w:t>
      </w:r>
      <w:r w:rsidR="00C93C49">
        <w:rPr>
          <w:rFonts w:ascii="Times New Roman" w:hAnsi="Times New Roman"/>
        </w:rPr>
        <w:t xml:space="preserve">the </w:t>
      </w:r>
      <w:r w:rsidRPr="00737255" w:rsidR="008960F2">
        <w:rPr>
          <w:rFonts w:ascii="Times New Roman" w:hAnsi="Times New Roman"/>
        </w:rPr>
        <w:t xml:space="preserve">information </w:t>
      </w:r>
      <w:r w:rsidR="00C93C49">
        <w:rPr>
          <w:rFonts w:ascii="Times New Roman" w:hAnsi="Times New Roman"/>
        </w:rPr>
        <w:t xml:space="preserve">nor similar information </w:t>
      </w:r>
      <w:r w:rsidRPr="00737255" w:rsidR="008960F2">
        <w:rPr>
          <w:rFonts w:ascii="Times New Roman" w:hAnsi="Times New Roman"/>
        </w:rPr>
        <w:t>is available from any other source.</w:t>
      </w:r>
    </w:p>
    <w:p w:rsidRPr="00737255" w:rsidR="003A57AF" w:rsidP="00EA19A3" w:rsidRDefault="003A57AF" w14:paraId="2D7F96E8" w14:textId="77777777">
      <w:pPr>
        <w:rPr>
          <w:rFonts w:ascii="Times New Roman" w:hAnsi="Times New Roman"/>
        </w:rPr>
      </w:pPr>
    </w:p>
    <w:p w:rsidR="00ED4EE6" w:rsidP="00ED4EE6" w:rsidRDefault="00ED4EE6" w14:paraId="12CD050C" w14:textId="77777777">
      <w:pPr>
        <w:pStyle w:val="BodyText"/>
        <w:widowControl w:val="0"/>
        <w:spacing w:line="240" w:lineRule="auto"/>
        <w:ind w:left="101" w:right="864"/>
        <w:rPr>
          <w:rFonts w:ascii="Times New Roman" w:hAnsi="Times New Roman"/>
          <w:b/>
          <w:i/>
          <w:spacing w:val="-1"/>
        </w:rPr>
      </w:pPr>
      <w:r>
        <w:rPr>
          <w:rFonts w:ascii="Times New Roman" w:hAnsi="Times New Roman"/>
          <w:b/>
          <w:bCs/>
          <w:i/>
          <w:iCs/>
        </w:rPr>
        <w:t>5.</w:t>
      </w:r>
      <w:r>
        <w:rPr>
          <w:rFonts w:ascii="Times New Roman" w:hAnsi="Times New Roman"/>
          <w:b/>
          <w:bCs/>
          <w:i/>
          <w:iCs/>
        </w:rPr>
        <w:tab/>
      </w:r>
      <w:r>
        <w:rPr>
          <w:rFonts w:ascii="Times New Roman" w:hAnsi="Times New Roman"/>
          <w:b/>
          <w:i/>
          <w:spacing w:val="-2"/>
        </w:rPr>
        <w:t>If</w:t>
      </w:r>
      <w:r>
        <w:rPr>
          <w:rFonts w:ascii="Times New Roman" w:hAnsi="Times New Roman"/>
          <w:b/>
          <w:i/>
          <w:spacing w:val="-8"/>
        </w:rPr>
        <w:t xml:space="preserve"> </w:t>
      </w:r>
      <w:r>
        <w:rPr>
          <w:rFonts w:ascii="Times New Roman" w:hAnsi="Times New Roman"/>
          <w:b/>
          <w:i/>
        </w:rPr>
        <w:t>the</w:t>
      </w:r>
      <w:r>
        <w:rPr>
          <w:rFonts w:ascii="Times New Roman" w:hAnsi="Times New Roman"/>
          <w:b/>
          <w:i/>
          <w:spacing w:val="-7"/>
        </w:rPr>
        <w:t xml:space="preserve"> </w:t>
      </w:r>
      <w:r>
        <w:rPr>
          <w:rFonts w:ascii="Times New Roman" w:hAnsi="Times New Roman"/>
          <w:b/>
          <w:i/>
          <w:spacing w:val="-1"/>
        </w:rPr>
        <w:t>collection</w:t>
      </w:r>
      <w:r>
        <w:rPr>
          <w:rFonts w:ascii="Times New Roman" w:hAnsi="Times New Roman"/>
          <w:b/>
          <w:i/>
          <w:spacing w:val="-7"/>
        </w:rPr>
        <w:t xml:space="preserve"> </w:t>
      </w:r>
      <w:r>
        <w:rPr>
          <w:rFonts w:ascii="Times New Roman" w:hAnsi="Times New Roman"/>
          <w:b/>
          <w:i/>
        </w:rPr>
        <w:t>of</w:t>
      </w:r>
      <w:r>
        <w:rPr>
          <w:rFonts w:ascii="Times New Roman" w:hAnsi="Times New Roman"/>
          <w:b/>
          <w:i/>
          <w:spacing w:val="-8"/>
        </w:rPr>
        <w:t xml:space="preserve"> </w:t>
      </w:r>
      <w:r>
        <w:rPr>
          <w:rFonts w:ascii="Times New Roman" w:hAnsi="Times New Roman"/>
          <w:b/>
          <w:i/>
          <w:spacing w:val="-1"/>
        </w:rPr>
        <w:t>information</w:t>
      </w:r>
      <w:r>
        <w:rPr>
          <w:rFonts w:ascii="Times New Roman" w:hAnsi="Times New Roman"/>
          <w:b/>
          <w:i/>
          <w:spacing w:val="-7"/>
        </w:rPr>
        <w:t xml:space="preserve"> </w:t>
      </w:r>
      <w:r>
        <w:rPr>
          <w:rFonts w:ascii="Times New Roman" w:hAnsi="Times New Roman"/>
          <w:b/>
          <w:i/>
          <w:spacing w:val="-1"/>
        </w:rPr>
        <w:t>impacts</w:t>
      </w:r>
      <w:r>
        <w:rPr>
          <w:rFonts w:ascii="Times New Roman" w:hAnsi="Times New Roman"/>
          <w:b/>
          <w:i/>
          <w:spacing w:val="-6"/>
        </w:rPr>
        <w:t xml:space="preserve"> </w:t>
      </w:r>
      <w:r>
        <w:rPr>
          <w:rFonts w:ascii="Times New Roman" w:hAnsi="Times New Roman"/>
          <w:b/>
          <w:i/>
          <w:spacing w:val="-1"/>
        </w:rPr>
        <w:t>small</w:t>
      </w:r>
      <w:r>
        <w:rPr>
          <w:rFonts w:ascii="Times New Roman" w:hAnsi="Times New Roman"/>
          <w:b/>
          <w:i/>
          <w:spacing w:val="-7"/>
        </w:rPr>
        <w:t xml:space="preserve"> </w:t>
      </w:r>
      <w:r>
        <w:rPr>
          <w:rFonts w:ascii="Times New Roman" w:hAnsi="Times New Roman"/>
          <w:b/>
          <w:i/>
          <w:spacing w:val="-1"/>
        </w:rPr>
        <w:t>businesses</w:t>
      </w:r>
      <w:r>
        <w:rPr>
          <w:rFonts w:ascii="Times New Roman" w:hAnsi="Times New Roman"/>
          <w:b/>
          <w:i/>
          <w:spacing w:val="-6"/>
        </w:rPr>
        <w:t xml:space="preserve"> </w:t>
      </w:r>
      <w:r>
        <w:rPr>
          <w:rFonts w:ascii="Times New Roman" w:hAnsi="Times New Roman"/>
          <w:b/>
          <w:i/>
        </w:rPr>
        <w:t>or</w:t>
      </w:r>
      <w:r>
        <w:rPr>
          <w:rFonts w:ascii="Times New Roman" w:hAnsi="Times New Roman"/>
          <w:b/>
          <w:i/>
          <w:spacing w:val="-8"/>
        </w:rPr>
        <w:t xml:space="preserve"> </w:t>
      </w:r>
      <w:r>
        <w:rPr>
          <w:rFonts w:ascii="Times New Roman" w:hAnsi="Times New Roman"/>
          <w:b/>
          <w:i/>
          <w:spacing w:val="1"/>
        </w:rPr>
        <w:t>other</w:t>
      </w:r>
      <w:r>
        <w:rPr>
          <w:rFonts w:ascii="Times New Roman" w:hAnsi="Times New Roman"/>
          <w:b/>
          <w:i/>
          <w:spacing w:val="-7"/>
        </w:rPr>
        <w:t xml:space="preserve"> </w:t>
      </w:r>
      <w:r>
        <w:rPr>
          <w:rFonts w:ascii="Times New Roman" w:hAnsi="Times New Roman"/>
          <w:b/>
          <w:i/>
          <w:spacing w:val="-1"/>
        </w:rPr>
        <w:t>small</w:t>
      </w:r>
      <w:r>
        <w:rPr>
          <w:rFonts w:ascii="Times New Roman" w:hAnsi="Times New Roman"/>
          <w:b/>
          <w:i/>
          <w:spacing w:val="-6"/>
        </w:rPr>
        <w:t xml:space="preserve"> </w:t>
      </w:r>
      <w:r>
        <w:rPr>
          <w:rFonts w:ascii="Times New Roman" w:hAnsi="Times New Roman"/>
          <w:b/>
          <w:i/>
        </w:rPr>
        <w:t>entities, describe</w:t>
      </w:r>
      <w:r>
        <w:rPr>
          <w:rFonts w:ascii="Times New Roman" w:hAnsi="Times New Roman"/>
          <w:b/>
          <w:i/>
          <w:spacing w:val="-7"/>
        </w:rPr>
        <w:t xml:space="preserve"> </w:t>
      </w:r>
      <w:r>
        <w:rPr>
          <w:rFonts w:ascii="Times New Roman" w:hAnsi="Times New Roman"/>
          <w:b/>
          <w:i/>
          <w:spacing w:val="1"/>
        </w:rPr>
        <w:t>any</w:t>
      </w:r>
      <w:r>
        <w:rPr>
          <w:rFonts w:ascii="Times New Roman" w:hAnsi="Times New Roman"/>
          <w:b/>
          <w:i/>
          <w:spacing w:val="-11"/>
        </w:rPr>
        <w:t xml:space="preserve"> </w:t>
      </w:r>
      <w:r>
        <w:rPr>
          <w:rFonts w:ascii="Times New Roman" w:hAnsi="Times New Roman"/>
          <w:b/>
          <w:i/>
          <w:spacing w:val="-1"/>
        </w:rPr>
        <w:t>methods</w:t>
      </w:r>
      <w:r>
        <w:rPr>
          <w:rFonts w:ascii="Times New Roman" w:hAnsi="Times New Roman"/>
          <w:b/>
          <w:i/>
          <w:spacing w:val="-8"/>
        </w:rPr>
        <w:t xml:space="preserve"> </w:t>
      </w:r>
      <w:r>
        <w:rPr>
          <w:rFonts w:ascii="Times New Roman" w:hAnsi="Times New Roman"/>
          <w:b/>
          <w:i/>
          <w:spacing w:val="-1"/>
        </w:rPr>
        <w:t>used</w:t>
      </w:r>
      <w:r>
        <w:rPr>
          <w:rFonts w:ascii="Times New Roman" w:hAnsi="Times New Roman"/>
          <w:b/>
          <w:i/>
          <w:spacing w:val="-8"/>
        </w:rPr>
        <w:t xml:space="preserve"> </w:t>
      </w:r>
      <w:r>
        <w:rPr>
          <w:rFonts w:ascii="Times New Roman" w:hAnsi="Times New Roman"/>
          <w:b/>
          <w:i/>
        </w:rPr>
        <w:t>to</w:t>
      </w:r>
      <w:r>
        <w:rPr>
          <w:rFonts w:ascii="Times New Roman" w:hAnsi="Times New Roman"/>
          <w:b/>
          <w:i/>
          <w:spacing w:val="-8"/>
        </w:rPr>
        <w:t xml:space="preserve"> </w:t>
      </w:r>
      <w:r>
        <w:rPr>
          <w:rFonts w:ascii="Times New Roman" w:hAnsi="Times New Roman"/>
          <w:b/>
          <w:i/>
        </w:rPr>
        <w:t>minimize</w:t>
      </w:r>
      <w:r>
        <w:rPr>
          <w:rFonts w:ascii="Times New Roman" w:hAnsi="Times New Roman"/>
          <w:b/>
          <w:i/>
          <w:spacing w:val="-8"/>
        </w:rPr>
        <w:t xml:space="preserve"> </w:t>
      </w:r>
      <w:r>
        <w:rPr>
          <w:rFonts w:ascii="Times New Roman" w:hAnsi="Times New Roman"/>
          <w:b/>
          <w:i/>
          <w:spacing w:val="-1"/>
        </w:rPr>
        <w:t>burden.</w:t>
      </w:r>
    </w:p>
    <w:p w:rsidRPr="00ED4EE6" w:rsidR="00ED4EE6" w:rsidP="00ED4EE6" w:rsidRDefault="00ED4EE6" w14:paraId="5E474AC4" w14:textId="77777777">
      <w:pPr>
        <w:pStyle w:val="BodyText"/>
        <w:widowControl w:val="0"/>
        <w:spacing w:line="240" w:lineRule="auto"/>
        <w:ind w:left="101" w:right="864"/>
        <w:rPr>
          <w:rFonts w:ascii="Times New Roman" w:hAnsi="Times New Roman"/>
          <w:b/>
          <w:i/>
        </w:rPr>
      </w:pPr>
    </w:p>
    <w:p w:rsidRPr="00ED4EE6" w:rsidR="00ED4EE6" w:rsidP="00ED4EE6" w:rsidRDefault="00ED4EE6" w14:paraId="700C1DE3" w14:textId="77777777">
      <w:pPr>
        <w:ind w:firstLine="720"/>
        <w:rPr>
          <w:rFonts w:ascii="Times New Roman" w:hAnsi="Times New Roman"/>
          <w:color w:val="000000"/>
        </w:rPr>
      </w:pPr>
      <w:r w:rsidRPr="00ED4EE6">
        <w:rPr>
          <w:rFonts w:ascii="Times New Roman" w:hAnsi="Times New Roman"/>
          <w:color w:val="000000"/>
        </w:rPr>
        <w:t>There are no alternatives that would result in lowering the burden on small institutions, while still accomplishing the purpose of the rule.</w:t>
      </w:r>
    </w:p>
    <w:p w:rsidRPr="00737255" w:rsidR="003A57AF" w:rsidP="00EA19A3" w:rsidRDefault="003A57AF" w14:paraId="1BE381C2" w14:textId="77777777">
      <w:pPr>
        <w:rPr>
          <w:rFonts w:ascii="Times New Roman" w:hAnsi="Times New Roman"/>
        </w:rPr>
      </w:pPr>
    </w:p>
    <w:p w:rsidRPr="00DD2103" w:rsidR="003A57AF" w:rsidP="00DD2103" w:rsidRDefault="00DD2103" w14:paraId="01F59F5C" w14:textId="77777777">
      <w:pPr>
        <w:pStyle w:val="BodyText"/>
        <w:rPr>
          <w:rFonts w:ascii="Times New Roman" w:hAnsi="Times New Roman" w:cs="Times New Roman"/>
          <w:b/>
          <w:bCs/>
          <w:i/>
        </w:rPr>
      </w:pPr>
      <w:r w:rsidRPr="00FE4498">
        <w:rPr>
          <w:rFonts w:ascii="Times New Roman" w:hAnsi="Times New Roman" w:cs="Times New Roman"/>
          <w:b/>
          <w:bCs/>
          <w:i/>
        </w:rPr>
        <w:t xml:space="preserve">6.  Consequences to the </w:t>
      </w:r>
      <w:r w:rsidR="00682B17">
        <w:rPr>
          <w:rFonts w:ascii="Times New Roman" w:hAnsi="Times New Roman" w:cs="Times New Roman"/>
          <w:b/>
          <w:bCs/>
          <w:i/>
        </w:rPr>
        <w:t>F</w:t>
      </w:r>
      <w:r w:rsidRPr="00FE4498">
        <w:rPr>
          <w:rFonts w:ascii="Times New Roman" w:hAnsi="Times New Roman" w:cs="Times New Roman"/>
          <w:b/>
          <w:bCs/>
          <w:i/>
        </w:rPr>
        <w:t>ederal program if the collection were conducted less frequently:</w:t>
      </w:r>
    </w:p>
    <w:p w:rsidRPr="00737255" w:rsidR="003A57AF" w:rsidP="00EA19A3" w:rsidRDefault="00CB5FDF" w14:paraId="46EF4285" w14:textId="77777777">
      <w:pPr>
        <w:ind w:firstLine="720"/>
        <w:rPr>
          <w:rFonts w:ascii="Times New Roman" w:hAnsi="Times New Roman"/>
        </w:rPr>
      </w:pPr>
      <w:r>
        <w:rPr>
          <w:rFonts w:ascii="Times New Roman" w:hAnsi="Times New Roman"/>
        </w:rPr>
        <w:t>If the collection is not conducted or conducted less frequently, t</w:t>
      </w:r>
      <w:r w:rsidR="00FF7F1D">
        <w:rPr>
          <w:rFonts w:ascii="Times New Roman" w:hAnsi="Times New Roman"/>
        </w:rPr>
        <w:t>he requirements of the statute would not be met</w:t>
      </w:r>
      <w:r w:rsidRPr="00737255" w:rsidR="008960F2">
        <w:rPr>
          <w:rFonts w:ascii="Times New Roman" w:hAnsi="Times New Roman"/>
        </w:rPr>
        <w:t>.</w:t>
      </w:r>
    </w:p>
    <w:p w:rsidRPr="00737255" w:rsidR="003A57AF" w:rsidP="00EA19A3" w:rsidRDefault="003A57AF" w14:paraId="63D7C7B3" w14:textId="77777777">
      <w:pPr>
        <w:rPr>
          <w:rFonts w:ascii="Times New Roman" w:hAnsi="Times New Roman"/>
        </w:rPr>
      </w:pPr>
    </w:p>
    <w:p w:rsidRPr="00FE4498" w:rsidR="00DD2103" w:rsidP="00DD2103" w:rsidRDefault="00DD2103" w14:paraId="681517A2" w14:textId="77777777">
      <w:pPr>
        <w:pStyle w:val="BodyText"/>
        <w:spacing w:line="240" w:lineRule="auto"/>
        <w:rPr>
          <w:rFonts w:ascii="Times New Roman" w:hAnsi="Times New Roman" w:cs="Times New Roman"/>
          <w:b/>
          <w:bCs/>
          <w:i/>
        </w:rPr>
      </w:pPr>
      <w:r w:rsidRPr="00FE4498">
        <w:rPr>
          <w:rFonts w:ascii="Times New Roman" w:hAnsi="Times New Roman" w:cs="Times New Roman"/>
          <w:b/>
          <w:bCs/>
          <w:i/>
        </w:rPr>
        <w:t xml:space="preserve">7.  Special circumstances that would cause an information collection to be conducted in a manner inconsistent with 5 CFR </w:t>
      </w:r>
      <w:r w:rsidR="0056725C">
        <w:rPr>
          <w:rFonts w:ascii="Times New Roman" w:hAnsi="Times New Roman" w:cs="Times New Roman"/>
          <w:b/>
          <w:bCs/>
          <w:i/>
        </w:rPr>
        <w:t xml:space="preserve">part </w:t>
      </w:r>
      <w:r w:rsidRPr="00FE4498">
        <w:rPr>
          <w:rFonts w:ascii="Times New Roman" w:hAnsi="Times New Roman" w:cs="Times New Roman"/>
          <w:b/>
          <w:bCs/>
          <w:i/>
        </w:rPr>
        <w:t>1320:</w:t>
      </w:r>
    </w:p>
    <w:p w:rsidRPr="00737255" w:rsidR="003A57AF" w:rsidP="00EA19A3" w:rsidRDefault="003A57AF" w14:paraId="0C389A7D" w14:textId="77777777">
      <w:pPr>
        <w:rPr>
          <w:rFonts w:ascii="Times New Roman" w:hAnsi="Times New Roman"/>
        </w:rPr>
      </w:pPr>
    </w:p>
    <w:p w:rsidRPr="00737255" w:rsidR="003A57AF" w:rsidP="00EA19A3" w:rsidRDefault="003A57AF" w14:paraId="728B71D1" w14:textId="77777777">
      <w:pPr>
        <w:ind w:firstLine="720"/>
        <w:rPr>
          <w:rFonts w:ascii="Times New Roman" w:hAnsi="Times New Roman"/>
        </w:rPr>
      </w:pPr>
      <w:r w:rsidRPr="00737255">
        <w:rPr>
          <w:rFonts w:ascii="Times New Roman" w:hAnsi="Times New Roman"/>
        </w:rPr>
        <w:t xml:space="preserve">Not applicable.  This collection </w:t>
      </w:r>
      <w:r w:rsidRPr="00737255" w:rsidR="00EF31E2">
        <w:rPr>
          <w:rFonts w:ascii="Times New Roman" w:hAnsi="Times New Roman"/>
        </w:rPr>
        <w:t>will be</w:t>
      </w:r>
      <w:r w:rsidRPr="00737255">
        <w:rPr>
          <w:rFonts w:ascii="Times New Roman" w:hAnsi="Times New Roman"/>
        </w:rPr>
        <w:t xml:space="preserve"> conducted consistent with the guidelines in 5 CFR </w:t>
      </w:r>
      <w:r w:rsidR="00DD2103">
        <w:rPr>
          <w:rFonts w:ascii="Times New Roman" w:hAnsi="Times New Roman"/>
        </w:rPr>
        <w:t xml:space="preserve">part </w:t>
      </w:r>
      <w:r w:rsidRPr="00737255">
        <w:rPr>
          <w:rFonts w:ascii="Times New Roman" w:hAnsi="Times New Roman"/>
        </w:rPr>
        <w:t>1320.</w:t>
      </w:r>
    </w:p>
    <w:p w:rsidRPr="00737255" w:rsidR="003A57AF" w:rsidP="00EA19A3" w:rsidRDefault="003A57AF" w14:paraId="6A9A58E8" w14:textId="77777777">
      <w:pPr>
        <w:rPr>
          <w:rFonts w:ascii="Times New Roman" w:hAnsi="Times New Roman"/>
        </w:rPr>
      </w:pPr>
    </w:p>
    <w:p w:rsidRPr="00DD2103" w:rsidR="003A57AF" w:rsidP="00DD2103" w:rsidRDefault="00DD2103" w14:paraId="3E51B165" w14:textId="77777777">
      <w:pPr>
        <w:pStyle w:val="BodyText"/>
        <w:rPr>
          <w:rFonts w:ascii="Times New Roman" w:hAnsi="Times New Roman" w:cs="Times New Roman"/>
          <w:b/>
          <w:bCs/>
          <w:i/>
        </w:rPr>
      </w:pPr>
      <w:r w:rsidRPr="00FE4498">
        <w:rPr>
          <w:rFonts w:ascii="Times New Roman" w:hAnsi="Times New Roman" w:cs="Times New Roman"/>
          <w:b/>
          <w:bCs/>
          <w:i/>
        </w:rPr>
        <w:t>8.  Efforts to consult with persons outside the agency:</w:t>
      </w:r>
    </w:p>
    <w:p w:rsidR="00DD2103" w:rsidP="00182CCE" w:rsidRDefault="00182CCE" w14:paraId="5F0F45DB" w14:textId="77777777">
      <w:pPr>
        <w:ind w:firstLine="720"/>
        <w:rPr>
          <w:rFonts w:ascii="Times New Roman" w:hAnsi="Times New Roman"/>
          <w:b/>
          <w:bCs/>
          <w:i/>
          <w:iCs/>
        </w:rPr>
      </w:pPr>
      <w:r>
        <w:rPr>
          <w:rFonts w:ascii="Times New Roman" w:hAnsi="Times New Roman"/>
        </w:rPr>
        <w:t xml:space="preserve">The OCC issued a notice for 60 days of comment concerning the collection on </w:t>
      </w:r>
      <w:r w:rsidR="00E36190">
        <w:rPr>
          <w:rFonts w:ascii="Times New Roman" w:hAnsi="Times New Roman"/>
        </w:rPr>
        <w:t>March 12</w:t>
      </w:r>
      <w:r w:rsidR="00734564">
        <w:rPr>
          <w:rFonts w:ascii="Times New Roman" w:hAnsi="Times New Roman"/>
        </w:rPr>
        <w:t>, 20</w:t>
      </w:r>
      <w:r w:rsidR="00631B3B">
        <w:rPr>
          <w:rFonts w:ascii="Times New Roman" w:hAnsi="Times New Roman"/>
        </w:rPr>
        <w:t>21</w:t>
      </w:r>
      <w:r w:rsidR="00734564">
        <w:rPr>
          <w:rFonts w:ascii="Times New Roman" w:hAnsi="Times New Roman"/>
        </w:rPr>
        <w:t>, 8</w:t>
      </w:r>
      <w:r w:rsidR="00631B3B">
        <w:rPr>
          <w:rFonts w:ascii="Times New Roman" w:hAnsi="Times New Roman"/>
        </w:rPr>
        <w:t>6</w:t>
      </w:r>
      <w:r w:rsidR="001A5229">
        <w:rPr>
          <w:rFonts w:ascii="Times New Roman" w:hAnsi="Times New Roman"/>
        </w:rPr>
        <w:t xml:space="preserve"> FR </w:t>
      </w:r>
      <w:r w:rsidR="00E36190">
        <w:rPr>
          <w:rFonts w:ascii="Times New Roman" w:hAnsi="Times New Roman"/>
        </w:rPr>
        <w:t>14178</w:t>
      </w:r>
      <w:r w:rsidR="001A5229">
        <w:rPr>
          <w:rFonts w:ascii="Times New Roman" w:hAnsi="Times New Roman"/>
        </w:rPr>
        <w:t xml:space="preserve">.  </w:t>
      </w:r>
      <w:r w:rsidR="00E36190">
        <w:rPr>
          <w:rFonts w:ascii="Times New Roman" w:hAnsi="Times New Roman"/>
        </w:rPr>
        <w:t>No</w:t>
      </w:r>
      <w:r w:rsidR="001A5229">
        <w:rPr>
          <w:rFonts w:ascii="Times New Roman" w:hAnsi="Times New Roman"/>
        </w:rPr>
        <w:t xml:space="preserve"> </w:t>
      </w:r>
      <w:r>
        <w:rPr>
          <w:rFonts w:ascii="Times New Roman" w:hAnsi="Times New Roman"/>
        </w:rPr>
        <w:t>comments were received.</w:t>
      </w:r>
    </w:p>
    <w:p w:rsidR="00001F69" w:rsidP="00DD2103" w:rsidRDefault="00001F69" w14:paraId="3C5C350C" w14:textId="77777777">
      <w:pPr>
        <w:pStyle w:val="BodyText"/>
        <w:rPr>
          <w:rFonts w:ascii="Times New Roman" w:hAnsi="Times New Roman" w:cs="Times New Roman"/>
          <w:b/>
          <w:bCs/>
          <w:i/>
        </w:rPr>
      </w:pPr>
    </w:p>
    <w:p w:rsidRPr="00DD2103" w:rsidR="00DD2103" w:rsidP="00DD2103" w:rsidRDefault="00DD2103" w14:paraId="529BD5A6" w14:textId="720B7389">
      <w:pPr>
        <w:pStyle w:val="BodyText"/>
        <w:rPr>
          <w:rFonts w:ascii="Times New Roman" w:hAnsi="Times New Roman" w:cs="Times New Roman"/>
          <w:b/>
          <w:bCs/>
          <w:i/>
        </w:rPr>
      </w:pPr>
      <w:r w:rsidRPr="00FE4498">
        <w:rPr>
          <w:rFonts w:ascii="Times New Roman" w:hAnsi="Times New Roman" w:cs="Times New Roman"/>
          <w:b/>
          <w:bCs/>
          <w:i/>
        </w:rPr>
        <w:t>9.  Payment or gift to respondents:</w:t>
      </w:r>
    </w:p>
    <w:p w:rsidRPr="00737255" w:rsidR="003A57AF" w:rsidP="00EA19A3" w:rsidRDefault="003A57AF" w14:paraId="3F6019A5" w14:textId="77777777">
      <w:pPr>
        <w:ind w:firstLine="720"/>
        <w:rPr>
          <w:rFonts w:ascii="Times New Roman" w:hAnsi="Times New Roman"/>
        </w:rPr>
      </w:pPr>
      <w:r w:rsidRPr="00737255">
        <w:rPr>
          <w:rFonts w:ascii="Times New Roman" w:hAnsi="Times New Roman"/>
        </w:rPr>
        <w:t>None.</w:t>
      </w:r>
    </w:p>
    <w:p w:rsidRPr="00737255" w:rsidR="003A57AF" w:rsidP="00EA19A3" w:rsidRDefault="003A57AF" w14:paraId="64C4AEB3" w14:textId="77777777">
      <w:pPr>
        <w:rPr>
          <w:rFonts w:ascii="Times New Roman" w:hAnsi="Times New Roman"/>
        </w:rPr>
      </w:pPr>
    </w:p>
    <w:p w:rsidRPr="00DD2103" w:rsidR="003A57AF" w:rsidP="00DD2103" w:rsidRDefault="00DD2103" w14:paraId="686EE81C" w14:textId="77777777">
      <w:pPr>
        <w:pStyle w:val="BodyText"/>
        <w:rPr>
          <w:rFonts w:ascii="Times New Roman" w:hAnsi="Times New Roman" w:cs="Times New Roman"/>
          <w:b/>
          <w:bCs/>
          <w:i/>
        </w:rPr>
      </w:pPr>
      <w:r w:rsidRPr="00FE4498">
        <w:rPr>
          <w:rFonts w:ascii="Times New Roman" w:hAnsi="Times New Roman" w:cs="Times New Roman"/>
          <w:b/>
          <w:bCs/>
          <w:i/>
        </w:rPr>
        <w:t>10.  Any assurance of confidentiality:</w:t>
      </w:r>
    </w:p>
    <w:p w:rsidRPr="00737255" w:rsidR="003A57AF" w:rsidP="00EA19A3" w:rsidRDefault="00957F87" w14:paraId="01CB6746" w14:textId="77777777">
      <w:pPr>
        <w:ind w:firstLine="720"/>
        <w:rPr>
          <w:rFonts w:ascii="Times New Roman" w:hAnsi="Times New Roman"/>
        </w:rPr>
      </w:pPr>
      <w:r>
        <w:rPr>
          <w:rFonts w:ascii="Times New Roman" w:hAnsi="Times New Roman"/>
        </w:rPr>
        <w:t>The information will be kept confidential to the extent permitted by law.</w:t>
      </w:r>
    </w:p>
    <w:p w:rsidRPr="00737255" w:rsidR="003A57AF" w:rsidP="00EA19A3" w:rsidRDefault="003A57AF" w14:paraId="73458786" w14:textId="77777777">
      <w:pPr>
        <w:rPr>
          <w:rFonts w:ascii="Times New Roman" w:hAnsi="Times New Roman"/>
        </w:rPr>
      </w:pPr>
    </w:p>
    <w:p w:rsidRPr="00DD2103" w:rsidR="003A57AF" w:rsidP="00DD2103" w:rsidRDefault="00DD2103" w14:paraId="4D6D0822" w14:textId="77777777">
      <w:pPr>
        <w:pStyle w:val="BodyText"/>
        <w:rPr>
          <w:rFonts w:ascii="Times New Roman" w:hAnsi="Times New Roman" w:cs="Times New Roman"/>
          <w:b/>
          <w:bCs/>
          <w:i/>
        </w:rPr>
      </w:pPr>
      <w:r w:rsidRPr="00FE4498">
        <w:rPr>
          <w:rFonts w:ascii="Times New Roman" w:hAnsi="Times New Roman" w:cs="Times New Roman"/>
          <w:b/>
          <w:bCs/>
          <w:i/>
        </w:rPr>
        <w:t>11.  Justification for questions of a sensitive nature:</w:t>
      </w:r>
    </w:p>
    <w:p w:rsidRPr="00737255" w:rsidR="00B7138F" w:rsidP="00EA19A3" w:rsidRDefault="003A57AF" w14:paraId="6ADDD2D8" w14:textId="77777777">
      <w:pPr>
        <w:ind w:firstLine="720"/>
        <w:rPr>
          <w:rFonts w:ascii="Times New Roman" w:hAnsi="Times New Roman"/>
        </w:rPr>
      </w:pPr>
      <w:r w:rsidRPr="00737255">
        <w:rPr>
          <w:rFonts w:ascii="Times New Roman" w:hAnsi="Times New Roman"/>
        </w:rPr>
        <w:t>There are no questions of a sensitive nature.</w:t>
      </w:r>
    </w:p>
    <w:p w:rsidR="007D5EB0" w:rsidP="00EA19A3" w:rsidRDefault="007D5EB0" w14:paraId="5AEEA825" w14:textId="77777777">
      <w:pPr>
        <w:rPr>
          <w:rFonts w:ascii="Times New Roman" w:hAnsi="Times New Roman"/>
        </w:rPr>
      </w:pPr>
    </w:p>
    <w:p w:rsidRPr="00DD2103" w:rsidR="00D7315E" w:rsidP="00DD2103" w:rsidRDefault="00DD2103" w14:paraId="10B58111" w14:textId="77777777">
      <w:pPr>
        <w:pStyle w:val="BodyText"/>
        <w:rPr>
          <w:rFonts w:ascii="Times New Roman" w:hAnsi="Times New Roman" w:cs="Times New Roman"/>
          <w:b/>
          <w:bCs/>
          <w:i/>
        </w:rPr>
      </w:pPr>
      <w:r w:rsidRPr="00FE4498">
        <w:rPr>
          <w:rFonts w:ascii="Times New Roman" w:hAnsi="Times New Roman" w:cs="Times New Roman"/>
          <w:b/>
          <w:bCs/>
          <w:i/>
        </w:rPr>
        <w:t>12.  Burden estimate:</w:t>
      </w:r>
    </w:p>
    <w:p w:rsidRPr="005E414A" w:rsidR="001777E8" w:rsidP="00EA19A3" w:rsidRDefault="001777E8" w14:paraId="1E2512B0" w14:textId="77777777">
      <w:pPr>
        <w:ind w:firstLine="720"/>
        <w:rPr>
          <w:rStyle w:val="documentbody1"/>
          <w:rFonts w:ascii="Times New Roman" w:hAnsi="Times New Roman"/>
          <w:b/>
          <w:color w:val="000000"/>
          <w:sz w:val="24"/>
          <w:szCs w:val="24"/>
          <w:u w:val="single"/>
        </w:rPr>
      </w:pPr>
      <w:r w:rsidRPr="005E414A">
        <w:rPr>
          <w:rStyle w:val="documentbody1"/>
          <w:rFonts w:ascii="Times New Roman" w:hAnsi="Times New Roman"/>
          <w:b/>
          <w:color w:val="000000"/>
          <w:sz w:val="24"/>
          <w:szCs w:val="24"/>
          <w:u w:val="single"/>
        </w:rPr>
        <w:t>Reporting</w:t>
      </w:r>
      <w:r w:rsidRPr="005E414A" w:rsidR="005E414A">
        <w:rPr>
          <w:rStyle w:val="documentbody1"/>
          <w:rFonts w:ascii="Times New Roman" w:hAnsi="Times New Roman"/>
          <w:b/>
          <w:color w:val="000000"/>
          <w:sz w:val="24"/>
          <w:szCs w:val="24"/>
          <w:u w:val="single"/>
        </w:rPr>
        <w:t xml:space="preserve"> Burden</w:t>
      </w:r>
    </w:p>
    <w:p w:rsidR="001777E8" w:rsidP="00EA19A3" w:rsidRDefault="001777E8" w14:paraId="0F4AB58B" w14:textId="77777777">
      <w:pPr>
        <w:ind w:firstLine="720"/>
        <w:rPr>
          <w:rStyle w:val="documentbody1"/>
          <w:rFonts w:ascii="Times New Roman" w:hAnsi="Times New Roman"/>
          <w:color w:val="000000"/>
          <w:sz w:val="24"/>
          <w:szCs w:val="24"/>
          <w:u w:val="single"/>
        </w:rPr>
      </w:pPr>
    </w:p>
    <w:p w:rsidR="004B2773" w:rsidP="00EA19A3" w:rsidRDefault="005E414A" w14:paraId="40235389" w14:textId="77777777">
      <w:pPr>
        <w:ind w:firstLine="720"/>
        <w:rPr>
          <w:rStyle w:val="documentbody1"/>
          <w:rFonts w:ascii="Times New Roman" w:hAnsi="Times New Roman"/>
          <w:color w:val="000000"/>
          <w:sz w:val="24"/>
          <w:szCs w:val="24"/>
        </w:rPr>
      </w:pPr>
      <w:r>
        <w:rPr>
          <w:rStyle w:val="documentbody1"/>
          <w:rFonts w:ascii="Times New Roman" w:hAnsi="Times New Roman"/>
          <w:color w:val="000000"/>
          <w:sz w:val="24"/>
          <w:szCs w:val="24"/>
          <w:u w:val="single"/>
        </w:rPr>
        <w:t xml:space="preserve">Estimated </w:t>
      </w:r>
      <w:r w:rsidR="0064469C">
        <w:rPr>
          <w:rStyle w:val="documentbody1"/>
          <w:rFonts w:ascii="Times New Roman" w:hAnsi="Times New Roman"/>
          <w:color w:val="000000"/>
          <w:sz w:val="24"/>
          <w:szCs w:val="24"/>
          <w:u w:val="single"/>
        </w:rPr>
        <w:t>n</w:t>
      </w:r>
      <w:r w:rsidRPr="00737255" w:rsidR="004B2773">
        <w:rPr>
          <w:rStyle w:val="documentbody1"/>
          <w:rFonts w:ascii="Times New Roman" w:hAnsi="Times New Roman"/>
          <w:color w:val="000000"/>
          <w:sz w:val="24"/>
          <w:szCs w:val="24"/>
          <w:u w:val="single"/>
        </w:rPr>
        <w:t>umber of respondents</w:t>
      </w:r>
      <w:r w:rsidR="001777E8">
        <w:rPr>
          <w:rStyle w:val="documentbody1"/>
          <w:rFonts w:ascii="Times New Roman" w:hAnsi="Times New Roman"/>
          <w:color w:val="000000"/>
          <w:sz w:val="24"/>
          <w:szCs w:val="24"/>
        </w:rPr>
        <w:t xml:space="preserve">:  </w:t>
      </w:r>
      <w:r w:rsidR="00C3366D">
        <w:rPr>
          <w:rStyle w:val="documentbody1"/>
          <w:rFonts w:ascii="Times New Roman" w:hAnsi="Times New Roman"/>
          <w:color w:val="000000"/>
          <w:sz w:val="24"/>
          <w:szCs w:val="24"/>
        </w:rPr>
        <w:t>5</w:t>
      </w:r>
      <w:r w:rsidR="00BA16CE">
        <w:rPr>
          <w:rStyle w:val="documentbody1"/>
          <w:rFonts w:ascii="Times New Roman" w:hAnsi="Times New Roman"/>
          <w:color w:val="000000"/>
          <w:sz w:val="24"/>
          <w:szCs w:val="24"/>
        </w:rPr>
        <w:t xml:space="preserve"> (new charter</w:t>
      </w:r>
      <w:r>
        <w:rPr>
          <w:rStyle w:val="documentbody1"/>
          <w:rFonts w:ascii="Times New Roman" w:hAnsi="Times New Roman"/>
          <w:color w:val="000000"/>
          <w:sz w:val="24"/>
          <w:szCs w:val="24"/>
        </w:rPr>
        <w:t>)</w:t>
      </w:r>
      <w:r w:rsidRPr="00737255" w:rsidR="007A2850">
        <w:rPr>
          <w:rStyle w:val="documentbody1"/>
          <w:rFonts w:ascii="Times New Roman" w:hAnsi="Times New Roman"/>
          <w:color w:val="000000"/>
          <w:sz w:val="24"/>
          <w:szCs w:val="24"/>
        </w:rPr>
        <w:t>.</w:t>
      </w:r>
    </w:p>
    <w:p w:rsidR="00C77481" w:rsidP="00EA19A3" w:rsidRDefault="00C77481" w14:paraId="264897E5" w14:textId="77777777">
      <w:pPr>
        <w:ind w:firstLine="720"/>
        <w:rPr>
          <w:rStyle w:val="documentbody1"/>
          <w:rFonts w:ascii="Times New Roman" w:hAnsi="Times New Roman"/>
          <w:color w:val="000000"/>
          <w:sz w:val="24"/>
          <w:szCs w:val="24"/>
        </w:rPr>
      </w:pPr>
    </w:p>
    <w:p w:rsidR="00C77481" w:rsidP="00EA19A3" w:rsidRDefault="00C77481" w14:paraId="49F7FFF6" w14:textId="77777777">
      <w:pPr>
        <w:ind w:firstLine="720"/>
        <w:rPr>
          <w:rFonts w:ascii="Times New Roman" w:hAnsi="Times New Roman"/>
        </w:rPr>
      </w:pPr>
      <w:r w:rsidRPr="00737255">
        <w:rPr>
          <w:rStyle w:val="documentbody1"/>
          <w:rFonts w:ascii="Times New Roman" w:hAnsi="Times New Roman"/>
          <w:color w:val="000000"/>
          <w:sz w:val="24"/>
          <w:szCs w:val="24"/>
          <w:u w:val="single"/>
        </w:rPr>
        <w:t xml:space="preserve">Estimated </w:t>
      </w:r>
      <w:r>
        <w:rPr>
          <w:rStyle w:val="documentbody1"/>
          <w:rFonts w:ascii="Times New Roman" w:hAnsi="Times New Roman"/>
          <w:color w:val="000000"/>
          <w:sz w:val="24"/>
          <w:szCs w:val="24"/>
          <w:u w:val="single"/>
        </w:rPr>
        <w:t xml:space="preserve">reporting </w:t>
      </w:r>
      <w:r w:rsidRPr="00737255">
        <w:rPr>
          <w:rStyle w:val="documentbody1"/>
          <w:rFonts w:ascii="Times New Roman" w:hAnsi="Times New Roman"/>
          <w:color w:val="000000"/>
          <w:sz w:val="24"/>
          <w:szCs w:val="24"/>
          <w:u w:val="single"/>
        </w:rPr>
        <w:t>burden per respondent</w:t>
      </w:r>
      <w:r w:rsidRPr="00737255">
        <w:rPr>
          <w:rStyle w:val="documentbody1"/>
          <w:rFonts w:ascii="Times New Roman" w:hAnsi="Times New Roman"/>
          <w:color w:val="000000"/>
          <w:sz w:val="24"/>
          <w:szCs w:val="24"/>
        </w:rPr>
        <w:t xml:space="preserve">:  </w:t>
      </w:r>
      <w:r w:rsidR="00FA4DCD">
        <w:rPr>
          <w:rStyle w:val="documentbody1"/>
          <w:rFonts w:ascii="Times New Roman" w:hAnsi="Times New Roman"/>
          <w:color w:val="000000"/>
          <w:sz w:val="24"/>
          <w:szCs w:val="24"/>
        </w:rPr>
        <w:t>40 hours.  (</w:t>
      </w:r>
      <w:r w:rsidRPr="001F1FA9">
        <w:rPr>
          <w:rFonts w:ascii="Times New Roman" w:hAnsi="Times New Roman"/>
        </w:rPr>
        <w:t>24 hours in the first year to implement written policies</w:t>
      </w:r>
      <w:r w:rsidR="00FA4DCD">
        <w:rPr>
          <w:rFonts w:ascii="Times New Roman" w:hAnsi="Times New Roman"/>
        </w:rPr>
        <w:t>;</w:t>
      </w:r>
      <w:r w:rsidRPr="001F1FA9">
        <w:rPr>
          <w:rFonts w:ascii="Times New Roman" w:hAnsi="Times New Roman"/>
        </w:rPr>
        <w:t xml:space="preserve"> 8 hours in the first year to amend procedures for handling complaints received dire</w:t>
      </w:r>
      <w:r w:rsidR="00FA4DCD">
        <w:rPr>
          <w:rFonts w:ascii="Times New Roman" w:hAnsi="Times New Roman"/>
        </w:rPr>
        <w:t>ctly from consumers;</w:t>
      </w:r>
      <w:r w:rsidRPr="001F1FA9">
        <w:rPr>
          <w:rFonts w:ascii="Times New Roman" w:hAnsi="Times New Roman"/>
        </w:rPr>
        <w:t xml:space="preserve"> and 8 hours to implement the new dispute notice requirement</w:t>
      </w:r>
      <w:r w:rsidR="00744C9B">
        <w:rPr>
          <w:rFonts w:ascii="Times New Roman" w:hAnsi="Times New Roman"/>
        </w:rPr>
        <w:t>.</w:t>
      </w:r>
      <w:r w:rsidR="00FA4DCD">
        <w:rPr>
          <w:rFonts w:ascii="Times New Roman" w:hAnsi="Times New Roman"/>
        </w:rPr>
        <w:t>)</w:t>
      </w:r>
    </w:p>
    <w:p w:rsidR="00C77481" w:rsidP="00EA19A3" w:rsidRDefault="00C77481" w14:paraId="4A235D0E" w14:textId="77777777">
      <w:pPr>
        <w:ind w:firstLine="720"/>
        <w:rPr>
          <w:rFonts w:ascii="Times New Roman" w:hAnsi="Times New Roman"/>
        </w:rPr>
      </w:pPr>
    </w:p>
    <w:p w:rsidR="00C77481" w:rsidP="00EA19A3" w:rsidRDefault="00C77481" w14:paraId="49B5B003" w14:textId="77777777">
      <w:pPr>
        <w:ind w:firstLine="720"/>
        <w:rPr>
          <w:rFonts w:ascii="Times New Roman" w:hAnsi="Times New Roman"/>
        </w:rPr>
      </w:pPr>
      <w:r w:rsidRPr="00C77481">
        <w:rPr>
          <w:rFonts w:ascii="Times New Roman" w:hAnsi="Times New Roman"/>
          <w:u w:val="single"/>
        </w:rPr>
        <w:t xml:space="preserve">Total </w:t>
      </w:r>
      <w:r w:rsidR="00744C9B">
        <w:rPr>
          <w:rFonts w:ascii="Times New Roman" w:hAnsi="Times New Roman"/>
          <w:u w:val="single"/>
        </w:rPr>
        <w:t xml:space="preserve">estimated annual </w:t>
      </w:r>
      <w:r w:rsidRPr="00C77481">
        <w:rPr>
          <w:rFonts w:ascii="Times New Roman" w:hAnsi="Times New Roman"/>
          <w:u w:val="single"/>
        </w:rPr>
        <w:t>reporting burden</w:t>
      </w:r>
      <w:r>
        <w:rPr>
          <w:rFonts w:ascii="Times New Roman" w:hAnsi="Times New Roman"/>
        </w:rPr>
        <w:t>:</w:t>
      </w:r>
      <w:r w:rsidR="00C3366D">
        <w:rPr>
          <w:rFonts w:ascii="Times New Roman" w:hAnsi="Times New Roman"/>
        </w:rPr>
        <w:t xml:space="preserve">  200</w:t>
      </w:r>
      <w:r>
        <w:rPr>
          <w:rFonts w:ascii="Times New Roman" w:hAnsi="Times New Roman"/>
        </w:rPr>
        <w:t xml:space="preserve"> hours.</w:t>
      </w:r>
    </w:p>
    <w:p w:rsidR="005E414A" w:rsidP="00EA19A3" w:rsidRDefault="005E414A" w14:paraId="5A2E3955" w14:textId="77777777">
      <w:pPr>
        <w:ind w:firstLine="720"/>
        <w:rPr>
          <w:rFonts w:ascii="Times New Roman" w:hAnsi="Times New Roman"/>
        </w:rPr>
      </w:pPr>
    </w:p>
    <w:p w:rsidR="005E414A" w:rsidP="00EA19A3" w:rsidRDefault="005E414A" w14:paraId="3A5A4E57" w14:textId="77777777">
      <w:pPr>
        <w:ind w:firstLine="720"/>
        <w:rPr>
          <w:rFonts w:ascii="Times New Roman" w:hAnsi="Times New Roman"/>
          <w:b/>
          <w:u w:val="single"/>
        </w:rPr>
      </w:pPr>
      <w:r w:rsidRPr="005E414A">
        <w:rPr>
          <w:rFonts w:ascii="Times New Roman" w:hAnsi="Times New Roman"/>
          <w:b/>
          <w:u w:val="single"/>
        </w:rPr>
        <w:t>Disclosure Burden</w:t>
      </w:r>
    </w:p>
    <w:p w:rsidR="0064469C" w:rsidP="00EA19A3" w:rsidRDefault="0064469C" w14:paraId="357C3EFD" w14:textId="77777777">
      <w:pPr>
        <w:ind w:firstLine="720"/>
        <w:rPr>
          <w:rFonts w:ascii="Times New Roman" w:hAnsi="Times New Roman"/>
          <w:b/>
          <w:u w:val="single"/>
        </w:rPr>
      </w:pPr>
    </w:p>
    <w:p w:rsidRPr="0077175D" w:rsidR="0064469C" w:rsidP="00EA19A3" w:rsidRDefault="0064469C" w14:paraId="7A895283" w14:textId="77777777">
      <w:pPr>
        <w:ind w:firstLine="720"/>
        <w:rPr>
          <w:rStyle w:val="documentbody1"/>
          <w:rFonts w:ascii="Times New Roman" w:hAnsi="Times New Roman"/>
          <w:sz w:val="24"/>
          <w:szCs w:val="24"/>
        </w:rPr>
      </w:pPr>
      <w:r w:rsidRPr="0064469C">
        <w:rPr>
          <w:rFonts w:ascii="Times New Roman" w:hAnsi="Times New Roman"/>
          <w:u w:val="single"/>
        </w:rPr>
        <w:t>Estimated number of respondents</w:t>
      </w:r>
      <w:r w:rsidR="00C3366D">
        <w:rPr>
          <w:rFonts w:ascii="Times New Roman" w:hAnsi="Times New Roman"/>
        </w:rPr>
        <w:t>:  1,</w:t>
      </w:r>
      <w:r w:rsidR="003321FF">
        <w:rPr>
          <w:rFonts w:ascii="Times New Roman" w:hAnsi="Times New Roman"/>
        </w:rPr>
        <w:t>032</w:t>
      </w:r>
      <w:r w:rsidRPr="0077175D">
        <w:rPr>
          <w:rFonts w:ascii="Times New Roman" w:hAnsi="Times New Roman"/>
        </w:rPr>
        <w:t>.</w:t>
      </w:r>
    </w:p>
    <w:p w:rsidRPr="00737255" w:rsidR="005354B4" w:rsidP="00EA19A3" w:rsidRDefault="005354B4" w14:paraId="012F6D4B" w14:textId="77777777">
      <w:pPr>
        <w:ind w:firstLine="720"/>
        <w:rPr>
          <w:rStyle w:val="documentbody1"/>
          <w:rFonts w:ascii="Times New Roman" w:hAnsi="Times New Roman"/>
          <w:color w:val="000000"/>
          <w:sz w:val="24"/>
          <w:szCs w:val="24"/>
        </w:rPr>
      </w:pPr>
    </w:p>
    <w:p w:rsidRPr="00737255" w:rsidR="004B2773" w:rsidP="00EA19A3" w:rsidRDefault="0064469C" w14:paraId="138099E9" w14:textId="77777777">
      <w:pPr>
        <w:ind w:firstLine="720"/>
        <w:rPr>
          <w:rFonts w:ascii="Times New Roman" w:hAnsi="Times New Roman"/>
          <w:color w:val="000000"/>
        </w:rPr>
      </w:pPr>
      <w:r>
        <w:rPr>
          <w:rStyle w:val="documentbody1"/>
          <w:rFonts w:ascii="Times New Roman" w:hAnsi="Times New Roman"/>
          <w:color w:val="000000"/>
          <w:sz w:val="24"/>
          <w:szCs w:val="24"/>
          <w:u w:val="single"/>
        </w:rPr>
        <w:t>Estimated n</w:t>
      </w:r>
      <w:r w:rsidRPr="00737255" w:rsidR="004B2773">
        <w:rPr>
          <w:rStyle w:val="documentbody1"/>
          <w:rFonts w:ascii="Times New Roman" w:hAnsi="Times New Roman"/>
          <w:color w:val="000000"/>
          <w:sz w:val="24"/>
          <w:szCs w:val="24"/>
          <w:u w:val="single"/>
        </w:rPr>
        <w:t>umber of frivolous or irrelevant disputes</w:t>
      </w:r>
      <w:r w:rsidRPr="00737255" w:rsidR="004B2773">
        <w:rPr>
          <w:rStyle w:val="documentbody1"/>
          <w:rFonts w:ascii="Times New Roman" w:hAnsi="Times New Roman"/>
          <w:color w:val="000000"/>
          <w:sz w:val="24"/>
          <w:szCs w:val="24"/>
        </w:rPr>
        <w:t xml:space="preserve">:  </w:t>
      </w:r>
      <w:r w:rsidR="005E414A">
        <w:rPr>
          <w:rFonts w:ascii="Times New Roman" w:hAnsi="Times New Roman"/>
          <w:color w:val="000000"/>
        </w:rPr>
        <w:t>476,000</w:t>
      </w:r>
      <w:r w:rsidRPr="00737255" w:rsidR="007A2850">
        <w:rPr>
          <w:rFonts w:ascii="Times New Roman" w:hAnsi="Times New Roman"/>
          <w:color w:val="000000"/>
        </w:rPr>
        <w:t>.</w:t>
      </w:r>
    </w:p>
    <w:p w:rsidRPr="00737255" w:rsidR="005354B4" w:rsidP="00EA19A3" w:rsidRDefault="005354B4" w14:paraId="479D33F2" w14:textId="77777777">
      <w:pPr>
        <w:ind w:firstLine="720"/>
        <w:rPr>
          <w:rFonts w:ascii="Times New Roman" w:hAnsi="Times New Roman"/>
          <w:color w:val="000000"/>
        </w:rPr>
      </w:pPr>
    </w:p>
    <w:p w:rsidRPr="00737255" w:rsidR="007A2850" w:rsidP="00EA19A3" w:rsidRDefault="0064469C" w14:paraId="74DEA802" w14:textId="77777777">
      <w:pPr>
        <w:ind w:firstLine="720"/>
        <w:rPr>
          <w:rFonts w:ascii="Times New Roman" w:hAnsi="Times New Roman"/>
          <w:color w:val="000000"/>
        </w:rPr>
      </w:pPr>
      <w:r>
        <w:rPr>
          <w:rFonts w:ascii="Times New Roman" w:hAnsi="Times New Roman"/>
          <w:color w:val="000000"/>
          <w:u w:val="single"/>
        </w:rPr>
        <w:t>Estimated n</w:t>
      </w:r>
      <w:r w:rsidRPr="00737255" w:rsidR="007A2850">
        <w:rPr>
          <w:rFonts w:ascii="Times New Roman" w:hAnsi="Times New Roman"/>
          <w:color w:val="000000"/>
          <w:u w:val="single"/>
        </w:rPr>
        <w:t>umber of additional non-frivolous or irrelevant disputes</w:t>
      </w:r>
      <w:r w:rsidRPr="00737255" w:rsidR="007A2850">
        <w:rPr>
          <w:rFonts w:ascii="Times New Roman" w:hAnsi="Times New Roman"/>
          <w:color w:val="000000"/>
        </w:rPr>
        <w:t xml:space="preserve">:  </w:t>
      </w:r>
      <w:r w:rsidR="005E414A">
        <w:rPr>
          <w:rFonts w:ascii="Times New Roman" w:hAnsi="Times New Roman"/>
          <w:color w:val="000000"/>
        </w:rPr>
        <w:t>318,582.</w:t>
      </w:r>
    </w:p>
    <w:p w:rsidRPr="00737255" w:rsidR="005354B4" w:rsidP="00EA19A3" w:rsidRDefault="005354B4" w14:paraId="1CE05C33" w14:textId="77777777">
      <w:pPr>
        <w:ind w:firstLine="720"/>
        <w:rPr>
          <w:rFonts w:ascii="Times New Roman" w:hAnsi="Times New Roman"/>
          <w:color w:val="000000"/>
        </w:rPr>
      </w:pPr>
    </w:p>
    <w:p w:rsidRPr="00737255" w:rsidR="008E2116" w:rsidP="001D4C4D" w:rsidRDefault="004B2773" w14:paraId="663DD396" w14:textId="77777777">
      <w:pPr>
        <w:ind w:firstLine="720"/>
        <w:rPr>
          <w:rStyle w:val="documentbody1"/>
          <w:rFonts w:ascii="Times New Roman" w:hAnsi="Times New Roman"/>
          <w:color w:val="000000"/>
          <w:sz w:val="24"/>
          <w:szCs w:val="24"/>
        </w:rPr>
      </w:pPr>
      <w:r w:rsidRPr="00737255">
        <w:rPr>
          <w:rStyle w:val="documentbody1"/>
          <w:rFonts w:ascii="Times New Roman" w:hAnsi="Times New Roman"/>
          <w:color w:val="000000"/>
          <w:sz w:val="24"/>
          <w:szCs w:val="24"/>
          <w:u w:val="single"/>
        </w:rPr>
        <w:t xml:space="preserve">Estimated burden per </w:t>
      </w:r>
      <w:r w:rsidR="00D865D7">
        <w:rPr>
          <w:rStyle w:val="documentbody1"/>
          <w:rFonts w:ascii="Times New Roman" w:hAnsi="Times New Roman"/>
          <w:color w:val="000000"/>
          <w:sz w:val="24"/>
          <w:szCs w:val="24"/>
          <w:u w:val="single"/>
        </w:rPr>
        <w:t xml:space="preserve">dispute </w:t>
      </w:r>
      <w:r w:rsidRPr="00737255">
        <w:rPr>
          <w:rStyle w:val="documentbody1"/>
          <w:rFonts w:ascii="Times New Roman" w:hAnsi="Times New Roman"/>
          <w:color w:val="000000"/>
          <w:sz w:val="24"/>
          <w:szCs w:val="24"/>
          <w:u w:val="single"/>
        </w:rPr>
        <w:t>notice</w:t>
      </w:r>
      <w:r w:rsidRPr="00737255">
        <w:rPr>
          <w:rStyle w:val="documentbody1"/>
          <w:rFonts w:ascii="Times New Roman" w:hAnsi="Times New Roman"/>
          <w:color w:val="000000"/>
          <w:sz w:val="24"/>
          <w:szCs w:val="24"/>
        </w:rPr>
        <w:t xml:space="preserve">:  </w:t>
      </w:r>
      <w:r w:rsidR="00C77481">
        <w:rPr>
          <w:rStyle w:val="documentbody1"/>
          <w:rFonts w:ascii="Times New Roman" w:hAnsi="Times New Roman"/>
          <w:color w:val="000000"/>
          <w:sz w:val="24"/>
          <w:szCs w:val="24"/>
        </w:rPr>
        <w:t>14</w:t>
      </w:r>
      <w:r w:rsidR="005E414A">
        <w:rPr>
          <w:rStyle w:val="documentbody1"/>
          <w:rFonts w:ascii="Times New Roman" w:hAnsi="Times New Roman"/>
          <w:color w:val="000000"/>
          <w:sz w:val="24"/>
          <w:szCs w:val="24"/>
        </w:rPr>
        <w:t xml:space="preserve"> minutes.</w:t>
      </w:r>
    </w:p>
    <w:p w:rsidR="00FA4DCD" w:rsidP="00EA19A3" w:rsidRDefault="00FA4DCD" w14:paraId="6CEB1122" w14:textId="77777777">
      <w:pPr>
        <w:ind w:firstLine="720"/>
        <w:rPr>
          <w:rStyle w:val="documentbody1"/>
          <w:rFonts w:ascii="Times New Roman" w:hAnsi="Times New Roman"/>
          <w:color w:val="000000"/>
          <w:sz w:val="24"/>
          <w:szCs w:val="24"/>
          <w:u w:val="single"/>
        </w:rPr>
      </w:pPr>
    </w:p>
    <w:p w:rsidR="007A2850" w:rsidP="00EA19A3" w:rsidRDefault="005E414A" w14:paraId="10FD37EC" w14:textId="77777777">
      <w:pPr>
        <w:ind w:firstLine="720"/>
        <w:rPr>
          <w:rStyle w:val="documentbody1"/>
          <w:rFonts w:ascii="Times New Roman" w:hAnsi="Times New Roman"/>
          <w:color w:val="000000"/>
          <w:sz w:val="24"/>
          <w:szCs w:val="24"/>
        </w:rPr>
      </w:pPr>
      <w:r>
        <w:rPr>
          <w:rStyle w:val="documentbody1"/>
          <w:rFonts w:ascii="Times New Roman" w:hAnsi="Times New Roman"/>
          <w:color w:val="000000"/>
          <w:sz w:val="24"/>
          <w:szCs w:val="24"/>
          <w:u w:val="single"/>
        </w:rPr>
        <w:t>Total Estimated Disclosure Burden</w:t>
      </w:r>
      <w:r w:rsidRPr="00737255" w:rsidR="007A2850">
        <w:rPr>
          <w:rStyle w:val="documentbody1"/>
          <w:rFonts w:ascii="Times New Roman" w:hAnsi="Times New Roman"/>
          <w:color w:val="000000"/>
          <w:sz w:val="24"/>
          <w:szCs w:val="24"/>
        </w:rPr>
        <w:t xml:space="preserve">:  </w:t>
      </w:r>
      <w:r>
        <w:rPr>
          <w:rStyle w:val="documentbody1"/>
          <w:rFonts w:ascii="Times New Roman" w:hAnsi="Times New Roman"/>
          <w:color w:val="000000"/>
          <w:sz w:val="24"/>
          <w:szCs w:val="24"/>
        </w:rPr>
        <w:t>185,403 hours.</w:t>
      </w:r>
    </w:p>
    <w:p w:rsidR="005E414A" w:rsidP="00EA19A3" w:rsidRDefault="005E414A" w14:paraId="5D5701DE" w14:textId="77777777">
      <w:pPr>
        <w:ind w:firstLine="720"/>
        <w:rPr>
          <w:rStyle w:val="documentbody1"/>
          <w:rFonts w:ascii="Times New Roman" w:hAnsi="Times New Roman"/>
          <w:color w:val="000000"/>
          <w:sz w:val="24"/>
          <w:szCs w:val="24"/>
        </w:rPr>
      </w:pPr>
    </w:p>
    <w:p w:rsidRPr="005E414A" w:rsidR="005E414A" w:rsidP="00EA19A3" w:rsidRDefault="005E414A" w14:paraId="6DEF9722" w14:textId="77777777">
      <w:pPr>
        <w:ind w:firstLine="720"/>
        <w:rPr>
          <w:rStyle w:val="documentbody1"/>
          <w:rFonts w:ascii="Times New Roman" w:hAnsi="Times New Roman"/>
          <w:b/>
          <w:color w:val="000000"/>
          <w:sz w:val="24"/>
          <w:szCs w:val="24"/>
          <w:u w:val="single"/>
        </w:rPr>
      </w:pPr>
      <w:r>
        <w:rPr>
          <w:rStyle w:val="documentbody1"/>
          <w:rFonts w:ascii="Times New Roman" w:hAnsi="Times New Roman"/>
          <w:b/>
          <w:color w:val="000000"/>
          <w:sz w:val="24"/>
          <w:szCs w:val="24"/>
          <w:u w:val="single"/>
        </w:rPr>
        <w:t>Total Burden</w:t>
      </w:r>
    </w:p>
    <w:p w:rsidRPr="001F1FA9" w:rsidR="001F1FA9" w:rsidP="00EA19A3" w:rsidRDefault="001F1FA9" w14:paraId="1B85EC5D" w14:textId="77777777">
      <w:pPr>
        <w:rPr>
          <w:rStyle w:val="documentbody1"/>
          <w:rFonts w:ascii="Times New Roman" w:hAnsi="Times New Roman"/>
          <w:color w:val="000000"/>
          <w:sz w:val="24"/>
          <w:szCs w:val="24"/>
        </w:rPr>
      </w:pPr>
    </w:p>
    <w:p w:rsidRPr="00B90E3E" w:rsidR="008E11E3" w:rsidP="00EA19A3" w:rsidRDefault="004B2773" w14:paraId="7BC96CBF" w14:textId="77777777">
      <w:pPr>
        <w:ind w:firstLine="720"/>
        <w:rPr>
          <w:rStyle w:val="documentbody1"/>
          <w:rFonts w:ascii="Times New Roman" w:hAnsi="Times New Roman"/>
          <w:color w:val="000000"/>
          <w:sz w:val="24"/>
          <w:szCs w:val="24"/>
        </w:rPr>
      </w:pPr>
      <w:r w:rsidRPr="00B90E3E">
        <w:rPr>
          <w:rStyle w:val="documentbody1"/>
          <w:rFonts w:ascii="Times New Roman" w:hAnsi="Times New Roman"/>
          <w:color w:val="000000"/>
          <w:sz w:val="24"/>
          <w:szCs w:val="24"/>
          <w:u w:val="single"/>
        </w:rPr>
        <w:t>Total estimated annual burden</w:t>
      </w:r>
      <w:r w:rsidRPr="00B90E3E" w:rsidR="0044100B">
        <w:rPr>
          <w:rStyle w:val="documentbody1"/>
          <w:rFonts w:ascii="Times New Roman" w:hAnsi="Times New Roman"/>
          <w:color w:val="000000"/>
          <w:sz w:val="24"/>
          <w:szCs w:val="24"/>
        </w:rPr>
        <w:t xml:space="preserve">:  </w:t>
      </w:r>
      <w:bookmarkStart w:name="OLE_LINK3" w:id="0"/>
      <w:bookmarkStart w:name="OLE_LINK4" w:id="1"/>
      <w:r w:rsidR="00C3366D">
        <w:rPr>
          <w:rStyle w:val="documentbody1"/>
          <w:rFonts w:ascii="Times New Roman" w:hAnsi="Times New Roman"/>
          <w:color w:val="000000"/>
          <w:sz w:val="24"/>
          <w:szCs w:val="24"/>
        </w:rPr>
        <w:t>185,60</w:t>
      </w:r>
      <w:r w:rsidR="0066222F">
        <w:rPr>
          <w:rStyle w:val="documentbody1"/>
          <w:rFonts w:ascii="Times New Roman" w:hAnsi="Times New Roman"/>
          <w:color w:val="000000"/>
          <w:sz w:val="24"/>
          <w:szCs w:val="24"/>
        </w:rPr>
        <w:t>3</w:t>
      </w:r>
      <w:r w:rsidRPr="00B90E3E">
        <w:rPr>
          <w:rStyle w:val="documentbody1"/>
          <w:rFonts w:ascii="Times New Roman" w:hAnsi="Times New Roman"/>
          <w:color w:val="000000"/>
          <w:sz w:val="24"/>
          <w:szCs w:val="24"/>
        </w:rPr>
        <w:t xml:space="preserve"> </w:t>
      </w:r>
      <w:bookmarkEnd w:id="0"/>
      <w:bookmarkEnd w:id="1"/>
      <w:r w:rsidRPr="00B90E3E">
        <w:rPr>
          <w:rStyle w:val="documentbody1"/>
          <w:rFonts w:ascii="Times New Roman" w:hAnsi="Times New Roman"/>
          <w:color w:val="000000"/>
          <w:sz w:val="24"/>
          <w:szCs w:val="24"/>
        </w:rPr>
        <w:t>hours.</w:t>
      </w:r>
    </w:p>
    <w:p w:rsidRPr="00B90E3E" w:rsidR="005354B4" w:rsidP="00EA19A3" w:rsidRDefault="005354B4" w14:paraId="795DC7BB" w14:textId="77777777">
      <w:pPr>
        <w:ind w:firstLine="720"/>
        <w:rPr>
          <w:rFonts w:ascii="Times New Roman" w:hAnsi="Times New Roman"/>
          <w:color w:val="000000"/>
        </w:rPr>
      </w:pPr>
    </w:p>
    <w:p w:rsidR="003A57AF" w:rsidP="00EA19A3" w:rsidRDefault="005E414A" w14:paraId="1DC443F3" w14:textId="77777777">
      <w:pPr>
        <w:ind w:firstLine="720"/>
        <w:rPr>
          <w:rFonts w:ascii="Times New Roman" w:hAnsi="Times New Roman"/>
          <w:b/>
          <w:u w:val="single"/>
        </w:rPr>
      </w:pPr>
      <w:r w:rsidRPr="00B90E3E">
        <w:rPr>
          <w:rFonts w:ascii="Times New Roman" w:hAnsi="Times New Roman"/>
          <w:b/>
          <w:u w:val="single"/>
        </w:rPr>
        <w:t>Estimated Cost</w:t>
      </w:r>
    </w:p>
    <w:p w:rsidR="00B90E3E" w:rsidP="00EA19A3" w:rsidRDefault="00B90E3E" w14:paraId="0D6F943A" w14:textId="77777777">
      <w:pPr>
        <w:ind w:firstLine="720"/>
        <w:rPr>
          <w:rFonts w:ascii="Times New Roman" w:hAnsi="Times New Roman"/>
          <w:b/>
          <w:u w:val="single"/>
        </w:rPr>
      </w:pPr>
    </w:p>
    <w:p w:rsidRPr="00B90E3E" w:rsidR="00B90E3E" w:rsidP="00EA19A3" w:rsidRDefault="00B90E3E" w14:paraId="0C962B79" w14:textId="77777777">
      <w:pPr>
        <w:ind w:firstLine="720"/>
        <w:rPr>
          <w:rFonts w:ascii="Times New Roman" w:hAnsi="Times New Roman"/>
          <w:b/>
        </w:rPr>
      </w:pPr>
      <w:r w:rsidRPr="00B90E3E">
        <w:rPr>
          <w:rStyle w:val="documentbody1"/>
          <w:rFonts w:ascii="Times New Roman" w:hAnsi="Times New Roman"/>
          <w:color w:val="000000"/>
          <w:sz w:val="24"/>
          <w:szCs w:val="24"/>
        </w:rPr>
        <w:t>185,</w:t>
      </w:r>
      <w:r w:rsidR="00C3366D">
        <w:rPr>
          <w:rStyle w:val="documentbody1"/>
          <w:rFonts w:ascii="Times New Roman" w:hAnsi="Times New Roman"/>
          <w:color w:val="000000"/>
          <w:sz w:val="24"/>
          <w:szCs w:val="24"/>
        </w:rPr>
        <w:t>603</w:t>
      </w:r>
      <w:r w:rsidRPr="00B90E3E">
        <w:rPr>
          <w:rStyle w:val="documentbody1"/>
          <w:rFonts w:ascii="Times New Roman" w:hAnsi="Times New Roman"/>
          <w:color w:val="000000"/>
          <w:sz w:val="24"/>
          <w:szCs w:val="24"/>
        </w:rPr>
        <w:t xml:space="preserve"> hours</w:t>
      </w:r>
      <w:r>
        <w:rPr>
          <w:rStyle w:val="documentbody1"/>
          <w:rFonts w:ascii="Times New Roman" w:hAnsi="Times New Roman"/>
          <w:color w:val="000000"/>
          <w:sz w:val="24"/>
          <w:szCs w:val="24"/>
        </w:rPr>
        <w:t xml:space="preserve"> x $</w:t>
      </w:r>
      <w:r w:rsidR="00857383">
        <w:rPr>
          <w:rStyle w:val="documentbody1"/>
          <w:rFonts w:ascii="Times New Roman" w:hAnsi="Times New Roman"/>
          <w:color w:val="000000"/>
          <w:sz w:val="24"/>
          <w:szCs w:val="24"/>
        </w:rPr>
        <w:t>11</w:t>
      </w:r>
      <w:r w:rsidR="00950642">
        <w:rPr>
          <w:rStyle w:val="documentbody1"/>
          <w:rFonts w:ascii="Times New Roman" w:hAnsi="Times New Roman"/>
          <w:color w:val="000000"/>
          <w:sz w:val="24"/>
          <w:szCs w:val="24"/>
        </w:rPr>
        <w:t>5.19</w:t>
      </w:r>
      <w:r>
        <w:rPr>
          <w:rStyle w:val="documentbody1"/>
          <w:rFonts w:ascii="Times New Roman" w:hAnsi="Times New Roman"/>
          <w:color w:val="000000"/>
          <w:sz w:val="24"/>
          <w:szCs w:val="24"/>
        </w:rPr>
        <w:t xml:space="preserve"> = $</w:t>
      </w:r>
      <w:r w:rsidR="00F3226F">
        <w:rPr>
          <w:rStyle w:val="documentbody1"/>
          <w:rFonts w:ascii="Times New Roman" w:hAnsi="Times New Roman"/>
          <w:color w:val="000000"/>
          <w:sz w:val="24"/>
          <w:szCs w:val="24"/>
        </w:rPr>
        <w:t>21,</w:t>
      </w:r>
      <w:r w:rsidR="00950642">
        <w:rPr>
          <w:rStyle w:val="documentbody1"/>
          <w:rFonts w:ascii="Times New Roman" w:hAnsi="Times New Roman"/>
          <w:color w:val="000000"/>
          <w:sz w:val="24"/>
          <w:szCs w:val="24"/>
        </w:rPr>
        <w:t>379,609.57</w:t>
      </w:r>
    </w:p>
    <w:p w:rsidRPr="00B90E3E" w:rsidR="00D83462" w:rsidP="00EA19A3" w:rsidRDefault="00D83462" w14:paraId="780E6F7C" w14:textId="77777777">
      <w:pPr>
        <w:ind w:firstLine="720"/>
        <w:rPr>
          <w:rFonts w:ascii="Times New Roman" w:hAnsi="Times New Roman"/>
        </w:rPr>
      </w:pPr>
    </w:p>
    <w:p w:rsidRPr="0064167F" w:rsidR="00950642" w:rsidP="00950642" w:rsidRDefault="00950642" w14:paraId="5CD7E088" w14:textId="77777777">
      <w:pPr>
        <w:rPr>
          <w:rFonts w:ascii="Times New Roman" w:hAnsi="Times New Roman"/>
        </w:rPr>
      </w:pPr>
      <w:r>
        <w:rPr>
          <w:rFonts w:ascii="Times New Roman" w:hAnsi="Times New Roman"/>
          <w:color w:val="000000"/>
        </w:rPr>
        <w:t>To estimate wages the OCC reviewed May 2019 data for wages (by industry and occupation) from the U.S. Bureau of Labor Statistics (BLS) for credit intermediation and related activities excluding nondepository credit intermediaries (NAICS 5220A1).  To estimate compensation costs associated with the rule, the OCC uses $115.19 per hour, which is based on the average of the 90th percentile for six occupations adjusted for inflation (3.1 percent as of Q1 2020 according to the BLS), plus an additional 33.4 percent for benefits (based on the percent of total compensation allocated to benefits as of Q4 2019 for NAICS 522: credit intermediation and related activities).</w:t>
      </w:r>
    </w:p>
    <w:p w:rsidR="005666FC" w:rsidP="007F18EA" w:rsidRDefault="005666FC" w14:paraId="60CD9E3E" w14:textId="77777777">
      <w:pPr>
        <w:tabs>
          <w:tab w:val="left" w:pos="-1440"/>
        </w:tabs>
        <w:rPr>
          <w:rFonts w:ascii="Times New Roman" w:hAnsi="Times New Roman"/>
        </w:rPr>
      </w:pPr>
    </w:p>
    <w:p w:rsidRPr="00DD2103" w:rsidR="003A57AF" w:rsidP="00DD2103" w:rsidRDefault="00DD2103" w14:paraId="4B3C8C63" w14:textId="77777777">
      <w:pPr>
        <w:pStyle w:val="BodyText"/>
        <w:rPr>
          <w:rFonts w:ascii="Times New Roman" w:hAnsi="Times New Roman" w:cs="Times New Roman"/>
          <w:b/>
          <w:bCs/>
          <w:i/>
        </w:rPr>
      </w:pPr>
      <w:r w:rsidRPr="00FE4498">
        <w:rPr>
          <w:rFonts w:ascii="Times New Roman" w:hAnsi="Times New Roman" w:cs="Times New Roman"/>
          <w:b/>
          <w:bCs/>
          <w:i/>
        </w:rPr>
        <w:lastRenderedPageBreak/>
        <w:t>13.  Estimate of total annual costs to respondents (excluding cost of hour burden in Item #12):</w:t>
      </w:r>
    </w:p>
    <w:p w:rsidRPr="00737255" w:rsidR="003A57AF" w:rsidP="00EA19A3" w:rsidRDefault="00DD2103" w14:paraId="6CE27FF6" w14:textId="77777777">
      <w:pPr>
        <w:ind w:firstLine="720"/>
        <w:rPr>
          <w:rFonts w:ascii="Times New Roman" w:hAnsi="Times New Roman"/>
        </w:rPr>
      </w:pPr>
      <w:r>
        <w:rPr>
          <w:rFonts w:ascii="Times New Roman" w:hAnsi="Times New Roman"/>
        </w:rPr>
        <w:t>None</w:t>
      </w:r>
      <w:r w:rsidRPr="00737255" w:rsidR="003A57AF">
        <w:rPr>
          <w:rFonts w:ascii="Times New Roman" w:hAnsi="Times New Roman"/>
        </w:rPr>
        <w:t>.</w:t>
      </w:r>
    </w:p>
    <w:p w:rsidR="007D5EB0" w:rsidP="00EA19A3" w:rsidRDefault="007D5EB0" w14:paraId="485403F1" w14:textId="77777777">
      <w:pPr>
        <w:rPr>
          <w:rFonts w:ascii="Times New Roman" w:hAnsi="Times New Roman"/>
        </w:rPr>
      </w:pPr>
    </w:p>
    <w:p w:rsidRPr="00DD2103" w:rsidR="003A57AF" w:rsidP="00DD2103" w:rsidRDefault="00DD2103" w14:paraId="5A280CE4" w14:textId="77777777">
      <w:pPr>
        <w:pStyle w:val="BodyText"/>
        <w:rPr>
          <w:rFonts w:ascii="Times New Roman" w:hAnsi="Times New Roman" w:cs="Times New Roman"/>
          <w:b/>
          <w:bCs/>
          <w:i/>
        </w:rPr>
      </w:pPr>
      <w:r w:rsidRPr="00FE4498">
        <w:rPr>
          <w:rFonts w:ascii="Times New Roman" w:hAnsi="Times New Roman" w:cs="Times New Roman"/>
          <w:b/>
          <w:bCs/>
          <w:i/>
        </w:rPr>
        <w:t xml:space="preserve">14.  Estimate of annualized costs to the </w:t>
      </w:r>
      <w:r w:rsidR="00682B17">
        <w:rPr>
          <w:rFonts w:ascii="Times New Roman" w:hAnsi="Times New Roman" w:cs="Times New Roman"/>
          <w:b/>
          <w:bCs/>
          <w:i/>
        </w:rPr>
        <w:t>F</w:t>
      </w:r>
      <w:r w:rsidRPr="00FE4498">
        <w:rPr>
          <w:rFonts w:ascii="Times New Roman" w:hAnsi="Times New Roman" w:cs="Times New Roman"/>
          <w:b/>
          <w:bCs/>
          <w:i/>
        </w:rPr>
        <w:t>ederal government:</w:t>
      </w:r>
    </w:p>
    <w:p w:rsidRPr="00737255" w:rsidR="003A57AF" w:rsidP="00EA19A3" w:rsidRDefault="00DD2103" w14:paraId="4D836696" w14:textId="77777777">
      <w:pPr>
        <w:ind w:firstLine="720"/>
        <w:rPr>
          <w:rFonts w:ascii="Times New Roman" w:hAnsi="Times New Roman"/>
        </w:rPr>
      </w:pPr>
      <w:r>
        <w:rPr>
          <w:rFonts w:ascii="Times New Roman" w:hAnsi="Times New Roman"/>
        </w:rPr>
        <w:t>None</w:t>
      </w:r>
      <w:r w:rsidRPr="00737255" w:rsidR="003A57AF">
        <w:rPr>
          <w:rFonts w:ascii="Times New Roman" w:hAnsi="Times New Roman"/>
        </w:rPr>
        <w:t>.</w:t>
      </w:r>
    </w:p>
    <w:p w:rsidR="006E2B50" w:rsidP="00730ED6" w:rsidRDefault="006E2B50" w14:paraId="45036794" w14:textId="77777777">
      <w:pPr>
        <w:tabs>
          <w:tab w:val="left" w:pos="-1440"/>
        </w:tabs>
        <w:rPr>
          <w:rFonts w:ascii="Times New Roman" w:hAnsi="Times New Roman"/>
        </w:rPr>
      </w:pPr>
    </w:p>
    <w:p w:rsidRPr="00C954AA" w:rsidR="003A57AF" w:rsidP="00C954AA" w:rsidRDefault="00C954AA" w14:paraId="2EA95F80" w14:textId="77777777">
      <w:pPr>
        <w:pStyle w:val="BodyText"/>
        <w:rPr>
          <w:rFonts w:ascii="Times New Roman" w:hAnsi="Times New Roman" w:cs="Times New Roman"/>
          <w:b/>
          <w:bCs/>
          <w:i/>
        </w:rPr>
      </w:pPr>
      <w:r w:rsidRPr="00FE4498">
        <w:rPr>
          <w:rFonts w:ascii="Times New Roman" w:hAnsi="Times New Roman" w:cs="Times New Roman"/>
          <w:b/>
          <w:bCs/>
          <w:i/>
        </w:rPr>
        <w:t>15.  Change in burden:</w:t>
      </w:r>
    </w:p>
    <w:p w:rsidR="000D3989" w:rsidP="00505E61" w:rsidRDefault="006B1A74" w14:paraId="32C176F6" w14:textId="77777777">
      <w:pPr>
        <w:rPr>
          <w:rFonts w:ascii="Times New Roman" w:hAnsi="Times New Roman"/>
        </w:rPr>
      </w:pPr>
      <w:r w:rsidRPr="00737255">
        <w:rPr>
          <w:rFonts w:ascii="Times New Roman" w:hAnsi="Times New Roman"/>
        </w:rPr>
        <w:tab/>
      </w:r>
      <w:r w:rsidR="00EF2056">
        <w:rPr>
          <w:rFonts w:ascii="Times New Roman" w:hAnsi="Times New Roman"/>
        </w:rPr>
        <w:t>There is no change in burden.</w:t>
      </w:r>
    </w:p>
    <w:p w:rsidRPr="00737255" w:rsidR="003A57AF" w:rsidP="00EA19A3" w:rsidRDefault="003A57AF" w14:paraId="42FD7D74" w14:textId="77777777">
      <w:pPr>
        <w:rPr>
          <w:rFonts w:ascii="Times New Roman" w:hAnsi="Times New Roman"/>
        </w:rPr>
      </w:pPr>
    </w:p>
    <w:p w:rsidRPr="00C954AA" w:rsidR="003A57AF" w:rsidP="00C954AA" w:rsidRDefault="00C954AA" w14:paraId="11C2ACED" w14:textId="77777777">
      <w:pPr>
        <w:pStyle w:val="BodyText"/>
        <w:rPr>
          <w:rFonts w:ascii="Times New Roman" w:hAnsi="Times New Roman" w:cs="Times New Roman"/>
          <w:b/>
          <w:bCs/>
          <w:i/>
        </w:rPr>
      </w:pPr>
      <w:r w:rsidRPr="00FE4498">
        <w:rPr>
          <w:rFonts w:ascii="Times New Roman" w:hAnsi="Times New Roman" w:cs="Times New Roman"/>
          <w:b/>
          <w:bCs/>
          <w:i/>
        </w:rPr>
        <w:t>16.  Information regarding collections whose results are to be published for statistical use:</w:t>
      </w:r>
      <w:r w:rsidRPr="00737255" w:rsidR="003A57AF">
        <w:rPr>
          <w:rFonts w:ascii="Times New Roman" w:hAnsi="Times New Roman"/>
        </w:rPr>
        <w:t xml:space="preserve"> </w:t>
      </w:r>
    </w:p>
    <w:p w:rsidRPr="00737255" w:rsidR="003A57AF" w:rsidP="00EA19A3" w:rsidRDefault="003A57AF" w14:paraId="7470B525" w14:textId="77777777">
      <w:pPr>
        <w:ind w:firstLine="720"/>
        <w:rPr>
          <w:rFonts w:ascii="Times New Roman" w:hAnsi="Times New Roman"/>
        </w:rPr>
      </w:pPr>
      <w:r w:rsidRPr="00737255">
        <w:rPr>
          <w:rFonts w:ascii="Times New Roman" w:hAnsi="Times New Roman"/>
        </w:rPr>
        <w:t>The OCC has no plans to publish the data for statistical purposes.</w:t>
      </w:r>
    </w:p>
    <w:p w:rsidRPr="00737255" w:rsidR="003A57AF" w:rsidP="00EA19A3" w:rsidRDefault="003A57AF" w14:paraId="22E23D5C" w14:textId="77777777">
      <w:pPr>
        <w:rPr>
          <w:rFonts w:ascii="Times New Roman" w:hAnsi="Times New Roman"/>
        </w:rPr>
      </w:pPr>
    </w:p>
    <w:p w:rsidRPr="00C954AA" w:rsidR="003A57AF" w:rsidP="00C954AA" w:rsidRDefault="00C954AA" w14:paraId="5C58C212" w14:textId="77777777">
      <w:pPr>
        <w:pStyle w:val="BodyText"/>
        <w:rPr>
          <w:rFonts w:ascii="Times New Roman" w:hAnsi="Times New Roman" w:cs="Times New Roman"/>
          <w:b/>
          <w:bCs/>
          <w:i/>
        </w:rPr>
      </w:pPr>
      <w:r w:rsidRPr="00FE4498">
        <w:rPr>
          <w:rFonts w:ascii="Times New Roman" w:hAnsi="Times New Roman" w:cs="Times New Roman"/>
          <w:b/>
          <w:bCs/>
          <w:i/>
        </w:rPr>
        <w:t>17.  Reasons for not displaying OMB approval expiration date:</w:t>
      </w:r>
    </w:p>
    <w:p w:rsidRPr="00737255" w:rsidR="003A57AF" w:rsidP="00EA19A3" w:rsidRDefault="003A57AF" w14:paraId="541A0999" w14:textId="77777777">
      <w:pPr>
        <w:ind w:firstLine="720"/>
        <w:rPr>
          <w:rFonts w:ascii="Times New Roman" w:hAnsi="Times New Roman"/>
        </w:rPr>
      </w:pPr>
      <w:r w:rsidRPr="00737255">
        <w:rPr>
          <w:rFonts w:ascii="Times New Roman" w:hAnsi="Times New Roman"/>
        </w:rPr>
        <w:t>Not applicable.</w:t>
      </w:r>
    </w:p>
    <w:p w:rsidRPr="00737255" w:rsidR="00673F5C" w:rsidP="00EA19A3" w:rsidRDefault="00673F5C" w14:paraId="05EF235A" w14:textId="77777777">
      <w:pPr>
        <w:rPr>
          <w:rFonts w:ascii="Times New Roman" w:hAnsi="Times New Roman"/>
        </w:rPr>
      </w:pPr>
    </w:p>
    <w:p w:rsidRPr="00A920C0" w:rsidR="003A57AF" w:rsidP="00A920C0" w:rsidRDefault="00A920C0" w14:paraId="422BF555" w14:textId="77777777">
      <w:pPr>
        <w:pStyle w:val="BodyText"/>
        <w:rPr>
          <w:rFonts w:ascii="Times New Roman" w:hAnsi="Times New Roman" w:cs="Times New Roman"/>
          <w:b/>
          <w:bCs/>
          <w:i/>
        </w:rPr>
      </w:pPr>
      <w:r w:rsidRPr="00FE4498">
        <w:rPr>
          <w:rFonts w:ascii="Times New Roman" w:hAnsi="Times New Roman" w:cs="Times New Roman"/>
          <w:b/>
          <w:bCs/>
          <w:i/>
        </w:rPr>
        <w:t>18.  Exceptions to the certification statement:</w:t>
      </w:r>
    </w:p>
    <w:p w:rsidR="00D4454C" w:rsidP="00646FA6" w:rsidRDefault="007D47D0" w14:paraId="2B6F9C37" w14:textId="77777777">
      <w:pPr>
        <w:ind w:firstLine="720"/>
        <w:rPr>
          <w:rFonts w:ascii="Times New Roman" w:hAnsi="Times New Roman"/>
        </w:rPr>
      </w:pPr>
      <w:r w:rsidRPr="00737255">
        <w:rPr>
          <w:rFonts w:ascii="Times New Roman" w:hAnsi="Times New Roman"/>
        </w:rPr>
        <w:t>None.</w:t>
      </w:r>
    </w:p>
    <w:p w:rsidRPr="00646FA6" w:rsidR="00646FA6" w:rsidP="00646FA6" w:rsidRDefault="00646FA6" w14:paraId="73C8B7C1" w14:textId="77777777">
      <w:pPr>
        <w:ind w:firstLine="720"/>
        <w:rPr>
          <w:rFonts w:ascii="Times New Roman" w:hAnsi="Times New Roman"/>
        </w:rPr>
      </w:pPr>
    </w:p>
    <w:p w:rsidR="00EB362B" w:rsidP="00EB362B" w:rsidRDefault="00EB362B" w14:paraId="763E55C8" w14:textId="77777777">
      <w:pPr>
        <w:pStyle w:val="BodyText"/>
        <w:rPr>
          <w:rFonts w:ascii="Times New Roman" w:hAnsi="Times New Roman"/>
          <w:b/>
        </w:rPr>
      </w:pPr>
      <w:r>
        <w:rPr>
          <w:rFonts w:ascii="Times New Roman" w:hAnsi="Times New Roman"/>
          <w:b/>
        </w:rPr>
        <w:t>B.  Collections of Information Employing Statistical Methods</w:t>
      </w:r>
    </w:p>
    <w:p w:rsidR="00454197" w:rsidP="00853539" w:rsidRDefault="003A57AF" w14:paraId="506DBE6F" w14:textId="77777777">
      <w:pPr>
        <w:ind w:firstLine="720"/>
        <w:rPr>
          <w:rFonts w:ascii="Times New Roman" w:hAnsi="Times New Roman"/>
        </w:rPr>
      </w:pPr>
      <w:r w:rsidRPr="00737255">
        <w:rPr>
          <w:rFonts w:ascii="Times New Roman" w:hAnsi="Times New Roman"/>
        </w:rPr>
        <w:t>Not applicable.</w:t>
      </w:r>
    </w:p>
    <w:sectPr w:rsidR="00454197" w:rsidSect="00FF53A9">
      <w:headerReference w:type="default" r:id="rId8"/>
      <w:footerReference w:type="default" r:id="rId9"/>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DDA93" w14:textId="77777777" w:rsidR="00166971" w:rsidRDefault="00166971">
      <w:r>
        <w:separator/>
      </w:r>
    </w:p>
  </w:endnote>
  <w:endnote w:type="continuationSeparator" w:id="0">
    <w:p w14:paraId="6AB11D1D" w14:textId="77777777" w:rsidR="00166971" w:rsidRDefault="00166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49603" w14:textId="77777777" w:rsidR="00C61F02" w:rsidRDefault="00C61F02">
    <w:pPr>
      <w:pStyle w:val="Footer"/>
      <w:jc w:val="center"/>
    </w:pPr>
  </w:p>
  <w:p w14:paraId="221B9090" w14:textId="77777777" w:rsidR="00975EBA" w:rsidRDefault="00975EBA">
    <w:pPr>
      <w:pStyle w:val="Footer"/>
      <w:jc w:val="center"/>
    </w:pPr>
    <w:r>
      <w:fldChar w:fldCharType="begin"/>
    </w:r>
    <w:r>
      <w:instrText xml:space="preserve"> PAGE   \* MERGEFORMAT </w:instrText>
    </w:r>
    <w:r>
      <w:fldChar w:fldCharType="separate"/>
    </w:r>
    <w:r w:rsidR="00AD4BFB">
      <w:rPr>
        <w:noProof/>
      </w:rPr>
      <w:t>3</w:t>
    </w:r>
    <w:r>
      <w:rPr>
        <w:noProof/>
      </w:rPr>
      <w:fldChar w:fldCharType="end"/>
    </w:r>
  </w:p>
  <w:p w14:paraId="1685A2E2" w14:textId="77777777" w:rsidR="00975EBA" w:rsidRDefault="00975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AEE4E5" w14:textId="77777777" w:rsidR="00166971" w:rsidRDefault="00166971">
      <w:r>
        <w:separator/>
      </w:r>
    </w:p>
  </w:footnote>
  <w:footnote w:type="continuationSeparator" w:id="0">
    <w:p w14:paraId="6E4E7B08" w14:textId="77777777" w:rsidR="00166971" w:rsidRDefault="00166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5C558" w14:textId="77777777" w:rsidR="00D865D7" w:rsidRDefault="00D865D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54AE0"/>
    <w:multiLevelType w:val="hybridMultilevel"/>
    <w:tmpl w:val="620A74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21A2A9B"/>
    <w:multiLevelType w:val="hybridMultilevel"/>
    <w:tmpl w:val="A33E182C"/>
    <w:lvl w:ilvl="0" w:tplc="7FF8B44E">
      <w:start w:val="1"/>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620307C"/>
    <w:multiLevelType w:val="hybridMultilevel"/>
    <w:tmpl w:val="7FCC5C1A"/>
    <w:lvl w:ilvl="0" w:tplc="04090019">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80376BF"/>
    <w:multiLevelType w:val="hybridMultilevel"/>
    <w:tmpl w:val="4B06A074"/>
    <w:lvl w:ilvl="0" w:tplc="9ADC7962">
      <w:start w:val="27"/>
      <w:numFmt w:val="low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55FF"/>
    <w:rsid w:val="000007A9"/>
    <w:rsid w:val="0000099E"/>
    <w:rsid w:val="00001F69"/>
    <w:rsid w:val="00004F73"/>
    <w:rsid w:val="00007533"/>
    <w:rsid w:val="00015FFE"/>
    <w:rsid w:val="00016B1C"/>
    <w:rsid w:val="0004025E"/>
    <w:rsid w:val="00041805"/>
    <w:rsid w:val="00042321"/>
    <w:rsid w:val="0006160A"/>
    <w:rsid w:val="000830FE"/>
    <w:rsid w:val="000965D2"/>
    <w:rsid w:val="000A6558"/>
    <w:rsid w:val="000C50EC"/>
    <w:rsid w:val="000D3989"/>
    <w:rsid w:val="000D7CE3"/>
    <w:rsid w:val="000F3241"/>
    <w:rsid w:val="000F3904"/>
    <w:rsid w:val="000F3E34"/>
    <w:rsid w:val="000F6437"/>
    <w:rsid w:val="000F777F"/>
    <w:rsid w:val="0011126C"/>
    <w:rsid w:val="00116C93"/>
    <w:rsid w:val="00120250"/>
    <w:rsid w:val="001207B9"/>
    <w:rsid w:val="00125A95"/>
    <w:rsid w:val="00130805"/>
    <w:rsid w:val="00130ABE"/>
    <w:rsid w:val="001539AE"/>
    <w:rsid w:val="00163FE1"/>
    <w:rsid w:val="00166971"/>
    <w:rsid w:val="00171F6C"/>
    <w:rsid w:val="001777E8"/>
    <w:rsid w:val="00182635"/>
    <w:rsid w:val="00182CCE"/>
    <w:rsid w:val="00183C6D"/>
    <w:rsid w:val="00186B98"/>
    <w:rsid w:val="001926DD"/>
    <w:rsid w:val="00192AA9"/>
    <w:rsid w:val="001953F6"/>
    <w:rsid w:val="001A5229"/>
    <w:rsid w:val="001C43C7"/>
    <w:rsid w:val="001C4F48"/>
    <w:rsid w:val="001C7862"/>
    <w:rsid w:val="001D4C4D"/>
    <w:rsid w:val="001F0B80"/>
    <w:rsid w:val="001F1FA9"/>
    <w:rsid w:val="001F3C91"/>
    <w:rsid w:val="00212044"/>
    <w:rsid w:val="00214B8B"/>
    <w:rsid w:val="002240B9"/>
    <w:rsid w:val="00227810"/>
    <w:rsid w:val="002424DF"/>
    <w:rsid w:val="00243A84"/>
    <w:rsid w:val="0024442C"/>
    <w:rsid w:val="002447FF"/>
    <w:rsid w:val="00254363"/>
    <w:rsid w:val="00255E38"/>
    <w:rsid w:val="00257411"/>
    <w:rsid w:val="002607D6"/>
    <w:rsid w:val="002644A4"/>
    <w:rsid w:val="00271888"/>
    <w:rsid w:val="002719DC"/>
    <w:rsid w:val="00276571"/>
    <w:rsid w:val="00292DB7"/>
    <w:rsid w:val="002B4351"/>
    <w:rsid w:val="002B7D95"/>
    <w:rsid w:val="002C11AB"/>
    <w:rsid w:val="002F046A"/>
    <w:rsid w:val="0030020A"/>
    <w:rsid w:val="003045BB"/>
    <w:rsid w:val="003118A7"/>
    <w:rsid w:val="00324796"/>
    <w:rsid w:val="00331F73"/>
    <w:rsid w:val="003321FF"/>
    <w:rsid w:val="00337A6C"/>
    <w:rsid w:val="00344D90"/>
    <w:rsid w:val="00346F79"/>
    <w:rsid w:val="00354F9D"/>
    <w:rsid w:val="00362099"/>
    <w:rsid w:val="00367854"/>
    <w:rsid w:val="00372F55"/>
    <w:rsid w:val="00377F45"/>
    <w:rsid w:val="00384902"/>
    <w:rsid w:val="003A0978"/>
    <w:rsid w:val="003A57AF"/>
    <w:rsid w:val="003C2E99"/>
    <w:rsid w:val="003C4E14"/>
    <w:rsid w:val="003C69C0"/>
    <w:rsid w:val="003D6824"/>
    <w:rsid w:val="003E6A57"/>
    <w:rsid w:val="003E7428"/>
    <w:rsid w:val="003F0A8F"/>
    <w:rsid w:val="003F3516"/>
    <w:rsid w:val="003F40ED"/>
    <w:rsid w:val="003F48AB"/>
    <w:rsid w:val="003F6C42"/>
    <w:rsid w:val="0040052C"/>
    <w:rsid w:val="004040EE"/>
    <w:rsid w:val="00433116"/>
    <w:rsid w:val="0044100B"/>
    <w:rsid w:val="00444034"/>
    <w:rsid w:val="0044526B"/>
    <w:rsid w:val="00454197"/>
    <w:rsid w:val="0045501A"/>
    <w:rsid w:val="004619D0"/>
    <w:rsid w:val="00466C13"/>
    <w:rsid w:val="00474F91"/>
    <w:rsid w:val="00477632"/>
    <w:rsid w:val="00482271"/>
    <w:rsid w:val="004827AA"/>
    <w:rsid w:val="0048557E"/>
    <w:rsid w:val="004A6473"/>
    <w:rsid w:val="004B2460"/>
    <w:rsid w:val="004B2773"/>
    <w:rsid w:val="004B563D"/>
    <w:rsid w:val="004B729D"/>
    <w:rsid w:val="004C601F"/>
    <w:rsid w:val="004D234D"/>
    <w:rsid w:val="004D27B5"/>
    <w:rsid w:val="004F3CF2"/>
    <w:rsid w:val="004F6770"/>
    <w:rsid w:val="0050315D"/>
    <w:rsid w:val="00505E61"/>
    <w:rsid w:val="00527A37"/>
    <w:rsid w:val="005354B4"/>
    <w:rsid w:val="00541C98"/>
    <w:rsid w:val="00564F55"/>
    <w:rsid w:val="005666FC"/>
    <w:rsid w:val="0056725C"/>
    <w:rsid w:val="00592EC3"/>
    <w:rsid w:val="0059733C"/>
    <w:rsid w:val="005A158E"/>
    <w:rsid w:val="005A41F1"/>
    <w:rsid w:val="005A6A59"/>
    <w:rsid w:val="005B3084"/>
    <w:rsid w:val="005B4C03"/>
    <w:rsid w:val="005B672E"/>
    <w:rsid w:val="005B6FAF"/>
    <w:rsid w:val="005B7C6C"/>
    <w:rsid w:val="005E3E4F"/>
    <w:rsid w:val="005E414A"/>
    <w:rsid w:val="005F5A58"/>
    <w:rsid w:val="006268FE"/>
    <w:rsid w:val="0063000D"/>
    <w:rsid w:val="00630A59"/>
    <w:rsid w:val="00631B3B"/>
    <w:rsid w:val="00631E1D"/>
    <w:rsid w:val="00632DF0"/>
    <w:rsid w:val="00634328"/>
    <w:rsid w:val="00634906"/>
    <w:rsid w:val="00636B49"/>
    <w:rsid w:val="00637734"/>
    <w:rsid w:val="0064469C"/>
    <w:rsid w:val="00646FA6"/>
    <w:rsid w:val="00654326"/>
    <w:rsid w:val="00656346"/>
    <w:rsid w:val="0066222F"/>
    <w:rsid w:val="00673F5C"/>
    <w:rsid w:val="00681769"/>
    <w:rsid w:val="0068299D"/>
    <w:rsid w:val="00682B17"/>
    <w:rsid w:val="006952A8"/>
    <w:rsid w:val="0069751B"/>
    <w:rsid w:val="006A2892"/>
    <w:rsid w:val="006B1A74"/>
    <w:rsid w:val="006B5ED7"/>
    <w:rsid w:val="006C48FB"/>
    <w:rsid w:val="006C667E"/>
    <w:rsid w:val="006D4DB1"/>
    <w:rsid w:val="006D697D"/>
    <w:rsid w:val="006E23B0"/>
    <w:rsid w:val="006E2B50"/>
    <w:rsid w:val="006E7BDD"/>
    <w:rsid w:val="006E7C32"/>
    <w:rsid w:val="006F50CE"/>
    <w:rsid w:val="00702282"/>
    <w:rsid w:val="007065E3"/>
    <w:rsid w:val="00706BA7"/>
    <w:rsid w:val="0071036E"/>
    <w:rsid w:val="00730ED6"/>
    <w:rsid w:val="00731447"/>
    <w:rsid w:val="00734564"/>
    <w:rsid w:val="00737255"/>
    <w:rsid w:val="00744C9B"/>
    <w:rsid w:val="0075278C"/>
    <w:rsid w:val="00754BF8"/>
    <w:rsid w:val="00756CEC"/>
    <w:rsid w:val="00760A58"/>
    <w:rsid w:val="0077175D"/>
    <w:rsid w:val="00773400"/>
    <w:rsid w:val="00791D2B"/>
    <w:rsid w:val="007A0106"/>
    <w:rsid w:val="007A2850"/>
    <w:rsid w:val="007A62EE"/>
    <w:rsid w:val="007A62F7"/>
    <w:rsid w:val="007C4DEE"/>
    <w:rsid w:val="007D0224"/>
    <w:rsid w:val="007D47D0"/>
    <w:rsid w:val="007D5EB0"/>
    <w:rsid w:val="007E2C33"/>
    <w:rsid w:val="007E55FF"/>
    <w:rsid w:val="007F18EA"/>
    <w:rsid w:val="00806313"/>
    <w:rsid w:val="008107FD"/>
    <w:rsid w:val="00811AFE"/>
    <w:rsid w:val="0081332A"/>
    <w:rsid w:val="00815660"/>
    <w:rsid w:val="00831C6E"/>
    <w:rsid w:val="0084339C"/>
    <w:rsid w:val="00853539"/>
    <w:rsid w:val="00857383"/>
    <w:rsid w:val="00861139"/>
    <w:rsid w:val="00862F03"/>
    <w:rsid w:val="00865FE2"/>
    <w:rsid w:val="008700B3"/>
    <w:rsid w:val="00887A6B"/>
    <w:rsid w:val="008960F2"/>
    <w:rsid w:val="008979F6"/>
    <w:rsid w:val="008A0298"/>
    <w:rsid w:val="008A15B8"/>
    <w:rsid w:val="008A337A"/>
    <w:rsid w:val="008B0AB0"/>
    <w:rsid w:val="008B1D1B"/>
    <w:rsid w:val="008B7628"/>
    <w:rsid w:val="008B7F37"/>
    <w:rsid w:val="008C38AA"/>
    <w:rsid w:val="008C5B6A"/>
    <w:rsid w:val="008D2959"/>
    <w:rsid w:val="008D3B40"/>
    <w:rsid w:val="008D77CF"/>
    <w:rsid w:val="008D7E83"/>
    <w:rsid w:val="008E11E3"/>
    <w:rsid w:val="008E2116"/>
    <w:rsid w:val="008F09DD"/>
    <w:rsid w:val="008F1219"/>
    <w:rsid w:val="008F50DA"/>
    <w:rsid w:val="009009A3"/>
    <w:rsid w:val="00907EB4"/>
    <w:rsid w:val="0091737C"/>
    <w:rsid w:val="0093429F"/>
    <w:rsid w:val="00945242"/>
    <w:rsid w:val="00950423"/>
    <w:rsid w:val="00950642"/>
    <w:rsid w:val="009529F2"/>
    <w:rsid w:val="00955A48"/>
    <w:rsid w:val="00957F87"/>
    <w:rsid w:val="00966328"/>
    <w:rsid w:val="00967988"/>
    <w:rsid w:val="009708C9"/>
    <w:rsid w:val="00975EBA"/>
    <w:rsid w:val="009836DA"/>
    <w:rsid w:val="00983E0C"/>
    <w:rsid w:val="00984225"/>
    <w:rsid w:val="0099774F"/>
    <w:rsid w:val="009B2F05"/>
    <w:rsid w:val="009B3585"/>
    <w:rsid w:val="009B5FCC"/>
    <w:rsid w:val="009C3559"/>
    <w:rsid w:val="009C4229"/>
    <w:rsid w:val="009C616E"/>
    <w:rsid w:val="009D1E84"/>
    <w:rsid w:val="009D5A72"/>
    <w:rsid w:val="009E07D5"/>
    <w:rsid w:val="009E4741"/>
    <w:rsid w:val="009E4A8B"/>
    <w:rsid w:val="009E6730"/>
    <w:rsid w:val="00A07EF9"/>
    <w:rsid w:val="00A42558"/>
    <w:rsid w:val="00A4737F"/>
    <w:rsid w:val="00A60210"/>
    <w:rsid w:val="00A65D39"/>
    <w:rsid w:val="00A67FA8"/>
    <w:rsid w:val="00A85E65"/>
    <w:rsid w:val="00A920C0"/>
    <w:rsid w:val="00A93CA5"/>
    <w:rsid w:val="00AA0A46"/>
    <w:rsid w:val="00AB24DE"/>
    <w:rsid w:val="00AB2EBA"/>
    <w:rsid w:val="00AB33BD"/>
    <w:rsid w:val="00AC053A"/>
    <w:rsid w:val="00AC054A"/>
    <w:rsid w:val="00AC05CB"/>
    <w:rsid w:val="00AD1B8D"/>
    <w:rsid w:val="00AD3E15"/>
    <w:rsid w:val="00AD4BFB"/>
    <w:rsid w:val="00AF1399"/>
    <w:rsid w:val="00B00CE1"/>
    <w:rsid w:val="00B1576B"/>
    <w:rsid w:val="00B213EA"/>
    <w:rsid w:val="00B307E3"/>
    <w:rsid w:val="00B42EA8"/>
    <w:rsid w:val="00B60133"/>
    <w:rsid w:val="00B662AA"/>
    <w:rsid w:val="00B67994"/>
    <w:rsid w:val="00B7138F"/>
    <w:rsid w:val="00B72807"/>
    <w:rsid w:val="00B80498"/>
    <w:rsid w:val="00B80E59"/>
    <w:rsid w:val="00B86BB8"/>
    <w:rsid w:val="00B90E3E"/>
    <w:rsid w:val="00B926BD"/>
    <w:rsid w:val="00B93AFD"/>
    <w:rsid w:val="00B944FD"/>
    <w:rsid w:val="00BA1613"/>
    <w:rsid w:val="00BA16CE"/>
    <w:rsid w:val="00BA5B81"/>
    <w:rsid w:val="00BE49E2"/>
    <w:rsid w:val="00C04FCB"/>
    <w:rsid w:val="00C13CDA"/>
    <w:rsid w:val="00C208A8"/>
    <w:rsid w:val="00C3366D"/>
    <w:rsid w:val="00C41452"/>
    <w:rsid w:val="00C502CA"/>
    <w:rsid w:val="00C5732A"/>
    <w:rsid w:val="00C578E8"/>
    <w:rsid w:val="00C61F02"/>
    <w:rsid w:val="00C61F9C"/>
    <w:rsid w:val="00C64223"/>
    <w:rsid w:val="00C642D9"/>
    <w:rsid w:val="00C73C32"/>
    <w:rsid w:val="00C766BA"/>
    <w:rsid w:val="00C77481"/>
    <w:rsid w:val="00C81567"/>
    <w:rsid w:val="00C93C49"/>
    <w:rsid w:val="00C954AA"/>
    <w:rsid w:val="00C97B19"/>
    <w:rsid w:val="00CB5FDF"/>
    <w:rsid w:val="00CD64A7"/>
    <w:rsid w:val="00CF0DB6"/>
    <w:rsid w:val="00CF73EB"/>
    <w:rsid w:val="00CF7D0B"/>
    <w:rsid w:val="00D10691"/>
    <w:rsid w:val="00D14BA0"/>
    <w:rsid w:val="00D16209"/>
    <w:rsid w:val="00D334A2"/>
    <w:rsid w:val="00D34E61"/>
    <w:rsid w:val="00D3693F"/>
    <w:rsid w:val="00D414E8"/>
    <w:rsid w:val="00D416D7"/>
    <w:rsid w:val="00D4454C"/>
    <w:rsid w:val="00D514B5"/>
    <w:rsid w:val="00D55BC6"/>
    <w:rsid w:val="00D613EB"/>
    <w:rsid w:val="00D63FDE"/>
    <w:rsid w:val="00D640E9"/>
    <w:rsid w:val="00D67D89"/>
    <w:rsid w:val="00D7315E"/>
    <w:rsid w:val="00D8330D"/>
    <w:rsid w:val="00D83462"/>
    <w:rsid w:val="00D865D7"/>
    <w:rsid w:val="00D92F4C"/>
    <w:rsid w:val="00DA21D8"/>
    <w:rsid w:val="00DA2E31"/>
    <w:rsid w:val="00DA332D"/>
    <w:rsid w:val="00DC1F95"/>
    <w:rsid w:val="00DC5798"/>
    <w:rsid w:val="00DD2103"/>
    <w:rsid w:val="00DD3876"/>
    <w:rsid w:val="00DE300B"/>
    <w:rsid w:val="00DF0388"/>
    <w:rsid w:val="00DF310F"/>
    <w:rsid w:val="00E120BC"/>
    <w:rsid w:val="00E16507"/>
    <w:rsid w:val="00E22557"/>
    <w:rsid w:val="00E279E1"/>
    <w:rsid w:val="00E33F04"/>
    <w:rsid w:val="00E36190"/>
    <w:rsid w:val="00E6193C"/>
    <w:rsid w:val="00E707F5"/>
    <w:rsid w:val="00E73F73"/>
    <w:rsid w:val="00E9266B"/>
    <w:rsid w:val="00E95BF3"/>
    <w:rsid w:val="00E967AB"/>
    <w:rsid w:val="00EA02E9"/>
    <w:rsid w:val="00EA19A3"/>
    <w:rsid w:val="00EB362B"/>
    <w:rsid w:val="00EB5E00"/>
    <w:rsid w:val="00EC7220"/>
    <w:rsid w:val="00ED217D"/>
    <w:rsid w:val="00ED41F0"/>
    <w:rsid w:val="00ED4EE6"/>
    <w:rsid w:val="00EF2056"/>
    <w:rsid w:val="00EF31E2"/>
    <w:rsid w:val="00F0748C"/>
    <w:rsid w:val="00F11EF5"/>
    <w:rsid w:val="00F12953"/>
    <w:rsid w:val="00F2461B"/>
    <w:rsid w:val="00F320EA"/>
    <w:rsid w:val="00F3226F"/>
    <w:rsid w:val="00F33E9A"/>
    <w:rsid w:val="00F3423E"/>
    <w:rsid w:val="00F53017"/>
    <w:rsid w:val="00F60B66"/>
    <w:rsid w:val="00F80CC8"/>
    <w:rsid w:val="00F80EE1"/>
    <w:rsid w:val="00F81219"/>
    <w:rsid w:val="00F87452"/>
    <w:rsid w:val="00FA4429"/>
    <w:rsid w:val="00FA4DCD"/>
    <w:rsid w:val="00FA6698"/>
    <w:rsid w:val="00FB6864"/>
    <w:rsid w:val="00FC7E04"/>
    <w:rsid w:val="00FD7D9E"/>
    <w:rsid w:val="00FE4498"/>
    <w:rsid w:val="00FE568D"/>
    <w:rsid w:val="00FF0EA2"/>
    <w:rsid w:val="00FF53A9"/>
    <w:rsid w:val="00FF788B"/>
    <w:rsid w:val="00FF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0F61A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2E9"/>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A02E9"/>
  </w:style>
  <w:style w:type="paragraph" w:styleId="BalloonText">
    <w:name w:val="Balloon Text"/>
    <w:basedOn w:val="Normal"/>
    <w:semiHidden/>
    <w:rsid w:val="00367854"/>
    <w:rPr>
      <w:rFonts w:ascii="Tahoma" w:hAnsi="Tahoma" w:cs="Tahoma"/>
      <w:sz w:val="16"/>
      <w:szCs w:val="16"/>
    </w:rPr>
  </w:style>
  <w:style w:type="paragraph" w:styleId="FootnoteText">
    <w:name w:val="footnote text"/>
    <w:basedOn w:val="Normal"/>
    <w:link w:val="FootnoteTextChar"/>
    <w:semiHidden/>
    <w:rsid w:val="00654326"/>
    <w:pPr>
      <w:widowControl/>
      <w:autoSpaceDE/>
      <w:autoSpaceDN/>
      <w:adjustRightInd/>
    </w:pPr>
    <w:rPr>
      <w:rFonts w:ascii="Times New Roman" w:hAnsi="Times New Roman"/>
      <w:snapToGrid w:val="0"/>
      <w:sz w:val="20"/>
      <w:szCs w:val="20"/>
    </w:rPr>
  </w:style>
  <w:style w:type="character" w:styleId="Hyperlink">
    <w:name w:val="Hyperlink"/>
    <w:rsid w:val="00477632"/>
    <w:rPr>
      <w:color w:val="0000FF"/>
      <w:u w:val="single"/>
    </w:rPr>
  </w:style>
  <w:style w:type="character" w:customStyle="1" w:styleId="documentbody1">
    <w:name w:val="documentbody1"/>
    <w:rsid w:val="007A0106"/>
    <w:rPr>
      <w:rFonts w:ascii="Verdana" w:hAnsi="Verdana" w:hint="default"/>
      <w:sz w:val="19"/>
      <w:szCs w:val="19"/>
    </w:rPr>
  </w:style>
  <w:style w:type="paragraph" w:styleId="HTMLPreformatted">
    <w:name w:val="HTML Preformatted"/>
    <w:basedOn w:val="Normal"/>
    <w:link w:val="HTMLPreformattedChar"/>
    <w:rsid w:val="00955A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semiHidden/>
    <w:locked/>
    <w:rsid w:val="00955A48"/>
    <w:rPr>
      <w:rFonts w:ascii="Courier New" w:hAnsi="Courier New" w:cs="Courier New"/>
      <w:lang w:val="en-US" w:eastAsia="en-US" w:bidi="ar-SA"/>
    </w:rPr>
  </w:style>
  <w:style w:type="character" w:customStyle="1" w:styleId="FootnoteTextChar">
    <w:name w:val="Footnote Text Char"/>
    <w:link w:val="FootnoteText"/>
    <w:semiHidden/>
    <w:locked/>
    <w:rsid w:val="00955A48"/>
    <w:rPr>
      <w:snapToGrid w:val="0"/>
      <w:lang w:val="en-US" w:eastAsia="en-US" w:bidi="ar-SA"/>
    </w:rPr>
  </w:style>
  <w:style w:type="paragraph" w:styleId="BodyText">
    <w:name w:val="Body Text"/>
    <w:basedOn w:val="Normal"/>
    <w:link w:val="BodyTextChar"/>
    <w:rsid w:val="008B0AB0"/>
    <w:pPr>
      <w:widowControl/>
      <w:autoSpaceDE/>
      <w:autoSpaceDN/>
      <w:adjustRightInd/>
      <w:spacing w:line="480" w:lineRule="auto"/>
    </w:pPr>
    <w:rPr>
      <w:rFonts w:ascii="Times" w:hAnsi="Times" w:cs="Times"/>
      <w:color w:val="000000"/>
    </w:rPr>
  </w:style>
  <w:style w:type="character" w:customStyle="1" w:styleId="BodyTextChar">
    <w:name w:val="Body Text Char"/>
    <w:link w:val="BodyText"/>
    <w:rsid w:val="008B0AB0"/>
    <w:rPr>
      <w:rFonts w:ascii="Times" w:hAnsi="Times" w:cs="Times"/>
      <w:color w:val="000000"/>
      <w:sz w:val="24"/>
      <w:szCs w:val="24"/>
    </w:rPr>
  </w:style>
  <w:style w:type="paragraph" w:styleId="Header">
    <w:name w:val="header"/>
    <w:basedOn w:val="Normal"/>
    <w:link w:val="HeaderChar"/>
    <w:rsid w:val="00975EBA"/>
    <w:pPr>
      <w:tabs>
        <w:tab w:val="center" w:pos="4680"/>
        <w:tab w:val="right" w:pos="9360"/>
      </w:tabs>
    </w:pPr>
  </w:style>
  <w:style w:type="character" w:customStyle="1" w:styleId="HeaderChar">
    <w:name w:val="Header Char"/>
    <w:link w:val="Header"/>
    <w:rsid w:val="00975EBA"/>
    <w:rPr>
      <w:rFonts w:ascii="Courier" w:hAnsi="Courier"/>
      <w:sz w:val="24"/>
      <w:szCs w:val="24"/>
    </w:rPr>
  </w:style>
  <w:style w:type="paragraph" w:styleId="Footer">
    <w:name w:val="footer"/>
    <w:basedOn w:val="Normal"/>
    <w:link w:val="FooterChar"/>
    <w:uiPriority w:val="99"/>
    <w:rsid w:val="00975EBA"/>
    <w:pPr>
      <w:tabs>
        <w:tab w:val="center" w:pos="4680"/>
        <w:tab w:val="right" w:pos="9360"/>
      </w:tabs>
    </w:pPr>
  </w:style>
  <w:style w:type="character" w:customStyle="1" w:styleId="FooterChar">
    <w:name w:val="Footer Char"/>
    <w:link w:val="Footer"/>
    <w:uiPriority w:val="99"/>
    <w:rsid w:val="00975EBA"/>
    <w:rPr>
      <w:rFonts w:ascii="Courier" w:hAnsi="Courier"/>
      <w:sz w:val="24"/>
      <w:szCs w:val="24"/>
    </w:rPr>
  </w:style>
  <w:style w:type="paragraph" w:styleId="Title">
    <w:name w:val="Title"/>
    <w:basedOn w:val="Normal"/>
    <w:link w:val="TitleChar"/>
    <w:qFormat/>
    <w:rsid w:val="00FE4498"/>
    <w:pPr>
      <w:widowControl/>
      <w:autoSpaceDE/>
      <w:autoSpaceDN/>
      <w:adjustRightInd/>
      <w:jc w:val="center"/>
    </w:pPr>
    <w:rPr>
      <w:rFonts w:ascii="Times New Roman" w:hAnsi="Times New Roman"/>
      <w:b/>
      <w:bCs/>
      <w:szCs w:val="20"/>
    </w:rPr>
  </w:style>
  <w:style w:type="character" w:customStyle="1" w:styleId="TitleChar">
    <w:name w:val="Title Char"/>
    <w:link w:val="Title"/>
    <w:rsid w:val="00FE4498"/>
    <w:rPr>
      <w:b/>
      <w:bCs/>
      <w:sz w:val="24"/>
    </w:rPr>
  </w:style>
  <w:style w:type="character" w:styleId="CommentReference">
    <w:name w:val="annotation reference"/>
    <w:rsid w:val="00C766BA"/>
    <w:rPr>
      <w:sz w:val="16"/>
      <w:szCs w:val="16"/>
    </w:rPr>
  </w:style>
  <w:style w:type="paragraph" w:styleId="CommentText">
    <w:name w:val="annotation text"/>
    <w:basedOn w:val="Normal"/>
    <w:link w:val="CommentTextChar"/>
    <w:rsid w:val="00C766BA"/>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rsid w:val="00C766BA"/>
  </w:style>
  <w:style w:type="paragraph" w:styleId="CommentSubject">
    <w:name w:val="annotation subject"/>
    <w:basedOn w:val="CommentText"/>
    <w:next w:val="CommentText"/>
    <w:link w:val="CommentSubjectChar"/>
    <w:rsid w:val="00F81219"/>
    <w:pPr>
      <w:widowControl w:val="0"/>
      <w:autoSpaceDE w:val="0"/>
      <w:autoSpaceDN w:val="0"/>
      <w:adjustRightInd w:val="0"/>
    </w:pPr>
    <w:rPr>
      <w:rFonts w:ascii="Courier" w:hAnsi="Courier"/>
      <w:b/>
      <w:bCs/>
    </w:rPr>
  </w:style>
  <w:style w:type="character" w:customStyle="1" w:styleId="CommentSubjectChar">
    <w:name w:val="Comment Subject Char"/>
    <w:link w:val="CommentSubject"/>
    <w:rsid w:val="00F81219"/>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669552">
      <w:bodyDiv w:val="1"/>
      <w:marLeft w:val="0"/>
      <w:marRight w:val="0"/>
      <w:marTop w:val="0"/>
      <w:marBottom w:val="0"/>
      <w:divBdr>
        <w:top w:val="none" w:sz="0" w:space="0" w:color="auto"/>
        <w:left w:val="none" w:sz="0" w:space="0" w:color="auto"/>
        <w:bottom w:val="none" w:sz="0" w:space="0" w:color="auto"/>
        <w:right w:val="none" w:sz="0" w:space="0" w:color="auto"/>
      </w:divBdr>
    </w:div>
    <w:div w:id="185218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9688B-E3C2-4176-BA37-92A8A5BBC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2009-02-12T16:28:00Z</cp:lastPrinted>
  <dcterms:created xsi:type="dcterms:W3CDTF">2021-05-31T23:17:00Z</dcterms:created>
  <dcterms:modified xsi:type="dcterms:W3CDTF">2021-05-31T23:17:00Z</dcterms:modified>
</cp:coreProperties>
</file>