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6544" w:rsidP="00586544" w:rsidRDefault="00586544" w14:paraId="1729A394" w14:textId="77777777">
      <w:pPr>
        <w:pStyle w:val="Header"/>
      </w:pPr>
    </w:p>
    <w:p w:rsidR="00586544" w:rsidP="00586544" w:rsidRDefault="00A26793" w14:paraId="7B73E0BD" w14:textId="77777777">
      <w:pPr>
        <w:pStyle w:val="Header"/>
      </w:pPr>
      <w:r>
        <w:rPr>
          <w:noProof/>
          <w:snapToGrid/>
        </w:rPr>
        <w:object w:dxaOrig="1440" w:dyaOrig="1440" w14:anchorId="60E2EBD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57.6pt;margin-top:29.85pt;width:63.75pt;height:54pt;z-index:251659264;visibility:visible;mso-wrap-edited:f;mso-position-horizontal-relative:page;mso-position-vertical-relative:page" o:allowincell="f" fillcolor="window" type="#_x0000_t75">
            <v:imagedata o:title="" r:id="rId12"/>
            <w10:wrap anchorx="page" anchory="page"/>
          </v:shape>
          <o:OLEObject Type="Embed" ProgID="Word.Picture.8" ShapeID="_x0000_s1026" DrawAspect="Content" ObjectID="_1682771463" r:id="rId13"/>
        </w:object>
      </w:r>
    </w:p>
    <w:p w:rsidR="00586544" w:rsidP="00586544" w:rsidRDefault="00586544" w14:paraId="2781B809" w14:textId="77777777">
      <w:pPr>
        <w:pStyle w:val="Header"/>
        <w:jc w:val="center"/>
        <w:rPr>
          <w:color w:val="000000"/>
          <w:sz w:val="4"/>
        </w:rPr>
      </w:pPr>
      <w:r>
        <w:rPr>
          <w:rFonts w:ascii="Arial" w:hAnsi="Arial"/>
          <w:b/>
          <w:color w:val="008000"/>
          <w:sz w:val="22"/>
        </w:rPr>
        <w:t>DEPARTMENT OF THE TREASURY</w:t>
      </w:r>
    </w:p>
    <w:p w:rsidR="00586544" w:rsidP="00586544" w:rsidRDefault="00586544" w14:paraId="367DF109" w14:textId="77777777">
      <w:pPr>
        <w:pStyle w:val="Header"/>
        <w:jc w:val="center"/>
        <w:rPr>
          <w:rFonts w:ascii="Arial" w:hAnsi="Arial"/>
          <w:b/>
          <w:color w:val="008000"/>
          <w:sz w:val="16"/>
        </w:rPr>
      </w:pPr>
      <w:r>
        <w:rPr>
          <w:rFonts w:ascii="Arial" w:hAnsi="Arial"/>
          <w:b/>
          <w:color w:val="008000"/>
          <w:sz w:val="16"/>
        </w:rPr>
        <w:t>WASHINGTON, D.C.  20220</w:t>
      </w:r>
    </w:p>
    <w:p w:rsidR="00586544" w:rsidP="00586544" w:rsidRDefault="00586544" w14:paraId="1894AFDA" w14:textId="77777777"/>
    <w:p w:rsidRPr="00FB7D45" w:rsidR="00586544" w:rsidP="00586544" w:rsidRDefault="00586544" w14:paraId="1B2AFFE9" w14:textId="77777777">
      <w:pPr>
        <w:jc w:val="center"/>
        <w:rPr>
          <w:b/>
        </w:rPr>
      </w:pPr>
      <w:r>
        <w:rPr>
          <w:b/>
        </w:rPr>
        <w:t>S</w:t>
      </w:r>
      <w:r w:rsidRPr="00FB7D45">
        <w:rPr>
          <w:b/>
        </w:rPr>
        <w:t>upporting Statement</w:t>
      </w:r>
    </w:p>
    <w:p w:rsidR="00586544" w:rsidP="00586544" w:rsidRDefault="00BA3F00" w14:paraId="5BA84C95" w14:textId="19A3E0FF">
      <w:pPr>
        <w:jc w:val="center"/>
        <w:rPr>
          <w:b/>
        </w:rPr>
      </w:pPr>
      <w:r w:rsidRPr="00BA3F00">
        <w:rPr>
          <w:b/>
        </w:rPr>
        <w:t>New Markets Tax Credit (</w:t>
      </w:r>
      <w:r w:rsidR="00586544">
        <w:rPr>
          <w:b/>
        </w:rPr>
        <w:t>NMTC</w:t>
      </w:r>
      <w:r>
        <w:rPr>
          <w:b/>
        </w:rPr>
        <w:t>)</w:t>
      </w:r>
      <w:r w:rsidR="00586544">
        <w:rPr>
          <w:b/>
        </w:rPr>
        <w:t xml:space="preserve"> </w:t>
      </w:r>
      <w:r w:rsidRPr="00FB7D45" w:rsidR="00586544">
        <w:rPr>
          <w:b/>
        </w:rPr>
        <w:t>Program Application</w:t>
      </w:r>
    </w:p>
    <w:p w:rsidRPr="00FB7D45" w:rsidR="00BA3F00" w:rsidP="00586544" w:rsidRDefault="00C43A2D" w14:paraId="729F112C" w14:textId="4FC8AD6B">
      <w:pPr>
        <w:jc w:val="center"/>
        <w:rPr>
          <w:b/>
        </w:rPr>
      </w:pPr>
      <w:r>
        <w:rPr>
          <w:b/>
        </w:rPr>
        <w:t xml:space="preserve">OMB Control Number </w:t>
      </w:r>
      <w:r w:rsidR="00BA3F00">
        <w:rPr>
          <w:b/>
        </w:rPr>
        <w:t>1559-0016</w:t>
      </w:r>
    </w:p>
    <w:p w:rsidRPr="00F9665A" w:rsidR="00586544" w:rsidP="00586544" w:rsidRDefault="00586544" w14:paraId="628EE025" w14:textId="77777777">
      <w:pPr>
        <w:rPr>
          <w:strike/>
        </w:rPr>
      </w:pPr>
    </w:p>
    <w:p w:rsidRPr="003C5AF7" w:rsidR="00586544" w:rsidP="00586544" w:rsidRDefault="00586544" w14:paraId="1E39DA7D" w14:textId="77777777">
      <w:r w:rsidRPr="003C5AF7">
        <w:t>A.  Justification</w:t>
      </w:r>
    </w:p>
    <w:p w:rsidRPr="00F9665A" w:rsidR="00586544" w:rsidP="00586544" w:rsidRDefault="00586544" w14:paraId="2C7FA83B" w14:textId="77777777"/>
    <w:p w:rsidRPr="00FB7D45" w:rsidR="00586544" w:rsidP="00586544" w:rsidRDefault="00586544" w14:paraId="3865A977" w14:textId="7B3E175C">
      <w:pPr>
        <w:pStyle w:val="ListParagraph"/>
        <w:numPr>
          <w:ilvl w:val="0"/>
          <w:numId w:val="1"/>
        </w:numPr>
        <w:ind w:left="360"/>
        <w:rPr>
          <w:u w:val="single"/>
        </w:rPr>
      </w:pPr>
      <w:r w:rsidRPr="00FB7D45">
        <w:rPr>
          <w:u w:val="single"/>
        </w:rPr>
        <w:t>Circumstances necessitating col</w:t>
      </w:r>
      <w:r w:rsidR="00606404">
        <w:rPr>
          <w:u w:val="single"/>
        </w:rPr>
        <w:t>l</w:t>
      </w:r>
      <w:r w:rsidRPr="00FB7D45">
        <w:rPr>
          <w:u w:val="single"/>
        </w:rPr>
        <w:t>ection of information</w:t>
      </w:r>
    </w:p>
    <w:p w:rsidR="00586544" w:rsidP="00586544" w:rsidRDefault="00586544" w14:paraId="2F22FF64" w14:textId="0684633C">
      <w:pPr>
        <w:pStyle w:val="ListParagraph"/>
        <w:ind w:left="360"/>
      </w:pPr>
      <w:r w:rsidRPr="00624E42">
        <w:t xml:space="preserve">The Department of the Treasury, through the </w:t>
      </w:r>
      <w:r w:rsidR="00C43A2D">
        <w:t>Community Development Financial Institutions (</w:t>
      </w:r>
      <w:r w:rsidRPr="00624E42">
        <w:t>CDFI</w:t>
      </w:r>
      <w:r w:rsidR="00C43A2D">
        <w:t>)</w:t>
      </w:r>
      <w:r w:rsidRPr="00624E42">
        <w:t xml:space="preserve"> Fund, Internal Revenue Service, and Office of Tax Policy, administers the NMTC Program.  In order to claim the NMTC, taxpayers make Qualified Equity Investments (QEIs) in Community Development Entities (CDEs) and substantially all of the QEI proceeds must, in turn, be used by the CDE to provide investments in businesses in low-income communities and other purposes authorized under the statute.</w:t>
      </w:r>
    </w:p>
    <w:p w:rsidR="00586544" w:rsidP="00586544" w:rsidRDefault="00586544" w14:paraId="6CAC6BE7" w14:textId="77777777">
      <w:pPr>
        <w:pStyle w:val="ListParagraph"/>
        <w:ind w:left="360"/>
      </w:pPr>
    </w:p>
    <w:p w:rsidR="00586544" w:rsidP="00586544" w:rsidRDefault="00586544" w14:paraId="2DB46F2F" w14:textId="49927265">
      <w:pPr>
        <w:pStyle w:val="ListParagraph"/>
        <w:ind w:left="360"/>
      </w:pPr>
      <w:r>
        <w:t xml:space="preserve">The CDFI Fund collects data from prospective NMTC Program applicants once per allocation round by means of an online NMTC Program Allocation Application (hereby, the Application or Applications).  As required by the Paperwork Reduction Act (PRA), the CDFI Fund invited the </w:t>
      </w:r>
      <w:proofErr w:type="gramStart"/>
      <w:r>
        <w:t>general public</w:t>
      </w:r>
      <w:proofErr w:type="gramEnd"/>
      <w:r>
        <w:t xml:space="preserve"> and other federal agencies to comment on the proposed and/or continuing information collection for the calendar year (CY) 2021 – 2023 allocation rounds.  In response to the request for comment, the</w:t>
      </w:r>
      <w:r w:rsidRPr="00213D7D">
        <w:t xml:space="preserve"> CDFI Fund received </w:t>
      </w:r>
      <w:r w:rsidR="00C43A2D">
        <w:t xml:space="preserve">214 unique </w:t>
      </w:r>
      <w:r>
        <w:t xml:space="preserve">comments from </w:t>
      </w:r>
      <w:r w:rsidR="001C0C60">
        <w:t xml:space="preserve">43 </w:t>
      </w:r>
      <w:r w:rsidRPr="00213D7D">
        <w:t>organizations</w:t>
      </w:r>
      <w:r>
        <w:t>.</w:t>
      </w:r>
      <w:r w:rsidRPr="00213D7D">
        <w:t xml:space="preserve"> </w:t>
      </w:r>
      <w:r>
        <w:t xml:space="preserve">The NMTC Program Application was updated </w:t>
      </w:r>
      <w:r w:rsidRPr="00F9665A">
        <w:t>based upon the CDFI Fund’s review and adjudication of the public comments.</w:t>
      </w:r>
    </w:p>
    <w:p w:rsidR="00586544" w:rsidP="00586544" w:rsidRDefault="00586544" w14:paraId="7E1A380F" w14:textId="77777777">
      <w:pPr>
        <w:pStyle w:val="ListParagraph"/>
        <w:ind w:left="360"/>
      </w:pPr>
    </w:p>
    <w:p w:rsidRPr="00F9665A" w:rsidR="00586544" w:rsidP="00586544" w:rsidRDefault="00586544" w14:paraId="4EE59D6C" w14:textId="77777777">
      <w:pPr>
        <w:pStyle w:val="ListParagraph"/>
        <w:ind w:left="360"/>
      </w:pPr>
      <w:r w:rsidRPr="00F9665A">
        <w:t xml:space="preserve">Most changes were made to provide more clarity to intended users. The information collected will be used to select awardees, based on a merit-based selection process.  The requested information is required by the </w:t>
      </w:r>
      <w:r>
        <w:t xml:space="preserve">NMTC </w:t>
      </w:r>
      <w:r w:rsidRPr="00F9665A">
        <w:t xml:space="preserve">Program </w:t>
      </w:r>
      <w:r>
        <w:t>Authorization</w:t>
      </w:r>
      <w:r w:rsidRPr="00F9665A">
        <w:t xml:space="preserve"> (</w:t>
      </w:r>
      <w:r w:rsidRPr="00624E42">
        <w:t>26 CFR § 1.45D-1</w:t>
      </w:r>
      <w:r w:rsidRPr="00F9665A">
        <w:t>)</w:t>
      </w:r>
      <w:r>
        <w:t xml:space="preserve"> and respective Notice of Allocation</w:t>
      </w:r>
      <w:r w:rsidRPr="00F9665A">
        <w:t xml:space="preserve"> Availabilit</w:t>
      </w:r>
      <w:r>
        <w:t>y</w:t>
      </w:r>
      <w:r w:rsidRPr="00F9665A">
        <w:t xml:space="preserve">.  </w:t>
      </w:r>
    </w:p>
    <w:p w:rsidRPr="00F9665A" w:rsidR="00586544" w:rsidP="00586544" w:rsidRDefault="00586544" w14:paraId="59D50961" w14:textId="77777777"/>
    <w:p w:rsidRPr="00FB7D45" w:rsidR="00586544" w:rsidP="00586544" w:rsidRDefault="00586544" w14:paraId="5CD5C393" w14:textId="77777777">
      <w:pPr>
        <w:pStyle w:val="ListParagraph"/>
        <w:numPr>
          <w:ilvl w:val="0"/>
          <w:numId w:val="1"/>
        </w:numPr>
        <w:ind w:left="360"/>
        <w:rPr>
          <w:u w:val="single"/>
        </w:rPr>
      </w:pPr>
      <w:r w:rsidRPr="00FB7D45">
        <w:rPr>
          <w:u w:val="single"/>
        </w:rPr>
        <w:t>Method of collection and use of data</w:t>
      </w:r>
    </w:p>
    <w:p w:rsidRPr="00F9665A" w:rsidR="00586544" w:rsidP="00586544" w:rsidRDefault="00586544" w14:paraId="0FBCC97A" w14:textId="66DEF346">
      <w:pPr>
        <w:pStyle w:val="ListParagraph"/>
        <w:ind w:left="360"/>
      </w:pPr>
      <w:r w:rsidRPr="00F9665A">
        <w:t xml:space="preserve">The CDFI Fund will collect data once per </w:t>
      </w:r>
      <w:r>
        <w:t>allocation</w:t>
      </w:r>
      <w:r w:rsidRPr="00F9665A">
        <w:t xml:space="preserve"> round by means of </w:t>
      </w:r>
      <w:r>
        <w:t xml:space="preserve">the voluntary submission of </w:t>
      </w:r>
      <w:r w:rsidRPr="00F9665A">
        <w:t xml:space="preserve">an </w:t>
      </w:r>
      <w:r>
        <w:t xml:space="preserve">online </w:t>
      </w:r>
      <w:r w:rsidRPr="00F9665A">
        <w:t>application.  Applicants must complete and upload all applicati</w:t>
      </w:r>
      <w:r>
        <w:t xml:space="preserve">on materials </w:t>
      </w:r>
      <w:r w:rsidRPr="00F9665A">
        <w:t>through a CDFI Fund-managed web-based application portal</w:t>
      </w:r>
      <w:r w:rsidR="009F7FCF">
        <w:t xml:space="preserve"> known as the Awards Management Information System (AMIS)</w:t>
      </w:r>
      <w:r w:rsidRPr="00F9665A">
        <w:t xml:space="preserve">.  The CDFI Fund uses the data collected to </w:t>
      </w:r>
      <w:r w:rsidR="009F7FCF">
        <w:t xml:space="preserve">select eligible Applicants that are most highly qualified to receive an allocation </w:t>
      </w:r>
      <w:r>
        <w:t xml:space="preserve">and </w:t>
      </w:r>
      <w:r w:rsidR="009F7FCF">
        <w:t xml:space="preserve">determine </w:t>
      </w:r>
      <w:r w:rsidRPr="00F9665A">
        <w:t>applicable award amounts</w:t>
      </w:r>
      <w:r>
        <w:t>.  The award selection process and award amount criteria are described in the respective Notice of Allocation</w:t>
      </w:r>
      <w:r w:rsidRPr="00F9665A">
        <w:t xml:space="preserve"> Availabilit</w:t>
      </w:r>
      <w:r>
        <w:t xml:space="preserve">y. </w:t>
      </w:r>
    </w:p>
    <w:p w:rsidRPr="00F9665A" w:rsidR="00586544" w:rsidP="00586544" w:rsidRDefault="00586544" w14:paraId="588A1673" w14:textId="77777777">
      <w:pPr>
        <w:jc w:val="both"/>
        <w:rPr>
          <w:u w:val="single"/>
        </w:rPr>
      </w:pPr>
    </w:p>
    <w:p w:rsidRPr="00FB7D45" w:rsidR="00586544" w:rsidP="00586544" w:rsidRDefault="00586544" w14:paraId="448C1E68" w14:textId="77777777">
      <w:pPr>
        <w:pStyle w:val="ListParagraph"/>
        <w:numPr>
          <w:ilvl w:val="0"/>
          <w:numId w:val="1"/>
        </w:numPr>
        <w:ind w:left="360"/>
        <w:jc w:val="both"/>
        <w:rPr>
          <w:u w:val="single"/>
        </w:rPr>
      </w:pPr>
      <w:r w:rsidRPr="00FB7D45">
        <w:rPr>
          <w:u w:val="single"/>
        </w:rPr>
        <w:t>Use of Information Technology</w:t>
      </w:r>
    </w:p>
    <w:p w:rsidRPr="00F9665A" w:rsidR="00586544" w:rsidP="00586544" w:rsidRDefault="00586544" w14:paraId="4E775372" w14:textId="56C34919">
      <w:pPr>
        <w:pStyle w:val="Header"/>
        <w:tabs>
          <w:tab w:val="clear" w:pos="4320"/>
          <w:tab w:val="clear" w:pos="8640"/>
        </w:tabs>
        <w:ind w:left="360"/>
        <w:rPr>
          <w:szCs w:val="24"/>
        </w:rPr>
      </w:pPr>
      <w:r w:rsidRPr="00F9665A">
        <w:t xml:space="preserve">Only electronic </w:t>
      </w:r>
      <w:r w:rsidR="009F7FCF">
        <w:t>submissions of the A</w:t>
      </w:r>
      <w:r w:rsidRPr="00F9665A">
        <w:t xml:space="preserve">pplication are accepted.  </w:t>
      </w:r>
      <w:r w:rsidRPr="00F9665A">
        <w:rPr>
          <w:szCs w:val="24"/>
        </w:rPr>
        <w:t xml:space="preserve">All </w:t>
      </w:r>
      <w:r w:rsidR="009F7FCF">
        <w:rPr>
          <w:szCs w:val="24"/>
        </w:rPr>
        <w:t>Applications</w:t>
      </w:r>
      <w:r w:rsidRPr="00F9665A" w:rsidR="009F7FCF">
        <w:rPr>
          <w:szCs w:val="24"/>
        </w:rPr>
        <w:t xml:space="preserve"> </w:t>
      </w:r>
      <w:r w:rsidRPr="00F9665A">
        <w:rPr>
          <w:szCs w:val="24"/>
        </w:rPr>
        <w:t>must be submitted</w:t>
      </w:r>
      <w:r w:rsidR="009F7FCF">
        <w:rPr>
          <w:szCs w:val="24"/>
        </w:rPr>
        <w:t xml:space="preserve"> through AMIS</w:t>
      </w:r>
      <w:r w:rsidRPr="00F9665A">
        <w:rPr>
          <w:szCs w:val="24"/>
        </w:rPr>
        <w:t xml:space="preserve">. </w:t>
      </w:r>
    </w:p>
    <w:p w:rsidRPr="00F9665A" w:rsidR="00586544" w:rsidP="00586544" w:rsidRDefault="00586544" w14:paraId="52C92A2F" w14:textId="77777777">
      <w:pPr>
        <w:jc w:val="both"/>
      </w:pPr>
    </w:p>
    <w:p w:rsidRPr="00FB7D45" w:rsidR="00586544" w:rsidP="00586544" w:rsidRDefault="00586544" w14:paraId="0A642AE3" w14:textId="77777777">
      <w:pPr>
        <w:pStyle w:val="ListParagraph"/>
        <w:numPr>
          <w:ilvl w:val="0"/>
          <w:numId w:val="1"/>
        </w:numPr>
        <w:ind w:left="360"/>
        <w:jc w:val="both"/>
        <w:rPr>
          <w:u w:val="single"/>
        </w:rPr>
      </w:pPr>
      <w:r w:rsidRPr="00FB7D45">
        <w:rPr>
          <w:u w:val="single"/>
        </w:rPr>
        <w:t>Efforts to identify duplication</w:t>
      </w:r>
    </w:p>
    <w:p w:rsidRPr="00F9665A" w:rsidR="00586544" w:rsidP="00586544" w:rsidRDefault="00586544" w14:paraId="3FCE09D3" w14:textId="3E3B5766">
      <w:pPr>
        <w:pStyle w:val="ListParagraph"/>
        <w:ind w:left="360"/>
      </w:pPr>
      <w:r w:rsidRPr="00F9665A">
        <w:t xml:space="preserve">The </w:t>
      </w:r>
      <w:r>
        <w:t xml:space="preserve">NMTC </w:t>
      </w:r>
      <w:r w:rsidRPr="00F9665A">
        <w:t xml:space="preserve">Program </w:t>
      </w:r>
      <w:r>
        <w:t>A</w:t>
      </w:r>
      <w:r w:rsidRPr="00F9665A">
        <w:t xml:space="preserve">pplication </w:t>
      </w:r>
      <w:r>
        <w:t>make</w:t>
      </w:r>
      <w:r w:rsidR="00FD46DA">
        <w:t>s</w:t>
      </w:r>
      <w:r>
        <w:t xml:space="preserve"> every effort to avoid requesting duplicate data by pulling data from existing organizational profiles such as addresses, Employer Identification Numbers (EIN), CDFI and CDE certification information, </w:t>
      </w:r>
      <w:r w:rsidR="00BE1237">
        <w:t xml:space="preserve">and other data </w:t>
      </w:r>
      <w:r>
        <w:t xml:space="preserve">whenever possible.  </w:t>
      </w:r>
    </w:p>
    <w:p w:rsidRPr="00F9665A" w:rsidR="00586544" w:rsidP="00586544" w:rsidRDefault="00586544" w14:paraId="5E5BC8CE" w14:textId="77777777"/>
    <w:p w:rsidRPr="00FB7D45" w:rsidR="00586544" w:rsidP="00586544" w:rsidRDefault="00586544" w14:paraId="023368EC" w14:textId="77777777">
      <w:pPr>
        <w:pStyle w:val="ListParagraph"/>
        <w:numPr>
          <w:ilvl w:val="0"/>
          <w:numId w:val="1"/>
        </w:numPr>
        <w:ind w:left="360"/>
        <w:rPr>
          <w:u w:val="single"/>
        </w:rPr>
      </w:pPr>
      <w:r w:rsidRPr="00FB7D45">
        <w:rPr>
          <w:u w:val="single"/>
        </w:rPr>
        <w:lastRenderedPageBreak/>
        <w:t>Impact on small entities</w:t>
      </w:r>
    </w:p>
    <w:p w:rsidRPr="00F9665A" w:rsidR="00586544" w:rsidP="00586544" w:rsidRDefault="00586544" w14:paraId="094CD04C" w14:textId="77777777">
      <w:pPr>
        <w:pStyle w:val="ListParagraph"/>
        <w:ind w:left="360"/>
      </w:pPr>
      <w:r w:rsidRPr="00F9665A">
        <w:t xml:space="preserve">This collection of information is not expected to have </w:t>
      </w:r>
      <w:r>
        <w:t xml:space="preserve">a </w:t>
      </w:r>
      <w:r w:rsidRPr="00F9665A">
        <w:t xml:space="preserve">significant impact on small entities. </w:t>
      </w:r>
    </w:p>
    <w:p w:rsidRPr="00F9665A" w:rsidR="00586544" w:rsidP="00586544" w:rsidRDefault="00586544" w14:paraId="62DFADAE" w14:textId="77777777">
      <w:pPr>
        <w:rPr>
          <w:u w:val="single"/>
        </w:rPr>
      </w:pPr>
    </w:p>
    <w:p w:rsidRPr="00FB7D45" w:rsidR="00586544" w:rsidP="00586544" w:rsidRDefault="00586544" w14:paraId="3A16D447" w14:textId="77777777">
      <w:pPr>
        <w:pStyle w:val="ListParagraph"/>
        <w:numPr>
          <w:ilvl w:val="0"/>
          <w:numId w:val="1"/>
        </w:numPr>
        <w:ind w:left="360"/>
        <w:rPr>
          <w:u w:val="single"/>
        </w:rPr>
      </w:pPr>
      <w:r w:rsidRPr="00FB7D45">
        <w:rPr>
          <w:u w:val="single"/>
        </w:rPr>
        <w:t>Consequences of less frequent collection and obstacles to burden reduction</w:t>
      </w:r>
    </w:p>
    <w:p w:rsidRPr="00F9665A" w:rsidR="00586544" w:rsidP="00586544" w:rsidRDefault="00586544" w14:paraId="18DA7DD0" w14:textId="77777777">
      <w:pPr>
        <w:pStyle w:val="ListParagraph"/>
        <w:ind w:left="360"/>
      </w:pPr>
      <w:r w:rsidRPr="00F9665A">
        <w:t xml:space="preserve">The CDFI Fund cannot meet its statutory requirement to make funding decisions based on data received from applicants without the </w:t>
      </w:r>
      <w:r>
        <w:t>NMTC Program A</w:t>
      </w:r>
      <w:r w:rsidRPr="00F9665A">
        <w:t xml:space="preserve">pplication form.  </w:t>
      </w:r>
      <w:r>
        <w:t xml:space="preserve">The NMTC </w:t>
      </w:r>
      <w:r w:rsidRPr="00F9665A">
        <w:t xml:space="preserve">Program </w:t>
      </w:r>
      <w:r>
        <w:t xml:space="preserve">Authorization (USC Title </w:t>
      </w:r>
      <w:r w:rsidRPr="00624E42">
        <w:t>26 CFR § 1.45D-1</w:t>
      </w:r>
      <w:r>
        <w:t xml:space="preserve">) </w:t>
      </w:r>
      <w:r w:rsidRPr="00F9665A">
        <w:t>limit</w:t>
      </w:r>
      <w:r>
        <w:t>s</w:t>
      </w:r>
      <w:r w:rsidRPr="00F9665A">
        <w:t xml:space="preserve"> the extent to which the burden can be reduced.</w:t>
      </w:r>
    </w:p>
    <w:p w:rsidRPr="00F9665A" w:rsidR="00586544" w:rsidP="00586544" w:rsidRDefault="00586544" w14:paraId="11195C1F" w14:textId="77777777"/>
    <w:p w:rsidRPr="00FB7D45" w:rsidR="00586544" w:rsidP="00586544" w:rsidRDefault="00586544" w14:paraId="14EFD6A6" w14:textId="77777777">
      <w:pPr>
        <w:pStyle w:val="ListParagraph"/>
        <w:numPr>
          <w:ilvl w:val="0"/>
          <w:numId w:val="1"/>
        </w:numPr>
        <w:ind w:left="360"/>
        <w:rPr>
          <w:u w:val="single"/>
        </w:rPr>
      </w:pPr>
      <w:r w:rsidRPr="00FB7D45">
        <w:rPr>
          <w:u w:val="single"/>
        </w:rPr>
        <w:t>Circumstances requiring special information collection</w:t>
      </w:r>
    </w:p>
    <w:p w:rsidRPr="00F9665A" w:rsidR="00586544" w:rsidP="00586544" w:rsidRDefault="00A16872" w14:paraId="500A596C" w14:textId="1CD83633">
      <w:pPr>
        <w:ind w:left="360"/>
      </w:pPr>
      <w:r w:rsidRPr="00A16872">
        <w:t>There are no special circumstances requiring data collection to be inconsistent with Guidelines in 5 CFR 1320.5(d)(2).</w:t>
      </w:r>
    </w:p>
    <w:p w:rsidRPr="00F9665A" w:rsidR="00586544" w:rsidP="00586544" w:rsidRDefault="00586544" w14:paraId="38156A23" w14:textId="77777777"/>
    <w:p w:rsidRPr="00FB7D45" w:rsidR="00586544" w:rsidP="00586544" w:rsidRDefault="00586544" w14:paraId="28959BC1" w14:textId="77777777">
      <w:pPr>
        <w:pStyle w:val="ListParagraph"/>
        <w:numPr>
          <w:ilvl w:val="0"/>
          <w:numId w:val="1"/>
        </w:numPr>
        <w:ind w:left="360"/>
        <w:rPr>
          <w:u w:val="single"/>
        </w:rPr>
      </w:pPr>
      <w:r w:rsidRPr="00FB7D45">
        <w:rPr>
          <w:u w:val="single"/>
        </w:rPr>
        <w:t>Solicitation of comments on information collection</w:t>
      </w:r>
    </w:p>
    <w:p w:rsidR="00FD46DA" w:rsidP="00586544" w:rsidRDefault="00586544" w14:paraId="7328C663" w14:textId="76DA5865">
      <w:pPr>
        <w:pStyle w:val="ListParagraph"/>
        <w:ind w:left="360"/>
      </w:pPr>
      <w:r w:rsidRPr="00F9665A">
        <w:t xml:space="preserve">Comments on the </w:t>
      </w:r>
      <w:r>
        <w:t>NMTC Program A</w:t>
      </w:r>
      <w:r w:rsidRPr="00F9665A">
        <w:t xml:space="preserve">pplication were solicited in the Federal Register on </w:t>
      </w:r>
      <w:r>
        <w:t>December 29</w:t>
      </w:r>
      <w:r w:rsidRPr="001A79E1">
        <w:t xml:space="preserve">, 2020 </w:t>
      </w:r>
      <w:r w:rsidRPr="00926DEF">
        <w:t>(FR Vol. 85, No. 249</w:t>
      </w:r>
      <w:r w:rsidR="00A26793">
        <w:t>, p. 85855</w:t>
      </w:r>
      <w:r w:rsidRPr="00926DEF">
        <w:t>).</w:t>
      </w:r>
      <w:r w:rsidRPr="00F9665A">
        <w:t xml:space="preserve">  The CDFI Fund received </w:t>
      </w:r>
      <w:r w:rsidR="001C0C60">
        <w:t>21</w:t>
      </w:r>
      <w:r w:rsidR="00367A37">
        <w:t>4</w:t>
      </w:r>
      <w:r w:rsidR="001C0C60">
        <w:t xml:space="preserve"> </w:t>
      </w:r>
      <w:r w:rsidR="00F31165">
        <w:t xml:space="preserve">unique </w:t>
      </w:r>
      <w:r>
        <w:t xml:space="preserve">public </w:t>
      </w:r>
      <w:r w:rsidRPr="00F9665A">
        <w:t>comments</w:t>
      </w:r>
      <w:r>
        <w:t xml:space="preserve"> </w:t>
      </w:r>
      <w:r w:rsidR="002D3CC7">
        <w:t xml:space="preserve">from 43 organizations </w:t>
      </w:r>
      <w:r>
        <w:t>in response to this request</w:t>
      </w:r>
      <w:r w:rsidRPr="00F9665A">
        <w:t>.</w:t>
      </w:r>
      <w:r>
        <w:t xml:space="preserve"> Comments on the NMTC Program Application were specifically requested </w:t>
      </w:r>
      <w:r w:rsidRPr="00E43991">
        <w:t>on: (a) the need for the CDFI Fund to collect the information; (b) the burden estimate; (c) ways to enhance the quality, utility and clarity of the information; (d) ways to minimize the burden; and (e) the cost of providing the information.</w:t>
      </w:r>
    </w:p>
    <w:p w:rsidR="00FD46DA" w:rsidP="00586544" w:rsidRDefault="00FD46DA" w14:paraId="0365A9CC" w14:textId="77777777">
      <w:pPr>
        <w:pStyle w:val="ListParagraph"/>
        <w:ind w:left="360"/>
      </w:pPr>
    </w:p>
    <w:p w:rsidR="00FD46DA" w:rsidP="00FD46DA" w:rsidRDefault="00FD46DA" w14:paraId="23502EF6" w14:textId="70E3F689">
      <w:pPr>
        <w:ind w:left="360"/>
        <w:rPr>
          <w:sz w:val="22"/>
          <w:szCs w:val="22"/>
        </w:rPr>
      </w:pPr>
      <w:r w:rsidRPr="00367A37">
        <w:t xml:space="preserve">Of the </w:t>
      </w:r>
      <w:r w:rsidRPr="00367A37" w:rsidR="001C0C60">
        <w:t>21</w:t>
      </w:r>
      <w:r w:rsidRPr="00367A37" w:rsidR="00E16D4F">
        <w:t>4</w:t>
      </w:r>
      <w:r w:rsidRPr="000C4C15">
        <w:t xml:space="preserve"> comments, </w:t>
      </w:r>
      <w:r w:rsidRPr="000C4C15" w:rsidR="00E16D4F">
        <w:t>1</w:t>
      </w:r>
      <w:r w:rsidRPr="000C4C15" w:rsidR="00367A37">
        <w:t>00</w:t>
      </w:r>
      <w:r w:rsidRPr="00367A37">
        <w:t xml:space="preserve"> were related specifically to the NMTC Program Application</w:t>
      </w:r>
      <w:r w:rsidRPr="00367A37" w:rsidR="00367A37">
        <w:t xml:space="preserve"> </w:t>
      </w:r>
      <w:r w:rsidRPr="000C4C15">
        <w:t xml:space="preserve">and </w:t>
      </w:r>
      <w:r w:rsidRPr="0005413C" w:rsidR="00367A37">
        <w:t>114</w:t>
      </w:r>
      <w:r w:rsidRPr="00367A37">
        <w:t xml:space="preserve"> were primarily related to categories outside of the scope of the PRA: </w:t>
      </w:r>
      <w:r w:rsidRPr="00367A37" w:rsidR="00367A37">
        <w:t>program guidance (</w:t>
      </w:r>
      <w:r w:rsidRPr="000C4C15" w:rsidR="00367A37">
        <w:t>49), application review process</w:t>
      </w:r>
      <w:r w:rsidRPr="000C4C15">
        <w:t xml:space="preserve"> </w:t>
      </w:r>
      <w:r w:rsidRPr="0005413C">
        <w:t>(</w:t>
      </w:r>
      <w:r w:rsidRPr="0005413C" w:rsidR="00367A37">
        <w:t>41</w:t>
      </w:r>
      <w:r w:rsidRPr="0005413C">
        <w:t>)</w:t>
      </w:r>
      <w:r w:rsidRPr="00367A37">
        <w:t xml:space="preserve">, post award </w:t>
      </w:r>
      <w:r w:rsidRPr="00367A37" w:rsidR="00367A37">
        <w:t>r</w:t>
      </w:r>
      <w:r w:rsidRPr="000C4C15" w:rsidR="00367A37">
        <w:t xml:space="preserve">eporting/compliance </w:t>
      </w:r>
      <w:r w:rsidRPr="0005413C">
        <w:t>(</w:t>
      </w:r>
      <w:r w:rsidRPr="0005413C" w:rsidR="00E16D4F">
        <w:t>1</w:t>
      </w:r>
      <w:r w:rsidRPr="0005413C" w:rsidR="00367A37">
        <w:t>0</w:t>
      </w:r>
      <w:r w:rsidRPr="0005413C">
        <w:t>)</w:t>
      </w:r>
      <w:r w:rsidRPr="00367A37">
        <w:t xml:space="preserve">, </w:t>
      </w:r>
      <w:r w:rsidRPr="000C4C15">
        <w:t xml:space="preserve">customer service </w:t>
      </w:r>
      <w:r w:rsidRPr="0005413C">
        <w:t>(</w:t>
      </w:r>
      <w:r w:rsidRPr="0005413C" w:rsidR="00E16D4F">
        <w:t>7</w:t>
      </w:r>
      <w:r w:rsidRPr="0005413C">
        <w:t>)</w:t>
      </w:r>
      <w:r w:rsidRPr="00367A37" w:rsidR="00367A37">
        <w:t xml:space="preserve">, and other </w:t>
      </w:r>
      <w:proofErr w:type="spellStart"/>
      <w:r w:rsidRPr="00367A37" w:rsidR="00367A37">
        <w:t>topcis</w:t>
      </w:r>
      <w:proofErr w:type="spellEnd"/>
      <w:r w:rsidRPr="00367A37" w:rsidR="00367A37">
        <w:t xml:space="preserve"> (</w:t>
      </w:r>
      <w:r w:rsidRPr="000C4C15" w:rsidR="00367A37">
        <w:t>6)</w:t>
      </w:r>
      <w:r w:rsidRPr="000C4C15">
        <w:t xml:space="preserve">. All comments outside of the scope of the PRA approval will be considered by the CDFI </w:t>
      </w:r>
      <w:proofErr w:type="gramStart"/>
      <w:r w:rsidRPr="000C4C15">
        <w:t>Fund, but</w:t>
      </w:r>
      <w:proofErr w:type="gramEnd"/>
      <w:r w:rsidRPr="000C4C15">
        <w:t xml:space="preserve"> are not relevant to this information collection.</w:t>
      </w:r>
      <w:r>
        <w:t xml:space="preserve"> </w:t>
      </w:r>
    </w:p>
    <w:p w:rsidR="00FD46DA" w:rsidP="00FD46DA" w:rsidRDefault="00FD46DA" w14:paraId="562652FB" w14:textId="77777777"/>
    <w:p w:rsidRPr="0028705E" w:rsidR="00586544" w:rsidP="00FD46DA" w:rsidRDefault="00FD46DA" w14:paraId="0E850931" w14:textId="5B1B9DF6">
      <w:pPr>
        <w:pStyle w:val="ListParagraph"/>
        <w:ind w:left="360"/>
        <w:rPr>
          <w:i/>
          <w:iCs/>
        </w:rPr>
      </w:pPr>
      <w:r>
        <w:t>Please see Appendix A for all of the specific comments and CDFI Fund responses.</w:t>
      </w:r>
      <w:r w:rsidR="00586544">
        <w:t xml:space="preserve">  </w:t>
      </w:r>
      <w:r w:rsidRPr="00F9665A" w:rsidR="00586544">
        <w:t xml:space="preserve"> </w:t>
      </w:r>
    </w:p>
    <w:p w:rsidRPr="00F9665A" w:rsidR="00586544" w:rsidP="00586544" w:rsidRDefault="00586544" w14:paraId="20BE5A9E" w14:textId="77777777">
      <w:pPr>
        <w:rPr>
          <w:u w:val="single"/>
        </w:rPr>
      </w:pPr>
    </w:p>
    <w:p w:rsidRPr="00FB7D45" w:rsidR="00586544" w:rsidP="00586544" w:rsidRDefault="00586544" w14:paraId="41A7339E" w14:textId="77777777">
      <w:pPr>
        <w:pStyle w:val="ListParagraph"/>
        <w:numPr>
          <w:ilvl w:val="0"/>
          <w:numId w:val="1"/>
        </w:numPr>
        <w:ind w:left="360"/>
        <w:rPr>
          <w:u w:val="single"/>
        </w:rPr>
      </w:pPr>
      <w:r w:rsidRPr="00FB7D45">
        <w:rPr>
          <w:u w:val="single"/>
        </w:rPr>
        <w:t>Provision of payment to respondents</w:t>
      </w:r>
    </w:p>
    <w:p w:rsidRPr="00F9665A" w:rsidR="00586544" w:rsidP="00586544" w:rsidRDefault="00586544" w14:paraId="46741488" w14:textId="77777777">
      <w:pPr>
        <w:pStyle w:val="ListParagraph"/>
        <w:ind w:left="360"/>
      </w:pPr>
      <w:r w:rsidRPr="00F9665A">
        <w:t>No payments or gifts will be made to respondents.</w:t>
      </w:r>
    </w:p>
    <w:p w:rsidRPr="00F9665A" w:rsidR="00586544" w:rsidP="00586544" w:rsidRDefault="00586544" w14:paraId="6E4480F7" w14:textId="77777777"/>
    <w:p w:rsidRPr="00FB7D45" w:rsidR="00586544" w:rsidP="00586544" w:rsidRDefault="00586544" w14:paraId="55148295" w14:textId="77777777">
      <w:pPr>
        <w:pStyle w:val="ListParagraph"/>
        <w:numPr>
          <w:ilvl w:val="0"/>
          <w:numId w:val="1"/>
        </w:numPr>
        <w:ind w:left="360"/>
        <w:rPr>
          <w:u w:val="single"/>
        </w:rPr>
      </w:pPr>
      <w:r w:rsidRPr="00FB7D45">
        <w:rPr>
          <w:u w:val="single"/>
        </w:rPr>
        <w:t>Assurance of confidentiality</w:t>
      </w:r>
    </w:p>
    <w:p w:rsidRPr="00F9665A" w:rsidR="00586544" w:rsidP="00586544" w:rsidRDefault="00586544" w14:paraId="0EE27BE7" w14:textId="77777777">
      <w:pPr>
        <w:pStyle w:val="ListParagraph"/>
        <w:ind w:left="360"/>
      </w:pPr>
      <w:r w:rsidRPr="00F9665A">
        <w:t xml:space="preserve">The CDFI Fund is subject to all applicable Federal laws and regulations with respect to confidentiality of information supplied in the </w:t>
      </w:r>
      <w:r>
        <w:t xml:space="preserve">NMTC </w:t>
      </w:r>
      <w:r w:rsidRPr="00F9665A">
        <w:t xml:space="preserve">Program </w:t>
      </w:r>
      <w:r>
        <w:t>A</w:t>
      </w:r>
      <w:r w:rsidRPr="00F9665A">
        <w:t xml:space="preserve">pplication process.  No other assurances of confidentiality have been provided. </w:t>
      </w:r>
    </w:p>
    <w:p w:rsidRPr="00F9665A" w:rsidR="00586544" w:rsidP="00586544" w:rsidRDefault="00586544" w14:paraId="21B8045E" w14:textId="77777777">
      <w:pPr>
        <w:rPr>
          <w:u w:val="single"/>
        </w:rPr>
      </w:pPr>
    </w:p>
    <w:p w:rsidRPr="00FB7D45" w:rsidR="00586544" w:rsidP="00586544" w:rsidRDefault="00586544" w14:paraId="2B8C4D83" w14:textId="77777777">
      <w:pPr>
        <w:pStyle w:val="ListParagraph"/>
        <w:numPr>
          <w:ilvl w:val="0"/>
          <w:numId w:val="1"/>
        </w:numPr>
        <w:ind w:left="360"/>
        <w:rPr>
          <w:u w:val="single"/>
        </w:rPr>
      </w:pPr>
      <w:r w:rsidRPr="00FB7D45">
        <w:rPr>
          <w:u w:val="single"/>
        </w:rPr>
        <w:t>Justification of sensitive questions.</w:t>
      </w:r>
    </w:p>
    <w:p w:rsidRPr="00F9665A" w:rsidR="00586544" w:rsidP="00586544" w:rsidRDefault="00586544" w14:paraId="40865961" w14:textId="77777777">
      <w:pPr>
        <w:pStyle w:val="ListParagraph"/>
        <w:ind w:left="360"/>
      </w:pPr>
      <w:r w:rsidRPr="00F9665A">
        <w:t>No personally identifiable information (PII) is collected.</w:t>
      </w:r>
    </w:p>
    <w:p w:rsidRPr="00F9665A" w:rsidR="00586544" w:rsidP="00586544" w:rsidRDefault="00586544" w14:paraId="7D1FC051" w14:textId="77777777">
      <w:pPr>
        <w:rPr>
          <w:u w:val="single"/>
        </w:rPr>
      </w:pPr>
    </w:p>
    <w:p w:rsidRPr="00FB7D45" w:rsidR="00586544" w:rsidP="00586544" w:rsidRDefault="00586544" w14:paraId="4621DAB6" w14:textId="77777777">
      <w:pPr>
        <w:pStyle w:val="ListParagraph"/>
        <w:numPr>
          <w:ilvl w:val="0"/>
          <w:numId w:val="1"/>
        </w:numPr>
        <w:ind w:left="360"/>
        <w:rPr>
          <w:u w:val="single"/>
        </w:rPr>
      </w:pPr>
      <w:r w:rsidRPr="00FB7D45">
        <w:rPr>
          <w:u w:val="single"/>
        </w:rPr>
        <w:t>Estimate of the hour burden of information collection.</w:t>
      </w:r>
    </w:p>
    <w:p w:rsidR="000514B9" w:rsidP="000514B9" w:rsidRDefault="00586544" w14:paraId="4874CDB4" w14:textId="62D262AA">
      <w:pPr>
        <w:pStyle w:val="BodyText3"/>
        <w:spacing w:after="0"/>
        <w:ind w:left="360"/>
        <w:rPr>
          <w:sz w:val="24"/>
          <w:szCs w:val="24"/>
        </w:rPr>
      </w:pPr>
      <w:r>
        <w:rPr>
          <w:sz w:val="24"/>
          <w:szCs w:val="24"/>
        </w:rPr>
        <w:t>The estimated total number of burden hours for the calendar year (CY) 2021 – 2023 NMTC Program Application is 64,</w:t>
      </w:r>
      <w:r w:rsidR="006C5997">
        <w:rPr>
          <w:sz w:val="24"/>
          <w:szCs w:val="24"/>
        </w:rPr>
        <w:t>614</w:t>
      </w:r>
      <w:r w:rsidR="00772EC5">
        <w:rPr>
          <w:sz w:val="24"/>
          <w:szCs w:val="24"/>
        </w:rPr>
        <w:t xml:space="preserve"> and the estimated cost to Applicants is a total of $4,583,023</w:t>
      </w:r>
      <w:r>
        <w:rPr>
          <w:sz w:val="24"/>
          <w:szCs w:val="24"/>
        </w:rPr>
        <w:t>. Th</w:t>
      </w:r>
      <w:r w:rsidR="00772EC5">
        <w:rPr>
          <w:sz w:val="24"/>
          <w:szCs w:val="24"/>
        </w:rPr>
        <w:t>e</w:t>
      </w:r>
      <w:r>
        <w:rPr>
          <w:sz w:val="24"/>
          <w:szCs w:val="24"/>
        </w:rPr>
        <w:t xml:space="preserve"> </w:t>
      </w:r>
      <w:r w:rsidR="00772EC5">
        <w:rPr>
          <w:sz w:val="24"/>
          <w:szCs w:val="24"/>
        </w:rPr>
        <w:t xml:space="preserve">burden </w:t>
      </w:r>
      <w:r w:rsidR="000514B9">
        <w:rPr>
          <w:sz w:val="24"/>
          <w:szCs w:val="24"/>
        </w:rPr>
        <w:t xml:space="preserve">hour </w:t>
      </w:r>
      <w:r>
        <w:rPr>
          <w:sz w:val="24"/>
          <w:szCs w:val="24"/>
        </w:rPr>
        <w:t>estimate is based on</w:t>
      </w:r>
      <w:r w:rsidR="00772EC5">
        <w:rPr>
          <w:sz w:val="24"/>
          <w:szCs w:val="24"/>
        </w:rPr>
        <w:t xml:space="preserve"> the following: (i) the average number of NMTC Applications received during the CY 2018 to CY 2020 allocation rounds (</w:t>
      </w:r>
      <w:r>
        <w:rPr>
          <w:sz w:val="24"/>
          <w:szCs w:val="24"/>
        </w:rPr>
        <w:t>209</w:t>
      </w:r>
      <w:r w:rsidR="00772EC5">
        <w:rPr>
          <w:sz w:val="24"/>
          <w:szCs w:val="24"/>
        </w:rPr>
        <w:t>); (ii)</w:t>
      </w:r>
      <w:r>
        <w:rPr>
          <w:sz w:val="24"/>
          <w:szCs w:val="24"/>
        </w:rPr>
        <w:t xml:space="preserve">  the average annual burden</w:t>
      </w:r>
      <w:r w:rsidR="000514B9">
        <w:rPr>
          <w:sz w:val="24"/>
          <w:szCs w:val="24"/>
        </w:rPr>
        <w:t xml:space="preserve"> hours</w:t>
      </w:r>
      <w:r>
        <w:rPr>
          <w:sz w:val="24"/>
          <w:szCs w:val="24"/>
        </w:rPr>
        <w:t xml:space="preserve"> per </w:t>
      </w:r>
      <w:r w:rsidR="000514B9">
        <w:rPr>
          <w:sz w:val="24"/>
          <w:szCs w:val="24"/>
        </w:rPr>
        <w:t>Applicant over that time period (</w:t>
      </w:r>
      <w:r>
        <w:rPr>
          <w:sz w:val="24"/>
          <w:szCs w:val="24"/>
        </w:rPr>
        <w:t>309</w:t>
      </w:r>
      <w:r w:rsidR="000514B9">
        <w:rPr>
          <w:sz w:val="24"/>
          <w:szCs w:val="24"/>
        </w:rPr>
        <w:t>)</w:t>
      </w:r>
      <w:r>
        <w:rPr>
          <w:sz w:val="24"/>
          <w:szCs w:val="24"/>
        </w:rPr>
        <w:t xml:space="preserve">.  </w:t>
      </w:r>
      <w:r w:rsidR="000A2E0E">
        <w:rPr>
          <w:sz w:val="24"/>
          <w:szCs w:val="24"/>
        </w:rPr>
        <w:t xml:space="preserve">Of the 209 applicants, 176 were private sector respondents while the remaining 33 were State, Local, or Tribal Government respondents. </w:t>
      </w:r>
      <w:r w:rsidR="000514B9">
        <w:rPr>
          <w:sz w:val="24"/>
          <w:szCs w:val="24"/>
        </w:rPr>
        <w:t xml:space="preserve">The estimate </w:t>
      </w:r>
      <w:r w:rsidRPr="006918B9" w:rsidR="000514B9">
        <w:rPr>
          <w:sz w:val="24"/>
          <w:szCs w:val="24"/>
        </w:rPr>
        <w:t xml:space="preserve">of </w:t>
      </w:r>
      <w:r w:rsidR="000514B9">
        <w:rPr>
          <w:sz w:val="24"/>
          <w:szCs w:val="24"/>
        </w:rPr>
        <w:t>cost per hour</w:t>
      </w:r>
      <w:r w:rsidRPr="006918B9" w:rsidR="000514B9">
        <w:rPr>
          <w:sz w:val="24"/>
          <w:szCs w:val="24"/>
        </w:rPr>
        <w:t xml:space="preserve"> to respondents </w:t>
      </w:r>
      <w:r w:rsidR="00BE1237">
        <w:rPr>
          <w:sz w:val="24"/>
          <w:szCs w:val="24"/>
        </w:rPr>
        <w:t xml:space="preserve">is </w:t>
      </w:r>
      <w:r w:rsidRPr="006918B9" w:rsidR="000514B9">
        <w:rPr>
          <w:sz w:val="24"/>
          <w:szCs w:val="24"/>
        </w:rPr>
        <w:t xml:space="preserve">based on Bureau of Labor Statistics data for </w:t>
      </w:r>
      <w:r w:rsidR="000514B9">
        <w:rPr>
          <w:sz w:val="24"/>
          <w:szCs w:val="24"/>
        </w:rPr>
        <w:t xml:space="preserve">Employer Costs for Employee Compensation for private workers and for government workers by occupational and industry group (released December </w:t>
      </w:r>
      <w:r w:rsidR="000514B9">
        <w:rPr>
          <w:sz w:val="24"/>
          <w:szCs w:val="24"/>
        </w:rPr>
        <w:lastRenderedPageBreak/>
        <w:t>2020), the total compensation including wages and benefits for management, professional and financial private industry and government workers</w:t>
      </w:r>
      <w:r w:rsidRPr="006918B9" w:rsidR="000514B9">
        <w:rPr>
          <w:sz w:val="24"/>
          <w:szCs w:val="24"/>
        </w:rPr>
        <w:t xml:space="preserve"> at</w:t>
      </w:r>
      <w:r w:rsidR="000514B9">
        <w:rPr>
          <w:sz w:val="24"/>
          <w:szCs w:val="24"/>
        </w:rPr>
        <w:t xml:space="preserve"> a</w:t>
      </w:r>
      <w:r w:rsidRPr="006918B9" w:rsidR="000514B9">
        <w:rPr>
          <w:sz w:val="24"/>
          <w:szCs w:val="24"/>
        </w:rPr>
        <w:t xml:space="preserve"> total </w:t>
      </w:r>
      <w:r w:rsidR="000514B9">
        <w:rPr>
          <w:sz w:val="24"/>
          <w:szCs w:val="24"/>
        </w:rPr>
        <w:t xml:space="preserve">hourly </w:t>
      </w:r>
      <w:r w:rsidRPr="006918B9" w:rsidR="000514B9">
        <w:rPr>
          <w:sz w:val="24"/>
          <w:szCs w:val="24"/>
        </w:rPr>
        <w:t xml:space="preserve">compensation of </w:t>
      </w:r>
      <w:r w:rsidRPr="008F0C8A" w:rsidR="000514B9">
        <w:rPr>
          <w:sz w:val="24"/>
          <w:szCs w:val="24"/>
        </w:rPr>
        <w:t>$</w:t>
      </w:r>
      <w:r w:rsidR="000514B9">
        <w:rPr>
          <w:sz w:val="24"/>
          <w:szCs w:val="24"/>
        </w:rPr>
        <w:t>72</w:t>
      </w:r>
      <w:r w:rsidRPr="00A57F61" w:rsidR="000514B9">
        <w:rPr>
          <w:sz w:val="24"/>
          <w:szCs w:val="24"/>
        </w:rPr>
        <w:t>.1</w:t>
      </w:r>
      <w:r w:rsidR="000514B9">
        <w:rPr>
          <w:sz w:val="24"/>
          <w:szCs w:val="24"/>
        </w:rPr>
        <w:t>5</w:t>
      </w:r>
      <w:r w:rsidR="00771606">
        <w:rPr>
          <w:rStyle w:val="FootnoteReference"/>
          <w:sz w:val="24"/>
          <w:szCs w:val="24"/>
        </w:rPr>
        <w:footnoteReference w:id="1"/>
      </w:r>
      <w:r w:rsidR="000514B9">
        <w:rPr>
          <w:sz w:val="24"/>
          <w:szCs w:val="24"/>
        </w:rPr>
        <w:t xml:space="preserve"> and $64.02</w:t>
      </w:r>
      <w:r w:rsidR="00771606">
        <w:rPr>
          <w:rStyle w:val="FootnoteReference"/>
          <w:sz w:val="24"/>
          <w:szCs w:val="24"/>
        </w:rPr>
        <w:footnoteReference w:id="2"/>
      </w:r>
      <w:r w:rsidR="000514B9">
        <w:rPr>
          <w:sz w:val="24"/>
          <w:szCs w:val="24"/>
        </w:rPr>
        <w:t>, respectively</w:t>
      </w:r>
      <w:r w:rsidRPr="00A57F61" w:rsidR="000514B9">
        <w:rPr>
          <w:sz w:val="24"/>
          <w:szCs w:val="24"/>
        </w:rPr>
        <w:t>.</w:t>
      </w:r>
      <w:r w:rsidR="000514B9">
        <w:rPr>
          <w:sz w:val="24"/>
          <w:szCs w:val="24"/>
        </w:rPr>
        <w:t xml:space="preserve"> </w:t>
      </w:r>
    </w:p>
    <w:p w:rsidR="00586544" w:rsidP="00586544" w:rsidRDefault="00586544" w14:paraId="1BD0588D" w14:textId="24CA9B21">
      <w:pPr>
        <w:pStyle w:val="BodyText3"/>
        <w:spacing w:after="0"/>
        <w:ind w:left="360"/>
        <w:rPr>
          <w:sz w:val="24"/>
          <w:szCs w:val="24"/>
        </w:rPr>
      </w:pPr>
    </w:p>
    <w:tbl>
      <w:tblPr>
        <w:tblW w:w="10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75"/>
        <w:gridCol w:w="1440"/>
        <w:gridCol w:w="1350"/>
        <w:gridCol w:w="1260"/>
        <w:gridCol w:w="1260"/>
        <w:gridCol w:w="1074"/>
        <w:gridCol w:w="1386"/>
        <w:gridCol w:w="1680"/>
      </w:tblGrid>
      <w:tr w:rsidRPr="009C010A" w:rsidR="00771606" w:rsidTr="0005413C" w14:paraId="5717D8E3" w14:textId="77777777">
        <w:trPr>
          <w:trHeight w:val="908"/>
        </w:trPr>
        <w:tc>
          <w:tcPr>
            <w:tcW w:w="1075" w:type="dxa"/>
            <w:tcBorders>
              <w:right w:val="single" w:color="auto" w:sz="8" w:space="0"/>
            </w:tcBorders>
            <w:vAlign w:val="center"/>
          </w:tcPr>
          <w:p w:rsidRPr="00152A84" w:rsidR="00771606" w:rsidP="0039455F" w:rsidRDefault="00771606" w14:paraId="5CAFBE71" w14:textId="77777777">
            <w:pPr>
              <w:pStyle w:val="BodyText2"/>
              <w:spacing w:after="0" w:line="240" w:lineRule="auto"/>
              <w:jc w:val="center"/>
              <w:rPr>
                <w:b/>
                <w:sz w:val="22"/>
                <w:szCs w:val="22"/>
              </w:rPr>
            </w:pPr>
            <w:r w:rsidRPr="00152A84">
              <w:rPr>
                <w:b/>
                <w:sz w:val="22"/>
                <w:szCs w:val="22"/>
              </w:rPr>
              <w:t>Affected Public</w:t>
            </w:r>
          </w:p>
        </w:tc>
        <w:tc>
          <w:tcPr>
            <w:tcW w:w="1440" w:type="dxa"/>
            <w:tcBorders>
              <w:left w:val="single" w:color="auto" w:sz="8" w:space="0"/>
              <w:bottom w:val="single" w:color="000000" w:sz="4" w:space="0"/>
              <w:right w:val="single" w:color="auto" w:sz="8" w:space="0"/>
            </w:tcBorders>
            <w:vAlign w:val="center"/>
          </w:tcPr>
          <w:p w:rsidRPr="00152A84" w:rsidR="00771606" w:rsidP="0039455F" w:rsidRDefault="00771606" w14:paraId="5D29E870" w14:textId="77777777">
            <w:pPr>
              <w:pStyle w:val="BodyText2"/>
              <w:spacing w:after="0" w:line="240" w:lineRule="auto"/>
              <w:jc w:val="center"/>
              <w:rPr>
                <w:b/>
                <w:sz w:val="22"/>
                <w:szCs w:val="22"/>
              </w:rPr>
            </w:pPr>
            <w:r w:rsidRPr="00152A84">
              <w:rPr>
                <w:b/>
                <w:sz w:val="22"/>
                <w:szCs w:val="22"/>
              </w:rPr>
              <w:t># Respondents</w:t>
            </w:r>
          </w:p>
        </w:tc>
        <w:tc>
          <w:tcPr>
            <w:tcW w:w="1350" w:type="dxa"/>
            <w:tcBorders>
              <w:left w:val="single" w:color="auto" w:sz="8" w:space="0"/>
              <w:bottom w:val="single" w:color="000000" w:sz="4" w:space="0"/>
              <w:right w:val="single" w:color="auto" w:sz="8" w:space="0"/>
            </w:tcBorders>
            <w:vAlign w:val="center"/>
          </w:tcPr>
          <w:p w:rsidRPr="00152A84" w:rsidR="00771606" w:rsidP="0039455F" w:rsidRDefault="00771606" w14:paraId="2BC70667" w14:textId="77777777">
            <w:pPr>
              <w:pStyle w:val="BodyText2"/>
              <w:spacing w:after="0" w:line="240" w:lineRule="auto"/>
              <w:jc w:val="center"/>
              <w:rPr>
                <w:b/>
                <w:sz w:val="22"/>
                <w:szCs w:val="22"/>
              </w:rPr>
            </w:pPr>
            <w:r w:rsidRPr="00152A84">
              <w:rPr>
                <w:b/>
                <w:sz w:val="22"/>
                <w:szCs w:val="22"/>
              </w:rPr>
              <w:t># Responses Per Respondent</w:t>
            </w:r>
          </w:p>
        </w:tc>
        <w:tc>
          <w:tcPr>
            <w:tcW w:w="1260" w:type="dxa"/>
            <w:tcBorders>
              <w:left w:val="single" w:color="auto" w:sz="8" w:space="0"/>
              <w:bottom w:val="single" w:color="000000" w:sz="4" w:space="0"/>
              <w:right w:val="single" w:color="auto" w:sz="8" w:space="0"/>
            </w:tcBorders>
            <w:vAlign w:val="center"/>
          </w:tcPr>
          <w:p w:rsidRPr="00152A84" w:rsidR="00771606" w:rsidP="0039455F" w:rsidRDefault="00771606" w14:paraId="0D4D5E9C" w14:textId="77777777">
            <w:pPr>
              <w:pStyle w:val="BodyText2"/>
              <w:spacing w:after="0" w:line="240" w:lineRule="auto"/>
              <w:jc w:val="center"/>
              <w:rPr>
                <w:b/>
                <w:sz w:val="22"/>
                <w:szCs w:val="22"/>
              </w:rPr>
            </w:pPr>
            <w:r w:rsidRPr="00152A84">
              <w:rPr>
                <w:b/>
                <w:sz w:val="22"/>
                <w:szCs w:val="22"/>
              </w:rPr>
              <w:t>Total Annual Responses</w:t>
            </w:r>
          </w:p>
        </w:tc>
        <w:tc>
          <w:tcPr>
            <w:tcW w:w="1260" w:type="dxa"/>
            <w:tcBorders>
              <w:left w:val="single" w:color="auto" w:sz="8" w:space="0"/>
              <w:bottom w:val="single" w:color="000000" w:sz="4" w:space="0"/>
              <w:right w:val="single" w:color="auto" w:sz="8" w:space="0"/>
            </w:tcBorders>
            <w:vAlign w:val="center"/>
          </w:tcPr>
          <w:p w:rsidRPr="00152A84" w:rsidR="00771606" w:rsidP="0039455F" w:rsidRDefault="00771606" w14:paraId="6C333B32" w14:textId="77777777">
            <w:pPr>
              <w:pStyle w:val="BodyText2"/>
              <w:spacing w:after="0" w:line="240" w:lineRule="auto"/>
              <w:jc w:val="center"/>
              <w:rPr>
                <w:b/>
                <w:sz w:val="22"/>
                <w:szCs w:val="22"/>
              </w:rPr>
            </w:pPr>
            <w:r>
              <w:rPr>
                <w:b/>
                <w:sz w:val="22"/>
                <w:szCs w:val="22"/>
              </w:rPr>
              <w:t xml:space="preserve">Average </w:t>
            </w:r>
            <w:r w:rsidRPr="00152A84">
              <w:rPr>
                <w:b/>
                <w:sz w:val="22"/>
                <w:szCs w:val="22"/>
              </w:rPr>
              <w:t>Hours Per Response</w:t>
            </w:r>
          </w:p>
        </w:tc>
        <w:tc>
          <w:tcPr>
            <w:tcW w:w="1074" w:type="dxa"/>
            <w:tcBorders>
              <w:left w:val="single" w:color="auto" w:sz="8" w:space="0"/>
              <w:bottom w:val="single" w:color="000000" w:sz="4" w:space="0"/>
              <w:right w:val="single" w:color="auto" w:sz="8" w:space="0"/>
            </w:tcBorders>
            <w:vAlign w:val="center"/>
          </w:tcPr>
          <w:p w:rsidRPr="00152A84" w:rsidR="00771606" w:rsidP="0039455F" w:rsidRDefault="00771606" w14:paraId="0472D3AC" w14:textId="77777777">
            <w:pPr>
              <w:pStyle w:val="BodyText2"/>
              <w:spacing w:after="0" w:line="240" w:lineRule="auto"/>
              <w:jc w:val="center"/>
              <w:rPr>
                <w:b/>
                <w:sz w:val="22"/>
                <w:szCs w:val="22"/>
              </w:rPr>
            </w:pPr>
            <w:r w:rsidRPr="00152A84">
              <w:rPr>
                <w:b/>
                <w:sz w:val="22"/>
                <w:szCs w:val="22"/>
              </w:rPr>
              <w:t>Total Hours</w:t>
            </w:r>
          </w:p>
        </w:tc>
        <w:tc>
          <w:tcPr>
            <w:tcW w:w="1386" w:type="dxa"/>
            <w:tcBorders>
              <w:left w:val="single" w:color="auto" w:sz="8" w:space="0"/>
              <w:bottom w:val="single" w:color="000000" w:sz="4" w:space="0"/>
              <w:right w:val="single" w:color="auto" w:sz="8" w:space="0"/>
            </w:tcBorders>
          </w:tcPr>
          <w:p w:rsidRPr="00152A84" w:rsidR="00771606" w:rsidP="0039455F" w:rsidRDefault="00771606" w14:paraId="442F0D2E" w14:textId="77777777">
            <w:pPr>
              <w:pStyle w:val="BodyText2"/>
              <w:spacing w:after="0" w:line="240" w:lineRule="auto"/>
              <w:jc w:val="center"/>
              <w:rPr>
                <w:b/>
                <w:sz w:val="22"/>
                <w:szCs w:val="22"/>
              </w:rPr>
            </w:pPr>
            <w:r w:rsidRPr="00152A84">
              <w:rPr>
                <w:b/>
                <w:sz w:val="22"/>
                <w:szCs w:val="22"/>
              </w:rPr>
              <w:t>Time Value (per hour)</w:t>
            </w:r>
          </w:p>
        </w:tc>
        <w:tc>
          <w:tcPr>
            <w:tcW w:w="1680" w:type="dxa"/>
            <w:tcBorders>
              <w:left w:val="single" w:color="auto" w:sz="8" w:space="0"/>
              <w:bottom w:val="single" w:color="000000" w:sz="4" w:space="0"/>
              <w:right w:val="single" w:color="auto" w:sz="8" w:space="0"/>
            </w:tcBorders>
          </w:tcPr>
          <w:p w:rsidRPr="00152A84" w:rsidR="00771606" w:rsidP="0039455F" w:rsidRDefault="00771606" w14:paraId="5C19712E" w14:textId="77777777">
            <w:pPr>
              <w:pStyle w:val="BodyText2"/>
              <w:spacing w:after="0" w:line="240" w:lineRule="auto"/>
              <w:jc w:val="center"/>
              <w:rPr>
                <w:b/>
                <w:sz w:val="22"/>
                <w:szCs w:val="22"/>
              </w:rPr>
            </w:pPr>
            <w:r w:rsidRPr="00152A84">
              <w:rPr>
                <w:b/>
                <w:sz w:val="22"/>
                <w:szCs w:val="22"/>
              </w:rPr>
              <w:t xml:space="preserve">Monetized Burden Hours </w:t>
            </w:r>
          </w:p>
        </w:tc>
      </w:tr>
      <w:tr w:rsidRPr="009C010A" w:rsidR="00771606" w:rsidTr="0005413C" w14:paraId="0082070B" w14:textId="77777777">
        <w:trPr>
          <w:trHeight w:val="638"/>
        </w:trPr>
        <w:tc>
          <w:tcPr>
            <w:tcW w:w="1075" w:type="dxa"/>
            <w:tcBorders>
              <w:right w:val="single" w:color="auto" w:sz="8" w:space="0"/>
            </w:tcBorders>
          </w:tcPr>
          <w:p w:rsidRPr="00152A84" w:rsidR="00771606" w:rsidP="0039455F" w:rsidRDefault="00771606" w14:paraId="48E85AE0" w14:textId="77777777">
            <w:pPr>
              <w:pStyle w:val="BodyText2"/>
              <w:spacing w:after="0" w:line="240" w:lineRule="auto"/>
              <w:jc w:val="center"/>
              <w:rPr>
                <w:b/>
                <w:sz w:val="22"/>
                <w:szCs w:val="22"/>
              </w:rPr>
            </w:pPr>
            <w:r w:rsidRPr="00152A84">
              <w:rPr>
                <w:b/>
                <w:sz w:val="22"/>
                <w:szCs w:val="22"/>
              </w:rPr>
              <w:t>Private Sector</w:t>
            </w:r>
          </w:p>
        </w:tc>
        <w:tc>
          <w:tcPr>
            <w:tcW w:w="1440" w:type="dxa"/>
            <w:tcBorders>
              <w:top w:val="single" w:color="000000" w:sz="4" w:space="0"/>
              <w:left w:val="single" w:color="auto" w:sz="8" w:space="0"/>
              <w:bottom w:val="single" w:color="auto" w:sz="8" w:space="0"/>
              <w:right w:val="single" w:color="auto" w:sz="8" w:space="0"/>
            </w:tcBorders>
            <w:shd w:val="clear" w:color="auto" w:fill="auto"/>
            <w:vAlign w:val="center"/>
          </w:tcPr>
          <w:p w:rsidRPr="009C010A" w:rsidR="00771606" w:rsidP="0039455F" w:rsidRDefault="00771606" w14:paraId="14F3181F" w14:textId="77777777">
            <w:pPr>
              <w:pStyle w:val="BodyText2"/>
              <w:jc w:val="center"/>
              <w:rPr>
                <w:sz w:val="22"/>
                <w:szCs w:val="22"/>
              </w:rPr>
            </w:pPr>
            <w:r>
              <w:rPr>
                <w:sz w:val="22"/>
                <w:szCs w:val="22"/>
              </w:rPr>
              <w:t>176</w:t>
            </w:r>
          </w:p>
        </w:tc>
        <w:tc>
          <w:tcPr>
            <w:tcW w:w="1350" w:type="dxa"/>
            <w:tcBorders>
              <w:top w:val="single" w:color="000000" w:sz="4" w:space="0"/>
              <w:left w:val="single" w:color="auto" w:sz="8" w:space="0"/>
              <w:bottom w:val="single" w:color="auto" w:sz="8" w:space="0"/>
              <w:right w:val="single" w:color="auto" w:sz="8" w:space="0"/>
            </w:tcBorders>
            <w:shd w:val="clear" w:color="auto" w:fill="auto"/>
            <w:vAlign w:val="center"/>
          </w:tcPr>
          <w:p w:rsidRPr="009C010A" w:rsidR="00771606" w:rsidP="0039455F" w:rsidRDefault="00771606" w14:paraId="4CF12172" w14:textId="77777777">
            <w:pPr>
              <w:pStyle w:val="BodyText2"/>
              <w:jc w:val="center"/>
              <w:rPr>
                <w:sz w:val="22"/>
                <w:szCs w:val="22"/>
              </w:rPr>
            </w:pPr>
            <w:r w:rsidRPr="009C010A">
              <w:rPr>
                <w:sz w:val="22"/>
                <w:szCs w:val="22"/>
              </w:rPr>
              <w:t>1</w:t>
            </w:r>
          </w:p>
        </w:tc>
        <w:tc>
          <w:tcPr>
            <w:tcW w:w="1260" w:type="dxa"/>
            <w:tcBorders>
              <w:top w:val="single" w:color="000000" w:sz="4" w:space="0"/>
              <w:left w:val="single" w:color="auto" w:sz="8" w:space="0"/>
              <w:bottom w:val="single" w:color="auto" w:sz="8" w:space="0"/>
              <w:right w:val="single" w:color="auto" w:sz="8" w:space="0"/>
            </w:tcBorders>
            <w:shd w:val="clear" w:color="auto" w:fill="auto"/>
            <w:vAlign w:val="center"/>
          </w:tcPr>
          <w:p w:rsidRPr="009C010A" w:rsidR="00771606" w:rsidP="0039455F" w:rsidRDefault="00771606" w14:paraId="599CF77E" w14:textId="77777777">
            <w:pPr>
              <w:pStyle w:val="BodyText2"/>
              <w:jc w:val="center"/>
              <w:rPr>
                <w:sz w:val="22"/>
                <w:szCs w:val="22"/>
              </w:rPr>
            </w:pPr>
            <w:r>
              <w:rPr>
                <w:sz w:val="22"/>
                <w:szCs w:val="22"/>
              </w:rPr>
              <w:t>176</w:t>
            </w:r>
          </w:p>
        </w:tc>
        <w:tc>
          <w:tcPr>
            <w:tcW w:w="1260" w:type="dxa"/>
            <w:tcBorders>
              <w:top w:val="single" w:color="000000" w:sz="4" w:space="0"/>
              <w:left w:val="single" w:color="auto" w:sz="8" w:space="0"/>
              <w:bottom w:val="single" w:color="auto" w:sz="8" w:space="0"/>
              <w:right w:val="single" w:color="auto" w:sz="8" w:space="0"/>
            </w:tcBorders>
            <w:shd w:val="clear" w:color="auto" w:fill="auto"/>
            <w:vAlign w:val="center"/>
          </w:tcPr>
          <w:p w:rsidRPr="009C010A" w:rsidR="00771606" w:rsidP="0039455F" w:rsidRDefault="00771606" w14:paraId="75CF77E2" w14:textId="77777777">
            <w:pPr>
              <w:pStyle w:val="BodyText2"/>
              <w:jc w:val="center"/>
              <w:rPr>
                <w:sz w:val="22"/>
                <w:szCs w:val="22"/>
              </w:rPr>
            </w:pPr>
            <w:r>
              <w:rPr>
                <w:sz w:val="22"/>
                <w:szCs w:val="22"/>
              </w:rPr>
              <w:t>312</w:t>
            </w:r>
          </w:p>
        </w:tc>
        <w:tc>
          <w:tcPr>
            <w:tcW w:w="1074" w:type="dxa"/>
            <w:tcBorders>
              <w:top w:val="single" w:color="000000" w:sz="4" w:space="0"/>
              <w:left w:val="single" w:color="auto" w:sz="8" w:space="0"/>
              <w:bottom w:val="single" w:color="auto" w:sz="8" w:space="0"/>
              <w:right w:val="single" w:color="auto" w:sz="8" w:space="0"/>
            </w:tcBorders>
            <w:shd w:val="clear" w:color="auto" w:fill="auto"/>
            <w:vAlign w:val="center"/>
          </w:tcPr>
          <w:p w:rsidRPr="009C010A" w:rsidR="00771606" w:rsidP="0039455F" w:rsidRDefault="00771606" w14:paraId="33371482" w14:textId="77777777">
            <w:pPr>
              <w:pStyle w:val="BodyText2"/>
              <w:jc w:val="center"/>
              <w:rPr>
                <w:sz w:val="22"/>
                <w:szCs w:val="22"/>
              </w:rPr>
            </w:pPr>
            <w:r>
              <w:rPr>
                <w:sz w:val="22"/>
                <w:szCs w:val="22"/>
              </w:rPr>
              <w:t>54,912</w:t>
            </w:r>
          </w:p>
        </w:tc>
        <w:tc>
          <w:tcPr>
            <w:tcW w:w="1386" w:type="dxa"/>
            <w:tcBorders>
              <w:top w:val="single" w:color="000000" w:sz="4" w:space="0"/>
              <w:left w:val="single" w:color="auto" w:sz="8" w:space="0"/>
              <w:bottom w:val="single" w:color="auto" w:sz="8" w:space="0"/>
              <w:right w:val="single" w:color="auto" w:sz="8" w:space="0"/>
            </w:tcBorders>
          </w:tcPr>
          <w:p w:rsidRPr="009C010A" w:rsidR="00771606" w:rsidP="0039455F" w:rsidRDefault="00771606" w14:paraId="631A9F5C" w14:textId="77777777">
            <w:pPr>
              <w:pStyle w:val="BodyText2"/>
              <w:jc w:val="center"/>
              <w:rPr>
                <w:sz w:val="22"/>
                <w:szCs w:val="22"/>
              </w:rPr>
            </w:pPr>
            <w:r>
              <w:rPr>
                <w:sz w:val="22"/>
                <w:szCs w:val="22"/>
              </w:rPr>
              <w:t>$72.15</w:t>
            </w:r>
          </w:p>
        </w:tc>
        <w:tc>
          <w:tcPr>
            <w:tcW w:w="1680" w:type="dxa"/>
            <w:tcBorders>
              <w:top w:val="single" w:color="000000" w:sz="4" w:space="0"/>
              <w:left w:val="single" w:color="auto" w:sz="8" w:space="0"/>
              <w:bottom w:val="single" w:color="auto" w:sz="8" w:space="0"/>
              <w:right w:val="single" w:color="auto" w:sz="8" w:space="0"/>
            </w:tcBorders>
          </w:tcPr>
          <w:p w:rsidRPr="009C010A" w:rsidR="00771606" w:rsidP="0039455F" w:rsidRDefault="00771606" w14:paraId="0F6067FD" w14:textId="77777777">
            <w:pPr>
              <w:pStyle w:val="BodyText2"/>
              <w:jc w:val="center"/>
              <w:rPr>
                <w:sz w:val="22"/>
                <w:szCs w:val="22"/>
              </w:rPr>
            </w:pPr>
            <w:r>
              <w:rPr>
                <w:sz w:val="22"/>
                <w:szCs w:val="22"/>
              </w:rPr>
              <w:t>$3,961,901</w:t>
            </w:r>
          </w:p>
        </w:tc>
      </w:tr>
      <w:tr w:rsidRPr="009C010A" w:rsidR="00771606" w:rsidTr="0005413C" w14:paraId="257E1856" w14:textId="77777777">
        <w:trPr>
          <w:trHeight w:val="700"/>
        </w:trPr>
        <w:tc>
          <w:tcPr>
            <w:tcW w:w="1075" w:type="dxa"/>
            <w:tcBorders>
              <w:bottom w:val="double" w:color="auto" w:sz="4" w:space="0"/>
              <w:right w:val="single" w:color="auto" w:sz="8" w:space="0"/>
            </w:tcBorders>
          </w:tcPr>
          <w:p w:rsidRPr="00152A84" w:rsidR="00771606" w:rsidP="0039455F" w:rsidRDefault="00771606" w14:paraId="1754D1F8" w14:textId="77777777">
            <w:pPr>
              <w:pStyle w:val="BodyText2"/>
              <w:spacing w:after="0" w:line="240" w:lineRule="auto"/>
              <w:jc w:val="center"/>
              <w:rPr>
                <w:b/>
                <w:sz w:val="22"/>
                <w:szCs w:val="22"/>
              </w:rPr>
            </w:pPr>
            <w:r w:rsidRPr="00152A84">
              <w:rPr>
                <w:b/>
                <w:sz w:val="22"/>
                <w:szCs w:val="22"/>
              </w:rPr>
              <w:t>State, Local, &amp; Tribal</w:t>
            </w:r>
          </w:p>
        </w:tc>
        <w:tc>
          <w:tcPr>
            <w:tcW w:w="1440" w:type="dxa"/>
            <w:tcBorders>
              <w:top w:val="nil"/>
              <w:left w:val="single" w:color="auto" w:sz="8" w:space="0"/>
              <w:bottom w:val="double" w:color="auto" w:sz="6" w:space="0"/>
              <w:right w:val="single" w:color="auto" w:sz="8" w:space="0"/>
            </w:tcBorders>
            <w:shd w:val="clear" w:color="auto" w:fill="auto"/>
            <w:vAlign w:val="center"/>
          </w:tcPr>
          <w:p w:rsidRPr="009C010A" w:rsidR="00771606" w:rsidP="0039455F" w:rsidRDefault="00771606" w14:paraId="2C07C793" w14:textId="77777777">
            <w:pPr>
              <w:pStyle w:val="BodyText2"/>
              <w:jc w:val="center"/>
              <w:rPr>
                <w:sz w:val="22"/>
                <w:szCs w:val="22"/>
              </w:rPr>
            </w:pPr>
            <w:r>
              <w:rPr>
                <w:sz w:val="22"/>
                <w:szCs w:val="22"/>
              </w:rPr>
              <w:t>33</w:t>
            </w:r>
          </w:p>
        </w:tc>
        <w:tc>
          <w:tcPr>
            <w:tcW w:w="1350" w:type="dxa"/>
            <w:tcBorders>
              <w:top w:val="nil"/>
              <w:left w:val="single" w:color="auto" w:sz="8" w:space="0"/>
              <w:bottom w:val="double" w:color="auto" w:sz="6" w:space="0"/>
              <w:right w:val="single" w:color="auto" w:sz="8" w:space="0"/>
            </w:tcBorders>
            <w:shd w:val="clear" w:color="auto" w:fill="auto"/>
            <w:vAlign w:val="center"/>
          </w:tcPr>
          <w:p w:rsidRPr="009C010A" w:rsidR="00771606" w:rsidP="0039455F" w:rsidRDefault="00771606" w14:paraId="41802563" w14:textId="77777777">
            <w:pPr>
              <w:pStyle w:val="BodyText2"/>
              <w:jc w:val="center"/>
              <w:rPr>
                <w:sz w:val="22"/>
                <w:szCs w:val="22"/>
              </w:rPr>
            </w:pPr>
            <w:r w:rsidRPr="009C010A">
              <w:rPr>
                <w:sz w:val="22"/>
                <w:szCs w:val="22"/>
              </w:rPr>
              <w:t>1</w:t>
            </w:r>
          </w:p>
        </w:tc>
        <w:tc>
          <w:tcPr>
            <w:tcW w:w="1260" w:type="dxa"/>
            <w:tcBorders>
              <w:top w:val="nil"/>
              <w:left w:val="single" w:color="auto" w:sz="8" w:space="0"/>
              <w:bottom w:val="double" w:color="auto" w:sz="6" w:space="0"/>
              <w:right w:val="single" w:color="auto" w:sz="8" w:space="0"/>
            </w:tcBorders>
            <w:shd w:val="clear" w:color="auto" w:fill="auto"/>
            <w:vAlign w:val="center"/>
          </w:tcPr>
          <w:p w:rsidRPr="009C010A" w:rsidR="00771606" w:rsidP="0039455F" w:rsidRDefault="00771606" w14:paraId="6C271407" w14:textId="77777777">
            <w:pPr>
              <w:pStyle w:val="BodyText2"/>
              <w:jc w:val="center"/>
              <w:rPr>
                <w:sz w:val="22"/>
                <w:szCs w:val="22"/>
              </w:rPr>
            </w:pPr>
            <w:r>
              <w:rPr>
                <w:sz w:val="22"/>
                <w:szCs w:val="22"/>
              </w:rPr>
              <w:t>33</w:t>
            </w:r>
          </w:p>
        </w:tc>
        <w:tc>
          <w:tcPr>
            <w:tcW w:w="1260" w:type="dxa"/>
            <w:tcBorders>
              <w:top w:val="nil"/>
              <w:left w:val="single" w:color="auto" w:sz="8" w:space="0"/>
              <w:bottom w:val="double" w:color="auto" w:sz="6" w:space="0"/>
              <w:right w:val="single" w:color="auto" w:sz="8" w:space="0"/>
            </w:tcBorders>
            <w:shd w:val="clear" w:color="auto" w:fill="auto"/>
            <w:vAlign w:val="center"/>
          </w:tcPr>
          <w:p w:rsidRPr="009C010A" w:rsidR="00771606" w:rsidP="0039455F" w:rsidRDefault="00771606" w14:paraId="32383699" w14:textId="77777777">
            <w:pPr>
              <w:pStyle w:val="BodyText2"/>
              <w:jc w:val="center"/>
              <w:rPr>
                <w:sz w:val="22"/>
                <w:szCs w:val="22"/>
              </w:rPr>
            </w:pPr>
            <w:r>
              <w:rPr>
                <w:sz w:val="22"/>
                <w:szCs w:val="22"/>
              </w:rPr>
              <w:t>294</w:t>
            </w:r>
          </w:p>
        </w:tc>
        <w:tc>
          <w:tcPr>
            <w:tcW w:w="1074" w:type="dxa"/>
            <w:tcBorders>
              <w:top w:val="nil"/>
              <w:left w:val="single" w:color="auto" w:sz="8" w:space="0"/>
              <w:bottom w:val="double" w:color="auto" w:sz="6" w:space="0"/>
              <w:right w:val="single" w:color="auto" w:sz="8" w:space="0"/>
            </w:tcBorders>
            <w:shd w:val="clear" w:color="auto" w:fill="auto"/>
            <w:vAlign w:val="center"/>
          </w:tcPr>
          <w:p w:rsidRPr="009C010A" w:rsidR="00771606" w:rsidP="0039455F" w:rsidRDefault="00771606" w14:paraId="31934E58" w14:textId="77777777">
            <w:pPr>
              <w:pStyle w:val="BodyText2"/>
              <w:jc w:val="center"/>
              <w:rPr>
                <w:sz w:val="22"/>
                <w:szCs w:val="22"/>
              </w:rPr>
            </w:pPr>
            <w:r>
              <w:rPr>
                <w:sz w:val="22"/>
                <w:szCs w:val="22"/>
              </w:rPr>
              <w:t>9,702</w:t>
            </w:r>
          </w:p>
        </w:tc>
        <w:tc>
          <w:tcPr>
            <w:tcW w:w="1386" w:type="dxa"/>
            <w:tcBorders>
              <w:top w:val="nil"/>
              <w:left w:val="single" w:color="auto" w:sz="8" w:space="0"/>
              <w:bottom w:val="double" w:color="auto" w:sz="6" w:space="0"/>
              <w:right w:val="single" w:color="auto" w:sz="8" w:space="0"/>
            </w:tcBorders>
          </w:tcPr>
          <w:p w:rsidRPr="009C010A" w:rsidR="00771606" w:rsidP="0039455F" w:rsidRDefault="00771606" w14:paraId="7B3159BC" w14:textId="77777777">
            <w:pPr>
              <w:pStyle w:val="BodyText2"/>
              <w:jc w:val="center"/>
              <w:rPr>
                <w:sz w:val="22"/>
                <w:szCs w:val="22"/>
              </w:rPr>
            </w:pPr>
            <w:r>
              <w:rPr>
                <w:sz w:val="22"/>
                <w:szCs w:val="22"/>
              </w:rPr>
              <w:t>$64.02</w:t>
            </w:r>
          </w:p>
        </w:tc>
        <w:tc>
          <w:tcPr>
            <w:tcW w:w="1680" w:type="dxa"/>
            <w:tcBorders>
              <w:top w:val="nil"/>
              <w:left w:val="single" w:color="auto" w:sz="8" w:space="0"/>
              <w:bottom w:val="double" w:color="auto" w:sz="6" w:space="0"/>
              <w:right w:val="single" w:color="auto" w:sz="8" w:space="0"/>
            </w:tcBorders>
          </w:tcPr>
          <w:p w:rsidRPr="009C010A" w:rsidR="00771606" w:rsidP="0039455F" w:rsidRDefault="00771606" w14:paraId="2F4C8459" w14:textId="77777777">
            <w:pPr>
              <w:pStyle w:val="BodyText2"/>
              <w:jc w:val="center"/>
              <w:rPr>
                <w:sz w:val="22"/>
                <w:szCs w:val="22"/>
              </w:rPr>
            </w:pPr>
            <w:r>
              <w:rPr>
                <w:sz w:val="22"/>
                <w:szCs w:val="22"/>
              </w:rPr>
              <w:t>$621,122</w:t>
            </w:r>
          </w:p>
        </w:tc>
      </w:tr>
      <w:tr w:rsidRPr="009C010A" w:rsidR="00771606" w:rsidTr="0005413C" w14:paraId="43C259F0" w14:textId="77777777">
        <w:trPr>
          <w:trHeight w:val="423"/>
        </w:trPr>
        <w:tc>
          <w:tcPr>
            <w:tcW w:w="1075" w:type="dxa"/>
            <w:tcBorders>
              <w:top w:val="double" w:color="auto" w:sz="4" w:space="0"/>
              <w:bottom w:val="single" w:color="auto" w:sz="8" w:space="0"/>
              <w:right w:val="single" w:color="auto" w:sz="8" w:space="0"/>
            </w:tcBorders>
            <w:vAlign w:val="center"/>
          </w:tcPr>
          <w:p w:rsidRPr="009C010A" w:rsidR="00771606" w:rsidP="0039455F" w:rsidRDefault="00771606" w14:paraId="71785216" w14:textId="77777777">
            <w:pPr>
              <w:pStyle w:val="BodyText2"/>
              <w:jc w:val="center"/>
              <w:rPr>
                <w:sz w:val="22"/>
                <w:szCs w:val="22"/>
              </w:rPr>
            </w:pPr>
            <w:r w:rsidRPr="009C010A">
              <w:rPr>
                <w:sz w:val="22"/>
                <w:szCs w:val="22"/>
              </w:rPr>
              <w:t>Totals</w:t>
            </w:r>
          </w:p>
        </w:tc>
        <w:tc>
          <w:tcPr>
            <w:tcW w:w="1440" w:type="dxa"/>
            <w:tcBorders>
              <w:top w:val="nil"/>
              <w:left w:val="single" w:color="auto" w:sz="8" w:space="0"/>
              <w:bottom w:val="single" w:color="000000" w:sz="4" w:space="0"/>
              <w:right w:val="single" w:color="auto" w:sz="8" w:space="0"/>
            </w:tcBorders>
            <w:shd w:val="clear" w:color="auto" w:fill="auto"/>
            <w:vAlign w:val="center"/>
          </w:tcPr>
          <w:p w:rsidRPr="009C010A" w:rsidR="00771606" w:rsidP="0039455F" w:rsidRDefault="00771606" w14:paraId="2FF214B2" w14:textId="77777777">
            <w:pPr>
              <w:pStyle w:val="BodyText2"/>
              <w:jc w:val="center"/>
              <w:rPr>
                <w:sz w:val="22"/>
                <w:szCs w:val="22"/>
              </w:rPr>
            </w:pPr>
            <w:r>
              <w:rPr>
                <w:sz w:val="22"/>
                <w:szCs w:val="22"/>
              </w:rPr>
              <w:t>209</w:t>
            </w:r>
          </w:p>
        </w:tc>
        <w:tc>
          <w:tcPr>
            <w:tcW w:w="1350" w:type="dxa"/>
            <w:tcBorders>
              <w:top w:val="nil"/>
              <w:left w:val="single" w:color="auto" w:sz="8" w:space="0"/>
              <w:bottom w:val="single" w:color="000000" w:sz="4" w:space="0"/>
              <w:right w:val="single" w:color="auto" w:sz="8" w:space="0"/>
            </w:tcBorders>
            <w:shd w:val="clear" w:color="auto" w:fill="auto"/>
            <w:vAlign w:val="center"/>
          </w:tcPr>
          <w:p w:rsidRPr="009C010A" w:rsidR="00771606" w:rsidP="0039455F" w:rsidRDefault="00771606" w14:paraId="7510D07F" w14:textId="77777777">
            <w:pPr>
              <w:pStyle w:val="BodyText2"/>
              <w:jc w:val="center"/>
              <w:rPr>
                <w:sz w:val="22"/>
                <w:szCs w:val="22"/>
              </w:rPr>
            </w:pPr>
            <w:r w:rsidRPr="009C010A">
              <w:rPr>
                <w:sz w:val="22"/>
                <w:szCs w:val="22"/>
              </w:rPr>
              <w:t>1</w:t>
            </w:r>
          </w:p>
        </w:tc>
        <w:tc>
          <w:tcPr>
            <w:tcW w:w="1260" w:type="dxa"/>
            <w:tcBorders>
              <w:top w:val="nil"/>
              <w:left w:val="single" w:color="auto" w:sz="8" w:space="0"/>
              <w:bottom w:val="single" w:color="000000" w:sz="4" w:space="0"/>
              <w:right w:val="single" w:color="auto" w:sz="8" w:space="0"/>
            </w:tcBorders>
            <w:shd w:val="clear" w:color="auto" w:fill="auto"/>
            <w:vAlign w:val="center"/>
          </w:tcPr>
          <w:p w:rsidRPr="009C010A" w:rsidR="00771606" w:rsidP="0039455F" w:rsidRDefault="00771606" w14:paraId="211B7E31" w14:textId="77777777">
            <w:pPr>
              <w:pStyle w:val="BodyText2"/>
              <w:jc w:val="center"/>
              <w:rPr>
                <w:sz w:val="22"/>
                <w:szCs w:val="22"/>
              </w:rPr>
            </w:pPr>
            <w:r>
              <w:rPr>
                <w:sz w:val="22"/>
                <w:szCs w:val="22"/>
              </w:rPr>
              <w:t>209</w:t>
            </w:r>
          </w:p>
        </w:tc>
        <w:tc>
          <w:tcPr>
            <w:tcW w:w="1260" w:type="dxa"/>
            <w:tcBorders>
              <w:top w:val="double" w:color="auto" w:sz="6" w:space="0"/>
              <w:left w:val="single" w:color="auto" w:sz="8" w:space="0"/>
              <w:bottom w:val="single" w:color="000000" w:sz="4" w:space="0"/>
              <w:right w:val="single" w:color="auto" w:sz="8" w:space="0"/>
            </w:tcBorders>
            <w:shd w:val="clear" w:color="auto" w:fill="BFBFBF" w:themeFill="background1" w:themeFillShade="BF"/>
            <w:vAlign w:val="center"/>
          </w:tcPr>
          <w:p w:rsidRPr="009C010A" w:rsidR="00771606" w:rsidP="0039455F" w:rsidRDefault="00771606" w14:paraId="36C4E090" w14:textId="77777777">
            <w:pPr>
              <w:pStyle w:val="BodyText2"/>
              <w:jc w:val="center"/>
              <w:rPr>
                <w:sz w:val="22"/>
                <w:szCs w:val="22"/>
              </w:rPr>
            </w:pPr>
          </w:p>
        </w:tc>
        <w:tc>
          <w:tcPr>
            <w:tcW w:w="1074" w:type="dxa"/>
            <w:tcBorders>
              <w:top w:val="nil"/>
              <w:left w:val="single" w:color="auto" w:sz="8" w:space="0"/>
              <w:bottom w:val="single" w:color="000000" w:sz="4" w:space="0"/>
              <w:right w:val="single" w:color="auto" w:sz="8" w:space="0"/>
            </w:tcBorders>
            <w:shd w:val="clear" w:color="auto" w:fill="auto"/>
            <w:vAlign w:val="center"/>
          </w:tcPr>
          <w:p w:rsidRPr="009C010A" w:rsidR="00771606" w:rsidP="0039455F" w:rsidRDefault="00BE1237" w14:paraId="39E7C815" w14:textId="5EA6A858">
            <w:pPr>
              <w:pStyle w:val="BodyText2"/>
              <w:jc w:val="center"/>
              <w:rPr>
                <w:sz w:val="22"/>
                <w:szCs w:val="22"/>
              </w:rPr>
            </w:pPr>
            <w:r>
              <w:rPr>
                <w:sz w:val="22"/>
                <w:szCs w:val="22"/>
              </w:rPr>
              <w:t>64,</w:t>
            </w:r>
            <w:r w:rsidR="00771606">
              <w:rPr>
                <w:sz w:val="22"/>
                <w:szCs w:val="22"/>
              </w:rPr>
              <w:t>614</w:t>
            </w:r>
          </w:p>
        </w:tc>
        <w:tc>
          <w:tcPr>
            <w:tcW w:w="1386" w:type="dxa"/>
            <w:tcBorders>
              <w:top w:val="double" w:color="auto" w:sz="6" w:space="0"/>
              <w:left w:val="single" w:color="auto" w:sz="8" w:space="0"/>
              <w:bottom w:val="single" w:color="000000" w:sz="4" w:space="0"/>
              <w:right w:val="single" w:color="auto" w:sz="8" w:space="0"/>
            </w:tcBorders>
            <w:shd w:val="clear" w:color="auto" w:fill="BFBFBF" w:themeFill="background1" w:themeFillShade="BF"/>
          </w:tcPr>
          <w:p w:rsidRPr="009C010A" w:rsidR="00771606" w:rsidP="0039455F" w:rsidRDefault="00771606" w14:paraId="0BF3AA52" w14:textId="77777777">
            <w:pPr>
              <w:pStyle w:val="BodyText2"/>
              <w:tabs>
                <w:tab w:val="left" w:pos="280"/>
              </w:tabs>
              <w:jc w:val="center"/>
              <w:rPr>
                <w:sz w:val="22"/>
                <w:szCs w:val="22"/>
              </w:rPr>
            </w:pPr>
          </w:p>
        </w:tc>
        <w:tc>
          <w:tcPr>
            <w:tcW w:w="1680" w:type="dxa"/>
            <w:tcBorders>
              <w:top w:val="nil"/>
              <w:left w:val="single" w:color="auto" w:sz="8" w:space="0"/>
              <w:bottom w:val="single" w:color="000000" w:sz="4" w:space="0"/>
              <w:right w:val="single" w:color="auto" w:sz="8" w:space="0"/>
            </w:tcBorders>
          </w:tcPr>
          <w:p w:rsidRPr="009C010A" w:rsidR="00771606" w:rsidP="0039455F" w:rsidRDefault="00771606" w14:paraId="1DD9B35B" w14:textId="77777777">
            <w:pPr>
              <w:pStyle w:val="BodyText2"/>
              <w:jc w:val="center"/>
              <w:rPr>
                <w:sz w:val="22"/>
                <w:szCs w:val="22"/>
              </w:rPr>
            </w:pPr>
            <w:r>
              <w:rPr>
                <w:sz w:val="22"/>
                <w:szCs w:val="22"/>
              </w:rPr>
              <w:t>$4,583,023</w:t>
            </w:r>
          </w:p>
        </w:tc>
      </w:tr>
    </w:tbl>
    <w:p w:rsidRPr="00F9665A" w:rsidR="00586544" w:rsidP="001422CF" w:rsidRDefault="00586544" w14:paraId="4C70CF3A" w14:textId="2D4C8FCB"/>
    <w:p w:rsidRPr="001422CF" w:rsidR="00586544" w:rsidP="001422CF" w:rsidRDefault="00586544" w14:paraId="6614C096" w14:textId="6C83C0D6">
      <w:pPr>
        <w:pStyle w:val="BodyText3"/>
        <w:spacing w:after="0"/>
        <w:ind w:left="360"/>
        <w:rPr>
          <w:sz w:val="24"/>
          <w:szCs w:val="24"/>
        </w:rPr>
      </w:pPr>
    </w:p>
    <w:p w:rsidRPr="00FB7D45" w:rsidR="00586544" w:rsidP="00586544" w:rsidRDefault="00586544" w14:paraId="452D26C3" w14:textId="77777777">
      <w:pPr>
        <w:pStyle w:val="ListParagraph"/>
        <w:numPr>
          <w:ilvl w:val="0"/>
          <w:numId w:val="1"/>
        </w:numPr>
        <w:ind w:left="360"/>
        <w:rPr>
          <w:u w:val="single"/>
        </w:rPr>
      </w:pPr>
      <w:r w:rsidRPr="00FB7D45">
        <w:rPr>
          <w:u w:val="single"/>
        </w:rPr>
        <w:t>Estimate of total annual cost burden to respondents</w:t>
      </w:r>
    </w:p>
    <w:p w:rsidR="00586544" w:rsidP="00586544" w:rsidRDefault="00586544" w14:paraId="7034F2BC" w14:textId="4D2C8BE4">
      <w:pPr>
        <w:pStyle w:val="ListParagraph"/>
        <w:ind w:left="360"/>
      </w:pPr>
      <w:r w:rsidRPr="00F9665A">
        <w:t xml:space="preserve">It is not expected that this information collection will have a cost burden to respondents other than the hour burden described in item number 12.  </w:t>
      </w:r>
    </w:p>
    <w:p w:rsidR="00213913" w:rsidP="00586544" w:rsidRDefault="00213913" w14:paraId="1FCC83FA" w14:textId="77777777">
      <w:pPr>
        <w:pStyle w:val="ListParagraph"/>
        <w:ind w:left="360"/>
      </w:pPr>
    </w:p>
    <w:p w:rsidRPr="001422CF" w:rsidR="006C5997" w:rsidP="001422CF" w:rsidRDefault="00213913" w14:paraId="5CFE4A96" w14:textId="54005DC0">
      <w:pPr>
        <w:pStyle w:val="ListParagraph"/>
        <w:ind w:left="360"/>
      </w:pPr>
      <w:r>
        <w:t>No purchase of equipment or services will need to be made by respondents for this information collection other than those required as a part of customary and usual business practices.</w:t>
      </w:r>
    </w:p>
    <w:p w:rsidRPr="00F9665A" w:rsidR="006C5997" w:rsidP="00586544" w:rsidRDefault="006C5997" w14:paraId="340F03D2" w14:textId="77777777">
      <w:pPr>
        <w:rPr>
          <w:u w:val="single"/>
        </w:rPr>
      </w:pPr>
    </w:p>
    <w:p w:rsidRPr="00FB7D45" w:rsidR="00586544" w:rsidP="00586544" w:rsidRDefault="00586544" w14:paraId="51551B37" w14:textId="77777777">
      <w:pPr>
        <w:pStyle w:val="ListParagraph"/>
        <w:numPr>
          <w:ilvl w:val="0"/>
          <w:numId w:val="1"/>
        </w:numPr>
        <w:ind w:left="360"/>
        <w:rPr>
          <w:u w:val="single"/>
        </w:rPr>
      </w:pPr>
      <w:r w:rsidRPr="00FB7D45">
        <w:rPr>
          <w:u w:val="single"/>
        </w:rPr>
        <w:t>Estimate of annualized cost to the Government</w:t>
      </w:r>
    </w:p>
    <w:p w:rsidR="00771606" w:rsidP="00586544" w:rsidRDefault="00586544" w14:paraId="0366C952" w14:textId="40FF7A87">
      <w:pPr>
        <w:pStyle w:val="ListParagraph"/>
        <w:ind w:left="360"/>
      </w:pPr>
      <w:r w:rsidRPr="00F9665A">
        <w:t>The cost to the Government is the CDFI Fund staff and contractor time required to develop</w:t>
      </w:r>
      <w:r>
        <w:t xml:space="preserve"> </w:t>
      </w:r>
      <w:r w:rsidRPr="00F9665A">
        <w:t xml:space="preserve">the </w:t>
      </w:r>
      <w:r w:rsidR="00771606">
        <w:t>A</w:t>
      </w:r>
      <w:r w:rsidRPr="00F9665A">
        <w:t>pplication, review submitted applications, and report the results.</w:t>
      </w:r>
      <w:r>
        <w:t xml:space="preserve">  The estimate of annualized cost to the Federal government</w:t>
      </w:r>
      <w:r w:rsidR="00771606">
        <w:t xml:space="preserve"> based on a methodology that estimated the time and loaded labor rate for the CDFI Fund staff by GS level and cost of contractor services for the lifecycle of the collection.  The estimated total cost</w:t>
      </w:r>
      <w:r>
        <w:t xml:space="preserve"> is $2,184,965.00. </w:t>
      </w:r>
    </w:p>
    <w:p w:rsidRPr="00F9665A" w:rsidR="00586544" w:rsidP="00586544" w:rsidRDefault="00586544" w14:paraId="4901EFBC" w14:textId="299B3C9F">
      <w:pPr>
        <w:pStyle w:val="ListParagraph"/>
        <w:ind w:left="360"/>
      </w:pPr>
    </w:p>
    <w:tbl>
      <w:tblPr>
        <w:tblStyle w:val="TableGrid"/>
        <w:tblpPr w:leftFromText="180" w:rightFromText="180" w:vertAnchor="text" w:horzAnchor="page" w:tblpX="3436" w:tblpY="109"/>
        <w:tblW w:w="0" w:type="auto"/>
        <w:tblInd w:w="0" w:type="dxa"/>
        <w:tblLook w:val="04A0" w:firstRow="1" w:lastRow="0" w:firstColumn="1" w:lastColumn="0" w:noHBand="0" w:noVBand="1"/>
      </w:tblPr>
      <w:tblGrid>
        <w:gridCol w:w="3145"/>
        <w:gridCol w:w="1890"/>
      </w:tblGrid>
      <w:tr w:rsidRPr="00446F01" w:rsidR="00771606" w:rsidTr="0039455F" w14:paraId="22D6237A" w14:textId="77777777">
        <w:trPr>
          <w:trHeight w:val="300"/>
        </w:trPr>
        <w:tc>
          <w:tcPr>
            <w:tcW w:w="3145" w:type="dxa"/>
            <w:shd w:val="clear" w:color="auto" w:fill="404040" w:themeFill="text1" w:themeFillTint="BF"/>
            <w:noWrap/>
            <w:hideMark/>
          </w:tcPr>
          <w:p w:rsidRPr="00074EFD" w:rsidR="00771606" w:rsidP="0039455F" w:rsidRDefault="00771606" w14:paraId="4B3A6B38" w14:textId="77777777">
            <w:pPr>
              <w:jc w:val="center"/>
              <w:rPr>
                <w:b/>
                <w:bCs/>
                <w:color w:val="FFFFFF"/>
                <w:sz w:val="22"/>
                <w:szCs w:val="22"/>
              </w:rPr>
            </w:pPr>
            <w:r w:rsidRPr="00074EFD">
              <w:rPr>
                <w:b/>
                <w:bCs/>
                <w:color w:val="FFFFFF"/>
                <w:sz w:val="22"/>
                <w:szCs w:val="22"/>
              </w:rPr>
              <w:t>Expense Category</w:t>
            </w:r>
          </w:p>
        </w:tc>
        <w:tc>
          <w:tcPr>
            <w:tcW w:w="1890" w:type="dxa"/>
            <w:shd w:val="clear" w:color="auto" w:fill="404040" w:themeFill="text1" w:themeFillTint="BF"/>
            <w:noWrap/>
            <w:hideMark/>
          </w:tcPr>
          <w:p w:rsidRPr="00074EFD" w:rsidR="00771606" w:rsidP="0039455F" w:rsidRDefault="00771606" w14:paraId="1B30310B" w14:textId="77777777">
            <w:pPr>
              <w:jc w:val="center"/>
              <w:rPr>
                <w:b/>
                <w:bCs/>
                <w:color w:val="FFFFFF"/>
                <w:sz w:val="22"/>
                <w:szCs w:val="22"/>
              </w:rPr>
            </w:pPr>
            <w:r w:rsidRPr="00074EFD">
              <w:rPr>
                <w:b/>
                <w:bCs/>
                <w:color w:val="FFFFFF"/>
                <w:sz w:val="22"/>
                <w:szCs w:val="22"/>
              </w:rPr>
              <w:t>Cost</w:t>
            </w:r>
          </w:p>
        </w:tc>
      </w:tr>
      <w:tr w:rsidRPr="00446F01" w:rsidR="00771606" w:rsidTr="0039455F" w14:paraId="3038FBDB" w14:textId="77777777">
        <w:trPr>
          <w:trHeight w:val="300"/>
        </w:trPr>
        <w:tc>
          <w:tcPr>
            <w:tcW w:w="3145" w:type="dxa"/>
            <w:noWrap/>
            <w:hideMark/>
          </w:tcPr>
          <w:p w:rsidRPr="00446F01" w:rsidR="00771606" w:rsidP="0039455F" w:rsidRDefault="00771606" w14:paraId="0C1BC6CE" w14:textId="77777777">
            <w:r w:rsidRPr="00446F01">
              <w:t>IT Contract</w:t>
            </w:r>
          </w:p>
        </w:tc>
        <w:tc>
          <w:tcPr>
            <w:tcW w:w="1890" w:type="dxa"/>
            <w:noWrap/>
          </w:tcPr>
          <w:p w:rsidRPr="00446F01" w:rsidR="00771606" w:rsidP="0039455F" w:rsidRDefault="001F7961" w14:paraId="20A68B41" w14:textId="538A266C">
            <w:pPr>
              <w:pStyle w:val="ListParagraph"/>
              <w:ind w:left="360"/>
              <w:jc w:val="right"/>
            </w:pPr>
            <w:r w:rsidRPr="001F7961">
              <w:t>$</w:t>
            </w:r>
            <w:r>
              <w:t xml:space="preserve"> </w:t>
            </w:r>
            <w:r w:rsidRPr="001F7961">
              <w:t>575,679</w:t>
            </w:r>
          </w:p>
        </w:tc>
      </w:tr>
      <w:tr w:rsidRPr="00446F01" w:rsidR="00771606" w:rsidTr="0039455F" w14:paraId="3F9E13E2" w14:textId="77777777">
        <w:trPr>
          <w:trHeight w:val="300"/>
        </w:trPr>
        <w:tc>
          <w:tcPr>
            <w:tcW w:w="3145" w:type="dxa"/>
            <w:noWrap/>
            <w:hideMark/>
          </w:tcPr>
          <w:p w:rsidRPr="00446F01" w:rsidR="00771606" w:rsidP="0039455F" w:rsidRDefault="00771606" w14:paraId="1522BFBA" w14:textId="77777777">
            <w:r w:rsidRPr="00446F01">
              <w:t>External Review Contract</w:t>
            </w:r>
          </w:p>
        </w:tc>
        <w:tc>
          <w:tcPr>
            <w:tcW w:w="1890" w:type="dxa"/>
            <w:noWrap/>
          </w:tcPr>
          <w:p w:rsidRPr="00446F01" w:rsidR="00771606" w:rsidP="0039455F" w:rsidRDefault="001F7961" w14:paraId="7121FAC4" w14:textId="52181D64">
            <w:pPr>
              <w:pStyle w:val="ListParagraph"/>
              <w:ind w:left="360"/>
              <w:jc w:val="right"/>
            </w:pPr>
            <w:r>
              <w:t>$ 293,464</w:t>
            </w:r>
          </w:p>
        </w:tc>
      </w:tr>
      <w:tr w:rsidRPr="00446F01" w:rsidR="00771606" w:rsidTr="0039455F" w14:paraId="1E686CA2" w14:textId="77777777">
        <w:trPr>
          <w:trHeight w:val="300"/>
        </w:trPr>
        <w:tc>
          <w:tcPr>
            <w:tcW w:w="3145" w:type="dxa"/>
            <w:noWrap/>
            <w:hideMark/>
          </w:tcPr>
          <w:p w:rsidRPr="00446F01" w:rsidR="00771606" w:rsidP="0039455F" w:rsidRDefault="00771606" w14:paraId="2E6DA77C" w14:textId="77777777">
            <w:r w:rsidRPr="00446F01">
              <w:t>CDFI Fund Staff</w:t>
            </w:r>
            <w:r>
              <w:t xml:space="preserve"> </w:t>
            </w:r>
          </w:p>
        </w:tc>
        <w:tc>
          <w:tcPr>
            <w:tcW w:w="1890" w:type="dxa"/>
            <w:noWrap/>
          </w:tcPr>
          <w:p w:rsidRPr="00AA530F" w:rsidR="00771606" w:rsidP="0039455F" w:rsidRDefault="00771606" w14:paraId="3FBF067B" w14:textId="469D6301">
            <w:pPr>
              <w:pStyle w:val="ListParagraph"/>
              <w:ind w:left="360"/>
              <w:jc w:val="right"/>
            </w:pPr>
            <w:r w:rsidRPr="00AA530F">
              <w:t>$1,</w:t>
            </w:r>
            <w:r>
              <w:t>315</w:t>
            </w:r>
            <w:r w:rsidR="001F7961">
              <w:t>,822</w:t>
            </w:r>
          </w:p>
        </w:tc>
      </w:tr>
      <w:tr w:rsidRPr="00446F01" w:rsidR="00771606" w:rsidTr="0039455F" w14:paraId="4FE8E174" w14:textId="77777777">
        <w:trPr>
          <w:trHeight w:val="300"/>
        </w:trPr>
        <w:tc>
          <w:tcPr>
            <w:tcW w:w="3145" w:type="dxa"/>
            <w:noWrap/>
            <w:hideMark/>
          </w:tcPr>
          <w:p w:rsidRPr="00446F01" w:rsidR="00771606" w:rsidP="0039455F" w:rsidRDefault="00771606" w14:paraId="271C556D" w14:textId="77777777">
            <w:pPr>
              <w:pStyle w:val="ListParagraph"/>
              <w:ind w:left="360"/>
              <w:jc w:val="right"/>
            </w:pPr>
            <w:r w:rsidRPr="00446F01">
              <w:t>Total</w:t>
            </w:r>
          </w:p>
        </w:tc>
        <w:tc>
          <w:tcPr>
            <w:tcW w:w="1890" w:type="dxa"/>
            <w:noWrap/>
          </w:tcPr>
          <w:p w:rsidRPr="00AA530F" w:rsidR="00771606" w:rsidP="0039455F" w:rsidRDefault="00771606" w14:paraId="0505F085" w14:textId="6053B6EC">
            <w:pPr>
              <w:pStyle w:val="ListParagraph"/>
              <w:ind w:left="360"/>
              <w:jc w:val="right"/>
            </w:pPr>
            <w:r w:rsidRPr="00AA530F">
              <w:t>$2,</w:t>
            </w:r>
            <w:r w:rsidR="001F7961">
              <w:t>184,965</w:t>
            </w:r>
          </w:p>
        </w:tc>
      </w:tr>
    </w:tbl>
    <w:p w:rsidR="00586544" w:rsidP="00586544" w:rsidRDefault="00586544" w14:paraId="6A56E892" w14:textId="5158D97C">
      <w:pPr>
        <w:rPr>
          <w:u w:val="single"/>
        </w:rPr>
      </w:pPr>
    </w:p>
    <w:p w:rsidR="00771606" w:rsidP="00586544" w:rsidRDefault="00771606" w14:paraId="589C57E4" w14:textId="748AC3F0">
      <w:pPr>
        <w:rPr>
          <w:u w:val="single"/>
        </w:rPr>
      </w:pPr>
    </w:p>
    <w:p w:rsidR="00771606" w:rsidP="00586544" w:rsidRDefault="00771606" w14:paraId="0A8BB9F0" w14:textId="34235D2D">
      <w:pPr>
        <w:rPr>
          <w:u w:val="single"/>
        </w:rPr>
      </w:pPr>
    </w:p>
    <w:p w:rsidR="00771606" w:rsidP="00586544" w:rsidRDefault="00771606" w14:paraId="4BBA678E" w14:textId="5EAD335C">
      <w:pPr>
        <w:rPr>
          <w:u w:val="single"/>
        </w:rPr>
      </w:pPr>
    </w:p>
    <w:p w:rsidR="00771606" w:rsidP="00586544" w:rsidRDefault="00771606" w14:paraId="35982877" w14:textId="73328AD1">
      <w:pPr>
        <w:rPr>
          <w:u w:val="single"/>
        </w:rPr>
      </w:pPr>
    </w:p>
    <w:p w:rsidR="00771606" w:rsidP="00586544" w:rsidRDefault="00771606" w14:paraId="75046DC2" w14:textId="77777777">
      <w:pPr>
        <w:rPr>
          <w:u w:val="single"/>
        </w:rPr>
      </w:pPr>
    </w:p>
    <w:p w:rsidR="00771606" w:rsidP="00586544" w:rsidRDefault="00771606" w14:paraId="79160CFC" w14:textId="702DA5ED">
      <w:pPr>
        <w:rPr>
          <w:u w:val="single"/>
        </w:rPr>
      </w:pPr>
    </w:p>
    <w:p w:rsidR="00771606" w:rsidP="00586544" w:rsidRDefault="00771606" w14:paraId="2243638B" w14:textId="39D2CEA3">
      <w:pPr>
        <w:rPr>
          <w:u w:val="single"/>
        </w:rPr>
      </w:pPr>
    </w:p>
    <w:p w:rsidR="001F7961" w:rsidP="001F7961" w:rsidRDefault="001F7961" w14:paraId="6B1888AE" w14:textId="14A3EA06">
      <w:pPr>
        <w:pStyle w:val="ListParagraph"/>
        <w:ind w:left="360"/>
      </w:pPr>
      <w:r>
        <w:t xml:space="preserve">Specifically, the CDFI Fund estimated the hours by grade level for each step of the application life cycle from pre-application preparation, Application collection, Application review, and award announcement. The staff wage rate was based on Step 5 of the respective </w:t>
      </w:r>
      <w:r>
        <w:lastRenderedPageBreak/>
        <w:t xml:space="preserve">GS level and then multiplied by 1.63 to capture the value of non-wage compensation. The average fully loaded cost per hour was based on a standard 2,000 full time equivalent (FTE) hours per year. </w:t>
      </w:r>
    </w:p>
    <w:p w:rsidRPr="00F9665A" w:rsidR="001F7961" w:rsidP="00586544" w:rsidRDefault="001F7961" w14:paraId="674E0D64" w14:textId="77777777">
      <w:pPr>
        <w:rPr>
          <w:u w:val="single"/>
        </w:rPr>
      </w:pPr>
    </w:p>
    <w:p w:rsidRPr="00FB7D45" w:rsidR="00586544" w:rsidP="00586544" w:rsidRDefault="00586544" w14:paraId="23250ABF" w14:textId="77777777">
      <w:pPr>
        <w:pStyle w:val="ListParagraph"/>
        <w:numPr>
          <w:ilvl w:val="0"/>
          <w:numId w:val="1"/>
        </w:numPr>
        <w:ind w:left="360"/>
        <w:rPr>
          <w:u w:val="single"/>
        </w:rPr>
      </w:pPr>
      <w:r w:rsidRPr="00FB7D45">
        <w:rPr>
          <w:u w:val="single"/>
        </w:rPr>
        <w:t>Any program changes or adjustments</w:t>
      </w:r>
    </w:p>
    <w:p w:rsidR="00586544" w:rsidP="00050FF4" w:rsidRDefault="00586544" w14:paraId="35E5F749" w14:textId="4A7B0A6E">
      <w:pPr>
        <w:pStyle w:val="ListParagraph"/>
        <w:ind w:left="360"/>
      </w:pPr>
      <w:r>
        <w:t>The NMTC Program has proposed minor changes to the CY 2021 – 2023 NMTC Program Application</w:t>
      </w:r>
      <w:r w:rsidR="00E7045D">
        <w:t>, compared to the NMTC Program Application approved in 2018,</w:t>
      </w:r>
      <w:r>
        <w:t xml:space="preserve"> to collect necessary information for the CDFI Fund to make allocation award determinations.</w:t>
      </w:r>
      <w:r w:rsidR="00050FF4">
        <w:t xml:space="preserve"> </w:t>
      </w:r>
    </w:p>
    <w:p w:rsidR="001422CF" w:rsidP="00586544" w:rsidRDefault="001422CF" w14:paraId="00050CAC" w14:textId="787BE863">
      <w:pPr>
        <w:pStyle w:val="ListParagraph"/>
        <w:ind w:left="360"/>
      </w:pPr>
    </w:p>
    <w:p w:rsidR="001422CF" w:rsidP="00586544" w:rsidRDefault="001422CF" w14:paraId="448F05D1" w14:textId="4B2B1E44">
      <w:pPr>
        <w:pStyle w:val="ListParagraph"/>
        <w:ind w:left="360"/>
      </w:pPr>
      <w:r>
        <w:t>Key changes proposed to the NMTC Program Application include the following:</w:t>
      </w:r>
    </w:p>
    <w:p w:rsidR="001422CF" w:rsidP="0005413C" w:rsidRDefault="001422CF" w14:paraId="50350692" w14:textId="13D7006B">
      <w:pPr>
        <w:pStyle w:val="ListParagraph"/>
        <w:numPr>
          <w:ilvl w:val="0"/>
          <w:numId w:val="3"/>
        </w:numPr>
      </w:pPr>
      <w:r>
        <w:t xml:space="preserve">Revisions to </w:t>
      </w:r>
      <w:r w:rsidR="00050FF4">
        <w:t xml:space="preserve">the </w:t>
      </w:r>
      <w:r>
        <w:t>G</w:t>
      </w:r>
      <w:r w:rsidR="00050FF4">
        <w:t>lossary, including the defined terms Controlling Entity, Disadvantaged Businesses, Low-Income Person</w:t>
      </w:r>
      <w:r w:rsidR="00A4514A">
        <w:t>-</w:t>
      </w:r>
      <w:r w:rsidR="00050FF4">
        <w:t>owned or controlled, Minority</w:t>
      </w:r>
      <w:r w:rsidR="00A4514A">
        <w:t>-</w:t>
      </w:r>
      <w:r w:rsidR="00050FF4">
        <w:t>owned or controlled, Native American, Native American</w:t>
      </w:r>
      <w:r w:rsidR="00A4514A">
        <w:t>-</w:t>
      </w:r>
      <w:r w:rsidR="00050FF4">
        <w:t>owned or controlled).</w:t>
      </w:r>
    </w:p>
    <w:p w:rsidR="001422CF" w:rsidP="0005413C" w:rsidRDefault="001422CF" w14:paraId="3E23A38B" w14:textId="0562C57E">
      <w:pPr>
        <w:pStyle w:val="ListParagraph"/>
        <w:numPr>
          <w:ilvl w:val="0"/>
          <w:numId w:val="3"/>
        </w:numPr>
      </w:pPr>
      <w:r>
        <w:t>Revisions to Question 14, Question 34, and Table D2 to require necessary information on the amount of requested allocation that will be utilized to provide each financial product proposed and the associated fees that will be charged.</w:t>
      </w:r>
    </w:p>
    <w:p w:rsidR="001422CF" w:rsidP="0005413C" w:rsidRDefault="001422CF" w14:paraId="393F1F95" w14:textId="22B3A2FD">
      <w:pPr>
        <w:pStyle w:val="ListParagraph"/>
        <w:numPr>
          <w:ilvl w:val="0"/>
          <w:numId w:val="3"/>
        </w:numPr>
      </w:pPr>
      <w:r>
        <w:t xml:space="preserve">Removal of the option to select “single or discrete projects” in Question 17. All Applicants would be required to provide a general pipeline of </w:t>
      </w:r>
      <w:r w:rsidR="00DE1A1E">
        <w:t>Qualified Active Low-Income Community Businesses (QALICBs)</w:t>
      </w:r>
      <w:r>
        <w:t xml:space="preserve"> in Table A5.</w:t>
      </w:r>
    </w:p>
    <w:p w:rsidR="001422CF" w:rsidP="0005413C" w:rsidRDefault="00DE1A1E" w14:paraId="25DE4650" w14:textId="4E367728">
      <w:pPr>
        <w:pStyle w:val="ListParagraph"/>
        <w:numPr>
          <w:ilvl w:val="0"/>
          <w:numId w:val="3"/>
        </w:numPr>
      </w:pPr>
      <w:r>
        <w:t xml:space="preserve">Addition of Question 18 and revisions to Question 29 that will require the Applicant to provide information on the types of due diligence it will perform to ensure the financial viability of </w:t>
      </w:r>
      <w:r w:rsidR="00050FF4">
        <w:t xml:space="preserve">it investments, including </w:t>
      </w:r>
      <w:r>
        <w:t>example</w:t>
      </w:r>
      <w:r w:rsidR="00050FF4">
        <w:t>s</w:t>
      </w:r>
      <w:r>
        <w:t>.</w:t>
      </w:r>
    </w:p>
    <w:p w:rsidR="00050FF4" w:rsidP="0005413C" w:rsidRDefault="00050FF4" w14:paraId="438133A6" w14:textId="793B78CA">
      <w:pPr>
        <w:pStyle w:val="ListParagraph"/>
        <w:numPr>
          <w:ilvl w:val="0"/>
          <w:numId w:val="3"/>
        </w:numPr>
      </w:pPr>
      <w:r>
        <w:t>A new innovative activity was added to Question 19 to encourage investments in Minority-owned or controlled and Native-owned or controlled Community Development Entities (CDEs).</w:t>
      </w:r>
    </w:p>
    <w:p w:rsidR="00DE1A1E" w:rsidP="0005413C" w:rsidRDefault="00DE1A1E" w14:paraId="5648BEAA" w14:textId="4A2D7B2F">
      <w:pPr>
        <w:pStyle w:val="ListParagraph"/>
        <w:numPr>
          <w:ilvl w:val="0"/>
          <w:numId w:val="3"/>
        </w:numPr>
      </w:pPr>
      <w:r>
        <w:t>Revisions to Question 24 and 44 to require greater specificity on potential financial benefits and conflicts of interest related to the Applicant’s proposed investments</w:t>
      </w:r>
      <w:r w:rsidR="007738A4">
        <w:t>.</w:t>
      </w:r>
    </w:p>
    <w:p w:rsidR="00DE1A1E" w:rsidP="0005413C" w:rsidRDefault="00DE1A1E" w14:paraId="11AA2A5B" w14:textId="45AFFAC3">
      <w:pPr>
        <w:pStyle w:val="ListParagraph"/>
        <w:numPr>
          <w:ilvl w:val="0"/>
          <w:numId w:val="3"/>
        </w:numPr>
      </w:pPr>
      <w:r>
        <w:t xml:space="preserve">In Question 25(a), the </w:t>
      </w:r>
      <w:proofErr w:type="spellStart"/>
      <w:r>
        <w:t>commentment</w:t>
      </w:r>
      <w:proofErr w:type="spellEnd"/>
      <w:r>
        <w:t xml:space="preserve"> to invest at least 75% of the Applicant’s investments in areas of higher distress will be increased to 85%.</w:t>
      </w:r>
    </w:p>
    <w:p w:rsidR="00DE1A1E" w:rsidP="0005413C" w:rsidRDefault="00DE1A1E" w14:paraId="0B33E50F" w14:textId="1FFBC31F">
      <w:pPr>
        <w:pStyle w:val="ListParagraph"/>
        <w:numPr>
          <w:ilvl w:val="0"/>
          <w:numId w:val="3"/>
        </w:numPr>
      </w:pPr>
      <w:r>
        <w:t>In Question 2</w:t>
      </w:r>
      <w:r w:rsidR="00CA7111">
        <w:t>6</w:t>
      </w:r>
      <w:r>
        <w:t>(a), two community outcomes have been removed (Healthy Food Financing and Flexible Lease Rates) and incorporated into the remaining community outcome categories. A new outcome, Financing Native American Businesses, has been added.</w:t>
      </w:r>
    </w:p>
    <w:p w:rsidR="00DE1A1E" w:rsidP="0005413C" w:rsidRDefault="00050FF4" w14:paraId="743B9BFC" w14:textId="7C0013CB">
      <w:pPr>
        <w:pStyle w:val="ListParagraph"/>
        <w:numPr>
          <w:ilvl w:val="0"/>
          <w:numId w:val="3"/>
        </w:numPr>
      </w:pPr>
      <w:r>
        <w:t>Various clarifications were made based on the public comments received.</w:t>
      </w:r>
    </w:p>
    <w:p w:rsidR="00050FF4" w:rsidP="0005413C" w:rsidRDefault="00050FF4" w14:paraId="2A043B93" w14:textId="0FA6FF90">
      <w:pPr>
        <w:ind w:left="360"/>
      </w:pPr>
    </w:p>
    <w:p w:rsidR="00050FF4" w:rsidP="0005413C" w:rsidRDefault="00B56875" w14:paraId="14A6E193" w14:textId="60171405">
      <w:pPr>
        <w:ind w:left="360"/>
      </w:pPr>
      <w:r w:rsidRPr="00B56875">
        <w:t xml:space="preserve">This ICR is being reinstated </w:t>
      </w:r>
      <w:proofErr w:type="gramStart"/>
      <w:r w:rsidRPr="00B56875">
        <w:t>in order to</w:t>
      </w:r>
      <w:proofErr w:type="gramEnd"/>
      <w:r w:rsidRPr="00B56875">
        <w:t xml:space="preserve"> receive approval for the CY 2021-2023 NMTC Program Applications. The estimated total burden hours for CY 2021-2023 NMTC Applications of 64,614 hours is lower than the total approved for the previous CY2018 application (71,997 hours).  This primarily reflects a lower estimate of groups applying for NMTC allocations (209 v. 270) and slightly higher burden hours per Application (309 v. 267).</w:t>
      </w:r>
    </w:p>
    <w:p w:rsidR="00586544" w:rsidP="00586544" w:rsidRDefault="00586544" w14:paraId="524C8522" w14:textId="77777777">
      <w:pPr>
        <w:pStyle w:val="ListParagraph"/>
        <w:ind w:left="360"/>
      </w:pPr>
    </w:p>
    <w:p w:rsidRPr="00FB7D45" w:rsidR="00586544" w:rsidP="00586544" w:rsidRDefault="00586544" w14:paraId="5C9C4C7B" w14:textId="77777777">
      <w:pPr>
        <w:pStyle w:val="ListParagraph"/>
        <w:numPr>
          <w:ilvl w:val="0"/>
          <w:numId w:val="1"/>
        </w:numPr>
        <w:ind w:left="360"/>
        <w:rPr>
          <w:u w:val="single"/>
        </w:rPr>
      </w:pPr>
      <w:r w:rsidRPr="00FB7D45">
        <w:rPr>
          <w:u w:val="single"/>
        </w:rPr>
        <w:t>Plans for information tabulation and publication</w:t>
      </w:r>
    </w:p>
    <w:p w:rsidRPr="00F9665A" w:rsidR="00586544" w:rsidP="00586544" w:rsidRDefault="002B13E4" w14:paraId="732EF06F" w14:textId="6CFCDD05">
      <w:pPr>
        <w:pStyle w:val="ListParagraph"/>
        <w:ind w:left="360"/>
      </w:pPr>
      <w:r>
        <w:t xml:space="preserve">Only aggregate information will be published. </w:t>
      </w:r>
      <w:r w:rsidRPr="00F9665A" w:rsidR="00586544">
        <w:t>Confidential or proprietary information collected through the application will not be published.</w:t>
      </w:r>
    </w:p>
    <w:p w:rsidRPr="00F9665A" w:rsidR="00586544" w:rsidP="00586544" w:rsidRDefault="00586544" w14:paraId="6ACAC5C9" w14:textId="77777777">
      <w:pPr>
        <w:rPr>
          <w:u w:val="single"/>
        </w:rPr>
      </w:pPr>
    </w:p>
    <w:p w:rsidRPr="00F9665A" w:rsidR="00586544" w:rsidP="00586544" w:rsidRDefault="00586544" w14:paraId="0012ACC8" w14:textId="77777777">
      <w:pPr>
        <w:pStyle w:val="ListParagraph"/>
        <w:numPr>
          <w:ilvl w:val="0"/>
          <w:numId w:val="1"/>
        </w:numPr>
        <w:ind w:left="360"/>
      </w:pPr>
      <w:r w:rsidRPr="00FB7D45">
        <w:rPr>
          <w:u w:val="single"/>
        </w:rPr>
        <w:t>Reasons for not displaying expiration date of OMB approval</w:t>
      </w:r>
    </w:p>
    <w:p w:rsidRPr="00F9665A" w:rsidR="00586544" w:rsidP="00586544" w:rsidRDefault="00586544" w14:paraId="677B1267" w14:textId="77777777">
      <w:pPr>
        <w:pStyle w:val="ListParagraph"/>
        <w:ind w:left="360"/>
      </w:pPr>
      <w:r w:rsidRPr="00F9665A">
        <w:t>The CDFI Fund will display the expiration date of the OMB approval on the application form.</w:t>
      </w:r>
    </w:p>
    <w:p w:rsidRPr="00F9665A" w:rsidR="00586544" w:rsidP="00586544" w:rsidRDefault="00586544" w14:paraId="777DD787" w14:textId="77777777">
      <w:pPr>
        <w:rPr>
          <w:u w:val="single"/>
        </w:rPr>
      </w:pPr>
    </w:p>
    <w:p w:rsidRPr="00FB7D45" w:rsidR="00586544" w:rsidP="00586544" w:rsidRDefault="00586544" w14:paraId="31C242EA" w14:textId="77777777">
      <w:pPr>
        <w:pStyle w:val="ListParagraph"/>
        <w:numPr>
          <w:ilvl w:val="0"/>
          <w:numId w:val="1"/>
        </w:numPr>
        <w:ind w:left="360"/>
        <w:rPr>
          <w:u w:val="single"/>
        </w:rPr>
      </w:pPr>
      <w:r w:rsidRPr="00FB7D45">
        <w:rPr>
          <w:u w:val="single"/>
        </w:rPr>
        <w:lastRenderedPageBreak/>
        <w:t>Explanation of exceptions to certification statement</w:t>
      </w:r>
    </w:p>
    <w:p w:rsidRPr="00F9665A" w:rsidR="006F230F" w:rsidP="00586544" w:rsidRDefault="006F230F" w14:paraId="23C03693" w14:textId="70511CE9">
      <w:pPr>
        <w:pStyle w:val="ListParagraph"/>
        <w:ind w:left="360"/>
      </w:pPr>
      <w:r w:rsidRPr="006F230F">
        <w:t>There are no exceptions to the certification statement for this collection.</w:t>
      </w:r>
    </w:p>
    <w:p w:rsidR="00586544" w:rsidP="00586544" w:rsidRDefault="00586544" w14:paraId="5223EF6B" w14:textId="77777777">
      <w:pPr>
        <w:pStyle w:val="ListParagraph"/>
        <w:ind w:left="360"/>
      </w:pPr>
    </w:p>
    <w:p w:rsidR="00586544" w:rsidP="00BB7F8A" w:rsidRDefault="00586544" w14:paraId="0C5F2B6F" w14:textId="3827A3EA">
      <w:pPr>
        <w:pStyle w:val="ListParagraph"/>
        <w:numPr>
          <w:ilvl w:val="0"/>
          <w:numId w:val="1"/>
        </w:numPr>
        <w:spacing w:after="160" w:line="259" w:lineRule="auto"/>
        <w:ind w:left="360"/>
      </w:pPr>
      <w:r w:rsidRPr="00610A6F">
        <w:rPr>
          <w:u w:val="single"/>
        </w:rPr>
        <w:t>Collections of Information Employing Statistical Methods</w:t>
      </w:r>
      <w:r w:rsidRPr="00610A6F">
        <w:rPr>
          <w:u w:val="single"/>
        </w:rPr>
        <w:br/>
      </w:r>
      <w:proofErr w:type="spellStart"/>
      <w:r w:rsidR="002B13E4">
        <w:t>Thre</w:t>
      </w:r>
      <w:proofErr w:type="spellEnd"/>
      <w:r w:rsidR="002B13E4">
        <w:t xml:space="preserve"> is no collection of information employing statistical </w:t>
      </w:r>
      <w:proofErr w:type="spellStart"/>
      <w:r w:rsidR="002B13E4">
        <w:t>methods.</w:t>
      </w:r>
      <w:r w:rsidR="006F230F">
        <w:t>This</w:t>
      </w:r>
      <w:proofErr w:type="spellEnd"/>
      <w:r w:rsidR="006F230F">
        <w:t xml:space="preserve"> collection of information does not utilize st</w:t>
      </w:r>
      <w:r w:rsidR="00610A6F">
        <w:t xml:space="preserve">atistical methods. </w:t>
      </w:r>
    </w:p>
    <w:sectPr w:rsidR="00586544" w:rsidSect="00610A6F">
      <w:footerReference w:type="default" r:id="rId14"/>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B9052" w14:textId="77777777" w:rsidR="006852F0" w:rsidRDefault="006852F0" w:rsidP="00586544">
      <w:r>
        <w:separator/>
      </w:r>
    </w:p>
  </w:endnote>
  <w:endnote w:type="continuationSeparator" w:id="0">
    <w:p w14:paraId="23466216" w14:textId="77777777" w:rsidR="006852F0" w:rsidRDefault="006852F0" w:rsidP="0058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65583"/>
      <w:docPartObj>
        <w:docPartGallery w:val="Page Numbers (Bottom of Page)"/>
        <w:docPartUnique/>
      </w:docPartObj>
    </w:sdtPr>
    <w:sdtEndPr/>
    <w:sdtContent>
      <w:sdt>
        <w:sdtPr>
          <w:id w:val="-1804618771"/>
          <w:docPartObj>
            <w:docPartGallery w:val="Page Numbers (Top of Page)"/>
            <w:docPartUnique/>
          </w:docPartObj>
        </w:sdtPr>
        <w:sdtEndPr/>
        <w:sdtContent>
          <w:p w14:paraId="089B283C" w14:textId="408F9BCE" w:rsidR="00586544" w:rsidRDefault="00586544">
            <w:pPr>
              <w:pStyle w:val="Footer"/>
              <w:jc w:val="right"/>
            </w:pPr>
            <w:r>
              <w:t xml:space="preserve">Page </w:t>
            </w:r>
            <w:r>
              <w:rPr>
                <w:b/>
                <w:bCs/>
              </w:rPr>
              <w:fldChar w:fldCharType="begin"/>
            </w:r>
            <w:r>
              <w:rPr>
                <w:b/>
                <w:bCs/>
              </w:rPr>
              <w:instrText xml:space="preserve"> PAGE </w:instrText>
            </w:r>
            <w:r>
              <w:rPr>
                <w:b/>
                <w:bCs/>
              </w:rPr>
              <w:fldChar w:fldCharType="separate"/>
            </w:r>
            <w:r w:rsidR="007738A4">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7738A4">
              <w:rPr>
                <w:b/>
                <w:bCs/>
                <w:noProof/>
              </w:rPr>
              <w:t>5</w:t>
            </w:r>
            <w:r>
              <w:rPr>
                <w:b/>
                <w:bCs/>
              </w:rPr>
              <w:fldChar w:fldCharType="end"/>
            </w:r>
          </w:p>
        </w:sdtContent>
      </w:sdt>
    </w:sdtContent>
  </w:sdt>
  <w:p w14:paraId="43634D81" w14:textId="77777777" w:rsidR="00586544" w:rsidRDefault="0058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07DF2" w14:textId="77777777" w:rsidR="006852F0" w:rsidRDefault="006852F0" w:rsidP="00586544">
      <w:r>
        <w:separator/>
      </w:r>
    </w:p>
  </w:footnote>
  <w:footnote w:type="continuationSeparator" w:id="0">
    <w:p w14:paraId="6D394DAB" w14:textId="77777777" w:rsidR="006852F0" w:rsidRDefault="006852F0" w:rsidP="00586544">
      <w:r>
        <w:continuationSeparator/>
      </w:r>
    </w:p>
  </w:footnote>
  <w:footnote w:id="1">
    <w:p w14:paraId="42F1ACAE" w14:textId="52B37AF3" w:rsidR="00771606" w:rsidRDefault="00771606">
      <w:pPr>
        <w:pStyle w:val="FootnoteText"/>
      </w:pPr>
      <w:r>
        <w:rPr>
          <w:rStyle w:val="FootnoteReference"/>
        </w:rPr>
        <w:footnoteRef/>
      </w:r>
      <w:r>
        <w:t xml:space="preserve"> </w:t>
      </w:r>
      <w:r w:rsidRPr="00684D3A">
        <w:rPr>
          <w:iCs/>
        </w:rPr>
        <w:t>The hourly rate is based on the</w:t>
      </w:r>
      <w:r>
        <w:rPr>
          <w:iCs/>
        </w:rPr>
        <w:t xml:space="preserve"> </w:t>
      </w:r>
      <w:r>
        <w:t xml:space="preserve">Bureau of Labor Statistics “Table 4. Employer Costs for Employee Compensation for private </w:t>
      </w:r>
      <w:r w:rsidRPr="001E3DFE">
        <w:t>workers by occupational and industry group</w:t>
      </w:r>
      <w:r>
        <w:t xml:space="preserve">” (released </w:t>
      </w:r>
      <w:proofErr w:type="gramStart"/>
      <w:r>
        <w:t>Dec,</w:t>
      </w:r>
      <w:proofErr w:type="gramEnd"/>
      <w:r>
        <w:t xml:space="preserve"> 2020), the total compensation including wages and benefits for management, professional and financial private industry workers is $72.15. Link to the Bureau of Labor Statistics wage data report:  </w:t>
      </w:r>
      <w:hyperlink r:id="rId1" w:history="1">
        <w:r w:rsidRPr="00721697">
          <w:rPr>
            <w:rStyle w:val="Hyperlink"/>
          </w:rPr>
          <w:t>https://www.bls.gov/news.release/ecec.t04.htm</w:t>
        </w:r>
      </w:hyperlink>
    </w:p>
  </w:footnote>
  <w:footnote w:id="2">
    <w:p w14:paraId="364E9E3D" w14:textId="77017F28" w:rsidR="006F5DAB" w:rsidRDefault="00771606">
      <w:pPr>
        <w:pStyle w:val="FootnoteText"/>
      </w:pPr>
      <w:r>
        <w:rPr>
          <w:rStyle w:val="FootnoteReference"/>
        </w:rPr>
        <w:footnoteRef/>
      </w:r>
      <w:r>
        <w:t xml:space="preserve"> </w:t>
      </w:r>
      <w:r w:rsidRPr="00684D3A">
        <w:rPr>
          <w:iCs/>
        </w:rPr>
        <w:t xml:space="preserve">The hourly rate is based on the </w:t>
      </w:r>
      <w:proofErr w:type="gramStart"/>
      <w:r>
        <w:rPr>
          <w:iCs/>
        </w:rPr>
        <w:t>b</w:t>
      </w:r>
      <w:r>
        <w:t>ased on</w:t>
      </w:r>
      <w:proofErr w:type="gramEnd"/>
      <w:r>
        <w:t xml:space="preserve"> Bureau of Labor Statistics “Table 3. State and Local government workers </w:t>
      </w:r>
      <w:r w:rsidRPr="001E3DFE">
        <w:t>by occupational and industry group</w:t>
      </w:r>
      <w:r>
        <w:t xml:space="preserve">” (released </w:t>
      </w:r>
      <w:proofErr w:type="gramStart"/>
      <w:r>
        <w:t>Dec,</w:t>
      </w:r>
      <w:proofErr w:type="gramEnd"/>
      <w:r>
        <w:t xml:space="preserve"> 2020), the total compensation including wages and benefits for management, professional and financial private industry workers is $64.02. Link to the Bureau of Labor Statistics wage data report:  </w:t>
      </w:r>
      <w:hyperlink r:id="rId2" w:history="1">
        <w:r w:rsidR="006F5DAB" w:rsidRPr="00987678">
          <w:rPr>
            <w:rStyle w:val="Hyperlink"/>
          </w:rPr>
          <w:t>https://www.bls.gov/news.release/ecec.t03.htm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16229"/>
    <w:multiLevelType w:val="hybridMultilevel"/>
    <w:tmpl w:val="362E0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BF6773"/>
    <w:multiLevelType w:val="hybridMultilevel"/>
    <w:tmpl w:val="F0CC560C"/>
    <w:lvl w:ilvl="0" w:tplc="B4B6598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677B2A"/>
    <w:multiLevelType w:val="hybridMultilevel"/>
    <w:tmpl w:val="B70E1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44"/>
    <w:rsid w:val="00050FF4"/>
    <w:rsid w:val="000514B9"/>
    <w:rsid w:val="0005413C"/>
    <w:rsid w:val="00076293"/>
    <w:rsid w:val="000941D4"/>
    <w:rsid w:val="000A2E0E"/>
    <w:rsid w:val="000C4C15"/>
    <w:rsid w:val="000F23F3"/>
    <w:rsid w:val="00101FFB"/>
    <w:rsid w:val="00111CE8"/>
    <w:rsid w:val="001422CF"/>
    <w:rsid w:val="00152A84"/>
    <w:rsid w:val="00172D48"/>
    <w:rsid w:val="00185506"/>
    <w:rsid w:val="00196C4C"/>
    <w:rsid w:val="001C0C60"/>
    <w:rsid w:val="001E34D9"/>
    <w:rsid w:val="001F54C0"/>
    <w:rsid w:val="001F7961"/>
    <w:rsid w:val="00213913"/>
    <w:rsid w:val="002768B3"/>
    <w:rsid w:val="002B13E4"/>
    <w:rsid w:val="002D3CC7"/>
    <w:rsid w:val="002D79AD"/>
    <w:rsid w:val="00303553"/>
    <w:rsid w:val="00367A37"/>
    <w:rsid w:val="00371A99"/>
    <w:rsid w:val="00380923"/>
    <w:rsid w:val="00425668"/>
    <w:rsid w:val="00547ADE"/>
    <w:rsid w:val="00547D45"/>
    <w:rsid w:val="00586544"/>
    <w:rsid w:val="005E1E9C"/>
    <w:rsid w:val="005E5DCB"/>
    <w:rsid w:val="005F6757"/>
    <w:rsid w:val="00606404"/>
    <w:rsid w:val="00610A6F"/>
    <w:rsid w:val="0067448E"/>
    <w:rsid w:val="006852F0"/>
    <w:rsid w:val="006B4743"/>
    <w:rsid w:val="006C5997"/>
    <w:rsid w:val="006F230F"/>
    <w:rsid w:val="006F5DAB"/>
    <w:rsid w:val="00771606"/>
    <w:rsid w:val="00772EC5"/>
    <w:rsid w:val="007738A4"/>
    <w:rsid w:val="00871CCB"/>
    <w:rsid w:val="009176AE"/>
    <w:rsid w:val="009246FC"/>
    <w:rsid w:val="00935ECB"/>
    <w:rsid w:val="009C13CC"/>
    <w:rsid w:val="009F2DE7"/>
    <w:rsid w:val="009F7FCF"/>
    <w:rsid w:val="00A16872"/>
    <w:rsid w:val="00A26793"/>
    <w:rsid w:val="00A40541"/>
    <w:rsid w:val="00A4514A"/>
    <w:rsid w:val="00AE2A8C"/>
    <w:rsid w:val="00AE3204"/>
    <w:rsid w:val="00B56875"/>
    <w:rsid w:val="00B758F8"/>
    <w:rsid w:val="00BA3F00"/>
    <w:rsid w:val="00BD131F"/>
    <w:rsid w:val="00BE1237"/>
    <w:rsid w:val="00BE434A"/>
    <w:rsid w:val="00C179BE"/>
    <w:rsid w:val="00C43A2D"/>
    <w:rsid w:val="00C82DD2"/>
    <w:rsid w:val="00CA7111"/>
    <w:rsid w:val="00CA7999"/>
    <w:rsid w:val="00CB3071"/>
    <w:rsid w:val="00D57E74"/>
    <w:rsid w:val="00DA328C"/>
    <w:rsid w:val="00DC5319"/>
    <w:rsid w:val="00DE1A1E"/>
    <w:rsid w:val="00DE612F"/>
    <w:rsid w:val="00E16D4F"/>
    <w:rsid w:val="00E4527C"/>
    <w:rsid w:val="00E575D7"/>
    <w:rsid w:val="00E7045D"/>
    <w:rsid w:val="00EE3ABF"/>
    <w:rsid w:val="00F00043"/>
    <w:rsid w:val="00F00AC8"/>
    <w:rsid w:val="00F31036"/>
    <w:rsid w:val="00F31165"/>
    <w:rsid w:val="00F6297B"/>
    <w:rsid w:val="00FB2F98"/>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77936D"/>
  <w15:chartTrackingRefBased/>
  <w15:docId w15:val="{384A5F2E-4F1A-4258-9CD1-78B0B3F2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6544"/>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586544"/>
    <w:rPr>
      <w:rFonts w:ascii="Times New Roman" w:eastAsia="Times New Roman" w:hAnsi="Times New Roman" w:cs="Times New Roman"/>
      <w:snapToGrid w:val="0"/>
      <w:sz w:val="24"/>
      <w:szCs w:val="20"/>
    </w:rPr>
  </w:style>
  <w:style w:type="paragraph" w:styleId="BodyText3">
    <w:name w:val="Body Text 3"/>
    <w:basedOn w:val="Normal"/>
    <w:link w:val="BodyText3Char"/>
    <w:rsid w:val="00586544"/>
    <w:pPr>
      <w:spacing w:after="120"/>
    </w:pPr>
    <w:rPr>
      <w:sz w:val="16"/>
      <w:szCs w:val="16"/>
    </w:rPr>
  </w:style>
  <w:style w:type="character" w:customStyle="1" w:styleId="BodyText3Char">
    <w:name w:val="Body Text 3 Char"/>
    <w:basedOn w:val="DefaultParagraphFont"/>
    <w:link w:val="BodyText3"/>
    <w:rsid w:val="00586544"/>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586544"/>
    <w:rPr>
      <w:sz w:val="16"/>
      <w:szCs w:val="16"/>
    </w:rPr>
  </w:style>
  <w:style w:type="paragraph" w:styleId="CommentText">
    <w:name w:val="annotation text"/>
    <w:basedOn w:val="Normal"/>
    <w:link w:val="CommentTextChar"/>
    <w:semiHidden/>
    <w:unhideWhenUsed/>
    <w:rsid w:val="00586544"/>
    <w:rPr>
      <w:sz w:val="20"/>
      <w:szCs w:val="20"/>
    </w:rPr>
  </w:style>
  <w:style w:type="character" w:customStyle="1" w:styleId="CommentTextChar">
    <w:name w:val="Comment Text Char"/>
    <w:basedOn w:val="DefaultParagraphFont"/>
    <w:link w:val="CommentText"/>
    <w:semiHidden/>
    <w:rsid w:val="00586544"/>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86544"/>
    <w:pPr>
      <w:ind w:left="720"/>
      <w:contextualSpacing/>
    </w:pPr>
  </w:style>
  <w:style w:type="paragraph" w:styleId="FootnoteText">
    <w:name w:val="footnote text"/>
    <w:basedOn w:val="Normal"/>
    <w:link w:val="FootnoteTextChar"/>
    <w:semiHidden/>
    <w:unhideWhenUsed/>
    <w:rsid w:val="00586544"/>
    <w:rPr>
      <w:sz w:val="20"/>
      <w:szCs w:val="20"/>
    </w:rPr>
  </w:style>
  <w:style w:type="character" w:customStyle="1" w:styleId="FootnoteTextChar">
    <w:name w:val="Footnote Text Char"/>
    <w:basedOn w:val="DefaultParagraphFont"/>
    <w:link w:val="FootnoteText"/>
    <w:semiHidden/>
    <w:rsid w:val="0058654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86544"/>
    <w:rPr>
      <w:vertAlign w:val="superscript"/>
    </w:rPr>
  </w:style>
  <w:style w:type="paragraph" w:styleId="Footer">
    <w:name w:val="footer"/>
    <w:basedOn w:val="Normal"/>
    <w:link w:val="FooterChar"/>
    <w:uiPriority w:val="99"/>
    <w:unhideWhenUsed/>
    <w:rsid w:val="00586544"/>
    <w:pPr>
      <w:tabs>
        <w:tab w:val="center" w:pos="4680"/>
        <w:tab w:val="right" w:pos="9360"/>
      </w:tabs>
    </w:pPr>
  </w:style>
  <w:style w:type="character" w:customStyle="1" w:styleId="FooterChar">
    <w:name w:val="Footer Char"/>
    <w:basedOn w:val="DefaultParagraphFont"/>
    <w:link w:val="Footer"/>
    <w:uiPriority w:val="99"/>
    <w:rsid w:val="00586544"/>
    <w:rPr>
      <w:rFonts w:ascii="Times New Roman" w:eastAsia="Times New Roman" w:hAnsi="Times New Roman" w:cs="Times New Roman"/>
      <w:sz w:val="24"/>
      <w:szCs w:val="24"/>
    </w:rPr>
  </w:style>
  <w:style w:type="table" w:styleId="TableGrid">
    <w:name w:val="Table Grid"/>
    <w:basedOn w:val="TableNormal"/>
    <w:uiPriority w:val="59"/>
    <w:rsid w:val="005865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6544"/>
    <w:rPr>
      <w:color w:val="0563C1" w:themeColor="hyperlink"/>
      <w:u w:val="single"/>
    </w:rPr>
  </w:style>
  <w:style w:type="paragraph" w:styleId="BalloonText">
    <w:name w:val="Balloon Text"/>
    <w:basedOn w:val="Normal"/>
    <w:link w:val="BalloonTextChar"/>
    <w:uiPriority w:val="99"/>
    <w:semiHidden/>
    <w:unhideWhenUsed/>
    <w:rsid w:val="00586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4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E1E9C"/>
    <w:rPr>
      <w:b/>
      <w:bCs/>
    </w:rPr>
  </w:style>
  <w:style w:type="character" w:customStyle="1" w:styleId="CommentSubjectChar">
    <w:name w:val="Comment Subject Char"/>
    <w:basedOn w:val="CommentTextChar"/>
    <w:link w:val="CommentSubject"/>
    <w:uiPriority w:val="99"/>
    <w:semiHidden/>
    <w:rsid w:val="005E1E9C"/>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6B4743"/>
    <w:pPr>
      <w:spacing w:after="120" w:line="480" w:lineRule="auto"/>
    </w:pPr>
  </w:style>
  <w:style w:type="character" w:customStyle="1" w:styleId="BodyText2Char">
    <w:name w:val="Body Text 2 Char"/>
    <w:basedOn w:val="DefaultParagraphFont"/>
    <w:link w:val="BodyText2"/>
    <w:uiPriority w:val="99"/>
    <w:rsid w:val="006B4743"/>
    <w:rPr>
      <w:rFonts w:ascii="Times New Roman" w:eastAsia="Times New Roman" w:hAnsi="Times New Roman" w:cs="Times New Roman"/>
      <w:sz w:val="24"/>
      <w:szCs w:val="24"/>
    </w:rPr>
  </w:style>
  <w:style w:type="paragraph" w:styleId="Revision">
    <w:name w:val="Revision"/>
    <w:hidden/>
    <w:uiPriority w:val="99"/>
    <w:semiHidden/>
    <w:rsid w:val="006B474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34D9"/>
    <w:rPr>
      <w:color w:val="954F72" w:themeColor="followedHyperlink"/>
      <w:u w:val="single"/>
    </w:rPr>
  </w:style>
  <w:style w:type="character" w:customStyle="1" w:styleId="ListParagraphChar">
    <w:name w:val="List Paragraph Char"/>
    <w:basedOn w:val="DefaultParagraphFont"/>
    <w:link w:val="ListParagraph"/>
    <w:uiPriority w:val="34"/>
    <w:locked/>
    <w:rsid w:val="007716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998331">
      <w:bodyDiv w:val="1"/>
      <w:marLeft w:val="0"/>
      <w:marRight w:val="0"/>
      <w:marTop w:val="0"/>
      <w:marBottom w:val="0"/>
      <w:divBdr>
        <w:top w:val="none" w:sz="0" w:space="0" w:color="auto"/>
        <w:left w:val="none" w:sz="0" w:space="0" w:color="auto"/>
        <w:bottom w:val="none" w:sz="0" w:space="0" w:color="auto"/>
        <w:right w:val="none" w:sz="0" w:space="0" w:color="auto"/>
      </w:divBdr>
    </w:div>
    <w:div w:id="10864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3.htm" TargetMode="External"/><Relationship Id="rId1" Type="http://schemas.openxmlformats.org/officeDocument/2006/relationships/hyperlink" Target="https://www.bls.gov/news.release/ecec.t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1ebe05a5-f381-48af-bc27-8e5e2442db3e">
      <UserInfo>
        <DisplayName>Leung, Karen</DisplayName>
        <AccountId>15171</AccountId>
        <AccountType/>
      </UserInfo>
    </Document_x0020_Owner>
    <Business_x0020_Unit xmlns="8f418ccd-e58d-4230-bf28-9ba4dc663030">Program: NMTC</Business_x0020_Unit>
    <IconOverlay xmlns="http://schemas.microsoft.com/sharepoint/v4" xsi:nil="true"/>
    <General_x0020_Notes xmlns="1ebe05a5-f381-48af-bc27-8e5e2442db3e">Request Comment: CCME, CIO, FS&amp;R, OLC, &amp; NMTC</General_x0020_Notes>
    <_dlc_DocId xmlns="52222ef0-b167-44f5-92f7-438fda0857cd">DOCDFI-176-1259</_dlc_DocId>
    <Deadline xmlns="1ebe05a5-f381-48af-bc27-8e5e2442db3e">2021-02-17T05:00:00+00:00</Deadline>
    <Send_x0020_Email_x0020_to_x0020_Reviewers xmlns="1ebe05a5-f381-48af-bc27-8e5e2442db3e">false</Send_x0020_Email_x0020_to_x0020_Reviewers>
    <_x0035_08_x0020_Compliant xmlns="1ebe05a5-f381-48af-bc27-8e5e2442db3e">false</_x0035_08_x0020_Compliant>
    <Document_x0020_Type xmlns="1ebe05a5-f381-48af-bc27-8e5e2442db3e">Programs - Internal</Document_x0020_Type>
    <_dlc_DocIdUrl xmlns="52222ef0-b167-44f5-92f7-438fda0857cd">
      <Url>https://my.treas.gov/collab/CDFI/clearance/_layouts/15/DocIdRedir.aspx?ID=DOCDFI-176-1259</Url>
      <Description>DOCDFI-176-1259</Description>
    </_dlc_DocIdUrl>
    <Business_x0020_Unit_x0020_Notes xmlns="1ebe05a5-f381-48af-bc27-8e5e2442db3e">Request Comment: CCME, CIO, FS&amp;R, OLC, &amp; NMTC</Business_x0020_Unit_x0020_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3a7a3061e5fe19962ef89768bb1646b5">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8d2faff1e96483b9d3a7a78e2e88c9bc"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E23D-7B8C-4F60-A1E8-0B599F72334A}">
  <ds:schemaRefs>
    <ds:schemaRef ds:uri="http://schemas.microsoft.com/office/2006/metadata/properties"/>
    <ds:schemaRef ds:uri="http://www.w3.org/XML/1998/namespace"/>
    <ds:schemaRef ds:uri="http://schemas.microsoft.com/office/infopath/2007/PartnerControls"/>
    <ds:schemaRef ds:uri="http://schemas.microsoft.com/sharepoint/v3"/>
    <ds:schemaRef ds:uri="http://purl.org/dc/elements/1.1/"/>
    <ds:schemaRef ds:uri="http://schemas.openxmlformats.org/package/2006/metadata/core-properties"/>
    <ds:schemaRef ds:uri="f5740cfc-b89d-4d23-a0f5-9255a28a5e32"/>
    <ds:schemaRef ds:uri="http://purl.org/dc/terms/"/>
    <ds:schemaRef ds:uri="http://schemas.microsoft.com/sharepoint/v4"/>
    <ds:schemaRef ds:uri="8f418ccd-e58d-4230-bf28-9ba4dc663030"/>
    <ds:schemaRef ds:uri="http://schemas.microsoft.com/office/2006/documentManagement/types"/>
    <ds:schemaRef ds:uri="52222ef0-b167-44f5-92f7-438fda0857cd"/>
    <ds:schemaRef ds:uri="1ebe05a5-f381-48af-bc27-8e5e2442db3e"/>
    <ds:schemaRef ds:uri="http://purl.org/dc/dcmitype/"/>
  </ds:schemaRefs>
</ds:datastoreItem>
</file>

<file path=customXml/itemProps2.xml><?xml version="1.0" encoding="utf-8"?>
<ds:datastoreItem xmlns:ds="http://schemas.openxmlformats.org/officeDocument/2006/customXml" ds:itemID="{669350A3-341C-400C-89FB-E8CE64453743}">
  <ds:schemaRefs>
    <ds:schemaRef ds:uri="http://schemas.microsoft.com/sharepoint/v3/contenttype/forms"/>
  </ds:schemaRefs>
</ds:datastoreItem>
</file>

<file path=customXml/itemProps3.xml><?xml version="1.0" encoding="utf-8"?>
<ds:datastoreItem xmlns:ds="http://schemas.openxmlformats.org/officeDocument/2006/customXml" ds:itemID="{6A0B8AE6-1F0B-4DA2-BB29-290908ECD30E}">
  <ds:schemaRefs>
    <ds:schemaRef ds:uri="http://schemas.microsoft.com/sharepoint/events"/>
  </ds:schemaRefs>
</ds:datastoreItem>
</file>

<file path=customXml/itemProps4.xml><?xml version="1.0" encoding="utf-8"?>
<ds:datastoreItem xmlns:ds="http://schemas.openxmlformats.org/officeDocument/2006/customXml" ds:itemID="{0FDD4DDE-1A82-4733-98D8-F1E23F0A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34B47A-E390-45C9-B7AC-0384A847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1644</Words>
  <Characters>9373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1.	New Markets Tax Credit Supporting Statement – Paperwork Reduction Act Renewal</vt:lpstr>
    </vt:vector>
  </TitlesOfParts>
  <Company>TTB</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New Markets Tax Credit Supporting Statement – Paperwork Reduction Act Renewal</dc:title>
  <dc:subject/>
  <dc:creator>Ware, Bridget</dc:creator>
  <cp:keywords/>
  <dc:description/>
  <cp:lastModifiedBy>Spencer</cp:lastModifiedBy>
  <cp:revision>2</cp:revision>
  <dcterms:created xsi:type="dcterms:W3CDTF">2021-05-17T19:44:00Z</dcterms:created>
  <dcterms:modified xsi:type="dcterms:W3CDTF">2021-05-17T19:44:00Z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5644b7bd-3106-48a3-bae8-594d03dbd5ff</vt:lpwstr>
  </property>
  <property fmtid="{D5CDD505-2E9C-101B-9397-08002B2CF9AE}" pid="4" name="WorkflowChangePath">
    <vt:lpwstr>0e591819-1940-4855-aab8-7436297f8f3d,5;0e591819-1940-4855-aab8-7436297f8f3d,9;0e591819-1940-4855-aab8-7436297f8f3d,18;0e591819-1940-4855-aab8-7436297f8f3d,22;0e591819-1940-4855-aab8-7436297f8f3d,25;0e591819-1940-4855-aab8-7436297f8f3d,30;0e591819-1940-485</vt:lpwstr>
  </property>
</Properties>
</file>