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1225B" w:rsidR="00562915" w:rsidP="00CC1745" w:rsidRDefault="00005AD4" w14:paraId="6B5FD112" w14:textId="78E8C72A">
      <w:pPr>
        <w:pStyle w:val="Title"/>
        <w:jc w:val="right"/>
        <w:rPr>
          <w:sz w:val="28"/>
          <w:szCs w:val="28"/>
        </w:rPr>
      </w:pPr>
      <w:r>
        <w:rPr>
          <w:sz w:val="28"/>
          <w:szCs w:val="28"/>
        </w:rPr>
        <w:t>May 26</w:t>
      </w:r>
      <w:r w:rsidRPr="7C2B9B4F" w:rsidR="005338B3">
        <w:rPr>
          <w:sz w:val="28"/>
          <w:szCs w:val="28"/>
        </w:rPr>
        <w:t>, 20</w:t>
      </w:r>
      <w:r w:rsidRPr="7C2B9B4F" w:rsidR="00CC1745">
        <w:rPr>
          <w:sz w:val="28"/>
          <w:szCs w:val="28"/>
        </w:rPr>
        <w:t>21</w:t>
      </w:r>
    </w:p>
    <w:p w:rsidRPr="00762B5C" w:rsidR="0069527C" w:rsidP="005D1DD4" w:rsidRDefault="0069527C" w14:paraId="55E48CA2" w14:textId="77777777">
      <w:pPr>
        <w:pStyle w:val="Title"/>
        <w:jc w:val="right"/>
      </w:pPr>
    </w:p>
    <w:p w:rsidR="00562915" w:rsidP="00562915" w:rsidRDefault="00562915" w14:paraId="3BF40EAD"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1CE3C4F0"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6906E69A" w14:textId="77777777">
      <w:pPr>
        <w:tabs>
          <w:tab w:val="left" w:pos="-720"/>
        </w:tabs>
        <w:suppressAutoHyphens/>
        <w:rPr>
          <w:rFonts w:ascii="Times New Roman" w:hAnsi="Times New Roman" w:cs="Times New Roman"/>
          <w:b/>
          <w:sz w:val="24"/>
          <w:szCs w:val="24"/>
        </w:rPr>
      </w:pPr>
    </w:p>
    <w:p w:rsidRPr="00B92B09" w:rsidR="00562915" w:rsidP="00562915" w:rsidRDefault="00562915" w14:paraId="48C9A3B9" w14:textId="5C10362B">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9728D8">
        <w:rPr>
          <w:rFonts w:ascii="Times New Roman" w:hAnsi="Times New Roman" w:cs="Times New Roman"/>
          <w:b/>
          <w:sz w:val="28"/>
          <w:szCs w:val="28"/>
        </w:rPr>
        <w:t>0130</w:t>
      </w:r>
    </w:p>
    <w:p w:rsidRPr="00B92B09" w:rsidR="00562915" w:rsidP="00562915" w:rsidRDefault="00562915" w14:paraId="7A9ABAC2"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Pr="00D92389" w:rsidR="00D078B2">
        <w:rPr>
          <w:rFonts w:ascii="Times New Roman" w:hAnsi="Times New Roman" w:cs="Times New Roman"/>
          <w:b/>
          <w:sz w:val="28"/>
        </w:rPr>
        <w:t>Generic Clearance for the Collection of Qualitative Feedback on Agency Service Delivery</w:t>
      </w:r>
    </w:p>
    <w:p w:rsidR="00562915" w:rsidP="00562915" w:rsidRDefault="00562915" w14:paraId="1CFB9A6B"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00562915" w:rsidP="00B92B09" w:rsidRDefault="00562915" w14:paraId="7B5FAABF" w14:textId="77777777">
      <w:pPr>
        <w:pStyle w:val="Heading1"/>
        <w:rPr>
          <w:szCs w:val="28"/>
        </w:rPr>
      </w:pPr>
      <w:r w:rsidRPr="00B92B09">
        <w:rPr>
          <w:szCs w:val="28"/>
        </w:rPr>
        <w:t>General Instructions</w:t>
      </w:r>
    </w:p>
    <w:p w:rsidRPr="00B92B09" w:rsidR="00B92B09" w:rsidP="00B92B09" w:rsidRDefault="00B92B09" w14:paraId="20266437" w14:textId="77777777">
      <w:pPr>
        <w:spacing w:after="0" w:line="240" w:lineRule="auto"/>
      </w:pPr>
    </w:p>
    <w:p w:rsidRPr="006625E7" w:rsidR="00562915" w:rsidP="00B92B09" w:rsidRDefault="00562915" w14:paraId="7BDF4B26" w14:textId="2FC43CF8">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4052E159" w14:textId="77777777">
      <w:pPr>
        <w:pStyle w:val="Heading1"/>
        <w:rPr>
          <w:szCs w:val="28"/>
        </w:rPr>
      </w:pPr>
    </w:p>
    <w:p w:rsidRPr="00B92B09" w:rsidR="00562915" w:rsidP="00B92B09" w:rsidRDefault="00562915" w14:paraId="469BE694" w14:textId="77777777">
      <w:pPr>
        <w:pStyle w:val="Heading1"/>
        <w:rPr>
          <w:szCs w:val="28"/>
        </w:rPr>
      </w:pPr>
      <w:r w:rsidRPr="00B92B09">
        <w:rPr>
          <w:szCs w:val="28"/>
        </w:rPr>
        <w:t>Specific Instructions</w:t>
      </w:r>
    </w:p>
    <w:p w:rsidRPr="00B92B09" w:rsidR="00562915" w:rsidP="00B92B09" w:rsidRDefault="00562915" w14:paraId="65E98E09"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4BFADA0B" w14:textId="77777777">
      <w:pPr>
        <w:pStyle w:val="Heading1"/>
        <w:rPr>
          <w:szCs w:val="28"/>
        </w:rPr>
      </w:pPr>
      <w:r w:rsidRPr="00B92B09">
        <w:rPr>
          <w:szCs w:val="28"/>
        </w:rPr>
        <w:t>A.  Justification</w:t>
      </w:r>
    </w:p>
    <w:p w:rsidRPr="00B92B09" w:rsidR="00562915" w:rsidP="00B92B09" w:rsidRDefault="00562915" w14:paraId="718BAB9D" w14:textId="77777777">
      <w:pPr>
        <w:spacing w:after="0" w:line="240" w:lineRule="auto"/>
        <w:rPr>
          <w:rFonts w:ascii="Times New Roman" w:hAnsi="Times New Roman" w:cs="Times New Roman"/>
          <w:sz w:val="28"/>
          <w:szCs w:val="28"/>
        </w:rPr>
      </w:pPr>
    </w:p>
    <w:p w:rsidRPr="006625E7" w:rsidR="00562915" w:rsidP="00562915" w:rsidRDefault="00562915" w14:paraId="16439B27"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3AA3D70C"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D078B2" w:rsidR="00D078B2" w:rsidP="00D078B2" w:rsidRDefault="00D078B2" w14:paraId="3A7DC3D2" w14:textId="0DFED792">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 xml:space="preserve">Executive Order 12862 directs Federal agencies to provide service to the public that matches or exceeds the best service available in the private sector. </w:t>
      </w:r>
      <w:r w:rsidR="00147433">
        <w:rPr>
          <w:rFonts w:ascii="Times New Roman" w:hAnsi="Times New Roman" w:eastAsia="Times New Roman" w:cs="Times New Roman"/>
          <w:sz w:val="24"/>
          <w:szCs w:val="24"/>
        </w:rPr>
        <w:t xml:space="preserve"> </w:t>
      </w:r>
      <w:r w:rsidRPr="00D078B2">
        <w:rPr>
          <w:rFonts w:ascii="Times New Roman" w:hAnsi="Times New Roman" w:eastAsia="Times New Roman" w:cs="Times New Roman"/>
          <w:sz w:val="24"/>
          <w:szCs w:val="24"/>
        </w:rPr>
        <w:t>In order to work continuously to ensure that our programs are effective and meet our customers’ needs, Federal Emergency management Agency (FEMA) (hereafter “the Agency”) seeks to obtain OMB approval of a generic clearance to collect qualitative feedback on our service delivery.  By qualitative feedback</w:t>
      </w:r>
      <w:r w:rsidR="00CB2CED">
        <w:rPr>
          <w:rFonts w:ascii="Times New Roman" w:hAnsi="Times New Roman" w:eastAsia="Times New Roman" w:cs="Times New Roman"/>
          <w:sz w:val="24"/>
          <w:szCs w:val="24"/>
        </w:rPr>
        <w:t>,</w:t>
      </w:r>
      <w:r w:rsidRPr="00D078B2">
        <w:rPr>
          <w:rFonts w:ascii="Times New Roman" w:hAnsi="Times New Roman" w:eastAsia="Times New Roman" w:cs="Times New Roman"/>
          <w:sz w:val="24"/>
          <w:szCs w:val="24"/>
        </w:rPr>
        <w:t xml:space="preserve"> we mean information that provides useful insights on perceptions and opinions but not statistical surveys that yield quantitative results that can be generalized to the population of study.</w:t>
      </w:r>
    </w:p>
    <w:p w:rsidRPr="00D078B2" w:rsidR="00D078B2" w:rsidP="00D078B2" w:rsidRDefault="00D078B2" w14:paraId="05CE2EAD" w14:textId="77777777">
      <w:pPr>
        <w:spacing w:after="0" w:line="240" w:lineRule="auto"/>
        <w:rPr>
          <w:rFonts w:ascii="Times New Roman" w:hAnsi="Times New Roman" w:eastAsia="Times New Roman" w:cs="Times New Roman"/>
          <w:b/>
          <w:sz w:val="24"/>
          <w:szCs w:val="24"/>
        </w:rPr>
      </w:pPr>
    </w:p>
    <w:p w:rsidRPr="00D078B2" w:rsidR="00D078B2" w:rsidP="00D078B2" w:rsidRDefault="00D078B2" w14:paraId="51E15F17" w14:textId="6EADA094">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lastRenderedPageBreak/>
        <w:t>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w:t>
      </w:r>
      <w:r w:rsidR="00CB7893">
        <w:rPr>
          <w:rFonts w:ascii="Times New Roman" w:hAnsi="Times New Roman" w:eastAsia="Times New Roman" w:cs="Times New Roman"/>
          <w:sz w:val="24"/>
          <w:szCs w:val="24"/>
        </w:rPr>
        <w:t>,</w:t>
      </w:r>
      <w:r w:rsidRPr="00D078B2">
        <w:rPr>
          <w:rFonts w:ascii="Times New Roman" w:hAnsi="Times New Roman" w:eastAsia="Times New Roman" w:cs="Times New Roman"/>
          <w:sz w:val="24"/>
          <w:szCs w:val="24"/>
        </w:rPr>
        <w:t xml:space="preserve"> and expectations</w:t>
      </w:r>
      <w:r w:rsidR="00CB7893">
        <w:rPr>
          <w:rFonts w:ascii="Times New Roman" w:hAnsi="Times New Roman" w:eastAsia="Times New Roman" w:cs="Times New Roman"/>
          <w:sz w:val="24"/>
          <w:szCs w:val="24"/>
        </w:rPr>
        <w:t>;</w:t>
      </w:r>
      <w:r w:rsidRPr="00D078B2">
        <w:rPr>
          <w:rFonts w:ascii="Times New Roman" w:hAnsi="Times New Roman" w:eastAsia="Times New Roman" w:cs="Times New Roman"/>
          <w:sz w:val="24"/>
          <w:szCs w:val="24"/>
        </w:rPr>
        <w:t xml:space="preserve"> provide an early warning of issues with service</w:t>
      </w:r>
      <w:r w:rsidR="00CB7893">
        <w:rPr>
          <w:rFonts w:ascii="Times New Roman" w:hAnsi="Times New Roman" w:eastAsia="Times New Roman" w:cs="Times New Roman"/>
          <w:sz w:val="24"/>
          <w:szCs w:val="24"/>
        </w:rPr>
        <w:t>;</w:t>
      </w:r>
      <w:r w:rsidRPr="00D078B2">
        <w:rPr>
          <w:rFonts w:ascii="Times New Roman" w:hAnsi="Times New Roman" w:eastAsia="Times New Roman" w:cs="Times New Roman"/>
          <w:sz w:val="24"/>
          <w:szCs w:val="24"/>
        </w:rPr>
        <w:t xml:space="preserve"> or focus attention on areas where communication, training</w:t>
      </w:r>
      <w:r w:rsidR="00CB7893">
        <w:rPr>
          <w:rFonts w:ascii="Times New Roman" w:hAnsi="Times New Roman" w:eastAsia="Times New Roman" w:cs="Times New Roman"/>
          <w:sz w:val="24"/>
          <w:szCs w:val="24"/>
        </w:rPr>
        <w:t>,</w:t>
      </w:r>
      <w:r w:rsidRPr="00D078B2">
        <w:rPr>
          <w:rFonts w:ascii="Times New Roman" w:hAnsi="Times New Roman" w:eastAsia="Times New Roman" w:cs="Times New Roman"/>
          <w:sz w:val="24"/>
          <w:szCs w:val="24"/>
        </w:rPr>
        <w:t xml:space="preserve"> or changes in operations might improve delivery of products or services. </w:t>
      </w:r>
      <w:r w:rsidR="005A3D25">
        <w:rPr>
          <w:rFonts w:ascii="Times New Roman" w:hAnsi="Times New Roman" w:eastAsia="Times New Roman" w:cs="Times New Roman"/>
          <w:sz w:val="24"/>
          <w:szCs w:val="24"/>
        </w:rPr>
        <w:t xml:space="preserve"> </w:t>
      </w:r>
      <w:r w:rsidRPr="00D078B2">
        <w:rPr>
          <w:rFonts w:ascii="Times New Roman" w:hAnsi="Times New Roman" w:eastAsia="Times New Roman" w:cs="Times New Roman"/>
          <w:sz w:val="24"/>
          <w:szCs w:val="24"/>
        </w:rPr>
        <w:t>These collections will allow for ongoing, collaborative</w:t>
      </w:r>
      <w:r w:rsidR="00041A6D">
        <w:rPr>
          <w:rFonts w:ascii="Times New Roman" w:hAnsi="Times New Roman" w:eastAsia="Times New Roman" w:cs="Times New Roman"/>
          <w:sz w:val="24"/>
          <w:szCs w:val="24"/>
        </w:rPr>
        <w:t>,</w:t>
      </w:r>
      <w:r w:rsidRPr="00D078B2">
        <w:rPr>
          <w:rFonts w:ascii="Times New Roman" w:hAnsi="Times New Roman" w:eastAsia="Times New Roman" w:cs="Times New Roman"/>
          <w:sz w:val="24"/>
          <w:szCs w:val="24"/>
        </w:rPr>
        <w:t xml:space="preserve"> and actionable communications between the Agency and its customers and stakeholders.  It will also allow feedback to contribute directly to the improvement of program management. </w:t>
      </w:r>
    </w:p>
    <w:p w:rsidRPr="006625E7" w:rsidR="00562915" w:rsidP="00562915" w:rsidRDefault="00562915" w14:paraId="4E09D0B1" w14:textId="77777777">
      <w:pPr>
        <w:rPr>
          <w:rFonts w:ascii="Times New Roman" w:hAnsi="Times New Roman" w:cs="Times New Roman"/>
          <w:spacing w:val="-3"/>
          <w:sz w:val="24"/>
          <w:szCs w:val="24"/>
          <w:u w:val="single"/>
        </w:rPr>
      </w:pPr>
    </w:p>
    <w:p w:rsidRPr="006625E7" w:rsidR="00562915" w:rsidP="00562915" w:rsidRDefault="00562915" w14:paraId="6998003F" w14:textId="19E42EEF">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Provide a detailed description </w:t>
      </w:r>
      <w:r w:rsidRPr="006625E7" w:rsidR="004B75E8">
        <w:rPr>
          <w:rFonts w:ascii="Times New Roman" w:hAnsi="Times New Roman" w:cs="Times New Roman"/>
          <w:b/>
          <w:bCs/>
          <w:color w:val="000000"/>
          <w:sz w:val="24"/>
          <w:szCs w:val="24"/>
        </w:rPr>
        <w:t>of</w:t>
      </w:r>
      <w:r w:rsidRPr="006625E7">
        <w:rPr>
          <w:rFonts w:ascii="Times New Roman" w:hAnsi="Times New Roman" w:cs="Times New Roman"/>
          <w:b/>
          <w:bCs/>
          <w:color w:val="000000"/>
          <w:sz w:val="24"/>
          <w:szCs w:val="24"/>
        </w:rPr>
        <w:t xml:space="preserve">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Pr="00D078B2" w:rsidR="00D078B2" w:rsidP="00D078B2" w:rsidRDefault="00D078B2" w14:paraId="074E6AF3" w14:textId="02F8CA90">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w:t>
      </w:r>
      <w:r w:rsidR="00147433">
        <w:rPr>
          <w:rFonts w:ascii="Times New Roman" w:hAnsi="Times New Roman" w:eastAsia="Times New Roman" w:cs="Times New Roman"/>
          <w:sz w:val="24"/>
          <w:szCs w:val="24"/>
        </w:rPr>
        <w:t xml:space="preserve"> </w:t>
      </w:r>
      <w:r w:rsidRPr="00D078B2">
        <w:rPr>
          <w:rFonts w:ascii="Times New Roman" w:hAnsi="Times New Roman" w:eastAsia="Times New Roman" w:cs="Times New Roman"/>
          <w:sz w:val="24"/>
          <w:szCs w:val="24"/>
        </w:rPr>
        <w:t>Responses will be assessed to plan and inform efforts to improve or maintain the quality of service offered to the public.</w:t>
      </w:r>
      <w:r w:rsidR="00147433">
        <w:rPr>
          <w:rFonts w:ascii="Times New Roman" w:hAnsi="Times New Roman" w:eastAsia="Times New Roman" w:cs="Times New Roman"/>
          <w:sz w:val="24"/>
          <w:szCs w:val="24"/>
        </w:rPr>
        <w:t xml:space="preserve"> </w:t>
      </w:r>
      <w:r w:rsidRPr="00D078B2">
        <w:rPr>
          <w:rFonts w:ascii="Times New Roman" w:hAnsi="Times New Roman" w:eastAsia="Times New Roman" w:cs="Times New Roman"/>
          <w:sz w:val="24"/>
          <w:szCs w:val="24"/>
        </w:rPr>
        <w:t xml:space="preserve"> If this information is not collected, vital feedback from customers and stakeholders on the Agency’s services will be unavailable.</w:t>
      </w:r>
    </w:p>
    <w:p w:rsidRPr="00D078B2" w:rsidR="00D078B2" w:rsidP="00D078B2" w:rsidRDefault="00D078B2" w14:paraId="66699BA1" w14:textId="77777777">
      <w:pPr>
        <w:spacing w:after="0" w:line="240" w:lineRule="auto"/>
        <w:rPr>
          <w:rFonts w:ascii="Times New Roman" w:hAnsi="Times New Roman" w:eastAsia="Times New Roman" w:cs="Times New Roman"/>
          <w:sz w:val="24"/>
          <w:szCs w:val="24"/>
        </w:rPr>
      </w:pPr>
    </w:p>
    <w:p w:rsidRPr="00D078B2" w:rsidR="00D078B2" w:rsidP="00D078B2" w:rsidRDefault="00D078B2" w14:paraId="7C8467E5" w14:textId="77777777">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 xml:space="preserve">The Agency will only submit a collection for approval under this generic clearance if </w:t>
      </w:r>
      <w:r w:rsidR="004B09CC">
        <w:rPr>
          <w:rFonts w:ascii="Times New Roman" w:hAnsi="Times New Roman" w:eastAsia="Times New Roman" w:cs="Times New Roman"/>
          <w:sz w:val="24"/>
          <w:szCs w:val="24"/>
        </w:rPr>
        <w:t xml:space="preserve">the collection </w:t>
      </w:r>
      <w:r w:rsidRPr="00D078B2">
        <w:rPr>
          <w:rFonts w:ascii="Times New Roman" w:hAnsi="Times New Roman" w:eastAsia="Times New Roman" w:cs="Times New Roman"/>
          <w:sz w:val="24"/>
          <w:szCs w:val="24"/>
        </w:rPr>
        <w:t xml:space="preserve">meets the following conditions:   </w:t>
      </w:r>
    </w:p>
    <w:p w:rsidRPr="00D078B2" w:rsidR="00D078B2" w:rsidP="00D078B2" w:rsidRDefault="00D078B2" w14:paraId="7E92B86B" w14:textId="77777777">
      <w:pPr>
        <w:spacing w:after="0" w:line="240" w:lineRule="auto"/>
        <w:rPr>
          <w:rFonts w:ascii="Times New Roman" w:hAnsi="Times New Roman" w:eastAsia="Times New Roman" w:cs="Times New Roman"/>
          <w:sz w:val="24"/>
          <w:szCs w:val="24"/>
        </w:rPr>
      </w:pPr>
    </w:p>
    <w:p w:rsidRPr="00D078B2" w:rsidR="00D078B2" w:rsidP="00D078B2" w:rsidRDefault="00D078B2" w14:paraId="5DB9E75E" w14:textId="6184CAC3">
      <w:pPr>
        <w:numPr>
          <w:ilvl w:val="0"/>
          <w:numId w:val="6"/>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Information gathered will be used only internally for general service improvement and program management purposes and is not intended for release outside of the agency (if released, procedures outlined in Question 16 will be followed);</w:t>
      </w:r>
    </w:p>
    <w:p w:rsidRPr="00D078B2" w:rsidR="00D078B2" w:rsidP="00D078B2" w:rsidRDefault="00D078B2" w14:paraId="3FEDDCC9" w14:textId="3736AADD">
      <w:pPr>
        <w:numPr>
          <w:ilvl w:val="0"/>
          <w:numId w:val="8"/>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Information gathered will not be used for the purpose of substantially informing influential policy decisions</w:t>
      </w:r>
      <w:r w:rsidR="003F76E2">
        <w:rPr>
          <w:rFonts w:ascii="Times New Roman" w:hAnsi="Times New Roman" w:eastAsia="Times New Roman" w:cs="Times New Roman"/>
          <w:sz w:val="24"/>
          <w:szCs w:val="24"/>
        </w:rPr>
        <w:t>;</w:t>
      </w:r>
      <w:r w:rsidRPr="00D078B2">
        <w:rPr>
          <w:rFonts w:ascii="Times New Roman" w:hAnsi="Times New Roman" w:eastAsia="Times New Roman" w:cs="Times New Roman"/>
          <w:sz w:val="24"/>
          <w:szCs w:val="24"/>
          <w:vertAlign w:val="superscript"/>
        </w:rPr>
        <w:footnoteReference w:id="2"/>
      </w:r>
    </w:p>
    <w:p w:rsidRPr="00D078B2" w:rsidR="00D078B2" w:rsidP="00D078B2" w:rsidRDefault="00D078B2" w14:paraId="233BEA7B" w14:textId="59ABC7AA">
      <w:pPr>
        <w:numPr>
          <w:ilvl w:val="0"/>
          <w:numId w:val="5"/>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w:t>
      </w:r>
    </w:p>
    <w:p w:rsidRPr="00D078B2" w:rsidR="00D078B2" w:rsidP="00D078B2" w:rsidRDefault="00D078B2" w14:paraId="4C9F33E5" w14:textId="77777777">
      <w:pPr>
        <w:numPr>
          <w:ilvl w:val="0"/>
          <w:numId w:val="5"/>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lastRenderedPageBreak/>
        <w:t>The collections are voluntary;</w:t>
      </w:r>
    </w:p>
    <w:p w:rsidRPr="00D078B2" w:rsidR="00D078B2" w:rsidP="00D078B2" w:rsidRDefault="00D078B2" w14:paraId="1296AF69" w14:textId="77777777">
      <w:pPr>
        <w:numPr>
          <w:ilvl w:val="0"/>
          <w:numId w:val="5"/>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Pr="00D078B2" w:rsidR="00D078B2" w:rsidP="00D078B2" w:rsidRDefault="00D078B2" w14:paraId="39D4131B" w14:textId="2E17B78D">
      <w:pPr>
        <w:numPr>
          <w:ilvl w:val="0"/>
          <w:numId w:val="5"/>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 xml:space="preserve">The collections are non-controversial and do not raise issues of concern to other Federal agencies; </w:t>
      </w:r>
    </w:p>
    <w:p w:rsidRPr="00D078B2" w:rsidR="00D078B2" w:rsidP="00D078B2" w:rsidRDefault="00D078B2" w14:paraId="17EDC2FC" w14:textId="77777777">
      <w:pPr>
        <w:numPr>
          <w:ilvl w:val="0"/>
          <w:numId w:val="5"/>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Any collection is targeted to the solicitation of opinions from respondents who have experience with the program or may have experience with the program in the near future; and</w:t>
      </w:r>
    </w:p>
    <w:p w:rsidRPr="00D078B2" w:rsidR="00D078B2" w:rsidP="00D078B2" w:rsidRDefault="00D078B2" w14:paraId="175DFEAA" w14:textId="77777777">
      <w:pPr>
        <w:numPr>
          <w:ilvl w:val="0"/>
          <w:numId w:val="5"/>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 xml:space="preserve">With the exception of information needed to provide </w:t>
      </w:r>
      <w:r w:rsidRPr="00D078B2" w:rsidR="00021D85">
        <w:rPr>
          <w:rFonts w:ascii="Times New Roman" w:hAnsi="Times New Roman" w:eastAsia="Times New Roman" w:cs="Times New Roman"/>
          <w:sz w:val="24"/>
          <w:szCs w:val="24"/>
        </w:rPr>
        <w:t>remuneration</w:t>
      </w:r>
      <w:r w:rsidRPr="00D078B2">
        <w:rPr>
          <w:rFonts w:ascii="Times New Roman" w:hAnsi="Times New Roman" w:eastAsia="Times New Roman" w:cs="Times New Roman"/>
          <w:sz w:val="24"/>
          <w:szCs w:val="24"/>
        </w:rPr>
        <w:t xml:space="preserve"> for participants of focus groups and cognitive laboratory studies, personally identifiable information (PII) is collected only to the extent necessary and is not retained. </w:t>
      </w:r>
    </w:p>
    <w:p w:rsidRPr="00D078B2" w:rsidR="00D078B2" w:rsidP="00D078B2" w:rsidRDefault="00D078B2" w14:paraId="0BFF6D51" w14:textId="77777777">
      <w:pPr>
        <w:spacing w:after="0" w:line="240" w:lineRule="auto"/>
        <w:ind w:left="360"/>
        <w:contextualSpacing/>
        <w:rPr>
          <w:rFonts w:ascii="Times New Roman" w:hAnsi="Times New Roman" w:eastAsia="Times New Roman" w:cs="Times New Roman"/>
          <w:sz w:val="24"/>
          <w:szCs w:val="24"/>
        </w:rPr>
      </w:pPr>
    </w:p>
    <w:p w:rsidRPr="00D078B2" w:rsidR="00D078B2" w:rsidP="00D078B2" w:rsidRDefault="00D078B2" w14:paraId="611180AF" w14:textId="77777777">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 xml:space="preserve">If these conditions are not met, the Agency will submit an information collection request to OMB for approval through the normal PRA process.  </w:t>
      </w:r>
    </w:p>
    <w:p w:rsidRPr="00D078B2" w:rsidR="00D078B2" w:rsidP="00D078B2" w:rsidRDefault="00D078B2" w14:paraId="7782A59E" w14:textId="77777777">
      <w:pPr>
        <w:spacing w:after="0" w:line="240" w:lineRule="auto"/>
        <w:rPr>
          <w:rFonts w:ascii="Times New Roman" w:hAnsi="Times New Roman" w:eastAsia="Times New Roman" w:cs="Times New Roman"/>
          <w:sz w:val="24"/>
          <w:szCs w:val="24"/>
        </w:rPr>
      </w:pPr>
    </w:p>
    <w:p w:rsidRPr="00D078B2" w:rsidR="00D078B2" w:rsidP="00D078B2" w:rsidRDefault="00D078B2" w14:paraId="6A189BC0" w14:textId="77777777">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Pr="00D078B2" w:rsidR="00D078B2" w:rsidP="00D078B2" w:rsidRDefault="00D078B2" w14:paraId="4D1C109B" w14:textId="77777777">
      <w:pPr>
        <w:spacing w:after="0" w:line="240" w:lineRule="auto"/>
        <w:rPr>
          <w:rFonts w:ascii="Times New Roman" w:hAnsi="Times New Roman" w:eastAsia="Times New Roman" w:cs="Times New Roman"/>
          <w:sz w:val="24"/>
          <w:szCs w:val="24"/>
        </w:rPr>
      </w:pPr>
    </w:p>
    <w:p w:rsidRPr="00D078B2" w:rsidR="00D078B2" w:rsidP="00D078B2" w:rsidRDefault="00D078B2" w14:paraId="48B5EDD0" w14:textId="77777777">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The types of collections that this generic clearance covers include, but are not limited to:</w:t>
      </w:r>
    </w:p>
    <w:p w:rsidRPr="00D078B2" w:rsidR="00D078B2" w:rsidP="00D078B2" w:rsidRDefault="00D078B2" w14:paraId="067126CC" w14:textId="654EDF3A">
      <w:pPr>
        <w:numPr>
          <w:ilvl w:val="0"/>
          <w:numId w:val="7"/>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Customer comment cards/complaint forms</w:t>
      </w:r>
      <w:r w:rsidR="00977561">
        <w:rPr>
          <w:rFonts w:ascii="Times New Roman" w:hAnsi="Times New Roman" w:eastAsia="Times New Roman" w:cs="Times New Roman"/>
          <w:sz w:val="24"/>
          <w:szCs w:val="24"/>
        </w:rPr>
        <w:t>;</w:t>
      </w:r>
    </w:p>
    <w:p w:rsidRPr="00D078B2" w:rsidR="00D078B2" w:rsidP="00D078B2" w:rsidRDefault="00D078B2" w14:paraId="3DEA189B" w14:textId="1DD69F4C">
      <w:pPr>
        <w:numPr>
          <w:ilvl w:val="0"/>
          <w:numId w:val="7"/>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Small discussion groups</w:t>
      </w:r>
      <w:r w:rsidR="00977561">
        <w:rPr>
          <w:rFonts w:ascii="Times New Roman" w:hAnsi="Times New Roman" w:eastAsia="Times New Roman" w:cs="Times New Roman"/>
          <w:sz w:val="24"/>
          <w:szCs w:val="24"/>
        </w:rPr>
        <w:t>;</w:t>
      </w:r>
    </w:p>
    <w:p w:rsidRPr="00D078B2" w:rsidR="00D078B2" w:rsidP="00D078B2" w:rsidRDefault="00D078B2" w14:paraId="58BECA7F" w14:textId="7F2E6B04">
      <w:pPr>
        <w:numPr>
          <w:ilvl w:val="0"/>
          <w:numId w:val="7"/>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Focus Groups of customers, potential customers, delivery partners, or other stakeholders</w:t>
      </w:r>
      <w:r w:rsidR="00977561">
        <w:rPr>
          <w:rFonts w:ascii="Times New Roman" w:hAnsi="Times New Roman" w:eastAsia="Times New Roman" w:cs="Times New Roman"/>
          <w:sz w:val="24"/>
          <w:szCs w:val="24"/>
        </w:rPr>
        <w:t>;</w:t>
      </w:r>
    </w:p>
    <w:p w:rsidRPr="00D078B2" w:rsidR="00D078B2" w:rsidP="00D078B2" w:rsidRDefault="00D078B2" w14:paraId="2A6B6253" w14:textId="77777777">
      <w:pPr>
        <w:numPr>
          <w:ilvl w:val="0"/>
          <w:numId w:val="7"/>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Cognitive laboratory studies, such as those used to refine questions or assess usability of a website;</w:t>
      </w:r>
    </w:p>
    <w:p w:rsidRPr="00D078B2" w:rsidR="00D078B2" w:rsidP="00D078B2" w:rsidRDefault="00D078B2" w14:paraId="74A7CB1D" w14:textId="59EF57D5">
      <w:pPr>
        <w:numPr>
          <w:ilvl w:val="0"/>
          <w:numId w:val="7"/>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Qualitative customer satisfaction surveys (e.g., post-transaction surveys; opt-out web surveys)</w:t>
      </w:r>
      <w:r w:rsidR="00977561">
        <w:rPr>
          <w:rFonts w:ascii="Times New Roman" w:hAnsi="Times New Roman" w:eastAsia="Times New Roman" w:cs="Times New Roman"/>
          <w:sz w:val="24"/>
          <w:szCs w:val="24"/>
        </w:rPr>
        <w:t>; and</w:t>
      </w:r>
    </w:p>
    <w:p w:rsidRPr="00D078B2" w:rsidR="00147433" w:rsidP="00D078B2" w:rsidRDefault="00D078B2" w14:paraId="1D7F99D5" w14:textId="4E096EAE">
      <w:pPr>
        <w:numPr>
          <w:ilvl w:val="0"/>
          <w:numId w:val="7"/>
        </w:num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In-person observation testing (e.g., website or software usability tests)</w:t>
      </w:r>
      <w:r w:rsidR="00977561">
        <w:rPr>
          <w:rFonts w:ascii="Times New Roman" w:hAnsi="Times New Roman" w:eastAsia="Times New Roman" w:cs="Times New Roman"/>
          <w:sz w:val="24"/>
          <w:szCs w:val="24"/>
        </w:rPr>
        <w:t>.</w:t>
      </w:r>
    </w:p>
    <w:p w:rsidRPr="006625E7" w:rsidR="00562915" w:rsidP="00D078B2" w:rsidRDefault="00D078B2" w14:paraId="6E29C1C0" w14:textId="77777777">
      <w:pPr>
        <w:rPr>
          <w:rFonts w:ascii="Times New Roman" w:hAnsi="Times New Roman" w:cs="Times New Roman"/>
          <w:sz w:val="24"/>
          <w:szCs w:val="24"/>
        </w:rPr>
      </w:pPr>
      <w:r w:rsidRPr="00D078B2">
        <w:rPr>
          <w:rFonts w:ascii="Times New Roman" w:hAnsi="Times New Roman" w:eastAsia="Times New Roman" w:cs="Times New Roman"/>
          <w:sz w:val="24"/>
          <w:szCs w:val="24"/>
        </w:rPr>
        <w:t>The Agency has established a manager/managing entity to serve for this generic clearance and will conduct an independent review of each information collection to ensure compliance with the terms of this clearance prior to submitting each collection to OMB.</w:t>
      </w:r>
    </w:p>
    <w:p w:rsidRPr="006625E7" w:rsidR="00562915" w:rsidP="00562915" w:rsidRDefault="00562915" w14:paraId="52FADBF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D078B2" w:rsidR="00D078B2" w:rsidP="00D078B2" w:rsidRDefault="00D078B2" w14:paraId="7CD6287C" w14:textId="77777777">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If appropriate, agencies will collect information electronically and/or use online collaboration tools to reduce burden.</w:t>
      </w:r>
    </w:p>
    <w:p w:rsidRPr="00D078B2" w:rsidR="00D078B2" w:rsidP="00D078B2" w:rsidRDefault="00D078B2" w14:paraId="3EDC2A5D" w14:textId="77777777">
      <w:pPr>
        <w:spacing w:after="0" w:line="240" w:lineRule="auto"/>
        <w:rPr>
          <w:rFonts w:ascii="Times New Roman" w:hAnsi="Times New Roman" w:eastAsia="Times New Roman" w:cs="Times New Roman"/>
          <w:sz w:val="24"/>
          <w:szCs w:val="24"/>
        </w:rPr>
      </w:pPr>
    </w:p>
    <w:p w:rsidRPr="006625E7" w:rsidR="00562915" w:rsidP="00562915" w:rsidRDefault="00562915" w14:paraId="5858C9ED"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D078B2" w:rsidR="00D078B2" w:rsidP="00D078B2" w:rsidRDefault="00D078B2" w14:paraId="6147749E" w14:textId="77777777">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No similar data is gathered or maintained by the Agency or are available from other sources known to the Agency.</w:t>
      </w:r>
    </w:p>
    <w:p w:rsidRPr="006625E7" w:rsidR="002B2B7C" w:rsidP="00562915" w:rsidRDefault="002B2B7C" w14:paraId="0D51C458" w14:textId="77777777">
      <w:pPr>
        <w:rPr>
          <w:rFonts w:ascii="Times New Roman" w:hAnsi="Times New Roman" w:cs="Times New Roman"/>
          <w:sz w:val="24"/>
          <w:szCs w:val="24"/>
        </w:rPr>
      </w:pPr>
    </w:p>
    <w:p w:rsidRPr="006625E7" w:rsidR="00562915" w:rsidP="002B2B7C" w:rsidRDefault="00562915" w14:paraId="14E60983"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D078B2" w:rsidR="00D078B2" w:rsidP="00D078B2" w:rsidRDefault="00D078B2" w14:paraId="58079A24" w14:textId="4288D97C">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Small businesses or other small entities may be involved in these efforts</w:t>
      </w:r>
      <w:r w:rsidR="007421F1">
        <w:rPr>
          <w:rFonts w:ascii="Times New Roman" w:hAnsi="Times New Roman" w:eastAsia="Times New Roman" w:cs="Times New Roman"/>
          <w:sz w:val="24"/>
          <w:szCs w:val="24"/>
        </w:rPr>
        <w:t>,</w:t>
      </w:r>
      <w:r w:rsidRPr="00D078B2">
        <w:rPr>
          <w:rFonts w:ascii="Times New Roman" w:hAnsi="Times New Roman" w:eastAsia="Times New Roman" w:cs="Times New Roman"/>
          <w:sz w:val="24"/>
          <w:szCs w:val="24"/>
        </w:rPr>
        <w:t xml:space="preserve"> but the Agency will minimize the burden on them of information collections approved under this clearance by sampling, asking for readily available information, and using short, easy-to-complete information collection instruments.  </w:t>
      </w:r>
    </w:p>
    <w:p w:rsidRPr="006625E7" w:rsidR="002B2B7C" w:rsidP="002B2B7C" w:rsidRDefault="002B2B7C" w14:paraId="36B12FB8" w14:textId="77777777">
      <w:pPr>
        <w:tabs>
          <w:tab w:val="left" w:pos="360"/>
        </w:tabs>
        <w:rPr>
          <w:rFonts w:ascii="Times New Roman" w:hAnsi="Times New Roman" w:cs="Times New Roman"/>
          <w:spacing w:val="-3"/>
          <w:sz w:val="24"/>
          <w:szCs w:val="24"/>
        </w:rPr>
      </w:pPr>
    </w:p>
    <w:p w:rsidRPr="006625E7" w:rsidR="00562915" w:rsidP="00562915" w:rsidRDefault="00562915" w14:paraId="46807B1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6625E7">
        <w:rPr>
          <w:rFonts w:ascii="Times New Roman" w:hAnsi="Times New Roman" w:cs="Times New Roman"/>
          <w:b/>
          <w:bCs/>
          <w:sz w:val="24"/>
          <w:szCs w:val="24"/>
        </w:rPr>
        <w:t>conducted, or</w:t>
      </w:r>
      <w:proofErr w:type="gramEnd"/>
      <w:r w:rsidRPr="006625E7">
        <w:rPr>
          <w:rFonts w:ascii="Times New Roman" w:hAnsi="Times New Roman" w:cs="Times New Roman"/>
          <w:b/>
          <w:bCs/>
          <w:sz w:val="24"/>
          <w:szCs w:val="24"/>
        </w:rPr>
        <w:t xml:space="preserve"> is conducted less frequently as well as any technical or legal obstacles to reducing burden.  </w:t>
      </w:r>
    </w:p>
    <w:p w:rsidRPr="00D078B2" w:rsidR="00D078B2" w:rsidP="00D078B2" w:rsidRDefault="00D078B2" w14:paraId="49FFD622" w14:textId="77777777">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Without these types of feedback, the Agency will not have timely information to adjust its services to meet customer needs.</w:t>
      </w:r>
    </w:p>
    <w:p w:rsidRPr="006625E7" w:rsidR="002B2B7C" w:rsidP="00562915" w:rsidRDefault="002B2B7C" w14:paraId="76C6C4F1" w14:textId="77777777">
      <w:pPr>
        <w:rPr>
          <w:rFonts w:ascii="Times New Roman" w:hAnsi="Times New Roman" w:cs="Times New Roman"/>
          <w:spacing w:val="-3"/>
          <w:sz w:val="24"/>
          <w:szCs w:val="24"/>
        </w:rPr>
      </w:pPr>
    </w:p>
    <w:p w:rsidR="00562915" w:rsidP="00562915" w:rsidRDefault="00562915" w14:paraId="427E55A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D078B2" w:rsidR="00D078B2" w:rsidP="00D078B2" w:rsidRDefault="00D078B2" w14:paraId="03A8A424" w14:textId="2AD56DFB">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 xml:space="preserve">There are no special circumstances. </w:t>
      </w:r>
      <w:r w:rsidR="001F1FF5">
        <w:rPr>
          <w:rFonts w:ascii="Times New Roman" w:hAnsi="Times New Roman" w:eastAsia="Times New Roman" w:cs="Times New Roman"/>
          <w:sz w:val="24"/>
          <w:szCs w:val="24"/>
        </w:rPr>
        <w:t xml:space="preserve"> </w:t>
      </w:r>
      <w:r w:rsidRPr="00D078B2">
        <w:rPr>
          <w:rFonts w:ascii="Times New Roman" w:hAnsi="Times New Roman" w:eastAsia="Times New Roman" w:cs="Times New Roman"/>
          <w:sz w:val="24"/>
          <w:szCs w:val="24"/>
        </w:rPr>
        <w:t>The information collected will be voluntary and will not be used for statistical purposes.</w:t>
      </w:r>
    </w:p>
    <w:p w:rsidRPr="006625E7" w:rsidR="00D078B2" w:rsidP="00562915" w:rsidRDefault="00D078B2" w14:paraId="77AD9C97" w14:textId="77777777">
      <w:pPr>
        <w:rPr>
          <w:rFonts w:ascii="Times New Roman" w:hAnsi="Times New Roman" w:cs="Times New Roman"/>
          <w:b/>
          <w:bCs/>
          <w:sz w:val="24"/>
          <w:szCs w:val="24"/>
        </w:rPr>
      </w:pPr>
    </w:p>
    <w:p w:rsidRPr="006625E7" w:rsidR="00562915" w:rsidP="00562915" w:rsidRDefault="00562915" w14:paraId="5A5D50CE" w14:textId="77777777">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Pr="006625E7" w:rsidR="002B2B7C" w:rsidP="002B2B7C" w:rsidRDefault="002B2B7C" w14:paraId="48F1C3BB"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7DEEAF0D"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48BE88EC"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5097A1AC"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64221874"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0B10F33C"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244FF727"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2AC9490B" w14:textId="77777777">
      <w:pPr>
        <w:rPr>
          <w:rFonts w:ascii="Times New Roman" w:hAnsi="Times New Roman" w:cs="Times New Roman"/>
          <w:sz w:val="24"/>
          <w:szCs w:val="24"/>
        </w:rPr>
      </w:pPr>
      <w:r w:rsidRPr="006625E7">
        <w:rPr>
          <w:rFonts w:ascii="Times New Roman" w:hAnsi="Times New Roman" w:cs="Times New Roman"/>
          <w:b/>
          <w:bCs/>
          <w:sz w:val="24"/>
          <w:szCs w:val="24"/>
        </w:rPr>
        <w:lastRenderedPageBreak/>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2B2B7C" w:rsidRDefault="00562915" w14:paraId="0703F57B"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3DED11ED"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Pr="006625E7" w:rsidR="002B2B7C" w:rsidP="002B2B7C" w:rsidRDefault="002B2B7C" w14:paraId="4AD58B50" w14:textId="77777777">
      <w:pPr>
        <w:spacing w:after="0" w:line="240" w:lineRule="auto"/>
        <w:rPr>
          <w:rFonts w:ascii="Times New Roman" w:hAnsi="Times New Roman" w:cs="Times New Roman"/>
          <w:sz w:val="24"/>
          <w:szCs w:val="24"/>
        </w:rPr>
      </w:pPr>
    </w:p>
    <w:p w:rsidRPr="006625E7" w:rsidR="00562915" w:rsidP="00562915" w:rsidRDefault="00562915" w14:paraId="7D4E4A36"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078B2" w:rsidP="00562915" w:rsidRDefault="00562915" w14:paraId="3F81E4C4"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75320373"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1ABB4139"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C71F14" w:rsidR="00980C71" w:rsidP="00980C71" w:rsidRDefault="00980C71" w14:paraId="745DD4A9" w14:textId="1B6284A9">
      <w:pPr>
        <w:rPr>
          <w:rFonts w:ascii="Times New Roman" w:hAnsi="Times New Roman" w:cs="Times New Roman"/>
          <w:b/>
          <w:bCs/>
          <w:color w:val="000000" w:themeColor="text1"/>
          <w:sz w:val="24"/>
          <w:szCs w:val="24"/>
        </w:rPr>
      </w:pPr>
      <w:r w:rsidRPr="00900F44">
        <w:rPr>
          <w:rFonts w:ascii="Times New Roman" w:hAnsi="Times New Roman" w:cs="Times New Roman"/>
          <w:color w:val="000000"/>
          <w:sz w:val="24"/>
          <w:szCs w:val="24"/>
        </w:rPr>
        <w:t xml:space="preserve">A 60-day Federal Register Notice inviting public comments was published on </w:t>
      </w:r>
      <w:r w:rsidR="004B75E8">
        <w:rPr>
          <w:rFonts w:ascii="Times New Roman" w:hAnsi="Times New Roman" w:cs="Times New Roman"/>
          <w:color w:val="000000"/>
          <w:sz w:val="24"/>
          <w:szCs w:val="24"/>
        </w:rPr>
        <w:t xml:space="preserve">March </w:t>
      </w:r>
      <w:r w:rsidRPr="00C71F14" w:rsidR="004B75E8">
        <w:rPr>
          <w:rFonts w:ascii="Times New Roman" w:hAnsi="Times New Roman" w:cs="Times New Roman"/>
          <w:color w:val="000000" w:themeColor="text1"/>
          <w:sz w:val="24"/>
          <w:szCs w:val="24"/>
        </w:rPr>
        <w:t>19,2021</w:t>
      </w:r>
      <w:r w:rsidRPr="00C71F14">
        <w:rPr>
          <w:rFonts w:ascii="Times New Roman" w:hAnsi="Times New Roman" w:cs="Times New Roman"/>
          <w:color w:val="000000" w:themeColor="text1"/>
          <w:sz w:val="24"/>
          <w:szCs w:val="24"/>
        </w:rPr>
        <w:t xml:space="preserve">, </w:t>
      </w:r>
      <w:r w:rsidRPr="00C71F14" w:rsidR="004B75E8">
        <w:rPr>
          <w:rFonts w:ascii="Times New Roman" w:hAnsi="Times New Roman" w:cs="Times New Roman"/>
          <w:color w:val="000000" w:themeColor="text1"/>
          <w:sz w:val="24"/>
          <w:szCs w:val="24"/>
        </w:rPr>
        <w:t>at 86</w:t>
      </w:r>
      <w:r w:rsidRPr="00C71F14">
        <w:rPr>
          <w:rFonts w:ascii="Times New Roman" w:hAnsi="Times New Roman" w:cs="Times New Roman"/>
          <w:color w:val="000000" w:themeColor="text1"/>
          <w:sz w:val="24"/>
          <w:szCs w:val="24"/>
        </w:rPr>
        <w:t xml:space="preserve"> FR </w:t>
      </w:r>
      <w:r w:rsidRPr="00C71F14" w:rsidR="004B75E8">
        <w:rPr>
          <w:rFonts w:ascii="Times New Roman" w:hAnsi="Times New Roman" w:cs="Times New Roman"/>
          <w:color w:val="000000" w:themeColor="text1"/>
          <w:sz w:val="24"/>
          <w:szCs w:val="24"/>
        </w:rPr>
        <w:t>14938</w:t>
      </w:r>
      <w:r w:rsidRPr="00C71F14">
        <w:rPr>
          <w:rFonts w:ascii="Times New Roman" w:hAnsi="Times New Roman" w:cs="Times New Roman"/>
          <w:color w:val="000000" w:themeColor="text1"/>
          <w:sz w:val="24"/>
          <w:szCs w:val="24"/>
        </w:rPr>
        <w:t xml:space="preserve">. </w:t>
      </w:r>
      <w:r w:rsidRPr="00C71F14" w:rsidR="004B75E8">
        <w:rPr>
          <w:rFonts w:ascii="Times New Roman" w:hAnsi="Times New Roman" w:cs="Times New Roman"/>
          <w:color w:val="000000" w:themeColor="text1"/>
          <w:sz w:val="24"/>
          <w:szCs w:val="24"/>
        </w:rPr>
        <w:t xml:space="preserve"> No comments were received.</w:t>
      </w:r>
      <w:r w:rsidRPr="00C71F14">
        <w:rPr>
          <w:rFonts w:ascii="Times New Roman" w:hAnsi="Times New Roman" w:cs="Times New Roman"/>
          <w:color w:val="000000" w:themeColor="text1"/>
          <w:sz w:val="24"/>
          <w:szCs w:val="24"/>
        </w:rPr>
        <w:t xml:space="preserve">  </w:t>
      </w:r>
      <w:r w:rsidRPr="00C71F14">
        <w:rPr>
          <w:rFonts w:ascii="Times New Roman" w:hAnsi="Times New Roman" w:cs="Times New Roman"/>
          <w:b/>
          <w:bCs/>
          <w:color w:val="000000" w:themeColor="text1"/>
          <w:sz w:val="24"/>
          <w:szCs w:val="24"/>
        </w:rPr>
        <w:t xml:space="preserve">  </w:t>
      </w:r>
    </w:p>
    <w:p w:rsidRPr="00C71F14" w:rsidR="00A00EDE" w:rsidP="00B1111D" w:rsidRDefault="00B1111D" w14:paraId="5846BA9A" w14:textId="0AE28E61">
      <w:pPr>
        <w:spacing w:after="160" w:line="259" w:lineRule="auto"/>
        <w:rPr>
          <w:rFonts w:ascii="Times New Roman" w:hAnsi="Times New Roman" w:eastAsia="Calibri" w:cs="Times New Roman"/>
          <w:color w:val="000000" w:themeColor="text1"/>
          <w:sz w:val="24"/>
          <w:szCs w:val="24"/>
        </w:rPr>
      </w:pPr>
      <w:r w:rsidRPr="00C71F14">
        <w:rPr>
          <w:rFonts w:ascii="Times New Roman" w:hAnsi="Times New Roman" w:eastAsia="Calibri" w:cs="Times New Roman"/>
          <w:color w:val="000000" w:themeColor="text1"/>
          <w:sz w:val="24"/>
          <w:szCs w:val="24"/>
        </w:rPr>
        <w:t xml:space="preserve">A 30-day Federal Register Notice inviting public comments was published on </w:t>
      </w:r>
      <w:r w:rsidRPr="00C71F14" w:rsidR="00C71F14">
        <w:rPr>
          <w:rFonts w:ascii="Times New Roman" w:hAnsi="Times New Roman" w:eastAsia="Calibri" w:cs="Times New Roman"/>
          <w:color w:val="000000" w:themeColor="text1"/>
          <w:sz w:val="24"/>
          <w:szCs w:val="24"/>
        </w:rPr>
        <w:t xml:space="preserve">June 7, 2021, at 86 FR 30327.  The public comments </w:t>
      </w:r>
      <w:proofErr w:type="gramStart"/>
      <w:r w:rsidR="00C71F14">
        <w:rPr>
          <w:rFonts w:ascii="Times New Roman" w:hAnsi="Times New Roman" w:eastAsia="Calibri" w:cs="Times New Roman"/>
          <w:color w:val="000000" w:themeColor="text1"/>
          <w:sz w:val="24"/>
          <w:szCs w:val="24"/>
        </w:rPr>
        <w:t>is</w:t>
      </w:r>
      <w:proofErr w:type="gramEnd"/>
      <w:r w:rsidR="00C71F14">
        <w:rPr>
          <w:rFonts w:ascii="Times New Roman" w:hAnsi="Times New Roman" w:eastAsia="Calibri" w:cs="Times New Roman"/>
          <w:color w:val="000000" w:themeColor="text1"/>
          <w:sz w:val="24"/>
          <w:szCs w:val="24"/>
        </w:rPr>
        <w:t xml:space="preserve"> open until</w:t>
      </w:r>
      <w:r w:rsidRPr="00C71F14" w:rsidR="00C71F14">
        <w:rPr>
          <w:rFonts w:ascii="Times New Roman" w:hAnsi="Times New Roman" w:eastAsia="Calibri" w:cs="Times New Roman"/>
          <w:color w:val="000000" w:themeColor="text1"/>
          <w:sz w:val="24"/>
          <w:szCs w:val="24"/>
        </w:rPr>
        <w:t xml:space="preserve"> July 7, 2021.</w:t>
      </w:r>
      <w:r w:rsidRPr="00C71F14" w:rsidR="00A00EDE">
        <w:rPr>
          <w:rFonts w:ascii="Times New Roman" w:hAnsi="Times New Roman" w:cs="Times New Roman"/>
          <w:bCs/>
          <w:color w:val="000000" w:themeColor="text1"/>
          <w:sz w:val="24"/>
          <w:szCs w:val="24"/>
        </w:rPr>
        <w:t xml:space="preserve"> </w:t>
      </w:r>
    </w:p>
    <w:p w:rsidRPr="006625E7" w:rsidR="00562915" w:rsidP="002B2B7C" w:rsidRDefault="00562915" w14:paraId="2C71863B" w14:textId="77777777">
      <w:pPr>
        <w:tabs>
          <w:tab w:val="left" w:pos="360"/>
        </w:tabs>
        <w:rPr>
          <w:rFonts w:ascii="Times New Roman" w:hAnsi="Times New Roman" w:cs="Times New Roman"/>
          <w:color w:val="FF0000"/>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625E7" w:rsidR="00562915" w:rsidP="0069527C" w:rsidRDefault="0023439B" w14:paraId="1A374892" w14:textId="68B0DC2F">
      <w:pPr>
        <w:tabs>
          <w:tab w:val="left" w:pos="360"/>
        </w:tabs>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Pr="006625E7" w:rsidR="00562915">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r w:rsidRPr="006625E7" w:rsidR="00562915">
        <w:rPr>
          <w:rFonts w:ascii="Times New Roman" w:hAnsi="Times New Roman" w:cs="Times New Roman"/>
          <w:sz w:val="24"/>
          <w:szCs w:val="24"/>
        </w:rPr>
        <w:t xml:space="preserve">       </w:t>
      </w:r>
    </w:p>
    <w:p w:rsidRPr="006625E7" w:rsidR="00562915" w:rsidP="00562915" w:rsidRDefault="00562915" w14:paraId="55E7D949"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D078B2" w:rsidR="00D078B2" w:rsidP="00D078B2" w:rsidRDefault="00D078B2" w14:paraId="3A87B3F7" w14:textId="77777777">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lastRenderedPageBreak/>
        <w:t>The Agency will not provide payment or other forms of remuneration to respondents of its various forms of collecting feedback.  Focus groups and cognitive laboratory studies are the exceptions.</w:t>
      </w:r>
    </w:p>
    <w:p w:rsidRPr="00D078B2" w:rsidR="00D078B2" w:rsidP="00D078B2" w:rsidRDefault="00D078B2" w14:paraId="030FDA88" w14:textId="77777777">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 xml:space="preserve"> </w:t>
      </w:r>
    </w:p>
    <w:p w:rsidRPr="00D078B2" w:rsidR="00D078B2" w:rsidP="00D078B2" w:rsidRDefault="00D078B2" w14:paraId="123F580B" w14:textId="0EE705D5">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 xml:space="preserve">In the case of in-person cognitive laboratory and usability studies, the Agency may provide stipends of up to $40. </w:t>
      </w:r>
      <w:r w:rsidR="00147433">
        <w:rPr>
          <w:rFonts w:ascii="Times New Roman" w:hAnsi="Times New Roman" w:eastAsia="Times New Roman" w:cs="Times New Roman"/>
          <w:sz w:val="24"/>
          <w:szCs w:val="24"/>
        </w:rPr>
        <w:t xml:space="preserve"> </w:t>
      </w:r>
      <w:r w:rsidRPr="00D078B2">
        <w:rPr>
          <w:rFonts w:ascii="Times New Roman" w:hAnsi="Times New Roman" w:eastAsia="Times New Roman" w:cs="Times New Roman"/>
          <w:sz w:val="24"/>
          <w:szCs w:val="24"/>
        </w:rPr>
        <w:t xml:space="preserve">In the case of in-person focus groups, the Agency may provide stipends of up to $75. </w:t>
      </w:r>
      <w:r w:rsidR="00147433">
        <w:rPr>
          <w:rFonts w:ascii="Times New Roman" w:hAnsi="Times New Roman" w:eastAsia="Times New Roman" w:cs="Times New Roman"/>
          <w:sz w:val="24"/>
          <w:szCs w:val="24"/>
        </w:rPr>
        <w:t xml:space="preserve"> </w:t>
      </w:r>
      <w:r w:rsidRPr="00D078B2">
        <w:rPr>
          <w:rFonts w:ascii="Times New Roman" w:hAnsi="Times New Roman" w:eastAsia="Times New Roman" w:cs="Times New Roman"/>
          <w:sz w:val="24"/>
          <w:szCs w:val="24"/>
        </w:rPr>
        <w:t>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Pr="006625E7" w:rsidR="002B2B7C" w:rsidP="00562915" w:rsidRDefault="002B2B7C" w14:paraId="2321602A" w14:textId="77777777">
      <w:pPr>
        <w:rPr>
          <w:rFonts w:ascii="Times New Roman" w:hAnsi="Times New Roman" w:cs="Times New Roman"/>
          <w:sz w:val="24"/>
          <w:szCs w:val="24"/>
        </w:rPr>
      </w:pPr>
    </w:p>
    <w:p w:rsidRPr="006625E7" w:rsidR="00562915" w:rsidP="00562915" w:rsidRDefault="00562915" w14:paraId="5272DE48"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D078B2" w:rsidR="00D078B2" w:rsidP="00D078B2" w:rsidRDefault="00D078B2" w14:paraId="1BC664BF" w14:textId="77777777">
      <w:pPr>
        <w:spacing w:after="0" w:line="240" w:lineRule="auto"/>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Pr="006625E7" w:rsidR="002B2B7C" w:rsidP="00562915" w:rsidRDefault="002B2B7C" w14:paraId="2513BF24" w14:textId="77777777">
      <w:pPr>
        <w:tabs>
          <w:tab w:val="left" w:pos="360"/>
        </w:tabs>
        <w:rPr>
          <w:rFonts w:ascii="Times New Roman" w:hAnsi="Times New Roman" w:cs="Times New Roman"/>
          <w:sz w:val="24"/>
          <w:szCs w:val="24"/>
        </w:rPr>
      </w:pPr>
    </w:p>
    <w:p w:rsidRPr="006625E7" w:rsidR="00562915" w:rsidP="00562915" w:rsidRDefault="00562915" w14:paraId="0198940F"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69527C" w:rsidP="0069527C" w:rsidRDefault="0069527C" w14:paraId="5574BDF8" w14:textId="77777777">
      <w:pPr>
        <w:rPr>
          <w:rFonts w:ascii="Times New Roman" w:hAnsi="Times New Roman" w:cs="Times New Roman"/>
          <w:sz w:val="24"/>
          <w:szCs w:val="24"/>
        </w:rPr>
      </w:pPr>
      <w:r w:rsidRPr="00C00787">
        <w:rPr>
          <w:rFonts w:ascii="Times New Roman" w:hAnsi="Times New Roman" w:cs="Times New Roman"/>
          <w:sz w:val="24"/>
          <w:szCs w:val="24"/>
        </w:rPr>
        <w:t>There are no questions of sensitive nature.</w:t>
      </w:r>
    </w:p>
    <w:p w:rsidRPr="006625E7" w:rsidR="00562915" w:rsidP="00562915" w:rsidRDefault="00562915" w14:paraId="33331325"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P="00562915" w:rsidRDefault="00562915" w14:paraId="49723581" w14:textId="3E2DFC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23439B">
        <w:tab/>
      </w:r>
      <w:r w:rsidR="0023439B">
        <w:rPr>
          <w:rFonts w:ascii="Times New Roman" w:hAnsi="Times New Roman" w:cs="Times New Roman"/>
          <w:b/>
          <w:bCs/>
          <w:sz w:val="24"/>
          <w:szCs w:val="24"/>
        </w:rPr>
        <w:t xml:space="preserve">a. </w:t>
      </w:r>
      <w:r w:rsidRPr="006625E7">
        <w:rPr>
          <w:rFonts w:ascii="Times New Roman" w:hAnsi="Times New Roman" w:cs="Times New Roman"/>
          <w:b/>
          <w:bCs/>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4E1DCBF0" w:rsidR="570CAEFD">
        <w:rPr>
          <w:rFonts w:ascii="Times New Roman" w:hAnsi="Times New Roman" w:cs="Times New Roman"/>
          <w:b/>
          <w:bCs/>
          <w:sz w:val="24"/>
          <w:szCs w:val="24"/>
        </w:rPr>
        <w:t xml:space="preserve"> </w:t>
      </w:r>
      <w:r w:rsidRPr="006625E7">
        <w:rPr>
          <w:rFonts w:ascii="Times New Roman" w:hAnsi="Times New Roman" w:cs="Times New Roman"/>
          <w:b/>
          <w:bCs/>
          <w:sz w:val="24"/>
          <w:szCs w:val="24"/>
        </w:rPr>
        <w:t>directed to do so, agencies should not conduct special surveys to obtain information on which to base hour burden estimates.  Consultation with a sample (fewer than 10) of potential respondents is desired.  If the hour</w:t>
      </w:r>
      <w:r>
        <w:tab/>
      </w:r>
      <w:r w:rsidRPr="006625E7">
        <w:rPr>
          <w:rFonts w:ascii="Times New Roman" w:hAnsi="Times New Roman" w:cs="Times New Roman"/>
          <w:b/>
          <w:bCs/>
          <w:sz w:val="24"/>
          <w:szCs w:val="24"/>
        </w:rPr>
        <w:t xml:space="preserve">burden on </w:t>
      </w:r>
      <w:r w:rsidRPr="006625E7">
        <w:rPr>
          <w:rFonts w:ascii="Times New Roman" w:hAnsi="Times New Roman" w:cs="Times New Roman"/>
          <w:b/>
          <w:bCs/>
          <w:sz w:val="24"/>
          <w:szCs w:val="24"/>
        </w:rPr>
        <w:lastRenderedPageBreak/>
        <w:t>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625E7" w:rsidR="00562915" w:rsidP="00562915" w:rsidRDefault="00562915" w14:paraId="3D7B5F25"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D1DD4" w:rsidP="00562915" w:rsidRDefault="0023439B" w14:paraId="40FDDAA5" w14:textId="0B7DB874">
      <w:pPr>
        <w:rPr>
          <w:rFonts w:ascii="Times New Roman" w:hAnsi="Times New Roman" w:cs="Times New Roman"/>
          <w:b/>
          <w:bCs/>
          <w:sz w:val="24"/>
          <w:szCs w:val="24"/>
        </w:rPr>
      </w:pPr>
      <w:r>
        <w:rPr>
          <w:rFonts w:ascii="Times New Roman" w:hAnsi="Times New Roman" w:cs="Times New Roman"/>
          <w:b/>
          <w:bCs/>
          <w:sz w:val="24"/>
          <w:szCs w:val="24"/>
        </w:rPr>
        <w:tab/>
        <w:t xml:space="preserve">c. </w:t>
      </w:r>
      <w:r w:rsidRPr="006625E7" w:rsidR="00562915">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726BBC" w:rsidP="00726BBC" w:rsidRDefault="00D078B2" w14:paraId="65B9BB5D" w14:textId="4FD77A58">
      <w:pPr>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A variety of instruments and platforms will be used to collect information from respondents.  The annual burden hours requested (</w:t>
      </w:r>
      <w:r w:rsidRPr="4E1DCBF0" w:rsidR="03B434DF">
        <w:rPr>
          <w:rFonts w:ascii="Times New Roman" w:hAnsi="Times New Roman" w:eastAsia="Times New Roman" w:cs="Times New Roman"/>
          <w:sz w:val="24"/>
          <w:szCs w:val="24"/>
        </w:rPr>
        <w:t>268,783</w:t>
      </w:r>
      <w:r w:rsidRPr="00D078B2">
        <w:rPr>
          <w:rFonts w:ascii="Times New Roman" w:hAnsi="Times New Roman" w:eastAsia="Times New Roman" w:cs="Times New Roman"/>
          <w:sz w:val="24"/>
          <w:szCs w:val="24"/>
        </w:rPr>
        <w:t xml:space="preserve">) are based on the number of collections we expect to conduct over the requested period for this clearance and past generic clearance submissions.  </w:t>
      </w:r>
    </w:p>
    <w:p w:rsidR="00726BBC" w:rsidP="00726BBC" w:rsidRDefault="00726BBC" w14:paraId="2155CD4E" w14:textId="77777777">
      <w:pPr>
        <w:rPr>
          <w:rFonts w:ascii="Times New Roman" w:hAnsi="Times New Roman" w:eastAsia="Times New Roman" w:cs="Times New Roman"/>
          <w:sz w:val="24"/>
          <w:szCs w:val="24"/>
        </w:rPr>
      </w:pPr>
    </w:p>
    <w:tbl>
      <w:tblPr>
        <w:tblW w:w="9560" w:type="dxa"/>
        <w:tblInd w:w="-450" w:type="dxa"/>
        <w:tblLayout w:type="fixed"/>
        <w:tblCellMar>
          <w:left w:w="0" w:type="dxa"/>
          <w:right w:w="0" w:type="dxa"/>
        </w:tblCellMar>
        <w:tblLook w:val="0620" w:firstRow="1" w:lastRow="0" w:firstColumn="0" w:lastColumn="0" w:noHBand="1"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185"/>
        <w:gridCol w:w="883"/>
        <w:gridCol w:w="936"/>
        <w:gridCol w:w="872"/>
        <w:gridCol w:w="1032"/>
        <w:gridCol w:w="1202"/>
        <w:gridCol w:w="1080"/>
        <w:gridCol w:w="900"/>
        <w:gridCol w:w="1470"/>
      </w:tblGrid>
      <w:tr w:rsidRPr="00726BBC" w:rsidR="003E6EA9" w:rsidTr="004D285A" w14:paraId="2D1369C1" w14:textId="77777777">
        <w:trPr>
          <w:trHeight w:val="315"/>
        </w:trPr>
        <w:tc>
          <w:tcPr>
            <w:tcW w:w="9560" w:type="dxa"/>
            <w:gridSpan w:val="9"/>
            <w:tcBorders>
              <w:top w:val="single" w:color="auto" w:sz="8" w:space="0"/>
              <w:left w:val="single" w:color="auto" w:sz="8" w:space="0"/>
              <w:bottom w:val="single" w:color="auto" w:sz="8" w:space="0"/>
              <w:right w:val="single" w:color="000000" w:sz="8" w:space="0"/>
            </w:tcBorders>
            <w:noWrap/>
            <w:tcMar>
              <w:top w:w="0" w:type="dxa"/>
              <w:left w:w="108" w:type="dxa"/>
              <w:bottom w:w="0" w:type="dxa"/>
              <w:right w:w="108" w:type="dxa"/>
            </w:tcMar>
            <w:vAlign w:val="center"/>
            <w:hideMark/>
          </w:tcPr>
          <w:p w:rsidRPr="00CE3B7E" w:rsidR="003E6EA9" w:rsidP="004D285A" w:rsidRDefault="003E6EA9" w14:paraId="504CCAF8" w14:textId="77777777">
            <w:pPr>
              <w:spacing w:after="0" w:line="240" w:lineRule="auto"/>
              <w:jc w:val="center"/>
              <w:rPr>
                <w:rFonts w:ascii="Times New Roman" w:hAnsi="Times New Roman" w:eastAsia="Calibri" w:cs="Times New Roman"/>
                <w:b/>
                <w:bCs/>
                <w:color w:val="000000"/>
                <w:sz w:val="20"/>
                <w:szCs w:val="20"/>
              </w:rPr>
            </w:pPr>
            <w:r w:rsidRPr="00CE3B7E">
              <w:rPr>
                <w:rFonts w:ascii="Times New Roman" w:hAnsi="Times New Roman" w:eastAsia="Calibri" w:cs="Times New Roman"/>
                <w:b/>
                <w:bCs/>
                <w:color w:val="000000"/>
                <w:sz w:val="20"/>
                <w:szCs w:val="20"/>
              </w:rPr>
              <w:t>Estimated Annualized Burden Hours and Costs</w:t>
            </w:r>
          </w:p>
        </w:tc>
      </w:tr>
      <w:tr w:rsidRPr="00726BBC" w:rsidR="003E6EA9" w:rsidTr="003E6EA9" w14:paraId="717CB22D" w14:textId="77777777">
        <w:trPr>
          <w:trHeight w:val="1215"/>
        </w:trPr>
        <w:tc>
          <w:tcPr>
            <w:tcW w:w="1185" w:type="dxa"/>
            <w:tcBorders>
              <w:top w:val="nil"/>
              <w:left w:val="single" w:color="auto" w:sz="8" w:space="0"/>
              <w:bottom w:val="single" w:color="auto" w:sz="8" w:space="0"/>
              <w:right w:val="single" w:color="auto" w:sz="8" w:space="0"/>
            </w:tcBorders>
            <w:shd w:val="clear" w:color="auto" w:fill="95B3D7" w:themeFill="accent1" w:themeFillTint="99"/>
            <w:tcMar>
              <w:top w:w="0" w:type="dxa"/>
              <w:left w:w="108" w:type="dxa"/>
              <w:bottom w:w="0" w:type="dxa"/>
              <w:right w:w="108" w:type="dxa"/>
            </w:tcMar>
            <w:vAlign w:val="center"/>
            <w:hideMark/>
          </w:tcPr>
          <w:p w:rsidRPr="00CE3B7E" w:rsidR="003E6EA9" w:rsidP="004D285A" w:rsidRDefault="003E6EA9" w14:paraId="5CCCECE6" w14:textId="77777777">
            <w:pPr>
              <w:spacing w:after="0" w:line="240" w:lineRule="auto"/>
              <w:jc w:val="center"/>
              <w:rPr>
                <w:rFonts w:ascii="Times New Roman" w:hAnsi="Times New Roman" w:eastAsia="Calibri" w:cs="Times New Roman"/>
                <w:color w:val="000000"/>
                <w:sz w:val="20"/>
                <w:szCs w:val="20"/>
              </w:rPr>
            </w:pPr>
            <w:r w:rsidRPr="00CE3B7E">
              <w:rPr>
                <w:rFonts w:ascii="Times New Roman" w:hAnsi="Times New Roman" w:eastAsia="Calibri" w:cs="Times New Roman"/>
                <w:color w:val="000000"/>
                <w:sz w:val="20"/>
                <w:szCs w:val="20"/>
              </w:rPr>
              <w:t>Type of Respondent</w:t>
            </w:r>
          </w:p>
        </w:tc>
        <w:tc>
          <w:tcPr>
            <w:tcW w:w="883" w:type="dxa"/>
            <w:tcBorders>
              <w:top w:val="nil"/>
              <w:left w:val="nil"/>
              <w:bottom w:val="single" w:color="auto" w:sz="8" w:space="0"/>
              <w:right w:val="single" w:color="auto" w:sz="8" w:space="0"/>
            </w:tcBorders>
            <w:shd w:val="clear" w:color="auto" w:fill="95B3D7" w:themeFill="accent1" w:themeFillTint="99"/>
            <w:tcMar>
              <w:top w:w="0" w:type="dxa"/>
              <w:left w:w="108" w:type="dxa"/>
              <w:bottom w:w="0" w:type="dxa"/>
              <w:right w:w="108" w:type="dxa"/>
            </w:tcMar>
            <w:vAlign w:val="center"/>
            <w:hideMark/>
          </w:tcPr>
          <w:p w:rsidRPr="00CE3B7E" w:rsidR="003E6EA9" w:rsidP="004D285A" w:rsidRDefault="003E6EA9" w14:paraId="3CA920F3" w14:textId="77777777">
            <w:pPr>
              <w:spacing w:after="0" w:line="240" w:lineRule="auto"/>
              <w:jc w:val="center"/>
              <w:rPr>
                <w:rFonts w:ascii="Times New Roman" w:hAnsi="Times New Roman" w:eastAsia="Calibri" w:cs="Times New Roman"/>
                <w:color w:val="000000"/>
                <w:sz w:val="20"/>
                <w:szCs w:val="20"/>
              </w:rPr>
            </w:pPr>
            <w:r w:rsidRPr="00CE3B7E">
              <w:rPr>
                <w:rFonts w:ascii="Times New Roman" w:hAnsi="Times New Roman" w:eastAsia="Calibri" w:cs="Times New Roman"/>
                <w:color w:val="000000"/>
                <w:sz w:val="20"/>
                <w:szCs w:val="20"/>
              </w:rPr>
              <w:t>Form Name / Form Number</w:t>
            </w:r>
          </w:p>
        </w:tc>
        <w:tc>
          <w:tcPr>
            <w:tcW w:w="936" w:type="dxa"/>
            <w:tcBorders>
              <w:top w:val="nil"/>
              <w:left w:val="nil"/>
              <w:bottom w:val="single" w:color="auto" w:sz="8" w:space="0"/>
              <w:right w:val="single" w:color="auto" w:sz="8" w:space="0"/>
            </w:tcBorders>
            <w:shd w:val="clear" w:color="auto" w:fill="95B3D7" w:themeFill="accent1" w:themeFillTint="99"/>
            <w:tcMar>
              <w:top w:w="0" w:type="dxa"/>
              <w:left w:w="108" w:type="dxa"/>
              <w:bottom w:w="0" w:type="dxa"/>
              <w:right w:w="108" w:type="dxa"/>
            </w:tcMar>
            <w:vAlign w:val="center"/>
            <w:hideMark/>
          </w:tcPr>
          <w:p w:rsidRPr="00CE3B7E" w:rsidR="003E6EA9" w:rsidP="004D285A" w:rsidRDefault="003E6EA9" w14:paraId="3F61EB9C" w14:textId="77777777">
            <w:pPr>
              <w:spacing w:after="0" w:line="240" w:lineRule="auto"/>
              <w:jc w:val="center"/>
              <w:rPr>
                <w:rFonts w:ascii="Times New Roman" w:hAnsi="Times New Roman" w:eastAsia="Calibri" w:cs="Times New Roman"/>
                <w:color w:val="000000"/>
                <w:sz w:val="20"/>
                <w:szCs w:val="20"/>
              </w:rPr>
            </w:pPr>
            <w:r w:rsidRPr="00CE3B7E">
              <w:rPr>
                <w:rFonts w:ascii="Times New Roman" w:hAnsi="Times New Roman" w:eastAsia="Calibri" w:cs="Times New Roman"/>
                <w:color w:val="000000"/>
                <w:sz w:val="20"/>
                <w:szCs w:val="20"/>
              </w:rPr>
              <w:t>No. of Respon-dents</w:t>
            </w:r>
          </w:p>
        </w:tc>
        <w:tc>
          <w:tcPr>
            <w:tcW w:w="872" w:type="dxa"/>
            <w:tcBorders>
              <w:top w:val="nil"/>
              <w:left w:val="nil"/>
              <w:bottom w:val="single" w:color="auto" w:sz="8" w:space="0"/>
              <w:right w:val="single" w:color="auto" w:sz="8" w:space="0"/>
            </w:tcBorders>
            <w:shd w:val="clear" w:color="auto" w:fill="95B3D7" w:themeFill="accent1" w:themeFillTint="99"/>
            <w:tcMar>
              <w:top w:w="0" w:type="dxa"/>
              <w:left w:w="108" w:type="dxa"/>
              <w:bottom w:w="0" w:type="dxa"/>
              <w:right w:w="108" w:type="dxa"/>
            </w:tcMar>
            <w:vAlign w:val="center"/>
            <w:hideMark/>
          </w:tcPr>
          <w:p w:rsidRPr="00CE3B7E" w:rsidR="003E6EA9" w:rsidP="004D285A" w:rsidRDefault="003E6EA9" w14:paraId="2A9897A4" w14:textId="77777777">
            <w:pPr>
              <w:spacing w:after="0" w:line="240" w:lineRule="auto"/>
              <w:jc w:val="center"/>
              <w:rPr>
                <w:rFonts w:ascii="Times New Roman" w:hAnsi="Times New Roman" w:eastAsia="Calibri" w:cs="Times New Roman"/>
                <w:color w:val="000000"/>
                <w:sz w:val="20"/>
                <w:szCs w:val="20"/>
              </w:rPr>
            </w:pPr>
            <w:r w:rsidRPr="00CE3B7E">
              <w:rPr>
                <w:rFonts w:ascii="Times New Roman" w:hAnsi="Times New Roman" w:eastAsia="Calibri" w:cs="Times New Roman"/>
                <w:color w:val="000000"/>
                <w:sz w:val="20"/>
                <w:szCs w:val="20"/>
              </w:rPr>
              <w:t>No. of Respon-ses per Respon-dent</w:t>
            </w:r>
          </w:p>
        </w:tc>
        <w:tc>
          <w:tcPr>
            <w:tcW w:w="1032" w:type="dxa"/>
            <w:tcBorders>
              <w:top w:val="nil"/>
              <w:left w:val="nil"/>
              <w:bottom w:val="single" w:color="auto" w:sz="8" w:space="0"/>
              <w:right w:val="single" w:color="auto" w:sz="8" w:space="0"/>
            </w:tcBorders>
            <w:shd w:val="clear" w:color="auto" w:fill="95B3D7" w:themeFill="accent1" w:themeFillTint="99"/>
            <w:tcMar>
              <w:top w:w="0" w:type="dxa"/>
              <w:left w:w="108" w:type="dxa"/>
              <w:bottom w:w="0" w:type="dxa"/>
              <w:right w:w="108" w:type="dxa"/>
            </w:tcMar>
            <w:vAlign w:val="center"/>
            <w:hideMark/>
          </w:tcPr>
          <w:p w:rsidRPr="00CE3B7E" w:rsidR="003E6EA9" w:rsidP="004D285A" w:rsidRDefault="003E6EA9" w14:paraId="3AFE2B7F" w14:textId="77777777">
            <w:pPr>
              <w:spacing w:after="0" w:line="240" w:lineRule="auto"/>
              <w:jc w:val="center"/>
              <w:rPr>
                <w:rFonts w:ascii="Times New Roman" w:hAnsi="Times New Roman" w:eastAsia="Calibri" w:cs="Times New Roman"/>
                <w:color w:val="000000"/>
                <w:sz w:val="20"/>
                <w:szCs w:val="20"/>
              </w:rPr>
            </w:pPr>
            <w:r w:rsidRPr="00CE3B7E">
              <w:rPr>
                <w:rFonts w:ascii="Times New Roman" w:hAnsi="Times New Roman" w:eastAsia="Calibri" w:cs="Times New Roman"/>
                <w:color w:val="000000"/>
                <w:sz w:val="20"/>
                <w:szCs w:val="20"/>
              </w:rPr>
              <w:t>Total No. of Responses</w:t>
            </w:r>
          </w:p>
        </w:tc>
        <w:tc>
          <w:tcPr>
            <w:tcW w:w="1202" w:type="dxa"/>
            <w:tcBorders>
              <w:top w:val="nil"/>
              <w:left w:val="nil"/>
              <w:bottom w:val="single" w:color="auto" w:sz="8" w:space="0"/>
              <w:right w:val="single" w:color="auto" w:sz="8" w:space="0"/>
            </w:tcBorders>
            <w:shd w:val="clear" w:color="auto" w:fill="95B3D7" w:themeFill="accent1" w:themeFillTint="99"/>
            <w:tcMar>
              <w:top w:w="0" w:type="dxa"/>
              <w:left w:w="108" w:type="dxa"/>
              <w:bottom w:w="0" w:type="dxa"/>
              <w:right w:w="108" w:type="dxa"/>
            </w:tcMar>
            <w:vAlign w:val="center"/>
            <w:hideMark/>
          </w:tcPr>
          <w:p w:rsidRPr="00CE3B7E" w:rsidR="003E6EA9" w:rsidP="004D285A" w:rsidRDefault="003E6EA9" w14:paraId="43D77476" w14:textId="77777777">
            <w:pPr>
              <w:spacing w:after="0" w:line="240" w:lineRule="auto"/>
              <w:jc w:val="center"/>
              <w:rPr>
                <w:rFonts w:ascii="Times New Roman" w:hAnsi="Times New Roman" w:eastAsia="Calibri" w:cs="Times New Roman"/>
                <w:color w:val="000000"/>
                <w:sz w:val="20"/>
                <w:szCs w:val="20"/>
              </w:rPr>
            </w:pPr>
            <w:r w:rsidRPr="00CE3B7E">
              <w:rPr>
                <w:rFonts w:ascii="Times New Roman" w:hAnsi="Times New Roman" w:eastAsia="Calibri" w:cs="Times New Roman"/>
                <w:color w:val="000000"/>
                <w:sz w:val="20"/>
                <w:szCs w:val="20"/>
              </w:rPr>
              <w:t>Avg. Burden per Response (in hours)</w:t>
            </w:r>
          </w:p>
        </w:tc>
        <w:tc>
          <w:tcPr>
            <w:tcW w:w="1080" w:type="dxa"/>
            <w:tcBorders>
              <w:top w:val="nil"/>
              <w:left w:val="nil"/>
              <w:bottom w:val="single" w:color="auto" w:sz="8" w:space="0"/>
              <w:right w:val="single" w:color="auto" w:sz="8" w:space="0"/>
            </w:tcBorders>
            <w:shd w:val="clear" w:color="auto" w:fill="95B3D7" w:themeFill="accent1" w:themeFillTint="99"/>
            <w:tcMar>
              <w:top w:w="0" w:type="dxa"/>
              <w:left w:w="108" w:type="dxa"/>
              <w:bottom w:w="0" w:type="dxa"/>
              <w:right w:w="108" w:type="dxa"/>
            </w:tcMar>
            <w:vAlign w:val="center"/>
            <w:hideMark/>
          </w:tcPr>
          <w:p w:rsidRPr="00CE3B7E" w:rsidR="003E6EA9" w:rsidP="004D285A" w:rsidRDefault="003E6EA9" w14:paraId="3B9BBE17" w14:textId="77777777">
            <w:pPr>
              <w:spacing w:after="0" w:line="240" w:lineRule="auto"/>
              <w:jc w:val="center"/>
              <w:rPr>
                <w:rFonts w:ascii="Times New Roman" w:hAnsi="Times New Roman" w:eastAsia="Calibri" w:cs="Times New Roman"/>
                <w:color w:val="000000"/>
                <w:sz w:val="20"/>
                <w:szCs w:val="20"/>
              </w:rPr>
            </w:pPr>
            <w:r w:rsidRPr="00CE3B7E">
              <w:rPr>
                <w:rFonts w:ascii="Times New Roman" w:hAnsi="Times New Roman" w:eastAsia="Calibri" w:cs="Times New Roman"/>
                <w:color w:val="000000"/>
                <w:sz w:val="20"/>
                <w:szCs w:val="20"/>
              </w:rPr>
              <w:t>Total Annual Burden (in hours)</w:t>
            </w:r>
          </w:p>
        </w:tc>
        <w:tc>
          <w:tcPr>
            <w:tcW w:w="900" w:type="dxa"/>
            <w:tcBorders>
              <w:top w:val="nil"/>
              <w:left w:val="nil"/>
              <w:bottom w:val="single" w:color="auto" w:sz="8" w:space="0"/>
              <w:right w:val="single" w:color="auto" w:sz="8" w:space="0"/>
            </w:tcBorders>
            <w:shd w:val="clear" w:color="auto" w:fill="95B3D7" w:themeFill="accent1" w:themeFillTint="99"/>
            <w:tcMar>
              <w:top w:w="0" w:type="dxa"/>
              <w:left w:w="108" w:type="dxa"/>
              <w:bottom w:w="0" w:type="dxa"/>
              <w:right w:w="108" w:type="dxa"/>
            </w:tcMar>
            <w:vAlign w:val="center"/>
            <w:hideMark/>
          </w:tcPr>
          <w:p w:rsidRPr="00CE3B7E" w:rsidR="003E6EA9" w:rsidP="004D285A" w:rsidRDefault="003E6EA9" w14:paraId="60D84F6C" w14:textId="77777777">
            <w:pPr>
              <w:spacing w:after="0" w:line="240" w:lineRule="auto"/>
              <w:jc w:val="center"/>
              <w:rPr>
                <w:rFonts w:ascii="Times New Roman" w:hAnsi="Times New Roman" w:eastAsia="Calibri" w:cs="Times New Roman"/>
                <w:color w:val="000000"/>
                <w:sz w:val="20"/>
                <w:szCs w:val="20"/>
              </w:rPr>
            </w:pPr>
            <w:r w:rsidRPr="00CE3B7E">
              <w:rPr>
                <w:rFonts w:ascii="Times New Roman" w:hAnsi="Times New Roman" w:eastAsia="Calibri" w:cs="Times New Roman"/>
                <w:color w:val="000000"/>
                <w:sz w:val="20"/>
                <w:szCs w:val="20"/>
              </w:rPr>
              <w:t>Avg. Hourly Wage Rate</w:t>
            </w:r>
          </w:p>
        </w:tc>
        <w:tc>
          <w:tcPr>
            <w:tcW w:w="1470" w:type="dxa"/>
            <w:tcBorders>
              <w:top w:val="nil"/>
              <w:left w:val="nil"/>
              <w:bottom w:val="single" w:color="auto" w:sz="8" w:space="0"/>
              <w:right w:val="single" w:color="auto" w:sz="8" w:space="0"/>
            </w:tcBorders>
            <w:shd w:val="clear" w:color="auto" w:fill="95B3D7" w:themeFill="accent1" w:themeFillTint="99"/>
            <w:tcMar>
              <w:top w:w="0" w:type="dxa"/>
              <w:left w:w="108" w:type="dxa"/>
              <w:bottom w:w="0" w:type="dxa"/>
              <w:right w:w="108" w:type="dxa"/>
            </w:tcMar>
            <w:vAlign w:val="center"/>
            <w:hideMark/>
          </w:tcPr>
          <w:p w:rsidRPr="00CE3B7E" w:rsidR="003E6EA9" w:rsidP="004D285A" w:rsidRDefault="003E6EA9" w14:paraId="656BBE9E" w14:textId="77777777">
            <w:pPr>
              <w:spacing w:after="0" w:line="240" w:lineRule="auto"/>
              <w:jc w:val="center"/>
              <w:rPr>
                <w:rFonts w:ascii="Times New Roman" w:hAnsi="Times New Roman" w:eastAsia="Calibri" w:cs="Times New Roman"/>
                <w:color w:val="000000"/>
                <w:sz w:val="20"/>
                <w:szCs w:val="20"/>
              </w:rPr>
            </w:pPr>
            <w:r w:rsidRPr="00CE3B7E">
              <w:rPr>
                <w:rFonts w:ascii="Times New Roman" w:hAnsi="Times New Roman" w:eastAsia="Calibri" w:cs="Times New Roman"/>
                <w:color w:val="000000"/>
                <w:sz w:val="20"/>
                <w:szCs w:val="20"/>
              </w:rPr>
              <w:t>Total Annual Respondent Cost</w:t>
            </w:r>
          </w:p>
        </w:tc>
      </w:tr>
      <w:tr w:rsidRPr="00726BBC" w:rsidR="003E6EA9" w:rsidTr="003E6EA9" w14:paraId="17E8828C" w14:textId="77777777">
        <w:trPr>
          <w:trHeight w:val="144"/>
        </w:trPr>
        <w:tc>
          <w:tcPr>
            <w:tcW w:w="11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726BBC" w:rsidR="003E6EA9" w:rsidP="004D285A" w:rsidRDefault="003E6EA9" w14:paraId="57CC4F13" w14:textId="77777777">
            <w:pPr>
              <w:rPr>
                <w:rFonts w:ascii="Times New Roman" w:hAnsi="Times New Roman" w:eastAsia="Calibri" w:cs="Times New Roman"/>
                <w:sz w:val="18"/>
                <w:szCs w:val="18"/>
              </w:rPr>
            </w:pPr>
            <w:r w:rsidRPr="00726BBC">
              <w:rPr>
                <w:rFonts w:ascii="Times New Roman" w:hAnsi="Times New Roman" w:eastAsia="Calibri" w:cs="Times New Roman"/>
                <w:sz w:val="18"/>
                <w:szCs w:val="18"/>
              </w:rPr>
              <w:t>Customer Satisfaction Survey</w:t>
            </w:r>
          </w:p>
        </w:tc>
        <w:tc>
          <w:tcPr>
            <w:tcW w:w="883"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540266F0" w14:textId="77777777">
            <w:pPr>
              <w:spacing w:after="0" w:line="240" w:lineRule="auto"/>
              <w:rPr>
                <w:rFonts w:ascii="Times New Roman" w:hAnsi="Times New Roman" w:eastAsia="Calibri" w:cs="Times New Roman"/>
                <w:color w:val="000000"/>
                <w:sz w:val="18"/>
                <w:szCs w:val="18"/>
              </w:rPr>
            </w:pP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7B33F99F" w14:textId="77777777">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600,000</w:t>
            </w:r>
          </w:p>
        </w:tc>
        <w:tc>
          <w:tcPr>
            <w:tcW w:w="8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13FC534F" w14:textId="77777777">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sz w:val="18"/>
                <w:szCs w:val="18"/>
              </w:rPr>
              <w:t>1</w:t>
            </w:r>
          </w:p>
        </w:tc>
        <w:tc>
          <w:tcPr>
            <w:tcW w:w="103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5214ABA1" w14:textId="77777777">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600,000</w:t>
            </w:r>
          </w:p>
        </w:tc>
        <w:tc>
          <w:tcPr>
            <w:tcW w:w="120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C24201" w:rsidRDefault="003E6EA9" w14:paraId="401A464C" w14:textId="7F53DC0E">
            <w:pPr>
              <w:spacing w:after="0" w:line="240" w:lineRule="auto"/>
              <w:jc w:val="center"/>
              <w:rPr>
                <w:rFonts w:ascii="Times New Roman" w:hAnsi="Times New Roman" w:eastAsia="Calibri" w:cs="Times New Roman"/>
                <w:color w:val="000000"/>
                <w:sz w:val="18"/>
                <w:szCs w:val="18"/>
              </w:rPr>
            </w:pPr>
            <w:r w:rsidRPr="00726BBC" w:rsidDel="00DE18E2">
              <w:rPr>
                <w:rFonts w:ascii="Times New Roman" w:hAnsi="Times New Roman" w:eastAsia="Calibri" w:cs="Times New Roman"/>
                <w:color w:val="000000"/>
                <w:sz w:val="18"/>
                <w:szCs w:val="18"/>
              </w:rPr>
              <w:t xml:space="preserve"> </w:t>
            </w:r>
            <w:r w:rsidRPr="00726BBC">
              <w:rPr>
                <w:rFonts w:ascii="Times New Roman" w:hAnsi="Times New Roman" w:eastAsia="Calibri" w:cs="Times New Roman"/>
                <w:color w:val="000000"/>
                <w:sz w:val="18"/>
                <w:szCs w:val="18"/>
              </w:rPr>
              <w:t>0.16</w:t>
            </w:r>
            <w:r>
              <w:rPr>
                <w:rFonts w:ascii="Times New Roman" w:hAnsi="Times New Roman" w:eastAsia="Calibri" w:cs="Times New Roman"/>
                <w:color w:val="000000"/>
                <w:sz w:val="18"/>
                <w:szCs w:val="18"/>
              </w:rPr>
              <w:t>6</w:t>
            </w:r>
            <w:r w:rsidRPr="00726BBC">
              <w:rPr>
                <w:rFonts w:ascii="Times New Roman" w:hAnsi="Times New Roman" w:eastAsia="Calibri" w:cs="Times New Roman"/>
                <w:color w:val="000000"/>
                <w:sz w:val="18"/>
                <w:szCs w:val="18"/>
              </w:rPr>
              <w:t>7</w:t>
            </w:r>
          </w:p>
          <w:p w:rsidRPr="00726BBC" w:rsidR="003E6EA9" w:rsidP="004D285A" w:rsidRDefault="003E6EA9" w14:paraId="4B07AA8D" w14:textId="77777777">
            <w:pPr>
              <w:spacing w:after="0" w:line="240" w:lineRule="auto"/>
              <w:jc w:val="center"/>
              <w:rPr>
                <w:rFonts w:ascii="Times New Roman" w:hAnsi="Times New Roman" w:eastAsia="Calibri" w:cs="Times New Roman"/>
                <w:color w:val="00000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0026AE01" w14:textId="77777777">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100,</w:t>
            </w:r>
            <w:r>
              <w:rPr>
                <w:rFonts w:ascii="Times New Roman" w:hAnsi="Times New Roman" w:eastAsia="Calibri" w:cs="Times New Roman"/>
                <w:color w:val="000000"/>
                <w:sz w:val="18"/>
                <w:szCs w:val="18"/>
              </w:rPr>
              <w:t>020</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66EE1A7A" w14:textId="058F57D4">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$3</w:t>
            </w:r>
            <w:r w:rsidR="00CA1444">
              <w:rPr>
                <w:rFonts w:ascii="Times New Roman" w:hAnsi="Times New Roman" w:eastAsia="Calibri" w:cs="Times New Roman"/>
                <w:color w:val="000000"/>
                <w:sz w:val="18"/>
                <w:szCs w:val="18"/>
              </w:rPr>
              <w:t>9.52</w:t>
            </w:r>
          </w:p>
        </w:tc>
        <w:tc>
          <w:tcPr>
            <w:tcW w:w="14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577AAA6A" w14:textId="4C565885">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$3,</w:t>
            </w:r>
            <w:r w:rsidR="00CA1444">
              <w:rPr>
                <w:rFonts w:ascii="Times New Roman" w:hAnsi="Times New Roman" w:eastAsia="Calibri" w:cs="Times New Roman"/>
                <w:color w:val="000000"/>
                <w:sz w:val="18"/>
                <w:szCs w:val="18"/>
              </w:rPr>
              <w:t>952,790</w:t>
            </w:r>
          </w:p>
        </w:tc>
      </w:tr>
      <w:tr w:rsidRPr="00726BBC" w:rsidR="003E6EA9" w:rsidTr="003E6EA9" w14:paraId="61082AF5" w14:textId="77777777">
        <w:trPr>
          <w:trHeight w:val="720"/>
        </w:trPr>
        <w:tc>
          <w:tcPr>
            <w:tcW w:w="11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726BBC" w:rsidR="003E6EA9" w:rsidP="004D285A" w:rsidRDefault="003E6EA9" w14:paraId="4DE4E6C3" w14:textId="77777777">
            <w:pPr>
              <w:rPr>
                <w:rFonts w:ascii="Times New Roman" w:hAnsi="Times New Roman" w:eastAsia="Calibri" w:cs="Times New Roman"/>
                <w:sz w:val="18"/>
                <w:szCs w:val="18"/>
              </w:rPr>
            </w:pPr>
            <w:r w:rsidRPr="00726BBC">
              <w:rPr>
                <w:rFonts w:ascii="Times New Roman" w:hAnsi="Times New Roman" w:eastAsia="Calibri" w:cs="Times New Roman"/>
                <w:sz w:val="18"/>
                <w:szCs w:val="18"/>
              </w:rPr>
              <w:t>Focus Group</w:t>
            </w:r>
          </w:p>
        </w:tc>
        <w:tc>
          <w:tcPr>
            <w:tcW w:w="883"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61759FA1" w14:textId="77777777">
            <w:pPr>
              <w:spacing w:after="0" w:line="240" w:lineRule="auto"/>
              <w:rPr>
                <w:rFonts w:ascii="Times New Roman" w:hAnsi="Times New Roman" w:eastAsia="Calibri" w:cs="Times New Roman"/>
                <w:color w:val="000000"/>
                <w:sz w:val="18"/>
                <w:szCs w:val="18"/>
              </w:rPr>
            </w:pP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7879C6B1" w14:textId="77777777">
            <w:pPr>
              <w:spacing w:after="0" w:line="240" w:lineRule="auto"/>
              <w:jc w:val="center"/>
              <w:rPr>
                <w:rFonts w:ascii="Times New Roman" w:hAnsi="Times New Roman" w:eastAsia="Calibri" w:cs="Times New Roman"/>
                <w:sz w:val="18"/>
                <w:szCs w:val="18"/>
              </w:rPr>
            </w:pPr>
            <w:r w:rsidRPr="00726BBC">
              <w:rPr>
                <w:rFonts w:ascii="Times New Roman" w:hAnsi="Times New Roman" w:eastAsia="Calibri" w:cs="Times New Roman"/>
                <w:sz w:val="18"/>
                <w:szCs w:val="18"/>
              </w:rPr>
              <w:t>50,000</w:t>
            </w:r>
          </w:p>
        </w:tc>
        <w:tc>
          <w:tcPr>
            <w:tcW w:w="87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72C86105" w14:textId="77777777">
            <w:pPr>
              <w:spacing w:after="0" w:line="240" w:lineRule="auto"/>
              <w:jc w:val="center"/>
              <w:rPr>
                <w:rFonts w:ascii="Times New Roman" w:hAnsi="Times New Roman" w:eastAsia="Calibri" w:cs="Times New Roman"/>
                <w:sz w:val="18"/>
                <w:szCs w:val="18"/>
              </w:rPr>
            </w:pPr>
            <w:r w:rsidRPr="00726BBC">
              <w:rPr>
                <w:rFonts w:ascii="Times New Roman" w:hAnsi="Times New Roman" w:eastAsia="Calibri" w:cs="Times New Roman"/>
                <w:sz w:val="18"/>
                <w:szCs w:val="18"/>
              </w:rPr>
              <w:t>1</w:t>
            </w:r>
          </w:p>
        </w:tc>
        <w:tc>
          <w:tcPr>
            <w:tcW w:w="103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0C3EEC3D" w14:textId="77777777">
            <w:pPr>
              <w:spacing w:after="0" w:line="240" w:lineRule="auto"/>
              <w:jc w:val="center"/>
              <w:rPr>
                <w:rFonts w:ascii="Times New Roman" w:hAnsi="Times New Roman" w:eastAsia="Calibri" w:cs="Times New Roman"/>
                <w:sz w:val="18"/>
                <w:szCs w:val="18"/>
              </w:rPr>
            </w:pPr>
            <w:r w:rsidRPr="00726BBC">
              <w:rPr>
                <w:rFonts w:ascii="Times New Roman" w:hAnsi="Times New Roman" w:eastAsia="Calibri" w:cs="Times New Roman"/>
                <w:sz w:val="18"/>
                <w:szCs w:val="18"/>
              </w:rPr>
              <w:t>50,000</w:t>
            </w:r>
          </w:p>
        </w:tc>
        <w:tc>
          <w:tcPr>
            <w:tcW w:w="1202"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64F99788" w14:textId="4F2DFADF">
            <w:pPr>
              <w:spacing w:after="0" w:line="240" w:lineRule="auto"/>
              <w:jc w:val="center"/>
              <w:rPr>
                <w:rFonts w:ascii="Times New Roman" w:hAnsi="Times New Roman" w:eastAsia="Calibri" w:cs="Times New Roman"/>
                <w:color w:val="000000"/>
                <w:sz w:val="18"/>
                <w:szCs w:val="18"/>
              </w:rPr>
            </w:pPr>
            <w:r>
              <w:rPr>
                <w:rFonts w:ascii="Times New Roman" w:hAnsi="Times New Roman" w:eastAsia="Calibri" w:cs="Times New Roman"/>
                <w:color w:val="000000"/>
                <w:sz w:val="18"/>
                <w:szCs w:val="18"/>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56371F29" w14:textId="77777777">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sz w:val="18"/>
                <w:szCs w:val="18"/>
              </w:rPr>
              <w:t>100</w:t>
            </w:r>
            <w:r>
              <w:rPr>
                <w:rFonts w:ascii="Times New Roman" w:hAnsi="Times New Roman" w:eastAsia="Calibri" w:cs="Times New Roman"/>
                <w:sz w:val="18"/>
                <w:szCs w:val="18"/>
              </w:rPr>
              <w:t>,000</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CA1444" w14:paraId="1BB3512C" w14:textId="6DD05C82">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$3</w:t>
            </w:r>
            <w:r>
              <w:rPr>
                <w:rFonts w:ascii="Times New Roman" w:hAnsi="Times New Roman" w:eastAsia="Calibri" w:cs="Times New Roman"/>
                <w:color w:val="000000"/>
                <w:sz w:val="18"/>
                <w:szCs w:val="18"/>
              </w:rPr>
              <w:t>9.52</w:t>
            </w:r>
          </w:p>
        </w:tc>
        <w:tc>
          <w:tcPr>
            <w:tcW w:w="147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493DC054" w14:textId="31F1FC98">
            <w:pPr>
              <w:spacing w:after="0" w:line="240" w:lineRule="auto"/>
              <w:jc w:val="center"/>
              <w:rPr>
                <w:rFonts w:ascii="Times New Roman" w:hAnsi="Times New Roman" w:eastAsia="Calibri" w:cs="Times New Roman"/>
                <w:color w:val="000000"/>
                <w:sz w:val="18"/>
                <w:szCs w:val="18"/>
              </w:rPr>
            </w:pPr>
            <w:r>
              <w:rPr>
                <w:rFonts w:ascii="Times New Roman" w:hAnsi="Times New Roman" w:eastAsia="Calibri" w:cs="Times New Roman"/>
                <w:color w:val="000000"/>
                <w:sz w:val="18"/>
                <w:szCs w:val="18"/>
              </w:rPr>
              <w:t>$3,</w:t>
            </w:r>
            <w:r w:rsidR="00CA1444">
              <w:rPr>
                <w:rFonts w:ascii="Times New Roman" w:hAnsi="Times New Roman" w:eastAsia="Calibri" w:cs="Times New Roman"/>
                <w:color w:val="000000"/>
                <w:sz w:val="18"/>
                <w:szCs w:val="18"/>
              </w:rPr>
              <w:t>952</w:t>
            </w:r>
            <w:r>
              <w:rPr>
                <w:rFonts w:ascii="Times New Roman" w:hAnsi="Times New Roman" w:eastAsia="Calibri" w:cs="Times New Roman"/>
                <w:color w:val="000000"/>
                <w:sz w:val="18"/>
                <w:szCs w:val="18"/>
              </w:rPr>
              <w:t>,000</w:t>
            </w:r>
          </w:p>
        </w:tc>
      </w:tr>
      <w:tr w:rsidRPr="00726BBC" w:rsidR="003E6EA9" w:rsidTr="003E6EA9" w14:paraId="0D34F2AF" w14:textId="77777777">
        <w:trPr>
          <w:trHeight w:val="315"/>
        </w:trPr>
        <w:tc>
          <w:tcPr>
            <w:tcW w:w="11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26BBC" w:rsidR="003E6EA9" w:rsidP="004D285A" w:rsidRDefault="003E6EA9" w14:paraId="1164EE0C" w14:textId="77777777">
            <w:pPr>
              <w:rPr>
                <w:rFonts w:ascii="Times New Roman" w:hAnsi="Times New Roman" w:eastAsia="Calibri" w:cs="Times New Roman"/>
                <w:sz w:val="18"/>
                <w:szCs w:val="18"/>
              </w:rPr>
            </w:pPr>
            <w:r w:rsidRPr="00726BBC">
              <w:rPr>
                <w:rFonts w:ascii="Times New Roman" w:hAnsi="Times New Roman" w:eastAsia="Calibri" w:cs="Times New Roman"/>
                <w:sz w:val="18"/>
                <w:szCs w:val="18"/>
              </w:rPr>
              <w:t>Other: Course Evaluation</w:t>
            </w:r>
          </w:p>
        </w:tc>
        <w:tc>
          <w:tcPr>
            <w:tcW w:w="883"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680CEB31" w14:textId="77777777">
            <w:pPr>
              <w:spacing w:after="0" w:line="240" w:lineRule="auto"/>
              <w:rPr>
                <w:rFonts w:ascii="Times New Roman" w:hAnsi="Times New Roman" w:eastAsia="Calibri" w:cs="Times New Roman"/>
                <w:color w:val="000000"/>
                <w:sz w:val="18"/>
                <w:szCs w:val="18"/>
              </w:rPr>
            </w:pP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52A7B6C7" w14:textId="77777777">
            <w:pPr>
              <w:spacing w:after="0" w:line="240" w:lineRule="auto"/>
              <w:jc w:val="center"/>
              <w:rPr>
                <w:rFonts w:ascii="Times New Roman" w:hAnsi="Times New Roman" w:eastAsia="Calibri" w:cs="Times New Roman"/>
                <w:sz w:val="18"/>
                <w:szCs w:val="18"/>
              </w:rPr>
            </w:pPr>
            <w:r w:rsidRPr="00726BBC">
              <w:rPr>
                <w:rFonts w:ascii="Times New Roman" w:hAnsi="Times New Roman" w:eastAsia="Calibri" w:cs="Times New Roman"/>
                <w:sz w:val="18"/>
                <w:szCs w:val="18"/>
              </w:rPr>
              <w:t>400,000</w:t>
            </w:r>
          </w:p>
        </w:tc>
        <w:tc>
          <w:tcPr>
            <w:tcW w:w="872"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071BD36D" w14:textId="77777777">
            <w:pPr>
              <w:spacing w:after="0" w:line="240" w:lineRule="auto"/>
              <w:jc w:val="center"/>
              <w:rPr>
                <w:rFonts w:ascii="Times New Roman" w:hAnsi="Times New Roman" w:eastAsia="Calibri" w:cs="Times New Roman"/>
                <w:sz w:val="18"/>
                <w:szCs w:val="18"/>
              </w:rPr>
            </w:pPr>
            <w:r w:rsidRPr="00726BBC">
              <w:rPr>
                <w:rFonts w:ascii="Times New Roman" w:hAnsi="Times New Roman" w:eastAsia="Calibri" w:cs="Times New Roman"/>
                <w:sz w:val="18"/>
                <w:szCs w:val="18"/>
              </w:rPr>
              <w:t>1</w:t>
            </w:r>
          </w:p>
        </w:tc>
        <w:tc>
          <w:tcPr>
            <w:tcW w:w="1032"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518ABBFC" w14:textId="77777777">
            <w:pPr>
              <w:spacing w:after="0" w:line="240" w:lineRule="auto"/>
              <w:jc w:val="center"/>
              <w:rPr>
                <w:rFonts w:ascii="Times New Roman" w:hAnsi="Times New Roman" w:eastAsia="Calibri" w:cs="Times New Roman"/>
                <w:sz w:val="18"/>
                <w:szCs w:val="18"/>
              </w:rPr>
            </w:pPr>
            <w:r w:rsidRPr="00726BBC">
              <w:rPr>
                <w:rFonts w:ascii="Times New Roman" w:hAnsi="Times New Roman" w:eastAsia="Calibri" w:cs="Times New Roman"/>
                <w:sz w:val="18"/>
                <w:szCs w:val="18"/>
              </w:rPr>
              <w:t>400,000</w:t>
            </w:r>
          </w:p>
        </w:tc>
        <w:tc>
          <w:tcPr>
            <w:tcW w:w="1202"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C24201" w:rsidRDefault="003E6EA9" w14:paraId="7A9F9767" w14:textId="1D11C0E5">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0.16</w:t>
            </w:r>
            <w:r>
              <w:rPr>
                <w:rFonts w:ascii="Times New Roman" w:hAnsi="Times New Roman" w:eastAsia="Calibri" w:cs="Times New Roman"/>
                <w:color w:val="000000"/>
                <w:sz w:val="18"/>
                <w:szCs w:val="18"/>
              </w:rPr>
              <w:t>6</w:t>
            </w:r>
            <w:r w:rsidRPr="00726BBC">
              <w:rPr>
                <w:rFonts w:ascii="Times New Roman" w:hAnsi="Times New Roman" w:eastAsia="Calibri" w:cs="Times New Roman"/>
                <w:color w:val="000000"/>
                <w:sz w:val="18"/>
                <w:szCs w:val="18"/>
              </w:rPr>
              <w:t>7</w:t>
            </w:r>
          </w:p>
          <w:p w:rsidRPr="00726BBC" w:rsidR="003E6EA9" w:rsidP="004D285A" w:rsidRDefault="003E6EA9" w14:paraId="57805436" w14:textId="77777777">
            <w:pPr>
              <w:spacing w:after="0" w:line="240" w:lineRule="auto"/>
              <w:jc w:val="center"/>
              <w:rPr>
                <w:rFonts w:ascii="Times New Roman" w:hAnsi="Times New Roman" w:eastAsia="Calibri" w:cs="Times New Roman"/>
                <w:color w:val="00000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712B76F4" w14:textId="77777777">
            <w:pPr>
              <w:spacing w:after="0" w:line="240" w:lineRule="auto"/>
              <w:jc w:val="center"/>
              <w:rPr>
                <w:rFonts w:ascii="Times New Roman" w:hAnsi="Times New Roman" w:eastAsia="Calibri" w:cs="Times New Roman"/>
                <w:sz w:val="18"/>
                <w:szCs w:val="18"/>
              </w:rPr>
            </w:pPr>
            <w:r w:rsidRPr="00726BBC">
              <w:rPr>
                <w:rFonts w:ascii="Times New Roman" w:hAnsi="Times New Roman" w:eastAsia="Calibri" w:cs="Times New Roman"/>
                <w:sz w:val="18"/>
                <w:szCs w:val="18"/>
              </w:rPr>
              <w:t>66,</w:t>
            </w:r>
            <w:r>
              <w:rPr>
                <w:rFonts w:ascii="Times New Roman" w:hAnsi="Times New Roman" w:eastAsia="Calibri" w:cs="Times New Roman"/>
                <w:sz w:val="18"/>
                <w:szCs w:val="18"/>
              </w:rPr>
              <w:t>680</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CA1444" w14:paraId="2B7F5897" w14:textId="73D67093">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$3</w:t>
            </w:r>
            <w:r>
              <w:rPr>
                <w:rFonts w:ascii="Times New Roman" w:hAnsi="Times New Roman" w:eastAsia="Calibri" w:cs="Times New Roman"/>
                <w:color w:val="000000"/>
                <w:sz w:val="18"/>
                <w:szCs w:val="18"/>
              </w:rPr>
              <w:t>9.52</w:t>
            </w:r>
          </w:p>
        </w:tc>
        <w:tc>
          <w:tcPr>
            <w:tcW w:w="147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4F766CB3" w14:textId="7BC55409">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$2,</w:t>
            </w:r>
            <w:r w:rsidR="00C60460">
              <w:rPr>
                <w:rFonts w:ascii="Times New Roman" w:hAnsi="Times New Roman" w:eastAsia="Calibri" w:cs="Times New Roman"/>
                <w:color w:val="000000"/>
                <w:sz w:val="18"/>
                <w:szCs w:val="18"/>
              </w:rPr>
              <w:t>635,194</w:t>
            </w:r>
          </w:p>
        </w:tc>
      </w:tr>
      <w:tr w:rsidRPr="00726BBC" w:rsidR="003E6EA9" w:rsidTr="003E6EA9" w14:paraId="068E51C8" w14:textId="77777777">
        <w:trPr>
          <w:trHeight w:val="315"/>
        </w:trPr>
        <w:tc>
          <w:tcPr>
            <w:tcW w:w="118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26BBC" w:rsidR="003E6EA9" w:rsidP="004D285A" w:rsidRDefault="003E6EA9" w14:paraId="434EED61" w14:textId="77777777">
            <w:pPr>
              <w:rPr>
                <w:rFonts w:ascii="Times New Roman" w:hAnsi="Times New Roman" w:eastAsia="Calibri" w:cs="Times New Roman"/>
                <w:sz w:val="18"/>
                <w:szCs w:val="18"/>
              </w:rPr>
            </w:pPr>
            <w:r w:rsidRPr="00726BBC">
              <w:rPr>
                <w:rFonts w:ascii="Times New Roman" w:hAnsi="Times New Roman" w:eastAsia="Calibri" w:cs="Times New Roman"/>
                <w:sz w:val="18"/>
                <w:szCs w:val="18"/>
              </w:rPr>
              <w:t>Customer Comment Card</w:t>
            </w:r>
          </w:p>
        </w:tc>
        <w:tc>
          <w:tcPr>
            <w:tcW w:w="883"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45F578DB" w14:textId="77777777">
            <w:pPr>
              <w:spacing w:after="0" w:line="240" w:lineRule="auto"/>
              <w:rPr>
                <w:rFonts w:ascii="Times New Roman" w:hAnsi="Times New Roman" w:eastAsia="Calibri" w:cs="Times New Roman"/>
                <w:color w:val="000000"/>
                <w:sz w:val="18"/>
                <w:szCs w:val="18"/>
              </w:rPr>
            </w:pP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752A427F" w14:textId="77777777">
            <w:pPr>
              <w:spacing w:after="0" w:line="240" w:lineRule="auto"/>
              <w:jc w:val="center"/>
              <w:rPr>
                <w:rFonts w:ascii="Times New Roman" w:hAnsi="Times New Roman" w:eastAsia="Calibri" w:cs="Times New Roman"/>
                <w:sz w:val="18"/>
                <w:szCs w:val="18"/>
              </w:rPr>
            </w:pPr>
            <w:r w:rsidRPr="00726BBC">
              <w:rPr>
                <w:rFonts w:ascii="Times New Roman" w:hAnsi="Times New Roman" w:eastAsia="Calibri" w:cs="Times New Roman"/>
                <w:sz w:val="18"/>
                <w:szCs w:val="18"/>
              </w:rPr>
              <w:t>25,000</w:t>
            </w:r>
          </w:p>
        </w:tc>
        <w:tc>
          <w:tcPr>
            <w:tcW w:w="872"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7145F347" w14:textId="77777777">
            <w:pPr>
              <w:spacing w:after="0" w:line="240" w:lineRule="auto"/>
              <w:jc w:val="center"/>
              <w:rPr>
                <w:rFonts w:ascii="Times New Roman" w:hAnsi="Times New Roman" w:eastAsia="Calibri" w:cs="Times New Roman"/>
                <w:sz w:val="18"/>
                <w:szCs w:val="18"/>
              </w:rPr>
            </w:pPr>
            <w:r w:rsidRPr="00726BBC">
              <w:rPr>
                <w:rFonts w:ascii="Times New Roman" w:hAnsi="Times New Roman" w:eastAsia="Calibri" w:cs="Times New Roman"/>
                <w:sz w:val="18"/>
                <w:szCs w:val="18"/>
              </w:rPr>
              <w:t>1</w:t>
            </w:r>
          </w:p>
        </w:tc>
        <w:tc>
          <w:tcPr>
            <w:tcW w:w="1032"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2392CF6C" w14:textId="77777777">
            <w:pPr>
              <w:spacing w:after="0" w:line="240" w:lineRule="auto"/>
              <w:jc w:val="center"/>
              <w:rPr>
                <w:rFonts w:ascii="Times New Roman" w:hAnsi="Times New Roman" w:eastAsia="Calibri" w:cs="Times New Roman"/>
                <w:sz w:val="18"/>
                <w:szCs w:val="18"/>
              </w:rPr>
            </w:pPr>
            <w:r w:rsidRPr="00726BBC">
              <w:rPr>
                <w:rFonts w:ascii="Times New Roman" w:hAnsi="Times New Roman" w:eastAsia="Calibri" w:cs="Times New Roman"/>
                <w:sz w:val="18"/>
                <w:szCs w:val="18"/>
              </w:rPr>
              <w:t>25,000</w:t>
            </w:r>
          </w:p>
        </w:tc>
        <w:tc>
          <w:tcPr>
            <w:tcW w:w="1202"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C24201" w:rsidRDefault="003E6EA9" w14:paraId="05B8FA33" w14:textId="03673ADF">
            <w:pPr>
              <w:spacing w:after="0" w:line="240" w:lineRule="auto"/>
              <w:jc w:val="center"/>
              <w:rPr>
                <w:rFonts w:ascii="Times New Roman" w:hAnsi="Times New Roman" w:eastAsia="Calibri" w:cs="Times New Roman"/>
                <w:color w:val="000000"/>
                <w:sz w:val="18"/>
                <w:szCs w:val="18"/>
              </w:rPr>
            </w:pPr>
            <w:r w:rsidRPr="00726BBC" w:rsidDel="00DE18E2">
              <w:rPr>
                <w:rFonts w:ascii="Times New Roman" w:hAnsi="Times New Roman" w:eastAsia="Calibri" w:cs="Times New Roman"/>
                <w:color w:val="000000"/>
                <w:sz w:val="18"/>
                <w:szCs w:val="18"/>
              </w:rPr>
              <w:t xml:space="preserve"> </w:t>
            </w:r>
            <w:r w:rsidRPr="00726BBC">
              <w:rPr>
                <w:rFonts w:ascii="Times New Roman" w:hAnsi="Times New Roman" w:eastAsia="Calibri" w:cs="Times New Roman"/>
                <w:color w:val="000000"/>
                <w:sz w:val="18"/>
                <w:szCs w:val="18"/>
              </w:rPr>
              <w:t>0.083</w:t>
            </w:r>
            <w:r>
              <w:rPr>
                <w:rFonts w:ascii="Times New Roman" w:hAnsi="Times New Roman" w:eastAsia="Calibri" w:cs="Times New Roman"/>
                <w:color w:val="000000"/>
                <w:sz w:val="18"/>
                <w:szCs w:val="18"/>
              </w:rPr>
              <w:t>3</w:t>
            </w:r>
          </w:p>
          <w:p w:rsidRPr="00726BBC" w:rsidR="003E6EA9" w:rsidP="004D285A" w:rsidRDefault="003E6EA9" w14:paraId="246329DB" w14:textId="77777777">
            <w:pPr>
              <w:spacing w:after="0" w:line="240" w:lineRule="auto"/>
              <w:jc w:val="center"/>
              <w:rPr>
                <w:rFonts w:ascii="Times New Roman" w:hAnsi="Times New Roman" w:eastAsia="Calibri" w:cs="Times New Roman"/>
                <w:color w:val="00000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0B497A4C" w14:textId="77777777">
            <w:pPr>
              <w:spacing w:after="0" w:line="240" w:lineRule="auto"/>
              <w:jc w:val="center"/>
              <w:rPr>
                <w:rFonts w:ascii="Times New Roman" w:hAnsi="Times New Roman" w:eastAsia="Calibri" w:cs="Times New Roman"/>
                <w:sz w:val="18"/>
                <w:szCs w:val="18"/>
              </w:rPr>
            </w:pPr>
            <w:r w:rsidRPr="00726BBC">
              <w:rPr>
                <w:rFonts w:ascii="Times New Roman" w:hAnsi="Times New Roman" w:eastAsia="Calibri" w:cs="Times New Roman"/>
                <w:sz w:val="18"/>
                <w:szCs w:val="18"/>
              </w:rPr>
              <w:t>2,0</w:t>
            </w:r>
            <w:r>
              <w:rPr>
                <w:rFonts w:ascii="Times New Roman" w:hAnsi="Times New Roman" w:eastAsia="Calibri" w:cs="Times New Roman"/>
                <w:sz w:val="18"/>
                <w:szCs w:val="18"/>
              </w:rPr>
              <w:t>83</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CA1444" w14:paraId="1CE570E1" w14:textId="7B88A2FD">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$3</w:t>
            </w:r>
            <w:r>
              <w:rPr>
                <w:rFonts w:ascii="Times New Roman" w:hAnsi="Times New Roman" w:eastAsia="Calibri" w:cs="Times New Roman"/>
                <w:color w:val="000000"/>
                <w:sz w:val="18"/>
                <w:szCs w:val="18"/>
              </w:rPr>
              <w:t>9.52</w:t>
            </w:r>
          </w:p>
        </w:tc>
        <w:tc>
          <w:tcPr>
            <w:tcW w:w="1470" w:type="dxa"/>
            <w:tcBorders>
              <w:top w:val="nil"/>
              <w:left w:val="nil"/>
              <w:bottom w:val="single" w:color="auto" w:sz="8" w:space="0"/>
              <w:right w:val="single" w:color="auto" w:sz="8" w:space="0"/>
            </w:tcBorders>
            <w:tcMar>
              <w:top w:w="0" w:type="dxa"/>
              <w:left w:w="108" w:type="dxa"/>
              <w:bottom w:w="0" w:type="dxa"/>
              <w:right w:w="108" w:type="dxa"/>
            </w:tcMar>
            <w:vAlign w:val="center"/>
          </w:tcPr>
          <w:p w:rsidRPr="00726BBC" w:rsidR="003E6EA9" w:rsidP="004D285A" w:rsidRDefault="003E6EA9" w14:paraId="29283537" w14:textId="29DA3362">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w:t>
            </w:r>
            <w:r w:rsidR="00C60460">
              <w:rPr>
                <w:rFonts w:ascii="Times New Roman" w:hAnsi="Times New Roman" w:eastAsia="Calibri" w:cs="Times New Roman"/>
                <w:color w:val="000000"/>
                <w:sz w:val="18"/>
                <w:szCs w:val="18"/>
              </w:rPr>
              <w:t>82</w:t>
            </w:r>
            <w:r w:rsidR="007275F9">
              <w:rPr>
                <w:rFonts w:ascii="Times New Roman" w:hAnsi="Times New Roman" w:eastAsia="Calibri" w:cs="Times New Roman"/>
                <w:color w:val="000000"/>
                <w:sz w:val="18"/>
                <w:szCs w:val="18"/>
              </w:rPr>
              <w:t>,</w:t>
            </w:r>
            <w:r w:rsidR="00C60460">
              <w:rPr>
                <w:rFonts w:ascii="Times New Roman" w:hAnsi="Times New Roman" w:eastAsia="Calibri" w:cs="Times New Roman"/>
                <w:color w:val="000000"/>
                <w:sz w:val="18"/>
                <w:szCs w:val="18"/>
              </w:rPr>
              <w:t>320</w:t>
            </w:r>
          </w:p>
        </w:tc>
      </w:tr>
      <w:tr w:rsidRPr="00726BBC" w:rsidR="003E6EA9" w:rsidTr="003E6EA9" w14:paraId="1753E0B4" w14:textId="77777777">
        <w:trPr>
          <w:trHeight w:val="315"/>
        </w:trPr>
        <w:tc>
          <w:tcPr>
            <w:tcW w:w="118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1CE40E1F" w14:textId="77777777">
            <w:pPr>
              <w:spacing w:after="0" w:line="240" w:lineRule="auto"/>
              <w:jc w:val="center"/>
              <w:rPr>
                <w:rFonts w:ascii="Times New Roman" w:hAnsi="Times New Roman" w:eastAsia="Calibri" w:cs="Times New Roman"/>
                <w:b/>
                <w:bCs/>
                <w:color w:val="000000"/>
                <w:sz w:val="18"/>
                <w:szCs w:val="18"/>
              </w:rPr>
            </w:pPr>
            <w:r w:rsidRPr="00726BBC">
              <w:rPr>
                <w:rFonts w:ascii="Times New Roman" w:hAnsi="Times New Roman" w:eastAsia="Calibri" w:cs="Times New Roman"/>
                <w:b/>
                <w:bCs/>
                <w:color w:val="000000"/>
                <w:sz w:val="18"/>
                <w:szCs w:val="18"/>
              </w:rPr>
              <w:t>Total</w:t>
            </w:r>
          </w:p>
        </w:tc>
        <w:tc>
          <w:tcPr>
            <w:tcW w:w="883" w:type="dxa"/>
            <w:tcBorders>
              <w:top w:val="nil"/>
              <w:left w:val="nil"/>
              <w:bottom w:val="single" w:color="auto" w:sz="8" w:space="0"/>
              <w:right w:val="single" w:color="auto" w:sz="8" w:space="0"/>
            </w:tcBorders>
            <w:shd w:val="clear" w:color="auto" w:fill="000000"/>
            <w:tcMar>
              <w:top w:w="0" w:type="dxa"/>
              <w:left w:w="108" w:type="dxa"/>
              <w:bottom w:w="0" w:type="dxa"/>
              <w:right w:w="108" w:type="dxa"/>
            </w:tcMar>
            <w:vAlign w:val="center"/>
            <w:hideMark/>
          </w:tcPr>
          <w:p w:rsidRPr="00726BBC" w:rsidR="003E6EA9" w:rsidP="004D285A" w:rsidRDefault="003E6EA9" w14:paraId="73FE7208" w14:textId="77777777">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 </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036994A5" w14:textId="77777777">
            <w:pPr>
              <w:spacing w:after="0" w:line="240" w:lineRule="auto"/>
              <w:jc w:val="center"/>
              <w:rPr>
                <w:rFonts w:ascii="Times New Roman" w:hAnsi="Times New Roman" w:eastAsia="Calibri" w:cs="Times New Roman"/>
                <w:b/>
                <w:bCs/>
                <w:color w:val="000000"/>
                <w:sz w:val="18"/>
                <w:szCs w:val="18"/>
              </w:rPr>
            </w:pPr>
            <w:r w:rsidRPr="00726BBC">
              <w:rPr>
                <w:rFonts w:ascii="Times New Roman" w:hAnsi="Times New Roman" w:eastAsia="Calibri" w:cs="Times New Roman"/>
                <w:b/>
                <w:bCs/>
                <w:color w:val="000000"/>
                <w:sz w:val="18"/>
                <w:szCs w:val="18"/>
              </w:rPr>
              <w:t>1,075,000</w:t>
            </w:r>
          </w:p>
        </w:tc>
        <w:tc>
          <w:tcPr>
            <w:tcW w:w="872" w:type="dxa"/>
            <w:tcBorders>
              <w:top w:val="nil"/>
              <w:left w:val="nil"/>
              <w:bottom w:val="single" w:color="auto" w:sz="8" w:space="0"/>
              <w:right w:val="single" w:color="auto" w:sz="8" w:space="0"/>
            </w:tcBorders>
            <w:shd w:val="clear" w:color="auto" w:fill="000000"/>
            <w:tcMar>
              <w:top w:w="0" w:type="dxa"/>
              <w:left w:w="108" w:type="dxa"/>
              <w:bottom w:w="0" w:type="dxa"/>
              <w:right w:w="108" w:type="dxa"/>
            </w:tcMar>
            <w:vAlign w:val="center"/>
            <w:hideMark/>
          </w:tcPr>
          <w:p w:rsidRPr="00726BBC" w:rsidR="003E6EA9" w:rsidP="004D285A" w:rsidRDefault="003E6EA9" w14:paraId="04783B9D" w14:textId="77777777">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 </w:t>
            </w:r>
          </w:p>
        </w:tc>
        <w:tc>
          <w:tcPr>
            <w:tcW w:w="103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726BBC" w:rsidR="003E6EA9" w:rsidP="004D285A" w:rsidRDefault="003E6EA9" w14:paraId="139395F5" w14:textId="77777777">
            <w:pPr>
              <w:spacing w:after="0" w:line="240" w:lineRule="auto"/>
              <w:jc w:val="center"/>
              <w:rPr>
                <w:rFonts w:ascii="Times New Roman" w:hAnsi="Times New Roman" w:eastAsia="Calibri" w:cs="Times New Roman"/>
                <w:b/>
                <w:color w:val="000000"/>
                <w:sz w:val="18"/>
                <w:szCs w:val="18"/>
              </w:rPr>
            </w:pPr>
            <w:r w:rsidRPr="00726BBC">
              <w:rPr>
                <w:rFonts w:ascii="Times New Roman" w:hAnsi="Times New Roman" w:eastAsia="Calibri" w:cs="Times New Roman"/>
                <w:b/>
                <w:color w:val="000000"/>
                <w:sz w:val="18"/>
                <w:szCs w:val="18"/>
              </w:rPr>
              <w:t>1,075,000 </w:t>
            </w:r>
          </w:p>
        </w:tc>
        <w:tc>
          <w:tcPr>
            <w:tcW w:w="1202" w:type="dxa"/>
            <w:tcBorders>
              <w:top w:val="nil"/>
              <w:left w:val="nil"/>
              <w:bottom w:val="single" w:color="auto" w:sz="8" w:space="0"/>
              <w:right w:val="single" w:color="auto" w:sz="8" w:space="0"/>
            </w:tcBorders>
            <w:shd w:val="clear" w:color="auto" w:fill="000000"/>
            <w:tcMar>
              <w:top w:w="0" w:type="dxa"/>
              <w:left w:w="108" w:type="dxa"/>
              <w:bottom w:w="0" w:type="dxa"/>
              <w:right w:w="108" w:type="dxa"/>
            </w:tcMar>
            <w:vAlign w:val="center"/>
            <w:hideMark/>
          </w:tcPr>
          <w:p w:rsidRPr="00726BBC" w:rsidR="003E6EA9" w:rsidP="004D285A" w:rsidRDefault="003E6EA9" w14:paraId="1FEC9A05" w14:textId="77777777">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52DD6644" w14:textId="77777777">
            <w:pPr>
              <w:spacing w:after="0" w:line="240" w:lineRule="auto"/>
              <w:jc w:val="center"/>
              <w:rPr>
                <w:rFonts w:ascii="Times New Roman" w:hAnsi="Times New Roman" w:eastAsia="Calibri" w:cs="Times New Roman"/>
                <w:b/>
                <w:bCs/>
                <w:color w:val="000000"/>
                <w:sz w:val="18"/>
                <w:szCs w:val="18"/>
              </w:rPr>
            </w:pPr>
            <w:r>
              <w:rPr>
                <w:rFonts w:ascii="Times New Roman" w:hAnsi="Times New Roman" w:eastAsia="Calibri" w:cs="Times New Roman"/>
                <w:b/>
                <w:bCs/>
                <w:color w:val="000000"/>
                <w:sz w:val="18"/>
                <w:szCs w:val="18"/>
              </w:rPr>
              <w:t>268,783</w:t>
            </w:r>
          </w:p>
        </w:tc>
        <w:tc>
          <w:tcPr>
            <w:tcW w:w="900" w:type="dxa"/>
            <w:tcBorders>
              <w:top w:val="nil"/>
              <w:left w:val="nil"/>
              <w:bottom w:val="single" w:color="auto" w:sz="8" w:space="0"/>
              <w:right w:val="single" w:color="auto" w:sz="8" w:space="0"/>
            </w:tcBorders>
            <w:shd w:val="clear" w:color="auto" w:fill="000000"/>
            <w:tcMar>
              <w:top w:w="0" w:type="dxa"/>
              <w:left w:w="108" w:type="dxa"/>
              <w:bottom w:w="0" w:type="dxa"/>
              <w:right w:w="108" w:type="dxa"/>
            </w:tcMar>
            <w:vAlign w:val="center"/>
            <w:hideMark/>
          </w:tcPr>
          <w:p w:rsidRPr="00726BBC" w:rsidR="003E6EA9" w:rsidP="004D285A" w:rsidRDefault="003E6EA9" w14:paraId="12A91E3D" w14:textId="77777777">
            <w:pPr>
              <w:spacing w:after="0" w:line="240" w:lineRule="auto"/>
              <w:jc w:val="center"/>
              <w:rPr>
                <w:rFonts w:ascii="Times New Roman" w:hAnsi="Times New Roman" w:eastAsia="Calibri" w:cs="Times New Roman"/>
                <w:color w:val="000000"/>
                <w:sz w:val="18"/>
                <w:szCs w:val="18"/>
              </w:rPr>
            </w:pPr>
            <w:r w:rsidRPr="00726BBC">
              <w:rPr>
                <w:rFonts w:ascii="Times New Roman" w:hAnsi="Times New Roman" w:eastAsia="Calibri" w:cs="Times New Roman"/>
                <w:color w:val="000000"/>
                <w:sz w:val="18"/>
                <w:szCs w:val="18"/>
              </w:rPr>
              <w:t> </w:t>
            </w:r>
          </w:p>
        </w:tc>
        <w:tc>
          <w:tcPr>
            <w:tcW w:w="14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26BBC" w:rsidR="003E6EA9" w:rsidP="004D285A" w:rsidRDefault="003E6EA9" w14:paraId="7CF9D456" w14:textId="6A487FE0">
            <w:pPr>
              <w:spacing w:after="0" w:line="240" w:lineRule="auto"/>
              <w:jc w:val="center"/>
              <w:rPr>
                <w:rFonts w:ascii="Times New Roman" w:hAnsi="Times New Roman" w:eastAsia="Calibri" w:cs="Times New Roman"/>
                <w:b/>
                <w:bCs/>
                <w:color w:val="000000"/>
                <w:sz w:val="18"/>
                <w:szCs w:val="18"/>
              </w:rPr>
            </w:pPr>
            <w:r>
              <w:rPr>
                <w:rFonts w:ascii="Times New Roman" w:hAnsi="Times New Roman" w:eastAsia="Calibri" w:cs="Times New Roman"/>
                <w:b/>
                <w:bCs/>
                <w:color w:val="000000"/>
                <w:sz w:val="18"/>
                <w:szCs w:val="18"/>
              </w:rPr>
              <w:t>$10,</w:t>
            </w:r>
            <w:r w:rsidR="00C60460">
              <w:rPr>
                <w:rFonts w:ascii="Times New Roman" w:hAnsi="Times New Roman" w:eastAsia="Calibri" w:cs="Times New Roman"/>
                <w:b/>
                <w:bCs/>
                <w:color w:val="000000"/>
                <w:sz w:val="18"/>
                <w:szCs w:val="18"/>
              </w:rPr>
              <w:t>622</w:t>
            </w:r>
            <w:r>
              <w:rPr>
                <w:rFonts w:ascii="Times New Roman" w:hAnsi="Times New Roman" w:eastAsia="Calibri" w:cs="Times New Roman"/>
                <w:b/>
                <w:bCs/>
                <w:color w:val="000000"/>
                <w:sz w:val="18"/>
                <w:szCs w:val="18"/>
              </w:rPr>
              <w:t>,</w:t>
            </w:r>
            <w:r w:rsidR="00C60460">
              <w:rPr>
                <w:rFonts w:ascii="Times New Roman" w:hAnsi="Times New Roman" w:eastAsia="Calibri" w:cs="Times New Roman"/>
                <w:b/>
                <w:bCs/>
                <w:color w:val="000000"/>
                <w:sz w:val="18"/>
                <w:szCs w:val="18"/>
              </w:rPr>
              <w:t>304</w:t>
            </w:r>
          </w:p>
        </w:tc>
      </w:tr>
    </w:tbl>
    <w:p w:rsidR="4E1DCBF0" w:rsidP="4E1DCBF0" w:rsidRDefault="4E1DCBF0" w14:paraId="27EC05BF" w14:textId="59CDD926">
      <w:pPr>
        <w:spacing w:after="0" w:line="240" w:lineRule="auto"/>
        <w:rPr>
          <w:rFonts w:ascii="Times New Roman" w:hAnsi="Times New Roman" w:cs="Times New Roman"/>
          <w:sz w:val="24"/>
          <w:szCs w:val="24"/>
        </w:rPr>
      </w:pPr>
    </w:p>
    <w:p w:rsidRPr="00AD6EF4" w:rsidR="00D6649B" w:rsidP="00D6649B" w:rsidRDefault="00D6649B" w14:paraId="6B2A3C7C" w14:textId="77777777">
      <w:pPr>
        <w:tabs>
          <w:tab w:val="left" w:pos="-720"/>
        </w:tabs>
        <w:suppressAutoHyphens/>
        <w:rPr>
          <w:rFonts w:ascii="Times New Roman" w:hAnsi="Times New Roman"/>
          <w:sz w:val="24"/>
          <w:szCs w:val="24"/>
        </w:rPr>
      </w:pPr>
      <w:r w:rsidRPr="00AD6EF4">
        <w:rPr>
          <w:rFonts w:ascii="Times New Roman" w:hAnsi="Times New Roman"/>
          <w:b/>
          <w:sz w:val="24"/>
          <w:szCs w:val="24"/>
        </w:rPr>
        <w:lastRenderedPageBreak/>
        <w:t>Instruction for Wage-rate category multiplier:  Take each non-loaded “Avg. Hourly Wage Rate” from the BLS website table and multiply that number by 1.46</w:t>
      </w:r>
      <w:r w:rsidRPr="00AD6EF4">
        <w:rPr>
          <w:rStyle w:val="FootnoteReference"/>
          <w:rFonts w:ascii="Times New Roman" w:hAnsi="Times New Roman"/>
          <w:b/>
          <w:sz w:val="24"/>
          <w:szCs w:val="24"/>
        </w:rPr>
        <w:footnoteReference w:id="3"/>
      </w:r>
      <w:r w:rsidRPr="00AD6EF4">
        <w:rPr>
          <w:rFonts w:ascii="Times New Roman" w:hAnsi="Times New Roman"/>
          <w:b/>
          <w:sz w:val="24"/>
          <w:szCs w:val="24"/>
        </w:rPr>
        <w:t>.  For example, a non-loaded BLS table wage rate of $42.51 would be multiplied by 1.46, and the entry for the “Avg. Hourly Wage Rate” would be $62.06.</w:t>
      </w:r>
    </w:p>
    <w:p w:rsidRPr="005C7AE5" w:rsidR="00D6649B" w:rsidP="00D6649B" w:rsidRDefault="00D6649B" w14:paraId="4E5F5689" w14:textId="3C6FBCCB">
      <w:pPr>
        <w:tabs>
          <w:tab w:val="left" w:pos="-720"/>
        </w:tabs>
        <w:suppressAutoHyphens/>
        <w:rPr>
          <w:rFonts w:ascii="Times New Roman" w:hAnsi="Times New Roman"/>
          <w:sz w:val="24"/>
          <w:szCs w:val="24"/>
        </w:rPr>
      </w:pPr>
      <w:r w:rsidRPr="005C7AE5">
        <w:rPr>
          <w:rFonts w:ascii="Times New Roman" w:hAnsi="Times New Roman"/>
          <w:sz w:val="24"/>
          <w:szCs w:val="24"/>
        </w:rPr>
        <w:t>According to the U.S. Department of Labor, Bureau of Labor Statistics</w:t>
      </w:r>
      <w:r w:rsidRPr="005C7AE5">
        <w:rPr>
          <w:rStyle w:val="FootnoteReference"/>
          <w:rFonts w:ascii="Times New Roman" w:hAnsi="Times New Roman"/>
          <w:sz w:val="24"/>
          <w:szCs w:val="24"/>
        </w:rPr>
        <w:footnoteReference w:id="4"/>
      </w:r>
      <w:r w:rsidRPr="005C7AE5">
        <w:rPr>
          <w:rFonts w:ascii="Times New Roman" w:hAnsi="Times New Roman"/>
          <w:sz w:val="24"/>
          <w:szCs w:val="24"/>
        </w:rPr>
        <w:t>, the May 20</w:t>
      </w:r>
      <w:r w:rsidR="00CA1444">
        <w:rPr>
          <w:rFonts w:ascii="Times New Roman" w:hAnsi="Times New Roman"/>
          <w:sz w:val="24"/>
          <w:szCs w:val="24"/>
        </w:rPr>
        <w:t>20</w:t>
      </w:r>
      <w:r w:rsidRPr="005C7AE5">
        <w:rPr>
          <w:rFonts w:ascii="Times New Roman" w:hAnsi="Times New Roman"/>
          <w:sz w:val="24"/>
          <w:szCs w:val="24"/>
        </w:rPr>
        <w:t xml:space="preserve"> Occupational Employment and Wage Estimates wage rate for All Occupations (SOC 00-0000) is $2</w:t>
      </w:r>
      <w:r w:rsidR="00CA1444">
        <w:rPr>
          <w:rFonts w:ascii="Times New Roman" w:hAnsi="Times New Roman"/>
          <w:sz w:val="24"/>
          <w:szCs w:val="24"/>
        </w:rPr>
        <w:t>7.07</w:t>
      </w:r>
      <w:r w:rsidRPr="005C7AE5">
        <w:rPr>
          <w:rFonts w:ascii="Times New Roman" w:hAnsi="Times New Roman"/>
          <w:sz w:val="24"/>
          <w:szCs w:val="24"/>
        </w:rPr>
        <w:t xml:space="preserve">.  Including the wage rate multiplier of 1.46, the </w:t>
      </w:r>
      <w:proofErr w:type="gramStart"/>
      <w:r w:rsidRPr="005C7AE5">
        <w:rPr>
          <w:rFonts w:ascii="Times New Roman" w:hAnsi="Times New Roman"/>
          <w:sz w:val="24"/>
          <w:szCs w:val="24"/>
        </w:rPr>
        <w:t>fully-loaded</w:t>
      </w:r>
      <w:proofErr w:type="gramEnd"/>
      <w:r w:rsidRPr="005C7AE5">
        <w:rPr>
          <w:rFonts w:ascii="Times New Roman" w:hAnsi="Times New Roman"/>
          <w:sz w:val="24"/>
          <w:szCs w:val="24"/>
        </w:rPr>
        <w:t xml:space="preserve"> wage rate is $3</w:t>
      </w:r>
      <w:r w:rsidR="00CA1444">
        <w:rPr>
          <w:rFonts w:ascii="Times New Roman" w:hAnsi="Times New Roman"/>
          <w:sz w:val="24"/>
          <w:szCs w:val="24"/>
        </w:rPr>
        <w:t>9.52</w:t>
      </w:r>
      <w:r w:rsidRPr="005C7AE5">
        <w:rPr>
          <w:rFonts w:ascii="Times New Roman" w:hAnsi="Times New Roman"/>
          <w:sz w:val="24"/>
          <w:szCs w:val="24"/>
        </w:rPr>
        <w:t xml:space="preserve"> per hour.  Therefore, the annual burden hour cost is estimated to be $10,</w:t>
      </w:r>
      <w:r w:rsidR="00CA1444">
        <w:rPr>
          <w:rFonts w:ascii="Times New Roman" w:hAnsi="Times New Roman"/>
          <w:sz w:val="24"/>
          <w:szCs w:val="24"/>
        </w:rPr>
        <w:t>622,304</w:t>
      </w:r>
      <w:r w:rsidRPr="005C7AE5">
        <w:rPr>
          <w:rFonts w:ascii="Times New Roman" w:hAnsi="Times New Roman"/>
          <w:sz w:val="24"/>
          <w:szCs w:val="24"/>
        </w:rPr>
        <w:t xml:space="preserve"> ($3</w:t>
      </w:r>
      <w:r w:rsidR="00CA1444">
        <w:rPr>
          <w:rFonts w:ascii="Times New Roman" w:hAnsi="Times New Roman"/>
          <w:sz w:val="24"/>
          <w:szCs w:val="24"/>
        </w:rPr>
        <w:t>9.52</w:t>
      </w:r>
      <w:r w:rsidRPr="005C7AE5">
        <w:rPr>
          <w:rFonts w:ascii="Times New Roman" w:hAnsi="Times New Roman"/>
          <w:sz w:val="24"/>
          <w:szCs w:val="24"/>
        </w:rPr>
        <w:t xml:space="preserve"> x 268,783 hours = $10,</w:t>
      </w:r>
      <w:r w:rsidR="00CA1444">
        <w:rPr>
          <w:rFonts w:ascii="Times New Roman" w:hAnsi="Times New Roman"/>
          <w:sz w:val="24"/>
          <w:szCs w:val="24"/>
        </w:rPr>
        <w:t>622,304.20</w:t>
      </w:r>
      <w:r w:rsidRPr="005C7AE5">
        <w:rPr>
          <w:rFonts w:ascii="Times New Roman" w:hAnsi="Times New Roman"/>
          <w:sz w:val="24"/>
          <w:szCs w:val="24"/>
        </w:rPr>
        <w:t>).</w:t>
      </w:r>
    </w:p>
    <w:p w:rsidRPr="005E3219" w:rsidR="005E3219" w:rsidP="005E3219" w:rsidRDefault="005E3219" w14:paraId="589A5E83" w14:textId="77777777">
      <w:pPr>
        <w:spacing w:after="0" w:line="240" w:lineRule="auto"/>
        <w:rPr>
          <w:rFonts w:ascii="Times New Roman" w:hAnsi="Times New Roman" w:cs="Times New Roman"/>
          <w:color w:val="0000FF"/>
          <w:sz w:val="24"/>
          <w:szCs w:val="24"/>
          <w:u w:val="single"/>
        </w:rPr>
      </w:pPr>
    </w:p>
    <w:p w:rsidRPr="006625E7" w:rsidR="00562915" w:rsidP="00562915" w:rsidRDefault="00562915" w14:paraId="01C536B1"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05CFD95B"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11D21C41" w14:textId="6B37609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C92E68">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6A70CE" w:rsidP="006A70CE" w:rsidRDefault="00562915" w14:paraId="0E1D279E" w14:textId="711E6FBF">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C92E68">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w:t>
      </w:r>
      <w:r w:rsidR="006A70CE">
        <w:rPr>
          <w:rFonts w:ascii="Times New Roman" w:hAnsi="Times New Roman" w:cs="Times New Roman"/>
          <w:b/>
          <w:bCs/>
          <w:sz w:val="24"/>
          <w:szCs w:val="24"/>
        </w:rPr>
        <w:t>and record storage facilities.</w:t>
      </w:r>
    </w:p>
    <w:p w:rsidRPr="006A70CE" w:rsidR="0069527C" w:rsidP="006A70CE" w:rsidRDefault="0069527C" w14:paraId="49899B11" w14:textId="0F8583DC">
      <w:pPr>
        <w:rPr>
          <w:rFonts w:ascii="Times New Roman" w:hAnsi="Times New Roman" w:cs="Times New Roman"/>
          <w:sz w:val="24"/>
          <w:szCs w:val="24"/>
        </w:rPr>
      </w:pPr>
      <w:r w:rsidRPr="00D73FFF">
        <w:rPr>
          <w:rFonts w:ascii="Times New Roman" w:hAnsi="Times New Roman" w:eastAsia="Times New Roman" w:cs="Times New Roman"/>
          <w:sz w:val="24"/>
          <w:szCs w:val="24"/>
        </w:rPr>
        <w:t>There are no record keeping, capital, start-up or maintenance costs associated with this information collection.</w:t>
      </w:r>
    </w:p>
    <w:p w:rsidR="00562915" w:rsidP="006625E7" w:rsidRDefault="00562915" w14:paraId="3F0EBF21" w14:textId="77777777">
      <w:pPr>
        <w:rPr>
          <w:rFonts w:ascii="Times New Roman" w:hAnsi="Times New Roman" w:cs="Times New Roman"/>
          <w:b/>
          <w:bCs/>
          <w:sz w:val="24"/>
          <w:szCs w:val="24"/>
        </w:rPr>
      </w:pPr>
      <w:r w:rsidRPr="006625E7">
        <w:rPr>
          <w:rFonts w:ascii="Times New Roman" w:hAnsi="Times New Roman" w:cs="Times New Roman"/>
          <w:b/>
          <w:bCs/>
          <w:sz w:val="24"/>
          <w:szCs w:val="24"/>
        </w:rPr>
        <w:t xml:space="preserve">14. Provide estimates of annualized cost to the federal government.  Also, provide a description of the method used to estimate cost, which should include quantification </w:t>
      </w:r>
      <w:r w:rsidRPr="006625E7">
        <w:rPr>
          <w:rFonts w:ascii="Times New Roman" w:hAnsi="Times New Roman" w:cs="Times New Roman"/>
          <w:b/>
          <w:bCs/>
          <w:sz w:val="24"/>
          <w:szCs w:val="24"/>
        </w:rPr>
        <w:lastRenderedPageBreak/>
        <w:t>of hours, operational expenses (such as equipment, overhead, printing and support staff), and any other expense that would have been incurred without this collection of information.  You may also aggregate cost estimates for Items 12, 13, and 14 in a single table.</w:t>
      </w:r>
    </w:p>
    <w:p w:rsidRPr="00D078B2" w:rsidR="00D078B2" w:rsidP="00D078B2" w:rsidRDefault="00D078B2" w14:paraId="33C73AAB" w14:textId="2F2509D7">
      <w:pPr>
        <w:spacing w:after="0" w:line="240" w:lineRule="auto"/>
        <w:contextualSpacing/>
        <w:rPr>
          <w:rFonts w:ascii="Times New Roman" w:hAnsi="Times New Roman" w:eastAsia="Times New Roman" w:cs="Times New Roman"/>
          <w:sz w:val="24"/>
          <w:szCs w:val="24"/>
        </w:rPr>
      </w:pPr>
      <w:r w:rsidRPr="00D078B2">
        <w:rPr>
          <w:rFonts w:ascii="Times New Roman" w:hAnsi="Times New Roman" w:eastAsia="Times New Roman" w:cs="Times New Roman"/>
          <w:sz w:val="24"/>
          <w:szCs w:val="24"/>
        </w:rPr>
        <w:t>The anticipated cost to the Federal Government is approximately $</w:t>
      </w:r>
      <w:r w:rsidR="0013579D">
        <w:rPr>
          <w:rFonts w:ascii="Times New Roman" w:hAnsi="Times New Roman" w:eastAsia="Times New Roman" w:cs="Times New Roman"/>
          <w:bCs/>
          <w:sz w:val="24"/>
          <w:szCs w:val="24"/>
        </w:rPr>
        <w:t>2,</w:t>
      </w:r>
      <w:r w:rsidR="009C3136">
        <w:rPr>
          <w:rFonts w:ascii="Times New Roman" w:hAnsi="Times New Roman" w:eastAsia="Times New Roman" w:cs="Times New Roman"/>
          <w:bCs/>
          <w:sz w:val="24"/>
          <w:szCs w:val="24"/>
        </w:rPr>
        <w:t>180,168</w:t>
      </w:r>
      <w:r w:rsidRPr="00D078B2">
        <w:rPr>
          <w:rFonts w:ascii="Times New Roman" w:hAnsi="Times New Roman" w:eastAsia="Times New Roman" w:cs="Times New Roman"/>
          <w:bCs/>
          <w:sz w:val="24"/>
          <w:szCs w:val="24"/>
        </w:rPr>
        <w:t xml:space="preserve"> </w:t>
      </w:r>
      <w:r w:rsidRPr="00D078B2">
        <w:rPr>
          <w:rFonts w:ascii="Times New Roman" w:hAnsi="Times New Roman" w:eastAsia="Times New Roman" w:cs="Times New Roman"/>
          <w:sz w:val="24"/>
          <w:szCs w:val="24"/>
        </w:rPr>
        <w:t>annually.  These costs are comprised of:</w:t>
      </w:r>
    </w:p>
    <w:p w:rsidR="00D078B2" w:rsidP="006625E7" w:rsidRDefault="00D078B2" w14:paraId="7D227840" w14:textId="77777777">
      <w:pPr>
        <w:rPr>
          <w:rFonts w:ascii="Times New Roman" w:hAnsi="Times New Roman" w:cs="Times New Roman"/>
          <w:b/>
          <w:bCs/>
          <w:sz w:val="24"/>
          <w:szCs w:val="24"/>
        </w:rPr>
      </w:pPr>
    </w:p>
    <w:tbl>
      <w:tblPr>
        <w:tblW w:w="9100" w:type="dxa"/>
        <w:tblLook w:val="04A0" w:firstRow="1" w:lastRow="0" w:firstColumn="1" w:lastColumn="0" w:noHBand="0" w:noVBand="1"/>
      </w:tblPr>
      <w:tblGrid>
        <w:gridCol w:w="7960"/>
        <w:gridCol w:w="1140"/>
      </w:tblGrid>
      <w:tr w:rsidRPr="00553252" w:rsidR="007A4290" w:rsidTr="007A4290" w14:paraId="7A959F94" w14:textId="77777777">
        <w:trPr>
          <w:cantSplit/>
          <w:trHeight w:val="510"/>
        </w:trPr>
        <w:tc>
          <w:tcPr>
            <w:tcW w:w="910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CE3B7E" w:rsidR="007A4290" w:rsidP="004D285A" w:rsidRDefault="007A4290" w14:paraId="39AB457D" w14:textId="77777777">
            <w:pPr>
              <w:spacing w:after="0" w:line="240" w:lineRule="auto"/>
              <w:jc w:val="center"/>
              <w:rPr>
                <w:rFonts w:ascii="Times New Roman" w:hAnsi="Times New Roman" w:eastAsia="Times New Roman" w:cs="Times New Roman"/>
                <w:b/>
                <w:bCs/>
                <w:color w:val="000000"/>
                <w:sz w:val="20"/>
                <w:szCs w:val="20"/>
              </w:rPr>
            </w:pPr>
            <w:bookmarkStart w:name="RANGE!A2" w:id="0"/>
            <w:r w:rsidRPr="00CE3B7E">
              <w:rPr>
                <w:rFonts w:ascii="Times New Roman" w:hAnsi="Times New Roman" w:eastAsia="Calibri" w:cs="Times New Roman"/>
                <w:b/>
                <w:bCs/>
                <w:color w:val="000000"/>
                <w:sz w:val="20"/>
                <w:szCs w:val="20"/>
              </w:rPr>
              <w:t>Annual Cost to the Federal Government</w:t>
            </w:r>
            <w:bookmarkEnd w:id="0"/>
          </w:p>
        </w:tc>
      </w:tr>
      <w:tr w:rsidRPr="00553252" w:rsidR="007A4290" w:rsidTr="007A4290" w14:paraId="063678AE" w14:textId="77777777">
        <w:trPr>
          <w:cantSplit/>
          <w:trHeight w:val="300"/>
        </w:trPr>
        <w:tc>
          <w:tcPr>
            <w:tcW w:w="7960" w:type="dxa"/>
            <w:tcBorders>
              <w:top w:val="nil"/>
              <w:left w:val="single" w:color="auto" w:sz="4" w:space="0"/>
              <w:bottom w:val="single" w:color="auto" w:sz="4" w:space="0"/>
              <w:right w:val="single" w:color="auto" w:sz="4" w:space="0"/>
            </w:tcBorders>
            <w:shd w:val="clear" w:color="000000" w:fill="8EAADB"/>
            <w:vAlign w:val="center"/>
            <w:hideMark/>
          </w:tcPr>
          <w:p w:rsidRPr="00CE3B7E" w:rsidR="007A4290" w:rsidP="004D285A" w:rsidRDefault="007A4290" w14:paraId="5917E26E" w14:textId="77777777">
            <w:pPr>
              <w:spacing w:after="0" w:line="240" w:lineRule="auto"/>
              <w:jc w:val="center"/>
              <w:rPr>
                <w:rFonts w:ascii="Times New Roman" w:hAnsi="Times New Roman" w:eastAsia="Times New Roman" w:cs="Times New Roman"/>
                <w:color w:val="000000"/>
                <w:sz w:val="20"/>
                <w:szCs w:val="20"/>
              </w:rPr>
            </w:pPr>
            <w:bookmarkStart w:name="_Hlk51849777" w:id="1"/>
            <w:r w:rsidRPr="00CE3B7E">
              <w:rPr>
                <w:rFonts w:ascii="Times New Roman" w:hAnsi="Times New Roman" w:eastAsia="Times New Roman" w:cs="Times New Roman"/>
                <w:color w:val="000000"/>
                <w:sz w:val="20"/>
                <w:szCs w:val="20"/>
              </w:rPr>
              <w:t>Item</w:t>
            </w:r>
          </w:p>
        </w:tc>
        <w:tc>
          <w:tcPr>
            <w:tcW w:w="1140" w:type="dxa"/>
            <w:tcBorders>
              <w:top w:val="nil"/>
              <w:left w:val="nil"/>
              <w:bottom w:val="single" w:color="auto" w:sz="4" w:space="0"/>
              <w:right w:val="single" w:color="auto" w:sz="4" w:space="0"/>
            </w:tcBorders>
            <w:shd w:val="clear" w:color="000000" w:fill="8EAADB"/>
            <w:vAlign w:val="center"/>
            <w:hideMark/>
          </w:tcPr>
          <w:p w:rsidRPr="00CE3B7E" w:rsidR="007A4290" w:rsidP="004D285A" w:rsidRDefault="007A4290" w14:paraId="045684EF" w14:textId="77777777">
            <w:pPr>
              <w:spacing w:after="0" w:line="240" w:lineRule="auto"/>
              <w:jc w:val="center"/>
              <w:rPr>
                <w:rFonts w:ascii="Times New Roman" w:hAnsi="Times New Roman" w:eastAsia="Times New Roman" w:cs="Times New Roman"/>
                <w:color w:val="000000"/>
                <w:sz w:val="20"/>
                <w:szCs w:val="20"/>
              </w:rPr>
            </w:pPr>
            <w:r w:rsidRPr="00CE3B7E">
              <w:rPr>
                <w:rFonts w:ascii="Times New Roman" w:hAnsi="Times New Roman" w:eastAsia="Times New Roman" w:cs="Times New Roman"/>
                <w:color w:val="000000"/>
                <w:sz w:val="20"/>
                <w:szCs w:val="20"/>
              </w:rPr>
              <w:t>Cost ($)</w:t>
            </w:r>
          </w:p>
        </w:tc>
      </w:tr>
      <w:tr w:rsidRPr="00553252" w:rsidR="007A4290" w:rsidTr="007A4290" w14:paraId="572E4E44" w14:textId="77777777">
        <w:trPr>
          <w:cantSplit/>
          <w:trHeight w:val="350"/>
        </w:trPr>
        <w:tc>
          <w:tcPr>
            <w:tcW w:w="7960" w:type="dxa"/>
            <w:tcBorders>
              <w:top w:val="nil"/>
              <w:left w:val="single" w:color="auto" w:sz="4" w:space="0"/>
              <w:bottom w:val="single" w:color="auto" w:sz="4" w:space="0"/>
              <w:right w:val="single" w:color="auto" w:sz="4" w:space="0"/>
            </w:tcBorders>
            <w:shd w:val="clear" w:color="auto" w:fill="auto"/>
            <w:vAlign w:val="center"/>
            <w:hideMark/>
          </w:tcPr>
          <w:p w:rsidRPr="00553252" w:rsidR="007A4290" w:rsidP="004D285A" w:rsidRDefault="007A4290" w14:paraId="72C052FF" w14:textId="77777777">
            <w:pPr>
              <w:spacing w:after="0" w:line="240" w:lineRule="auto"/>
              <w:rPr>
                <w:rFonts w:ascii="Times New Roman" w:hAnsi="Times New Roman" w:eastAsia="Times New Roman" w:cs="Times New Roman"/>
                <w:color w:val="000000"/>
                <w:sz w:val="18"/>
                <w:szCs w:val="18"/>
              </w:rPr>
            </w:pPr>
            <w:r w:rsidRPr="00553252">
              <w:rPr>
                <w:rFonts w:ascii="Times New Roman" w:hAnsi="Times New Roman" w:eastAsia="Calibri" w:cs="Times New Roman"/>
                <w:color w:val="000000"/>
                <w:sz w:val="18"/>
                <w:szCs w:val="18"/>
              </w:rPr>
              <w:t>Contract Costs: Funding for contract costs related to survey design and collection</w:t>
            </w:r>
          </w:p>
        </w:tc>
        <w:tc>
          <w:tcPr>
            <w:tcW w:w="1140" w:type="dxa"/>
            <w:tcBorders>
              <w:top w:val="nil"/>
              <w:left w:val="nil"/>
              <w:bottom w:val="single" w:color="auto" w:sz="4" w:space="0"/>
              <w:right w:val="single" w:color="auto" w:sz="4" w:space="0"/>
            </w:tcBorders>
            <w:shd w:val="clear" w:color="auto" w:fill="auto"/>
            <w:vAlign w:val="center"/>
            <w:hideMark/>
          </w:tcPr>
          <w:p w:rsidRPr="007A4290" w:rsidR="007A4290" w:rsidP="004D285A" w:rsidRDefault="007A4290" w14:paraId="573CEBC8" w14:textId="77777777">
            <w:pPr>
              <w:spacing w:after="0" w:line="240" w:lineRule="auto"/>
              <w:jc w:val="right"/>
              <w:rPr>
                <w:rFonts w:ascii="Times New Roman" w:hAnsi="Times New Roman" w:eastAsia="Times New Roman" w:cs="Times New Roman"/>
                <w:color w:val="000000"/>
                <w:sz w:val="18"/>
                <w:szCs w:val="18"/>
              </w:rPr>
            </w:pPr>
            <w:r w:rsidRPr="007A4290">
              <w:rPr>
                <w:rFonts w:ascii="Times New Roman" w:hAnsi="Times New Roman" w:eastAsia="Calibri" w:cs="Times New Roman"/>
                <w:color w:val="000000"/>
                <w:sz w:val="18"/>
                <w:szCs w:val="18"/>
              </w:rPr>
              <w:t xml:space="preserve">$850,700 </w:t>
            </w:r>
          </w:p>
        </w:tc>
      </w:tr>
      <w:tr w:rsidRPr="00553252" w:rsidR="007A4290" w:rsidTr="007A4290" w14:paraId="52E4B8F1" w14:textId="77777777">
        <w:trPr>
          <w:cantSplit/>
          <w:trHeight w:val="675"/>
        </w:trPr>
        <w:tc>
          <w:tcPr>
            <w:tcW w:w="7960" w:type="dxa"/>
            <w:tcBorders>
              <w:top w:val="nil"/>
              <w:left w:val="single" w:color="auto" w:sz="4" w:space="0"/>
              <w:bottom w:val="single" w:color="auto" w:sz="4" w:space="0"/>
              <w:right w:val="single" w:color="auto" w:sz="4" w:space="0"/>
            </w:tcBorders>
            <w:shd w:val="clear" w:color="auto" w:fill="auto"/>
            <w:vAlign w:val="center"/>
            <w:hideMark/>
          </w:tcPr>
          <w:p w:rsidRPr="00D41D94" w:rsidR="007A4290" w:rsidP="004D285A" w:rsidRDefault="007A4290" w14:paraId="267D7526" w14:textId="77777777">
            <w:pPr>
              <w:spacing w:after="0" w:line="240" w:lineRule="auto"/>
              <w:rPr>
                <w:rFonts w:ascii="Times New Roman" w:hAnsi="Times New Roman" w:eastAsia="Times New Roman" w:cs="Times New Roman"/>
                <w:color w:val="000000"/>
                <w:sz w:val="18"/>
                <w:szCs w:val="18"/>
              </w:rPr>
            </w:pPr>
            <w:r w:rsidRPr="00553252">
              <w:rPr>
                <w:rFonts w:ascii="Times New Roman" w:hAnsi="Times New Roman" w:eastAsia="Calibri" w:cs="Times New Roman"/>
                <w:color w:val="000000"/>
                <w:sz w:val="18"/>
                <w:szCs w:val="18"/>
              </w:rPr>
              <w:t>Staff Salaries: 15 GS 12, Step 5 employees in Washington, DC spending 50% of their time annually to collect data/survey individuals for this data collection</w:t>
            </w:r>
            <w:r w:rsidRPr="007A4290">
              <w:rPr>
                <w:rFonts w:ascii="Times New Roman" w:hAnsi="Times New Roman" w:eastAsia="Calibri" w:cs="Times New Roman"/>
                <w:color w:val="000000"/>
                <w:sz w:val="18"/>
                <w:szCs w:val="18"/>
                <w:vertAlign w:val="superscript"/>
              </w:rPr>
              <w:t xml:space="preserve">1 </w:t>
            </w:r>
            <w:r w:rsidRPr="00BE6F44">
              <w:rPr>
                <w:rFonts w:ascii="Times New Roman" w:hAnsi="Times New Roman" w:eastAsia="Calibri" w:cs="Times New Roman"/>
                <w:color w:val="000000"/>
                <w:sz w:val="18"/>
                <w:szCs w:val="18"/>
              </w:rPr>
              <w:t>[15</w:t>
            </w:r>
            <w:r w:rsidRPr="000F72E6">
              <w:rPr>
                <w:rFonts w:ascii="Times New Roman" w:hAnsi="Times New Roman" w:eastAsia="Calibri" w:cs="Times New Roman"/>
                <w:color w:val="000000"/>
                <w:sz w:val="18"/>
                <w:szCs w:val="18"/>
              </w:rPr>
              <w:t xml:space="preserve"> x $98,827 x 0.5 x 1.46 = 1,082,155.65 ]</w:t>
            </w:r>
            <w:r w:rsidRPr="000F72E6">
              <w:rPr>
                <w:rFonts w:ascii="Times New Roman" w:hAnsi="Times New Roman" w:eastAsia="Calibri" w:cs="Times New Roman"/>
                <w:color w:val="000000"/>
                <w:sz w:val="18"/>
                <w:szCs w:val="18"/>
                <w:vertAlign w:val="superscript"/>
              </w:rPr>
              <w:t>2</w:t>
            </w:r>
          </w:p>
        </w:tc>
        <w:tc>
          <w:tcPr>
            <w:tcW w:w="1140" w:type="dxa"/>
            <w:tcBorders>
              <w:top w:val="nil"/>
              <w:left w:val="nil"/>
              <w:bottom w:val="single" w:color="auto" w:sz="4" w:space="0"/>
              <w:right w:val="single" w:color="auto" w:sz="4" w:space="0"/>
            </w:tcBorders>
            <w:shd w:val="clear" w:color="auto" w:fill="auto"/>
            <w:vAlign w:val="center"/>
            <w:hideMark/>
          </w:tcPr>
          <w:p w:rsidRPr="00F47C12" w:rsidR="007A4290" w:rsidP="004D285A" w:rsidRDefault="007A4290" w14:paraId="3604029B" w14:textId="77777777">
            <w:pPr>
              <w:spacing w:after="0" w:line="240" w:lineRule="auto"/>
              <w:jc w:val="right"/>
              <w:rPr>
                <w:rFonts w:ascii="Times New Roman" w:hAnsi="Times New Roman" w:eastAsia="Times New Roman" w:cs="Times New Roman"/>
                <w:color w:val="000000"/>
                <w:sz w:val="18"/>
                <w:szCs w:val="18"/>
              </w:rPr>
            </w:pPr>
            <w:r w:rsidRPr="00F47C12">
              <w:rPr>
                <w:rFonts w:ascii="Times New Roman" w:hAnsi="Times New Roman" w:eastAsia="Calibri" w:cs="Times New Roman"/>
                <w:color w:val="000000"/>
                <w:sz w:val="18"/>
                <w:szCs w:val="18"/>
              </w:rPr>
              <w:t xml:space="preserve">$1,082,156 </w:t>
            </w:r>
          </w:p>
        </w:tc>
      </w:tr>
      <w:tr w:rsidRPr="00553252" w:rsidR="007A4290" w:rsidTr="007A4290" w14:paraId="41A848F6" w14:textId="77777777">
        <w:trPr>
          <w:cantSplit/>
          <w:trHeight w:val="300"/>
        </w:trPr>
        <w:tc>
          <w:tcPr>
            <w:tcW w:w="7960" w:type="dxa"/>
            <w:tcBorders>
              <w:top w:val="nil"/>
              <w:left w:val="single" w:color="auto" w:sz="4" w:space="0"/>
              <w:bottom w:val="single" w:color="auto" w:sz="4" w:space="0"/>
              <w:right w:val="single" w:color="auto" w:sz="4" w:space="0"/>
            </w:tcBorders>
            <w:shd w:val="clear" w:color="auto" w:fill="auto"/>
            <w:vAlign w:val="center"/>
            <w:hideMark/>
          </w:tcPr>
          <w:p w:rsidRPr="00553252" w:rsidR="007A4290" w:rsidP="004D285A" w:rsidRDefault="007A4290" w14:paraId="2B97DE14" w14:textId="77777777">
            <w:pPr>
              <w:spacing w:after="0" w:line="240" w:lineRule="auto"/>
              <w:rPr>
                <w:rFonts w:ascii="Times New Roman" w:hAnsi="Times New Roman" w:eastAsia="Times New Roman" w:cs="Times New Roman"/>
                <w:color w:val="000000"/>
                <w:sz w:val="18"/>
                <w:szCs w:val="18"/>
              </w:rPr>
            </w:pPr>
            <w:r w:rsidRPr="00553252">
              <w:rPr>
                <w:rFonts w:ascii="Times New Roman" w:hAnsi="Times New Roman" w:eastAsia="Calibri" w:cs="Times New Roman"/>
                <w:color w:val="000000"/>
                <w:sz w:val="18"/>
                <w:szCs w:val="18"/>
              </w:rPr>
              <w:t>Facilities [cost for renting, overhead, etc. for data collection activity]</w:t>
            </w:r>
          </w:p>
        </w:tc>
        <w:tc>
          <w:tcPr>
            <w:tcW w:w="1140" w:type="dxa"/>
            <w:tcBorders>
              <w:top w:val="nil"/>
              <w:left w:val="nil"/>
              <w:bottom w:val="single" w:color="auto" w:sz="4" w:space="0"/>
              <w:right w:val="single" w:color="auto" w:sz="4" w:space="0"/>
            </w:tcBorders>
            <w:shd w:val="clear" w:color="auto" w:fill="auto"/>
            <w:vAlign w:val="center"/>
            <w:hideMark/>
          </w:tcPr>
          <w:p w:rsidRPr="007A4290" w:rsidR="007A4290" w:rsidP="004D285A" w:rsidRDefault="007A4290" w14:paraId="7C2F67A6" w14:textId="77777777">
            <w:pPr>
              <w:spacing w:after="0" w:line="240" w:lineRule="auto"/>
              <w:jc w:val="right"/>
              <w:rPr>
                <w:rFonts w:ascii="Times New Roman" w:hAnsi="Times New Roman" w:eastAsia="Times New Roman" w:cs="Times New Roman"/>
                <w:color w:val="000000"/>
                <w:sz w:val="18"/>
                <w:szCs w:val="18"/>
              </w:rPr>
            </w:pPr>
            <w:r w:rsidRPr="007A4290">
              <w:rPr>
                <w:rFonts w:ascii="Times New Roman" w:hAnsi="Times New Roman" w:eastAsia="Calibri" w:cs="Times New Roman"/>
                <w:color w:val="000000"/>
                <w:sz w:val="18"/>
                <w:szCs w:val="18"/>
              </w:rPr>
              <w:t xml:space="preserve">$125,359 </w:t>
            </w:r>
          </w:p>
        </w:tc>
      </w:tr>
      <w:tr w:rsidRPr="00553252" w:rsidR="007A4290" w:rsidTr="007A4290" w14:paraId="6BBE0822" w14:textId="77777777">
        <w:trPr>
          <w:cantSplit/>
          <w:trHeight w:val="300"/>
        </w:trPr>
        <w:tc>
          <w:tcPr>
            <w:tcW w:w="7960" w:type="dxa"/>
            <w:tcBorders>
              <w:top w:val="nil"/>
              <w:left w:val="single" w:color="auto" w:sz="4" w:space="0"/>
              <w:bottom w:val="single" w:color="auto" w:sz="4" w:space="0"/>
              <w:right w:val="single" w:color="auto" w:sz="4" w:space="0"/>
            </w:tcBorders>
            <w:shd w:val="clear" w:color="auto" w:fill="auto"/>
            <w:vAlign w:val="center"/>
            <w:hideMark/>
          </w:tcPr>
          <w:p w:rsidRPr="00553252" w:rsidR="007A4290" w:rsidP="004D285A" w:rsidRDefault="007A4290" w14:paraId="7003D05E" w14:textId="77777777">
            <w:pPr>
              <w:spacing w:after="0" w:line="240" w:lineRule="auto"/>
              <w:rPr>
                <w:rFonts w:ascii="Times New Roman" w:hAnsi="Times New Roman" w:eastAsia="Times New Roman" w:cs="Times New Roman"/>
                <w:color w:val="000000"/>
                <w:sz w:val="18"/>
                <w:szCs w:val="18"/>
              </w:rPr>
            </w:pPr>
            <w:r w:rsidRPr="00553252">
              <w:rPr>
                <w:rFonts w:ascii="Times New Roman" w:hAnsi="Times New Roman" w:eastAsia="Calibri" w:cs="Times New Roman"/>
                <w:color w:val="000000"/>
                <w:sz w:val="18"/>
                <w:szCs w:val="18"/>
              </w:rPr>
              <w:t>Computer Hardware and Software [cost of equipment annual lifecycle]</w:t>
            </w:r>
          </w:p>
        </w:tc>
        <w:tc>
          <w:tcPr>
            <w:tcW w:w="1140" w:type="dxa"/>
            <w:tcBorders>
              <w:top w:val="nil"/>
              <w:left w:val="nil"/>
              <w:bottom w:val="single" w:color="auto" w:sz="4" w:space="0"/>
              <w:right w:val="single" w:color="auto" w:sz="4" w:space="0"/>
            </w:tcBorders>
            <w:shd w:val="clear" w:color="auto" w:fill="auto"/>
            <w:vAlign w:val="center"/>
            <w:hideMark/>
          </w:tcPr>
          <w:p w:rsidRPr="007A4290" w:rsidR="007A4290" w:rsidP="004D285A" w:rsidRDefault="007A4290" w14:paraId="5D5D9F88" w14:textId="77777777">
            <w:pPr>
              <w:spacing w:after="0" w:line="240" w:lineRule="auto"/>
              <w:jc w:val="right"/>
              <w:rPr>
                <w:rFonts w:ascii="Times New Roman" w:hAnsi="Times New Roman" w:eastAsia="Times New Roman" w:cs="Times New Roman"/>
                <w:color w:val="000000"/>
                <w:sz w:val="18"/>
                <w:szCs w:val="18"/>
              </w:rPr>
            </w:pPr>
            <w:r w:rsidRPr="007A4290">
              <w:rPr>
                <w:rFonts w:ascii="Times New Roman" w:hAnsi="Times New Roman" w:eastAsia="Calibri" w:cs="Times New Roman"/>
                <w:color w:val="000000"/>
                <w:sz w:val="18"/>
                <w:szCs w:val="18"/>
              </w:rPr>
              <w:t xml:space="preserve">$13,420 </w:t>
            </w:r>
          </w:p>
        </w:tc>
      </w:tr>
      <w:tr w:rsidRPr="00553252" w:rsidR="007A4290" w:rsidTr="007A4290" w14:paraId="14D0856A" w14:textId="77777777">
        <w:trPr>
          <w:cantSplit/>
          <w:trHeight w:val="300"/>
        </w:trPr>
        <w:tc>
          <w:tcPr>
            <w:tcW w:w="7960" w:type="dxa"/>
            <w:tcBorders>
              <w:top w:val="nil"/>
              <w:left w:val="single" w:color="auto" w:sz="4" w:space="0"/>
              <w:bottom w:val="single" w:color="auto" w:sz="4" w:space="0"/>
              <w:right w:val="single" w:color="auto" w:sz="4" w:space="0"/>
            </w:tcBorders>
            <w:shd w:val="clear" w:color="auto" w:fill="auto"/>
            <w:vAlign w:val="center"/>
            <w:hideMark/>
          </w:tcPr>
          <w:p w:rsidRPr="00553252" w:rsidR="007A4290" w:rsidP="004D285A" w:rsidRDefault="007A4290" w14:paraId="744AF77C" w14:textId="77777777">
            <w:pPr>
              <w:spacing w:after="0" w:line="240" w:lineRule="auto"/>
              <w:rPr>
                <w:rFonts w:ascii="Times New Roman" w:hAnsi="Times New Roman" w:eastAsia="Times New Roman" w:cs="Times New Roman"/>
                <w:color w:val="000000"/>
                <w:sz w:val="18"/>
                <w:szCs w:val="18"/>
              </w:rPr>
            </w:pPr>
            <w:r w:rsidRPr="00553252">
              <w:rPr>
                <w:rFonts w:ascii="Times New Roman" w:hAnsi="Times New Roman" w:eastAsia="Calibri" w:cs="Times New Roman"/>
                <w:color w:val="000000"/>
                <w:sz w:val="18"/>
                <w:szCs w:val="18"/>
              </w:rPr>
              <w:t>Equipment Maintenance [cost of annual maintenance/service agreements for equipment]</w:t>
            </w:r>
          </w:p>
        </w:tc>
        <w:tc>
          <w:tcPr>
            <w:tcW w:w="1140" w:type="dxa"/>
            <w:tcBorders>
              <w:top w:val="nil"/>
              <w:left w:val="nil"/>
              <w:bottom w:val="single" w:color="auto" w:sz="4" w:space="0"/>
              <w:right w:val="single" w:color="auto" w:sz="4" w:space="0"/>
            </w:tcBorders>
            <w:shd w:val="clear" w:color="auto" w:fill="auto"/>
            <w:vAlign w:val="center"/>
            <w:hideMark/>
          </w:tcPr>
          <w:p w:rsidRPr="007A4290" w:rsidR="007A4290" w:rsidP="004D285A" w:rsidRDefault="007A4290" w14:paraId="7B05490E" w14:textId="77777777">
            <w:pPr>
              <w:spacing w:after="0" w:line="240" w:lineRule="auto"/>
              <w:jc w:val="right"/>
              <w:rPr>
                <w:rFonts w:ascii="Times New Roman" w:hAnsi="Times New Roman" w:eastAsia="Times New Roman" w:cs="Times New Roman"/>
                <w:color w:val="000000"/>
                <w:sz w:val="18"/>
                <w:szCs w:val="18"/>
              </w:rPr>
            </w:pPr>
            <w:r w:rsidRPr="007A4290">
              <w:rPr>
                <w:rFonts w:ascii="Times New Roman" w:hAnsi="Times New Roman" w:eastAsia="Calibri" w:cs="Times New Roman"/>
                <w:color w:val="000000"/>
                <w:sz w:val="18"/>
                <w:szCs w:val="18"/>
              </w:rPr>
              <w:t xml:space="preserve">$9,500 </w:t>
            </w:r>
          </w:p>
        </w:tc>
      </w:tr>
      <w:tr w:rsidRPr="00553252" w:rsidR="007A4290" w:rsidTr="007A4290" w14:paraId="5036899E" w14:textId="77777777">
        <w:trPr>
          <w:cantSplit/>
          <w:trHeight w:val="300"/>
        </w:trPr>
        <w:tc>
          <w:tcPr>
            <w:tcW w:w="7960" w:type="dxa"/>
            <w:tcBorders>
              <w:top w:val="nil"/>
              <w:left w:val="single" w:color="auto" w:sz="4" w:space="0"/>
              <w:bottom w:val="single" w:color="auto" w:sz="4" w:space="0"/>
              <w:right w:val="single" w:color="auto" w:sz="4" w:space="0"/>
            </w:tcBorders>
            <w:shd w:val="clear" w:color="auto" w:fill="auto"/>
            <w:vAlign w:val="center"/>
            <w:hideMark/>
          </w:tcPr>
          <w:p w:rsidRPr="00553252" w:rsidR="007A4290" w:rsidP="004D285A" w:rsidRDefault="007A4290" w14:paraId="1E9AF991" w14:textId="77777777">
            <w:pPr>
              <w:spacing w:after="0" w:line="240" w:lineRule="auto"/>
              <w:rPr>
                <w:rFonts w:ascii="Times New Roman" w:hAnsi="Times New Roman" w:eastAsia="Times New Roman" w:cs="Times New Roman"/>
                <w:color w:val="000000"/>
                <w:sz w:val="18"/>
                <w:szCs w:val="18"/>
              </w:rPr>
            </w:pPr>
            <w:r w:rsidRPr="00553252">
              <w:rPr>
                <w:rFonts w:ascii="Times New Roman" w:hAnsi="Times New Roman" w:eastAsia="Calibri" w:cs="Times New Roman"/>
                <w:color w:val="000000"/>
                <w:sz w:val="18"/>
                <w:szCs w:val="18"/>
              </w:rPr>
              <w:t>Travel</w:t>
            </w:r>
          </w:p>
        </w:tc>
        <w:tc>
          <w:tcPr>
            <w:tcW w:w="1140" w:type="dxa"/>
            <w:tcBorders>
              <w:top w:val="nil"/>
              <w:left w:val="nil"/>
              <w:bottom w:val="single" w:color="auto" w:sz="4" w:space="0"/>
              <w:right w:val="single" w:color="auto" w:sz="4" w:space="0"/>
            </w:tcBorders>
            <w:shd w:val="clear" w:color="auto" w:fill="auto"/>
            <w:vAlign w:val="center"/>
            <w:hideMark/>
          </w:tcPr>
          <w:p w:rsidRPr="007A4290" w:rsidR="007A4290" w:rsidP="004D285A" w:rsidRDefault="007A4290" w14:paraId="3A650326" w14:textId="77777777">
            <w:pPr>
              <w:spacing w:after="0" w:line="240" w:lineRule="auto"/>
              <w:jc w:val="right"/>
              <w:rPr>
                <w:rFonts w:ascii="Times New Roman" w:hAnsi="Times New Roman" w:eastAsia="Times New Roman" w:cs="Times New Roman"/>
                <w:color w:val="000000"/>
                <w:sz w:val="18"/>
                <w:szCs w:val="18"/>
              </w:rPr>
            </w:pPr>
            <w:r w:rsidRPr="007A4290">
              <w:rPr>
                <w:rFonts w:ascii="Times New Roman" w:hAnsi="Times New Roman" w:eastAsia="Calibri" w:cs="Times New Roman"/>
                <w:color w:val="000000"/>
                <w:sz w:val="18"/>
                <w:szCs w:val="18"/>
              </w:rPr>
              <w:t xml:space="preserve">$40,000 </w:t>
            </w:r>
          </w:p>
        </w:tc>
      </w:tr>
      <w:tr w:rsidRPr="00553252" w:rsidR="007A4290" w:rsidTr="007A4290" w14:paraId="12BDAD1A" w14:textId="77777777">
        <w:trPr>
          <w:cantSplit/>
          <w:trHeight w:val="300"/>
        </w:trPr>
        <w:tc>
          <w:tcPr>
            <w:tcW w:w="7960" w:type="dxa"/>
            <w:tcBorders>
              <w:top w:val="nil"/>
              <w:left w:val="single" w:color="auto" w:sz="4" w:space="0"/>
              <w:bottom w:val="single" w:color="auto" w:sz="4" w:space="0"/>
              <w:right w:val="single" w:color="auto" w:sz="4" w:space="0"/>
            </w:tcBorders>
            <w:shd w:val="clear" w:color="auto" w:fill="auto"/>
            <w:vAlign w:val="center"/>
            <w:hideMark/>
          </w:tcPr>
          <w:p w:rsidRPr="00553252" w:rsidR="007A4290" w:rsidP="004D285A" w:rsidRDefault="007A4290" w14:paraId="574A50CF" w14:textId="77777777">
            <w:pPr>
              <w:spacing w:after="0" w:line="240" w:lineRule="auto"/>
              <w:rPr>
                <w:rFonts w:ascii="Times New Roman" w:hAnsi="Times New Roman" w:eastAsia="Times New Roman" w:cs="Times New Roman"/>
                <w:color w:val="000000"/>
                <w:sz w:val="18"/>
                <w:szCs w:val="18"/>
              </w:rPr>
            </w:pPr>
            <w:r w:rsidRPr="00553252">
              <w:rPr>
                <w:rFonts w:ascii="Times New Roman" w:hAnsi="Times New Roman" w:eastAsia="Times New Roman" w:cs="Times New Roman"/>
                <w:color w:val="000000"/>
                <w:sz w:val="18"/>
                <w:szCs w:val="18"/>
              </w:rPr>
              <w:t>Printing [150,000 annually at $0.12 per page x 2 pages = $36,000]</w:t>
            </w:r>
          </w:p>
        </w:tc>
        <w:tc>
          <w:tcPr>
            <w:tcW w:w="1140" w:type="dxa"/>
            <w:tcBorders>
              <w:top w:val="nil"/>
              <w:left w:val="nil"/>
              <w:bottom w:val="single" w:color="auto" w:sz="4" w:space="0"/>
              <w:right w:val="single" w:color="auto" w:sz="4" w:space="0"/>
            </w:tcBorders>
            <w:shd w:val="clear" w:color="auto" w:fill="auto"/>
            <w:vAlign w:val="center"/>
            <w:hideMark/>
          </w:tcPr>
          <w:p w:rsidRPr="007A4290" w:rsidR="007A4290" w:rsidP="004D285A" w:rsidRDefault="007A4290" w14:paraId="590AE9F1" w14:textId="77777777">
            <w:pPr>
              <w:spacing w:after="0" w:line="240" w:lineRule="auto"/>
              <w:jc w:val="right"/>
              <w:rPr>
                <w:rFonts w:ascii="Times New Roman" w:hAnsi="Times New Roman" w:eastAsia="Times New Roman" w:cs="Times New Roman"/>
                <w:color w:val="000000"/>
                <w:sz w:val="18"/>
                <w:szCs w:val="18"/>
              </w:rPr>
            </w:pPr>
            <w:r w:rsidRPr="007A4290">
              <w:rPr>
                <w:rFonts w:ascii="Times New Roman" w:hAnsi="Times New Roman" w:eastAsia="Times New Roman" w:cs="Times New Roman"/>
                <w:color w:val="000000"/>
                <w:sz w:val="18"/>
                <w:szCs w:val="18"/>
              </w:rPr>
              <w:t xml:space="preserve">$36,000 </w:t>
            </w:r>
          </w:p>
        </w:tc>
      </w:tr>
      <w:tr w:rsidRPr="00553252" w:rsidR="007A4290" w:rsidTr="007A4290" w14:paraId="4BF546C5" w14:textId="77777777">
        <w:trPr>
          <w:cantSplit/>
          <w:trHeight w:val="300"/>
        </w:trPr>
        <w:tc>
          <w:tcPr>
            <w:tcW w:w="7960" w:type="dxa"/>
            <w:tcBorders>
              <w:top w:val="nil"/>
              <w:left w:val="single" w:color="auto" w:sz="4" w:space="0"/>
              <w:bottom w:val="single" w:color="auto" w:sz="4" w:space="0"/>
              <w:right w:val="single" w:color="auto" w:sz="4" w:space="0"/>
            </w:tcBorders>
            <w:shd w:val="clear" w:color="auto" w:fill="auto"/>
            <w:vAlign w:val="center"/>
            <w:hideMark/>
          </w:tcPr>
          <w:p w:rsidRPr="00553252" w:rsidR="007A4290" w:rsidP="004D285A" w:rsidRDefault="007A4290" w14:paraId="11A67D2A" w14:textId="77777777">
            <w:pPr>
              <w:spacing w:after="0" w:line="240" w:lineRule="auto"/>
              <w:rPr>
                <w:rFonts w:ascii="Times New Roman" w:hAnsi="Times New Roman" w:eastAsia="Times New Roman" w:cs="Times New Roman"/>
                <w:color w:val="000000"/>
                <w:sz w:val="18"/>
                <w:szCs w:val="18"/>
              </w:rPr>
            </w:pPr>
            <w:r w:rsidRPr="00553252">
              <w:rPr>
                <w:rFonts w:ascii="Times New Roman" w:hAnsi="Times New Roman" w:eastAsia="Times New Roman" w:cs="Times New Roman"/>
                <w:color w:val="000000"/>
                <w:sz w:val="18"/>
                <w:szCs w:val="18"/>
              </w:rPr>
              <w:t>Postage: [30,000 pages/cards x $0.49 = $14,700]</w:t>
            </w:r>
          </w:p>
        </w:tc>
        <w:tc>
          <w:tcPr>
            <w:tcW w:w="1140" w:type="dxa"/>
            <w:tcBorders>
              <w:top w:val="nil"/>
              <w:left w:val="nil"/>
              <w:bottom w:val="single" w:color="auto" w:sz="4" w:space="0"/>
              <w:right w:val="single" w:color="auto" w:sz="4" w:space="0"/>
            </w:tcBorders>
            <w:shd w:val="clear" w:color="auto" w:fill="auto"/>
            <w:vAlign w:val="center"/>
            <w:hideMark/>
          </w:tcPr>
          <w:p w:rsidRPr="007A4290" w:rsidR="007A4290" w:rsidP="004D285A" w:rsidRDefault="007A4290" w14:paraId="3B1C6902" w14:textId="77777777">
            <w:pPr>
              <w:spacing w:after="0" w:line="240" w:lineRule="auto"/>
              <w:jc w:val="right"/>
              <w:rPr>
                <w:rFonts w:ascii="Times New Roman" w:hAnsi="Times New Roman" w:eastAsia="Times New Roman" w:cs="Times New Roman"/>
                <w:color w:val="000000"/>
                <w:sz w:val="18"/>
                <w:szCs w:val="18"/>
              </w:rPr>
            </w:pPr>
            <w:r w:rsidRPr="007A4290">
              <w:rPr>
                <w:rFonts w:ascii="Times New Roman" w:hAnsi="Times New Roman" w:eastAsia="Times New Roman" w:cs="Times New Roman"/>
                <w:color w:val="000000"/>
                <w:sz w:val="18"/>
                <w:szCs w:val="18"/>
              </w:rPr>
              <w:t xml:space="preserve">$14,700 </w:t>
            </w:r>
          </w:p>
        </w:tc>
      </w:tr>
      <w:tr w:rsidRPr="00553252" w:rsidR="007A4290" w:rsidTr="007A4290" w14:paraId="366FF075" w14:textId="77777777">
        <w:trPr>
          <w:cantSplit/>
          <w:trHeight w:val="780"/>
        </w:trPr>
        <w:tc>
          <w:tcPr>
            <w:tcW w:w="7960" w:type="dxa"/>
            <w:tcBorders>
              <w:top w:val="nil"/>
              <w:left w:val="single" w:color="auto" w:sz="4" w:space="0"/>
              <w:bottom w:val="single" w:color="auto" w:sz="4" w:space="0"/>
              <w:right w:val="single" w:color="auto" w:sz="4" w:space="0"/>
            </w:tcBorders>
            <w:shd w:val="clear" w:color="auto" w:fill="auto"/>
            <w:vAlign w:val="center"/>
            <w:hideMark/>
          </w:tcPr>
          <w:p w:rsidRPr="005C7AE5" w:rsidR="007A4290" w:rsidP="004D285A" w:rsidRDefault="007A4290" w14:paraId="1BA8D3A1" w14:textId="77777777">
            <w:pPr>
              <w:spacing w:after="0" w:line="240" w:lineRule="auto"/>
              <w:rPr>
                <w:rFonts w:ascii="Times New Roman" w:hAnsi="Times New Roman" w:eastAsia="Times New Roman" w:cs="Times New Roman"/>
                <w:color w:val="000000"/>
                <w:sz w:val="18"/>
                <w:szCs w:val="18"/>
              </w:rPr>
            </w:pPr>
            <w:r w:rsidRPr="005C7AE5">
              <w:rPr>
                <w:rFonts w:ascii="Times New Roman" w:hAnsi="Times New Roman" w:eastAsia="Times New Roman" w:cs="Times New Roman"/>
                <w:color w:val="000000"/>
                <w:sz w:val="18"/>
                <w:szCs w:val="18"/>
              </w:rPr>
              <w:t>Focus Group Incentive: [Nominal Incentive to range from $80-$100 for 250 Participants to attend Focus Groups held in Person and a fee of $35 for 400 On-Line Interviews (Note: Using the higher cost of $100 for the Focus Groups held in Person) Annualized over 3 years.]</w:t>
            </w:r>
          </w:p>
        </w:tc>
        <w:tc>
          <w:tcPr>
            <w:tcW w:w="1140" w:type="dxa"/>
            <w:tcBorders>
              <w:top w:val="nil"/>
              <w:left w:val="nil"/>
              <w:bottom w:val="single" w:color="auto" w:sz="4" w:space="0"/>
              <w:right w:val="single" w:color="auto" w:sz="4" w:space="0"/>
            </w:tcBorders>
            <w:shd w:val="clear" w:color="auto" w:fill="auto"/>
            <w:noWrap/>
            <w:vAlign w:val="center"/>
            <w:hideMark/>
          </w:tcPr>
          <w:p w:rsidRPr="005C7AE5" w:rsidR="007A4290" w:rsidP="004D285A" w:rsidRDefault="007A4290" w14:paraId="36CB75B8" w14:textId="77777777">
            <w:pPr>
              <w:spacing w:after="0" w:line="240" w:lineRule="auto"/>
              <w:jc w:val="right"/>
              <w:rPr>
                <w:rFonts w:ascii="Times New Roman" w:hAnsi="Times New Roman" w:eastAsia="Times New Roman" w:cs="Times New Roman"/>
                <w:color w:val="000000"/>
                <w:sz w:val="18"/>
                <w:szCs w:val="18"/>
              </w:rPr>
            </w:pPr>
            <w:r w:rsidRPr="005C7AE5">
              <w:rPr>
                <w:rFonts w:ascii="Times New Roman" w:hAnsi="Times New Roman" w:eastAsia="Times New Roman" w:cs="Times New Roman"/>
                <w:color w:val="000000"/>
                <w:sz w:val="18"/>
                <w:szCs w:val="18"/>
              </w:rPr>
              <w:t>$8,333</w:t>
            </w:r>
          </w:p>
        </w:tc>
      </w:tr>
      <w:tr w:rsidRPr="00553252" w:rsidR="007A4290" w:rsidTr="007A4290" w14:paraId="6D522FAB" w14:textId="77777777">
        <w:trPr>
          <w:cantSplit/>
          <w:trHeight w:val="300"/>
        </w:trPr>
        <w:tc>
          <w:tcPr>
            <w:tcW w:w="7960" w:type="dxa"/>
            <w:tcBorders>
              <w:top w:val="nil"/>
              <w:left w:val="single" w:color="auto" w:sz="4" w:space="0"/>
              <w:bottom w:val="single" w:color="auto" w:sz="4" w:space="0"/>
              <w:right w:val="single" w:color="auto" w:sz="4" w:space="0"/>
            </w:tcBorders>
            <w:shd w:val="clear" w:color="auto" w:fill="auto"/>
            <w:vAlign w:val="bottom"/>
            <w:hideMark/>
          </w:tcPr>
          <w:p w:rsidRPr="005C7AE5" w:rsidR="007A4290" w:rsidP="004D285A" w:rsidRDefault="007A4290" w14:paraId="7F687F75" w14:textId="77777777">
            <w:pPr>
              <w:spacing w:after="0" w:line="240" w:lineRule="auto"/>
              <w:rPr>
                <w:rFonts w:ascii="Times New Roman" w:hAnsi="Times New Roman" w:eastAsia="Times New Roman" w:cs="Times New Roman"/>
                <w:color w:val="000000"/>
                <w:sz w:val="18"/>
                <w:szCs w:val="18"/>
              </w:rPr>
            </w:pPr>
            <w:r w:rsidRPr="005C7AE5">
              <w:rPr>
                <w:rFonts w:ascii="Times New Roman" w:hAnsi="Times New Roman" w:eastAsia="Times New Roman" w:cs="Times New Roman"/>
                <w:color w:val="000000"/>
                <w:sz w:val="18"/>
                <w:szCs w:val="18"/>
              </w:rPr>
              <w:t> </w:t>
            </w:r>
          </w:p>
        </w:tc>
        <w:tc>
          <w:tcPr>
            <w:tcW w:w="1140" w:type="dxa"/>
            <w:tcBorders>
              <w:top w:val="nil"/>
              <w:left w:val="nil"/>
              <w:bottom w:val="single" w:color="auto" w:sz="4" w:space="0"/>
              <w:right w:val="single" w:color="auto" w:sz="4" w:space="0"/>
            </w:tcBorders>
            <w:shd w:val="clear" w:color="auto" w:fill="auto"/>
            <w:noWrap/>
            <w:vAlign w:val="center"/>
            <w:hideMark/>
          </w:tcPr>
          <w:p w:rsidRPr="005C7AE5" w:rsidR="007A4290" w:rsidP="004D285A" w:rsidRDefault="007A4290" w14:paraId="66EEAC3B" w14:textId="77777777">
            <w:pPr>
              <w:spacing w:after="0" w:line="240" w:lineRule="auto"/>
              <w:jc w:val="right"/>
              <w:rPr>
                <w:rFonts w:ascii="Times New Roman" w:hAnsi="Times New Roman" w:eastAsia="Times New Roman" w:cs="Times New Roman"/>
                <w:color w:val="000000"/>
                <w:sz w:val="18"/>
                <w:szCs w:val="18"/>
              </w:rPr>
            </w:pPr>
            <w:r w:rsidRPr="005C7AE5">
              <w:rPr>
                <w:rFonts w:ascii="Times New Roman" w:hAnsi="Times New Roman" w:eastAsia="Times New Roman" w:cs="Times New Roman"/>
                <w:color w:val="000000"/>
                <w:sz w:val="18"/>
                <w:szCs w:val="18"/>
              </w:rPr>
              <w:t> </w:t>
            </w:r>
          </w:p>
        </w:tc>
      </w:tr>
      <w:tr w:rsidRPr="00553252" w:rsidR="007A4290" w:rsidTr="005C7AE5" w14:paraId="2E689433" w14:textId="77777777">
        <w:trPr>
          <w:cantSplit/>
          <w:trHeight w:val="300"/>
        </w:trPr>
        <w:tc>
          <w:tcPr>
            <w:tcW w:w="7960" w:type="dxa"/>
            <w:tcBorders>
              <w:top w:val="nil"/>
              <w:left w:val="single" w:color="auto" w:sz="4" w:space="0"/>
              <w:bottom w:val="single" w:color="auto" w:sz="4" w:space="0"/>
              <w:right w:val="single" w:color="auto" w:sz="4" w:space="0"/>
            </w:tcBorders>
            <w:shd w:val="clear" w:color="auto" w:fill="auto"/>
            <w:vAlign w:val="center"/>
            <w:hideMark/>
          </w:tcPr>
          <w:p w:rsidRPr="00553252" w:rsidR="007A4290" w:rsidP="004D285A" w:rsidRDefault="007A4290" w14:paraId="04FBA3F8" w14:textId="77777777">
            <w:pPr>
              <w:spacing w:after="0" w:line="240" w:lineRule="auto"/>
              <w:rPr>
                <w:rFonts w:ascii="Times New Roman" w:hAnsi="Times New Roman" w:eastAsia="Times New Roman" w:cs="Times New Roman"/>
                <w:b/>
                <w:bCs/>
                <w:color w:val="000000"/>
                <w:sz w:val="18"/>
                <w:szCs w:val="18"/>
              </w:rPr>
            </w:pPr>
            <w:r w:rsidRPr="00553252">
              <w:rPr>
                <w:rFonts w:ascii="Times New Roman" w:hAnsi="Times New Roman" w:eastAsia="Calibri" w:cs="Times New Roman"/>
                <w:b/>
                <w:bCs/>
                <w:color w:val="000000"/>
                <w:sz w:val="18"/>
                <w:szCs w:val="18"/>
              </w:rPr>
              <w:t>Total</w:t>
            </w:r>
          </w:p>
        </w:tc>
        <w:tc>
          <w:tcPr>
            <w:tcW w:w="1140" w:type="dxa"/>
            <w:tcBorders>
              <w:top w:val="nil"/>
              <w:left w:val="nil"/>
              <w:bottom w:val="single" w:color="auto" w:sz="4" w:space="0"/>
              <w:right w:val="single" w:color="auto" w:sz="4" w:space="0"/>
            </w:tcBorders>
            <w:shd w:val="clear" w:color="auto" w:fill="auto"/>
            <w:vAlign w:val="center"/>
            <w:hideMark/>
          </w:tcPr>
          <w:p w:rsidRPr="007A4290" w:rsidR="007A4290" w:rsidP="004D285A" w:rsidRDefault="007A4290" w14:paraId="44CE037C" w14:textId="77777777">
            <w:pPr>
              <w:spacing w:after="0" w:line="240" w:lineRule="auto"/>
              <w:jc w:val="right"/>
              <w:rPr>
                <w:rFonts w:ascii="Times New Roman" w:hAnsi="Times New Roman" w:eastAsia="Times New Roman" w:cs="Times New Roman"/>
                <w:color w:val="000000"/>
                <w:sz w:val="18"/>
                <w:szCs w:val="18"/>
              </w:rPr>
            </w:pPr>
            <w:r w:rsidRPr="007A4290">
              <w:rPr>
                <w:rFonts w:ascii="Times New Roman" w:hAnsi="Times New Roman" w:eastAsia="Calibri" w:cs="Times New Roman"/>
                <w:color w:val="000000"/>
                <w:sz w:val="18"/>
                <w:szCs w:val="18"/>
              </w:rPr>
              <w:t xml:space="preserve">$2,180,168 </w:t>
            </w:r>
          </w:p>
        </w:tc>
      </w:tr>
      <w:tr w:rsidRPr="00553252" w:rsidR="00FA356E" w:rsidTr="005C7AE5" w14:paraId="0AA44439" w14:textId="77777777">
        <w:trPr>
          <w:cantSplit/>
          <w:trHeight w:val="1308"/>
        </w:trPr>
        <w:tc>
          <w:tcPr>
            <w:tcW w:w="9100" w:type="dxa"/>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3537E0" w:rsidR="00FA356E" w:rsidP="004D285A" w:rsidRDefault="00FA356E" w14:paraId="3CAD78F2" w14:textId="77777777">
            <w:pPr>
              <w:spacing w:after="0" w:line="240" w:lineRule="auto"/>
              <w:rPr>
                <w:rFonts w:ascii="Times New Roman" w:hAnsi="Times New Roman" w:eastAsia="Times New Roman" w:cs="Times New Roman"/>
                <w:sz w:val="18"/>
                <w:szCs w:val="18"/>
              </w:rPr>
            </w:pPr>
            <w:r w:rsidRPr="00553252">
              <w:rPr>
                <w:rFonts w:ascii="Times New Roman" w:hAnsi="Times New Roman" w:eastAsia="Times New Roman" w:cs="Times New Roman"/>
                <w:sz w:val="18"/>
                <w:szCs w:val="18"/>
                <w:vertAlign w:val="superscript"/>
              </w:rPr>
              <w:t>1</w:t>
            </w:r>
            <w:r w:rsidRPr="00553252">
              <w:rPr>
                <w:rFonts w:ascii="Times New Roman" w:hAnsi="Times New Roman" w:eastAsia="Times New Roman" w:cs="Times New Roman"/>
                <w:sz w:val="18"/>
                <w:szCs w:val="18"/>
              </w:rPr>
              <w:t xml:space="preserve"> Office of Personnel Management 2021 Pay and Leave Tables for the Washington-Baltimore-Arlington, DC-MD-VA-WV-PA locality. Available online at </w:t>
            </w:r>
            <w:hyperlink w:history="1" r:id="rId11">
              <w:r w:rsidRPr="00553252">
                <w:rPr>
                  <w:rStyle w:val="Hyperlink"/>
                  <w:rFonts w:ascii="Times New Roman" w:hAnsi="Times New Roman" w:eastAsia="Times New Roman" w:cs="Times New Roman"/>
                  <w:sz w:val="18"/>
                  <w:szCs w:val="18"/>
                </w:rPr>
                <w:t>https://www.opm.gov/policy-data-oversight/pay-leave/salaries-wages/salary-tables/pdf/2021/DCB.pdf</w:t>
              </w:r>
            </w:hyperlink>
            <w:r w:rsidRPr="00553252">
              <w:rPr>
                <w:rFonts w:ascii="Times New Roman" w:hAnsi="Times New Roman" w:eastAsia="Times New Roman" w:cs="Times New Roman"/>
                <w:sz w:val="18"/>
                <w:szCs w:val="18"/>
              </w:rPr>
              <w:t>. Accessed February 10, 2021.</w:t>
            </w:r>
          </w:p>
          <w:p w:rsidRPr="003537E0" w:rsidR="00FA356E" w:rsidP="004D285A" w:rsidRDefault="00FA356E" w14:paraId="7D0A2E6F" w14:textId="6605BAC5">
            <w:pPr>
              <w:spacing w:after="0" w:line="240" w:lineRule="auto"/>
              <w:rPr>
                <w:rFonts w:ascii="Times New Roman" w:hAnsi="Times New Roman" w:eastAsia="Times New Roman" w:cs="Times New Roman"/>
                <w:sz w:val="18"/>
                <w:szCs w:val="18"/>
              </w:rPr>
            </w:pPr>
            <w:r w:rsidRPr="00553252">
              <w:rPr>
                <w:rFonts w:ascii="Times New Roman" w:hAnsi="Times New Roman" w:eastAsia="Times New Roman" w:cs="Times New Roman"/>
                <w:color w:val="000000"/>
                <w:sz w:val="18"/>
                <w:szCs w:val="18"/>
                <w:vertAlign w:val="superscript"/>
              </w:rPr>
              <w:t>2</w:t>
            </w:r>
            <w:r w:rsidRPr="00553252">
              <w:rPr>
                <w:rFonts w:ascii="Times New Roman" w:hAnsi="Times New Roman" w:eastAsia="Times New Roman" w:cs="Times New Roman"/>
                <w:color w:val="000000"/>
                <w:sz w:val="18"/>
                <w:szCs w:val="18"/>
              </w:rPr>
              <w:t xml:space="preserve"> Wage rate includes a 1.46 multiplier to reflect the fully-loaded wage rate.</w:t>
            </w:r>
          </w:p>
        </w:tc>
      </w:tr>
      <w:bookmarkEnd w:id="1"/>
    </w:tbl>
    <w:p w:rsidR="00F101DA" w:rsidP="00562915" w:rsidRDefault="00F101DA" w14:paraId="6988AFC9" w14:textId="3BCCA449"/>
    <w:p w:rsidR="00F101DA" w:rsidP="00562915" w:rsidRDefault="00F101DA" w14:paraId="34C75E6F" w14:textId="77777777"/>
    <w:p w:rsidRPr="006625E7" w:rsidR="00562915" w:rsidP="00562915" w:rsidRDefault="00562915" w14:paraId="077C45DB" w14:textId="442C10AE">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4590A1F3" w14:textId="2EDF4A6F">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r w:rsidRPr="00106954" w:rsidR="004B75E8">
        <w:rPr>
          <w:i/>
          <w:sz w:val="20"/>
          <w:szCs w:val="20"/>
        </w:rPr>
        <w:t>a</w:t>
      </w:r>
      <w:r w:rsidRPr="00106954">
        <w:rPr>
          <w:i/>
          <w:sz w:val="20"/>
          <w:szCs w:val="20"/>
        </w:rPr>
        <w:t xml:space="preserve"> federal government regulatory action or directive. (e.g., an increase in sample size or coverage, amount of information, reporting frequency, or expanded use of an existing form). </w:t>
      </w:r>
      <w:r w:rsidR="005A3D25">
        <w:rPr>
          <w:i/>
          <w:sz w:val="20"/>
          <w:szCs w:val="20"/>
        </w:rPr>
        <w:t xml:space="preserve"> </w:t>
      </w:r>
      <w:r w:rsidRPr="00106954">
        <w:rPr>
          <w:i/>
          <w:sz w:val="20"/>
          <w:szCs w:val="20"/>
        </w:rPr>
        <w:t xml:space="preserve">This also includes previously in-use and unapproved information </w:t>
      </w:r>
      <w:r w:rsidRPr="00106954">
        <w:rPr>
          <w:i/>
          <w:sz w:val="20"/>
          <w:szCs w:val="20"/>
        </w:rPr>
        <w:lastRenderedPageBreak/>
        <w:t xml:space="preserve">collections discovered during the ICB process, or during the fiscal year, which will be in use during the next fiscal year. </w:t>
      </w:r>
    </w:p>
    <w:p w:rsidRPr="00106954" w:rsidR="00562915" w:rsidP="00562915" w:rsidRDefault="00562915" w14:paraId="58A1B461"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Pr="005920E1" w:rsidR="00A00EDE" w:rsidP="00A00EDE" w:rsidRDefault="00562915" w14:paraId="4E91C38E" w14:textId="77777777">
      <w:pPr>
        <w:spacing w:before="100" w:beforeAutospacing="1" w:after="100" w:afterAutospacing="1" w:line="240" w:lineRule="auto"/>
        <w:rPr>
          <w:rFonts w:ascii="Times New Roman" w:hAnsi="Times New Roman" w:eastAsia="Times New Roman" w:cs="Times New Roman"/>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Pr="005920E1" w:rsidR="00A00EDE" w:rsidTr="005019D8" w14:paraId="53422EB7" w14:textId="77777777">
        <w:trPr>
          <w:trHeight w:val="259"/>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Pr="005C7AE5" w:rsidR="00A00EDE" w:rsidP="005019D8" w:rsidRDefault="00A00EDE" w14:paraId="49080204" w14:textId="77777777">
            <w:pPr>
              <w:spacing w:line="240" w:lineRule="auto"/>
              <w:jc w:val="center"/>
              <w:rPr>
                <w:rFonts w:ascii="Times New Roman" w:hAnsi="Times New Roman" w:eastAsia="Calibri" w:cs="Times New Roman"/>
                <w:b/>
                <w:bCs/>
                <w:sz w:val="20"/>
                <w:szCs w:val="20"/>
              </w:rPr>
            </w:pPr>
            <w:r w:rsidRPr="005C7AE5">
              <w:rPr>
                <w:rFonts w:ascii="Times New Roman" w:hAnsi="Times New Roman" w:eastAsia="Calibri" w:cs="Times New Roman"/>
                <w:b/>
                <w:bCs/>
                <w:sz w:val="20"/>
                <w:szCs w:val="20"/>
              </w:rPr>
              <w:t>Itemized Changes in Annual Burden Hours</w:t>
            </w:r>
          </w:p>
        </w:tc>
      </w:tr>
      <w:tr w:rsidRPr="005920E1" w:rsidR="00A00EDE" w:rsidTr="00711A6D" w14:paraId="3C7485C7" w14:textId="77777777">
        <w:trPr>
          <w:trHeight w:val="1528"/>
          <w:jc w:val="center"/>
        </w:trPr>
        <w:tc>
          <w:tcPr>
            <w:tcW w:w="2340" w:type="dxa"/>
            <w:tcBorders>
              <w:top w:val="nil"/>
              <w:left w:val="single" w:color="auto" w:sz="8" w:space="0"/>
              <w:bottom w:val="single" w:color="auto" w:sz="8" w:space="0"/>
              <w:right w:val="single" w:color="auto" w:sz="8" w:space="0"/>
            </w:tcBorders>
            <w:shd w:val="clear" w:color="auto" w:fill="95B3D7" w:themeFill="accent1" w:themeFillTint="99"/>
            <w:vAlign w:val="center"/>
          </w:tcPr>
          <w:p w:rsidRPr="005C7AE5" w:rsidR="00A00EDE" w:rsidP="000F72E6" w:rsidRDefault="00A00EDE" w14:paraId="2D070576" w14:textId="77777777">
            <w:pPr>
              <w:jc w:val="center"/>
              <w:rPr>
                <w:rFonts w:ascii="Times New Roman" w:hAnsi="Times New Roman" w:eastAsia="Calibri" w:cs="Times New Roman"/>
                <w:sz w:val="20"/>
                <w:szCs w:val="20"/>
              </w:rPr>
            </w:pPr>
            <w:r w:rsidRPr="005C7AE5">
              <w:rPr>
                <w:rFonts w:ascii="Times New Roman" w:hAnsi="Times New Roman" w:eastAsia="Calibri" w:cs="Times New Roman"/>
                <w:sz w:val="20"/>
                <w:szCs w:val="20"/>
              </w:rPr>
              <w:t>Data collection Activity/Instrument</w:t>
            </w:r>
          </w:p>
        </w:tc>
        <w:tc>
          <w:tcPr>
            <w:tcW w:w="1240" w:type="dxa"/>
            <w:tcBorders>
              <w:top w:val="nil"/>
              <w:left w:val="nil"/>
              <w:bottom w:val="single" w:color="auto" w:sz="8" w:space="0"/>
              <w:right w:val="single" w:color="auto" w:sz="8" w:space="0"/>
            </w:tcBorders>
            <w:shd w:val="clear" w:color="auto" w:fill="95B3D7" w:themeFill="accent1" w:themeFillTint="99"/>
            <w:vAlign w:val="center"/>
          </w:tcPr>
          <w:p w:rsidRPr="005C7AE5" w:rsidR="00A00EDE" w:rsidP="000F72E6" w:rsidRDefault="00A00EDE" w14:paraId="016957B0" w14:textId="3251CA3B">
            <w:pPr>
              <w:jc w:val="center"/>
              <w:rPr>
                <w:rFonts w:ascii="Times New Roman" w:hAnsi="Times New Roman" w:eastAsia="Calibri" w:cs="Times New Roman"/>
                <w:sz w:val="20"/>
                <w:szCs w:val="20"/>
              </w:rPr>
            </w:pPr>
            <w:r w:rsidRPr="005C7AE5">
              <w:rPr>
                <w:rFonts w:ascii="Times New Roman" w:hAnsi="Times New Roman" w:eastAsia="Calibri" w:cs="Times New Roman"/>
                <w:sz w:val="20"/>
                <w:szCs w:val="20"/>
              </w:rPr>
              <w:t>Program Change (hours currently on OMB Inventory)</w:t>
            </w:r>
          </w:p>
        </w:tc>
        <w:tc>
          <w:tcPr>
            <w:tcW w:w="960" w:type="dxa"/>
            <w:tcBorders>
              <w:top w:val="nil"/>
              <w:left w:val="nil"/>
              <w:bottom w:val="single" w:color="auto" w:sz="8" w:space="0"/>
              <w:right w:val="single" w:color="auto" w:sz="8" w:space="0"/>
            </w:tcBorders>
            <w:shd w:val="clear" w:color="auto" w:fill="95B3D7" w:themeFill="accent1" w:themeFillTint="99"/>
            <w:vAlign w:val="center"/>
          </w:tcPr>
          <w:p w:rsidRPr="005C7AE5" w:rsidR="00A00EDE" w:rsidP="000F72E6" w:rsidRDefault="00A00EDE" w14:paraId="4155A9EB" w14:textId="06C80770">
            <w:pPr>
              <w:jc w:val="center"/>
              <w:rPr>
                <w:rFonts w:ascii="Times New Roman" w:hAnsi="Times New Roman" w:eastAsia="Calibri" w:cs="Times New Roman"/>
                <w:sz w:val="20"/>
                <w:szCs w:val="20"/>
              </w:rPr>
            </w:pPr>
            <w:r w:rsidRPr="005C7AE5">
              <w:rPr>
                <w:rFonts w:ascii="Times New Roman" w:hAnsi="Times New Roman" w:eastAsia="Calibri" w:cs="Times New Roman"/>
                <w:sz w:val="20"/>
                <w:szCs w:val="20"/>
              </w:rPr>
              <w:t>Program Change (New)</w:t>
            </w:r>
          </w:p>
        </w:tc>
        <w:tc>
          <w:tcPr>
            <w:tcW w:w="1260" w:type="dxa"/>
            <w:tcBorders>
              <w:top w:val="nil"/>
              <w:left w:val="nil"/>
              <w:bottom w:val="single" w:color="auto" w:sz="8" w:space="0"/>
              <w:right w:val="single" w:color="auto" w:sz="8" w:space="0"/>
            </w:tcBorders>
            <w:shd w:val="clear" w:color="auto" w:fill="95B3D7" w:themeFill="accent1" w:themeFillTint="99"/>
            <w:vAlign w:val="center"/>
          </w:tcPr>
          <w:p w:rsidRPr="005C7AE5" w:rsidR="00A00EDE" w:rsidP="00F47C12" w:rsidRDefault="00A00EDE" w14:paraId="0E6471F2" w14:textId="77777777">
            <w:pPr>
              <w:jc w:val="center"/>
              <w:rPr>
                <w:rFonts w:ascii="Times New Roman" w:hAnsi="Times New Roman" w:eastAsia="Calibri" w:cs="Times New Roman"/>
                <w:sz w:val="20"/>
                <w:szCs w:val="20"/>
              </w:rPr>
            </w:pPr>
            <w:r w:rsidRPr="005C7AE5">
              <w:rPr>
                <w:rFonts w:ascii="Times New Roman" w:hAnsi="Times New Roman" w:eastAsia="Calibri" w:cs="Times New Roman"/>
                <w:sz w:val="20"/>
                <w:szCs w:val="20"/>
              </w:rPr>
              <w:t>Difference</w:t>
            </w:r>
          </w:p>
        </w:tc>
        <w:tc>
          <w:tcPr>
            <w:tcW w:w="1400" w:type="dxa"/>
            <w:tcBorders>
              <w:top w:val="nil"/>
              <w:left w:val="nil"/>
              <w:bottom w:val="single" w:color="auto" w:sz="8" w:space="0"/>
              <w:right w:val="single" w:color="auto" w:sz="8" w:space="0"/>
            </w:tcBorders>
            <w:shd w:val="clear" w:color="auto" w:fill="95B3D7" w:themeFill="accent1" w:themeFillTint="99"/>
            <w:vAlign w:val="center"/>
          </w:tcPr>
          <w:p w:rsidRPr="005C7AE5" w:rsidR="00A00EDE" w:rsidP="00F47C12" w:rsidRDefault="00A00EDE" w14:paraId="3E73FA20" w14:textId="77777777">
            <w:pPr>
              <w:jc w:val="center"/>
              <w:rPr>
                <w:rFonts w:ascii="Times New Roman" w:hAnsi="Times New Roman" w:eastAsia="Calibri" w:cs="Times New Roman"/>
                <w:sz w:val="20"/>
                <w:szCs w:val="20"/>
              </w:rPr>
            </w:pPr>
            <w:r w:rsidRPr="005C7AE5">
              <w:rPr>
                <w:rFonts w:ascii="Times New Roman" w:hAnsi="Times New Roman" w:eastAsia="Calibri" w:cs="Times New Roman"/>
                <w:sz w:val="20"/>
                <w:szCs w:val="20"/>
              </w:rPr>
              <w:t>Adjustment (hours currently on OMB Inventory)</w:t>
            </w:r>
          </w:p>
        </w:tc>
        <w:tc>
          <w:tcPr>
            <w:tcW w:w="1420" w:type="dxa"/>
            <w:tcBorders>
              <w:top w:val="nil"/>
              <w:left w:val="nil"/>
              <w:bottom w:val="single" w:color="auto" w:sz="8" w:space="0"/>
              <w:right w:val="single" w:color="auto" w:sz="8" w:space="0"/>
            </w:tcBorders>
            <w:shd w:val="clear" w:color="auto" w:fill="95B3D7" w:themeFill="accent1" w:themeFillTint="99"/>
            <w:vAlign w:val="center"/>
          </w:tcPr>
          <w:p w:rsidRPr="005C7AE5" w:rsidR="00A00EDE" w:rsidP="006F7894" w:rsidRDefault="00A00EDE" w14:paraId="024F73B9" w14:textId="42D20A89">
            <w:pPr>
              <w:jc w:val="center"/>
              <w:rPr>
                <w:rFonts w:ascii="Times New Roman" w:hAnsi="Times New Roman" w:eastAsia="Calibri" w:cs="Times New Roman"/>
                <w:sz w:val="20"/>
                <w:szCs w:val="20"/>
              </w:rPr>
            </w:pPr>
            <w:r w:rsidRPr="005C7AE5">
              <w:rPr>
                <w:rFonts w:ascii="Times New Roman" w:hAnsi="Times New Roman" w:eastAsia="Calibri" w:cs="Times New Roman"/>
                <w:sz w:val="20"/>
                <w:szCs w:val="20"/>
              </w:rPr>
              <w:t>Adjustment (New)</w:t>
            </w:r>
          </w:p>
        </w:tc>
        <w:tc>
          <w:tcPr>
            <w:tcW w:w="1740" w:type="dxa"/>
            <w:tcBorders>
              <w:top w:val="nil"/>
              <w:left w:val="nil"/>
              <w:bottom w:val="single" w:color="auto" w:sz="8" w:space="0"/>
              <w:right w:val="single" w:color="auto" w:sz="8" w:space="0"/>
            </w:tcBorders>
            <w:shd w:val="clear" w:color="auto" w:fill="95B3D7" w:themeFill="accent1" w:themeFillTint="99"/>
            <w:vAlign w:val="center"/>
          </w:tcPr>
          <w:p w:rsidRPr="005C7AE5" w:rsidR="00A00EDE" w:rsidP="00CE3B7E" w:rsidRDefault="00A00EDE" w14:paraId="3D17285E" w14:textId="77777777">
            <w:pPr>
              <w:jc w:val="center"/>
              <w:rPr>
                <w:rFonts w:ascii="Times New Roman" w:hAnsi="Times New Roman" w:eastAsia="Calibri" w:cs="Times New Roman"/>
                <w:sz w:val="20"/>
                <w:szCs w:val="20"/>
              </w:rPr>
            </w:pPr>
            <w:r w:rsidRPr="005C7AE5">
              <w:rPr>
                <w:rFonts w:ascii="Times New Roman" w:hAnsi="Times New Roman" w:eastAsia="Calibri" w:cs="Times New Roman"/>
                <w:sz w:val="20"/>
                <w:szCs w:val="20"/>
              </w:rPr>
              <w:t>Difference</w:t>
            </w:r>
          </w:p>
        </w:tc>
      </w:tr>
      <w:tr w:rsidRPr="005920E1" w:rsidR="00D41D94" w:rsidTr="005019D8" w14:paraId="190E3CCF"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5920E1" w:rsidR="00D41D94" w:rsidP="00D41D94" w:rsidRDefault="00D41D94" w14:paraId="5D3CF5CA" w14:textId="77777777">
            <w:pPr>
              <w:rPr>
                <w:rFonts w:ascii="Times New Roman" w:hAnsi="Times New Roman" w:eastAsia="Calibri" w:cs="Times New Roman"/>
                <w:sz w:val="18"/>
                <w:szCs w:val="18"/>
              </w:rPr>
            </w:pPr>
            <w:r w:rsidRPr="000D24A1">
              <w:rPr>
                <w:rFonts w:ascii="Times New Roman" w:hAnsi="Times New Roman" w:eastAsia="Calibri" w:cs="Times New Roman"/>
                <w:sz w:val="18"/>
                <w:szCs w:val="18"/>
              </w:rPr>
              <w:t>Customer Satisfaction Survey</w:t>
            </w:r>
          </w:p>
        </w:tc>
        <w:tc>
          <w:tcPr>
            <w:tcW w:w="124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06AE1FB3" w14:textId="77777777">
            <w:pPr>
              <w:jc w:val="center"/>
              <w:rPr>
                <w:rFonts w:ascii="Times New Roman" w:hAnsi="Times New Roman" w:eastAsia="Calibri" w:cs="Times New Roman"/>
                <w:sz w:val="18"/>
                <w:szCs w:val="18"/>
              </w:rPr>
            </w:pPr>
          </w:p>
        </w:tc>
        <w:tc>
          <w:tcPr>
            <w:tcW w:w="96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6102DD48" w14:textId="77777777">
            <w:pPr>
              <w:jc w:val="center"/>
              <w:rPr>
                <w:rFonts w:ascii="Times New Roman" w:hAnsi="Times New Roman" w:eastAsia="Calibri" w:cs="Times New Roman"/>
                <w:sz w:val="18"/>
                <w:szCs w:val="18"/>
              </w:rPr>
            </w:pPr>
          </w:p>
        </w:tc>
        <w:tc>
          <w:tcPr>
            <w:tcW w:w="126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45F00965" w14:textId="77777777">
            <w:pPr>
              <w:jc w:val="center"/>
              <w:rPr>
                <w:rFonts w:ascii="Times New Roman" w:hAnsi="Times New Roman" w:eastAsia="Calibri" w:cs="Times New Roman"/>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24A5334C" w14:textId="77777777">
            <w:pPr>
              <w:jc w:val="center"/>
              <w:rPr>
                <w:rFonts w:ascii="Times New Roman" w:hAnsi="Times New Roman" w:eastAsia="Calibri" w:cs="Times New Roman"/>
                <w:sz w:val="18"/>
                <w:szCs w:val="18"/>
              </w:rPr>
            </w:pPr>
            <w:r w:rsidRPr="000D24A1">
              <w:rPr>
                <w:rFonts w:ascii="Times New Roman" w:hAnsi="Times New Roman" w:eastAsia="Calibri" w:cs="Times New Roman"/>
                <w:sz w:val="18"/>
                <w:szCs w:val="18"/>
              </w:rPr>
              <w:t>100,620</w:t>
            </w:r>
          </w:p>
        </w:tc>
        <w:tc>
          <w:tcPr>
            <w:tcW w:w="142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70ADA8A6" w14:textId="4A902512">
            <w:pPr>
              <w:jc w:val="center"/>
              <w:rPr>
                <w:rFonts w:ascii="Times New Roman" w:hAnsi="Times New Roman" w:eastAsia="Calibri" w:cs="Times New Roman"/>
                <w:sz w:val="18"/>
                <w:szCs w:val="18"/>
              </w:rPr>
            </w:pPr>
            <w:r>
              <w:rPr>
                <w:rFonts w:ascii="Times New Roman" w:hAnsi="Times New Roman" w:eastAsia="Calibri" w:cs="Times New Roman"/>
                <w:sz w:val="18"/>
                <w:szCs w:val="18"/>
              </w:rPr>
              <w:t>100,020</w:t>
            </w:r>
          </w:p>
        </w:tc>
        <w:tc>
          <w:tcPr>
            <w:tcW w:w="174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512BD16E" w14:textId="1D0A66AE">
            <w:pPr>
              <w:jc w:val="center"/>
              <w:rPr>
                <w:rFonts w:ascii="Times New Roman" w:hAnsi="Times New Roman" w:eastAsia="Calibri" w:cs="Times New Roman"/>
                <w:sz w:val="18"/>
                <w:szCs w:val="18"/>
              </w:rPr>
            </w:pPr>
            <w:r w:rsidRPr="005920E1">
              <w:rPr>
                <w:rFonts w:ascii="Times New Roman" w:hAnsi="Times New Roman" w:eastAsia="Calibri" w:cs="Times New Roman"/>
                <w:sz w:val="18"/>
                <w:szCs w:val="18"/>
              </w:rPr>
              <w:t> </w:t>
            </w:r>
            <w:r w:rsidR="0070326F">
              <w:rPr>
                <w:rFonts w:ascii="Times New Roman" w:hAnsi="Times New Roman" w:eastAsia="Calibri" w:cs="Times New Roman"/>
                <w:sz w:val="18"/>
                <w:szCs w:val="18"/>
              </w:rPr>
              <w:t>-600</w:t>
            </w:r>
          </w:p>
        </w:tc>
      </w:tr>
      <w:tr w:rsidRPr="005920E1" w:rsidR="00D41D94" w:rsidTr="005019D8" w14:paraId="279CEF87"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5920E1" w:rsidR="00D41D94" w:rsidP="00D41D94" w:rsidRDefault="00D41D94" w14:paraId="523F8E7D" w14:textId="77777777">
            <w:pPr>
              <w:rPr>
                <w:rFonts w:ascii="Times New Roman" w:hAnsi="Times New Roman" w:eastAsia="Calibri" w:cs="Times New Roman"/>
                <w:sz w:val="18"/>
                <w:szCs w:val="18"/>
              </w:rPr>
            </w:pPr>
            <w:r w:rsidRPr="000D24A1">
              <w:rPr>
                <w:rFonts w:ascii="Times New Roman" w:hAnsi="Times New Roman" w:eastAsia="Calibri" w:cs="Times New Roman"/>
                <w:sz w:val="18"/>
                <w:szCs w:val="18"/>
              </w:rPr>
              <w:t>Focus Group</w:t>
            </w:r>
          </w:p>
        </w:tc>
        <w:tc>
          <w:tcPr>
            <w:tcW w:w="124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6B4A4193" w14:textId="77777777">
            <w:pPr>
              <w:jc w:val="center"/>
              <w:rPr>
                <w:rFonts w:ascii="Times New Roman" w:hAnsi="Times New Roman" w:eastAsia="Calibri" w:cs="Times New Roman"/>
                <w:sz w:val="18"/>
                <w:szCs w:val="18"/>
              </w:rPr>
            </w:pPr>
          </w:p>
        </w:tc>
        <w:tc>
          <w:tcPr>
            <w:tcW w:w="96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1AC2A163" w14:textId="77777777">
            <w:pPr>
              <w:jc w:val="center"/>
              <w:rPr>
                <w:rFonts w:ascii="Times New Roman" w:hAnsi="Times New Roman" w:eastAsia="Calibri" w:cs="Times New Roman"/>
                <w:sz w:val="18"/>
                <w:szCs w:val="18"/>
              </w:rPr>
            </w:pPr>
          </w:p>
        </w:tc>
        <w:tc>
          <w:tcPr>
            <w:tcW w:w="126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37B6058B" w14:textId="77777777">
            <w:pPr>
              <w:jc w:val="center"/>
              <w:rPr>
                <w:rFonts w:ascii="Times New Roman" w:hAnsi="Times New Roman" w:eastAsia="Calibri" w:cs="Times New Roman"/>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5CFF7046" w14:textId="10B056EA">
            <w:pPr>
              <w:jc w:val="center"/>
              <w:rPr>
                <w:rFonts w:ascii="Times New Roman" w:hAnsi="Times New Roman" w:eastAsia="Calibri" w:cs="Times New Roman"/>
                <w:sz w:val="18"/>
                <w:szCs w:val="18"/>
              </w:rPr>
            </w:pPr>
            <w:r>
              <w:rPr>
                <w:rFonts w:ascii="Times New Roman" w:hAnsi="Times New Roman" w:eastAsia="Calibri" w:cs="Times New Roman"/>
                <w:sz w:val="18"/>
                <w:szCs w:val="18"/>
              </w:rPr>
              <w:t>100,000</w:t>
            </w:r>
          </w:p>
        </w:tc>
        <w:tc>
          <w:tcPr>
            <w:tcW w:w="142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4E8311E8" w14:textId="16EAF1B1">
            <w:pPr>
              <w:jc w:val="center"/>
              <w:rPr>
                <w:rFonts w:ascii="Times New Roman" w:hAnsi="Times New Roman" w:eastAsia="Calibri" w:cs="Times New Roman"/>
                <w:sz w:val="18"/>
                <w:szCs w:val="18"/>
              </w:rPr>
            </w:pPr>
            <w:r>
              <w:rPr>
                <w:rFonts w:ascii="Times New Roman" w:hAnsi="Times New Roman" w:eastAsia="Calibri" w:cs="Times New Roman"/>
                <w:sz w:val="18"/>
                <w:szCs w:val="18"/>
              </w:rPr>
              <w:t>100,000</w:t>
            </w:r>
          </w:p>
        </w:tc>
        <w:tc>
          <w:tcPr>
            <w:tcW w:w="1740" w:type="dxa"/>
            <w:tcBorders>
              <w:top w:val="nil"/>
              <w:left w:val="nil"/>
              <w:bottom w:val="single" w:color="auto" w:sz="8" w:space="0"/>
              <w:right w:val="single" w:color="auto" w:sz="8" w:space="0"/>
            </w:tcBorders>
            <w:shd w:val="clear" w:color="auto" w:fill="auto"/>
            <w:vAlign w:val="bottom"/>
          </w:tcPr>
          <w:p w:rsidRPr="005920E1" w:rsidR="00D41D94" w:rsidP="00D41D94" w:rsidRDefault="0070326F" w14:paraId="1552E160" w14:textId="660D205C">
            <w:pPr>
              <w:jc w:val="center"/>
              <w:rPr>
                <w:rFonts w:ascii="Times New Roman" w:hAnsi="Times New Roman" w:eastAsia="Calibri" w:cs="Times New Roman"/>
                <w:sz w:val="18"/>
                <w:szCs w:val="18"/>
              </w:rPr>
            </w:pPr>
            <w:r>
              <w:rPr>
                <w:rFonts w:ascii="Times New Roman" w:hAnsi="Times New Roman" w:eastAsia="Calibri" w:cs="Times New Roman"/>
                <w:sz w:val="18"/>
                <w:szCs w:val="18"/>
              </w:rPr>
              <w:t>0</w:t>
            </w:r>
          </w:p>
        </w:tc>
      </w:tr>
      <w:tr w:rsidRPr="005920E1" w:rsidR="00D41D94" w:rsidTr="005019D8" w14:paraId="52BB2402"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0D24A1" w:rsidR="00D41D94" w:rsidP="00D41D94" w:rsidRDefault="00D41D94" w14:paraId="4A9DC4BE" w14:textId="77777777">
            <w:pPr>
              <w:rPr>
                <w:rFonts w:ascii="Times New Roman" w:hAnsi="Times New Roman" w:eastAsia="Calibri" w:cs="Times New Roman"/>
                <w:sz w:val="18"/>
                <w:szCs w:val="18"/>
              </w:rPr>
            </w:pPr>
            <w:r w:rsidRPr="000D24A1">
              <w:rPr>
                <w:rFonts w:ascii="Times New Roman" w:hAnsi="Times New Roman" w:eastAsia="Calibri" w:cs="Times New Roman"/>
                <w:sz w:val="18"/>
                <w:szCs w:val="18"/>
              </w:rPr>
              <w:t>Other: Course Evaluation</w:t>
            </w:r>
          </w:p>
        </w:tc>
        <w:tc>
          <w:tcPr>
            <w:tcW w:w="1240" w:type="dxa"/>
            <w:tcBorders>
              <w:top w:val="nil"/>
              <w:left w:val="nil"/>
              <w:bottom w:val="single" w:color="auto" w:sz="8" w:space="0"/>
              <w:right w:val="single" w:color="auto" w:sz="8" w:space="0"/>
            </w:tcBorders>
            <w:shd w:val="clear" w:color="auto" w:fill="auto"/>
            <w:vAlign w:val="bottom"/>
          </w:tcPr>
          <w:p w:rsidRPr="000D24A1" w:rsidR="00D41D94" w:rsidP="00D41D94" w:rsidRDefault="00D41D94" w14:paraId="2191776E" w14:textId="77777777">
            <w:pPr>
              <w:jc w:val="center"/>
              <w:rPr>
                <w:rFonts w:ascii="Times New Roman" w:hAnsi="Times New Roman" w:eastAsia="Calibri" w:cs="Times New Roman"/>
                <w:sz w:val="18"/>
                <w:szCs w:val="18"/>
              </w:rPr>
            </w:pPr>
          </w:p>
        </w:tc>
        <w:tc>
          <w:tcPr>
            <w:tcW w:w="960" w:type="dxa"/>
            <w:tcBorders>
              <w:top w:val="nil"/>
              <w:left w:val="nil"/>
              <w:bottom w:val="single" w:color="auto" w:sz="8" w:space="0"/>
              <w:right w:val="single" w:color="auto" w:sz="8" w:space="0"/>
            </w:tcBorders>
            <w:shd w:val="clear" w:color="auto" w:fill="auto"/>
            <w:vAlign w:val="bottom"/>
          </w:tcPr>
          <w:p w:rsidRPr="000D24A1" w:rsidR="00D41D94" w:rsidP="00D41D94" w:rsidRDefault="00D41D94" w14:paraId="649F7899" w14:textId="77777777">
            <w:pPr>
              <w:jc w:val="center"/>
              <w:rPr>
                <w:rFonts w:ascii="Times New Roman" w:hAnsi="Times New Roman" w:eastAsia="Calibri" w:cs="Times New Roman"/>
                <w:sz w:val="18"/>
                <w:szCs w:val="18"/>
              </w:rPr>
            </w:pPr>
          </w:p>
        </w:tc>
        <w:tc>
          <w:tcPr>
            <w:tcW w:w="1260" w:type="dxa"/>
            <w:tcBorders>
              <w:top w:val="nil"/>
              <w:left w:val="nil"/>
              <w:bottom w:val="single" w:color="auto" w:sz="8" w:space="0"/>
              <w:right w:val="single" w:color="auto" w:sz="8" w:space="0"/>
            </w:tcBorders>
            <w:shd w:val="clear" w:color="auto" w:fill="auto"/>
            <w:vAlign w:val="bottom"/>
          </w:tcPr>
          <w:p w:rsidRPr="000D24A1" w:rsidR="00D41D94" w:rsidP="00D41D94" w:rsidRDefault="00D41D94" w14:paraId="54E263EA" w14:textId="77777777">
            <w:pPr>
              <w:jc w:val="center"/>
              <w:rPr>
                <w:rFonts w:ascii="Times New Roman" w:hAnsi="Times New Roman" w:eastAsia="Calibri" w:cs="Times New Roman"/>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0D24A1" w:rsidR="00D41D94" w:rsidP="00D41D94" w:rsidRDefault="00D41D94" w14:paraId="0C1FFC26" w14:textId="77777777">
            <w:pPr>
              <w:jc w:val="center"/>
              <w:rPr>
                <w:rFonts w:ascii="Times New Roman" w:hAnsi="Times New Roman" w:eastAsia="Calibri" w:cs="Times New Roman"/>
                <w:sz w:val="18"/>
                <w:szCs w:val="18"/>
              </w:rPr>
            </w:pPr>
            <w:r w:rsidRPr="000D24A1">
              <w:rPr>
                <w:rFonts w:ascii="Times New Roman" w:hAnsi="Times New Roman" w:eastAsia="Calibri" w:cs="Times New Roman"/>
                <w:sz w:val="18"/>
                <w:szCs w:val="18"/>
              </w:rPr>
              <w:t>66,800</w:t>
            </w:r>
          </w:p>
        </w:tc>
        <w:tc>
          <w:tcPr>
            <w:tcW w:w="1420" w:type="dxa"/>
            <w:tcBorders>
              <w:top w:val="nil"/>
              <w:left w:val="nil"/>
              <w:bottom w:val="single" w:color="auto" w:sz="8" w:space="0"/>
              <w:right w:val="single" w:color="auto" w:sz="8" w:space="0"/>
            </w:tcBorders>
            <w:shd w:val="clear" w:color="auto" w:fill="auto"/>
            <w:vAlign w:val="bottom"/>
          </w:tcPr>
          <w:p w:rsidRPr="000D24A1" w:rsidR="00D41D94" w:rsidP="00D41D94" w:rsidRDefault="00D41D94" w14:paraId="4219061C" w14:textId="4E46D816">
            <w:pPr>
              <w:jc w:val="center"/>
              <w:rPr>
                <w:rFonts w:ascii="Times New Roman" w:hAnsi="Times New Roman" w:eastAsia="Calibri" w:cs="Times New Roman"/>
                <w:sz w:val="18"/>
                <w:szCs w:val="18"/>
              </w:rPr>
            </w:pPr>
            <w:r>
              <w:rPr>
                <w:rFonts w:ascii="Times New Roman" w:hAnsi="Times New Roman" w:eastAsia="Calibri" w:cs="Times New Roman"/>
                <w:sz w:val="18"/>
                <w:szCs w:val="18"/>
              </w:rPr>
              <w:t>66,680</w:t>
            </w:r>
          </w:p>
        </w:tc>
        <w:tc>
          <w:tcPr>
            <w:tcW w:w="1740" w:type="dxa"/>
            <w:tcBorders>
              <w:top w:val="nil"/>
              <w:left w:val="nil"/>
              <w:bottom w:val="single" w:color="auto" w:sz="8" w:space="0"/>
              <w:right w:val="single" w:color="auto" w:sz="8" w:space="0"/>
            </w:tcBorders>
            <w:shd w:val="clear" w:color="auto" w:fill="auto"/>
            <w:vAlign w:val="bottom"/>
          </w:tcPr>
          <w:p w:rsidRPr="000D24A1" w:rsidR="00D41D94" w:rsidP="00D41D94" w:rsidRDefault="0070326F" w14:paraId="550C44E0" w14:textId="3311EC37">
            <w:pPr>
              <w:jc w:val="center"/>
              <w:rPr>
                <w:rFonts w:ascii="Times New Roman" w:hAnsi="Times New Roman" w:eastAsia="Calibri" w:cs="Times New Roman"/>
                <w:sz w:val="18"/>
                <w:szCs w:val="18"/>
              </w:rPr>
            </w:pPr>
            <w:r>
              <w:rPr>
                <w:rFonts w:ascii="Times New Roman" w:hAnsi="Times New Roman" w:eastAsia="Calibri" w:cs="Times New Roman"/>
                <w:sz w:val="18"/>
                <w:szCs w:val="18"/>
              </w:rPr>
              <w:t>-120</w:t>
            </w:r>
          </w:p>
        </w:tc>
      </w:tr>
      <w:tr w:rsidRPr="005920E1" w:rsidR="00D41D94" w:rsidTr="00711A6D" w14:paraId="3ACE83FB" w14:textId="77777777">
        <w:trPr>
          <w:trHeight w:val="268"/>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0D24A1" w:rsidR="00D41D94" w:rsidP="00D41D94" w:rsidRDefault="00D41D94" w14:paraId="70614A5F" w14:textId="77777777">
            <w:pPr>
              <w:rPr>
                <w:rFonts w:ascii="Times New Roman" w:hAnsi="Times New Roman" w:eastAsia="Calibri" w:cs="Times New Roman"/>
                <w:sz w:val="18"/>
                <w:szCs w:val="18"/>
              </w:rPr>
            </w:pPr>
            <w:r w:rsidRPr="000D24A1">
              <w:rPr>
                <w:rFonts w:ascii="Times New Roman" w:hAnsi="Times New Roman" w:eastAsia="Calibri" w:cs="Times New Roman"/>
                <w:sz w:val="18"/>
                <w:szCs w:val="18"/>
              </w:rPr>
              <w:t>Customer Comment Card</w:t>
            </w:r>
          </w:p>
        </w:tc>
        <w:tc>
          <w:tcPr>
            <w:tcW w:w="1240" w:type="dxa"/>
            <w:tcBorders>
              <w:top w:val="nil"/>
              <w:left w:val="nil"/>
              <w:bottom w:val="single" w:color="auto" w:sz="8" w:space="0"/>
              <w:right w:val="single" w:color="auto" w:sz="8" w:space="0"/>
            </w:tcBorders>
            <w:shd w:val="clear" w:color="auto" w:fill="auto"/>
            <w:vAlign w:val="bottom"/>
          </w:tcPr>
          <w:p w:rsidRPr="000D24A1" w:rsidR="00D41D94" w:rsidP="00D41D94" w:rsidRDefault="00D41D94" w14:paraId="5F6F230F" w14:textId="77777777">
            <w:pPr>
              <w:jc w:val="center"/>
              <w:rPr>
                <w:rFonts w:ascii="Times New Roman" w:hAnsi="Times New Roman" w:eastAsia="Calibri" w:cs="Times New Roman"/>
                <w:sz w:val="18"/>
                <w:szCs w:val="18"/>
              </w:rPr>
            </w:pPr>
          </w:p>
        </w:tc>
        <w:tc>
          <w:tcPr>
            <w:tcW w:w="960" w:type="dxa"/>
            <w:tcBorders>
              <w:top w:val="nil"/>
              <w:left w:val="nil"/>
              <w:bottom w:val="single" w:color="auto" w:sz="8" w:space="0"/>
              <w:right w:val="single" w:color="auto" w:sz="8" w:space="0"/>
            </w:tcBorders>
            <w:shd w:val="clear" w:color="auto" w:fill="auto"/>
            <w:vAlign w:val="bottom"/>
          </w:tcPr>
          <w:p w:rsidRPr="000D24A1" w:rsidR="00D41D94" w:rsidP="00D41D94" w:rsidRDefault="00D41D94" w14:paraId="45A0DCBA" w14:textId="77777777">
            <w:pPr>
              <w:jc w:val="center"/>
              <w:rPr>
                <w:rFonts w:ascii="Times New Roman" w:hAnsi="Times New Roman" w:eastAsia="Calibri" w:cs="Times New Roman"/>
                <w:sz w:val="18"/>
                <w:szCs w:val="18"/>
              </w:rPr>
            </w:pPr>
          </w:p>
        </w:tc>
        <w:tc>
          <w:tcPr>
            <w:tcW w:w="1260" w:type="dxa"/>
            <w:tcBorders>
              <w:top w:val="nil"/>
              <w:left w:val="nil"/>
              <w:bottom w:val="single" w:color="auto" w:sz="8" w:space="0"/>
              <w:right w:val="single" w:color="auto" w:sz="8" w:space="0"/>
            </w:tcBorders>
            <w:shd w:val="clear" w:color="auto" w:fill="auto"/>
            <w:vAlign w:val="bottom"/>
          </w:tcPr>
          <w:p w:rsidRPr="000D24A1" w:rsidR="00D41D94" w:rsidP="00D41D94" w:rsidRDefault="00D41D94" w14:paraId="4740A316" w14:textId="77777777">
            <w:pPr>
              <w:jc w:val="center"/>
              <w:rPr>
                <w:rFonts w:ascii="Times New Roman" w:hAnsi="Times New Roman" w:eastAsia="Calibri" w:cs="Times New Roman"/>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0D24A1" w:rsidR="00D41D94" w:rsidP="00D41D94" w:rsidRDefault="00D41D94" w14:paraId="15BD62D4" w14:textId="77777777">
            <w:pPr>
              <w:jc w:val="center"/>
              <w:rPr>
                <w:rFonts w:ascii="Times New Roman" w:hAnsi="Times New Roman" w:eastAsia="Calibri" w:cs="Times New Roman"/>
                <w:sz w:val="18"/>
                <w:szCs w:val="18"/>
              </w:rPr>
            </w:pPr>
            <w:r w:rsidRPr="000D24A1">
              <w:rPr>
                <w:rFonts w:ascii="Times New Roman" w:hAnsi="Times New Roman" w:eastAsia="Calibri" w:cs="Times New Roman"/>
                <w:sz w:val="18"/>
                <w:szCs w:val="18"/>
              </w:rPr>
              <w:t>2,075</w:t>
            </w:r>
          </w:p>
        </w:tc>
        <w:tc>
          <w:tcPr>
            <w:tcW w:w="1420" w:type="dxa"/>
            <w:tcBorders>
              <w:top w:val="nil"/>
              <w:left w:val="nil"/>
              <w:bottom w:val="single" w:color="auto" w:sz="8" w:space="0"/>
              <w:right w:val="single" w:color="auto" w:sz="8" w:space="0"/>
            </w:tcBorders>
            <w:shd w:val="clear" w:color="auto" w:fill="auto"/>
            <w:vAlign w:val="bottom"/>
          </w:tcPr>
          <w:p w:rsidRPr="000D24A1" w:rsidR="00D41D94" w:rsidP="00D41D94" w:rsidRDefault="00D41D94" w14:paraId="1D851EB5" w14:textId="0EDC9418">
            <w:pPr>
              <w:jc w:val="center"/>
              <w:rPr>
                <w:rFonts w:ascii="Times New Roman" w:hAnsi="Times New Roman" w:eastAsia="Calibri" w:cs="Times New Roman"/>
                <w:sz w:val="18"/>
                <w:szCs w:val="18"/>
              </w:rPr>
            </w:pPr>
            <w:r>
              <w:rPr>
                <w:rFonts w:ascii="Times New Roman" w:hAnsi="Times New Roman" w:eastAsia="Calibri" w:cs="Times New Roman"/>
                <w:sz w:val="18"/>
                <w:szCs w:val="18"/>
              </w:rPr>
              <w:t>2,083</w:t>
            </w:r>
          </w:p>
        </w:tc>
        <w:tc>
          <w:tcPr>
            <w:tcW w:w="1740" w:type="dxa"/>
            <w:tcBorders>
              <w:top w:val="nil"/>
              <w:left w:val="nil"/>
              <w:bottom w:val="single" w:color="auto" w:sz="8" w:space="0"/>
              <w:right w:val="single" w:color="auto" w:sz="8" w:space="0"/>
            </w:tcBorders>
            <w:shd w:val="clear" w:color="auto" w:fill="auto"/>
            <w:vAlign w:val="bottom"/>
          </w:tcPr>
          <w:p w:rsidRPr="000D24A1" w:rsidR="00D41D94" w:rsidP="00D41D94" w:rsidRDefault="0070326F" w14:paraId="16F7C85E" w14:textId="519FCD00">
            <w:pPr>
              <w:jc w:val="center"/>
              <w:rPr>
                <w:rFonts w:ascii="Times New Roman" w:hAnsi="Times New Roman" w:eastAsia="Calibri" w:cs="Times New Roman"/>
                <w:sz w:val="18"/>
                <w:szCs w:val="18"/>
              </w:rPr>
            </w:pPr>
            <w:r>
              <w:rPr>
                <w:rFonts w:ascii="Times New Roman" w:hAnsi="Times New Roman" w:eastAsia="Calibri" w:cs="Times New Roman"/>
                <w:sz w:val="18"/>
                <w:szCs w:val="18"/>
              </w:rPr>
              <w:t>+8</w:t>
            </w:r>
          </w:p>
        </w:tc>
      </w:tr>
      <w:tr w:rsidRPr="005920E1" w:rsidR="00D41D94" w:rsidTr="005019D8" w14:paraId="4B472698"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5920E1" w:rsidR="00D41D94" w:rsidP="00D41D94" w:rsidRDefault="00D41D94" w14:paraId="1FAA191D" w14:textId="77777777">
            <w:pPr>
              <w:jc w:val="center"/>
              <w:rPr>
                <w:rFonts w:ascii="Times New Roman" w:hAnsi="Times New Roman" w:eastAsia="Calibri" w:cs="Times New Roman"/>
                <w:b/>
                <w:bCs/>
                <w:sz w:val="18"/>
                <w:szCs w:val="18"/>
              </w:rPr>
            </w:pPr>
            <w:r w:rsidRPr="005920E1">
              <w:rPr>
                <w:rFonts w:ascii="Times New Roman" w:hAnsi="Times New Roman" w:eastAsia="Calibri" w:cs="Times New Roman"/>
                <w:b/>
                <w:bCs/>
                <w:sz w:val="18"/>
                <w:szCs w:val="18"/>
              </w:rPr>
              <w:t>Total(s)</w:t>
            </w:r>
          </w:p>
        </w:tc>
        <w:tc>
          <w:tcPr>
            <w:tcW w:w="124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5B923AB6" w14:textId="77777777">
            <w:pPr>
              <w:jc w:val="center"/>
              <w:rPr>
                <w:rFonts w:ascii="Times New Roman" w:hAnsi="Times New Roman" w:eastAsia="Calibri" w:cs="Times New Roman"/>
                <w:b/>
                <w:bCs/>
                <w:sz w:val="18"/>
                <w:szCs w:val="18"/>
              </w:rPr>
            </w:pPr>
          </w:p>
        </w:tc>
        <w:tc>
          <w:tcPr>
            <w:tcW w:w="96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13E33568" w14:textId="77777777">
            <w:pPr>
              <w:jc w:val="center"/>
              <w:rPr>
                <w:rFonts w:ascii="Times New Roman" w:hAnsi="Times New Roman" w:eastAsia="Calibri" w:cs="Times New Roman"/>
                <w:b/>
                <w:bCs/>
                <w:sz w:val="18"/>
                <w:szCs w:val="18"/>
              </w:rPr>
            </w:pPr>
          </w:p>
        </w:tc>
        <w:tc>
          <w:tcPr>
            <w:tcW w:w="126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0E848FBB" w14:textId="77777777">
            <w:pPr>
              <w:jc w:val="center"/>
              <w:rPr>
                <w:rFonts w:ascii="Times New Roman" w:hAnsi="Times New Roman" w:eastAsia="Calibri" w:cs="Times New Roman"/>
                <w:b/>
                <w:bCs/>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0E8AAE36" w14:textId="7A885CBA">
            <w:pPr>
              <w:jc w:val="center"/>
              <w:rPr>
                <w:rFonts w:ascii="Times New Roman" w:hAnsi="Times New Roman" w:eastAsia="Calibri" w:cs="Times New Roman"/>
                <w:b/>
                <w:bCs/>
                <w:sz w:val="18"/>
                <w:szCs w:val="18"/>
              </w:rPr>
            </w:pPr>
            <w:r>
              <w:rPr>
                <w:rFonts w:ascii="Times New Roman" w:hAnsi="Times New Roman" w:eastAsia="Calibri" w:cs="Times New Roman"/>
                <w:b/>
                <w:bCs/>
                <w:sz w:val="18"/>
                <w:szCs w:val="18"/>
              </w:rPr>
              <w:t>269,495</w:t>
            </w:r>
          </w:p>
        </w:tc>
        <w:tc>
          <w:tcPr>
            <w:tcW w:w="1420" w:type="dxa"/>
            <w:tcBorders>
              <w:top w:val="nil"/>
              <w:left w:val="nil"/>
              <w:bottom w:val="single" w:color="auto" w:sz="8" w:space="0"/>
              <w:right w:val="single" w:color="auto" w:sz="8" w:space="0"/>
            </w:tcBorders>
            <w:shd w:val="clear" w:color="auto" w:fill="auto"/>
            <w:vAlign w:val="bottom"/>
          </w:tcPr>
          <w:p w:rsidRPr="005920E1" w:rsidR="00D41D94" w:rsidP="00D41D94" w:rsidRDefault="00D41D94" w14:paraId="794A06B6" w14:textId="6EC04DDF">
            <w:pPr>
              <w:jc w:val="center"/>
              <w:rPr>
                <w:rFonts w:ascii="Times New Roman" w:hAnsi="Times New Roman" w:eastAsia="Calibri" w:cs="Times New Roman"/>
                <w:b/>
                <w:bCs/>
                <w:sz w:val="18"/>
                <w:szCs w:val="18"/>
              </w:rPr>
            </w:pPr>
            <w:r>
              <w:rPr>
                <w:rFonts w:ascii="Times New Roman" w:hAnsi="Times New Roman" w:eastAsia="Calibri" w:cs="Times New Roman"/>
                <w:b/>
                <w:bCs/>
                <w:sz w:val="18"/>
                <w:szCs w:val="18"/>
              </w:rPr>
              <w:t>268,783</w:t>
            </w:r>
          </w:p>
        </w:tc>
        <w:tc>
          <w:tcPr>
            <w:tcW w:w="1740" w:type="dxa"/>
            <w:tcBorders>
              <w:top w:val="nil"/>
              <w:left w:val="nil"/>
              <w:bottom w:val="single" w:color="auto" w:sz="8" w:space="0"/>
              <w:right w:val="single" w:color="auto" w:sz="8" w:space="0"/>
            </w:tcBorders>
            <w:shd w:val="clear" w:color="auto" w:fill="auto"/>
            <w:vAlign w:val="bottom"/>
          </w:tcPr>
          <w:p w:rsidRPr="005920E1" w:rsidR="00D41D94" w:rsidP="00D41D94" w:rsidRDefault="0070326F" w14:paraId="27F05DB1" w14:textId="4A22EC4E">
            <w:pPr>
              <w:jc w:val="center"/>
              <w:rPr>
                <w:rFonts w:ascii="Times New Roman" w:hAnsi="Times New Roman" w:eastAsia="Calibri" w:cs="Times New Roman"/>
                <w:b/>
                <w:bCs/>
                <w:sz w:val="18"/>
                <w:szCs w:val="18"/>
              </w:rPr>
            </w:pPr>
            <w:r>
              <w:rPr>
                <w:rFonts w:ascii="Times New Roman" w:hAnsi="Times New Roman" w:eastAsia="Calibri" w:cs="Times New Roman"/>
                <w:b/>
                <w:bCs/>
                <w:sz w:val="18"/>
                <w:szCs w:val="18"/>
              </w:rPr>
              <w:t>-712</w:t>
            </w:r>
          </w:p>
        </w:tc>
      </w:tr>
    </w:tbl>
    <w:p w:rsidR="00A00EDE" w:rsidP="00A00EDE" w:rsidRDefault="00A00EDE" w14:paraId="03A06027" w14:textId="77777777">
      <w:pPr>
        <w:spacing w:after="0" w:line="240" w:lineRule="auto"/>
        <w:rPr>
          <w:rFonts w:ascii="Times New Roman" w:hAnsi="Times New Roman" w:cs="Times New Roman"/>
          <w:b/>
          <w:bCs/>
          <w:i/>
          <w:sz w:val="24"/>
          <w:szCs w:val="24"/>
        </w:rPr>
      </w:pPr>
    </w:p>
    <w:p w:rsidR="00A00EDE" w:rsidP="00A00EDE" w:rsidRDefault="00562915" w14:paraId="3A955DDC" w14:textId="6E56C0F8">
      <w:pPr>
        <w:spacing w:after="0" w:line="240" w:lineRule="auto"/>
        <w:rPr>
          <w:rFonts w:ascii="Times New Roman" w:hAnsi="Times New Roman" w:eastAsia="Times New Roman" w:cs="Times New Roman"/>
          <w:bCs/>
          <w:sz w:val="24"/>
          <w:szCs w:val="24"/>
        </w:rPr>
      </w:pPr>
      <w:r w:rsidRPr="00A00EDE">
        <w:rPr>
          <w:rFonts w:ascii="Times New Roman" w:hAnsi="Times New Roman" w:cs="Times New Roman"/>
          <w:b/>
          <w:bCs/>
          <w:i/>
          <w:sz w:val="24"/>
          <w:szCs w:val="24"/>
        </w:rPr>
        <w:t>Explain:</w:t>
      </w:r>
      <w:r w:rsidRPr="00DE5868" w:rsidR="00DE5868">
        <w:rPr>
          <w:rFonts w:ascii="Times New Roman" w:hAnsi="Times New Roman" w:eastAsia="Times New Roman" w:cs="Times New Roman"/>
          <w:bCs/>
          <w:sz w:val="24"/>
          <w:szCs w:val="24"/>
        </w:rPr>
        <w:t xml:space="preserve"> </w:t>
      </w:r>
      <w:r w:rsidR="00B55F51">
        <w:rPr>
          <w:rFonts w:ascii="Times New Roman" w:hAnsi="Times New Roman" w:eastAsia="Times New Roman" w:cs="Times New Roman"/>
          <w:bCs/>
          <w:sz w:val="24"/>
          <w:szCs w:val="24"/>
        </w:rPr>
        <w:t xml:space="preserve"> </w:t>
      </w:r>
    </w:p>
    <w:p w:rsidR="00A00EDE" w:rsidP="00A00EDE" w:rsidRDefault="00A00EDE" w14:paraId="0F3E826A" w14:textId="77777777">
      <w:pPr>
        <w:spacing w:after="0" w:line="240" w:lineRule="auto"/>
        <w:rPr>
          <w:rFonts w:ascii="Times New Roman" w:hAnsi="Times New Roman" w:eastAsia="Times New Roman" w:cs="Times New Roman"/>
          <w:bCs/>
          <w:sz w:val="24"/>
          <w:szCs w:val="24"/>
        </w:rPr>
      </w:pPr>
    </w:p>
    <w:p w:rsidR="007275F9" w:rsidP="009C6E3E" w:rsidRDefault="00952DD8" w14:paraId="2C099DF2" w14:textId="6A964C98">
      <w:pPr>
        <w:rPr>
          <w:rFonts w:ascii="Times New Roman" w:hAnsi="Times New Roman" w:eastAsia="Times New Roman" w:cs="Times New Roman"/>
          <w:bCs/>
          <w:sz w:val="24"/>
          <w:szCs w:val="24"/>
        </w:rPr>
      </w:pPr>
      <w:r w:rsidRPr="00A00EDE">
        <w:rPr>
          <w:rFonts w:ascii="Times New Roman" w:hAnsi="Times New Roman" w:eastAsia="Times New Roman" w:cs="Times New Roman"/>
          <w:bCs/>
          <w:sz w:val="24"/>
          <w:szCs w:val="24"/>
        </w:rPr>
        <w:t xml:space="preserve">There </w:t>
      </w:r>
      <w:r>
        <w:rPr>
          <w:rFonts w:ascii="Times New Roman" w:hAnsi="Times New Roman" w:eastAsia="Times New Roman" w:cs="Times New Roman"/>
          <w:bCs/>
          <w:sz w:val="24"/>
          <w:szCs w:val="24"/>
        </w:rPr>
        <w:t xml:space="preserve">is an adjustment to the itemized annual burden hours estimate due to correcting the conversion rate </w:t>
      </w:r>
      <w:r w:rsidR="000775E6">
        <w:rPr>
          <w:rFonts w:ascii="Times New Roman" w:hAnsi="Times New Roman" w:eastAsia="Times New Roman" w:cs="Times New Roman"/>
          <w:bCs/>
          <w:sz w:val="24"/>
          <w:szCs w:val="24"/>
        </w:rPr>
        <w:t>of</w:t>
      </w:r>
      <w:r>
        <w:rPr>
          <w:rFonts w:ascii="Times New Roman" w:hAnsi="Times New Roman" w:eastAsia="Times New Roman" w:cs="Times New Roman"/>
          <w:bCs/>
          <w:sz w:val="24"/>
          <w:szCs w:val="24"/>
        </w:rPr>
        <w:t xml:space="preserve"> minutes to hours resulting in a reduction in burden hours from 269,495 to 268,783 hours (a reduction of 712 hours).</w:t>
      </w:r>
    </w:p>
    <w:p w:rsidR="007275F9" w:rsidRDefault="007275F9" w14:paraId="23054CCB" w14:textId="77777777">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br w:type="page"/>
      </w:r>
    </w:p>
    <w:p w:rsidR="009C6E3E" w:rsidP="009C6E3E" w:rsidRDefault="009C6E3E" w14:paraId="067FA980" w14:textId="77777777">
      <w:pPr>
        <w:rPr>
          <w:bCs/>
          <w:sz w:val="24"/>
          <w:szCs w:val="24"/>
        </w:rPr>
      </w:pPr>
    </w:p>
    <w:tbl>
      <w:tblPr>
        <w:tblStyle w:val="TableGrid"/>
        <w:tblW w:w="10309" w:type="dxa"/>
        <w:jc w:val="center"/>
        <w:tblLook w:val="04A0" w:firstRow="1" w:lastRow="0" w:firstColumn="1" w:lastColumn="0" w:noHBand="0" w:noVBand="1"/>
      </w:tblPr>
      <w:tblGrid>
        <w:gridCol w:w="1952"/>
        <w:gridCol w:w="1738"/>
        <w:gridCol w:w="1156"/>
        <w:gridCol w:w="1236"/>
        <w:gridCol w:w="1748"/>
        <w:gridCol w:w="1243"/>
        <w:gridCol w:w="1236"/>
      </w:tblGrid>
      <w:tr w:rsidRPr="006F7894" w:rsidR="005C2106" w:rsidTr="00B102A4" w14:paraId="51018534" w14:textId="77777777">
        <w:trPr>
          <w:jc w:val="center"/>
        </w:trPr>
        <w:tc>
          <w:tcPr>
            <w:tcW w:w="10309" w:type="dxa"/>
            <w:gridSpan w:val="7"/>
          </w:tcPr>
          <w:p w:rsidRPr="006F7894" w:rsidR="005C2106" w:rsidRDefault="00952DD8" w14:paraId="5822FAEF" w14:textId="0540DF3D">
            <w:pPr>
              <w:jc w:val="center"/>
              <w:rPr>
                <w:b/>
              </w:rPr>
            </w:pPr>
            <w:r>
              <w:rPr>
                <w:b/>
                <w:bCs/>
                <w:i/>
                <w:sz w:val="24"/>
                <w:szCs w:val="24"/>
              </w:rPr>
              <w:t xml:space="preserve"> </w:t>
            </w:r>
            <w:r w:rsidRPr="006F7894" w:rsidR="005C2106">
              <w:rPr>
                <w:b/>
              </w:rPr>
              <w:t>Itemized Changes in Annual Cost Burden</w:t>
            </w:r>
          </w:p>
        </w:tc>
      </w:tr>
      <w:tr w:rsidRPr="006F7894" w:rsidR="005C2106" w:rsidTr="00B102A4" w14:paraId="74E39F07" w14:textId="77777777">
        <w:trPr>
          <w:jc w:val="center"/>
        </w:trPr>
        <w:tc>
          <w:tcPr>
            <w:tcW w:w="1952" w:type="dxa"/>
            <w:shd w:val="clear" w:color="auto" w:fill="95B3D7" w:themeFill="accent1" w:themeFillTint="99"/>
            <w:vAlign w:val="center"/>
          </w:tcPr>
          <w:p w:rsidRPr="006F7894" w:rsidR="005C2106" w:rsidP="00B102A4" w:rsidRDefault="005C2106" w14:paraId="426008B0" w14:textId="77777777">
            <w:pPr>
              <w:jc w:val="center"/>
            </w:pPr>
            <w:r w:rsidRPr="006F7894">
              <w:t>Data Collection Activity/Instrument</w:t>
            </w:r>
          </w:p>
        </w:tc>
        <w:tc>
          <w:tcPr>
            <w:tcW w:w="1738" w:type="dxa"/>
            <w:shd w:val="clear" w:color="auto" w:fill="95B3D7" w:themeFill="accent1" w:themeFillTint="99"/>
            <w:vAlign w:val="center"/>
          </w:tcPr>
          <w:p w:rsidRPr="006F7894" w:rsidR="005C2106" w:rsidP="00B102A4" w:rsidRDefault="005C2106" w14:paraId="793A17E2" w14:textId="77777777">
            <w:pPr>
              <w:jc w:val="center"/>
            </w:pPr>
            <w:r w:rsidRPr="006F7894">
              <w:t>Program Change (cost currently on OMB inventory)</w:t>
            </w:r>
          </w:p>
        </w:tc>
        <w:tc>
          <w:tcPr>
            <w:tcW w:w="1156" w:type="dxa"/>
            <w:shd w:val="clear" w:color="auto" w:fill="95B3D7" w:themeFill="accent1" w:themeFillTint="99"/>
            <w:vAlign w:val="center"/>
          </w:tcPr>
          <w:p w:rsidRPr="006F7894" w:rsidR="005C2106" w:rsidP="00B102A4" w:rsidRDefault="005C2106" w14:paraId="44B33209" w14:textId="77777777">
            <w:pPr>
              <w:jc w:val="center"/>
            </w:pPr>
            <w:r w:rsidRPr="006F7894">
              <w:t>Program Change (new)</w:t>
            </w:r>
          </w:p>
        </w:tc>
        <w:tc>
          <w:tcPr>
            <w:tcW w:w="1236" w:type="dxa"/>
            <w:shd w:val="clear" w:color="auto" w:fill="95B3D7" w:themeFill="accent1" w:themeFillTint="99"/>
            <w:vAlign w:val="center"/>
          </w:tcPr>
          <w:p w:rsidRPr="006F7894" w:rsidR="005C2106" w:rsidP="00B102A4" w:rsidRDefault="005C2106" w14:paraId="299363B4" w14:textId="77777777">
            <w:pPr>
              <w:jc w:val="center"/>
            </w:pPr>
            <w:r w:rsidRPr="006F7894">
              <w:t>Difference</w:t>
            </w:r>
          </w:p>
        </w:tc>
        <w:tc>
          <w:tcPr>
            <w:tcW w:w="1748" w:type="dxa"/>
            <w:shd w:val="clear" w:color="auto" w:fill="95B3D7" w:themeFill="accent1" w:themeFillTint="99"/>
            <w:vAlign w:val="center"/>
          </w:tcPr>
          <w:p w:rsidRPr="006F7894" w:rsidR="005C2106" w:rsidP="00B102A4" w:rsidRDefault="005C2106" w14:paraId="1664C177" w14:textId="77777777">
            <w:pPr>
              <w:jc w:val="center"/>
            </w:pPr>
            <w:r w:rsidRPr="006F7894">
              <w:t>Adjustment (cost currently on OMB inventory)</w:t>
            </w:r>
          </w:p>
        </w:tc>
        <w:tc>
          <w:tcPr>
            <w:tcW w:w="1243" w:type="dxa"/>
            <w:shd w:val="clear" w:color="auto" w:fill="95B3D7" w:themeFill="accent1" w:themeFillTint="99"/>
            <w:vAlign w:val="center"/>
          </w:tcPr>
          <w:p w:rsidRPr="006F7894" w:rsidR="005C2106" w:rsidP="00B102A4" w:rsidRDefault="005C2106" w14:paraId="325EBA3D" w14:textId="77777777">
            <w:pPr>
              <w:jc w:val="center"/>
            </w:pPr>
            <w:r w:rsidRPr="006F7894">
              <w:t>Adjustment (new)</w:t>
            </w:r>
          </w:p>
        </w:tc>
        <w:tc>
          <w:tcPr>
            <w:tcW w:w="1236" w:type="dxa"/>
            <w:shd w:val="clear" w:color="auto" w:fill="95B3D7" w:themeFill="accent1" w:themeFillTint="99"/>
            <w:vAlign w:val="center"/>
          </w:tcPr>
          <w:p w:rsidRPr="006F7894" w:rsidR="005C2106" w:rsidP="00B102A4" w:rsidRDefault="005C2106" w14:paraId="771B7EFD" w14:textId="77777777">
            <w:pPr>
              <w:jc w:val="center"/>
            </w:pPr>
            <w:r w:rsidRPr="006F7894">
              <w:t>Difference</w:t>
            </w:r>
          </w:p>
        </w:tc>
      </w:tr>
      <w:tr w:rsidRPr="006F7894" w:rsidR="007275F9" w:rsidTr="00711A6D" w14:paraId="184AD6E6" w14:textId="77777777">
        <w:trPr>
          <w:trHeight w:val="575"/>
          <w:jc w:val="center"/>
        </w:trPr>
        <w:tc>
          <w:tcPr>
            <w:tcW w:w="1952" w:type="dxa"/>
            <w:tcBorders>
              <w:top w:val="nil"/>
              <w:left w:val="single" w:color="auto" w:sz="8" w:space="0"/>
              <w:bottom w:val="single" w:color="auto" w:sz="8" w:space="0"/>
              <w:right w:val="single" w:color="auto" w:sz="8" w:space="0"/>
            </w:tcBorders>
            <w:shd w:val="clear" w:color="auto" w:fill="auto"/>
            <w:vAlign w:val="center"/>
          </w:tcPr>
          <w:p w:rsidRPr="00711A6D" w:rsidR="007275F9" w:rsidP="007275F9" w:rsidRDefault="007275F9" w14:paraId="5B58B7C4" w14:textId="25324BCE">
            <w:pPr>
              <w:rPr>
                <w:sz w:val="18"/>
                <w:szCs w:val="18"/>
              </w:rPr>
            </w:pPr>
            <w:r w:rsidRPr="00711A6D">
              <w:rPr>
                <w:rFonts w:eastAsia="Calibri"/>
                <w:sz w:val="18"/>
                <w:szCs w:val="18"/>
              </w:rPr>
              <w:t>Customer Satisfaction Survey</w:t>
            </w:r>
          </w:p>
        </w:tc>
        <w:tc>
          <w:tcPr>
            <w:tcW w:w="1738" w:type="dxa"/>
            <w:vAlign w:val="center"/>
          </w:tcPr>
          <w:p w:rsidRPr="00711A6D" w:rsidR="007275F9" w:rsidP="007275F9" w:rsidRDefault="007275F9" w14:paraId="758ECD84" w14:textId="00F6D4DF">
            <w:pPr>
              <w:jc w:val="center"/>
              <w:rPr>
                <w:sz w:val="18"/>
                <w:szCs w:val="18"/>
              </w:rPr>
            </w:pPr>
          </w:p>
        </w:tc>
        <w:tc>
          <w:tcPr>
            <w:tcW w:w="1156" w:type="dxa"/>
            <w:vAlign w:val="center"/>
          </w:tcPr>
          <w:p w:rsidRPr="00711A6D" w:rsidR="007275F9" w:rsidP="007275F9" w:rsidRDefault="007275F9" w14:paraId="026F2FB4" w14:textId="0CDFCE37">
            <w:pPr>
              <w:jc w:val="center"/>
              <w:rPr>
                <w:sz w:val="18"/>
                <w:szCs w:val="18"/>
              </w:rPr>
            </w:pPr>
          </w:p>
        </w:tc>
        <w:tc>
          <w:tcPr>
            <w:tcW w:w="1236" w:type="dxa"/>
            <w:vAlign w:val="center"/>
          </w:tcPr>
          <w:p w:rsidRPr="00711A6D" w:rsidR="007275F9" w:rsidP="007275F9" w:rsidRDefault="007275F9" w14:paraId="7E85AB7B" w14:textId="2F87EEC5">
            <w:pPr>
              <w:jc w:val="center"/>
              <w:rPr>
                <w:sz w:val="18"/>
                <w:szCs w:val="18"/>
              </w:rPr>
            </w:pPr>
          </w:p>
        </w:tc>
        <w:tc>
          <w:tcPr>
            <w:tcW w:w="1748" w:type="dxa"/>
            <w:tcBorders>
              <w:top w:val="nil"/>
              <w:left w:val="nil"/>
              <w:bottom w:val="single" w:color="auto" w:sz="8" w:space="0"/>
              <w:right w:val="single" w:color="auto" w:sz="8" w:space="0"/>
            </w:tcBorders>
            <w:vAlign w:val="center"/>
          </w:tcPr>
          <w:p w:rsidRPr="00711A6D" w:rsidR="007275F9" w:rsidP="00711A6D" w:rsidRDefault="007275F9" w14:paraId="69109C7F" w14:textId="65887F37">
            <w:pPr>
              <w:jc w:val="center"/>
              <w:rPr>
                <w:sz w:val="18"/>
                <w:szCs w:val="18"/>
              </w:rPr>
            </w:pPr>
            <w:r w:rsidRPr="00711A6D">
              <w:rPr>
                <w:rFonts w:eastAsia="Calibri"/>
                <w:color w:val="000000"/>
                <w:sz w:val="18"/>
                <w:szCs w:val="18"/>
              </w:rPr>
              <w:t>$3,505,601</w:t>
            </w:r>
          </w:p>
        </w:tc>
        <w:tc>
          <w:tcPr>
            <w:tcW w:w="1243" w:type="dxa"/>
            <w:tcBorders>
              <w:top w:val="nil"/>
              <w:left w:val="nil"/>
              <w:bottom w:val="single" w:color="auto" w:sz="8" w:space="0"/>
              <w:right w:val="single" w:color="auto" w:sz="8" w:space="0"/>
            </w:tcBorders>
            <w:vAlign w:val="center"/>
          </w:tcPr>
          <w:p w:rsidRPr="00711A6D" w:rsidR="007275F9" w:rsidP="00711A6D" w:rsidRDefault="007275F9" w14:paraId="3D50ACFF" w14:textId="087962B9">
            <w:pPr>
              <w:jc w:val="center"/>
              <w:rPr>
                <w:sz w:val="18"/>
                <w:szCs w:val="18"/>
              </w:rPr>
            </w:pPr>
            <w:r w:rsidRPr="00711A6D">
              <w:rPr>
                <w:rFonts w:eastAsia="Calibri"/>
                <w:color w:val="000000"/>
                <w:sz w:val="18"/>
                <w:szCs w:val="18"/>
              </w:rPr>
              <w:t>$3,952,790</w:t>
            </w:r>
          </w:p>
        </w:tc>
        <w:tc>
          <w:tcPr>
            <w:tcW w:w="1236" w:type="dxa"/>
            <w:vAlign w:val="center"/>
          </w:tcPr>
          <w:p w:rsidRPr="00711A6D" w:rsidR="007275F9" w:rsidP="00711A6D" w:rsidRDefault="007275F9" w14:paraId="5B098BF3" w14:textId="1BBD6AF2">
            <w:pPr>
              <w:jc w:val="center"/>
              <w:rPr>
                <w:sz w:val="18"/>
                <w:szCs w:val="18"/>
              </w:rPr>
            </w:pPr>
            <w:r w:rsidRPr="00711A6D">
              <w:rPr>
                <w:sz w:val="18"/>
                <w:szCs w:val="18"/>
              </w:rPr>
              <w:t>$447,189</w:t>
            </w:r>
          </w:p>
        </w:tc>
      </w:tr>
      <w:tr w:rsidRPr="006F7894" w:rsidR="007275F9" w:rsidTr="00711A6D" w14:paraId="0F76B8A2" w14:textId="77777777">
        <w:trPr>
          <w:trHeight w:val="412"/>
          <w:jc w:val="center"/>
        </w:trPr>
        <w:tc>
          <w:tcPr>
            <w:tcW w:w="1952" w:type="dxa"/>
            <w:tcBorders>
              <w:top w:val="nil"/>
              <w:left w:val="single" w:color="auto" w:sz="8" w:space="0"/>
              <w:bottom w:val="single" w:color="auto" w:sz="8" w:space="0"/>
              <w:right w:val="single" w:color="auto" w:sz="8" w:space="0"/>
            </w:tcBorders>
            <w:shd w:val="clear" w:color="auto" w:fill="auto"/>
            <w:vAlign w:val="center"/>
          </w:tcPr>
          <w:p w:rsidRPr="00711A6D" w:rsidR="007275F9" w:rsidP="007275F9" w:rsidRDefault="007275F9" w14:paraId="4B70E588" w14:textId="1592E65F">
            <w:pPr>
              <w:rPr>
                <w:sz w:val="18"/>
                <w:szCs w:val="18"/>
              </w:rPr>
            </w:pPr>
            <w:r w:rsidRPr="00711A6D">
              <w:rPr>
                <w:rFonts w:eastAsia="Calibri"/>
                <w:sz w:val="18"/>
                <w:szCs w:val="18"/>
              </w:rPr>
              <w:t>Focus Group</w:t>
            </w:r>
          </w:p>
        </w:tc>
        <w:tc>
          <w:tcPr>
            <w:tcW w:w="1738" w:type="dxa"/>
            <w:vAlign w:val="center"/>
          </w:tcPr>
          <w:p w:rsidRPr="00711A6D" w:rsidR="007275F9" w:rsidP="007275F9" w:rsidRDefault="007275F9" w14:paraId="4522638E" w14:textId="77777777">
            <w:pPr>
              <w:jc w:val="center"/>
              <w:rPr>
                <w:sz w:val="18"/>
                <w:szCs w:val="18"/>
              </w:rPr>
            </w:pPr>
          </w:p>
        </w:tc>
        <w:tc>
          <w:tcPr>
            <w:tcW w:w="1156" w:type="dxa"/>
            <w:vAlign w:val="center"/>
          </w:tcPr>
          <w:p w:rsidRPr="00711A6D" w:rsidR="007275F9" w:rsidP="007275F9" w:rsidRDefault="007275F9" w14:paraId="53520D8F" w14:textId="77777777">
            <w:pPr>
              <w:jc w:val="center"/>
              <w:rPr>
                <w:sz w:val="18"/>
                <w:szCs w:val="18"/>
              </w:rPr>
            </w:pPr>
          </w:p>
        </w:tc>
        <w:tc>
          <w:tcPr>
            <w:tcW w:w="1236" w:type="dxa"/>
            <w:vAlign w:val="center"/>
          </w:tcPr>
          <w:p w:rsidRPr="00711A6D" w:rsidR="007275F9" w:rsidP="007275F9" w:rsidRDefault="007275F9" w14:paraId="0DDF1206" w14:textId="77777777">
            <w:pPr>
              <w:jc w:val="center"/>
              <w:rPr>
                <w:sz w:val="18"/>
                <w:szCs w:val="18"/>
              </w:rPr>
            </w:pPr>
          </w:p>
        </w:tc>
        <w:tc>
          <w:tcPr>
            <w:tcW w:w="1748" w:type="dxa"/>
            <w:tcBorders>
              <w:top w:val="nil"/>
              <w:left w:val="nil"/>
              <w:bottom w:val="single" w:color="auto" w:sz="8" w:space="0"/>
              <w:right w:val="single" w:color="auto" w:sz="8" w:space="0"/>
            </w:tcBorders>
            <w:vAlign w:val="center"/>
          </w:tcPr>
          <w:p w:rsidRPr="00711A6D" w:rsidR="007275F9" w:rsidP="00711A6D" w:rsidRDefault="007275F9" w14:paraId="41C3394F" w14:textId="547F4960">
            <w:pPr>
              <w:jc w:val="center"/>
              <w:rPr>
                <w:sz w:val="18"/>
                <w:szCs w:val="18"/>
              </w:rPr>
            </w:pPr>
            <w:r w:rsidRPr="00711A6D">
              <w:rPr>
                <w:rFonts w:eastAsia="Calibri"/>
                <w:color w:val="000000"/>
                <w:sz w:val="18"/>
                <w:szCs w:val="18"/>
              </w:rPr>
              <w:t>$3,484,000</w:t>
            </w:r>
          </w:p>
        </w:tc>
        <w:tc>
          <w:tcPr>
            <w:tcW w:w="1243" w:type="dxa"/>
            <w:tcBorders>
              <w:top w:val="nil"/>
              <w:left w:val="nil"/>
              <w:bottom w:val="single" w:color="auto" w:sz="8" w:space="0"/>
              <w:right w:val="single" w:color="auto" w:sz="8" w:space="0"/>
            </w:tcBorders>
            <w:vAlign w:val="center"/>
          </w:tcPr>
          <w:p w:rsidRPr="00711A6D" w:rsidR="007275F9" w:rsidP="00711A6D" w:rsidRDefault="007275F9" w14:paraId="797A7053" w14:textId="33CCFA8C">
            <w:pPr>
              <w:jc w:val="center"/>
              <w:rPr>
                <w:sz w:val="18"/>
                <w:szCs w:val="18"/>
              </w:rPr>
            </w:pPr>
            <w:r w:rsidRPr="00711A6D">
              <w:rPr>
                <w:rFonts w:eastAsia="Calibri"/>
                <w:color w:val="000000"/>
                <w:sz w:val="18"/>
                <w:szCs w:val="18"/>
              </w:rPr>
              <w:t>$3,952,000</w:t>
            </w:r>
          </w:p>
        </w:tc>
        <w:tc>
          <w:tcPr>
            <w:tcW w:w="1236" w:type="dxa"/>
            <w:vAlign w:val="center"/>
          </w:tcPr>
          <w:p w:rsidRPr="00711A6D" w:rsidR="007275F9" w:rsidP="00711A6D" w:rsidRDefault="007275F9" w14:paraId="69341E2E" w14:textId="4CBC781E">
            <w:pPr>
              <w:jc w:val="center"/>
              <w:rPr>
                <w:sz w:val="18"/>
                <w:szCs w:val="18"/>
              </w:rPr>
            </w:pPr>
            <w:r w:rsidRPr="00711A6D">
              <w:rPr>
                <w:sz w:val="18"/>
                <w:szCs w:val="18"/>
              </w:rPr>
              <w:t>$468,000</w:t>
            </w:r>
          </w:p>
        </w:tc>
      </w:tr>
      <w:tr w:rsidRPr="006F7894" w:rsidR="007275F9" w:rsidTr="00711A6D" w14:paraId="64C5EC31" w14:textId="77777777">
        <w:trPr>
          <w:trHeight w:val="610"/>
          <w:jc w:val="center"/>
        </w:trPr>
        <w:tc>
          <w:tcPr>
            <w:tcW w:w="1952" w:type="dxa"/>
            <w:tcBorders>
              <w:top w:val="nil"/>
              <w:left w:val="single" w:color="auto" w:sz="8" w:space="0"/>
              <w:bottom w:val="single" w:color="auto" w:sz="8" w:space="0"/>
              <w:right w:val="single" w:color="auto" w:sz="8" w:space="0"/>
            </w:tcBorders>
            <w:shd w:val="clear" w:color="auto" w:fill="auto"/>
            <w:vAlign w:val="center"/>
          </w:tcPr>
          <w:p w:rsidRPr="00711A6D" w:rsidR="007275F9" w:rsidP="007275F9" w:rsidRDefault="007275F9" w14:paraId="68519EB3" w14:textId="3F9C7765">
            <w:pPr>
              <w:rPr>
                <w:sz w:val="18"/>
                <w:szCs w:val="18"/>
              </w:rPr>
            </w:pPr>
            <w:r w:rsidRPr="00711A6D">
              <w:rPr>
                <w:rFonts w:eastAsia="Calibri"/>
                <w:sz w:val="18"/>
                <w:szCs w:val="18"/>
              </w:rPr>
              <w:t>Other: Course Evaluation</w:t>
            </w:r>
          </w:p>
        </w:tc>
        <w:tc>
          <w:tcPr>
            <w:tcW w:w="1738" w:type="dxa"/>
            <w:vAlign w:val="center"/>
          </w:tcPr>
          <w:p w:rsidRPr="00711A6D" w:rsidR="007275F9" w:rsidP="007275F9" w:rsidRDefault="007275F9" w14:paraId="1E421557" w14:textId="77777777">
            <w:pPr>
              <w:jc w:val="center"/>
              <w:rPr>
                <w:sz w:val="18"/>
                <w:szCs w:val="18"/>
              </w:rPr>
            </w:pPr>
          </w:p>
        </w:tc>
        <w:tc>
          <w:tcPr>
            <w:tcW w:w="1156" w:type="dxa"/>
            <w:vAlign w:val="center"/>
          </w:tcPr>
          <w:p w:rsidRPr="00711A6D" w:rsidR="007275F9" w:rsidP="007275F9" w:rsidRDefault="007275F9" w14:paraId="68397C0D" w14:textId="77777777">
            <w:pPr>
              <w:jc w:val="center"/>
              <w:rPr>
                <w:sz w:val="18"/>
                <w:szCs w:val="18"/>
              </w:rPr>
            </w:pPr>
          </w:p>
        </w:tc>
        <w:tc>
          <w:tcPr>
            <w:tcW w:w="1236" w:type="dxa"/>
            <w:vAlign w:val="center"/>
          </w:tcPr>
          <w:p w:rsidRPr="00711A6D" w:rsidR="007275F9" w:rsidP="007275F9" w:rsidRDefault="007275F9" w14:paraId="0058E993" w14:textId="77777777">
            <w:pPr>
              <w:jc w:val="center"/>
              <w:rPr>
                <w:sz w:val="18"/>
                <w:szCs w:val="18"/>
              </w:rPr>
            </w:pPr>
          </w:p>
        </w:tc>
        <w:tc>
          <w:tcPr>
            <w:tcW w:w="1748" w:type="dxa"/>
            <w:tcBorders>
              <w:top w:val="nil"/>
              <w:left w:val="nil"/>
              <w:bottom w:val="single" w:color="auto" w:sz="8" w:space="0"/>
              <w:right w:val="single" w:color="auto" w:sz="8" w:space="0"/>
            </w:tcBorders>
            <w:vAlign w:val="center"/>
          </w:tcPr>
          <w:p w:rsidRPr="00711A6D" w:rsidR="007275F9" w:rsidP="00711A6D" w:rsidRDefault="007275F9" w14:paraId="6E0560A0" w14:textId="322EC430">
            <w:pPr>
              <w:jc w:val="center"/>
              <w:rPr>
                <w:sz w:val="18"/>
                <w:szCs w:val="18"/>
              </w:rPr>
            </w:pPr>
            <w:r w:rsidRPr="00711A6D">
              <w:rPr>
                <w:rFonts w:eastAsia="Calibri"/>
                <w:color w:val="000000"/>
                <w:sz w:val="18"/>
                <w:szCs w:val="18"/>
              </w:rPr>
              <w:t>$2,327,312</w:t>
            </w:r>
          </w:p>
        </w:tc>
        <w:tc>
          <w:tcPr>
            <w:tcW w:w="1243" w:type="dxa"/>
            <w:tcBorders>
              <w:top w:val="nil"/>
              <w:left w:val="nil"/>
              <w:bottom w:val="single" w:color="auto" w:sz="8" w:space="0"/>
              <w:right w:val="single" w:color="auto" w:sz="8" w:space="0"/>
            </w:tcBorders>
            <w:vAlign w:val="center"/>
          </w:tcPr>
          <w:p w:rsidRPr="00711A6D" w:rsidR="007275F9" w:rsidP="00711A6D" w:rsidRDefault="007275F9" w14:paraId="5F58CB1E" w14:textId="59B48E32">
            <w:pPr>
              <w:jc w:val="center"/>
              <w:rPr>
                <w:sz w:val="18"/>
                <w:szCs w:val="18"/>
              </w:rPr>
            </w:pPr>
            <w:r w:rsidRPr="00711A6D">
              <w:rPr>
                <w:rFonts w:eastAsia="Calibri"/>
                <w:color w:val="000000"/>
                <w:sz w:val="18"/>
                <w:szCs w:val="18"/>
              </w:rPr>
              <w:t>$2,635,194</w:t>
            </w:r>
          </w:p>
        </w:tc>
        <w:tc>
          <w:tcPr>
            <w:tcW w:w="1236" w:type="dxa"/>
            <w:vAlign w:val="center"/>
          </w:tcPr>
          <w:p w:rsidRPr="00711A6D" w:rsidR="007275F9" w:rsidP="00711A6D" w:rsidRDefault="007275F9" w14:paraId="6C7522D3" w14:textId="7558E532">
            <w:pPr>
              <w:jc w:val="center"/>
              <w:rPr>
                <w:sz w:val="18"/>
                <w:szCs w:val="18"/>
              </w:rPr>
            </w:pPr>
            <w:r w:rsidRPr="00711A6D">
              <w:rPr>
                <w:sz w:val="18"/>
                <w:szCs w:val="18"/>
              </w:rPr>
              <w:t>$307,882</w:t>
            </w:r>
          </w:p>
        </w:tc>
      </w:tr>
      <w:tr w:rsidRPr="006F7894" w:rsidR="007275F9" w:rsidTr="00711A6D" w14:paraId="6ACDA662" w14:textId="77777777">
        <w:trPr>
          <w:trHeight w:val="628"/>
          <w:jc w:val="center"/>
        </w:trPr>
        <w:tc>
          <w:tcPr>
            <w:tcW w:w="1952" w:type="dxa"/>
            <w:tcBorders>
              <w:top w:val="nil"/>
              <w:left w:val="single" w:color="auto" w:sz="8" w:space="0"/>
              <w:bottom w:val="single" w:color="auto" w:sz="8" w:space="0"/>
              <w:right w:val="single" w:color="auto" w:sz="8" w:space="0"/>
            </w:tcBorders>
            <w:shd w:val="clear" w:color="auto" w:fill="auto"/>
            <w:vAlign w:val="center"/>
          </w:tcPr>
          <w:p w:rsidRPr="00711A6D" w:rsidR="007275F9" w:rsidP="007275F9" w:rsidRDefault="007275F9" w14:paraId="63E0EB43" w14:textId="709D2FF6">
            <w:pPr>
              <w:rPr>
                <w:sz w:val="18"/>
                <w:szCs w:val="18"/>
              </w:rPr>
            </w:pPr>
            <w:r w:rsidRPr="00711A6D">
              <w:rPr>
                <w:rFonts w:eastAsia="Calibri"/>
                <w:sz w:val="18"/>
                <w:szCs w:val="18"/>
              </w:rPr>
              <w:t>Customer Comment Card</w:t>
            </w:r>
          </w:p>
        </w:tc>
        <w:tc>
          <w:tcPr>
            <w:tcW w:w="1738" w:type="dxa"/>
            <w:vAlign w:val="center"/>
          </w:tcPr>
          <w:p w:rsidRPr="00711A6D" w:rsidR="007275F9" w:rsidP="007275F9" w:rsidRDefault="007275F9" w14:paraId="46AE59CF" w14:textId="77777777">
            <w:pPr>
              <w:jc w:val="center"/>
              <w:rPr>
                <w:sz w:val="18"/>
                <w:szCs w:val="18"/>
              </w:rPr>
            </w:pPr>
          </w:p>
        </w:tc>
        <w:tc>
          <w:tcPr>
            <w:tcW w:w="1156" w:type="dxa"/>
            <w:vAlign w:val="center"/>
          </w:tcPr>
          <w:p w:rsidRPr="00711A6D" w:rsidR="007275F9" w:rsidP="007275F9" w:rsidRDefault="007275F9" w14:paraId="29B82654" w14:textId="77777777">
            <w:pPr>
              <w:jc w:val="center"/>
              <w:rPr>
                <w:sz w:val="18"/>
                <w:szCs w:val="18"/>
              </w:rPr>
            </w:pPr>
          </w:p>
        </w:tc>
        <w:tc>
          <w:tcPr>
            <w:tcW w:w="1236" w:type="dxa"/>
            <w:vAlign w:val="center"/>
          </w:tcPr>
          <w:p w:rsidRPr="00711A6D" w:rsidR="007275F9" w:rsidP="007275F9" w:rsidRDefault="007275F9" w14:paraId="18A32CF9" w14:textId="77777777">
            <w:pPr>
              <w:jc w:val="center"/>
              <w:rPr>
                <w:sz w:val="18"/>
                <w:szCs w:val="18"/>
              </w:rPr>
            </w:pPr>
          </w:p>
        </w:tc>
        <w:tc>
          <w:tcPr>
            <w:tcW w:w="1748" w:type="dxa"/>
            <w:tcBorders>
              <w:top w:val="nil"/>
              <w:left w:val="nil"/>
              <w:bottom w:val="single" w:color="auto" w:sz="8" w:space="0"/>
              <w:right w:val="single" w:color="auto" w:sz="8" w:space="0"/>
            </w:tcBorders>
            <w:vAlign w:val="center"/>
          </w:tcPr>
          <w:p w:rsidRPr="00711A6D" w:rsidR="007275F9" w:rsidP="00711A6D" w:rsidRDefault="007275F9" w14:paraId="470118BC" w14:textId="472936E2">
            <w:pPr>
              <w:jc w:val="center"/>
              <w:rPr>
                <w:sz w:val="18"/>
                <w:szCs w:val="18"/>
              </w:rPr>
            </w:pPr>
            <w:r w:rsidRPr="00711A6D">
              <w:rPr>
                <w:rFonts w:eastAsia="Calibri"/>
                <w:color w:val="000000"/>
                <w:sz w:val="18"/>
                <w:szCs w:val="18"/>
              </w:rPr>
              <w:t>$72,293</w:t>
            </w:r>
          </w:p>
        </w:tc>
        <w:tc>
          <w:tcPr>
            <w:tcW w:w="1243" w:type="dxa"/>
            <w:tcBorders>
              <w:top w:val="nil"/>
              <w:left w:val="nil"/>
              <w:bottom w:val="single" w:color="auto" w:sz="8" w:space="0"/>
              <w:right w:val="single" w:color="auto" w:sz="8" w:space="0"/>
            </w:tcBorders>
            <w:vAlign w:val="center"/>
          </w:tcPr>
          <w:p w:rsidRPr="00711A6D" w:rsidR="007275F9" w:rsidP="00711A6D" w:rsidRDefault="007275F9" w14:paraId="101EBAB1" w14:textId="54EE9C46">
            <w:pPr>
              <w:jc w:val="center"/>
              <w:rPr>
                <w:sz w:val="18"/>
                <w:szCs w:val="18"/>
              </w:rPr>
            </w:pPr>
            <w:r w:rsidRPr="00711A6D">
              <w:rPr>
                <w:rFonts w:eastAsia="Calibri"/>
                <w:color w:val="000000"/>
                <w:sz w:val="18"/>
                <w:szCs w:val="18"/>
              </w:rPr>
              <w:t>$82,320</w:t>
            </w:r>
          </w:p>
        </w:tc>
        <w:tc>
          <w:tcPr>
            <w:tcW w:w="1236" w:type="dxa"/>
            <w:vAlign w:val="center"/>
          </w:tcPr>
          <w:p w:rsidRPr="00711A6D" w:rsidR="007275F9" w:rsidP="00711A6D" w:rsidRDefault="007275F9" w14:paraId="05ECDC57" w14:textId="6E5DA83F">
            <w:pPr>
              <w:jc w:val="center"/>
              <w:rPr>
                <w:sz w:val="18"/>
                <w:szCs w:val="18"/>
              </w:rPr>
            </w:pPr>
            <w:r w:rsidRPr="00711A6D">
              <w:rPr>
                <w:sz w:val="18"/>
                <w:szCs w:val="18"/>
              </w:rPr>
              <w:t>$10,027</w:t>
            </w:r>
          </w:p>
        </w:tc>
      </w:tr>
      <w:tr w:rsidRPr="006F7894" w:rsidR="007275F9" w:rsidTr="00711A6D" w14:paraId="332BB9E9" w14:textId="77777777">
        <w:trPr>
          <w:trHeight w:val="385"/>
          <w:jc w:val="center"/>
        </w:trPr>
        <w:tc>
          <w:tcPr>
            <w:tcW w:w="1952" w:type="dxa"/>
            <w:vAlign w:val="center"/>
          </w:tcPr>
          <w:p w:rsidRPr="00711A6D" w:rsidR="007275F9" w:rsidP="007275F9" w:rsidRDefault="007275F9" w14:paraId="016E1B77" w14:textId="6BA52849">
            <w:pPr>
              <w:rPr>
                <w:sz w:val="18"/>
                <w:szCs w:val="18"/>
              </w:rPr>
            </w:pPr>
            <w:r w:rsidRPr="00711A6D">
              <w:rPr>
                <w:sz w:val="18"/>
                <w:szCs w:val="18"/>
              </w:rPr>
              <w:t>FEMA</w:t>
            </w:r>
          </w:p>
        </w:tc>
        <w:tc>
          <w:tcPr>
            <w:tcW w:w="1738" w:type="dxa"/>
            <w:vAlign w:val="center"/>
          </w:tcPr>
          <w:p w:rsidRPr="00711A6D" w:rsidR="007275F9" w:rsidP="007275F9" w:rsidRDefault="007275F9" w14:paraId="782058C1" w14:textId="77777777">
            <w:pPr>
              <w:jc w:val="center"/>
              <w:rPr>
                <w:sz w:val="18"/>
                <w:szCs w:val="18"/>
              </w:rPr>
            </w:pPr>
          </w:p>
        </w:tc>
        <w:tc>
          <w:tcPr>
            <w:tcW w:w="1156" w:type="dxa"/>
            <w:vAlign w:val="center"/>
          </w:tcPr>
          <w:p w:rsidRPr="00711A6D" w:rsidR="007275F9" w:rsidP="007275F9" w:rsidRDefault="007275F9" w14:paraId="0BF9CA9F" w14:textId="77777777">
            <w:pPr>
              <w:jc w:val="center"/>
              <w:rPr>
                <w:sz w:val="18"/>
                <w:szCs w:val="18"/>
              </w:rPr>
            </w:pPr>
          </w:p>
        </w:tc>
        <w:tc>
          <w:tcPr>
            <w:tcW w:w="1236" w:type="dxa"/>
            <w:vAlign w:val="center"/>
          </w:tcPr>
          <w:p w:rsidRPr="00711A6D" w:rsidR="007275F9" w:rsidP="007275F9" w:rsidRDefault="007275F9" w14:paraId="08DEE100" w14:textId="77777777">
            <w:pPr>
              <w:jc w:val="center"/>
              <w:rPr>
                <w:sz w:val="18"/>
                <w:szCs w:val="18"/>
              </w:rPr>
            </w:pPr>
          </w:p>
        </w:tc>
        <w:tc>
          <w:tcPr>
            <w:tcW w:w="1748" w:type="dxa"/>
            <w:vAlign w:val="center"/>
          </w:tcPr>
          <w:p w:rsidRPr="00711A6D" w:rsidR="007275F9" w:rsidP="00711A6D" w:rsidRDefault="007275F9" w14:paraId="696A690E" w14:textId="3A0778DF">
            <w:pPr>
              <w:jc w:val="center"/>
              <w:rPr>
                <w:sz w:val="18"/>
                <w:szCs w:val="18"/>
              </w:rPr>
            </w:pPr>
            <w:r w:rsidRPr="00711A6D">
              <w:rPr>
                <w:sz w:val="18"/>
                <w:szCs w:val="18"/>
              </w:rPr>
              <w:t>$2,079,001</w:t>
            </w:r>
          </w:p>
        </w:tc>
        <w:tc>
          <w:tcPr>
            <w:tcW w:w="1243" w:type="dxa"/>
            <w:vAlign w:val="center"/>
          </w:tcPr>
          <w:p w:rsidRPr="00711A6D" w:rsidR="007275F9" w:rsidP="00711A6D" w:rsidRDefault="007275F9" w14:paraId="324D36CC" w14:textId="4BB4E2B2">
            <w:pPr>
              <w:jc w:val="center"/>
              <w:rPr>
                <w:sz w:val="18"/>
                <w:szCs w:val="18"/>
              </w:rPr>
            </w:pPr>
            <w:r w:rsidRPr="00711A6D">
              <w:rPr>
                <w:sz w:val="18"/>
                <w:szCs w:val="18"/>
              </w:rPr>
              <w:t>$</w:t>
            </w:r>
            <w:r w:rsidRPr="00711A6D">
              <w:rPr>
                <w:rFonts w:eastAsia="Calibri"/>
                <w:color w:val="000000"/>
                <w:sz w:val="18"/>
                <w:szCs w:val="18"/>
              </w:rPr>
              <w:t>2,180,168</w:t>
            </w:r>
          </w:p>
        </w:tc>
        <w:tc>
          <w:tcPr>
            <w:tcW w:w="1236" w:type="dxa"/>
            <w:vAlign w:val="center"/>
          </w:tcPr>
          <w:p w:rsidRPr="00711A6D" w:rsidR="007275F9" w:rsidP="00711A6D" w:rsidRDefault="007275F9" w14:paraId="573BFB7C" w14:textId="75699EC7">
            <w:pPr>
              <w:jc w:val="center"/>
              <w:rPr>
                <w:sz w:val="18"/>
                <w:szCs w:val="18"/>
              </w:rPr>
            </w:pPr>
            <w:r w:rsidRPr="00711A6D">
              <w:rPr>
                <w:sz w:val="18"/>
                <w:szCs w:val="18"/>
              </w:rPr>
              <w:t>$101,167</w:t>
            </w:r>
          </w:p>
        </w:tc>
      </w:tr>
      <w:tr w:rsidRPr="006F7894" w:rsidR="007275F9" w:rsidTr="00711A6D" w14:paraId="60EBC4EB" w14:textId="77777777">
        <w:trPr>
          <w:trHeight w:val="413"/>
          <w:jc w:val="center"/>
        </w:trPr>
        <w:tc>
          <w:tcPr>
            <w:tcW w:w="1952" w:type="dxa"/>
            <w:vAlign w:val="center"/>
          </w:tcPr>
          <w:p w:rsidRPr="00711A6D" w:rsidR="007275F9" w:rsidP="007275F9" w:rsidRDefault="007275F9" w14:paraId="0A23056F" w14:textId="77777777">
            <w:pPr>
              <w:rPr>
                <w:b/>
                <w:sz w:val="18"/>
                <w:szCs w:val="18"/>
              </w:rPr>
            </w:pPr>
            <w:r w:rsidRPr="00711A6D">
              <w:rPr>
                <w:b/>
                <w:sz w:val="18"/>
                <w:szCs w:val="18"/>
              </w:rPr>
              <w:t>Total</w:t>
            </w:r>
          </w:p>
        </w:tc>
        <w:tc>
          <w:tcPr>
            <w:tcW w:w="1738" w:type="dxa"/>
            <w:vAlign w:val="center"/>
          </w:tcPr>
          <w:p w:rsidRPr="00711A6D" w:rsidR="007275F9" w:rsidP="007275F9" w:rsidRDefault="007275F9" w14:paraId="7C94188F" w14:textId="569DA8AE">
            <w:pPr>
              <w:jc w:val="center"/>
              <w:rPr>
                <w:b/>
                <w:sz w:val="18"/>
                <w:szCs w:val="18"/>
              </w:rPr>
            </w:pPr>
          </w:p>
        </w:tc>
        <w:tc>
          <w:tcPr>
            <w:tcW w:w="1156" w:type="dxa"/>
            <w:vAlign w:val="center"/>
          </w:tcPr>
          <w:p w:rsidRPr="00711A6D" w:rsidR="007275F9" w:rsidP="007275F9" w:rsidRDefault="007275F9" w14:paraId="587F30B7" w14:textId="7D5F932A">
            <w:pPr>
              <w:jc w:val="center"/>
              <w:rPr>
                <w:b/>
                <w:sz w:val="18"/>
                <w:szCs w:val="18"/>
              </w:rPr>
            </w:pPr>
          </w:p>
        </w:tc>
        <w:tc>
          <w:tcPr>
            <w:tcW w:w="1236" w:type="dxa"/>
            <w:vAlign w:val="center"/>
          </w:tcPr>
          <w:p w:rsidRPr="00711A6D" w:rsidR="007275F9" w:rsidP="007275F9" w:rsidRDefault="007275F9" w14:paraId="227CC59B" w14:textId="18512E07">
            <w:pPr>
              <w:jc w:val="center"/>
              <w:rPr>
                <w:b/>
                <w:sz w:val="18"/>
                <w:szCs w:val="18"/>
              </w:rPr>
            </w:pPr>
          </w:p>
        </w:tc>
        <w:tc>
          <w:tcPr>
            <w:tcW w:w="1748" w:type="dxa"/>
            <w:vAlign w:val="center"/>
          </w:tcPr>
          <w:p w:rsidRPr="00711A6D" w:rsidR="007275F9" w:rsidP="00711A6D" w:rsidRDefault="007275F9" w14:paraId="27B59F15" w14:textId="7785899E">
            <w:pPr>
              <w:jc w:val="center"/>
              <w:rPr>
                <w:b/>
                <w:sz w:val="18"/>
                <w:szCs w:val="18"/>
              </w:rPr>
            </w:pPr>
            <w:r w:rsidRPr="00711A6D">
              <w:rPr>
                <w:b/>
                <w:sz w:val="18"/>
                <w:szCs w:val="18"/>
              </w:rPr>
              <w:t>$9,389,206</w:t>
            </w:r>
          </w:p>
        </w:tc>
        <w:tc>
          <w:tcPr>
            <w:tcW w:w="1243" w:type="dxa"/>
            <w:vAlign w:val="center"/>
          </w:tcPr>
          <w:p w:rsidRPr="00711A6D" w:rsidR="007275F9" w:rsidP="00711A6D" w:rsidRDefault="007275F9" w14:paraId="7DA49EF3" w14:textId="5DCA95CA">
            <w:pPr>
              <w:jc w:val="center"/>
              <w:rPr>
                <w:b/>
                <w:sz w:val="18"/>
                <w:szCs w:val="18"/>
              </w:rPr>
            </w:pPr>
            <w:r w:rsidRPr="00711A6D">
              <w:rPr>
                <w:b/>
                <w:sz w:val="18"/>
                <w:szCs w:val="18"/>
              </w:rPr>
              <w:t>$</w:t>
            </w:r>
            <w:r w:rsidRPr="00711A6D">
              <w:rPr>
                <w:rFonts w:eastAsia="Calibri"/>
                <w:b/>
                <w:color w:val="000000"/>
                <w:sz w:val="18"/>
                <w:szCs w:val="18"/>
              </w:rPr>
              <w:t>10,622,304</w:t>
            </w:r>
          </w:p>
        </w:tc>
        <w:tc>
          <w:tcPr>
            <w:tcW w:w="1236" w:type="dxa"/>
            <w:vAlign w:val="center"/>
          </w:tcPr>
          <w:p w:rsidRPr="00711A6D" w:rsidR="007275F9" w:rsidP="00711A6D" w:rsidRDefault="007275F9" w14:paraId="2F72C491" w14:textId="49350442">
            <w:pPr>
              <w:jc w:val="center"/>
              <w:rPr>
                <w:b/>
                <w:sz w:val="18"/>
                <w:szCs w:val="18"/>
              </w:rPr>
            </w:pPr>
            <w:r w:rsidRPr="00711A6D">
              <w:rPr>
                <w:b/>
                <w:sz w:val="18"/>
                <w:szCs w:val="18"/>
              </w:rPr>
              <w:t>$1,233,098</w:t>
            </w:r>
          </w:p>
        </w:tc>
      </w:tr>
    </w:tbl>
    <w:p w:rsidRPr="00A00EDE" w:rsidR="00A00EDE" w:rsidP="00A00EDE" w:rsidRDefault="00A00EDE" w14:paraId="10A5A318" w14:textId="77777777">
      <w:pPr>
        <w:spacing w:after="0" w:line="240" w:lineRule="auto"/>
        <w:rPr>
          <w:rFonts w:ascii="Times New Roman" w:hAnsi="Times New Roman" w:eastAsia="Times New Roman" w:cs="Times New Roman"/>
          <w:bCs/>
          <w:i/>
          <w:sz w:val="24"/>
          <w:szCs w:val="24"/>
        </w:rPr>
      </w:pPr>
    </w:p>
    <w:p w:rsidR="000D0184" w:rsidP="008A2FF0" w:rsidRDefault="00711A6D" w14:paraId="4FE80555" w14:textId="4066A6EF">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w:t>
      </w:r>
      <w:r w:rsidR="00082B18">
        <w:rPr>
          <w:rFonts w:ascii="Times New Roman" w:hAnsi="Times New Roman" w:eastAsia="Times New Roman" w:cs="Times New Roman"/>
          <w:bCs/>
          <w:sz w:val="24"/>
          <w:szCs w:val="24"/>
        </w:rPr>
        <w:t xml:space="preserve">he </w:t>
      </w:r>
      <w:r w:rsidRPr="00A00EDE" w:rsidR="00A00EDE">
        <w:rPr>
          <w:rFonts w:ascii="Times New Roman" w:hAnsi="Times New Roman" w:eastAsia="Times New Roman" w:cs="Times New Roman"/>
          <w:bCs/>
          <w:sz w:val="24"/>
          <w:szCs w:val="24"/>
        </w:rPr>
        <w:t>cost burden for this collection</w:t>
      </w:r>
      <w:r>
        <w:rPr>
          <w:rFonts w:ascii="Times New Roman" w:hAnsi="Times New Roman" w:eastAsia="Times New Roman" w:cs="Times New Roman"/>
          <w:bCs/>
          <w:sz w:val="24"/>
          <w:szCs w:val="24"/>
        </w:rPr>
        <w:t xml:space="preserve"> increased from $9,389,206 to $10,622,304 due to wage rate increases</w:t>
      </w:r>
      <w:r w:rsidRPr="00A00EDE" w:rsidR="00A00EDE">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w:t>
      </w:r>
      <w:r w:rsidRPr="00711A6D">
        <w:rPr>
          <w:rFonts w:ascii="Times New Roman" w:hAnsi="Times New Roman" w:eastAsia="Times New Roman" w:cs="Times New Roman"/>
          <w:bCs/>
          <w:sz w:val="24"/>
          <w:szCs w:val="24"/>
        </w:rPr>
        <w:t xml:space="preserve">For </w:t>
      </w:r>
      <w:r w:rsidRPr="00005AD4" w:rsidR="00A00EDE">
        <w:rPr>
          <w:rFonts w:ascii="Times New Roman" w:hAnsi="Times New Roman" w:eastAsia="Times New Roman" w:cs="Times New Roman"/>
          <w:bCs/>
          <w:sz w:val="24"/>
          <w:szCs w:val="24"/>
          <w:highlight w:val="yellow"/>
        </w:rPr>
        <w:fldChar w:fldCharType="begin"/>
      </w:r>
      <w:r w:rsidRPr="00005AD4" w:rsidR="00A00EDE">
        <w:rPr>
          <w:rFonts w:ascii="Times New Roman" w:hAnsi="Times New Roman" w:eastAsia="Times New Roman" w:cs="Times New Roman"/>
          <w:bCs/>
          <w:sz w:val="24"/>
          <w:szCs w:val="24"/>
          <w:highlight w:val="yellow"/>
        </w:rPr>
        <w:instrText>ADVANCE \R 0.95</w:instrText>
      </w:r>
      <w:r w:rsidRPr="00005AD4" w:rsidR="00A00EDE">
        <w:rPr>
          <w:rFonts w:ascii="Times New Roman" w:hAnsi="Times New Roman" w:eastAsia="Times New Roman" w:cs="Times New Roman"/>
          <w:bCs/>
          <w:sz w:val="24"/>
          <w:szCs w:val="24"/>
          <w:highlight w:val="yellow"/>
        </w:rPr>
        <w:fldChar w:fldCharType="end"/>
      </w:r>
      <w:r w:rsidRPr="00005AD4">
        <w:rPr>
          <w:rFonts w:ascii="Times New Roman" w:hAnsi="Times New Roman" w:eastAsia="Times New Roman" w:cs="Times New Roman"/>
          <w:bCs/>
          <w:sz w:val="24"/>
          <w:szCs w:val="24"/>
        </w:rPr>
        <w:t>respondents</w:t>
      </w:r>
      <w:r>
        <w:rPr>
          <w:rFonts w:ascii="Times New Roman" w:hAnsi="Times New Roman" w:eastAsia="Times New Roman" w:cs="Times New Roman"/>
          <w:bCs/>
          <w:sz w:val="24"/>
          <w:szCs w:val="24"/>
        </w:rPr>
        <w:t xml:space="preserve">, the BLS </w:t>
      </w:r>
      <w:r w:rsidRPr="005C7AE5">
        <w:rPr>
          <w:rFonts w:ascii="Times New Roman" w:hAnsi="Times New Roman"/>
          <w:sz w:val="24"/>
          <w:szCs w:val="24"/>
        </w:rPr>
        <w:t>May 20</w:t>
      </w:r>
      <w:r>
        <w:rPr>
          <w:rFonts w:ascii="Times New Roman" w:hAnsi="Times New Roman"/>
          <w:sz w:val="24"/>
          <w:szCs w:val="24"/>
        </w:rPr>
        <w:t>20</w:t>
      </w:r>
      <w:r w:rsidRPr="005C7AE5">
        <w:rPr>
          <w:rFonts w:ascii="Times New Roman" w:hAnsi="Times New Roman"/>
          <w:sz w:val="24"/>
          <w:szCs w:val="24"/>
        </w:rPr>
        <w:t xml:space="preserve"> </w:t>
      </w:r>
      <w:r w:rsidRPr="00711A6D">
        <w:rPr>
          <w:rFonts w:ascii="Times New Roman" w:hAnsi="Times New Roman"/>
          <w:sz w:val="24"/>
          <w:szCs w:val="24"/>
        </w:rPr>
        <w:t>Occupational Employment and Wage Estimates wage rate for All Occupations (SOC 00-0000) increased to $27.07</w:t>
      </w:r>
      <w:r w:rsidRPr="00005AD4">
        <w:rPr>
          <w:rFonts w:ascii="Times New Roman" w:hAnsi="Times New Roman" w:eastAsia="Times New Roman" w:cs="Times New Roman"/>
          <w:sz w:val="24"/>
          <w:szCs w:val="24"/>
        </w:rPr>
        <w:t xml:space="preserve">. </w:t>
      </w:r>
      <w:r w:rsidRPr="00711A6D">
        <w:rPr>
          <w:rFonts w:ascii="Times New Roman" w:hAnsi="Times New Roman" w:eastAsia="Times New Roman" w:cs="Times New Roman"/>
          <w:sz w:val="24"/>
          <w:szCs w:val="24"/>
        </w:rPr>
        <w:t xml:space="preserve"> </w:t>
      </w:r>
      <w:r w:rsidRPr="00005AD4">
        <w:rPr>
          <w:rFonts w:ascii="Times New Roman" w:hAnsi="Times New Roman" w:eastAsia="Times New Roman" w:cs="Times New Roman"/>
          <w:sz w:val="24"/>
          <w:szCs w:val="24"/>
        </w:rPr>
        <w:t>For FEMA,</w:t>
      </w:r>
      <w:r>
        <w:rPr>
          <w:rFonts w:ascii="Times New Roman" w:hAnsi="Times New Roman" w:eastAsia="Times New Roman" w:cs="Times New Roman"/>
          <w:sz w:val="24"/>
          <w:szCs w:val="24"/>
        </w:rPr>
        <w:t xml:space="preserve"> the </w:t>
      </w:r>
      <w:r w:rsidR="00E74E72">
        <w:rPr>
          <w:rFonts w:ascii="Times New Roman" w:hAnsi="Times New Roman" w:eastAsia="Times New Roman" w:cs="Times New Roman"/>
          <w:sz w:val="24"/>
          <w:szCs w:val="24"/>
        </w:rPr>
        <w:t xml:space="preserve">wage rate increased to the 2021 GS-12 Step 5 </w:t>
      </w:r>
      <w:r w:rsidRPr="00E74E72" w:rsidR="00E74E72">
        <w:rPr>
          <w:rFonts w:ascii="Times New Roman" w:hAnsi="Times New Roman" w:eastAsia="Times New Roman" w:cs="Times New Roman"/>
          <w:sz w:val="24"/>
          <w:szCs w:val="24"/>
        </w:rPr>
        <w:t>rate of $</w:t>
      </w:r>
      <w:r w:rsidRPr="00005AD4" w:rsidR="00E74E72">
        <w:rPr>
          <w:rFonts w:ascii="Times New Roman" w:hAnsi="Times New Roman" w:eastAsia="Calibri" w:cs="Times New Roman"/>
          <w:color w:val="000000"/>
          <w:sz w:val="24"/>
          <w:szCs w:val="24"/>
        </w:rPr>
        <w:t>98,827.</w:t>
      </w:r>
      <w:r w:rsidR="005449E8">
        <w:rPr>
          <w:rFonts w:ascii="Times New Roman" w:hAnsi="Times New Roman" w:eastAsia="Calibri" w:cs="Times New Roman"/>
          <w:color w:val="000000"/>
          <w:sz w:val="24"/>
          <w:szCs w:val="24"/>
        </w:rPr>
        <w:t xml:space="preserve">  Additionally, the burden hour correction reduced the number of respondent hours lessening the impact of the increased respondent wage rate.</w:t>
      </w:r>
    </w:p>
    <w:p w:rsidRPr="006625E7" w:rsidR="00562915" w:rsidP="00562915" w:rsidRDefault="00562915" w14:paraId="692A1761"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DE5868" w:rsidR="00DE5868" w:rsidP="00DE5868" w:rsidRDefault="00DE5868" w14:paraId="0ECFDED3" w14:textId="473747AF">
      <w:pPr>
        <w:spacing w:after="0" w:line="240" w:lineRule="auto"/>
        <w:rPr>
          <w:rFonts w:ascii="Times New Roman" w:hAnsi="Times New Roman" w:eastAsia="Times New Roman" w:cs="Times New Roman"/>
          <w:sz w:val="24"/>
          <w:szCs w:val="24"/>
        </w:rPr>
      </w:pPr>
      <w:r w:rsidRPr="00DE5868">
        <w:rPr>
          <w:rFonts w:ascii="Times New Roman" w:hAnsi="Times New Roman" w:eastAsia="Times New Roman" w:cs="Times New Roman"/>
          <w:sz w:val="24"/>
          <w:szCs w:val="24"/>
        </w:rPr>
        <w:fldChar w:fldCharType="begin"/>
      </w:r>
      <w:r w:rsidRPr="00DE5868">
        <w:rPr>
          <w:rFonts w:ascii="Times New Roman" w:hAnsi="Times New Roman" w:eastAsia="Times New Roman" w:cs="Times New Roman"/>
          <w:sz w:val="24"/>
          <w:szCs w:val="24"/>
        </w:rPr>
        <w:instrText>ADVANCE \R 0.95</w:instrText>
      </w:r>
      <w:r w:rsidRPr="00DE5868">
        <w:rPr>
          <w:rFonts w:ascii="Times New Roman" w:hAnsi="Times New Roman" w:eastAsia="Times New Roman" w:cs="Times New Roman"/>
          <w:sz w:val="24"/>
          <w:szCs w:val="24"/>
        </w:rPr>
        <w:fldChar w:fldCharType="end"/>
      </w:r>
      <w:r w:rsidRPr="00DE5868">
        <w:rPr>
          <w:rFonts w:ascii="Times New Roman" w:hAnsi="Times New Roman" w:eastAsia="Times New Roman" w:cs="Times New Roman"/>
          <w:sz w:val="24"/>
          <w:szCs w:val="24"/>
        </w:rPr>
        <w:t xml:space="preserve">Feedback collected under this generic clearance provides useful information, but it does not yield data that can be generalized to the overall population. </w:t>
      </w:r>
      <w:r w:rsidR="005A3D25">
        <w:rPr>
          <w:rFonts w:ascii="Times New Roman" w:hAnsi="Times New Roman" w:eastAsia="Times New Roman" w:cs="Times New Roman"/>
          <w:sz w:val="24"/>
          <w:szCs w:val="24"/>
        </w:rPr>
        <w:t xml:space="preserve"> </w:t>
      </w:r>
      <w:r w:rsidRPr="00DE5868">
        <w:rPr>
          <w:rFonts w:ascii="Times New Roman" w:hAnsi="Times New Roman" w:eastAsia="Times New Roman" w:cs="Times New Roman"/>
          <w:sz w:val="24"/>
          <w:szCs w:val="24"/>
        </w:rPr>
        <w:t>Findings will be used for general service improvement but are not for publication or other public release.</w:t>
      </w:r>
    </w:p>
    <w:p w:rsidRPr="00DE5868" w:rsidR="00DE5868" w:rsidP="00DE5868" w:rsidRDefault="00DE5868" w14:paraId="57A3FE6C" w14:textId="77777777">
      <w:pPr>
        <w:spacing w:after="0" w:line="240" w:lineRule="auto"/>
        <w:rPr>
          <w:rFonts w:ascii="Times New Roman" w:hAnsi="Times New Roman" w:eastAsia="Times New Roman" w:cs="Times New Roman"/>
          <w:sz w:val="24"/>
          <w:szCs w:val="24"/>
        </w:rPr>
      </w:pPr>
    </w:p>
    <w:p w:rsidR="001B54B4" w:rsidP="001B54B4" w:rsidRDefault="00DE5868" w14:paraId="496450CC" w14:textId="6560F5F2">
      <w:pPr>
        <w:spacing w:after="0" w:line="240" w:lineRule="auto"/>
        <w:rPr>
          <w:rFonts w:ascii="Times New Roman" w:hAnsi="Times New Roman" w:eastAsia="Times New Roman" w:cs="Times New Roman"/>
          <w:sz w:val="24"/>
          <w:szCs w:val="24"/>
        </w:rPr>
      </w:pPr>
      <w:r w:rsidRPr="00DE5868">
        <w:rPr>
          <w:rFonts w:ascii="Times New Roman" w:hAnsi="Times New Roman" w:eastAsia="Times New Roman" w:cs="Times New Roman"/>
          <w:sz w:val="24"/>
          <w:szCs w:val="24"/>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rsidR="00A00EDE" w:rsidP="001B54B4" w:rsidRDefault="00A00EDE" w14:paraId="287C7A9A" w14:textId="77777777">
      <w:pPr>
        <w:spacing w:after="0" w:line="240" w:lineRule="auto"/>
        <w:rPr>
          <w:rFonts w:ascii="Times New Roman" w:hAnsi="Times New Roman" w:cs="Times New Roman"/>
          <w:b/>
          <w:bCs/>
          <w:sz w:val="24"/>
          <w:szCs w:val="24"/>
        </w:rPr>
      </w:pPr>
    </w:p>
    <w:p w:rsidRPr="006625E7" w:rsidR="00562915" w:rsidP="0069527C" w:rsidRDefault="00562915" w14:paraId="4A782D47"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69527C" w:rsidP="0069527C" w:rsidRDefault="0069527C" w14:paraId="7F6DD3A2" w14:textId="77777777">
      <w:pPr>
        <w:spacing w:after="0" w:line="240" w:lineRule="auto"/>
        <w:rPr>
          <w:rFonts w:ascii="Times New Roman" w:hAnsi="Times New Roman" w:cs="Times New Roman"/>
          <w:color w:val="000000"/>
          <w:sz w:val="24"/>
          <w:szCs w:val="24"/>
        </w:rPr>
      </w:pPr>
    </w:p>
    <w:p w:rsidR="00562915" w:rsidP="0069527C" w:rsidRDefault="00562915" w14:paraId="335CDBB3" w14:textId="77777777">
      <w:pPr>
        <w:spacing w:after="0" w:line="240" w:lineRule="auto"/>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lastRenderedPageBreak/>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69527C" w:rsidP="0069527C" w:rsidRDefault="0069527C" w14:paraId="0C652099" w14:textId="77777777">
      <w:pPr>
        <w:spacing w:after="0" w:line="240" w:lineRule="auto"/>
        <w:rPr>
          <w:rFonts w:ascii="Times New Roman" w:hAnsi="Times New Roman" w:cs="Times New Roman"/>
          <w:b/>
          <w:bCs/>
          <w:color w:val="000000"/>
          <w:sz w:val="24"/>
          <w:szCs w:val="24"/>
        </w:rPr>
      </w:pPr>
    </w:p>
    <w:p w:rsidRPr="006625E7" w:rsidR="00562915" w:rsidP="00562915" w:rsidRDefault="00562915" w14:paraId="1EA0346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A00EDE" w:rsidR="00A00EDE" w:rsidP="00A00EDE" w:rsidRDefault="00562915" w14:paraId="0306E3FB" w14:textId="53C83DD9">
      <w:pPr>
        <w:rPr>
          <w:rFonts w:ascii="Times New Roman" w:hAnsi="Times New Roman" w:eastAsia="Times New Roman" w:cs="Times New Roman"/>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A00EDE" w:rsidR="00A00EDE">
        <w:rPr>
          <w:rFonts w:ascii="Times New Roman" w:hAnsi="Times New Roman" w:eastAsia="Times New Roman" w:cs="Times New Roman"/>
          <w:color w:val="000000"/>
          <w:sz w:val="24"/>
          <w:szCs w:val="24"/>
        </w:rPr>
        <w:t xml:space="preserve">FEMA </w:t>
      </w:r>
      <w:r w:rsidRPr="00A00EDE" w:rsidR="00A00EDE">
        <w:rPr>
          <w:rFonts w:ascii="Times New Roman" w:hAnsi="Times New Roman" w:eastAsia="Times New Roman" w:cs="Times New Roman"/>
          <w:sz w:val="24"/>
          <w:szCs w:val="24"/>
        </w:rPr>
        <w:t xml:space="preserve">does not request an exception to the certification of this information collection. </w:t>
      </w:r>
    </w:p>
    <w:p w:rsidRPr="006625E7" w:rsidR="00562915" w:rsidP="00562915" w:rsidRDefault="00562915" w14:paraId="3A64CD21" w14:textId="77777777">
      <w:pPr>
        <w:rPr>
          <w:rFonts w:ascii="Times New Roman" w:hAnsi="Times New Roman" w:cs="Times New Roman"/>
          <w:color w:val="0000FF"/>
          <w:sz w:val="24"/>
          <w:szCs w:val="24"/>
        </w:rPr>
      </w:pPr>
    </w:p>
    <w:sectPr w:rsidRPr="006625E7" w:rsidR="00562915">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11FE4" w14:textId="77777777" w:rsidR="007E23C1" w:rsidRDefault="007E23C1">
      <w:pPr>
        <w:spacing w:after="0" w:line="240" w:lineRule="auto"/>
      </w:pPr>
      <w:r>
        <w:separator/>
      </w:r>
    </w:p>
  </w:endnote>
  <w:endnote w:type="continuationSeparator" w:id="0">
    <w:p w14:paraId="4271FEBE" w14:textId="77777777" w:rsidR="007E23C1" w:rsidRDefault="007E23C1">
      <w:pPr>
        <w:spacing w:after="0" w:line="240" w:lineRule="auto"/>
      </w:pPr>
      <w:r>
        <w:continuationSeparator/>
      </w:r>
    </w:p>
  </w:endnote>
  <w:endnote w:type="continuationNotice" w:id="1">
    <w:p w14:paraId="7318144C" w14:textId="77777777" w:rsidR="007E23C1" w:rsidRDefault="007E23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73B0B"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110037" w14:textId="77777777" w:rsidR="00F42D8D" w:rsidRDefault="00916D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0E766"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1950">
      <w:rPr>
        <w:rStyle w:val="PageNumber"/>
        <w:noProof/>
      </w:rPr>
      <w:t>11</w:t>
    </w:r>
    <w:r>
      <w:rPr>
        <w:rStyle w:val="PageNumber"/>
      </w:rPr>
      <w:fldChar w:fldCharType="end"/>
    </w:r>
  </w:p>
  <w:p w14:paraId="57EA2EB6" w14:textId="77777777" w:rsidR="00F42D8D" w:rsidRDefault="00916D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D00BC" w14:textId="77777777" w:rsidR="007E23C1" w:rsidRDefault="007E23C1">
      <w:pPr>
        <w:spacing w:after="0" w:line="240" w:lineRule="auto"/>
      </w:pPr>
      <w:r>
        <w:separator/>
      </w:r>
    </w:p>
  </w:footnote>
  <w:footnote w:type="continuationSeparator" w:id="0">
    <w:p w14:paraId="6E17D29E" w14:textId="77777777" w:rsidR="007E23C1" w:rsidRDefault="007E23C1">
      <w:pPr>
        <w:spacing w:after="0" w:line="240" w:lineRule="auto"/>
      </w:pPr>
      <w:r>
        <w:continuationSeparator/>
      </w:r>
    </w:p>
  </w:footnote>
  <w:footnote w:type="continuationNotice" w:id="1">
    <w:p w14:paraId="195C34BD" w14:textId="77777777" w:rsidR="007E23C1" w:rsidRDefault="007E23C1">
      <w:pPr>
        <w:spacing w:after="0" w:line="240" w:lineRule="auto"/>
      </w:pPr>
    </w:p>
  </w:footnote>
  <w:footnote w:id="2">
    <w:p w14:paraId="2B310BC7" w14:textId="77777777" w:rsidR="00D078B2" w:rsidRPr="005C7AE5" w:rsidRDefault="00D078B2" w:rsidP="00D078B2">
      <w:pPr>
        <w:pStyle w:val="FootnoteText"/>
        <w:rPr>
          <w:rFonts w:ascii="Times New Roman" w:hAnsi="Times New Roman"/>
        </w:rPr>
      </w:pPr>
      <w:r w:rsidRPr="005C7AE5">
        <w:rPr>
          <w:rStyle w:val="FootnoteReference"/>
          <w:rFonts w:ascii="Times New Roman" w:hAnsi="Times New Roman"/>
        </w:rPr>
        <w:footnoteRef/>
      </w:r>
      <w:r w:rsidRPr="005C7AE5">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14:paraId="3A87986B" w14:textId="3D1EFF1C" w:rsidR="00D6649B" w:rsidRDefault="00D6649B" w:rsidP="00D6649B">
      <w:pPr>
        <w:pStyle w:val="FootnoteText"/>
      </w:pPr>
      <w:r>
        <w:rPr>
          <w:rStyle w:val="FootnoteReference"/>
        </w:rPr>
        <w:footnoteRef/>
      </w:r>
      <w:r>
        <w:t xml:space="preserve"> </w:t>
      </w:r>
      <w:r>
        <w:rPr>
          <w:rFonts w:ascii="Times New Roman" w:hAnsi="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2020.”  Available at </w:t>
      </w:r>
      <w:hyperlink r:id="rId1" w:history="1">
        <w:r w:rsidRPr="007148A2">
          <w:rPr>
            <w:rStyle w:val="Hyperlink"/>
            <w:rFonts w:ascii="Times New Roman" w:hAnsi="Times New Roman"/>
          </w:rPr>
          <w:t>https://www.bls.gov/news.release/archives/ecec_06182020.pdf</w:t>
        </w:r>
      </w:hyperlink>
      <w:r>
        <w:rPr>
          <w:rFonts w:ascii="Times New Roman" w:hAnsi="Times New Roman"/>
        </w:rPr>
        <w:t xml:space="preserve">.  Accessed </w:t>
      </w:r>
      <w:r w:rsidR="00CA1444">
        <w:rPr>
          <w:rFonts w:ascii="Times New Roman" w:hAnsi="Times New Roman"/>
        </w:rPr>
        <w:t>May 26, 2021</w:t>
      </w:r>
      <w:r>
        <w:rPr>
          <w:rFonts w:ascii="Times New Roman" w:hAnsi="Times New Roman"/>
        </w:rPr>
        <w:t>.  The wage multiplier is calculated by dividing total compensation for all workers of $37.73 by wages and salaries for all workers of $25.91 per hour yielding a benefits multiplier of approximately 1.46</w:t>
      </w:r>
    </w:p>
  </w:footnote>
  <w:footnote w:id="4">
    <w:p w14:paraId="7EEF01C1" w14:textId="692D984E" w:rsidR="00D6649B" w:rsidRPr="002F0868" w:rsidRDefault="00D6649B" w:rsidP="00D6649B">
      <w:pPr>
        <w:pStyle w:val="FootnoteText"/>
        <w:rPr>
          <w:rFonts w:ascii="Times New Roman" w:hAnsi="Times New Roman"/>
        </w:rPr>
      </w:pPr>
      <w:r>
        <w:rPr>
          <w:rStyle w:val="FootnoteReference"/>
        </w:rPr>
        <w:footnoteRef/>
      </w:r>
      <w:r>
        <w:t xml:space="preserve"> </w:t>
      </w:r>
      <w:r>
        <w:rPr>
          <w:rFonts w:ascii="Times New Roman" w:hAnsi="Times New Roman"/>
        </w:rPr>
        <w:t xml:space="preserve">Information </w:t>
      </w:r>
      <w:r w:rsidRPr="002F0868">
        <w:rPr>
          <w:rFonts w:ascii="Times New Roman" w:hAnsi="Times New Roman"/>
        </w:rPr>
        <w:t xml:space="preserve">on the mean wage rate from the U.S. Department of Labor, Bureau of Labor Statistics is available online at: </w:t>
      </w:r>
      <w:hyperlink r:id="rId2" w:history="1">
        <w:r w:rsidR="00CA1444" w:rsidRPr="00CE1A39">
          <w:rPr>
            <w:rStyle w:val="Hyperlink"/>
            <w:rFonts w:ascii="Times New Roman" w:hAnsi="Times New Roman"/>
          </w:rPr>
          <w:t>https://www.bls.gov/oes/2020/may/oes_nat.htm</w:t>
        </w:r>
      </w:hyperlink>
      <w:r w:rsidR="00CA1444">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45B8"/>
    <w:rsid w:val="000045CB"/>
    <w:rsid w:val="00005AD4"/>
    <w:rsid w:val="00011682"/>
    <w:rsid w:val="00017C8F"/>
    <w:rsid w:val="00021D85"/>
    <w:rsid w:val="000325CA"/>
    <w:rsid w:val="00040C42"/>
    <w:rsid w:val="00041A6D"/>
    <w:rsid w:val="000462CE"/>
    <w:rsid w:val="000634F2"/>
    <w:rsid w:val="000775E6"/>
    <w:rsid w:val="00082B18"/>
    <w:rsid w:val="000C107E"/>
    <w:rsid w:val="000D0184"/>
    <w:rsid w:val="000D023B"/>
    <w:rsid w:val="000E2546"/>
    <w:rsid w:val="000F72E6"/>
    <w:rsid w:val="00106954"/>
    <w:rsid w:val="00117C56"/>
    <w:rsid w:val="00134403"/>
    <w:rsid w:val="0013579D"/>
    <w:rsid w:val="00147433"/>
    <w:rsid w:val="001573E8"/>
    <w:rsid w:val="00166DDB"/>
    <w:rsid w:val="00177322"/>
    <w:rsid w:val="00181913"/>
    <w:rsid w:val="001A23EB"/>
    <w:rsid w:val="001B12F4"/>
    <w:rsid w:val="001B4D7B"/>
    <w:rsid w:val="001B54B4"/>
    <w:rsid w:val="001C5DB0"/>
    <w:rsid w:val="001F1FF5"/>
    <w:rsid w:val="001F4D25"/>
    <w:rsid w:val="00204C2F"/>
    <w:rsid w:val="0023439B"/>
    <w:rsid w:val="00246F8C"/>
    <w:rsid w:val="0026352D"/>
    <w:rsid w:val="00265C27"/>
    <w:rsid w:val="0027258B"/>
    <w:rsid w:val="0029777A"/>
    <w:rsid w:val="002B27E9"/>
    <w:rsid w:val="002B2B7C"/>
    <w:rsid w:val="002C2D42"/>
    <w:rsid w:val="002D19CF"/>
    <w:rsid w:val="00313600"/>
    <w:rsid w:val="003218EA"/>
    <w:rsid w:val="0033534D"/>
    <w:rsid w:val="0035690A"/>
    <w:rsid w:val="00372A10"/>
    <w:rsid w:val="00373E9B"/>
    <w:rsid w:val="003B256F"/>
    <w:rsid w:val="003C3F58"/>
    <w:rsid w:val="003E6EA9"/>
    <w:rsid w:val="003F76E2"/>
    <w:rsid w:val="004001EB"/>
    <w:rsid w:val="0043022D"/>
    <w:rsid w:val="00455ECE"/>
    <w:rsid w:val="00466663"/>
    <w:rsid w:val="004B09CC"/>
    <w:rsid w:val="004B0A75"/>
    <w:rsid w:val="004B75E8"/>
    <w:rsid w:val="004F4D0A"/>
    <w:rsid w:val="005121F2"/>
    <w:rsid w:val="005338B3"/>
    <w:rsid w:val="0053564B"/>
    <w:rsid w:val="005449E8"/>
    <w:rsid w:val="005462DA"/>
    <w:rsid w:val="00556338"/>
    <w:rsid w:val="00562915"/>
    <w:rsid w:val="00566426"/>
    <w:rsid w:val="00573276"/>
    <w:rsid w:val="005A3D25"/>
    <w:rsid w:val="005A5434"/>
    <w:rsid w:val="005B6D30"/>
    <w:rsid w:val="005C1B7A"/>
    <w:rsid w:val="005C2106"/>
    <w:rsid w:val="005C7AE5"/>
    <w:rsid w:val="005D1DD4"/>
    <w:rsid w:val="005D3A51"/>
    <w:rsid w:val="005E3219"/>
    <w:rsid w:val="005E6793"/>
    <w:rsid w:val="006107C1"/>
    <w:rsid w:val="00634D6E"/>
    <w:rsid w:val="00653A2D"/>
    <w:rsid w:val="006625E7"/>
    <w:rsid w:val="00664D4D"/>
    <w:rsid w:val="00676C32"/>
    <w:rsid w:val="006816C2"/>
    <w:rsid w:val="0069527C"/>
    <w:rsid w:val="00695920"/>
    <w:rsid w:val="006A70CE"/>
    <w:rsid w:val="006C146B"/>
    <w:rsid w:val="006F7894"/>
    <w:rsid w:val="0070326F"/>
    <w:rsid w:val="007103B8"/>
    <w:rsid w:val="00711A6D"/>
    <w:rsid w:val="00726BBC"/>
    <w:rsid w:val="007275F9"/>
    <w:rsid w:val="007421F1"/>
    <w:rsid w:val="00751719"/>
    <w:rsid w:val="00757122"/>
    <w:rsid w:val="00762B5C"/>
    <w:rsid w:val="007A15D1"/>
    <w:rsid w:val="007A4290"/>
    <w:rsid w:val="007A681A"/>
    <w:rsid w:val="007B5775"/>
    <w:rsid w:val="007C5E4D"/>
    <w:rsid w:val="007E23C1"/>
    <w:rsid w:val="008071EC"/>
    <w:rsid w:val="00820DF6"/>
    <w:rsid w:val="00822A02"/>
    <w:rsid w:val="00841EAD"/>
    <w:rsid w:val="008432F9"/>
    <w:rsid w:val="00860EC4"/>
    <w:rsid w:val="00882740"/>
    <w:rsid w:val="008A2DF0"/>
    <w:rsid w:val="008A2FF0"/>
    <w:rsid w:val="008C3643"/>
    <w:rsid w:val="008E3B3F"/>
    <w:rsid w:val="00925650"/>
    <w:rsid w:val="009343D4"/>
    <w:rsid w:val="00942AD5"/>
    <w:rsid w:val="00952DD8"/>
    <w:rsid w:val="009728D8"/>
    <w:rsid w:val="00975BF1"/>
    <w:rsid w:val="009760D8"/>
    <w:rsid w:val="00977561"/>
    <w:rsid w:val="00980C71"/>
    <w:rsid w:val="00986855"/>
    <w:rsid w:val="00993248"/>
    <w:rsid w:val="009A04F5"/>
    <w:rsid w:val="009B5DC2"/>
    <w:rsid w:val="009C3136"/>
    <w:rsid w:val="009C6E3E"/>
    <w:rsid w:val="009D3C09"/>
    <w:rsid w:val="009F048F"/>
    <w:rsid w:val="00A00EDE"/>
    <w:rsid w:val="00A122B2"/>
    <w:rsid w:val="00A51695"/>
    <w:rsid w:val="00AA18BE"/>
    <w:rsid w:val="00AA1AFD"/>
    <w:rsid w:val="00AB1950"/>
    <w:rsid w:val="00AB1B3D"/>
    <w:rsid w:val="00AD604B"/>
    <w:rsid w:val="00B0274B"/>
    <w:rsid w:val="00B1111D"/>
    <w:rsid w:val="00B15438"/>
    <w:rsid w:val="00B42492"/>
    <w:rsid w:val="00B55F51"/>
    <w:rsid w:val="00B76FA1"/>
    <w:rsid w:val="00B92B09"/>
    <w:rsid w:val="00BB543D"/>
    <w:rsid w:val="00BC42F9"/>
    <w:rsid w:val="00BC4902"/>
    <w:rsid w:val="00BE1A34"/>
    <w:rsid w:val="00BE42FA"/>
    <w:rsid w:val="00BE6F44"/>
    <w:rsid w:val="00BF1929"/>
    <w:rsid w:val="00C1009C"/>
    <w:rsid w:val="00C24201"/>
    <w:rsid w:val="00C4138B"/>
    <w:rsid w:val="00C60460"/>
    <w:rsid w:val="00C71F14"/>
    <w:rsid w:val="00C92E68"/>
    <w:rsid w:val="00CA1444"/>
    <w:rsid w:val="00CB2CED"/>
    <w:rsid w:val="00CB7893"/>
    <w:rsid w:val="00CC1745"/>
    <w:rsid w:val="00CC1CE8"/>
    <w:rsid w:val="00CC7CD5"/>
    <w:rsid w:val="00CE3B7E"/>
    <w:rsid w:val="00D078B2"/>
    <w:rsid w:val="00D10C25"/>
    <w:rsid w:val="00D1225B"/>
    <w:rsid w:val="00D139E3"/>
    <w:rsid w:val="00D173AA"/>
    <w:rsid w:val="00D41D94"/>
    <w:rsid w:val="00D615A2"/>
    <w:rsid w:val="00D62B64"/>
    <w:rsid w:val="00D6649B"/>
    <w:rsid w:val="00D87114"/>
    <w:rsid w:val="00D92389"/>
    <w:rsid w:val="00DE5868"/>
    <w:rsid w:val="00E03C1F"/>
    <w:rsid w:val="00E20591"/>
    <w:rsid w:val="00E3309A"/>
    <w:rsid w:val="00E419E5"/>
    <w:rsid w:val="00E462CD"/>
    <w:rsid w:val="00E4659B"/>
    <w:rsid w:val="00E5141E"/>
    <w:rsid w:val="00E74E72"/>
    <w:rsid w:val="00E9307D"/>
    <w:rsid w:val="00E93991"/>
    <w:rsid w:val="00ED7F8C"/>
    <w:rsid w:val="00EE380D"/>
    <w:rsid w:val="00F101DA"/>
    <w:rsid w:val="00F26686"/>
    <w:rsid w:val="00F3681B"/>
    <w:rsid w:val="00F47C12"/>
    <w:rsid w:val="00F71F77"/>
    <w:rsid w:val="00F812D5"/>
    <w:rsid w:val="00FA356E"/>
    <w:rsid w:val="00FB4A9A"/>
    <w:rsid w:val="03B434DF"/>
    <w:rsid w:val="05097C75"/>
    <w:rsid w:val="117585F9"/>
    <w:rsid w:val="332C6317"/>
    <w:rsid w:val="4E1DCBF0"/>
    <w:rsid w:val="570CAEFD"/>
    <w:rsid w:val="7C2B9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7A2A"/>
  <w15:docId w15:val="{1FE89264-270F-4BED-86CE-957F76C0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FootnoteText">
    <w:name w:val="footnote text"/>
    <w:basedOn w:val="Normal"/>
    <w:link w:val="FootnoteTextChar"/>
    <w:uiPriority w:val="99"/>
    <w:unhideWhenUsed/>
    <w:rsid w:val="00D078B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D078B2"/>
    <w:rPr>
      <w:rFonts w:ascii="Calibri" w:eastAsia="Times New Roman" w:hAnsi="Calibri" w:cs="Times New Roman"/>
      <w:sz w:val="20"/>
      <w:szCs w:val="20"/>
    </w:rPr>
  </w:style>
  <w:style w:type="character" w:styleId="FootnoteReference">
    <w:name w:val="footnote reference"/>
    <w:uiPriority w:val="99"/>
    <w:unhideWhenUsed/>
    <w:rsid w:val="00D078B2"/>
    <w:rPr>
      <w:vertAlign w:val="superscript"/>
    </w:rPr>
  </w:style>
  <w:style w:type="character" w:styleId="CommentReference">
    <w:name w:val="annotation reference"/>
    <w:basedOn w:val="DefaultParagraphFont"/>
    <w:uiPriority w:val="99"/>
    <w:semiHidden/>
    <w:unhideWhenUsed/>
    <w:rsid w:val="00021D85"/>
    <w:rPr>
      <w:sz w:val="16"/>
      <w:szCs w:val="16"/>
    </w:rPr>
  </w:style>
  <w:style w:type="paragraph" w:styleId="CommentText">
    <w:name w:val="annotation text"/>
    <w:basedOn w:val="Normal"/>
    <w:link w:val="CommentTextChar"/>
    <w:uiPriority w:val="99"/>
    <w:semiHidden/>
    <w:unhideWhenUsed/>
    <w:rsid w:val="00021D85"/>
    <w:pPr>
      <w:spacing w:line="240" w:lineRule="auto"/>
    </w:pPr>
    <w:rPr>
      <w:sz w:val="20"/>
      <w:szCs w:val="20"/>
    </w:rPr>
  </w:style>
  <w:style w:type="character" w:customStyle="1" w:styleId="CommentTextChar">
    <w:name w:val="Comment Text Char"/>
    <w:basedOn w:val="DefaultParagraphFont"/>
    <w:link w:val="CommentText"/>
    <w:uiPriority w:val="99"/>
    <w:semiHidden/>
    <w:rsid w:val="00021D85"/>
    <w:rPr>
      <w:sz w:val="20"/>
      <w:szCs w:val="20"/>
    </w:rPr>
  </w:style>
  <w:style w:type="paragraph" w:styleId="CommentSubject">
    <w:name w:val="annotation subject"/>
    <w:basedOn w:val="CommentText"/>
    <w:next w:val="CommentText"/>
    <w:link w:val="CommentSubjectChar"/>
    <w:uiPriority w:val="99"/>
    <w:semiHidden/>
    <w:unhideWhenUsed/>
    <w:rsid w:val="00021D85"/>
    <w:rPr>
      <w:b/>
      <w:bCs/>
    </w:rPr>
  </w:style>
  <w:style w:type="character" w:customStyle="1" w:styleId="CommentSubjectChar">
    <w:name w:val="Comment Subject Char"/>
    <w:basedOn w:val="CommentTextChar"/>
    <w:link w:val="CommentSubject"/>
    <w:uiPriority w:val="99"/>
    <w:semiHidden/>
    <w:rsid w:val="00021D85"/>
    <w:rPr>
      <w:b/>
      <w:bCs/>
      <w:sz w:val="20"/>
      <w:szCs w:val="20"/>
    </w:rPr>
  </w:style>
  <w:style w:type="character" w:styleId="FollowedHyperlink">
    <w:name w:val="FollowedHyperlink"/>
    <w:basedOn w:val="DefaultParagraphFont"/>
    <w:uiPriority w:val="99"/>
    <w:semiHidden/>
    <w:unhideWhenUsed/>
    <w:rsid w:val="005462DA"/>
    <w:rPr>
      <w:color w:val="800080" w:themeColor="followedHyperlink"/>
      <w:u w:val="single"/>
    </w:rPr>
  </w:style>
  <w:style w:type="character" w:styleId="UnresolvedMention">
    <w:name w:val="Unresolved Mention"/>
    <w:basedOn w:val="DefaultParagraphFont"/>
    <w:uiPriority w:val="99"/>
    <w:semiHidden/>
    <w:unhideWhenUsed/>
    <w:rsid w:val="00D10C25"/>
    <w:rPr>
      <w:color w:val="605E5C"/>
      <w:shd w:val="clear" w:color="auto" w:fill="E1DFDD"/>
    </w:rPr>
  </w:style>
  <w:style w:type="paragraph" w:styleId="Header">
    <w:name w:val="header"/>
    <w:basedOn w:val="Normal"/>
    <w:link w:val="HeaderChar"/>
    <w:uiPriority w:val="99"/>
    <w:semiHidden/>
    <w:unhideWhenUsed/>
    <w:rsid w:val="001B4D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4D7B"/>
  </w:style>
  <w:style w:type="table" w:styleId="TableGrid">
    <w:name w:val="Table Grid"/>
    <w:basedOn w:val="TableNormal"/>
    <w:rsid w:val="006F78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1/DCB.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0/may/oes_nat.htm" TargetMode="External"/><Relationship Id="rId1" Type="http://schemas.openxmlformats.org/officeDocument/2006/relationships/hyperlink" Target="https://www.bls.gov/news.release/archives/ecec_0618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2" ma:contentTypeDescription="Create a new document." ma:contentTypeScope="" ma:versionID="6b36e12df88cea41201d1e878b4bb32c">
  <xsd:schema xmlns:xsd="http://www.w3.org/2001/XMLSchema" xmlns:xs="http://www.w3.org/2001/XMLSchema" xmlns:p="http://schemas.microsoft.com/office/2006/metadata/properties" xmlns:ns2="5583a38e-5bd1-4cf9-b4f2-d9b49c295657" targetNamespace="http://schemas.microsoft.com/office/2006/metadata/properties" ma:root="true" ma:fieldsID="b6fd07b8d1365ebee649b9082c3e7293" ns2:_="">
    <xsd:import namespace="5583a38e-5bd1-4cf9-b4f2-d9b49c2956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D7E99-B36D-492D-B8F6-F44F1F97874F}">
  <ds:schemaRefs>
    <ds:schemaRef ds:uri="http://schemas.microsoft.com/sharepoint/v3/contenttype/forms"/>
  </ds:schemaRefs>
</ds:datastoreItem>
</file>

<file path=customXml/itemProps2.xml><?xml version="1.0" encoding="utf-8"?>
<ds:datastoreItem xmlns:ds="http://schemas.openxmlformats.org/officeDocument/2006/customXml" ds:itemID="{B13F36D6-CD99-4F06-916A-33F4AC597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E347C-DC22-484B-98A0-149FE693D5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9F9EC5-6264-418D-82CB-C1E44A8F8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2</cp:revision>
  <cp:lastPrinted>2015-04-10T12:18:00Z</cp:lastPrinted>
  <dcterms:created xsi:type="dcterms:W3CDTF">2021-06-07T14:20:00Z</dcterms:created>
  <dcterms:modified xsi:type="dcterms:W3CDTF">2021-06-07T14:20:00Z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