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A26" w:rsidRDefault="008868B4" w14:paraId="4602396E" w14:textId="77777777">
      <w:pPr>
        <w:jc w:val="center"/>
      </w:pPr>
      <w:bookmarkStart w:name="_GoBack" w:id="0"/>
      <w:bookmarkEnd w:id="0"/>
      <w:r>
        <w:t>173 FERC ¶ 61,032</w:t>
      </w:r>
    </w:p>
    <w:p w:rsidR="00604BA9" w:rsidP="00693FEA" w:rsidRDefault="00604BA9" w14:paraId="56B07572" w14:textId="77777777">
      <w:pPr>
        <w:ind w:left="2160" w:firstLine="720"/>
      </w:pPr>
      <w:r>
        <w:t>UNITED STATES OF AMERICA</w:t>
      </w:r>
    </w:p>
    <w:p w:rsidR="00604BA9" w:rsidP="0082201A" w:rsidRDefault="00604BA9" w14:paraId="4A966B9B" w14:textId="77777777">
      <w:pPr>
        <w:jc w:val="center"/>
      </w:pPr>
      <w:r>
        <w:t>FEDERAL ENERGY REGULATORY COMMISSION</w:t>
      </w:r>
    </w:p>
    <w:p w:rsidR="00604BA9" w:rsidP="0082201A" w:rsidRDefault="00604BA9" w14:paraId="07AB074F" w14:textId="77777777">
      <w:pPr>
        <w:jc w:val="center"/>
      </w:pPr>
    </w:p>
    <w:p w:rsidR="00604BA9" w:rsidP="0082201A" w:rsidRDefault="00ED2AB2" w14:paraId="474407B0" w14:textId="77777777">
      <w:pPr>
        <w:jc w:val="center"/>
      </w:pPr>
      <w:r w:rsidRPr="00ED2AB2">
        <w:t>18 CFR Part 40</w:t>
      </w:r>
    </w:p>
    <w:p w:rsidRPr="00ED2AB2" w:rsidR="00ED2AB2" w:rsidP="0082201A" w:rsidRDefault="00ED2AB2" w14:paraId="17E7C84D" w14:textId="77777777">
      <w:pPr>
        <w:jc w:val="center"/>
      </w:pPr>
    </w:p>
    <w:p w:rsidR="00604BA9" w:rsidP="0082201A" w:rsidRDefault="00604BA9" w14:paraId="31FBF1E3" w14:textId="1F53E3F9">
      <w:pPr>
        <w:jc w:val="center"/>
      </w:pPr>
      <w:r>
        <w:t>[Docket No. RM1</w:t>
      </w:r>
      <w:r w:rsidR="00280210">
        <w:t>9</w:t>
      </w:r>
      <w:r>
        <w:t>-</w:t>
      </w:r>
      <w:r w:rsidR="00280210">
        <w:t>20-</w:t>
      </w:r>
      <w:r>
        <w:t>000]</w:t>
      </w:r>
    </w:p>
    <w:p w:rsidR="00604BA9" w:rsidP="0082201A" w:rsidRDefault="00604BA9" w14:paraId="297B68FC" w14:textId="77777777">
      <w:pPr>
        <w:jc w:val="center"/>
      </w:pPr>
    </w:p>
    <w:p w:rsidR="00604BA9" w:rsidP="0082201A" w:rsidRDefault="00AE062C" w14:paraId="7E774503" w14:textId="4A9F2DD2">
      <w:pPr>
        <w:jc w:val="center"/>
      </w:pPr>
      <w:r>
        <w:t xml:space="preserve">WECC </w:t>
      </w:r>
      <w:r w:rsidR="00604BA9">
        <w:t>Regional</w:t>
      </w:r>
      <w:r w:rsidR="0058749F">
        <w:t xml:space="preserve"> Reliability Standard BAL-002-WECC-3 (</w:t>
      </w:r>
      <w:r w:rsidR="00604BA9">
        <w:t>Contingency Reserve</w:t>
      </w:r>
      <w:r w:rsidR="0058749F">
        <w:t>)</w:t>
      </w:r>
      <w:r w:rsidR="00C54C1D">
        <w:t xml:space="preserve"> </w:t>
      </w:r>
    </w:p>
    <w:p w:rsidR="00604BA9" w:rsidP="0082201A" w:rsidRDefault="00604BA9" w14:paraId="44778DD6" w14:textId="77777777">
      <w:pPr>
        <w:jc w:val="center"/>
      </w:pPr>
    </w:p>
    <w:p w:rsidR="00604BA9" w:rsidP="00FB7045" w:rsidRDefault="00FB7045" w14:paraId="398936F0" w14:textId="3EE56D8F">
      <w:pPr>
        <w:widowControl/>
        <w:jc w:val="center"/>
      </w:pPr>
      <w:r w:rsidRPr="00FB7045">
        <w:t>(Issued October 1</w:t>
      </w:r>
      <w:r>
        <w:t>5</w:t>
      </w:r>
      <w:r w:rsidRPr="00FB7045">
        <w:t>, 2020)</w:t>
      </w:r>
    </w:p>
    <w:p w:rsidR="00604BA9" w:rsidP="0082201A" w:rsidRDefault="00604BA9" w14:paraId="600D7A1D" w14:textId="77777777"/>
    <w:p w:rsidR="00604BA9" w:rsidP="0082201A" w:rsidRDefault="00604BA9" w14:paraId="00129E14" w14:textId="77777777">
      <w:pPr>
        <w:spacing w:line="480" w:lineRule="auto"/>
      </w:pPr>
      <w:r>
        <w:rPr>
          <w:u w:val="single"/>
        </w:rPr>
        <w:t>AGENCY</w:t>
      </w:r>
      <w:r>
        <w:t>:  Federal Energy Regulatory Commission.</w:t>
      </w:r>
    </w:p>
    <w:p w:rsidR="00604BA9" w:rsidP="0082201A" w:rsidRDefault="00604BA9" w14:paraId="65471C30" w14:textId="0AF06D2C">
      <w:pPr>
        <w:spacing w:line="480" w:lineRule="auto"/>
      </w:pPr>
      <w:r>
        <w:rPr>
          <w:u w:val="single"/>
        </w:rPr>
        <w:t>ACTION</w:t>
      </w:r>
      <w:r>
        <w:t xml:space="preserve">:  Notice of </w:t>
      </w:r>
      <w:r w:rsidR="00364EFE">
        <w:t>p</w:t>
      </w:r>
      <w:r>
        <w:t xml:space="preserve">roposed </w:t>
      </w:r>
      <w:r w:rsidR="00364EFE">
        <w:t>r</w:t>
      </w:r>
      <w:r>
        <w:t>ulemaking.</w:t>
      </w:r>
    </w:p>
    <w:p w:rsidRPr="00371D1A" w:rsidR="00371D1A" w:rsidP="00371D1A" w:rsidRDefault="00604BA9" w14:paraId="2DEA45F8" w14:textId="02248594">
      <w:pPr>
        <w:spacing w:line="480" w:lineRule="auto"/>
        <w:rPr>
          <w:szCs w:val="26"/>
        </w:rPr>
      </w:pPr>
      <w:r>
        <w:rPr>
          <w:u w:val="single"/>
        </w:rPr>
        <w:t>SUMMARY</w:t>
      </w:r>
      <w:r>
        <w:t xml:space="preserve">:  </w:t>
      </w:r>
      <w:r w:rsidR="00E03F84">
        <w:t>T</w:t>
      </w:r>
      <w:r w:rsidRPr="00604BA9">
        <w:t>he Federal Energy Regulatory Commission (Commission) propos</w:t>
      </w:r>
      <w:r w:rsidR="00364EFE">
        <w:t xml:space="preserve">es </w:t>
      </w:r>
      <w:r w:rsidR="00054CFC">
        <w:br/>
      </w:r>
      <w:r w:rsidR="00364EFE">
        <w:t>to</w:t>
      </w:r>
      <w:r w:rsidRPr="00604BA9">
        <w:t xml:space="preserve"> approve regional Reliability Standard BAL-002-WECC-</w:t>
      </w:r>
      <w:r w:rsidR="00976FF6">
        <w:t>3</w:t>
      </w:r>
      <w:r w:rsidRPr="00604BA9">
        <w:t xml:space="preserve"> (Contingency Reserve)</w:t>
      </w:r>
      <w:r w:rsidR="00E03F84">
        <w:t xml:space="preserve"> submitted </w:t>
      </w:r>
      <w:r w:rsidR="00AA6456">
        <w:t xml:space="preserve">jointly </w:t>
      </w:r>
      <w:r w:rsidRPr="00604BA9" w:rsidR="00364EFE">
        <w:t xml:space="preserve">by </w:t>
      </w:r>
      <w:r w:rsidR="00364EFE">
        <w:t>t</w:t>
      </w:r>
      <w:r w:rsidRPr="00604BA9">
        <w:t>he North American Electric Reliability Corporation (NERC)</w:t>
      </w:r>
      <w:r w:rsidR="0028127D">
        <w:t>, the Commission-certified Electric Reliability Organization,</w:t>
      </w:r>
      <w:r w:rsidRPr="00604BA9">
        <w:t xml:space="preserve"> </w:t>
      </w:r>
      <w:r w:rsidR="00E967B8">
        <w:t xml:space="preserve">and </w:t>
      </w:r>
      <w:r w:rsidR="0028127D">
        <w:t xml:space="preserve">the </w:t>
      </w:r>
      <w:r w:rsidRPr="00604BA9" w:rsidR="00E967B8">
        <w:t>Western Electricity Coordinating Council (WECC)</w:t>
      </w:r>
      <w:r w:rsidR="00364EFE">
        <w:t>.</w:t>
      </w:r>
      <w:r w:rsidRPr="00604BA9">
        <w:t xml:space="preserve">  </w:t>
      </w:r>
      <w:r w:rsidR="009C6911">
        <w:rPr>
          <w:szCs w:val="26"/>
        </w:rPr>
        <w:t>In addition</w:t>
      </w:r>
      <w:r w:rsidR="00104752">
        <w:rPr>
          <w:szCs w:val="26"/>
        </w:rPr>
        <w:t>, the Commission</w:t>
      </w:r>
      <w:r w:rsidR="00FA2C15">
        <w:rPr>
          <w:szCs w:val="26"/>
        </w:rPr>
        <w:t xml:space="preserve"> propose</w:t>
      </w:r>
      <w:r w:rsidR="00104752">
        <w:rPr>
          <w:szCs w:val="26"/>
        </w:rPr>
        <w:t>s</w:t>
      </w:r>
      <w:r w:rsidR="00FA2C15">
        <w:rPr>
          <w:szCs w:val="26"/>
        </w:rPr>
        <w:t xml:space="preserve"> to direct NERC</w:t>
      </w:r>
      <w:r w:rsidR="00E03F84">
        <w:rPr>
          <w:szCs w:val="26"/>
        </w:rPr>
        <w:t xml:space="preserve"> and WECC</w:t>
      </w:r>
      <w:r w:rsidR="00FA2C15">
        <w:rPr>
          <w:szCs w:val="26"/>
        </w:rPr>
        <w:t xml:space="preserve"> to submit an informational filing</w:t>
      </w:r>
      <w:r w:rsidR="00E03F84">
        <w:rPr>
          <w:szCs w:val="26"/>
        </w:rPr>
        <w:t>.</w:t>
      </w:r>
    </w:p>
    <w:p w:rsidR="00604BA9" w:rsidP="0082201A" w:rsidRDefault="00604BA9" w14:paraId="545454A9" w14:textId="1F1917C1">
      <w:pPr>
        <w:spacing w:line="480" w:lineRule="auto"/>
      </w:pPr>
      <w:r>
        <w:rPr>
          <w:u w:val="single"/>
        </w:rPr>
        <w:t>DATES</w:t>
      </w:r>
      <w:r>
        <w:t>:  Comments are due</w:t>
      </w:r>
      <w:r>
        <w:rPr>
          <w:b/>
        </w:rPr>
        <w:t xml:space="preserve"> [INSERT DATE 60 days after </w:t>
      </w:r>
      <w:r w:rsidR="00F76E95">
        <w:rPr>
          <w:b/>
        </w:rPr>
        <w:t xml:space="preserve">date of </w:t>
      </w:r>
      <w:r>
        <w:rPr>
          <w:b/>
        </w:rPr>
        <w:t>publication in the FEDERAL REGISTER]</w:t>
      </w:r>
    </w:p>
    <w:p w:rsidR="00604BA9" w:rsidP="0082201A" w:rsidRDefault="00604BA9" w14:paraId="4240B92D" w14:textId="00F857B0">
      <w:pPr>
        <w:spacing w:line="480" w:lineRule="auto"/>
      </w:pPr>
      <w:r>
        <w:rPr>
          <w:u w:val="single"/>
        </w:rPr>
        <w:t>ADDRESSES</w:t>
      </w:r>
      <w:r>
        <w:t>:  C</w:t>
      </w:r>
      <w:r w:rsidRPr="00062A6A">
        <w:t>omments</w:t>
      </w:r>
      <w:r>
        <w:t>,</w:t>
      </w:r>
      <w:r w:rsidRPr="00062A6A">
        <w:t xml:space="preserve"> identified by docket number</w:t>
      </w:r>
      <w:r w:rsidR="00317B02">
        <w:t xml:space="preserve"> RM19-20</w:t>
      </w:r>
      <w:r>
        <w:t>,</w:t>
      </w:r>
      <w:r w:rsidRPr="00062A6A">
        <w:t xml:space="preserve"> </w:t>
      </w:r>
      <w:r>
        <w:t>may be filed in the following ways:</w:t>
      </w:r>
      <w:r w:rsidRPr="00062A6A">
        <w:t xml:space="preserve"> </w:t>
      </w:r>
      <w:r w:rsidR="009F40DC">
        <w:t xml:space="preserve"> </w:t>
      </w:r>
    </w:p>
    <w:p w:rsidR="00CF2558" w:rsidP="0082201A" w:rsidRDefault="00604BA9" w14:paraId="480CCEC3" w14:textId="2E45E12D">
      <w:pPr>
        <w:numPr>
          <w:ilvl w:val="0"/>
          <w:numId w:val="22"/>
        </w:numPr>
        <w:spacing w:line="480" w:lineRule="auto"/>
      </w:pPr>
      <w:r>
        <w:t xml:space="preserve">Electronic Filing through </w:t>
      </w:r>
      <w:hyperlink w:history="1" r:id="rId19">
        <w:r w:rsidRPr="00054CFC">
          <w:rPr>
            <w:rStyle w:val="Hyperlink"/>
            <w:color w:val="auto"/>
            <w:u w:val="none"/>
          </w:rPr>
          <w:t>http://www.ferc.gov</w:t>
        </w:r>
      </w:hyperlink>
      <w:r w:rsidRPr="00054CFC">
        <w:t>.</w:t>
      </w:r>
      <w:r>
        <w:t xml:space="preserve">  </w:t>
      </w:r>
      <w:r w:rsidRPr="00062A6A">
        <w:t>Documents created electronically using word processing software should be filed in native applications or print-to-PDF format and not in a scanned format.</w:t>
      </w:r>
    </w:p>
    <w:p w:rsidR="00CF2558" w:rsidRDefault="00CF2558" w14:paraId="49DC58A2" w14:textId="77777777">
      <w:pPr>
        <w:widowControl/>
        <w:autoSpaceDE/>
        <w:autoSpaceDN/>
        <w:adjustRightInd/>
      </w:pPr>
      <w:r>
        <w:br w:type="page"/>
      </w:r>
    </w:p>
    <w:p w:rsidR="00604BA9" w:rsidP="0082201A" w:rsidRDefault="00604BA9" w14:paraId="2E64D965" w14:textId="25411E2A">
      <w:pPr>
        <w:numPr>
          <w:ilvl w:val="0"/>
          <w:numId w:val="22"/>
        </w:numPr>
        <w:spacing w:line="480" w:lineRule="auto"/>
      </w:pPr>
      <w:r>
        <w:lastRenderedPageBreak/>
        <w:t>Mail/Hand Delivery:  Those unable to file electronically may mail or hand-deliver comments</w:t>
      </w:r>
      <w:r w:rsidR="00317B02">
        <w:t xml:space="preserve"> via United States Postal Service (USPS) to</w:t>
      </w:r>
      <w:r>
        <w:t xml:space="preserve">: </w:t>
      </w:r>
      <w:r w:rsidR="009F40DC">
        <w:t xml:space="preserve"> </w:t>
      </w:r>
      <w:r>
        <w:t xml:space="preserve">Federal Energy Regulatory Commission, Secretary of the Commission, 888 First Street, NE, Washington, </w:t>
      </w:r>
      <w:r w:rsidR="00CF2558">
        <w:br/>
      </w:r>
      <w:r>
        <w:t>DC</w:t>
      </w:r>
      <w:r w:rsidR="00550C04">
        <w:t xml:space="preserve"> </w:t>
      </w:r>
      <w:r>
        <w:t xml:space="preserve"> 20426.</w:t>
      </w:r>
    </w:p>
    <w:p w:rsidR="006C0210" w:rsidP="0082201A" w:rsidRDefault="00604BA9" w14:paraId="0B4738E5" w14:textId="4E2527C0">
      <w:r w:rsidRPr="00593749">
        <w:rPr>
          <w:i/>
        </w:rPr>
        <w:t>Instructions</w:t>
      </w:r>
      <w:r w:rsidRPr="00593749">
        <w:t>:</w:t>
      </w:r>
      <w:r w:rsidR="00054CFC">
        <w:t xml:space="preserve"> </w:t>
      </w:r>
      <w:r w:rsidRPr="00593749">
        <w:t xml:space="preserve"> For detailed instructions on submitting comments and additional information on the rulemaking process,</w:t>
      </w:r>
      <w:r>
        <w:t xml:space="preserve"> see the Comment Procedures Section of this document</w:t>
      </w:r>
      <w:r w:rsidR="006C0210">
        <w:t>.</w:t>
      </w:r>
    </w:p>
    <w:p w:rsidR="006C0210" w:rsidP="0082201A" w:rsidRDefault="006C0210" w14:paraId="2F23E621" w14:textId="77777777"/>
    <w:p w:rsidR="00604BA9" w:rsidP="0082201A" w:rsidRDefault="00604BA9" w14:paraId="6287CDB5" w14:textId="465E6A61">
      <w:r>
        <w:rPr>
          <w:u w:val="single"/>
        </w:rPr>
        <w:t>FOR FURTHER INFORMATION CONTACT</w:t>
      </w:r>
      <w:r>
        <w:t>:</w:t>
      </w:r>
    </w:p>
    <w:p w:rsidR="00604BA9" w:rsidP="0082201A" w:rsidRDefault="00604BA9" w14:paraId="0EEB875A" w14:textId="77777777"/>
    <w:p w:rsidRPr="006414DF" w:rsidR="00604BA9" w:rsidP="00604BA9" w:rsidRDefault="00536C95" w14:paraId="7CB43F10" w14:textId="4D868088">
      <w:pPr>
        <w:rPr>
          <w:szCs w:val="26"/>
        </w:rPr>
      </w:pPr>
      <w:r>
        <w:rPr>
          <w:szCs w:val="26"/>
        </w:rPr>
        <w:t>Susan Morris</w:t>
      </w:r>
      <w:r w:rsidRPr="00886C73" w:rsidR="00604BA9">
        <w:rPr>
          <w:szCs w:val="26"/>
        </w:rPr>
        <w:t xml:space="preserve"> </w:t>
      </w:r>
      <w:r w:rsidRPr="006414DF" w:rsidR="00604BA9">
        <w:rPr>
          <w:szCs w:val="26"/>
        </w:rPr>
        <w:t>(Technical Information)</w:t>
      </w:r>
    </w:p>
    <w:p w:rsidRPr="006414DF" w:rsidR="00604BA9" w:rsidP="00604BA9" w:rsidRDefault="00604BA9" w14:paraId="29E451EF" w14:textId="7E8A918D">
      <w:pPr>
        <w:rPr>
          <w:szCs w:val="26"/>
        </w:rPr>
      </w:pPr>
      <w:r w:rsidRPr="006414DF">
        <w:rPr>
          <w:szCs w:val="26"/>
        </w:rPr>
        <w:t xml:space="preserve">Office of Electric Reliability, </w:t>
      </w:r>
      <w:r w:rsidR="00E70F4C">
        <w:rPr>
          <w:szCs w:val="26"/>
        </w:rPr>
        <w:t>Division of</w:t>
      </w:r>
      <w:r w:rsidR="00536C95">
        <w:rPr>
          <w:szCs w:val="26"/>
        </w:rPr>
        <w:t xml:space="preserve"> Operations and Planning </w:t>
      </w:r>
      <w:r w:rsidR="00E70F4C">
        <w:rPr>
          <w:szCs w:val="26"/>
        </w:rPr>
        <w:t>Standards</w:t>
      </w:r>
    </w:p>
    <w:p w:rsidRPr="006414DF" w:rsidR="00604BA9" w:rsidP="00604BA9" w:rsidRDefault="00604BA9" w14:paraId="372800BC" w14:textId="77777777">
      <w:pPr>
        <w:rPr>
          <w:szCs w:val="26"/>
        </w:rPr>
      </w:pPr>
      <w:r w:rsidRPr="006414DF">
        <w:rPr>
          <w:szCs w:val="26"/>
        </w:rPr>
        <w:t xml:space="preserve">Federal Energy Regulatory Commission </w:t>
      </w:r>
    </w:p>
    <w:p w:rsidRPr="006414DF" w:rsidR="00604BA9" w:rsidP="00604BA9" w:rsidRDefault="00604BA9" w14:paraId="14B10E02" w14:textId="77777777">
      <w:pPr>
        <w:rPr>
          <w:szCs w:val="26"/>
        </w:rPr>
      </w:pPr>
      <w:r w:rsidRPr="006414DF">
        <w:rPr>
          <w:szCs w:val="26"/>
        </w:rPr>
        <w:t xml:space="preserve">888 </w:t>
      </w:r>
      <w:smartTag w:uri="urn:schemas-microsoft-com:office:smarttags" w:element="Street">
        <w:smartTag w:uri="urn:schemas-microsoft-com:office:smarttags" w:element="address">
          <w:r w:rsidRPr="006414DF">
            <w:rPr>
              <w:szCs w:val="26"/>
            </w:rPr>
            <w:t>First Street, NE</w:t>
          </w:r>
        </w:smartTag>
      </w:smartTag>
      <w:r w:rsidRPr="006414DF">
        <w:rPr>
          <w:szCs w:val="26"/>
        </w:rPr>
        <w:t xml:space="preserve"> </w:t>
      </w:r>
    </w:p>
    <w:p w:rsidRPr="006414DF" w:rsidR="00604BA9" w:rsidP="00604BA9" w:rsidRDefault="00604BA9" w14:paraId="677310CE" w14:textId="77777777">
      <w:pPr>
        <w:rPr>
          <w:szCs w:val="26"/>
        </w:rPr>
      </w:pPr>
      <w:smartTag w:uri="urn:schemas-microsoft-com:office:smarttags" w:element="place">
        <w:smartTag w:uri="urn:schemas-microsoft-com:office:smarttags" w:element="City">
          <w:r w:rsidRPr="006414DF">
            <w:rPr>
              <w:szCs w:val="26"/>
            </w:rPr>
            <w:t>Washington</w:t>
          </w:r>
        </w:smartTag>
        <w:r w:rsidRPr="006414DF">
          <w:rPr>
            <w:szCs w:val="26"/>
          </w:rPr>
          <w:t xml:space="preserve">, </w:t>
        </w:r>
        <w:smartTag w:uri="urn:schemas-microsoft-com:office:smarttags" w:element="State">
          <w:r w:rsidRPr="006414DF">
            <w:rPr>
              <w:szCs w:val="26"/>
            </w:rPr>
            <w:t>DC</w:t>
          </w:r>
        </w:smartTag>
        <w:r w:rsidRPr="006414DF">
          <w:rPr>
            <w:szCs w:val="26"/>
          </w:rPr>
          <w:t xml:space="preserve">  </w:t>
        </w:r>
        <w:smartTag w:uri="urn:schemas-microsoft-com:office:smarttags" w:element="PostalCode">
          <w:r w:rsidRPr="006414DF">
            <w:rPr>
              <w:szCs w:val="26"/>
            </w:rPr>
            <w:t>20426</w:t>
          </w:r>
        </w:smartTag>
      </w:smartTag>
      <w:r w:rsidRPr="006414DF">
        <w:rPr>
          <w:szCs w:val="26"/>
        </w:rPr>
        <w:t xml:space="preserve"> </w:t>
      </w:r>
    </w:p>
    <w:p w:rsidRPr="006414DF" w:rsidR="00604BA9" w:rsidP="00604BA9" w:rsidRDefault="00604BA9" w14:paraId="4458A3E0" w14:textId="0E72907B">
      <w:pPr>
        <w:rPr>
          <w:szCs w:val="26"/>
        </w:rPr>
      </w:pPr>
      <w:r>
        <w:rPr>
          <w:szCs w:val="26"/>
        </w:rPr>
        <w:t>Telephone:  (202) 502-</w:t>
      </w:r>
      <w:r w:rsidR="00536C95">
        <w:rPr>
          <w:szCs w:val="26"/>
        </w:rPr>
        <w:t>6803</w:t>
      </w:r>
    </w:p>
    <w:p w:rsidRPr="00054CFC" w:rsidR="00604BA9" w:rsidP="00604BA9" w:rsidRDefault="007E5F38" w14:paraId="17939794" w14:textId="21085D09">
      <w:hyperlink w:history="1" r:id="rId20">
        <w:r w:rsidRPr="00054CFC" w:rsidR="00C54C1D">
          <w:rPr>
            <w:rStyle w:val="Hyperlink"/>
            <w:color w:val="auto"/>
            <w:u w:val="none"/>
          </w:rPr>
          <w:t>Susan.Morris@ferc.gov</w:t>
        </w:r>
      </w:hyperlink>
      <w:r w:rsidRPr="00054CFC" w:rsidR="00804F2F">
        <w:tab/>
      </w:r>
    </w:p>
    <w:p w:rsidRPr="00886C73" w:rsidR="00604BA9" w:rsidP="00604BA9" w:rsidRDefault="00604BA9" w14:paraId="142ABC05" w14:textId="77777777">
      <w:pPr>
        <w:rPr>
          <w:szCs w:val="26"/>
        </w:rPr>
      </w:pPr>
    </w:p>
    <w:p w:rsidRPr="006414DF" w:rsidR="00604BA9" w:rsidP="00604BA9" w:rsidRDefault="00536C95" w14:paraId="467BC895" w14:textId="39062928">
      <w:pPr>
        <w:keepNext/>
        <w:keepLines/>
        <w:rPr>
          <w:szCs w:val="26"/>
        </w:rPr>
      </w:pPr>
      <w:r>
        <w:rPr>
          <w:szCs w:val="26"/>
        </w:rPr>
        <w:t>Mark Bennett</w:t>
      </w:r>
      <w:r w:rsidRPr="006414DF" w:rsidR="00604BA9">
        <w:rPr>
          <w:szCs w:val="26"/>
        </w:rPr>
        <w:t xml:space="preserve"> (Legal Information)</w:t>
      </w:r>
    </w:p>
    <w:p w:rsidRPr="006414DF" w:rsidR="00604BA9" w:rsidP="00604BA9" w:rsidRDefault="00604BA9" w14:paraId="15CAE1E2" w14:textId="77777777">
      <w:pPr>
        <w:keepNext/>
        <w:keepLines/>
        <w:rPr>
          <w:szCs w:val="26"/>
        </w:rPr>
      </w:pPr>
      <w:r w:rsidRPr="006414DF">
        <w:rPr>
          <w:szCs w:val="26"/>
        </w:rPr>
        <w:t>Office of the General Counsel</w:t>
      </w:r>
    </w:p>
    <w:p w:rsidRPr="006414DF" w:rsidR="00604BA9" w:rsidP="00604BA9" w:rsidRDefault="00604BA9" w14:paraId="23486834" w14:textId="77777777">
      <w:pPr>
        <w:keepNext/>
        <w:keepLines/>
        <w:rPr>
          <w:szCs w:val="26"/>
        </w:rPr>
      </w:pPr>
      <w:r w:rsidRPr="006414DF">
        <w:rPr>
          <w:szCs w:val="26"/>
        </w:rPr>
        <w:t>Federal Energy Regulatory Commission</w:t>
      </w:r>
    </w:p>
    <w:p w:rsidRPr="006414DF" w:rsidR="00604BA9" w:rsidP="00604BA9" w:rsidRDefault="00604BA9" w14:paraId="2BD26936" w14:textId="77777777">
      <w:pPr>
        <w:keepNext/>
        <w:keepLines/>
        <w:rPr>
          <w:szCs w:val="26"/>
        </w:rPr>
      </w:pPr>
      <w:r w:rsidRPr="006414DF">
        <w:rPr>
          <w:szCs w:val="26"/>
        </w:rPr>
        <w:t xml:space="preserve">888 </w:t>
      </w:r>
      <w:smartTag w:uri="urn:schemas-microsoft-com:office:smarttags" w:element="Street">
        <w:smartTag w:uri="urn:schemas-microsoft-com:office:smarttags" w:element="address">
          <w:r w:rsidRPr="006414DF">
            <w:rPr>
              <w:szCs w:val="26"/>
            </w:rPr>
            <w:t>First Street, NE</w:t>
          </w:r>
        </w:smartTag>
      </w:smartTag>
      <w:r w:rsidRPr="006414DF">
        <w:rPr>
          <w:szCs w:val="26"/>
        </w:rPr>
        <w:t xml:space="preserve"> </w:t>
      </w:r>
    </w:p>
    <w:p w:rsidRPr="006414DF" w:rsidR="00604BA9" w:rsidP="00604BA9" w:rsidRDefault="00604BA9" w14:paraId="421AF9AF" w14:textId="77777777">
      <w:pPr>
        <w:keepNext/>
        <w:keepLines/>
        <w:rPr>
          <w:szCs w:val="26"/>
        </w:rPr>
      </w:pPr>
      <w:smartTag w:uri="urn:schemas-microsoft-com:office:smarttags" w:element="place">
        <w:smartTag w:uri="urn:schemas-microsoft-com:office:smarttags" w:element="City">
          <w:r w:rsidRPr="006414DF">
            <w:rPr>
              <w:szCs w:val="26"/>
            </w:rPr>
            <w:t>Washington</w:t>
          </w:r>
        </w:smartTag>
        <w:r w:rsidRPr="006414DF">
          <w:rPr>
            <w:szCs w:val="26"/>
          </w:rPr>
          <w:t xml:space="preserve">, </w:t>
        </w:r>
        <w:smartTag w:uri="urn:schemas-microsoft-com:office:smarttags" w:element="State">
          <w:r w:rsidRPr="006414DF">
            <w:rPr>
              <w:szCs w:val="26"/>
            </w:rPr>
            <w:t>DC</w:t>
          </w:r>
        </w:smartTag>
        <w:r w:rsidRPr="006414DF">
          <w:rPr>
            <w:szCs w:val="26"/>
          </w:rPr>
          <w:t xml:space="preserve">  </w:t>
        </w:r>
        <w:smartTag w:uri="urn:schemas-microsoft-com:office:smarttags" w:element="PostalCode">
          <w:r w:rsidRPr="006414DF">
            <w:rPr>
              <w:szCs w:val="26"/>
            </w:rPr>
            <w:t>20426</w:t>
          </w:r>
        </w:smartTag>
      </w:smartTag>
    </w:p>
    <w:p w:rsidRPr="006414DF" w:rsidR="00604BA9" w:rsidP="00604BA9" w:rsidRDefault="00604BA9" w14:paraId="1FE989D7" w14:textId="3F5F5B56">
      <w:pPr>
        <w:rPr>
          <w:szCs w:val="26"/>
        </w:rPr>
      </w:pPr>
      <w:r w:rsidRPr="006414DF">
        <w:rPr>
          <w:szCs w:val="26"/>
        </w:rPr>
        <w:t>Telephone:  (202) 502-8</w:t>
      </w:r>
      <w:r w:rsidR="00536C95">
        <w:rPr>
          <w:szCs w:val="26"/>
        </w:rPr>
        <w:t>524</w:t>
      </w:r>
    </w:p>
    <w:p w:rsidRPr="000504AD" w:rsidR="00604BA9" w:rsidP="00604BA9" w:rsidRDefault="007E5F38" w14:paraId="5D59B9B9" w14:textId="58E5DBF7">
      <w:pPr>
        <w:rPr>
          <w:szCs w:val="26"/>
        </w:rPr>
      </w:pPr>
      <w:hyperlink w:history="1" r:id="rId21">
        <w:r w:rsidRPr="000504AD" w:rsidR="00C54C1D">
          <w:rPr>
            <w:rStyle w:val="Hyperlink"/>
            <w:color w:val="auto"/>
            <w:szCs w:val="26"/>
            <w:u w:val="none"/>
          </w:rPr>
          <w:t>Mark.Bennett@ferc.gov</w:t>
        </w:r>
      </w:hyperlink>
      <w:r w:rsidRPr="000504AD" w:rsidR="00604BA9">
        <w:rPr>
          <w:szCs w:val="26"/>
        </w:rPr>
        <w:t xml:space="preserve">  </w:t>
      </w:r>
    </w:p>
    <w:p w:rsidR="00604BA9" w:rsidP="0082201A" w:rsidRDefault="00604BA9" w14:paraId="5636C606" w14:textId="77777777"/>
    <w:p w:rsidR="00604BA9" w:rsidP="0082201A" w:rsidRDefault="00604BA9" w14:paraId="0E57A987" w14:textId="77777777">
      <w:pPr>
        <w:sectPr w:rsidR="00604BA9" w:rsidSect="00604BA9">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pgNumType w:fmt="numberInDash"/>
          <w:cols w:space="720"/>
          <w:titlePg/>
          <w:docGrid w:linePitch="360"/>
        </w:sectPr>
      </w:pPr>
      <w:r>
        <w:rPr>
          <w:u w:val="single"/>
        </w:rPr>
        <w:t>SUPPLEMENTARY INFORMATION</w:t>
      </w:r>
      <w:r>
        <w:t>:</w:t>
      </w:r>
    </w:p>
    <w:p w:rsidR="008868B4" w:rsidP="008868B4" w:rsidRDefault="008868B4" w14:paraId="415FDA34" w14:textId="77777777">
      <w:pPr>
        <w:jc w:val="center"/>
      </w:pPr>
      <w:bookmarkStart w:name="_Start_TOC" w:id="1"/>
      <w:bookmarkStart w:name="_End_TOC" w:id="2"/>
      <w:bookmarkEnd w:id="1"/>
      <w:bookmarkEnd w:id="2"/>
      <w:r>
        <w:lastRenderedPageBreak/>
        <w:t>173 FERC ¶ 61,032</w:t>
      </w:r>
    </w:p>
    <w:p w:rsidR="00604BA9" w:rsidP="0082201A" w:rsidRDefault="00604BA9" w14:paraId="540F4F3F" w14:textId="77777777">
      <w:pPr>
        <w:jc w:val="center"/>
      </w:pPr>
      <w:r w:rsidRPr="00C10EF5">
        <w:t>UNITED</w:t>
      </w:r>
      <w:r>
        <w:t xml:space="preserve"> STATES OF AMERICA</w:t>
      </w:r>
    </w:p>
    <w:p w:rsidR="00604BA9" w:rsidP="0082201A" w:rsidRDefault="00604BA9" w14:paraId="6A600E5C" w14:textId="77777777">
      <w:pPr>
        <w:jc w:val="center"/>
      </w:pPr>
      <w:r>
        <w:t>FEDERAL ENERGY REGULATORY COMMISSION</w:t>
      </w:r>
    </w:p>
    <w:p w:rsidR="00604BA9" w:rsidP="0082201A" w:rsidRDefault="00604BA9" w14:paraId="4A5AE9A4" w14:textId="77777777">
      <w:pPr>
        <w:ind w:left="1440" w:hanging="1440"/>
      </w:pPr>
    </w:p>
    <w:p w:rsidR="00604BA9" w:rsidP="0082201A" w:rsidRDefault="00604BA9" w14:paraId="1CC20D40" w14:textId="77777777">
      <w:pPr>
        <w:ind w:left="1440" w:hanging="1440"/>
      </w:pPr>
    </w:p>
    <w:tbl>
      <w:tblPr>
        <w:tblW w:w="0" w:type="auto"/>
        <w:tblCellMar>
          <w:left w:w="0" w:type="dxa"/>
          <w:right w:w="0" w:type="dxa"/>
        </w:tblCellMar>
        <w:tblLook w:val="01E0" w:firstRow="1" w:lastRow="1" w:firstColumn="1" w:lastColumn="1" w:noHBand="0" w:noVBand="0"/>
      </w:tblPr>
      <w:tblGrid>
        <w:gridCol w:w="5932"/>
        <w:gridCol w:w="1808"/>
        <w:gridCol w:w="1620"/>
      </w:tblGrid>
      <w:tr w:rsidR="00604BA9" w:rsidTr="000504AD" w14:paraId="663886D7" w14:textId="77777777">
        <w:tc>
          <w:tcPr>
            <w:tcW w:w="5932" w:type="dxa"/>
            <w:shd w:val="clear" w:color="auto" w:fill="auto"/>
          </w:tcPr>
          <w:p w:rsidR="00604BA9" w:rsidP="0082201A" w:rsidRDefault="003B7286" w14:paraId="5B832478" w14:textId="56A3B6E3">
            <w:r>
              <w:t xml:space="preserve">WECC </w:t>
            </w:r>
            <w:r w:rsidR="00604BA9">
              <w:t>Regional Reliability Standard BAL-002-</w:t>
            </w:r>
            <w:r w:rsidR="000504AD">
              <w:br/>
            </w:r>
            <w:r w:rsidR="00604BA9">
              <w:t>WECC-</w:t>
            </w:r>
            <w:r w:rsidR="00C54C1D">
              <w:t>3</w:t>
            </w:r>
            <w:r w:rsidR="00604BA9">
              <w:t xml:space="preserve"> </w:t>
            </w:r>
            <w:r w:rsidR="006C0210">
              <w:t>(</w:t>
            </w:r>
            <w:r w:rsidR="00604BA9">
              <w:t>Contin</w:t>
            </w:r>
            <w:r w:rsidR="006C0210">
              <w:t>gency Reserve)</w:t>
            </w:r>
          </w:p>
        </w:tc>
        <w:tc>
          <w:tcPr>
            <w:tcW w:w="1808" w:type="dxa"/>
            <w:shd w:val="clear" w:color="auto" w:fill="auto"/>
            <w:tcMar>
              <w:left w:w="72" w:type="dxa"/>
            </w:tcMar>
          </w:tcPr>
          <w:p w:rsidR="00604BA9" w:rsidP="00413B7B" w:rsidRDefault="000504AD" w14:paraId="511AEFBA" w14:textId="3D1ADB65">
            <w:pPr>
              <w:jc w:val="right"/>
            </w:pPr>
            <w:r>
              <w:t xml:space="preserve">  </w:t>
            </w:r>
            <w:r w:rsidR="00604BA9">
              <w:t>Docket No.</w:t>
            </w:r>
          </w:p>
        </w:tc>
        <w:tc>
          <w:tcPr>
            <w:tcW w:w="1620" w:type="dxa"/>
            <w:shd w:val="clear" w:color="auto" w:fill="auto"/>
            <w:tcMar>
              <w:left w:w="144" w:type="dxa"/>
            </w:tcMar>
          </w:tcPr>
          <w:p w:rsidR="00604BA9" w:rsidP="000504AD" w:rsidRDefault="000504AD" w14:paraId="116B8E23" w14:textId="1F1DD5E7">
            <w:pPr>
              <w:ind w:hanging="150"/>
            </w:pPr>
            <w:r>
              <w:t xml:space="preserve">  </w:t>
            </w:r>
            <w:r w:rsidR="00604BA9">
              <w:t>RM1</w:t>
            </w:r>
            <w:r w:rsidR="00C54C1D">
              <w:t>9-20</w:t>
            </w:r>
            <w:r w:rsidR="00604BA9">
              <w:t>-000</w:t>
            </w:r>
          </w:p>
        </w:tc>
      </w:tr>
    </w:tbl>
    <w:p w:rsidR="00604BA9" w:rsidP="0082201A" w:rsidRDefault="00604BA9" w14:paraId="2199D3CD" w14:textId="77777777"/>
    <w:p w:rsidR="00604BA9" w:rsidP="0082201A" w:rsidRDefault="00604BA9" w14:paraId="255F3651" w14:textId="77777777"/>
    <w:p w:rsidR="00604BA9" w:rsidP="0082201A" w:rsidRDefault="00604BA9" w14:paraId="50B388E8" w14:textId="77777777">
      <w:pPr>
        <w:jc w:val="center"/>
      </w:pPr>
      <w:r>
        <w:t>NOTICE OF PROPOSED RULEMAKING</w:t>
      </w:r>
    </w:p>
    <w:p w:rsidR="00804F2F" w:rsidP="0082201A" w:rsidRDefault="00804F2F" w14:paraId="12981110" w14:textId="77777777">
      <w:pPr>
        <w:jc w:val="center"/>
      </w:pPr>
    </w:p>
    <w:p w:rsidR="00550C04" w:rsidP="00FB7045" w:rsidRDefault="00FB7045" w14:paraId="02825D30" w14:textId="70062242">
      <w:pPr>
        <w:widowControl/>
        <w:jc w:val="center"/>
      </w:pPr>
      <w:r w:rsidRPr="00FB7045">
        <w:t>(Issued October 1</w:t>
      </w:r>
      <w:r>
        <w:t>5</w:t>
      </w:r>
      <w:r w:rsidRPr="00FB7045">
        <w:t>, 2020)</w:t>
      </w:r>
    </w:p>
    <w:p w:rsidRPr="00FB7045" w:rsidR="00FB7045" w:rsidP="00FB7045" w:rsidRDefault="00FB7045" w14:paraId="0C7C615E" w14:textId="77777777">
      <w:pPr>
        <w:widowControl/>
      </w:pPr>
    </w:p>
    <w:p w:rsidR="006C0210" w:rsidP="00604BA9" w:rsidRDefault="006C0210" w14:paraId="1D722A00" w14:textId="0982B286">
      <w:pPr>
        <w:pStyle w:val="FERCparanumber"/>
      </w:pPr>
      <w:r>
        <w:t>Pursuant to</w:t>
      </w:r>
      <w:r w:rsidR="00604BA9">
        <w:t xml:space="preserve"> section 215</w:t>
      </w:r>
      <w:r>
        <w:t>(d)(2)</w:t>
      </w:r>
      <w:r w:rsidR="00604BA9">
        <w:t xml:space="preserve"> of the Federal Power Act (FPA), the Commission proposes to approve regional Reliability Standard BAL-002-WECC-</w:t>
      </w:r>
      <w:r w:rsidR="00BD35EB">
        <w:t>3</w:t>
      </w:r>
      <w:r w:rsidR="00604BA9">
        <w:t xml:space="preserve"> (Contingency Reserve).  The North American Electric Reliability Corporation (NERC)</w:t>
      </w:r>
      <w:r w:rsidR="0074519F">
        <w:t>, the Commission-certified Electric Reliability Organization</w:t>
      </w:r>
      <w:r w:rsidR="00596E93">
        <w:t xml:space="preserve"> (ERO)</w:t>
      </w:r>
      <w:r w:rsidR="007866FF">
        <w:t>,</w:t>
      </w:r>
      <w:r w:rsidR="00604BA9">
        <w:t xml:space="preserve"> </w:t>
      </w:r>
      <w:r w:rsidR="00E967B8">
        <w:t>and Western Electricity Coordinating Council (WECC)</w:t>
      </w:r>
      <w:r w:rsidR="00D03C8B">
        <w:t xml:space="preserve"> jointly</w:t>
      </w:r>
      <w:r w:rsidRPr="00BF3D42" w:rsidR="00BF3D42">
        <w:rPr>
          <w:rStyle w:val="FootnoteReference"/>
        </w:rPr>
        <w:t xml:space="preserve"> </w:t>
      </w:r>
      <w:r w:rsidR="00604BA9">
        <w:t xml:space="preserve">submitted the proposed regional Reliability Standard to the Commission for approval.  </w:t>
      </w:r>
    </w:p>
    <w:p w:rsidR="00604BA9" w:rsidP="00604BA9" w:rsidRDefault="00BD35EB" w14:paraId="3BFFA240" w14:textId="29DC36B3">
      <w:pPr>
        <w:pStyle w:val="FERCparanumber"/>
      </w:pPr>
      <w:r>
        <w:t>P</w:t>
      </w:r>
      <w:r w:rsidR="00604BA9">
        <w:t xml:space="preserve">roposed regional Reliability Standard </w:t>
      </w:r>
      <w:r>
        <w:t xml:space="preserve">BAL-002-WECC-3 </w:t>
      </w:r>
      <w:r w:rsidR="00604BA9">
        <w:t xml:space="preserve">applies to balancing authorities and reserve sharing groups in the </w:t>
      </w:r>
      <w:r w:rsidR="00E967B8">
        <w:t xml:space="preserve">WECC </w:t>
      </w:r>
      <w:r w:rsidR="00604BA9">
        <w:t>Region</w:t>
      </w:r>
      <w:r w:rsidR="00596E93">
        <w:t>,</w:t>
      </w:r>
      <w:r w:rsidR="00604BA9">
        <w:t xml:space="preserve"> and </w:t>
      </w:r>
      <w:r>
        <w:t xml:space="preserve">it </w:t>
      </w:r>
      <w:r w:rsidR="00604BA9">
        <w:t>specif</w:t>
      </w:r>
      <w:r w:rsidR="0074519F">
        <w:t>ies</w:t>
      </w:r>
      <w:r w:rsidR="00604BA9">
        <w:t xml:space="preserve"> the quantity and types of </w:t>
      </w:r>
      <w:r w:rsidR="008B14FA">
        <w:t>c</w:t>
      </w:r>
      <w:r w:rsidR="00604BA9">
        <w:t xml:space="preserve">ontingency </w:t>
      </w:r>
      <w:r w:rsidR="008B14FA">
        <w:t>r</w:t>
      </w:r>
      <w:r w:rsidR="00604BA9">
        <w:t>eserve required to ensure reliability under normal and abnormal conditions.</w:t>
      </w:r>
      <w:r w:rsidR="00EA0331">
        <w:rPr>
          <w:rStyle w:val="FootnoteReference"/>
        </w:rPr>
        <w:footnoteReference w:id="2"/>
      </w:r>
      <w:r>
        <w:t xml:space="preserve">  The principal difference between </w:t>
      </w:r>
      <w:r w:rsidR="00E14E6C">
        <w:t xml:space="preserve">the </w:t>
      </w:r>
      <w:r>
        <w:t xml:space="preserve">currently-effective regional Reliability Standard BAL-002-WECC-2a and the proposed version is the elimination of </w:t>
      </w:r>
      <w:r>
        <w:lastRenderedPageBreak/>
        <w:t>Requirement R2 from the current</w:t>
      </w:r>
      <w:r w:rsidR="00D03C8B">
        <w:t>ly-effective</w:t>
      </w:r>
      <w:r>
        <w:t xml:space="preserve"> version.  As </w:t>
      </w:r>
      <w:r w:rsidR="00D03C8B">
        <w:t xml:space="preserve">discussed </w:t>
      </w:r>
      <w:r>
        <w:t xml:space="preserve">in the </w:t>
      </w:r>
      <w:r w:rsidR="00D03C8B">
        <w:t xml:space="preserve">joint </w:t>
      </w:r>
      <w:r>
        <w:t xml:space="preserve">petition, Requirement R2 </w:t>
      </w:r>
      <w:r w:rsidR="003B7286">
        <w:t>is</w:t>
      </w:r>
      <w:r>
        <w:t xml:space="preserve"> redundant in the light of the implementation of the continent-wide Reliability Standard </w:t>
      </w:r>
      <w:r w:rsidR="00A2721E">
        <w:t>BAL-003-1.1</w:t>
      </w:r>
      <w:r w:rsidR="00D03C8B">
        <w:t xml:space="preserve"> (Frequency Response and Frequency Bias Setting)</w:t>
      </w:r>
      <w:r w:rsidR="00A2721E">
        <w:t>.  Given</w:t>
      </w:r>
      <w:r w:rsidR="003B7286">
        <w:t xml:space="preserve"> the requirements of the continent-wide Reliability Standard BAL-003-1.1 and the results of field tests conducted by NERC and WECC assessing the potential impact</w:t>
      </w:r>
      <w:r w:rsidR="00E5006F">
        <w:t>s</w:t>
      </w:r>
      <w:r w:rsidR="003B7286">
        <w:t xml:space="preserve"> of the retirement of Reliability Standard BAL-002-WECC-2a</w:t>
      </w:r>
      <w:r w:rsidR="00D03C8B">
        <w:t xml:space="preserve"> </w:t>
      </w:r>
      <w:r w:rsidR="00590DCE">
        <w:t xml:space="preserve">Requirement R2 </w:t>
      </w:r>
      <w:r w:rsidR="00D03C8B">
        <w:t>on contingency reserves in the Western Interconnection</w:t>
      </w:r>
      <w:r w:rsidR="003B7286">
        <w:t>, the Commission proposes to approve regional Reliability Standard BAL-002-WECC-3 and retire the currently-effective version of the regional Reliability Standard.</w:t>
      </w:r>
    </w:p>
    <w:p w:rsidR="00604BA9" w:rsidP="00604BA9" w:rsidRDefault="003B7286" w14:paraId="59004FE2" w14:textId="3EADF8C2">
      <w:pPr>
        <w:pStyle w:val="FERCparanumber"/>
      </w:pPr>
      <w:r>
        <w:rPr>
          <w:szCs w:val="26"/>
        </w:rPr>
        <w:t>In addition</w:t>
      </w:r>
      <w:r w:rsidR="00F15D09">
        <w:rPr>
          <w:szCs w:val="26"/>
        </w:rPr>
        <w:t>,</w:t>
      </w:r>
      <w:r w:rsidR="00D03C8B">
        <w:rPr>
          <w:szCs w:val="26"/>
        </w:rPr>
        <w:t xml:space="preserve"> </w:t>
      </w:r>
      <w:r w:rsidR="00335D18">
        <w:rPr>
          <w:szCs w:val="26"/>
        </w:rPr>
        <w:t xml:space="preserve">although </w:t>
      </w:r>
      <w:r w:rsidR="00EF6974">
        <w:rPr>
          <w:szCs w:val="26"/>
        </w:rPr>
        <w:t xml:space="preserve">the Commission </w:t>
      </w:r>
      <w:r w:rsidR="00E14E6C">
        <w:t>proposes to approve regional Reliability Standard BAL-002-WECC-3</w:t>
      </w:r>
      <w:r w:rsidR="00335D18">
        <w:rPr>
          <w:szCs w:val="26"/>
        </w:rPr>
        <w:t xml:space="preserve">, the Commission believes it appropriate in this case </w:t>
      </w:r>
      <w:r w:rsidR="00D03C8B">
        <w:rPr>
          <w:szCs w:val="26"/>
        </w:rPr>
        <w:t>to monitor the potential impacts of retiring Requirement R2</w:t>
      </w:r>
      <w:r w:rsidR="00EF6974">
        <w:rPr>
          <w:szCs w:val="26"/>
        </w:rPr>
        <w:t xml:space="preserve"> on the </w:t>
      </w:r>
      <w:r w:rsidR="00335D18">
        <w:rPr>
          <w:szCs w:val="26"/>
        </w:rPr>
        <w:t xml:space="preserve">adequacy of contingency reserves in the Western Interconnection.  </w:t>
      </w:r>
      <w:r w:rsidR="00EF6974">
        <w:rPr>
          <w:szCs w:val="26"/>
        </w:rPr>
        <w:t xml:space="preserve">Therefore, </w:t>
      </w:r>
      <w:r w:rsidR="00F15D09">
        <w:rPr>
          <w:szCs w:val="26"/>
        </w:rPr>
        <w:t>the Commission</w:t>
      </w:r>
      <w:r w:rsidR="00FA2C15">
        <w:rPr>
          <w:szCs w:val="26"/>
        </w:rPr>
        <w:t xml:space="preserve"> propose</w:t>
      </w:r>
      <w:r w:rsidR="00F15D09">
        <w:rPr>
          <w:szCs w:val="26"/>
        </w:rPr>
        <w:t>s</w:t>
      </w:r>
      <w:r w:rsidR="00FA2C15">
        <w:rPr>
          <w:szCs w:val="26"/>
        </w:rPr>
        <w:t xml:space="preserve"> to direct NERC</w:t>
      </w:r>
      <w:r w:rsidR="00E84800">
        <w:rPr>
          <w:szCs w:val="26"/>
        </w:rPr>
        <w:t xml:space="preserve"> and WECC</w:t>
      </w:r>
      <w:r w:rsidR="00FA2C15">
        <w:rPr>
          <w:szCs w:val="26"/>
        </w:rPr>
        <w:t xml:space="preserve"> </w:t>
      </w:r>
      <w:r w:rsidRPr="004F6E19" w:rsidR="00FA2C15">
        <w:rPr>
          <w:szCs w:val="26"/>
        </w:rPr>
        <w:t xml:space="preserve">to submit an informational filing </w:t>
      </w:r>
      <w:r w:rsidR="00415174">
        <w:rPr>
          <w:szCs w:val="26"/>
        </w:rPr>
        <w:t xml:space="preserve">27 </w:t>
      </w:r>
      <w:r w:rsidR="00E84800">
        <w:rPr>
          <w:szCs w:val="26"/>
        </w:rPr>
        <w:t>months following</w:t>
      </w:r>
      <w:r w:rsidRPr="004F6E19" w:rsidR="00FA2C15">
        <w:rPr>
          <w:szCs w:val="26"/>
        </w:rPr>
        <w:t xml:space="preserve"> implementation of </w:t>
      </w:r>
      <w:r w:rsidR="00E84800">
        <w:t xml:space="preserve">regional Reliability Standard BAL-002-WECC-3 </w:t>
      </w:r>
      <w:r w:rsidR="00FA2C15">
        <w:rPr>
          <w:szCs w:val="26"/>
        </w:rPr>
        <w:t>that addresses the adequacy of contingency reserve</w:t>
      </w:r>
      <w:r w:rsidR="00D03C8B">
        <w:rPr>
          <w:szCs w:val="26"/>
        </w:rPr>
        <w:t>s</w:t>
      </w:r>
      <w:r w:rsidR="00FA2C15">
        <w:rPr>
          <w:szCs w:val="26"/>
        </w:rPr>
        <w:t xml:space="preserve"> in the Western Interconnection</w:t>
      </w:r>
      <w:r w:rsidR="00BF14A5">
        <w:rPr>
          <w:szCs w:val="26"/>
        </w:rPr>
        <w:t>.</w:t>
      </w:r>
    </w:p>
    <w:p w:rsidR="00604BA9" w:rsidP="00604BA9" w:rsidRDefault="00604BA9" w14:paraId="7C057ABF" w14:textId="77777777">
      <w:pPr>
        <w:pStyle w:val="Heading1"/>
      </w:pPr>
      <w:r>
        <w:t>Background</w:t>
      </w:r>
    </w:p>
    <w:p w:rsidRPr="00604BA9" w:rsidR="00604BA9" w:rsidP="00604BA9" w:rsidRDefault="00E84800" w14:paraId="7942F5EF" w14:textId="403BA5EA">
      <w:pPr>
        <w:pStyle w:val="Heading2"/>
        <w:tabs>
          <w:tab w:val="clear" w:pos="1080"/>
          <w:tab w:val="num" w:pos="1430"/>
        </w:tabs>
        <w:ind w:left="720" w:firstLine="0"/>
        <w:rPr>
          <w:szCs w:val="26"/>
        </w:rPr>
      </w:pPr>
      <w:bookmarkStart w:name="_Toc280101676" w:id="3"/>
      <w:r>
        <w:rPr>
          <w:szCs w:val="26"/>
        </w:rPr>
        <w:t>Section 215 and Regional</w:t>
      </w:r>
      <w:r w:rsidRPr="006414DF">
        <w:rPr>
          <w:szCs w:val="26"/>
        </w:rPr>
        <w:t xml:space="preserve"> </w:t>
      </w:r>
      <w:r w:rsidRPr="006414DF" w:rsidR="00604BA9">
        <w:rPr>
          <w:szCs w:val="26"/>
        </w:rPr>
        <w:t>Reliability Standards</w:t>
      </w:r>
      <w:bookmarkEnd w:id="3"/>
    </w:p>
    <w:p w:rsidR="00280FF7" w:rsidP="00280FF7" w:rsidRDefault="00280FF7" w14:paraId="18E1B81B" w14:textId="04455532">
      <w:pPr>
        <w:pStyle w:val="FERCparanumber"/>
      </w:pPr>
      <w:r>
        <w:t xml:space="preserve">Section 215 of the FPA requires a Commission-certified ERO to develop mandatory and enforceable Reliability Standards that are subject to Commission review </w:t>
      </w:r>
      <w:r>
        <w:lastRenderedPageBreak/>
        <w:t>and approval.</w:t>
      </w:r>
      <w:r w:rsidR="00DF2574">
        <w:rPr>
          <w:rStyle w:val="FootnoteReference"/>
        </w:rPr>
        <w:footnoteReference w:id="3"/>
      </w:r>
      <w:r>
        <w:t xml:space="preserve">  Once approved, the Reliability Standards may be enforced by NERC, subject to Commission oversight, or by the Commission independently.</w:t>
      </w:r>
      <w:r w:rsidR="00DF2574">
        <w:rPr>
          <w:rStyle w:val="FootnoteReference"/>
        </w:rPr>
        <w:footnoteReference w:id="4"/>
      </w:r>
      <w:r>
        <w:t xml:space="preserve"> </w:t>
      </w:r>
    </w:p>
    <w:p w:rsidR="00280FF7" w:rsidP="00280FF7" w:rsidRDefault="00280FF7" w14:paraId="2660950A" w14:textId="3C2973F0">
      <w:pPr>
        <w:pStyle w:val="FERCparanumber"/>
      </w:pPr>
      <w:r>
        <w:t xml:space="preserve">A Regional Entity may develop a </w:t>
      </w:r>
      <w:r w:rsidR="00126589">
        <w:t xml:space="preserve">regional </w:t>
      </w:r>
      <w:r>
        <w:t>Reliability Standard for Commission approval to be effective in that region only.</w:t>
      </w:r>
      <w:r w:rsidR="00DF2574">
        <w:rPr>
          <w:rStyle w:val="FootnoteReference"/>
        </w:rPr>
        <w:footnoteReference w:id="5"/>
      </w:r>
      <w:r>
        <w:t xml:space="preserve">  In Order No. 672, the Commission stated that:</w:t>
      </w:r>
    </w:p>
    <w:p w:rsidR="00280FF7" w:rsidP="006B664E" w:rsidRDefault="00280FF7" w14:paraId="62426112" w14:textId="77777777">
      <w:pPr>
        <w:pStyle w:val="FERCparanumber"/>
        <w:numPr>
          <w:ilvl w:val="0"/>
          <w:numId w:val="0"/>
        </w:numPr>
        <w:spacing w:after="240" w:line="240" w:lineRule="auto"/>
        <w:ind w:left="1430" w:right="1430"/>
      </w:pPr>
      <w:r>
        <w:t>As a general matter, we will accept the following two types of regional differences, provided they are otherwise just, reasonable, not unduly discriminatory or preferential and in the public interest, as required under the statute:  (1) a regional difference that is more stringent than the continent-wide Reliability Standard, including a regional difference that addresses matters that the continent-wide Reliability Standard does not; and (2) a regional Reliability Standard that is necessitated by a physical difference in the Bulk-Power System.</w:t>
      </w:r>
      <w:r w:rsidR="00DF2574">
        <w:rPr>
          <w:rStyle w:val="FootnoteReference"/>
        </w:rPr>
        <w:footnoteReference w:id="6"/>
      </w:r>
      <w:r>
        <w:t xml:space="preserve"> </w:t>
      </w:r>
    </w:p>
    <w:p w:rsidR="00280FF7" w:rsidP="00CD006E" w:rsidRDefault="00507CFD" w14:paraId="2792D179" w14:textId="3E24DADB">
      <w:pPr>
        <w:pStyle w:val="FERCparanumber"/>
        <w:numPr>
          <w:ilvl w:val="0"/>
          <w:numId w:val="0"/>
        </w:numPr>
      </w:pPr>
      <w:r>
        <w:t xml:space="preserve">While </w:t>
      </w:r>
      <w:r w:rsidR="007E324F">
        <w:t xml:space="preserve">a Regional Entity may propose </w:t>
      </w:r>
      <w:r w:rsidR="00126589">
        <w:t xml:space="preserve">regional </w:t>
      </w:r>
      <w:r w:rsidR="007E324F">
        <w:t xml:space="preserve">Reliability Standards that address specific, unique regional conditions and circumstances, such regional Reliability Standards can be </w:t>
      </w:r>
      <w:r w:rsidR="007E324F">
        <w:lastRenderedPageBreak/>
        <w:t>retired if those justifications are no longer relevant.  Accordingly,</w:t>
      </w:r>
      <w:r w:rsidR="0014617F">
        <w:t xml:space="preserve"> the</w:t>
      </w:r>
      <w:r w:rsidR="007E324F">
        <w:t xml:space="preserve"> </w:t>
      </w:r>
      <w:r w:rsidRPr="0014617F" w:rsidR="0014617F">
        <w:t xml:space="preserve">Commission </w:t>
      </w:r>
      <w:r w:rsidR="0014617F">
        <w:t>may</w:t>
      </w:r>
      <w:r w:rsidRPr="0014617F" w:rsidR="0014617F">
        <w:t xml:space="preserve"> approve retirement of a more stringent regional requirement </w:t>
      </w:r>
      <w:r w:rsidR="0014617F">
        <w:t>“</w:t>
      </w:r>
      <w:r w:rsidRPr="0014617F" w:rsidR="0014617F">
        <w:t>if the Regional Entity demonstrates that the continent-wide Reliability Standard is sufficient to ensure the reliability of that region.</w:t>
      </w:r>
      <w:r w:rsidR="0014617F">
        <w:t>”</w:t>
      </w:r>
      <w:r w:rsidRPr="00D52FD4" w:rsidR="00E91C65">
        <w:rPr>
          <w:b/>
          <w:vertAlign w:val="superscript"/>
        </w:rPr>
        <w:footnoteReference w:id="7"/>
      </w:r>
      <w:r w:rsidRPr="00507CFD">
        <w:t xml:space="preserve"> </w:t>
      </w:r>
      <w:r>
        <w:t xml:space="preserve">         </w:t>
      </w:r>
      <w:r w:rsidRPr="00D52FD4" w:rsidR="00D52FD4">
        <w:t xml:space="preserve">    </w:t>
      </w:r>
    </w:p>
    <w:p w:rsidR="00280FF7" w:rsidP="00280FF7" w:rsidRDefault="00280FF7" w14:paraId="5C326FF1" w14:textId="699A1CD1">
      <w:pPr>
        <w:pStyle w:val="Heading2"/>
        <w:tabs>
          <w:tab w:val="clear" w:pos="1080"/>
          <w:tab w:val="left" w:pos="1430"/>
        </w:tabs>
        <w:ind w:left="720" w:firstLine="0"/>
        <w:rPr>
          <w:szCs w:val="26"/>
        </w:rPr>
      </w:pPr>
      <w:r w:rsidRPr="006414DF">
        <w:rPr>
          <w:szCs w:val="26"/>
        </w:rPr>
        <w:t xml:space="preserve">Regional Reliability Standard </w:t>
      </w:r>
      <w:r>
        <w:rPr>
          <w:szCs w:val="26"/>
        </w:rPr>
        <w:t>BAL-002-WECC-</w:t>
      </w:r>
      <w:r w:rsidR="004F6E19">
        <w:rPr>
          <w:szCs w:val="26"/>
        </w:rPr>
        <w:t>2</w:t>
      </w:r>
    </w:p>
    <w:p w:rsidR="004F6E19" w:rsidP="004F6E19" w:rsidRDefault="004F6E19" w14:paraId="58506E51" w14:textId="53C187A4">
      <w:pPr>
        <w:pStyle w:val="FERCparanumber"/>
      </w:pPr>
      <w:r>
        <w:t>On November 21, 2013, the Commission approved r</w:t>
      </w:r>
      <w:r w:rsidRPr="004F6E19">
        <w:t>egional Reliability Standard BAL-002-WECC-2 specif</w:t>
      </w:r>
      <w:r>
        <w:t>ying</w:t>
      </w:r>
      <w:r w:rsidRPr="004F6E19">
        <w:t xml:space="preserve"> the quantity and types of contingency reserve required to ensure reliability under normal and abnormal conditions.</w:t>
      </w:r>
      <w:r w:rsidR="000535A1">
        <w:rPr>
          <w:rStyle w:val="FootnoteReference"/>
        </w:rPr>
        <w:footnoteReference w:id="8"/>
      </w:r>
      <w:r w:rsidRPr="004F6E19">
        <w:t xml:space="preserve">  </w:t>
      </w:r>
      <w:r w:rsidR="000535A1">
        <w:t>R</w:t>
      </w:r>
      <w:r w:rsidRPr="004F6E19">
        <w:t xml:space="preserve">egional Reliability Standard </w:t>
      </w:r>
      <w:r w:rsidRPr="004F6E19" w:rsidR="000535A1">
        <w:t xml:space="preserve">BAL-002-WECC-2 </w:t>
      </w:r>
      <w:r w:rsidR="005A1C7C">
        <w:t>wa</w:t>
      </w:r>
      <w:r w:rsidRPr="004F6E19">
        <w:t>s more stringent than the</w:t>
      </w:r>
      <w:r w:rsidR="00E84800">
        <w:t xml:space="preserve"> continent-wide Reliability Standard </w:t>
      </w:r>
      <w:r w:rsidRPr="004F6E19">
        <w:t>BAL-002-1 because the regional Reliability Standard require</w:t>
      </w:r>
      <w:r w:rsidR="005A1C7C">
        <w:t>d</w:t>
      </w:r>
      <w:r w:rsidRPr="004F6E19">
        <w:t xml:space="preserve"> applicable entities to restore contingency reserve within 60 minutes following the Disturbance Recovery Period while the </w:t>
      </w:r>
      <w:r w:rsidR="000535A1">
        <w:t>continent-wide</w:t>
      </w:r>
      <w:r w:rsidRPr="004F6E19" w:rsidR="000535A1">
        <w:t xml:space="preserve"> </w:t>
      </w:r>
      <w:r w:rsidRPr="004F6E19">
        <w:t>Reliability Standard only require</w:t>
      </w:r>
      <w:r w:rsidR="005A1C7C">
        <w:t>d</w:t>
      </w:r>
      <w:r w:rsidRPr="004F6E19">
        <w:t xml:space="preserve"> restoration of contingency reserve within 90 minutes.</w:t>
      </w:r>
      <w:r w:rsidR="005A1C7C">
        <w:rPr>
          <w:rStyle w:val="FootnoteReference"/>
        </w:rPr>
        <w:footnoteReference w:id="9"/>
      </w:r>
      <w:r w:rsidRPr="004F6E19">
        <w:t xml:space="preserve">  </w:t>
      </w:r>
      <w:r w:rsidRPr="00F4073F" w:rsidR="00B50BFC">
        <w:t xml:space="preserve">Requirement R2 </w:t>
      </w:r>
      <w:r w:rsidR="005B3DAF">
        <w:t xml:space="preserve">of the regional Reliability Standard </w:t>
      </w:r>
      <w:r w:rsidRPr="00F4073F" w:rsidR="00B50BFC">
        <w:t>provides</w:t>
      </w:r>
      <w:r w:rsidR="00B50BFC">
        <w:t xml:space="preserve"> that b</w:t>
      </w:r>
      <w:r w:rsidRPr="00F4073F" w:rsidR="00B50BFC">
        <w:t xml:space="preserve">alancing </w:t>
      </w:r>
      <w:r w:rsidR="00B50BFC">
        <w:t>a</w:t>
      </w:r>
      <w:r w:rsidRPr="00F4073F" w:rsidR="00B50BFC">
        <w:t>uthorit</w:t>
      </w:r>
      <w:r w:rsidR="00B50BFC">
        <w:t>ies</w:t>
      </w:r>
      <w:r w:rsidRPr="00F4073F" w:rsidR="00B50BFC">
        <w:t xml:space="preserve"> and </w:t>
      </w:r>
      <w:r w:rsidR="00B50BFC">
        <w:t>r</w:t>
      </w:r>
      <w:r w:rsidRPr="00F4073F" w:rsidR="00B50BFC">
        <w:t xml:space="preserve">eserve </w:t>
      </w:r>
      <w:r w:rsidR="00B50BFC">
        <w:t>s</w:t>
      </w:r>
      <w:r w:rsidRPr="00F4073F" w:rsidR="00B50BFC">
        <w:t xml:space="preserve">haring </w:t>
      </w:r>
      <w:r w:rsidR="00B50BFC">
        <w:t>g</w:t>
      </w:r>
      <w:r w:rsidRPr="00F4073F" w:rsidR="00B50BFC">
        <w:t>roup</w:t>
      </w:r>
      <w:r w:rsidR="00B50BFC">
        <w:t>s in the WECC Region</w:t>
      </w:r>
      <w:r w:rsidRPr="00F4073F" w:rsidR="00B50BFC">
        <w:t xml:space="preserve"> </w:t>
      </w:r>
      <w:r w:rsidR="00B50BFC">
        <w:t>“</w:t>
      </w:r>
      <w:r w:rsidRPr="00F4073F" w:rsidR="00B50BFC">
        <w:t xml:space="preserve">shall maintain at least half of its minimum amount of Contingency Reserve </w:t>
      </w:r>
      <w:r w:rsidRPr="00F4073F" w:rsidR="00B50BFC">
        <w:lastRenderedPageBreak/>
        <w:t>identified in Requirement R1, as Operating Reserve – Spinning</w:t>
      </w:r>
      <w:r w:rsidR="00B50BFC">
        <w:t xml:space="preserve">.”  </w:t>
      </w:r>
      <w:r w:rsidRPr="004F6E19">
        <w:t xml:space="preserve">In addition, the method for calculating minimum contingency reserve in the regional Reliability Standard </w:t>
      </w:r>
      <w:r w:rsidR="005A1C7C">
        <w:t>wa</w:t>
      </w:r>
      <w:r w:rsidRPr="004F6E19">
        <w:t>s more stringent than Requirement R3.1 in</w:t>
      </w:r>
      <w:r w:rsidR="00E84800">
        <w:t xml:space="preserve"> </w:t>
      </w:r>
      <w:r w:rsidRPr="004F6E19">
        <w:t>Reliability Standard BAL-002-1 because it require</w:t>
      </w:r>
      <w:r w:rsidR="005A1C7C">
        <w:t>d</w:t>
      </w:r>
      <w:r w:rsidRPr="004F6E19">
        <w:t xml:space="preserve"> minimum contingency reserve levels that will be at least equal to the Reliability Standard minimum (i.e., equal to the most severe single contingency) and more often will be greater</w:t>
      </w:r>
      <w:r>
        <w:t>.</w:t>
      </w:r>
      <w:r>
        <w:rPr>
          <w:rStyle w:val="FootnoteReference"/>
        </w:rPr>
        <w:footnoteReference w:id="10"/>
      </w:r>
    </w:p>
    <w:p w:rsidR="00222D6C" w:rsidP="00E57E1D" w:rsidRDefault="002471DA" w14:paraId="1C3F518C" w14:textId="6A40D04E">
      <w:pPr>
        <w:pStyle w:val="Heading2"/>
        <w:tabs>
          <w:tab w:val="clear" w:pos="1080"/>
        </w:tabs>
        <w:ind w:left="1440"/>
      </w:pPr>
      <w:r>
        <w:t xml:space="preserve">NERC </w:t>
      </w:r>
      <w:r w:rsidR="00222D6C">
        <w:t>Reliability Standard BAL-00</w:t>
      </w:r>
      <w:r>
        <w:t>3-1</w:t>
      </w:r>
    </w:p>
    <w:p w:rsidR="00222D6C" w:rsidP="00222D6C" w:rsidRDefault="002471DA" w14:paraId="54BF6082" w14:textId="6C32664D">
      <w:pPr>
        <w:pStyle w:val="FERCparanumber"/>
      </w:pPr>
      <w:r>
        <w:t>On January 16, 2014</w:t>
      </w:r>
      <w:r w:rsidRPr="00031775" w:rsidR="00222D6C">
        <w:t>, the Commission approved continent-wide Reliability Standard BAL-003-1 (Frequency Response and Frequency Bias Setting).</w:t>
      </w:r>
      <w:r w:rsidRPr="00031775" w:rsidR="00222D6C">
        <w:rPr>
          <w:rStyle w:val="FootnoteReference"/>
        </w:rPr>
        <w:footnoteReference w:id="11"/>
      </w:r>
      <w:r w:rsidRPr="00031775" w:rsidR="00222D6C">
        <w:t xml:space="preserve">  The Commission </w:t>
      </w:r>
      <w:r w:rsidR="00AF05FF">
        <w:t>explain</w:t>
      </w:r>
      <w:r w:rsidRPr="00031775" w:rsidR="00222D6C">
        <w:t xml:space="preserve">ed that Reliability Standard BAL-003-1 defines the amount of frequency response needed from balancing authorities to maintain Interconnection frequency within predefined bounds and includes requirements for the measurement and provision of frequency response.  In particular, Order No. 794 determined that Reliability Standard BAL-003-1 “establishes a minimum Frequency Response Obligation for each balancing authority; provides a uniform calculation of frequency response; establishes </w:t>
      </w:r>
      <w:r w:rsidRPr="00031775" w:rsidR="00222D6C">
        <w:lastRenderedPageBreak/>
        <w:t>Frequency Bias Settings that are closer to actual balancing authority frequency response; and encourages coordinated automatic generation control operation.”</w:t>
      </w:r>
      <w:r w:rsidRPr="00031775" w:rsidR="00222D6C">
        <w:rPr>
          <w:rStyle w:val="FootnoteReference"/>
        </w:rPr>
        <w:footnoteReference w:id="12"/>
      </w:r>
      <w:r w:rsidR="00222D6C">
        <w:t xml:space="preserve"> </w:t>
      </w:r>
    </w:p>
    <w:p w:rsidRPr="004F6E19" w:rsidR="000415C1" w:rsidP="00E57E1D" w:rsidRDefault="000415C1" w14:paraId="00080E20" w14:textId="35C6BF91">
      <w:pPr>
        <w:pStyle w:val="Heading2"/>
        <w:tabs>
          <w:tab w:val="clear" w:pos="1080"/>
          <w:tab w:val="num" w:pos="1440"/>
        </w:tabs>
        <w:ind w:left="1440"/>
      </w:pPr>
      <w:r>
        <w:t>NERC and WECC</w:t>
      </w:r>
      <w:r w:rsidR="00E84800">
        <w:t xml:space="preserve"> Joint</w:t>
      </w:r>
      <w:r>
        <w:t xml:space="preserve"> Petition</w:t>
      </w:r>
    </w:p>
    <w:p w:rsidR="00604BA9" w:rsidP="00354B3C" w:rsidRDefault="007C4B57" w14:paraId="59E04260" w14:textId="2C164B60">
      <w:pPr>
        <w:pStyle w:val="FERCparanumber"/>
      </w:pPr>
      <w:r>
        <w:t xml:space="preserve">On </w:t>
      </w:r>
      <w:r w:rsidR="00354B3C">
        <w:t>September 6, 2019</w:t>
      </w:r>
      <w:r w:rsidRPr="007C4B57">
        <w:t xml:space="preserve">, NERC </w:t>
      </w:r>
      <w:r w:rsidR="009B305E">
        <w:t xml:space="preserve">and WECC </w:t>
      </w:r>
      <w:r w:rsidR="00354B3C">
        <w:t xml:space="preserve">submitted a </w:t>
      </w:r>
      <w:r w:rsidR="00BA0450">
        <w:t>joint petition seeking</w:t>
      </w:r>
      <w:r w:rsidRPr="007C4B57">
        <w:t xml:space="preserve"> approv</w:t>
      </w:r>
      <w:r w:rsidR="00BA0450">
        <w:t>al of</w:t>
      </w:r>
      <w:r w:rsidRPr="007C4B57">
        <w:t xml:space="preserve"> proposed regional Reliability Standard </w:t>
      </w:r>
      <w:r>
        <w:t>BAL-002-WECC-</w:t>
      </w:r>
      <w:r w:rsidR="00354B3C">
        <w:t>3</w:t>
      </w:r>
      <w:r w:rsidR="00362C5F">
        <w:t xml:space="preserve">, </w:t>
      </w:r>
      <w:r w:rsidRPr="007C4B57">
        <w:t xml:space="preserve">the associated </w:t>
      </w:r>
      <w:r w:rsidR="00BE5960">
        <w:t>violation risk factor</w:t>
      </w:r>
      <w:r w:rsidR="00B8198A">
        <w:t>s and violation severity level</w:t>
      </w:r>
      <w:r w:rsidR="00E967B8">
        <w:t>s, effective date</w:t>
      </w:r>
      <w:r w:rsidRPr="007C4B57">
        <w:t xml:space="preserve">, and </w:t>
      </w:r>
      <w:r w:rsidR="009B250F">
        <w:t xml:space="preserve">implementation </w:t>
      </w:r>
      <w:r>
        <w:t xml:space="preserve">plan.  </w:t>
      </w:r>
      <w:r w:rsidR="00F428D0">
        <w:t xml:space="preserve">The </w:t>
      </w:r>
      <w:r w:rsidR="00023B1B">
        <w:t xml:space="preserve">joint </w:t>
      </w:r>
      <w:r w:rsidR="00F257B9">
        <w:t>p</w:t>
      </w:r>
      <w:r w:rsidR="00F428D0">
        <w:t xml:space="preserve">etition also requests retirement of </w:t>
      </w:r>
      <w:r w:rsidRPr="00604BA9" w:rsidR="00F428D0">
        <w:t>the currently-effective WECC regional Reliability Standard BAL-</w:t>
      </w:r>
      <w:r w:rsidR="00222D6C">
        <w:t>002-WECC-2a.</w:t>
      </w:r>
      <w:r w:rsidR="00B51EB0">
        <w:t xml:space="preserve">  </w:t>
      </w:r>
    </w:p>
    <w:p w:rsidRPr="006B296D" w:rsidR="00F257B9" w:rsidP="00E57E1D" w:rsidRDefault="00523BFE" w14:paraId="022D6644" w14:textId="05C78889">
      <w:pPr>
        <w:pStyle w:val="FERCparanumber"/>
      </w:pPr>
      <w:r>
        <w:t xml:space="preserve">In </w:t>
      </w:r>
      <w:r w:rsidR="00E171C8">
        <w:t>the</w:t>
      </w:r>
      <w:r w:rsidR="00362C5F">
        <w:t xml:space="preserve"> joint</w:t>
      </w:r>
      <w:r w:rsidR="00E171C8">
        <w:t xml:space="preserve"> petition</w:t>
      </w:r>
      <w:r>
        <w:t>, NERC and WECC</w:t>
      </w:r>
      <w:r w:rsidR="00362C5F">
        <w:t xml:space="preserve"> explain that principal modification in the proposed regional Reliability Standard is the</w:t>
      </w:r>
      <w:r>
        <w:t xml:space="preserve"> </w:t>
      </w:r>
      <w:r w:rsidR="00362C5F">
        <w:t>retirement of</w:t>
      </w:r>
      <w:r>
        <w:t xml:space="preserve"> Requirement R2 </w:t>
      </w:r>
      <w:r w:rsidR="00362C5F">
        <w:t xml:space="preserve">in </w:t>
      </w:r>
      <w:r>
        <w:t>currently-effective regional Reliability Standard BAL-002-WECC-2a.</w:t>
      </w:r>
      <w:r w:rsidRPr="00535EA6">
        <w:t xml:space="preserve"> </w:t>
      </w:r>
      <w:r>
        <w:t xml:space="preserve"> </w:t>
      </w:r>
      <w:r w:rsidR="00F257B9">
        <w:t xml:space="preserve">NERC and WECC </w:t>
      </w:r>
      <w:r w:rsidR="00362C5F">
        <w:t>maintain</w:t>
      </w:r>
      <w:r w:rsidR="00F257B9">
        <w:t xml:space="preserve"> that </w:t>
      </w:r>
      <w:r w:rsidR="00490AE0">
        <w:t xml:space="preserve">the </w:t>
      </w:r>
      <w:r w:rsidR="00B50BFC">
        <w:t xml:space="preserve">regional </w:t>
      </w:r>
      <w:r w:rsidR="00362C5F">
        <w:t>50</w:t>
      </w:r>
      <w:r w:rsidR="000504AD">
        <w:t>%</w:t>
      </w:r>
      <w:r w:rsidR="00362C5F">
        <w:t xml:space="preserve"> minimum </w:t>
      </w:r>
      <w:r w:rsidR="00B50BFC">
        <w:t>o</w:t>
      </w:r>
      <w:r w:rsidRPr="00A70B91" w:rsidR="00B50BFC">
        <w:t xml:space="preserve">perating </w:t>
      </w:r>
      <w:r w:rsidR="00B50BFC">
        <w:t>r</w:t>
      </w:r>
      <w:r w:rsidRPr="00A70B91" w:rsidR="00B50BFC">
        <w:t xml:space="preserve">eserve – </w:t>
      </w:r>
      <w:r w:rsidR="00B50BFC">
        <w:t>s</w:t>
      </w:r>
      <w:r w:rsidRPr="00A70B91" w:rsidR="00B50BFC">
        <w:t>pinning requirement</w:t>
      </w:r>
      <w:r w:rsidR="00B50BFC">
        <w:t xml:space="preserve"> in Requirement R2 </w:t>
      </w:r>
      <w:r w:rsidR="00862B25">
        <w:t xml:space="preserve">was carried forward from the Reliability Management System of WECC’s predecessor, the Western Systems Coordinating Council.  </w:t>
      </w:r>
    </w:p>
    <w:p w:rsidR="00392CF3" w:rsidP="000F6DE0" w:rsidRDefault="000F6DE0" w14:paraId="0260BC72" w14:textId="397DC603">
      <w:pPr>
        <w:pStyle w:val="FERCparanumber"/>
      </w:pPr>
      <w:r>
        <w:t>NERC and WECC</w:t>
      </w:r>
      <w:r w:rsidR="00362C5F">
        <w:t xml:space="preserve"> contend that </w:t>
      </w:r>
      <w:r>
        <w:t xml:space="preserve">continent-wide Reliability Standard BAL-003-1.1 </w:t>
      </w:r>
      <w:r w:rsidR="00392CF3">
        <w:t xml:space="preserve">“helps ensure that sufficient Frequency Response is provided to maintain Interconnection frequency in support of the reliable operation of the Interconnection,” and therefore </w:t>
      </w:r>
      <w:r>
        <w:t>renders re</w:t>
      </w:r>
      <w:r w:rsidRPr="00C459ED">
        <w:t>gional Reliability Standard BAL-002-WECC-2a</w:t>
      </w:r>
      <w:r>
        <w:t>,</w:t>
      </w:r>
      <w:r w:rsidRPr="00C459ED">
        <w:t xml:space="preserve"> Requirement R2 </w:t>
      </w:r>
      <w:r w:rsidR="00392CF3">
        <w:t>“</w:t>
      </w:r>
      <w:r w:rsidRPr="00C459ED">
        <w:t>redundant and no longer needed for reliability in the Western Interconnection.</w:t>
      </w:r>
      <w:r w:rsidR="00392CF3">
        <w:t>”</w:t>
      </w:r>
      <w:r w:rsidR="00392CF3">
        <w:rPr>
          <w:rStyle w:val="FootnoteReference"/>
        </w:rPr>
        <w:footnoteReference w:id="13"/>
      </w:r>
      <w:r w:rsidRPr="00C459ED">
        <w:t xml:space="preserve"> </w:t>
      </w:r>
      <w:r>
        <w:t xml:space="preserve"> NERC and </w:t>
      </w:r>
      <w:r>
        <w:lastRenderedPageBreak/>
        <w:t>WECC assert that Reliability Standard BAL-003-1.1 “addresses the same frequency response components covered in currently effective Regional Reliability Standard BAL-002-WECC-2a Requirement R2 but in a results-based manner.”</w:t>
      </w:r>
      <w:r>
        <w:rPr>
          <w:rStyle w:val="FootnoteReference"/>
        </w:rPr>
        <w:footnoteReference w:id="14"/>
      </w:r>
      <w:r>
        <w:t xml:space="preserve">  </w:t>
      </w:r>
    </w:p>
    <w:p w:rsidR="00EE2848" w:rsidP="005A1C7C" w:rsidRDefault="000F6DE0" w14:paraId="2116010B" w14:textId="5AE794F5">
      <w:pPr>
        <w:pStyle w:val="FERCparanumber"/>
      </w:pPr>
      <w:r>
        <w:t xml:space="preserve">In particular, NERC and WECC </w:t>
      </w:r>
      <w:r w:rsidR="00362C5F">
        <w:t>state that</w:t>
      </w:r>
      <w:r>
        <w:t xml:space="preserve"> </w:t>
      </w:r>
      <w:r w:rsidR="00975D62">
        <w:t xml:space="preserve">Reliability Standard </w:t>
      </w:r>
      <w:r>
        <w:t xml:space="preserve">BAL-003-1.1, </w:t>
      </w:r>
      <w:r w:rsidR="00362C5F">
        <w:t xml:space="preserve">Requirement R1 </w:t>
      </w:r>
      <w:r>
        <w:t>requires that balancing authorities (or groups of balancing authorities known as frequency response sharing groups) “achieve an annual Frequency Response Measure</w:t>
      </w:r>
      <w:r w:rsidR="00B01A16">
        <w:t xml:space="preserve"> that is equal to or more negative than its </w:t>
      </w:r>
      <w:r w:rsidR="00D97F87">
        <w:t>F</w:t>
      </w:r>
      <w:r w:rsidR="00B01A16">
        <w:t xml:space="preserve">requency Response Obligation </w:t>
      </w:r>
      <w:r>
        <w:t xml:space="preserve">to ensure that </w:t>
      </w:r>
      <w:r w:rsidR="00B01A16">
        <w:t xml:space="preserve">it is providing </w:t>
      </w:r>
      <w:r>
        <w:t>sufficient Frequency Response</w:t>
      </w:r>
      <w:r w:rsidR="00B01A16">
        <w:t>.</w:t>
      </w:r>
      <w:r>
        <w:t>”</w:t>
      </w:r>
      <w:r w:rsidR="00B01A16">
        <w:rPr>
          <w:rStyle w:val="FootnoteReference"/>
        </w:rPr>
        <w:footnoteReference w:id="15"/>
      </w:r>
      <w:r w:rsidR="00392CF3">
        <w:t xml:space="preserve">  </w:t>
      </w:r>
      <w:r w:rsidR="00B01A16">
        <w:t xml:space="preserve">Moreover, </w:t>
      </w:r>
      <w:r w:rsidR="00EE2848">
        <w:t xml:space="preserve">NERC and WECC </w:t>
      </w:r>
      <w:r w:rsidR="001012D5">
        <w:t>explain</w:t>
      </w:r>
      <w:r w:rsidR="002C3C38">
        <w:t xml:space="preserve"> </w:t>
      </w:r>
      <w:r w:rsidRPr="00A70B91" w:rsidR="00EE2848">
        <w:t xml:space="preserve">that retention of the regional </w:t>
      </w:r>
      <w:r w:rsidR="00B50BFC">
        <w:t>50</w:t>
      </w:r>
      <w:r w:rsidR="000504AD">
        <w:t>%</w:t>
      </w:r>
      <w:r w:rsidR="00B50BFC">
        <w:t xml:space="preserve"> </w:t>
      </w:r>
      <w:r w:rsidRPr="00A70B91" w:rsidR="00EE2848">
        <w:t xml:space="preserve">minimum </w:t>
      </w:r>
      <w:r w:rsidR="00EE2848">
        <w:t>o</w:t>
      </w:r>
      <w:r w:rsidRPr="00A70B91" w:rsidR="00EE2848">
        <w:t xml:space="preserve">perating </w:t>
      </w:r>
      <w:r w:rsidR="00EE2848">
        <w:t>r</w:t>
      </w:r>
      <w:r w:rsidRPr="00A70B91" w:rsidR="00EE2848">
        <w:t xml:space="preserve">eserve – </w:t>
      </w:r>
      <w:r w:rsidR="00EE2848">
        <w:t>s</w:t>
      </w:r>
      <w:r w:rsidRPr="00A70B91" w:rsidR="00EE2848">
        <w:t xml:space="preserve">pinning requirement, alongside the continent-wide frequency response requirement, could lead to confusion and the procurement of </w:t>
      </w:r>
      <w:r w:rsidR="005D1C50">
        <w:t xml:space="preserve">more </w:t>
      </w:r>
      <w:r w:rsidR="007B1335">
        <w:t>spinning</w:t>
      </w:r>
      <w:r w:rsidRPr="00A70B91" w:rsidR="007B1335">
        <w:t xml:space="preserve"> </w:t>
      </w:r>
      <w:r w:rsidRPr="00A70B91" w:rsidR="00EE2848">
        <w:t>reserves</w:t>
      </w:r>
      <w:r w:rsidR="007B1335">
        <w:t xml:space="preserve"> than necessary for entities to meet their frequency response obligation</w:t>
      </w:r>
      <w:r w:rsidRPr="00A70B91" w:rsidR="00EE2848">
        <w:t>, thereby increasing costs without providing additional reliability benefits.</w:t>
      </w:r>
      <w:r w:rsidR="00EE2848">
        <w:rPr>
          <w:rStyle w:val="FootnoteReference"/>
        </w:rPr>
        <w:footnoteReference w:id="16"/>
      </w:r>
    </w:p>
    <w:p w:rsidR="008868B4" w:rsidP="00354B3C" w:rsidRDefault="001F55B8" w14:paraId="260A6020" w14:textId="77777777">
      <w:pPr>
        <w:pStyle w:val="FERCparanumber"/>
      </w:pPr>
      <w:r w:rsidRPr="001F55B8">
        <w:t xml:space="preserve">NERC and WECC </w:t>
      </w:r>
      <w:r w:rsidR="00725F2B">
        <w:t xml:space="preserve">also </w:t>
      </w:r>
      <w:r w:rsidRPr="001F55B8">
        <w:t xml:space="preserve">state that to evaluate the potential reliability impacts of retiring Requirement R2, WECC conducted a field test from May 1, 2017 through </w:t>
      </w:r>
      <w:r w:rsidR="000504AD">
        <w:br/>
      </w:r>
      <w:r w:rsidRPr="001F55B8">
        <w:t>April 30, 2018</w:t>
      </w:r>
      <w:r>
        <w:t>,</w:t>
      </w:r>
      <w:r w:rsidRPr="001F55B8">
        <w:t xml:space="preserve"> </w:t>
      </w:r>
      <w:r>
        <w:t xml:space="preserve">obtaining </w:t>
      </w:r>
      <w:r w:rsidRPr="001F55B8">
        <w:t>data from each balancing authority and each reserve sharing</w:t>
      </w:r>
    </w:p>
    <w:p w:rsidR="008868B4" w:rsidRDefault="008868B4" w14:paraId="33283924" w14:textId="77777777">
      <w:pPr>
        <w:widowControl/>
        <w:autoSpaceDE/>
        <w:autoSpaceDN/>
        <w:adjustRightInd/>
      </w:pPr>
      <w:r>
        <w:br w:type="page"/>
      </w:r>
    </w:p>
    <w:p w:rsidR="00132C1F" w:rsidP="008868B4" w:rsidRDefault="001F55B8" w14:paraId="455B26F0" w14:textId="17CA7033">
      <w:pPr>
        <w:pStyle w:val="FERCparanumber"/>
        <w:numPr>
          <w:ilvl w:val="0"/>
          <w:numId w:val="0"/>
        </w:numPr>
      </w:pPr>
      <w:r w:rsidRPr="001F55B8">
        <w:lastRenderedPageBreak/>
        <w:t>group.</w:t>
      </w:r>
      <w:r w:rsidRPr="001F55B8">
        <w:rPr>
          <w:b/>
          <w:vertAlign w:val="superscript"/>
        </w:rPr>
        <w:t xml:space="preserve"> </w:t>
      </w:r>
      <w:r w:rsidRPr="001F55B8">
        <w:rPr>
          <w:b/>
          <w:vertAlign w:val="superscript"/>
        </w:rPr>
        <w:footnoteReference w:id="17"/>
      </w:r>
      <w:r w:rsidRPr="001F55B8">
        <w:t xml:space="preserve">  NERC and WECC </w:t>
      </w:r>
      <w:r>
        <w:t>explain</w:t>
      </w:r>
      <w:r w:rsidRPr="001F55B8">
        <w:t xml:space="preserve"> that the field test measured the effect of retiring Requirement R2 using two metrics:  disturbance control standard (DCS) performance and frequency response in the Western Interconnection.</w:t>
      </w:r>
      <w:r w:rsidRPr="001F55B8">
        <w:rPr>
          <w:b/>
          <w:vertAlign w:val="superscript"/>
        </w:rPr>
        <w:footnoteReference w:id="18"/>
      </w:r>
      <w:r w:rsidRPr="001F55B8">
        <w:t xml:space="preserve">  The first metric measured</w:t>
      </w:r>
      <w:r w:rsidR="00F20CEC">
        <w:t>,</w:t>
      </w:r>
      <w:r w:rsidRPr="001F55B8">
        <w:t xml:space="preserve"> for e</w:t>
      </w:r>
      <w:r w:rsidR="00F20CEC">
        <w:t>ach</w:t>
      </w:r>
      <w:r w:rsidRPr="001F55B8">
        <w:t xml:space="preserve"> reportable DCS event</w:t>
      </w:r>
      <w:r w:rsidR="00F20CEC">
        <w:t>,</w:t>
      </w:r>
      <w:r w:rsidRPr="001F55B8">
        <w:rPr>
          <w:b/>
          <w:vertAlign w:val="superscript"/>
        </w:rPr>
        <w:footnoteReference w:id="19"/>
      </w:r>
      <w:r w:rsidRPr="001F55B8">
        <w:t xml:space="preserve"> whether an entity was unable to meet the DCS recovery period</w:t>
      </w:r>
      <w:r w:rsidR="00F20CEC">
        <w:t>.  T</w:t>
      </w:r>
      <w:r w:rsidRPr="001F55B8">
        <w:t>he second metric monitored system performance for any loss of resources greater than 700 MW and for any adverse effects on frequency response.</w:t>
      </w:r>
      <w:r w:rsidR="00725F2B">
        <w:rPr>
          <w:rStyle w:val="FootnoteReference"/>
        </w:rPr>
        <w:footnoteReference w:id="20"/>
      </w:r>
      <w:r w:rsidR="00725F2B">
        <w:t xml:space="preserve">  </w:t>
      </w:r>
    </w:p>
    <w:p w:rsidR="00222D6C" w:rsidP="00354B3C" w:rsidRDefault="00725F2B" w14:paraId="28FCA0DC" w14:textId="4C3F200E">
      <w:pPr>
        <w:pStyle w:val="FERCparanumber"/>
      </w:pPr>
      <w:r>
        <w:t>NERC and WECC assert that “analysis of the data demonstrates that all 66 DCS events occurring during the field test period had a 100</w:t>
      </w:r>
      <w:r w:rsidR="000504AD">
        <w:t>%</w:t>
      </w:r>
      <w:r>
        <w:t xml:space="preserve"> pass rate, showing no degradation to DCS performance.</w:t>
      </w:r>
      <w:r w:rsidR="00132C1F">
        <w:t xml:space="preserve">  Entities carried and deployed enough reserves for </w:t>
      </w:r>
      <w:r w:rsidR="008868B4">
        <w:br/>
      </w:r>
      <w:r w:rsidR="00132C1F">
        <w:lastRenderedPageBreak/>
        <w:t>post disturbance Area Control Area recovery.”</w:t>
      </w:r>
      <w:r>
        <w:rPr>
          <w:rStyle w:val="FootnoteReference"/>
        </w:rPr>
        <w:footnoteReference w:id="21"/>
      </w:r>
      <w:r w:rsidR="00132C1F">
        <w:t xml:space="preserve">  NERC and WECC also note that</w:t>
      </w:r>
      <w:r w:rsidR="00BB5EB8">
        <w:t xml:space="preserve"> the 2018 NERC State of Reliability Report</w:t>
      </w:r>
      <w:r w:rsidR="00132C1F">
        <w:t xml:space="preserve"> </w:t>
      </w:r>
      <w:r w:rsidR="00BB5EB8">
        <w:t>indicates that frequency response performance “did not degrade in the Western Interconnection during the field test period.”</w:t>
      </w:r>
      <w:r w:rsidR="00BB5EB8">
        <w:rPr>
          <w:rStyle w:val="FootnoteReference"/>
        </w:rPr>
        <w:footnoteReference w:id="22"/>
      </w:r>
      <w:r w:rsidR="00132C1F">
        <w:t xml:space="preserve"> </w:t>
      </w:r>
    </w:p>
    <w:p w:rsidR="001012D5" w:rsidP="005A1C7C" w:rsidRDefault="001012D5" w14:paraId="50A57124" w14:textId="5587BF63">
      <w:pPr>
        <w:pStyle w:val="FERCparanumber"/>
      </w:pPr>
      <w:r>
        <w:t>Aside from eliminating Requirement R2, NERC and WECC assert that proposed regional Reliability Standard BAL-002-WECC-3 retains the other existing requirements because they are needed to maintain reliability and “continue[] to represent a more stringent set of requirements for entities in the Western Interconnection than those found in the continent-wide disturbance control standard, Reliability Standard BAL-002-3.”</w:t>
      </w:r>
      <w:r>
        <w:rPr>
          <w:rStyle w:val="FootnoteReference"/>
        </w:rPr>
        <w:footnoteReference w:id="23"/>
      </w:r>
      <w:r w:rsidR="00490AE0">
        <w:t xml:space="preserve"> </w:t>
      </w:r>
    </w:p>
    <w:p w:rsidR="00BA0450" w:rsidP="00E57E1D" w:rsidRDefault="00BA0450" w14:paraId="30DC23FB" w14:textId="78AD2AFF">
      <w:pPr>
        <w:pStyle w:val="Heading2"/>
        <w:tabs>
          <w:tab w:val="clear" w:pos="1080"/>
        </w:tabs>
        <w:ind w:left="1440"/>
      </w:pPr>
      <w:r>
        <w:t>Data Request and Response</w:t>
      </w:r>
    </w:p>
    <w:p w:rsidR="00BA0450" w:rsidP="00354B3C" w:rsidRDefault="00490AE0" w14:paraId="12B6233B" w14:textId="4B79DF27">
      <w:pPr>
        <w:pStyle w:val="FERCparanumber"/>
      </w:pPr>
      <w:r>
        <w:t xml:space="preserve">On February 18, 2020, the Director of the Office of Electric Reliability issued a data request to NERC and WECC seeking:  (1) data for the remainder </w:t>
      </w:r>
      <w:r w:rsidR="00B01A16">
        <w:t>o</w:t>
      </w:r>
      <w:r>
        <w:t>f the field test term not provided in the joint petition (i.e., from May 1, 2018 to September 30, 2019); and (2) supporting data for NERC frequency response metric (Metric M-4) as it pertains to the Western Interconnection during the field test period (i.e., from May 1, 2017 to September 30, 2019).</w:t>
      </w:r>
    </w:p>
    <w:p w:rsidR="00210C4A" w:rsidP="00354B3C" w:rsidRDefault="00210C4A" w14:paraId="1AFB3E80" w14:textId="656AF93D">
      <w:pPr>
        <w:pStyle w:val="FERCparanumber"/>
      </w:pPr>
      <w:r>
        <w:t xml:space="preserve">On May 18, 2020, NERC and WECC submitted data in response to the </w:t>
      </w:r>
      <w:r w:rsidR="00A33719">
        <w:br/>
      </w:r>
      <w:r>
        <w:t>February 18 data request.</w:t>
      </w:r>
    </w:p>
    <w:p w:rsidR="00604BA9" w:rsidP="00604BA9" w:rsidRDefault="00604BA9" w14:paraId="0B5F45DA" w14:textId="77777777">
      <w:pPr>
        <w:pStyle w:val="Heading1"/>
      </w:pPr>
      <w:r>
        <w:lastRenderedPageBreak/>
        <w:t>Discussion</w:t>
      </w:r>
    </w:p>
    <w:p w:rsidR="00D23072" w:rsidP="00EC47B6" w:rsidRDefault="000934A0" w14:paraId="78142B78" w14:textId="3C58A43C">
      <w:pPr>
        <w:pStyle w:val="FERCparanumber"/>
      </w:pPr>
      <w:r w:rsidRPr="000934A0">
        <w:t xml:space="preserve">Pursuant to FPA section 215(d)(2), </w:t>
      </w:r>
      <w:r w:rsidR="00407E80">
        <w:t>the Commission</w:t>
      </w:r>
      <w:r w:rsidRPr="000934A0">
        <w:t xml:space="preserve"> propose</w:t>
      </w:r>
      <w:r w:rsidR="00407E80">
        <w:t>s t</w:t>
      </w:r>
      <w:r w:rsidRPr="000934A0">
        <w:t xml:space="preserve">o approve </w:t>
      </w:r>
      <w:r w:rsidR="00A34268">
        <w:t xml:space="preserve">WECC </w:t>
      </w:r>
      <w:r w:rsidRPr="000934A0">
        <w:t>r</w:t>
      </w:r>
      <w:r>
        <w:t>egional Reliability Standard BAL-002</w:t>
      </w:r>
      <w:r w:rsidRPr="000934A0">
        <w:t>-</w:t>
      </w:r>
      <w:r>
        <w:t>WECC-</w:t>
      </w:r>
      <w:r w:rsidR="00673244">
        <w:t>3</w:t>
      </w:r>
      <w:r w:rsidRPr="000934A0">
        <w:t xml:space="preserve"> as just, reasonable, not unduly discriminatory or preferential, and in the public interest.  </w:t>
      </w:r>
      <w:r w:rsidR="00FB781C">
        <w:t>For applicable entities in the WECC Region, proposed regional Reliability Standard BAL-002-WECC-</w:t>
      </w:r>
      <w:r w:rsidR="00673244">
        <w:t>3</w:t>
      </w:r>
      <w:r w:rsidR="00FB781C">
        <w:t xml:space="preserve"> </w:t>
      </w:r>
      <w:r w:rsidR="00673244">
        <w:t xml:space="preserve">eliminates the requirement </w:t>
      </w:r>
      <w:r w:rsidR="00896C6F">
        <w:t xml:space="preserve">in the currently-effective version </w:t>
      </w:r>
      <w:r w:rsidR="00673244">
        <w:t>that at least half of the minimum amount of contingency reserve shall be Operating Reserve—Spinning that meets certain reserve characteristics.</w:t>
      </w:r>
      <w:r w:rsidR="00FB781C">
        <w:t xml:space="preserve">  </w:t>
      </w:r>
      <w:r w:rsidR="00407E80">
        <w:t>The</w:t>
      </w:r>
      <w:r w:rsidR="00103BC7">
        <w:t xml:space="preserve"> </w:t>
      </w:r>
      <w:r w:rsidR="00896C6F">
        <w:t>justification</w:t>
      </w:r>
      <w:r w:rsidR="00103BC7">
        <w:t xml:space="preserve"> set forth in the</w:t>
      </w:r>
      <w:r w:rsidR="00407E80">
        <w:t xml:space="preserve"> joint</w:t>
      </w:r>
      <w:r w:rsidR="00103BC7">
        <w:t xml:space="preserve"> petition</w:t>
      </w:r>
      <w:r w:rsidR="00407E80">
        <w:t xml:space="preserve"> taken together with th</w:t>
      </w:r>
      <w:r w:rsidR="00103BC7">
        <w:t>e field test results support</w:t>
      </w:r>
      <w:r w:rsidR="00E42DB7">
        <w:t xml:space="preserve"> NERC and WECC’s </w:t>
      </w:r>
      <w:r w:rsidR="00407E80">
        <w:t xml:space="preserve">position </w:t>
      </w:r>
      <w:r w:rsidR="00E42DB7">
        <w:t>that the continent-wide Reliability Standard BAL-003-1.1 renders the existing 50</w:t>
      </w:r>
      <w:r w:rsidR="00A33719">
        <w:t>%</w:t>
      </w:r>
      <w:r w:rsidR="00E42DB7">
        <w:t xml:space="preserve"> Operating Reserve</w:t>
      </w:r>
      <w:r w:rsidR="004B3A08">
        <w:t xml:space="preserve"> </w:t>
      </w:r>
      <w:r w:rsidR="00EC47B6">
        <w:t>–</w:t>
      </w:r>
      <w:r w:rsidR="004B3A08">
        <w:t xml:space="preserve"> </w:t>
      </w:r>
      <w:r w:rsidR="00E42DB7">
        <w:t xml:space="preserve">Spinning obligation redundant.  </w:t>
      </w:r>
      <w:r w:rsidR="009E702C">
        <w:t xml:space="preserve">Additionally, proposed regional Reliability Standard BAL-002-WECC-3, even without Requirement R2, </w:t>
      </w:r>
      <w:r w:rsidR="00407E80">
        <w:t xml:space="preserve">will </w:t>
      </w:r>
      <w:r w:rsidR="009E702C">
        <w:t>continue to provide protections beyond those contained in the continent-wide disturbance control Reliability Standard BAL-</w:t>
      </w:r>
      <w:r w:rsidR="00A33719">
        <w:br/>
      </w:r>
      <w:r w:rsidR="009E702C">
        <w:t xml:space="preserve">002-3.  </w:t>
      </w:r>
      <w:r w:rsidR="00E42DB7">
        <w:t xml:space="preserve"> </w:t>
      </w:r>
    </w:p>
    <w:p w:rsidR="00503190" w:rsidP="009E702C" w:rsidRDefault="00D23072" w14:paraId="3580B1F6" w14:textId="2FA162F2">
      <w:pPr>
        <w:pStyle w:val="FERCparanumber"/>
      </w:pPr>
      <w:r>
        <w:t xml:space="preserve">While </w:t>
      </w:r>
      <w:r w:rsidR="00FB781C">
        <w:t xml:space="preserve">we propose to approve WECC </w:t>
      </w:r>
      <w:r w:rsidRPr="000934A0" w:rsidR="00FB781C">
        <w:t>r</w:t>
      </w:r>
      <w:r w:rsidR="00FB781C">
        <w:t>egional Reliability Standard BAL-002</w:t>
      </w:r>
      <w:r w:rsidRPr="000934A0" w:rsidR="00FB781C">
        <w:t>-</w:t>
      </w:r>
      <w:r w:rsidR="00FB781C">
        <w:t>WECC-</w:t>
      </w:r>
      <w:r w:rsidR="00B7762E">
        <w:t>3</w:t>
      </w:r>
      <w:r w:rsidR="00FB781C">
        <w:t>,</w:t>
      </w:r>
      <w:r w:rsidRPr="009E702C" w:rsidR="006E6061">
        <w:t xml:space="preserve"> unique aspects of contingency reserves</w:t>
      </w:r>
      <w:r w:rsidR="00222AFB">
        <w:t xml:space="preserve"> in the Western Interconnection</w:t>
      </w:r>
      <w:r w:rsidR="006E6061">
        <w:t xml:space="preserve"> raise </w:t>
      </w:r>
      <w:r w:rsidRPr="009E702C" w:rsidR="006E6061">
        <w:t>concerns</w:t>
      </w:r>
      <w:r w:rsidR="006E6061">
        <w:t xml:space="preserve"> about</w:t>
      </w:r>
      <w:r w:rsidRPr="009E702C" w:rsidR="006E6061">
        <w:t xml:space="preserve"> </w:t>
      </w:r>
      <w:r w:rsidR="00BC306C">
        <w:t xml:space="preserve">deliverability of </w:t>
      </w:r>
      <w:r w:rsidRPr="00BC306C" w:rsidR="00BC306C">
        <w:t>contingency reserves</w:t>
      </w:r>
      <w:r w:rsidR="00BC306C">
        <w:t xml:space="preserve"> </w:t>
      </w:r>
      <w:r w:rsidR="004F3FBB">
        <w:t>with</w:t>
      </w:r>
      <w:r w:rsidR="00BC306C">
        <w:t>in reserve sharing groups.  Thirty-four balancing</w:t>
      </w:r>
      <w:r w:rsidRPr="00BC306C" w:rsidR="00BC306C">
        <w:rPr>
          <w:rFonts w:eastAsiaTheme="minorHAnsi"/>
          <w:szCs w:val="26"/>
        </w:rPr>
        <w:t xml:space="preserve"> </w:t>
      </w:r>
      <w:r w:rsidR="000325C5">
        <w:rPr>
          <w:rFonts w:eastAsiaTheme="minorHAnsi"/>
          <w:szCs w:val="26"/>
        </w:rPr>
        <w:t xml:space="preserve">authorities </w:t>
      </w:r>
      <w:r w:rsidR="006D4A8B">
        <w:rPr>
          <w:rFonts w:eastAsiaTheme="minorHAnsi"/>
          <w:szCs w:val="26"/>
        </w:rPr>
        <w:t xml:space="preserve">are </w:t>
      </w:r>
      <w:r w:rsidRPr="00BC306C" w:rsidR="00BC306C">
        <w:t xml:space="preserve">registered with WECC </w:t>
      </w:r>
      <w:r w:rsidR="006D4A8B">
        <w:t>of which</w:t>
      </w:r>
      <w:r w:rsidRPr="00BC306C" w:rsidR="00BC306C">
        <w:t xml:space="preserve"> </w:t>
      </w:r>
      <w:r w:rsidR="00967D7B">
        <w:t>32</w:t>
      </w:r>
      <w:r w:rsidRPr="00BC306C" w:rsidR="00BC306C">
        <w:t xml:space="preserve"> are members of </w:t>
      </w:r>
      <w:r w:rsidR="00BC306C">
        <w:t>one of</w:t>
      </w:r>
      <w:r w:rsidR="000325C5">
        <w:t xml:space="preserve"> the</w:t>
      </w:r>
      <w:r w:rsidR="00BC306C">
        <w:t xml:space="preserve"> two</w:t>
      </w:r>
      <w:r w:rsidRPr="00BC306C" w:rsidR="00BC306C">
        <w:t xml:space="preserve"> reserve sharing group</w:t>
      </w:r>
      <w:r w:rsidR="00BC306C">
        <w:t>s</w:t>
      </w:r>
      <w:r w:rsidR="00C421C4">
        <w:t xml:space="preserve"> within WECC</w:t>
      </w:r>
      <w:r w:rsidRPr="00BC306C" w:rsidR="00BC306C">
        <w:t>.</w:t>
      </w:r>
      <w:r w:rsidR="00BC306C">
        <w:t xml:space="preserve"> </w:t>
      </w:r>
      <w:r w:rsidR="00C421C4">
        <w:t xml:space="preserve"> </w:t>
      </w:r>
      <w:r w:rsidRPr="000325C5" w:rsidR="000325C5">
        <w:t xml:space="preserve">The </w:t>
      </w:r>
      <w:r w:rsidR="000325C5">
        <w:t>Southwest Reserve Sharing Group (</w:t>
      </w:r>
      <w:r w:rsidRPr="000325C5" w:rsidR="000325C5">
        <w:t>SRSG</w:t>
      </w:r>
      <w:r w:rsidR="000325C5">
        <w:t>)</w:t>
      </w:r>
      <w:r w:rsidRPr="000325C5" w:rsidR="000325C5">
        <w:t xml:space="preserve"> geographic area covers the southwest United States including Arizona, New Mexico, southern Nevada, parts of southern California including the Imperial Valley, and El Paso, Texas. </w:t>
      </w:r>
      <w:r w:rsidR="00C421C4">
        <w:t xml:space="preserve"> </w:t>
      </w:r>
      <w:r w:rsidRPr="000325C5" w:rsidR="000325C5">
        <w:t xml:space="preserve">The </w:t>
      </w:r>
      <w:r w:rsidR="000325C5">
        <w:t>Northwest Power Pool (NWPP) reserve sharing group</w:t>
      </w:r>
      <w:r w:rsidRPr="000325C5" w:rsidR="000325C5">
        <w:t xml:space="preserve"> </w:t>
      </w:r>
      <w:r w:rsidRPr="000325C5" w:rsidR="000325C5">
        <w:lastRenderedPageBreak/>
        <w:t>geographic area covers two Canadian provinces and all the states in the Western Interconnection except Arizona, New Mexico southern Nevada, and part of California.</w:t>
      </w:r>
      <w:r w:rsidR="004F3FBB">
        <w:t xml:space="preserve"> </w:t>
      </w:r>
      <w:r w:rsidR="006D4A8B">
        <w:t xml:space="preserve"> </w:t>
      </w:r>
      <w:r w:rsidR="000325C5">
        <w:t>Each reserve sharing group include</w:t>
      </w:r>
      <w:r w:rsidR="006D4A8B">
        <w:t>s</w:t>
      </w:r>
      <w:r w:rsidR="000325C5">
        <w:t xml:space="preserve"> member balancing authorities that have </w:t>
      </w:r>
      <w:r w:rsidRPr="007A09C3" w:rsidR="007A09C3">
        <w:t>hydroelectric</w:t>
      </w:r>
      <w:r w:rsidR="007A09C3">
        <w:t xml:space="preserve"> resources</w:t>
      </w:r>
      <w:r w:rsidR="000325C5">
        <w:t>.</w:t>
      </w:r>
      <w:r w:rsidR="007A09C3">
        <w:t xml:space="preserve">  These hydroelectric resources </w:t>
      </w:r>
      <w:r w:rsidR="00F84384">
        <w:t>represent a significant share of</w:t>
      </w:r>
      <w:r w:rsidR="007A09C3">
        <w:t xml:space="preserve"> </w:t>
      </w:r>
      <w:r w:rsidR="00A33719">
        <w:br/>
      </w:r>
      <w:r w:rsidR="007A09C3">
        <w:t>the reserve sharing group contingency reserves</w:t>
      </w:r>
      <w:r w:rsidR="009B7AE5">
        <w:t xml:space="preserve">.  </w:t>
      </w:r>
      <w:r w:rsidR="00FB7E6C">
        <w:t xml:space="preserve">These resources </w:t>
      </w:r>
      <w:r w:rsidR="007A09C3">
        <w:t>may or may not be deliverable to all member balancing authorities</w:t>
      </w:r>
      <w:r w:rsidR="00FB7E6C">
        <w:t xml:space="preserve"> due to transmission constraints</w:t>
      </w:r>
      <w:r w:rsidR="00B67B9A">
        <w:t xml:space="preserve"> or</w:t>
      </w:r>
      <w:r w:rsidR="00FB7E6C">
        <w:t xml:space="preserve"> limits on the hydro system</w:t>
      </w:r>
      <w:r w:rsidR="007A09C3">
        <w:t>.</w:t>
      </w:r>
      <w:r w:rsidR="0028462E">
        <w:rPr>
          <w:rStyle w:val="FootnoteReference"/>
        </w:rPr>
        <w:footnoteReference w:id="24"/>
      </w:r>
      <w:r w:rsidR="006D4A8B">
        <w:t xml:space="preserve">  </w:t>
      </w:r>
    </w:p>
    <w:p w:rsidRPr="00096B52" w:rsidR="009E702C" w:rsidP="009E702C" w:rsidRDefault="00BD6BF6" w14:paraId="36C30357" w14:textId="05BE5C70">
      <w:pPr>
        <w:pStyle w:val="FERCparanumber"/>
      </w:pPr>
      <w:r>
        <w:t>W</w:t>
      </w:r>
      <w:r w:rsidR="00407E80">
        <w:t>e believe it is important to</w:t>
      </w:r>
      <w:r w:rsidR="0028462E">
        <w:t xml:space="preserve"> </w:t>
      </w:r>
      <w:r w:rsidR="00407E80">
        <w:t>monitor</w:t>
      </w:r>
      <w:r w:rsidRPr="0028462E" w:rsidR="0028462E">
        <w:t xml:space="preserve"> the </w:t>
      </w:r>
      <w:r w:rsidR="0028462E">
        <w:t xml:space="preserve">reliability </w:t>
      </w:r>
      <w:r w:rsidRPr="0028462E" w:rsidR="0028462E">
        <w:t>impact</w:t>
      </w:r>
      <w:r w:rsidR="00E5006F">
        <w:t>s</w:t>
      </w:r>
      <w:r w:rsidR="00407E80">
        <w:t xml:space="preserve"> that</w:t>
      </w:r>
      <w:r w:rsidRPr="0028462E" w:rsidR="0028462E">
        <w:t xml:space="preserve"> </w:t>
      </w:r>
      <w:r w:rsidR="0028462E">
        <w:t xml:space="preserve">the retirement of Requirement R2 </w:t>
      </w:r>
      <w:r w:rsidR="00896C6F">
        <w:t>may</w:t>
      </w:r>
      <w:r w:rsidR="00407E80">
        <w:t xml:space="preserve"> have on </w:t>
      </w:r>
      <w:r w:rsidR="0028462E">
        <w:t xml:space="preserve">contingency </w:t>
      </w:r>
      <w:r w:rsidRPr="0028462E" w:rsidR="0028462E">
        <w:t xml:space="preserve">reserves </w:t>
      </w:r>
      <w:r w:rsidR="0028462E">
        <w:t>in the Western Interconnection</w:t>
      </w:r>
      <w:r w:rsidR="00407E80">
        <w:t xml:space="preserve">.  </w:t>
      </w:r>
      <w:r w:rsidR="006E6061">
        <w:t>Therefore,</w:t>
      </w:r>
      <w:r w:rsidR="00896C6F">
        <w:t xml:space="preserve"> as d</w:t>
      </w:r>
      <w:r w:rsidR="00EB5806">
        <w:t>etailed</w:t>
      </w:r>
      <w:r w:rsidR="00896C6F">
        <w:t xml:space="preserve"> below,</w:t>
      </w:r>
      <w:r w:rsidR="006E6061">
        <w:t xml:space="preserve"> </w:t>
      </w:r>
      <w:r w:rsidR="00FB781C">
        <w:t>the Commission</w:t>
      </w:r>
      <w:r w:rsidR="00B7762E">
        <w:t xml:space="preserve"> </w:t>
      </w:r>
      <w:r w:rsidR="00F87948">
        <w:t xml:space="preserve">proposes to direct </w:t>
      </w:r>
      <w:r w:rsidRPr="00B7762E" w:rsidR="00B7762E">
        <w:t>that NERC and WECC</w:t>
      </w:r>
      <w:r w:rsidR="00896C6F">
        <w:t xml:space="preserve"> submit an</w:t>
      </w:r>
      <w:r w:rsidR="007C5B03">
        <w:t xml:space="preserve"> informational filing </w:t>
      </w:r>
      <w:r w:rsidR="00415174">
        <w:t xml:space="preserve">27 </w:t>
      </w:r>
      <w:r w:rsidR="007C5B03">
        <w:t xml:space="preserve">months following implementation </w:t>
      </w:r>
      <w:r w:rsidRPr="00096B52" w:rsidR="00B7762E">
        <w:t xml:space="preserve">of </w:t>
      </w:r>
      <w:r w:rsidR="00407E80">
        <w:t>regional Reliability Standard BAL-002-WECC-3</w:t>
      </w:r>
      <w:r w:rsidR="00BE0700">
        <w:t>.  We further propose</w:t>
      </w:r>
      <w:r w:rsidR="00896C6F">
        <w:t xml:space="preserve"> to direct</w:t>
      </w:r>
      <w:r w:rsidR="00BE0700">
        <w:t xml:space="preserve"> that </w:t>
      </w:r>
      <w:r w:rsidRPr="002C7BCC" w:rsidR="002C7BCC">
        <w:t xml:space="preserve">NERC and WECC make the Commission immediately aware of any adverse impacts </w:t>
      </w:r>
      <w:r w:rsidR="00BE0700">
        <w:t>resulting</w:t>
      </w:r>
      <w:r w:rsidRPr="002C7BCC" w:rsidR="002C7BCC">
        <w:t xml:space="preserve"> </w:t>
      </w:r>
      <w:r w:rsidR="00713351">
        <w:br/>
      </w:r>
      <w:r w:rsidRPr="002C7BCC" w:rsidR="002C7BCC">
        <w:t>from the retirement of Requirement R2</w:t>
      </w:r>
      <w:r w:rsidR="005766AB">
        <w:t>,</w:t>
      </w:r>
      <w:r w:rsidRPr="002C7BCC" w:rsidR="002C7BCC">
        <w:t xml:space="preserve"> if they become apparent prior to the end of </w:t>
      </w:r>
      <w:r w:rsidR="00713351">
        <w:br/>
      </w:r>
      <w:r w:rsidRPr="002C7BCC" w:rsidR="002C7BCC">
        <w:t>the reporting period</w:t>
      </w:r>
      <w:r w:rsidR="00D54EDC">
        <w:t>, and any corrective actions taken or being considered</w:t>
      </w:r>
      <w:r w:rsidRPr="002C7BCC" w:rsidR="002C7BCC">
        <w:t>.</w:t>
      </w:r>
    </w:p>
    <w:p w:rsidR="00B17DE9" w:rsidP="00E57E1D" w:rsidRDefault="00CE3C4A" w14:paraId="285C1450" w14:textId="592CBCB5">
      <w:pPr>
        <w:pStyle w:val="FERCparanumber"/>
      </w:pPr>
      <w:r>
        <w:lastRenderedPageBreak/>
        <w:t>W</w:t>
      </w:r>
      <w:r w:rsidR="004C1E31">
        <w:t>e</w:t>
      </w:r>
      <w:r w:rsidR="00B17DE9">
        <w:t xml:space="preserve"> propose to direct </w:t>
      </w:r>
      <w:r w:rsidR="00F50F95">
        <w:t xml:space="preserve">that </w:t>
      </w:r>
      <w:r w:rsidR="00B17DE9">
        <w:t xml:space="preserve">NERC and WECC </w:t>
      </w:r>
      <w:r w:rsidRPr="004F6E19" w:rsidR="006D6595">
        <w:rPr>
          <w:szCs w:val="26"/>
        </w:rPr>
        <w:t xml:space="preserve">submit an informational filing </w:t>
      </w:r>
      <w:r w:rsidR="008868B4">
        <w:rPr>
          <w:szCs w:val="26"/>
        </w:rPr>
        <w:br/>
      </w:r>
      <w:r w:rsidR="00415174">
        <w:rPr>
          <w:szCs w:val="26"/>
        </w:rPr>
        <w:t>27</w:t>
      </w:r>
      <w:r w:rsidR="006D6595">
        <w:rPr>
          <w:szCs w:val="26"/>
        </w:rPr>
        <w:t xml:space="preserve"> months following</w:t>
      </w:r>
      <w:r w:rsidRPr="004F6E19" w:rsidR="006D6595">
        <w:rPr>
          <w:szCs w:val="26"/>
        </w:rPr>
        <w:t xml:space="preserve"> implementation of </w:t>
      </w:r>
      <w:r w:rsidR="006D6595">
        <w:t xml:space="preserve">regional Reliability Standard BAL-002-WECC-3 </w:t>
      </w:r>
      <w:r w:rsidR="006D6595">
        <w:rPr>
          <w:szCs w:val="26"/>
        </w:rPr>
        <w:t xml:space="preserve">that addresses the adequacy of contingency reserves in the Western Interconnection.  </w:t>
      </w:r>
      <w:r w:rsidR="006D6595">
        <w:t>Specifically, the report should provide,</w:t>
      </w:r>
      <w:r w:rsidR="00B17DE9">
        <w:t xml:space="preserve"> for an additional </w:t>
      </w:r>
      <w:r w:rsidR="00415174">
        <w:t>24</w:t>
      </w:r>
      <w:r w:rsidR="00B17DE9">
        <w:t xml:space="preserve"> month period</w:t>
      </w:r>
      <w:r>
        <w:t xml:space="preserve"> after implementation of the standard,</w:t>
      </w:r>
      <w:r w:rsidR="00B17DE9">
        <w:t xml:space="preserve"> the </w:t>
      </w:r>
      <w:r w:rsidR="00971E7F">
        <w:t>following</w:t>
      </w:r>
      <w:r w:rsidR="00B17DE9">
        <w:t xml:space="preserve"> categories of data </w:t>
      </w:r>
      <w:r w:rsidR="007D7003">
        <w:t xml:space="preserve">(similar to the data categories </w:t>
      </w:r>
      <w:r w:rsidR="00896C6F">
        <w:t>identified</w:t>
      </w:r>
      <w:r w:rsidR="00B17DE9">
        <w:t xml:space="preserve"> in the </w:t>
      </w:r>
      <w:r w:rsidR="00896C6F">
        <w:t>February 18</w:t>
      </w:r>
      <w:r w:rsidR="007D7003">
        <w:t>, 2020</w:t>
      </w:r>
      <w:r w:rsidR="00896C6F">
        <w:t xml:space="preserve"> </w:t>
      </w:r>
      <w:r w:rsidR="00B17DE9">
        <w:t>data request</w:t>
      </w:r>
      <w:r w:rsidR="007D7003">
        <w:t>)</w:t>
      </w:r>
      <w:r w:rsidR="00B17DE9">
        <w:t xml:space="preserve">: </w:t>
      </w:r>
      <w:r w:rsidR="00896C6F">
        <w:t xml:space="preserve"> </w:t>
      </w:r>
      <w:r w:rsidRPr="00B17DE9" w:rsidR="00B17DE9">
        <w:t xml:space="preserve">(1) for any reportable </w:t>
      </w:r>
      <w:r w:rsidR="00896C6F">
        <w:t xml:space="preserve">DCS </w:t>
      </w:r>
      <w:r w:rsidRPr="00B17DE9" w:rsidR="00B17DE9">
        <w:t>event, the date, time and required amount of contingency reserves at the time of the event, the actual amount of Operating Reserves – Spinning at the time of the event, and the actual DCS performance; (2) for events involving a loss of 700 MW or greater, whether it is a reportable DCS event or not, the date and time of the event, the name of the resource(s), and the total MW</w:t>
      </w:r>
      <w:r w:rsidR="00896C6F">
        <w:t>; (3) t</w:t>
      </w:r>
      <w:r w:rsidR="00B17DE9">
        <w:t xml:space="preserve">he amount of </w:t>
      </w:r>
      <w:r w:rsidRPr="00B17DE9" w:rsidR="00B17DE9">
        <w:t>spinning reserve above or below 50</w:t>
      </w:r>
      <w:r w:rsidR="00A33719">
        <w:t>%</w:t>
      </w:r>
      <w:r w:rsidRPr="00B17DE9" w:rsidR="00B17DE9">
        <w:t xml:space="preserve"> during non-event times on an hourly basis for </w:t>
      </w:r>
      <w:r w:rsidR="00415174">
        <w:t>24</w:t>
      </w:r>
      <w:r w:rsidRPr="00B17DE9" w:rsidR="00B17DE9">
        <w:t xml:space="preserve"> months following implementation</w:t>
      </w:r>
      <w:r w:rsidR="00896C6F">
        <w:t>; and (4) s</w:t>
      </w:r>
      <w:r w:rsidR="00B17DE9">
        <w:t xml:space="preserve">upporting data for </w:t>
      </w:r>
      <w:r w:rsidRPr="00B17DE9" w:rsidR="00B17DE9">
        <w:t>NERC’s frequency response metric (Metric M-4) as it pertains to the Western Interconnection</w:t>
      </w:r>
      <w:r w:rsidR="00971E7F">
        <w:t>.</w:t>
      </w:r>
      <w:r w:rsidR="00616967">
        <w:rPr>
          <w:rStyle w:val="FootnoteReference"/>
        </w:rPr>
        <w:footnoteReference w:id="25"/>
      </w:r>
    </w:p>
    <w:p w:rsidRPr="00096B52" w:rsidR="00A43918" w:rsidP="005A1C7C" w:rsidRDefault="00896C6F" w14:paraId="18C2CB87" w14:textId="0684DA12">
      <w:pPr>
        <w:pStyle w:val="FERCparanumber"/>
      </w:pPr>
      <w:r>
        <w:t xml:space="preserve">In addition to </w:t>
      </w:r>
      <w:r w:rsidRPr="00B17DE9">
        <w:t xml:space="preserve">the </w:t>
      </w:r>
      <w:r w:rsidR="000E104F">
        <w:t xml:space="preserve">data categories identified in the </w:t>
      </w:r>
      <w:r>
        <w:t>February 18</w:t>
      </w:r>
      <w:r w:rsidRPr="00B17DE9">
        <w:t xml:space="preserve"> data </w:t>
      </w:r>
      <w:r w:rsidR="000E104F">
        <w:t>request</w:t>
      </w:r>
      <w:r w:rsidRPr="00B17DE9">
        <w:t xml:space="preserve">, </w:t>
      </w:r>
      <w:r>
        <w:t xml:space="preserve">we </w:t>
      </w:r>
      <w:r w:rsidRPr="00B17DE9">
        <w:t xml:space="preserve">propose to direct </w:t>
      </w:r>
      <w:r w:rsidR="007D7003">
        <w:t xml:space="preserve">that </w:t>
      </w:r>
      <w:r w:rsidRPr="00B17DE9">
        <w:t xml:space="preserve">NERC and WECC </w:t>
      </w:r>
      <w:r>
        <w:t>provide:</w:t>
      </w:r>
      <w:r w:rsidR="00A33719">
        <w:t xml:space="preserve"> </w:t>
      </w:r>
      <w:r w:rsidRPr="00B17DE9">
        <w:t xml:space="preserve"> </w:t>
      </w:r>
      <w:r>
        <w:t>(</w:t>
      </w:r>
      <w:r w:rsidRPr="00B17DE9">
        <w:t xml:space="preserve">1) the DCS performance </w:t>
      </w:r>
      <w:r w:rsidR="005C2A59">
        <w:t xml:space="preserve">- </w:t>
      </w:r>
      <w:r w:rsidRPr="00B17DE9">
        <w:t xml:space="preserve">as described </w:t>
      </w:r>
      <w:r w:rsidR="005C2A59">
        <w:t xml:space="preserve">in request (1) in the paragraph </w:t>
      </w:r>
      <w:r w:rsidRPr="00B17DE9">
        <w:t xml:space="preserve">above </w:t>
      </w:r>
      <w:r w:rsidR="005C2A59">
        <w:t xml:space="preserve">- </w:t>
      </w:r>
      <w:r w:rsidR="003E10F0">
        <w:t>on</w:t>
      </w:r>
      <w:r w:rsidRPr="00B17DE9">
        <w:t xml:space="preserve"> a balancing authority basis</w:t>
      </w:r>
      <w:r>
        <w:t>;</w:t>
      </w:r>
      <w:r w:rsidRPr="00B17DE9">
        <w:t xml:space="preserve"> and </w:t>
      </w:r>
      <w:r w:rsidR="00A33719">
        <w:br/>
      </w:r>
      <w:r>
        <w:t>(</w:t>
      </w:r>
      <w:r w:rsidRPr="00B17DE9">
        <w:t xml:space="preserve">2) the hourly amount of contingency reserve and </w:t>
      </w:r>
      <w:r w:rsidR="005C2A59">
        <w:t>the fraction of that contingency reserve that</w:t>
      </w:r>
      <w:r w:rsidRPr="00B17DE9">
        <w:t xml:space="preserve"> is classified as spinning for each hour by balancing authority (not reserve sharing </w:t>
      </w:r>
      <w:r w:rsidRPr="00B17DE9">
        <w:lastRenderedPageBreak/>
        <w:t>group).</w:t>
      </w:r>
      <w:r w:rsidR="003E10F0">
        <w:t xml:space="preserve">  </w:t>
      </w:r>
      <w:r w:rsidR="005C2A59">
        <w:t>We believe that t</w:t>
      </w:r>
      <w:r w:rsidR="003E10F0">
        <w:t xml:space="preserve">his </w:t>
      </w:r>
      <w:r w:rsidRPr="00B17DE9" w:rsidR="003E10F0">
        <w:t xml:space="preserve">data </w:t>
      </w:r>
      <w:r w:rsidR="003E10F0">
        <w:t>is necessary to assess the</w:t>
      </w:r>
      <w:r w:rsidRPr="00B17DE9" w:rsidR="003E10F0">
        <w:t xml:space="preserve"> amount of contingency reserves </w:t>
      </w:r>
      <w:r w:rsidR="003E10F0">
        <w:t xml:space="preserve">held by </w:t>
      </w:r>
      <w:r w:rsidRPr="00B17DE9" w:rsidR="003E10F0">
        <w:t>each balancing authority within a reserve sharing</w:t>
      </w:r>
      <w:r w:rsidR="003E10F0">
        <w:t xml:space="preserve"> group since the</w:t>
      </w:r>
      <w:r w:rsidRPr="00B17DE9" w:rsidR="00D8568A">
        <w:t xml:space="preserve"> contingency reserve data provided for a reserve sharing group are the </w:t>
      </w:r>
      <w:r w:rsidR="0018632A">
        <w:t xml:space="preserve">aggregated </w:t>
      </w:r>
      <w:r w:rsidRPr="00B17DE9" w:rsidR="00D8568A">
        <w:t xml:space="preserve">sum </w:t>
      </w:r>
      <w:r w:rsidR="00713351">
        <w:br/>
      </w:r>
      <w:r w:rsidRPr="00B17DE9" w:rsidR="00D8568A">
        <w:t>of the contingency reserves of the participating balancing authorities</w:t>
      </w:r>
      <w:r w:rsidR="003E10F0">
        <w:t>.</w:t>
      </w:r>
    </w:p>
    <w:p w:rsidRPr="00132F96" w:rsidR="00604BA9" w:rsidP="00604BA9" w:rsidRDefault="00604BA9" w14:paraId="29810DF1" w14:textId="47F006B9">
      <w:pPr>
        <w:pStyle w:val="Heading1"/>
      </w:pPr>
      <w:r w:rsidRPr="00132F96">
        <w:t>Information Collection Statement</w:t>
      </w:r>
    </w:p>
    <w:p w:rsidRPr="005D5EB0" w:rsidR="00F1648C" w:rsidP="00F1648C" w:rsidRDefault="00F1648C" w14:paraId="5700AA8B" w14:textId="28165FD1">
      <w:pPr>
        <w:pStyle w:val="FERCparanumber"/>
        <w:tabs>
          <w:tab w:val="clear" w:pos="720"/>
        </w:tabs>
        <w:rPr>
          <w:szCs w:val="26"/>
        </w:rPr>
      </w:pPr>
      <w:r w:rsidRPr="005D5EB0">
        <w:rPr>
          <w:szCs w:val="26"/>
        </w:rPr>
        <w:t xml:space="preserve">The </w:t>
      </w:r>
      <w:r w:rsidR="000507F3">
        <w:rPr>
          <w:szCs w:val="26"/>
        </w:rPr>
        <w:t>FERC-725E</w:t>
      </w:r>
      <w:r w:rsidRPr="005D5EB0">
        <w:rPr>
          <w:szCs w:val="26"/>
        </w:rPr>
        <w:t xml:space="preserve"> information</w:t>
      </w:r>
      <w:r w:rsidR="000507F3">
        <w:rPr>
          <w:szCs w:val="26"/>
        </w:rPr>
        <w:t xml:space="preserve"> collection requirements</w:t>
      </w:r>
      <w:r w:rsidRPr="005D5EB0">
        <w:rPr>
          <w:szCs w:val="26"/>
        </w:rPr>
        <w:t xml:space="preserve"> contained in this Notice of Proposed Rulemaking </w:t>
      </w:r>
      <w:r w:rsidR="000507F3">
        <w:rPr>
          <w:szCs w:val="26"/>
        </w:rPr>
        <w:t>are</w:t>
      </w:r>
      <w:r w:rsidRPr="005D5EB0" w:rsidR="000507F3">
        <w:rPr>
          <w:szCs w:val="26"/>
        </w:rPr>
        <w:t xml:space="preserve"> </w:t>
      </w:r>
      <w:r w:rsidRPr="005D5EB0">
        <w:rPr>
          <w:szCs w:val="26"/>
        </w:rPr>
        <w:t>subject to review by the Office of Management and Budget (OMB) under section 3507(d) of the Paperwork Reduction Act of 1995</w:t>
      </w:r>
      <w:r w:rsidR="00DD78F6">
        <w:rPr>
          <w:szCs w:val="26"/>
        </w:rPr>
        <w:t xml:space="preserve"> (PRA)</w:t>
      </w:r>
      <w:r w:rsidRPr="005D5EB0">
        <w:rPr>
          <w:szCs w:val="26"/>
        </w:rPr>
        <w:t>.</w:t>
      </w:r>
      <w:r w:rsidRPr="005D5EB0">
        <w:rPr>
          <w:rStyle w:val="FootnoteReference"/>
        </w:rPr>
        <w:footnoteReference w:id="26"/>
      </w:r>
      <w:r w:rsidRPr="005D5EB0">
        <w:rPr>
          <w:szCs w:val="26"/>
        </w:rPr>
        <w:t xml:space="preserve">  OMB’s regulations require approval of certain information collection requirements imposed by agency rules.</w:t>
      </w:r>
      <w:r w:rsidRPr="005D5EB0">
        <w:rPr>
          <w:rStyle w:val="FootnoteReference"/>
        </w:rPr>
        <w:footnoteReference w:id="27"/>
      </w:r>
      <w:r w:rsidRPr="005D5EB0">
        <w:rPr>
          <w:szCs w:val="26"/>
        </w:rPr>
        <w:t xml:space="preserve"> </w:t>
      </w:r>
      <w:r>
        <w:rPr>
          <w:szCs w:val="26"/>
        </w:rPr>
        <w:t xml:space="preserve"> </w:t>
      </w:r>
      <w:r w:rsidRPr="005D5EB0">
        <w:rPr>
          <w:szCs w:val="26"/>
        </w:rPr>
        <w:t xml:space="preserve">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  </w:t>
      </w:r>
    </w:p>
    <w:p w:rsidRPr="005D5EB0" w:rsidR="00F1648C" w:rsidP="00F1648C" w:rsidRDefault="00F1648C" w14:paraId="4F9B8816" w14:textId="77777777">
      <w:pPr>
        <w:pStyle w:val="FERCparanumber"/>
        <w:tabs>
          <w:tab w:val="clear" w:pos="720"/>
        </w:tabs>
        <w:rPr>
          <w:szCs w:val="26"/>
        </w:rPr>
      </w:pPr>
      <w:r w:rsidRPr="005D5EB0">
        <w:rPr>
          <w:szCs w:val="26"/>
        </w:rPr>
        <w:t xml:space="preserve">We solicit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Specifically, the Commission asks that any revised </w:t>
      </w:r>
      <w:r w:rsidRPr="005D5EB0">
        <w:rPr>
          <w:szCs w:val="26"/>
        </w:rPr>
        <w:lastRenderedPageBreak/>
        <w:t>burden or cost estimates submitted by commenters be supported by sufficient detail to understand how the estimates are generated.</w:t>
      </w:r>
    </w:p>
    <w:p w:rsidRPr="009621E2" w:rsidR="00F1648C" w:rsidP="00561225" w:rsidRDefault="00F1648C" w14:paraId="242A5DBD" w14:textId="720196B9">
      <w:pPr>
        <w:pStyle w:val="FERCparanumber"/>
        <w:tabs>
          <w:tab w:val="clear" w:pos="720"/>
        </w:tabs>
        <w:rPr>
          <w:szCs w:val="26"/>
        </w:rPr>
      </w:pPr>
      <w:r w:rsidRPr="00790888">
        <w:rPr>
          <w:szCs w:val="26"/>
          <w:u w:val="single"/>
        </w:rPr>
        <w:t>Public Reporting Burden</w:t>
      </w:r>
      <w:r w:rsidRPr="00790888">
        <w:rPr>
          <w:szCs w:val="26"/>
        </w:rPr>
        <w:t xml:space="preserve">:  The burden and cost estimates below are based on the </w:t>
      </w:r>
      <w:r w:rsidR="00D1106B">
        <w:rPr>
          <w:szCs w:val="26"/>
        </w:rPr>
        <w:t>need for</w:t>
      </w:r>
      <w:r w:rsidR="00A71AA0">
        <w:rPr>
          <w:szCs w:val="26"/>
        </w:rPr>
        <w:t xml:space="preserve"> applicable entities </w:t>
      </w:r>
      <w:r w:rsidR="00D1106B">
        <w:rPr>
          <w:szCs w:val="26"/>
        </w:rPr>
        <w:t xml:space="preserve">to </w:t>
      </w:r>
      <w:r w:rsidR="00BC6BDD">
        <w:rPr>
          <w:szCs w:val="26"/>
        </w:rPr>
        <w:t>revise documentation</w:t>
      </w:r>
      <w:r w:rsidR="00A71AA0">
        <w:rPr>
          <w:szCs w:val="26"/>
        </w:rPr>
        <w:t>, already</w:t>
      </w:r>
      <w:r w:rsidR="00E37BD0">
        <w:rPr>
          <w:szCs w:val="26"/>
        </w:rPr>
        <w:t xml:space="preserve"> required by </w:t>
      </w:r>
      <w:r w:rsidR="00633CBA">
        <w:rPr>
          <w:szCs w:val="26"/>
        </w:rPr>
        <w:t>the current</w:t>
      </w:r>
      <w:r w:rsidR="00A71AA0">
        <w:rPr>
          <w:szCs w:val="26"/>
        </w:rPr>
        <w:t xml:space="preserve"> </w:t>
      </w:r>
      <w:r w:rsidRPr="00561225" w:rsidR="00A71AA0">
        <w:rPr>
          <w:szCs w:val="26"/>
        </w:rPr>
        <w:t>WECC</w:t>
      </w:r>
      <w:r w:rsidR="00A71AA0">
        <w:rPr>
          <w:szCs w:val="26"/>
        </w:rPr>
        <w:t xml:space="preserve"> regional Reliability Standard </w:t>
      </w:r>
      <w:r w:rsidR="000507F3">
        <w:rPr>
          <w:szCs w:val="26"/>
        </w:rPr>
        <w:t>BAL-002-WECC-2a</w:t>
      </w:r>
      <w:r w:rsidR="00A71AA0">
        <w:rPr>
          <w:szCs w:val="26"/>
        </w:rPr>
        <w:t>,</w:t>
      </w:r>
      <w:r w:rsidR="006C0E6A">
        <w:rPr>
          <w:rStyle w:val="FootnoteReference"/>
        </w:rPr>
        <w:footnoteReference w:id="28"/>
      </w:r>
      <w:r w:rsidR="00A71AA0">
        <w:rPr>
          <w:szCs w:val="26"/>
        </w:rPr>
        <w:t xml:space="preserve"> </w:t>
      </w:r>
      <w:r w:rsidR="00BC6BDD">
        <w:rPr>
          <w:szCs w:val="26"/>
        </w:rPr>
        <w:t xml:space="preserve">to reflect </w:t>
      </w:r>
      <w:r w:rsidR="00897F20">
        <w:rPr>
          <w:szCs w:val="26"/>
        </w:rPr>
        <w:t>the retirement of Requirement R2</w:t>
      </w:r>
      <w:r w:rsidR="00BC6BDD">
        <w:rPr>
          <w:szCs w:val="26"/>
        </w:rPr>
        <w:t xml:space="preserve"> </w:t>
      </w:r>
      <w:r w:rsidR="00633CBA">
        <w:rPr>
          <w:szCs w:val="26"/>
        </w:rPr>
        <w:t xml:space="preserve">in the </w:t>
      </w:r>
      <w:r w:rsidRPr="00790888">
        <w:rPr>
          <w:szCs w:val="26"/>
        </w:rPr>
        <w:t xml:space="preserve">proposed </w:t>
      </w:r>
      <w:r w:rsidR="00A71AA0">
        <w:rPr>
          <w:szCs w:val="26"/>
        </w:rPr>
        <w:t>WECC regional Reliability Standard BAL</w:t>
      </w:r>
      <w:r w:rsidRPr="00561225" w:rsidR="00A71AA0">
        <w:rPr>
          <w:szCs w:val="26"/>
        </w:rPr>
        <w:t>-002</w:t>
      </w:r>
      <w:r w:rsidR="00A71AA0">
        <w:rPr>
          <w:szCs w:val="26"/>
        </w:rPr>
        <w:t>-WECC</w:t>
      </w:r>
      <w:r w:rsidRPr="00561225" w:rsidR="00A71AA0">
        <w:rPr>
          <w:szCs w:val="26"/>
        </w:rPr>
        <w:t>-</w:t>
      </w:r>
      <w:r w:rsidR="000507F3">
        <w:rPr>
          <w:szCs w:val="26"/>
        </w:rPr>
        <w:t>3</w:t>
      </w:r>
      <w:r w:rsidRPr="00790888">
        <w:rPr>
          <w:szCs w:val="26"/>
        </w:rPr>
        <w:t xml:space="preserve">.  Our estimates </w:t>
      </w:r>
      <w:r w:rsidRPr="00561225">
        <w:rPr>
          <w:color w:val="000000"/>
          <w:szCs w:val="26"/>
        </w:rPr>
        <w:t xml:space="preserve">are based on the NERC Compliance Registry as of </w:t>
      </w:r>
      <w:r w:rsidR="000507F3">
        <w:rPr>
          <w:color w:val="000000"/>
          <w:szCs w:val="26"/>
        </w:rPr>
        <w:t>September 3, 2020</w:t>
      </w:r>
      <w:r w:rsidR="008426CF">
        <w:rPr>
          <w:color w:val="000000"/>
          <w:szCs w:val="26"/>
        </w:rPr>
        <w:t>,</w:t>
      </w:r>
      <w:r w:rsidRPr="00561225" w:rsidR="008426CF">
        <w:rPr>
          <w:color w:val="000000"/>
          <w:szCs w:val="26"/>
        </w:rPr>
        <w:t xml:space="preserve"> </w:t>
      </w:r>
      <w:r w:rsidRPr="00561225">
        <w:rPr>
          <w:color w:val="000000"/>
          <w:szCs w:val="26"/>
        </w:rPr>
        <w:t>which indicate</w:t>
      </w:r>
      <w:r w:rsidR="00E37BD0">
        <w:rPr>
          <w:color w:val="000000"/>
          <w:szCs w:val="26"/>
        </w:rPr>
        <w:t>s</w:t>
      </w:r>
      <w:r w:rsidRPr="00561225">
        <w:rPr>
          <w:color w:val="000000"/>
          <w:szCs w:val="26"/>
        </w:rPr>
        <w:t xml:space="preserve"> that </w:t>
      </w:r>
      <w:r w:rsidR="000507F3">
        <w:rPr>
          <w:szCs w:val="26"/>
        </w:rPr>
        <w:t xml:space="preserve">34 </w:t>
      </w:r>
      <w:r w:rsidR="00561225">
        <w:rPr>
          <w:szCs w:val="26"/>
        </w:rPr>
        <w:t>balancing authorities</w:t>
      </w:r>
      <w:r w:rsidR="007223A1">
        <w:rPr>
          <w:szCs w:val="26"/>
        </w:rPr>
        <w:t>,</w:t>
      </w:r>
      <w:r w:rsidR="00561225">
        <w:rPr>
          <w:szCs w:val="26"/>
        </w:rPr>
        <w:t xml:space="preserve"> </w:t>
      </w:r>
      <w:r w:rsidR="000507F3">
        <w:rPr>
          <w:szCs w:val="26"/>
        </w:rPr>
        <w:t xml:space="preserve">2 </w:t>
      </w:r>
      <w:r w:rsidR="00561225">
        <w:rPr>
          <w:szCs w:val="26"/>
        </w:rPr>
        <w:t>r</w:t>
      </w:r>
      <w:r w:rsidRPr="00561225" w:rsidR="00F07ED5">
        <w:rPr>
          <w:szCs w:val="26"/>
        </w:rPr>
        <w:t xml:space="preserve">eserve </w:t>
      </w:r>
      <w:r w:rsidR="00561225">
        <w:rPr>
          <w:szCs w:val="26"/>
        </w:rPr>
        <w:t>sharing g</w:t>
      </w:r>
      <w:r w:rsidRPr="00561225" w:rsidR="00F07ED5">
        <w:rPr>
          <w:szCs w:val="26"/>
        </w:rPr>
        <w:t>roups</w:t>
      </w:r>
      <w:r w:rsidR="007223A1">
        <w:rPr>
          <w:szCs w:val="26"/>
        </w:rPr>
        <w:t xml:space="preserve">, 2 reliability coordinators, 265 generator owners, 256 generator operators, 78 transmission owners and 47 transmission operators </w:t>
      </w:r>
      <w:r w:rsidR="00E37BD0">
        <w:rPr>
          <w:szCs w:val="26"/>
        </w:rPr>
        <w:t xml:space="preserve">are registered </w:t>
      </w:r>
      <w:r w:rsidRPr="00561225" w:rsidR="00F07ED5">
        <w:rPr>
          <w:szCs w:val="26"/>
        </w:rPr>
        <w:t>within WECC</w:t>
      </w:r>
      <w:r w:rsidRPr="00561225">
        <w:rPr>
          <w:color w:val="000000"/>
          <w:szCs w:val="26"/>
        </w:rPr>
        <w:t xml:space="preserve">.  </w:t>
      </w:r>
    </w:p>
    <w:p w:rsidR="006C0E6A" w:rsidP="00561225" w:rsidRDefault="006C0E6A" w14:paraId="22E6E782" w14:textId="13CA4221">
      <w:pPr>
        <w:pStyle w:val="FERCparanumber"/>
        <w:tabs>
          <w:tab w:val="clear" w:pos="720"/>
        </w:tabs>
        <w:rPr>
          <w:szCs w:val="26"/>
        </w:rPr>
      </w:pPr>
      <w:r w:rsidRPr="006C0E6A">
        <w:rPr>
          <w:szCs w:val="26"/>
        </w:rPr>
        <w:t xml:space="preserve">In addition to the changes identified in </w:t>
      </w:r>
      <w:r>
        <w:rPr>
          <w:szCs w:val="26"/>
        </w:rPr>
        <w:t>this Notice of Proposed Rulemaking</w:t>
      </w:r>
      <w:r w:rsidRPr="006C0E6A">
        <w:rPr>
          <w:szCs w:val="26"/>
        </w:rPr>
        <w:t xml:space="preserve">, the Commission is </w:t>
      </w:r>
      <w:r w:rsidR="00C81D9D">
        <w:rPr>
          <w:szCs w:val="26"/>
        </w:rPr>
        <w:t>adjusting</w:t>
      </w:r>
      <w:r w:rsidRPr="006C0E6A">
        <w:rPr>
          <w:szCs w:val="26"/>
        </w:rPr>
        <w:t xml:space="preserve"> burden estimates for the </w:t>
      </w:r>
      <w:r w:rsidR="00C81D9D">
        <w:rPr>
          <w:szCs w:val="26"/>
        </w:rPr>
        <w:t xml:space="preserve">other WECC regional </w:t>
      </w:r>
      <w:r w:rsidRPr="006C0E6A">
        <w:rPr>
          <w:szCs w:val="26"/>
        </w:rPr>
        <w:t>Reliability Standards</w:t>
      </w:r>
      <w:r w:rsidR="00C81D9D">
        <w:rPr>
          <w:szCs w:val="26"/>
        </w:rPr>
        <w:t xml:space="preserve"> in the FERC-725E</w:t>
      </w:r>
      <w:r w:rsidRPr="005D5EB0" w:rsidR="00C81D9D">
        <w:rPr>
          <w:szCs w:val="26"/>
        </w:rPr>
        <w:t xml:space="preserve"> information</w:t>
      </w:r>
      <w:r w:rsidR="00C81D9D">
        <w:rPr>
          <w:szCs w:val="26"/>
        </w:rPr>
        <w:t xml:space="preserve"> collection</w:t>
      </w:r>
      <w:r w:rsidRPr="006C0E6A">
        <w:rPr>
          <w:szCs w:val="26"/>
        </w:rPr>
        <w:t>.  These adjustments are warranted based on updates to the number of applicable registered entities</w:t>
      </w:r>
      <w:r w:rsidR="00C81D9D">
        <w:rPr>
          <w:szCs w:val="26"/>
        </w:rPr>
        <w:t xml:space="preserve"> that have changed due to </w:t>
      </w:r>
      <w:r w:rsidRPr="00C81D9D" w:rsidR="00C81D9D">
        <w:rPr>
          <w:szCs w:val="26"/>
        </w:rPr>
        <w:t xml:space="preserve">normal industry fluctuations (e.g., companies merging or splitting, going into or leaving the industry, or filling more or fewer roles in the NERC </w:t>
      </w:r>
      <w:r w:rsidR="00003A20">
        <w:rPr>
          <w:szCs w:val="26"/>
        </w:rPr>
        <w:t>Compliance R</w:t>
      </w:r>
      <w:r w:rsidRPr="00C81D9D" w:rsidR="00C81D9D">
        <w:rPr>
          <w:szCs w:val="26"/>
        </w:rPr>
        <w:t>egistry)</w:t>
      </w:r>
      <w:r w:rsidRPr="006C0E6A">
        <w:rPr>
          <w:szCs w:val="26"/>
        </w:rPr>
        <w:t>.</w:t>
      </w:r>
    </w:p>
    <w:p w:rsidR="006B48E6" w:rsidP="00561225" w:rsidRDefault="006B48E6" w14:paraId="1920ED31" w14:textId="167448D6">
      <w:pPr>
        <w:pStyle w:val="FERCparanumber"/>
        <w:tabs>
          <w:tab w:val="clear" w:pos="720"/>
        </w:tabs>
        <w:rPr>
          <w:szCs w:val="26"/>
        </w:rPr>
      </w:pPr>
      <w:r w:rsidRPr="006B48E6">
        <w:rPr>
          <w:szCs w:val="26"/>
        </w:rPr>
        <w:lastRenderedPageBreak/>
        <w:t>There are several regional Reliability Standards in the WECC region.  These regional Reliability Standards generally require entities to document compliance with substantive requirements, retain documentation, and submit reports to WECC.  The following standards will be continuing without change.</w:t>
      </w:r>
    </w:p>
    <w:p w:rsidR="006B48E6" w:rsidP="009621E2" w:rsidRDefault="006B48E6" w14:paraId="470835D7" w14:textId="2791250D">
      <w:pPr>
        <w:pStyle w:val="FERCparanumber"/>
        <w:numPr>
          <w:ilvl w:val="0"/>
          <w:numId w:val="44"/>
        </w:numPr>
        <w:rPr>
          <w:szCs w:val="26"/>
        </w:rPr>
      </w:pPr>
      <w:r w:rsidRPr="006B48E6">
        <w:rPr>
          <w:szCs w:val="26"/>
        </w:rPr>
        <w:t>BAL-004-WECC-</w:t>
      </w:r>
      <w:r w:rsidR="00032F56">
        <w:rPr>
          <w:szCs w:val="26"/>
        </w:rPr>
        <w:t>3</w:t>
      </w:r>
      <w:r w:rsidRPr="006B48E6">
        <w:rPr>
          <w:szCs w:val="26"/>
        </w:rPr>
        <w:t xml:space="preserve"> (Automatic Time Error Correction) requires balancing authorities to document that time error corrections and primary inadvertent interchange payback were conducted according to the requirements in the standard.</w:t>
      </w:r>
    </w:p>
    <w:p w:rsidR="006B48E6" w:rsidP="009621E2" w:rsidRDefault="006B48E6" w14:paraId="24759DA9" w14:textId="49115328">
      <w:pPr>
        <w:pStyle w:val="FERCparanumber"/>
        <w:numPr>
          <w:ilvl w:val="0"/>
          <w:numId w:val="44"/>
        </w:numPr>
        <w:rPr>
          <w:szCs w:val="26"/>
        </w:rPr>
      </w:pPr>
      <w:r w:rsidRPr="006B48E6">
        <w:rPr>
          <w:szCs w:val="26"/>
        </w:rPr>
        <w:t>FAC-501-WECC-</w:t>
      </w:r>
      <w:r>
        <w:rPr>
          <w:szCs w:val="26"/>
        </w:rPr>
        <w:t>2</w:t>
      </w:r>
      <w:r w:rsidRPr="006B48E6">
        <w:rPr>
          <w:szCs w:val="26"/>
        </w:rPr>
        <w:t xml:space="preserve"> (Transmission Maintenance) requires transmission owners with certain transmission paths to have a transmission maintenance and inspection plan and to document maintenance and inspection activities according to the plan.</w:t>
      </w:r>
    </w:p>
    <w:p w:rsidR="006B48E6" w:rsidP="009621E2" w:rsidRDefault="00562C09" w14:paraId="6E842B99" w14:textId="3D9E7523">
      <w:pPr>
        <w:pStyle w:val="FERCparanumber"/>
        <w:numPr>
          <w:ilvl w:val="0"/>
          <w:numId w:val="44"/>
        </w:numPr>
        <w:rPr>
          <w:szCs w:val="26"/>
        </w:rPr>
      </w:pPr>
      <w:r w:rsidRPr="00562C09">
        <w:rPr>
          <w:szCs w:val="26"/>
        </w:rPr>
        <w:t>VAR-501-WECC-3.1 (Power System Stabilizer [PSS])</w:t>
      </w:r>
      <w:r w:rsidR="009E7471">
        <w:rPr>
          <w:rStyle w:val="FootnoteReference"/>
        </w:rPr>
        <w:footnoteReference w:id="29"/>
      </w:r>
      <w:r w:rsidRPr="00562C09">
        <w:rPr>
          <w:szCs w:val="26"/>
        </w:rPr>
        <w:t xml:space="preserve"> requires generator owners and operators to ensure the Western Interconnection is operated in a coordinated manner by establishing the performance criteria for WECC power system stabilizers.</w:t>
      </w:r>
    </w:p>
    <w:p w:rsidR="00BB0A2E" w:rsidP="00BB0A2E" w:rsidRDefault="00BB0A2E" w14:paraId="75E069AA" w14:textId="2B6E415A">
      <w:pPr>
        <w:pStyle w:val="FERCparanumber"/>
        <w:tabs>
          <w:tab w:val="clear" w:pos="720"/>
        </w:tabs>
        <w:rPr>
          <w:szCs w:val="26"/>
        </w:rPr>
      </w:pPr>
      <w:r w:rsidRPr="00BB0A2E">
        <w:rPr>
          <w:szCs w:val="26"/>
        </w:rPr>
        <w:lastRenderedPageBreak/>
        <w:t xml:space="preserve">The associated reporting and recordkeeping requirements included in the </w:t>
      </w:r>
      <w:r w:rsidR="004F47EC">
        <w:rPr>
          <w:szCs w:val="26"/>
        </w:rPr>
        <w:t xml:space="preserve">regional </w:t>
      </w:r>
      <w:r w:rsidRPr="00BB0A2E">
        <w:rPr>
          <w:szCs w:val="26"/>
        </w:rPr>
        <w:t>standards above are not being revised, and the Commission will be submitting a request to OMB to extend these requirements for three years.  The Commission’s request to OMB will also reflect the following:</w:t>
      </w:r>
    </w:p>
    <w:p w:rsidRPr="00D24953" w:rsidR="00D24953" w:rsidP="00132F96" w:rsidRDefault="004F47EC" w14:paraId="09DA35E3" w14:textId="31AE96D1">
      <w:pPr>
        <w:pStyle w:val="FERCparanumber"/>
        <w:numPr>
          <w:ilvl w:val="0"/>
          <w:numId w:val="47"/>
        </w:numPr>
        <w:rPr>
          <w:szCs w:val="26"/>
        </w:rPr>
      </w:pPr>
      <w:r w:rsidRPr="004F47EC">
        <w:rPr>
          <w:szCs w:val="26"/>
        </w:rPr>
        <w:t xml:space="preserve">Implement the regional Reliability Standard </w:t>
      </w:r>
      <w:r>
        <w:rPr>
          <w:szCs w:val="26"/>
        </w:rPr>
        <w:t xml:space="preserve">BAL-002-WECC-3 </w:t>
      </w:r>
      <w:r w:rsidRPr="004F47EC">
        <w:rPr>
          <w:szCs w:val="26"/>
        </w:rPr>
        <w:t xml:space="preserve">(addressed in </w:t>
      </w:r>
      <w:r w:rsidR="00713351">
        <w:rPr>
          <w:szCs w:val="26"/>
        </w:rPr>
        <w:br/>
      </w:r>
      <w:r>
        <w:rPr>
          <w:szCs w:val="26"/>
        </w:rPr>
        <w:t>this Notice of Proposed Rulemaking, Docket No. RM19-20</w:t>
      </w:r>
      <w:r w:rsidRPr="004F47EC">
        <w:rPr>
          <w:szCs w:val="26"/>
        </w:rPr>
        <w:t>)</w:t>
      </w:r>
      <w:r w:rsidR="003C5406">
        <w:rPr>
          <w:szCs w:val="26"/>
        </w:rPr>
        <w:t>.</w:t>
      </w:r>
      <w:r w:rsidRPr="00D24953" w:rsidR="00D24953">
        <w:rPr>
          <w:szCs w:val="26"/>
        </w:rPr>
        <w:t xml:space="preserve">  and</w:t>
      </w:r>
    </w:p>
    <w:p w:rsidR="00D24953" w:rsidP="00132F96" w:rsidRDefault="004F47EC" w14:paraId="5986712A" w14:textId="6385B250">
      <w:pPr>
        <w:pStyle w:val="FERCparanumber"/>
        <w:numPr>
          <w:ilvl w:val="0"/>
          <w:numId w:val="46"/>
        </w:numPr>
        <w:rPr>
          <w:szCs w:val="26"/>
        </w:rPr>
      </w:pPr>
      <w:r>
        <w:rPr>
          <w:szCs w:val="26"/>
        </w:rPr>
        <w:t xml:space="preserve">Adjustments to the burden estimates </w:t>
      </w:r>
      <w:r w:rsidR="00253073">
        <w:rPr>
          <w:szCs w:val="26"/>
        </w:rPr>
        <w:t xml:space="preserve">due to changes in the NERC Compliance Registry </w:t>
      </w:r>
      <w:r>
        <w:rPr>
          <w:szCs w:val="26"/>
        </w:rPr>
        <w:t>for regional Reliability Standards BAL-002-WECC-3 (</w:t>
      </w:r>
      <w:r w:rsidRPr="004F47EC">
        <w:rPr>
          <w:szCs w:val="26"/>
        </w:rPr>
        <w:t>Contingency Reserve</w:t>
      </w:r>
      <w:r>
        <w:rPr>
          <w:szCs w:val="26"/>
        </w:rPr>
        <w:t>) and IRO-006-WECC-3 (</w:t>
      </w:r>
      <w:r w:rsidRPr="004F47EC">
        <w:rPr>
          <w:szCs w:val="26"/>
        </w:rPr>
        <w:t>Qualified Path Unscheduled Flow (USF) Relief</w:t>
      </w:r>
      <w:r>
        <w:rPr>
          <w:szCs w:val="26"/>
        </w:rPr>
        <w:t>)</w:t>
      </w:r>
      <w:r w:rsidR="008F1F9E">
        <w:rPr>
          <w:szCs w:val="26"/>
        </w:rPr>
        <w:t>.</w:t>
      </w:r>
      <w:r w:rsidR="00D329B0">
        <w:rPr>
          <w:rStyle w:val="FootnoteReference"/>
        </w:rPr>
        <w:footnoteReference w:id="30"/>
      </w:r>
      <w:r>
        <w:rPr>
          <w:szCs w:val="26"/>
        </w:rPr>
        <w:t xml:space="preserve"> </w:t>
      </w:r>
    </w:p>
    <w:p w:rsidR="00AE4DBF" w:rsidP="00AE4DBF" w:rsidRDefault="00AE4DBF" w14:paraId="4BA0FFB7" w14:textId="6404986F">
      <w:pPr>
        <w:pStyle w:val="FERCparanumber"/>
        <w:tabs>
          <w:tab w:val="clear" w:pos="720"/>
        </w:tabs>
        <w:rPr>
          <w:szCs w:val="26"/>
        </w:rPr>
      </w:pPr>
      <w:r w:rsidRPr="00AE4DBF">
        <w:rPr>
          <w:i/>
          <w:szCs w:val="26"/>
        </w:rPr>
        <w:t xml:space="preserve">Changes Due to Docket No. </w:t>
      </w:r>
      <w:r w:rsidR="00FC7D1C">
        <w:rPr>
          <w:i/>
          <w:szCs w:val="26"/>
        </w:rPr>
        <w:t>RM19-20</w:t>
      </w:r>
      <w:r w:rsidRPr="00AE4DBF">
        <w:rPr>
          <w:i/>
          <w:szCs w:val="26"/>
        </w:rPr>
        <w:t xml:space="preserve">.  </w:t>
      </w:r>
      <w:r w:rsidRPr="00AE4DBF">
        <w:rPr>
          <w:szCs w:val="26"/>
        </w:rPr>
        <w:t xml:space="preserve">The Commission estimates the reduction in the annual public reporting burden for the FERC-725E (due to the retirement of </w:t>
      </w:r>
      <w:r w:rsidR="00ED003C">
        <w:rPr>
          <w:szCs w:val="26"/>
        </w:rPr>
        <w:t>BAL-002-WECC-2a, Requirement R2</w:t>
      </w:r>
      <w:r w:rsidRPr="00AE4DBF">
        <w:rPr>
          <w:szCs w:val="26"/>
        </w:rPr>
        <w:t>) as follows:</w:t>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1"/>
        <w:gridCol w:w="1440"/>
        <w:gridCol w:w="1619"/>
        <w:gridCol w:w="1350"/>
        <w:gridCol w:w="1442"/>
        <w:gridCol w:w="1608"/>
      </w:tblGrid>
      <w:tr w:rsidRPr="00AE4DBF" w:rsidR="00AE4DBF" w:rsidTr="00B90E15" w14:paraId="0A600C27" w14:textId="77777777">
        <w:tc>
          <w:tcPr>
            <w:tcW w:w="5000" w:type="pct"/>
            <w:gridSpan w:val="6"/>
            <w:shd w:val="clear" w:color="auto" w:fill="D9D9D9"/>
            <w:vAlign w:val="bottom"/>
          </w:tcPr>
          <w:p w:rsidR="00E8292C" w:rsidRDefault="00AE4DBF" w14:paraId="0E49C4AD" w14:textId="5F931503">
            <w:pPr>
              <w:pStyle w:val="FERCparanumber"/>
              <w:numPr>
                <w:ilvl w:val="0"/>
                <w:numId w:val="0"/>
              </w:numPr>
              <w:spacing w:line="240" w:lineRule="auto"/>
              <w:jc w:val="center"/>
              <w:rPr>
                <w:b/>
                <w:szCs w:val="26"/>
              </w:rPr>
            </w:pPr>
            <w:r w:rsidRPr="00AE4DBF">
              <w:rPr>
                <w:b/>
                <w:szCs w:val="26"/>
              </w:rPr>
              <w:t xml:space="preserve">FERC-725E, Mandatory Reliability Standards for the </w:t>
            </w:r>
          </w:p>
          <w:p w:rsidR="00E8292C" w:rsidRDefault="00AE4DBF" w14:paraId="20CA7FEF" w14:textId="42D261A3">
            <w:pPr>
              <w:pStyle w:val="FERCparanumber"/>
              <w:numPr>
                <w:ilvl w:val="0"/>
                <w:numId w:val="0"/>
              </w:numPr>
              <w:spacing w:line="240" w:lineRule="auto"/>
              <w:jc w:val="center"/>
              <w:rPr>
                <w:b/>
                <w:szCs w:val="26"/>
              </w:rPr>
            </w:pPr>
            <w:r w:rsidRPr="00AE4DBF">
              <w:rPr>
                <w:b/>
                <w:szCs w:val="26"/>
              </w:rPr>
              <w:t>Western Electric</w:t>
            </w:r>
            <w:r>
              <w:rPr>
                <w:b/>
                <w:szCs w:val="26"/>
              </w:rPr>
              <w:t xml:space="preserve"> </w:t>
            </w:r>
            <w:r w:rsidRPr="00AE4DBF">
              <w:rPr>
                <w:b/>
                <w:szCs w:val="26"/>
              </w:rPr>
              <w:t xml:space="preserve">Coordinating Council, </w:t>
            </w:r>
          </w:p>
          <w:p w:rsidRPr="00AE4DBF" w:rsidR="00AE4DBF" w:rsidP="00132F96" w:rsidRDefault="00AE4DBF" w14:paraId="49422A5D" w14:textId="3F0AEA47">
            <w:pPr>
              <w:pStyle w:val="FERCparanumber"/>
              <w:numPr>
                <w:ilvl w:val="0"/>
                <w:numId w:val="0"/>
              </w:numPr>
              <w:spacing w:line="240" w:lineRule="auto"/>
              <w:jc w:val="center"/>
              <w:rPr>
                <w:b/>
                <w:szCs w:val="26"/>
              </w:rPr>
            </w:pPr>
            <w:r w:rsidRPr="00AE4DBF">
              <w:rPr>
                <w:b/>
                <w:szCs w:val="26"/>
              </w:rPr>
              <w:t xml:space="preserve">Reductions Due to Docket No. </w:t>
            </w:r>
            <w:r w:rsidR="00BD00ED">
              <w:rPr>
                <w:b/>
                <w:szCs w:val="26"/>
              </w:rPr>
              <w:t>RM19-20</w:t>
            </w:r>
          </w:p>
        </w:tc>
      </w:tr>
      <w:tr w:rsidRPr="00AE4DBF" w:rsidR="004E762E" w:rsidTr="00C756C7" w14:paraId="60E95AF0" w14:textId="77777777">
        <w:tc>
          <w:tcPr>
            <w:tcW w:w="1011" w:type="pct"/>
            <w:shd w:val="clear" w:color="auto" w:fill="D9D9D9"/>
            <w:vAlign w:val="bottom"/>
          </w:tcPr>
          <w:p w:rsidRPr="00AE4DBF" w:rsidR="00AE4DBF" w:rsidP="00AE4DBF" w:rsidRDefault="00AE4DBF" w14:paraId="21BEE9E5" w14:textId="77777777">
            <w:pPr>
              <w:pStyle w:val="FERCparanumber"/>
              <w:numPr>
                <w:ilvl w:val="0"/>
                <w:numId w:val="0"/>
              </w:numPr>
              <w:spacing w:line="240" w:lineRule="auto"/>
              <w:rPr>
                <w:b/>
                <w:szCs w:val="26"/>
              </w:rPr>
            </w:pPr>
            <w:r w:rsidRPr="00AE4DBF">
              <w:rPr>
                <w:b/>
                <w:szCs w:val="26"/>
              </w:rPr>
              <w:t>Information Collection Requirements  and Entity</w:t>
            </w:r>
          </w:p>
        </w:tc>
        <w:tc>
          <w:tcPr>
            <w:tcW w:w="770" w:type="pct"/>
            <w:shd w:val="clear" w:color="auto" w:fill="D9D9D9"/>
            <w:vAlign w:val="bottom"/>
          </w:tcPr>
          <w:p w:rsidRPr="00AE4DBF" w:rsidR="00AE4DBF" w:rsidP="00AE4DBF" w:rsidRDefault="00AE4DBF" w14:paraId="341FB2BC" w14:textId="77777777">
            <w:pPr>
              <w:pStyle w:val="FERCparanumber"/>
              <w:numPr>
                <w:ilvl w:val="0"/>
                <w:numId w:val="0"/>
              </w:numPr>
              <w:spacing w:line="240" w:lineRule="auto"/>
              <w:rPr>
                <w:b/>
                <w:szCs w:val="26"/>
              </w:rPr>
            </w:pPr>
            <w:r w:rsidRPr="00AE4DBF">
              <w:rPr>
                <w:b/>
                <w:szCs w:val="26"/>
              </w:rPr>
              <w:t>Number of Respondents</w:t>
            </w:r>
            <w:r w:rsidRPr="00AE4DBF">
              <w:rPr>
                <w:b/>
                <w:szCs w:val="26"/>
              </w:rPr>
              <w:br/>
              <w:t>(1)</w:t>
            </w:r>
          </w:p>
        </w:tc>
        <w:tc>
          <w:tcPr>
            <w:tcW w:w="866" w:type="pct"/>
            <w:shd w:val="clear" w:color="auto" w:fill="D9D9D9"/>
            <w:vAlign w:val="bottom"/>
          </w:tcPr>
          <w:p w:rsidRPr="00AE4DBF" w:rsidR="00AE4DBF" w:rsidP="00AE4DBF" w:rsidRDefault="00AE4DBF" w14:paraId="3F18A725" w14:textId="77777777">
            <w:pPr>
              <w:pStyle w:val="FERCparanumber"/>
              <w:numPr>
                <w:ilvl w:val="0"/>
                <w:numId w:val="0"/>
              </w:numPr>
              <w:spacing w:line="240" w:lineRule="auto"/>
              <w:rPr>
                <w:b/>
                <w:szCs w:val="26"/>
              </w:rPr>
            </w:pPr>
            <w:r w:rsidRPr="00AE4DBF">
              <w:rPr>
                <w:b/>
                <w:szCs w:val="26"/>
              </w:rPr>
              <w:t>Annual Number of Responses per Respondent</w:t>
            </w:r>
          </w:p>
          <w:p w:rsidRPr="00AE4DBF" w:rsidR="00AE4DBF" w:rsidP="00AE4DBF" w:rsidRDefault="00AE4DBF" w14:paraId="2FD10FE8" w14:textId="77777777">
            <w:pPr>
              <w:pStyle w:val="FERCparanumber"/>
              <w:numPr>
                <w:ilvl w:val="0"/>
                <w:numId w:val="0"/>
              </w:numPr>
              <w:spacing w:line="240" w:lineRule="auto"/>
              <w:rPr>
                <w:b/>
                <w:szCs w:val="26"/>
              </w:rPr>
            </w:pPr>
            <w:r w:rsidRPr="00AE4DBF">
              <w:rPr>
                <w:b/>
                <w:szCs w:val="26"/>
              </w:rPr>
              <w:t>(2)</w:t>
            </w:r>
          </w:p>
        </w:tc>
        <w:tc>
          <w:tcPr>
            <w:tcW w:w="722" w:type="pct"/>
            <w:shd w:val="clear" w:color="auto" w:fill="D9D9D9"/>
            <w:vAlign w:val="bottom"/>
          </w:tcPr>
          <w:p w:rsidRPr="00AE4DBF" w:rsidR="00AE4DBF" w:rsidP="00AE4DBF" w:rsidRDefault="00AE4DBF" w14:paraId="025C0C7B" w14:textId="77777777">
            <w:pPr>
              <w:pStyle w:val="FERCparanumber"/>
              <w:numPr>
                <w:ilvl w:val="0"/>
                <w:numId w:val="0"/>
              </w:numPr>
              <w:spacing w:line="240" w:lineRule="auto"/>
              <w:rPr>
                <w:b/>
                <w:szCs w:val="26"/>
              </w:rPr>
            </w:pPr>
            <w:r w:rsidRPr="00AE4DBF">
              <w:rPr>
                <w:b/>
                <w:szCs w:val="26"/>
              </w:rPr>
              <w:t>Total Number of Responses (1)*(2)=(3)</w:t>
            </w:r>
          </w:p>
        </w:tc>
        <w:tc>
          <w:tcPr>
            <w:tcW w:w="771" w:type="pct"/>
            <w:shd w:val="clear" w:color="auto" w:fill="D9D9D9"/>
            <w:vAlign w:val="bottom"/>
          </w:tcPr>
          <w:p w:rsidRPr="00AE4DBF" w:rsidR="00AE4DBF" w:rsidP="00AE4DBF" w:rsidRDefault="00AE4DBF" w14:paraId="20576BF4" w14:textId="77777777">
            <w:pPr>
              <w:pStyle w:val="FERCparanumber"/>
              <w:numPr>
                <w:ilvl w:val="0"/>
                <w:numId w:val="0"/>
              </w:numPr>
              <w:spacing w:line="240" w:lineRule="auto"/>
              <w:rPr>
                <w:b/>
                <w:szCs w:val="26"/>
              </w:rPr>
            </w:pPr>
            <w:r w:rsidRPr="00AE4DBF">
              <w:rPr>
                <w:b/>
                <w:szCs w:val="26"/>
              </w:rPr>
              <w:t>Average Burden Hours &amp; Cost</w:t>
            </w:r>
            <w:bookmarkStart w:name="_Ref51137647" w:id="4"/>
            <w:r w:rsidRPr="00AE4DBF">
              <w:rPr>
                <w:szCs w:val="26"/>
                <w:vertAlign w:val="superscript"/>
              </w:rPr>
              <w:footnoteReference w:id="31"/>
            </w:r>
            <w:bookmarkEnd w:id="4"/>
            <w:r w:rsidRPr="00AE4DBF">
              <w:rPr>
                <w:b/>
                <w:szCs w:val="26"/>
              </w:rPr>
              <w:t xml:space="preserve">  Per Response</w:t>
            </w:r>
          </w:p>
          <w:p w:rsidRPr="00AE4DBF" w:rsidR="00AE4DBF" w:rsidP="00AE4DBF" w:rsidRDefault="00AE4DBF" w14:paraId="54D53BFE" w14:textId="77777777">
            <w:pPr>
              <w:pStyle w:val="FERCparanumber"/>
              <w:numPr>
                <w:ilvl w:val="0"/>
                <w:numId w:val="0"/>
              </w:numPr>
              <w:spacing w:line="240" w:lineRule="auto"/>
              <w:rPr>
                <w:b/>
                <w:szCs w:val="26"/>
              </w:rPr>
            </w:pPr>
            <w:r w:rsidRPr="00AE4DBF">
              <w:rPr>
                <w:b/>
                <w:szCs w:val="26"/>
              </w:rPr>
              <w:t>(4)</w:t>
            </w:r>
          </w:p>
        </w:tc>
        <w:tc>
          <w:tcPr>
            <w:tcW w:w="860" w:type="pct"/>
            <w:shd w:val="clear" w:color="auto" w:fill="D9D9D9"/>
            <w:vAlign w:val="bottom"/>
          </w:tcPr>
          <w:p w:rsidRPr="00AE4DBF" w:rsidR="00AE4DBF" w:rsidP="00AE4DBF" w:rsidRDefault="00AE4DBF" w14:paraId="136B73A4" w14:textId="77777777">
            <w:pPr>
              <w:pStyle w:val="FERCparanumber"/>
              <w:numPr>
                <w:ilvl w:val="0"/>
                <w:numId w:val="0"/>
              </w:numPr>
              <w:spacing w:line="240" w:lineRule="auto"/>
              <w:rPr>
                <w:b/>
                <w:szCs w:val="26"/>
              </w:rPr>
            </w:pPr>
            <w:r w:rsidRPr="00AE4DBF">
              <w:rPr>
                <w:b/>
                <w:szCs w:val="26"/>
              </w:rPr>
              <w:t>Total Annual Burden Hours &amp; Total Annual Cost</w:t>
            </w:r>
          </w:p>
          <w:p w:rsidRPr="00AE4DBF" w:rsidR="00AE4DBF" w:rsidP="00AE4DBF" w:rsidRDefault="00AE4DBF" w14:paraId="1C40116E" w14:textId="77777777">
            <w:pPr>
              <w:pStyle w:val="FERCparanumber"/>
              <w:numPr>
                <w:ilvl w:val="0"/>
                <w:numId w:val="0"/>
              </w:numPr>
              <w:spacing w:line="240" w:lineRule="auto"/>
              <w:rPr>
                <w:b/>
                <w:szCs w:val="26"/>
              </w:rPr>
            </w:pPr>
            <w:r w:rsidRPr="00AE4DBF">
              <w:rPr>
                <w:b/>
                <w:szCs w:val="26"/>
              </w:rPr>
              <w:t>(3)*(4)=(5)</w:t>
            </w:r>
          </w:p>
        </w:tc>
      </w:tr>
      <w:tr w:rsidRPr="00AE4DBF" w:rsidR="004E762E" w:rsidTr="00C756C7" w14:paraId="533DDDFB" w14:textId="77777777">
        <w:tc>
          <w:tcPr>
            <w:tcW w:w="1011" w:type="pct"/>
          </w:tcPr>
          <w:p w:rsidR="00BD00ED" w:rsidP="00AE4DBF" w:rsidRDefault="00BD00ED" w14:paraId="5CA9DDA5" w14:textId="77777777">
            <w:pPr>
              <w:pStyle w:val="FERCparanumber"/>
              <w:numPr>
                <w:ilvl w:val="0"/>
                <w:numId w:val="0"/>
              </w:numPr>
              <w:spacing w:line="240" w:lineRule="auto"/>
              <w:rPr>
                <w:szCs w:val="26"/>
              </w:rPr>
            </w:pPr>
            <w:r>
              <w:rPr>
                <w:szCs w:val="26"/>
              </w:rPr>
              <w:t>Balancing Authorities</w:t>
            </w:r>
          </w:p>
          <w:p w:rsidRPr="00AE4DBF" w:rsidR="00AE4DBF" w:rsidP="00AE4DBF" w:rsidRDefault="00BD00ED" w14:paraId="405C8B00" w14:textId="108CD739">
            <w:pPr>
              <w:pStyle w:val="FERCparanumber"/>
              <w:numPr>
                <w:ilvl w:val="0"/>
                <w:numId w:val="0"/>
              </w:numPr>
              <w:spacing w:line="240" w:lineRule="auto"/>
              <w:rPr>
                <w:szCs w:val="26"/>
              </w:rPr>
            </w:pPr>
            <w:r>
              <w:rPr>
                <w:szCs w:val="26"/>
              </w:rPr>
              <w:t>Year</w:t>
            </w:r>
            <w:r w:rsidR="006653EE">
              <w:rPr>
                <w:szCs w:val="26"/>
              </w:rPr>
              <w:t>s</w:t>
            </w:r>
            <w:r>
              <w:rPr>
                <w:szCs w:val="26"/>
              </w:rPr>
              <w:t xml:space="preserve"> 1 and </w:t>
            </w:r>
            <w:r w:rsidR="006653EE">
              <w:rPr>
                <w:szCs w:val="26"/>
              </w:rPr>
              <w:t>2</w:t>
            </w:r>
            <w:r w:rsidR="00ED003C">
              <w:rPr>
                <w:rStyle w:val="FootnoteReference"/>
              </w:rPr>
              <w:footnoteReference w:id="32"/>
            </w:r>
          </w:p>
        </w:tc>
        <w:tc>
          <w:tcPr>
            <w:tcW w:w="770" w:type="pct"/>
            <w:vAlign w:val="bottom"/>
          </w:tcPr>
          <w:p w:rsidRPr="00AE4DBF" w:rsidR="00AE4DBF" w:rsidP="00C756C7" w:rsidRDefault="00BD00ED" w14:paraId="394D45CF" w14:textId="3710793E">
            <w:pPr>
              <w:pStyle w:val="FERCparanumber"/>
              <w:numPr>
                <w:ilvl w:val="0"/>
                <w:numId w:val="0"/>
              </w:numPr>
              <w:spacing w:line="240" w:lineRule="auto"/>
              <w:jc w:val="right"/>
              <w:rPr>
                <w:szCs w:val="26"/>
              </w:rPr>
            </w:pPr>
            <w:r>
              <w:rPr>
                <w:szCs w:val="26"/>
              </w:rPr>
              <w:t>0 (no change)</w:t>
            </w:r>
          </w:p>
        </w:tc>
        <w:tc>
          <w:tcPr>
            <w:tcW w:w="866" w:type="pct"/>
            <w:vAlign w:val="bottom"/>
          </w:tcPr>
          <w:p w:rsidRPr="00AE4DBF" w:rsidR="00AE4DBF" w:rsidP="00C756C7" w:rsidRDefault="00BD00ED" w14:paraId="647BE2A0" w14:textId="0E0812EC">
            <w:pPr>
              <w:pStyle w:val="FERCparanumber"/>
              <w:numPr>
                <w:ilvl w:val="0"/>
                <w:numId w:val="0"/>
              </w:numPr>
              <w:spacing w:line="240" w:lineRule="auto"/>
              <w:jc w:val="right"/>
              <w:rPr>
                <w:szCs w:val="26"/>
              </w:rPr>
            </w:pPr>
            <w:r>
              <w:rPr>
                <w:szCs w:val="26"/>
              </w:rPr>
              <w:t>0 (no change)</w:t>
            </w:r>
          </w:p>
        </w:tc>
        <w:tc>
          <w:tcPr>
            <w:tcW w:w="722" w:type="pct"/>
            <w:vAlign w:val="bottom"/>
          </w:tcPr>
          <w:p w:rsidRPr="00AE4DBF" w:rsidR="00AE4DBF" w:rsidP="00C756C7" w:rsidRDefault="00BD00ED" w14:paraId="7FB1F873" w14:textId="1FA6E4CA">
            <w:pPr>
              <w:pStyle w:val="FERCparanumber"/>
              <w:numPr>
                <w:ilvl w:val="0"/>
                <w:numId w:val="0"/>
              </w:numPr>
              <w:spacing w:line="240" w:lineRule="auto"/>
              <w:jc w:val="right"/>
              <w:rPr>
                <w:szCs w:val="26"/>
              </w:rPr>
            </w:pPr>
            <w:r>
              <w:rPr>
                <w:szCs w:val="26"/>
              </w:rPr>
              <w:t>0 (no change)</w:t>
            </w:r>
          </w:p>
        </w:tc>
        <w:tc>
          <w:tcPr>
            <w:tcW w:w="771" w:type="pct"/>
            <w:vAlign w:val="bottom"/>
          </w:tcPr>
          <w:p w:rsidRPr="00AE4DBF" w:rsidR="00AE4DBF" w:rsidP="00C756C7" w:rsidRDefault="00BD00ED" w14:paraId="69955C4B" w14:textId="06A58D4D">
            <w:pPr>
              <w:pStyle w:val="FERCparanumber"/>
              <w:numPr>
                <w:ilvl w:val="0"/>
                <w:numId w:val="0"/>
              </w:numPr>
              <w:spacing w:line="240" w:lineRule="auto"/>
              <w:jc w:val="right"/>
              <w:rPr>
                <w:szCs w:val="26"/>
              </w:rPr>
            </w:pPr>
            <w:r>
              <w:rPr>
                <w:szCs w:val="26"/>
              </w:rPr>
              <w:t>0</w:t>
            </w:r>
            <w:r w:rsidRPr="00AE4DBF">
              <w:rPr>
                <w:szCs w:val="26"/>
              </w:rPr>
              <w:t xml:space="preserve"> </w:t>
            </w:r>
            <w:r w:rsidRPr="00AE4DBF" w:rsidR="00AE4DBF">
              <w:rPr>
                <w:szCs w:val="26"/>
              </w:rPr>
              <w:t>hrs.;</w:t>
            </w:r>
          </w:p>
          <w:p w:rsidR="00AE4DBF" w:rsidP="00C756C7" w:rsidRDefault="00AE4DBF" w14:paraId="7FB2241F" w14:textId="77777777">
            <w:pPr>
              <w:pStyle w:val="FERCparanumber"/>
              <w:numPr>
                <w:ilvl w:val="0"/>
                <w:numId w:val="0"/>
              </w:numPr>
              <w:spacing w:line="240" w:lineRule="auto"/>
              <w:jc w:val="right"/>
              <w:rPr>
                <w:szCs w:val="26"/>
              </w:rPr>
            </w:pPr>
            <w:r w:rsidRPr="00AE4DBF">
              <w:rPr>
                <w:szCs w:val="26"/>
              </w:rPr>
              <w:t>$</w:t>
            </w:r>
            <w:r w:rsidR="00BD00ED">
              <w:rPr>
                <w:szCs w:val="26"/>
              </w:rPr>
              <w:t>0</w:t>
            </w:r>
          </w:p>
          <w:p w:rsidRPr="00AE4DBF" w:rsidR="00BD00ED" w:rsidP="00C756C7" w:rsidRDefault="00BD00ED" w14:paraId="2202A7A7" w14:textId="7020A78E">
            <w:pPr>
              <w:pStyle w:val="FERCparanumber"/>
              <w:numPr>
                <w:ilvl w:val="0"/>
                <w:numId w:val="0"/>
              </w:numPr>
              <w:spacing w:line="240" w:lineRule="auto"/>
              <w:jc w:val="right"/>
              <w:rPr>
                <w:szCs w:val="26"/>
              </w:rPr>
            </w:pPr>
            <w:r>
              <w:rPr>
                <w:szCs w:val="26"/>
              </w:rPr>
              <w:t>(no change)</w:t>
            </w:r>
          </w:p>
        </w:tc>
        <w:tc>
          <w:tcPr>
            <w:tcW w:w="860" w:type="pct"/>
            <w:vAlign w:val="bottom"/>
          </w:tcPr>
          <w:p w:rsidRPr="00AE4DBF" w:rsidR="00AE4DBF" w:rsidP="00C756C7" w:rsidRDefault="00BD00ED" w14:paraId="5AE6758D" w14:textId="2F3D14E4">
            <w:pPr>
              <w:pStyle w:val="FERCparanumber"/>
              <w:numPr>
                <w:ilvl w:val="0"/>
                <w:numId w:val="0"/>
              </w:numPr>
              <w:spacing w:line="240" w:lineRule="auto"/>
              <w:jc w:val="right"/>
              <w:rPr>
                <w:szCs w:val="26"/>
              </w:rPr>
            </w:pPr>
            <w:r>
              <w:rPr>
                <w:szCs w:val="26"/>
              </w:rPr>
              <w:t>0</w:t>
            </w:r>
            <w:r w:rsidRPr="00AE4DBF" w:rsidR="00AE4DBF">
              <w:rPr>
                <w:szCs w:val="26"/>
              </w:rPr>
              <w:t xml:space="preserve"> hrs.;</w:t>
            </w:r>
          </w:p>
          <w:p w:rsidR="00AE4DBF" w:rsidP="00C756C7" w:rsidRDefault="00AE4DBF" w14:paraId="477F2A84" w14:textId="77777777">
            <w:pPr>
              <w:pStyle w:val="FERCparanumber"/>
              <w:numPr>
                <w:ilvl w:val="0"/>
                <w:numId w:val="0"/>
              </w:numPr>
              <w:spacing w:line="240" w:lineRule="auto"/>
              <w:jc w:val="right"/>
              <w:rPr>
                <w:szCs w:val="26"/>
              </w:rPr>
            </w:pPr>
            <w:r w:rsidRPr="00AE4DBF">
              <w:rPr>
                <w:szCs w:val="26"/>
              </w:rPr>
              <w:t>$</w:t>
            </w:r>
            <w:r w:rsidR="00BD00ED">
              <w:rPr>
                <w:szCs w:val="26"/>
              </w:rPr>
              <w:t>0</w:t>
            </w:r>
          </w:p>
          <w:p w:rsidRPr="00AE4DBF" w:rsidR="00BD00ED" w:rsidP="00C756C7" w:rsidRDefault="00BD00ED" w14:paraId="563891CA" w14:textId="748ED255">
            <w:pPr>
              <w:pStyle w:val="FERCparanumber"/>
              <w:numPr>
                <w:ilvl w:val="0"/>
                <w:numId w:val="0"/>
              </w:numPr>
              <w:spacing w:line="240" w:lineRule="auto"/>
              <w:jc w:val="right"/>
              <w:rPr>
                <w:szCs w:val="26"/>
              </w:rPr>
            </w:pPr>
            <w:r>
              <w:rPr>
                <w:szCs w:val="26"/>
              </w:rPr>
              <w:t>(no change)</w:t>
            </w:r>
          </w:p>
        </w:tc>
      </w:tr>
      <w:tr w:rsidRPr="00AE4DBF" w:rsidR="0017581E" w:rsidTr="0017581E" w14:paraId="593F1120" w14:textId="77777777">
        <w:tc>
          <w:tcPr>
            <w:tcW w:w="1011" w:type="pct"/>
          </w:tcPr>
          <w:p w:rsidR="006B64E1" w:rsidP="00AE4DBF" w:rsidRDefault="006B64E1" w14:paraId="40E853B4" w14:textId="77777777">
            <w:pPr>
              <w:pStyle w:val="FERCparanumber"/>
              <w:numPr>
                <w:ilvl w:val="0"/>
                <w:numId w:val="0"/>
              </w:numPr>
              <w:spacing w:line="240" w:lineRule="auto"/>
              <w:rPr>
                <w:szCs w:val="26"/>
              </w:rPr>
            </w:pPr>
            <w:r>
              <w:rPr>
                <w:szCs w:val="26"/>
              </w:rPr>
              <w:t>Balancing Authorities</w:t>
            </w:r>
          </w:p>
          <w:p w:rsidRPr="00AE4DBF" w:rsidR="00AE4DBF" w:rsidP="00AE4DBF" w:rsidRDefault="006B64E1" w14:paraId="0779B9BB" w14:textId="408A6E30">
            <w:pPr>
              <w:pStyle w:val="FERCparanumber"/>
              <w:numPr>
                <w:ilvl w:val="0"/>
                <w:numId w:val="0"/>
              </w:numPr>
              <w:spacing w:line="240" w:lineRule="auto"/>
              <w:rPr>
                <w:szCs w:val="26"/>
              </w:rPr>
            </w:pPr>
            <w:r>
              <w:rPr>
                <w:szCs w:val="26"/>
              </w:rPr>
              <w:t xml:space="preserve">Year 3 and </w:t>
            </w:r>
            <w:r w:rsidR="004E762E">
              <w:rPr>
                <w:szCs w:val="26"/>
              </w:rPr>
              <w:t>Ongoing</w:t>
            </w:r>
          </w:p>
        </w:tc>
        <w:tc>
          <w:tcPr>
            <w:tcW w:w="770" w:type="pct"/>
            <w:tcBorders>
              <w:bottom w:val="single" w:color="auto" w:sz="4" w:space="0"/>
            </w:tcBorders>
            <w:shd w:val="clear" w:color="auto" w:fill="FFFFFF"/>
            <w:vAlign w:val="bottom"/>
          </w:tcPr>
          <w:p w:rsidRPr="00AE4DBF" w:rsidR="00AE4DBF" w:rsidP="00C756C7" w:rsidRDefault="006B64E1" w14:paraId="63D702B7" w14:textId="3115BB85">
            <w:pPr>
              <w:pStyle w:val="FERCparanumber"/>
              <w:numPr>
                <w:ilvl w:val="0"/>
                <w:numId w:val="0"/>
              </w:numPr>
              <w:spacing w:line="240" w:lineRule="auto"/>
              <w:jc w:val="right"/>
              <w:rPr>
                <w:szCs w:val="26"/>
              </w:rPr>
            </w:pPr>
            <w:r>
              <w:rPr>
                <w:szCs w:val="26"/>
              </w:rPr>
              <w:t>34</w:t>
            </w:r>
          </w:p>
        </w:tc>
        <w:tc>
          <w:tcPr>
            <w:tcW w:w="866" w:type="pct"/>
            <w:tcBorders>
              <w:bottom w:val="single" w:color="auto" w:sz="4" w:space="0"/>
            </w:tcBorders>
            <w:shd w:val="clear" w:color="auto" w:fill="FFFFFF"/>
            <w:vAlign w:val="bottom"/>
          </w:tcPr>
          <w:p w:rsidRPr="00AE4DBF" w:rsidR="00AE4DBF" w:rsidP="00C756C7" w:rsidRDefault="00AE4DBF" w14:paraId="4A9000C5" w14:textId="77777777">
            <w:pPr>
              <w:pStyle w:val="FERCparanumber"/>
              <w:numPr>
                <w:ilvl w:val="0"/>
                <w:numId w:val="0"/>
              </w:numPr>
              <w:spacing w:line="240" w:lineRule="auto"/>
              <w:jc w:val="right"/>
              <w:rPr>
                <w:szCs w:val="26"/>
              </w:rPr>
            </w:pPr>
            <w:r w:rsidRPr="00AE4DBF">
              <w:rPr>
                <w:szCs w:val="26"/>
              </w:rPr>
              <w:t>1</w:t>
            </w:r>
          </w:p>
        </w:tc>
        <w:tc>
          <w:tcPr>
            <w:tcW w:w="722" w:type="pct"/>
            <w:tcBorders>
              <w:bottom w:val="single" w:color="auto" w:sz="4" w:space="0"/>
            </w:tcBorders>
            <w:shd w:val="clear" w:color="auto" w:fill="FFFFFF"/>
            <w:vAlign w:val="bottom"/>
          </w:tcPr>
          <w:p w:rsidRPr="00AE4DBF" w:rsidR="00AE4DBF" w:rsidP="00C756C7" w:rsidRDefault="006B64E1" w14:paraId="117A5AB0" w14:textId="2DD7BE72">
            <w:pPr>
              <w:pStyle w:val="FERCparanumber"/>
              <w:numPr>
                <w:ilvl w:val="0"/>
                <w:numId w:val="0"/>
              </w:numPr>
              <w:spacing w:line="240" w:lineRule="auto"/>
              <w:jc w:val="right"/>
              <w:rPr>
                <w:szCs w:val="26"/>
              </w:rPr>
            </w:pPr>
            <w:r>
              <w:rPr>
                <w:szCs w:val="26"/>
              </w:rPr>
              <w:t>34</w:t>
            </w:r>
          </w:p>
        </w:tc>
        <w:tc>
          <w:tcPr>
            <w:tcW w:w="771" w:type="pct"/>
            <w:tcBorders>
              <w:bottom w:val="single" w:color="auto" w:sz="4" w:space="0"/>
            </w:tcBorders>
            <w:shd w:val="clear" w:color="auto" w:fill="FFFFFF"/>
            <w:vAlign w:val="bottom"/>
          </w:tcPr>
          <w:p w:rsidRPr="00AE4DBF" w:rsidR="00AE4DBF" w:rsidP="00C756C7" w:rsidRDefault="006B64E1" w14:paraId="1DF5D29A" w14:textId="116B42D3">
            <w:pPr>
              <w:pStyle w:val="FERCparanumber"/>
              <w:numPr>
                <w:ilvl w:val="0"/>
                <w:numId w:val="0"/>
              </w:numPr>
              <w:spacing w:line="240" w:lineRule="auto"/>
              <w:jc w:val="right"/>
              <w:rPr>
                <w:szCs w:val="26"/>
              </w:rPr>
            </w:pPr>
            <w:r>
              <w:rPr>
                <w:szCs w:val="26"/>
              </w:rPr>
              <w:t>1</w:t>
            </w:r>
            <w:r w:rsidRPr="00AE4DBF">
              <w:rPr>
                <w:szCs w:val="26"/>
              </w:rPr>
              <w:t xml:space="preserve"> </w:t>
            </w:r>
            <w:r w:rsidRPr="00AE4DBF" w:rsidR="00AE4DBF">
              <w:rPr>
                <w:szCs w:val="26"/>
              </w:rPr>
              <w:t>hr.;</w:t>
            </w:r>
          </w:p>
          <w:p w:rsidR="00AE4DBF" w:rsidP="00C756C7" w:rsidRDefault="000713DF" w14:paraId="675FFC91" w14:textId="515798DF">
            <w:pPr>
              <w:pStyle w:val="FERCparanumber"/>
              <w:numPr>
                <w:ilvl w:val="0"/>
                <w:numId w:val="0"/>
              </w:numPr>
              <w:spacing w:line="240" w:lineRule="auto"/>
              <w:jc w:val="right"/>
              <w:rPr>
                <w:szCs w:val="26"/>
              </w:rPr>
            </w:pPr>
            <w:r w:rsidRPr="00AE4DBF">
              <w:rPr>
                <w:szCs w:val="26"/>
              </w:rPr>
              <w:t>$</w:t>
            </w:r>
            <w:r w:rsidR="002467BA">
              <w:rPr>
                <w:szCs w:val="26"/>
              </w:rPr>
              <w:t>83.67</w:t>
            </w:r>
          </w:p>
          <w:p w:rsidRPr="00AE4DBF" w:rsidR="004E762E" w:rsidP="00C756C7" w:rsidRDefault="004E762E" w14:paraId="7A9D2E6A" w14:textId="190A864D">
            <w:pPr>
              <w:pStyle w:val="FERCparanumber"/>
              <w:numPr>
                <w:ilvl w:val="0"/>
                <w:numId w:val="0"/>
              </w:numPr>
              <w:spacing w:line="240" w:lineRule="auto"/>
              <w:jc w:val="right"/>
              <w:rPr>
                <w:szCs w:val="26"/>
              </w:rPr>
            </w:pPr>
            <w:r>
              <w:rPr>
                <w:szCs w:val="26"/>
              </w:rPr>
              <w:t>(reduction)</w:t>
            </w:r>
          </w:p>
        </w:tc>
        <w:tc>
          <w:tcPr>
            <w:tcW w:w="860" w:type="pct"/>
            <w:tcBorders>
              <w:bottom w:val="single" w:color="auto" w:sz="4" w:space="0"/>
            </w:tcBorders>
            <w:vAlign w:val="bottom"/>
          </w:tcPr>
          <w:p w:rsidRPr="00AE4DBF" w:rsidR="00AE4DBF" w:rsidP="00C756C7" w:rsidRDefault="006B64E1" w14:paraId="7B0A9BDB" w14:textId="5905228A">
            <w:pPr>
              <w:pStyle w:val="FERCparanumber"/>
              <w:numPr>
                <w:ilvl w:val="0"/>
                <w:numId w:val="0"/>
              </w:numPr>
              <w:spacing w:line="240" w:lineRule="auto"/>
              <w:jc w:val="right"/>
              <w:rPr>
                <w:szCs w:val="26"/>
              </w:rPr>
            </w:pPr>
            <w:r>
              <w:rPr>
                <w:szCs w:val="26"/>
              </w:rPr>
              <w:t>34</w:t>
            </w:r>
            <w:r w:rsidRPr="00AE4DBF">
              <w:rPr>
                <w:szCs w:val="26"/>
              </w:rPr>
              <w:t xml:space="preserve"> </w:t>
            </w:r>
            <w:r w:rsidRPr="00AE4DBF" w:rsidR="00AE4DBF">
              <w:rPr>
                <w:szCs w:val="26"/>
              </w:rPr>
              <w:t>hrs.;</w:t>
            </w:r>
          </w:p>
          <w:p w:rsidR="00AE4DBF" w:rsidP="00C756C7" w:rsidRDefault="000713DF" w14:paraId="2C0DDD92" w14:textId="28907549">
            <w:pPr>
              <w:pStyle w:val="FERCparanumber"/>
              <w:numPr>
                <w:ilvl w:val="0"/>
                <w:numId w:val="0"/>
              </w:numPr>
              <w:spacing w:line="240" w:lineRule="auto"/>
              <w:jc w:val="right"/>
              <w:rPr>
                <w:szCs w:val="26"/>
              </w:rPr>
            </w:pPr>
            <w:r w:rsidRPr="00AE4DBF">
              <w:rPr>
                <w:szCs w:val="26"/>
              </w:rPr>
              <w:t>$</w:t>
            </w:r>
            <w:r>
              <w:rPr>
                <w:szCs w:val="26"/>
              </w:rPr>
              <w:t>2,</w:t>
            </w:r>
            <w:r w:rsidR="002467BA">
              <w:rPr>
                <w:szCs w:val="26"/>
              </w:rPr>
              <w:t>844.78</w:t>
            </w:r>
          </w:p>
          <w:p w:rsidRPr="00AE4DBF" w:rsidR="004E762E" w:rsidP="00C756C7" w:rsidRDefault="004E762E" w14:paraId="610A0A6E" w14:textId="566262AD">
            <w:pPr>
              <w:pStyle w:val="FERCparanumber"/>
              <w:numPr>
                <w:ilvl w:val="0"/>
                <w:numId w:val="0"/>
              </w:numPr>
              <w:spacing w:line="240" w:lineRule="auto"/>
              <w:jc w:val="right"/>
              <w:rPr>
                <w:szCs w:val="26"/>
              </w:rPr>
            </w:pPr>
            <w:r>
              <w:rPr>
                <w:szCs w:val="26"/>
              </w:rPr>
              <w:t>(reduction)</w:t>
            </w:r>
          </w:p>
        </w:tc>
      </w:tr>
      <w:tr w:rsidRPr="00AE4DBF" w:rsidR="004E762E" w:rsidTr="00C756C7" w14:paraId="27395F58" w14:textId="77777777">
        <w:trPr>
          <w:trHeight w:val="485"/>
        </w:trPr>
        <w:tc>
          <w:tcPr>
            <w:tcW w:w="1011" w:type="pct"/>
            <w:tcBorders>
              <w:bottom w:val="single" w:color="auto" w:sz="4" w:space="0"/>
            </w:tcBorders>
          </w:tcPr>
          <w:p w:rsidRPr="00AE4DBF" w:rsidR="00AE4DBF" w:rsidP="00AE4DBF" w:rsidRDefault="00AE4DBF" w14:paraId="6380D96E" w14:textId="7ED35E2C">
            <w:pPr>
              <w:pStyle w:val="FERCparanumber"/>
              <w:numPr>
                <w:ilvl w:val="0"/>
                <w:numId w:val="0"/>
              </w:numPr>
              <w:spacing w:line="240" w:lineRule="auto"/>
              <w:rPr>
                <w:b/>
                <w:szCs w:val="26"/>
              </w:rPr>
            </w:pPr>
            <w:r w:rsidRPr="00AE4DBF">
              <w:rPr>
                <w:b/>
                <w:szCs w:val="26"/>
              </w:rPr>
              <w:t xml:space="preserve">SUB-TOTAL, REDUCTION (Due to Docket No. </w:t>
            </w:r>
            <w:r w:rsidR="004E762E">
              <w:rPr>
                <w:b/>
                <w:szCs w:val="26"/>
              </w:rPr>
              <w:t>RM19-20</w:t>
            </w:r>
            <w:r w:rsidRPr="00AE4DBF">
              <w:rPr>
                <w:b/>
                <w:szCs w:val="26"/>
              </w:rPr>
              <w:t>)</w:t>
            </w:r>
            <w:r w:rsidR="008F1F9E">
              <w:rPr>
                <w:b/>
                <w:szCs w:val="26"/>
              </w:rPr>
              <w:t xml:space="preserve"> in Year 3 and Ongoing</w:t>
            </w:r>
          </w:p>
        </w:tc>
        <w:tc>
          <w:tcPr>
            <w:tcW w:w="1636" w:type="pct"/>
            <w:gridSpan w:val="2"/>
            <w:tcBorders>
              <w:bottom w:val="single" w:color="auto" w:sz="4" w:space="0"/>
            </w:tcBorders>
            <w:shd w:val="pct10" w:color="auto" w:fill="auto"/>
            <w:vAlign w:val="bottom"/>
          </w:tcPr>
          <w:p w:rsidRPr="00AE4DBF" w:rsidR="00AE4DBF" w:rsidP="00AE4DBF" w:rsidRDefault="00AE4DBF" w14:paraId="612244E0" w14:textId="77777777">
            <w:pPr>
              <w:pStyle w:val="FERCparanumber"/>
              <w:numPr>
                <w:ilvl w:val="0"/>
                <w:numId w:val="0"/>
              </w:numPr>
              <w:spacing w:line="240" w:lineRule="auto"/>
              <w:rPr>
                <w:szCs w:val="26"/>
              </w:rPr>
            </w:pPr>
          </w:p>
        </w:tc>
        <w:tc>
          <w:tcPr>
            <w:tcW w:w="722" w:type="pct"/>
            <w:tcBorders>
              <w:bottom w:val="single" w:color="auto" w:sz="4" w:space="0"/>
            </w:tcBorders>
            <w:shd w:val="pct10" w:color="auto" w:fill="auto"/>
            <w:vAlign w:val="bottom"/>
          </w:tcPr>
          <w:p w:rsidRPr="00AE4DBF" w:rsidR="00AE4DBF" w:rsidP="00AE4DBF" w:rsidRDefault="00AE4DBF" w14:paraId="7AB91F23" w14:textId="77777777">
            <w:pPr>
              <w:pStyle w:val="FERCparanumber"/>
              <w:numPr>
                <w:ilvl w:val="0"/>
                <w:numId w:val="0"/>
              </w:numPr>
              <w:spacing w:line="240" w:lineRule="auto"/>
              <w:rPr>
                <w:b/>
                <w:szCs w:val="26"/>
              </w:rPr>
            </w:pPr>
          </w:p>
        </w:tc>
        <w:tc>
          <w:tcPr>
            <w:tcW w:w="771" w:type="pct"/>
            <w:tcBorders>
              <w:bottom w:val="single" w:color="auto" w:sz="4" w:space="0"/>
            </w:tcBorders>
            <w:shd w:val="pct10" w:color="auto" w:fill="auto"/>
            <w:vAlign w:val="bottom"/>
          </w:tcPr>
          <w:p w:rsidRPr="00AE4DBF" w:rsidR="00AE4DBF" w:rsidP="00AE4DBF" w:rsidRDefault="00AE4DBF" w14:paraId="2AEC72C9" w14:textId="77777777">
            <w:pPr>
              <w:pStyle w:val="FERCparanumber"/>
              <w:numPr>
                <w:ilvl w:val="0"/>
                <w:numId w:val="0"/>
              </w:numPr>
              <w:spacing w:line="240" w:lineRule="auto"/>
              <w:rPr>
                <w:szCs w:val="26"/>
              </w:rPr>
            </w:pPr>
          </w:p>
        </w:tc>
        <w:tc>
          <w:tcPr>
            <w:tcW w:w="860" w:type="pct"/>
            <w:tcBorders>
              <w:bottom w:val="single" w:color="auto" w:sz="4" w:space="0"/>
            </w:tcBorders>
            <w:vAlign w:val="bottom"/>
          </w:tcPr>
          <w:p w:rsidR="008C5F6C" w:rsidP="00AE4DBF" w:rsidRDefault="004E762E" w14:paraId="62630180" w14:textId="77777777">
            <w:pPr>
              <w:pStyle w:val="FERCparanumber"/>
              <w:numPr>
                <w:ilvl w:val="0"/>
                <w:numId w:val="0"/>
              </w:numPr>
              <w:spacing w:line="240" w:lineRule="auto"/>
              <w:rPr>
                <w:szCs w:val="26"/>
              </w:rPr>
            </w:pPr>
            <w:r>
              <w:rPr>
                <w:szCs w:val="26"/>
              </w:rPr>
              <w:t>34</w:t>
            </w:r>
            <w:r w:rsidRPr="00AE4DBF" w:rsidR="00AE4DBF">
              <w:rPr>
                <w:szCs w:val="26"/>
              </w:rPr>
              <w:t xml:space="preserve"> hrs.; </w:t>
            </w:r>
          </w:p>
          <w:p w:rsidR="004E762E" w:rsidP="00AE4DBF" w:rsidRDefault="00AE4DBF" w14:paraId="5918627B" w14:textId="48F035EE">
            <w:pPr>
              <w:pStyle w:val="FERCparanumber"/>
              <w:numPr>
                <w:ilvl w:val="0"/>
                <w:numId w:val="0"/>
              </w:numPr>
              <w:spacing w:line="240" w:lineRule="auto"/>
              <w:rPr>
                <w:szCs w:val="26"/>
              </w:rPr>
            </w:pPr>
            <w:r w:rsidRPr="00AE4DBF">
              <w:rPr>
                <w:szCs w:val="26"/>
              </w:rPr>
              <w:t>$</w:t>
            </w:r>
            <w:r w:rsidR="000713DF">
              <w:rPr>
                <w:szCs w:val="26"/>
              </w:rPr>
              <w:t>2,</w:t>
            </w:r>
            <w:r w:rsidR="002467BA">
              <w:rPr>
                <w:szCs w:val="26"/>
              </w:rPr>
              <w:t>844.78</w:t>
            </w:r>
          </w:p>
          <w:p w:rsidRPr="00AE4DBF" w:rsidR="00AE4DBF" w:rsidP="00AE4DBF" w:rsidRDefault="004E762E" w14:paraId="4BFC403E" w14:textId="408ABC15">
            <w:pPr>
              <w:pStyle w:val="FERCparanumber"/>
              <w:numPr>
                <w:ilvl w:val="0"/>
                <w:numId w:val="0"/>
              </w:numPr>
              <w:spacing w:line="240" w:lineRule="auto"/>
              <w:rPr>
                <w:szCs w:val="26"/>
              </w:rPr>
            </w:pPr>
            <w:r>
              <w:rPr>
                <w:szCs w:val="26"/>
              </w:rPr>
              <w:t>(reduction)</w:t>
            </w:r>
          </w:p>
        </w:tc>
      </w:tr>
    </w:tbl>
    <w:p w:rsidR="00ED003C" w:rsidP="00AE4DBF" w:rsidRDefault="00ED003C" w14:paraId="0377306F" w14:textId="154F9C72">
      <w:pPr>
        <w:pStyle w:val="FERCparanumber"/>
        <w:numPr>
          <w:ilvl w:val="0"/>
          <w:numId w:val="0"/>
        </w:numPr>
        <w:rPr>
          <w:szCs w:val="26"/>
        </w:rPr>
      </w:pPr>
    </w:p>
    <w:p w:rsidR="00ED003C" w:rsidP="00ED003C" w:rsidRDefault="00ED003C" w14:paraId="3CEC12E6" w14:textId="287091D4">
      <w:pPr>
        <w:pStyle w:val="FERCparanumber"/>
        <w:tabs>
          <w:tab w:val="clear" w:pos="720"/>
        </w:tabs>
        <w:rPr>
          <w:szCs w:val="26"/>
        </w:rPr>
      </w:pPr>
      <w:r>
        <w:rPr>
          <w:i/>
          <w:szCs w:val="26"/>
        </w:rPr>
        <w:t>Adjustments</w:t>
      </w:r>
      <w:r w:rsidRPr="00AE4DBF">
        <w:rPr>
          <w:i/>
          <w:szCs w:val="26"/>
        </w:rPr>
        <w:t xml:space="preserve"> Due </w:t>
      </w:r>
      <w:r w:rsidR="00FC7D1C">
        <w:rPr>
          <w:i/>
          <w:szCs w:val="26"/>
        </w:rPr>
        <w:t>to normal industry fluctuations</w:t>
      </w:r>
      <w:r w:rsidRPr="00AE4DBF">
        <w:rPr>
          <w:i/>
          <w:szCs w:val="26"/>
        </w:rPr>
        <w:t xml:space="preserve">.  </w:t>
      </w:r>
      <w:r w:rsidRPr="00AE4DBF">
        <w:rPr>
          <w:szCs w:val="26"/>
        </w:rPr>
        <w:t xml:space="preserve">The Commission estimates the </w:t>
      </w:r>
      <w:r w:rsidR="008C18BA">
        <w:rPr>
          <w:szCs w:val="26"/>
        </w:rPr>
        <w:t>changes</w:t>
      </w:r>
      <w:r w:rsidRPr="00AE4DBF">
        <w:rPr>
          <w:szCs w:val="26"/>
        </w:rPr>
        <w:t xml:space="preserve"> in the annual public reporting burden for the FERC-725E (due to the </w:t>
      </w:r>
      <w:r w:rsidRPr="006C0E6A" w:rsidR="008C18BA">
        <w:rPr>
          <w:szCs w:val="26"/>
        </w:rPr>
        <w:t>number of applicable registered entities</w:t>
      </w:r>
      <w:r w:rsidRPr="00AE4DBF">
        <w:rPr>
          <w:szCs w:val="26"/>
        </w:rPr>
        <w:t>) as follows:</w:t>
      </w:r>
      <w:r w:rsidRPr="00AE4DBF">
        <w:rPr>
          <w:b/>
          <w:szCs w:val="26"/>
          <w:vertAlign w:val="superscript"/>
        </w:rPr>
        <w:footnoteReference w:id="33"/>
      </w:r>
    </w:p>
    <w:tbl>
      <w:tblPr>
        <w:tblW w:w="500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0"/>
        <w:gridCol w:w="1410"/>
        <w:gridCol w:w="120"/>
        <w:gridCol w:w="1530"/>
        <w:gridCol w:w="1440"/>
        <w:gridCol w:w="1442"/>
        <w:gridCol w:w="1608"/>
      </w:tblGrid>
      <w:tr w:rsidRPr="00AE4DBF" w:rsidR="00E133A5" w:rsidTr="00B90E15" w14:paraId="591C4BB5" w14:textId="77777777">
        <w:tc>
          <w:tcPr>
            <w:tcW w:w="5000" w:type="pct"/>
            <w:gridSpan w:val="7"/>
            <w:shd w:val="clear" w:color="auto" w:fill="D9D9D9"/>
            <w:vAlign w:val="bottom"/>
          </w:tcPr>
          <w:p w:rsidR="00286B3B" w:rsidP="004D19DA" w:rsidRDefault="00E133A5" w14:paraId="4DA20060" w14:textId="3B5660D5">
            <w:pPr>
              <w:pStyle w:val="FERCparanumber"/>
              <w:numPr>
                <w:ilvl w:val="0"/>
                <w:numId w:val="0"/>
              </w:numPr>
              <w:spacing w:line="240" w:lineRule="auto"/>
              <w:jc w:val="center"/>
              <w:rPr>
                <w:b/>
                <w:szCs w:val="26"/>
              </w:rPr>
            </w:pPr>
            <w:r w:rsidRPr="00AE4DBF">
              <w:rPr>
                <w:b/>
                <w:szCs w:val="26"/>
              </w:rPr>
              <w:t xml:space="preserve">FERC-725E, Mandatory Reliability Standards for the </w:t>
            </w:r>
          </w:p>
          <w:p w:rsidR="00286B3B" w:rsidP="004D19DA" w:rsidRDefault="00E133A5" w14:paraId="0F8B255E" w14:textId="7258B9F8">
            <w:pPr>
              <w:pStyle w:val="FERCparanumber"/>
              <w:numPr>
                <w:ilvl w:val="0"/>
                <w:numId w:val="0"/>
              </w:numPr>
              <w:spacing w:line="240" w:lineRule="auto"/>
              <w:jc w:val="center"/>
              <w:rPr>
                <w:b/>
                <w:szCs w:val="26"/>
              </w:rPr>
            </w:pPr>
            <w:r w:rsidRPr="00AE4DBF">
              <w:rPr>
                <w:b/>
                <w:szCs w:val="26"/>
              </w:rPr>
              <w:t>Western Electric</w:t>
            </w:r>
            <w:r>
              <w:rPr>
                <w:b/>
                <w:szCs w:val="26"/>
              </w:rPr>
              <w:t xml:space="preserve"> </w:t>
            </w:r>
            <w:r w:rsidRPr="00AE4DBF">
              <w:rPr>
                <w:b/>
                <w:szCs w:val="26"/>
              </w:rPr>
              <w:t xml:space="preserve">Coordinating Council, </w:t>
            </w:r>
          </w:p>
          <w:p w:rsidRPr="00AE4DBF" w:rsidR="00E133A5" w:rsidP="004D19DA" w:rsidRDefault="00E133A5" w14:paraId="563562CE" w14:textId="777400BE">
            <w:pPr>
              <w:pStyle w:val="FERCparanumber"/>
              <w:numPr>
                <w:ilvl w:val="0"/>
                <w:numId w:val="0"/>
              </w:numPr>
              <w:spacing w:line="240" w:lineRule="auto"/>
              <w:jc w:val="center"/>
              <w:rPr>
                <w:b/>
                <w:szCs w:val="26"/>
              </w:rPr>
            </w:pPr>
            <w:r>
              <w:rPr>
                <w:b/>
                <w:szCs w:val="26"/>
              </w:rPr>
              <w:t>Adjustments</w:t>
            </w:r>
            <w:r w:rsidRPr="00AE4DBF">
              <w:rPr>
                <w:b/>
                <w:szCs w:val="26"/>
              </w:rPr>
              <w:t xml:space="preserve"> Due to </w:t>
            </w:r>
            <w:r>
              <w:rPr>
                <w:b/>
                <w:szCs w:val="26"/>
              </w:rPr>
              <w:t>Normal Industry Fluctuations</w:t>
            </w:r>
          </w:p>
        </w:tc>
      </w:tr>
      <w:tr w:rsidRPr="00AE4DBF" w:rsidR="00E133A5" w:rsidTr="00B90E15" w14:paraId="3E127F1D" w14:textId="77777777">
        <w:tc>
          <w:tcPr>
            <w:tcW w:w="963" w:type="pct"/>
            <w:shd w:val="clear" w:color="auto" w:fill="D9D9D9"/>
            <w:vAlign w:val="bottom"/>
          </w:tcPr>
          <w:p w:rsidRPr="00AE4DBF" w:rsidR="00E133A5" w:rsidP="004D19DA" w:rsidRDefault="00E133A5" w14:paraId="2D91348C" w14:textId="223B2E24">
            <w:pPr>
              <w:pStyle w:val="FERCparanumber"/>
              <w:numPr>
                <w:ilvl w:val="0"/>
                <w:numId w:val="0"/>
              </w:numPr>
              <w:spacing w:line="240" w:lineRule="auto"/>
              <w:rPr>
                <w:b/>
                <w:szCs w:val="26"/>
              </w:rPr>
            </w:pPr>
            <w:r w:rsidRPr="00AE4DBF">
              <w:rPr>
                <w:b/>
                <w:szCs w:val="26"/>
              </w:rPr>
              <w:t>Information Collection Requirements  and Entity</w:t>
            </w:r>
          </w:p>
        </w:tc>
        <w:tc>
          <w:tcPr>
            <w:tcW w:w="817" w:type="pct"/>
            <w:gridSpan w:val="2"/>
            <w:shd w:val="clear" w:color="auto" w:fill="D9D9D9"/>
            <w:vAlign w:val="bottom"/>
          </w:tcPr>
          <w:p w:rsidRPr="00AE4DBF" w:rsidR="00E133A5" w:rsidP="004D19DA" w:rsidRDefault="00E133A5" w14:paraId="3699B7E0" w14:textId="5BFA0914">
            <w:pPr>
              <w:pStyle w:val="FERCparanumber"/>
              <w:numPr>
                <w:ilvl w:val="0"/>
                <w:numId w:val="0"/>
              </w:numPr>
              <w:spacing w:line="240" w:lineRule="auto"/>
              <w:rPr>
                <w:b/>
                <w:szCs w:val="26"/>
              </w:rPr>
            </w:pPr>
            <w:r w:rsidRPr="00AE4DBF">
              <w:rPr>
                <w:b/>
                <w:szCs w:val="26"/>
              </w:rPr>
              <w:t>Number of Respondents</w:t>
            </w:r>
            <w:r w:rsidRPr="00AE4DBF">
              <w:rPr>
                <w:b/>
                <w:szCs w:val="26"/>
              </w:rPr>
              <w:br/>
              <w:t>(1)</w:t>
            </w:r>
          </w:p>
        </w:tc>
        <w:tc>
          <w:tcPr>
            <w:tcW w:w="818" w:type="pct"/>
            <w:shd w:val="clear" w:color="auto" w:fill="D9D9D9"/>
            <w:vAlign w:val="bottom"/>
          </w:tcPr>
          <w:p w:rsidRPr="00AE4DBF" w:rsidR="00E133A5" w:rsidP="004D19DA" w:rsidRDefault="00E133A5" w14:paraId="422FDE1F" w14:textId="0E9AFE8C">
            <w:pPr>
              <w:pStyle w:val="FERCparanumber"/>
              <w:numPr>
                <w:ilvl w:val="0"/>
                <w:numId w:val="0"/>
              </w:numPr>
              <w:spacing w:line="240" w:lineRule="auto"/>
              <w:rPr>
                <w:b/>
                <w:szCs w:val="26"/>
              </w:rPr>
            </w:pPr>
            <w:r w:rsidRPr="00AE4DBF">
              <w:rPr>
                <w:b/>
                <w:szCs w:val="26"/>
              </w:rPr>
              <w:t>Annual Number of Responses per Respondent</w:t>
            </w:r>
          </w:p>
          <w:p w:rsidRPr="00AE4DBF" w:rsidR="00E133A5" w:rsidP="004D19DA" w:rsidRDefault="00E133A5" w14:paraId="41692B9F" w14:textId="6B23EAF7">
            <w:pPr>
              <w:pStyle w:val="FERCparanumber"/>
              <w:numPr>
                <w:ilvl w:val="0"/>
                <w:numId w:val="0"/>
              </w:numPr>
              <w:spacing w:line="240" w:lineRule="auto"/>
              <w:rPr>
                <w:b/>
                <w:szCs w:val="26"/>
              </w:rPr>
            </w:pPr>
            <w:r w:rsidRPr="00AE4DBF">
              <w:rPr>
                <w:b/>
                <w:szCs w:val="26"/>
              </w:rPr>
              <w:t>(2)</w:t>
            </w:r>
          </w:p>
        </w:tc>
        <w:tc>
          <w:tcPr>
            <w:tcW w:w="770" w:type="pct"/>
            <w:shd w:val="clear" w:color="auto" w:fill="D9D9D9"/>
            <w:vAlign w:val="bottom"/>
          </w:tcPr>
          <w:p w:rsidRPr="00AE4DBF" w:rsidR="00E133A5" w:rsidP="004D19DA" w:rsidRDefault="00E133A5" w14:paraId="7ABB3CDD" w14:textId="77777777">
            <w:pPr>
              <w:pStyle w:val="FERCparanumber"/>
              <w:numPr>
                <w:ilvl w:val="0"/>
                <w:numId w:val="0"/>
              </w:numPr>
              <w:spacing w:line="240" w:lineRule="auto"/>
              <w:rPr>
                <w:b/>
                <w:szCs w:val="26"/>
              </w:rPr>
            </w:pPr>
            <w:r w:rsidRPr="00AE4DBF">
              <w:rPr>
                <w:b/>
                <w:szCs w:val="26"/>
              </w:rPr>
              <w:t>Total Number of Responses (1)*(2)=(3)</w:t>
            </w:r>
          </w:p>
        </w:tc>
        <w:tc>
          <w:tcPr>
            <w:tcW w:w="771" w:type="pct"/>
            <w:shd w:val="clear" w:color="auto" w:fill="D9D9D9"/>
            <w:vAlign w:val="bottom"/>
          </w:tcPr>
          <w:p w:rsidRPr="00AE4DBF" w:rsidR="00E133A5" w:rsidP="004D19DA" w:rsidRDefault="00E133A5" w14:paraId="7C1ADCC6" w14:textId="56668AB3">
            <w:pPr>
              <w:pStyle w:val="FERCparanumber"/>
              <w:numPr>
                <w:ilvl w:val="0"/>
                <w:numId w:val="0"/>
              </w:numPr>
              <w:spacing w:line="240" w:lineRule="auto"/>
              <w:rPr>
                <w:b/>
                <w:szCs w:val="26"/>
              </w:rPr>
            </w:pPr>
            <w:r w:rsidRPr="00AE4DBF">
              <w:rPr>
                <w:b/>
                <w:szCs w:val="26"/>
              </w:rPr>
              <w:t>Average Burden Hours &amp; Cost</w:t>
            </w:r>
            <w:r w:rsidRPr="00F876FF" w:rsidR="00F876FF">
              <w:rPr>
                <w:b/>
                <w:szCs w:val="26"/>
                <w:vertAlign w:val="superscript"/>
              </w:rPr>
              <w:fldChar w:fldCharType="begin"/>
            </w:r>
            <w:r w:rsidRPr="00C756C7" w:rsidR="00F876FF">
              <w:rPr>
                <w:b/>
                <w:szCs w:val="26"/>
                <w:vertAlign w:val="superscript"/>
              </w:rPr>
              <w:instrText xml:space="preserve"> NOTEREF _Ref51137647 \h </w:instrText>
            </w:r>
            <w:r w:rsidR="00F876FF">
              <w:rPr>
                <w:b/>
                <w:szCs w:val="26"/>
                <w:vertAlign w:val="superscript"/>
              </w:rPr>
              <w:instrText xml:space="preserve"> \* MERGEFORMAT </w:instrText>
            </w:r>
            <w:r w:rsidRPr="00F876FF" w:rsidR="00F876FF">
              <w:rPr>
                <w:b/>
                <w:szCs w:val="26"/>
                <w:vertAlign w:val="superscript"/>
              </w:rPr>
            </w:r>
            <w:r w:rsidRPr="00F876FF" w:rsidR="00F876FF">
              <w:rPr>
                <w:b/>
                <w:szCs w:val="26"/>
                <w:vertAlign w:val="superscript"/>
              </w:rPr>
              <w:fldChar w:fldCharType="separate"/>
            </w:r>
            <w:r w:rsidR="00CC6540">
              <w:rPr>
                <w:b/>
                <w:szCs w:val="26"/>
                <w:vertAlign w:val="superscript"/>
              </w:rPr>
              <w:t>30</w:t>
            </w:r>
            <w:r w:rsidRPr="00F876FF" w:rsidR="00F876FF">
              <w:rPr>
                <w:b/>
                <w:szCs w:val="26"/>
                <w:vertAlign w:val="superscript"/>
              </w:rPr>
              <w:fldChar w:fldCharType="end"/>
            </w:r>
            <w:r w:rsidRPr="00AE4DBF">
              <w:rPr>
                <w:b/>
                <w:szCs w:val="26"/>
              </w:rPr>
              <w:t xml:space="preserve"> Per Response</w:t>
            </w:r>
          </w:p>
          <w:p w:rsidRPr="00AE4DBF" w:rsidR="00E133A5" w:rsidP="004D19DA" w:rsidRDefault="00E133A5" w14:paraId="2D9486C0" w14:textId="77777777">
            <w:pPr>
              <w:pStyle w:val="FERCparanumber"/>
              <w:numPr>
                <w:ilvl w:val="0"/>
                <w:numId w:val="0"/>
              </w:numPr>
              <w:spacing w:line="240" w:lineRule="auto"/>
              <w:rPr>
                <w:b/>
                <w:szCs w:val="26"/>
              </w:rPr>
            </w:pPr>
            <w:r w:rsidRPr="00AE4DBF">
              <w:rPr>
                <w:b/>
                <w:szCs w:val="26"/>
              </w:rPr>
              <w:t>(4)</w:t>
            </w:r>
          </w:p>
        </w:tc>
        <w:tc>
          <w:tcPr>
            <w:tcW w:w="861" w:type="pct"/>
            <w:shd w:val="clear" w:color="auto" w:fill="D9D9D9"/>
            <w:vAlign w:val="bottom"/>
          </w:tcPr>
          <w:p w:rsidRPr="00AE4DBF" w:rsidR="00E133A5" w:rsidP="004D19DA" w:rsidRDefault="00E133A5" w14:paraId="3602401A" w14:textId="77777777">
            <w:pPr>
              <w:pStyle w:val="FERCparanumber"/>
              <w:numPr>
                <w:ilvl w:val="0"/>
                <w:numId w:val="0"/>
              </w:numPr>
              <w:spacing w:line="240" w:lineRule="auto"/>
              <w:rPr>
                <w:b/>
                <w:szCs w:val="26"/>
              </w:rPr>
            </w:pPr>
            <w:r w:rsidRPr="00AE4DBF">
              <w:rPr>
                <w:b/>
                <w:szCs w:val="26"/>
              </w:rPr>
              <w:t>Total Annual Burden Hours &amp; Total Annual Cost</w:t>
            </w:r>
          </w:p>
          <w:p w:rsidRPr="00AE4DBF" w:rsidR="00E133A5" w:rsidP="004D19DA" w:rsidRDefault="00E133A5" w14:paraId="0F6202CF" w14:textId="77777777">
            <w:pPr>
              <w:pStyle w:val="FERCparanumber"/>
              <w:numPr>
                <w:ilvl w:val="0"/>
                <w:numId w:val="0"/>
              </w:numPr>
              <w:spacing w:line="240" w:lineRule="auto"/>
              <w:rPr>
                <w:b/>
                <w:szCs w:val="26"/>
              </w:rPr>
            </w:pPr>
            <w:r w:rsidRPr="00AE4DBF">
              <w:rPr>
                <w:b/>
                <w:szCs w:val="26"/>
              </w:rPr>
              <w:t>(3)*(4)=(5)</w:t>
            </w:r>
          </w:p>
        </w:tc>
      </w:tr>
      <w:tr w:rsidRPr="00AE4DBF" w:rsidR="00E133A5" w:rsidTr="002467BA" w14:paraId="2A436021" w14:textId="77777777">
        <w:tc>
          <w:tcPr>
            <w:tcW w:w="963" w:type="pct"/>
          </w:tcPr>
          <w:p w:rsidR="00E133A5" w:rsidP="004D19DA" w:rsidRDefault="00E133A5" w14:paraId="35266155" w14:textId="3F08C8B5">
            <w:pPr>
              <w:pStyle w:val="FERCparanumber"/>
              <w:numPr>
                <w:ilvl w:val="0"/>
                <w:numId w:val="0"/>
              </w:numPr>
              <w:spacing w:line="240" w:lineRule="auto"/>
              <w:rPr>
                <w:szCs w:val="26"/>
              </w:rPr>
            </w:pPr>
            <w:r>
              <w:rPr>
                <w:szCs w:val="26"/>
              </w:rPr>
              <w:t>Reliability Coordinators</w:t>
            </w:r>
          </w:p>
          <w:p w:rsidR="00E133A5" w:rsidP="004D19DA" w:rsidRDefault="00E133A5" w14:paraId="1223A05D" w14:textId="176E89F0">
            <w:pPr>
              <w:pStyle w:val="FERCparanumber"/>
              <w:numPr>
                <w:ilvl w:val="0"/>
                <w:numId w:val="0"/>
              </w:numPr>
              <w:spacing w:line="240" w:lineRule="auto"/>
              <w:rPr>
                <w:szCs w:val="26"/>
              </w:rPr>
            </w:pPr>
            <w:r>
              <w:rPr>
                <w:szCs w:val="26"/>
              </w:rPr>
              <w:t>(IRO-006-WECC-3)</w:t>
            </w:r>
          </w:p>
          <w:p w:rsidR="00A95B97" w:rsidP="004D19DA" w:rsidRDefault="00A95B97" w14:paraId="388A6511" w14:textId="70AA9423">
            <w:pPr>
              <w:pStyle w:val="FERCparanumber"/>
              <w:numPr>
                <w:ilvl w:val="0"/>
                <w:numId w:val="0"/>
              </w:numPr>
              <w:spacing w:line="240" w:lineRule="auto"/>
              <w:rPr>
                <w:szCs w:val="26"/>
              </w:rPr>
            </w:pPr>
            <w:r>
              <w:rPr>
                <w:szCs w:val="26"/>
              </w:rPr>
              <w:t>Reporting</w:t>
            </w:r>
          </w:p>
          <w:p w:rsidRPr="00AE4DBF" w:rsidR="00A95B97" w:rsidP="004D19DA" w:rsidRDefault="00A95B97" w14:paraId="22B5F98F" w14:textId="5B01FD99">
            <w:pPr>
              <w:pStyle w:val="FERCparanumber"/>
              <w:numPr>
                <w:ilvl w:val="0"/>
                <w:numId w:val="0"/>
              </w:numPr>
              <w:spacing w:line="240" w:lineRule="auto"/>
              <w:rPr>
                <w:szCs w:val="26"/>
              </w:rPr>
            </w:pPr>
            <w:r>
              <w:rPr>
                <w:szCs w:val="26"/>
              </w:rPr>
              <w:t>Requirement</w:t>
            </w:r>
          </w:p>
        </w:tc>
        <w:tc>
          <w:tcPr>
            <w:tcW w:w="754" w:type="pct"/>
            <w:vAlign w:val="bottom"/>
          </w:tcPr>
          <w:p w:rsidRPr="00AE4DBF" w:rsidR="00E133A5" w:rsidP="00C756C7" w:rsidRDefault="00E133A5" w14:paraId="3A33A2A4" w14:textId="077AA3AE">
            <w:pPr>
              <w:pStyle w:val="FERCparanumber"/>
              <w:numPr>
                <w:ilvl w:val="0"/>
                <w:numId w:val="0"/>
              </w:numPr>
              <w:spacing w:line="240" w:lineRule="auto"/>
              <w:jc w:val="right"/>
              <w:rPr>
                <w:szCs w:val="26"/>
              </w:rPr>
            </w:pPr>
            <w:r>
              <w:rPr>
                <w:szCs w:val="26"/>
              </w:rPr>
              <w:t>1 (increase)</w:t>
            </w:r>
          </w:p>
        </w:tc>
        <w:tc>
          <w:tcPr>
            <w:tcW w:w="881" w:type="pct"/>
            <w:gridSpan w:val="2"/>
            <w:vAlign w:val="bottom"/>
          </w:tcPr>
          <w:p w:rsidRPr="00AE4DBF" w:rsidR="00E133A5" w:rsidP="00C756C7" w:rsidRDefault="00450D3F" w14:paraId="69F33030" w14:textId="5365E7CE">
            <w:pPr>
              <w:pStyle w:val="FERCparanumber"/>
              <w:numPr>
                <w:ilvl w:val="0"/>
                <w:numId w:val="0"/>
              </w:numPr>
              <w:spacing w:line="240" w:lineRule="auto"/>
              <w:jc w:val="right"/>
              <w:rPr>
                <w:szCs w:val="26"/>
              </w:rPr>
            </w:pPr>
            <w:r>
              <w:rPr>
                <w:szCs w:val="26"/>
              </w:rPr>
              <w:t xml:space="preserve">1 </w:t>
            </w:r>
          </w:p>
        </w:tc>
        <w:tc>
          <w:tcPr>
            <w:tcW w:w="770" w:type="pct"/>
            <w:vAlign w:val="bottom"/>
          </w:tcPr>
          <w:p w:rsidRPr="00AE4DBF" w:rsidR="00E133A5" w:rsidP="00C756C7" w:rsidRDefault="00450D3F" w14:paraId="318C8DA3" w14:textId="70E36072">
            <w:pPr>
              <w:pStyle w:val="FERCparanumber"/>
              <w:numPr>
                <w:ilvl w:val="0"/>
                <w:numId w:val="0"/>
              </w:numPr>
              <w:spacing w:line="240" w:lineRule="auto"/>
              <w:jc w:val="right"/>
              <w:rPr>
                <w:szCs w:val="26"/>
              </w:rPr>
            </w:pPr>
            <w:r>
              <w:rPr>
                <w:szCs w:val="26"/>
              </w:rPr>
              <w:t>1</w:t>
            </w:r>
          </w:p>
        </w:tc>
        <w:tc>
          <w:tcPr>
            <w:tcW w:w="771" w:type="pct"/>
            <w:vAlign w:val="bottom"/>
          </w:tcPr>
          <w:p w:rsidRPr="00AE4DBF" w:rsidR="00E133A5" w:rsidP="00C756C7" w:rsidRDefault="00450D3F" w14:paraId="782264C7" w14:textId="121E45D3">
            <w:pPr>
              <w:pStyle w:val="FERCparanumber"/>
              <w:numPr>
                <w:ilvl w:val="0"/>
                <w:numId w:val="0"/>
              </w:numPr>
              <w:spacing w:line="240" w:lineRule="auto"/>
              <w:jc w:val="right"/>
              <w:rPr>
                <w:szCs w:val="26"/>
              </w:rPr>
            </w:pPr>
            <w:r>
              <w:rPr>
                <w:szCs w:val="26"/>
              </w:rPr>
              <w:t>1</w:t>
            </w:r>
            <w:r w:rsidRPr="00AE4DBF">
              <w:rPr>
                <w:szCs w:val="26"/>
              </w:rPr>
              <w:t xml:space="preserve"> </w:t>
            </w:r>
            <w:r w:rsidRPr="00AE4DBF" w:rsidR="00E133A5">
              <w:rPr>
                <w:szCs w:val="26"/>
              </w:rPr>
              <w:t>hr.;</w:t>
            </w:r>
          </w:p>
          <w:p w:rsidR="00E133A5" w:rsidP="00C756C7" w:rsidRDefault="00450D3F" w14:paraId="5A8119D5" w14:textId="4251BF15">
            <w:pPr>
              <w:pStyle w:val="FERCparanumber"/>
              <w:numPr>
                <w:ilvl w:val="0"/>
                <w:numId w:val="0"/>
              </w:numPr>
              <w:spacing w:line="240" w:lineRule="auto"/>
              <w:jc w:val="right"/>
              <w:rPr>
                <w:szCs w:val="26"/>
              </w:rPr>
            </w:pPr>
            <w:r w:rsidRPr="00AE4DBF">
              <w:rPr>
                <w:szCs w:val="26"/>
              </w:rPr>
              <w:t>$</w:t>
            </w:r>
            <w:r w:rsidR="002467BA">
              <w:rPr>
                <w:szCs w:val="26"/>
              </w:rPr>
              <w:t>83.67</w:t>
            </w:r>
          </w:p>
          <w:p w:rsidRPr="00AE4DBF" w:rsidR="00E133A5" w:rsidP="00C756C7" w:rsidRDefault="00E133A5" w14:paraId="25C8DDD1" w14:textId="6A46023D">
            <w:pPr>
              <w:pStyle w:val="FERCparanumber"/>
              <w:numPr>
                <w:ilvl w:val="0"/>
                <w:numId w:val="0"/>
              </w:numPr>
              <w:spacing w:line="240" w:lineRule="auto"/>
              <w:jc w:val="right"/>
              <w:rPr>
                <w:szCs w:val="26"/>
              </w:rPr>
            </w:pPr>
            <w:r>
              <w:rPr>
                <w:szCs w:val="26"/>
              </w:rPr>
              <w:t>(</w:t>
            </w:r>
            <w:r w:rsidR="00450D3F">
              <w:rPr>
                <w:szCs w:val="26"/>
              </w:rPr>
              <w:t>increase</w:t>
            </w:r>
            <w:r>
              <w:rPr>
                <w:szCs w:val="26"/>
              </w:rPr>
              <w:t>)</w:t>
            </w:r>
          </w:p>
        </w:tc>
        <w:tc>
          <w:tcPr>
            <w:tcW w:w="861" w:type="pct"/>
            <w:vAlign w:val="bottom"/>
          </w:tcPr>
          <w:p w:rsidRPr="00AE4DBF" w:rsidR="00450D3F" w:rsidP="00C756C7" w:rsidRDefault="00450D3F" w14:paraId="647924C8" w14:textId="2E696AD9">
            <w:pPr>
              <w:pStyle w:val="FERCparanumber"/>
              <w:numPr>
                <w:ilvl w:val="0"/>
                <w:numId w:val="0"/>
              </w:numPr>
              <w:spacing w:line="240" w:lineRule="auto"/>
              <w:jc w:val="right"/>
              <w:rPr>
                <w:szCs w:val="26"/>
              </w:rPr>
            </w:pPr>
            <w:r>
              <w:rPr>
                <w:szCs w:val="26"/>
              </w:rPr>
              <w:t>1</w:t>
            </w:r>
            <w:r w:rsidRPr="00AE4DBF">
              <w:rPr>
                <w:szCs w:val="26"/>
              </w:rPr>
              <w:t xml:space="preserve"> hr.;</w:t>
            </w:r>
          </w:p>
          <w:p w:rsidR="00450D3F" w:rsidP="00C756C7" w:rsidRDefault="00450D3F" w14:paraId="1684EF6A" w14:textId="551C5761">
            <w:pPr>
              <w:pStyle w:val="FERCparanumber"/>
              <w:numPr>
                <w:ilvl w:val="0"/>
                <w:numId w:val="0"/>
              </w:numPr>
              <w:spacing w:line="240" w:lineRule="auto"/>
              <w:jc w:val="right"/>
              <w:rPr>
                <w:szCs w:val="26"/>
              </w:rPr>
            </w:pPr>
            <w:r w:rsidRPr="00AE4DBF">
              <w:rPr>
                <w:szCs w:val="26"/>
              </w:rPr>
              <w:t>$</w:t>
            </w:r>
            <w:r w:rsidR="002467BA">
              <w:rPr>
                <w:szCs w:val="26"/>
              </w:rPr>
              <w:t>83.67</w:t>
            </w:r>
          </w:p>
          <w:p w:rsidRPr="00AE4DBF" w:rsidR="00E133A5" w:rsidP="00C756C7" w:rsidRDefault="00450D3F" w14:paraId="180C486E" w14:textId="69BF7032">
            <w:pPr>
              <w:pStyle w:val="FERCparanumber"/>
              <w:numPr>
                <w:ilvl w:val="0"/>
                <w:numId w:val="0"/>
              </w:numPr>
              <w:spacing w:line="240" w:lineRule="auto"/>
              <w:jc w:val="right"/>
              <w:rPr>
                <w:szCs w:val="26"/>
              </w:rPr>
            </w:pPr>
            <w:r>
              <w:rPr>
                <w:szCs w:val="26"/>
              </w:rPr>
              <w:t>(increase)</w:t>
            </w:r>
          </w:p>
        </w:tc>
      </w:tr>
      <w:tr w:rsidRPr="00AE4DBF" w:rsidR="00A95B97" w:rsidTr="00C756C7" w14:paraId="5990F4B2" w14:textId="77777777">
        <w:tc>
          <w:tcPr>
            <w:tcW w:w="963" w:type="pct"/>
          </w:tcPr>
          <w:p w:rsidR="00A95B97" w:rsidP="00A95B97" w:rsidRDefault="00A95B97" w14:paraId="24666DEE" w14:textId="406F422C">
            <w:pPr>
              <w:pStyle w:val="FERCparanumber"/>
              <w:numPr>
                <w:ilvl w:val="0"/>
                <w:numId w:val="0"/>
              </w:numPr>
              <w:spacing w:line="240" w:lineRule="auto"/>
              <w:rPr>
                <w:szCs w:val="26"/>
              </w:rPr>
            </w:pPr>
            <w:r>
              <w:rPr>
                <w:szCs w:val="26"/>
              </w:rPr>
              <w:t>Reliability Coordinators</w:t>
            </w:r>
          </w:p>
          <w:p w:rsidR="00A95B97" w:rsidP="00A95B97" w:rsidRDefault="00A95B97" w14:paraId="0893FC2F" w14:textId="4B990086">
            <w:pPr>
              <w:pStyle w:val="FERCparanumber"/>
              <w:numPr>
                <w:ilvl w:val="0"/>
                <w:numId w:val="0"/>
              </w:numPr>
              <w:spacing w:line="240" w:lineRule="auto"/>
              <w:rPr>
                <w:szCs w:val="26"/>
              </w:rPr>
            </w:pPr>
            <w:r>
              <w:rPr>
                <w:szCs w:val="26"/>
              </w:rPr>
              <w:t>(IRO-006-WECC-3)</w:t>
            </w:r>
          </w:p>
          <w:p w:rsidR="00A95B97" w:rsidP="00A95B97" w:rsidRDefault="00A95B97" w14:paraId="303E5DCF" w14:textId="2B2183C1">
            <w:pPr>
              <w:pStyle w:val="FERCparanumber"/>
              <w:numPr>
                <w:ilvl w:val="0"/>
                <w:numId w:val="0"/>
              </w:numPr>
              <w:spacing w:line="240" w:lineRule="auto"/>
              <w:rPr>
                <w:szCs w:val="26"/>
              </w:rPr>
            </w:pPr>
            <w:r>
              <w:rPr>
                <w:szCs w:val="26"/>
              </w:rPr>
              <w:t>Record Keeping</w:t>
            </w:r>
          </w:p>
          <w:p w:rsidR="00A95B97" w:rsidP="00A95B97" w:rsidRDefault="00A95B97" w14:paraId="1383C115" w14:textId="3FC856E2">
            <w:pPr>
              <w:pStyle w:val="FERCparanumber"/>
              <w:numPr>
                <w:ilvl w:val="0"/>
                <w:numId w:val="0"/>
              </w:numPr>
              <w:spacing w:line="240" w:lineRule="auto"/>
              <w:rPr>
                <w:szCs w:val="26"/>
              </w:rPr>
            </w:pPr>
            <w:r>
              <w:rPr>
                <w:szCs w:val="26"/>
              </w:rPr>
              <w:t>Requirement</w:t>
            </w:r>
          </w:p>
        </w:tc>
        <w:tc>
          <w:tcPr>
            <w:tcW w:w="818" w:type="pct"/>
            <w:gridSpan w:val="2"/>
            <w:tcBorders>
              <w:bottom w:val="single" w:color="auto" w:sz="4" w:space="0"/>
            </w:tcBorders>
            <w:shd w:val="clear" w:color="auto" w:fill="FFFFFF"/>
            <w:vAlign w:val="bottom"/>
          </w:tcPr>
          <w:p w:rsidR="00A95B97" w:rsidP="00C756C7" w:rsidRDefault="00A95B97" w14:paraId="4092ECBD" w14:textId="755DF825">
            <w:pPr>
              <w:pStyle w:val="FERCparanumber"/>
              <w:numPr>
                <w:ilvl w:val="0"/>
                <w:numId w:val="0"/>
              </w:numPr>
              <w:spacing w:line="240" w:lineRule="auto"/>
              <w:jc w:val="right"/>
              <w:rPr>
                <w:szCs w:val="26"/>
              </w:rPr>
            </w:pPr>
            <w:r>
              <w:rPr>
                <w:szCs w:val="26"/>
              </w:rPr>
              <w:t>1 (increase)</w:t>
            </w:r>
          </w:p>
        </w:tc>
        <w:tc>
          <w:tcPr>
            <w:tcW w:w="817" w:type="pct"/>
            <w:tcBorders>
              <w:bottom w:val="single" w:color="auto" w:sz="4" w:space="0"/>
            </w:tcBorders>
            <w:shd w:val="clear" w:color="auto" w:fill="FFFFFF"/>
            <w:vAlign w:val="bottom"/>
          </w:tcPr>
          <w:p w:rsidRPr="00AE4DBF" w:rsidR="00A95B97" w:rsidP="00C756C7" w:rsidRDefault="00A95B97" w14:paraId="5F90EBA5" w14:textId="766AAC39">
            <w:pPr>
              <w:pStyle w:val="FERCparanumber"/>
              <w:numPr>
                <w:ilvl w:val="0"/>
                <w:numId w:val="0"/>
              </w:numPr>
              <w:spacing w:line="240" w:lineRule="auto"/>
              <w:jc w:val="right"/>
              <w:rPr>
                <w:szCs w:val="26"/>
              </w:rPr>
            </w:pPr>
            <w:r>
              <w:rPr>
                <w:szCs w:val="26"/>
              </w:rPr>
              <w:t xml:space="preserve">1 </w:t>
            </w:r>
          </w:p>
        </w:tc>
        <w:tc>
          <w:tcPr>
            <w:tcW w:w="770" w:type="pct"/>
            <w:tcBorders>
              <w:bottom w:val="single" w:color="auto" w:sz="4" w:space="0"/>
            </w:tcBorders>
            <w:shd w:val="clear" w:color="auto" w:fill="FFFFFF"/>
            <w:vAlign w:val="bottom"/>
          </w:tcPr>
          <w:p w:rsidR="00A95B97" w:rsidP="00C756C7" w:rsidRDefault="00A95B97" w14:paraId="55AD02BD" w14:textId="7AC888E8">
            <w:pPr>
              <w:pStyle w:val="FERCparanumber"/>
              <w:numPr>
                <w:ilvl w:val="0"/>
                <w:numId w:val="0"/>
              </w:numPr>
              <w:spacing w:line="240" w:lineRule="auto"/>
              <w:jc w:val="right"/>
              <w:rPr>
                <w:szCs w:val="26"/>
              </w:rPr>
            </w:pPr>
            <w:r>
              <w:rPr>
                <w:szCs w:val="26"/>
              </w:rPr>
              <w:t>1</w:t>
            </w:r>
          </w:p>
        </w:tc>
        <w:tc>
          <w:tcPr>
            <w:tcW w:w="771" w:type="pct"/>
            <w:tcBorders>
              <w:bottom w:val="single" w:color="auto" w:sz="4" w:space="0"/>
            </w:tcBorders>
            <w:shd w:val="clear" w:color="auto" w:fill="FFFFFF"/>
            <w:vAlign w:val="bottom"/>
          </w:tcPr>
          <w:p w:rsidRPr="00AE4DBF" w:rsidR="00A95B97" w:rsidP="00C756C7" w:rsidRDefault="00A95B97" w14:paraId="7A391F98" w14:textId="77777777">
            <w:pPr>
              <w:pStyle w:val="FERCparanumber"/>
              <w:numPr>
                <w:ilvl w:val="0"/>
                <w:numId w:val="0"/>
              </w:numPr>
              <w:spacing w:line="240" w:lineRule="auto"/>
              <w:jc w:val="right"/>
              <w:rPr>
                <w:szCs w:val="26"/>
              </w:rPr>
            </w:pPr>
            <w:r>
              <w:rPr>
                <w:szCs w:val="26"/>
              </w:rPr>
              <w:t>1</w:t>
            </w:r>
            <w:r w:rsidRPr="00AE4DBF">
              <w:rPr>
                <w:szCs w:val="26"/>
              </w:rPr>
              <w:t xml:space="preserve"> hr.;</w:t>
            </w:r>
          </w:p>
          <w:p w:rsidR="00A95B97" w:rsidP="00C756C7" w:rsidRDefault="00A95B97" w14:paraId="7C7DF909" w14:textId="3B50FA68">
            <w:pPr>
              <w:pStyle w:val="FERCparanumber"/>
              <w:numPr>
                <w:ilvl w:val="0"/>
                <w:numId w:val="0"/>
              </w:numPr>
              <w:spacing w:line="240" w:lineRule="auto"/>
              <w:jc w:val="right"/>
              <w:rPr>
                <w:szCs w:val="26"/>
              </w:rPr>
            </w:pPr>
            <w:r w:rsidRPr="00AE4DBF">
              <w:rPr>
                <w:szCs w:val="26"/>
              </w:rPr>
              <w:t>$</w:t>
            </w:r>
            <w:r w:rsidR="002467BA">
              <w:rPr>
                <w:szCs w:val="26"/>
              </w:rPr>
              <w:t>34.79</w:t>
            </w:r>
          </w:p>
          <w:p w:rsidR="00A95B97" w:rsidP="00C756C7" w:rsidRDefault="00A95B97" w14:paraId="694EF8C8" w14:textId="07C7C0FD">
            <w:pPr>
              <w:pStyle w:val="FERCparanumber"/>
              <w:numPr>
                <w:ilvl w:val="0"/>
                <w:numId w:val="0"/>
              </w:numPr>
              <w:spacing w:line="240" w:lineRule="auto"/>
              <w:jc w:val="right"/>
              <w:rPr>
                <w:szCs w:val="26"/>
              </w:rPr>
            </w:pPr>
            <w:r>
              <w:rPr>
                <w:szCs w:val="26"/>
              </w:rPr>
              <w:t>(increase)</w:t>
            </w:r>
          </w:p>
        </w:tc>
        <w:tc>
          <w:tcPr>
            <w:tcW w:w="861" w:type="pct"/>
            <w:tcBorders>
              <w:bottom w:val="single" w:color="auto" w:sz="4" w:space="0"/>
            </w:tcBorders>
            <w:vAlign w:val="bottom"/>
          </w:tcPr>
          <w:p w:rsidRPr="00AE4DBF" w:rsidR="00A95B97" w:rsidP="00C756C7" w:rsidRDefault="00A95B97" w14:paraId="0CBBD15C" w14:textId="77777777">
            <w:pPr>
              <w:pStyle w:val="FERCparanumber"/>
              <w:numPr>
                <w:ilvl w:val="0"/>
                <w:numId w:val="0"/>
              </w:numPr>
              <w:spacing w:line="240" w:lineRule="auto"/>
              <w:jc w:val="right"/>
              <w:rPr>
                <w:szCs w:val="26"/>
              </w:rPr>
            </w:pPr>
            <w:r>
              <w:rPr>
                <w:szCs w:val="26"/>
              </w:rPr>
              <w:t>1</w:t>
            </w:r>
            <w:r w:rsidRPr="00AE4DBF">
              <w:rPr>
                <w:szCs w:val="26"/>
              </w:rPr>
              <w:t xml:space="preserve"> hr.;</w:t>
            </w:r>
          </w:p>
          <w:p w:rsidR="00D46C24" w:rsidP="00C756C7" w:rsidRDefault="00A95B97" w14:paraId="724C2EAB" w14:textId="2CA33D47">
            <w:pPr>
              <w:pStyle w:val="FERCparanumber"/>
              <w:numPr>
                <w:ilvl w:val="0"/>
                <w:numId w:val="0"/>
              </w:numPr>
              <w:spacing w:line="240" w:lineRule="auto"/>
              <w:jc w:val="right"/>
              <w:rPr>
                <w:szCs w:val="26"/>
              </w:rPr>
            </w:pPr>
            <w:r w:rsidRPr="00AE4DBF">
              <w:rPr>
                <w:szCs w:val="26"/>
              </w:rPr>
              <w:t>$</w:t>
            </w:r>
            <w:r w:rsidR="002467BA">
              <w:rPr>
                <w:szCs w:val="26"/>
              </w:rPr>
              <w:t>34.79</w:t>
            </w:r>
          </w:p>
          <w:p w:rsidR="00A95B97" w:rsidP="00C756C7" w:rsidRDefault="00A95B97" w14:paraId="15AAEE9F" w14:textId="4C89B841">
            <w:pPr>
              <w:pStyle w:val="FERCparanumber"/>
              <w:numPr>
                <w:ilvl w:val="0"/>
                <w:numId w:val="0"/>
              </w:numPr>
              <w:spacing w:line="240" w:lineRule="auto"/>
              <w:jc w:val="right"/>
              <w:rPr>
                <w:szCs w:val="26"/>
              </w:rPr>
            </w:pPr>
            <w:r>
              <w:rPr>
                <w:szCs w:val="26"/>
              </w:rPr>
              <w:t>(increase)</w:t>
            </w:r>
          </w:p>
        </w:tc>
      </w:tr>
      <w:tr w:rsidRPr="00AE4DBF" w:rsidR="00A95B97" w:rsidTr="00C756C7" w14:paraId="09A458AE" w14:textId="77777777">
        <w:tc>
          <w:tcPr>
            <w:tcW w:w="963" w:type="pct"/>
          </w:tcPr>
          <w:p w:rsidR="00A95B97" w:rsidP="00A95B97" w:rsidRDefault="00A95B97" w14:paraId="57F01A00" w14:textId="381962A7">
            <w:pPr>
              <w:pStyle w:val="FERCparanumber"/>
              <w:numPr>
                <w:ilvl w:val="0"/>
                <w:numId w:val="0"/>
              </w:numPr>
              <w:spacing w:line="240" w:lineRule="auto"/>
              <w:rPr>
                <w:szCs w:val="26"/>
              </w:rPr>
            </w:pPr>
            <w:r>
              <w:rPr>
                <w:szCs w:val="26"/>
              </w:rPr>
              <w:t>Reserve Sharing Group</w:t>
            </w:r>
            <w:r w:rsidR="007D57FE">
              <w:rPr>
                <w:szCs w:val="26"/>
              </w:rPr>
              <w:t>s</w:t>
            </w:r>
          </w:p>
          <w:p w:rsidR="00A95B97" w:rsidP="00A95B97" w:rsidRDefault="00A95B97" w14:paraId="1213E5E1" w14:textId="7B17C52D">
            <w:pPr>
              <w:pStyle w:val="FERCparanumber"/>
              <w:numPr>
                <w:ilvl w:val="0"/>
                <w:numId w:val="0"/>
              </w:numPr>
              <w:spacing w:line="240" w:lineRule="auto"/>
              <w:rPr>
                <w:szCs w:val="26"/>
              </w:rPr>
            </w:pPr>
            <w:r>
              <w:rPr>
                <w:szCs w:val="26"/>
              </w:rPr>
              <w:t>(BAL-002-WECC-3)</w:t>
            </w:r>
          </w:p>
          <w:p w:rsidRPr="00AE4DBF" w:rsidR="00A95B97" w:rsidP="00A95B97" w:rsidRDefault="00A95B97" w14:paraId="20B9DF21" w14:textId="59F4474E">
            <w:pPr>
              <w:pStyle w:val="FERCparanumber"/>
              <w:numPr>
                <w:ilvl w:val="0"/>
                <w:numId w:val="0"/>
              </w:numPr>
              <w:spacing w:line="240" w:lineRule="auto"/>
              <w:rPr>
                <w:szCs w:val="26"/>
              </w:rPr>
            </w:pPr>
            <w:r>
              <w:rPr>
                <w:szCs w:val="26"/>
              </w:rPr>
              <w:t>Reporting Requirement</w:t>
            </w:r>
          </w:p>
        </w:tc>
        <w:tc>
          <w:tcPr>
            <w:tcW w:w="818" w:type="pct"/>
            <w:gridSpan w:val="2"/>
            <w:tcBorders>
              <w:bottom w:val="single" w:color="auto" w:sz="4" w:space="0"/>
            </w:tcBorders>
            <w:shd w:val="clear" w:color="auto" w:fill="FFFFFF"/>
            <w:vAlign w:val="bottom"/>
          </w:tcPr>
          <w:p w:rsidR="00D46C24" w:rsidP="00C756C7" w:rsidRDefault="00A95B97" w14:paraId="1A720979" w14:textId="1FAC4BF2">
            <w:pPr>
              <w:pStyle w:val="FERCparanumber"/>
              <w:numPr>
                <w:ilvl w:val="0"/>
                <w:numId w:val="0"/>
              </w:numPr>
              <w:spacing w:line="240" w:lineRule="auto"/>
              <w:jc w:val="right"/>
              <w:rPr>
                <w:szCs w:val="26"/>
              </w:rPr>
            </w:pPr>
            <w:r>
              <w:rPr>
                <w:szCs w:val="26"/>
              </w:rPr>
              <w:t>1</w:t>
            </w:r>
          </w:p>
          <w:p w:rsidRPr="00AE4DBF" w:rsidR="00A95B97" w:rsidP="00C756C7" w:rsidRDefault="00A95B97" w14:paraId="15B1C863" w14:textId="2FEA3903">
            <w:pPr>
              <w:pStyle w:val="FERCparanumber"/>
              <w:numPr>
                <w:ilvl w:val="0"/>
                <w:numId w:val="0"/>
              </w:numPr>
              <w:spacing w:line="240" w:lineRule="auto"/>
              <w:jc w:val="right"/>
              <w:rPr>
                <w:szCs w:val="26"/>
              </w:rPr>
            </w:pPr>
            <w:r>
              <w:rPr>
                <w:szCs w:val="26"/>
              </w:rPr>
              <w:t>(reduction)</w:t>
            </w:r>
          </w:p>
        </w:tc>
        <w:tc>
          <w:tcPr>
            <w:tcW w:w="817" w:type="pct"/>
            <w:tcBorders>
              <w:bottom w:val="single" w:color="auto" w:sz="4" w:space="0"/>
            </w:tcBorders>
            <w:shd w:val="clear" w:color="auto" w:fill="FFFFFF"/>
            <w:vAlign w:val="bottom"/>
          </w:tcPr>
          <w:p w:rsidRPr="00AE4DBF" w:rsidR="00A95B97" w:rsidP="00C756C7" w:rsidRDefault="00A95B97" w14:paraId="606137CF" w14:textId="03B9F8CB">
            <w:pPr>
              <w:pStyle w:val="FERCparanumber"/>
              <w:numPr>
                <w:ilvl w:val="0"/>
                <w:numId w:val="0"/>
              </w:numPr>
              <w:spacing w:line="240" w:lineRule="auto"/>
              <w:jc w:val="right"/>
              <w:rPr>
                <w:szCs w:val="26"/>
              </w:rPr>
            </w:pPr>
            <w:r w:rsidRPr="00AE4DBF">
              <w:rPr>
                <w:szCs w:val="26"/>
              </w:rPr>
              <w:t>1</w:t>
            </w:r>
          </w:p>
        </w:tc>
        <w:tc>
          <w:tcPr>
            <w:tcW w:w="770" w:type="pct"/>
            <w:tcBorders>
              <w:bottom w:val="single" w:color="auto" w:sz="4" w:space="0"/>
            </w:tcBorders>
            <w:shd w:val="clear" w:color="auto" w:fill="FFFFFF"/>
            <w:vAlign w:val="bottom"/>
          </w:tcPr>
          <w:p w:rsidRPr="00AE4DBF" w:rsidR="00A95B97" w:rsidP="00C756C7" w:rsidRDefault="00A95B97" w14:paraId="0CA6E2BC" w14:textId="7F29CFB3">
            <w:pPr>
              <w:pStyle w:val="FERCparanumber"/>
              <w:numPr>
                <w:ilvl w:val="0"/>
                <w:numId w:val="0"/>
              </w:numPr>
              <w:spacing w:line="240" w:lineRule="auto"/>
              <w:jc w:val="right"/>
              <w:rPr>
                <w:szCs w:val="26"/>
              </w:rPr>
            </w:pPr>
            <w:r>
              <w:rPr>
                <w:szCs w:val="26"/>
              </w:rPr>
              <w:t>1</w:t>
            </w:r>
          </w:p>
        </w:tc>
        <w:tc>
          <w:tcPr>
            <w:tcW w:w="771" w:type="pct"/>
            <w:tcBorders>
              <w:bottom w:val="single" w:color="auto" w:sz="4" w:space="0"/>
            </w:tcBorders>
            <w:shd w:val="clear" w:color="auto" w:fill="FFFFFF"/>
            <w:vAlign w:val="bottom"/>
          </w:tcPr>
          <w:p w:rsidRPr="00AE4DBF" w:rsidR="00A95B97" w:rsidP="00C756C7" w:rsidRDefault="00A95B97" w14:paraId="7954F44D" w14:textId="6F5801F0">
            <w:pPr>
              <w:pStyle w:val="FERCparanumber"/>
              <w:numPr>
                <w:ilvl w:val="0"/>
                <w:numId w:val="0"/>
              </w:numPr>
              <w:spacing w:line="240" w:lineRule="auto"/>
              <w:jc w:val="right"/>
              <w:rPr>
                <w:szCs w:val="26"/>
              </w:rPr>
            </w:pPr>
            <w:r>
              <w:rPr>
                <w:szCs w:val="26"/>
              </w:rPr>
              <w:t>1</w:t>
            </w:r>
            <w:r w:rsidRPr="00AE4DBF">
              <w:rPr>
                <w:szCs w:val="26"/>
              </w:rPr>
              <w:t xml:space="preserve"> hr.;</w:t>
            </w:r>
          </w:p>
          <w:p w:rsidR="00A95B97" w:rsidP="00C756C7" w:rsidRDefault="00A95B97" w14:paraId="4B2D1C0B" w14:textId="0D7289F0">
            <w:pPr>
              <w:pStyle w:val="FERCparanumber"/>
              <w:numPr>
                <w:ilvl w:val="0"/>
                <w:numId w:val="0"/>
              </w:numPr>
              <w:spacing w:line="240" w:lineRule="auto"/>
              <w:jc w:val="right"/>
              <w:rPr>
                <w:szCs w:val="26"/>
              </w:rPr>
            </w:pPr>
            <w:r w:rsidRPr="00AE4DBF">
              <w:rPr>
                <w:szCs w:val="26"/>
              </w:rPr>
              <w:t>$</w:t>
            </w:r>
            <w:r w:rsidR="002467BA">
              <w:rPr>
                <w:szCs w:val="26"/>
              </w:rPr>
              <w:t>83.67</w:t>
            </w:r>
          </w:p>
          <w:p w:rsidRPr="00AE4DBF" w:rsidR="00A95B97" w:rsidP="00C756C7" w:rsidRDefault="00A95B97" w14:paraId="1C99A565" w14:textId="77777777">
            <w:pPr>
              <w:pStyle w:val="FERCparanumber"/>
              <w:numPr>
                <w:ilvl w:val="0"/>
                <w:numId w:val="0"/>
              </w:numPr>
              <w:spacing w:line="240" w:lineRule="auto"/>
              <w:jc w:val="right"/>
              <w:rPr>
                <w:szCs w:val="26"/>
              </w:rPr>
            </w:pPr>
            <w:r>
              <w:rPr>
                <w:szCs w:val="26"/>
              </w:rPr>
              <w:t>(reduction)</w:t>
            </w:r>
          </w:p>
        </w:tc>
        <w:tc>
          <w:tcPr>
            <w:tcW w:w="861" w:type="pct"/>
            <w:tcBorders>
              <w:bottom w:val="single" w:color="auto" w:sz="4" w:space="0"/>
            </w:tcBorders>
            <w:vAlign w:val="bottom"/>
          </w:tcPr>
          <w:p w:rsidRPr="00AE4DBF" w:rsidR="00A95B97" w:rsidP="00C756C7" w:rsidRDefault="00A95B97" w14:paraId="4D6ACD89" w14:textId="4AD8FA8D">
            <w:pPr>
              <w:pStyle w:val="FERCparanumber"/>
              <w:numPr>
                <w:ilvl w:val="0"/>
                <w:numId w:val="0"/>
              </w:numPr>
              <w:spacing w:line="240" w:lineRule="auto"/>
              <w:jc w:val="right"/>
              <w:rPr>
                <w:szCs w:val="26"/>
              </w:rPr>
            </w:pPr>
            <w:r>
              <w:rPr>
                <w:szCs w:val="26"/>
              </w:rPr>
              <w:t>1</w:t>
            </w:r>
            <w:r w:rsidRPr="00AE4DBF">
              <w:rPr>
                <w:szCs w:val="26"/>
              </w:rPr>
              <w:t xml:space="preserve"> hr.;</w:t>
            </w:r>
          </w:p>
          <w:p w:rsidR="00A95B97" w:rsidP="00C756C7" w:rsidRDefault="00A95B97" w14:paraId="155BE34E" w14:textId="7E22780D">
            <w:pPr>
              <w:pStyle w:val="FERCparanumber"/>
              <w:numPr>
                <w:ilvl w:val="0"/>
                <w:numId w:val="0"/>
              </w:numPr>
              <w:spacing w:line="240" w:lineRule="auto"/>
              <w:jc w:val="right"/>
              <w:rPr>
                <w:szCs w:val="26"/>
              </w:rPr>
            </w:pPr>
            <w:r w:rsidRPr="00AE4DBF">
              <w:rPr>
                <w:szCs w:val="26"/>
              </w:rPr>
              <w:t>$</w:t>
            </w:r>
            <w:r w:rsidR="002467BA">
              <w:rPr>
                <w:szCs w:val="26"/>
              </w:rPr>
              <w:t>83.67</w:t>
            </w:r>
          </w:p>
          <w:p w:rsidRPr="00AE4DBF" w:rsidR="00A95B97" w:rsidP="00C756C7" w:rsidRDefault="00A95B97" w14:paraId="012BD559" w14:textId="196E5BE9">
            <w:pPr>
              <w:pStyle w:val="FERCparanumber"/>
              <w:numPr>
                <w:ilvl w:val="0"/>
                <w:numId w:val="0"/>
              </w:numPr>
              <w:spacing w:line="240" w:lineRule="auto"/>
              <w:jc w:val="right"/>
              <w:rPr>
                <w:szCs w:val="26"/>
              </w:rPr>
            </w:pPr>
            <w:r>
              <w:rPr>
                <w:szCs w:val="26"/>
              </w:rPr>
              <w:t>(reduction)</w:t>
            </w:r>
          </w:p>
        </w:tc>
      </w:tr>
      <w:tr w:rsidRPr="00AE4DBF" w:rsidR="00A95B97" w:rsidTr="00B90E15" w14:paraId="2A1E7820" w14:textId="77777777">
        <w:trPr>
          <w:trHeight w:val="485"/>
        </w:trPr>
        <w:tc>
          <w:tcPr>
            <w:tcW w:w="963" w:type="pct"/>
            <w:tcBorders>
              <w:bottom w:val="single" w:color="auto" w:sz="4" w:space="0"/>
            </w:tcBorders>
          </w:tcPr>
          <w:p w:rsidRPr="00AE4DBF" w:rsidR="00A95B97" w:rsidP="00370B25" w:rsidRDefault="00A95B97" w14:paraId="00EAB82C" w14:textId="587B3E33">
            <w:pPr>
              <w:pStyle w:val="FERCparanumber"/>
              <w:numPr>
                <w:ilvl w:val="0"/>
                <w:numId w:val="0"/>
              </w:numPr>
              <w:spacing w:line="240" w:lineRule="auto"/>
              <w:jc w:val="right"/>
              <w:rPr>
                <w:b/>
                <w:szCs w:val="26"/>
              </w:rPr>
            </w:pPr>
            <w:r w:rsidRPr="00AE4DBF">
              <w:rPr>
                <w:b/>
                <w:szCs w:val="26"/>
              </w:rPr>
              <w:t>SUB-TOTAL, (</w:t>
            </w:r>
            <w:r>
              <w:rPr>
                <w:b/>
                <w:szCs w:val="26"/>
              </w:rPr>
              <w:t>Net D</w:t>
            </w:r>
            <w:r w:rsidRPr="00AE4DBF">
              <w:rPr>
                <w:b/>
                <w:szCs w:val="26"/>
              </w:rPr>
              <w:t xml:space="preserve">ue to </w:t>
            </w:r>
            <w:r>
              <w:rPr>
                <w:b/>
                <w:szCs w:val="26"/>
              </w:rPr>
              <w:t>Adjustments</w:t>
            </w:r>
            <w:r w:rsidRPr="00AE4DBF">
              <w:rPr>
                <w:b/>
                <w:szCs w:val="26"/>
              </w:rPr>
              <w:t>)</w:t>
            </w:r>
          </w:p>
        </w:tc>
        <w:tc>
          <w:tcPr>
            <w:tcW w:w="1635" w:type="pct"/>
            <w:gridSpan w:val="3"/>
            <w:tcBorders>
              <w:bottom w:val="single" w:color="auto" w:sz="4" w:space="0"/>
            </w:tcBorders>
            <w:shd w:val="pct10" w:color="auto" w:fill="auto"/>
            <w:vAlign w:val="bottom"/>
          </w:tcPr>
          <w:p w:rsidRPr="00AE4DBF" w:rsidR="00A95B97" w:rsidP="00A95B97" w:rsidRDefault="00A95B97" w14:paraId="47A82E5D" w14:textId="77777777">
            <w:pPr>
              <w:pStyle w:val="FERCparanumber"/>
              <w:numPr>
                <w:ilvl w:val="0"/>
                <w:numId w:val="0"/>
              </w:numPr>
              <w:spacing w:line="240" w:lineRule="auto"/>
              <w:rPr>
                <w:szCs w:val="26"/>
              </w:rPr>
            </w:pPr>
          </w:p>
        </w:tc>
        <w:tc>
          <w:tcPr>
            <w:tcW w:w="770" w:type="pct"/>
            <w:tcBorders>
              <w:bottom w:val="single" w:color="auto" w:sz="4" w:space="0"/>
            </w:tcBorders>
            <w:shd w:val="pct10" w:color="auto" w:fill="auto"/>
            <w:vAlign w:val="bottom"/>
          </w:tcPr>
          <w:p w:rsidRPr="00AE4DBF" w:rsidR="00A95B97" w:rsidP="00A95B97" w:rsidRDefault="00A95B97" w14:paraId="1A0774BA" w14:textId="77777777">
            <w:pPr>
              <w:pStyle w:val="FERCparanumber"/>
              <w:numPr>
                <w:ilvl w:val="0"/>
                <w:numId w:val="0"/>
              </w:numPr>
              <w:spacing w:line="240" w:lineRule="auto"/>
              <w:rPr>
                <w:b/>
                <w:szCs w:val="26"/>
              </w:rPr>
            </w:pPr>
          </w:p>
        </w:tc>
        <w:tc>
          <w:tcPr>
            <w:tcW w:w="771" w:type="pct"/>
            <w:tcBorders>
              <w:bottom w:val="single" w:color="auto" w:sz="4" w:space="0"/>
            </w:tcBorders>
            <w:shd w:val="pct10" w:color="auto" w:fill="auto"/>
            <w:vAlign w:val="bottom"/>
          </w:tcPr>
          <w:p w:rsidRPr="00AE4DBF" w:rsidR="00A95B97" w:rsidP="00A95B97" w:rsidRDefault="00A95B97" w14:paraId="2B15BD1E" w14:textId="77777777">
            <w:pPr>
              <w:pStyle w:val="FERCparanumber"/>
              <w:numPr>
                <w:ilvl w:val="0"/>
                <w:numId w:val="0"/>
              </w:numPr>
              <w:spacing w:line="240" w:lineRule="auto"/>
              <w:rPr>
                <w:szCs w:val="26"/>
              </w:rPr>
            </w:pPr>
          </w:p>
        </w:tc>
        <w:tc>
          <w:tcPr>
            <w:tcW w:w="861" w:type="pct"/>
            <w:tcBorders>
              <w:bottom w:val="single" w:color="auto" w:sz="4" w:space="0"/>
            </w:tcBorders>
            <w:vAlign w:val="bottom"/>
          </w:tcPr>
          <w:p w:rsidR="00A95B97" w:rsidP="00C756C7" w:rsidRDefault="00D46C24" w14:paraId="7C04EE8D" w14:textId="6A527E2A">
            <w:pPr>
              <w:pStyle w:val="FERCparanumber"/>
              <w:numPr>
                <w:ilvl w:val="0"/>
                <w:numId w:val="0"/>
              </w:numPr>
              <w:spacing w:line="240" w:lineRule="auto"/>
              <w:jc w:val="right"/>
              <w:rPr>
                <w:szCs w:val="26"/>
              </w:rPr>
            </w:pPr>
            <w:r>
              <w:rPr>
                <w:szCs w:val="26"/>
              </w:rPr>
              <w:t>1</w:t>
            </w:r>
            <w:r w:rsidRPr="00AE4DBF">
              <w:rPr>
                <w:szCs w:val="26"/>
              </w:rPr>
              <w:t xml:space="preserve"> </w:t>
            </w:r>
            <w:r w:rsidRPr="00AE4DBF" w:rsidR="00A95B97">
              <w:rPr>
                <w:szCs w:val="26"/>
              </w:rPr>
              <w:t xml:space="preserve">hr.; </w:t>
            </w:r>
          </w:p>
          <w:p w:rsidR="00A95B97" w:rsidP="00C756C7" w:rsidRDefault="00A95B97" w14:paraId="6440A270" w14:textId="2BF30F42">
            <w:pPr>
              <w:pStyle w:val="FERCparanumber"/>
              <w:numPr>
                <w:ilvl w:val="0"/>
                <w:numId w:val="0"/>
              </w:numPr>
              <w:spacing w:line="240" w:lineRule="auto"/>
              <w:jc w:val="right"/>
              <w:rPr>
                <w:szCs w:val="26"/>
              </w:rPr>
            </w:pPr>
            <w:r w:rsidRPr="00AE4DBF">
              <w:rPr>
                <w:szCs w:val="26"/>
              </w:rPr>
              <w:t>$</w:t>
            </w:r>
            <w:r w:rsidR="002467BA">
              <w:rPr>
                <w:szCs w:val="26"/>
              </w:rPr>
              <w:t>34.79</w:t>
            </w:r>
          </w:p>
          <w:p w:rsidRPr="00AE4DBF" w:rsidR="00A95B97" w:rsidP="00C756C7" w:rsidRDefault="00A95B97" w14:paraId="1EA48F69" w14:textId="33F68A45">
            <w:pPr>
              <w:pStyle w:val="FERCparanumber"/>
              <w:numPr>
                <w:ilvl w:val="0"/>
                <w:numId w:val="0"/>
              </w:numPr>
              <w:spacing w:line="240" w:lineRule="auto"/>
              <w:jc w:val="right"/>
              <w:rPr>
                <w:szCs w:val="26"/>
              </w:rPr>
            </w:pPr>
            <w:r>
              <w:rPr>
                <w:szCs w:val="26"/>
              </w:rPr>
              <w:t>(net change)</w:t>
            </w:r>
          </w:p>
        </w:tc>
      </w:tr>
    </w:tbl>
    <w:p w:rsidRPr="000A660C" w:rsidR="000A660C" w:rsidP="000A660C" w:rsidRDefault="000A660C" w14:paraId="475BC2F3" w14:textId="0CCFE955">
      <w:pPr>
        <w:pStyle w:val="FERCparanumber"/>
        <w:numPr>
          <w:ilvl w:val="0"/>
          <w:numId w:val="0"/>
        </w:numPr>
        <w:rPr>
          <w:szCs w:val="26"/>
        </w:rPr>
      </w:pPr>
    </w:p>
    <w:p w:rsidR="00B34573" w:rsidP="00132F96" w:rsidRDefault="00B34573" w14:paraId="1F4F0240" w14:textId="28A2E8F6">
      <w:pPr>
        <w:pStyle w:val="FERCparanumber"/>
        <w:tabs>
          <w:tab w:val="clear" w:pos="720"/>
        </w:tabs>
        <w:rPr>
          <w:szCs w:val="26"/>
        </w:rPr>
      </w:pPr>
      <w:r w:rsidRPr="000027F9">
        <w:rPr>
          <w:i/>
          <w:szCs w:val="26"/>
        </w:rPr>
        <w:t xml:space="preserve">Estimate of </w:t>
      </w:r>
      <w:r>
        <w:rPr>
          <w:i/>
          <w:szCs w:val="26"/>
        </w:rPr>
        <w:t xml:space="preserve">Continuing Annual </w:t>
      </w:r>
      <w:r w:rsidRPr="000027F9">
        <w:rPr>
          <w:i/>
          <w:szCs w:val="26"/>
        </w:rPr>
        <w:t>Burden</w:t>
      </w:r>
      <w:r>
        <w:rPr>
          <w:i/>
          <w:szCs w:val="26"/>
        </w:rPr>
        <w:t xml:space="preserve"> for Renewal</w:t>
      </w:r>
      <w:r w:rsidRPr="000027F9">
        <w:rPr>
          <w:i/>
          <w:szCs w:val="26"/>
        </w:rPr>
        <w:t>:</w:t>
      </w:r>
      <w:r>
        <w:rPr>
          <w:rStyle w:val="FootnoteReference"/>
          <w:i/>
        </w:rPr>
        <w:footnoteReference w:id="34"/>
      </w:r>
      <w:r w:rsidRPr="000027F9">
        <w:rPr>
          <w:i/>
          <w:szCs w:val="26"/>
        </w:rPr>
        <w:t xml:space="preserve"> </w:t>
      </w:r>
      <w:r>
        <w:rPr>
          <w:i/>
          <w:szCs w:val="26"/>
        </w:rPr>
        <w:t xml:space="preserve"> </w:t>
      </w:r>
      <w:r w:rsidRPr="000027F9">
        <w:rPr>
          <w:szCs w:val="26"/>
        </w:rPr>
        <w:t xml:space="preserve">The Commission estimates the annual public reporting burden </w:t>
      </w:r>
      <w:r>
        <w:rPr>
          <w:szCs w:val="26"/>
        </w:rPr>
        <w:t>and cost as follows for FERC-725E.  (This information will be submitted to OMB for approval.)  These estimates reflect:</w:t>
      </w:r>
    </w:p>
    <w:p w:rsidR="00B34573" w:rsidP="00132F96" w:rsidRDefault="00B34573" w14:paraId="351619DB" w14:textId="5F9FBB60">
      <w:pPr>
        <w:pStyle w:val="FERCparanumber"/>
        <w:numPr>
          <w:ilvl w:val="0"/>
          <w:numId w:val="46"/>
        </w:numPr>
      </w:pPr>
      <w:r>
        <w:t>Reliability S</w:t>
      </w:r>
      <w:r w:rsidRPr="0026143D">
        <w:t xml:space="preserve">tandards </w:t>
      </w:r>
      <w:r>
        <w:t xml:space="preserve">in FERC-725E which </w:t>
      </w:r>
      <w:r w:rsidRPr="0026143D">
        <w:t>continue</w:t>
      </w:r>
      <w:r>
        <w:t xml:space="preserve"> and remain</w:t>
      </w:r>
      <w:r w:rsidRPr="0026143D">
        <w:t xml:space="preserve"> unchanged</w:t>
      </w:r>
      <w:r>
        <w:t xml:space="preserve"> (</w:t>
      </w:r>
      <w:r w:rsidRPr="00E42082">
        <w:t>BAL-004-WECC-</w:t>
      </w:r>
      <w:r w:rsidR="004B3FDE">
        <w:t>3</w:t>
      </w:r>
      <w:r w:rsidRPr="00E42082">
        <w:t>, FAC-501-WECC-</w:t>
      </w:r>
      <w:r w:rsidR="004B3FDE">
        <w:t>2</w:t>
      </w:r>
      <w:r w:rsidRPr="00E42082">
        <w:t>, and VAR-002-WECC-</w:t>
      </w:r>
      <w:r w:rsidR="004B3FDE">
        <w:t>3.1</w:t>
      </w:r>
      <w:r>
        <w:t>);</w:t>
      </w:r>
    </w:p>
    <w:p w:rsidRPr="00D24953" w:rsidR="00585725" w:rsidP="00585725" w:rsidRDefault="00597405" w14:paraId="16186E21" w14:textId="3EB196BA">
      <w:pPr>
        <w:pStyle w:val="FERCparanumber"/>
        <w:numPr>
          <w:ilvl w:val="0"/>
          <w:numId w:val="46"/>
        </w:numPr>
        <w:rPr>
          <w:szCs w:val="26"/>
        </w:rPr>
      </w:pPr>
      <w:r>
        <w:rPr>
          <w:szCs w:val="26"/>
        </w:rPr>
        <w:t>I</w:t>
      </w:r>
      <w:r w:rsidRPr="004F47EC">
        <w:rPr>
          <w:szCs w:val="26"/>
        </w:rPr>
        <w:t xml:space="preserve">mplement </w:t>
      </w:r>
      <w:r w:rsidRPr="004F47EC" w:rsidR="00585725">
        <w:rPr>
          <w:szCs w:val="26"/>
        </w:rPr>
        <w:t xml:space="preserve">the regional Reliability Standard </w:t>
      </w:r>
      <w:r w:rsidR="00585725">
        <w:rPr>
          <w:szCs w:val="26"/>
        </w:rPr>
        <w:t xml:space="preserve">BAL-002-WECC-3 </w:t>
      </w:r>
      <w:r w:rsidRPr="004F47EC" w:rsidR="00585725">
        <w:rPr>
          <w:szCs w:val="26"/>
        </w:rPr>
        <w:t xml:space="preserve">(addressed in </w:t>
      </w:r>
      <w:r w:rsidR="00585725">
        <w:rPr>
          <w:szCs w:val="26"/>
        </w:rPr>
        <w:t>this Notice of Proposed Rulemaking, Docket No. RM19-20</w:t>
      </w:r>
      <w:r w:rsidR="00636BAC">
        <w:rPr>
          <w:szCs w:val="26"/>
        </w:rPr>
        <w:t>-000</w:t>
      </w:r>
      <w:r w:rsidRPr="004F47EC" w:rsidR="00585725">
        <w:rPr>
          <w:szCs w:val="26"/>
        </w:rPr>
        <w:t>)</w:t>
      </w:r>
      <w:r w:rsidR="00A33719">
        <w:rPr>
          <w:szCs w:val="26"/>
        </w:rPr>
        <w:t>;</w:t>
      </w:r>
      <w:r w:rsidRPr="00D24953" w:rsidR="00585725">
        <w:rPr>
          <w:szCs w:val="26"/>
        </w:rPr>
        <w:t xml:space="preserve"> and</w:t>
      </w:r>
    </w:p>
    <w:p w:rsidR="00B54AA2" w:rsidP="00132F96" w:rsidRDefault="00585725" w14:paraId="5DABE561" w14:textId="5990D97D">
      <w:pPr>
        <w:pStyle w:val="FERCparanumber"/>
        <w:numPr>
          <w:ilvl w:val="0"/>
          <w:numId w:val="46"/>
        </w:numPr>
      </w:pPr>
      <w:r>
        <w:rPr>
          <w:szCs w:val="26"/>
        </w:rPr>
        <w:t>Adjustments to the burden estimates for regional Reliability Standards BAL-002-WECC-3 (</w:t>
      </w:r>
      <w:r w:rsidRPr="004F47EC">
        <w:rPr>
          <w:szCs w:val="26"/>
        </w:rPr>
        <w:t>Contingency Reserve</w:t>
      </w:r>
      <w:r>
        <w:rPr>
          <w:szCs w:val="26"/>
        </w:rPr>
        <w:t>) and IRO-006-WECC-3 (</w:t>
      </w:r>
      <w:r w:rsidRPr="004F47EC">
        <w:rPr>
          <w:szCs w:val="26"/>
        </w:rPr>
        <w:t>Qualified Path Unscheduled Flow (USF) Relief</w:t>
      </w:r>
      <w:r>
        <w:rPr>
          <w:szCs w:val="26"/>
        </w:rPr>
        <w:t>).</w:t>
      </w:r>
    </w:p>
    <w:tbl>
      <w:tblPr>
        <w:tblpPr w:leftFromText="187" w:rightFromText="187" w:vertAnchor="text" w:horzAnchor="margin" w:tblpX="-10" w:tblpY="1"/>
        <w:tblW w:w="99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05"/>
        <w:gridCol w:w="1170"/>
        <w:gridCol w:w="1340"/>
        <w:gridCol w:w="1450"/>
        <w:gridCol w:w="1440"/>
        <w:gridCol w:w="1520"/>
        <w:gridCol w:w="1270"/>
      </w:tblGrid>
      <w:tr w:rsidRPr="00E55954" w:rsidR="00E55954" w:rsidTr="00B90E15" w14:paraId="4C125E05" w14:textId="604BF212">
        <w:trPr>
          <w:trHeight w:val="288"/>
        </w:trPr>
        <w:tc>
          <w:tcPr>
            <w:tcW w:w="9995" w:type="dxa"/>
            <w:gridSpan w:val="7"/>
            <w:shd w:val="clear" w:color="auto" w:fill="D9D9D9"/>
          </w:tcPr>
          <w:p w:rsidRPr="00E55954" w:rsidR="00E55954" w:rsidP="00EC29DD" w:rsidRDefault="00E55954" w14:paraId="36DACCE7" w14:textId="504F22E7">
            <w:pPr>
              <w:pStyle w:val="FERCparanumber"/>
              <w:numPr>
                <w:ilvl w:val="0"/>
                <w:numId w:val="0"/>
              </w:numPr>
              <w:spacing w:line="240" w:lineRule="auto"/>
              <w:jc w:val="center"/>
              <w:rPr>
                <w:b/>
                <w:szCs w:val="26"/>
              </w:rPr>
            </w:pPr>
            <w:r w:rsidRPr="00E55954">
              <w:rPr>
                <w:b/>
                <w:szCs w:val="26"/>
              </w:rPr>
              <w:t>FERC-725E, Mandatory Reliability Standards for the</w:t>
            </w:r>
          </w:p>
          <w:p w:rsidRPr="00E55954" w:rsidR="00E55954" w:rsidP="00EC29DD" w:rsidRDefault="00E55954" w14:paraId="02F3878C" w14:textId="6130BB6C">
            <w:pPr>
              <w:pStyle w:val="FERCparanumber"/>
              <w:numPr>
                <w:ilvl w:val="0"/>
                <w:numId w:val="0"/>
              </w:numPr>
              <w:spacing w:line="240" w:lineRule="auto"/>
              <w:jc w:val="center"/>
              <w:rPr>
                <w:b/>
                <w:szCs w:val="26"/>
              </w:rPr>
            </w:pPr>
            <w:r w:rsidRPr="00E55954">
              <w:rPr>
                <w:b/>
                <w:szCs w:val="26"/>
              </w:rPr>
              <w:t>Western Electric Coordinating Council</w:t>
            </w:r>
          </w:p>
          <w:p w:rsidRPr="00E55954" w:rsidR="00E55954" w:rsidP="00EC29DD" w:rsidRDefault="00E55954" w14:paraId="53A3C03A" w14:textId="11ED8675">
            <w:pPr>
              <w:pStyle w:val="FERCparanumber"/>
              <w:numPr>
                <w:ilvl w:val="0"/>
                <w:numId w:val="0"/>
              </w:numPr>
              <w:spacing w:line="240" w:lineRule="auto"/>
              <w:jc w:val="center"/>
              <w:rPr>
                <w:b/>
                <w:szCs w:val="26"/>
              </w:rPr>
            </w:pPr>
            <w:r w:rsidRPr="00E55954">
              <w:rPr>
                <w:b/>
                <w:szCs w:val="26"/>
              </w:rPr>
              <w:t>[New and Continuing Information Collection Requirements]</w:t>
            </w:r>
          </w:p>
        </w:tc>
      </w:tr>
      <w:tr w:rsidRPr="00E55954" w:rsidR="00E55954" w:rsidTr="00B90E15" w14:paraId="1F958B1F" w14:textId="78E81344">
        <w:trPr>
          <w:trHeight w:val="744"/>
        </w:trPr>
        <w:tc>
          <w:tcPr>
            <w:tcW w:w="1805" w:type="dxa"/>
            <w:shd w:val="clear" w:color="auto" w:fill="D9D9D9"/>
            <w:vAlign w:val="bottom"/>
          </w:tcPr>
          <w:p w:rsidRPr="00E55954" w:rsidR="00E55954" w:rsidP="00EC29DD" w:rsidRDefault="00E55954" w14:paraId="77ADB457" w14:textId="7C273E23">
            <w:pPr>
              <w:pStyle w:val="FERCparanumber"/>
              <w:numPr>
                <w:ilvl w:val="0"/>
                <w:numId w:val="0"/>
              </w:numPr>
              <w:spacing w:line="240" w:lineRule="auto"/>
              <w:rPr>
                <w:b/>
                <w:szCs w:val="26"/>
              </w:rPr>
            </w:pPr>
            <w:r w:rsidRPr="00E55954">
              <w:rPr>
                <w:b/>
                <w:szCs w:val="26"/>
              </w:rPr>
              <w:t xml:space="preserve">Entity </w:t>
            </w:r>
          </w:p>
        </w:tc>
        <w:tc>
          <w:tcPr>
            <w:tcW w:w="1170" w:type="dxa"/>
            <w:shd w:val="clear" w:color="auto" w:fill="D9D9D9"/>
            <w:vAlign w:val="bottom"/>
          </w:tcPr>
          <w:p w:rsidRPr="00E55954" w:rsidR="00E55954" w:rsidP="00EC29DD" w:rsidRDefault="00E55954" w14:paraId="5DEC553B" w14:textId="4180E270">
            <w:pPr>
              <w:pStyle w:val="FERCparanumber"/>
              <w:numPr>
                <w:ilvl w:val="0"/>
                <w:numId w:val="0"/>
              </w:numPr>
              <w:spacing w:line="240" w:lineRule="auto"/>
              <w:rPr>
                <w:b/>
                <w:szCs w:val="26"/>
              </w:rPr>
            </w:pPr>
            <w:r w:rsidRPr="00E55954">
              <w:rPr>
                <w:b/>
                <w:szCs w:val="26"/>
              </w:rPr>
              <w:t>No. of Respondents</w:t>
            </w:r>
            <w:r w:rsidRPr="00E55954">
              <w:rPr>
                <w:szCs w:val="26"/>
                <w:vertAlign w:val="superscript"/>
              </w:rPr>
              <w:footnoteReference w:id="35"/>
            </w:r>
            <w:r w:rsidRPr="00E55954">
              <w:rPr>
                <w:b/>
                <w:szCs w:val="26"/>
              </w:rPr>
              <w:br/>
              <w:t>(1)</w:t>
            </w:r>
          </w:p>
        </w:tc>
        <w:tc>
          <w:tcPr>
            <w:tcW w:w="1340" w:type="dxa"/>
            <w:shd w:val="clear" w:color="auto" w:fill="D9D9D9"/>
            <w:vAlign w:val="bottom"/>
          </w:tcPr>
          <w:p w:rsidRPr="00E55954" w:rsidR="00E55954" w:rsidP="00EC29DD" w:rsidRDefault="00E55954" w14:paraId="4E8E9A5D" w14:textId="0FA8A573">
            <w:pPr>
              <w:pStyle w:val="FERCparanumber"/>
              <w:numPr>
                <w:ilvl w:val="0"/>
                <w:numId w:val="0"/>
              </w:numPr>
              <w:spacing w:line="240" w:lineRule="auto"/>
              <w:rPr>
                <w:b/>
                <w:szCs w:val="26"/>
              </w:rPr>
            </w:pPr>
            <w:r w:rsidRPr="00E55954">
              <w:rPr>
                <w:b/>
                <w:szCs w:val="26"/>
              </w:rPr>
              <w:t>Annual No. of Responses per Respondent</w:t>
            </w:r>
          </w:p>
          <w:p w:rsidRPr="00E55954" w:rsidR="00E55954" w:rsidP="00EC29DD" w:rsidRDefault="00E55954" w14:paraId="4FC4CB22" w14:textId="4E911073">
            <w:pPr>
              <w:pStyle w:val="FERCparanumber"/>
              <w:numPr>
                <w:ilvl w:val="0"/>
                <w:numId w:val="0"/>
              </w:numPr>
              <w:spacing w:line="240" w:lineRule="auto"/>
              <w:rPr>
                <w:b/>
                <w:szCs w:val="26"/>
              </w:rPr>
            </w:pPr>
            <w:r w:rsidRPr="00E55954">
              <w:rPr>
                <w:b/>
                <w:szCs w:val="26"/>
              </w:rPr>
              <w:t>(2)</w:t>
            </w:r>
          </w:p>
        </w:tc>
        <w:tc>
          <w:tcPr>
            <w:tcW w:w="1450" w:type="dxa"/>
            <w:shd w:val="clear" w:color="auto" w:fill="D9D9D9"/>
            <w:vAlign w:val="bottom"/>
          </w:tcPr>
          <w:p w:rsidRPr="00E55954" w:rsidR="00E55954" w:rsidP="00EC29DD" w:rsidRDefault="00E55954" w14:paraId="4BB1C007" w14:textId="324CF872">
            <w:pPr>
              <w:pStyle w:val="FERCparanumber"/>
              <w:numPr>
                <w:ilvl w:val="0"/>
                <w:numId w:val="0"/>
              </w:numPr>
              <w:spacing w:line="240" w:lineRule="auto"/>
              <w:rPr>
                <w:b/>
                <w:szCs w:val="26"/>
              </w:rPr>
            </w:pPr>
            <w:r w:rsidRPr="00E55954">
              <w:rPr>
                <w:szCs w:val="26"/>
              </w:rPr>
              <w:t xml:space="preserve"> </w:t>
            </w:r>
            <w:r w:rsidRPr="00E55954">
              <w:rPr>
                <w:b/>
                <w:szCs w:val="26"/>
              </w:rPr>
              <w:t>Annual No. of Responses</w:t>
            </w:r>
          </w:p>
          <w:p w:rsidRPr="00E55954" w:rsidR="00E55954" w:rsidP="00EC29DD" w:rsidRDefault="00E55954" w14:paraId="7D209CDD" w14:textId="3CEEFD34">
            <w:pPr>
              <w:pStyle w:val="FERCparanumber"/>
              <w:numPr>
                <w:ilvl w:val="0"/>
                <w:numId w:val="0"/>
              </w:numPr>
              <w:spacing w:line="240" w:lineRule="auto"/>
              <w:rPr>
                <w:b/>
                <w:szCs w:val="26"/>
              </w:rPr>
            </w:pPr>
            <w:r w:rsidRPr="00E55954">
              <w:rPr>
                <w:b/>
                <w:szCs w:val="26"/>
              </w:rPr>
              <w:t>(1)*(2)=(3)</w:t>
            </w:r>
          </w:p>
        </w:tc>
        <w:tc>
          <w:tcPr>
            <w:tcW w:w="1440" w:type="dxa"/>
            <w:shd w:val="clear" w:color="auto" w:fill="D9D9D9"/>
            <w:vAlign w:val="bottom"/>
          </w:tcPr>
          <w:p w:rsidRPr="00E55954" w:rsidR="00E55954" w:rsidP="00EC29DD" w:rsidRDefault="00E55954" w14:paraId="672EBFB2" w14:textId="0FAED9A0">
            <w:pPr>
              <w:pStyle w:val="FERCparanumber"/>
              <w:numPr>
                <w:ilvl w:val="0"/>
                <w:numId w:val="0"/>
              </w:numPr>
              <w:spacing w:line="240" w:lineRule="auto"/>
              <w:rPr>
                <w:b/>
                <w:szCs w:val="26"/>
              </w:rPr>
            </w:pPr>
            <w:r w:rsidRPr="00E55954">
              <w:rPr>
                <w:b/>
                <w:szCs w:val="26"/>
              </w:rPr>
              <w:t>Average Burden Hrs. &amp; Cost</w:t>
            </w:r>
            <w:r w:rsidRPr="002B2E06" w:rsidR="002B2E06">
              <w:rPr>
                <w:b/>
                <w:szCs w:val="26"/>
                <w:vertAlign w:val="superscript"/>
              </w:rPr>
              <w:fldChar w:fldCharType="begin"/>
            </w:r>
            <w:r w:rsidRPr="002B2E06" w:rsidR="002B2E06">
              <w:rPr>
                <w:b/>
                <w:szCs w:val="26"/>
                <w:vertAlign w:val="superscript"/>
              </w:rPr>
              <w:instrText xml:space="preserve"> NOTEREF _Ref51137647 \h </w:instrText>
            </w:r>
            <w:r w:rsidR="002B2E06">
              <w:rPr>
                <w:b/>
                <w:szCs w:val="26"/>
                <w:vertAlign w:val="superscript"/>
              </w:rPr>
              <w:instrText xml:space="preserve"> \* MERGEFORMAT </w:instrText>
            </w:r>
            <w:r w:rsidRPr="002B2E06" w:rsidR="002B2E06">
              <w:rPr>
                <w:b/>
                <w:szCs w:val="26"/>
                <w:vertAlign w:val="superscript"/>
              </w:rPr>
            </w:r>
            <w:r w:rsidRPr="002B2E06" w:rsidR="002B2E06">
              <w:rPr>
                <w:b/>
                <w:szCs w:val="26"/>
                <w:vertAlign w:val="superscript"/>
              </w:rPr>
              <w:fldChar w:fldCharType="separate"/>
            </w:r>
            <w:r w:rsidR="00CC6540">
              <w:rPr>
                <w:b/>
                <w:szCs w:val="26"/>
                <w:vertAlign w:val="superscript"/>
              </w:rPr>
              <w:t>30</w:t>
            </w:r>
            <w:r w:rsidRPr="002B2E06" w:rsidR="002B2E06">
              <w:rPr>
                <w:b/>
                <w:szCs w:val="26"/>
                <w:vertAlign w:val="superscript"/>
              </w:rPr>
              <w:fldChar w:fldCharType="end"/>
            </w:r>
            <w:r w:rsidRPr="00E55954">
              <w:rPr>
                <w:b/>
                <w:szCs w:val="26"/>
              </w:rPr>
              <w:t xml:space="preserve">  Per Response ($)</w:t>
            </w:r>
          </w:p>
          <w:p w:rsidRPr="00E55954" w:rsidR="00E55954" w:rsidP="00EC29DD" w:rsidRDefault="00E55954" w14:paraId="077D01C9" w14:textId="7AD97380">
            <w:pPr>
              <w:pStyle w:val="FERCparanumber"/>
              <w:numPr>
                <w:ilvl w:val="0"/>
                <w:numId w:val="0"/>
              </w:numPr>
              <w:spacing w:line="240" w:lineRule="auto"/>
              <w:rPr>
                <w:b/>
                <w:szCs w:val="26"/>
              </w:rPr>
            </w:pPr>
            <w:r w:rsidRPr="00E55954">
              <w:rPr>
                <w:b/>
                <w:szCs w:val="26"/>
              </w:rPr>
              <w:t>(4)</w:t>
            </w:r>
          </w:p>
        </w:tc>
        <w:tc>
          <w:tcPr>
            <w:tcW w:w="1520" w:type="dxa"/>
            <w:shd w:val="clear" w:color="auto" w:fill="D9D9D9"/>
            <w:vAlign w:val="bottom"/>
          </w:tcPr>
          <w:p w:rsidRPr="00E55954" w:rsidR="00E55954" w:rsidP="00EC29DD" w:rsidRDefault="00E55954" w14:paraId="61BA21A2" w14:textId="05F0475B">
            <w:pPr>
              <w:pStyle w:val="FERCparanumber"/>
              <w:numPr>
                <w:ilvl w:val="0"/>
                <w:numId w:val="0"/>
              </w:numPr>
              <w:spacing w:line="240" w:lineRule="auto"/>
              <w:rPr>
                <w:b/>
                <w:szCs w:val="26"/>
              </w:rPr>
            </w:pPr>
            <w:r w:rsidRPr="00E55954">
              <w:rPr>
                <w:b/>
                <w:szCs w:val="26"/>
              </w:rPr>
              <w:t>Total Annual Burden Hours &amp; Total Annual Cost ($)</w:t>
            </w:r>
          </w:p>
          <w:p w:rsidRPr="00E55954" w:rsidR="00E55954" w:rsidP="00EC29DD" w:rsidRDefault="00E55954" w14:paraId="3CA924BC" w14:textId="618CA453">
            <w:pPr>
              <w:pStyle w:val="FERCparanumber"/>
              <w:numPr>
                <w:ilvl w:val="0"/>
                <w:numId w:val="0"/>
              </w:numPr>
              <w:spacing w:line="240" w:lineRule="auto"/>
              <w:rPr>
                <w:b/>
                <w:szCs w:val="26"/>
              </w:rPr>
            </w:pPr>
            <w:r w:rsidRPr="00E55954">
              <w:rPr>
                <w:b/>
                <w:szCs w:val="26"/>
              </w:rPr>
              <w:t>(3)*(4)=(5)</w:t>
            </w:r>
          </w:p>
        </w:tc>
        <w:tc>
          <w:tcPr>
            <w:tcW w:w="1270" w:type="dxa"/>
            <w:shd w:val="clear" w:color="auto" w:fill="D9D9D9"/>
            <w:vAlign w:val="bottom"/>
          </w:tcPr>
          <w:p w:rsidRPr="00E55954" w:rsidR="00E55954" w:rsidP="00EC29DD" w:rsidRDefault="00E55954" w14:paraId="3FF314D1" w14:textId="7EDB525F">
            <w:pPr>
              <w:pStyle w:val="FERCparanumber"/>
              <w:numPr>
                <w:ilvl w:val="0"/>
                <w:numId w:val="0"/>
              </w:numPr>
              <w:spacing w:line="240" w:lineRule="auto"/>
              <w:rPr>
                <w:b/>
                <w:szCs w:val="26"/>
              </w:rPr>
            </w:pPr>
            <w:r w:rsidRPr="00E55954">
              <w:rPr>
                <w:b/>
                <w:szCs w:val="26"/>
              </w:rPr>
              <w:t>Cost per Respondent ($)</w:t>
            </w:r>
          </w:p>
          <w:p w:rsidRPr="00E55954" w:rsidR="00E55954" w:rsidP="00EC29DD" w:rsidRDefault="00E55954" w14:paraId="6B726B91" w14:textId="7685750B">
            <w:pPr>
              <w:pStyle w:val="FERCparanumber"/>
              <w:numPr>
                <w:ilvl w:val="0"/>
                <w:numId w:val="0"/>
              </w:numPr>
              <w:spacing w:line="240" w:lineRule="auto"/>
              <w:rPr>
                <w:b/>
                <w:szCs w:val="26"/>
              </w:rPr>
            </w:pPr>
            <w:r>
              <w:rPr>
                <w:b/>
                <w:szCs w:val="26"/>
              </w:rPr>
              <w:t>(</w:t>
            </w:r>
            <w:r w:rsidRPr="00E55954">
              <w:rPr>
                <w:b/>
                <w:szCs w:val="26"/>
              </w:rPr>
              <w:t>5)÷(1)=(6)</w:t>
            </w:r>
          </w:p>
        </w:tc>
      </w:tr>
      <w:tr w:rsidRPr="00E55954" w:rsidR="00E55954" w:rsidTr="00B90E15" w14:paraId="6C9ABED0" w14:textId="455CCB7F">
        <w:trPr>
          <w:trHeight w:val="346"/>
        </w:trPr>
        <w:tc>
          <w:tcPr>
            <w:tcW w:w="9995" w:type="dxa"/>
            <w:gridSpan w:val="7"/>
            <w:shd w:val="clear" w:color="auto" w:fill="D9D9D9"/>
          </w:tcPr>
          <w:p w:rsidRPr="00E55954" w:rsidR="00E55954" w:rsidP="004B3FDE" w:rsidRDefault="00E55954" w14:paraId="4706D809" w14:textId="51F1D3F2">
            <w:pPr>
              <w:pStyle w:val="FERCparanumber"/>
              <w:numPr>
                <w:ilvl w:val="0"/>
                <w:numId w:val="0"/>
              </w:numPr>
              <w:spacing w:line="240" w:lineRule="auto"/>
              <w:jc w:val="center"/>
              <w:rPr>
                <w:b/>
                <w:szCs w:val="26"/>
              </w:rPr>
            </w:pPr>
            <w:r w:rsidRPr="00E55954">
              <w:rPr>
                <w:b/>
                <w:szCs w:val="26"/>
              </w:rPr>
              <w:t>Reporting Requirements</w:t>
            </w:r>
          </w:p>
        </w:tc>
      </w:tr>
      <w:tr w:rsidRPr="00E55954" w:rsidR="00943411" w:rsidTr="00B90E15" w14:paraId="3D62A07C" w14:textId="59FEF9CC">
        <w:trPr>
          <w:trHeight w:val="294"/>
        </w:trPr>
        <w:tc>
          <w:tcPr>
            <w:tcW w:w="1805" w:type="dxa"/>
          </w:tcPr>
          <w:p w:rsidR="00943411" w:rsidP="00943411" w:rsidRDefault="00943411" w14:paraId="0B08A6E4" w14:textId="1EADBF92">
            <w:pPr>
              <w:pStyle w:val="FERCparanumber"/>
              <w:numPr>
                <w:ilvl w:val="0"/>
                <w:numId w:val="0"/>
              </w:numPr>
              <w:spacing w:line="240" w:lineRule="auto"/>
              <w:rPr>
                <w:szCs w:val="26"/>
              </w:rPr>
            </w:pPr>
            <w:r w:rsidRPr="00E55954">
              <w:rPr>
                <w:szCs w:val="26"/>
              </w:rPr>
              <w:t>Balancing Authorities</w:t>
            </w:r>
          </w:p>
          <w:p w:rsidR="00943411" w:rsidP="00943411" w:rsidRDefault="00943411" w14:paraId="3E28576D" w14:textId="79664E78">
            <w:pPr>
              <w:pStyle w:val="FERCparanumber"/>
              <w:numPr>
                <w:ilvl w:val="0"/>
                <w:numId w:val="0"/>
              </w:numPr>
              <w:spacing w:line="240" w:lineRule="auto"/>
              <w:rPr>
                <w:szCs w:val="26"/>
              </w:rPr>
            </w:pPr>
            <w:r>
              <w:rPr>
                <w:szCs w:val="26"/>
              </w:rPr>
              <w:t>Years 1 and 2</w:t>
            </w:r>
          </w:p>
          <w:p w:rsidRPr="00E55954" w:rsidR="00943411" w:rsidP="00943411" w:rsidRDefault="009D50BA" w14:paraId="2AD87C8E" w14:textId="1B4F9CFF">
            <w:pPr>
              <w:pStyle w:val="FERCparanumber"/>
              <w:numPr>
                <w:ilvl w:val="0"/>
                <w:numId w:val="0"/>
              </w:numPr>
              <w:spacing w:line="240" w:lineRule="auto"/>
              <w:rPr>
                <w:szCs w:val="26"/>
              </w:rPr>
            </w:pPr>
            <w:r w:rsidRPr="00270046">
              <w:rPr>
                <w:szCs w:val="26"/>
              </w:rPr>
              <w:t>(BAL-002-WECC-3; BAL-004-WECC-3; IRO-006-WECC-3)</w:t>
            </w:r>
          </w:p>
        </w:tc>
        <w:tc>
          <w:tcPr>
            <w:tcW w:w="1170" w:type="dxa"/>
            <w:vAlign w:val="bottom"/>
          </w:tcPr>
          <w:p w:rsidRPr="00E55954" w:rsidR="00943411" w:rsidP="002467BA" w:rsidRDefault="00943411" w14:paraId="4E2F2089" w14:textId="2A27239C">
            <w:pPr>
              <w:pStyle w:val="FERCparanumber"/>
              <w:numPr>
                <w:ilvl w:val="0"/>
                <w:numId w:val="0"/>
              </w:numPr>
              <w:spacing w:line="240" w:lineRule="auto"/>
              <w:jc w:val="right"/>
              <w:rPr>
                <w:szCs w:val="26"/>
              </w:rPr>
            </w:pPr>
            <w:r w:rsidRPr="00E55954">
              <w:rPr>
                <w:szCs w:val="26"/>
              </w:rPr>
              <w:t>34</w:t>
            </w:r>
          </w:p>
        </w:tc>
        <w:tc>
          <w:tcPr>
            <w:tcW w:w="1340" w:type="dxa"/>
            <w:vAlign w:val="bottom"/>
          </w:tcPr>
          <w:p w:rsidRPr="00E55954" w:rsidR="00943411" w:rsidP="002467BA" w:rsidRDefault="00943411" w14:paraId="01001685" w14:textId="70187B8C">
            <w:pPr>
              <w:pStyle w:val="FERCparanumber"/>
              <w:numPr>
                <w:ilvl w:val="0"/>
                <w:numId w:val="0"/>
              </w:numPr>
              <w:spacing w:line="240" w:lineRule="auto"/>
              <w:jc w:val="right"/>
              <w:rPr>
                <w:szCs w:val="26"/>
              </w:rPr>
            </w:pPr>
            <w:r w:rsidRPr="00E55954">
              <w:rPr>
                <w:szCs w:val="26"/>
              </w:rPr>
              <w:t>1</w:t>
            </w:r>
          </w:p>
        </w:tc>
        <w:tc>
          <w:tcPr>
            <w:tcW w:w="1450" w:type="dxa"/>
            <w:vAlign w:val="bottom"/>
          </w:tcPr>
          <w:p w:rsidRPr="00E55954" w:rsidR="00943411" w:rsidP="002467BA" w:rsidRDefault="00943411" w14:paraId="7B6C8B42" w14:textId="5AB43086">
            <w:pPr>
              <w:pStyle w:val="FERCparanumber"/>
              <w:numPr>
                <w:ilvl w:val="0"/>
                <w:numId w:val="0"/>
              </w:numPr>
              <w:spacing w:line="240" w:lineRule="auto"/>
              <w:jc w:val="right"/>
              <w:rPr>
                <w:szCs w:val="26"/>
              </w:rPr>
            </w:pPr>
            <w:r w:rsidRPr="00E55954">
              <w:rPr>
                <w:szCs w:val="26"/>
              </w:rPr>
              <w:t>34</w:t>
            </w:r>
          </w:p>
        </w:tc>
        <w:tc>
          <w:tcPr>
            <w:tcW w:w="1440" w:type="dxa"/>
            <w:vAlign w:val="bottom"/>
          </w:tcPr>
          <w:p w:rsidRPr="00E55954" w:rsidR="00943411" w:rsidP="002467BA" w:rsidRDefault="009D50BA" w14:paraId="1CC427F4" w14:textId="2F1F61C5">
            <w:pPr>
              <w:pStyle w:val="FERCparanumber"/>
              <w:numPr>
                <w:ilvl w:val="0"/>
                <w:numId w:val="0"/>
              </w:numPr>
              <w:spacing w:line="240" w:lineRule="auto"/>
              <w:jc w:val="right"/>
              <w:rPr>
                <w:szCs w:val="26"/>
              </w:rPr>
            </w:pPr>
            <w:r>
              <w:rPr>
                <w:szCs w:val="26"/>
              </w:rPr>
              <w:t>2</w:t>
            </w:r>
            <w:r w:rsidRPr="00E55954" w:rsidR="00943411">
              <w:rPr>
                <w:szCs w:val="26"/>
              </w:rPr>
              <w:t>1 hr</w:t>
            </w:r>
            <w:r>
              <w:rPr>
                <w:szCs w:val="26"/>
              </w:rPr>
              <w:t>s</w:t>
            </w:r>
            <w:r w:rsidRPr="00E55954" w:rsidR="00A5652D">
              <w:rPr>
                <w:szCs w:val="26"/>
              </w:rPr>
              <w:t>.</w:t>
            </w:r>
            <w:r w:rsidR="00A5652D">
              <w:rPr>
                <w:szCs w:val="26"/>
              </w:rPr>
              <w:t>;</w:t>
            </w:r>
          </w:p>
          <w:p w:rsidRPr="00E55954" w:rsidR="00943411" w:rsidP="002467BA" w:rsidRDefault="00943411" w14:paraId="0E2763DC" w14:textId="269D1060">
            <w:pPr>
              <w:pStyle w:val="FERCparanumber"/>
              <w:numPr>
                <w:ilvl w:val="0"/>
                <w:numId w:val="0"/>
              </w:numPr>
              <w:spacing w:line="240" w:lineRule="auto"/>
              <w:jc w:val="right"/>
              <w:rPr>
                <w:szCs w:val="26"/>
              </w:rPr>
            </w:pPr>
            <w:r w:rsidRPr="00E55954">
              <w:rPr>
                <w:szCs w:val="26"/>
              </w:rPr>
              <w:t>$</w:t>
            </w:r>
            <w:r w:rsidR="0059169E">
              <w:rPr>
                <w:szCs w:val="26"/>
              </w:rPr>
              <w:t>1,</w:t>
            </w:r>
            <w:r w:rsidR="00D43CF1">
              <w:rPr>
                <w:szCs w:val="26"/>
              </w:rPr>
              <w:t>757.07</w:t>
            </w:r>
          </w:p>
        </w:tc>
        <w:tc>
          <w:tcPr>
            <w:tcW w:w="1520" w:type="dxa"/>
            <w:vAlign w:val="bottom"/>
          </w:tcPr>
          <w:p w:rsidRPr="00E55954" w:rsidR="00943411" w:rsidP="002467BA" w:rsidRDefault="00E05BD2" w14:paraId="4EFE9F7D" w14:textId="61F6A013">
            <w:pPr>
              <w:pStyle w:val="FERCparanumber"/>
              <w:numPr>
                <w:ilvl w:val="0"/>
                <w:numId w:val="0"/>
              </w:numPr>
              <w:spacing w:line="240" w:lineRule="auto"/>
              <w:jc w:val="right"/>
              <w:rPr>
                <w:szCs w:val="26"/>
              </w:rPr>
            </w:pPr>
            <w:r>
              <w:rPr>
                <w:szCs w:val="26"/>
              </w:rPr>
              <w:t>714</w:t>
            </w:r>
            <w:r w:rsidRPr="00E55954" w:rsidR="00943411">
              <w:rPr>
                <w:szCs w:val="26"/>
              </w:rPr>
              <w:t xml:space="preserve"> hrs</w:t>
            </w:r>
            <w:r w:rsidRPr="00E55954" w:rsidR="00A5652D">
              <w:rPr>
                <w:szCs w:val="26"/>
              </w:rPr>
              <w:t>.</w:t>
            </w:r>
            <w:r w:rsidR="00A5652D">
              <w:rPr>
                <w:szCs w:val="26"/>
              </w:rPr>
              <w:t>;</w:t>
            </w:r>
          </w:p>
          <w:p w:rsidRPr="00E55954" w:rsidR="00943411" w:rsidP="002467BA" w:rsidRDefault="00943411" w14:paraId="182E97C3" w14:textId="7289EB98">
            <w:pPr>
              <w:pStyle w:val="FERCparanumber"/>
              <w:numPr>
                <w:ilvl w:val="0"/>
                <w:numId w:val="0"/>
              </w:numPr>
              <w:spacing w:line="240" w:lineRule="auto"/>
              <w:jc w:val="right"/>
              <w:rPr>
                <w:szCs w:val="26"/>
              </w:rPr>
            </w:pPr>
            <w:r w:rsidRPr="00E55954">
              <w:rPr>
                <w:szCs w:val="26"/>
              </w:rPr>
              <w:t>$</w:t>
            </w:r>
            <w:r w:rsidR="00D43CF1">
              <w:rPr>
                <w:szCs w:val="26"/>
              </w:rPr>
              <w:t>59,740.38</w:t>
            </w:r>
          </w:p>
        </w:tc>
        <w:tc>
          <w:tcPr>
            <w:tcW w:w="1270" w:type="dxa"/>
            <w:vAlign w:val="bottom"/>
          </w:tcPr>
          <w:p w:rsidRPr="00E55954" w:rsidR="00943411" w:rsidP="002467BA" w:rsidRDefault="00943411" w14:paraId="4E80C717" w14:textId="30201351">
            <w:pPr>
              <w:pStyle w:val="FERCparanumber"/>
              <w:numPr>
                <w:ilvl w:val="0"/>
                <w:numId w:val="0"/>
              </w:numPr>
              <w:spacing w:line="240" w:lineRule="auto"/>
              <w:jc w:val="right"/>
              <w:rPr>
                <w:szCs w:val="26"/>
              </w:rPr>
            </w:pPr>
            <w:r w:rsidRPr="00E55954">
              <w:rPr>
                <w:szCs w:val="26"/>
              </w:rPr>
              <w:t>$</w:t>
            </w:r>
            <w:r w:rsidRPr="00E55954" w:rsidR="00E05BD2">
              <w:rPr>
                <w:szCs w:val="26"/>
              </w:rPr>
              <w:t>1,</w:t>
            </w:r>
            <w:r w:rsidR="00D43CF1">
              <w:rPr>
                <w:szCs w:val="26"/>
              </w:rPr>
              <w:t>757.07</w:t>
            </w:r>
          </w:p>
        </w:tc>
      </w:tr>
      <w:tr w:rsidRPr="00E55954" w:rsidR="00943411" w:rsidTr="00B90E15" w14:paraId="333F439B" w14:textId="04434595">
        <w:trPr>
          <w:trHeight w:val="294"/>
        </w:trPr>
        <w:tc>
          <w:tcPr>
            <w:tcW w:w="1805" w:type="dxa"/>
          </w:tcPr>
          <w:p w:rsidR="00943411" w:rsidP="00943411" w:rsidRDefault="00943411" w14:paraId="3C0EB954" w14:textId="1C2721B3">
            <w:pPr>
              <w:pStyle w:val="FERCparanumber"/>
              <w:numPr>
                <w:ilvl w:val="0"/>
                <w:numId w:val="0"/>
              </w:numPr>
              <w:spacing w:line="240" w:lineRule="auto"/>
              <w:rPr>
                <w:szCs w:val="26"/>
              </w:rPr>
            </w:pPr>
            <w:r w:rsidRPr="009D50BA">
              <w:rPr>
                <w:szCs w:val="26"/>
              </w:rPr>
              <w:t>Balancing Authorities</w:t>
            </w:r>
          </w:p>
          <w:p w:rsidRPr="009D50BA" w:rsidR="009D50BA" w:rsidP="00943411" w:rsidRDefault="009D50BA" w14:paraId="0620687E" w14:textId="74811181">
            <w:pPr>
              <w:pStyle w:val="FERCparanumber"/>
              <w:numPr>
                <w:ilvl w:val="0"/>
                <w:numId w:val="0"/>
              </w:numPr>
              <w:spacing w:line="240" w:lineRule="auto"/>
              <w:rPr>
                <w:szCs w:val="26"/>
              </w:rPr>
            </w:pPr>
            <w:r>
              <w:rPr>
                <w:szCs w:val="26"/>
              </w:rPr>
              <w:t>Year 3 and Ongoing</w:t>
            </w:r>
          </w:p>
          <w:p w:rsidRPr="00E55954" w:rsidR="00943411" w:rsidP="00EC29DD" w:rsidRDefault="005439B5" w14:paraId="079720D6" w14:textId="0DBD9184">
            <w:pPr>
              <w:pStyle w:val="FERCparanumber"/>
              <w:numPr>
                <w:ilvl w:val="0"/>
                <w:numId w:val="0"/>
              </w:numPr>
              <w:spacing w:line="240" w:lineRule="auto"/>
              <w:rPr>
                <w:szCs w:val="26"/>
              </w:rPr>
            </w:pPr>
            <w:r w:rsidRPr="009D50BA">
              <w:rPr>
                <w:szCs w:val="26"/>
              </w:rPr>
              <w:t xml:space="preserve"> </w:t>
            </w:r>
            <w:r w:rsidRPr="009D50BA" w:rsidR="00943411">
              <w:rPr>
                <w:szCs w:val="26"/>
              </w:rPr>
              <w:t>(BAL-002-WECC-3; BAL-004-WECC-3; IRO-006-WECC-3)</w:t>
            </w:r>
          </w:p>
        </w:tc>
        <w:tc>
          <w:tcPr>
            <w:tcW w:w="1170" w:type="dxa"/>
            <w:vAlign w:val="bottom"/>
          </w:tcPr>
          <w:p w:rsidRPr="00E55954" w:rsidR="00943411" w:rsidP="002467BA" w:rsidRDefault="00943411" w14:paraId="4BD35B2D" w14:textId="339A2672">
            <w:pPr>
              <w:pStyle w:val="FERCparanumber"/>
              <w:numPr>
                <w:ilvl w:val="0"/>
                <w:numId w:val="0"/>
              </w:numPr>
              <w:spacing w:line="240" w:lineRule="auto"/>
              <w:jc w:val="right"/>
              <w:rPr>
                <w:szCs w:val="26"/>
              </w:rPr>
            </w:pPr>
            <w:r w:rsidRPr="00E55954">
              <w:rPr>
                <w:szCs w:val="26"/>
              </w:rPr>
              <w:t>34</w:t>
            </w:r>
          </w:p>
        </w:tc>
        <w:tc>
          <w:tcPr>
            <w:tcW w:w="1340" w:type="dxa"/>
            <w:vAlign w:val="bottom"/>
          </w:tcPr>
          <w:p w:rsidRPr="00E55954" w:rsidR="00943411" w:rsidP="002467BA" w:rsidRDefault="00943411" w14:paraId="065DB859" w14:textId="12413B64">
            <w:pPr>
              <w:pStyle w:val="FERCparanumber"/>
              <w:numPr>
                <w:ilvl w:val="0"/>
                <w:numId w:val="0"/>
              </w:numPr>
              <w:spacing w:line="240" w:lineRule="auto"/>
              <w:jc w:val="right"/>
              <w:rPr>
                <w:szCs w:val="26"/>
              </w:rPr>
            </w:pPr>
            <w:r w:rsidRPr="00E55954">
              <w:rPr>
                <w:szCs w:val="26"/>
              </w:rPr>
              <w:t>1</w:t>
            </w:r>
          </w:p>
        </w:tc>
        <w:tc>
          <w:tcPr>
            <w:tcW w:w="1450" w:type="dxa"/>
            <w:vAlign w:val="bottom"/>
          </w:tcPr>
          <w:p w:rsidRPr="00E55954" w:rsidR="00943411" w:rsidP="002467BA" w:rsidRDefault="00943411" w14:paraId="5475F07E" w14:textId="163C3102">
            <w:pPr>
              <w:pStyle w:val="FERCparanumber"/>
              <w:numPr>
                <w:ilvl w:val="0"/>
                <w:numId w:val="0"/>
              </w:numPr>
              <w:spacing w:line="240" w:lineRule="auto"/>
              <w:jc w:val="right"/>
              <w:rPr>
                <w:szCs w:val="26"/>
              </w:rPr>
            </w:pPr>
            <w:r w:rsidRPr="00E55954">
              <w:rPr>
                <w:szCs w:val="26"/>
              </w:rPr>
              <w:t>34</w:t>
            </w:r>
          </w:p>
        </w:tc>
        <w:tc>
          <w:tcPr>
            <w:tcW w:w="1440" w:type="dxa"/>
            <w:vAlign w:val="bottom"/>
          </w:tcPr>
          <w:p w:rsidRPr="00E55954" w:rsidR="00943411" w:rsidP="002467BA" w:rsidRDefault="00943411" w14:paraId="4B97FA86" w14:textId="4D67ED1E">
            <w:pPr>
              <w:pStyle w:val="FERCparanumber"/>
              <w:numPr>
                <w:ilvl w:val="0"/>
                <w:numId w:val="0"/>
              </w:numPr>
              <w:spacing w:line="240" w:lineRule="auto"/>
              <w:jc w:val="right"/>
              <w:rPr>
                <w:szCs w:val="26"/>
              </w:rPr>
            </w:pPr>
            <w:r w:rsidRPr="00E55954">
              <w:rPr>
                <w:szCs w:val="26"/>
              </w:rPr>
              <w:t>2</w:t>
            </w:r>
            <w:r w:rsidR="00C064B4">
              <w:rPr>
                <w:szCs w:val="26"/>
              </w:rPr>
              <w:t>0</w:t>
            </w:r>
            <w:r w:rsidRPr="00E55954">
              <w:rPr>
                <w:szCs w:val="26"/>
              </w:rPr>
              <w:t xml:space="preserve"> hrs</w:t>
            </w:r>
            <w:r w:rsidRPr="00E55954" w:rsidR="00A5652D">
              <w:rPr>
                <w:szCs w:val="26"/>
              </w:rPr>
              <w:t>.</w:t>
            </w:r>
            <w:r w:rsidR="00A5652D">
              <w:rPr>
                <w:szCs w:val="26"/>
              </w:rPr>
              <w:t>;</w:t>
            </w:r>
          </w:p>
          <w:p w:rsidRPr="00E55954" w:rsidR="00943411" w:rsidP="002467BA" w:rsidRDefault="00943411" w14:paraId="2072BDF9" w14:textId="5991CFE2">
            <w:pPr>
              <w:pStyle w:val="FERCparanumber"/>
              <w:numPr>
                <w:ilvl w:val="0"/>
                <w:numId w:val="0"/>
              </w:numPr>
              <w:spacing w:line="240" w:lineRule="auto"/>
              <w:jc w:val="right"/>
              <w:rPr>
                <w:szCs w:val="26"/>
              </w:rPr>
            </w:pPr>
            <w:r w:rsidRPr="00E55954">
              <w:rPr>
                <w:szCs w:val="26"/>
              </w:rPr>
              <w:t>$1,</w:t>
            </w:r>
            <w:r w:rsidR="00D43CF1">
              <w:rPr>
                <w:szCs w:val="26"/>
              </w:rPr>
              <w:t>673.40</w:t>
            </w:r>
          </w:p>
        </w:tc>
        <w:tc>
          <w:tcPr>
            <w:tcW w:w="1520" w:type="dxa"/>
            <w:vAlign w:val="bottom"/>
          </w:tcPr>
          <w:p w:rsidRPr="00E55954" w:rsidR="00943411" w:rsidP="002467BA" w:rsidRDefault="00E05BD2" w14:paraId="6CEEC462" w14:textId="2700672D">
            <w:pPr>
              <w:pStyle w:val="FERCparanumber"/>
              <w:numPr>
                <w:ilvl w:val="0"/>
                <w:numId w:val="0"/>
              </w:numPr>
              <w:spacing w:line="240" w:lineRule="auto"/>
              <w:jc w:val="right"/>
              <w:rPr>
                <w:szCs w:val="26"/>
              </w:rPr>
            </w:pPr>
            <w:r>
              <w:rPr>
                <w:szCs w:val="26"/>
              </w:rPr>
              <w:t>680</w:t>
            </w:r>
            <w:r w:rsidRPr="00E55954" w:rsidR="00943411">
              <w:rPr>
                <w:szCs w:val="26"/>
              </w:rPr>
              <w:t xml:space="preserve"> hrs</w:t>
            </w:r>
            <w:r w:rsidRPr="00E55954" w:rsidR="00A5652D">
              <w:rPr>
                <w:szCs w:val="26"/>
              </w:rPr>
              <w:t>.</w:t>
            </w:r>
            <w:r w:rsidR="00A5652D">
              <w:rPr>
                <w:szCs w:val="26"/>
              </w:rPr>
              <w:t>;</w:t>
            </w:r>
          </w:p>
          <w:p w:rsidRPr="00E55954" w:rsidR="00943411" w:rsidP="002467BA" w:rsidRDefault="00943411" w14:paraId="1EF0D605" w14:textId="49E0F98D">
            <w:pPr>
              <w:pStyle w:val="FERCparanumber"/>
              <w:numPr>
                <w:ilvl w:val="0"/>
                <w:numId w:val="0"/>
              </w:numPr>
              <w:spacing w:line="240" w:lineRule="auto"/>
              <w:jc w:val="right"/>
              <w:rPr>
                <w:szCs w:val="26"/>
              </w:rPr>
            </w:pPr>
            <w:r w:rsidRPr="00E55954">
              <w:rPr>
                <w:szCs w:val="26"/>
              </w:rPr>
              <w:t>$</w:t>
            </w:r>
            <w:r w:rsidR="00D43CF1">
              <w:rPr>
                <w:szCs w:val="26"/>
              </w:rPr>
              <w:t>56,895.60</w:t>
            </w:r>
          </w:p>
        </w:tc>
        <w:tc>
          <w:tcPr>
            <w:tcW w:w="1270" w:type="dxa"/>
            <w:vAlign w:val="bottom"/>
          </w:tcPr>
          <w:p w:rsidRPr="00E55954" w:rsidR="00943411" w:rsidP="002467BA" w:rsidRDefault="00943411" w14:paraId="184F3F62" w14:textId="56D27801">
            <w:pPr>
              <w:pStyle w:val="FERCparanumber"/>
              <w:numPr>
                <w:ilvl w:val="0"/>
                <w:numId w:val="0"/>
              </w:numPr>
              <w:spacing w:line="240" w:lineRule="auto"/>
              <w:jc w:val="right"/>
              <w:rPr>
                <w:szCs w:val="26"/>
              </w:rPr>
            </w:pPr>
            <w:r w:rsidRPr="00E55954">
              <w:rPr>
                <w:szCs w:val="26"/>
              </w:rPr>
              <w:t>$</w:t>
            </w:r>
            <w:r w:rsidR="0059169E">
              <w:rPr>
                <w:szCs w:val="26"/>
              </w:rPr>
              <w:t>1,</w:t>
            </w:r>
            <w:r w:rsidR="00D43CF1">
              <w:rPr>
                <w:szCs w:val="26"/>
              </w:rPr>
              <w:t>673.40</w:t>
            </w:r>
          </w:p>
        </w:tc>
      </w:tr>
      <w:tr w:rsidRPr="00E55954" w:rsidR="00356EEC" w:rsidTr="00B90E15" w14:paraId="4B5D8BD6" w14:textId="20A37AC7">
        <w:trPr>
          <w:trHeight w:val="299"/>
        </w:trPr>
        <w:tc>
          <w:tcPr>
            <w:tcW w:w="1805" w:type="dxa"/>
            <w:vAlign w:val="bottom"/>
          </w:tcPr>
          <w:p w:rsidR="00356EEC" w:rsidP="00356EEC" w:rsidRDefault="00356EEC" w14:paraId="19DA954A" w14:textId="75FBF8A5">
            <w:pPr>
              <w:pStyle w:val="FERCparanumber"/>
              <w:numPr>
                <w:ilvl w:val="0"/>
                <w:numId w:val="0"/>
              </w:numPr>
              <w:spacing w:line="240" w:lineRule="auto"/>
              <w:rPr>
                <w:szCs w:val="26"/>
              </w:rPr>
            </w:pPr>
            <w:r w:rsidRPr="00E55954">
              <w:rPr>
                <w:szCs w:val="26"/>
              </w:rPr>
              <w:t>Reserve Sharing Group</w:t>
            </w:r>
            <w:r w:rsidR="007D57FE">
              <w:rPr>
                <w:szCs w:val="26"/>
              </w:rPr>
              <w:t>s</w:t>
            </w:r>
          </w:p>
          <w:p w:rsidRPr="00E55954" w:rsidR="00356EEC" w:rsidP="00EC29DD" w:rsidRDefault="00356EEC" w14:paraId="1D116335" w14:textId="2F36BF23">
            <w:pPr>
              <w:pStyle w:val="FERCparanumber"/>
              <w:numPr>
                <w:ilvl w:val="0"/>
                <w:numId w:val="0"/>
              </w:numPr>
              <w:spacing w:line="240" w:lineRule="auto"/>
              <w:rPr>
                <w:szCs w:val="26"/>
              </w:rPr>
            </w:pPr>
            <w:r>
              <w:rPr>
                <w:szCs w:val="26"/>
              </w:rPr>
              <w:t>(BAL-002-WECC-3)</w:t>
            </w:r>
            <w:r w:rsidRPr="00E55954">
              <w:rPr>
                <w:szCs w:val="26"/>
              </w:rPr>
              <w:t xml:space="preserve"> </w:t>
            </w:r>
          </w:p>
        </w:tc>
        <w:tc>
          <w:tcPr>
            <w:tcW w:w="1170" w:type="dxa"/>
            <w:vAlign w:val="bottom"/>
          </w:tcPr>
          <w:p w:rsidRPr="00E55954" w:rsidR="00356EEC" w:rsidP="002467BA" w:rsidRDefault="00356EEC" w14:paraId="3F17B02F" w14:textId="1E6646B5">
            <w:pPr>
              <w:pStyle w:val="FERCparanumber"/>
              <w:numPr>
                <w:ilvl w:val="0"/>
                <w:numId w:val="0"/>
              </w:numPr>
              <w:spacing w:line="240" w:lineRule="auto"/>
              <w:jc w:val="right"/>
              <w:rPr>
                <w:szCs w:val="26"/>
              </w:rPr>
            </w:pPr>
            <w:r>
              <w:rPr>
                <w:szCs w:val="26"/>
              </w:rPr>
              <w:t>2</w:t>
            </w:r>
          </w:p>
        </w:tc>
        <w:tc>
          <w:tcPr>
            <w:tcW w:w="1340" w:type="dxa"/>
            <w:vAlign w:val="bottom"/>
          </w:tcPr>
          <w:p w:rsidRPr="00E55954" w:rsidR="00356EEC" w:rsidP="002467BA" w:rsidRDefault="00356EEC" w14:paraId="0ACEE34E" w14:textId="7FDF57CE">
            <w:pPr>
              <w:pStyle w:val="FERCparanumber"/>
              <w:numPr>
                <w:ilvl w:val="0"/>
                <w:numId w:val="0"/>
              </w:numPr>
              <w:spacing w:line="240" w:lineRule="auto"/>
              <w:jc w:val="right"/>
              <w:rPr>
                <w:szCs w:val="26"/>
              </w:rPr>
            </w:pPr>
            <w:r w:rsidRPr="00E55954">
              <w:rPr>
                <w:szCs w:val="26"/>
              </w:rPr>
              <w:t>1</w:t>
            </w:r>
          </w:p>
        </w:tc>
        <w:tc>
          <w:tcPr>
            <w:tcW w:w="1450" w:type="dxa"/>
            <w:vAlign w:val="bottom"/>
          </w:tcPr>
          <w:p w:rsidRPr="00E55954" w:rsidR="00356EEC" w:rsidP="002467BA" w:rsidRDefault="00356EEC" w14:paraId="3DF2CDD9" w14:textId="2CFCC26B">
            <w:pPr>
              <w:pStyle w:val="FERCparanumber"/>
              <w:numPr>
                <w:ilvl w:val="0"/>
                <w:numId w:val="0"/>
              </w:numPr>
              <w:spacing w:line="240" w:lineRule="auto"/>
              <w:jc w:val="right"/>
              <w:rPr>
                <w:szCs w:val="26"/>
              </w:rPr>
            </w:pPr>
            <w:r>
              <w:rPr>
                <w:szCs w:val="26"/>
              </w:rPr>
              <w:t>2</w:t>
            </w:r>
          </w:p>
        </w:tc>
        <w:tc>
          <w:tcPr>
            <w:tcW w:w="1440" w:type="dxa"/>
            <w:vAlign w:val="bottom"/>
          </w:tcPr>
          <w:p w:rsidRPr="00E55954" w:rsidR="00356EEC" w:rsidP="002467BA" w:rsidRDefault="00356EEC" w14:paraId="5BB03FE2" w14:textId="5582E391">
            <w:pPr>
              <w:pStyle w:val="FERCparanumber"/>
              <w:numPr>
                <w:ilvl w:val="0"/>
                <w:numId w:val="0"/>
              </w:numPr>
              <w:spacing w:line="240" w:lineRule="auto"/>
              <w:jc w:val="right"/>
              <w:rPr>
                <w:szCs w:val="26"/>
              </w:rPr>
            </w:pPr>
            <w:r w:rsidRPr="00E55954">
              <w:rPr>
                <w:szCs w:val="26"/>
              </w:rPr>
              <w:t>1 hr</w:t>
            </w:r>
            <w:r w:rsidRPr="00E55954" w:rsidR="00A5652D">
              <w:rPr>
                <w:szCs w:val="26"/>
              </w:rPr>
              <w:t>.</w:t>
            </w:r>
            <w:r w:rsidR="00A5652D">
              <w:rPr>
                <w:szCs w:val="26"/>
              </w:rPr>
              <w:t>;</w:t>
            </w:r>
          </w:p>
          <w:p w:rsidRPr="00E55954" w:rsidR="00356EEC" w:rsidP="002467BA" w:rsidRDefault="00356EEC" w14:paraId="10A85B1B" w14:textId="635299C6">
            <w:pPr>
              <w:pStyle w:val="FERCparanumber"/>
              <w:numPr>
                <w:ilvl w:val="0"/>
                <w:numId w:val="0"/>
              </w:numPr>
              <w:spacing w:line="240" w:lineRule="auto"/>
              <w:jc w:val="right"/>
              <w:rPr>
                <w:szCs w:val="26"/>
              </w:rPr>
            </w:pPr>
            <w:r w:rsidRPr="00E55954">
              <w:rPr>
                <w:szCs w:val="26"/>
              </w:rPr>
              <w:t>$</w:t>
            </w:r>
            <w:r w:rsidR="00D43CF1">
              <w:rPr>
                <w:szCs w:val="26"/>
              </w:rPr>
              <w:t>83.67</w:t>
            </w:r>
          </w:p>
        </w:tc>
        <w:tc>
          <w:tcPr>
            <w:tcW w:w="1520" w:type="dxa"/>
            <w:vAlign w:val="bottom"/>
          </w:tcPr>
          <w:p w:rsidRPr="00E55954" w:rsidR="00356EEC" w:rsidP="002467BA" w:rsidRDefault="00356EEC" w14:paraId="07C1DB05" w14:textId="196110B0">
            <w:pPr>
              <w:pStyle w:val="FERCparanumber"/>
              <w:numPr>
                <w:ilvl w:val="0"/>
                <w:numId w:val="0"/>
              </w:numPr>
              <w:spacing w:line="240" w:lineRule="auto"/>
              <w:jc w:val="right"/>
              <w:rPr>
                <w:szCs w:val="26"/>
              </w:rPr>
            </w:pPr>
            <w:r>
              <w:rPr>
                <w:szCs w:val="26"/>
              </w:rPr>
              <w:t>2</w:t>
            </w:r>
            <w:r w:rsidRPr="00E55954">
              <w:rPr>
                <w:szCs w:val="26"/>
              </w:rPr>
              <w:t xml:space="preserve"> hrs</w:t>
            </w:r>
            <w:r w:rsidRPr="00E55954" w:rsidR="00A5652D">
              <w:rPr>
                <w:szCs w:val="26"/>
              </w:rPr>
              <w:t>.</w:t>
            </w:r>
            <w:r w:rsidR="00A5652D">
              <w:rPr>
                <w:szCs w:val="26"/>
              </w:rPr>
              <w:t>;</w:t>
            </w:r>
          </w:p>
          <w:p w:rsidRPr="00E55954" w:rsidR="00356EEC" w:rsidP="002467BA" w:rsidRDefault="00356EEC" w14:paraId="30F117AD" w14:textId="72E231D8">
            <w:pPr>
              <w:pStyle w:val="FERCparanumber"/>
              <w:numPr>
                <w:ilvl w:val="0"/>
                <w:numId w:val="0"/>
              </w:numPr>
              <w:spacing w:line="240" w:lineRule="auto"/>
              <w:jc w:val="right"/>
              <w:rPr>
                <w:szCs w:val="26"/>
              </w:rPr>
            </w:pPr>
            <w:r w:rsidRPr="00E55954">
              <w:rPr>
                <w:szCs w:val="26"/>
              </w:rPr>
              <w:t>$</w:t>
            </w:r>
            <w:r>
              <w:rPr>
                <w:szCs w:val="26"/>
              </w:rPr>
              <w:t>1</w:t>
            </w:r>
            <w:r w:rsidR="00D43CF1">
              <w:rPr>
                <w:szCs w:val="26"/>
              </w:rPr>
              <w:t>67.34</w:t>
            </w:r>
          </w:p>
        </w:tc>
        <w:tc>
          <w:tcPr>
            <w:tcW w:w="1270" w:type="dxa"/>
            <w:vAlign w:val="bottom"/>
          </w:tcPr>
          <w:p w:rsidRPr="00E55954" w:rsidR="00356EEC" w:rsidP="002467BA" w:rsidRDefault="00356EEC" w14:paraId="2C2610C1" w14:textId="6A9F2167">
            <w:pPr>
              <w:pStyle w:val="FERCparanumber"/>
              <w:numPr>
                <w:ilvl w:val="0"/>
                <w:numId w:val="0"/>
              </w:numPr>
              <w:spacing w:line="240" w:lineRule="auto"/>
              <w:jc w:val="right"/>
              <w:rPr>
                <w:szCs w:val="26"/>
              </w:rPr>
            </w:pPr>
            <w:r w:rsidRPr="00E55954">
              <w:rPr>
                <w:szCs w:val="26"/>
              </w:rPr>
              <w:t>$</w:t>
            </w:r>
            <w:r w:rsidR="00D43CF1">
              <w:rPr>
                <w:szCs w:val="26"/>
              </w:rPr>
              <w:t>83.67</w:t>
            </w:r>
          </w:p>
        </w:tc>
      </w:tr>
      <w:tr w:rsidRPr="00E55954" w:rsidR="00204F8B" w:rsidTr="00B90E15" w14:paraId="20CDF439" w14:textId="6DAC54CF">
        <w:trPr>
          <w:trHeight w:val="317"/>
        </w:trPr>
        <w:tc>
          <w:tcPr>
            <w:tcW w:w="1805" w:type="dxa"/>
            <w:tcBorders>
              <w:bottom w:val="single" w:color="auto" w:sz="4" w:space="0"/>
            </w:tcBorders>
            <w:shd w:val="clear" w:color="auto" w:fill="auto"/>
            <w:vAlign w:val="bottom"/>
          </w:tcPr>
          <w:p w:rsidR="00204F8B" w:rsidP="00204F8B" w:rsidRDefault="00204F8B" w14:paraId="7982CA8F" w14:textId="21F264CA">
            <w:pPr>
              <w:pStyle w:val="FERCparanumber"/>
              <w:numPr>
                <w:ilvl w:val="0"/>
                <w:numId w:val="0"/>
              </w:numPr>
              <w:spacing w:line="240" w:lineRule="auto"/>
              <w:rPr>
                <w:szCs w:val="26"/>
              </w:rPr>
            </w:pPr>
            <w:r w:rsidRPr="00E55954">
              <w:rPr>
                <w:szCs w:val="26"/>
              </w:rPr>
              <w:t>Reliability Coordinators</w:t>
            </w:r>
          </w:p>
          <w:p w:rsidRPr="00E55954" w:rsidR="00204F8B" w:rsidP="00204F8B" w:rsidRDefault="00204F8B" w14:paraId="2E2BB2E0" w14:textId="166FEF8A">
            <w:pPr>
              <w:pStyle w:val="FERCparanumber"/>
              <w:numPr>
                <w:ilvl w:val="0"/>
                <w:numId w:val="0"/>
              </w:numPr>
              <w:spacing w:line="240" w:lineRule="auto"/>
              <w:rPr>
                <w:szCs w:val="26"/>
              </w:rPr>
            </w:pPr>
            <w:r>
              <w:rPr>
                <w:szCs w:val="26"/>
              </w:rPr>
              <w:t>(IRO-006-WECC-3)</w:t>
            </w:r>
          </w:p>
        </w:tc>
        <w:tc>
          <w:tcPr>
            <w:tcW w:w="1170" w:type="dxa"/>
            <w:tcBorders>
              <w:bottom w:val="single" w:color="auto" w:sz="4" w:space="0"/>
            </w:tcBorders>
            <w:shd w:val="clear" w:color="auto" w:fill="auto"/>
            <w:vAlign w:val="bottom"/>
          </w:tcPr>
          <w:p w:rsidRPr="00E55954" w:rsidR="00204F8B" w:rsidP="002467BA" w:rsidRDefault="00204F8B" w14:paraId="5D7A0A59" w14:textId="7D7E90A6">
            <w:pPr>
              <w:pStyle w:val="FERCparanumber"/>
              <w:numPr>
                <w:ilvl w:val="0"/>
                <w:numId w:val="0"/>
              </w:numPr>
              <w:spacing w:line="240" w:lineRule="auto"/>
              <w:jc w:val="right"/>
              <w:rPr>
                <w:szCs w:val="26"/>
              </w:rPr>
            </w:pPr>
            <w:r>
              <w:rPr>
                <w:szCs w:val="26"/>
              </w:rPr>
              <w:t>2</w:t>
            </w:r>
          </w:p>
        </w:tc>
        <w:tc>
          <w:tcPr>
            <w:tcW w:w="1340" w:type="dxa"/>
            <w:tcBorders>
              <w:bottom w:val="single" w:color="auto" w:sz="4" w:space="0"/>
            </w:tcBorders>
            <w:shd w:val="clear" w:color="auto" w:fill="auto"/>
            <w:vAlign w:val="bottom"/>
          </w:tcPr>
          <w:p w:rsidR="00204F8B" w:rsidP="002467BA" w:rsidRDefault="00204F8B" w14:paraId="2DEBE368" w14:textId="0152EBA6">
            <w:pPr>
              <w:pStyle w:val="FERCparanumber"/>
              <w:numPr>
                <w:ilvl w:val="0"/>
                <w:numId w:val="0"/>
              </w:numPr>
              <w:spacing w:line="240" w:lineRule="auto"/>
              <w:jc w:val="right"/>
              <w:rPr>
                <w:szCs w:val="26"/>
              </w:rPr>
            </w:pPr>
            <w:r w:rsidRPr="00E55954">
              <w:rPr>
                <w:szCs w:val="26"/>
              </w:rPr>
              <w:t>1</w:t>
            </w:r>
          </w:p>
        </w:tc>
        <w:tc>
          <w:tcPr>
            <w:tcW w:w="1450" w:type="dxa"/>
            <w:tcBorders>
              <w:bottom w:val="single" w:color="auto" w:sz="4" w:space="0"/>
            </w:tcBorders>
            <w:vAlign w:val="bottom"/>
          </w:tcPr>
          <w:p w:rsidR="00204F8B" w:rsidP="002467BA" w:rsidRDefault="00204F8B" w14:paraId="4D7FD5E9" w14:textId="20F50313">
            <w:pPr>
              <w:pStyle w:val="FERCparanumber"/>
              <w:numPr>
                <w:ilvl w:val="0"/>
                <w:numId w:val="0"/>
              </w:numPr>
              <w:spacing w:line="240" w:lineRule="auto"/>
              <w:jc w:val="right"/>
              <w:rPr>
                <w:szCs w:val="26"/>
              </w:rPr>
            </w:pPr>
            <w:r>
              <w:rPr>
                <w:szCs w:val="26"/>
              </w:rPr>
              <w:t>2</w:t>
            </w:r>
          </w:p>
        </w:tc>
        <w:tc>
          <w:tcPr>
            <w:tcW w:w="1440" w:type="dxa"/>
            <w:tcBorders>
              <w:bottom w:val="single" w:color="auto" w:sz="4" w:space="0"/>
            </w:tcBorders>
            <w:shd w:val="clear" w:color="auto" w:fill="auto"/>
            <w:vAlign w:val="bottom"/>
          </w:tcPr>
          <w:p w:rsidRPr="00E55954" w:rsidR="00204F8B" w:rsidP="002467BA" w:rsidRDefault="00204F8B" w14:paraId="07CA8C5A" w14:textId="3BC9EFB4">
            <w:pPr>
              <w:pStyle w:val="FERCparanumber"/>
              <w:numPr>
                <w:ilvl w:val="0"/>
                <w:numId w:val="0"/>
              </w:numPr>
              <w:spacing w:line="240" w:lineRule="auto"/>
              <w:jc w:val="right"/>
              <w:rPr>
                <w:szCs w:val="26"/>
              </w:rPr>
            </w:pPr>
            <w:r w:rsidRPr="00E55954">
              <w:rPr>
                <w:szCs w:val="26"/>
              </w:rPr>
              <w:t>1 hr</w:t>
            </w:r>
            <w:r w:rsidRPr="00E55954" w:rsidR="00A5652D">
              <w:rPr>
                <w:szCs w:val="26"/>
              </w:rPr>
              <w:t>.</w:t>
            </w:r>
            <w:r w:rsidR="00A5652D">
              <w:rPr>
                <w:szCs w:val="26"/>
              </w:rPr>
              <w:t>;</w:t>
            </w:r>
          </w:p>
          <w:p w:rsidRPr="00E55954" w:rsidR="00204F8B" w:rsidP="002467BA" w:rsidRDefault="00204F8B" w14:paraId="3C3E3046" w14:textId="75D16905">
            <w:pPr>
              <w:pStyle w:val="FERCparanumber"/>
              <w:numPr>
                <w:ilvl w:val="0"/>
                <w:numId w:val="0"/>
              </w:numPr>
              <w:spacing w:line="240" w:lineRule="auto"/>
              <w:jc w:val="right"/>
              <w:rPr>
                <w:szCs w:val="26"/>
              </w:rPr>
            </w:pPr>
            <w:r w:rsidRPr="00E55954">
              <w:rPr>
                <w:szCs w:val="26"/>
              </w:rPr>
              <w:t>$</w:t>
            </w:r>
            <w:r w:rsidR="00D43CF1">
              <w:rPr>
                <w:szCs w:val="26"/>
              </w:rPr>
              <w:t>83.67</w:t>
            </w:r>
          </w:p>
        </w:tc>
        <w:tc>
          <w:tcPr>
            <w:tcW w:w="1520" w:type="dxa"/>
            <w:shd w:val="clear" w:color="auto" w:fill="auto"/>
            <w:vAlign w:val="bottom"/>
          </w:tcPr>
          <w:p w:rsidRPr="00E55954" w:rsidR="00204F8B" w:rsidP="002467BA" w:rsidRDefault="00204F8B" w14:paraId="72BE9E48" w14:textId="4CFD95F8">
            <w:pPr>
              <w:pStyle w:val="FERCparanumber"/>
              <w:numPr>
                <w:ilvl w:val="0"/>
                <w:numId w:val="0"/>
              </w:numPr>
              <w:spacing w:line="240" w:lineRule="auto"/>
              <w:jc w:val="right"/>
              <w:rPr>
                <w:szCs w:val="26"/>
              </w:rPr>
            </w:pPr>
            <w:r>
              <w:rPr>
                <w:szCs w:val="26"/>
              </w:rPr>
              <w:t>2</w:t>
            </w:r>
            <w:r w:rsidRPr="00E55954">
              <w:rPr>
                <w:szCs w:val="26"/>
              </w:rPr>
              <w:t xml:space="preserve"> hr</w:t>
            </w:r>
            <w:r w:rsidR="00CF75A1">
              <w:rPr>
                <w:szCs w:val="26"/>
              </w:rPr>
              <w:t>s</w:t>
            </w:r>
            <w:r w:rsidRPr="00E55954" w:rsidR="00A5652D">
              <w:rPr>
                <w:szCs w:val="26"/>
              </w:rPr>
              <w:t>.</w:t>
            </w:r>
            <w:r w:rsidR="00A5652D">
              <w:rPr>
                <w:szCs w:val="26"/>
              </w:rPr>
              <w:t>;</w:t>
            </w:r>
          </w:p>
          <w:p w:rsidR="00204F8B" w:rsidP="002467BA" w:rsidRDefault="00204F8B" w14:paraId="38CEC519" w14:textId="7DB6E7A3">
            <w:pPr>
              <w:pStyle w:val="FERCparanumber"/>
              <w:numPr>
                <w:ilvl w:val="0"/>
                <w:numId w:val="0"/>
              </w:numPr>
              <w:spacing w:line="240" w:lineRule="auto"/>
              <w:jc w:val="right"/>
              <w:rPr>
                <w:szCs w:val="26"/>
              </w:rPr>
            </w:pPr>
            <w:r w:rsidRPr="00E55954">
              <w:rPr>
                <w:szCs w:val="26"/>
              </w:rPr>
              <w:t>$</w:t>
            </w:r>
            <w:r>
              <w:rPr>
                <w:szCs w:val="26"/>
              </w:rPr>
              <w:t>1</w:t>
            </w:r>
            <w:r w:rsidR="00D43CF1">
              <w:rPr>
                <w:szCs w:val="26"/>
              </w:rPr>
              <w:t>67.34</w:t>
            </w:r>
          </w:p>
        </w:tc>
        <w:tc>
          <w:tcPr>
            <w:tcW w:w="1270" w:type="dxa"/>
            <w:shd w:val="clear" w:color="auto" w:fill="auto"/>
            <w:vAlign w:val="bottom"/>
          </w:tcPr>
          <w:p w:rsidRPr="00E55954" w:rsidR="00204F8B" w:rsidP="002467BA" w:rsidRDefault="00204F8B" w14:paraId="6F6C177C" w14:textId="6CE15E1C">
            <w:pPr>
              <w:pStyle w:val="FERCparanumber"/>
              <w:numPr>
                <w:ilvl w:val="0"/>
                <w:numId w:val="0"/>
              </w:numPr>
              <w:spacing w:line="240" w:lineRule="auto"/>
              <w:jc w:val="right"/>
              <w:rPr>
                <w:szCs w:val="26"/>
              </w:rPr>
            </w:pPr>
            <w:r w:rsidRPr="00E55954">
              <w:rPr>
                <w:szCs w:val="26"/>
              </w:rPr>
              <w:t>$</w:t>
            </w:r>
            <w:r w:rsidR="00D43CF1">
              <w:rPr>
                <w:szCs w:val="26"/>
              </w:rPr>
              <w:t>83.67</w:t>
            </w:r>
          </w:p>
        </w:tc>
      </w:tr>
      <w:tr w:rsidRPr="00E55954" w:rsidR="00204F8B" w:rsidTr="00B90E15" w14:paraId="1A3A85C1" w14:textId="34B6A831">
        <w:trPr>
          <w:trHeight w:val="317"/>
        </w:trPr>
        <w:tc>
          <w:tcPr>
            <w:tcW w:w="1805" w:type="dxa"/>
            <w:tcBorders>
              <w:bottom w:val="single" w:color="auto" w:sz="4" w:space="0"/>
            </w:tcBorders>
            <w:shd w:val="clear" w:color="auto" w:fill="auto"/>
            <w:vAlign w:val="bottom"/>
          </w:tcPr>
          <w:p w:rsidR="00204F8B" w:rsidP="00204F8B" w:rsidRDefault="00204F8B" w14:paraId="591AB165" w14:textId="03CB55F2">
            <w:pPr>
              <w:pStyle w:val="FERCparanumber"/>
              <w:numPr>
                <w:ilvl w:val="0"/>
                <w:numId w:val="0"/>
              </w:numPr>
              <w:spacing w:line="240" w:lineRule="auto"/>
              <w:rPr>
                <w:szCs w:val="26"/>
              </w:rPr>
            </w:pPr>
            <w:r w:rsidRPr="00E55954">
              <w:rPr>
                <w:szCs w:val="26"/>
              </w:rPr>
              <w:t>Transmission Owners that operate qualified transfer paths</w:t>
            </w:r>
          </w:p>
          <w:p w:rsidRPr="00E55954" w:rsidR="00204F8B" w:rsidP="00EC29DD" w:rsidRDefault="00204F8B" w14:paraId="67A9030E" w14:textId="458B93C4">
            <w:pPr>
              <w:pStyle w:val="FERCparanumber"/>
              <w:numPr>
                <w:ilvl w:val="0"/>
                <w:numId w:val="0"/>
              </w:numPr>
              <w:spacing w:line="240" w:lineRule="auto"/>
              <w:rPr>
                <w:szCs w:val="26"/>
              </w:rPr>
            </w:pPr>
            <w:r>
              <w:rPr>
                <w:szCs w:val="26"/>
              </w:rPr>
              <w:t>(FAC-501-WECC-2)</w:t>
            </w:r>
          </w:p>
        </w:tc>
        <w:tc>
          <w:tcPr>
            <w:tcW w:w="1170" w:type="dxa"/>
            <w:tcBorders>
              <w:bottom w:val="single" w:color="auto" w:sz="4" w:space="0"/>
            </w:tcBorders>
            <w:shd w:val="clear" w:color="auto" w:fill="auto"/>
            <w:vAlign w:val="bottom"/>
          </w:tcPr>
          <w:p w:rsidRPr="00E55954" w:rsidR="00204F8B" w:rsidP="002467BA" w:rsidRDefault="00204F8B" w14:paraId="59E71C0E" w14:textId="100FC226">
            <w:pPr>
              <w:pStyle w:val="FERCparanumber"/>
              <w:numPr>
                <w:ilvl w:val="0"/>
                <w:numId w:val="0"/>
              </w:numPr>
              <w:spacing w:line="240" w:lineRule="auto"/>
              <w:jc w:val="right"/>
              <w:rPr>
                <w:szCs w:val="26"/>
              </w:rPr>
            </w:pPr>
            <w:r w:rsidRPr="00E55954">
              <w:rPr>
                <w:szCs w:val="26"/>
              </w:rPr>
              <w:t>5</w:t>
            </w:r>
          </w:p>
        </w:tc>
        <w:tc>
          <w:tcPr>
            <w:tcW w:w="1340" w:type="dxa"/>
            <w:tcBorders>
              <w:bottom w:val="single" w:color="auto" w:sz="4" w:space="0"/>
            </w:tcBorders>
            <w:shd w:val="clear" w:color="auto" w:fill="auto"/>
            <w:vAlign w:val="bottom"/>
          </w:tcPr>
          <w:p w:rsidRPr="00E55954" w:rsidR="00204F8B" w:rsidP="002467BA" w:rsidRDefault="00204F8B" w14:paraId="122C3B7A" w14:textId="26949365">
            <w:pPr>
              <w:pStyle w:val="FERCparanumber"/>
              <w:numPr>
                <w:ilvl w:val="0"/>
                <w:numId w:val="0"/>
              </w:numPr>
              <w:spacing w:line="240" w:lineRule="auto"/>
              <w:jc w:val="right"/>
              <w:rPr>
                <w:szCs w:val="26"/>
              </w:rPr>
            </w:pPr>
            <w:r>
              <w:rPr>
                <w:szCs w:val="26"/>
              </w:rPr>
              <w:t>1</w:t>
            </w:r>
          </w:p>
        </w:tc>
        <w:tc>
          <w:tcPr>
            <w:tcW w:w="1450" w:type="dxa"/>
            <w:tcBorders>
              <w:bottom w:val="single" w:color="auto" w:sz="4" w:space="0"/>
            </w:tcBorders>
            <w:vAlign w:val="bottom"/>
          </w:tcPr>
          <w:p w:rsidRPr="00E55954" w:rsidR="00204F8B" w:rsidP="002467BA" w:rsidRDefault="00204F8B" w14:paraId="45F26A7F" w14:textId="3E8707C4">
            <w:pPr>
              <w:pStyle w:val="FERCparanumber"/>
              <w:numPr>
                <w:ilvl w:val="0"/>
                <w:numId w:val="0"/>
              </w:numPr>
              <w:spacing w:line="240" w:lineRule="auto"/>
              <w:jc w:val="right"/>
              <w:rPr>
                <w:szCs w:val="26"/>
              </w:rPr>
            </w:pPr>
            <w:r>
              <w:rPr>
                <w:szCs w:val="26"/>
              </w:rPr>
              <w:t>5</w:t>
            </w:r>
          </w:p>
        </w:tc>
        <w:tc>
          <w:tcPr>
            <w:tcW w:w="1440" w:type="dxa"/>
            <w:tcBorders>
              <w:bottom w:val="single" w:color="auto" w:sz="4" w:space="0"/>
            </w:tcBorders>
            <w:shd w:val="clear" w:color="auto" w:fill="auto"/>
            <w:vAlign w:val="bottom"/>
          </w:tcPr>
          <w:p w:rsidRPr="00E55954" w:rsidR="00204F8B" w:rsidP="002467BA" w:rsidRDefault="00204F8B" w14:paraId="7FEC664C" w14:textId="376F332C">
            <w:pPr>
              <w:pStyle w:val="FERCparanumber"/>
              <w:numPr>
                <w:ilvl w:val="0"/>
                <w:numId w:val="0"/>
              </w:numPr>
              <w:spacing w:line="240" w:lineRule="auto"/>
              <w:jc w:val="right"/>
              <w:rPr>
                <w:szCs w:val="26"/>
              </w:rPr>
            </w:pPr>
            <w:r w:rsidRPr="00E55954">
              <w:rPr>
                <w:szCs w:val="26"/>
              </w:rPr>
              <w:t>40 hrs</w:t>
            </w:r>
            <w:r w:rsidRPr="00E55954" w:rsidR="00A5652D">
              <w:rPr>
                <w:szCs w:val="26"/>
              </w:rPr>
              <w:t>.</w:t>
            </w:r>
            <w:r w:rsidR="00A5652D">
              <w:rPr>
                <w:szCs w:val="26"/>
              </w:rPr>
              <w:t>;</w:t>
            </w:r>
          </w:p>
          <w:p w:rsidRPr="00E55954" w:rsidR="00204F8B" w:rsidP="002467BA" w:rsidRDefault="00204F8B" w14:paraId="2B1D5B7C" w14:textId="1CE448CB">
            <w:pPr>
              <w:pStyle w:val="FERCparanumber"/>
              <w:numPr>
                <w:ilvl w:val="0"/>
                <w:numId w:val="0"/>
              </w:numPr>
              <w:spacing w:line="240" w:lineRule="auto"/>
              <w:jc w:val="right"/>
              <w:rPr>
                <w:szCs w:val="26"/>
              </w:rPr>
            </w:pPr>
            <w:r w:rsidRPr="00E55954">
              <w:rPr>
                <w:szCs w:val="26"/>
              </w:rPr>
              <w:t>$</w:t>
            </w:r>
            <w:r w:rsidR="005355BA">
              <w:rPr>
                <w:szCs w:val="26"/>
              </w:rPr>
              <w:t>3,346.80</w:t>
            </w:r>
          </w:p>
        </w:tc>
        <w:tc>
          <w:tcPr>
            <w:tcW w:w="1520" w:type="dxa"/>
            <w:shd w:val="clear" w:color="auto" w:fill="auto"/>
            <w:vAlign w:val="bottom"/>
          </w:tcPr>
          <w:p w:rsidRPr="00E55954" w:rsidR="00204F8B" w:rsidP="002467BA" w:rsidRDefault="00204F8B" w14:paraId="204B70DA" w14:textId="400ADDED">
            <w:pPr>
              <w:pStyle w:val="FERCparanumber"/>
              <w:numPr>
                <w:ilvl w:val="0"/>
                <w:numId w:val="0"/>
              </w:numPr>
              <w:spacing w:line="240" w:lineRule="auto"/>
              <w:jc w:val="right"/>
              <w:rPr>
                <w:szCs w:val="26"/>
              </w:rPr>
            </w:pPr>
            <w:r>
              <w:rPr>
                <w:szCs w:val="26"/>
              </w:rPr>
              <w:t>2</w:t>
            </w:r>
            <w:r w:rsidRPr="00E55954">
              <w:rPr>
                <w:szCs w:val="26"/>
              </w:rPr>
              <w:t>00 hrs</w:t>
            </w:r>
            <w:r w:rsidRPr="00E55954" w:rsidR="00A5652D">
              <w:rPr>
                <w:szCs w:val="26"/>
              </w:rPr>
              <w:t>.</w:t>
            </w:r>
            <w:r w:rsidR="00A5652D">
              <w:rPr>
                <w:szCs w:val="26"/>
              </w:rPr>
              <w:t>;</w:t>
            </w:r>
          </w:p>
          <w:p w:rsidRPr="00E55954" w:rsidR="00204F8B" w:rsidP="002467BA" w:rsidRDefault="00204F8B" w14:paraId="093515A5" w14:textId="7CC94785">
            <w:pPr>
              <w:pStyle w:val="FERCparanumber"/>
              <w:numPr>
                <w:ilvl w:val="0"/>
                <w:numId w:val="0"/>
              </w:numPr>
              <w:spacing w:line="240" w:lineRule="auto"/>
              <w:jc w:val="right"/>
              <w:rPr>
                <w:szCs w:val="26"/>
              </w:rPr>
            </w:pPr>
            <w:r w:rsidRPr="00E55954">
              <w:rPr>
                <w:szCs w:val="26"/>
              </w:rPr>
              <w:t>$</w:t>
            </w:r>
            <w:r w:rsidR="005355BA">
              <w:rPr>
                <w:szCs w:val="26"/>
              </w:rPr>
              <w:t>16,734</w:t>
            </w:r>
            <w:r>
              <w:rPr>
                <w:szCs w:val="26"/>
              </w:rPr>
              <w:t>.00</w:t>
            </w:r>
          </w:p>
        </w:tc>
        <w:tc>
          <w:tcPr>
            <w:tcW w:w="1270" w:type="dxa"/>
            <w:shd w:val="clear" w:color="auto" w:fill="auto"/>
            <w:vAlign w:val="bottom"/>
          </w:tcPr>
          <w:p w:rsidRPr="00E55954" w:rsidR="00204F8B" w:rsidP="002467BA" w:rsidRDefault="00204F8B" w14:paraId="548C0221" w14:textId="50C9A6DC">
            <w:pPr>
              <w:pStyle w:val="FERCparanumber"/>
              <w:numPr>
                <w:ilvl w:val="0"/>
                <w:numId w:val="0"/>
              </w:numPr>
              <w:spacing w:line="240" w:lineRule="auto"/>
              <w:jc w:val="right"/>
              <w:rPr>
                <w:szCs w:val="26"/>
              </w:rPr>
            </w:pPr>
            <w:r w:rsidRPr="00E55954">
              <w:rPr>
                <w:szCs w:val="26"/>
              </w:rPr>
              <w:t>$</w:t>
            </w:r>
            <w:r w:rsidR="005355BA">
              <w:rPr>
                <w:szCs w:val="26"/>
              </w:rPr>
              <w:t>3,346.80</w:t>
            </w:r>
          </w:p>
        </w:tc>
      </w:tr>
      <w:tr w:rsidRPr="00E55954" w:rsidR="00204F8B" w:rsidTr="00B90E15" w14:paraId="62BBBE18" w14:textId="406D8CFB">
        <w:trPr>
          <w:trHeight w:val="398"/>
        </w:trPr>
        <w:tc>
          <w:tcPr>
            <w:tcW w:w="1805" w:type="dxa"/>
            <w:vAlign w:val="bottom"/>
          </w:tcPr>
          <w:p w:rsidRPr="00E55954" w:rsidR="00204F8B" w:rsidP="00EC29DD" w:rsidRDefault="00204F8B" w14:paraId="33BF476E" w14:textId="718062E3">
            <w:pPr>
              <w:pStyle w:val="FERCparanumber"/>
              <w:numPr>
                <w:ilvl w:val="0"/>
                <w:numId w:val="0"/>
              </w:numPr>
              <w:spacing w:line="240" w:lineRule="auto"/>
              <w:rPr>
                <w:szCs w:val="26"/>
              </w:rPr>
            </w:pPr>
            <w:r w:rsidRPr="00E55954">
              <w:rPr>
                <w:szCs w:val="26"/>
              </w:rPr>
              <w:t xml:space="preserve">Generator Owners and/or Operators </w:t>
            </w:r>
            <w:r>
              <w:rPr>
                <w:szCs w:val="26"/>
              </w:rPr>
              <w:t>(</w:t>
            </w:r>
            <w:r w:rsidRPr="00E55954">
              <w:rPr>
                <w:szCs w:val="26"/>
              </w:rPr>
              <w:t>VAR-501-WECC-3</w:t>
            </w:r>
            <w:r>
              <w:rPr>
                <w:szCs w:val="26"/>
              </w:rPr>
              <w:t>.1)</w:t>
            </w:r>
          </w:p>
        </w:tc>
        <w:tc>
          <w:tcPr>
            <w:tcW w:w="1170" w:type="dxa"/>
            <w:vAlign w:val="bottom"/>
          </w:tcPr>
          <w:p w:rsidRPr="00E55954" w:rsidR="00204F8B" w:rsidP="002467BA" w:rsidRDefault="00204F8B" w14:paraId="4C241E54" w14:textId="75AFC944">
            <w:pPr>
              <w:pStyle w:val="FERCparanumber"/>
              <w:numPr>
                <w:ilvl w:val="0"/>
                <w:numId w:val="0"/>
              </w:numPr>
              <w:spacing w:line="240" w:lineRule="auto"/>
              <w:jc w:val="right"/>
              <w:rPr>
                <w:szCs w:val="26"/>
              </w:rPr>
            </w:pPr>
            <w:r w:rsidRPr="00E55954">
              <w:rPr>
                <w:szCs w:val="26"/>
              </w:rPr>
              <w:t>291</w:t>
            </w:r>
          </w:p>
        </w:tc>
        <w:tc>
          <w:tcPr>
            <w:tcW w:w="1340" w:type="dxa"/>
            <w:vAlign w:val="bottom"/>
          </w:tcPr>
          <w:p w:rsidRPr="00E55954" w:rsidR="00204F8B" w:rsidP="002467BA" w:rsidRDefault="00204F8B" w14:paraId="20AC4E6A" w14:textId="0A53A961">
            <w:pPr>
              <w:pStyle w:val="FERCparanumber"/>
              <w:numPr>
                <w:ilvl w:val="0"/>
                <w:numId w:val="0"/>
              </w:numPr>
              <w:spacing w:line="240" w:lineRule="auto"/>
              <w:jc w:val="right"/>
              <w:rPr>
                <w:szCs w:val="26"/>
              </w:rPr>
            </w:pPr>
            <w:r w:rsidRPr="00E55954">
              <w:rPr>
                <w:szCs w:val="26"/>
              </w:rPr>
              <w:t>2</w:t>
            </w:r>
          </w:p>
        </w:tc>
        <w:tc>
          <w:tcPr>
            <w:tcW w:w="1450" w:type="dxa"/>
            <w:vAlign w:val="bottom"/>
          </w:tcPr>
          <w:p w:rsidRPr="00E55954" w:rsidR="00204F8B" w:rsidP="002467BA" w:rsidRDefault="00204F8B" w14:paraId="0D490071" w14:textId="73C04E4A">
            <w:pPr>
              <w:pStyle w:val="FERCparanumber"/>
              <w:numPr>
                <w:ilvl w:val="0"/>
                <w:numId w:val="0"/>
              </w:numPr>
              <w:spacing w:line="240" w:lineRule="auto"/>
              <w:jc w:val="right"/>
              <w:rPr>
                <w:szCs w:val="26"/>
              </w:rPr>
            </w:pPr>
            <w:r w:rsidRPr="00E55954">
              <w:rPr>
                <w:szCs w:val="26"/>
              </w:rPr>
              <w:t>582</w:t>
            </w:r>
          </w:p>
        </w:tc>
        <w:tc>
          <w:tcPr>
            <w:tcW w:w="1440" w:type="dxa"/>
            <w:vAlign w:val="bottom"/>
          </w:tcPr>
          <w:p w:rsidRPr="00E55954" w:rsidR="00204F8B" w:rsidP="002467BA" w:rsidRDefault="00204F8B" w14:paraId="44A2B0EA" w14:textId="1326FE3E">
            <w:pPr>
              <w:pStyle w:val="FERCparanumber"/>
              <w:numPr>
                <w:ilvl w:val="0"/>
                <w:numId w:val="0"/>
              </w:numPr>
              <w:spacing w:line="240" w:lineRule="auto"/>
              <w:jc w:val="right"/>
              <w:rPr>
                <w:szCs w:val="26"/>
              </w:rPr>
            </w:pPr>
            <w:r w:rsidRPr="00E55954">
              <w:rPr>
                <w:szCs w:val="26"/>
              </w:rPr>
              <w:t xml:space="preserve">1 hr.; </w:t>
            </w:r>
          </w:p>
          <w:p w:rsidRPr="00E55954" w:rsidR="00204F8B" w:rsidP="002467BA" w:rsidRDefault="00204F8B" w14:paraId="3069CDE3" w14:textId="63133557">
            <w:pPr>
              <w:pStyle w:val="FERCparanumber"/>
              <w:numPr>
                <w:ilvl w:val="0"/>
                <w:numId w:val="0"/>
              </w:numPr>
              <w:spacing w:line="240" w:lineRule="auto"/>
              <w:jc w:val="right"/>
              <w:rPr>
                <w:szCs w:val="26"/>
              </w:rPr>
            </w:pPr>
            <w:r w:rsidRPr="00E55954">
              <w:rPr>
                <w:szCs w:val="26"/>
              </w:rPr>
              <w:t>$</w:t>
            </w:r>
            <w:r w:rsidR="005355BA">
              <w:rPr>
                <w:szCs w:val="26"/>
              </w:rPr>
              <w:t>83.67</w:t>
            </w:r>
          </w:p>
        </w:tc>
        <w:tc>
          <w:tcPr>
            <w:tcW w:w="1520" w:type="dxa"/>
            <w:vAlign w:val="bottom"/>
          </w:tcPr>
          <w:p w:rsidRPr="00E55954" w:rsidR="00204F8B" w:rsidP="002467BA" w:rsidRDefault="00204F8B" w14:paraId="660C3EE0" w14:textId="1D2EC92B">
            <w:pPr>
              <w:pStyle w:val="FERCparanumber"/>
              <w:numPr>
                <w:ilvl w:val="0"/>
                <w:numId w:val="0"/>
              </w:numPr>
              <w:spacing w:line="240" w:lineRule="auto"/>
              <w:jc w:val="right"/>
              <w:rPr>
                <w:szCs w:val="26"/>
              </w:rPr>
            </w:pPr>
            <w:r w:rsidRPr="00E55954">
              <w:rPr>
                <w:szCs w:val="26"/>
              </w:rPr>
              <w:t xml:space="preserve">582 hrs.; </w:t>
            </w:r>
          </w:p>
          <w:p w:rsidRPr="00E55954" w:rsidR="00204F8B" w:rsidP="002467BA" w:rsidRDefault="00204F8B" w14:paraId="7ED5072A" w14:textId="72F22843">
            <w:pPr>
              <w:pStyle w:val="FERCparanumber"/>
              <w:numPr>
                <w:ilvl w:val="0"/>
                <w:numId w:val="0"/>
              </w:numPr>
              <w:spacing w:line="240" w:lineRule="auto"/>
              <w:jc w:val="right"/>
              <w:rPr>
                <w:szCs w:val="26"/>
              </w:rPr>
            </w:pPr>
            <w:r w:rsidRPr="00E55954">
              <w:rPr>
                <w:szCs w:val="26"/>
              </w:rPr>
              <w:t>$</w:t>
            </w:r>
            <w:r w:rsidR="005355BA">
              <w:rPr>
                <w:szCs w:val="26"/>
              </w:rPr>
              <w:t>48,695.94</w:t>
            </w:r>
          </w:p>
        </w:tc>
        <w:tc>
          <w:tcPr>
            <w:tcW w:w="1270" w:type="dxa"/>
            <w:vAlign w:val="bottom"/>
          </w:tcPr>
          <w:p w:rsidRPr="00E55954" w:rsidR="00204F8B" w:rsidP="002467BA" w:rsidRDefault="00204F8B" w14:paraId="4D80D6C2" w14:textId="4EFF947D">
            <w:pPr>
              <w:pStyle w:val="FERCparanumber"/>
              <w:numPr>
                <w:ilvl w:val="0"/>
                <w:numId w:val="0"/>
              </w:numPr>
              <w:spacing w:line="240" w:lineRule="auto"/>
              <w:jc w:val="right"/>
              <w:rPr>
                <w:szCs w:val="26"/>
              </w:rPr>
            </w:pPr>
            <w:r w:rsidRPr="00E55954">
              <w:rPr>
                <w:szCs w:val="26"/>
              </w:rPr>
              <w:t>$</w:t>
            </w:r>
            <w:r w:rsidR="005355BA">
              <w:rPr>
                <w:szCs w:val="26"/>
              </w:rPr>
              <w:t>167.34</w:t>
            </w:r>
          </w:p>
        </w:tc>
      </w:tr>
      <w:tr w:rsidRPr="00E55954" w:rsidR="00204F8B" w:rsidTr="00B90E15" w14:paraId="54D4E2A4" w14:textId="5DBB51BE">
        <w:trPr>
          <w:trHeight w:val="398"/>
        </w:trPr>
        <w:tc>
          <w:tcPr>
            <w:tcW w:w="4315" w:type="dxa"/>
            <w:gridSpan w:val="3"/>
            <w:tcBorders>
              <w:bottom w:val="single" w:color="auto" w:sz="4" w:space="0"/>
            </w:tcBorders>
            <w:shd w:val="clear" w:color="auto" w:fill="auto"/>
            <w:vAlign w:val="bottom"/>
          </w:tcPr>
          <w:p w:rsidRPr="00E55954" w:rsidR="00204F8B" w:rsidP="00C756C7" w:rsidRDefault="00204F8B" w14:paraId="577894F4" w14:textId="6254CD21">
            <w:pPr>
              <w:pStyle w:val="FERCparanumber"/>
              <w:numPr>
                <w:ilvl w:val="0"/>
                <w:numId w:val="0"/>
              </w:numPr>
              <w:spacing w:line="240" w:lineRule="auto"/>
              <w:jc w:val="right"/>
              <w:rPr>
                <w:b/>
                <w:szCs w:val="26"/>
              </w:rPr>
            </w:pPr>
            <w:r w:rsidRPr="00E55954">
              <w:rPr>
                <w:b/>
                <w:szCs w:val="26"/>
              </w:rPr>
              <w:t>Sub-Total for Reporting Requirements in Year</w:t>
            </w:r>
            <w:r>
              <w:rPr>
                <w:b/>
                <w:szCs w:val="26"/>
              </w:rPr>
              <w:t>s</w:t>
            </w:r>
            <w:r w:rsidRPr="00E55954">
              <w:rPr>
                <w:b/>
                <w:szCs w:val="26"/>
              </w:rPr>
              <w:t xml:space="preserve"> 1</w:t>
            </w:r>
            <w:r>
              <w:rPr>
                <w:b/>
                <w:szCs w:val="26"/>
              </w:rPr>
              <w:t xml:space="preserve"> and 2</w:t>
            </w:r>
          </w:p>
        </w:tc>
        <w:tc>
          <w:tcPr>
            <w:tcW w:w="1450" w:type="dxa"/>
            <w:tcBorders>
              <w:bottom w:val="single" w:color="auto" w:sz="4" w:space="0"/>
            </w:tcBorders>
            <w:vAlign w:val="bottom"/>
          </w:tcPr>
          <w:p w:rsidRPr="003354E7" w:rsidR="00204F8B" w:rsidP="002467BA" w:rsidRDefault="00545EBB" w14:paraId="47F7469B" w14:textId="5B45618F">
            <w:pPr>
              <w:pStyle w:val="FERCparanumber"/>
              <w:numPr>
                <w:ilvl w:val="0"/>
                <w:numId w:val="0"/>
              </w:numPr>
              <w:spacing w:line="240" w:lineRule="auto"/>
              <w:jc w:val="right"/>
              <w:rPr>
                <w:szCs w:val="26"/>
              </w:rPr>
            </w:pPr>
            <w:r w:rsidRPr="00EC29DD">
              <w:rPr>
                <w:szCs w:val="26"/>
              </w:rPr>
              <w:t>625</w:t>
            </w:r>
          </w:p>
        </w:tc>
        <w:tc>
          <w:tcPr>
            <w:tcW w:w="1440" w:type="dxa"/>
            <w:tcBorders>
              <w:bottom w:val="single" w:color="auto" w:sz="4" w:space="0"/>
            </w:tcBorders>
            <w:shd w:val="clear" w:color="auto" w:fill="auto"/>
            <w:vAlign w:val="bottom"/>
          </w:tcPr>
          <w:p w:rsidRPr="00EC29DD" w:rsidR="00204F8B" w:rsidP="00C756C7" w:rsidRDefault="00204F8B" w14:paraId="745C8CB6" w14:textId="0FBCA490">
            <w:pPr>
              <w:pStyle w:val="FERCparanumber"/>
              <w:numPr>
                <w:ilvl w:val="0"/>
                <w:numId w:val="0"/>
              </w:numPr>
              <w:spacing w:line="240" w:lineRule="auto"/>
              <w:jc w:val="right"/>
              <w:rPr>
                <w:szCs w:val="26"/>
                <w:highlight w:val="yellow"/>
              </w:rPr>
            </w:pPr>
          </w:p>
        </w:tc>
        <w:tc>
          <w:tcPr>
            <w:tcW w:w="1520" w:type="dxa"/>
            <w:tcBorders>
              <w:bottom w:val="single" w:color="auto" w:sz="4" w:space="0"/>
            </w:tcBorders>
            <w:shd w:val="clear" w:color="auto" w:fill="auto"/>
            <w:vAlign w:val="bottom"/>
          </w:tcPr>
          <w:p w:rsidRPr="0032333C" w:rsidR="00204F8B" w:rsidP="002467BA" w:rsidRDefault="00CF75A1" w14:paraId="1D8F0B3E" w14:textId="4D7C7985">
            <w:pPr>
              <w:pStyle w:val="FERCparanumber"/>
              <w:numPr>
                <w:ilvl w:val="0"/>
                <w:numId w:val="0"/>
              </w:numPr>
              <w:spacing w:line="240" w:lineRule="auto"/>
              <w:jc w:val="right"/>
              <w:rPr>
                <w:b/>
                <w:szCs w:val="26"/>
              </w:rPr>
            </w:pPr>
            <w:r w:rsidRPr="00EC29DD">
              <w:rPr>
                <w:b/>
                <w:szCs w:val="26"/>
              </w:rPr>
              <w:t>1,500</w:t>
            </w:r>
            <w:r w:rsidRPr="00FD00D2" w:rsidR="00204F8B">
              <w:rPr>
                <w:b/>
                <w:szCs w:val="26"/>
              </w:rPr>
              <w:t xml:space="preserve"> hrs.;</w:t>
            </w:r>
          </w:p>
          <w:p w:rsidRPr="00FD00D2" w:rsidR="00204F8B" w:rsidP="002467BA" w:rsidRDefault="00204F8B" w14:paraId="13AF1D5F" w14:textId="78E1D2B8">
            <w:pPr>
              <w:pStyle w:val="FERCparanumber"/>
              <w:numPr>
                <w:ilvl w:val="0"/>
                <w:numId w:val="0"/>
              </w:numPr>
              <w:spacing w:line="240" w:lineRule="auto"/>
              <w:jc w:val="right"/>
              <w:rPr>
                <w:b/>
                <w:szCs w:val="26"/>
              </w:rPr>
            </w:pPr>
            <w:r w:rsidRPr="0032333C">
              <w:rPr>
                <w:b/>
                <w:szCs w:val="26"/>
              </w:rPr>
              <w:t>$</w:t>
            </w:r>
            <w:r w:rsidR="008A6981">
              <w:rPr>
                <w:b/>
                <w:szCs w:val="26"/>
              </w:rPr>
              <w:t>125,505</w:t>
            </w:r>
            <w:r w:rsidR="00A5652D">
              <w:rPr>
                <w:b/>
                <w:szCs w:val="26"/>
              </w:rPr>
              <w:t>.00</w:t>
            </w:r>
          </w:p>
        </w:tc>
        <w:tc>
          <w:tcPr>
            <w:tcW w:w="1270" w:type="dxa"/>
            <w:tcBorders>
              <w:bottom w:val="single" w:color="auto" w:sz="4" w:space="0"/>
            </w:tcBorders>
            <w:shd w:val="clear" w:color="auto" w:fill="auto"/>
            <w:vAlign w:val="bottom"/>
          </w:tcPr>
          <w:p w:rsidRPr="00E55954" w:rsidR="00204F8B" w:rsidP="00C756C7" w:rsidRDefault="00204F8B" w14:paraId="400682CE" w14:textId="6257CF5F">
            <w:pPr>
              <w:pStyle w:val="FERCparanumber"/>
              <w:numPr>
                <w:ilvl w:val="0"/>
                <w:numId w:val="0"/>
              </w:numPr>
              <w:spacing w:line="240" w:lineRule="auto"/>
              <w:jc w:val="right"/>
              <w:rPr>
                <w:b/>
                <w:szCs w:val="26"/>
              </w:rPr>
            </w:pPr>
          </w:p>
        </w:tc>
      </w:tr>
      <w:tr w:rsidRPr="00E55954" w:rsidR="00204F8B" w:rsidTr="00B90E15" w14:paraId="0653AA17" w14:textId="24F978FC">
        <w:trPr>
          <w:trHeight w:val="398"/>
        </w:trPr>
        <w:tc>
          <w:tcPr>
            <w:tcW w:w="4315" w:type="dxa"/>
            <w:gridSpan w:val="3"/>
            <w:shd w:val="clear" w:color="auto" w:fill="auto"/>
            <w:vAlign w:val="bottom"/>
          </w:tcPr>
          <w:p w:rsidRPr="00E55954" w:rsidR="00204F8B" w:rsidP="00370B25" w:rsidRDefault="00204F8B" w14:paraId="06078433" w14:textId="4B8DDC0A">
            <w:pPr>
              <w:pStyle w:val="FERCparanumber"/>
              <w:numPr>
                <w:ilvl w:val="0"/>
                <w:numId w:val="0"/>
              </w:numPr>
              <w:spacing w:line="240" w:lineRule="auto"/>
              <w:jc w:val="right"/>
              <w:rPr>
                <w:b/>
                <w:szCs w:val="26"/>
              </w:rPr>
            </w:pPr>
            <w:r w:rsidRPr="00E55954">
              <w:rPr>
                <w:b/>
                <w:szCs w:val="26"/>
              </w:rPr>
              <w:t xml:space="preserve">Sub-Total for Reporting Requirements in Year </w:t>
            </w:r>
            <w:r w:rsidR="008A6981">
              <w:rPr>
                <w:b/>
                <w:szCs w:val="26"/>
              </w:rPr>
              <w:t>3</w:t>
            </w:r>
            <w:r w:rsidRPr="00E55954">
              <w:rPr>
                <w:b/>
                <w:szCs w:val="26"/>
              </w:rPr>
              <w:t xml:space="preserve"> &amp; ongoing</w:t>
            </w:r>
          </w:p>
        </w:tc>
        <w:tc>
          <w:tcPr>
            <w:tcW w:w="1450" w:type="dxa"/>
            <w:vAlign w:val="bottom"/>
          </w:tcPr>
          <w:p w:rsidRPr="003354E7" w:rsidR="00204F8B" w:rsidP="00EC29DD" w:rsidRDefault="00545EBB" w14:paraId="69674B1A" w14:textId="2F5F8073">
            <w:pPr>
              <w:pStyle w:val="FERCparanumber"/>
              <w:numPr>
                <w:ilvl w:val="0"/>
                <w:numId w:val="0"/>
              </w:numPr>
              <w:spacing w:line="240" w:lineRule="auto"/>
              <w:jc w:val="right"/>
              <w:rPr>
                <w:szCs w:val="26"/>
              </w:rPr>
            </w:pPr>
            <w:r w:rsidRPr="00EC29DD">
              <w:rPr>
                <w:szCs w:val="26"/>
              </w:rPr>
              <w:t>625</w:t>
            </w:r>
          </w:p>
        </w:tc>
        <w:tc>
          <w:tcPr>
            <w:tcW w:w="1440" w:type="dxa"/>
            <w:tcBorders>
              <w:bottom w:val="single" w:color="auto" w:sz="4" w:space="0"/>
            </w:tcBorders>
            <w:shd w:val="clear" w:color="auto" w:fill="auto"/>
            <w:vAlign w:val="bottom"/>
          </w:tcPr>
          <w:p w:rsidRPr="00EC29DD" w:rsidR="00204F8B" w:rsidP="00EC29DD" w:rsidRDefault="00204F8B" w14:paraId="3AB91596" w14:textId="7DCF849B">
            <w:pPr>
              <w:pStyle w:val="FERCparanumber"/>
              <w:numPr>
                <w:ilvl w:val="0"/>
                <w:numId w:val="0"/>
              </w:numPr>
              <w:spacing w:line="240" w:lineRule="auto"/>
              <w:rPr>
                <w:szCs w:val="26"/>
                <w:highlight w:val="yellow"/>
              </w:rPr>
            </w:pPr>
          </w:p>
        </w:tc>
        <w:tc>
          <w:tcPr>
            <w:tcW w:w="1520" w:type="dxa"/>
            <w:shd w:val="clear" w:color="auto" w:fill="auto"/>
            <w:vAlign w:val="bottom"/>
          </w:tcPr>
          <w:p w:rsidRPr="00FD00D2" w:rsidR="00204F8B" w:rsidP="00EC29DD" w:rsidRDefault="00CF75A1" w14:paraId="697DFFF8" w14:textId="1C3F3F7B">
            <w:pPr>
              <w:pStyle w:val="FERCparanumber"/>
              <w:numPr>
                <w:ilvl w:val="0"/>
                <w:numId w:val="0"/>
              </w:numPr>
              <w:spacing w:line="240" w:lineRule="auto"/>
              <w:jc w:val="right"/>
              <w:rPr>
                <w:b/>
                <w:szCs w:val="26"/>
              </w:rPr>
            </w:pPr>
            <w:r w:rsidRPr="00EC29DD">
              <w:rPr>
                <w:b/>
                <w:szCs w:val="26"/>
              </w:rPr>
              <w:t>1,466</w:t>
            </w:r>
            <w:r w:rsidRPr="00FD00D2" w:rsidR="00204F8B">
              <w:rPr>
                <w:b/>
                <w:szCs w:val="26"/>
              </w:rPr>
              <w:t xml:space="preserve"> hrs.; $</w:t>
            </w:r>
            <w:r w:rsidR="008A6981">
              <w:rPr>
                <w:b/>
                <w:szCs w:val="26"/>
              </w:rPr>
              <w:t>122,660.22</w:t>
            </w:r>
          </w:p>
        </w:tc>
        <w:tc>
          <w:tcPr>
            <w:tcW w:w="1270" w:type="dxa"/>
            <w:shd w:val="clear" w:color="auto" w:fill="auto"/>
            <w:vAlign w:val="bottom"/>
          </w:tcPr>
          <w:p w:rsidRPr="00E55954" w:rsidR="00204F8B" w:rsidP="00EC29DD" w:rsidRDefault="00204F8B" w14:paraId="21D1BD30" w14:textId="686C7CB7">
            <w:pPr>
              <w:pStyle w:val="FERCparanumber"/>
              <w:numPr>
                <w:ilvl w:val="0"/>
                <w:numId w:val="0"/>
              </w:numPr>
              <w:spacing w:line="240" w:lineRule="auto"/>
              <w:rPr>
                <w:b/>
                <w:szCs w:val="26"/>
              </w:rPr>
            </w:pPr>
          </w:p>
        </w:tc>
      </w:tr>
    </w:tbl>
    <w:tbl>
      <w:tblPr>
        <w:tblStyle w:val="TableGrid"/>
        <w:tblW w:w="9990" w:type="dxa"/>
        <w:tblInd w:w="-5" w:type="dxa"/>
        <w:tblLayout w:type="fixed"/>
        <w:tblLook w:val="04A0" w:firstRow="1" w:lastRow="0" w:firstColumn="1" w:lastColumn="0" w:noHBand="0" w:noVBand="1"/>
      </w:tblPr>
      <w:tblGrid>
        <w:gridCol w:w="1800"/>
        <w:gridCol w:w="1170"/>
        <w:gridCol w:w="1440"/>
        <w:gridCol w:w="1350"/>
        <w:gridCol w:w="1440"/>
        <w:gridCol w:w="1620"/>
        <w:gridCol w:w="1170"/>
      </w:tblGrid>
      <w:tr w:rsidRPr="00E9787E" w:rsidR="00E55954" w:rsidTr="004D19DA" w14:paraId="0595E2C9" w14:textId="2EC38FD5">
        <w:trPr>
          <w:trHeight w:val="422"/>
        </w:trPr>
        <w:tc>
          <w:tcPr>
            <w:tcW w:w="9990" w:type="dxa"/>
            <w:gridSpan w:val="7"/>
            <w:shd w:val="clear" w:color="auto" w:fill="D9D9D9"/>
          </w:tcPr>
          <w:p w:rsidRPr="00E9787E" w:rsidR="00E55954" w:rsidP="004D19DA" w:rsidRDefault="00E55954" w14:paraId="0874D82D" w14:textId="12F487DB">
            <w:pPr>
              <w:jc w:val="center"/>
              <w:rPr>
                <w:szCs w:val="26"/>
              </w:rPr>
            </w:pPr>
            <w:r w:rsidRPr="00E9787E">
              <w:rPr>
                <w:rFonts w:eastAsia="Calibri"/>
                <w:b/>
                <w:szCs w:val="26"/>
              </w:rPr>
              <w:t>Recordkeeping Requirements</w:t>
            </w:r>
          </w:p>
        </w:tc>
      </w:tr>
      <w:tr w:rsidRPr="00E9787E" w:rsidR="00E55954" w:rsidTr="004D19DA" w14:paraId="7EB16762" w14:textId="44776385">
        <w:tc>
          <w:tcPr>
            <w:tcW w:w="1800" w:type="dxa"/>
            <w:vAlign w:val="bottom"/>
          </w:tcPr>
          <w:p w:rsidR="007352A4" w:rsidP="007352A4" w:rsidRDefault="007352A4" w14:paraId="24C46135" w14:textId="647C3EA4">
            <w:pPr>
              <w:pStyle w:val="FERCparanumber"/>
              <w:numPr>
                <w:ilvl w:val="0"/>
                <w:numId w:val="0"/>
              </w:numPr>
              <w:spacing w:line="240" w:lineRule="auto"/>
              <w:rPr>
                <w:szCs w:val="26"/>
              </w:rPr>
            </w:pPr>
            <w:r w:rsidRPr="00E55954">
              <w:rPr>
                <w:szCs w:val="26"/>
              </w:rPr>
              <w:t>Balancing Authorities</w:t>
            </w:r>
          </w:p>
          <w:p w:rsidRPr="00E9787E" w:rsidR="00E55954" w:rsidP="007352A4" w:rsidRDefault="007352A4" w14:paraId="6229E17B" w14:textId="6963C874">
            <w:pPr>
              <w:rPr>
                <w:i/>
                <w:szCs w:val="26"/>
              </w:rPr>
            </w:pPr>
            <w:r w:rsidRPr="00270046">
              <w:rPr>
                <w:szCs w:val="26"/>
              </w:rPr>
              <w:t>(BAL-002-WECC-3; BAL-004-WECC-3; IRO-006-WECC-3)</w:t>
            </w:r>
          </w:p>
        </w:tc>
        <w:tc>
          <w:tcPr>
            <w:tcW w:w="1170" w:type="dxa"/>
            <w:vAlign w:val="bottom"/>
          </w:tcPr>
          <w:p w:rsidRPr="00E9787E" w:rsidR="00E55954" w:rsidP="00BA4628" w:rsidRDefault="00E55954" w14:paraId="7BBC08D1" w14:textId="14CA5C08">
            <w:pPr>
              <w:jc w:val="right"/>
              <w:rPr>
                <w:i/>
                <w:szCs w:val="26"/>
              </w:rPr>
            </w:pPr>
            <w:r w:rsidRPr="00E9787E">
              <w:rPr>
                <w:szCs w:val="26"/>
              </w:rPr>
              <w:t>34</w:t>
            </w:r>
          </w:p>
        </w:tc>
        <w:tc>
          <w:tcPr>
            <w:tcW w:w="1440" w:type="dxa"/>
            <w:vAlign w:val="bottom"/>
          </w:tcPr>
          <w:p w:rsidRPr="00E9787E" w:rsidR="00E55954" w:rsidP="00BA4628" w:rsidRDefault="00E55954" w14:paraId="77AB31A8" w14:textId="5B1796E9">
            <w:pPr>
              <w:jc w:val="right"/>
              <w:rPr>
                <w:i/>
                <w:szCs w:val="26"/>
              </w:rPr>
            </w:pPr>
            <w:r w:rsidRPr="00E9787E">
              <w:rPr>
                <w:szCs w:val="26"/>
              </w:rPr>
              <w:t>1</w:t>
            </w:r>
          </w:p>
        </w:tc>
        <w:tc>
          <w:tcPr>
            <w:tcW w:w="1350" w:type="dxa"/>
            <w:vAlign w:val="bottom"/>
          </w:tcPr>
          <w:p w:rsidRPr="00E9787E" w:rsidR="00E55954" w:rsidP="00BA4628" w:rsidRDefault="00E55954" w14:paraId="7D9D046C" w14:textId="6F9A3543">
            <w:pPr>
              <w:jc w:val="right"/>
              <w:rPr>
                <w:szCs w:val="26"/>
              </w:rPr>
            </w:pPr>
            <w:r w:rsidRPr="00E9787E">
              <w:rPr>
                <w:szCs w:val="26"/>
              </w:rPr>
              <w:t>34</w:t>
            </w:r>
          </w:p>
        </w:tc>
        <w:tc>
          <w:tcPr>
            <w:tcW w:w="1440" w:type="dxa"/>
            <w:vAlign w:val="bottom"/>
          </w:tcPr>
          <w:p w:rsidRPr="00E9787E" w:rsidR="00E55954" w:rsidP="00BA4628" w:rsidRDefault="00F529D2" w14:paraId="0BBF8FF5" w14:textId="7BF096C0">
            <w:pPr>
              <w:jc w:val="right"/>
              <w:rPr>
                <w:szCs w:val="26"/>
              </w:rPr>
            </w:pPr>
            <w:r>
              <w:rPr>
                <w:szCs w:val="26"/>
              </w:rPr>
              <w:t>3</w:t>
            </w:r>
            <w:r w:rsidRPr="00E9787E" w:rsidR="00E55954">
              <w:rPr>
                <w:szCs w:val="26"/>
              </w:rPr>
              <w:t>.1 hrs</w:t>
            </w:r>
            <w:r w:rsidRPr="00E9787E" w:rsidR="00A5652D">
              <w:rPr>
                <w:szCs w:val="26"/>
              </w:rPr>
              <w:t>.</w:t>
            </w:r>
            <w:r w:rsidR="00A5652D">
              <w:rPr>
                <w:szCs w:val="26"/>
              </w:rPr>
              <w:t>;</w:t>
            </w:r>
            <w:r w:rsidRPr="00E9787E" w:rsidR="00A5652D">
              <w:rPr>
                <w:szCs w:val="26"/>
              </w:rPr>
              <w:t xml:space="preserve"> </w:t>
            </w:r>
          </w:p>
          <w:p w:rsidRPr="00E9787E" w:rsidR="00E55954" w:rsidP="00BA4628" w:rsidRDefault="00E55954" w14:paraId="4F02730F" w14:textId="41730EFA">
            <w:pPr>
              <w:jc w:val="right"/>
              <w:rPr>
                <w:szCs w:val="26"/>
              </w:rPr>
            </w:pPr>
            <w:r w:rsidRPr="00E9787E">
              <w:rPr>
                <w:szCs w:val="26"/>
              </w:rPr>
              <w:t>$</w:t>
            </w:r>
            <w:r w:rsidR="006A1C8A">
              <w:rPr>
                <w:szCs w:val="26"/>
              </w:rPr>
              <w:t>107.85</w:t>
            </w:r>
          </w:p>
        </w:tc>
        <w:tc>
          <w:tcPr>
            <w:tcW w:w="1620" w:type="dxa"/>
            <w:vAlign w:val="bottom"/>
          </w:tcPr>
          <w:p w:rsidRPr="00E9787E" w:rsidR="00E55954" w:rsidP="00BA4628" w:rsidRDefault="00F529D2" w14:paraId="2C04E41C" w14:textId="57D432CB">
            <w:pPr>
              <w:jc w:val="right"/>
              <w:rPr>
                <w:szCs w:val="26"/>
              </w:rPr>
            </w:pPr>
            <w:r>
              <w:rPr>
                <w:szCs w:val="26"/>
              </w:rPr>
              <w:t>105.4</w:t>
            </w:r>
            <w:r w:rsidRPr="00E9787E" w:rsidR="00E55954">
              <w:rPr>
                <w:szCs w:val="26"/>
              </w:rPr>
              <w:t xml:space="preserve"> hrs</w:t>
            </w:r>
            <w:r w:rsidRPr="00E9787E" w:rsidR="00A5652D">
              <w:rPr>
                <w:szCs w:val="26"/>
              </w:rPr>
              <w:t>.</w:t>
            </w:r>
            <w:r w:rsidR="00A5652D">
              <w:rPr>
                <w:szCs w:val="26"/>
              </w:rPr>
              <w:t>;</w:t>
            </w:r>
          </w:p>
          <w:p w:rsidRPr="00E9787E" w:rsidR="00E55954" w:rsidP="00BA4628" w:rsidRDefault="00E55954" w14:paraId="52AFE1F5" w14:textId="7612569F">
            <w:pPr>
              <w:jc w:val="right"/>
              <w:rPr>
                <w:szCs w:val="26"/>
              </w:rPr>
            </w:pPr>
            <w:r w:rsidRPr="00E9787E">
              <w:rPr>
                <w:szCs w:val="26"/>
              </w:rPr>
              <w:t>$</w:t>
            </w:r>
            <w:r w:rsidR="00F529D2">
              <w:rPr>
                <w:szCs w:val="26"/>
              </w:rPr>
              <w:t>3,</w:t>
            </w:r>
            <w:r w:rsidR="006A1C8A">
              <w:rPr>
                <w:szCs w:val="26"/>
              </w:rPr>
              <w:t>666.87</w:t>
            </w:r>
          </w:p>
        </w:tc>
        <w:tc>
          <w:tcPr>
            <w:tcW w:w="1170" w:type="dxa"/>
            <w:vAlign w:val="bottom"/>
          </w:tcPr>
          <w:p w:rsidRPr="00E9787E" w:rsidR="00E55954" w:rsidP="00BA4628" w:rsidRDefault="00E55954" w14:paraId="407C6166" w14:textId="38920EBE">
            <w:pPr>
              <w:jc w:val="right"/>
              <w:rPr>
                <w:i/>
                <w:szCs w:val="26"/>
              </w:rPr>
            </w:pPr>
            <w:r w:rsidRPr="00E9787E">
              <w:rPr>
                <w:szCs w:val="26"/>
              </w:rPr>
              <w:t>$</w:t>
            </w:r>
            <w:r w:rsidR="006A1C8A">
              <w:rPr>
                <w:szCs w:val="26"/>
              </w:rPr>
              <w:t>107.85</w:t>
            </w:r>
          </w:p>
        </w:tc>
      </w:tr>
      <w:tr w:rsidRPr="00E9787E" w:rsidR="008E24DC" w:rsidTr="004D19DA" w14:paraId="229691CD" w14:textId="1CFC14F4">
        <w:tc>
          <w:tcPr>
            <w:tcW w:w="1800" w:type="dxa"/>
            <w:vAlign w:val="bottom"/>
          </w:tcPr>
          <w:p w:rsidR="008E24DC" w:rsidP="008E24DC" w:rsidRDefault="008E24DC" w14:paraId="7D36F44C" w14:textId="13CA7260">
            <w:pPr>
              <w:rPr>
                <w:szCs w:val="26"/>
              </w:rPr>
            </w:pPr>
            <w:r w:rsidRPr="00E9787E">
              <w:rPr>
                <w:szCs w:val="26"/>
              </w:rPr>
              <w:t>Reliability Coordinator</w:t>
            </w:r>
          </w:p>
          <w:p w:rsidR="008E24DC" w:rsidP="008E24DC" w:rsidRDefault="008E24DC" w14:paraId="44A61BE9" w14:textId="069DB685">
            <w:pPr>
              <w:rPr>
                <w:i/>
                <w:szCs w:val="26"/>
              </w:rPr>
            </w:pPr>
            <w:r>
              <w:rPr>
                <w:szCs w:val="26"/>
              </w:rPr>
              <w:t>(IRO-006-WECC-3)</w:t>
            </w:r>
          </w:p>
        </w:tc>
        <w:tc>
          <w:tcPr>
            <w:tcW w:w="1170" w:type="dxa"/>
            <w:vAlign w:val="bottom"/>
          </w:tcPr>
          <w:p w:rsidRPr="00E9787E" w:rsidR="008E24DC" w:rsidP="00BA4628" w:rsidRDefault="008E24DC" w14:paraId="3389A432" w14:textId="37B65096">
            <w:pPr>
              <w:jc w:val="right"/>
              <w:rPr>
                <w:szCs w:val="26"/>
              </w:rPr>
            </w:pPr>
            <w:r>
              <w:rPr>
                <w:szCs w:val="26"/>
              </w:rPr>
              <w:t>2</w:t>
            </w:r>
          </w:p>
        </w:tc>
        <w:tc>
          <w:tcPr>
            <w:tcW w:w="1440" w:type="dxa"/>
            <w:vAlign w:val="bottom"/>
          </w:tcPr>
          <w:p w:rsidRPr="00E9787E" w:rsidR="008E24DC" w:rsidP="00BA4628" w:rsidRDefault="008E24DC" w14:paraId="426CD0E1" w14:textId="39434917">
            <w:pPr>
              <w:jc w:val="right"/>
              <w:rPr>
                <w:szCs w:val="26"/>
              </w:rPr>
            </w:pPr>
            <w:r w:rsidRPr="00E9787E">
              <w:rPr>
                <w:szCs w:val="26"/>
              </w:rPr>
              <w:t>1</w:t>
            </w:r>
          </w:p>
        </w:tc>
        <w:tc>
          <w:tcPr>
            <w:tcW w:w="1350" w:type="dxa"/>
            <w:vAlign w:val="bottom"/>
          </w:tcPr>
          <w:p w:rsidRPr="00E9787E" w:rsidR="008E24DC" w:rsidP="00BA4628" w:rsidRDefault="008E24DC" w14:paraId="639622D9" w14:textId="75013CD5">
            <w:pPr>
              <w:jc w:val="right"/>
              <w:rPr>
                <w:szCs w:val="26"/>
              </w:rPr>
            </w:pPr>
            <w:r>
              <w:rPr>
                <w:szCs w:val="26"/>
              </w:rPr>
              <w:t>2</w:t>
            </w:r>
          </w:p>
        </w:tc>
        <w:tc>
          <w:tcPr>
            <w:tcW w:w="1440" w:type="dxa"/>
            <w:vAlign w:val="bottom"/>
          </w:tcPr>
          <w:p w:rsidRPr="00E9787E" w:rsidR="008E24DC" w:rsidP="00BA4628" w:rsidRDefault="008E24DC" w14:paraId="1DD3B754" w14:textId="308961A7">
            <w:pPr>
              <w:jc w:val="right"/>
              <w:rPr>
                <w:szCs w:val="26"/>
              </w:rPr>
            </w:pPr>
            <w:r w:rsidRPr="00E9787E">
              <w:rPr>
                <w:szCs w:val="26"/>
              </w:rPr>
              <w:t>1 hr.;</w:t>
            </w:r>
          </w:p>
          <w:p w:rsidRPr="00E9787E" w:rsidR="008E24DC" w:rsidP="00BA4628" w:rsidRDefault="008E24DC" w14:paraId="11C3DA3E" w14:textId="564C67F6">
            <w:pPr>
              <w:jc w:val="right"/>
              <w:rPr>
                <w:szCs w:val="26"/>
              </w:rPr>
            </w:pPr>
            <w:r w:rsidRPr="00E9787E">
              <w:rPr>
                <w:szCs w:val="26"/>
              </w:rPr>
              <w:t>$</w:t>
            </w:r>
            <w:r w:rsidR="00750138">
              <w:rPr>
                <w:szCs w:val="26"/>
              </w:rPr>
              <w:t>34.79</w:t>
            </w:r>
          </w:p>
        </w:tc>
        <w:tc>
          <w:tcPr>
            <w:tcW w:w="1620" w:type="dxa"/>
            <w:vAlign w:val="bottom"/>
          </w:tcPr>
          <w:p w:rsidRPr="00E9787E" w:rsidR="008E24DC" w:rsidP="00BA4628" w:rsidRDefault="00DF283B" w14:paraId="76C4B37C" w14:textId="7CD9458F">
            <w:pPr>
              <w:jc w:val="right"/>
              <w:rPr>
                <w:szCs w:val="26"/>
              </w:rPr>
            </w:pPr>
            <w:r>
              <w:rPr>
                <w:szCs w:val="26"/>
              </w:rPr>
              <w:t>2</w:t>
            </w:r>
            <w:r w:rsidRPr="00E9787E" w:rsidR="008E24DC">
              <w:rPr>
                <w:szCs w:val="26"/>
              </w:rPr>
              <w:t xml:space="preserve"> hr</w:t>
            </w:r>
            <w:r>
              <w:rPr>
                <w:szCs w:val="26"/>
              </w:rPr>
              <w:t>s</w:t>
            </w:r>
            <w:r w:rsidRPr="00E9787E" w:rsidR="008E24DC">
              <w:rPr>
                <w:szCs w:val="26"/>
              </w:rPr>
              <w:t>.;</w:t>
            </w:r>
          </w:p>
          <w:p w:rsidRPr="00E9787E" w:rsidR="008E24DC" w:rsidP="00BA4628" w:rsidRDefault="008E24DC" w14:paraId="21983638" w14:textId="4C3D3982">
            <w:pPr>
              <w:jc w:val="right"/>
              <w:rPr>
                <w:szCs w:val="26"/>
              </w:rPr>
            </w:pPr>
            <w:r w:rsidRPr="00E9787E">
              <w:rPr>
                <w:szCs w:val="26"/>
              </w:rPr>
              <w:t>$</w:t>
            </w:r>
            <w:r w:rsidR="006A1C8A">
              <w:rPr>
                <w:szCs w:val="26"/>
              </w:rPr>
              <w:t>69.58</w:t>
            </w:r>
          </w:p>
        </w:tc>
        <w:tc>
          <w:tcPr>
            <w:tcW w:w="1170" w:type="dxa"/>
            <w:vAlign w:val="bottom"/>
          </w:tcPr>
          <w:p w:rsidRPr="00E9787E" w:rsidR="008E24DC" w:rsidP="00BA4628" w:rsidRDefault="008E24DC" w14:paraId="6764D6F0" w14:textId="63D414B4">
            <w:pPr>
              <w:jc w:val="right"/>
              <w:rPr>
                <w:szCs w:val="26"/>
              </w:rPr>
            </w:pPr>
            <w:r w:rsidRPr="00E9787E">
              <w:rPr>
                <w:szCs w:val="26"/>
              </w:rPr>
              <w:t>$</w:t>
            </w:r>
            <w:r w:rsidR="006A1C8A">
              <w:rPr>
                <w:szCs w:val="26"/>
              </w:rPr>
              <w:t>34.79</w:t>
            </w:r>
          </w:p>
        </w:tc>
      </w:tr>
      <w:tr w:rsidRPr="00E9787E" w:rsidR="008E24DC" w:rsidTr="004D19DA" w14:paraId="17EA3113" w14:textId="17CDD86F">
        <w:tc>
          <w:tcPr>
            <w:tcW w:w="1800" w:type="dxa"/>
            <w:vAlign w:val="bottom"/>
          </w:tcPr>
          <w:p w:rsidR="008E24DC" w:rsidP="008E24DC" w:rsidRDefault="008E24DC" w14:paraId="3C2752FF" w14:textId="177EF8E3">
            <w:pPr>
              <w:rPr>
                <w:szCs w:val="26"/>
              </w:rPr>
            </w:pPr>
            <w:r w:rsidRPr="00E9787E">
              <w:rPr>
                <w:szCs w:val="26"/>
              </w:rPr>
              <w:t>Transmission Owner that operate qualified transfer paths</w:t>
            </w:r>
          </w:p>
          <w:p w:rsidRPr="00E9787E" w:rsidR="008A411A" w:rsidP="008E24DC" w:rsidRDefault="008A411A" w14:paraId="3A13ABA5" w14:textId="25F615DE">
            <w:pPr>
              <w:rPr>
                <w:i/>
                <w:szCs w:val="26"/>
              </w:rPr>
            </w:pPr>
            <w:r>
              <w:rPr>
                <w:szCs w:val="26"/>
              </w:rPr>
              <w:t>(FAC-501-WECC-2)</w:t>
            </w:r>
          </w:p>
        </w:tc>
        <w:tc>
          <w:tcPr>
            <w:tcW w:w="1170" w:type="dxa"/>
            <w:vAlign w:val="bottom"/>
          </w:tcPr>
          <w:p w:rsidRPr="00E9787E" w:rsidR="008E24DC" w:rsidP="00BA4628" w:rsidRDefault="008E24DC" w14:paraId="1FACBE52" w14:textId="7520E8B9">
            <w:pPr>
              <w:jc w:val="right"/>
              <w:rPr>
                <w:i/>
                <w:szCs w:val="26"/>
              </w:rPr>
            </w:pPr>
            <w:r w:rsidRPr="00E9787E">
              <w:rPr>
                <w:szCs w:val="26"/>
              </w:rPr>
              <w:t>5</w:t>
            </w:r>
          </w:p>
        </w:tc>
        <w:tc>
          <w:tcPr>
            <w:tcW w:w="1440" w:type="dxa"/>
            <w:vAlign w:val="bottom"/>
          </w:tcPr>
          <w:p w:rsidRPr="00E9787E" w:rsidR="008E24DC" w:rsidP="00BA4628" w:rsidRDefault="008E24DC" w14:paraId="410E206A" w14:textId="5EB5684E">
            <w:pPr>
              <w:jc w:val="right"/>
              <w:rPr>
                <w:i/>
                <w:szCs w:val="26"/>
              </w:rPr>
            </w:pPr>
            <w:r w:rsidRPr="00E9787E">
              <w:rPr>
                <w:szCs w:val="26"/>
              </w:rPr>
              <w:t>1</w:t>
            </w:r>
          </w:p>
        </w:tc>
        <w:tc>
          <w:tcPr>
            <w:tcW w:w="1350" w:type="dxa"/>
            <w:vAlign w:val="bottom"/>
          </w:tcPr>
          <w:p w:rsidRPr="00E9787E" w:rsidR="008E24DC" w:rsidP="00BA4628" w:rsidRDefault="008E24DC" w14:paraId="55FE4711" w14:textId="79CFF898">
            <w:pPr>
              <w:jc w:val="right"/>
              <w:rPr>
                <w:szCs w:val="26"/>
              </w:rPr>
            </w:pPr>
            <w:r w:rsidRPr="00E9787E">
              <w:rPr>
                <w:szCs w:val="26"/>
              </w:rPr>
              <w:t>5</w:t>
            </w:r>
          </w:p>
        </w:tc>
        <w:tc>
          <w:tcPr>
            <w:tcW w:w="1440" w:type="dxa"/>
            <w:vAlign w:val="bottom"/>
          </w:tcPr>
          <w:p w:rsidRPr="00E9787E" w:rsidR="008E24DC" w:rsidP="00BA4628" w:rsidRDefault="008A411A" w14:paraId="16F938BC" w14:textId="02AD7715">
            <w:pPr>
              <w:jc w:val="right"/>
              <w:rPr>
                <w:szCs w:val="26"/>
              </w:rPr>
            </w:pPr>
            <w:r>
              <w:rPr>
                <w:szCs w:val="26"/>
              </w:rPr>
              <w:t>6</w:t>
            </w:r>
            <w:r w:rsidRPr="00E9787E" w:rsidR="008E24DC">
              <w:rPr>
                <w:szCs w:val="26"/>
              </w:rPr>
              <w:t xml:space="preserve"> hrs</w:t>
            </w:r>
            <w:r w:rsidRPr="00E9787E" w:rsidR="00A5652D">
              <w:rPr>
                <w:szCs w:val="26"/>
              </w:rPr>
              <w:t>.</w:t>
            </w:r>
            <w:r w:rsidR="00A5652D">
              <w:rPr>
                <w:szCs w:val="26"/>
              </w:rPr>
              <w:t>;</w:t>
            </w:r>
          </w:p>
          <w:p w:rsidRPr="00E9787E" w:rsidR="008E24DC" w:rsidP="00BA4628" w:rsidRDefault="008E24DC" w14:paraId="72024ACD" w14:textId="5A2B2D7B">
            <w:pPr>
              <w:jc w:val="right"/>
              <w:rPr>
                <w:szCs w:val="26"/>
              </w:rPr>
            </w:pPr>
            <w:r w:rsidRPr="00E9787E">
              <w:rPr>
                <w:szCs w:val="26"/>
              </w:rPr>
              <w:t>$</w:t>
            </w:r>
            <w:r w:rsidR="00330362">
              <w:rPr>
                <w:szCs w:val="26"/>
              </w:rPr>
              <w:t>208.74</w:t>
            </w:r>
          </w:p>
        </w:tc>
        <w:tc>
          <w:tcPr>
            <w:tcW w:w="1620" w:type="dxa"/>
            <w:vAlign w:val="bottom"/>
          </w:tcPr>
          <w:p w:rsidRPr="00E9787E" w:rsidR="008E24DC" w:rsidP="00BA4628" w:rsidRDefault="008A411A" w14:paraId="5CFC97C0" w14:textId="53BE123B">
            <w:pPr>
              <w:jc w:val="right"/>
              <w:rPr>
                <w:szCs w:val="26"/>
              </w:rPr>
            </w:pPr>
            <w:r>
              <w:rPr>
                <w:szCs w:val="26"/>
              </w:rPr>
              <w:t>30</w:t>
            </w:r>
            <w:r w:rsidRPr="00E9787E" w:rsidR="008E24DC">
              <w:rPr>
                <w:szCs w:val="26"/>
              </w:rPr>
              <w:t xml:space="preserve"> hrs</w:t>
            </w:r>
            <w:r w:rsidRPr="00E9787E" w:rsidR="00A5652D">
              <w:rPr>
                <w:szCs w:val="26"/>
              </w:rPr>
              <w:t>.</w:t>
            </w:r>
            <w:r w:rsidR="00A5652D">
              <w:rPr>
                <w:szCs w:val="26"/>
              </w:rPr>
              <w:t>;</w:t>
            </w:r>
          </w:p>
          <w:p w:rsidRPr="00E9787E" w:rsidR="008E24DC" w:rsidP="00BA4628" w:rsidRDefault="008E24DC" w14:paraId="61569590" w14:textId="457CBDB2">
            <w:pPr>
              <w:jc w:val="right"/>
              <w:rPr>
                <w:szCs w:val="26"/>
              </w:rPr>
            </w:pPr>
            <w:r w:rsidRPr="00E9787E">
              <w:rPr>
                <w:szCs w:val="26"/>
              </w:rPr>
              <w:t>$</w:t>
            </w:r>
            <w:r w:rsidR="00330362">
              <w:rPr>
                <w:szCs w:val="26"/>
              </w:rPr>
              <w:t>1043.70</w:t>
            </w:r>
          </w:p>
        </w:tc>
        <w:tc>
          <w:tcPr>
            <w:tcW w:w="1170" w:type="dxa"/>
            <w:vAlign w:val="bottom"/>
          </w:tcPr>
          <w:p w:rsidRPr="00E9787E" w:rsidR="008E24DC" w:rsidP="00BA4628" w:rsidRDefault="008E24DC" w14:paraId="51B495F8" w14:textId="5D8632B9">
            <w:pPr>
              <w:jc w:val="right"/>
              <w:rPr>
                <w:szCs w:val="26"/>
              </w:rPr>
            </w:pPr>
            <w:r w:rsidRPr="00E9787E">
              <w:rPr>
                <w:szCs w:val="26"/>
              </w:rPr>
              <w:t>$</w:t>
            </w:r>
            <w:r w:rsidR="00330362">
              <w:rPr>
                <w:szCs w:val="26"/>
              </w:rPr>
              <w:t>208.74</w:t>
            </w:r>
          </w:p>
        </w:tc>
      </w:tr>
      <w:tr w:rsidRPr="00E9787E" w:rsidR="008E24DC" w:rsidTr="004D19DA" w14:paraId="2A11D27B" w14:textId="57A63D4D">
        <w:tc>
          <w:tcPr>
            <w:tcW w:w="1800" w:type="dxa"/>
          </w:tcPr>
          <w:p w:rsidR="00CE430A" w:rsidP="008E24DC" w:rsidRDefault="008E24DC" w14:paraId="218EF10A" w14:textId="1FA20D7E">
            <w:pPr>
              <w:rPr>
                <w:szCs w:val="26"/>
              </w:rPr>
            </w:pPr>
            <w:r w:rsidRPr="00E9787E">
              <w:rPr>
                <w:szCs w:val="26"/>
              </w:rPr>
              <w:t>Generator Owners and/or Operators</w:t>
            </w:r>
          </w:p>
          <w:p w:rsidRPr="00E9787E" w:rsidR="008E24DC" w:rsidP="008E24DC" w:rsidRDefault="00CE430A" w14:paraId="18B915F3" w14:textId="0B821F47">
            <w:pPr>
              <w:rPr>
                <w:szCs w:val="26"/>
              </w:rPr>
            </w:pPr>
            <w:r>
              <w:rPr>
                <w:szCs w:val="26"/>
              </w:rPr>
              <w:t>(</w:t>
            </w:r>
            <w:r w:rsidRPr="00E55954">
              <w:rPr>
                <w:szCs w:val="26"/>
              </w:rPr>
              <w:t>VAR-501-WECC-3</w:t>
            </w:r>
            <w:r>
              <w:rPr>
                <w:szCs w:val="26"/>
              </w:rPr>
              <w:t>.1))</w:t>
            </w:r>
          </w:p>
        </w:tc>
        <w:tc>
          <w:tcPr>
            <w:tcW w:w="1170" w:type="dxa"/>
            <w:vAlign w:val="bottom"/>
          </w:tcPr>
          <w:p w:rsidRPr="00E9787E" w:rsidR="008E24DC" w:rsidP="00BA4628" w:rsidRDefault="008E24DC" w14:paraId="0F8BB8E9" w14:textId="26214860">
            <w:pPr>
              <w:jc w:val="right"/>
              <w:rPr>
                <w:szCs w:val="26"/>
              </w:rPr>
            </w:pPr>
            <w:r w:rsidRPr="00E9787E">
              <w:rPr>
                <w:rFonts w:eastAsia="Calibri"/>
                <w:szCs w:val="26"/>
              </w:rPr>
              <w:t>291</w:t>
            </w:r>
          </w:p>
        </w:tc>
        <w:tc>
          <w:tcPr>
            <w:tcW w:w="1440" w:type="dxa"/>
            <w:vAlign w:val="bottom"/>
          </w:tcPr>
          <w:p w:rsidRPr="00E9787E" w:rsidR="008E24DC" w:rsidP="00BA4628" w:rsidRDefault="008E24DC" w14:paraId="7E418DDE" w14:textId="37B7A3BE">
            <w:pPr>
              <w:jc w:val="right"/>
              <w:rPr>
                <w:szCs w:val="26"/>
              </w:rPr>
            </w:pPr>
            <w:r w:rsidRPr="00E9787E">
              <w:rPr>
                <w:rFonts w:eastAsia="Calibri"/>
                <w:szCs w:val="26"/>
              </w:rPr>
              <w:t>2</w:t>
            </w:r>
          </w:p>
        </w:tc>
        <w:tc>
          <w:tcPr>
            <w:tcW w:w="1350" w:type="dxa"/>
            <w:vAlign w:val="bottom"/>
          </w:tcPr>
          <w:p w:rsidRPr="00E9787E" w:rsidR="008E24DC" w:rsidP="00BA4628" w:rsidRDefault="008E24DC" w14:paraId="33EC8BF0" w14:textId="08928F9A">
            <w:pPr>
              <w:jc w:val="right"/>
              <w:rPr>
                <w:rFonts w:eastAsia="Calibri"/>
                <w:szCs w:val="26"/>
              </w:rPr>
            </w:pPr>
            <w:r w:rsidRPr="00E9787E">
              <w:rPr>
                <w:rFonts w:eastAsia="Calibri"/>
                <w:szCs w:val="26"/>
              </w:rPr>
              <w:t>582</w:t>
            </w:r>
          </w:p>
        </w:tc>
        <w:tc>
          <w:tcPr>
            <w:tcW w:w="1440" w:type="dxa"/>
            <w:vAlign w:val="bottom"/>
          </w:tcPr>
          <w:p w:rsidRPr="00E9787E" w:rsidR="008E24DC" w:rsidP="00BA4628" w:rsidRDefault="008E24DC" w14:paraId="14C14DA2" w14:textId="66F80B25">
            <w:pPr>
              <w:jc w:val="right"/>
              <w:rPr>
                <w:rFonts w:eastAsia="Calibri"/>
                <w:szCs w:val="26"/>
              </w:rPr>
            </w:pPr>
            <w:r w:rsidRPr="00E9787E">
              <w:rPr>
                <w:rFonts w:eastAsia="Calibri"/>
                <w:szCs w:val="26"/>
              </w:rPr>
              <w:t>0.5 hrs.;</w:t>
            </w:r>
          </w:p>
          <w:p w:rsidRPr="00E9787E" w:rsidR="008E24DC" w:rsidP="00BA4628" w:rsidRDefault="008E24DC" w14:paraId="56CBF25A" w14:textId="3DCE44B7">
            <w:pPr>
              <w:jc w:val="right"/>
              <w:rPr>
                <w:szCs w:val="26"/>
              </w:rPr>
            </w:pPr>
            <w:r w:rsidRPr="00E9787E">
              <w:rPr>
                <w:rFonts w:eastAsia="Calibri"/>
                <w:szCs w:val="26"/>
              </w:rPr>
              <w:t>$</w:t>
            </w:r>
            <w:r w:rsidR="00330362">
              <w:rPr>
                <w:rFonts w:eastAsia="Calibri"/>
                <w:szCs w:val="26"/>
              </w:rPr>
              <w:t>17.</w:t>
            </w:r>
            <w:r w:rsidR="00A5652D">
              <w:rPr>
                <w:rFonts w:eastAsia="Calibri"/>
                <w:szCs w:val="26"/>
              </w:rPr>
              <w:t>40</w:t>
            </w:r>
          </w:p>
        </w:tc>
        <w:tc>
          <w:tcPr>
            <w:tcW w:w="1620" w:type="dxa"/>
            <w:vAlign w:val="bottom"/>
          </w:tcPr>
          <w:p w:rsidRPr="00E9787E" w:rsidR="008E24DC" w:rsidP="00BA4628" w:rsidRDefault="008E24DC" w14:paraId="691D50DE" w14:textId="6F6729C7">
            <w:pPr>
              <w:jc w:val="right"/>
              <w:rPr>
                <w:rFonts w:eastAsia="Calibri"/>
                <w:szCs w:val="26"/>
              </w:rPr>
            </w:pPr>
            <w:r w:rsidRPr="00E9787E">
              <w:rPr>
                <w:rFonts w:eastAsia="Calibri"/>
                <w:szCs w:val="26"/>
              </w:rPr>
              <w:t>291 hrs.;</w:t>
            </w:r>
          </w:p>
          <w:p w:rsidRPr="00E9787E" w:rsidR="008E24DC" w:rsidP="00BA4628" w:rsidRDefault="008E24DC" w14:paraId="24B43D40" w14:textId="5154DF75">
            <w:pPr>
              <w:jc w:val="right"/>
              <w:rPr>
                <w:szCs w:val="26"/>
              </w:rPr>
            </w:pPr>
            <w:r w:rsidRPr="00E9787E">
              <w:rPr>
                <w:rFonts w:eastAsia="Calibri"/>
                <w:szCs w:val="26"/>
              </w:rPr>
              <w:t>$</w:t>
            </w:r>
            <w:r w:rsidR="00330362">
              <w:rPr>
                <w:rFonts w:eastAsia="Calibri"/>
                <w:szCs w:val="26"/>
              </w:rPr>
              <w:t>10,123.89</w:t>
            </w:r>
          </w:p>
        </w:tc>
        <w:tc>
          <w:tcPr>
            <w:tcW w:w="1170" w:type="dxa"/>
            <w:vAlign w:val="bottom"/>
          </w:tcPr>
          <w:p w:rsidRPr="00E9787E" w:rsidR="008E24DC" w:rsidP="00BA4628" w:rsidRDefault="008E24DC" w14:paraId="319E899B" w14:textId="400D69D7">
            <w:pPr>
              <w:jc w:val="right"/>
              <w:rPr>
                <w:szCs w:val="26"/>
              </w:rPr>
            </w:pPr>
            <w:r w:rsidRPr="00E9787E">
              <w:rPr>
                <w:szCs w:val="26"/>
              </w:rPr>
              <w:t>$</w:t>
            </w:r>
            <w:r w:rsidR="00330362">
              <w:rPr>
                <w:szCs w:val="26"/>
              </w:rPr>
              <w:t>34.79</w:t>
            </w:r>
          </w:p>
        </w:tc>
      </w:tr>
      <w:tr w:rsidRPr="00E9787E" w:rsidR="008E24DC" w:rsidTr="0024458B" w14:paraId="190A388F" w14:textId="5F37E718">
        <w:trPr>
          <w:trHeight w:val="683"/>
        </w:trPr>
        <w:tc>
          <w:tcPr>
            <w:tcW w:w="4410" w:type="dxa"/>
            <w:gridSpan w:val="3"/>
            <w:vAlign w:val="bottom"/>
          </w:tcPr>
          <w:p w:rsidRPr="00E9787E" w:rsidR="008E24DC" w:rsidP="00370B25" w:rsidRDefault="008E24DC" w14:paraId="08C483FD" w14:textId="209C60FF">
            <w:pPr>
              <w:jc w:val="right"/>
              <w:rPr>
                <w:szCs w:val="26"/>
              </w:rPr>
            </w:pPr>
            <w:r w:rsidRPr="00E9787E">
              <w:rPr>
                <w:b/>
                <w:szCs w:val="26"/>
              </w:rPr>
              <w:t xml:space="preserve">Sub-Total for Recordkeeping Requirements </w:t>
            </w:r>
          </w:p>
        </w:tc>
        <w:tc>
          <w:tcPr>
            <w:tcW w:w="1350" w:type="dxa"/>
            <w:vAlign w:val="bottom"/>
          </w:tcPr>
          <w:p w:rsidRPr="00E9787E" w:rsidR="008E24DC" w:rsidP="00C756C7" w:rsidRDefault="009B20A4" w14:paraId="36F6474C" w14:textId="3B71AF7F">
            <w:pPr>
              <w:rPr>
                <w:szCs w:val="26"/>
              </w:rPr>
            </w:pPr>
            <w:r>
              <w:rPr>
                <w:iCs/>
                <w:szCs w:val="26"/>
              </w:rPr>
              <w:t>623</w:t>
            </w:r>
          </w:p>
        </w:tc>
        <w:tc>
          <w:tcPr>
            <w:tcW w:w="1440" w:type="dxa"/>
            <w:vAlign w:val="bottom"/>
          </w:tcPr>
          <w:p w:rsidRPr="00E9787E" w:rsidR="008E24DC" w:rsidP="00C756C7" w:rsidRDefault="008E24DC" w14:paraId="211A00F5" w14:textId="13667A60">
            <w:pPr>
              <w:rPr>
                <w:i/>
                <w:szCs w:val="26"/>
              </w:rPr>
            </w:pPr>
          </w:p>
        </w:tc>
        <w:tc>
          <w:tcPr>
            <w:tcW w:w="1620" w:type="dxa"/>
            <w:vAlign w:val="bottom"/>
          </w:tcPr>
          <w:p w:rsidRPr="00E9787E" w:rsidR="008E24DC" w:rsidP="00C756C7" w:rsidRDefault="007618AD" w14:paraId="7DA38261" w14:textId="52156315">
            <w:pPr>
              <w:rPr>
                <w:b/>
                <w:szCs w:val="26"/>
              </w:rPr>
            </w:pPr>
            <w:r>
              <w:rPr>
                <w:b/>
                <w:szCs w:val="26"/>
              </w:rPr>
              <w:t>428</w:t>
            </w:r>
            <w:r w:rsidRPr="00E9787E" w:rsidR="008E24DC">
              <w:rPr>
                <w:b/>
                <w:szCs w:val="26"/>
              </w:rPr>
              <w:t>.4 hrs.;</w:t>
            </w:r>
          </w:p>
          <w:p w:rsidRPr="00E9787E" w:rsidR="008E24DC" w:rsidP="00C756C7" w:rsidRDefault="008E24DC" w14:paraId="04CDB91B" w14:textId="5DA23944">
            <w:pPr>
              <w:rPr>
                <w:szCs w:val="26"/>
              </w:rPr>
            </w:pPr>
            <w:r w:rsidRPr="00E9787E">
              <w:rPr>
                <w:b/>
                <w:szCs w:val="26"/>
              </w:rPr>
              <w:t>$</w:t>
            </w:r>
            <w:r w:rsidR="009F0B1D">
              <w:rPr>
                <w:b/>
                <w:szCs w:val="26"/>
              </w:rPr>
              <w:t>14,904.04</w:t>
            </w:r>
          </w:p>
        </w:tc>
        <w:tc>
          <w:tcPr>
            <w:tcW w:w="1170" w:type="dxa"/>
            <w:vAlign w:val="bottom"/>
          </w:tcPr>
          <w:p w:rsidRPr="00E9787E" w:rsidR="008E24DC" w:rsidP="00C756C7" w:rsidRDefault="008E24DC" w14:paraId="6342E9A5" w14:textId="32D98E61">
            <w:pPr>
              <w:rPr>
                <w:szCs w:val="26"/>
              </w:rPr>
            </w:pPr>
          </w:p>
        </w:tc>
      </w:tr>
      <w:tr w:rsidRPr="00E9787E" w:rsidR="008E24DC" w:rsidTr="004D19DA" w14:paraId="56CF0A57" w14:textId="4D0FC89C">
        <w:tc>
          <w:tcPr>
            <w:tcW w:w="4410" w:type="dxa"/>
            <w:gridSpan w:val="3"/>
            <w:vAlign w:val="bottom"/>
          </w:tcPr>
          <w:p w:rsidRPr="00E9787E" w:rsidR="008E24DC" w:rsidP="00370B25" w:rsidRDefault="008E24DC" w14:paraId="79D288CF" w14:textId="37F6AB57">
            <w:pPr>
              <w:jc w:val="right"/>
              <w:rPr>
                <w:szCs w:val="26"/>
              </w:rPr>
            </w:pPr>
            <w:r w:rsidRPr="00E9787E">
              <w:rPr>
                <w:b/>
                <w:szCs w:val="26"/>
              </w:rPr>
              <w:t>TOTAL FOR FERC-725E, IN YR. 1</w:t>
            </w:r>
            <w:r w:rsidR="008B2157">
              <w:rPr>
                <w:b/>
                <w:szCs w:val="26"/>
              </w:rPr>
              <w:t xml:space="preserve"> and YR. 2</w:t>
            </w:r>
          </w:p>
        </w:tc>
        <w:tc>
          <w:tcPr>
            <w:tcW w:w="1350" w:type="dxa"/>
            <w:vAlign w:val="bottom"/>
          </w:tcPr>
          <w:p w:rsidRPr="00E9787E" w:rsidR="008E24DC" w:rsidP="00C756C7" w:rsidRDefault="008E24DC" w14:paraId="1CD768E9" w14:textId="555381DF">
            <w:pPr>
              <w:rPr>
                <w:szCs w:val="26"/>
              </w:rPr>
            </w:pPr>
            <w:r w:rsidRPr="00E9787E">
              <w:rPr>
                <w:szCs w:val="26"/>
              </w:rPr>
              <w:t>12</w:t>
            </w:r>
            <w:r w:rsidR="009B20A4">
              <w:rPr>
                <w:szCs w:val="26"/>
              </w:rPr>
              <w:t>48</w:t>
            </w:r>
          </w:p>
        </w:tc>
        <w:tc>
          <w:tcPr>
            <w:tcW w:w="1440" w:type="dxa"/>
            <w:vAlign w:val="bottom"/>
          </w:tcPr>
          <w:p w:rsidRPr="00E9787E" w:rsidR="008E24DC" w:rsidP="00C756C7" w:rsidRDefault="008E24DC" w14:paraId="0EE061ED" w14:textId="7FAA1D6D">
            <w:pPr>
              <w:rPr>
                <w:i/>
                <w:szCs w:val="26"/>
              </w:rPr>
            </w:pPr>
          </w:p>
        </w:tc>
        <w:tc>
          <w:tcPr>
            <w:tcW w:w="1620" w:type="dxa"/>
            <w:vAlign w:val="bottom"/>
          </w:tcPr>
          <w:p w:rsidRPr="00E9787E" w:rsidR="008E24DC" w:rsidP="00C756C7" w:rsidRDefault="007618AD" w14:paraId="51198C2D" w14:textId="1B0C98C5">
            <w:pPr>
              <w:rPr>
                <w:b/>
                <w:szCs w:val="26"/>
              </w:rPr>
            </w:pPr>
            <w:r>
              <w:rPr>
                <w:b/>
                <w:szCs w:val="26"/>
              </w:rPr>
              <w:t>1,928.4</w:t>
            </w:r>
            <w:r w:rsidRPr="00E9787E" w:rsidR="008E24DC">
              <w:rPr>
                <w:b/>
                <w:szCs w:val="26"/>
              </w:rPr>
              <w:t xml:space="preserve"> hrs.;</w:t>
            </w:r>
          </w:p>
          <w:p w:rsidRPr="00E9787E" w:rsidR="008E24DC" w:rsidP="00C756C7" w:rsidRDefault="008E24DC" w14:paraId="5C237456" w14:textId="337BCF94">
            <w:pPr>
              <w:rPr>
                <w:szCs w:val="26"/>
              </w:rPr>
            </w:pPr>
            <w:r w:rsidRPr="00E9787E">
              <w:rPr>
                <w:b/>
                <w:szCs w:val="26"/>
              </w:rPr>
              <w:t>$</w:t>
            </w:r>
            <w:r w:rsidR="00E24092">
              <w:rPr>
                <w:b/>
                <w:szCs w:val="26"/>
              </w:rPr>
              <w:t>140,409.04</w:t>
            </w:r>
          </w:p>
        </w:tc>
        <w:tc>
          <w:tcPr>
            <w:tcW w:w="1170" w:type="dxa"/>
            <w:vAlign w:val="bottom"/>
          </w:tcPr>
          <w:p w:rsidRPr="00E9787E" w:rsidR="008E24DC" w:rsidP="00C756C7" w:rsidRDefault="008E24DC" w14:paraId="5732E6D9" w14:textId="2620A2BC">
            <w:pPr>
              <w:rPr>
                <w:szCs w:val="26"/>
              </w:rPr>
            </w:pPr>
          </w:p>
        </w:tc>
      </w:tr>
      <w:tr w:rsidRPr="00E9787E" w:rsidR="008E24DC" w:rsidTr="004D19DA" w14:paraId="407892F5" w14:textId="75A521C8">
        <w:tc>
          <w:tcPr>
            <w:tcW w:w="4410" w:type="dxa"/>
            <w:gridSpan w:val="3"/>
            <w:vAlign w:val="bottom"/>
          </w:tcPr>
          <w:p w:rsidRPr="00E9787E" w:rsidR="008E24DC" w:rsidP="00370B25" w:rsidRDefault="008E24DC" w14:paraId="5FCCA0F1" w14:textId="2A131648">
            <w:pPr>
              <w:jc w:val="right"/>
              <w:rPr>
                <w:b/>
                <w:szCs w:val="26"/>
              </w:rPr>
            </w:pPr>
            <w:r w:rsidRPr="00E9787E">
              <w:rPr>
                <w:b/>
                <w:szCs w:val="26"/>
              </w:rPr>
              <w:t xml:space="preserve">TOTAL FOR FERC-725E, IN YR. </w:t>
            </w:r>
            <w:r w:rsidR="008B2157">
              <w:rPr>
                <w:b/>
                <w:szCs w:val="26"/>
              </w:rPr>
              <w:t>3</w:t>
            </w:r>
            <w:r w:rsidRPr="00E9787E">
              <w:rPr>
                <w:b/>
                <w:szCs w:val="26"/>
              </w:rPr>
              <w:t xml:space="preserve"> &amp; ONGOING</w:t>
            </w:r>
          </w:p>
        </w:tc>
        <w:tc>
          <w:tcPr>
            <w:tcW w:w="1350" w:type="dxa"/>
            <w:vAlign w:val="bottom"/>
          </w:tcPr>
          <w:p w:rsidRPr="00E9787E" w:rsidR="008E24DC" w:rsidP="00C756C7" w:rsidRDefault="009B20A4" w14:paraId="484728A0" w14:textId="7A83FB5D">
            <w:pPr>
              <w:rPr>
                <w:szCs w:val="26"/>
              </w:rPr>
            </w:pPr>
            <w:r>
              <w:rPr>
                <w:szCs w:val="26"/>
              </w:rPr>
              <w:t>1248</w:t>
            </w:r>
          </w:p>
        </w:tc>
        <w:tc>
          <w:tcPr>
            <w:tcW w:w="1440" w:type="dxa"/>
            <w:vAlign w:val="bottom"/>
          </w:tcPr>
          <w:p w:rsidRPr="00E9787E" w:rsidR="008E24DC" w:rsidP="00C756C7" w:rsidRDefault="008E24DC" w14:paraId="6CEE4B41" w14:textId="344F1ACB">
            <w:pPr>
              <w:rPr>
                <w:i/>
                <w:szCs w:val="26"/>
              </w:rPr>
            </w:pPr>
          </w:p>
        </w:tc>
        <w:tc>
          <w:tcPr>
            <w:tcW w:w="1620" w:type="dxa"/>
            <w:vAlign w:val="bottom"/>
          </w:tcPr>
          <w:p w:rsidRPr="00E9787E" w:rsidR="008E24DC" w:rsidP="00C756C7" w:rsidRDefault="007618AD" w14:paraId="0CC9E13F" w14:textId="480A5D14">
            <w:pPr>
              <w:rPr>
                <w:b/>
                <w:szCs w:val="26"/>
              </w:rPr>
            </w:pPr>
            <w:r>
              <w:rPr>
                <w:b/>
                <w:szCs w:val="26"/>
              </w:rPr>
              <w:t>1,894.4</w:t>
            </w:r>
            <w:r w:rsidRPr="00E9787E" w:rsidR="008E24DC">
              <w:rPr>
                <w:b/>
                <w:szCs w:val="26"/>
              </w:rPr>
              <w:t xml:space="preserve"> hrs.;</w:t>
            </w:r>
          </w:p>
          <w:p w:rsidRPr="00E9787E" w:rsidR="008E24DC" w:rsidP="00C756C7" w:rsidRDefault="008E24DC" w14:paraId="37D2DF44" w14:textId="2FD72D7E">
            <w:pPr>
              <w:rPr>
                <w:b/>
                <w:szCs w:val="26"/>
              </w:rPr>
            </w:pPr>
            <w:r w:rsidRPr="00E9787E">
              <w:rPr>
                <w:b/>
                <w:szCs w:val="26"/>
              </w:rPr>
              <w:t>$</w:t>
            </w:r>
            <w:r w:rsidR="00E24092">
              <w:rPr>
                <w:b/>
                <w:szCs w:val="26"/>
              </w:rPr>
              <w:t>137,564.26</w:t>
            </w:r>
          </w:p>
        </w:tc>
        <w:tc>
          <w:tcPr>
            <w:tcW w:w="1170" w:type="dxa"/>
            <w:vAlign w:val="bottom"/>
          </w:tcPr>
          <w:p w:rsidRPr="00E9787E" w:rsidR="008E24DC" w:rsidP="00C756C7" w:rsidRDefault="008E24DC" w14:paraId="2FCC0214" w14:textId="2224B79F">
            <w:pPr>
              <w:rPr>
                <w:szCs w:val="26"/>
              </w:rPr>
            </w:pPr>
          </w:p>
        </w:tc>
      </w:tr>
    </w:tbl>
    <w:p w:rsidR="00694A0F" w:rsidP="00694A0F" w:rsidRDefault="00694A0F" w14:paraId="6203499E" w14:textId="5B0DD962">
      <w:pPr>
        <w:pStyle w:val="FERCparanumber"/>
        <w:numPr>
          <w:ilvl w:val="0"/>
          <w:numId w:val="0"/>
        </w:numPr>
        <w:rPr>
          <w:szCs w:val="26"/>
        </w:rPr>
      </w:pPr>
    </w:p>
    <w:p w:rsidRPr="00F876FF" w:rsidR="003010B3" w:rsidP="00C756C7" w:rsidRDefault="00A517D6" w14:paraId="56B0A20E" w14:textId="406E4CA4">
      <w:pPr>
        <w:pStyle w:val="FERCparanumber"/>
        <w:autoSpaceDE/>
        <w:autoSpaceDN/>
        <w:adjustRightInd/>
        <w:rPr>
          <w:rFonts w:eastAsia="Calibri"/>
          <w:szCs w:val="22"/>
        </w:rPr>
      </w:pPr>
      <w:r w:rsidRPr="00F876FF">
        <w:rPr>
          <w:rFonts w:eastAsia="Calibri"/>
          <w:szCs w:val="22"/>
        </w:rPr>
        <w:t>Interested persons may obtain information on the reporting requirements by contacting Ellen Brown, Office of the Executive Director, Federal Energy Regulatory Commission, 888 First Street, NE, Washington, DC 20426</w:t>
      </w:r>
      <w:r w:rsidR="00A33719">
        <w:rPr>
          <w:rFonts w:eastAsia="Calibri"/>
          <w:szCs w:val="22"/>
        </w:rPr>
        <w:t>,</w:t>
      </w:r>
      <w:r w:rsidRPr="00F876FF">
        <w:rPr>
          <w:rFonts w:eastAsia="Calibri"/>
          <w:szCs w:val="22"/>
        </w:rPr>
        <w:t xml:space="preserve"> via email (</w:t>
      </w:r>
      <w:hyperlink w:history="1" r:id="rId28">
        <w:r w:rsidRPr="00A33719">
          <w:rPr>
            <w:rFonts w:eastAsia="Calibri"/>
            <w:szCs w:val="22"/>
          </w:rPr>
          <w:t>DataClearance@ferc.gov</w:t>
        </w:r>
      </w:hyperlink>
      <w:r w:rsidRPr="00C756C7">
        <w:rPr>
          <w:rFonts w:eastAsia="Calibri"/>
          <w:szCs w:val="22"/>
        </w:rPr>
        <w:t>) or telephone ((202) 502-8663).</w:t>
      </w:r>
    </w:p>
    <w:p w:rsidRPr="00F876FF" w:rsidR="00A517D6" w:rsidP="00C756C7" w:rsidRDefault="00A517D6" w14:paraId="0C101288" w14:textId="627EFF9A">
      <w:pPr>
        <w:pStyle w:val="FERCparanumber"/>
        <w:autoSpaceDE/>
        <w:autoSpaceDN/>
        <w:adjustRightInd/>
        <w:rPr>
          <w:rFonts w:eastAsia="Calibri"/>
          <w:szCs w:val="22"/>
        </w:rPr>
      </w:pPr>
      <w:r w:rsidRPr="00A517D6">
        <w:rPr>
          <w:rFonts w:eastAsia="Calibri"/>
        </w:rPr>
        <w:t xml:space="preserve">The Commission solicits comments on the Commission’s need for this information, whether the information will have practical utility, the accuracy of the burden estimates, ways to enhance the quality, utility, and clarity of the information to </w:t>
      </w:r>
      <w:r w:rsidR="00A33719">
        <w:rPr>
          <w:rFonts w:eastAsia="Calibri"/>
        </w:rPr>
        <w:br/>
      </w:r>
      <w:r w:rsidRPr="00A517D6">
        <w:rPr>
          <w:rFonts w:eastAsia="Calibri"/>
        </w:rPr>
        <w:t>be collected or retained, and any suggested methods for minimizing respondents’ burden, including the use of automated information techniques.</w:t>
      </w:r>
    </w:p>
    <w:p w:rsidRPr="00A517D6" w:rsidR="00A517D6" w:rsidP="00C756C7" w:rsidRDefault="00A517D6" w14:paraId="5FA3B2F6" w14:textId="3D20907C">
      <w:pPr>
        <w:pStyle w:val="FERCparanumber"/>
        <w:autoSpaceDE/>
        <w:autoSpaceDN/>
        <w:adjustRightInd/>
        <w:rPr>
          <w:rFonts w:eastAsia="Calibri"/>
          <w:szCs w:val="22"/>
        </w:rPr>
      </w:pPr>
      <w:r w:rsidRPr="00A517D6">
        <w:rPr>
          <w:rFonts w:eastAsia="Calibri"/>
          <w:szCs w:val="22"/>
        </w:rPr>
        <w:t xml:space="preserve">Please send comments concerning the collection of information and the associated burden estimates to:  Office of Information and Regulatory Affairs, Office of Management and Budget, 725 17th Street, NW, Washington, DC 20503 [Attention: Desk Officer for the Federal Energy Regulatory Commission].  Due to security concerns, comments should be sent electronically to the following e-mail address: oira_submission@omb.eop.gov. </w:t>
      </w:r>
      <w:r w:rsidR="00A33719">
        <w:rPr>
          <w:rFonts w:eastAsia="Calibri"/>
          <w:szCs w:val="22"/>
        </w:rPr>
        <w:t xml:space="preserve"> </w:t>
      </w:r>
      <w:r w:rsidRPr="00C756C7">
        <w:rPr>
          <w:rFonts w:eastAsia="Calibri"/>
          <w:szCs w:val="22"/>
        </w:rPr>
        <w:t>Comments submitted to OMB should refer to OMB Control Nos. 1902-0246.</w:t>
      </w:r>
    </w:p>
    <w:p w:rsidRPr="00C756C7" w:rsidR="00A517D6" w:rsidP="00C756C7" w:rsidRDefault="00A517D6" w14:paraId="10D08EE6" w14:textId="1974DAC5">
      <w:pPr>
        <w:pStyle w:val="FERCparanumber"/>
        <w:autoSpaceDE/>
        <w:autoSpaceDN/>
        <w:adjustRightInd/>
        <w:rPr>
          <w:rFonts w:eastAsia="Calibri"/>
          <w:szCs w:val="22"/>
        </w:rPr>
      </w:pPr>
      <w:r w:rsidRPr="00A517D6">
        <w:rPr>
          <w:rFonts w:eastAsia="Calibri"/>
          <w:szCs w:val="22"/>
        </w:rPr>
        <w:t xml:space="preserve">Please submit a copy of your comments on the information collections to the Commission via the eFiling link on the Commission's website at </w:t>
      </w:r>
      <w:hyperlink w:history="1" r:id="rId29">
        <w:r w:rsidRPr="00A33719">
          <w:rPr>
            <w:rFonts w:eastAsia="Calibri"/>
            <w:szCs w:val="22"/>
          </w:rPr>
          <w:t>http://www.ferc.gov</w:t>
        </w:r>
      </w:hyperlink>
      <w:r w:rsidRPr="00A33719">
        <w:rPr>
          <w:rFonts w:eastAsia="Calibri"/>
          <w:i/>
          <w:iCs/>
          <w:szCs w:val="22"/>
        </w:rPr>
        <w:t>.</w:t>
      </w:r>
      <w:r w:rsidRPr="00A517D6">
        <w:rPr>
          <w:rFonts w:eastAsia="Calibri"/>
          <w:szCs w:val="22"/>
        </w:rPr>
        <w:t xml:space="preserve">  If you are not able to file comments electronically, please send a copy of your comments to: Federal Energy Regulatory Commission, Secretary of the Commission, 888 First Street NE, Washington, DC 20426.  Comments on th</w:t>
      </w:r>
      <w:r w:rsidRPr="00C1514F">
        <w:rPr>
          <w:rFonts w:eastAsia="Calibri"/>
          <w:szCs w:val="22"/>
        </w:rPr>
        <w:t>e information collection that are sent to FERC should ref</w:t>
      </w:r>
      <w:r w:rsidRPr="00CC6540">
        <w:rPr>
          <w:rFonts w:eastAsia="Calibri"/>
          <w:szCs w:val="22"/>
        </w:rPr>
        <w:t>er to RM19-20-000.</w:t>
      </w:r>
    </w:p>
    <w:p w:rsidRPr="005D5EB0" w:rsidR="00F1648C" w:rsidP="000169B2" w:rsidRDefault="00F1648C" w14:paraId="73D101F6" w14:textId="4F837919">
      <w:pPr>
        <w:pStyle w:val="LegalFormat"/>
        <w:tabs>
          <w:tab w:val="clear" w:pos="360"/>
        </w:tabs>
        <w:spacing w:after="0" w:line="480" w:lineRule="auto"/>
        <w:ind w:left="0" w:firstLine="0"/>
      </w:pPr>
      <w:r w:rsidRPr="005D5EB0">
        <w:rPr>
          <w:u w:val="single"/>
        </w:rPr>
        <w:t>Title</w:t>
      </w:r>
      <w:r w:rsidRPr="005D5EB0">
        <w:t xml:space="preserve">: </w:t>
      </w:r>
      <w:r w:rsidR="000169B2">
        <w:t xml:space="preserve"> </w:t>
      </w:r>
      <w:r w:rsidRPr="005D5EB0">
        <w:t>FERC-725</w:t>
      </w:r>
      <w:r w:rsidR="006411CB">
        <w:t>E</w:t>
      </w:r>
      <w:r w:rsidRPr="005D5EB0">
        <w:t xml:space="preserve">, </w:t>
      </w:r>
      <w:r w:rsidR="006411CB">
        <w:t>Mandatory Reliability Standards</w:t>
      </w:r>
      <w:r w:rsidR="000169B2">
        <w:t xml:space="preserve">-WECC (Western Electric </w:t>
      </w:r>
      <w:r w:rsidR="006411CB">
        <w:t>Coordinating Council)</w:t>
      </w:r>
    </w:p>
    <w:p w:rsidRPr="005D5EB0" w:rsidR="00F1648C" w:rsidP="00F1648C" w:rsidRDefault="00F1648C" w14:paraId="34452D62" w14:textId="123B850A">
      <w:pPr>
        <w:pStyle w:val="LegalFormat"/>
        <w:tabs>
          <w:tab w:val="clear" w:pos="360"/>
        </w:tabs>
        <w:spacing w:after="0" w:line="480" w:lineRule="auto"/>
        <w:ind w:left="0" w:firstLine="0"/>
      </w:pPr>
      <w:r w:rsidRPr="005D5EB0">
        <w:rPr>
          <w:u w:val="single"/>
        </w:rPr>
        <w:t>Action</w:t>
      </w:r>
      <w:r w:rsidRPr="005D5EB0">
        <w:t xml:space="preserve">: </w:t>
      </w:r>
      <w:r w:rsidR="00D70CD4">
        <w:t xml:space="preserve"> </w:t>
      </w:r>
      <w:r w:rsidRPr="00D70CD4" w:rsidR="00D70CD4">
        <w:t xml:space="preserve">Three-year approval of the FERC-725E information collection requirements, </w:t>
      </w:r>
      <w:r w:rsidR="001A2940">
        <w:br/>
      </w:r>
      <w:r w:rsidRPr="00D70CD4" w:rsidR="00D70CD4">
        <w:t xml:space="preserve">as modified by Docket No. </w:t>
      </w:r>
      <w:r w:rsidR="00636BAC">
        <w:t>RM19</w:t>
      </w:r>
      <w:r w:rsidR="00D70CD4">
        <w:t>-</w:t>
      </w:r>
      <w:r w:rsidR="00636BAC">
        <w:t>20</w:t>
      </w:r>
      <w:r w:rsidRPr="00D70CD4" w:rsidR="00D70CD4">
        <w:t>-000</w:t>
      </w:r>
      <w:r w:rsidR="00D70CD4">
        <w:t xml:space="preserve"> and due to normal industry fluctuations.</w:t>
      </w:r>
    </w:p>
    <w:p w:rsidRPr="005D5EB0" w:rsidR="00F1648C" w:rsidP="00F1648C" w:rsidRDefault="00F1648C" w14:paraId="5CEADB8C" w14:textId="1B738350">
      <w:pPr>
        <w:pStyle w:val="LegalFormat"/>
        <w:tabs>
          <w:tab w:val="clear" w:pos="360"/>
        </w:tabs>
        <w:spacing w:after="0" w:line="480" w:lineRule="auto"/>
        <w:ind w:left="0" w:firstLine="0"/>
      </w:pPr>
      <w:r w:rsidRPr="005D5EB0">
        <w:rPr>
          <w:u w:val="single"/>
        </w:rPr>
        <w:t>OMB Control No</w:t>
      </w:r>
      <w:r w:rsidRPr="005D5EB0">
        <w:t>:  1902-024</w:t>
      </w:r>
      <w:r w:rsidR="006411CB">
        <w:t>6</w:t>
      </w:r>
      <w:r w:rsidR="00332EA4">
        <w:t xml:space="preserve"> (FERC-725E)</w:t>
      </w:r>
    </w:p>
    <w:p w:rsidRPr="005D5EB0" w:rsidR="00F1648C" w:rsidP="00F1648C" w:rsidRDefault="00F1648C" w14:paraId="38F5669F" w14:textId="6411F0DA">
      <w:pPr>
        <w:pStyle w:val="LegalFormat"/>
        <w:tabs>
          <w:tab w:val="clear" w:pos="360"/>
        </w:tabs>
        <w:spacing w:after="0" w:line="480" w:lineRule="auto"/>
        <w:ind w:left="0" w:firstLine="0"/>
      </w:pPr>
      <w:r w:rsidRPr="005D5EB0">
        <w:rPr>
          <w:u w:val="single"/>
        </w:rPr>
        <w:t>Respondents</w:t>
      </w:r>
      <w:r w:rsidRPr="005D5EB0">
        <w:t>:</w:t>
      </w:r>
      <w:r w:rsidRPr="005D5EB0">
        <w:rPr>
          <w:i/>
        </w:rPr>
        <w:t xml:space="preserve">  </w:t>
      </w:r>
      <w:r w:rsidRPr="005D5EB0">
        <w:t>Busine</w:t>
      </w:r>
      <w:r w:rsidR="000169B2">
        <w:t>ss or other for-profit, and not-for-</w:t>
      </w:r>
      <w:r w:rsidRPr="005D5EB0">
        <w:t>profit institutions.</w:t>
      </w:r>
    </w:p>
    <w:p w:rsidRPr="005D5EB0" w:rsidR="00F1648C" w:rsidP="00F1648C" w:rsidRDefault="00F1648C" w14:paraId="396EB6A8" w14:textId="0C101518">
      <w:pPr>
        <w:pStyle w:val="LegalFormat"/>
        <w:tabs>
          <w:tab w:val="clear" w:pos="360"/>
        </w:tabs>
        <w:spacing w:after="0" w:line="480" w:lineRule="auto"/>
        <w:ind w:left="0" w:firstLine="0"/>
      </w:pPr>
      <w:r w:rsidRPr="005D5EB0">
        <w:rPr>
          <w:u w:val="single"/>
        </w:rPr>
        <w:t>Frequency of Responses</w:t>
      </w:r>
      <w:r w:rsidRPr="005D5EB0">
        <w:t xml:space="preserve">:  </w:t>
      </w:r>
      <w:r w:rsidR="00D1106B">
        <w:t>O</w:t>
      </w:r>
      <w:r w:rsidRPr="005D5EB0">
        <w:t xml:space="preserve">ne-time. </w:t>
      </w:r>
    </w:p>
    <w:p w:rsidRPr="005D5EB0" w:rsidR="00F1648C" w:rsidP="00F1648C" w:rsidRDefault="00F1648C" w14:paraId="67621D27" w14:textId="127677D2">
      <w:pPr>
        <w:pStyle w:val="LegalFormat"/>
        <w:tabs>
          <w:tab w:val="clear" w:pos="360"/>
        </w:tabs>
        <w:spacing w:after="0" w:line="480" w:lineRule="auto"/>
        <w:ind w:left="0" w:firstLine="0"/>
      </w:pPr>
      <w:r w:rsidRPr="005D5EB0">
        <w:rPr>
          <w:u w:val="single"/>
        </w:rPr>
        <w:t>Necessity of the Information</w:t>
      </w:r>
      <w:r w:rsidRPr="005D5EB0">
        <w:t>:</w:t>
      </w:r>
      <w:r w:rsidRPr="005D5EB0">
        <w:rPr>
          <w:i/>
        </w:rPr>
        <w:t xml:space="preserve">  </w:t>
      </w:r>
      <w:r w:rsidRPr="005D5EB0">
        <w:t xml:space="preserve">The </w:t>
      </w:r>
      <w:r>
        <w:t>proposed regional</w:t>
      </w:r>
      <w:r w:rsidRPr="005D5EB0">
        <w:t xml:space="preserve"> Reliability Standard </w:t>
      </w:r>
      <w:r>
        <w:t>BA</w:t>
      </w:r>
      <w:r w:rsidR="00561225">
        <w:t>L</w:t>
      </w:r>
      <w:r>
        <w:t>-002</w:t>
      </w:r>
      <w:r w:rsidR="00561225">
        <w:t>-WECC</w:t>
      </w:r>
      <w:r>
        <w:t>-</w:t>
      </w:r>
      <w:r w:rsidR="00643159">
        <w:t>3</w:t>
      </w:r>
      <w:r w:rsidRPr="005D5EB0">
        <w:t>, if adopted, would implement the Congressional mandate of the Energy Policy Act of 2005 to develop mandatory and enforceable Reliability Standards to better ensure the reliability of the nation’s Bulk-Power System.  Specifically, the proposal ensure</w:t>
      </w:r>
      <w:r w:rsidR="00A71AA0">
        <w:t>s</w:t>
      </w:r>
      <w:r w:rsidRPr="005D5EB0">
        <w:t xml:space="preserve"> </w:t>
      </w:r>
      <w:r w:rsidR="00A71AA0">
        <w:t xml:space="preserve">that </w:t>
      </w:r>
      <w:r w:rsidRPr="00604BA9" w:rsidR="00A71AA0">
        <w:t xml:space="preserve">balancing authorities and reserve sharing groups in the </w:t>
      </w:r>
      <w:r w:rsidR="00A71AA0">
        <w:t>WECC</w:t>
      </w:r>
      <w:r w:rsidRPr="00604BA9" w:rsidR="00A71AA0">
        <w:t xml:space="preserve"> Region </w:t>
      </w:r>
      <w:r w:rsidR="00A71AA0">
        <w:t xml:space="preserve">have the quantity and </w:t>
      </w:r>
      <w:r w:rsidRPr="00604BA9" w:rsidR="00A71AA0">
        <w:t xml:space="preserve">types of </w:t>
      </w:r>
      <w:r w:rsidR="0035038C">
        <w:t>contingency reserve</w:t>
      </w:r>
      <w:r w:rsidRPr="00604BA9" w:rsidR="00A71AA0">
        <w:t xml:space="preserve"> required to ensure reliab</w:t>
      </w:r>
      <w:r w:rsidR="00A71AA0">
        <w:t xml:space="preserve">ility under normal and abnormal </w:t>
      </w:r>
      <w:r w:rsidRPr="00604BA9" w:rsidR="00A71AA0">
        <w:t xml:space="preserve">conditions.  </w:t>
      </w:r>
    </w:p>
    <w:p w:rsidRPr="005D5EB0" w:rsidR="00F1648C" w:rsidP="00F1648C" w:rsidRDefault="00F1648C" w14:paraId="3A053E01" w14:textId="6DA33425">
      <w:pPr>
        <w:pStyle w:val="LegalFormat"/>
        <w:tabs>
          <w:tab w:val="clear" w:pos="360"/>
        </w:tabs>
        <w:spacing w:after="0" w:line="480" w:lineRule="auto"/>
        <w:ind w:left="0" w:firstLine="0"/>
      </w:pPr>
      <w:r w:rsidRPr="005D5EB0">
        <w:rPr>
          <w:u w:val="single"/>
        </w:rPr>
        <w:t>Internal review</w:t>
      </w:r>
      <w:r w:rsidRPr="005D5EB0">
        <w:t>:</w:t>
      </w:r>
      <w:r w:rsidRPr="005D5EB0">
        <w:rPr>
          <w:i/>
        </w:rPr>
        <w:t xml:space="preserve">  </w:t>
      </w:r>
      <w:r w:rsidRPr="005D5EB0">
        <w:t xml:space="preserve">The Commission has reviewed the </w:t>
      </w:r>
      <w:r>
        <w:t>proposed regional</w:t>
      </w:r>
      <w:r w:rsidRPr="005D5EB0">
        <w:t xml:space="preserve"> Reliability Standard </w:t>
      </w:r>
      <w:r>
        <w:t>BAL-002</w:t>
      </w:r>
      <w:r w:rsidR="00561225">
        <w:t>-WECC</w:t>
      </w:r>
      <w:r>
        <w:t>-</w:t>
      </w:r>
      <w:r w:rsidR="00AF3C9A">
        <w:t>3</w:t>
      </w:r>
      <w:r w:rsidRPr="005D5EB0" w:rsidR="00AF3C9A">
        <w:t xml:space="preserve"> </w:t>
      </w:r>
      <w:r w:rsidRPr="005D5EB0">
        <w:t>and made a determination that its action is necessary to implement section 215 of the FPA.  The Commission has assured itself, by means of its internal review, that there is specific, objective support for the burden estimates associated with the information requirements.</w:t>
      </w:r>
    </w:p>
    <w:p w:rsidRPr="00443B3D" w:rsidR="00604BA9" w:rsidP="00604BA9" w:rsidRDefault="00604BA9" w14:paraId="4CF37AD3" w14:textId="77777777">
      <w:pPr>
        <w:pStyle w:val="Heading1"/>
      </w:pPr>
      <w:r w:rsidRPr="00443B3D">
        <w:t>Environmental Analysis</w:t>
      </w:r>
    </w:p>
    <w:p w:rsidR="00A34268" w:rsidP="009B250F" w:rsidRDefault="00604BA9" w14:paraId="33BBCFF6" w14:textId="77777777">
      <w:pPr>
        <w:pStyle w:val="FERCparanumber"/>
      </w:pPr>
      <w:r>
        <w:t>The Commission is required to prepare an Environmental Assessment or an Environmental Impact Statement for any action that may have a significant adverse effect on the human environment.</w:t>
      </w:r>
      <w:r>
        <w:rPr>
          <w:rStyle w:val="FootnoteReference"/>
        </w:rPr>
        <w:footnoteReference w:id="36"/>
      </w:r>
      <w:r w:rsidR="00A34268">
        <w:t xml:space="preserve">  The Commission has categorically excluded certain actions from this requirement as not having a significant effect on the human environment. </w:t>
      </w:r>
    </w:p>
    <w:p w:rsidR="00604BA9" w:rsidP="00A34268" w:rsidRDefault="00A34268" w14:paraId="4725EC01" w14:textId="77777777">
      <w:pPr>
        <w:pStyle w:val="FERCparanumber"/>
        <w:numPr>
          <w:ilvl w:val="0"/>
          <w:numId w:val="0"/>
        </w:numPr>
      </w:pPr>
      <w:r>
        <w:t>Included in the exclusion are rules that are clarifying, corrective, or procedural or that do not substantially change the effect of the regulations being amended</w:t>
      </w:r>
      <w:r w:rsidR="00DF4CA6">
        <w:t>.</w:t>
      </w:r>
      <w:r>
        <w:rPr>
          <w:rStyle w:val="FootnoteReference"/>
        </w:rPr>
        <w:footnoteReference w:id="37"/>
      </w:r>
      <w:r>
        <w:t xml:space="preserve">  The actions proposed here fall within this categorical exclusion in the Commission’s regulations.</w:t>
      </w:r>
    </w:p>
    <w:p w:rsidRPr="00443B3D" w:rsidR="00604BA9" w:rsidP="00604BA9" w:rsidRDefault="00604BA9" w14:paraId="14DBC1D3" w14:textId="77777777">
      <w:pPr>
        <w:pStyle w:val="Heading1"/>
      </w:pPr>
      <w:r w:rsidRPr="00443B3D">
        <w:t>Regulatory Flexibility Act</w:t>
      </w:r>
    </w:p>
    <w:p w:rsidR="00561949" w:rsidP="00F1648C" w:rsidRDefault="00604BA9" w14:paraId="1B96577A" w14:textId="2BDF20B7">
      <w:pPr>
        <w:pStyle w:val="FERCparanumber"/>
      </w:pPr>
      <w:r>
        <w:t>The Regulatory Flexibility Act of 1980 (RFA)</w:t>
      </w:r>
      <w:r>
        <w:rPr>
          <w:rStyle w:val="FootnoteReference"/>
        </w:rPr>
        <w:footnoteReference w:id="38"/>
      </w:r>
      <w:r>
        <w:t xml:space="preserve"> generally requires a description and analysis of proposed rules that will have significant economic impact on a substantial number of small entities.</w:t>
      </w:r>
      <w:r w:rsidR="00DF4CA6">
        <w:t xml:space="preserve"> </w:t>
      </w:r>
      <w:r w:rsidR="00A33719">
        <w:t xml:space="preserve"> </w:t>
      </w:r>
      <w:r w:rsidRPr="005728AE" w:rsidR="005728AE">
        <w:t>The Small Business Administration’s (SBA) Office of Size Standards develops the numerical definition of a small entity.</w:t>
      </w:r>
      <w:r w:rsidRPr="005728AE" w:rsidR="005728AE">
        <w:rPr>
          <w:b/>
          <w:vertAlign w:val="superscript"/>
        </w:rPr>
        <w:footnoteReference w:id="39"/>
      </w:r>
      <w:r w:rsidRPr="005728AE" w:rsidR="005728AE">
        <w:t>  These standards are provided in the SBA regulations at 13 CFR 121.201.</w:t>
      </w:r>
      <w:r w:rsidRPr="005728AE" w:rsidR="005728AE">
        <w:rPr>
          <w:b/>
          <w:vertAlign w:val="superscript"/>
        </w:rPr>
        <w:footnoteReference w:id="40"/>
      </w:r>
      <w:r w:rsidRPr="005728AE" w:rsidR="005728AE">
        <w:t xml:space="preserve">  </w:t>
      </w:r>
      <w:r w:rsidR="00DF4CA6">
        <w:t xml:space="preserve"> </w:t>
      </w:r>
    </w:p>
    <w:p w:rsidR="001A2940" w:rsidP="00445DA6" w:rsidRDefault="00445DA6" w14:paraId="7704ADA4" w14:textId="77777777">
      <w:pPr>
        <w:pStyle w:val="FERCparanumber"/>
      </w:pPr>
      <w:r w:rsidRPr="00E95CAE">
        <w:t>Under SBA’s size standards,</w:t>
      </w:r>
      <w:r w:rsidRPr="00287455">
        <w:rPr>
          <w:rStyle w:val="FootnoteReference"/>
        </w:rPr>
        <w:footnoteReference w:id="41"/>
      </w:r>
      <w:r w:rsidRPr="00E95CAE">
        <w:t xml:space="preserve"> </w:t>
      </w:r>
      <w:r w:rsidR="00003A20">
        <w:t>balancing authorities</w:t>
      </w:r>
      <w:r w:rsidR="00A80089">
        <w:t>,</w:t>
      </w:r>
      <w:r w:rsidR="005C16FB">
        <w:t xml:space="preserve"> </w:t>
      </w:r>
      <w:r w:rsidR="00003A20">
        <w:t>reserve sharing groups, generator operators</w:t>
      </w:r>
      <w:r w:rsidR="00A80089">
        <w:t>,</w:t>
      </w:r>
      <w:r w:rsidR="005C16FB">
        <w:t xml:space="preserve"> </w:t>
      </w:r>
      <w:r w:rsidR="00003A20">
        <w:t>generator owners</w:t>
      </w:r>
      <w:r w:rsidR="00A80089">
        <w:t>,</w:t>
      </w:r>
      <w:r w:rsidRPr="00E95CAE">
        <w:t xml:space="preserve"> transmission owners</w:t>
      </w:r>
      <w:r w:rsidR="00A5652D">
        <w:t>,</w:t>
      </w:r>
      <w:r w:rsidRPr="00E95CAE">
        <w:t xml:space="preserve"> </w:t>
      </w:r>
      <w:r w:rsidR="00A80089">
        <w:t xml:space="preserve">and </w:t>
      </w:r>
      <w:r w:rsidR="00A5652D">
        <w:t xml:space="preserve">transmission </w:t>
      </w:r>
      <w:r w:rsidR="001A2940">
        <w:br/>
      </w:r>
      <w:r w:rsidR="00A80089">
        <w:t xml:space="preserve">operators </w:t>
      </w:r>
      <w:r w:rsidRPr="00E95CAE">
        <w:t xml:space="preserve">all fall under the category of (NAICS code </w:t>
      </w:r>
      <w:r w:rsidRPr="00A035BD" w:rsidR="00A035BD">
        <w:t>221111</w:t>
      </w:r>
      <w:r w:rsidR="00A035BD">
        <w:t>-Hydroelectric Power</w:t>
      </w:r>
    </w:p>
    <w:p w:rsidRPr="00E95CAE" w:rsidR="00445DA6" w:rsidP="001A2940" w:rsidRDefault="00A035BD" w14:paraId="4F1AD1F8" w14:textId="7240061F">
      <w:pPr>
        <w:pStyle w:val="FERCparanumber"/>
        <w:numPr>
          <w:ilvl w:val="0"/>
          <w:numId w:val="0"/>
        </w:numPr>
      </w:pPr>
      <w:r>
        <w:t>Generation</w:t>
      </w:r>
      <w:r w:rsidR="001A2940">
        <w:t xml:space="preserve"> </w:t>
      </w:r>
      <w:r>
        <w:t>(500)</w:t>
      </w:r>
      <w:r w:rsidR="0068671E">
        <w:t xml:space="preserve"> </w:t>
      </w:r>
      <w:r>
        <w:t>and NAICS code 221118-Other Electric Power Generation (250)</w:t>
      </w:r>
      <w:r w:rsidRPr="00E95CAE" w:rsidR="00445DA6">
        <w:t>), with a</w:t>
      </w:r>
      <w:r>
        <w:t xml:space="preserve"> total</w:t>
      </w:r>
      <w:r w:rsidRPr="00E95CAE" w:rsidR="00445DA6">
        <w:t xml:space="preserve"> size threshold of </w:t>
      </w:r>
      <w:r w:rsidR="00445DA6">
        <w:t>750</w:t>
      </w:r>
      <w:r w:rsidRPr="00E95CAE" w:rsidR="00445DA6">
        <w:t xml:space="preserve"> employees (including the entity and its associates).</w:t>
      </w:r>
      <w:r w:rsidRPr="00287455" w:rsidR="00445DA6">
        <w:rPr>
          <w:rStyle w:val="FootnoteReference"/>
        </w:rPr>
        <w:footnoteReference w:id="42"/>
      </w:r>
    </w:p>
    <w:p w:rsidRPr="003010B3" w:rsidR="00F1648C" w:rsidP="00445DA6" w:rsidRDefault="00561949" w14:paraId="4DA77EDD" w14:textId="4AA6014C">
      <w:pPr>
        <w:pStyle w:val="FERCparanumber"/>
      </w:pPr>
      <w:r w:rsidRPr="00750138">
        <w:rPr>
          <w:szCs w:val="26"/>
        </w:rPr>
        <w:t xml:space="preserve">This proposed rule, if adopted, would apply to registered balancing authorities and reserved sharing groups in the </w:t>
      </w:r>
      <w:r w:rsidR="00C1514F">
        <w:rPr>
          <w:szCs w:val="26"/>
        </w:rPr>
        <w:t>NERC</w:t>
      </w:r>
      <w:r w:rsidRPr="00750138">
        <w:rPr>
          <w:szCs w:val="26"/>
        </w:rPr>
        <w:t xml:space="preserve"> </w:t>
      </w:r>
      <w:r w:rsidR="00003A20">
        <w:rPr>
          <w:szCs w:val="26"/>
        </w:rPr>
        <w:t>C</w:t>
      </w:r>
      <w:r w:rsidRPr="00445DA6" w:rsidR="0095716B">
        <w:rPr>
          <w:szCs w:val="26"/>
        </w:rPr>
        <w:t xml:space="preserve">ompliance </w:t>
      </w:r>
      <w:r w:rsidR="00003A20">
        <w:rPr>
          <w:szCs w:val="26"/>
        </w:rPr>
        <w:t>R</w:t>
      </w:r>
      <w:r w:rsidRPr="00445DA6">
        <w:rPr>
          <w:szCs w:val="26"/>
        </w:rPr>
        <w:t>egist</w:t>
      </w:r>
      <w:r w:rsidRPr="00445DA6" w:rsidR="0095716B">
        <w:rPr>
          <w:szCs w:val="26"/>
        </w:rPr>
        <w:t>ry</w:t>
      </w:r>
      <w:r w:rsidRPr="00445DA6">
        <w:rPr>
          <w:szCs w:val="26"/>
        </w:rPr>
        <w:t xml:space="preserve"> with data submitted to the Energy Information Administration</w:t>
      </w:r>
      <w:r w:rsidRPr="00445DA6" w:rsidR="00F1648C">
        <w:rPr>
          <w:szCs w:val="26"/>
        </w:rPr>
        <w:t xml:space="preserve"> </w:t>
      </w:r>
      <w:r w:rsidRPr="00445DA6" w:rsidR="00F1648C">
        <w:rPr>
          <w:color w:val="000000"/>
          <w:szCs w:val="26"/>
        </w:rPr>
        <w:t>on Form EIA-861</w:t>
      </w:r>
      <w:r w:rsidR="002E1055">
        <w:rPr>
          <w:color w:val="000000"/>
          <w:szCs w:val="26"/>
        </w:rPr>
        <w:t xml:space="preserve"> </w:t>
      </w:r>
      <w:r w:rsidRPr="00750138" w:rsidR="00F1648C">
        <w:rPr>
          <w:color w:val="000000"/>
          <w:szCs w:val="26"/>
        </w:rPr>
        <w:t>indicat</w:t>
      </w:r>
      <w:r w:rsidRPr="00750138" w:rsidR="006322B0">
        <w:rPr>
          <w:color w:val="000000"/>
          <w:szCs w:val="26"/>
        </w:rPr>
        <w:t>ing</w:t>
      </w:r>
      <w:r w:rsidRPr="00E24092" w:rsidR="00F1648C">
        <w:rPr>
          <w:color w:val="000000"/>
          <w:szCs w:val="26"/>
        </w:rPr>
        <w:t xml:space="preserve"> that, of the </w:t>
      </w:r>
      <w:r w:rsidRPr="003932EA" w:rsidR="00F1648C">
        <w:rPr>
          <w:color w:val="000000"/>
          <w:szCs w:val="26"/>
        </w:rPr>
        <w:t>36</w:t>
      </w:r>
      <w:r w:rsidRPr="003932EA" w:rsidR="00E2368C">
        <w:rPr>
          <w:color w:val="000000"/>
          <w:szCs w:val="26"/>
        </w:rPr>
        <w:t xml:space="preserve"> entities, 34 are</w:t>
      </w:r>
      <w:r w:rsidRPr="003932EA" w:rsidR="00F1648C">
        <w:rPr>
          <w:color w:val="000000"/>
          <w:szCs w:val="26"/>
        </w:rPr>
        <w:t xml:space="preserve"> </w:t>
      </w:r>
      <w:r w:rsidRPr="0059605C" w:rsidR="00F1648C">
        <w:rPr>
          <w:color w:val="000000"/>
          <w:szCs w:val="26"/>
        </w:rPr>
        <w:t xml:space="preserve">registered </w:t>
      </w:r>
      <w:r w:rsidRPr="0059605C" w:rsidR="00561225">
        <w:rPr>
          <w:szCs w:val="26"/>
        </w:rPr>
        <w:t>b</w:t>
      </w:r>
      <w:r w:rsidRPr="00A80089" w:rsidR="00F1648C">
        <w:rPr>
          <w:szCs w:val="26"/>
        </w:rPr>
        <w:t xml:space="preserve">alancing </w:t>
      </w:r>
      <w:r w:rsidRPr="00A80089" w:rsidR="00561225">
        <w:rPr>
          <w:szCs w:val="26"/>
        </w:rPr>
        <w:t>a</w:t>
      </w:r>
      <w:r w:rsidRPr="00A80089" w:rsidR="00F1648C">
        <w:rPr>
          <w:szCs w:val="26"/>
        </w:rPr>
        <w:t xml:space="preserve">uthorities and </w:t>
      </w:r>
      <w:r w:rsidR="00A33719">
        <w:rPr>
          <w:szCs w:val="26"/>
        </w:rPr>
        <w:t>two</w:t>
      </w:r>
      <w:r w:rsidRPr="00A80089" w:rsidR="00E2368C">
        <w:rPr>
          <w:szCs w:val="26"/>
        </w:rPr>
        <w:t xml:space="preserve"> are </w:t>
      </w:r>
      <w:r w:rsidRPr="00A80089" w:rsidR="00561225">
        <w:rPr>
          <w:szCs w:val="26"/>
        </w:rPr>
        <w:t>r</w:t>
      </w:r>
      <w:r w:rsidRPr="00A80089" w:rsidR="00F1648C">
        <w:rPr>
          <w:szCs w:val="26"/>
        </w:rPr>
        <w:t xml:space="preserve">eserve </w:t>
      </w:r>
      <w:r w:rsidRPr="00A80089" w:rsidR="00561225">
        <w:rPr>
          <w:szCs w:val="26"/>
        </w:rPr>
        <w:t>s</w:t>
      </w:r>
      <w:r w:rsidRPr="00A80089" w:rsidR="00F1648C">
        <w:rPr>
          <w:szCs w:val="26"/>
        </w:rPr>
        <w:t xml:space="preserve">haring </w:t>
      </w:r>
      <w:r w:rsidRPr="00A80089" w:rsidR="00561225">
        <w:rPr>
          <w:szCs w:val="26"/>
        </w:rPr>
        <w:t>g</w:t>
      </w:r>
      <w:r w:rsidRPr="00A80089" w:rsidR="00F1648C">
        <w:rPr>
          <w:szCs w:val="26"/>
        </w:rPr>
        <w:t>roup</w:t>
      </w:r>
      <w:r w:rsidRPr="00A80089" w:rsidR="00561225">
        <w:rPr>
          <w:szCs w:val="26"/>
        </w:rPr>
        <w:t>s</w:t>
      </w:r>
      <w:r w:rsidRPr="003010B3" w:rsidR="00F1648C">
        <w:rPr>
          <w:color w:val="000000"/>
          <w:szCs w:val="26"/>
        </w:rPr>
        <w:t xml:space="preserve">, </w:t>
      </w:r>
      <w:r w:rsidRPr="003010B3" w:rsidR="00561225">
        <w:rPr>
          <w:color w:val="000000"/>
          <w:szCs w:val="26"/>
        </w:rPr>
        <w:t>two</w:t>
      </w:r>
      <w:r w:rsidRPr="003010B3" w:rsidR="00F1648C">
        <w:rPr>
          <w:color w:val="000000"/>
          <w:szCs w:val="26"/>
        </w:rPr>
        <w:t xml:space="preserve"> may qualify as small entities</w:t>
      </w:r>
      <w:r w:rsidRPr="003010B3" w:rsidR="00F1648C">
        <w:rPr>
          <w:szCs w:val="26"/>
        </w:rPr>
        <w:t>.</w:t>
      </w:r>
      <w:r w:rsidRPr="003010B3" w:rsidR="00F1648C">
        <w:rPr>
          <w:rStyle w:val="FootnoteReference"/>
        </w:rPr>
        <w:footnoteReference w:id="43"/>
      </w:r>
      <w:r w:rsidRPr="003010B3" w:rsidR="002E5EF1">
        <w:rPr>
          <w:szCs w:val="26"/>
        </w:rPr>
        <w:t xml:space="preserve">. </w:t>
      </w:r>
    </w:p>
    <w:p w:rsidRPr="003010B3" w:rsidR="002E1055" w:rsidP="00750138" w:rsidRDefault="002E1055" w14:paraId="039DD252" w14:textId="1E48DC80">
      <w:pPr>
        <w:pStyle w:val="FERCparanumber"/>
        <w:rPr>
          <w:rStyle w:val="CommentReference"/>
          <w:sz w:val="26"/>
          <w:szCs w:val="24"/>
        </w:rPr>
      </w:pPr>
      <w:bookmarkStart w:name="_Hlk51850794" w:id="6"/>
      <w:r w:rsidRPr="00C756C7">
        <w:t>Using the list from the NERC</w:t>
      </w:r>
      <w:r w:rsidR="00C1514F">
        <w:t xml:space="preserve"> Compliance</w:t>
      </w:r>
      <w:r w:rsidRPr="00C756C7">
        <w:t xml:space="preserve"> Registry (dated September </w:t>
      </w:r>
      <w:r w:rsidR="00C1514F">
        <w:t>3</w:t>
      </w:r>
      <w:r w:rsidRPr="00C756C7">
        <w:t>, 2020),</w:t>
      </w:r>
      <w:r w:rsidRPr="003010B3">
        <w:t xml:space="preserve"> we estimate that approximately 22</w:t>
      </w:r>
      <w:r w:rsidR="00A33719">
        <w:t>%</w:t>
      </w:r>
      <w:r w:rsidRPr="003010B3">
        <w:t xml:space="preserve"> of those entities are small entities. </w:t>
      </w:r>
      <w:bookmarkEnd w:id="6"/>
      <w:r w:rsidRPr="003010B3">
        <w:t xml:space="preserve"> </w:t>
      </w:r>
    </w:p>
    <w:p w:rsidRPr="003010B3" w:rsidR="007143E7" w:rsidP="00E24092" w:rsidRDefault="00F1648C" w14:paraId="1B147C52" w14:textId="460F0EB8">
      <w:pPr>
        <w:pStyle w:val="FERCparanumber"/>
        <w:rPr>
          <w:szCs w:val="26"/>
        </w:rPr>
      </w:pPr>
      <w:r w:rsidRPr="003010B3">
        <w:rPr>
          <w:szCs w:val="26"/>
        </w:rPr>
        <w:t xml:space="preserve">The Commission estimates that, on average, each of the </w:t>
      </w:r>
      <w:r w:rsidRPr="003010B3" w:rsidR="00561225">
        <w:rPr>
          <w:szCs w:val="26"/>
        </w:rPr>
        <w:t>two</w:t>
      </w:r>
      <w:r w:rsidRPr="003010B3">
        <w:rPr>
          <w:szCs w:val="26"/>
        </w:rPr>
        <w:t xml:space="preserve"> </w:t>
      </w:r>
      <w:r w:rsidRPr="003010B3" w:rsidR="00561225">
        <w:rPr>
          <w:szCs w:val="26"/>
        </w:rPr>
        <w:t xml:space="preserve">affected </w:t>
      </w:r>
      <w:r w:rsidRPr="003010B3">
        <w:rPr>
          <w:szCs w:val="26"/>
        </w:rPr>
        <w:t xml:space="preserve">small entities will have </w:t>
      </w:r>
      <w:r w:rsidRPr="003010B3" w:rsidR="00E36D5E">
        <w:rPr>
          <w:szCs w:val="26"/>
        </w:rPr>
        <w:t>no further ongoing costs</w:t>
      </w:r>
      <w:r w:rsidRPr="003010B3" w:rsidR="00DF1FCA">
        <w:rPr>
          <w:szCs w:val="26"/>
        </w:rPr>
        <w:t xml:space="preserve"> after year </w:t>
      </w:r>
      <w:r w:rsidR="00A33719">
        <w:rPr>
          <w:szCs w:val="26"/>
        </w:rPr>
        <w:t>three</w:t>
      </w:r>
      <w:r w:rsidRPr="003010B3" w:rsidR="00561225">
        <w:rPr>
          <w:szCs w:val="26"/>
        </w:rPr>
        <w:t>.</w:t>
      </w:r>
      <w:r w:rsidRPr="003010B3">
        <w:rPr>
          <w:szCs w:val="26"/>
        </w:rPr>
        <w:t xml:space="preserve"> </w:t>
      </w:r>
      <w:r w:rsidRPr="003010B3" w:rsidR="00561225">
        <w:rPr>
          <w:szCs w:val="26"/>
        </w:rPr>
        <w:t xml:space="preserve"> </w:t>
      </w:r>
      <w:r w:rsidRPr="003010B3">
        <w:rPr>
          <w:szCs w:val="26"/>
        </w:rPr>
        <w:t xml:space="preserve">These figures are based on information collection costs plus additional costs for compliance.  </w:t>
      </w:r>
    </w:p>
    <w:p w:rsidRPr="005D5EB0" w:rsidR="00F1648C" w:rsidP="00F1648C" w:rsidRDefault="00F1648C" w14:paraId="6FB807D2" w14:textId="77777777">
      <w:pPr>
        <w:pStyle w:val="FERCparanumber"/>
        <w:tabs>
          <w:tab w:val="clear" w:pos="720"/>
        </w:tabs>
        <w:rPr>
          <w:szCs w:val="26"/>
        </w:rPr>
      </w:pPr>
      <w:r w:rsidRPr="005D5EB0">
        <w:rPr>
          <w:szCs w:val="26"/>
        </w:rPr>
        <w:t xml:space="preserve">The Commission does not consider this to be a significant economic impact for small entities because it should not represent a significant percentage of the operating budget.  Accordingly, the Commission certifies that this </w:t>
      </w:r>
      <w:r w:rsidR="00561225">
        <w:rPr>
          <w:szCs w:val="26"/>
        </w:rPr>
        <w:t>proposed rulemaking</w:t>
      </w:r>
      <w:r w:rsidRPr="005D5EB0">
        <w:rPr>
          <w:szCs w:val="26"/>
        </w:rPr>
        <w:t xml:space="preserve"> will not have a significant economic impact on a substantial number of small entities.  The Commission seeks comment on this certification.</w:t>
      </w:r>
    </w:p>
    <w:p w:rsidRPr="00443B3D" w:rsidR="00604BA9" w:rsidP="00604BA9" w:rsidRDefault="00604BA9" w14:paraId="0210F9D4" w14:textId="77777777">
      <w:pPr>
        <w:pStyle w:val="Heading1"/>
      </w:pPr>
      <w:r w:rsidRPr="00443B3D">
        <w:t>Comment Procedures</w:t>
      </w:r>
    </w:p>
    <w:p w:rsidR="00604BA9" w:rsidP="00604BA9" w:rsidRDefault="00604BA9" w14:paraId="604CFB20" w14:textId="42073220">
      <w:pPr>
        <w:pStyle w:val="FERCparanumber"/>
      </w:pPr>
      <w:r>
        <w:t xml:space="preserve">The Commission invites interested persons to submit comments on the matters and issues proposed in this notice to be adopted, including any related matters or alternative proposals that commenters may wish to discuss.  Comments are due </w:t>
      </w:r>
      <w:r w:rsidRPr="005A7276">
        <w:t>[</w:t>
      </w:r>
      <w:r>
        <w:rPr>
          <w:b/>
        </w:rPr>
        <w:t xml:space="preserve">INSERT DATE </w:t>
      </w:r>
      <w:r w:rsidR="009F40DC">
        <w:rPr>
          <w:b/>
        </w:rPr>
        <w:t xml:space="preserve">  </w:t>
      </w:r>
      <w:r w:rsidR="00A34268">
        <w:rPr>
          <w:b/>
        </w:rPr>
        <w:t xml:space="preserve">60 days </w:t>
      </w:r>
      <w:r>
        <w:rPr>
          <w:b/>
        </w:rPr>
        <w:t xml:space="preserve">after </w:t>
      </w:r>
      <w:r w:rsidR="00F76E95">
        <w:rPr>
          <w:b/>
        </w:rPr>
        <w:t xml:space="preserve">date of </w:t>
      </w:r>
      <w:r>
        <w:rPr>
          <w:b/>
        </w:rPr>
        <w:t>publication in the FEDERAL REGISTER</w:t>
      </w:r>
      <w:r w:rsidRPr="005A7276">
        <w:t>]</w:t>
      </w:r>
      <w:r>
        <w:t xml:space="preserve">.  Comments must refer to Docket No. </w:t>
      </w:r>
      <w:r w:rsidR="00150945">
        <w:t>RM1</w:t>
      </w:r>
      <w:r w:rsidR="00354B3C">
        <w:t>9-20</w:t>
      </w:r>
      <w:r w:rsidR="00150945">
        <w:t>-000</w:t>
      </w:r>
      <w:r>
        <w:t>, and must include the commenter's name, the organization they represent, if applicable, and their address in their comments.</w:t>
      </w:r>
    </w:p>
    <w:p w:rsidR="008868B4" w:rsidP="00604BA9" w:rsidRDefault="00604BA9" w14:paraId="044AF4EA" w14:textId="295D378A">
      <w:pPr>
        <w:pStyle w:val="FERCparanumber"/>
      </w:pPr>
      <w:r>
        <w:t xml:space="preserve">The Commission encourages comments to be filed electronically via the eFiling link on the Commission's web site at </w:t>
      </w:r>
      <w:hyperlink w:history="1" r:id="rId30">
        <w:r w:rsidRPr="00CF2558">
          <w:rPr>
            <w:rStyle w:val="Hyperlink"/>
            <w:color w:val="auto"/>
            <w:u w:val="none"/>
          </w:rPr>
          <w:t>http://www.ferc.gov</w:t>
        </w:r>
      </w:hyperlink>
      <w:r>
        <w:t xml:space="preserve">.  </w:t>
      </w:r>
      <w:r w:rsidRPr="00AD4410">
        <w:t>The Commission accepts most standard word processing formats</w:t>
      </w:r>
      <w:r>
        <w:t xml:space="preserve">.  </w:t>
      </w:r>
      <w:r w:rsidRPr="00062A6A">
        <w:t>Documents created electronically using word processing software should be filed in native applications or print-to-PDF format and not in a scanned format.</w:t>
      </w:r>
      <w:r>
        <w:t xml:space="preserve">  </w:t>
      </w:r>
      <w:r w:rsidRPr="00AD4410">
        <w:t>Commenters filing electronically do not need to make a paper filing.</w:t>
      </w:r>
    </w:p>
    <w:p w:rsidR="008868B4" w:rsidRDefault="008868B4" w14:paraId="782868E5" w14:textId="77777777">
      <w:pPr>
        <w:widowControl/>
        <w:autoSpaceDE/>
        <w:autoSpaceDN/>
        <w:adjustRightInd/>
      </w:pPr>
      <w:r>
        <w:br w:type="page"/>
      </w:r>
    </w:p>
    <w:p w:rsidRPr="00C30627" w:rsidR="00604BA9" w:rsidP="00604BA9" w:rsidRDefault="00604BA9" w14:paraId="4AA269E8" w14:textId="19CC1A3B">
      <w:pPr>
        <w:pStyle w:val="FERCparanumber"/>
      </w:pPr>
      <w:r w:rsidRPr="00AD4410">
        <w:t>Commenters that are not able to file comments electronically must send an original of their comments to:</w:t>
      </w:r>
      <w:r w:rsidR="00853396">
        <w:t xml:space="preserve"> </w:t>
      </w:r>
      <w:r w:rsidRPr="00AD4410">
        <w:t xml:space="preserve"> Federal Energy Regulatory Commission, </w:t>
      </w:r>
      <w:r>
        <w:t>Secretary of the Commission</w:t>
      </w:r>
      <w:r w:rsidRPr="00AD4410">
        <w:t xml:space="preserve">, 888 First Street NE, Washington, DC </w:t>
      </w:r>
      <w:r w:rsidR="00853396">
        <w:t xml:space="preserve"> </w:t>
      </w:r>
      <w:r w:rsidRPr="00AD4410">
        <w:t>20426.</w:t>
      </w:r>
    </w:p>
    <w:p w:rsidRPr="00C30627" w:rsidR="00604BA9" w:rsidP="00604BA9" w:rsidRDefault="00604BA9" w14:paraId="53C5CC43" w14:textId="77777777">
      <w:pPr>
        <w:pStyle w:val="FERCparanumber"/>
      </w:pPr>
      <w:r>
        <w:t>All comments will be placed in the Commission's public files and may be viewed, printed, or downloaded remotely as described in the Document Availability section below.  Commenters on this proposal are not required to serve copies of their comments on other commenters.</w:t>
      </w:r>
    </w:p>
    <w:p w:rsidRPr="00443B3D" w:rsidR="00604BA9" w:rsidP="00604BA9" w:rsidRDefault="00604BA9" w14:paraId="6639FE27" w14:textId="77777777">
      <w:pPr>
        <w:pStyle w:val="Heading1"/>
      </w:pPr>
      <w:r w:rsidRPr="00443B3D">
        <w:t>Document Availability</w:t>
      </w:r>
    </w:p>
    <w:p w:rsidRPr="00C12A3C" w:rsidR="00604BA9" w:rsidP="00604BA9" w:rsidRDefault="00604BA9" w14:paraId="59D819E0" w14:textId="24DA1EB0">
      <w:pPr>
        <w:pStyle w:val="FERCparanumber"/>
      </w:pPr>
      <w:r w:rsidRPr="00F53919">
        <w:t xml:space="preserve">In addition to publishing the full text of this document in the Federal Register, the Commission provides all interested persons an opportunity to view and/or print the contents of this document via the Internet through </w:t>
      </w:r>
      <w:r>
        <w:t>the Commission</w:t>
      </w:r>
      <w:r w:rsidRPr="00F53919">
        <w:t xml:space="preserve">'s Home Page </w:t>
      </w:r>
      <w:r w:rsidRPr="00CF2558">
        <w:t>(</w:t>
      </w:r>
      <w:hyperlink w:history="1" r:id="rId31">
        <w:r w:rsidRPr="00CF2558">
          <w:rPr>
            <w:rStyle w:val="Hyperlink"/>
            <w:color w:val="auto"/>
            <w:u w:val="none"/>
          </w:rPr>
          <w:t>http://www.ferc.gov</w:t>
        </w:r>
      </w:hyperlink>
      <w:r w:rsidRPr="00F53919">
        <w:t xml:space="preserve">) </w:t>
      </w:r>
      <w:r w:rsidRPr="00C12A3C">
        <w:t>and in the Commission's Public Reference Room durin</w:t>
      </w:r>
      <w:r w:rsidRPr="00C12A3C" w:rsidR="00067A54">
        <w:t>g normal business hours (8:30 a</w:t>
      </w:r>
      <w:r w:rsidRPr="00C12A3C">
        <w:t>m to 5:00 pm Eastern time) at 888 First Street, NE, Room 2A, Washington DC</w:t>
      </w:r>
      <w:r w:rsidRPr="00C12A3C" w:rsidR="00067A54">
        <w:t xml:space="preserve"> </w:t>
      </w:r>
      <w:r w:rsidRPr="00C12A3C">
        <w:t xml:space="preserve"> 20426.</w:t>
      </w:r>
    </w:p>
    <w:p w:rsidR="00604BA9" w:rsidP="00604BA9" w:rsidRDefault="00604BA9" w14:paraId="52657BF1" w14:textId="77777777">
      <w:pPr>
        <w:pStyle w:val="FERCparanumber"/>
      </w:pPr>
      <w: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Pr="00C30627" w:rsidR="00604BA9" w:rsidP="00604BA9" w:rsidRDefault="00604BA9" w14:paraId="1A50B707" w14:textId="22427E3F">
      <w:pPr>
        <w:pStyle w:val="FERCparanumber"/>
      </w:pPr>
      <w:r w:rsidRPr="005449C4">
        <w:t xml:space="preserve">User assistance is available for eLibrary and the </w:t>
      </w:r>
      <w:r>
        <w:t>Commission</w:t>
      </w:r>
      <w:r w:rsidRPr="005449C4">
        <w:t xml:space="preserve">’s website during normal business hours from </w:t>
      </w:r>
      <w:r>
        <w:t>the Commission’s</w:t>
      </w:r>
      <w:r w:rsidRPr="005449C4">
        <w:t xml:space="preserve"> Online Support at 202-502-6652 (toll free at 1-866-208-3676) or email at </w:t>
      </w:r>
      <w:hyperlink w:history="1" r:id="rId32">
        <w:r w:rsidRPr="00CF2558">
          <w:rPr>
            <w:rStyle w:val="Hyperlink"/>
            <w:color w:val="auto"/>
            <w:u w:val="none"/>
          </w:rPr>
          <w:t>ferconlinesupport@ferc.gov</w:t>
        </w:r>
      </w:hyperlink>
      <w:r w:rsidRPr="005449C4">
        <w:t xml:space="preserve">, or the Public Reference Room at (202) 502-8371, TTY (202)502-8659.  E-mail the Public Reference Room at </w:t>
      </w:r>
      <w:hyperlink w:history="1" r:id="rId33">
        <w:r w:rsidRPr="00CF2558">
          <w:rPr>
            <w:rStyle w:val="Hyperlink"/>
            <w:color w:val="auto"/>
            <w:u w:val="none"/>
          </w:rPr>
          <w:t>public.referenceroom@ferc.gov</w:t>
        </w:r>
      </w:hyperlink>
      <w:r w:rsidRPr="00CF2558">
        <w:t>.</w:t>
      </w:r>
    </w:p>
    <w:p w:rsidR="00604BA9" w:rsidP="0082201A" w:rsidRDefault="00604BA9" w14:paraId="43AAD91E" w14:textId="77777777">
      <w:r>
        <w:t>By direction of the Commission.</w:t>
      </w:r>
    </w:p>
    <w:p w:rsidR="00561225" w:rsidP="00CF2558" w:rsidRDefault="00561225" w14:paraId="0C582892" w14:textId="4616FCAF">
      <w:pPr>
        <w:widowControl/>
      </w:pPr>
    </w:p>
    <w:p w:rsidR="00CF2558" w:rsidP="00CF2558" w:rsidRDefault="00CF2558" w14:paraId="7AE8A8B3" w14:textId="4A9CE725">
      <w:pPr>
        <w:widowControl/>
      </w:pPr>
    </w:p>
    <w:p w:rsidR="00CF2558" w:rsidP="00CF2558" w:rsidRDefault="00CF2558" w14:paraId="005C43B2" w14:textId="6E9DC18D">
      <w:pPr>
        <w:widowControl/>
      </w:pPr>
    </w:p>
    <w:p w:rsidR="00CF2558" w:rsidP="00CF2558" w:rsidRDefault="00CF2558" w14:paraId="35173FC7" w14:textId="57F67967">
      <w:pPr>
        <w:widowControl/>
      </w:pPr>
    </w:p>
    <w:p w:rsidRPr="00CF2558" w:rsidR="00CF2558" w:rsidP="00CF2558" w:rsidRDefault="00CF2558" w14:paraId="259C4288" w14:textId="7AE7E08E">
      <w:pPr>
        <w:widowControl/>
        <w:ind w:firstLine="2174"/>
        <w:jc w:val="center"/>
      </w:pPr>
      <w:r w:rsidRPr="00CF2558">
        <w:t>Kimberly D. Bose,</w:t>
      </w:r>
    </w:p>
    <w:p w:rsidR="00E560F8" w:rsidP="00CF2558" w:rsidRDefault="00CF2558" w14:paraId="102D6815" w14:textId="647E31A8">
      <w:pPr>
        <w:widowControl/>
        <w:ind w:firstLine="2174"/>
        <w:jc w:val="center"/>
      </w:pPr>
      <w:r w:rsidRPr="00CF2558">
        <w:t>Secretary.</w:t>
      </w:r>
    </w:p>
    <w:p w:rsidR="00604BA9" w:rsidP="0082201A" w:rsidRDefault="00604BA9" w14:paraId="1C7B106F" w14:textId="77777777"/>
    <w:p w:rsidRPr="00604BA9" w:rsidR="00FA4CD1" w:rsidP="00604BA9" w:rsidRDefault="00FA4CD1" w14:paraId="3832450C" w14:textId="77777777"/>
    <w:sectPr w:rsidRPr="00604BA9" w:rsidR="00FA4CD1" w:rsidSect="00604BA9">
      <w:headerReference w:type="even" r:id="rId34"/>
      <w:headerReference w:type="default" r:id="rId35"/>
      <w:headerReference w:type="first" r:id="rId3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B55B1" w14:textId="77777777" w:rsidR="00FB7045" w:rsidRDefault="00FB7045">
      <w:r>
        <w:separator/>
      </w:r>
    </w:p>
  </w:endnote>
  <w:endnote w:type="continuationSeparator" w:id="0">
    <w:p w14:paraId="314B1E5B" w14:textId="77777777" w:rsidR="00FB7045" w:rsidRDefault="00FB7045">
      <w:r>
        <w:continuationSeparator/>
      </w:r>
    </w:p>
  </w:endnote>
  <w:endnote w:type="continuationNotice" w:id="1">
    <w:p w14:paraId="6C2BF0AD" w14:textId="77777777" w:rsidR="00FB7045" w:rsidRDefault="00FB70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D366" w14:textId="77777777" w:rsidR="007E5F38" w:rsidRDefault="007E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63227" w14:textId="77777777" w:rsidR="007E5F38" w:rsidRDefault="007E5F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87378" w14:textId="77777777" w:rsidR="007E5F38" w:rsidRDefault="007E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74C34" w14:textId="77777777" w:rsidR="00FB7045" w:rsidRDefault="00FB7045">
      <w:r>
        <w:separator/>
      </w:r>
    </w:p>
  </w:footnote>
  <w:footnote w:type="continuationSeparator" w:id="0">
    <w:p w14:paraId="25416245" w14:textId="77777777" w:rsidR="00FB7045" w:rsidRDefault="00FB7045">
      <w:r>
        <w:continuationSeparator/>
      </w:r>
    </w:p>
  </w:footnote>
  <w:footnote w:type="continuationNotice" w:id="1">
    <w:p w14:paraId="033048B7" w14:textId="77777777" w:rsidR="00FB7045" w:rsidRPr="00846A13" w:rsidRDefault="00FB7045" w:rsidP="00846A13">
      <w:pPr>
        <w:pStyle w:val="Footer"/>
      </w:pPr>
    </w:p>
  </w:footnote>
  <w:footnote w:id="2">
    <w:p w14:paraId="4E427621" w14:textId="4CBA5AE0" w:rsidR="00FB7045" w:rsidRDefault="00FB7045">
      <w:pPr>
        <w:pStyle w:val="FootnoteText"/>
      </w:pPr>
      <w:r>
        <w:rPr>
          <w:rStyle w:val="FootnoteReference"/>
        </w:rPr>
        <w:footnoteRef/>
      </w:r>
      <w:r>
        <w:t xml:space="preserve"> </w:t>
      </w:r>
      <w:r>
        <w:rPr>
          <w:szCs w:val="26"/>
        </w:rPr>
        <w:t>Reserve sharing group</w:t>
      </w:r>
      <w:r w:rsidRPr="00242F48">
        <w:rPr>
          <w:szCs w:val="26"/>
        </w:rPr>
        <w:t xml:space="preserve"> is defined in the Glossary</w:t>
      </w:r>
      <w:r>
        <w:rPr>
          <w:szCs w:val="26"/>
        </w:rPr>
        <w:t xml:space="preserve"> of Terms Used in NERC Reliability Standards (NERC Glossary)</w:t>
      </w:r>
      <w:r w:rsidRPr="00242F48">
        <w:rPr>
          <w:szCs w:val="26"/>
        </w:rPr>
        <w:t xml:space="preserve"> as,</w:t>
      </w:r>
      <w:r>
        <w:rPr>
          <w:szCs w:val="26"/>
        </w:rPr>
        <w:t xml:space="preserve"> “[a]</w:t>
      </w:r>
      <w:r w:rsidRPr="00E22DEF">
        <w:rPr>
          <w:szCs w:val="26"/>
        </w:rPr>
        <w:t xml:space="preserve"> group whose members consist of two or more Balancing Authorities that collectively maintain, allocate, and supply operating reserves required for each Balancing Authority’s use in recovering from contingencies within the group. </w:t>
      </w:r>
      <w:r>
        <w:rPr>
          <w:szCs w:val="26"/>
        </w:rPr>
        <w:t>…”</w:t>
      </w:r>
    </w:p>
  </w:footnote>
  <w:footnote w:id="3">
    <w:p w14:paraId="50C2103D" w14:textId="77777777" w:rsidR="00FB7045" w:rsidRDefault="00FB7045">
      <w:pPr>
        <w:pStyle w:val="FootnoteText"/>
      </w:pPr>
      <w:r>
        <w:rPr>
          <w:rStyle w:val="FootnoteReference"/>
        </w:rPr>
        <w:footnoteRef/>
      </w:r>
      <w:r>
        <w:t xml:space="preserve"> </w:t>
      </w:r>
      <w:r>
        <w:rPr>
          <w:lang w:val="es-ES"/>
        </w:rPr>
        <w:t>16 U.S.C. 824o</w:t>
      </w:r>
      <w:r>
        <w:t>.</w:t>
      </w:r>
    </w:p>
  </w:footnote>
  <w:footnote w:id="4">
    <w:p w14:paraId="3FF5C528" w14:textId="77777777" w:rsidR="00FB7045" w:rsidRDefault="00FB7045" w:rsidP="00DF2574">
      <w:pPr>
        <w:pStyle w:val="FootnoteText"/>
      </w:pPr>
      <w:r>
        <w:rPr>
          <w:rStyle w:val="FootnoteReference"/>
        </w:rPr>
        <w:footnoteRef/>
      </w:r>
      <w:r>
        <w:t xml:space="preserve"> </w:t>
      </w:r>
      <w:r>
        <w:rPr>
          <w:lang w:val="es-ES"/>
        </w:rPr>
        <w:t>16 U.S.C. 824o(e)</w:t>
      </w:r>
      <w:r>
        <w:t>.</w:t>
      </w:r>
    </w:p>
  </w:footnote>
  <w:footnote w:id="5">
    <w:p w14:paraId="529976EE" w14:textId="5D0AC65A" w:rsidR="00FB7045" w:rsidRDefault="00FB7045">
      <w:pPr>
        <w:pStyle w:val="FootnoteText"/>
      </w:pPr>
      <w:r>
        <w:rPr>
          <w:rStyle w:val="FootnoteReference"/>
        </w:rPr>
        <w:footnoteRef/>
      </w:r>
      <w:r>
        <w:t xml:space="preserve"> 16 U.S.C. 824o(e)(4).  A Regional Entity is an entity that has been approved </w:t>
      </w:r>
      <w:r w:rsidR="000504AD">
        <w:br/>
      </w:r>
      <w:r>
        <w:t xml:space="preserve">by the Commission to enforce Reliability Standards under delegated authority from the ERO.  </w:t>
      </w:r>
      <w:r w:rsidRPr="00345795">
        <w:rPr>
          <w:i/>
        </w:rPr>
        <w:t>See</w:t>
      </w:r>
      <w:r>
        <w:t xml:space="preserve"> 16 U.S.C. 824o(a)(7) and (e)(4).  On </w:t>
      </w:r>
      <w:r w:rsidRPr="00BF3D42">
        <w:t>April 19, 2007, the Commission accepted delegation agreements between NERC and eight Regional</w:t>
      </w:r>
      <w:r>
        <w:t xml:space="preserve"> Entities, including</w:t>
      </w:r>
      <w:r w:rsidRPr="00BF3D42">
        <w:t xml:space="preserve"> WECC.</w:t>
      </w:r>
      <w:r>
        <w:t xml:space="preserve">  </w:t>
      </w:r>
      <w:r w:rsidRPr="005F49F2">
        <w:rPr>
          <w:i/>
        </w:rPr>
        <w:t>North American Electric Reliability Co</w:t>
      </w:r>
      <w:r w:rsidR="000504AD">
        <w:rPr>
          <w:i/>
        </w:rPr>
        <w:t>uncil</w:t>
      </w:r>
      <w:r w:rsidRPr="005F49F2">
        <w:rPr>
          <w:i/>
        </w:rPr>
        <w:t>.</w:t>
      </w:r>
      <w:r>
        <w:t xml:space="preserve">, 119 FERC ¶ 61,060, </w:t>
      </w:r>
      <w:r w:rsidRPr="003F6285">
        <w:rPr>
          <w:i/>
        </w:rPr>
        <w:t>order on reh’g</w:t>
      </w:r>
      <w:r>
        <w:t xml:space="preserve">, </w:t>
      </w:r>
      <w:r w:rsidR="000504AD">
        <w:br/>
      </w:r>
      <w:r w:rsidRPr="000C1FE1">
        <w:t>120 FERC ¶ 61,260</w:t>
      </w:r>
      <w:r>
        <w:t xml:space="preserve"> (2007).</w:t>
      </w:r>
    </w:p>
  </w:footnote>
  <w:footnote w:id="6">
    <w:p w14:paraId="64747BC6" w14:textId="64396852" w:rsidR="00FB7045" w:rsidRDefault="00FB7045">
      <w:pPr>
        <w:pStyle w:val="FootnoteText"/>
      </w:pPr>
      <w:r>
        <w:rPr>
          <w:rStyle w:val="FootnoteReference"/>
        </w:rPr>
        <w:footnoteRef/>
      </w:r>
      <w:r>
        <w:t xml:space="preserve"> </w:t>
      </w:r>
      <w:r w:rsidR="000504AD" w:rsidRPr="003F6285">
        <w:rPr>
          <w:i/>
        </w:rPr>
        <w:t>Rules Concerning Certification of the Electric Reliability Organization; and Procedures for the Establishment, Approval and Enforcement of Electric Reliability Standards</w:t>
      </w:r>
      <w:r w:rsidR="000504AD">
        <w:t xml:space="preserve">, Order No. 672, 114 FERC ¶ 61,104, at P 291, </w:t>
      </w:r>
      <w:r w:rsidR="000504AD" w:rsidRPr="003F6285">
        <w:rPr>
          <w:i/>
        </w:rPr>
        <w:t>order on reh’g</w:t>
      </w:r>
      <w:r w:rsidR="000504AD">
        <w:t xml:space="preserve">, Order </w:t>
      </w:r>
      <w:r w:rsidR="000504AD">
        <w:br/>
        <w:t>No. 672-A, 114 FERC ¶ 61,328 (2006).</w:t>
      </w:r>
      <w:r>
        <w:t xml:space="preserve">   </w:t>
      </w:r>
    </w:p>
  </w:footnote>
  <w:footnote w:id="7">
    <w:p w14:paraId="40400875" w14:textId="6D4BEB47" w:rsidR="00FB7045" w:rsidRPr="004E07BB" w:rsidRDefault="00FB7045" w:rsidP="00E91C65">
      <w:pPr>
        <w:pStyle w:val="FootnoteText"/>
        <w:spacing w:after="120"/>
        <w:rPr>
          <w:szCs w:val="26"/>
        </w:rPr>
      </w:pPr>
      <w:r w:rsidRPr="004E07BB">
        <w:rPr>
          <w:rStyle w:val="FootnoteReference"/>
        </w:rPr>
        <w:footnoteRef/>
      </w:r>
      <w:r>
        <w:rPr>
          <w:i/>
          <w:szCs w:val="26"/>
        </w:rPr>
        <w:t xml:space="preserve"> </w:t>
      </w:r>
      <w:r w:rsidRPr="004E07BB">
        <w:rPr>
          <w:i/>
          <w:szCs w:val="26"/>
        </w:rPr>
        <w:t xml:space="preserve">Version One Regional Reliability Standard for Resource and Demand Balancing, </w:t>
      </w:r>
      <w:r w:rsidRPr="004E07BB">
        <w:rPr>
          <w:szCs w:val="26"/>
        </w:rPr>
        <w:t xml:space="preserve">Order No. 740, 133 FERC ¶ 61,063, </w:t>
      </w:r>
      <w:r w:rsidR="000504AD">
        <w:rPr>
          <w:szCs w:val="26"/>
        </w:rPr>
        <w:t xml:space="preserve">at </w:t>
      </w:r>
      <w:r w:rsidRPr="004E07BB">
        <w:rPr>
          <w:szCs w:val="26"/>
        </w:rPr>
        <w:t>P 30 (2010).</w:t>
      </w:r>
    </w:p>
  </w:footnote>
  <w:footnote w:id="8">
    <w:p w14:paraId="03E40303" w14:textId="7478EBCB" w:rsidR="00FB7045" w:rsidRDefault="00FB7045">
      <w:pPr>
        <w:pStyle w:val="FootnoteText"/>
      </w:pPr>
      <w:r>
        <w:rPr>
          <w:rStyle w:val="FootnoteReference"/>
        </w:rPr>
        <w:footnoteRef/>
      </w:r>
      <w:r>
        <w:t xml:space="preserve"> </w:t>
      </w:r>
      <w:r>
        <w:rPr>
          <w:i/>
          <w:iCs/>
        </w:rPr>
        <w:t>Regional Reliability Standard BAL-002-WECC-2</w:t>
      </w:r>
      <w:r w:rsidR="000504AD">
        <w:rPr>
          <w:i/>
          <w:iCs/>
        </w:rPr>
        <w:t xml:space="preserve"> - </w:t>
      </w:r>
      <w:r w:rsidR="000504AD" w:rsidRPr="00484C71">
        <w:rPr>
          <w:i/>
          <w:iCs/>
        </w:rPr>
        <w:t>Contingency Reserve</w:t>
      </w:r>
      <w:r w:rsidRPr="000504AD">
        <w:t>,</w:t>
      </w:r>
      <w:r>
        <w:t xml:space="preserve"> Order No. 789, 145 FERC ¶ 61,141 (2013).  On January 24, 2017, by delegated letter order, the Commission approved regional Reliability Standard BAL-002-WECC-2a, which added an interpretation to Requirement R2.  </w:t>
      </w:r>
      <w:r>
        <w:rPr>
          <w:i/>
          <w:iCs/>
        </w:rPr>
        <w:t xml:space="preserve">North American Electric Reliability Corporation, </w:t>
      </w:r>
      <w:r>
        <w:t>Docket. No. RD17-3-000 (Jan. 24, 2017) (delegated order).</w:t>
      </w:r>
    </w:p>
  </w:footnote>
  <w:footnote w:id="9">
    <w:p w14:paraId="6AA207F8" w14:textId="14D6D80E" w:rsidR="00FB7045" w:rsidRDefault="00FB7045">
      <w:pPr>
        <w:pStyle w:val="FootnoteText"/>
      </w:pPr>
      <w:r>
        <w:rPr>
          <w:rStyle w:val="FootnoteReference"/>
        </w:rPr>
        <w:footnoteRef/>
      </w:r>
      <w:r>
        <w:t xml:space="preserve"> Reliability Standard BAL-002-3, approved on September 25, 2018, is the current version of the continent-wide Reliability Standard.</w:t>
      </w:r>
    </w:p>
  </w:footnote>
  <w:footnote w:id="10">
    <w:p w14:paraId="3346392F" w14:textId="258547E0" w:rsidR="00FB7045" w:rsidRPr="00E13B66" w:rsidRDefault="00FB7045">
      <w:pPr>
        <w:pStyle w:val="FootnoteText"/>
      </w:pPr>
      <w:r>
        <w:rPr>
          <w:rStyle w:val="FootnoteReference"/>
        </w:rPr>
        <w:footnoteRef/>
      </w:r>
      <w:r>
        <w:t xml:space="preserve"> Order No. 789, 145 FERC ¶ 61,141 at P 26.  </w:t>
      </w:r>
    </w:p>
  </w:footnote>
  <w:footnote w:id="11">
    <w:p w14:paraId="00E1718C" w14:textId="784ECEDD" w:rsidR="00FB7045" w:rsidRDefault="00FB7045" w:rsidP="002471DA">
      <w:pPr>
        <w:pStyle w:val="FootnoteText"/>
        <w:spacing w:after="120"/>
      </w:pPr>
      <w:r>
        <w:rPr>
          <w:rStyle w:val="FootnoteReference"/>
        </w:rPr>
        <w:footnoteRef/>
      </w:r>
      <w:r>
        <w:t xml:space="preserve"> </w:t>
      </w:r>
      <w:r w:rsidRPr="00242F48">
        <w:rPr>
          <w:i/>
          <w:szCs w:val="26"/>
        </w:rPr>
        <w:t>Frequency Response and Frequency Bias Setting Reliability Standard</w:t>
      </w:r>
      <w:r w:rsidRPr="00242F48">
        <w:rPr>
          <w:szCs w:val="26"/>
        </w:rPr>
        <w:t xml:space="preserve">, </w:t>
      </w:r>
      <w:r w:rsidR="00CF2558">
        <w:rPr>
          <w:szCs w:val="26"/>
        </w:rPr>
        <w:br/>
      </w:r>
      <w:r w:rsidRPr="00242F48">
        <w:rPr>
          <w:szCs w:val="26"/>
        </w:rPr>
        <w:t>Order No. 794, 146 FERC ¶ 61,024 (2014).</w:t>
      </w:r>
      <w:r>
        <w:t xml:space="preserve">  </w:t>
      </w:r>
      <w:r>
        <w:rPr>
          <w:szCs w:val="26"/>
        </w:rPr>
        <w:t xml:space="preserve">Reliability Standard </w:t>
      </w:r>
      <w:r w:rsidRPr="00242F48">
        <w:rPr>
          <w:szCs w:val="26"/>
        </w:rPr>
        <w:t xml:space="preserve">BAL-003-1.1 </w:t>
      </w:r>
      <w:r>
        <w:rPr>
          <w:szCs w:val="26"/>
        </w:rPr>
        <w:t>was subsequently approved by delegated letter order</w:t>
      </w:r>
      <w:r w:rsidRPr="00242F48">
        <w:rPr>
          <w:szCs w:val="26"/>
        </w:rPr>
        <w:t xml:space="preserve"> on November 13, 2015</w:t>
      </w:r>
      <w:r>
        <w:rPr>
          <w:szCs w:val="26"/>
        </w:rPr>
        <w:t xml:space="preserve"> and contained </w:t>
      </w:r>
      <w:r w:rsidRPr="00242F48">
        <w:rPr>
          <w:szCs w:val="26"/>
        </w:rPr>
        <w:t>non-substantive changes over the prior version, Reliability Standard BAL-003-1.</w:t>
      </w:r>
      <w:r>
        <w:rPr>
          <w:szCs w:val="26"/>
        </w:rPr>
        <w:t xml:space="preserve">  </w:t>
      </w:r>
      <w:r w:rsidR="00CF2558">
        <w:rPr>
          <w:szCs w:val="26"/>
        </w:rPr>
        <w:br/>
      </w:r>
      <w:r w:rsidRPr="00C12805">
        <w:rPr>
          <w:i/>
          <w:iCs/>
          <w:szCs w:val="26"/>
        </w:rPr>
        <w:t>North American Electric Reliability Corp</w:t>
      </w:r>
      <w:r>
        <w:rPr>
          <w:szCs w:val="26"/>
        </w:rPr>
        <w:t>., D</w:t>
      </w:r>
      <w:r w:rsidRPr="00906E4B">
        <w:rPr>
          <w:szCs w:val="26"/>
        </w:rPr>
        <w:t>ocket No. RD1</w:t>
      </w:r>
      <w:r>
        <w:rPr>
          <w:szCs w:val="26"/>
        </w:rPr>
        <w:t>5-6</w:t>
      </w:r>
      <w:r w:rsidRPr="00906E4B">
        <w:rPr>
          <w:szCs w:val="26"/>
        </w:rPr>
        <w:t>-000</w:t>
      </w:r>
      <w:r>
        <w:rPr>
          <w:szCs w:val="26"/>
        </w:rPr>
        <w:t xml:space="preserve"> (Nov. 13, 2015) (delegated  order)</w:t>
      </w:r>
      <w:r w:rsidRPr="00906E4B">
        <w:rPr>
          <w:szCs w:val="26"/>
        </w:rPr>
        <w:t>.</w:t>
      </w:r>
    </w:p>
  </w:footnote>
  <w:footnote w:id="12">
    <w:p w14:paraId="63CDBC88" w14:textId="6F131F68" w:rsidR="00FB7045" w:rsidRDefault="00FB7045" w:rsidP="00222D6C">
      <w:pPr>
        <w:pStyle w:val="FootnoteText"/>
        <w:spacing w:after="120"/>
      </w:pPr>
      <w:r>
        <w:rPr>
          <w:rStyle w:val="FootnoteReference"/>
        </w:rPr>
        <w:footnoteRef/>
      </w:r>
      <w:r>
        <w:t xml:space="preserve"> </w:t>
      </w:r>
      <w:r>
        <w:rPr>
          <w:szCs w:val="26"/>
        </w:rPr>
        <w:t>Order No. 794, 146 FERC ¶ 61,024 at P 22.</w:t>
      </w:r>
    </w:p>
  </w:footnote>
  <w:footnote w:id="13">
    <w:p w14:paraId="66ADB269" w14:textId="4629B62C" w:rsidR="00FB7045" w:rsidRDefault="00FB7045" w:rsidP="00E57E1D">
      <w:pPr>
        <w:pStyle w:val="FootnoteText"/>
        <w:spacing w:after="120"/>
      </w:pPr>
      <w:r w:rsidRPr="005A1C7C">
        <w:rPr>
          <w:rStyle w:val="FootnoteReference"/>
        </w:rPr>
        <w:footnoteRef/>
      </w:r>
      <w:r>
        <w:t xml:space="preserve"> </w:t>
      </w:r>
      <w:r>
        <w:rPr>
          <w:szCs w:val="26"/>
        </w:rPr>
        <w:t>Joint Petition</w:t>
      </w:r>
      <w:r>
        <w:t xml:space="preserve"> at 4.</w:t>
      </w:r>
    </w:p>
  </w:footnote>
  <w:footnote w:id="14">
    <w:p w14:paraId="76A31D36" w14:textId="5721EE0A" w:rsidR="00FB7045" w:rsidRDefault="00FB7045" w:rsidP="000F6DE0">
      <w:pPr>
        <w:pStyle w:val="FootnoteText"/>
        <w:spacing w:after="120"/>
      </w:pPr>
      <w:r>
        <w:rPr>
          <w:rStyle w:val="FootnoteReference"/>
        </w:rPr>
        <w:footnoteRef/>
      </w:r>
      <w:r>
        <w:t xml:space="preserve"> </w:t>
      </w:r>
      <w:r>
        <w:rPr>
          <w:i/>
          <w:iCs/>
          <w:szCs w:val="26"/>
        </w:rPr>
        <w:t>Id.</w:t>
      </w:r>
      <w:r w:rsidRPr="00242F48">
        <w:rPr>
          <w:szCs w:val="26"/>
        </w:rPr>
        <w:t xml:space="preserve"> at 13.</w:t>
      </w:r>
    </w:p>
  </w:footnote>
  <w:footnote w:id="15">
    <w:p w14:paraId="6C656B45" w14:textId="24C3116D" w:rsidR="00FB7045" w:rsidRPr="00E57E1D" w:rsidRDefault="00FB7045">
      <w:pPr>
        <w:pStyle w:val="FootnoteText"/>
        <w:rPr>
          <w:i/>
          <w:iCs/>
        </w:rPr>
      </w:pPr>
      <w:r>
        <w:rPr>
          <w:rStyle w:val="FootnoteReference"/>
        </w:rPr>
        <w:footnoteRef/>
      </w:r>
      <w:r>
        <w:t xml:space="preserve"> </w:t>
      </w:r>
      <w:r>
        <w:rPr>
          <w:i/>
          <w:iCs/>
        </w:rPr>
        <w:t xml:space="preserve">Id. </w:t>
      </w:r>
      <w:r w:rsidRPr="000504AD">
        <w:t>at</w:t>
      </w:r>
      <w:r>
        <w:rPr>
          <w:i/>
          <w:iCs/>
        </w:rPr>
        <w:t xml:space="preserve"> 4.</w:t>
      </w:r>
    </w:p>
  </w:footnote>
  <w:footnote w:id="16">
    <w:p w14:paraId="6432C17C" w14:textId="23C40B1C" w:rsidR="00FB7045" w:rsidRPr="00A70B91" w:rsidRDefault="00FB7045" w:rsidP="00EE2848">
      <w:pPr>
        <w:pStyle w:val="FootnoteText"/>
        <w:spacing w:after="120"/>
        <w:rPr>
          <w:szCs w:val="26"/>
        </w:rPr>
      </w:pPr>
      <w:r w:rsidRPr="00A70B91">
        <w:rPr>
          <w:rStyle w:val="FootnoteReference"/>
        </w:rPr>
        <w:footnoteRef/>
      </w:r>
      <w:r w:rsidRPr="00A70B91">
        <w:rPr>
          <w:szCs w:val="26"/>
        </w:rPr>
        <w:t xml:space="preserve"> </w:t>
      </w:r>
      <w:r>
        <w:rPr>
          <w:i/>
          <w:iCs/>
          <w:szCs w:val="26"/>
        </w:rPr>
        <w:t>Id.</w:t>
      </w:r>
      <w:r w:rsidRPr="00A70B91">
        <w:rPr>
          <w:szCs w:val="26"/>
        </w:rPr>
        <w:t xml:space="preserve"> at 12-13.</w:t>
      </w:r>
    </w:p>
  </w:footnote>
  <w:footnote w:id="17">
    <w:p w14:paraId="6DDB93B4" w14:textId="78135720" w:rsidR="00FB7045" w:rsidRDefault="00FB7045" w:rsidP="001F55B8">
      <w:pPr>
        <w:pStyle w:val="FootnoteText"/>
        <w:spacing w:after="120"/>
      </w:pPr>
      <w:r>
        <w:rPr>
          <w:rStyle w:val="FootnoteReference"/>
        </w:rPr>
        <w:footnoteRef/>
      </w:r>
      <w:r>
        <w:t xml:space="preserve"> </w:t>
      </w:r>
      <w:r>
        <w:rPr>
          <w:i/>
          <w:iCs/>
        </w:rPr>
        <w:t>Id.</w:t>
      </w:r>
      <w:r>
        <w:t xml:space="preserve"> at 13.  </w:t>
      </w:r>
      <w:r w:rsidRPr="00955946">
        <w:rPr>
          <w:szCs w:val="26"/>
        </w:rPr>
        <w:t xml:space="preserve">A report containing the results of the field test is appended to the </w:t>
      </w:r>
      <w:r>
        <w:rPr>
          <w:szCs w:val="26"/>
        </w:rPr>
        <w:t xml:space="preserve">joint </w:t>
      </w:r>
      <w:r w:rsidRPr="00955946">
        <w:rPr>
          <w:szCs w:val="26"/>
        </w:rPr>
        <w:t xml:space="preserve">petition as Exhibit C.  </w:t>
      </w:r>
      <w:r>
        <w:rPr>
          <w:szCs w:val="26"/>
        </w:rPr>
        <w:t>Joint Petition, Exhibit C (Field Test Results, WECC-0115 BAL-002-WECC-2a Request to Retire Requirement R2).</w:t>
      </w:r>
    </w:p>
  </w:footnote>
  <w:footnote w:id="18">
    <w:p w14:paraId="552659B8" w14:textId="6E6CF7CA" w:rsidR="00FB7045" w:rsidRDefault="00FB7045" w:rsidP="001F55B8">
      <w:pPr>
        <w:pStyle w:val="FootnoteText"/>
        <w:spacing w:after="120"/>
      </w:pPr>
      <w:r>
        <w:rPr>
          <w:rStyle w:val="FootnoteReference"/>
        </w:rPr>
        <w:footnoteRef/>
      </w:r>
      <w:r>
        <w:t xml:space="preserve"> </w:t>
      </w:r>
      <w:r w:rsidRPr="00242F48">
        <w:rPr>
          <w:szCs w:val="26"/>
        </w:rPr>
        <w:t xml:space="preserve">Disturbance </w:t>
      </w:r>
      <w:r>
        <w:rPr>
          <w:szCs w:val="26"/>
        </w:rPr>
        <w:t>c</w:t>
      </w:r>
      <w:r w:rsidRPr="00242F48">
        <w:rPr>
          <w:szCs w:val="26"/>
        </w:rPr>
        <w:t xml:space="preserve">ontrol </w:t>
      </w:r>
      <w:r>
        <w:rPr>
          <w:szCs w:val="26"/>
        </w:rPr>
        <w:t>s</w:t>
      </w:r>
      <w:r w:rsidRPr="00242F48">
        <w:rPr>
          <w:szCs w:val="26"/>
        </w:rPr>
        <w:t xml:space="preserve">tandard is defined in the </w:t>
      </w:r>
      <w:r>
        <w:rPr>
          <w:szCs w:val="26"/>
        </w:rPr>
        <w:t>NERC Glossary</w:t>
      </w:r>
      <w:r w:rsidRPr="00242F48">
        <w:rPr>
          <w:szCs w:val="26"/>
        </w:rPr>
        <w:t xml:space="preserve"> as, “</w:t>
      </w:r>
      <w:r>
        <w:rPr>
          <w:szCs w:val="26"/>
        </w:rPr>
        <w:t>[t]</w:t>
      </w:r>
      <w:r w:rsidRPr="00242F48">
        <w:rPr>
          <w:szCs w:val="26"/>
        </w:rPr>
        <w:t>he reliability standard that sets the time limit following a Disturbance within which a Balancing Authority must return its Area Control Error to within a specified range.”</w:t>
      </w:r>
      <w:r>
        <w:rPr>
          <w:szCs w:val="26"/>
        </w:rPr>
        <w:t xml:space="preserve">  </w:t>
      </w:r>
      <w:r w:rsidR="00A33719">
        <w:rPr>
          <w:szCs w:val="26"/>
        </w:rPr>
        <w:br/>
      </w:r>
      <w:r>
        <w:rPr>
          <w:i/>
          <w:szCs w:val="26"/>
        </w:rPr>
        <w:t xml:space="preserve">See also </w:t>
      </w:r>
      <w:r>
        <w:rPr>
          <w:iCs/>
          <w:szCs w:val="26"/>
        </w:rPr>
        <w:t xml:space="preserve">Joint </w:t>
      </w:r>
      <w:r>
        <w:rPr>
          <w:szCs w:val="26"/>
        </w:rPr>
        <w:t>Petition, Exhibit C at 5.</w:t>
      </w:r>
    </w:p>
  </w:footnote>
  <w:footnote w:id="19">
    <w:p w14:paraId="0B69FFD8" w14:textId="42FB3E87" w:rsidR="00FB7045" w:rsidRDefault="00FB7045" w:rsidP="005A1C7C">
      <w:pPr>
        <w:pStyle w:val="FootnoteText"/>
        <w:spacing w:after="120"/>
        <w:ind w:firstLine="0"/>
        <w:rPr>
          <w:szCs w:val="26"/>
        </w:rPr>
      </w:pPr>
      <w:r>
        <w:tab/>
      </w:r>
      <w:r>
        <w:rPr>
          <w:rStyle w:val="FootnoteReference"/>
        </w:rPr>
        <w:footnoteRef/>
      </w:r>
      <w:r>
        <w:t xml:space="preserve"> </w:t>
      </w:r>
      <w:r>
        <w:rPr>
          <w:szCs w:val="26"/>
        </w:rPr>
        <w:t xml:space="preserve">We understand </w:t>
      </w:r>
      <w:r w:rsidRPr="001159BA">
        <w:rPr>
          <w:szCs w:val="26"/>
        </w:rPr>
        <w:t>the reference to “</w:t>
      </w:r>
      <w:r>
        <w:rPr>
          <w:szCs w:val="26"/>
        </w:rPr>
        <w:t xml:space="preserve">reportable </w:t>
      </w:r>
      <w:r w:rsidRPr="001159BA">
        <w:rPr>
          <w:szCs w:val="26"/>
        </w:rPr>
        <w:t xml:space="preserve">DCS event” in the petition </w:t>
      </w:r>
      <w:r>
        <w:rPr>
          <w:szCs w:val="26"/>
        </w:rPr>
        <w:t>corresponds to the</w:t>
      </w:r>
      <w:r w:rsidRPr="001159BA">
        <w:rPr>
          <w:szCs w:val="26"/>
        </w:rPr>
        <w:t xml:space="preserve"> NERC </w:t>
      </w:r>
      <w:r>
        <w:rPr>
          <w:szCs w:val="26"/>
        </w:rPr>
        <w:t>G</w:t>
      </w:r>
      <w:r w:rsidRPr="001159BA">
        <w:rPr>
          <w:szCs w:val="26"/>
        </w:rPr>
        <w:t>lossary term “</w:t>
      </w:r>
      <w:r>
        <w:rPr>
          <w:szCs w:val="26"/>
        </w:rPr>
        <w:t xml:space="preserve">reportable </w:t>
      </w:r>
      <w:r w:rsidRPr="001159BA">
        <w:rPr>
          <w:szCs w:val="26"/>
        </w:rPr>
        <w:t xml:space="preserve">balancing contingency event” that </w:t>
      </w:r>
      <w:r>
        <w:rPr>
          <w:szCs w:val="26"/>
        </w:rPr>
        <w:t>appears in</w:t>
      </w:r>
      <w:r w:rsidRPr="001159BA">
        <w:rPr>
          <w:szCs w:val="26"/>
        </w:rPr>
        <w:t xml:space="preserve"> </w:t>
      </w:r>
      <w:r>
        <w:rPr>
          <w:szCs w:val="26"/>
        </w:rPr>
        <w:t>R</w:t>
      </w:r>
      <w:r w:rsidRPr="001159BA">
        <w:rPr>
          <w:szCs w:val="26"/>
        </w:rPr>
        <w:t xml:space="preserve">eliability Standard BAL-002-3.  The </w:t>
      </w:r>
      <w:r>
        <w:rPr>
          <w:szCs w:val="26"/>
        </w:rPr>
        <w:t xml:space="preserve">NERC Glossary </w:t>
      </w:r>
      <w:r w:rsidRPr="001159BA">
        <w:rPr>
          <w:szCs w:val="26"/>
        </w:rPr>
        <w:t>defin</w:t>
      </w:r>
      <w:r>
        <w:rPr>
          <w:szCs w:val="26"/>
        </w:rPr>
        <w:t>es</w:t>
      </w:r>
      <w:r w:rsidRPr="001159BA">
        <w:rPr>
          <w:szCs w:val="26"/>
        </w:rPr>
        <w:t xml:space="preserve"> </w:t>
      </w:r>
      <w:r>
        <w:rPr>
          <w:szCs w:val="26"/>
        </w:rPr>
        <w:t xml:space="preserve">reportable </w:t>
      </w:r>
      <w:r w:rsidRPr="001159BA">
        <w:rPr>
          <w:szCs w:val="26"/>
        </w:rPr>
        <w:t>balancing contin</w:t>
      </w:r>
      <w:r>
        <w:rPr>
          <w:szCs w:val="26"/>
        </w:rPr>
        <w:t>g</w:t>
      </w:r>
      <w:r w:rsidRPr="001159BA">
        <w:rPr>
          <w:szCs w:val="26"/>
        </w:rPr>
        <w:t xml:space="preserve">ency event </w:t>
      </w:r>
      <w:r>
        <w:rPr>
          <w:szCs w:val="26"/>
        </w:rPr>
        <w:t>as</w:t>
      </w:r>
      <w:r w:rsidRPr="001159BA">
        <w:rPr>
          <w:szCs w:val="26"/>
        </w:rPr>
        <w:t>:</w:t>
      </w:r>
      <w:r w:rsidR="000504AD">
        <w:rPr>
          <w:szCs w:val="26"/>
        </w:rPr>
        <w:t xml:space="preserve"> </w:t>
      </w:r>
      <w:r w:rsidRPr="001159BA">
        <w:rPr>
          <w:szCs w:val="26"/>
        </w:rPr>
        <w:t xml:space="preserve"> </w:t>
      </w:r>
      <w:r>
        <w:rPr>
          <w:szCs w:val="26"/>
        </w:rPr>
        <w:t>“[a]</w:t>
      </w:r>
      <w:r w:rsidRPr="00135630">
        <w:rPr>
          <w:szCs w:val="26"/>
        </w:rPr>
        <w:t xml:space="preserve">ny Balancing Contingency Event occurring within a one-minute interval of an initial sudden decline in ACE based on EMS scan rate data that results in a loss of MW output less than or equal to the Most Severe Single Contingency, and greater than or equal to the lesser amount of: (i) 80% of the Most Severe Single Contingency, or (ii) the amount listed below for the applicable Interconnection. </w:t>
      </w:r>
      <w:r>
        <w:rPr>
          <w:szCs w:val="26"/>
        </w:rPr>
        <w:t xml:space="preserve"> </w:t>
      </w:r>
      <w:r w:rsidRPr="00135630">
        <w:rPr>
          <w:szCs w:val="26"/>
        </w:rPr>
        <w:t xml:space="preserve">Prior to any given calendar quarter, the 80% threshold may be reduced by the responsible entity upon written notification to the Regional Entity. </w:t>
      </w:r>
      <w:r>
        <w:rPr>
          <w:szCs w:val="26"/>
        </w:rPr>
        <w:t xml:space="preserve"> (</w:t>
      </w:r>
      <w:r w:rsidRPr="00135630">
        <w:rPr>
          <w:szCs w:val="26"/>
        </w:rPr>
        <w:t>Eastern Interconnection – 900 MW</w:t>
      </w:r>
      <w:r>
        <w:rPr>
          <w:szCs w:val="26"/>
        </w:rPr>
        <w:t xml:space="preserve">, </w:t>
      </w:r>
      <w:r w:rsidRPr="00135630">
        <w:rPr>
          <w:szCs w:val="26"/>
        </w:rPr>
        <w:t>Western Interconnection – 500 MW</w:t>
      </w:r>
      <w:r>
        <w:rPr>
          <w:szCs w:val="26"/>
        </w:rPr>
        <w:t xml:space="preserve">, </w:t>
      </w:r>
      <w:r w:rsidRPr="00135630">
        <w:rPr>
          <w:szCs w:val="26"/>
        </w:rPr>
        <w:t>ERCOT – 800 MW</w:t>
      </w:r>
      <w:r>
        <w:rPr>
          <w:szCs w:val="26"/>
        </w:rPr>
        <w:t xml:space="preserve">, and </w:t>
      </w:r>
      <w:r w:rsidRPr="00135630">
        <w:rPr>
          <w:szCs w:val="26"/>
        </w:rPr>
        <w:t>Quebec – 500 MW</w:t>
      </w:r>
      <w:r>
        <w:rPr>
          <w:szCs w:val="26"/>
        </w:rPr>
        <w:t>).”</w:t>
      </w:r>
    </w:p>
    <w:p w14:paraId="29570F47" w14:textId="77777777" w:rsidR="00FB7045" w:rsidRPr="001159BA" w:rsidRDefault="00FB7045" w:rsidP="004B3A08">
      <w:pPr>
        <w:pStyle w:val="FootnoteText"/>
        <w:spacing w:after="0"/>
        <w:rPr>
          <w:szCs w:val="26"/>
        </w:rPr>
      </w:pPr>
    </w:p>
  </w:footnote>
  <w:footnote w:id="20">
    <w:p w14:paraId="043B5B6A" w14:textId="01E2EA75" w:rsidR="00FB7045" w:rsidRDefault="00FB7045">
      <w:pPr>
        <w:pStyle w:val="FootnoteText"/>
      </w:pPr>
      <w:r>
        <w:rPr>
          <w:rStyle w:val="FootnoteReference"/>
        </w:rPr>
        <w:footnoteRef/>
      </w:r>
      <w:r>
        <w:t xml:space="preserve"> Joint Petition at 13-14.</w:t>
      </w:r>
    </w:p>
  </w:footnote>
  <w:footnote w:id="21">
    <w:p w14:paraId="2038B945" w14:textId="2638A071" w:rsidR="00FB7045" w:rsidRPr="00725F2B" w:rsidRDefault="00FB7045">
      <w:pPr>
        <w:pStyle w:val="FootnoteText"/>
      </w:pPr>
      <w:r>
        <w:rPr>
          <w:rStyle w:val="FootnoteReference"/>
        </w:rPr>
        <w:footnoteRef/>
      </w:r>
      <w:r>
        <w:t xml:space="preserve"> </w:t>
      </w:r>
      <w:r>
        <w:rPr>
          <w:i/>
          <w:iCs/>
        </w:rPr>
        <w:t xml:space="preserve">Id. </w:t>
      </w:r>
      <w:r>
        <w:t>at 14.</w:t>
      </w:r>
    </w:p>
  </w:footnote>
  <w:footnote w:id="22">
    <w:p w14:paraId="124C77A0" w14:textId="1B0FF3B3" w:rsidR="00FB7045" w:rsidRPr="00BB5EB8" w:rsidRDefault="00FB7045">
      <w:pPr>
        <w:pStyle w:val="FootnoteText"/>
      </w:pPr>
      <w:r>
        <w:rPr>
          <w:rStyle w:val="FootnoteReference"/>
        </w:rPr>
        <w:footnoteRef/>
      </w:r>
      <w:r>
        <w:t xml:space="preserve"> </w:t>
      </w:r>
      <w:r>
        <w:rPr>
          <w:i/>
          <w:iCs/>
        </w:rPr>
        <w:t>Id.</w:t>
      </w:r>
      <w:r>
        <w:t xml:space="preserve"> at 15.</w:t>
      </w:r>
    </w:p>
  </w:footnote>
  <w:footnote w:id="23">
    <w:p w14:paraId="655579C8" w14:textId="77777777" w:rsidR="00FB7045" w:rsidRPr="00EE2848" w:rsidRDefault="00FB7045" w:rsidP="001012D5">
      <w:pPr>
        <w:pStyle w:val="FootnoteText"/>
      </w:pPr>
      <w:r>
        <w:rPr>
          <w:rStyle w:val="FootnoteReference"/>
        </w:rPr>
        <w:footnoteRef/>
      </w:r>
      <w:r>
        <w:t xml:space="preserve"> </w:t>
      </w:r>
      <w:r>
        <w:rPr>
          <w:i/>
          <w:iCs/>
        </w:rPr>
        <w:t xml:space="preserve">Id. </w:t>
      </w:r>
      <w:r>
        <w:t>at 10.</w:t>
      </w:r>
    </w:p>
  </w:footnote>
  <w:footnote w:id="24">
    <w:p w14:paraId="4A81F8A3" w14:textId="72ECEE74" w:rsidR="00FB7045" w:rsidRDefault="00FB7045" w:rsidP="002B5668">
      <w:pPr>
        <w:pStyle w:val="FootnoteText"/>
      </w:pPr>
      <w:r>
        <w:rPr>
          <w:rStyle w:val="FootnoteReference"/>
        </w:rPr>
        <w:footnoteRef/>
      </w:r>
      <w:r>
        <w:t xml:space="preserve"> </w:t>
      </w:r>
      <w:r w:rsidRPr="0028462E">
        <w:t>The WECC operating committee raised similar issues in a report regarding the Northwest price spike event that occurred the week of March 1-4, 2019.</w:t>
      </w:r>
      <w:r>
        <w:t xml:space="preserve">  </w:t>
      </w:r>
      <w:r w:rsidRPr="002B5668">
        <w:rPr>
          <w:i/>
          <w:iCs/>
        </w:rPr>
        <w:t>See also,</w:t>
      </w:r>
      <w:r>
        <w:t xml:space="preserve"> </w:t>
      </w:r>
      <w:hyperlink r:id="rId1" w:history="1">
        <w:r w:rsidRPr="00A33719">
          <w:rPr>
            <w:rStyle w:val="Hyperlink"/>
            <w:color w:val="auto"/>
            <w:u w:val="none"/>
          </w:rPr>
          <w:t>https://www.wecc.org/Reliability/PricingEvent_Paper_Final.pdf</w:t>
        </w:r>
      </w:hyperlink>
      <w:r w:rsidRPr="00A33719">
        <w:t xml:space="preserve"> at</w:t>
      </w:r>
      <w:r>
        <w:t xml:space="preserve"> 13: </w:t>
      </w:r>
      <w:r w:rsidR="00A33719">
        <w:t xml:space="preserve"> </w:t>
      </w:r>
      <w:r>
        <w:t>“</w:t>
      </w:r>
      <w:r w:rsidRPr="002B5668">
        <w:t>Reserves are calculated based on unit capacity and do not necessarily consider fuel availability</w:t>
      </w:r>
      <w:r>
        <w:t xml:space="preserve">.  </w:t>
      </w:r>
      <w:r w:rsidRPr="002B5668">
        <w:t>Limits on the hydro system and wind availability</w:t>
      </w:r>
      <w:r>
        <w:t xml:space="preserve"> … </w:t>
      </w:r>
      <w:r w:rsidRPr="002B5668">
        <w:t xml:space="preserve">could reduce actual reserve levels below </w:t>
      </w:r>
      <w:r w:rsidR="00713351">
        <w:br/>
      </w:r>
      <w:r w:rsidRPr="002B5668">
        <w:t xml:space="preserve">the calculated and reported levels. </w:t>
      </w:r>
      <w:r>
        <w:t xml:space="preserve"> </w:t>
      </w:r>
      <w:r w:rsidRPr="002B5668">
        <w:t>Fuel</w:t>
      </w:r>
      <w:r>
        <w:t>-</w:t>
      </w:r>
      <w:r w:rsidRPr="002B5668">
        <w:t>limited resources may be overcounted toward reserves as the full capacity of the unit may be counted without regard to the availability of fuel.</w:t>
      </w:r>
      <w:r>
        <w:t>”</w:t>
      </w:r>
      <w:r w:rsidRPr="002B5668">
        <w:t xml:space="preserve"> </w:t>
      </w:r>
    </w:p>
  </w:footnote>
  <w:footnote w:id="25">
    <w:p w14:paraId="30A204A4" w14:textId="77777777" w:rsidR="00FB7045" w:rsidRDefault="00FB7045" w:rsidP="00616967">
      <w:pPr>
        <w:pStyle w:val="FootnoteText"/>
      </w:pPr>
      <w:r>
        <w:rPr>
          <w:rStyle w:val="FootnoteReference"/>
        </w:rPr>
        <w:footnoteRef/>
      </w:r>
      <w:r>
        <w:t xml:space="preserve"> The informational filing report can be drafted in a similar manner as the field test report provided in the petition including all of the requested data.</w:t>
      </w:r>
    </w:p>
  </w:footnote>
  <w:footnote w:id="26">
    <w:p w14:paraId="6DAE13F8" w14:textId="604099DA" w:rsidR="00FB7045" w:rsidRPr="00335A9B" w:rsidRDefault="00FB7045" w:rsidP="00F1648C">
      <w:pPr>
        <w:pStyle w:val="FootnoteText"/>
        <w:spacing w:before="120" w:after="120"/>
        <w:rPr>
          <w:szCs w:val="26"/>
        </w:rPr>
      </w:pPr>
      <w:r w:rsidRPr="00335A9B">
        <w:rPr>
          <w:rStyle w:val="FootnoteReference"/>
        </w:rPr>
        <w:footnoteRef/>
      </w:r>
      <w:r w:rsidRPr="00335A9B">
        <w:rPr>
          <w:szCs w:val="26"/>
        </w:rPr>
        <w:t xml:space="preserve"> </w:t>
      </w:r>
      <w:r>
        <w:rPr>
          <w:szCs w:val="26"/>
        </w:rPr>
        <w:t>44 U.S.C. 3507(d)</w:t>
      </w:r>
      <w:r w:rsidRPr="00335A9B">
        <w:rPr>
          <w:szCs w:val="26"/>
        </w:rPr>
        <w:t>.</w:t>
      </w:r>
    </w:p>
  </w:footnote>
  <w:footnote w:id="27">
    <w:p w14:paraId="4A40FDF7" w14:textId="69866800" w:rsidR="00FB7045" w:rsidRPr="00335A9B" w:rsidRDefault="00FB7045" w:rsidP="00F1648C">
      <w:pPr>
        <w:pStyle w:val="FootnoteText"/>
        <w:spacing w:before="120" w:after="120"/>
        <w:rPr>
          <w:szCs w:val="26"/>
        </w:rPr>
      </w:pPr>
      <w:r w:rsidRPr="00335A9B">
        <w:rPr>
          <w:rStyle w:val="FootnoteReference"/>
        </w:rPr>
        <w:footnoteRef/>
      </w:r>
      <w:r w:rsidRPr="00335A9B">
        <w:rPr>
          <w:szCs w:val="26"/>
        </w:rPr>
        <w:t xml:space="preserve"> </w:t>
      </w:r>
      <w:r>
        <w:rPr>
          <w:szCs w:val="26"/>
        </w:rPr>
        <w:t>5 C</w:t>
      </w:r>
      <w:r w:rsidR="00BF7CF8">
        <w:rPr>
          <w:szCs w:val="26"/>
        </w:rPr>
        <w:t>.</w:t>
      </w:r>
      <w:r>
        <w:rPr>
          <w:szCs w:val="26"/>
        </w:rPr>
        <w:t>F</w:t>
      </w:r>
      <w:r w:rsidR="00BF7CF8">
        <w:rPr>
          <w:szCs w:val="26"/>
        </w:rPr>
        <w:t>.</w:t>
      </w:r>
      <w:r>
        <w:rPr>
          <w:szCs w:val="26"/>
        </w:rPr>
        <w:t>R</w:t>
      </w:r>
      <w:r w:rsidR="00BF7CF8">
        <w:rPr>
          <w:szCs w:val="26"/>
        </w:rPr>
        <w:t>.</w:t>
      </w:r>
      <w:r>
        <w:rPr>
          <w:szCs w:val="26"/>
        </w:rPr>
        <w:t xml:space="preserve"> </w:t>
      </w:r>
      <w:r w:rsidRPr="00335A9B">
        <w:rPr>
          <w:szCs w:val="26"/>
        </w:rPr>
        <w:t>1320.11.</w:t>
      </w:r>
    </w:p>
  </w:footnote>
  <w:footnote w:id="28">
    <w:p w14:paraId="1354CCFF" w14:textId="36C50984" w:rsidR="00FB7045" w:rsidRDefault="00FB7045">
      <w:pPr>
        <w:pStyle w:val="FootnoteText"/>
      </w:pPr>
      <w:r>
        <w:rPr>
          <w:rStyle w:val="FootnoteReference"/>
        </w:rPr>
        <w:footnoteRef/>
      </w:r>
      <w:r>
        <w:t xml:space="preserve"> </w:t>
      </w:r>
      <w:r w:rsidRPr="006C0E6A">
        <w:t xml:space="preserve">BAL-002-WECC-2 is included in the OMB-approved inventory for FERC-725E.  On November 9, 2016, NERC and WECC submitted a joint petition for approval of an interpretation of BAL-002-WECC-2, to be designated BAL-002-WECC-2a.  BAL-002-WECC-2a was approved by order in Docket No. RD17-3-000 on January 24, 2017.  The Order determined: </w:t>
      </w:r>
      <w:r w:rsidR="00A33719">
        <w:t xml:space="preserve"> </w:t>
      </w:r>
      <w:r w:rsidRPr="006C0E6A">
        <w:t>“The proposed interpretation provides clarification regarding the types of resources that may be used to satisfy Contingency Reserve requirements in regional Reliability Standard BAL-002-WECC-2.”  BAL-002-WECC-2a did not trigger the Paperwork Reduction Act and did not affect the burden estimate.</w:t>
      </w:r>
    </w:p>
  </w:footnote>
  <w:footnote w:id="29">
    <w:p w14:paraId="03008806" w14:textId="7690B05F" w:rsidR="00FB7045" w:rsidRDefault="00FB7045">
      <w:pPr>
        <w:pStyle w:val="FootnoteText"/>
      </w:pPr>
      <w:r>
        <w:rPr>
          <w:rStyle w:val="FootnoteReference"/>
        </w:rPr>
        <w:footnoteRef/>
      </w:r>
      <w:r>
        <w:t xml:space="preserve"> </w:t>
      </w:r>
      <w:r w:rsidRPr="009E7471">
        <w:t>VAR-501-WECC-3.1 was approved by order in Docket No. RD17-7-000 on September 26, 2017.  The August 18, 2017 petition requested Commission approval of errata to mandatory and enforceable regional Reliability VAR-501-WECC-3 (Power System Stabilizer).</w:t>
      </w:r>
      <w:r w:rsidR="00A33719">
        <w:t xml:space="preserve"> </w:t>
      </w:r>
      <w:r w:rsidRPr="009E7471">
        <w:t xml:space="preserve"> Because the reporting burden for VAR-501-WECC-3.1 did not increase for entities that operate within the Western Interconnection, FERC submitted </w:t>
      </w:r>
      <w:r w:rsidR="00A33719">
        <w:br/>
      </w:r>
      <w:r w:rsidRPr="009E7471">
        <w:t xml:space="preserve">the order to OMB for information only.  The burden related to VAR-501-WECC-3.1 </w:t>
      </w:r>
      <w:r w:rsidR="00A33719">
        <w:br/>
      </w:r>
      <w:r w:rsidRPr="009E7471">
        <w:t>does not differ from the burden of VAR-501-WECC-3, which is included in the OMB-approved inventory.  VAR-501-WECC-3.1 is being included in this Notice and the Commission’s submittal to OMB as part of FERC-725E.</w:t>
      </w:r>
    </w:p>
  </w:footnote>
  <w:footnote w:id="30">
    <w:p w14:paraId="1B16889F" w14:textId="49A9D3ED" w:rsidR="00FB7045" w:rsidRDefault="00FB7045">
      <w:pPr>
        <w:pStyle w:val="FootnoteText"/>
      </w:pPr>
      <w:r>
        <w:rPr>
          <w:rStyle w:val="FootnoteReference"/>
        </w:rPr>
        <w:footnoteRef/>
      </w:r>
      <w:r>
        <w:t xml:space="preserve"> </w:t>
      </w:r>
      <w:r w:rsidRPr="00D329B0">
        <w:t>IRO-006-WECC-3 was approved by order in Docket No. RD19-4-000 on May 10, 2019.  The March 6, 2019 petition states that WECC revised the regional Reliability Standard to clarify the purpose statement, replace certain defined terms, account for multiple reliability coordinators in the Western Interconnection, and conform the regional Reliability Standard to the current drafting conventions and template.  Because the reporting burden for IRO-006-WECC-3 did not increase for entities that operate within the Western Interconnection, FERC submitted the order to OMB for information only.  The burden related to IRO-006-WECC-3 does not differ from the burden of IRO-006-WECC-2, which is included in the OMB-approved inventory.  IRO-006-WECC-3 is being included in this Notice and the Commission’s submittal to OMB as part of FERC-725E.</w:t>
      </w:r>
    </w:p>
  </w:footnote>
  <w:footnote w:id="31">
    <w:p w14:paraId="56F24C38" w14:textId="27CB1257" w:rsidR="00FB7045" w:rsidRDefault="00FB7045" w:rsidP="00E5557C">
      <w:pPr>
        <w:widowControl/>
        <w:autoSpaceDE/>
        <w:autoSpaceDN/>
        <w:adjustRightInd/>
        <w:ind w:firstLine="720"/>
        <w:rPr>
          <w:szCs w:val="26"/>
        </w:rPr>
      </w:pPr>
      <w:r w:rsidRPr="00B258EE">
        <w:rPr>
          <w:rStyle w:val="FootnoteReference"/>
        </w:rPr>
        <w:footnoteRef/>
      </w:r>
      <w:r w:rsidRPr="00B258EE">
        <w:rPr>
          <w:szCs w:val="26"/>
        </w:rPr>
        <w:t xml:space="preserve"> </w:t>
      </w:r>
      <w:r w:rsidRPr="00720313">
        <w:rPr>
          <w:szCs w:val="26"/>
        </w:rPr>
        <w:t>T</w:t>
      </w:r>
      <w:r w:rsidRPr="00B258EE">
        <w:rPr>
          <w:szCs w:val="26"/>
        </w:rPr>
        <w:t xml:space="preserve">he hourly cost (for salary </w:t>
      </w:r>
      <w:r w:rsidRPr="00720313">
        <w:rPr>
          <w:szCs w:val="26"/>
        </w:rPr>
        <w:t xml:space="preserve">plus benefits) uses the figures from the Bureau of Labor Statistics </w:t>
      </w:r>
      <w:r>
        <w:rPr>
          <w:szCs w:val="26"/>
        </w:rPr>
        <w:t xml:space="preserve">(BLS) </w:t>
      </w:r>
      <w:r w:rsidRPr="00720313">
        <w:rPr>
          <w:szCs w:val="26"/>
        </w:rPr>
        <w:t xml:space="preserve">for three positions involved in the reporting and recordkeeping requirements.  These figures include salary </w:t>
      </w:r>
      <w:r w:rsidRPr="005A69BB">
        <w:rPr>
          <w:szCs w:val="26"/>
        </w:rPr>
        <w:t>(</w:t>
      </w:r>
      <w:r w:rsidRPr="00C756C7">
        <w:rPr>
          <w:color w:val="000000"/>
          <w:szCs w:val="26"/>
        </w:rPr>
        <w:t>based on BLS data for May 2019</w:t>
      </w:r>
      <w:r>
        <w:rPr>
          <w:i/>
          <w:iCs/>
          <w:color w:val="000000"/>
          <w:szCs w:val="26"/>
        </w:rPr>
        <w:t xml:space="preserve">, </w:t>
      </w:r>
      <w:hyperlink r:id="rId2" w:history="1">
        <w:r w:rsidRPr="00A33719">
          <w:rPr>
            <w:rStyle w:val="Hyperlink"/>
            <w:color w:val="auto"/>
            <w:szCs w:val="26"/>
            <w:u w:val="none"/>
          </w:rPr>
          <w:t>http://bls.gov/oes/current/naics2_22.htm</w:t>
        </w:r>
      </w:hyperlink>
      <w:r w:rsidRPr="00A33719">
        <w:rPr>
          <w:szCs w:val="26"/>
        </w:rPr>
        <w:t>) a</w:t>
      </w:r>
      <w:r w:rsidRPr="00B258EE">
        <w:rPr>
          <w:szCs w:val="26"/>
        </w:rPr>
        <w:t>nd benefits (</w:t>
      </w:r>
      <w:r w:rsidRPr="005A69BB">
        <w:rPr>
          <w:szCs w:val="26"/>
        </w:rPr>
        <w:t xml:space="preserve">based on BLS </w:t>
      </w:r>
      <w:r w:rsidRPr="00C756C7">
        <w:rPr>
          <w:szCs w:val="26"/>
        </w:rPr>
        <w:t>data</w:t>
      </w:r>
      <w:r w:rsidRPr="005A69BB">
        <w:rPr>
          <w:szCs w:val="26"/>
        </w:rPr>
        <w:t xml:space="preserve"> for Dec</w:t>
      </w:r>
      <w:r>
        <w:rPr>
          <w:szCs w:val="26"/>
        </w:rPr>
        <w:t>ember</w:t>
      </w:r>
      <w:r w:rsidRPr="005A69BB">
        <w:rPr>
          <w:szCs w:val="26"/>
        </w:rPr>
        <w:t xml:space="preserve"> 2019; issued March 19, 2020</w:t>
      </w:r>
      <w:r>
        <w:rPr>
          <w:i/>
          <w:iCs/>
          <w:szCs w:val="26"/>
        </w:rPr>
        <w:t>,</w:t>
      </w:r>
      <w:r>
        <w:rPr>
          <w:szCs w:val="26"/>
        </w:rPr>
        <w:t xml:space="preserve"> </w:t>
      </w:r>
      <w:hyperlink r:id="rId3" w:history="1">
        <w:r w:rsidRPr="00A33719">
          <w:rPr>
            <w:rStyle w:val="Hyperlink"/>
            <w:color w:val="auto"/>
            <w:szCs w:val="26"/>
            <w:u w:val="none"/>
          </w:rPr>
          <w:t>http://www.bls.gov/news.release/ecec.nr0.htm</w:t>
        </w:r>
      </w:hyperlink>
      <w:r w:rsidRPr="00A33719">
        <w:rPr>
          <w:szCs w:val="26"/>
        </w:rPr>
        <w:t>) an</w:t>
      </w:r>
      <w:r w:rsidRPr="0098633D">
        <w:rPr>
          <w:szCs w:val="26"/>
        </w:rPr>
        <w:t>d are Manager</w:t>
      </w:r>
      <w:r w:rsidRPr="00C756C7">
        <w:rPr>
          <w:szCs w:val="26"/>
        </w:rPr>
        <w:t xml:space="preserve"> (Code 11-0000</w:t>
      </w:r>
      <w:r w:rsidRPr="0098633D">
        <w:rPr>
          <w:szCs w:val="26"/>
        </w:rPr>
        <w:t>$</w:t>
      </w:r>
      <w:r w:rsidRPr="00C756C7">
        <w:rPr>
          <w:szCs w:val="26"/>
        </w:rPr>
        <w:t>97.15</w:t>
      </w:r>
      <w:r w:rsidRPr="0098633D">
        <w:rPr>
          <w:szCs w:val="26"/>
        </w:rPr>
        <w:t>/hour</w:t>
      </w:r>
      <w:r>
        <w:rPr>
          <w:szCs w:val="26"/>
        </w:rPr>
        <w:t>)</w:t>
      </w:r>
      <w:r w:rsidRPr="0098633D">
        <w:rPr>
          <w:szCs w:val="26"/>
        </w:rPr>
        <w:t xml:space="preserve">, </w:t>
      </w:r>
      <w:r w:rsidRPr="00C756C7">
        <w:rPr>
          <w:szCs w:val="26"/>
        </w:rPr>
        <w:t xml:space="preserve">Electrical </w:t>
      </w:r>
      <w:r w:rsidRPr="0098633D">
        <w:rPr>
          <w:szCs w:val="26"/>
        </w:rPr>
        <w:t>Engineer</w:t>
      </w:r>
      <w:r w:rsidRPr="00C756C7">
        <w:rPr>
          <w:szCs w:val="26"/>
        </w:rPr>
        <w:t xml:space="preserve"> (Code 17-2071</w:t>
      </w:r>
      <w:r w:rsidRPr="0098633D">
        <w:rPr>
          <w:szCs w:val="26"/>
        </w:rPr>
        <w:t>$</w:t>
      </w:r>
      <w:r w:rsidRPr="00C756C7">
        <w:rPr>
          <w:szCs w:val="26"/>
        </w:rPr>
        <w:t>70.19</w:t>
      </w:r>
      <w:r w:rsidRPr="0098633D">
        <w:rPr>
          <w:szCs w:val="26"/>
        </w:rPr>
        <w:t>/hour</w:t>
      </w:r>
      <w:r>
        <w:rPr>
          <w:szCs w:val="26"/>
        </w:rPr>
        <w:t>)</w:t>
      </w:r>
      <w:r w:rsidRPr="0098633D">
        <w:rPr>
          <w:szCs w:val="26"/>
        </w:rPr>
        <w:t>, and File Clerk</w:t>
      </w:r>
      <w:r w:rsidRPr="00C756C7">
        <w:rPr>
          <w:szCs w:val="26"/>
        </w:rPr>
        <w:t xml:space="preserve"> (Code 43-4071</w:t>
      </w:r>
      <w:r w:rsidRPr="0098633D">
        <w:rPr>
          <w:szCs w:val="26"/>
        </w:rPr>
        <w:t xml:space="preserve"> $</w:t>
      </w:r>
      <w:r w:rsidRPr="00C756C7">
        <w:rPr>
          <w:szCs w:val="26"/>
        </w:rPr>
        <w:t>34.79</w:t>
      </w:r>
      <w:r w:rsidRPr="0098633D">
        <w:rPr>
          <w:szCs w:val="26"/>
        </w:rPr>
        <w:t>/hour</w:t>
      </w:r>
      <w:r>
        <w:rPr>
          <w:szCs w:val="26"/>
        </w:rPr>
        <w:t>)</w:t>
      </w:r>
      <w:r w:rsidRPr="0098633D">
        <w:rPr>
          <w:szCs w:val="26"/>
        </w:rPr>
        <w:t>.</w:t>
      </w:r>
      <w:r w:rsidRPr="0098633D" w:rsidDel="00A36384">
        <w:rPr>
          <w:szCs w:val="26"/>
        </w:rPr>
        <w:t xml:space="preserve"> </w:t>
      </w:r>
      <w:r w:rsidR="00A33719">
        <w:rPr>
          <w:szCs w:val="26"/>
        </w:rPr>
        <w:t xml:space="preserve"> </w:t>
      </w:r>
      <w:r w:rsidRPr="0098633D">
        <w:rPr>
          <w:szCs w:val="26"/>
        </w:rPr>
        <w:t>The hourly cost for the reporting requirements ($</w:t>
      </w:r>
      <w:r w:rsidRPr="00C756C7">
        <w:rPr>
          <w:szCs w:val="26"/>
        </w:rPr>
        <w:t>83.67</w:t>
      </w:r>
      <w:r w:rsidRPr="0098633D">
        <w:rPr>
          <w:szCs w:val="26"/>
        </w:rPr>
        <w:t>) is an average of the cost of a manager and engineer.  The hourly cost for recordkeeping requirements uses the cost of a file clerk.</w:t>
      </w:r>
    </w:p>
    <w:p w14:paraId="581C4C10" w14:textId="77777777" w:rsidR="00FB7045" w:rsidRPr="00C756C7" w:rsidRDefault="00FB7045" w:rsidP="00C756C7">
      <w:pPr>
        <w:widowControl/>
        <w:autoSpaceDE/>
        <w:autoSpaceDN/>
        <w:adjustRightInd/>
        <w:ind w:firstLine="720"/>
        <w:rPr>
          <w:rFonts w:ascii="Calibri" w:hAnsi="Calibri" w:cs="Calibri"/>
          <w:i/>
          <w:iCs/>
          <w:color w:val="000000"/>
          <w:sz w:val="22"/>
          <w:szCs w:val="22"/>
        </w:rPr>
      </w:pPr>
    </w:p>
  </w:footnote>
  <w:footnote w:id="32">
    <w:p w14:paraId="7BF169E8" w14:textId="32828F15" w:rsidR="00FB7045" w:rsidRDefault="00FB7045" w:rsidP="006E6E09">
      <w:pPr>
        <w:pStyle w:val="FootnoteText"/>
      </w:pPr>
      <w:r>
        <w:rPr>
          <w:rStyle w:val="FootnoteReference"/>
        </w:rPr>
        <w:footnoteRef/>
      </w:r>
      <w:r>
        <w:t xml:space="preserve"> The reduction in burden is zero for the first two years due to the directive in this Notice of Proposed Rulemaking to continue to report hourly contingency reserve data for 24 months.</w:t>
      </w:r>
    </w:p>
  </w:footnote>
  <w:footnote w:id="33">
    <w:p w14:paraId="479DDC71" w14:textId="0515529A" w:rsidR="00FB7045" w:rsidRPr="003F7F4B" w:rsidRDefault="00FB7045" w:rsidP="00ED003C">
      <w:pPr>
        <w:pStyle w:val="FootnoteText"/>
        <w:rPr>
          <w:szCs w:val="26"/>
        </w:rPr>
      </w:pPr>
      <w:r w:rsidRPr="003F7F4B">
        <w:rPr>
          <w:rStyle w:val="FootnoteReference"/>
        </w:rPr>
        <w:footnoteRef/>
      </w:r>
      <w:r w:rsidRPr="003F7F4B">
        <w:rPr>
          <w:szCs w:val="26"/>
        </w:rPr>
        <w:t xml:space="preserve"> </w:t>
      </w:r>
      <w:r>
        <w:rPr>
          <w:szCs w:val="26"/>
        </w:rPr>
        <w:t>The number of applicable entities is based on the NERC Compliance Registry as of September 3, 2020.</w:t>
      </w:r>
    </w:p>
  </w:footnote>
  <w:footnote w:id="34">
    <w:p w14:paraId="5F48A0D1" w14:textId="63C3700D" w:rsidR="00FB7045" w:rsidRDefault="00FB7045" w:rsidP="00B34573">
      <w:pPr>
        <w:pStyle w:val="FootnoteText"/>
      </w:pPr>
      <w:r>
        <w:rPr>
          <w:rStyle w:val="FootnoteReference"/>
        </w:rPr>
        <w:footnoteRef/>
      </w:r>
      <w:r>
        <w:t xml:space="preserve"> </w:t>
      </w:r>
      <w:r w:rsidRPr="001F49FC">
        <w:rPr>
          <w:szCs w:val="26"/>
        </w:rPr>
        <w:t xml:space="preserve">The Commission is also removing </w:t>
      </w:r>
      <w:r>
        <w:rPr>
          <w:szCs w:val="26"/>
        </w:rPr>
        <w:t>1746</w:t>
      </w:r>
      <w:r w:rsidRPr="001F49FC">
        <w:rPr>
          <w:szCs w:val="26"/>
        </w:rPr>
        <w:t xml:space="preserve"> one-time burden hours</w:t>
      </w:r>
      <w:r>
        <w:rPr>
          <w:szCs w:val="26"/>
        </w:rPr>
        <w:t xml:space="preserve"> </w:t>
      </w:r>
      <w:r w:rsidRPr="001F49FC">
        <w:rPr>
          <w:szCs w:val="26"/>
        </w:rPr>
        <w:t xml:space="preserve">associated with </w:t>
      </w:r>
      <w:r>
        <w:rPr>
          <w:szCs w:val="26"/>
        </w:rPr>
        <w:t xml:space="preserve">the requirements in </w:t>
      </w:r>
      <w:r w:rsidRPr="001F49FC">
        <w:rPr>
          <w:szCs w:val="26"/>
        </w:rPr>
        <w:t xml:space="preserve">Docket No. </w:t>
      </w:r>
      <w:r>
        <w:rPr>
          <w:szCs w:val="26"/>
        </w:rPr>
        <w:t>RD17-5 for regional Reliability Standard VAR-501-WECC-3 (</w:t>
      </w:r>
      <w:r w:rsidRPr="00B34573">
        <w:rPr>
          <w:szCs w:val="26"/>
        </w:rPr>
        <w:t>Power System Stabilizer [PSS]</w:t>
      </w:r>
      <w:r>
        <w:rPr>
          <w:szCs w:val="26"/>
        </w:rPr>
        <w:t>)</w:t>
      </w:r>
      <w:r w:rsidRPr="001F49FC">
        <w:rPr>
          <w:szCs w:val="26"/>
        </w:rPr>
        <w:t xml:space="preserve">.  The one-time burden </w:t>
      </w:r>
      <w:r>
        <w:rPr>
          <w:szCs w:val="26"/>
        </w:rPr>
        <w:t>has been completed</w:t>
      </w:r>
      <w:r w:rsidRPr="001F49FC">
        <w:rPr>
          <w:szCs w:val="26"/>
        </w:rPr>
        <w:t xml:space="preserve"> and will now be administratively removed on submittal to OMB.  Those hours are not included in the table.</w:t>
      </w:r>
    </w:p>
  </w:footnote>
  <w:footnote w:id="35">
    <w:p w14:paraId="52B0EB0D" w14:textId="3DF022A8" w:rsidR="00FB7045" w:rsidRPr="002D4A69" w:rsidRDefault="00FB7045" w:rsidP="00E55954">
      <w:pPr>
        <w:pStyle w:val="FootnoteText"/>
        <w:rPr>
          <w:szCs w:val="26"/>
        </w:rPr>
      </w:pPr>
      <w:r w:rsidRPr="00BD0B6A">
        <w:rPr>
          <w:rStyle w:val="FootnoteReference"/>
        </w:rPr>
        <w:footnoteRef/>
      </w:r>
      <w:r w:rsidRPr="00BD0B6A">
        <w:t xml:space="preserve"> </w:t>
      </w:r>
      <w:r w:rsidRPr="002D4A69">
        <w:rPr>
          <w:szCs w:val="26"/>
        </w:rPr>
        <w:t xml:space="preserve">The number of respondents is derived from the NERC Compliance Registry as of </w:t>
      </w:r>
      <w:r>
        <w:rPr>
          <w:szCs w:val="26"/>
        </w:rPr>
        <w:t>September 3, 2020</w:t>
      </w:r>
      <w:r w:rsidRPr="002D4A69">
        <w:rPr>
          <w:szCs w:val="26"/>
        </w:rPr>
        <w:t>.</w:t>
      </w:r>
    </w:p>
  </w:footnote>
  <w:footnote w:id="36">
    <w:p w14:paraId="321C44D3" w14:textId="4A7CABFF" w:rsidR="00FB7045" w:rsidRDefault="00FB7045" w:rsidP="0082201A">
      <w:pPr>
        <w:pStyle w:val="FootnoteText"/>
      </w:pPr>
      <w:r>
        <w:rPr>
          <w:rStyle w:val="FootnoteReference"/>
        </w:rPr>
        <w:footnoteRef/>
      </w:r>
      <w:r>
        <w:t xml:space="preserve"> </w:t>
      </w:r>
      <w:r w:rsidR="00A33719" w:rsidRPr="00B20F34">
        <w:rPr>
          <w:i/>
          <w:iCs/>
        </w:rPr>
        <w:t>Regulations Implementing the National Environmental Policy Act of 1969</w:t>
      </w:r>
      <w:r w:rsidR="00A33719">
        <w:t>, Order No. 486, 52 FR 47897 (Dec. 17, 1987), FERC Stats. &amp; Regs.</w:t>
      </w:r>
      <w:r w:rsidR="00A33719" w:rsidRPr="0004354A">
        <w:t xml:space="preserve"> </w:t>
      </w:r>
      <w:bookmarkStart w:id="5" w:name="_Hlk53442143"/>
      <w:r w:rsidR="00A33719">
        <w:t>¶</w:t>
      </w:r>
      <w:bookmarkEnd w:id="5"/>
      <w:r w:rsidR="00A33719">
        <w:t xml:space="preserve"> 30,783 (1987) (cross-referenced at 41 FERC ¶ 61,284).</w:t>
      </w:r>
    </w:p>
  </w:footnote>
  <w:footnote w:id="37">
    <w:p w14:paraId="018911BF" w14:textId="77777777" w:rsidR="00FB7045" w:rsidRDefault="00FB7045">
      <w:pPr>
        <w:pStyle w:val="FootnoteText"/>
      </w:pPr>
      <w:r>
        <w:rPr>
          <w:rStyle w:val="FootnoteReference"/>
        </w:rPr>
        <w:footnoteRef/>
      </w:r>
      <w:r>
        <w:t xml:space="preserve"> </w:t>
      </w:r>
      <w:r w:rsidRPr="00A34268">
        <w:t>18 CFR 380.4(a)(2)(ii).</w:t>
      </w:r>
    </w:p>
  </w:footnote>
  <w:footnote w:id="38">
    <w:p w14:paraId="027A7D9E" w14:textId="77777777" w:rsidR="00FB7045" w:rsidRDefault="00FB7045" w:rsidP="0082201A">
      <w:pPr>
        <w:pStyle w:val="FootnoteText"/>
      </w:pPr>
      <w:r>
        <w:rPr>
          <w:rStyle w:val="FootnoteReference"/>
        </w:rPr>
        <w:footnoteRef/>
      </w:r>
      <w:r>
        <w:t xml:space="preserve"> 5 U.S.C. 601-612.</w:t>
      </w:r>
    </w:p>
  </w:footnote>
  <w:footnote w:id="39">
    <w:p w14:paraId="747BC49D" w14:textId="77777777" w:rsidR="00FB7045" w:rsidRDefault="00FB7045" w:rsidP="005728AE">
      <w:pPr>
        <w:pStyle w:val="FootnoteText"/>
      </w:pPr>
      <w:r>
        <w:rPr>
          <w:rStyle w:val="FootnoteReference"/>
        </w:rPr>
        <w:footnoteRef/>
      </w:r>
      <w:r>
        <w:t xml:space="preserve"> 13 CFR 121.101. </w:t>
      </w:r>
    </w:p>
  </w:footnote>
  <w:footnote w:id="40">
    <w:p w14:paraId="4B329E64" w14:textId="77777777" w:rsidR="00FB7045" w:rsidRDefault="00FB7045" w:rsidP="005728AE">
      <w:pPr>
        <w:pStyle w:val="FootnoteText"/>
      </w:pPr>
      <w:r>
        <w:rPr>
          <w:rStyle w:val="FootnoteReference"/>
        </w:rPr>
        <w:footnoteRef/>
      </w:r>
      <w:r>
        <w:t xml:space="preserve"> 13 CFR 121.201.  </w:t>
      </w:r>
      <w:r w:rsidRPr="00405CE8">
        <w:rPr>
          <w:i/>
        </w:rPr>
        <w:t>See also</w:t>
      </w:r>
      <w:r>
        <w:t xml:space="preserve"> U.S. Small Business Administration, </w:t>
      </w:r>
      <w:r>
        <w:rPr>
          <w:i/>
        </w:rPr>
        <w:t>Table of Small Business Size Standards Matched to North American Industry Classification System Codes</w:t>
      </w:r>
      <w:r>
        <w:t xml:space="preserve"> (effective Feb. 26, 2016), https://www.sba.gov/sites/default/files/files/Size_Standards_Table.pdf. </w:t>
      </w:r>
    </w:p>
  </w:footnote>
  <w:footnote w:id="41">
    <w:p w14:paraId="0E694F8E" w14:textId="77777777" w:rsidR="00FB7045" w:rsidRPr="009669DF" w:rsidRDefault="00FB7045" w:rsidP="00445DA6">
      <w:pPr>
        <w:pStyle w:val="FootnoteText"/>
        <w:rPr>
          <w:szCs w:val="26"/>
        </w:rPr>
      </w:pPr>
      <w:r w:rsidRPr="00287455">
        <w:rPr>
          <w:rStyle w:val="FootnoteReference"/>
        </w:rPr>
        <w:footnoteRef/>
      </w:r>
      <w:r w:rsidRPr="009669DF">
        <w:rPr>
          <w:szCs w:val="26"/>
        </w:rPr>
        <w:t xml:space="preserve"> </w:t>
      </w:r>
      <w:r w:rsidRPr="009669DF">
        <w:rPr>
          <w:rFonts w:eastAsia="Arial Unicode MS"/>
          <w:szCs w:val="26"/>
        </w:rPr>
        <w:t>13 CFR 121.201</w:t>
      </w:r>
    </w:p>
  </w:footnote>
  <w:footnote w:id="42">
    <w:p w14:paraId="791DA105" w14:textId="77777777" w:rsidR="00FB7045" w:rsidRPr="009669DF" w:rsidRDefault="00FB7045" w:rsidP="00445DA6">
      <w:pPr>
        <w:pStyle w:val="FootnoteText"/>
        <w:rPr>
          <w:szCs w:val="26"/>
        </w:rPr>
      </w:pPr>
      <w:r w:rsidRPr="00287455">
        <w:rPr>
          <w:rStyle w:val="FootnoteReference"/>
        </w:rPr>
        <w:footnoteRef/>
      </w:r>
      <w:r w:rsidRPr="009669DF">
        <w:rPr>
          <w:szCs w:val="26"/>
        </w:rPr>
        <w:t xml:space="preserve"> The threshold for the number of employees indicates the maximum allowed for a concern and its affiliates to be considered small.</w:t>
      </w:r>
    </w:p>
  </w:footnote>
  <w:footnote w:id="43">
    <w:p w14:paraId="3031D6D7" w14:textId="506089BC" w:rsidR="00FB7045" w:rsidRPr="00335A9B" w:rsidRDefault="00FB7045" w:rsidP="00F1648C">
      <w:pPr>
        <w:pStyle w:val="FootnoteText"/>
        <w:spacing w:after="0"/>
        <w:rPr>
          <w:szCs w:val="26"/>
        </w:rPr>
      </w:pPr>
      <w:r w:rsidRPr="00335A9B">
        <w:rPr>
          <w:rStyle w:val="FootnoteReference"/>
        </w:rPr>
        <w:footnoteRef/>
      </w:r>
      <w:r>
        <w:t xml:space="preserve"> </w:t>
      </w:r>
      <w:r w:rsidRPr="00335A9B">
        <w:rPr>
          <w:szCs w:val="26"/>
        </w:rPr>
        <w:t xml:space="preserve">The RFA definition of “small entity” refers to the definition provided in the Small Business Act (SBA), which defines a “small business concern” as a business that </w:t>
      </w:r>
      <w:r w:rsidR="00CF2558">
        <w:rPr>
          <w:szCs w:val="26"/>
        </w:rPr>
        <w:br/>
      </w:r>
      <w:r w:rsidRPr="00335A9B">
        <w:rPr>
          <w:szCs w:val="26"/>
        </w:rPr>
        <w:t xml:space="preserve">is independently owned and operated and that is not dominant in its field of operation. </w:t>
      </w:r>
      <w:r>
        <w:rPr>
          <w:szCs w:val="26"/>
        </w:rPr>
        <w:t xml:space="preserve"> </w:t>
      </w:r>
      <w:r w:rsidRPr="00AB27D5">
        <w:rPr>
          <w:i/>
          <w:szCs w:val="26"/>
        </w:rPr>
        <w:t>See</w:t>
      </w:r>
      <w:r w:rsidRPr="00335A9B">
        <w:rPr>
          <w:szCs w:val="26"/>
        </w:rPr>
        <w:t xml:space="preserve"> 15 U.S.C. 632.  </w:t>
      </w:r>
      <w:r w:rsidRPr="00503438">
        <w:rPr>
          <w:szCs w:val="26"/>
        </w:rPr>
        <w:t xml:space="preserve">According to the Small Business Administration, an electric utility </w:t>
      </w:r>
      <w:r w:rsidR="00CF2558">
        <w:rPr>
          <w:szCs w:val="26"/>
        </w:rPr>
        <w:br/>
      </w:r>
      <w:r w:rsidRPr="00503438">
        <w:rPr>
          <w:szCs w:val="26"/>
        </w:rPr>
        <w:t xml:space="preserve">is defined as “small” if, including its affiliates, </w:t>
      </w:r>
      <w:r w:rsidRPr="00C756C7">
        <w:rPr>
          <w:szCs w:val="26"/>
          <w:lang w:val="en"/>
        </w:rPr>
        <w:t>the number of employees indicates the maximum allowed for a concern and its affiliates to be considered small.</w:t>
      </w:r>
    </w:p>
    <w:p w14:paraId="030BBD2D" w14:textId="77777777" w:rsidR="00FB7045" w:rsidRPr="00335A9B" w:rsidRDefault="00FB7045" w:rsidP="00F1648C">
      <w:pPr>
        <w:pStyle w:val="FootnoteText"/>
        <w:spacing w:after="0"/>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521FA" w14:textId="77777777" w:rsidR="00FB7045" w:rsidRDefault="00FB7045" w:rsidP="008220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6D565F9" w14:textId="77777777" w:rsidR="00FB7045" w:rsidRDefault="00FB7045" w:rsidP="0082201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8D73" w14:textId="0C67534E" w:rsidR="00FB7045" w:rsidRDefault="00FB7045">
    <w:pPr>
      <w:pStyle w:val="Header"/>
    </w:pPr>
    <w:r>
      <w:rPr>
        <w:noProof/>
      </w:rPr>
      <mc:AlternateContent>
        <mc:Choice Requires="wps">
          <w:drawing>
            <wp:anchor distT="0" distB="0" distL="114300" distR="114300" simplePos="0" relativeHeight="251658240" behindDoc="0" locked="0" layoutInCell="0" allowOverlap="1" wp14:anchorId="72F3874A" wp14:editId="46C43119">
              <wp:simplePos x="0" y="0"/>
              <wp:positionH relativeFrom="page">
                <wp:posOffset>0</wp:posOffset>
              </wp:positionH>
              <wp:positionV relativeFrom="page">
                <wp:posOffset>190500</wp:posOffset>
              </wp:positionV>
              <wp:extent cx="7772400" cy="266700"/>
              <wp:effectExtent l="0" t="0" r="0" b="0"/>
              <wp:wrapNone/>
              <wp:docPr id="1" name="MSIPCM0b7046fbb9c5ed2ec1ee84f6" descr="{&quot;HashCode&quot;:-175139966,&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C1320E" w14:textId="33CBD1E5" w:rsidR="00FB7045" w:rsidRPr="00846A13" w:rsidRDefault="007E5F38" w:rsidP="00846A13">
                          <w:pPr>
                            <w:jc w:val="center"/>
                            <w:rPr>
                              <w:color w:val="A80000"/>
                            </w:rPr>
                          </w:pPr>
                          <w:r>
                            <w:rPr>
                              <w:color w:val="A8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2F3874A" id="_x0000_t202" coordsize="21600,21600" o:spt="202" path="m,l,21600r21600,l21600,xe">
              <v:stroke joinstyle="miter"/>
              <v:path gradientshapeok="t" o:connecttype="rect"/>
            </v:shapetype>
            <v:shape id="MSIPCM0b7046fbb9c5ed2ec1ee84f6" o:spid="_x0000_s1026" type="#_x0000_t202" alt="{&quot;HashCode&quot;:-175139966,&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CeKRHWFQMAADYGAAAOAAAAAAAAAAAAAAAAAC4CAABk&#10;cnMvZTJvRG9jLnhtbFBLAQItABQABgAIAAAAIQBoO5V22wAAAAcBAAAPAAAAAAAAAAAAAAAAAG8F&#10;AABkcnMvZG93bnJldi54bWxQSwUGAAAAAAQABADzAAAAdwYAAAAA&#10;" o:allowincell="f" filled="f" stroked="f" strokeweight=".5pt">
              <v:textbox inset=",0,,0">
                <w:txbxContent>
                  <w:p w14:paraId="6EC1320E" w14:textId="33CBD1E5" w:rsidR="00FB7045" w:rsidRPr="00846A13" w:rsidRDefault="007E5F38" w:rsidP="00846A13">
                    <w:pPr>
                      <w:jc w:val="center"/>
                      <w:rPr>
                        <w:color w:val="A80000"/>
                      </w:rPr>
                    </w:pPr>
                    <w:r>
                      <w:rPr>
                        <w:color w:val="A80000"/>
                      </w:rPr>
                      <w:t>CUI</w:t>
                    </w:r>
                  </w:p>
                </w:txbxContent>
              </v:textbox>
              <w10:wrap anchorx="page" anchory="page"/>
            </v:shape>
          </w:pict>
        </mc:Fallback>
      </mc:AlternateContent>
    </w:r>
    <w:r>
      <w:t xml:space="preserve">Docket No. RM19-20-000 </w:t>
    </w:r>
    <w:r>
      <w:tab/>
    </w:r>
    <w:r>
      <w:fldChar w:fldCharType="begin"/>
    </w:r>
    <w:r>
      <w:instrText xml:space="preserve"> PAGE  \* MERGEFORMAT </w:instrText>
    </w:r>
    <w:r>
      <w:fldChar w:fldCharType="separate"/>
    </w:r>
    <w:r>
      <w:rPr>
        <w:noProof/>
      </w:rPr>
      <w:t>- 3 -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4A2C5" w14:textId="2048D69E" w:rsidR="007E5F38" w:rsidRDefault="007E5F38">
    <w:pPr>
      <w:pStyle w:val="Header"/>
    </w:pPr>
    <w:r>
      <w:rPr>
        <w:noProof/>
      </w:rPr>
      <mc:AlternateContent>
        <mc:Choice Requires="wps">
          <w:drawing>
            <wp:anchor distT="0" distB="0" distL="114300" distR="114300" simplePos="0" relativeHeight="251659267" behindDoc="0" locked="0" layoutInCell="0" allowOverlap="1" wp14:anchorId="255E24DF" wp14:editId="7E06094D">
              <wp:simplePos x="0" y="0"/>
              <wp:positionH relativeFrom="page">
                <wp:posOffset>0</wp:posOffset>
              </wp:positionH>
              <wp:positionV relativeFrom="page">
                <wp:posOffset>190500</wp:posOffset>
              </wp:positionV>
              <wp:extent cx="7772400" cy="266700"/>
              <wp:effectExtent l="0" t="0" r="0" b="0"/>
              <wp:wrapNone/>
              <wp:docPr id="2" name="MSIPCMcd6f42f0a02c892fd59bcafc"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9BE633" w14:textId="5FB84E15" w:rsidR="007E5F38" w:rsidRPr="007E5F38" w:rsidRDefault="007E5F38" w:rsidP="007E5F38">
                          <w:pPr>
                            <w:jc w:val="center"/>
                            <w:rPr>
                              <w:color w:val="A80000"/>
                            </w:rPr>
                          </w:pPr>
                          <w:r w:rsidRPr="007E5F38">
                            <w:rPr>
                              <w:color w:val="A8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55E24DF" id="_x0000_t202" coordsize="21600,21600" o:spt="202" path="m,l,21600r21600,l21600,xe">
              <v:stroke joinstyle="miter"/>
              <v:path gradientshapeok="t" o:connecttype="rect"/>
            </v:shapetype>
            <v:shape id="MSIPCMcd6f42f0a02c892fd59bcafc" o:spid="_x0000_s1027" type="#_x0000_t202" alt="{&quot;HashCode&quot;:-175139966,&quot;Height&quot;:792.0,&quot;Width&quot;:612.0,&quot;Placement&quot;:&quot;Header&quot;,&quot;Index&quot;:&quot;FirstPage&quot;,&quot;Section&quot;:1,&quot;Top&quot;:0.0,&quot;Left&quot;:0.0}" style="position:absolute;margin-left:0;margin-top:15pt;width:612pt;height:21pt;z-index:25165926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" o:allowincell="f" filled="f" stroked="f" strokeweight=".5pt">
              <v:fill o:detectmouseclick="t"/>
              <v:textbox inset=",0,,0">
                <w:txbxContent>
                  <w:p w14:paraId="139BE633" w14:textId="5FB84E15" w:rsidR="007E5F38" w:rsidRPr="007E5F38" w:rsidRDefault="007E5F38" w:rsidP="007E5F38">
                    <w:pPr>
                      <w:jc w:val="center"/>
                      <w:rPr>
                        <w:color w:val="A80000"/>
                      </w:rPr>
                    </w:pPr>
                    <w:r w:rsidRPr="007E5F38">
                      <w:rPr>
                        <w:color w:val="A80000"/>
                      </w:rPr>
                      <w:t>CUI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6BA0E" w14:textId="0B14CCC1" w:rsidR="00FB7045" w:rsidRDefault="00FB7045" w:rsidP="008220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- 29 -</w:t>
    </w:r>
    <w:r>
      <w:rPr>
        <w:rStyle w:val="PageNumber"/>
      </w:rPr>
      <w:fldChar w:fldCharType="end"/>
    </w:r>
  </w:p>
  <w:p w14:paraId="1CECA034" w14:textId="77777777" w:rsidR="00FB7045" w:rsidRDefault="00FB7045" w:rsidP="0082201A">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D7428" w14:textId="3369738C" w:rsidR="00FB7045" w:rsidRPr="00E349E6" w:rsidRDefault="00FB7045" w:rsidP="0082201A">
    <w:pPr>
      <w:pStyle w:val="Header"/>
      <w:ind w:right="360"/>
    </w:pPr>
    <w:r>
      <w:rPr>
        <w:noProof/>
      </w:rPr>
      <mc:AlternateContent>
        <mc:Choice Requires="wps">
          <w:drawing>
            <wp:anchor distT="0" distB="0" distL="114300" distR="114300" simplePos="0" relativeHeight="251658242" behindDoc="0" locked="0" layoutInCell="0" allowOverlap="1" wp14:anchorId="6F829806" wp14:editId="19306609">
              <wp:simplePos x="0" y="0"/>
              <wp:positionH relativeFrom="page">
                <wp:posOffset>0</wp:posOffset>
              </wp:positionH>
              <wp:positionV relativeFrom="page">
                <wp:posOffset>190500</wp:posOffset>
              </wp:positionV>
              <wp:extent cx="7772400" cy="266700"/>
              <wp:effectExtent l="0" t="0" r="0" b="0"/>
              <wp:wrapNone/>
              <wp:docPr id="3" name="MSIPCM64c14c1aa542549054d52621" descr="{&quot;HashCode&quot;:-175139966,&quot;Height&quot;:792.0,&quot;Width&quot;:612.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4EA409" w14:textId="489FD731" w:rsidR="00FB7045" w:rsidRPr="00846A13" w:rsidRDefault="007E5F38" w:rsidP="00846A13">
                          <w:pPr>
                            <w:jc w:val="center"/>
                            <w:rPr>
                              <w:color w:val="A80000"/>
                            </w:rPr>
                          </w:pPr>
                          <w:r>
                            <w:rPr>
                              <w:color w:val="A8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F829806" id="_x0000_t202" coordsize="21600,21600" o:spt="202" path="m,l,21600r21600,l21600,xe">
              <v:stroke joinstyle="miter"/>
              <v:path gradientshapeok="t" o:connecttype="rect"/>
            </v:shapetype>
            <v:shape id="MSIPCM64c14c1aa542549054d52621" o:spid="_x0000_s1028" type="#_x0000_t202" alt="{&quot;HashCode&quot;:-175139966,&quot;Height&quot;:792.0,&quot;Width&quot;:612.0,&quot;Placement&quot;:&quot;Header&quot;,&quot;Index&quot;:&quot;Primary&quot;,&quot;Section&quot;:2,&quot;Top&quot;:0.0,&quot;Left&quot;:0.0}" style="position:absolute;margin-left:0;margin-top:15pt;width:612pt;height:21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" o:allowincell="f" filled="f" stroked="f" strokeweight=".5pt">
              <v:textbox inset=",0,,0">
                <w:txbxContent>
                  <w:p w14:paraId="244EA409" w14:textId="489FD731" w:rsidR="00FB7045" w:rsidRPr="00846A13" w:rsidRDefault="007E5F38" w:rsidP="00846A13">
                    <w:pPr>
                      <w:jc w:val="center"/>
                      <w:rPr>
                        <w:color w:val="A80000"/>
                      </w:rPr>
                    </w:pPr>
                    <w:r>
                      <w:rPr>
                        <w:color w:val="A80000"/>
                      </w:rPr>
                      <w:t>CUI</w:t>
                    </w:r>
                  </w:p>
                </w:txbxContent>
              </v:textbox>
              <w10:wrap anchorx="page" anchory="page"/>
            </v:shape>
          </w:pict>
        </mc:Fallback>
      </mc:AlternateContent>
    </w:r>
    <w:r>
      <w:t xml:space="preserve">Docket No. RM19-20-000 </w:t>
    </w:r>
    <w:r>
      <w:tab/>
    </w:r>
    <w:r>
      <w:fldChar w:fldCharType="begin"/>
    </w:r>
    <w:r>
      <w:instrText xml:space="preserve"> PAGE  \* MERGEFORMAT </w:instrText>
    </w:r>
    <w:r>
      <w:fldChar w:fldCharType="separate"/>
    </w:r>
    <w:r>
      <w:rPr>
        <w:noProof/>
      </w:rPr>
      <w:t>- 25 -</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A6981" w14:textId="22EC50F4" w:rsidR="00FB7045" w:rsidRDefault="00FB7045">
    <w:pPr>
      <w:pStyle w:val="Header"/>
    </w:pPr>
    <w:r>
      <w:rPr>
        <w:noProof/>
      </w:rPr>
      <mc:AlternateContent>
        <mc:Choice Requires="wps">
          <w:drawing>
            <wp:anchor distT="0" distB="0" distL="114300" distR="114300" simplePos="0" relativeHeight="251658243" behindDoc="0" locked="0" layoutInCell="0" allowOverlap="1" wp14:anchorId="5EEA78AE" wp14:editId="0A382D2E">
              <wp:simplePos x="0" y="0"/>
              <wp:positionH relativeFrom="page">
                <wp:posOffset>0</wp:posOffset>
              </wp:positionH>
              <wp:positionV relativeFrom="page">
                <wp:posOffset>190500</wp:posOffset>
              </wp:positionV>
              <wp:extent cx="7772400" cy="266700"/>
              <wp:effectExtent l="0" t="0" r="0" b="0"/>
              <wp:wrapNone/>
              <wp:docPr id="4" name="MSIPCM08814e5aa9a393380b73ea4f" descr="{&quot;HashCode&quot;:-175139966,&quot;Height&quot;:792.0,&quot;Width&quot;:612.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AB3323" w14:textId="370F5555" w:rsidR="00FB7045" w:rsidRPr="00846A13" w:rsidRDefault="007E5F38" w:rsidP="00846A13">
                          <w:pPr>
                            <w:jc w:val="center"/>
                            <w:rPr>
                              <w:color w:val="A80000"/>
                            </w:rPr>
                          </w:pPr>
                          <w:r>
                            <w:rPr>
                              <w:color w:val="A80000"/>
                            </w:rPr>
                            <w:t>CUI</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EEA78AE" id="_x0000_t202" coordsize="21600,21600" o:spt="202" path="m,l,21600r21600,l21600,xe">
              <v:stroke joinstyle="miter"/>
              <v:path gradientshapeok="t" o:connecttype="rect"/>
            </v:shapetype>
            <v:shape id="MSIPCM08814e5aa9a393380b73ea4f" o:spid="_x0000_s1029" type="#_x0000_t202" alt="{&quot;HashCode&quot;:-175139966,&quot;Height&quot;:792.0,&quot;Width&quot;:612.0,&quot;Placement&quot;:&quot;Header&quot;,&quot;Index&quot;:&quot;FirstPage&quot;,&quot;Section&quot;:2,&quot;Top&quot;:0.0,&quot;Left&quot;:0.0}" style="position:absolute;margin-left:0;margin-top:15pt;width:612pt;height:21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" o:allowincell="f" filled="f" stroked="f" strokeweight=".5pt">
              <v:textbox inset=",0,,0">
                <w:txbxContent>
                  <w:p w14:paraId="48AB3323" w14:textId="370F5555" w:rsidR="00FB7045" w:rsidRPr="00846A13" w:rsidRDefault="007E5F38" w:rsidP="00846A13">
                    <w:pPr>
                      <w:jc w:val="center"/>
                      <w:rPr>
                        <w:color w:val="A80000"/>
                      </w:rPr>
                    </w:pPr>
                    <w:r>
                      <w:rPr>
                        <w:color w:val="A80000"/>
                      </w:rPr>
                      <w:t>CUI</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34031"/>
    <w:multiLevelType w:val="hybridMultilevel"/>
    <w:tmpl w:val="A844D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C01212"/>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2" w15:restartNumberingAfterBreak="0">
    <w:nsid w:val="09221EBE"/>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15:restartNumberingAfterBreak="0">
    <w:nsid w:val="0B211BA3"/>
    <w:multiLevelType w:val="hybridMultilevel"/>
    <w:tmpl w:val="DC58B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5" w15:restartNumberingAfterBreak="0">
    <w:nsid w:val="225A0F53"/>
    <w:multiLevelType w:val="multilevel"/>
    <w:tmpl w:val="D81C26FA"/>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240"/>
        </w:tabs>
      </w:pPr>
      <w:rPr>
        <w:rFonts w:cs="Times New Roman"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3F30FA"/>
    <w:multiLevelType w:val="hybridMultilevel"/>
    <w:tmpl w:val="34DA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002CED"/>
    <w:multiLevelType w:val="hybridMultilevel"/>
    <w:tmpl w:val="61DA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068CE"/>
    <w:multiLevelType w:val="hybridMultilevel"/>
    <w:tmpl w:val="02E0B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3156D43"/>
    <w:multiLevelType w:val="multilevel"/>
    <w:tmpl w:val="8152A0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15:restartNumberingAfterBreak="0">
    <w:nsid w:val="36564207"/>
    <w:multiLevelType w:val="hybridMultilevel"/>
    <w:tmpl w:val="7A0CB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15715F"/>
    <w:multiLevelType w:val="hybridMultilevel"/>
    <w:tmpl w:val="13946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F3355C"/>
    <w:multiLevelType w:val="multilevel"/>
    <w:tmpl w:val="B58428D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080"/>
        </w:tabs>
        <w:ind w:left="1080" w:hanging="720"/>
      </w:pPr>
    </w:lvl>
    <w:lvl w:ilvl="2">
      <w:start w:val="1"/>
      <w:numFmt w:val="decimal"/>
      <w:pStyle w:val="Heading3"/>
      <w:lvlText w:val="%3."/>
      <w:lvlJc w:val="left"/>
      <w:pPr>
        <w:tabs>
          <w:tab w:val="num" w:pos="1440"/>
        </w:tabs>
        <w:ind w:left="1440" w:hanging="720"/>
      </w:pPr>
    </w:lvl>
    <w:lvl w:ilvl="3">
      <w:start w:val="1"/>
      <w:numFmt w:val="lowerLetter"/>
      <w:pStyle w:val="Heading4"/>
      <w:lvlText w:val="%4."/>
      <w:lvlJc w:val="left"/>
      <w:pPr>
        <w:tabs>
          <w:tab w:val="num" w:pos="1800"/>
        </w:tabs>
        <w:ind w:left="1800" w:hanging="720"/>
      </w:pPr>
    </w:lvl>
    <w:lvl w:ilvl="4">
      <w:start w:val="1"/>
      <w:numFmt w:val="lowerRoman"/>
      <w:pStyle w:val="Heading5"/>
      <w:lvlText w:val="%5."/>
      <w:lvlJc w:val="left"/>
      <w:pPr>
        <w:tabs>
          <w:tab w:val="num" w:pos="2160"/>
        </w:tabs>
        <w:ind w:left="2160" w:hanging="720"/>
      </w:pPr>
    </w:lvl>
    <w:lvl w:ilvl="5">
      <w:start w:val="1"/>
      <w:numFmt w:val="lowerLetter"/>
      <w:pStyle w:val="Heading6"/>
      <w:lvlText w:val="(%6)"/>
      <w:lvlJc w:val="left"/>
      <w:pPr>
        <w:tabs>
          <w:tab w:val="num" w:pos="2520"/>
        </w:tabs>
        <w:ind w:left="2520" w:hanging="720"/>
      </w:pPr>
    </w:lvl>
    <w:lvl w:ilvl="6">
      <w:start w:val="1"/>
      <w:numFmt w:val="decimal"/>
      <w:pStyle w:val="Heading7"/>
      <w:lvlText w:val="(%7)"/>
      <w:lvlJc w:val="left"/>
      <w:pPr>
        <w:tabs>
          <w:tab w:val="num" w:pos="2880"/>
        </w:tabs>
        <w:ind w:left="2880" w:hanging="720"/>
      </w:pPr>
    </w:lvl>
    <w:lvl w:ilvl="7">
      <w:start w:val="1"/>
      <w:numFmt w:val="lowerRoman"/>
      <w:pStyle w:val="Heading8"/>
      <w:lvlText w:val="(%8)"/>
      <w:lvlJc w:val="left"/>
      <w:pPr>
        <w:tabs>
          <w:tab w:val="num" w:pos="3240"/>
        </w:tabs>
        <w:ind w:left="3240" w:hanging="720"/>
      </w:pPr>
    </w:lvl>
    <w:lvl w:ilvl="8">
      <w:start w:val="1"/>
      <w:numFmt w:val="decimalZero"/>
      <w:pStyle w:val="Heading9"/>
      <w:lvlText w:val="(%9)"/>
      <w:lvlJc w:val="left"/>
      <w:pPr>
        <w:tabs>
          <w:tab w:val="num" w:pos="3600"/>
        </w:tabs>
        <w:ind w:left="3600" w:hanging="720"/>
      </w:pPr>
    </w:lvl>
  </w:abstractNum>
  <w:abstractNum w:abstractNumId="23" w15:restartNumberingAfterBreak="0">
    <w:nsid w:val="40EA13B7"/>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4" w15:restartNumberingAfterBreak="0">
    <w:nsid w:val="453C6417"/>
    <w:multiLevelType w:val="hybridMultilevel"/>
    <w:tmpl w:val="B8B21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BA1DC6"/>
    <w:multiLevelType w:val="hybridMultilevel"/>
    <w:tmpl w:val="E2E0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9910F65"/>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7" w15:restartNumberingAfterBreak="0">
    <w:nsid w:val="5623515B"/>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8" w15:restartNumberingAfterBreak="0">
    <w:nsid w:val="59B36C0F"/>
    <w:multiLevelType w:val="hybridMultilevel"/>
    <w:tmpl w:val="82E6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363F55"/>
    <w:multiLevelType w:val="multilevel"/>
    <w:tmpl w:val="B58428DA"/>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31" w15:restartNumberingAfterBreak="0">
    <w:nsid w:val="66646187"/>
    <w:multiLevelType w:val="hybridMultilevel"/>
    <w:tmpl w:val="9DCC217A"/>
    <w:lvl w:ilvl="0" w:tplc="59323228">
      <w:start w:val="1"/>
      <w:numFmt w:val="bullet"/>
      <w:lvlText w:val=""/>
      <w:lvlJc w:val="left"/>
      <w:pPr>
        <w:tabs>
          <w:tab w:val="num" w:pos="360"/>
        </w:tabs>
        <w:ind w:left="720" w:hanging="360"/>
      </w:pPr>
      <w:rPr>
        <w:rFonts w:ascii="Symbol" w:hAnsi="Symbol" w:hint="default"/>
      </w:rPr>
    </w:lvl>
    <w:lvl w:ilvl="1" w:tplc="7EF4BEB4" w:tentative="1">
      <w:start w:val="1"/>
      <w:numFmt w:val="bullet"/>
      <w:lvlText w:val="o"/>
      <w:lvlJc w:val="left"/>
      <w:pPr>
        <w:tabs>
          <w:tab w:val="num" w:pos="1440"/>
        </w:tabs>
        <w:ind w:left="1440" w:hanging="360"/>
      </w:pPr>
      <w:rPr>
        <w:rFonts w:ascii="Courier New" w:hAnsi="Courier New" w:cs="Courier New" w:hint="default"/>
      </w:rPr>
    </w:lvl>
    <w:lvl w:ilvl="2" w:tplc="729410E2" w:tentative="1">
      <w:start w:val="1"/>
      <w:numFmt w:val="bullet"/>
      <w:lvlText w:val=""/>
      <w:lvlJc w:val="left"/>
      <w:pPr>
        <w:tabs>
          <w:tab w:val="num" w:pos="2160"/>
        </w:tabs>
        <w:ind w:left="2160" w:hanging="360"/>
      </w:pPr>
      <w:rPr>
        <w:rFonts w:ascii="Wingdings" w:hAnsi="Wingdings" w:hint="default"/>
      </w:rPr>
    </w:lvl>
    <w:lvl w:ilvl="3" w:tplc="3498FB84" w:tentative="1">
      <w:start w:val="1"/>
      <w:numFmt w:val="bullet"/>
      <w:lvlText w:val=""/>
      <w:lvlJc w:val="left"/>
      <w:pPr>
        <w:tabs>
          <w:tab w:val="num" w:pos="2880"/>
        </w:tabs>
        <w:ind w:left="2880" w:hanging="360"/>
      </w:pPr>
      <w:rPr>
        <w:rFonts w:ascii="Symbol" w:hAnsi="Symbol" w:hint="default"/>
      </w:rPr>
    </w:lvl>
    <w:lvl w:ilvl="4" w:tplc="B5BC7BAE" w:tentative="1">
      <w:start w:val="1"/>
      <w:numFmt w:val="bullet"/>
      <w:lvlText w:val="o"/>
      <w:lvlJc w:val="left"/>
      <w:pPr>
        <w:tabs>
          <w:tab w:val="num" w:pos="3600"/>
        </w:tabs>
        <w:ind w:left="3600" w:hanging="360"/>
      </w:pPr>
      <w:rPr>
        <w:rFonts w:ascii="Courier New" w:hAnsi="Courier New" w:cs="Courier New" w:hint="default"/>
      </w:rPr>
    </w:lvl>
    <w:lvl w:ilvl="5" w:tplc="5F0A89A8" w:tentative="1">
      <w:start w:val="1"/>
      <w:numFmt w:val="bullet"/>
      <w:lvlText w:val=""/>
      <w:lvlJc w:val="left"/>
      <w:pPr>
        <w:tabs>
          <w:tab w:val="num" w:pos="4320"/>
        </w:tabs>
        <w:ind w:left="4320" w:hanging="360"/>
      </w:pPr>
      <w:rPr>
        <w:rFonts w:ascii="Wingdings" w:hAnsi="Wingdings" w:hint="default"/>
      </w:rPr>
    </w:lvl>
    <w:lvl w:ilvl="6" w:tplc="65E4410A" w:tentative="1">
      <w:start w:val="1"/>
      <w:numFmt w:val="bullet"/>
      <w:lvlText w:val=""/>
      <w:lvlJc w:val="left"/>
      <w:pPr>
        <w:tabs>
          <w:tab w:val="num" w:pos="5040"/>
        </w:tabs>
        <w:ind w:left="5040" w:hanging="360"/>
      </w:pPr>
      <w:rPr>
        <w:rFonts w:ascii="Symbol" w:hAnsi="Symbol" w:hint="default"/>
      </w:rPr>
    </w:lvl>
    <w:lvl w:ilvl="7" w:tplc="741CE170" w:tentative="1">
      <w:start w:val="1"/>
      <w:numFmt w:val="bullet"/>
      <w:lvlText w:val="o"/>
      <w:lvlJc w:val="left"/>
      <w:pPr>
        <w:tabs>
          <w:tab w:val="num" w:pos="5760"/>
        </w:tabs>
        <w:ind w:left="5760" w:hanging="360"/>
      </w:pPr>
      <w:rPr>
        <w:rFonts w:ascii="Courier New" w:hAnsi="Courier New" w:cs="Courier New" w:hint="default"/>
      </w:rPr>
    </w:lvl>
    <w:lvl w:ilvl="8" w:tplc="4B3E1102"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3B09D3"/>
    <w:multiLevelType w:val="hybridMultilevel"/>
    <w:tmpl w:val="EF7CF268"/>
    <w:lvl w:ilvl="0" w:tplc="D2EA0C66">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4E4DD3"/>
    <w:multiLevelType w:val="hybridMultilevel"/>
    <w:tmpl w:val="B874E552"/>
    <w:lvl w:ilvl="0" w:tplc="FFFFFFFF">
      <w:start w:val="1"/>
      <w:numFmt w:val="decimal"/>
      <w:pStyle w:val="FERCparanumber"/>
      <w:lvlText w:val="%1."/>
      <w:lvlJc w:val="left"/>
      <w:pPr>
        <w:tabs>
          <w:tab w:val="num" w:pos="72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240"/>
        </w:tabs>
      </w:pPr>
      <w:rPr>
        <w:rFonts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E65462C"/>
    <w:multiLevelType w:val="hybridMultilevel"/>
    <w:tmpl w:val="DE62E998"/>
    <w:lvl w:ilvl="0" w:tplc="1E04FE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3"/>
  </w:num>
  <w:num w:numId="2">
    <w:abstractNumId w:val="9"/>
  </w:num>
  <w:num w:numId="3">
    <w:abstractNumId w:val="9"/>
  </w:num>
  <w:num w:numId="4">
    <w:abstractNumId w:val="7"/>
  </w:num>
  <w:num w:numId="5">
    <w:abstractNumId w:val="7"/>
  </w:num>
  <w:num w:numId="6">
    <w:abstractNumId w:val="6"/>
  </w:num>
  <w:num w:numId="7">
    <w:abstractNumId w:val="6"/>
  </w:num>
  <w:num w:numId="8">
    <w:abstractNumId w:val="5"/>
  </w:num>
  <w:num w:numId="9">
    <w:abstractNumId w:val="5"/>
  </w:num>
  <w:num w:numId="10">
    <w:abstractNumId w:val="4"/>
  </w:num>
  <w:num w:numId="11">
    <w:abstractNumId w:val="4"/>
  </w:num>
  <w:num w:numId="12">
    <w:abstractNumId w:val="8"/>
  </w:num>
  <w:num w:numId="13">
    <w:abstractNumId w:val="8"/>
  </w:num>
  <w:num w:numId="14">
    <w:abstractNumId w:val="3"/>
  </w:num>
  <w:num w:numId="15">
    <w:abstractNumId w:val="3"/>
  </w:num>
  <w:num w:numId="16">
    <w:abstractNumId w:val="2"/>
  </w:num>
  <w:num w:numId="17">
    <w:abstractNumId w:val="2"/>
  </w:num>
  <w:num w:numId="18">
    <w:abstractNumId w:val="1"/>
  </w:num>
  <w:num w:numId="19">
    <w:abstractNumId w:val="1"/>
  </w:num>
  <w:num w:numId="20">
    <w:abstractNumId w:val="0"/>
  </w:num>
  <w:num w:numId="21">
    <w:abstractNumId w:val="0"/>
  </w:num>
  <w:num w:numId="22">
    <w:abstractNumId w:val="31"/>
  </w:num>
  <w:num w:numId="23">
    <w:abstractNumId w:val="22"/>
  </w:num>
  <w:num w:numId="24">
    <w:abstractNumId w:val="12"/>
  </w:num>
  <w:num w:numId="25">
    <w:abstractNumId w:val="27"/>
  </w:num>
  <w:num w:numId="26">
    <w:abstractNumId w:val="23"/>
  </w:num>
  <w:num w:numId="27">
    <w:abstractNumId w:val="11"/>
  </w:num>
  <w:num w:numId="28">
    <w:abstractNumId w:val="15"/>
  </w:num>
  <w:num w:numId="29">
    <w:abstractNumId w:val="26"/>
  </w:num>
  <w:num w:numId="30">
    <w:abstractNumId w:val="30"/>
  </w:num>
  <w:num w:numId="31">
    <w:abstractNumId w:val="22"/>
  </w:num>
  <w:num w:numId="32">
    <w:abstractNumId w:val="22"/>
  </w:num>
  <w:num w:numId="33">
    <w:abstractNumId w:val="22"/>
  </w:num>
  <w:num w:numId="34">
    <w:abstractNumId w:val="22"/>
  </w:num>
  <w:num w:numId="35">
    <w:abstractNumId w:val="19"/>
  </w:num>
  <w:num w:numId="36">
    <w:abstractNumId w:val="14"/>
  </w:num>
  <w:num w:numId="37">
    <w:abstractNumId w:val="29"/>
  </w:num>
  <w:num w:numId="38">
    <w:abstractNumId w:val="21"/>
  </w:num>
  <w:num w:numId="39">
    <w:abstractNumId w:val="25"/>
  </w:num>
  <w:num w:numId="40">
    <w:abstractNumId w:val="20"/>
  </w:num>
  <w:num w:numId="41">
    <w:abstractNumId w:val="34"/>
  </w:num>
  <w:num w:numId="42">
    <w:abstractNumId w:val="33"/>
  </w:num>
  <w:num w:numId="43">
    <w:abstractNumId w:val="13"/>
  </w:num>
  <w:num w:numId="44">
    <w:abstractNumId w:val="28"/>
  </w:num>
  <w:num w:numId="45">
    <w:abstractNumId w:val="33"/>
  </w:num>
  <w:num w:numId="46">
    <w:abstractNumId w:val="17"/>
  </w:num>
  <w:num w:numId="47">
    <w:abstractNumId w:val="10"/>
  </w:num>
  <w:num w:numId="48">
    <w:abstractNumId w:val="33"/>
  </w:num>
  <w:num w:numId="49">
    <w:abstractNumId w:val="18"/>
  </w:num>
  <w:num w:numId="50">
    <w:abstractNumId w:val="24"/>
  </w:num>
  <w:num w:numId="51">
    <w:abstractNumId w:val="16"/>
  </w:num>
  <w:num w:numId="52">
    <w:abstractNumId w:val="33"/>
  </w:num>
  <w:num w:numId="53">
    <w:abstractNumId w:val="33"/>
  </w:num>
  <w:num w:numId="54">
    <w:abstractNumId w:val="32"/>
  </w:num>
  <w:num w:numId="55">
    <w:abstractNumId w:val="33"/>
  </w:num>
  <w:num w:numId="56">
    <w:abstractNumId w:val="33"/>
  </w:num>
  <w:num w:numId="57">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BA9"/>
    <w:rsid w:val="000008DC"/>
    <w:rsid w:val="000010A2"/>
    <w:rsid w:val="00001846"/>
    <w:rsid w:val="00003548"/>
    <w:rsid w:val="000039F0"/>
    <w:rsid w:val="00003A20"/>
    <w:rsid w:val="00004346"/>
    <w:rsid w:val="00004950"/>
    <w:rsid w:val="00004A11"/>
    <w:rsid w:val="00004AEC"/>
    <w:rsid w:val="00005ACF"/>
    <w:rsid w:val="0000615A"/>
    <w:rsid w:val="00006AE5"/>
    <w:rsid w:val="00010CA8"/>
    <w:rsid w:val="0001178C"/>
    <w:rsid w:val="00011A24"/>
    <w:rsid w:val="000129B6"/>
    <w:rsid w:val="00012FEF"/>
    <w:rsid w:val="000133FB"/>
    <w:rsid w:val="000136F4"/>
    <w:rsid w:val="00014B7D"/>
    <w:rsid w:val="00014CD3"/>
    <w:rsid w:val="00014FDC"/>
    <w:rsid w:val="00015F4D"/>
    <w:rsid w:val="000169B2"/>
    <w:rsid w:val="00016DEE"/>
    <w:rsid w:val="000174D7"/>
    <w:rsid w:val="00017DB6"/>
    <w:rsid w:val="00021448"/>
    <w:rsid w:val="00021B4E"/>
    <w:rsid w:val="00021C38"/>
    <w:rsid w:val="00021F71"/>
    <w:rsid w:val="000221B9"/>
    <w:rsid w:val="000223E4"/>
    <w:rsid w:val="00023B1B"/>
    <w:rsid w:val="00023C15"/>
    <w:rsid w:val="000241CE"/>
    <w:rsid w:val="000244C8"/>
    <w:rsid w:val="00024FAD"/>
    <w:rsid w:val="00025EB0"/>
    <w:rsid w:val="000277E8"/>
    <w:rsid w:val="00027D5A"/>
    <w:rsid w:val="00027FE0"/>
    <w:rsid w:val="000300EA"/>
    <w:rsid w:val="00030452"/>
    <w:rsid w:val="000316FC"/>
    <w:rsid w:val="000325C5"/>
    <w:rsid w:val="00032E9E"/>
    <w:rsid w:val="00032F56"/>
    <w:rsid w:val="000335B2"/>
    <w:rsid w:val="00035AC0"/>
    <w:rsid w:val="00035B57"/>
    <w:rsid w:val="00035D07"/>
    <w:rsid w:val="00036AAA"/>
    <w:rsid w:val="00036CB0"/>
    <w:rsid w:val="00037102"/>
    <w:rsid w:val="00037F7E"/>
    <w:rsid w:val="00040148"/>
    <w:rsid w:val="000410B8"/>
    <w:rsid w:val="000415C1"/>
    <w:rsid w:val="00042097"/>
    <w:rsid w:val="0004211A"/>
    <w:rsid w:val="000438F0"/>
    <w:rsid w:val="00043908"/>
    <w:rsid w:val="00043FB1"/>
    <w:rsid w:val="00044310"/>
    <w:rsid w:val="000443F6"/>
    <w:rsid w:val="00045168"/>
    <w:rsid w:val="00046A52"/>
    <w:rsid w:val="000473E9"/>
    <w:rsid w:val="0005017B"/>
    <w:rsid w:val="000504AD"/>
    <w:rsid w:val="000504C7"/>
    <w:rsid w:val="000507F3"/>
    <w:rsid w:val="00051FB1"/>
    <w:rsid w:val="000535A1"/>
    <w:rsid w:val="00053843"/>
    <w:rsid w:val="00054007"/>
    <w:rsid w:val="0005418B"/>
    <w:rsid w:val="000547BB"/>
    <w:rsid w:val="00054CFC"/>
    <w:rsid w:val="0005596E"/>
    <w:rsid w:val="00057383"/>
    <w:rsid w:val="000602B6"/>
    <w:rsid w:val="00060573"/>
    <w:rsid w:val="00061322"/>
    <w:rsid w:val="00061BF3"/>
    <w:rsid w:val="000632CE"/>
    <w:rsid w:val="00063C60"/>
    <w:rsid w:val="00063F46"/>
    <w:rsid w:val="0006403B"/>
    <w:rsid w:val="0006505F"/>
    <w:rsid w:val="000656C0"/>
    <w:rsid w:val="000660B6"/>
    <w:rsid w:val="00066527"/>
    <w:rsid w:val="00066F4B"/>
    <w:rsid w:val="00067A54"/>
    <w:rsid w:val="00067E42"/>
    <w:rsid w:val="000713DF"/>
    <w:rsid w:val="00071AAC"/>
    <w:rsid w:val="0007247A"/>
    <w:rsid w:val="0007321F"/>
    <w:rsid w:val="00074A14"/>
    <w:rsid w:val="00074CE9"/>
    <w:rsid w:val="00076F34"/>
    <w:rsid w:val="0007717A"/>
    <w:rsid w:val="0007725C"/>
    <w:rsid w:val="00077841"/>
    <w:rsid w:val="000808C0"/>
    <w:rsid w:val="00080B5B"/>
    <w:rsid w:val="00081326"/>
    <w:rsid w:val="000822CA"/>
    <w:rsid w:val="00082312"/>
    <w:rsid w:val="00082E46"/>
    <w:rsid w:val="00083DBE"/>
    <w:rsid w:val="00083E5A"/>
    <w:rsid w:val="000846AB"/>
    <w:rsid w:val="00084C53"/>
    <w:rsid w:val="000867CB"/>
    <w:rsid w:val="00087051"/>
    <w:rsid w:val="0008718D"/>
    <w:rsid w:val="00087FCE"/>
    <w:rsid w:val="000903B8"/>
    <w:rsid w:val="00091746"/>
    <w:rsid w:val="000929B2"/>
    <w:rsid w:val="000934A0"/>
    <w:rsid w:val="00094AA1"/>
    <w:rsid w:val="00094CF6"/>
    <w:rsid w:val="00095BFF"/>
    <w:rsid w:val="00096B2E"/>
    <w:rsid w:val="00096B52"/>
    <w:rsid w:val="000970A8"/>
    <w:rsid w:val="000972B5"/>
    <w:rsid w:val="00097377"/>
    <w:rsid w:val="00097C85"/>
    <w:rsid w:val="000A0D5B"/>
    <w:rsid w:val="000A158F"/>
    <w:rsid w:val="000A1BF3"/>
    <w:rsid w:val="000A1DAA"/>
    <w:rsid w:val="000A26E8"/>
    <w:rsid w:val="000A2D91"/>
    <w:rsid w:val="000A409A"/>
    <w:rsid w:val="000A448D"/>
    <w:rsid w:val="000A586E"/>
    <w:rsid w:val="000A660C"/>
    <w:rsid w:val="000A67E4"/>
    <w:rsid w:val="000A72D8"/>
    <w:rsid w:val="000B2535"/>
    <w:rsid w:val="000B29C5"/>
    <w:rsid w:val="000B350D"/>
    <w:rsid w:val="000B46E1"/>
    <w:rsid w:val="000B6C6A"/>
    <w:rsid w:val="000B6C86"/>
    <w:rsid w:val="000B7201"/>
    <w:rsid w:val="000B7B33"/>
    <w:rsid w:val="000C1D1E"/>
    <w:rsid w:val="000C1F55"/>
    <w:rsid w:val="000C2F61"/>
    <w:rsid w:val="000C2FE7"/>
    <w:rsid w:val="000C4897"/>
    <w:rsid w:val="000C69E0"/>
    <w:rsid w:val="000C7616"/>
    <w:rsid w:val="000C7D12"/>
    <w:rsid w:val="000C7E65"/>
    <w:rsid w:val="000D0097"/>
    <w:rsid w:val="000D19F2"/>
    <w:rsid w:val="000D2213"/>
    <w:rsid w:val="000D22B0"/>
    <w:rsid w:val="000D2B7E"/>
    <w:rsid w:val="000D2DFC"/>
    <w:rsid w:val="000D303A"/>
    <w:rsid w:val="000D527E"/>
    <w:rsid w:val="000D6175"/>
    <w:rsid w:val="000D66D5"/>
    <w:rsid w:val="000D670E"/>
    <w:rsid w:val="000D6AA4"/>
    <w:rsid w:val="000D6AC1"/>
    <w:rsid w:val="000D6BAA"/>
    <w:rsid w:val="000D7830"/>
    <w:rsid w:val="000E0827"/>
    <w:rsid w:val="000E0AAC"/>
    <w:rsid w:val="000E104F"/>
    <w:rsid w:val="000E14BB"/>
    <w:rsid w:val="000E156F"/>
    <w:rsid w:val="000E19FF"/>
    <w:rsid w:val="000E1EF6"/>
    <w:rsid w:val="000E41CC"/>
    <w:rsid w:val="000E51F4"/>
    <w:rsid w:val="000E66D9"/>
    <w:rsid w:val="000E6CC9"/>
    <w:rsid w:val="000E7DE0"/>
    <w:rsid w:val="000F013C"/>
    <w:rsid w:val="000F0A91"/>
    <w:rsid w:val="000F0E52"/>
    <w:rsid w:val="000F0F09"/>
    <w:rsid w:val="000F130C"/>
    <w:rsid w:val="000F221F"/>
    <w:rsid w:val="000F28E3"/>
    <w:rsid w:val="000F42ED"/>
    <w:rsid w:val="000F438A"/>
    <w:rsid w:val="000F4DC4"/>
    <w:rsid w:val="000F4E91"/>
    <w:rsid w:val="000F5C61"/>
    <w:rsid w:val="000F6044"/>
    <w:rsid w:val="000F6557"/>
    <w:rsid w:val="000F68E5"/>
    <w:rsid w:val="000F6DE0"/>
    <w:rsid w:val="000F7238"/>
    <w:rsid w:val="0010085C"/>
    <w:rsid w:val="00101152"/>
    <w:rsid w:val="001012C8"/>
    <w:rsid w:val="001012D5"/>
    <w:rsid w:val="001013CC"/>
    <w:rsid w:val="00101558"/>
    <w:rsid w:val="00101ECB"/>
    <w:rsid w:val="00102993"/>
    <w:rsid w:val="00102B4E"/>
    <w:rsid w:val="0010352E"/>
    <w:rsid w:val="00103B23"/>
    <w:rsid w:val="00103BC7"/>
    <w:rsid w:val="00103BFD"/>
    <w:rsid w:val="00103E0B"/>
    <w:rsid w:val="00104752"/>
    <w:rsid w:val="001054AB"/>
    <w:rsid w:val="00107FE0"/>
    <w:rsid w:val="001106ED"/>
    <w:rsid w:val="00112870"/>
    <w:rsid w:val="00112FC1"/>
    <w:rsid w:val="00113B8A"/>
    <w:rsid w:val="00114197"/>
    <w:rsid w:val="00114673"/>
    <w:rsid w:val="0011511B"/>
    <w:rsid w:val="001170A8"/>
    <w:rsid w:val="00117586"/>
    <w:rsid w:val="0011769E"/>
    <w:rsid w:val="001179D0"/>
    <w:rsid w:val="0012245F"/>
    <w:rsid w:val="00123043"/>
    <w:rsid w:val="00123CE4"/>
    <w:rsid w:val="00124616"/>
    <w:rsid w:val="00125319"/>
    <w:rsid w:val="00126589"/>
    <w:rsid w:val="001270D8"/>
    <w:rsid w:val="00130236"/>
    <w:rsid w:val="00130E92"/>
    <w:rsid w:val="0013176F"/>
    <w:rsid w:val="00131961"/>
    <w:rsid w:val="0013267D"/>
    <w:rsid w:val="00132958"/>
    <w:rsid w:val="001329CD"/>
    <w:rsid w:val="00132A80"/>
    <w:rsid w:val="00132C1F"/>
    <w:rsid w:val="00132F96"/>
    <w:rsid w:val="001345AC"/>
    <w:rsid w:val="00134958"/>
    <w:rsid w:val="00134E05"/>
    <w:rsid w:val="00134E66"/>
    <w:rsid w:val="00135D17"/>
    <w:rsid w:val="00135E46"/>
    <w:rsid w:val="001400EB"/>
    <w:rsid w:val="001406B0"/>
    <w:rsid w:val="00140F26"/>
    <w:rsid w:val="00141DFE"/>
    <w:rsid w:val="00142216"/>
    <w:rsid w:val="001428F4"/>
    <w:rsid w:val="00142F29"/>
    <w:rsid w:val="00143B54"/>
    <w:rsid w:val="0014436C"/>
    <w:rsid w:val="001453AE"/>
    <w:rsid w:val="0014617F"/>
    <w:rsid w:val="001466C3"/>
    <w:rsid w:val="001472D9"/>
    <w:rsid w:val="001502BD"/>
    <w:rsid w:val="00150945"/>
    <w:rsid w:val="00150AD2"/>
    <w:rsid w:val="00151132"/>
    <w:rsid w:val="00151827"/>
    <w:rsid w:val="00152079"/>
    <w:rsid w:val="00152154"/>
    <w:rsid w:val="00152CCD"/>
    <w:rsid w:val="00153112"/>
    <w:rsid w:val="001539A2"/>
    <w:rsid w:val="001546BF"/>
    <w:rsid w:val="00154746"/>
    <w:rsid w:val="00154BD4"/>
    <w:rsid w:val="00155F3D"/>
    <w:rsid w:val="0015685B"/>
    <w:rsid w:val="00156B51"/>
    <w:rsid w:val="00157974"/>
    <w:rsid w:val="00160764"/>
    <w:rsid w:val="0016238D"/>
    <w:rsid w:val="0016268A"/>
    <w:rsid w:val="00163663"/>
    <w:rsid w:val="00163C4E"/>
    <w:rsid w:val="001640EA"/>
    <w:rsid w:val="00164D28"/>
    <w:rsid w:val="00166084"/>
    <w:rsid w:val="00166289"/>
    <w:rsid w:val="00166B9D"/>
    <w:rsid w:val="00166C53"/>
    <w:rsid w:val="00166EBA"/>
    <w:rsid w:val="001677E0"/>
    <w:rsid w:val="00170155"/>
    <w:rsid w:val="00170AAB"/>
    <w:rsid w:val="001728C4"/>
    <w:rsid w:val="001735C2"/>
    <w:rsid w:val="00173A73"/>
    <w:rsid w:val="00174282"/>
    <w:rsid w:val="001755A8"/>
    <w:rsid w:val="0017581E"/>
    <w:rsid w:val="00176821"/>
    <w:rsid w:val="00177BDE"/>
    <w:rsid w:val="00180B2F"/>
    <w:rsid w:val="00181808"/>
    <w:rsid w:val="0018229A"/>
    <w:rsid w:val="001830EB"/>
    <w:rsid w:val="00184913"/>
    <w:rsid w:val="00184B94"/>
    <w:rsid w:val="001855BE"/>
    <w:rsid w:val="00185749"/>
    <w:rsid w:val="0018632A"/>
    <w:rsid w:val="00186BDB"/>
    <w:rsid w:val="00186DE6"/>
    <w:rsid w:val="00187B25"/>
    <w:rsid w:val="00187F71"/>
    <w:rsid w:val="00190610"/>
    <w:rsid w:val="0019063F"/>
    <w:rsid w:val="00190686"/>
    <w:rsid w:val="00191A93"/>
    <w:rsid w:val="00192218"/>
    <w:rsid w:val="00194484"/>
    <w:rsid w:val="0019467C"/>
    <w:rsid w:val="00196824"/>
    <w:rsid w:val="00197A21"/>
    <w:rsid w:val="001A0094"/>
    <w:rsid w:val="001A1070"/>
    <w:rsid w:val="001A1159"/>
    <w:rsid w:val="001A18E2"/>
    <w:rsid w:val="001A1E8E"/>
    <w:rsid w:val="001A20B4"/>
    <w:rsid w:val="001A2940"/>
    <w:rsid w:val="001A2AE7"/>
    <w:rsid w:val="001A336D"/>
    <w:rsid w:val="001A3527"/>
    <w:rsid w:val="001A404D"/>
    <w:rsid w:val="001A52C9"/>
    <w:rsid w:val="001A5A53"/>
    <w:rsid w:val="001A5CEE"/>
    <w:rsid w:val="001A62DB"/>
    <w:rsid w:val="001A686F"/>
    <w:rsid w:val="001A6E13"/>
    <w:rsid w:val="001A7913"/>
    <w:rsid w:val="001A7ECB"/>
    <w:rsid w:val="001B086F"/>
    <w:rsid w:val="001B0D8F"/>
    <w:rsid w:val="001B2807"/>
    <w:rsid w:val="001B2812"/>
    <w:rsid w:val="001B3571"/>
    <w:rsid w:val="001B512A"/>
    <w:rsid w:val="001B5990"/>
    <w:rsid w:val="001B6475"/>
    <w:rsid w:val="001B6FF3"/>
    <w:rsid w:val="001B730B"/>
    <w:rsid w:val="001C0AC6"/>
    <w:rsid w:val="001C1613"/>
    <w:rsid w:val="001C217B"/>
    <w:rsid w:val="001C237E"/>
    <w:rsid w:val="001C313F"/>
    <w:rsid w:val="001C3488"/>
    <w:rsid w:val="001C4A92"/>
    <w:rsid w:val="001C54E7"/>
    <w:rsid w:val="001C5818"/>
    <w:rsid w:val="001C5BB6"/>
    <w:rsid w:val="001C74D9"/>
    <w:rsid w:val="001C77CE"/>
    <w:rsid w:val="001D005E"/>
    <w:rsid w:val="001D09BC"/>
    <w:rsid w:val="001D1ADB"/>
    <w:rsid w:val="001D243C"/>
    <w:rsid w:val="001D4217"/>
    <w:rsid w:val="001D4A0A"/>
    <w:rsid w:val="001D5DFA"/>
    <w:rsid w:val="001D6505"/>
    <w:rsid w:val="001D6681"/>
    <w:rsid w:val="001D6BC9"/>
    <w:rsid w:val="001D7BBA"/>
    <w:rsid w:val="001E0031"/>
    <w:rsid w:val="001E02C4"/>
    <w:rsid w:val="001E0670"/>
    <w:rsid w:val="001E0B01"/>
    <w:rsid w:val="001E1429"/>
    <w:rsid w:val="001E3D64"/>
    <w:rsid w:val="001E3E20"/>
    <w:rsid w:val="001E46C4"/>
    <w:rsid w:val="001E4958"/>
    <w:rsid w:val="001E69E5"/>
    <w:rsid w:val="001E6DB2"/>
    <w:rsid w:val="001E751A"/>
    <w:rsid w:val="001E7A0A"/>
    <w:rsid w:val="001F169D"/>
    <w:rsid w:val="001F18FC"/>
    <w:rsid w:val="001F191C"/>
    <w:rsid w:val="001F1C2E"/>
    <w:rsid w:val="001F20CE"/>
    <w:rsid w:val="001F2C0B"/>
    <w:rsid w:val="001F2D8A"/>
    <w:rsid w:val="001F37A3"/>
    <w:rsid w:val="001F390F"/>
    <w:rsid w:val="001F55B8"/>
    <w:rsid w:val="001F5AEB"/>
    <w:rsid w:val="001F6C13"/>
    <w:rsid w:val="001F6F4B"/>
    <w:rsid w:val="001F7231"/>
    <w:rsid w:val="001F75CB"/>
    <w:rsid w:val="002008B3"/>
    <w:rsid w:val="002018F1"/>
    <w:rsid w:val="0020254F"/>
    <w:rsid w:val="00202AE4"/>
    <w:rsid w:val="00202CE2"/>
    <w:rsid w:val="00202F86"/>
    <w:rsid w:val="00203016"/>
    <w:rsid w:val="00203936"/>
    <w:rsid w:val="00204E98"/>
    <w:rsid w:val="00204F8B"/>
    <w:rsid w:val="00205829"/>
    <w:rsid w:val="00205F9E"/>
    <w:rsid w:val="00206066"/>
    <w:rsid w:val="00207F04"/>
    <w:rsid w:val="00210C4A"/>
    <w:rsid w:val="0021146C"/>
    <w:rsid w:val="00211E11"/>
    <w:rsid w:val="0021230A"/>
    <w:rsid w:val="00212F24"/>
    <w:rsid w:val="002135B3"/>
    <w:rsid w:val="00213E34"/>
    <w:rsid w:val="002156DF"/>
    <w:rsid w:val="00215DF5"/>
    <w:rsid w:val="00216028"/>
    <w:rsid w:val="00216B4A"/>
    <w:rsid w:val="00216EA0"/>
    <w:rsid w:val="00217B51"/>
    <w:rsid w:val="00217BD2"/>
    <w:rsid w:val="00220692"/>
    <w:rsid w:val="002220AF"/>
    <w:rsid w:val="00222955"/>
    <w:rsid w:val="00222A1B"/>
    <w:rsid w:val="00222AFB"/>
    <w:rsid w:val="00222D6C"/>
    <w:rsid w:val="002242DC"/>
    <w:rsid w:val="00225092"/>
    <w:rsid w:val="00225F94"/>
    <w:rsid w:val="00226210"/>
    <w:rsid w:val="00226D38"/>
    <w:rsid w:val="002302F3"/>
    <w:rsid w:val="00230ADA"/>
    <w:rsid w:val="00230DB9"/>
    <w:rsid w:val="00230DDF"/>
    <w:rsid w:val="002315BF"/>
    <w:rsid w:val="00231E84"/>
    <w:rsid w:val="00232DAF"/>
    <w:rsid w:val="00233789"/>
    <w:rsid w:val="00233FB7"/>
    <w:rsid w:val="00234A26"/>
    <w:rsid w:val="0023594F"/>
    <w:rsid w:val="00235C3A"/>
    <w:rsid w:val="00235D9D"/>
    <w:rsid w:val="00236879"/>
    <w:rsid w:val="00236CFC"/>
    <w:rsid w:val="00236CFE"/>
    <w:rsid w:val="00236F51"/>
    <w:rsid w:val="00236F7F"/>
    <w:rsid w:val="002375D3"/>
    <w:rsid w:val="002376DD"/>
    <w:rsid w:val="00240251"/>
    <w:rsid w:val="00241368"/>
    <w:rsid w:val="00243143"/>
    <w:rsid w:val="0024366F"/>
    <w:rsid w:val="002440C1"/>
    <w:rsid w:val="00244219"/>
    <w:rsid w:val="0024458B"/>
    <w:rsid w:val="00244E62"/>
    <w:rsid w:val="0024668B"/>
    <w:rsid w:val="0024674C"/>
    <w:rsid w:val="002467BA"/>
    <w:rsid w:val="002471DA"/>
    <w:rsid w:val="002478C8"/>
    <w:rsid w:val="00247E5E"/>
    <w:rsid w:val="00250C90"/>
    <w:rsid w:val="00251576"/>
    <w:rsid w:val="00251A37"/>
    <w:rsid w:val="00252A93"/>
    <w:rsid w:val="00252E6F"/>
    <w:rsid w:val="00253073"/>
    <w:rsid w:val="0025396A"/>
    <w:rsid w:val="00253BD8"/>
    <w:rsid w:val="0025691F"/>
    <w:rsid w:val="002569FE"/>
    <w:rsid w:val="00257C38"/>
    <w:rsid w:val="00257E52"/>
    <w:rsid w:val="00260318"/>
    <w:rsid w:val="002603E3"/>
    <w:rsid w:val="00260DB1"/>
    <w:rsid w:val="00261308"/>
    <w:rsid w:val="00261946"/>
    <w:rsid w:val="00262168"/>
    <w:rsid w:val="00262251"/>
    <w:rsid w:val="0026243F"/>
    <w:rsid w:val="00262CA3"/>
    <w:rsid w:val="00262F85"/>
    <w:rsid w:val="0026357D"/>
    <w:rsid w:val="00263962"/>
    <w:rsid w:val="00265359"/>
    <w:rsid w:val="002656DF"/>
    <w:rsid w:val="00266276"/>
    <w:rsid w:val="0026640C"/>
    <w:rsid w:val="002668CD"/>
    <w:rsid w:val="00267529"/>
    <w:rsid w:val="0026774F"/>
    <w:rsid w:val="0027056A"/>
    <w:rsid w:val="002707D2"/>
    <w:rsid w:val="00270858"/>
    <w:rsid w:val="002727DA"/>
    <w:rsid w:val="0027386D"/>
    <w:rsid w:val="00273B08"/>
    <w:rsid w:val="00273D00"/>
    <w:rsid w:val="00275287"/>
    <w:rsid w:val="0027628E"/>
    <w:rsid w:val="00276FF0"/>
    <w:rsid w:val="00277881"/>
    <w:rsid w:val="00280210"/>
    <w:rsid w:val="002804CB"/>
    <w:rsid w:val="00280B4B"/>
    <w:rsid w:val="00280C6D"/>
    <w:rsid w:val="00280FF7"/>
    <w:rsid w:val="00281095"/>
    <w:rsid w:val="0028127D"/>
    <w:rsid w:val="00281978"/>
    <w:rsid w:val="00283996"/>
    <w:rsid w:val="00283B64"/>
    <w:rsid w:val="002844D0"/>
    <w:rsid w:val="0028462E"/>
    <w:rsid w:val="0028473A"/>
    <w:rsid w:val="0028559D"/>
    <w:rsid w:val="00286B3B"/>
    <w:rsid w:val="00286D97"/>
    <w:rsid w:val="002873CF"/>
    <w:rsid w:val="00287D99"/>
    <w:rsid w:val="00290CDA"/>
    <w:rsid w:val="002910FA"/>
    <w:rsid w:val="00291254"/>
    <w:rsid w:val="0029152E"/>
    <w:rsid w:val="002916F6"/>
    <w:rsid w:val="0029287D"/>
    <w:rsid w:val="00292C42"/>
    <w:rsid w:val="00292C94"/>
    <w:rsid w:val="00292DE4"/>
    <w:rsid w:val="002931BC"/>
    <w:rsid w:val="0029346E"/>
    <w:rsid w:val="00293F45"/>
    <w:rsid w:val="00297122"/>
    <w:rsid w:val="002A1274"/>
    <w:rsid w:val="002A15B5"/>
    <w:rsid w:val="002A1B83"/>
    <w:rsid w:val="002A3661"/>
    <w:rsid w:val="002A4576"/>
    <w:rsid w:val="002A48BB"/>
    <w:rsid w:val="002A6B96"/>
    <w:rsid w:val="002A6FF9"/>
    <w:rsid w:val="002A7722"/>
    <w:rsid w:val="002A786C"/>
    <w:rsid w:val="002A79F7"/>
    <w:rsid w:val="002B2621"/>
    <w:rsid w:val="002B2641"/>
    <w:rsid w:val="002B2991"/>
    <w:rsid w:val="002B2E06"/>
    <w:rsid w:val="002B487C"/>
    <w:rsid w:val="002B5668"/>
    <w:rsid w:val="002B6FAF"/>
    <w:rsid w:val="002B75D7"/>
    <w:rsid w:val="002B77F8"/>
    <w:rsid w:val="002B7936"/>
    <w:rsid w:val="002B79B5"/>
    <w:rsid w:val="002C047E"/>
    <w:rsid w:val="002C1603"/>
    <w:rsid w:val="002C1977"/>
    <w:rsid w:val="002C1FC6"/>
    <w:rsid w:val="002C293F"/>
    <w:rsid w:val="002C2BC3"/>
    <w:rsid w:val="002C3B05"/>
    <w:rsid w:val="002C3C38"/>
    <w:rsid w:val="002C4737"/>
    <w:rsid w:val="002C5382"/>
    <w:rsid w:val="002C5585"/>
    <w:rsid w:val="002C59B5"/>
    <w:rsid w:val="002C5F6F"/>
    <w:rsid w:val="002C643A"/>
    <w:rsid w:val="002C7BCC"/>
    <w:rsid w:val="002D00BA"/>
    <w:rsid w:val="002D0171"/>
    <w:rsid w:val="002D01D7"/>
    <w:rsid w:val="002D042D"/>
    <w:rsid w:val="002D130A"/>
    <w:rsid w:val="002D145D"/>
    <w:rsid w:val="002D14FC"/>
    <w:rsid w:val="002D1906"/>
    <w:rsid w:val="002D3133"/>
    <w:rsid w:val="002D3678"/>
    <w:rsid w:val="002D3C91"/>
    <w:rsid w:val="002D3E94"/>
    <w:rsid w:val="002D5862"/>
    <w:rsid w:val="002D66E9"/>
    <w:rsid w:val="002D6AD0"/>
    <w:rsid w:val="002D769B"/>
    <w:rsid w:val="002D7AE0"/>
    <w:rsid w:val="002E1055"/>
    <w:rsid w:val="002E1F47"/>
    <w:rsid w:val="002E4D15"/>
    <w:rsid w:val="002E529F"/>
    <w:rsid w:val="002E52F2"/>
    <w:rsid w:val="002E5999"/>
    <w:rsid w:val="002E5EF1"/>
    <w:rsid w:val="002E680A"/>
    <w:rsid w:val="002E68BF"/>
    <w:rsid w:val="002E7602"/>
    <w:rsid w:val="002F0876"/>
    <w:rsid w:val="002F2492"/>
    <w:rsid w:val="002F2D0A"/>
    <w:rsid w:val="002F3254"/>
    <w:rsid w:val="002F358A"/>
    <w:rsid w:val="002F366B"/>
    <w:rsid w:val="002F38AC"/>
    <w:rsid w:val="002F3A32"/>
    <w:rsid w:val="002F40BB"/>
    <w:rsid w:val="002F50A2"/>
    <w:rsid w:val="002F50B4"/>
    <w:rsid w:val="002F54A3"/>
    <w:rsid w:val="002F6463"/>
    <w:rsid w:val="002F74A9"/>
    <w:rsid w:val="002F79E7"/>
    <w:rsid w:val="00300652"/>
    <w:rsid w:val="003010B3"/>
    <w:rsid w:val="00301427"/>
    <w:rsid w:val="00301E0A"/>
    <w:rsid w:val="00302266"/>
    <w:rsid w:val="003022AA"/>
    <w:rsid w:val="00303164"/>
    <w:rsid w:val="00303191"/>
    <w:rsid w:val="00303483"/>
    <w:rsid w:val="00304021"/>
    <w:rsid w:val="003042AD"/>
    <w:rsid w:val="00304B80"/>
    <w:rsid w:val="0030571D"/>
    <w:rsid w:val="0030589B"/>
    <w:rsid w:val="0030750E"/>
    <w:rsid w:val="003100E0"/>
    <w:rsid w:val="00310CEB"/>
    <w:rsid w:val="003118C2"/>
    <w:rsid w:val="00312E09"/>
    <w:rsid w:val="003130AE"/>
    <w:rsid w:val="003134C2"/>
    <w:rsid w:val="00313C13"/>
    <w:rsid w:val="003140D7"/>
    <w:rsid w:val="003149ED"/>
    <w:rsid w:val="00316636"/>
    <w:rsid w:val="0031700B"/>
    <w:rsid w:val="00317B02"/>
    <w:rsid w:val="00317B3E"/>
    <w:rsid w:val="00320128"/>
    <w:rsid w:val="0032049A"/>
    <w:rsid w:val="00321174"/>
    <w:rsid w:val="003214FE"/>
    <w:rsid w:val="003217ED"/>
    <w:rsid w:val="003221A0"/>
    <w:rsid w:val="00322AB9"/>
    <w:rsid w:val="00322FBB"/>
    <w:rsid w:val="0032333C"/>
    <w:rsid w:val="003235A0"/>
    <w:rsid w:val="00324548"/>
    <w:rsid w:val="00324C23"/>
    <w:rsid w:val="003252AC"/>
    <w:rsid w:val="00325A38"/>
    <w:rsid w:val="00326081"/>
    <w:rsid w:val="00326AC4"/>
    <w:rsid w:val="003275D5"/>
    <w:rsid w:val="00330362"/>
    <w:rsid w:val="00330C07"/>
    <w:rsid w:val="00330C99"/>
    <w:rsid w:val="00330EC9"/>
    <w:rsid w:val="003313AE"/>
    <w:rsid w:val="00331B7F"/>
    <w:rsid w:val="0033262C"/>
    <w:rsid w:val="00332EA4"/>
    <w:rsid w:val="00333BCC"/>
    <w:rsid w:val="0033428F"/>
    <w:rsid w:val="00334630"/>
    <w:rsid w:val="00334EAF"/>
    <w:rsid w:val="003350E1"/>
    <w:rsid w:val="003350FA"/>
    <w:rsid w:val="003354E7"/>
    <w:rsid w:val="00335529"/>
    <w:rsid w:val="00335D18"/>
    <w:rsid w:val="00336F25"/>
    <w:rsid w:val="00336F2A"/>
    <w:rsid w:val="00337767"/>
    <w:rsid w:val="003400E0"/>
    <w:rsid w:val="00341891"/>
    <w:rsid w:val="00343292"/>
    <w:rsid w:val="003433B3"/>
    <w:rsid w:val="00343DBC"/>
    <w:rsid w:val="00343E64"/>
    <w:rsid w:val="003440F0"/>
    <w:rsid w:val="00344455"/>
    <w:rsid w:val="00345F77"/>
    <w:rsid w:val="003463E9"/>
    <w:rsid w:val="00346452"/>
    <w:rsid w:val="003475A9"/>
    <w:rsid w:val="0035033F"/>
    <w:rsid w:val="0035038C"/>
    <w:rsid w:val="003513A6"/>
    <w:rsid w:val="0035221F"/>
    <w:rsid w:val="00352263"/>
    <w:rsid w:val="00352B99"/>
    <w:rsid w:val="00353419"/>
    <w:rsid w:val="00353465"/>
    <w:rsid w:val="00353BB0"/>
    <w:rsid w:val="0035495F"/>
    <w:rsid w:val="00354B3C"/>
    <w:rsid w:val="00354F70"/>
    <w:rsid w:val="00355B3C"/>
    <w:rsid w:val="00355C71"/>
    <w:rsid w:val="003563D3"/>
    <w:rsid w:val="00356462"/>
    <w:rsid w:val="00356AD8"/>
    <w:rsid w:val="00356B6E"/>
    <w:rsid w:val="00356EEC"/>
    <w:rsid w:val="0035771A"/>
    <w:rsid w:val="00357F55"/>
    <w:rsid w:val="00357F58"/>
    <w:rsid w:val="003613D7"/>
    <w:rsid w:val="003614AD"/>
    <w:rsid w:val="00361B00"/>
    <w:rsid w:val="00361C22"/>
    <w:rsid w:val="00362A3B"/>
    <w:rsid w:val="00362C5F"/>
    <w:rsid w:val="00362DC9"/>
    <w:rsid w:val="0036439C"/>
    <w:rsid w:val="003648D3"/>
    <w:rsid w:val="00364AD7"/>
    <w:rsid w:val="00364C93"/>
    <w:rsid w:val="00364EFE"/>
    <w:rsid w:val="003658D8"/>
    <w:rsid w:val="003666F1"/>
    <w:rsid w:val="003668D1"/>
    <w:rsid w:val="0036781B"/>
    <w:rsid w:val="00370B25"/>
    <w:rsid w:val="00370C15"/>
    <w:rsid w:val="00371D1A"/>
    <w:rsid w:val="0037302C"/>
    <w:rsid w:val="00373F75"/>
    <w:rsid w:val="00376F10"/>
    <w:rsid w:val="003776EB"/>
    <w:rsid w:val="003778E1"/>
    <w:rsid w:val="00377EBE"/>
    <w:rsid w:val="00380E5E"/>
    <w:rsid w:val="003811CB"/>
    <w:rsid w:val="00381A7D"/>
    <w:rsid w:val="00383428"/>
    <w:rsid w:val="00384962"/>
    <w:rsid w:val="00384E58"/>
    <w:rsid w:val="00385533"/>
    <w:rsid w:val="003858E5"/>
    <w:rsid w:val="00385D88"/>
    <w:rsid w:val="0038655A"/>
    <w:rsid w:val="00386DFD"/>
    <w:rsid w:val="0038722F"/>
    <w:rsid w:val="00387300"/>
    <w:rsid w:val="003873B9"/>
    <w:rsid w:val="00390776"/>
    <w:rsid w:val="00391191"/>
    <w:rsid w:val="00392165"/>
    <w:rsid w:val="00392923"/>
    <w:rsid w:val="00392C89"/>
    <w:rsid w:val="00392CF3"/>
    <w:rsid w:val="003932EA"/>
    <w:rsid w:val="00393410"/>
    <w:rsid w:val="003955DF"/>
    <w:rsid w:val="00396D3C"/>
    <w:rsid w:val="00396ED6"/>
    <w:rsid w:val="003974EE"/>
    <w:rsid w:val="00397A66"/>
    <w:rsid w:val="003A0003"/>
    <w:rsid w:val="003A07B6"/>
    <w:rsid w:val="003A0F1D"/>
    <w:rsid w:val="003A1149"/>
    <w:rsid w:val="003A1584"/>
    <w:rsid w:val="003A1969"/>
    <w:rsid w:val="003A1C3D"/>
    <w:rsid w:val="003A2497"/>
    <w:rsid w:val="003A31C1"/>
    <w:rsid w:val="003A472E"/>
    <w:rsid w:val="003A4B82"/>
    <w:rsid w:val="003A4FF8"/>
    <w:rsid w:val="003A6F6C"/>
    <w:rsid w:val="003A70D4"/>
    <w:rsid w:val="003B0028"/>
    <w:rsid w:val="003B0F48"/>
    <w:rsid w:val="003B2D50"/>
    <w:rsid w:val="003B347F"/>
    <w:rsid w:val="003B3B22"/>
    <w:rsid w:val="003B526C"/>
    <w:rsid w:val="003B5497"/>
    <w:rsid w:val="003B5F86"/>
    <w:rsid w:val="003B66F0"/>
    <w:rsid w:val="003B7286"/>
    <w:rsid w:val="003B7E61"/>
    <w:rsid w:val="003C0FEB"/>
    <w:rsid w:val="003C2B50"/>
    <w:rsid w:val="003C2DC7"/>
    <w:rsid w:val="003C2ED1"/>
    <w:rsid w:val="003C2F1E"/>
    <w:rsid w:val="003C31DA"/>
    <w:rsid w:val="003C3300"/>
    <w:rsid w:val="003C3A94"/>
    <w:rsid w:val="003C4C8B"/>
    <w:rsid w:val="003C5406"/>
    <w:rsid w:val="003C584A"/>
    <w:rsid w:val="003C5EBA"/>
    <w:rsid w:val="003C5F46"/>
    <w:rsid w:val="003C64CC"/>
    <w:rsid w:val="003C6CD0"/>
    <w:rsid w:val="003C7676"/>
    <w:rsid w:val="003C7EEB"/>
    <w:rsid w:val="003D08F6"/>
    <w:rsid w:val="003D0C02"/>
    <w:rsid w:val="003D0CA4"/>
    <w:rsid w:val="003D0F04"/>
    <w:rsid w:val="003D254D"/>
    <w:rsid w:val="003D4F31"/>
    <w:rsid w:val="003D5063"/>
    <w:rsid w:val="003D6B71"/>
    <w:rsid w:val="003D6C8B"/>
    <w:rsid w:val="003E0C56"/>
    <w:rsid w:val="003E0DE6"/>
    <w:rsid w:val="003E1005"/>
    <w:rsid w:val="003E10F0"/>
    <w:rsid w:val="003E29A3"/>
    <w:rsid w:val="003E312C"/>
    <w:rsid w:val="003E4C26"/>
    <w:rsid w:val="003E5C1C"/>
    <w:rsid w:val="003E791B"/>
    <w:rsid w:val="003F13B4"/>
    <w:rsid w:val="003F1848"/>
    <w:rsid w:val="003F340D"/>
    <w:rsid w:val="003F4E16"/>
    <w:rsid w:val="003F5104"/>
    <w:rsid w:val="003F5164"/>
    <w:rsid w:val="003F5B23"/>
    <w:rsid w:val="003F5C69"/>
    <w:rsid w:val="003F5DD1"/>
    <w:rsid w:val="003F630F"/>
    <w:rsid w:val="003F665A"/>
    <w:rsid w:val="003F71B8"/>
    <w:rsid w:val="003F7BA5"/>
    <w:rsid w:val="004019D8"/>
    <w:rsid w:val="00402955"/>
    <w:rsid w:val="004029B2"/>
    <w:rsid w:val="00402A68"/>
    <w:rsid w:val="004038B9"/>
    <w:rsid w:val="00403D3B"/>
    <w:rsid w:val="004049B1"/>
    <w:rsid w:val="00405AE3"/>
    <w:rsid w:val="00405E01"/>
    <w:rsid w:val="004069FE"/>
    <w:rsid w:val="00407A41"/>
    <w:rsid w:val="00407E80"/>
    <w:rsid w:val="004104FF"/>
    <w:rsid w:val="00411445"/>
    <w:rsid w:val="00411567"/>
    <w:rsid w:val="00413B7B"/>
    <w:rsid w:val="00413E9F"/>
    <w:rsid w:val="00413F00"/>
    <w:rsid w:val="0041426B"/>
    <w:rsid w:val="004143B9"/>
    <w:rsid w:val="004144A9"/>
    <w:rsid w:val="004146D4"/>
    <w:rsid w:val="00414B2A"/>
    <w:rsid w:val="00415174"/>
    <w:rsid w:val="00415ACA"/>
    <w:rsid w:val="00415DCE"/>
    <w:rsid w:val="004169A7"/>
    <w:rsid w:val="0041785E"/>
    <w:rsid w:val="00420BCF"/>
    <w:rsid w:val="00420C8C"/>
    <w:rsid w:val="004213B0"/>
    <w:rsid w:val="00421593"/>
    <w:rsid w:val="0042167A"/>
    <w:rsid w:val="0042206C"/>
    <w:rsid w:val="00422126"/>
    <w:rsid w:val="004225B1"/>
    <w:rsid w:val="00422EA9"/>
    <w:rsid w:val="004241FA"/>
    <w:rsid w:val="004248C9"/>
    <w:rsid w:val="00424C52"/>
    <w:rsid w:val="004269BC"/>
    <w:rsid w:val="00426C7D"/>
    <w:rsid w:val="00427B5E"/>
    <w:rsid w:val="0043004E"/>
    <w:rsid w:val="00430A90"/>
    <w:rsid w:val="00430D1F"/>
    <w:rsid w:val="004315C8"/>
    <w:rsid w:val="00431778"/>
    <w:rsid w:val="00431941"/>
    <w:rsid w:val="00431961"/>
    <w:rsid w:val="00431A5C"/>
    <w:rsid w:val="0043213D"/>
    <w:rsid w:val="00433D77"/>
    <w:rsid w:val="00433E3B"/>
    <w:rsid w:val="00434D2F"/>
    <w:rsid w:val="004362DE"/>
    <w:rsid w:val="00440B1E"/>
    <w:rsid w:val="00441480"/>
    <w:rsid w:val="00442714"/>
    <w:rsid w:val="00443BD6"/>
    <w:rsid w:val="00443FEA"/>
    <w:rsid w:val="00445DA6"/>
    <w:rsid w:val="00446186"/>
    <w:rsid w:val="004461C9"/>
    <w:rsid w:val="00446748"/>
    <w:rsid w:val="004505C6"/>
    <w:rsid w:val="00450D3F"/>
    <w:rsid w:val="00450EEF"/>
    <w:rsid w:val="00452E50"/>
    <w:rsid w:val="0045387D"/>
    <w:rsid w:val="00454ADC"/>
    <w:rsid w:val="004552BA"/>
    <w:rsid w:val="00455AD6"/>
    <w:rsid w:val="0045661F"/>
    <w:rsid w:val="00457555"/>
    <w:rsid w:val="004600B6"/>
    <w:rsid w:val="004607F3"/>
    <w:rsid w:val="00460BBE"/>
    <w:rsid w:val="00463BDE"/>
    <w:rsid w:val="00465607"/>
    <w:rsid w:val="00466E96"/>
    <w:rsid w:val="00467075"/>
    <w:rsid w:val="004679A5"/>
    <w:rsid w:val="0047169A"/>
    <w:rsid w:val="00472275"/>
    <w:rsid w:val="004723F1"/>
    <w:rsid w:val="00472748"/>
    <w:rsid w:val="00472C68"/>
    <w:rsid w:val="0047300C"/>
    <w:rsid w:val="00473C97"/>
    <w:rsid w:val="00474CF6"/>
    <w:rsid w:val="00475D7D"/>
    <w:rsid w:val="004771A4"/>
    <w:rsid w:val="004776BB"/>
    <w:rsid w:val="004802D4"/>
    <w:rsid w:val="0048112F"/>
    <w:rsid w:val="00481418"/>
    <w:rsid w:val="00481438"/>
    <w:rsid w:val="00481723"/>
    <w:rsid w:val="00482321"/>
    <w:rsid w:val="00482845"/>
    <w:rsid w:val="00482F43"/>
    <w:rsid w:val="00483DD0"/>
    <w:rsid w:val="004851A4"/>
    <w:rsid w:val="00485802"/>
    <w:rsid w:val="00485A72"/>
    <w:rsid w:val="004872A8"/>
    <w:rsid w:val="0048738F"/>
    <w:rsid w:val="004879B3"/>
    <w:rsid w:val="0049031D"/>
    <w:rsid w:val="00490AE0"/>
    <w:rsid w:val="0049154E"/>
    <w:rsid w:val="00493582"/>
    <w:rsid w:val="00494A4C"/>
    <w:rsid w:val="00494D43"/>
    <w:rsid w:val="0049588C"/>
    <w:rsid w:val="004964EC"/>
    <w:rsid w:val="00496C51"/>
    <w:rsid w:val="00497101"/>
    <w:rsid w:val="00497613"/>
    <w:rsid w:val="00497F68"/>
    <w:rsid w:val="004A1066"/>
    <w:rsid w:val="004A10FC"/>
    <w:rsid w:val="004A1FDE"/>
    <w:rsid w:val="004A2591"/>
    <w:rsid w:val="004A2B8C"/>
    <w:rsid w:val="004A2E89"/>
    <w:rsid w:val="004A3930"/>
    <w:rsid w:val="004A47A8"/>
    <w:rsid w:val="004A4D57"/>
    <w:rsid w:val="004A55C1"/>
    <w:rsid w:val="004A5669"/>
    <w:rsid w:val="004A5930"/>
    <w:rsid w:val="004A71D2"/>
    <w:rsid w:val="004A7574"/>
    <w:rsid w:val="004A7815"/>
    <w:rsid w:val="004A7C7E"/>
    <w:rsid w:val="004B0BBD"/>
    <w:rsid w:val="004B1903"/>
    <w:rsid w:val="004B3A08"/>
    <w:rsid w:val="004B3FDE"/>
    <w:rsid w:val="004B42DF"/>
    <w:rsid w:val="004B4360"/>
    <w:rsid w:val="004B5314"/>
    <w:rsid w:val="004B5A5E"/>
    <w:rsid w:val="004B62C2"/>
    <w:rsid w:val="004B67FA"/>
    <w:rsid w:val="004B7101"/>
    <w:rsid w:val="004B76F6"/>
    <w:rsid w:val="004B7964"/>
    <w:rsid w:val="004C1100"/>
    <w:rsid w:val="004C1813"/>
    <w:rsid w:val="004C1884"/>
    <w:rsid w:val="004C1E31"/>
    <w:rsid w:val="004C3647"/>
    <w:rsid w:val="004C54E0"/>
    <w:rsid w:val="004C5BD0"/>
    <w:rsid w:val="004D0E7B"/>
    <w:rsid w:val="004D19DA"/>
    <w:rsid w:val="004D1AD8"/>
    <w:rsid w:val="004D229C"/>
    <w:rsid w:val="004D2677"/>
    <w:rsid w:val="004D2700"/>
    <w:rsid w:val="004D2B8B"/>
    <w:rsid w:val="004D3566"/>
    <w:rsid w:val="004D3D34"/>
    <w:rsid w:val="004D3DFA"/>
    <w:rsid w:val="004D50F9"/>
    <w:rsid w:val="004D52A8"/>
    <w:rsid w:val="004D5608"/>
    <w:rsid w:val="004D56A2"/>
    <w:rsid w:val="004D5978"/>
    <w:rsid w:val="004D65F6"/>
    <w:rsid w:val="004D76A8"/>
    <w:rsid w:val="004E02D2"/>
    <w:rsid w:val="004E0970"/>
    <w:rsid w:val="004E119C"/>
    <w:rsid w:val="004E17E9"/>
    <w:rsid w:val="004E1FC9"/>
    <w:rsid w:val="004E3350"/>
    <w:rsid w:val="004E3A97"/>
    <w:rsid w:val="004E3CCD"/>
    <w:rsid w:val="004E5287"/>
    <w:rsid w:val="004E58DA"/>
    <w:rsid w:val="004E59A9"/>
    <w:rsid w:val="004E601B"/>
    <w:rsid w:val="004E65BD"/>
    <w:rsid w:val="004E762E"/>
    <w:rsid w:val="004F0587"/>
    <w:rsid w:val="004F0684"/>
    <w:rsid w:val="004F126E"/>
    <w:rsid w:val="004F1E02"/>
    <w:rsid w:val="004F33C8"/>
    <w:rsid w:val="004F3700"/>
    <w:rsid w:val="004F3CC8"/>
    <w:rsid w:val="004F3FBB"/>
    <w:rsid w:val="004F47EC"/>
    <w:rsid w:val="004F4DA0"/>
    <w:rsid w:val="004F531F"/>
    <w:rsid w:val="004F5C78"/>
    <w:rsid w:val="004F67BE"/>
    <w:rsid w:val="004F6A8B"/>
    <w:rsid w:val="004F6E19"/>
    <w:rsid w:val="004F6E79"/>
    <w:rsid w:val="004F7792"/>
    <w:rsid w:val="004F7B5C"/>
    <w:rsid w:val="004F7EE1"/>
    <w:rsid w:val="005004E5"/>
    <w:rsid w:val="00500AD9"/>
    <w:rsid w:val="00501E6D"/>
    <w:rsid w:val="00503190"/>
    <w:rsid w:val="005033B4"/>
    <w:rsid w:val="00503438"/>
    <w:rsid w:val="0050351E"/>
    <w:rsid w:val="00504844"/>
    <w:rsid w:val="00505095"/>
    <w:rsid w:val="00505887"/>
    <w:rsid w:val="00505C9A"/>
    <w:rsid w:val="0050600A"/>
    <w:rsid w:val="0050749F"/>
    <w:rsid w:val="0050788E"/>
    <w:rsid w:val="00507CFD"/>
    <w:rsid w:val="005100E6"/>
    <w:rsid w:val="00510281"/>
    <w:rsid w:val="00512C22"/>
    <w:rsid w:val="00512FF1"/>
    <w:rsid w:val="00513183"/>
    <w:rsid w:val="005131EC"/>
    <w:rsid w:val="00516E72"/>
    <w:rsid w:val="00517375"/>
    <w:rsid w:val="00517AF0"/>
    <w:rsid w:val="00517B35"/>
    <w:rsid w:val="00517DD7"/>
    <w:rsid w:val="00517F6D"/>
    <w:rsid w:val="005200A4"/>
    <w:rsid w:val="00520E25"/>
    <w:rsid w:val="00523332"/>
    <w:rsid w:val="00523856"/>
    <w:rsid w:val="0052391F"/>
    <w:rsid w:val="00523BFE"/>
    <w:rsid w:val="005247E1"/>
    <w:rsid w:val="00524C8F"/>
    <w:rsid w:val="005250B1"/>
    <w:rsid w:val="005263BC"/>
    <w:rsid w:val="00526F00"/>
    <w:rsid w:val="00527ED8"/>
    <w:rsid w:val="00532806"/>
    <w:rsid w:val="00533281"/>
    <w:rsid w:val="005355BA"/>
    <w:rsid w:val="005357F2"/>
    <w:rsid w:val="0053623F"/>
    <w:rsid w:val="00536255"/>
    <w:rsid w:val="00536830"/>
    <w:rsid w:val="00536884"/>
    <w:rsid w:val="00536C95"/>
    <w:rsid w:val="00537409"/>
    <w:rsid w:val="00540065"/>
    <w:rsid w:val="00540AF1"/>
    <w:rsid w:val="005427A7"/>
    <w:rsid w:val="00542EDF"/>
    <w:rsid w:val="005436CA"/>
    <w:rsid w:val="005439B5"/>
    <w:rsid w:val="005439F5"/>
    <w:rsid w:val="00545756"/>
    <w:rsid w:val="00545EBB"/>
    <w:rsid w:val="00546567"/>
    <w:rsid w:val="00546CD3"/>
    <w:rsid w:val="00546CFC"/>
    <w:rsid w:val="00547318"/>
    <w:rsid w:val="00547B03"/>
    <w:rsid w:val="0055025A"/>
    <w:rsid w:val="00550C04"/>
    <w:rsid w:val="00551606"/>
    <w:rsid w:val="005516EB"/>
    <w:rsid w:val="005516F1"/>
    <w:rsid w:val="00551936"/>
    <w:rsid w:val="00551A2B"/>
    <w:rsid w:val="005523FE"/>
    <w:rsid w:val="00553AA2"/>
    <w:rsid w:val="00553B6D"/>
    <w:rsid w:val="00554400"/>
    <w:rsid w:val="00555185"/>
    <w:rsid w:val="00555CF1"/>
    <w:rsid w:val="00555CF6"/>
    <w:rsid w:val="00556842"/>
    <w:rsid w:val="005569C4"/>
    <w:rsid w:val="005575BA"/>
    <w:rsid w:val="00560506"/>
    <w:rsid w:val="00560BD3"/>
    <w:rsid w:val="005611EC"/>
    <w:rsid w:val="00561225"/>
    <w:rsid w:val="00561949"/>
    <w:rsid w:val="005620C3"/>
    <w:rsid w:val="00562C09"/>
    <w:rsid w:val="0056310E"/>
    <w:rsid w:val="0056362A"/>
    <w:rsid w:val="005642AD"/>
    <w:rsid w:val="005643F8"/>
    <w:rsid w:val="00564B0E"/>
    <w:rsid w:val="005653E3"/>
    <w:rsid w:val="00566E13"/>
    <w:rsid w:val="00570910"/>
    <w:rsid w:val="00570AE1"/>
    <w:rsid w:val="00572189"/>
    <w:rsid w:val="0057252E"/>
    <w:rsid w:val="005728AE"/>
    <w:rsid w:val="005756C0"/>
    <w:rsid w:val="005761AA"/>
    <w:rsid w:val="005766AB"/>
    <w:rsid w:val="0057694D"/>
    <w:rsid w:val="00576E2A"/>
    <w:rsid w:val="00577458"/>
    <w:rsid w:val="00577A1F"/>
    <w:rsid w:val="005807D9"/>
    <w:rsid w:val="00580FB6"/>
    <w:rsid w:val="005810C2"/>
    <w:rsid w:val="005832ED"/>
    <w:rsid w:val="005853DD"/>
    <w:rsid w:val="00585725"/>
    <w:rsid w:val="00586886"/>
    <w:rsid w:val="0058749F"/>
    <w:rsid w:val="005876EE"/>
    <w:rsid w:val="00590DCE"/>
    <w:rsid w:val="0059169E"/>
    <w:rsid w:val="00591F4C"/>
    <w:rsid w:val="005935DA"/>
    <w:rsid w:val="0059403E"/>
    <w:rsid w:val="0059423B"/>
    <w:rsid w:val="0059428A"/>
    <w:rsid w:val="0059458E"/>
    <w:rsid w:val="00594A2D"/>
    <w:rsid w:val="005955A1"/>
    <w:rsid w:val="00595754"/>
    <w:rsid w:val="00595EDE"/>
    <w:rsid w:val="0059605C"/>
    <w:rsid w:val="00596761"/>
    <w:rsid w:val="00596E93"/>
    <w:rsid w:val="00596EF1"/>
    <w:rsid w:val="00597405"/>
    <w:rsid w:val="005A08CC"/>
    <w:rsid w:val="005A0C5E"/>
    <w:rsid w:val="005A1C7C"/>
    <w:rsid w:val="005A230E"/>
    <w:rsid w:val="005A2623"/>
    <w:rsid w:val="005A3522"/>
    <w:rsid w:val="005A3A48"/>
    <w:rsid w:val="005A465F"/>
    <w:rsid w:val="005A4D73"/>
    <w:rsid w:val="005A5D04"/>
    <w:rsid w:val="005A6121"/>
    <w:rsid w:val="005A61DD"/>
    <w:rsid w:val="005A69BB"/>
    <w:rsid w:val="005B0A5F"/>
    <w:rsid w:val="005B3DAF"/>
    <w:rsid w:val="005B4AD4"/>
    <w:rsid w:val="005B4DB5"/>
    <w:rsid w:val="005B4DB9"/>
    <w:rsid w:val="005B5261"/>
    <w:rsid w:val="005B68BF"/>
    <w:rsid w:val="005B7C65"/>
    <w:rsid w:val="005C09AD"/>
    <w:rsid w:val="005C14B9"/>
    <w:rsid w:val="005C16FB"/>
    <w:rsid w:val="005C1E3B"/>
    <w:rsid w:val="005C201D"/>
    <w:rsid w:val="005C29E1"/>
    <w:rsid w:val="005C2A59"/>
    <w:rsid w:val="005C2D9C"/>
    <w:rsid w:val="005C4158"/>
    <w:rsid w:val="005C4346"/>
    <w:rsid w:val="005C49EF"/>
    <w:rsid w:val="005C6483"/>
    <w:rsid w:val="005C6D1F"/>
    <w:rsid w:val="005D0188"/>
    <w:rsid w:val="005D158B"/>
    <w:rsid w:val="005D1917"/>
    <w:rsid w:val="005D1C50"/>
    <w:rsid w:val="005D2271"/>
    <w:rsid w:val="005D2941"/>
    <w:rsid w:val="005D2F00"/>
    <w:rsid w:val="005D2F31"/>
    <w:rsid w:val="005D30D1"/>
    <w:rsid w:val="005D3D4B"/>
    <w:rsid w:val="005D5C22"/>
    <w:rsid w:val="005D7AC5"/>
    <w:rsid w:val="005E0267"/>
    <w:rsid w:val="005E08AC"/>
    <w:rsid w:val="005E10B5"/>
    <w:rsid w:val="005E16B4"/>
    <w:rsid w:val="005E1A64"/>
    <w:rsid w:val="005E20CC"/>
    <w:rsid w:val="005E2E9B"/>
    <w:rsid w:val="005E36AA"/>
    <w:rsid w:val="005E4F56"/>
    <w:rsid w:val="005E50F5"/>
    <w:rsid w:val="005E60AA"/>
    <w:rsid w:val="005E65B4"/>
    <w:rsid w:val="005E6E8F"/>
    <w:rsid w:val="005F0253"/>
    <w:rsid w:val="005F05E9"/>
    <w:rsid w:val="005F0746"/>
    <w:rsid w:val="005F1530"/>
    <w:rsid w:val="005F1C1E"/>
    <w:rsid w:val="005F2BC6"/>
    <w:rsid w:val="005F4247"/>
    <w:rsid w:val="005F4BA7"/>
    <w:rsid w:val="005F4D76"/>
    <w:rsid w:val="005F4FF0"/>
    <w:rsid w:val="005F5361"/>
    <w:rsid w:val="005F6826"/>
    <w:rsid w:val="005F6E52"/>
    <w:rsid w:val="005F6E94"/>
    <w:rsid w:val="005F7E04"/>
    <w:rsid w:val="00600563"/>
    <w:rsid w:val="00600A18"/>
    <w:rsid w:val="00601671"/>
    <w:rsid w:val="006018B5"/>
    <w:rsid w:val="00601C6C"/>
    <w:rsid w:val="00601F21"/>
    <w:rsid w:val="006030F3"/>
    <w:rsid w:val="006032A1"/>
    <w:rsid w:val="00603FB4"/>
    <w:rsid w:val="00604BA9"/>
    <w:rsid w:val="00605186"/>
    <w:rsid w:val="00605E7B"/>
    <w:rsid w:val="0060658C"/>
    <w:rsid w:val="00606A09"/>
    <w:rsid w:val="00607097"/>
    <w:rsid w:val="00607B80"/>
    <w:rsid w:val="00610133"/>
    <w:rsid w:val="006102DB"/>
    <w:rsid w:val="006102EE"/>
    <w:rsid w:val="00610A2C"/>
    <w:rsid w:val="006111EA"/>
    <w:rsid w:val="00612F79"/>
    <w:rsid w:val="00613D85"/>
    <w:rsid w:val="00613F9E"/>
    <w:rsid w:val="00614276"/>
    <w:rsid w:val="00614C07"/>
    <w:rsid w:val="00614C93"/>
    <w:rsid w:val="00616909"/>
    <w:rsid w:val="00616940"/>
    <w:rsid w:val="00616967"/>
    <w:rsid w:val="00616F3B"/>
    <w:rsid w:val="006206C6"/>
    <w:rsid w:val="0062124A"/>
    <w:rsid w:val="00622A55"/>
    <w:rsid w:val="00623603"/>
    <w:rsid w:val="00623876"/>
    <w:rsid w:val="00623890"/>
    <w:rsid w:val="006238CB"/>
    <w:rsid w:val="00625882"/>
    <w:rsid w:val="00626AC6"/>
    <w:rsid w:val="006279F1"/>
    <w:rsid w:val="00630441"/>
    <w:rsid w:val="00630445"/>
    <w:rsid w:val="00630F9E"/>
    <w:rsid w:val="00631744"/>
    <w:rsid w:val="00631D60"/>
    <w:rsid w:val="006322B0"/>
    <w:rsid w:val="00633C84"/>
    <w:rsid w:val="00633CBA"/>
    <w:rsid w:val="00634A61"/>
    <w:rsid w:val="006352EC"/>
    <w:rsid w:val="00635B1A"/>
    <w:rsid w:val="00636B2E"/>
    <w:rsid w:val="00636BAC"/>
    <w:rsid w:val="00636F26"/>
    <w:rsid w:val="00637F33"/>
    <w:rsid w:val="006411CB"/>
    <w:rsid w:val="006423DA"/>
    <w:rsid w:val="00642449"/>
    <w:rsid w:val="006424DA"/>
    <w:rsid w:val="00642EE3"/>
    <w:rsid w:val="00643159"/>
    <w:rsid w:val="0064330B"/>
    <w:rsid w:val="0064364F"/>
    <w:rsid w:val="00643C1A"/>
    <w:rsid w:val="00644D9D"/>
    <w:rsid w:val="00644DFB"/>
    <w:rsid w:val="00645483"/>
    <w:rsid w:val="006463DA"/>
    <w:rsid w:val="00646653"/>
    <w:rsid w:val="00646780"/>
    <w:rsid w:val="00647D93"/>
    <w:rsid w:val="00650290"/>
    <w:rsid w:val="0065224A"/>
    <w:rsid w:val="006523FA"/>
    <w:rsid w:val="00652EA4"/>
    <w:rsid w:val="006531BB"/>
    <w:rsid w:val="00653519"/>
    <w:rsid w:val="006537A0"/>
    <w:rsid w:val="00654059"/>
    <w:rsid w:val="00655DAE"/>
    <w:rsid w:val="006560A1"/>
    <w:rsid w:val="006562F3"/>
    <w:rsid w:val="006564CA"/>
    <w:rsid w:val="0065715A"/>
    <w:rsid w:val="006603F0"/>
    <w:rsid w:val="006605E9"/>
    <w:rsid w:val="00661213"/>
    <w:rsid w:val="0066314B"/>
    <w:rsid w:val="006635C1"/>
    <w:rsid w:val="006636AB"/>
    <w:rsid w:val="00665351"/>
    <w:rsid w:val="006653EE"/>
    <w:rsid w:val="0066585E"/>
    <w:rsid w:val="00665D17"/>
    <w:rsid w:val="00666A07"/>
    <w:rsid w:val="00666C8A"/>
    <w:rsid w:val="00666DB2"/>
    <w:rsid w:val="00667579"/>
    <w:rsid w:val="00670BC9"/>
    <w:rsid w:val="00670D5C"/>
    <w:rsid w:val="00671851"/>
    <w:rsid w:val="00671B08"/>
    <w:rsid w:val="00673244"/>
    <w:rsid w:val="00673350"/>
    <w:rsid w:val="00673EEA"/>
    <w:rsid w:val="006762E9"/>
    <w:rsid w:val="00677493"/>
    <w:rsid w:val="00677B17"/>
    <w:rsid w:val="0068007E"/>
    <w:rsid w:val="00680FD7"/>
    <w:rsid w:val="00681D14"/>
    <w:rsid w:val="00682A9E"/>
    <w:rsid w:val="00685417"/>
    <w:rsid w:val="006862B5"/>
    <w:rsid w:val="0068671E"/>
    <w:rsid w:val="00686BC4"/>
    <w:rsid w:val="00686C24"/>
    <w:rsid w:val="00687A11"/>
    <w:rsid w:val="006927CD"/>
    <w:rsid w:val="006928EF"/>
    <w:rsid w:val="006939B3"/>
    <w:rsid w:val="00693FB3"/>
    <w:rsid w:val="00693FEA"/>
    <w:rsid w:val="00694A0F"/>
    <w:rsid w:val="0069594B"/>
    <w:rsid w:val="00695BA1"/>
    <w:rsid w:val="00696594"/>
    <w:rsid w:val="006965EB"/>
    <w:rsid w:val="00696702"/>
    <w:rsid w:val="00696A37"/>
    <w:rsid w:val="00697ACC"/>
    <w:rsid w:val="00697C72"/>
    <w:rsid w:val="00697E97"/>
    <w:rsid w:val="006A00A5"/>
    <w:rsid w:val="006A11B3"/>
    <w:rsid w:val="006A19DC"/>
    <w:rsid w:val="006A1C8A"/>
    <w:rsid w:val="006A3645"/>
    <w:rsid w:val="006A49BA"/>
    <w:rsid w:val="006A5099"/>
    <w:rsid w:val="006A714D"/>
    <w:rsid w:val="006A7FA0"/>
    <w:rsid w:val="006B0B30"/>
    <w:rsid w:val="006B0EF8"/>
    <w:rsid w:val="006B1268"/>
    <w:rsid w:val="006B1DC1"/>
    <w:rsid w:val="006B328D"/>
    <w:rsid w:val="006B3FAD"/>
    <w:rsid w:val="006B4108"/>
    <w:rsid w:val="006B48E6"/>
    <w:rsid w:val="006B4E54"/>
    <w:rsid w:val="006B5645"/>
    <w:rsid w:val="006B5725"/>
    <w:rsid w:val="006B63D4"/>
    <w:rsid w:val="006B64E1"/>
    <w:rsid w:val="006B664E"/>
    <w:rsid w:val="006B70EE"/>
    <w:rsid w:val="006B792D"/>
    <w:rsid w:val="006B79C4"/>
    <w:rsid w:val="006B7EEB"/>
    <w:rsid w:val="006C0210"/>
    <w:rsid w:val="006C0E6A"/>
    <w:rsid w:val="006C1BBB"/>
    <w:rsid w:val="006C1C79"/>
    <w:rsid w:val="006C1D10"/>
    <w:rsid w:val="006C2BB3"/>
    <w:rsid w:val="006C3C6E"/>
    <w:rsid w:val="006C46C1"/>
    <w:rsid w:val="006C6709"/>
    <w:rsid w:val="006C6A0F"/>
    <w:rsid w:val="006C6B55"/>
    <w:rsid w:val="006C70B3"/>
    <w:rsid w:val="006D07F2"/>
    <w:rsid w:val="006D11EA"/>
    <w:rsid w:val="006D22A3"/>
    <w:rsid w:val="006D26B7"/>
    <w:rsid w:val="006D419E"/>
    <w:rsid w:val="006D48CD"/>
    <w:rsid w:val="006D4A8B"/>
    <w:rsid w:val="006D4C2F"/>
    <w:rsid w:val="006D5154"/>
    <w:rsid w:val="006D572F"/>
    <w:rsid w:val="006D5C71"/>
    <w:rsid w:val="006D5D2A"/>
    <w:rsid w:val="006D6544"/>
    <w:rsid w:val="006D6595"/>
    <w:rsid w:val="006D675B"/>
    <w:rsid w:val="006D785C"/>
    <w:rsid w:val="006D7D15"/>
    <w:rsid w:val="006D7D7B"/>
    <w:rsid w:val="006E1108"/>
    <w:rsid w:val="006E210D"/>
    <w:rsid w:val="006E2DFA"/>
    <w:rsid w:val="006E32F4"/>
    <w:rsid w:val="006E3320"/>
    <w:rsid w:val="006E3456"/>
    <w:rsid w:val="006E3FCC"/>
    <w:rsid w:val="006E4FAB"/>
    <w:rsid w:val="006E4FB2"/>
    <w:rsid w:val="006E589D"/>
    <w:rsid w:val="006E6061"/>
    <w:rsid w:val="006E6419"/>
    <w:rsid w:val="006E6E09"/>
    <w:rsid w:val="006E7374"/>
    <w:rsid w:val="006E78BF"/>
    <w:rsid w:val="006E794D"/>
    <w:rsid w:val="006E7FA3"/>
    <w:rsid w:val="006F0938"/>
    <w:rsid w:val="006F1C7B"/>
    <w:rsid w:val="006F1F5C"/>
    <w:rsid w:val="006F4AC0"/>
    <w:rsid w:val="006F4F1F"/>
    <w:rsid w:val="006F56AE"/>
    <w:rsid w:val="006F5A63"/>
    <w:rsid w:val="006F6327"/>
    <w:rsid w:val="006F6890"/>
    <w:rsid w:val="006F6C56"/>
    <w:rsid w:val="0070054C"/>
    <w:rsid w:val="007010C1"/>
    <w:rsid w:val="00701567"/>
    <w:rsid w:val="007015A6"/>
    <w:rsid w:val="00702715"/>
    <w:rsid w:val="00702C86"/>
    <w:rsid w:val="0070351A"/>
    <w:rsid w:val="00703CBA"/>
    <w:rsid w:val="00704BE4"/>
    <w:rsid w:val="00705824"/>
    <w:rsid w:val="00705D31"/>
    <w:rsid w:val="00706DAD"/>
    <w:rsid w:val="00707245"/>
    <w:rsid w:val="00710297"/>
    <w:rsid w:val="00711A7A"/>
    <w:rsid w:val="00711B60"/>
    <w:rsid w:val="007125E6"/>
    <w:rsid w:val="0071283E"/>
    <w:rsid w:val="00712ED2"/>
    <w:rsid w:val="0071329C"/>
    <w:rsid w:val="00713351"/>
    <w:rsid w:val="00713540"/>
    <w:rsid w:val="007139EF"/>
    <w:rsid w:val="007143E7"/>
    <w:rsid w:val="00714BA6"/>
    <w:rsid w:val="00716285"/>
    <w:rsid w:val="00716B89"/>
    <w:rsid w:val="00716FB9"/>
    <w:rsid w:val="00717D96"/>
    <w:rsid w:val="007215A8"/>
    <w:rsid w:val="007223A1"/>
    <w:rsid w:val="00723A39"/>
    <w:rsid w:val="00723E79"/>
    <w:rsid w:val="00725B3A"/>
    <w:rsid w:val="00725F2B"/>
    <w:rsid w:val="007263E0"/>
    <w:rsid w:val="00726BFE"/>
    <w:rsid w:val="00726DA5"/>
    <w:rsid w:val="00727E10"/>
    <w:rsid w:val="00730074"/>
    <w:rsid w:val="00731857"/>
    <w:rsid w:val="007330C6"/>
    <w:rsid w:val="00733132"/>
    <w:rsid w:val="007333A7"/>
    <w:rsid w:val="00735052"/>
    <w:rsid w:val="007352A4"/>
    <w:rsid w:val="00736218"/>
    <w:rsid w:val="007367C6"/>
    <w:rsid w:val="00736FCE"/>
    <w:rsid w:val="00737BC5"/>
    <w:rsid w:val="0074107C"/>
    <w:rsid w:val="007412AA"/>
    <w:rsid w:val="00741606"/>
    <w:rsid w:val="00741B08"/>
    <w:rsid w:val="00741EB0"/>
    <w:rsid w:val="007428E0"/>
    <w:rsid w:val="00742BF6"/>
    <w:rsid w:val="00742DD8"/>
    <w:rsid w:val="00744470"/>
    <w:rsid w:val="0074519F"/>
    <w:rsid w:val="007468E2"/>
    <w:rsid w:val="00750138"/>
    <w:rsid w:val="0075020B"/>
    <w:rsid w:val="00751359"/>
    <w:rsid w:val="007513DA"/>
    <w:rsid w:val="0075146B"/>
    <w:rsid w:val="00753451"/>
    <w:rsid w:val="007545D4"/>
    <w:rsid w:val="007547F0"/>
    <w:rsid w:val="00755838"/>
    <w:rsid w:val="00756AE9"/>
    <w:rsid w:val="007575AF"/>
    <w:rsid w:val="007603EA"/>
    <w:rsid w:val="007604B2"/>
    <w:rsid w:val="00760515"/>
    <w:rsid w:val="007614DF"/>
    <w:rsid w:val="007618AD"/>
    <w:rsid w:val="00762589"/>
    <w:rsid w:val="00762BDB"/>
    <w:rsid w:val="0076352E"/>
    <w:rsid w:val="007649ED"/>
    <w:rsid w:val="00764FF7"/>
    <w:rsid w:val="00765C10"/>
    <w:rsid w:val="007669FA"/>
    <w:rsid w:val="00767F10"/>
    <w:rsid w:val="00770912"/>
    <w:rsid w:val="0077163D"/>
    <w:rsid w:val="00774C74"/>
    <w:rsid w:val="0077549A"/>
    <w:rsid w:val="00776B18"/>
    <w:rsid w:val="00777137"/>
    <w:rsid w:val="0077717F"/>
    <w:rsid w:val="007806A2"/>
    <w:rsid w:val="007810A9"/>
    <w:rsid w:val="00781296"/>
    <w:rsid w:val="00781978"/>
    <w:rsid w:val="00781C4B"/>
    <w:rsid w:val="00782720"/>
    <w:rsid w:val="00782894"/>
    <w:rsid w:val="00782ABA"/>
    <w:rsid w:val="007838D2"/>
    <w:rsid w:val="00783D93"/>
    <w:rsid w:val="00784525"/>
    <w:rsid w:val="00784819"/>
    <w:rsid w:val="00784C65"/>
    <w:rsid w:val="00785674"/>
    <w:rsid w:val="00785791"/>
    <w:rsid w:val="007866FF"/>
    <w:rsid w:val="0078761D"/>
    <w:rsid w:val="00790888"/>
    <w:rsid w:val="0079302B"/>
    <w:rsid w:val="007932B2"/>
    <w:rsid w:val="0079351C"/>
    <w:rsid w:val="00795C65"/>
    <w:rsid w:val="00796226"/>
    <w:rsid w:val="00797B13"/>
    <w:rsid w:val="007A09C3"/>
    <w:rsid w:val="007A0A29"/>
    <w:rsid w:val="007A1087"/>
    <w:rsid w:val="007A1516"/>
    <w:rsid w:val="007A18A9"/>
    <w:rsid w:val="007A1DAA"/>
    <w:rsid w:val="007A251D"/>
    <w:rsid w:val="007A2835"/>
    <w:rsid w:val="007A3871"/>
    <w:rsid w:val="007A4033"/>
    <w:rsid w:val="007A4AAE"/>
    <w:rsid w:val="007A750F"/>
    <w:rsid w:val="007B01B7"/>
    <w:rsid w:val="007B0468"/>
    <w:rsid w:val="007B1335"/>
    <w:rsid w:val="007B1E90"/>
    <w:rsid w:val="007B36BA"/>
    <w:rsid w:val="007B43A2"/>
    <w:rsid w:val="007B4CEE"/>
    <w:rsid w:val="007B4E34"/>
    <w:rsid w:val="007B4F42"/>
    <w:rsid w:val="007B5E4C"/>
    <w:rsid w:val="007B7D36"/>
    <w:rsid w:val="007C0CCE"/>
    <w:rsid w:val="007C18EA"/>
    <w:rsid w:val="007C2157"/>
    <w:rsid w:val="007C2818"/>
    <w:rsid w:val="007C2F36"/>
    <w:rsid w:val="007C350D"/>
    <w:rsid w:val="007C4B57"/>
    <w:rsid w:val="007C54ED"/>
    <w:rsid w:val="007C5B03"/>
    <w:rsid w:val="007C6187"/>
    <w:rsid w:val="007C6A74"/>
    <w:rsid w:val="007C7A56"/>
    <w:rsid w:val="007D2627"/>
    <w:rsid w:val="007D3C95"/>
    <w:rsid w:val="007D4370"/>
    <w:rsid w:val="007D4E84"/>
    <w:rsid w:val="007D5798"/>
    <w:rsid w:val="007D57FE"/>
    <w:rsid w:val="007D7003"/>
    <w:rsid w:val="007D74A8"/>
    <w:rsid w:val="007D7B70"/>
    <w:rsid w:val="007E0534"/>
    <w:rsid w:val="007E085B"/>
    <w:rsid w:val="007E1CC1"/>
    <w:rsid w:val="007E2BCC"/>
    <w:rsid w:val="007E2C7C"/>
    <w:rsid w:val="007E3047"/>
    <w:rsid w:val="007E324F"/>
    <w:rsid w:val="007E3656"/>
    <w:rsid w:val="007E4A87"/>
    <w:rsid w:val="007E5F38"/>
    <w:rsid w:val="007E6B41"/>
    <w:rsid w:val="007E6DF1"/>
    <w:rsid w:val="007E7582"/>
    <w:rsid w:val="007E792E"/>
    <w:rsid w:val="007F10F0"/>
    <w:rsid w:val="007F1295"/>
    <w:rsid w:val="007F29CF"/>
    <w:rsid w:val="007F4575"/>
    <w:rsid w:val="007F6E99"/>
    <w:rsid w:val="007F7D5C"/>
    <w:rsid w:val="00801329"/>
    <w:rsid w:val="008017E9"/>
    <w:rsid w:val="008024B9"/>
    <w:rsid w:val="00802671"/>
    <w:rsid w:val="00802CFC"/>
    <w:rsid w:val="0080376A"/>
    <w:rsid w:val="00803862"/>
    <w:rsid w:val="00803EAA"/>
    <w:rsid w:val="00803F8E"/>
    <w:rsid w:val="0080418D"/>
    <w:rsid w:val="0080473D"/>
    <w:rsid w:val="00804F2F"/>
    <w:rsid w:val="008050EC"/>
    <w:rsid w:val="00806D46"/>
    <w:rsid w:val="00806F43"/>
    <w:rsid w:val="0081084D"/>
    <w:rsid w:val="008117B5"/>
    <w:rsid w:val="00812029"/>
    <w:rsid w:val="008121A5"/>
    <w:rsid w:val="00812CE6"/>
    <w:rsid w:val="00813856"/>
    <w:rsid w:val="00815178"/>
    <w:rsid w:val="0081549D"/>
    <w:rsid w:val="008157CF"/>
    <w:rsid w:val="00815882"/>
    <w:rsid w:val="0081625E"/>
    <w:rsid w:val="008162AB"/>
    <w:rsid w:val="00816775"/>
    <w:rsid w:val="008170BD"/>
    <w:rsid w:val="00817632"/>
    <w:rsid w:val="00817C09"/>
    <w:rsid w:val="00817F76"/>
    <w:rsid w:val="0082201A"/>
    <w:rsid w:val="00822CA1"/>
    <w:rsid w:val="00823440"/>
    <w:rsid w:val="00823EA1"/>
    <w:rsid w:val="0082429F"/>
    <w:rsid w:val="008264A2"/>
    <w:rsid w:val="0082732E"/>
    <w:rsid w:val="00830113"/>
    <w:rsid w:val="008307B7"/>
    <w:rsid w:val="00830BEB"/>
    <w:rsid w:val="00830FDD"/>
    <w:rsid w:val="008313F3"/>
    <w:rsid w:val="00831AD7"/>
    <w:rsid w:val="00831DE1"/>
    <w:rsid w:val="00831EB5"/>
    <w:rsid w:val="0083328C"/>
    <w:rsid w:val="008339DD"/>
    <w:rsid w:val="00833AE0"/>
    <w:rsid w:val="00836195"/>
    <w:rsid w:val="00836CA6"/>
    <w:rsid w:val="00836E24"/>
    <w:rsid w:val="00836FEC"/>
    <w:rsid w:val="00840AFA"/>
    <w:rsid w:val="008412E0"/>
    <w:rsid w:val="00842690"/>
    <w:rsid w:val="008426CF"/>
    <w:rsid w:val="008432EA"/>
    <w:rsid w:val="008434CB"/>
    <w:rsid w:val="00844BBD"/>
    <w:rsid w:val="00844BF4"/>
    <w:rsid w:val="00846A13"/>
    <w:rsid w:val="008479DE"/>
    <w:rsid w:val="00847F59"/>
    <w:rsid w:val="00850565"/>
    <w:rsid w:val="00853396"/>
    <w:rsid w:val="0085347B"/>
    <w:rsid w:val="00853FFC"/>
    <w:rsid w:val="00854F8C"/>
    <w:rsid w:val="008552D6"/>
    <w:rsid w:val="008553A2"/>
    <w:rsid w:val="00856121"/>
    <w:rsid w:val="008561FF"/>
    <w:rsid w:val="008568B5"/>
    <w:rsid w:val="008569F2"/>
    <w:rsid w:val="008573F2"/>
    <w:rsid w:val="00857B1C"/>
    <w:rsid w:val="00857F15"/>
    <w:rsid w:val="008604CF"/>
    <w:rsid w:val="00860B55"/>
    <w:rsid w:val="008611B2"/>
    <w:rsid w:val="008619D2"/>
    <w:rsid w:val="008628E2"/>
    <w:rsid w:val="00862B25"/>
    <w:rsid w:val="008631E7"/>
    <w:rsid w:val="0086496A"/>
    <w:rsid w:val="00865A2B"/>
    <w:rsid w:val="008707E2"/>
    <w:rsid w:val="00871553"/>
    <w:rsid w:val="00872686"/>
    <w:rsid w:val="008727E8"/>
    <w:rsid w:val="0087298B"/>
    <w:rsid w:val="00872B14"/>
    <w:rsid w:val="00872BC9"/>
    <w:rsid w:val="00872CE5"/>
    <w:rsid w:val="00872E53"/>
    <w:rsid w:val="00872E56"/>
    <w:rsid w:val="008739EB"/>
    <w:rsid w:val="00874168"/>
    <w:rsid w:val="00875A4B"/>
    <w:rsid w:val="00875A74"/>
    <w:rsid w:val="00876AC7"/>
    <w:rsid w:val="008775F0"/>
    <w:rsid w:val="008812B4"/>
    <w:rsid w:val="0088196E"/>
    <w:rsid w:val="00881ADD"/>
    <w:rsid w:val="00881D98"/>
    <w:rsid w:val="00882491"/>
    <w:rsid w:val="0088301F"/>
    <w:rsid w:val="00883694"/>
    <w:rsid w:val="008839EE"/>
    <w:rsid w:val="00883DAC"/>
    <w:rsid w:val="0088436C"/>
    <w:rsid w:val="00885800"/>
    <w:rsid w:val="00885805"/>
    <w:rsid w:val="008860A3"/>
    <w:rsid w:val="00886695"/>
    <w:rsid w:val="008868B4"/>
    <w:rsid w:val="008902DC"/>
    <w:rsid w:val="008903D9"/>
    <w:rsid w:val="008903F9"/>
    <w:rsid w:val="0089054B"/>
    <w:rsid w:val="00891BB7"/>
    <w:rsid w:val="00892010"/>
    <w:rsid w:val="008920E4"/>
    <w:rsid w:val="00893403"/>
    <w:rsid w:val="00894A6C"/>
    <w:rsid w:val="008954CE"/>
    <w:rsid w:val="00896C6F"/>
    <w:rsid w:val="00896FAA"/>
    <w:rsid w:val="00897516"/>
    <w:rsid w:val="00897F20"/>
    <w:rsid w:val="008A000F"/>
    <w:rsid w:val="008A0A97"/>
    <w:rsid w:val="008A1171"/>
    <w:rsid w:val="008A18E9"/>
    <w:rsid w:val="008A1C0F"/>
    <w:rsid w:val="008A1CBE"/>
    <w:rsid w:val="008A2F86"/>
    <w:rsid w:val="008A411A"/>
    <w:rsid w:val="008A41CE"/>
    <w:rsid w:val="008A5E80"/>
    <w:rsid w:val="008A5F73"/>
    <w:rsid w:val="008A632C"/>
    <w:rsid w:val="008A6981"/>
    <w:rsid w:val="008A6D69"/>
    <w:rsid w:val="008A782F"/>
    <w:rsid w:val="008B0C03"/>
    <w:rsid w:val="008B14FA"/>
    <w:rsid w:val="008B2157"/>
    <w:rsid w:val="008B226A"/>
    <w:rsid w:val="008B34D0"/>
    <w:rsid w:val="008B42C8"/>
    <w:rsid w:val="008B4B12"/>
    <w:rsid w:val="008B5164"/>
    <w:rsid w:val="008B59BC"/>
    <w:rsid w:val="008B68CE"/>
    <w:rsid w:val="008B6955"/>
    <w:rsid w:val="008B79A5"/>
    <w:rsid w:val="008C02CB"/>
    <w:rsid w:val="008C1028"/>
    <w:rsid w:val="008C1186"/>
    <w:rsid w:val="008C18BA"/>
    <w:rsid w:val="008C2201"/>
    <w:rsid w:val="008C2478"/>
    <w:rsid w:val="008C33D5"/>
    <w:rsid w:val="008C3DCE"/>
    <w:rsid w:val="008C3E3D"/>
    <w:rsid w:val="008C590C"/>
    <w:rsid w:val="008C5D5D"/>
    <w:rsid w:val="008C5EC9"/>
    <w:rsid w:val="008C5F6C"/>
    <w:rsid w:val="008C6437"/>
    <w:rsid w:val="008C673C"/>
    <w:rsid w:val="008C7A3E"/>
    <w:rsid w:val="008D0BAF"/>
    <w:rsid w:val="008D0D97"/>
    <w:rsid w:val="008D3743"/>
    <w:rsid w:val="008D3968"/>
    <w:rsid w:val="008D44B9"/>
    <w:rsid w:val="008D4B89"/>
    <w:rsid w:val="008D57C0"/>
    <w:rsid w:val="008D5826"/>
    <w:rsid w:val="008D5D02"/>
    <w:rsid w:val="008D61CE"/>
    <w:rsid w:val="008D7A22"/>
    <w:rsid w:val="008E2285"/>
    <w:rsid w:val="008E24DC"/>
    <w:rsid w:val="008E39E0"/>
    <w:rsid w:val="008E41EF"/>
    <w:rsid w:val="008E42AC"/>
    <w:rsid w:val="008E47D4"/>
    <w:rsid w:val="008E5D41"/>
    <w:rsid w:val="008E6920"/>
    <w:rsid w:val="008E73BF"/>
    <w:rsid w:val="008E7C7A"/>
    <w:rsid w:val="008F0AA9"/>
    <w:rsid w:val="008F0AF6"/>
    <w:rsid w:val="008F1063"/>
    <w:rsid w:val="008F1F9E"/>
    <w:rsid w:val="008F2FC2"/>
    <w:rsid w:val="008F3848"/>
    <w:rsid w:val="008F5034"/>
    <w:rsid w:val="008F5ADE"/>
    <w:rsid w:val="008F5B19"/>
    <w:rsid w:val="008F604C"/>
    <w:rsid w:val="008F670A"/>
    <w:rsid w:val="008F6D37"/>
    <w:rsid w:val="008F7730"/>
    <w:rsid w:val="008F7CF6"/>
    <w:rsid w:val="0090082B"/>
    <w:rsid w:val="009008B5"/>
    <w:rsid w:val="00901279"/>
    <w:rsid w:val="009015CA"/>
    <w:rsid w:val="0090189F"/>
    <w:rsid w:val="00901F52"/>
    <w:rsid w:val="009021AB"/>
    <w:rsid w:val="0090232A"/>
    <w:rsid w:val="009023ED"/>
    <w:rsid w:val="00905C5E"/>
    <w:rsid w:val="009067B3"/>
    <w:rsid w:val="00906866"/>
    <w:rsid w:val="00907272"/>
    <w:rsid w:val="0090737C"/>
    <w:rsid w:val="00907646"/>
    <w:rsid w:val="00907B30"/>
    <w:rsid w:val="009101C5"/>
    <w:rsid w:val="00910DFE"/>
    <w:rsid w:val="00910F25"/>
    <w:rsid w:val="00911207"/>
    <w:rsid w:val="00911A38"/>
    <w:rsid w:val="009137B1"/>
    <w:rsid w:val="009141E5"/>
    <w:rsid w:val="00914423"/>
    <w:rsid w:val="00914FC7"/>
    <w:rsid w:val="00915763"/>
    <w:rsid w:val="00915B55"/>
    <w:rsid w:val="0091612A"/>
    <w:rsid w:val="009161F8"/>
    <w:rsid w:val="00916D6C"/>
    <w:rsid w:val="00917BE6"/>
    <w:rsid w:val="00920164"/>
    <w:rsid w:val="00920D9A"/>
    <w:rsid w:val="00920E0C"/>
    <w:rsid w:val="00921379"/>
    <w:rsid w:val="00921F88"/>
    <w:rsid w:val="0092446A"/>
    <w:rsid w:val="009247A3"/>
    <w:rsid w:val="00925065"/>
    <w:rsid w:val="009252E4"/>
    <w:rsid w:val="00925BD0"/>
    <w:rsid w:val="00926557"/>
    <w:rsid w:val="0092662A"/>
    <w:rsid w:val="00927746"/>
    <w:rsid w:val="009277A8"/>
    <w:rsid w:val="0093011B"/>
    <w:rsid w:val="00930BBB"/>
    <w:rsid w:val="00930D23"/>
    <w:rsid w:val="00930E3D"/>
    <w:rsid w:val="00931284"/>
    <w:rsid w:val="009317BC"/>
    <w:rsid w:val="00932A6C"/>
    <w:rsid w:val="00934562"/>
    <w:rsid w:val="00935790"/>
    <w:rsid w:val="009363C7"/>
    <w:rsid w:val="00936855"/>
    <w:rsid w:val="00936976"/>
    <w:rsid w:val="00936ADF"/>
    <w:rsid w:val="00937DCD"/>
    <w:rsid w:val="009402B2"/>
    <w:rsid w:val="00940A3B"/>
    <w:rsid w:val="00941551"/>
    <w:rsid w:val="00942D95"/>
    <w:rsid w:val="00943212"/>
    <w:rsid w:val="00943309"/>
    <w:rsid w:val="00943411"/>
    <w:rsid w:val="009435AD"/>
    <w:rsid w:val="009441E7"/>
    <w:rsid w:val="0094431D"/>
    <w:rsid w:val="00944947"/>
    <w:rsid w:val="00945131"/>
    <w:rsid w:val="00945173"/>
    <w:rsid w:val="009454DB"/>
    <w:rsid w:val="00945632"/>
    <w:rsid w:val="009456AB"/>
    <w:rsid w:val="0094573F"/>
    <w:rsid w:val="00945D7E"/>
    <w:rsid w:val="00946E27"/>
    <w:rsid w:val="00947947"/>
    <w:rsid w:val="00947F3A"/>
    <w:rsid w:val="00950E9A"/>
    <w:rsid w:val="00954215"/>
    <w:rsid w:val="00954452"/>
    <w:rsid w:val="00954EC1"/>
    <w:rsid w:val="0095509B"/>
    <w:rsid w:val="009564AB"/>
    <w:rsid w:val="009569D4"/>
    <w:rsid w:val="00956F84"/>
    <w:rsid w:val="009570BA"/>
    <w:rsid w:val="0095716B"/>
    <w:rsid w:val="00961767"/>
    <w:rsid w:val="0096189E"/>
    <w:rsid w:val="00962150"/>
    <w:rsid w:val="009621E2"/>
    <w:rsid w:val="009624B5"/>
    <w:rsid w:val="00962841"/>
    <w:rsid w:val="00962BDF"/>
    <w:rsid w:val="00963883"/>
    <w:rsid w:val="00964571"/>
    <w:rsid w:val="00964B47"/>
    <w:rsid w:val="00967D7B"/>
    <w:rsid w:val="0097018B"/>
    <w:rsid w:val="009706BE"/>
    <w:rsid w:val="009718B7"/>
    <w:rsid w:val="00971AA7"/>
    <w:rsid w:val="00971E7F"/>
    <w:rsid w:val="00972029"/>
    <w:rsid w:val="009722A4"/>
    <w:rsid w:val="00972D41"/>
    <w:rsid w:val="009754E1"/>
    <w:rsid w:val="00975795"/>
    <w:rsid w:val="00975D62"/>
    <w:rsid w:val="00976FD7"/>
    <w:rsid w:val="00976FF6"/>
    <w:rsid w:val="00977349"/>
    <w:rsid w:val="00980E0C"/>
    <w:rsid w:val="00980F93"/>
    <w:rsid w:val="00980FCF"/>
    <w:rsid w:val="00981C96"/>
    <w:rsid w:val="009824A3"/>
    <w:rsid w:val="00983534"/>
    <w:rsid w:val="009837E4"/>
    <w:rsid w:val="00983DAC"/>
    <w:rsid w:val="0098633D"/>
    <w:rsid w:val="00986419"/>
    <w:rsid w:val="00986D9A"/>
    <w:rsid w:val="00986DBC"/>
    <w:rsid w:val="0098744E"/>
    <w:rsid w:val="009902BF"/>
    <w:rsid w:val="009903F9"/>
    <w:rsid w:val="009904B1"/>
    <w:rsid w:val="00990B1F"/>
    <w:rsid w:val="00990BC6"/>
    <w:rsid w:val="00990DEA"/>
    <w:rsid w:val="00990E82"/>
    <w:rsid w:val="0099212F"/>
    <w:rsid w:val="009929C0"/>
    <w:rsid w:val="00996DCB"/>
    <w:rsid w:val="009972CD"/>
    <w:rsid w:val="009975B8"/>
    <w:rsid w:val="00997B1B"/>
    <w:rsid w:val="00997E62"/>
    <w:rsid w:val="009A098C"/>
    <w:rsid w:val="009A23AC"/>
    <w:rsid w:val="009A3E81"/>
    <w:rsid w:val="009A4690"/>
    <w:rsid w:val="009A52A9"/>
    <w:rsid w:val="009A53A9"/>
    <w:rsid w:val="009A56CC"/>
    <w:rsid w:val="009B12E7"/>
    <w:rsid w:val="009B16B0"/>
    <w:rsid w:val="009B1DD0"/>
    <w:rsid w:val="009B20A4"/>
    <w:rsid w:val="009B250F"/>
    <w:rsid w:val="009B2691"/>
    <w:rsid w:val="009B2B46"/>
    <w:rsid w:val="009B2CDC"/>
    <w:rsid w:val="009B2EBB"/>
    <w:rsid w:val="009B305E"/>
    <w:rsid w:val="009B35AB"/>
    <w:rsid w:val="009B4B7D"/>
    <w:rsid w:val="009B61B2"/>
    <w:rsid w:val="009B7AE5"/>
    <w:rsid w:val="009C0243"/>
    <w:rsid w:val="009C0BFC"/>
    <w:rsid w:val="009C0D82"/>
    <w:rsid w:val="009C1096"/>
    <w:rsid w:val="009C2646"/>
    <w:rsid w:val="009C2BAA"/>
    <w:rsid w:val="009C4428"/>
    <w:rsid w:val="009C46D3"/>
    <w:rsid w:val="009C483E"/>
    <w:rsid w:val="009C4A06"/>
    <w:rsid w:val="009C559B"/>
    <w:rsid w:val="009C6487"/>
    <w:rsid w:val="009C649B"/>
    <w:rsid w:val="009C6911"/>
    <w:rsid w:val="009D02E8"/>
    <w:rsid w:val="009D135D"/>
    <w:rsid w:val="009D1881"/>
    <w:rsid w:val="009D386B"/>
    <w:rsid w:val="009D38ED"/>
    <w:rsid w:val="009D3F46"/>
    <w:rsid w:val="009D4698"/>
    <w:rsid w:val="009D4A22"/>
    <w:rsid w:val="009D50BA"/>
    <w:rsid w:val="009D7873"/>
    <w:rsid w:val="009D7B33"/>
    <w:rsid w:val="009D7BA8"/>
    <w:rsid w:val="009E0472"/>
    <w:rsid w:val="009E0C1E"/>
    <w:rsid w:val="009E10F2"/>
    <w:rsid w:val="009E255D"/>
    <w:rsid w:val="009E264C"/>
    <w:rsid w:val="009E2810"/>
    <w:rsid w:val="009E2D6C"/>
    <w:rsid w:val="009E2F27"/>
    <w:rsid w:val="009E413A"/>
    <w:rsid w:val="009E42EF"/>
    <w:rsid w:val="009E434D"/>
    <w:rsid w:val="009E4B35"/>
    <w:rsid w:val="009E5735"/>
    <w:rsid w:val="009E5B87"/>
    <w:rsid w:val="009E5C90"/>
    <w:rsid w:val="009E702C"/>
    <w:rsid w:val="009E7471"/>
    <w:rsid w:val="009F0005"/>
    <w:rsid w:val="009F0601"/>
    <w:rsid w:val="009F0869"/>
    <w:rsid w:val="009F0B1D"/>
    <w:rsid w:val="009F1017"/>
    <w:rsid w:val="009F254F"/>
    <w:rsid w:val="009F40DC"/>
    <w:rsid w:val="009F59EE"/>
    <w:rsid w:val="009F5D6C"/>
    <w:rsid w:val="009F6C98"/>
    <w:rsid w:val="009F6F9C"/>
    <w:rsid w:val="009F7A8E"/>
    <w:rsid w:val="00A02297"/>
    <w:rsid w:val="00A024CD"/>
    <w:rsid w:val="00A027C0"/>
    <w:rsid w:val="00A035BD"/>
    <w:rsid w:val="00A03E48"/>
    <w:rsid w:val="00A03F8B"/>
    <w:rsid w:val="00A04F2B"/>
    <w:rsid w:val="00A05199"/>
    <w:rsid w:val="00A11A0D"/>
    <w:rsid w:val="00A11A34"/>
    <w:rsid w:val="00A12095"/>
    <w:rsid w:val="00A12B7D"/>
    <w:rsid w:val="00A13419"/>
    <w:rsid w:val="00A144B7"/>
    <w:rsid w:val="00A1607E"/>
    <w:rsid w:val="00A162FE"/>
    <w:rsid w:val="00A1784E"/>
    <w:rsid w:val="00A20894"/>
    <w:rsid w:val="00A21594"/>
    <w:rsid w:val="00A21A1E"/>
    <w:rsid w:val="00A21D30"/>
    <w:rsid w:val="00A21E79"/>
    <w:rsid w:val="00A224DD"/>
    <w:rsid w:val="00A2266E"/>
    <w:rsid w:val="00A22CA3"/>
    <w:rsid w:val="00A22D32"/>
    <w:rsid w:val="00A22D40"/>
    <w:rsid w:val="00A235D7"/>
    <w:rsid w:val="00A23D47"/>
    <w:rsid w:val="00A256A4"/>
    <w:rsid w:val="00A25EB8"/>
    <w:rsid w:val="00A2698F"/>
    <w:rsid w:val="00A26D4B"/>
    <w:rsid w:val="00A271A6"/>
    <w:rsid w:val="00A2721E"/>
    <w:rsid w:val="00A2783A"/>
    <w:rsid w:val="00A3016F"/>
    <w:rsid w:val="00A30183"/>
    <w:rsid w:val="00A3061F"/>
    <w:rsid w:val="00A32351"/>
    <w:rsid w:val="00A32D60"/>
    <w:rsid w:val="00A331FC"/>
    <w:rsid w:val="00A33719"/>
    <w:rsid w:val="00A34268"/>
    <w:rsid w:val="00A350BE"/>
    <w:rsid w:val="00A35644"/>
    <w:rsid w:val="00A36085"/>
    <w:rsid w:val="00A36384"/>
    <w:rsid w:val="00A368CF"/>
    <w:rsid w:val="00A3754B"/>
    <w:rsid w:val="00A37F19"/>
    <w:rsid w:val="00A4040C"/>
    <w:rsid w:val="00A40BDD"/>
    <w:rsid w:val="00A412A8"/>
    <w:rsid w:val="00A426E1"/>
    <w:rsid w:val="00A43918"/>
    <w:rsid w:val="00A43A8A"/>
    <w:rsid w:val="00A44627"/>
    <w:rsid w:val="00A44DDA"/>
    <w:rsid w:val="00A464A4"/>
    <w:rsid w:val="00A470E9"/>
    <w:rsid w:val="00A4713A"/>
    <w:rsid w:val="00A473A7"/>
    <w:rsid w:val="00A502D8"/>
    <w:rsid w:val="00A508EA"/>
    <w:rsid w:val="00A509EF"/>
    <w:rsid w:val="00A5132E"/>
    <w:rsid w:val="00A517D6"/>
    <w:rsid w:val="00A52074"/>
    <w:rsid w:val="00A523CC"/>
    <w:rsid w:val="00A5275D"/>
    <w:rsid w:val="00A558BD"/>
    <w:rsid w:val="00A56215"/>
    <w:rsid w:val="00A5652D"/>
    <w:rsid w:val="00A5700D"/>
    <w:rsid w:val="00A5778D"/>
    <w:rsid w:val="00A603D5"/>
    <w:rsid w:val="00A61156"/>
    <w:rsid w:val="00A623A7"/>
    <w:rsid w:val="00A6367E"/>
    <w:rsid w:val="00A64762"/>
    <w:rsid w:val="00A658D8"/>
    <w:rsid w:val="00A65B26"/>
    <w:rsid w:val="00A71AA0"/>
    <w:rsid w:val="00A71D0B"/>
    <w:rsid w:val="00A71E96"/>
    <w:rsid w:val="00A73245"/>
    <w:rsid w:val="00A7352B"/>
    <w:rsid w:val="00A735F0"/>
    <w:rsid w:val="00A73B66"/>
    <w:rsid w:val="00A73D14"/>
    <w:rsid w:val="00A75428"/>
    <w:rsid w:val="00A75B85"/>
    <w:rsid w:val="00A76899"/>
    <w:rsid w:val="00A7775F"/>
    <w:rsid w:val="00A77FBF"/>
    <w:rsid w:val="00A80089"/>
    <w:rsid w:val="00A81A04"/>
    <w:rsid w:val="00A81C8F"/>
    <w:rsid w:val="00A829EF"/>
    <w:rsid w:val="00A83215"/>
    <w:rsid w:val="00A832CC"/>
    <w:rsid w:val="00A8339D"/>
    <w:rsid w:val="00A834F3"/>
    <w:rsid w:val="00A83606"/>
    <w:rsid w:val="00A83CFB"/>
    <w:rsid w:val="00A841A4"/>
    <w:rsid w:val="00A8437E"/>
    <w:rsid w:val="00A854A5"/>
    <w:rsid w:val="00A8599F"/>
    <w:rsid w:val="00A85A7E"/>
    <w:rsid w:val="00A85BF2"/>
    <w:rsid w:val="00A866C9"/>
    <w:rsid w:val="00A86A4B"/>
    <w:rsid w:val="00A86C58"/>
    <w:rsid w:val="00A9132C"/>
    <w:rsid w:val="00A915EF"/>
    <w:rsid w:val="00A92886"/>
    <w:rsid w:val="00A92A5B"/>
    <w:rsid w:val="00A92D99"/>
    <w:rsid w:val="00A92ED6"/>
    <w:rsid w:val="00A93EB7"/>
    <w:rsid w:val="00A9439F"/>
    <w:rsid w:val="00A94C9A"/>
    <w:rsid w:val="00A94E3B"/>
    <w:rsid w:val="00A95771"/>
    <w:rsid w:val="00A95B97"/>
    <w:rsid w:val="00A977BE"/>
    <w:rsid w:val="00A977D7"/>
    <w:rsid w:val="00A97A06"/>
    <w:rsid w:val="00AA0969"/>
    <w:rsid w:val="00AA219B"/>
    <w:rsid w:val="00AA2BC1"/>
    <w:rsid w:val="00AA2BCE"/>
    <w:rsid w:val="00AA4DF9"/>
    <w:rsid w:val="00AA5101"/>
    <w:rsid w:val="00AA5553"/>
    <w:rsid w:val="00AA6456"/>
    <w:rsid w:val="00AB2828"/>
    <w:rsid w:val="00AB3837"/>
    <w:rsid w:val="00AB481B"/>
    <w:rsid w:val="00AB5AE6"/>
    <w:rsid w:val="00AB738C"/>
    <w:rsid w:val="00AC0602"/>
    <w:rsid w:val="00AC0674"/>
    <w:rsid w:val="00AC3B67"/>
    <w:rsid w:val="00AC49A3"/>
    <w:rsid w:val="00AC7469"/>
    <w:rsid w:val="00AD031B"/>
    <w:rsid w:val="00AD0EF2"/>
    <w:rsid w:val="00AD2C6C"/>
    <w:rsid w:val="00AD302F"/>
    <w:rsid w:val="00AD3568"/>
    <w:rsid w:val="00AD3FFE"/>
    <w:rsid w:val="00AD60B9"/>
    <w:rsid w:val="00AD6270"/>
    <w:rsid w:val="00AD6FC3"/>
    <w:rsid w:val="00AE033D"/>
    <w:rsid w:val="00AE03D1"/>
    <w:rsid w:val="00AE062C"/>
    <w:rsid w:val="00AE15D4"/>
    <w:rsid w:val="00AE1BE8"/>
    <w:rsid w:val="00AE24B6"/>
    <w:rsid w:val="00AE27F6"/>
    <w:rsid w:val="00AE3F69"/>
    <w:rsid w:val="00AE4DBF"/>
    <w:rsid w:val="00AE5E86"/>
    <w:rsid w:val="00AE60A2"/>
    <w:rsid w:val="00AF05FF"/>
    <w:rsid w:val="00AF20AD"/>
    <w:rsid w:val="00AF2A5A"/>
    <w:rsid w:val="00AF3C9A"/>
    <w:rsid w:val="00AF3F91"/>
    <w:rsid w:val="00AF4382"/>
    <w:rsid w:val="00AF5F55"/>
    <w:rsid w:val="00AF5FB5"/>
    <w:rsid w:val="00AF61A8"/>
    <w:rsid w:val="00AF6AC1"/>
    <w:rsid w:val="00AF7159"/>
    <w:rsid w:val="00B004CB"/>
    <w:rsid w:val="00B01A16"/>
    <w:rsid w:val="00B01CC0"/>
    <w:rsid w:val="00B01D3B"/>
    <w:rsid w:val="00B03193"/>
    <w:rsid w:val="00B035CD"/>
    <w:rsid w:val="00B03FA2"/>
    <w:rsid w:val="00B040AF"/>
    <w:rsid w:val="00B04F35"/>
    <w:rsid w:val="00B05687"/>
    <w:rsid w:val="00B05956"/>
    <w:rsid w:val="00B07194"/>
    <w:rsid w:val="00B0786C"/>
    <w:rsid w:val="00B07A9D"/>
    <w:rsid w:val="00B100A8"/>
    <w:rsid w:val="00B10293"/>
    <w:rsid w:val="00B11379"/>
    <w:rsid w:val="00B1190A"/>
    <w:rsid w:val="00B11F60"/>
    <w:rsid w:val="00B13972"/>
    <w:rsid w:val="00B14376"/>
    <w:rsid w:val="00B1514B"/>
    <w:rsid w:val="00B15936"/>
    <w:rsid w:val="00B15BF0"/>
    <w:rsid w:val="00B16445"/>
    <w:rsid w:val="00B16839"/>
    <w:rsid w:val="00B17C25"/>
    <w:rsid w:val="00B17DE9"/>
    <w:rsid w:val="00B205DC"/>
    <w:rsid w:val="00B20987"/>
    <w:rsid w:val="00B20FDA"/>
    <w:rsid w:val="00B21AB6"/>
    <w:rsid w:val="00B21DCA"/>
    <w:rsid w:val="00B22CB7"/>
    <w:rsid w:val="00B230BA"/>
    <w:rsid w:val="00B2343B"/>
    <w:rsid w:val="00B25EF2"/>
    <w:rsid w:val="00B260B0"/>
    <w:rsid w:val="00B27FD6"/>
    <w:rsid w:val="00B303C8"/>
    <w:rsid w:val="00B30B6B"/>
    <w:rsid w:val="00B31462"/>
    <w:rsid w:val="00B31B1F"/>
    <w:rsid w:val="00B33EA1"/>
    <w:rsid w:val="00B34187"/>
    <w:rsid w:val="00B34573"/>
    <w:rsid w:val="00B34F9F"/>
    <w:rsid w:val="00B35114"/>
    <w:rsid w:val="00B35245"/>
    <w:rsid w:val="00B357BA"/>
    <w:rsid w:val="00B35B5F"/>
    <w:rsid w:val="00B37091"/>
    <w:rsid w:val="00B415B0"/>
    <w:rsid w:val="00B417B0"/>
    <w:rsid w:val="00B41985"/>
    <w:rsid w:val="00B42261"/>
    <w:rsid w:val="00B43340"/>
    <w:rsid w:val="00B43EED"/>
    <w:rsid w:val="00B442A1"/>
    <w:rsid w:val="00B44BAF"/>
    <w:rsid w:val="00B456E8"/>
    <w:rsid w:val="00B478F1"/>
    <w:rsid w:val="00B502F4"/>
    <w:rsid w:val="00B50BFC"/>
    <w:rsid w:val="00B50CDE"/>
    <w:rsid w:val="00B513AF"/>
    <w:rsid w:val="00B51460"/>
    <w:rsid w:val="00B51CB6"/>
    <w:rsid w:val="00B51E61"/>
    <w:rsid w:val="00B51EB0"/>
    <w:rsid w:val="00B52919"/>
    <w:rsid w:val="00B539D3"/>
    <w:rsid w:val="00B53C80"/>
    <w:rsid w:val="00B54AA2"/>
    <w:rsid w:val="00B55246"/>
    <w:rsid w:val="00B55F78"/>
    <w:rsid w:val="00B566FF"/>
    <w:rsid w:val="00B56FD8"/>
    <w:rsid w:val="00B570E9"/>
    <w:rsid w:val="00B60B35"/>
    <w:rsid w:val="00B60C5F"/>
    <w:rsid w:val="00B60F58"/>
    <w:rsid w:val="00B6102A"/>
    <w:rsid w:val="00B614C4"/>
    <w:rsid w:val="00B61ED0"/>
    <w:rsid w:val="00B628F4"/>
    <w:rsid w:val="00B634AE"/>
    <w:rsid w:val="00B63783"/>
    <w:rsid w:val="00B64DDC"/>
    <w:rsid w:val="00B64FC4"/>
    <w:rsid w:val="00B65069"/>
    <w:rsid w:val="00B650D0"/>
    <w:rsid w:val="00B66204"/>
    <w:rsid w:val="00B666C5"/>
    <w:rsid w:val="00B66DF9"/>
    <w:rsid w:val="00B6786C"/>
    <w:rsid w:val="00B67A00"/>
    <w:rsid w:val="00B67B9A"/>
    <w:rsid w:val="00B70D48"/>
    <w:rsid w:val="00B7163B"/>
    <w:rsid w:val="00B71804"/>
    <w:rsid w:val="00B71B0D"/>
    <w:rsid w:val="00B72907"/>
    <w:rsid w:val="00B73485"/>
    <w:rsid w:val="00B73FBD"/>
    <w:rsid w:val="00B75349"/>
    <w:rsid w:val="00B75950"/>
    <w:rsid w:val="00B7597B"/>
    <w:rsid w:val="00B75CF7"/>
    <w:rsid w:val="00B7762E"/>
    <w:rsid w:val="00B80EAD"/>
    <w:rsid w:val="00B81192"/>
    <w:rsid w:val="00B8198A"/>
    <w:rsid w:val="00B8269B"/>
    <w:rsid w:val="00B8298E"/>
    <w:rsid w:val="00B82AB1"/>
    <w:rsid w:val="00B84C68"/>
    <w:rsid w:val="00B84D6D"/>
    <w:rsid w:val="00B853F0"/>
    <w:rsid w:val="00B85DEA"/>
    <w:rsid w:val="00B860CA"/>
    <w:rsid w:val="00B87334"/>
    <w:rsid w:val="00B876CC"/>
    <w:rsid w:val="00B90074"/>
    <w:rsid w:val="00B90B86"/>
    <w:rsid w:val="00B90E15"/>
    <w:rsid w:val="00B9180D"/>
    <w:rsid w:val="00B91EA9"/>
    <w:rsid w:val="00B9287F"/>
    <w:rsid w:val="00B92C8D"/>
    <w:rsid w:val="00B92DC6"/>
    <w:rsid w:val="00B932A9"/>
    <w:rsid w:val="00B93A1D"/>
    <w:rsid w:val="00B93DDD"/>
    <w:rsid w:val="00B953BB"/>
    <w:rsid w:val="00B95712"/>
    <w:rsid w:val="00B957A4"/>
    <w:rsid w:val="00B95E01"/>
    <w:rsid w:val="00B962D4"/>
    <w:rsid w:val="00B96F42"/>
    <w:rsid w:val="00BA03E5"/>
    <w:rsid w:val="00BA0450"/>
    <w:rsid w:val="00BA08AD"/>
    <w:rsid w:val="00BA1007"/>
    <w:rsid w:val="00BA4628"/>
    <w:rsid w:val="00BA4CCA"/>
    <w:rsid w:val="00BA4D3C"/>
    <w:rsid w:val="00BA513A"/>
    <w:rsid w:val="00BA551D"/>
    <w:rsid w:val="00BA76DE"/>
    <w:rsid w:val="00BB07E0"/>
    <w:rsid w:val="00BB0A2E"/>
    <w:rsid w:val="00BB2160"/>
    <w:rsid w:val="00BB2A4B"/>
    <w:rsid w:val="00BB2ADE"/>
    <w:rsid w:val="00BB4F90"/>
    <w:rsid w:val="00BB5079"/>
    <w:rsid w:val="00BB53D3"/>
    <w:rsid w:val="00BB5EB8"/>
    <w:rsid w:val="00BB615F"/>
    <w:rsid w:val="00BC1957"/>
    <w:rsid w:val="00BC28A7"/>
    <w:rsid w:val="00BC306C"/>
    <w:rsid w:val="00BC3D05"/>
    <w:rsid w:val="00BC3F6F"/>
    <w:rsid w:val="00BC4C1B"/>
    <w:rsid w:val="00BC5656"/>
    <w:rsid w:val="00BC56F8"/>
    <w:rsid w:val="00BC6A95"/>
    <w:rsid w:val="00BC6BDD"/>
    <w:rsid w:val="00BC6BF2"/>
    <w:rsid w:val="00BC7641"/>
    <w:rsid w:val="00BC7AB8"/>
    <w:rsid w:val="00BD00ED"/>
    <w:rsid w:val="00BD1DCA"/>
    <w:rsid w:val="00BD2AAF"/>
    <w:rsid w:val="00BD2B7A"/>
    <w:rsid w:val="00BD3187"/>
    <w:rsid w:val="00BD35EB"/>
    <w:rsid w:val="00BD3E8F"/>
    <w:rsid w:val="00BD52ED"/>
    <w:rsid w:val="00BD53B7"/>
    <w:rsid w:val="00BD5684"/>
    <w:rsid w:val="00BD5784"/>
    <w:rsid w:val="00BD5998"/>
    <w:rsid w:val="00BD6767"/>
    <w:rsid w:val="00BD6BF6"/>
    <w:rsid w:val="00BD74F5"/>
    <w:rsid w:val="00BD7956"/>
    <w:rsid w:val="00BD7B4E"/>
    <w:rsid w:val="00BD7D44"/>
    <w:rsid w:val="00BE02D2"/>
    <w:rsid w:val="00BE0700"/>
    <w:rsid w:val="00BE16DD"/>
    <w:rsid w:val="00BE1FD8"/>
    <w:rsid w:val="00BE29CF"/>
    <w:rsid w:val="00BE2AF1"/>
    <w:rsid w:val="00BE332B"/>
    <w:rsid w:val="00BE3FBB"/>
    <w:rsid w:val="00BE4827"/>
    <w:rsid w:val="00BE4839"/>
    <w:rsid w:val="00BE53E4"/>
    <w:rsid w:val="00BE56EC"/>
    <w:rsid w:val="00BE572D"/>
    <w:rsid w:val="00BE5960"/>
    <w:rsid w:val="00BE5B5C"/>
    <w:rsid w:val="00BE6F37"/>
    <w:rsid w:val="00BF0129"/>
    <w:rsid w:val="00BF0731"/>
    <w:rsid w:val="00BF0751"/>
    <w:rsid w:val="00BF14A5"/>
    <w:rsid w:val="00BF157A"/>
    <w:rsid w:val="00BF1B44"/>
    <w:rsid w:val="00BF2282"/>
    <w:rsid w:val="00BF2543"/>
    <w:rsid w:val="00BF25FE"/>
    <w:rsid w:val="00BF2FF8"/>
    <w:rsid w:val="00BF3138"/>
    <w:rsid w:val="00BF3D42"/>
    <w:rsid w:val="00BF49A0"/>
    <w:rsid w:val="00BF4AEF"/>
    <w:rsid w:val="00BF5CC8"/>
    <w:rsid w:val="00BF6241"/>
    <w:rsid w:val="00BF7CF8"/>
    <w:rsid w:val="00C017C1"/>
    <w:rsid w:val="00C01AFD"/>
    <w:rsid w:val="00C02FD4"/>
    <w:rsid w:val="00C03180"/>
    <w:rsid w:val="00C041F8"/>
    <w:rsid w:val="00C04A13"/>
    <w:rsid w:val="00C04B6E"/>
    <w:rsid w:val="00C04C16"/>
    <w:rsid w:val="00C04E0C"/>
    <w:rsid w:val="00C064B4"/>
    <w:rsid w:val="00C07340"/>
    <w:rsid w:val="00C10765"/>
    <w:rsid w:val="00C11040"/>
    <w:rsid w:val="00C116E7"/>
    <w:rsid w:val="00C12078"/>
    <w:rsid w:val="00C12805"/>
    <w:rsid w:val="00C12921"/>
    <w:rsid w:val="00C12A3C"/>
    <w:rsid w:val="00C12B4F"/>
    <w:rsid w:val="00C12D97"/>
    <w:rsid w:val="00C12EB0"/>
    <w:rsid w:val="00C13881"/>
    <w:rsid w:val="00C14299"/>
    <w:rsid w:val="00C145AF"/>
    <w:rsid w:val="00C1498D"/>
    <w:rsid w:val="00C1514F"/>
    <w:rsid w:val="00C16B89"/>
    <w:rsid w:val="00C17AD3"/>
    <w:rsid w:val="00C2185C"/>
    <w:rsid w:val="00C23C22"/>
    <w:rsid w:val="00C23EF6"/>
    <w:rsid w:val="00C24113"/>
    <w:rsid w:val="00C24BF7"/>
    <w:rsid w:val="00C24D68"/>
    <w:rsid w:val="00C2703F"/>
    <w:rsid w:val="00C2764C"/>
    <w:rsid w:val="00C30143"/>
    <w:rsid w:val="00C3015B"/>
    <w:rsid w:val="00C30A54"/>
    <w:rsid w:val="00C30BA6"/>
    <w:rsid w:val="00C32340"/>
    <w:rsid w:val="00C3350A"/>
    <w:rsid w:val="00C336E5"/>
    <w:rsid w:val="00C35417"/>
    <w:rsid w:val="00C36C05"/>
    <w:rsid w:val="00C37762"/>
    <w:rsid w:val="00C40FDA"/>
    <w:rsid w:val="00C41139"/>
    <w:rsid w:val="00C41524"/>
    <w:rsid w:val="00C41AA1"/>
    <w:rsid w:val="00C41C21"/>
    <w:rsid w:val="00C4209E"/>
    <w:rsid w:val="00C421C4"/>
    <w:rsid w:val="00C4283C"/>
    <w:rsid w:val="00C42987"/>
    <w:rsid w:val="00C438C4"/>
    <w:rsid w:val="00C43E9E"/>
    <w:rsid w:val="00C43F08"/>
    <w:rsid w:val="00C44DBE"/>
    <w:rsid w:val="00C45F8C"/>
    <w:rsid w:val="00C46B5F"/>
    <w:rsid w:val="00C4786D"/>
    <w:rsid w:val="00C47886"/>
    <w:rsid w:val="00C50A5B"/>
    <w:rsid w:val="00C50DEF"/>
    <w:rsid w:val="00C51254"/>
    <w:rsid w:val="00C52521"/>
    <w:rsid w:val="00C52BA6"/>
    <w:rsid w:val="00C53700"/>
    <w:rsid w:val="00C539F1"/>
    <w:rsid w:val="00C53AB3"/>
    <w:rsid w:val="00C53AC3"/>
    <w:rsid w:val="00C540C9"/>
    <w:rsid w:val="00C541C1"/>
    <w:rsid w:val="00C54C1D"/>
    <w:rsid w:val="00C558A9"/>
    <w:rsid w:val="00C56DD6"/>
    <w:rsid w:val="00C61668"/>
    <w:rsid w:val="00C61CA8"/>
    <w:rsid w:val="00C6265C"/>
    <w:rsid w:val="00C63D0E"/>
    <w:rsid w:val="00C64927"/>
    <w:rsid w:val="00C64A73"/>
    <w:rsid w:val="00C64C98"/>
    <w:rsid w:val="00C650EF"/>
    <w:rsid w:val="00C65D44"/>
    <w:rsid w:val="00C65E34"/>
    <w:rsid w:val="00C70499"/>
    <w:rsid w:val="00C706C6"/>
    <w:rsid w:val="00C70989"/>
    <w:rsid w:val="00C70AB3"/>
    <w:rsid w:val="00C715C1"/>
    <w:rsid w:val="00C71817"/>
    <w:rsid w:val="00C74C11"/>
    <w:rsid w:val="00C756C7"/>
    <w:rsid w:val="00C7652B"/>
    <w:rsid w:val="00C76841"/>
    <w:rsid w:val="00C773C2"/>
    <w:rsid w:val="00C77537"/>
    <w:rsid w:val="00C80222"/>
    <w:rsid w:val="00C80543"/>
    <w:rsid w:val="00C80934"/>
    <w:rsid w:val="00C8109D"/>
    <w:rsid w:val="00C81D2B"/>
    <w:rsid w:val="00C81D9D"/>
    <w:rsid w:val="00C82608"/>
    <w:rsid w:val="00C82677"/>
    <w:rsid w:val="00C82899"/>
    <w:rsid w:val="00C82A2D"/>
    <w:rsid w:val="00C841A2"/>
    <w:rsid w:val="00C846F8"/>
    <w:rsid w:val="00C8532D"/>
    <w:rsid w:val="00C85CB0"/>
    <w:rsid w:val="00C8682C"/>
    <w:rsid w:val="00C873C9"/>
    <w:rsid w:val="00C87841"/>
    <w:rsid w:val="00C901B7"/>
    <w:rsid w:val="00C910BF"/>
    <w:rsid w:val="00C91D86"/>
    <w:rsid w:val="00C91E92"/>
    <w:rsid w:val="00C92523"/>
    <w:rsid w:val="00C94883"/>
    <w:rsid w:val="00C949C0"/>
    <w:rsid w:val="00C959D3"/>
    <w:rsid w:val="00C95B26"/>
    <w:rsid w:val="00C95D59"/>
    <w:rsid w:val="00C9630D"/>
    <w:rsid w:val="00C96DFB"/>
    <w:rsid w:val="00C97DA7"/>
    <w:rsid w:val="00CA0426"/>
    <w:rsid w:val="00CA08B4"/>
    <w:rsid w:val="00CA0FCC"/>
    <w:rsid w:val="00CA1366"/>
    <w:rsid w:val="00CA1CA0"/>
    <w:rsid w:val="00CA2028"/>
    <w:rsid w:val="00CA2A55"/>
    <w:rsid w:val="00CA2B4E"/>
    <w:rsid w:val="00CA3192"/>
    <w:rsid w:val="00CA34D0"/>
    <w:rsid w:val="00CA387C"/>
    <w:rsid w:val="00CA3F96"/>
    <w:rsid w:val="00CA5F29"/>
    <w:rsid w:val="00CA6EA6"/>
    <w:rsid w:val="00CB08C3"/>
    <w:rsid w:val="00CB0FE2"/>
    <w:rsid w:val="00CB15BE"/>
    <w:rsid w:val="00CB25F8"/>
    <w:rsid w:val="00CB2F8A"/>
    <w:rsid w:val="00CB4166"/>
    <w:rsid w:val="00CB46D8"/>
    <w:rsid w:val="00CB57EA"/>
    <w:rsid w:val="00CB626D"/>
    <w:rsid w:val="00CB6461"/>
    <w:rsid w:val="00CB6D34"/>
    <w:rsid w:val="00CB6F09"/>
    <w:rsid w:val="00CB7980"/>
    <w:rsid w:val="00CB7A06"/>
    <w:rsid w:val="00CB7F9E"/>
    <w:rsid w:val="00CC04B5"/>
    <w:rsid w:val="00CC04CA"/>
    <w:rsid w:val="00CC0F5A"/>
    <w:rsid w:val="00CC1469"/>
    <w:rsid w:val="00CC1C30"/>
    <w:rsid w:val="00CC2E2D"/>
    <w:rsid w:val="00CC3338"/>
    <w:rsid w:val="00CC4144"/>
    <w:rsid w:val="00CC44E3"/>
    <w:rsid w:val="00CC4E19"/>
    <w:rsid w:val="00CC6540"/>
    <w:rsid w:val="00CC65CF"/>
    <w:rsid w:val="00CC7238"/>
    <w:rsid w:val="00CC72CF"/>
    <w:rsid w:val="00CC74A0"/>
    <w:rsid w:val="00CC7783"/>
    <w:rsid w:val="00CC7A19"/>
    <w:rsid w:val="00CC7FB1"/>
    <w:rsid w:val="00CD006E"/>
    <w:rsid w:val="00CD009B"/>
    <w:rsid w:val="00CD0F32"/>
    <w:rsid w:val="00CD1DF8"/>
    <w:rsid w:val="00CD2982"/>
    <w:rsid w:val="00CD434D"/>
    <w:rsid w:val="00CD51E4"/>
    <w:rsid w:val="00CD52BB"/>
    <w:rsid w:val="00CD53BF"/>
    <w:rsid w:val="00CD577E"/>
    <w:rsid w:val="00CD71A3"/>
    <w:rsid w:val="00CE10A2"/>
    <w:rsid w:val="00CE1B3F"/>
    <w:rsid w:val="00CE354A"/>
    <w:rsid w:val="00CE3C4A"/>
    <w:rsid w:val="00CE430A"/>
    <w:rsid w:val="00CE498D"/>
    <w:rsid w:val="00CE5CA8"/>
    <w:rsid w:val="00CE69B5"/>
    <w:rsid w:val="00CE6D4C"/>
    <w:rsid w:val="00CE72C5"/>
    <w:rsid w:val="00CF1B4A"/>
    <w:rsid w:val="00CF2558"/>
    <w:rsid w:val="00CF2660"/>
    <w:rsid w:val="00CF29AA"/>
    <w:rsid w:val="00CF40A5"/>
    <w:rsid w:val="00CF4E32"/>
    <w:rsid w:val="00CF4EC9"/>
    <w:rsid w:val="00CF4FC9"/>
    <w:rsid w:val="00CF6A3B"/>
    <w:rsid w:val="00CF6C76"/>
    <w:rsid w:val="00CF7124"/>
    <w:rsid w:val="00CF75A1"/>
    <w:rsid w:val="00D00130"/>
    <w:rsid w:val="00D00B86"/>
    <w:rsid w:val="00D011F4"/>
    <w:rsid w:val="00D014BC"/>
    <w:rsid w:val="00D02169"/>
    <w:rsid w:val="00D02FB9"/>
    <w:rsid w:val="00D0350F"/>
    <w:rsid w:val="00D035B9"/>
    <w:rsid w:val="00D0361F"/>
    <w:rsid w:val="00D03747"/>
    <w:rsid w:val="00D03C8B"/>
    <w:rsid w:val="00D03EA5"/>
    <w:rsid w:val="00D04863"/>
    <w:rsid w:val="00D05D17"/>
    <w:rsid w:val="00D060E7"/>
    <w:rsid w:val="00D07469"/>
    <w:rsid w:val="00D1106B"/>
    <w:rsid w:val="00D1205B"/>
    <w:rsid w:val="00D13576"/>
    <w:rsid w:val="00D13E55"/>
    <w:rsid w:val="00D1493C"/>
    <w:rsid w:val="00D14B49"/>
    <w:rsid w:val="00D14F73"/>
    <w:rsid w:val="00D16882"/>
    <w:rsid w:val="00D17618"/>
    <w:rsid w:val="00D17E3B"/>
    <w:rsid w:val="00D207D6"/>
    <w:rsid w:val="00D20C6C"/>
    <w:rsid w:val="00D23072"/>
    <w:rsid w:val="00D23621"/>
    <w:rsid w:val="00D238BB"/>
    <w:rsid w:val="00D23CE5"/>
    <w:rsid w:val="00D2447A"/>
    <w:rsid w:val="00D24518"/>
    <w:rsid w:val="00D24953"/>
    <w:rsid w:val="00D252D0"/>
    <w:rsid w:val="00D259F8"/>
    <w:rsid w:val="00D25C36"/>
    <w:rsid w:val="00D26CC9"/>
    <w:rsid w:val="00D273E1"/>
    <w:rsid w:val="00D30AE6"/>
    <w:rsid w:val="00D32374"/>
    <w:rsid w:val="00D329AE"/>
    <w:rsid w:val="00D329B0"/>
    <w:rsid w:val="00D33048"/>
    <w:rsid w:val="00D33F7F"/>
    <w:rsid w:val="00D343BE"/>
    <w:rsid w:val="00D347E3"/>
    <w:rsid w:val="00D34957"/>
    <w:rsid w:val="00D34B20"/>
    <w:rsid w:val="00D34CEC"/>
    <w:rsid w:val="00D351B6"/>
    <w:rsid w:val="00D35535"/>
    <w:rsid w:val="00D35817"/>
    <w:rsid w:val="00D35977"/>
    <w:rsid w:val="00D35EC0"/>
    <w:rsid w:val="00D37592"/>
    <w:rsid w:val="00D41249"/>
    <w:rsid w:val="00D41673"/>
    <w:rsid w:val="00D41D73"/>
    <w:rsid w:val="00D42096"/>
    <w:rsid w:val="00D4263B"/>
    <w:rsid w:val="00D4301D"/>
    <w:rsid w:val="00D43CF1"/>
    <w:rsid w:val="00D44264"/>
    <w:rsid w:val="00D442F5"/>
    <w:rsid w:val="00D443D5"/>
    <w:rsid w:val="00D45482"/>
    <w:rsid w:val="00D461BF"/>
    <w:rsid w:val="00D46C24"/>
    <w:rsid w:val="00D46FE5"/>
    <w:rsid w:val="00D473B5"/>
    <w:rsid w:val="00D473BF"/>
    <w:rsid w:val="00D474EE"/>
    <w:rsid w:val="00D509C2"/>
    <w:rsid w:val="00D5105B"/>
    <w:rsid w:val="00D51242"/>
    <w:rsid w:val="00D5151F"/>
    <w:rsid w:val="00D516F5"/>
    <w:rsid w:val="00D51AF5"/>
    <w:rsid w:val="00D52A7C"/>
    <w:rsid w:val="00D52FD4"/>
    <w:rsid w:val="00D53023"/>
    <w:rsid w:val="00D54EDC"/>
    <w:rsid w:val="00D55433"/>
    <w:rsid w:val="00D55C01"/>
    <w:rsid w:val="00D5725A"/>
    <w:rsid w:val="00D57A77"/>
    <w:rsid w:val="00D60288"/>
    <w:rsid w:val="00D608E8"/>
    <w:rsid w:val="00D61094"/>
    <w:rsid w:val="00D62226"/>
    <w:rsid w:val="00D62420"/>
    <w:rsid w:val="00D626FA"/>
    <w:rsid w:val="00D627C9"/>
    <w:rsid w:val="00D648E3"/>
    <w:rsid w:val="00D665AA"/>
    <w:rsid w:val="00D668C4"/>
    <w:rsid w:val="00D672AC"/>
    <w:rsid w:val="00D6794A"/>
    <w:rsid w:val="00D67992"/>
    <w:rsid w:val="00D67F91"/>
    <w:rsid w:val="00D703DE"/>
    <w:rsid w:val="00D70CD4"/>
    <w:rsid w:val="00D72838"/>
    <w:rsid w:val="00D729D5"/>
    <w:rsid w:val="00D72AED"/>
    <w:rsid w:val="00D73C37"/>
    <w:rsid w:val="00D743EE"/>
    <w:rsid w:val="00D74417"/>
    <w:rsid w:val="00D745AA"/>
    <w:rsid w:val="00D75A82"/>
    <w:rsid w:val="00D75B95"/>
    <w:rsid w:val="00D75E0B"/>
    <w:rsid w:val="00D75F23"/>
    <w:rsid w:val="00D76206"/>
    <w:rsid w:val="00D76395"/>
    <w:rsid w:val="00D763BC"/>
    <w:rsid w:val="00D7743A"/>
    <w:rsid w:val="00D775DB"/>
    <w:rsid w:val="00D77A59"/>
    <w:rsid w:val="00D77CF2"/>
    <w:rsid w:val="00D80221"/>
    <w:rsid w:val="00D80768"/>
    <w:rsid w:val="00D80BF3"/>
    <w:rsid w:val="00D84C82"/>
    <w:rsid w:val="00D84F87"/>
    <w:rsid w:val="00D85370"/>
    <w:rsid w:val="00D8568A"/>
    <w:rsid w:val="00D85F0E"/>
    <w:rsid w:val="00D87445"/>
    <w:rsid w:val="00D87A17"/>
    <w:rsid w:val="00D87C27"/>
    <w:rsid w:val="00D904FF"/>
    <w:rsid w:val="00D905F1"/>
    <w:rsid w:val="00D911AE"/>
    <w:rsid w:val="00D91738"/>
    <w:rsid w:val="00D91FAE"/>
    <w:rsid w:val="00D9244F"/>
    <w:rsid w:val="00D925E6"/>
    <w:rsid w:val="00D937AB"/>
    <w:rsid w:val="00D9383C"/>
    <w:rsid w:val="00D9385F"/>
    <w:rsid w:val="00D94D65"/>
    <w:rsid w:val="00D959D6"/>
    <w:rsid w:val="00D960C3"/>
    <w:rsid w:val="00D9624B"/>
    <w:rsid w:val="00D96663"/>
    <w:rsid w:val="00D97344"/>
    <w:rsid w:val="00D9763C"/>
    <w:rsid w:val="00D97AE7"/>
    <w:rsid w:val="00D97ED9"/>
    <w:rsid w:val="00D97F87"/>
    <w:rsid w:val="00DA0393"/>
    <w:rsid w:val="00DA04E5"/>
    <w:rsid w:val="00DA1B23"/>
    <w:rsid w:val="00DA1D1C"/>
    <w:rsid w:val="00DA2216"/>
    <w:rsid w:val="00DA3D0B"/>
    <w:rsid w:val="00DA4353"/>
    <w:rsid w:val="00DA4D17"/>
    <w:rsid w:val="00DA5B13"/>
    <w:rsid w:val="00DA64F5"/>
    <w:rsid w:val="00DA673C"/>
    <w:rsid w:val="00DA6760"/>
    <w:rsid w:val="00DA6B30"/>
    <w:rsid w:val="00DA6F60"/>
    <w:rsid w:val="00DA7A12"/>
    <w:rsid w:val="00DB2278"/>
    <w:rsid w:val="00DB2F62"/>
    <w:rsid w:val="00DB3543"/>
    <w:rsid w:val="00DB4710"/>
    <w:rsid w:val="00DB543C"/>
    <w:rsid w:val="00DB58A0"/>
    <w:rsid w:val="00DB5D9F"/>
    <w:rsid w:val="00DB62E8"/>
    <w:rsid w:val="00DB685F"/>
    <w:rsid w:val="00DC0C44"/>
    <w:rsid w:val="00DC133C"/>
    <w:rsid w:val="00DC14A6"/>
    <w:rsid w:val="00DC14C3"/>
    <w:rsid w:val="00DC2520"/>
    <w:rsid w:val="00DC28A5"/>
    <w:rsid w:val="00DC2CEC"/>
    <w:rsid w:val="00DC361F"/>
    <w:rsid w:val="00DC3E75"/>
    <w:rsid w:val="00DC3EBC"/>
    <w:rsid w:val="00DC3F41"/>
    <w:rsid w:val="00DC4CC5"/>
    <w:rsid w:val="00DC52E4"/>
    <w:rsid w:val="00DC5633"/>
    <w:rsid w:val="00DC5F8F"/>
    <w:rsid w:val="00DC6FAA"/>
    <w:rsid w:val="00DD0673"/>
    <w:rsid w:val="00DD086D"/>
    <w:rsid w:val="00DD14B2"/>
    <w:rsid w:val="00DD4E79"/>
    <w:rsid w:val="00DD5382"/>
    <w:rsid w:val="00DD78F6"/>
    <w:rsid w:val="00DE0096"/>
    <w:rsid w:val="00DE04E1"/>
    <w:rsid w:val="00DE096A"/>
    <w:rsid w:val="00DE0C80"/>
    <w:rsid w:val="00DE1EF0"/>
    <w:rsid w:val="00DE258E"/>
    <w:rsid w:val="00DE2AE5"/>
    <w:rsid w:val="00DE2B77"/>
    <w:rsid w:val="00DE3462"/>
    <w:rsid w:val="00DE3739"/>
    <w:rsid w:val="00DE3CE1"/>
    <w:rsid w:val="00DE3F45"/>
    <w:rsid w:val="00DE4921"/>
    <w:rsid w:val="00DE5342"/>
    <w:rsid w:val="00DE6D67"/>
    <w:rsid w:val="00DE6E9A"/>
    <w:rsid w:val="00DE7BE0"/>
    <w:rsid w:val="00DF02AA"/>
    <w:rsid w:val="00DF04B5"/>
    <w:rsid w:val="00DF050A"/>
    <w:rsid w:val="00DF0944"/>
    <w:rsid w:val="00DF0D72"/>
    <w:rsid w:val="00DF1371"/>
    <w:rsid w:val="00DF1429"/>
    <w:rsid w:val="00DF1802"/>
    <w:rsid w:val="00DF1FCA"/>
    <w:rsid w:val="00DF207A"/>
    <w:rsid w:val="00DF2574"/>
    <w:rsid w:val="00DF283B"/>
    <w:rsid w:val="00DF2D26"/>
    <w:rsid w:val="00DF3CE5"/>
    <w:rsid w:val="00DF3D75"/>
    <w:rsid w:val="00DF4CA6"/>
    <w:rsid w:val="00DF4F50"/>
    <w:rsid w:val="00DF600B"/>
    <w:rsid w:val="00DF63AC"/>
    <w:rsid w:val="00DF6AC2"/>
    <w:rsid w:val="00DF7AF1"/>
    <w:rsid w:val="00DF7C9D"/>
    <w:rsid w:val="00DF7DA3"/>
    <w:rsid w:val="00E01895"/>
    <w:rsid w:val="00E01C7F"/>
    <w:rsid w:val="00E02E63"/>
    <w:rsid w:val="00E03707"/>
    <w:rsid w:val="00E03F84"/>
    <w:rsid w:val="00E04326"/>
    <w:rsid w:val="00E05BD2"/>
    <w:rsid w:val="00E06747"/>
    <w:rsid w:val="00E07364"/>
    <w:rsid w:val="00E076CA"/>
    <w:rsid w:val="00E100FE"/>
    <w:rsid w:val="00E106AF"/>
    <w:rsid w:val="00E10D2F"/>
    <w:rsid w:val="00E113C0"/>
    <w:rsid w:val="00E11C8D"/>
    <w:rsid w:val="00E11F0C"/>
    <w:rsid w:val="00E12977"/>
    <w:rsid w:val="00E12B26"/>
    <w:rsid w:val="00E12FEE"/>
    <w:rsid w:val="00E133A5"/>
    <w:rsid w:val="00E13987"/>
    <w:rsid w:val="00E13B66"/>
    <w:rsid w:val="00E14961"/>
    <w:rsid w:val="00E14E6C"/>
    <w:rsid w:val="00E15C56"/>
    <w:rsid w:val="00E162A6"/>
    <w:rsid w:val="00E1647E"/>
    <w:rsid w:val="00E166B6"/>
    <w:rsid w:val="00E16C31"/>
    <w:rsid w:val="00E16C66"/>
    <w:rsid w:val="00E171C8"/>
    <w:rsid w:val="00E17BC2"/>
    <w:rsid w:val="00E17D89"/>
    <w:rsid w:val="00E208D9"/>
    <w:rsid w:val="00E213FC"/>
    <w:rsid w:val="00E2243C"/>
    <w:rsid w:val="00E22B9C"/>
    <w:rsid w:val="00E22DEF"/>
    <w:rsid w:val="00E23463"/>
    <w:rsid w:val="00E23585"/>
    <w:rsid w:val="00E2368C"/>
    <w:rsid w:val="00E23959"/>
    <w:rsid w:val="00E23B07"/>
    <w:rsid w:val="00E24092"/>
    <w:rsid w:val="00E243B4"/>
    <w:rsid w:val="00E2571C"/>
    <w:rsid w:val="00E26072"/>
    <w:rsid w:val="00E26AB3"/>
    <w:rsid w:val="00E278F4"/>
    <w:rsid w:val="00E3205B"/>
    <w:rsid w:val="00E330E1"/>
    <w:rsid w:val="00E33834"/>
    <w:rsid w:val="00E34225"/>
    <w:rsid w:val="00E364F5"/>
    <w:rsid w:val="00E36D5E"/>
    <w:rsid w:val="00E378B9"/>
    <w:rsid w:val="00E37BD0"/>
    <w:rsid w:val="00E40031"/>
    <w:rsid w:val="00E40216"/>
    <w:rsid w:val="00E4044E"/>
    <w:rsid w:val="00E407B6"/>
    <w:rsid w:val="00E413E3"/>
    <w:rsid w:val="00E4141B"/>
    <w:rsid w:val="00E42DB7"/>
    <w:rsid w:val="00E4419C"/>
    <w:rsid w:val="00E442C3"/>
    <w:rsid w:val="00E4496C"/>
    <w:rsid w:val="00E45C00"/>
    <w:rsid w:val="00E46AB5"/>
    <w:rsid w:val="00E5006F"/>
    <w:rsid w:val="00E507A5"/>
    <w:rsid w:val="00E50D5A"/>
    <w:rsid w:val="00E50DCF"/>
    <w:rsid w:val="00E50EA1"/>
    <w:rsid w:val="00E5157F"/>
    <w:rsid w:val="00E5173A"/>
    <w:rsid w:val="00E51E27"/>
    <w:rsid w:val="00E52672"/>
    <w:rsid w:val="00E53F18"/>
    <w:rsid w:val="00E5557C"/>
    <w:rsid w:val="00E55595"/>
    <w:rsid w:val="00E556BA"/>
    <w:rsid w:val="00E55954"/>
    <w:rsid w:val="00E55EAF"/>
    <w:rsid w:val="00E560F8"/>
    <w:rsid w:val="00E56FC7"/>
    <w:rsid w:val="00E57254"/>
    <w:rsid w:val="00E575EE"/>
    <w:rsid w:val="00E57A9A"/>
    <w:rsid w:val="00E57C23"/>
    <w:rsid w:val="00E57E1D"/>
    <w:rsid w:val="00E60783"/>
    <w:rsid w:val="00E60D22"/>
    <w:rsid w:val="00E60D47"/>
    <w:rsid w:val="00E62C52"/>
    <w:rsid w:val="00E63554"/>
    <w:rsid w:val="00E6432E"/>
    <w:rsid w:val="00E64973"/>
    <w:rsid w:val="00E649E4"/>
    <w:rsid w:val="00E666E3"/>
    <w:rsid w:val="00E66FE2"/>
    <w:rsid w:val="00E67061"/>
    <w:rsid w:val="00E7027F"/>
    <w:rsid w:val="00E709B1"/>
    <w:rsid w:val="00E70F4C"/>
    <w:rsid w:val="00E7158E"/>
    <w:rsid w:val="00E71841"/>
    <w:rsid w:val="00E7190E"/>
    <w:rsid w:val="00E7222F"/>
    <w:rsid w:val="00E72B55"/>
    <w:rsid w:val="00E72DD8"/>
    <w:rsid w:val="00E72E7C"/>
    <w:rsid w:val="00E7715A"/>
    <w:rsid w:val="00E80508"/>
    <w:rsid w:val="00E8197A"/>
    <w:rsid w:val="00E82034"/>
    <w:rsid w:val="00E821F7"/>
    <w:rsid w:val="00E8231A"/>
    <w:rsid w:val="00E82572"/>
    <w:rsid w:val="00E827BE"/>
    <w:rsid w:val="00E8292C"/>
    <w:rsid w:val="00E83D1D"/>
    <w:rsid w:val="00E841F9"/>
    <w:rsid w:val="00E84800"/>
    <w:rsid w:val="00E85700"/>
    <w:rsid w:val="00E86911"/>
    <w:rsid w:val="00E91C65"/>
    <w:rsid w:val="00E92751"/>
    <w:rsid w:val="00E92890"/>
    <w:rsid w:val="00E92FA3"/>
    <w:rsid w:val="00E934A3"/>
    <w:rsid w:val="00E94501"/>
    <w:rsid w:val="00E9465F"/>
    <w:rsid w:val="00E95251"/>
    <w:rsid w:val="00E960A8"/>
    <w:rsid w:val="00E967B8"/>
    <w:rsid w:val="00E970F3"/>
    <w:rsid w:val="00E97418"/>
    <w:rsid w:val="00E9751F"/>
    <w:rsid w:val="00E97CBF"/>
    <w:rsid w:val="00EA0331"/>
    <w:rsid w:val="00EA088B"/>
    <w:rsid w:val="00EA0E76"/>
    <w:rsid w:val="00EA18AA"/>
    <w:rsid w:val="00EA2D35"/>
    <w:rsid w:val="00EA5245"/>
    <w:rsid w:val="00EA5B15"/>
    <w:rsid w:val="00EA6059"/>
    <w:rsid w:val="00EA613B"/>
    <w:rsid w:val="00EA629D"/>
    <w:rsid w:val="00EA6A3D"/>
    <w:rsid w:val="00EB0352"/>
    <w:rsid w:val="00EB0858"/>
    <w:rsid w:val="00EB0907"/>
    <w:rsid w:val="00EB0B97"/>
    <w:rsid w:val="00EB0F7F"/>
    <w:rsid w:val="00EB10FA"/>
    <w:rsid w:val="00EB1402"/>
    <w:rsid w:val="00EB17FE"/>
    <w:rsid w:val="00EB22F2"/>
    <w:rsid w:val="00EB23BF"/>
    <w:rsid w:val="00EB279E"/>
    <w:rsid w:val="00EB2EC6"/>
    <w:rsid w:val="00EB341C"/>
    <w:rsid w:val="00EB34E7"/>
    <w:rsid w:val="00EB368C"/>
    <w:rsid w:val="00EB4989"/>
    <w:rsid w:val="00EB5806"/>
    <w:rsid w:val="00EB6E53"/>
    <w:rsid w:val="00EB742D"/>
    <w:rsid w:val="00EB780C"/>
    <w:rsid w:val="00EB7C67"/>
    <w:rsid w:val="00EC1121"/>
    <w:rsid w:val="00EC1277"/>
    <w:rsid w:val="00EC190B"/>
    <w:rsid w:val="00EC19C4"/>
    <w:rsid w:val="00EC20E3"/>
    <w:rsid w:val="00EC216E"/>
    <w:rsid w:val="00EC25EB"/>
    <w:rsid w:val="00EC29DD"/>
    <w:rsid w:val="00EC417A"/>
    <w:rsid w:val="00EC47B6"/>
    <w:rsid w:val="00EC51C2"/>
    <w:rsid w:val="00EC53F9"/>
    <w:rsid w:val="00EC5A0A"/>
    <w:rsid w:val="00EC6819"/>
    <w:rsid w:val="00EC6BC7"/>
    <w:rsid w:val="00ED003C"/>
    <w:rsid w:val="00ED047C"/>
    <w:rsid w:val="00ED13D9"/>
    <w:rsid w:val="00ED17C1"/>
    <w:rsid w:val="00ED194A"/>
    <w:rsid w:val="00ED28C2"/>
    <w:rsid w:val="00ED2AB2"/>
    <w:rsid w:val="00ED3F08"/>
    <w:rsid w:val="00ED5228"/>
    <w:rsid w:val="00ED5BA9"/>
    <w:rsid w:val="00ED61CF"/>
    <w:rsid w:val="00ED6808"/>
    <w:rsid w:val="00EE0DB6"/>
    <w:rsid w:val="00EE2063"/>
    <w:rsid w:val="00EE2538"/>
    <w:rsid w:val="00EE2848"/>
    <w:rsid w:val="00EE4191"/>
    <w:rsid w:val="00EE5F41"/>
    <w:rsid w:val="00EE6D77"/>
    <w:rsid w:val="00EE7B8D"/>
    <w:rsid w:val="00EE7C60"/>
    <w:rsid w:val="00EF0043"/>
    <w:rsid w:val="00EF01DE"/>
    <w:rsid w:val="00EF0780"/>
    <w:rsid w:val="00EF0AD1"/>
    <w:rsid w:val="00EF0B64"/>
    <w:rsid w:val="00EF0BEB"/>
    <w:rsid w:val="00EF0EFE"/>
    <w:rsid w:val="00EF1ECF"/>
    <w:rsid w:val="00EF1EDF"/>
    <w:rsid w:val="00EF2E65"/>
    <w:rsid w:val="00EF34F7"/>
    <w:rsid w:val="00EF3D89"/>
    <w:rsid w:val="00EF5300"/>
    <w:rsid w:val="00EF615B"/>
    <w:rsid w:val="00EF6839"/>
    <w:rsid w:val="00EF6974"/>
    <w:rsid w:val="00EF713E"/>
    <w:rsid w:val="00F0136E"/>
    <w:rsid w:val="00F021A1"/>
    <w:rsid w:val="00F04319"/>
    <w:rsid w:val="00F05273"/>
    <w:rsid w:val="00F05552"/>
    <w:rsid w:val="00F056D6"/>
    <w:rsid w:val="00F06A07"/>
    <w:rsid w:val="00F07D62"/>
    <w:rsid w:val="00F07ED5"/>
    <w:rsid w:val="00F120A8"/>
    <w:rsid w:val="00F1293F"/>
    <w:rsid w:val="00F12ADA"/>
    <w:rsid w:val="00F133F4"/>
    <w:rsid w:val="00F15160"/>
    <w:rsid w:val="00F154A2"/>
    <w:rsid w:val="00F15D09"/>
    <w:rsid w:val="00F16038"/>
    <w:rsid w:val="00F1648C"/>
    <w:rsid w:val="00F17110"/>
    <w:rsid w:val="00F178BE"/>
    <w:rsid w:val="00F17BD2"/>
    <w:rsid w:val="00F20CEC"/>
    <w:rsid w:val="00F22200"/>
    <w:rsid w:val="00F22829"/>
    <w:rsid w:val="00F22ADE"/>
    <w:rsid w:val="00F2340D"/>
    <w:rsid w:val="00F23F5E"/>
    <w:rsid w:val="00F245B3"/>
    <w:rsid w:val="00F24DBA"/>
    <w:rsid w:val="00F25366"/>
    <w:rsid w:val="00F25663"/>
    <w:rsid w:val="00F257B9"/>
    <w:rsid w:val="00F25A6D"/>
    <w:rsid w:val="00F25FA2"/>
    <w:rsid w:val="00F269FF"/>
    <w:rsid w:val="00F26C29"/>
    <w:rsid w:val="00F274CF"/>
    <w:rsid w:val="00F30273"/>
    <w:rsid w:val="00F30287"/>
    <w:rsid w:val="00F31DE6"/>
    <w:rsid w:val="00F31FCA"/>
    <w:rsid w:val="00F3202F"/>
    <w:rsid w:val="00F32CE8"/>
    <w:rsid w:val="00F33208"/>
    <w:rsid w:val="00F3392E"/>
    <w:rsid w:val="00F33E4E"/>
    <w:rsid w:val="00F34EAF"/>
    <w:rsid w:val="00F35624"/>
    <w:rsid w:val="00F35AD2"/>
    <w:rsid w:val="00F371A2"/>
    <w:rsid w:val="00F377DC"/>
    <w:rsid w:val="00F378B8"/>
    <w:rsid w:val="00F37B34"/>
    <w:rsid w:val="00F37F79"/>
    <w:rsid w:val="00F4048C"/>
    <w:rsid w:val="00F40870"/>
    <w:rsid w:val="00F428D0"/>
    <w:rsid w:val="00F42A36"/>
    <w:rsid w:val="00F432F1"/>
    <w:rsid w:val="00F44F75"/>
    <w:rsid w:val="00F454CE"/>
    <w:rsid w:val="00F500F4"/>
    <w:rsid w:val="00F50F95"/>
    <w:rsid w:val="00F520B4"/>
    <w:rsid w:val="00F529D2"/>
    <w:rsid w:val="00F52FEC"/>
    <w:rsid w:val="00F53C55"/>
    <w:rsid w:val="00F53E02"/>
    <w:rsid w:val="00F54BB1"/>
    <w:rsid w:val="00F54DE6"/>
    <w:rsid w:val="00F552D4"/>
    <w:rsid w:val="00F557CF"/>
    <w:rsid w:val="00F566D4"/>
    <w:rsid w:val="00F56ADF"/>
    <w:rsid w:val="00F56BFC"/>
    <w:rsid w:val="00F57E0E"/>
    <w:rsid w:val="00F60E3B"/>
    <w:rsid w:val="00F61427"/>
    <w:rsid w:val="00F61627"/>
    <w:rsid w:val="00F61BD2"/>
    <w:rsid w:val="00F6203F"/>
    <w:rsid w:val="00F632B7"/>
    <w:rsid w:val="00F6361A"/>
    <w:rsid w:val="00F63D24"/>
    <w:rsid w:val="00F641F2"/>
    <w:rsid w:val="00F644CC"/>
    <w:rsid w:val="00F65154"/>
    <w:rsid w:val="00F655A9"/>
    <w:rsid w:val="00F659BC"/>
    <w:rsid w:val="00F65B94"/>
    <w:rsid w:val="00F66999"/>
    <w:rsid w:val="00F674CC"/>
    <w:rsid w:val="00F67DE1"/>
    <w:rsid w:val="00F720A0"/>
    <w:rsid w:val="00F734FD"/>
    <w:rsid w:val="00F742DF"/>
    <w:rsid w:val="00F744B4"/>
    <w:rsid w:val="00F7461F"/>
    <w:rsid w:val="00F76B45"/>
    <w:rsid w:val="00F76E95"/>
    <w:rsid w:val="00F77120"/>
    <w:rsid w:val="00F77202"/>
    <w:rsid w:val="00F772F6"/>
    <w:rsid w:val="00F77F4F"/>
    <w:rsid w:val="00F800BB"/>
    <w:rsid w:val="00F81172"/>
    <w:rsid w:val="00F8123F"/>
    <w:rsid w:val="00F83B03"/>
    <w:rsid w:val="00F83DB5"/>
    <w:rsid w:val="00F84384"/>
    <w:rsid w:val="00F850B1"/>
    <w:rsid w:val="00F852E0"/>
    <w:rsid w:val="00F856DA"/>
    <w:rsid w:val="00F86052"/>
    <w:rsid w:val="00F8606D"/>
    <w:rsid w:val="00F8722A"/>
    <w:rsid w:val="00F876FF"/>
    <w:rsid w:val="00F87948"/>
    <w:rsid w:val="00F9045A"/>
    <w:rsid w:val="00F90F34"/>
    <w:rsid w:val="00F910B2"/>
    <w:rsid w:val="00F916B0"/>
    <w:rsid w:val="00F91CB0"/>
    <w:rsid w:val="00F92036"/>
    <w:rsid w:val="00F9208B"/>
    <w:rsid w:val="00F92B8E"/>
    <w:rsid w:val="00F93417"/>
    <w:rsid w:val="00F9349F"/>
    <w:rsid w:val="00F94F54"/>
    <w:rsid w:val="00F950D1"/>
    <w:rsid w:val="00F95133"/>
    <w:rsid w:val="00F953DE"/>
    <w:rsid w:val="00F95847"/>
    <w:rsid w:val="00F96184"/>
    <w:rsid w:val="00F96BED"/>
    <w:rsid w:val="00F97ACA"/>
    <w:rsid w:val="00FA0C49"/>
    <w:rsid w:val="00FA0D34"/>
    <w:rsid w:val="00FA18E6"/>
    <w:rsid w:val="00FA2B02"/>
    <w:rsid w:val="00FA2C15"/>
    <w:rsid w:val="00FA4CD1"/>
    <w:rsid w:val="00FA51D2"/>
    <w:rsid w:val="00FA54A2"/>
    <w:rsid w:val="00FA59C2"/>
    <w:rsid w:val="00FA5DDF"/>
    <w:rsid w:val="00FA6CBA"/>
    <w:rsid w:val="00FA76C4"/>
    <w:rsid w:val="00FB0847"/>
    <w:rsid w:val="00FB1179"/>
    <w:rsid w:val="00FB17EB"/>
    <w:rsid w:val="00FB27B2"/>
    <w:rsid w:val="00FB3C9B"/>
    <w:rsid w:val="00FB44E5"/>
    <w:rsid w:val="00FB46AF"/>
    <w:rsid w:val="00FB5657"/>
    <w:rsid w:val="00FB629D"/>
    <w:rsid w:val="00FB6390"/>
    <w:rsid w:val="00FB685B"/>
    <w:rsid w:val="00FB6DDB"/>
    <w:rsid w:val="00FB7045"/>
    <w:rsid w:val="00FB781C"/>
    <w:rsid w:val="00FB7AB1"/>
    <w:rsid w:val="00FB7E6C"/>
    <w:rsid w:val="00FB7FD1"/>
    <w:rsid w:val="00FC0756"/>
    <w:rsid w:val="00FC08DB"/>
    <w:rsid w:val="00FC22B2"/>
    <w:rsid w:val="00FC2C08"/>
    <w:rsid w:val="00FC3161"/>
    <w:rsid w:val="00FC4362"/>
    <w:rsid w:val="00FC54C5"/>
    <w:rsid w:val="00FC6C4F"/>
    <w:rsid w:val="00FC7BBA"/>
    <w:rsid w:val="00FC7D1C"/>
    <w:rsid w:val="00FD00D2"/>
    <w:rsid w:val="00FD01DC"/>
    <w:rsid w:val="00FD0D6F"/>
    <w:rsid w:val="00FD1663"/>
    <w:rsid w:val="00FD1C2B"/>
    <w:rsid w:val="00FD1C90"/>
    <w:rsid w:val="00FD3000"/>
    <w:rsid w:val="00FD3AB3"/>
    <w:rsid w:val="00FD5109"/>
    <w:rsid w:val="00FD623B"/>
    <w:rsid w:val="00FD660B"/>
    <w:rsid w:val="00FD665C"/>
    <w:rsid w:val="00FD7311"/>
    <w:rsid w:val="00FE106F"/>
    <w:rsid w:val="00FE1158"/>
    <w:rsid w:val="00FE12FB"/>
    <w:rsid w:val="00FE1534"/>
    <w:rsid w:val="00FE19B6"/>
    <w:rsid w:val="00FE246A"/>
    <w:rsid w:val="00FE2487"/>
    <w:rsid w:val="00FE2CCD"/>
    <w:rsid w:val="00FE2F60"/>
    <w:rsid w:val="00FE5BC0"/>
    <w:rsid w:val="00FE5E53"/>
    <w:rsid w:val="00FE5F0B"/>
    <w:rsid w:val="00FE63B5"/>
    <w:rsid w:val="00FE6C8C"/>
    <w:rsid w:val="00FE76A8"/>
    <w:rsid w:val="00FE771A"/>
    <w:rsid w:val="00FE7E47"/>
    <w:rsid w:val="00FF00B0"/>
    <w:rsid w:val="00FF040B"/>
    <w:rsid w:val="00FF0DA0"/>
    <w:rsid w:val="00FF100D"/>
    <w:rsid w:val="00FF1A6F"/>
    <w:rsid w:val="00FF1BD4"/>
    <w:rsid w:val="00FF1DA0"/>
    <w:rsid w:val="00FF26A1"/>
    <w:rsid w:val="00FF33B3"/>
    <w:rsid w:val="00FF4514"/>
    <w:rsid w:val="00FF4E47"/>
    <w:rsid w:val="00FF5D17"/>
    <w:rsid w:val="00FF5DDC"/>
    <w:rsid w:val="00FF7668"/>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41"/>
    <o:shapelayout v:ext="edit">
      <o:idmap v:ext="edit" data="1"/>
    </o:shapelayout>
  </w:shapeDefaults>
  <w:decimalSymbol w:val="."/>
  <w:listSeparator w:val=","/>
  <w14:docId w14:val="3363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2FB9"/>
    <w:pPr>
      <w:widowControl w:val="0"/>
      <w:autoSpaceDE w:val="0"/>
      <w:autoSpaceDN w:val="0"/>
      <w:adjustRightInd w:val="0"/>
    </w:pPr>
    <w:rPr>
      <w:sz w:val="26"/>
      <w:szCs w:val="24"/>
    </w:rPr>
  </w:style>
  <w:style w:type="paragraph" w:styleId="Heading1">
    <w:name w:val="heading 1"/>
    <w:basedOn w:val="Normal"/>
    <w:next w:val="FERCparanumber"/>
    <w:qFormat/>
    <w:rsid w:val="00604BA9"/>
    <w:pPr>
      <w:keepNext/>
      <w:keepLines/>
      <w:widowControl/>
      <w:numPr>
        <w:numId w:val="23"/>
      </w:numPr>
      <w:spacing w:after="260"/>
      <w:outlineLvl w:val="0"/>
    </w:pPr>
    <w:rPr>
      <w:b/>
      <w:bCs/>
      <w:kern w:val="32"/>
      <w:szCs w:val="32"/>
      <w:u w:val="single"/>
    </w:rPr>
  </w:style>
  <w:style w:type="paragraph" w:styleId="Heading2">
    <w:name w:val="heading 2"/>
    <w:basedOn w:val="Normal"/>
    <w:next w:val="FERCparanumber"/>
    <w:qFormat/>
    <w:rsid w:val="00604BA9"/>
    <w:pPr>
      <w:keepNext/>
      <w:keepLines/>
      <w:widowControl/>
      <w:numPr>
        <w:ilvl w:val="1"/>
        <w:numId w:val="23"/>
      </w:numPr>
      <w:spacing w:after="260"/>
      <w:outlineLvl w:val="1"/>
    </w:pPr>
    <w:rPr>
      <w:b/>
      <w:bCs/>
      <w:iCs/>
      <w:kern w:val="32"/>
      <w:szCs w:val="28"/>
      <w:u w:val="single"/>
    </w:rPr>
  </w:style>
  <w:style w:type="paragraph" w:styleId="Heading3">
    <w:name w:val="heading 3"/>
    <w:basedOn w:val="Normal"/>
    <w:next w:val="FERCparanumber"/>
    <w:qFormat/>
    <w:rsid w:val="00604BA9"/>
    <w:pPr>
      <w:keepNext/>
      <w:keepLines/>
      <w:widowControl/>
      <w:numPr>
        <w:ilvl w:val="2"/>
        <w:numId w:val="23"/>
      </w:numPr>
      <w:spacing w:after="260"/>
      <w:outlineLvl w:val="2"/>
    </w:pPr>
    <w:rPr>
      <w:b/>
      <w:bCs/>
      <w:kern w:val="32"/>
      <w:szCs w:val="26"/>
      <w:u w:val="single"/>
    </w:rPr>
  </w:style>
  <w:style w:type="paragraph" w:styleId="Heading4">
    <w:name w:val="heading 4"/>
    <w:basedOn w:val="Normal"/>
    <w:next w:val="FERCparanumber"/>
    <w:qFormat/>
    <w:rsid w:val="00604BA9"/>
    <w:pPr>
      <w:keepNext/>
      <w:keepLines/>
      <w:widowControl/>
      <w:numPr>
        <w:ilvl w:val="3"/>
        <w:numId w:val="23"/>
      </w:numPr>
      <w:spacing w:after="260"/>
      <w:outlineLvl w:val="3"/>
    </w:pPr>
    <w:rPr>
      <w:b/>
      <w:bCs/>
      <w:kern w:val="32"/>
      <w:szCs w:val="28"/>
      <w:u w:val="single"/>
    </w:rPr>
  </w:style>
  <w:style w:type="paragraph" w:styleId="Heading5">
    <w:name w:val="heading 5"/>
    <w:basedOn w:val="Normal"/>
    <w:next w:val="FERCparanumber"/>
    <w:qFormat/>
    <w:rsid w:val="00604BA9"/>
    <w:pPr>
      <w:keepNext/>
      <w:keepLines/>
      <w:widowControl/>
      <w:numPr>
        <w:ilvl w:val="4"/>
        <w:numId w:val="23"/>
      </w:numPr>
      <w:spacing w:after="260"/>
      <w:outlineLvl w:val="4"/>
    </w:pPr>
    <w:rPr>
      <w:b/>
      <w:bCs/>
      <w:iCs/>
      <w:kern w:val="32"/>
      <w:szCs w:val="26"/>
      <w:u w:val="single"/>
    </w:rPr>
  </w:style>
  <w:style w:type="paragraph" w:styleId="Heading6">
    <w:name w:val="heading 6"/>
    <w:basedOn w:val="Normal"/>
    <w:next w:val="FERCparanumber"/>
    <w:qFormat/>
    <w:rsid w:val="00604BA9"/>
    <w:pPr>
      <w:keepNext/>
      <w:keepLines/>
      <w:widowControl/>
      <w:numPr>
        <w:ilvl w:val="5"/>
        <w:numId w:val="23"/>
      </w:numPr>
      <w:spacing w:after="260"/>
      <w:outlineLvl w:val="5"/>
    </w:pPr>
    <w:rPr>
      <w:b/>
      <w:bCs/>
      <w:kern w:val="32"/>
      <w:szCs w:val="22"/>
      <w:u w:val="single"/>
    </w:rPr>
  </w:style>
  <w:style w:type="paragraph" w:styleId="Heading7">
    <w:name w:val="heading 7"/>
    <w:basedOn w:val="Normal"/>
    <w:next w:val="FERCparanumber"/>
    <w:qFormat/>
    <w:rsid w:val="00604BA9"/>
    <w:pPr>
      <w:numPr>
        <w:ilvl w:val="6"/>
        <w:numId w:val="23"/>
      </w:numPr>
      <w:spacing w:after="260"/>
      <w:outlineLvl w:val="6"/>
    </w:pPr>
    <w:rPr>
      <w:b/>
      <w:kern w:val="32"/>
      <w:u w:val="single"/>
    </w:rPr>
  </w:style>
  <w:style w:type="paragraph" w:styleId="Heading8">
    <w:name w:val="heading 8"/>
    <w:basedOn w:val="Normal"/>
    <w:next w:val="FERCparanumber"/>
    <w:qFormat/>
    <w:rsid w:val="00604BA9"/>
    <w:pPr>
      <w:keepNext/>
      <w:keepLines/>
      <w:widowControl/>
      <w:numPr>
        <w:ilvl w:val="7"/>
        <w:numId w:val="23"/>
      </w:numPr>
      <w:spacing w:after="260"/>
      <w:outlineLvl w:val="7"/>
    </w:pPr>
    <w:rPr>
      <w:b/>
      <w:iCs/>
      <w:kern w:val="32"/>
      <w:u w:val="single"/>
    </w:rPr>
  </w:style>
  <w:style w:type="paragraph" w:styleId="Heading9">
    <w:name w:val="heading 9"/>
    <w:basedOn w:val="Normal"/>
    <w:next w:val="FERCparanumber"/>
    <w:qFormat/>
    <w:rsid w:val="00604BA9"/>
    <w:pPr>
      <w:keepNext/>
      <w:keepLines/>
      <w:widowControl/>
      <w:numPr>
        <w:ilvl w:val="8"/>
        <w:numId w:val="23"/>
      </w:numPr>
      <w:spacing w:after="260"/>
      <w:outlineLvl w:val="8"/>
    </w:pPr>
    <w:rPr>
      <w:b/>
      <w:kern w:val="3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02FB9"/>
    <w:rPr>
      <w:rFonts w:ascii="Tahoma" w:hAnsi="Tahoma" w:cs="Tahoma"/>
      <w:sz w:val="16"/>
      <w:szCs w:val="16"/>
    </w:rPr>
  </w:style>
  <w:style w:type="paragraph" w:customStyle="1" w:styleId="BlockIndent">
    <w:name w:val="Block Indent"/>
    <w:basedOn w:val="Normal"/>
    <w:next w:val="Normal"/>
    <w:rsid w:val="00D02FB9"/>
    <w:pPr>
      <w:widowControl/>
      <w:spacing w:after="240"/>
      <w:ind w:left="1440" w:right="1440"/>
    </w:pPr>
  </w:style>
  <w:style w:type="paragraph" w:styleId="BlockText">
    <w:name w:val="Block Text"/>
    <w:basedOn w:val="Normal"/>
    <w:rsid w:val="00D02FB9"/>
    <w:pPr>
      <w:spacing w:after="120"/>
      <w:ind w:left="1440" w:right="1440"/>
    </w:p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iPriority w:val="99"/>
    <w:qFormat/>
    <w:rsid w:val="00D02FB9"/>
    <w:pPr>
      <w:spacing w:after="240"/>
      <w:ind w:firstLine="720"/>
    </w:pPr>
    <w:rPr>
      <w:szCs w:val="20"/>
    </w:rPr>
  </w:style>
  <w:style w:type="paragraph" w:customStyle="1" w:styleId="BodyFootnote">
    <w:name w:val="Body Footnote"/>
    <w:basedOn w:val="FootnoteText"/>
    <w:rsid w:val="00D02FB9"/>
    <w:rPr>
      <w:szCs w:val="26"/>
    </w:rPr>
  </w:style>
  <w:style w:type="paragraph" w:styleId="BodyText">
    <w:name w:val="Body Text"/>
    <w:basedOn w:val="Normal"/>
    <w:rsid w:val="00D02FB9"/>
    <w:pPr>
      <w:spacing w:after="120"/>
    </w:pPr>
  </w:style>
  <w:style w:type="paragraph" w:styleId="BodyText2">
    <w:name w:val="Body Text 2"/>
    <w:basedOn w:val="Normal"/>
    <w:rsid w:val="00D02FB9"/>
    <w:pPr>
      <w:spacing w:after="120" w:line="480" w:lineRule="auto"/>
    </w:pPr>
  </w:style>
  <w:style w:type="paragraph" w:styleId="BodyText3">
    <w:name w:val="Body Text 3"/>
    <w:basedOn w:val="Normal"/>
    <w:rsid w:val="00D02FB9"/>
    <w:pPr>
      <w:spacing w:after="120"/>
    </w:pPr>
    <w:rPr>
      <w:sz w:val="16"/>
      <w:szCs w:val="16"/>
    </w:rPr>
  </w:style>
  <w:style w:type="paragraph" w:styleId="BodyTextFirstIndent">
    <w:name w:val="Body Text First Indent"/>
    <w:basedOn w:val="BodyText"/>
    <w:rsid w:val="00D02FB9"/>
    <w:pPr>
      <w:ind w:firstLine="210"/>
    </w:pPr>
  </w:style>
  <w:style w:type="paragraph" w:styleId="BodyTextIndent">
    <w:name w:val="Body Text Indent"/>
    <w:basedOn w:val="Normal"/>
    <w:rsid w:val="00D02FB9"/>
    <w:pPr>
      <w:spacing w:after="120"/>
      <w:ind w:left="360"/>
    </w:pPr>
  </w:style>
  <w:style w:type="paragraph" w:styleId="BodyTextFirstIndent2">
    <w:name w:val="Body Text First Indent 2"/>
    <w:basedOn w:val="BodyTextIndent"/>
    <w:rsid w:val="00D02FB9"/>
    <w:pPr>
      <w:ind w:firstLine="210"/>
    </w:pPr>
  </w:style>
  <w:style w:type="paragraph" w:styleId="BodyTextIndent2">
    <w:name w:val="Body Text Indent 2"/>
    <w:basedOn w:val="Normal"/>
    <w:rsid w:val="00D02FB9"/>
    <w:pPr>
      <w:spacing w:after="120" w:line="480" w:lineRule="auto"/>
      <w:ind w:left="360"/>
    </w:pPr>
  </w:style>
  <w:style w:type="paragraph" w:styleId="BodyTextIndent3">
    <w:name w:val="Body Text Indent 3"/>
    <w:basedOn w:val="Normal"/>
    <w:rsid w:val="00D02FB9"/>
    <w:pPr>
      <w:spacing w:after="120"/>
      <w:ind w:left="360"/>
    </w:pPr>
    <w:rPr>
      <w:sz w:val="16"/>
      <w:szCs w:val="16"/>
    </w:rPr>
  </w:style>
  <w:style w:type="paragraph" w:styleId="Caption">
    <w:name w:val="caption"/>
    <w:basedOn w:val="Normal"/>
    <w:next w:val="Normal"/>
    <w:qFormat/>
    <w:rsid w:val="00D02FB9"/>
    <w:pPr>
      <w:spacing w:before="120" w:after="120"/>
    </w:pPr>
    <w:rPr>
      <w:b/>
      <w:bCs/>
      <w:sz w:val="20"/>
      <w:szCs w:val="20"/>
    </w:rPr>
  </w:style>
  <w:style w:type="paragraph" w:styleId="Closing">
    <w:name w:val="Closing"/>
    <w:basedOn w:val="Normal"/>
    <w:rsid w:val="00D02FB9"/>
    <w:pPr>
      <w:ind w:left="4320"/>
    </w:pPr>
  </w:style>
  <w:style w:type="paragraph" w:styleId="CommentText">
    <w:name w:val="annotation text"/>
    <w:basedOn w:val="Normal"/>
    <w:semiHidden/>
    <w:rsid w:val="00D02FB9"/>
    <w:rPr>
      <w:sz w:val="20"/>
      <w:szCs w:val="20"/>
    </w:rPr>
  </w:style>
  <w:style w:type="paragraph" w:styleId="CommentSubject">
    <w:name w:val="annotation subject"/>
    <w:basedOn w:val="CommentText"/>
    <w:next w:val="CommentText"/>
    <w:semiHidden/>
    <w:rsid w:val="00D02FB9"/>
    <w:rPr>
      <w:b/>
      <w:bCs/>
    </w:rPr>
  </w:style>
  <w:style w:type="paragraph" w:styleId="Date">
    <w:name w:val="Date"/>
    <w:basedOn w:val="Normal"/>
    <w:next w:val="Normal"/>
    <w:rsid w:val="00D02FB9"/>
  </w:style>
  <w:style w:type="paragraph" w:styleId="DocumentMap">
    <w:name w:val="Document Map"/>
    <w:basedOn w:val="Normal"/>
    <w:semiHidden/>
    <w:rsid w:val="00D02FB9"/>
    <w:pPr>
      <w:shd w:val="clear" w:color="auto" w:fill="000080"/>
    </w:pPr>
    <w:rPr>
      <w:rFonts w:ascii="Tahoma" w:hAnsi="Tahoma" w:cs="Tahoma"/>
    </w:rPr>
  </w:style>
  <w:style w:type="paragraph" w:styleId="E-mailSignature">
    <w:name w:val="E-mail Signature"/>
    <w:basedOn w:val="Normal"/>
    <w:rsid w:val="00D02FB9"/>
  </w:style>
  <w:style w:type="paragraph" w:styleId="EndnoteText">
    <w:name w:val="endnote text"/>
    <w:basedOn w:val="Normal"/>
    <w:semiHidden/>
    <w:rsid w:val="00D02FB9"/>
    <w:rPr>
      <w:sz w:val="20"/>
      <w:szCs w:val="20"/>
    </w:rPr>
  </w:style>
  <w:style w:type="paragraph" w:styleId="EnvelopeAddress">
    <w:name w:val="envelope address"/>
    <w:basedOn w:val="Normal"/>
    <w:rsid w:val="00D02FB9"/>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D02FB9"/>
    <w:rPr>
      <w:rFonts w:ascii="Arial" w:hAnsi="Arial" w:cs="Arial"/>
      <w:sz w:val="20"/>
      <w:szCs w:val="20"/>
    </w:rPr>
  </w:style>
  <w:style w:type="paragraph" w:customStyle="1" w:styleId="FERCparanumber">
    <w:name w:val="FERC paranumber"/>
    <w:basedOn w:val="Normal"/>
    <w:link w:val="FERCparanumberChar1"/>
    <w:qFormat/>
    <w:rsid w:val="00D02FB9"/>
    <w:pPr>
      <w:widowControl/>
      <w:numPr>
        <w:numId w:val="1"/>
      </w:numPr>
      <w:spacing w:line="480" w:lineRule="auto"/>
    </w:pPr>
  </w:style>
  <w:style w:type="paragraph" w:styleId="Footer">
    <w:name w:val="footer"/>
    <w:basedOn w:val="Normal"/>
    <w:link w:val="FooterChar"/>
    <w:uiPriority w:val="99"/>
    <w:rsid w:val="00D02FB9"/>
    <w:pPr>
      <w:tabs>
        <w:tab w:val="center" w:pos="4320"/>
        <w:tab w:val="right" w:pos="8640"/>
      </w:tabs>
    </w:p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uiPriority w:val="99"/>
    <w:qFormat/>
    <w:rsid w:val="00D02FB9"/>
    <w:rPr>
      <w:rFonts w:ascii="Times New Roman" w:hAnsi="Times New Roman"/>
      <w:b/>
      <w:dstrike w:val="0"/>
      <w:sz w:val="26"/>
      <w:szCs w:val="26"/>
      <w:vertAlign w:val="superscript"/>
    </w:rPr>
  </w:style>
  <w:style w:type="paragraph" w:styleId="Header">
    <w:name w:val="header"/>
    <w:basedOn w:val="Normal"/>
    <w:link w:val="HeaderChar"/>
    <w:uiPriority w:val="99"/>
    <w:rsid w:val="00D02FB9"/>
    <w:pPr>
      <w:tabs>
        <w:tab w:val="right" w:pos="8640"/>
      </w:tabs>
      <w:spacing w:after="120"/>
    </w:pPr>
  </w:style>
  <w:style w:type="paragraph" w:styleId="HTMLAddress">
    <w:name w:val="HTML Address"/>
    <w:basedOn w:val="Normal"/>
    <w:rsid w:val="00D02FB9"/>
    <w:rPr>
      <w:i/>
      <w:iCs/>
    </w:rPr>
  </w:style>
  <w:style w:type="paragraph" w:styleId="HTMLPreformatted">
    <w:name w:val="HTML Preformatted"/>
    <w:basedOn w:val="Normal"/>
    <w:rsid w:val="00D02FB9"/>
    <w:rPr>
      <w:rFonts w:ascii="Courier New" w:hAnsi="Courier New" w:cs="Courier New"/>
      <w:sz w:val="20"/>
      <w:szCs w:val="20"/>
    </w:rPr>
  </w:style>
  <w:style w:type="paragraph" w:styleId="Index1">
    <w:name w:val="index 1"/>
    <w:basedOn w:val="Normal"/>
    <w:next w:val="Normal"/>
    <w:semiHidden/>
    <w:rsid w:val="00D02FB9"/>
    <w:pPr>
      <w:ind w:left="260" w:hanging="260"/>
    </w:pPr>
  </w:style>
  <w:style w:type="paragraph" w:styleId="Index2">
    <w:name w:val="index 2"/>
    <w:basedOn w:val="Normal"/>
    <w:next w:val="Normal"/>
    <w:semiHidden/>
    <w:rsid w:val="00D02FB9"/>
    <w:pPr>
      <w:ind w:left="520" w:hanging="260"/>
    </w:pPr>
  </w:style>
  <w:style w:type="paragraph" w:styleId="Index3">
    <w:name w:val="index 3"/>
    <w:basedOn w:val="Normal"/>
    <w:next w:val="Normal"/>
    <w:semiHidden/>
    <w:rsid w:val="00D02FB9"/>
    <w:pPr>
      <w:ind w:left="780" w:hanging="260"/>
    </w:pPr>
  </w:style>
  <w:style w:type="paragraph" w:styleId="Index4">
    <w:name w:val="index 4"/>
    <w:basedOn w:val="Normal"/>
    <w:next w:val="Normal"/>
    <w:semiHidden/>
    <w:rsid w:val="00D02FB9"/>
    <w:pPr>
      <w:ind w:left="1040" w:hanging="260"/>
    </w:pPr>
  </w:style>
  <w:style w:type="paragraph" w:styleId="Index5">
    <w:name w:val="index 5"/>
    <w:basedOn w:val="Normal"/>
    <w:next w:val="Normal"/>
    <w:semiHidden/>
    <w:rsid w:val="00D02FB9"/>
    <w:pPr>
      <w:ind w:left="1300" w:hanging="260"/>
    </w:pPr>
  </w:style>
  <w:style w:type="paragraph" w:styleId="Index6">
    <w:name w:val="index 6"/>
    <w:basedOn w:val="Normal"/>
    <w:next w:val="Normal"/>
    <w:semiHidden/>
    <w:rsid w:val="00D02FB9"/>
    <w:pPr>
      <w:ind w:left="1560" w:hanging="260"/>
    </w:pPr>
  </w:style>
  <w:style w:type="paragraph" w:styleId="Index7">
    <w:name w:val="index 7"/>
    <w:basedOn w:val="Normal"/>
    <w:next w:val="Normal"/>
    <w:semiHidden/>
    <w:rsid w:val="00D02FB9"/>
    <w:pPr>
      <w:ind w:left="1820" w:hanging="260"/>
    </w:pPr>
  </w:style>
  <w:style w:type="paragraph" w:styleId="Index8">
    <w:name w:val="index 8"/>
    <w:basedOn w:val="Normal"/>
    <w:next w:val="Normal"/>
    <w:semiHidden/>
    <w:rsid w:val="00D02FB9"/>
    <w:pPr>
      <w:ind w:left="2080" w:hanging="260"/>
    </w:pPr>
  </w:style>
  <w:style w:type="paragraph" w:styleId="Index9">
    <w:name w:val="index 9"/>
    <w:basedOn w:val="Normal"/>
    <w:next w:val="Normal"/>
    <w:semiHidden/>
    <w:rsid w:val="00D02FB9"/>
    <w:pPr>
      <w:ind w:left="2340" w:hanging="260"/>
    </w:pPr>
  </w:style>
  <w:style w:type="paragraph" w:styleId="IndexHeading">
    <w:name w:val="index heading"/>
    <w:basedOn w:val="Normal"/>
    <w:next w:val="Index1"/>
    <w:semiHidden/>
    <w:rsid w:val="00D02FB9"/>
    <w:rPr>
      <w:rFonts w:ascii="Arial" w:hAnsi="Arial" w:cs="Arial"/>
      <w:b/>
      <w:bCs/>
    </w:rPr>
  </w:style>
  <w:style w:type="paragraph" w:styleId="List">
    <w:name w:val="List"/>
    <w:basedOn w:val="Normal"/>
    <w:rsid w:val="00D02FB9"/>
    <w:pPr>
      <w:ind w:left="360" w:hanging="360"/>
    </w:pPr>
  </w:style>
  <w:style w:type="paragraph" w:styleId="List2">
    <w:name w:val="List 2"/>
    <w:basedOn w:val="Normal"/>
    <w:rsid w:val="00D02FB9"/>
    <w:pPr>
      <w:ind w:left="720" w:hanging="360"/>
    </w:pPr>
  </w:style>
  <w:style w:type="paragraph" w:styleId="List3">
    <w:name w:val="List 3"/>
    <w:basedOn w:val="Normal"/>
    <w:rsid w:val="00D02FB9"/>
    <w:pPr>
      <w:ind w:left="1080" w:hanging="360"/>
    </w:pPr>
  </w:style>
  <w:style w:type="paragraph" w:styleId="List4">
    <w:name w:val="List 4"/>
    <w:basedOn w:val="Normal"/>
    <w:rsid w:val="00D02FB9"/>
    <w:pPr>
      <w:ind w:left="1440" w:hanging="360"/>
    </w:pPr>
  </w:style>
  <w:style w:type="paragraph" w:styleId="List5">
    <w:name w:val="List 5"/>
    <w:basedOn w:val="Normal"/>
    <w:rsid w:val="00D02FB9"/>
    <w:pPr>
      <w:ind w:left="1800" w:hanging="360"/>
    </w:pPr>
  </w:style>
  <w:style w:type="paragraph" w:styleId="ListBullet">
    <w:name w:val="List Bullet"/>
    <w:basedOn w:val="Normal"/>
    <w:rsid w:val="00D02FB9"/>
    <w:pPr>
      <w:numPr>
        <w:numId w:val="3"/>
      </w:numPr>
    </w:pPr>
  </w:style>
  <w:style w:type="paragraph" w:styleId="ListBullet2">
    <w:name w:val="List Bullet 2"/>
    <w:basedOn w:val="Normal"/>
    <w:rsid w:val="00D02FB9"/>
    <w:pPr>
      <w:numPr>
        <w:numId w:val="5"/>
      </w:numPr>
    </w:pPr>
  </w:style>
  <w:style w:type="paragraph" w:styleId="ListBullet3">
    <w:name w:val="List Bullet 3"/>
    <w:basedOn w:val="Normal"/>
    <w:rsid w:val="00D02FB9"/>
    <w:pPr>
      <w:numPr>
        <w:numId w:val="7"/>
      </w:numPr>
    </w:pPr>
  </w:style>
  <w:style w:type="paragraph" w:styleId="ListBullet4">
    <w:name w:val="List Bullet 4"/>
    <w:basedOn w:val="Normal"/>
    <w:rsid w:val="00D02FB9"/>
    <w:pPr>
      <w:numPr>
        <w:numId w:val="9"/>
      </w:numPr>
    </w:pPr>
  </w:style>
  <w:style w:type="paragraph" w:styleId="ListBullet5">
    <w:name w:val="List Bullet 5"/>
    <w:basedOn w:val="Normal"/>
    <w:rsid w:val="00D02FB9"/>
    <w:pPr>
      <w:numPr>
        <w:numId w:val="11"/>
      </w:numPr>
    </w:pPr>
  </w:style>
  <w:style w:type="paragraph" w:styleId="ListContinue">
    <w:name w:val="List Continue"/>
    <w:basedOn w:val="Normal"/>
    <w:semiHidden/>
    <w:rsid w:val="00D02FB9"/>
    <w:pPr>
      <w:widowControl/>
      <w:autoSpaceDE/>
      <w:autoSpaceDN/>
      <w:adjustRightInd/>
      <w:spacing w:after="120"/>
      <w:ind w:left="360"/>
    </w:pPr>
  </w:style>
  <w:style w:type="paragraph" w:styleId="ListContinue2">
    <w:name w:val="List Continue 2"/>
    <w:basedOn w:val="Normal"/>
    <w:rsid w:val="00D02FB9"/>
    <w:pPr>
      <w:spacing w:after="120"/>
      <w:ind w:left="720"/>
    </w:pPr>
  </w:style>
  <w:style w:type="paragraph" w:styleId="ListContinue3">
    <w:name w:val="List Continue 3"/>
    <w:basedOn w:val="Normal"/>
    <w:rsid w:val="00D02FB9"/>
    <w:pPr>
      <w:spacing w:after="120"/>
      <w:ind w:left="1080"/>
    </w:pPr>
  </w:style>
  <w:style w:type="paragraph" w:styleId="ListContinue4">
    <w:name w:val="List Continue 4"/>
    <w:basedOn w:val="Normal"/>
    <w:rsid w:val="00D02FB9"/>
    <w:pPr>
      <w:spacing w:after="120"/>
      <w:ind w:left="1440"/>
    </w:pPr>
  </w:style>
  <w:style w:type="paragraph" w:styleId="ListContinue5">
    <w:name w:val="List Continue 5"/>
    <w:basedOn w:val="Normal"/>
    <w:rsid w:val="00D02FB9"/>
    <w:pPr>
      <w:spacing w:after="120"/>
      <w:ind w:left="1800"/>
    </w:pPr>
  </w:style>
  <w:style w:type="paragraph" w:styleId="ListNumber">
    <w:name w:val="List Number"/>
    <w:basedOn w:val="Normal"/>
    <w:rsid w:val="00D02FB9"/>
    <w:pPr>
      <w:numPr>
        <w:numId w:val="13"/>
      </w:numPr>
    </w:pPr>
  </w:style>
  <w:style w:type="paragraph" w:styleId="ListNumber2">
    <w:name w:val="List Number 2"/>
    <w:basedOn w:val="Normal"/>
    <w:rsid w:val="00D02FB9"/>
    <w:pPr>
      <w:numPr>
        <w:numId w:val="15"/>
      </w:numPr>
    </w:pPr>
  </w:style>
  <w:style w:type="paragraph" w:styleId="ListNumber3">
    <w:name w:val="List Number 3"/>
    <w:basedOn w:val="Normal"/>
    <w:rsid w:val="00D02FB9"/>
    <w:pPr>
      <w:numPr>
        <w:numId w:val="17"/>
      </w:numPr>
    </w:pPr>
  </w:style>
  <w:style w:type="paragraph" w:styleId="ListNumber4">
    <w:name w:val="List Number 4"/>
    <w:basedOn w:val="Normal"/>
    <w:rsid w:val="00D02FB9"/>
    <w:pPr>
      <w:numPr>
        <w:numId w:val="19"/>
      </w:numPr>
    </w:pPr>
  </w:style>
  <w:style w:type="paragraph" w:styleId="ListNumber5">
    <w:name w:val="List Number 5"/>
    <w:basedOn w:val="Normal"/>
    <w:rsid w:val="00D02FB9"/>
    <w:pPr>
      <w:numPr>
        <w:numId w:val="21"/>
      </w:numPr>
    </w:pPr>
  </w:style>
  <w:style w:type="paragraph" w:styleId="MacroText">
    <w:name w:val="macro"/>
    <w:semiHidden/>
    <w:rsid w:val="00D02FB9"/>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rsid w:val="00D02FB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customStyle="1" w:styleId="myTOC1">
    <w:name w:val="myTOC 1"/>
    <w:basedOn w:val="Normal"/>
    <w:next w:val="Normal"/>
    <w:rsid w:val="00D02FB9"/>
    <w:pPr>
      <w:tabs>
        <w:tab w:val="left" w:leader="dot" w:pos="9648"/>
      </w:tabs>
      <w:spacing w:before="120"/>
    </w:pPr>
    <w:rPr>
      <w:szCs w:val="26"/>
    </w:rPr>
  </w:style>
  <w:style w:type="paragraph" w:customStyle="1" w:styleId="myTOC2">
    <w:name w:val="myTOC 2"/>
    <w:basedOn w:val="Normal"/>
    <w:next w:val="Normal"/>
    <w:rsid w:val="00D02FB9"/>
    <w:pPr>
      <w:tabs>
        <w:tab w:val="left" w:leader="dot" w:pos="9648"/>
      </w:tabs>
      <w:ind w:left="288"/>
    </w:pPr>
    <w:rPr>
      <w:szCs w:val="26"/>
    </w:rPr>
  </w:style>
  <w:style w:type="paragraph" w:customStyle="1" w:styleId="myTOC3">
    <w:name w:val="myTOC 3"/>
    <w:basedOn w:val="Normal"/>
    <w:next w:val="Normal"/>
    <w:rsid w:val="00D02FB9"/>
    <w:pPr>
      <w:tabs>
        <w:tab w:val="left" w:leader="dot" w:pos="9648"/>
      </w:tabs>
      <w:ind w:left="576"/>
    </w:pPr>
    <w:rPr>
      <w:szCs w:val="26"/>
    </w:rPr>
  </w:style>
  <w:style w:type="paragraph" w:customStyle="1" w:styleId="myTOC4">
    <w:name w:val="myTOC 4"/>
    <w:basedOn w:val="Normal"/>
    <w:next w:val="Normal"/>
    <w:rsid w:val="00D02FB9"/>
    <w:pPr>
      <w:tabs>
        <w:tab w:val="left" w:leader="dot" w:pos="9648"/>
      </w:tabs>
      <w:ind w:left="864"/>
    </w:pPr>
    <w:rPr>
      <w:szCs w:val="26"/>
    </w:rPr>
  </w:style>
  <w:style w:type="paragraph" w:customStyle="1" w:styleId="myTOC5">
    <w:name w:val="myTOC 5"/>
    <w:basedOn w:val="Normal"/>
    <w:next w:val="Normal"/>
    <w:rsid w:val="00D02FB9"/>
    <w:pPr>
      <w:tabs>
        <w:tab w:val="left" w:leader="dot" w:pos="9648"/>
      </w:tabs>
      <w:ind w:left="1152"/>
    </w:pPr>
    <w:rPr>
      <w:szCs w:val="26"/>
    </w:rPr>
  </w:style>
  <w:style w:type="paragraph" w:customStyle="1" w:styleId="myTOC6">
    <w:name w:val="myTOC 6"/>
    <w:basedOn w:val="Normal"/>
    <w:next w:val="Normal"/>
    <w:rsid w:val="00D02FB9"/>
    <w:pPr>
      <w:widowControl/>
      <w:tabs>
        <w:tab w:val="left" w:leader="dot" w:pos="9648"/>
      </w:tabs>
      <w:autoSpaceDE/>
      <w:autoSpaceDN/>
      <w:adjustRightInd/>
      <w:ind w:left="1440"/>
    </w:pPr>
    <w:rPr>
      <w:szCs w:val="26"/>
    </w:rPr>
  </w:style>
  <w:style w:type="paragraph" w:customStyle="1" w:styleId="myTOC7">
    <w:name w:val="myTOC 7"/>
    <w:basedOn w:val="Normal"/>
    <w:next w:val="Normal"/>
    <w:rsid w:val="00D02FB9"/>
    <w:pPr>
      <w:widowControl/>
      <w:tabs>
        <w:tab w:val="left" w:leader="dot" w:pos="9648"/>
      </w:tabs>
      <w:autoSpaceDE/>
      <w:autoSpaceDN/>
      <w:adjustRightInd/>
      <w:ind w:left="1728"/>
    </w:pPr>
    <w:rPr>
      <w:szCs w:val="26"/>
    </w:rPr>
  </w:style>
  <w:style w:type="paragraph" w:customStyle="1" w:styleId="myTOC8">
    <w:name w:val="myTOC 8"/>
    <w:basedOn w:val="Normal"/>
    <w:next w:val="Normal"/>
    <w:rsid w:val="00D02FB9"/>
    <w:pPr>
      <w:widowControl/>
      <w:tabs>
        <w:tab w:val="left" w:leader="dot" w:pos="9648"/>
      </w:tabs>
      <w:autoSpaceDE/>
      <w:autoSpaceDN/>
      <w:adjustRightInd/>
      <w:ind w:left="2016"/>
    </w:pPr>
    <w:rPr>
      <w:szCs w:val="26"/>
    </w:rPr>
  </w:style>
  <w:style w:type="paragraph" w:customStyle="1" w:styleId="myTOC9">
    <w:name w:val="myTOC 9"/>
    <w:basedOn w:val="Normal"/>
    <w:next w:val="Normal"/>
    <w:rsid w:val="00D02FB9"/>
    <w:pPr>
      <w:widowControl/>
      <w:tabs>
        <w:tab w:val="left" w:leader="dot" w:pos="9648"/>
      </w:tabs>
      <w:autoSpaceDE/>
      <w:autoSpaceDN/>
      <w:adjustRightInd/>
      <w:ind w:left="2304"/>
    </w:pPr>
    <w:rPr>
      <w:szCs w:val="26"/>
    </w:rPr>
  </w:style>
  <w:style w:type="paragraph" w:customStyle="1" w:styleId="Non-TOCStyle">
    <w:name w:val="Non-TOC Style"/>
    <w:basedOn w:val="Normal"/>
    <w:next w:val="FERCparanumber"/>
    <w:rsid w:val="00D02FB9"/>
    <w:pPr>
      <w:spacing w:after="240"/>
      <w:ind w:left="1440"/>
    </w:pPr>
    <w:rPr>
      <w:b/>
      <w:szCs w:val="26"/>
      <w:u w:val="single"/>
    </w:rPr>
  </w:style>
  <w:style w:type="paragraph" w:styleId="NormalWeb">
    <w:name w:val="Normal (Web)"/>
    <w:basedOn w:val="Normal"/>
    <w:rsid w:val="00D02FB9"/>
    <w:rPr>
      <w:sz w:val="24"/>
    </w:rPr>
  </w:style>
  <w:style w:type="paragraph" w:styleId="NormalIndent">
    <w:name w:val="Normal Indent"/>
    <w:basedOn w:val="Normal"/>
    <w:rsid w:val="00D02FB9"/>
    <w:pPr>
      <w:ind w:left="720"/>
    </w:pPr>
  </w:style>
  <w:style w:type="paragraph" w:styleId="NoteHeading">
    <w:name w:val="Note Heading"/>
    <w:basedOn w:val="Normal"/>
    <w:next w:val="Normal"/>
    <w:rsid w:val="00D02FB9"/>
  </w:style>
  <w:style w:type="character" w:styleId="PageNumber">
    <w:name w:val="page number"/>
    <w:basedOn w:val="DefaultParagraphFont"/>
    <w:rsid w:val="00D02FB9"/>
  </w:style>
  <w:style w:type="paragraph" w:styleId="PlainText">
    <w:name w:val="Plain Text"/>
    <w:basedOn w:val="Normal"/>
    <w:rsid w:val="00D02FB9"/>
    <w:rPr>
      <w:rFonts w:ascii="Courier New" w:hAnsi="Courier New" w:cs="Courier New"/>
      <w:sz w:val="20"/>
      <w:szCs w:val="20"/>
    </w:rPr>
  </w:style>
  <w:style w:type="paragraph" w:styleId="Salutation">
    <w:name w:val="Salutation"/>
    <w:basedOn w:val="Normal"/>
    <w:next w:val="Normal"/>
    <w:rsid w:val="00D02FB9"/>
  </w:style>
  <w:style w:type="paragraph" w:styleId="Signature">
    <w:name w:val="Signature"/>
    <w:basedOn w:val="Normal"/>
    <w:rsid w:val="00D02FB9"/>
    <w:pPr>
      <w:ind w:left="4320"/>
    </w:pPr>
  </w:style>
  <w:style w:type="paragraph" w:styleId="Subtitle">
    <w:name w:val="Subtitle"/>
    <w:basedOn w:val="Normal"/>
    <w:qFormat/>
    <w:rsid w:val="00D02FB9"/>
    <w:pPr>
      <w:spacing w:after="60"/>
      <w:jc w:val="center"/>
      <w:outlineLvl w:val="1"/>
    </w:pPr>
    <w:rPr>
      <w:rFonts w:ascii="Arial" w:hAnsi="Arial" w:cs="Arial"/>
      <w:sz w:val="24"/>
    </w:rPr>
  </w:style>
  <w:style w:type="table" w:styleId="TableGrid">
    <w:name w:val="Table Grid"/>
    <w:basedOn w:val="TableNormal"/>
    <w:uiPriority w:val="39"/>
    <w:rsid w:val="00D02FB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D02FB9"/>
    <w:pPr>
      <w:ind w:left="260" w:hanging="260"/>
    </w:pPr>
  </w:style>
  <w:style w:type="paragraph" w:styleId="TableofFigures">
    <w:name w:val="table of figures"/>
    <w:basedOn w:val="Normal"/>
    <w:next w:val="Normal"/>
    <w:semiHidden/>
    <w:rsid w:val="00D02FB9"/>
    <w:pPr>
      <w:ind w:left="520" w:hanging="520"/>
    </w:pPr>
  </w:style>
  <w:style w:type="paragraph" w:styleId="Title">
    <w:name w:val="Title"/>
    <w:basedOn w:val="Normal"/>
    <w:qFormat/>
    <w:rsid w:val="00D02FB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02FB9"/>
    <w:pPr>
      <w:spacing w:before="120"/>
    </w:pPr>
    <w:rPr>
      <w:rFonts w:ascii="Arial" w:hAnsi="Arial" w:cs="Arial"/>
      <w:b/>
      <w:bCs/>
      <w:sz w:val="24"/>
    </w:rPr>
  </w:style>
  <w:style w:type="paragraph" w:styleId="TOC1">
    <w:name w:val="toc 1"/>
    <w:basedOn w:val="Normal"/>
    <w:next w:val="Normal"/>
    <w:semiHidden/>
    <w:rsid w:val="00D02FB9"/>
  </w:style>
  <w:style w:type="paragraph" w:styleId="TOC2">
    <w:name w:val="toc 2"/>
    <w:basedOn w:val="Normal"/>
    <w:next w:val="Normal"/>
    <w:semiHidden/>
    <w:rsid w:val="00D02FB9"/>
    <w:pPr>
      <w:ind w:left="260"/>
    </w:pPr>
  </w:style>
  <w:style w:type="paragraph" w:styleId="TOC3">
    <w:name w:val="toc 3"/>
    <w:basedOn w:val="Normal"/>
    <w:next w:val="Normal"/>
    <w:semiHidden/>
    <w:rsid w:val="00D02FB9"/>
    <w:pPr>
      <w:ind w:left="520"/>
    </w:pPr>
  </w:style>
  <w:style w:type="paragraph" w:styleId="TOC4">
    <w:name w:val="toc 4"/>
    <w:basedOn w:val="Normal"/>
    <w:next w:val="Normal"/>
    <w:semiHidden/>
    <w:rsid w:val="00D02FB9"/>
    <w:pPr>
      <w:ind w:left="780"/>
    </w:pPr>
  </w:style>
  <w:style w:type="paragraph" w:styleId="TOC5">
    <w:name w:val="toc 5"/>
    <w:basedOn w:val="Normal"/>
    <w:next w:val="Normal"/>
    <w:semiHidden/>
    <w:rsid w:val="00D02FB9"/>
    <w:pPr>
      <w:ind w:left="1040"/>
    </w:pPr>
  </w:style>
  <w:style w:type="paragraph" w:styleId="TOC6">
    <w:name w:val="toc 6"/>
    <w:basedOn w:val="Normal"/>
    <w:next w:val="Normal"/>
    <w:semiHidden/>
    <w:rsid w:val="00D02FB9"/>
    <w:pPr>
      <w:ind w:left="1300"/>
    </w:pPr>
  </w:style>
  <w:style w:type="paragraph" w:styleId="TOC7">
    <w:name w:val="toc 7"/>
    <w:basedOn w:val="Normal"/>
    <w:next w:val="Normal"/>
    <w:semiHidden/>
    <w:rsid w:val="00D02FB9"/>
    <w:pPr>
      <w:ind w:left="1560"/>
    </w:pPr>
  </w:style>
  <w:style w:type="paragraph" w:styleId="TOC8">
    <w:name w:val="toc 8"/>
    <w:basedOn w:val="Normal"/>
    <w:next w:val="Normal"/>
    <w:semiHidden/>
    <w:rsid w:val="00D02FB9"/>
    <w:pPr>
      <w:ind w:left="1820"/>
    </w:pPr>
  </w:style>
  <w:style w:type="paragraph" w:styleId="TOC9">
    <w:name w:val="toc 9"/>
    <w:basedOn w:val="Normal"/>
    <w:next w:val="Normal"/>
    <w:semiHidden/>
    <w:rsid w:val="00D02FB9"/>
    <w:pPr>
      <w:ind w:left="2080"/>
    </w:pPr>
  </w:style>
  <w:style w:type="paragraph" w:styleId="Bibliography">
    <w:name w:val="Bibliography"/>
    <w:basedOn w:val="Normal"/>
    <w:next w:val="Normal"/>
    <w:uiPriority w:val="37"/>
    <w:semiHidden/>
    <w:unhideWhenUsed/>
    <w:rsid w:val="008903D9"/>
  </w:style>
  <w:style w:type="paragraph" w:styleId="IntenseQuote">
    <w:name w:val="Intense Quote"/>
    <w:basedOn w:val="Normal"/>
    <w:next w:val="Normal"/>
    <w:link w:val="IntenseQuoteChar"/>
    <w:uiPriority w:val="30"/>
    <w:qFormat/>
    <w:rsid w:val="008903D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903D9"/>
    <w:rPr>
      <w:b/>
      <w:bCs/>
      <w:i/>
      <w:iCs/>
      <w:color w:val="4F81BD"/>
      <w:sz w:val="26"/>
      <w:szCs w:val="24"/>
    </w:rPr>
  </w:style>
  <w:style w:type="paragraph" w:styleId="ListParagraph">
    <w:name w:val="List Paragraph"/>
    <w:basedOn w:val="Normal"/>
    <w:uiPriority w:val="34"/>
    <w:qFormat/>
    <w:rsid w:val="008903D9"/>
    <w:pPr>
      <w:ind w:left="720"/>
    </w:pPr>
  </w:style>
  <w:style w:type="paragraph" w:styleId="NoSpacing">
    <w:name w:val="No Spacing"/>
    <w:uiPriority w:val="1"/>
    <w:qFormat/>
    <w:rsid w:val="008903D9"/>
    <w:pPr>
      <w:widowControl w:val="0"/>
      <w:autoSpaceDE w:val="0"/>
      <w:autoSpaceDN w:val="0"/>
      <w:adjustRightInd w:val="0"/>
    </w:pPr>
    <w:rPr>
      <w:sz w:val="26"/>
      <w:szCs w:val="24"/>
    </w:rPr>
  </w:style>
  <w:style w:type="paragraph" w:styleId="Quote">
    <w:name w:val="Quote"/>
    <w:basedOn w:val="Normal"/>
    <w:next w:val="Normal"/>
    <w:link w:val="QuoteChar"/>
    <w:uiPriority w:val="29"/>
    <w:qFormat/>
    <w:rsid w:val="008903D9"/>
    <w:rPr>
      <w:i/>
      <w:iCs/>
      <w:color w:val="000000"/>
    </w:rPr>
  </w:style>
  <w:style w:type="character" w:customStyle="1" w:styleId="QuoteChar">
    <w:name w:val="Quote Char"/>
    <w:link w:val="Quote"/>
    <w:uiPriority w:val="29"/>
    <w:rsid w:val="008903D9"/>
    <w:rPr>
      <w:i/>
      <w:iCs/>
      <w:color w:val="000000"/>
      <w:sz w:val="26"/>
      <w:szCs w:val="24"/>
    </w:rPr>
  </w:style>
  <w:style w:type="paragraph" w:styleId="TOCHeading">
    <w:name w:val="TOC Heading"/>
    <w:basedOn w:val="Heading1"/>
    <w:next w:val="Normal"/>
    <w:uiPriority w:val="39"/>
    <w:qFormat/>
    <w:rsid w:val="008903D9"/>
    <w:pPr>
      <w:keepLines w:val="0"/>
      <w:widowControl w:val="0"/>
      <w:spacing w:before="240" w:after="60"/>
      <w:outlineLvl w:val="9"/>
    </w:pPr>
    <w:rPr>
      <w:rFonts w:ascii="Cambria" w:hAnsi="Cambria"/>
      <w:sz w:val="32"/>
      <w:u w:val="none"/>
    </w:rPr>
  </w:style>
  <w:style w:type="character" w:styleId="Hyperlink">
    <w:name w:val="Hyperlink"/>
    <w:rsid w:val="00604BA9"/>
    <w:rPr>
      <w:color w:val="0000FF"/>
      <w:u w:val="single"/>
    </w:rPr>
  </w:style>
  <w:style w:type="character" w:customStyle="1" w:styleId="FERCparanumberChar1">
    <w:name w:val="FERC paranumber Char1"/>
    <w:link w:val="FERCparanumber"/>
    <w:locked/>
    <w:rsid w:val="006B664E"/>
    <w:rPr>
      <w:sz w:val="26"/>
      <w:szCs w:val="24"/>
    </w:rPr>
  </w:style>
  <w:style w:type="character" w:customStyle="1" w:styleId="FooterChar">
    <w:name w:val="Footer Char"/>
    <w:link w:val="Footer"/>
    <w:uiPriority w:val="99"/>
    <w:rsid w:val="005004E5"/>
    <w:rPr>
      <w:sz w:val="26"/>
      <w:szCs w:val="24"/>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link w:val="FootnoteText"/>
    <w:uiPriority w:val="99"/>
    <w:rsid w:val="00F1648C"/>
    <w:rPr>
      <w:sz w:val="26"/>
    </w:rPr>
  </w:style>
  <w:style w:type="character" w:styleId="CommentReference">
    <w:name w:val="annotation reference"/>
    <w:rsid w:val="00F1648C"/>
    <w:rPr>
      <w:sz w:val="16"/>
      <w:szCs w:val="16"/>
    </w:rPr>
  </w:style>
  <w:style w:type="paragraph" w:customStyle="1" w:styleId="LegalFormat">
    <w:name w:val="Legal Format"/>
    <w:basedOn w:val="ListContinue"/>
    <w:rsid w:val="00F1648C"/>
    <w:pPr>
      <w:tabs>
        <w:tab w:val="num" w:pos="360"/>
      </w:tabs>
      <w:spacing w:after="240"/>
      <w:ind w:hanging="360"/>
    </w:pPr>
    <w:rPr>
      <w:szCs w:val="26"/>
    </w:rPr>
  </w:style>
  <w:style w:type="character" w:styleId="UnresolvedMention">
    <w:name w:val="Unresolved Mention"/>
    <w:basedOn w:val="DefaultParagraphFont"/>
    <w:uiPriority w:val="99"/>
    <w:semiHidden/>
    <w:unhideWhenUsed/>
    <w:rsid w:val="00C54C1D"/>
    <w:rPr>
      <w:color w:val="605E5C"/>
      <w:shd w:val="clear" w:color="auto" w:fill="E1DFDD"/>
    </w:rPr>
  </w:style>
  <w:style w:type="character" w:styleId="FollowedHyperlink">
    <w:name w:val="FollowedHyperlink"/>
    <w:basedOn w:val="DefaultParagraphFont"/>
    <w:semiHidden/>
    <w:unhideWhenUsed/>
    <w:rsid w:val="0028462E"/>
    <w:rPr>
      <w:color w:val="800080" w:themeColor="followedHyperlink"/>
      <w:u w:val="single"/>
    </w:rPr>
  </w:style>
  <w:style w:type="paragraph" w:styleId="Revision">
    <w:name w:val="Revision"/>
    <w:hidden/>
    <w:uiPriority w:val="99"/>
    <w:semiHidden/>
    <w:rsid w:val="006E6E09"/>
    <w:rPr>
      <w:sz w:val="26"/>
      <w:szCs w:val="24"/>
    </w:rPr>
  </w:style>
  <w:style w:type="character" w:customStyle="1" w:styleId="FERCparanumberChar">
    <w:name w:val="FERC paranumber Char"/>
    <w:basedOn w:val="DefaultParagraphFont"/>
    <w:rsid w:val="00445DA6"/>
    <w:rPr>
      <w:rFonts w:ascii="Times New Roman" w:hAnsi="Times New Roman" w:cs="Times New Roman"/>
      <w:sz w:val="26"/>
    </w:rPr>
  </w:style>
  <w:style w:type="character" w:customStyle="1" w:styleId="HeaderChar">
    <w:name w:val="Header Char"/>
    <w:basedOn w:val="DefaultParagraphFont"/>
    <w:link w:val="Header"/>
    <w:uiPriority w:val="99"/>
    <w:rsid w:val="00693FEA"/>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503">
      <w:bodyDiv w:val="1"/>
      <w:marLeft w:val="0"/>
      <w:marRight w:val="0"/>
      <w:marTop w:val="0"/>
      <w:marBottom w:val="0"/>
      <w:divBdr>
        <w:top w:val="none" w:sz="0" w:space="0" w:color="auto"/>
        <w:left w:val="none" w:sz="0" w:space="0" w:color="auto"/>
        <w:bottom w:val="none" w:sz="0" w:space="0" w:color="auto"/>
        <w:right w:val="none" w:sz="0" w:space="0" w:color="auto"/>
      </w:divBdr>
    </w:div>
    <w:div w:id="1223322729">
      <w:bodyDiv w:val="1"/>
      <w:marLeft w:val="0"/>
      <w:marRight w:val="0"/>
      <w:marTop w:val="0"/>
      <w:marBottom w:val="0"/>
      <w:divBdr>
        <w:top w:val="none" w:sz="0" w:space="0" w:color="auto"/>
        <w:left w:val="none" w:sz="0" w:space="0" w:color="auto"/>
        <w:bottom w:val="none" w:sz="0" w:space="0" w:color="auto"/>
        <w:right w:val="none" w:sz="0" w:space="0" w:color="auto"/>
      </w:divBdr>
    </w:div>
    <w:div w:id="1412775385">
      <w:bodyDiv w:val="1"/>
      <w:marLeft w:val="0"/>
      <w:marRight w:val="0"/>
      <w:marTop w:val="0"/>
      <w:marBottom w:val="0"/>
      <w:divBdr>
        <w:top w:val="none" w:sz="0" w:space="0" w:color="auto"/>
        <w:left w:val="none" w:sz="0" w:space="0" w:color="auto"/>
        <w:bottom w:val="none" w:sz="0" w:space="0" w:color="auto"/>
        <w:right w:val="none" w:sz="0" w:space="0" w:color="auto"/>
      </w:divBdr>
    </w:div>
    <w:div w:id="1732460497">
      <w:bodyDiv w:val="1"/>
      <w:marLeft w:val="0"/>
      <w:marRight w:val="0"/>
      <w:marTop w:val="0"/>
      <w:marBottom w:val="0"/>
      <w:divBdr>
        <w:top w:val="none" w:sz="0" w:space="0" w:color="auto"/>
        <w:left w:val="none" w:sz="0" w:space="0" w:color="auto"/>
        <w:bottom w:val="none" w:sz="0" w:space="0" w:color="auto"/>
        <w:right w:val="none" w:sz="0" w:space="0" w:color="auto"/>
      </w:divBdr>
    </w:div>
    <w:div w:id="207103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Mark.Bennett@ferc.gov" TargetMode="External"/><Relationship Id="rId34"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hyperlink" Target="mailto:public.referenceroom@ferc.gov"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mailto:Susan.Morris@ferc.gov" TargetMode="External"/><Relationship Id="rId29" Type="http://schemas.openxmlformats.org/officeDocument/2006/relationships/hyperlink" Target="http://www.ferc.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32" Type="http://schemas.openxmlformats.org/officeDocument/2006/relationships/hyperlink" Target="mailto:ferconlinesupport@ferc.gov"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2.xml"/><Relationship Id="rId28" Type="http://schemas.openxmlformats.org/officeDocument/2006/relationships/hyperlink" Target="mailto:DataClearance@ferc.gov" TargetMode="External"/><Relationship Id="rId36" Type="http://schemas.openxmlformats.org/officeDocument/2006/relationships/header" Target="header6.xml"/><Relationship Id="rId10" Type="http://schemas.openxmlformats.org/officeDocument/2006/relationships/customXml" Target="../customXml/item10.xml"/><Relationship Id="rId19" Type="http://schemas.openxmlformats.org/officeDocument/2006/relationships/hyperlink" Target="http://www.ferc.gov" TargetMode="External"/><Relationship Id="rId31" Type="http://schemas.openxmlformats.org/officeDocument/2006/relationships/hyperlink" Target="http://www.ferc.gov"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www.ferc.gov" TargetMode="External"/><Relationship Id="rId35" Type="http://schemas.openxmlformats.org/officeDocument/2006/relationships/header" Target="header5.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bls.gov/oes/current/naics2_22.htm" TargetMode="External"/><Relationship Id="rId1" Type="http://schemas.openxmlformats.org/officeDocument/2006/relationships/hyperlink" Target="https://www.wecc.org/Reliability/PricingEvent_Paper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74a4cd09-5f17-433b-814a-38e7e9115d16" ContentTypeId="0x0101" PreviousValue="false"/>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0FD3A-A5FA-4B51-97B0-F4CAC15B825F}">
  <ds:schemaRefs>
    <ds:schemaRef ds:uri="http://schemas.openxmlformats.org/officeDocument/2006/bibliography"/>
  </ds:schemaRefs>
</ds:datastoreItem>
</file>

<file path=customXml/itemProps10.xml><?xml version="1.0" encoding="utf-8"?>
<ds:datastoreItem xmlns:ds="http://schemas.openxmlformats.org/officeDocument/2006/customXml" ds:itemID="{67DF2735-22D9-4044-A1AF-63BD56CF0FA8}">
  <ds:schemaRefs>
    <ds:schemaRef ds:uri="http://schemas.openxmlformats.org/officeDocument/2006/bibliography"/>
  </ds:schemaRefs>
</ds:datastoreItem>
</file>

<file path=customXml/itemProps11.xml><?xml version="1.0" encoding="utf-8"?>
<ds:datastoreItem xmlns:ds="http://schemas.openxmlformats.org/officeDocument/2006/customXml" ds:itemID="{5236C940-8582-469F-AAFD-BC0DB42D6D9A}">
  <ds:schemaRefs>
    <ds:schemaRef ds:uri="http://schemas.openxmlformats.org/officeDocument/2006/bibliography"/>
  </ds:schemaRefs>
</ds:datastoreItem>
</file>

<file path=customXml/itemProps12.xml><?xml version="1.0" encoding="utf-8"?>
<ds:datastoreItem xmlns:ds="http://schemas.openxmlformats.org/officeDocument/2006/customXml" ds:itemID="{1879CE56-2861-4A9E-9630-D59112871F7B}">
  <ds:schemaRefs>
    <ds:schemaRef ds:uri="http://schemas.openxmlformats.org/officeDocument/2006/bibliography"/>
  </ds:schemaRefs>
</ds:datastoreItem>
</file>

<file path=customXml/itemProps2.xml><?xml version="1.0" encoding="utf-8"?>
<ds:datastoreItem xmlns:ds="http://schemas.openxmlformats.org/officeDocument/2006/customXml" ds:itemID="{19859CBD-6F10-4B61-B129-8764FAAF02E8}">
  <ds:schemaRefs>
    <ds:schemaRef ds:uri="http://schemas.openxmlformats.org/officeDocument/2006/bibliography"/>
  </ds:schemaRefs>
</ds:datastoreItem>
</file>

<file path=customXml/itemProps3.xml><?xml version="1.0" encoding="utf-8"?>
<ds:datastoreItem xmlns:ds="http://schemas.openxmlformats.org/officeDocument/2006/customXml" ds:itemID="{9F12F1D1-D98D-45C5-BB04-2DFE80214E1F}">
  <ds:schemaRefs>
    <ds:schemaRef ds:uri="http://schemas.microsoft.com/sharepoint/v3/contenttype/forms"/>
  </ds:schemaRefs>
</ds:datastoreItem>
</file>

<file path=customXml/itemProps4.xml><?xml version="1.0" encoding="utf-8"?>
<ds:datastoreItem xmlns:ds="http://schemas.openxmlformats.org/officeDocument/2006/customXml" ds:itemID="{EB90E023-D1E3-4F23-86AD-6E865A2CF3C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8C59A7D1-84FA-4CDB-A2FA-38BD193C5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D09C64-CF01-4DC9-9BB5-039984E4666D}">
  <ds:schemaRefs>
    <ds:schemaRef ds:uri="http://schemas.openxmlformats.org/officeDocument/2006/bibliography"/>
  </ds:schemaRefs>
</ds:datastoreItem>
</file>

<file path=customXml/itemProps7.xml><?xml version="1.0" encoding="utf-8"?>
<ds:datastoreItem xmlns:ds="http://schemas.openxmlformats.org/officeDocument/2006/customXml" ds:itemID="{CCDF6EF7-C948-4A31-B37A-AFCD9CAB9266}">
  <ds:schemaRefs>
    <ds:schemaRef ds:uri="http://schemas.openxmlformats.org/officeDocument/2006/bibliography"/>
  </ds:schemaRefs>
</ds:datastoreItem>
</file>

<file path=customXml/itemProps8.xml><?xml version="1.0" encoding="utf-8"?>
<ds:datastoreItem xmlns:ds="http://schemas.openxmlformats.org/officeDocument/2006/customXml" ds:itemID="{10EA296D-37A3-4034-B75F-F85FE9DB47E8}">
  <ds:schemaRefs>
    <ds:schemaRef ds:uri="Microsoft.SharePoint.Taxonomy.ContentTypeSync"/>
  </ds:schemaRefs>
</ds:datastoreItem>
</file>

<file path=customXml/itemProps9.xml><?xml version="1.0" encoding="utf-8"?>
<ds:datastoreItem xmlns:ds="http://schemas.openxmlformats.org/officeDocument/2006/customXml" ds:itemID="{DD3DE495-1709-49B6-92A8-1B057565E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4827</Words>
  <Characters>30006</Characters>
  <Application>Microsoft Office Word</Application>
  <DocSecurity>4</DocSecurity>
  <Lines>250</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34764</CharactersWithSpaces>
  <SharedDoc>false</SharedDoc>
  <HyperlinkBase/>
  <HLinks>
    <vt:vector size="42" baseType="variant">
      <vt:variant>
        <vt:i4>8060938</vt:i4>
      </vt:variant>
      <vt:variant>
        <vt:i4>18</vt:i4>
      </vt:variant>
      <vt:variant>
        <vt:i4>0</vt:i4>
      </vt:variant>
      <vt:variant>
        <vt:i4>5</vt:i4>
      </vt:variant>
      <vt:variant>
        <vt:lpwstr>mailto:public.referenceroom@ferc.gov</vt:lpwstr>
      </vt:variant>
      <vt:variant>
        <vt:lpwstr/>
      </vt:variant>
      <vt:variant>
        <vt:i4>5636216</vt:i4>
      </vt:variant>
      <vt:variant>
        <vt:i4>15</vt:i4>
      </vt:variant>
      <vt:variant>
        <vt:i4>0</vt:i4>
      </vt:variant>
      <vt:variant>
        <vt:i4>5</vt:i4>
      </vt:variant>
      <vt:variant>
        <vt:lpwstr>mailto:ferconlinesupport@ferc.gov</vt:lpwstr>
      </vt:variant>
      <vt:variant>
        <vt:lpwstr/>
      </vt:variant>
      <vt:variant>
        <vt:i4>5308487</vt:i4>
      </vt:variant>
      <vt:variant>
        <vt:i4>12</vt:i4>
      </vt:variant>
      <vt:variant>
        <vt:i4>0</vt:i4>
      </vt:variant>
      <vt:variant>
        <vt:i4>5</vt:i4>
      </vt:variant>
      <vt:variant>
        <vt:lpwstr>http://www.ferc.gov/</vt:lpwstr>
      </vt:variant>
      <vt:variant>
        <vt:lpwstr/>
      </vt:variant>
      <vt:variant>
        <vt:i4>5308487</vt:i4>
      </vt:variant>
      <vt:variant>
        <vt:i4>9</vt:i4>
      </vt:variant>
      <vt:variant>
        <vt:i4>0</vt:i4>
      </vt:variant>
      <vt:variant>
        <vt:i4>5</vt:i4>
      </vt:variant>
      <vt:variant>
        <vt:lpwstr>http://www.ferc.gov/</vt:lpwstr>
      </vt:variant>
      <vt:variant>
        <vt:lpwstr/>
      </vt:variant>
      <vt:variant>
        <vt:i4>4849702</vt:i4>
      </vt:variant>
      <vt:variant>
        <vt:i4>6</vt:i4>
      </vt:variant>
      <vt:variant>
        <vt:i4>0</vt:i4>
      </vt:variant>
      <vt:variant>
        <vt:i4>5</vt:i4>
      </vt:variant>
      <vt:variant>
        <vt:lpwstr>mailto:Matthew.Vlissides@ferc.gov</vt:lpwstr>
      </vt:variant>
      <vt:variant>
        <vt:lpwstr/>
      </vt:variant>
      <vt:variant>
        <vt:i4>7405590</vt:i4>
      </vt:variant>
      <vt:variant>
        <vt:i4>3</vt:i4>
      </vt:variant>
      <vt:variant>
        <vt:i4>0</vt:i4>
      </vt:variant>
      <vt:variant>
        <vt:i4>5</vt:i4>
      </vt:variant>
      <vt:variant>
        <vt:lpwstr>mailto:Andres.Lopez@ferc.gov</vt:lpwstr>
      </vt:variant>
      <vt:variant>
        <vt:lpwstr/>
      </vt:variant>
      <vt:variant>
        <vt:i4>5308487</vt:i4>
      </vt:variant>
      <vt:variant>
        <vt:i4>0</vt:i4>
      </vt:variant>
      <vt:variant>
        <vt:i4>0</vt:i4>
      </vt:variant>
      <vt:variant>
        <vt:i4>5</vt:i4>
      </vt:variant>
      <vt:variant>
        <vt:lpwstr>http://www.ferc.gov/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2020-10-22T17:17:00Z</dcterms:created>
  <dcterms:modified xsi:type="dcterms:W3CDTF">2020-10-22T17:17:00Z</dcterms:modified>
  <cp:category/>
  <dc:identifier/>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120c11f-7d21-4fdf-9d04-b34a9c1c3979_Enabled">
    <vt:lpwstr>True</vt:lpwstr>
  </property>
  <property fmtid="{D5CDD505-2E9C-101B-9397-08002B2CF9AE}" pid="3" name="MSIP_Label_e120c11f-7d21-4fdf-9d04-b34a9c1c3979_SiteId">
    <vt:lpwstr>19caa9e9-04ff-43fa-885f-d77fac387903</vt:lpwstr>
  </property>
  <property fmtid="{D5CDD505-2E9C-101B-9397-08002B2CF9AE}" pid="4" name="MSIP_Label_e120c11f-7d21-4fdf-9d04-b34a9c1c3979_Owner">
    <vt:lpwstr>Kayla.Williams@ferc.gov</vt:lpwstr>
  </property>
  <property fmtid="{D5CDD505-2E9C-101B-9397-08002B2CF9AE}" pid="5" name="MSIP_Label_e120c11f-7d21-4fdf-9d04-b34a9c1c3979_SetDate">
    <vt:lpwstr>2020-10-22T17:16:03.1168612Z</vt:lpwstr>
  </property>
  <property fmtid="{D5CDD505-2E9C-101B-9397-08002B2CF9AE}" pid="6" name="MSIP_Label_e120c11f-7d21-4fdf-9d04-b34a9c1c3979_Name">
    <vt:lpwstr>CUI</vt:lpwstr>
  </property>
  <property fmtid="{D5CDD505-2E9C-101B-9397-08002B2CF9AE}" pid="7" name="MSIP_Label_e120c11f-7d21-4fdf-9d04-b34a9c1c3979_Application">
    <vt:lpwstr>Microsoft Azure Information Protection</vt:lpwstr>
  </property>
  <property fmtid="{D5CDD505-2E9C-101B-9397-08002B2CF9AE}" pid="8" name="MSIP_Label_e120c11f-7d21-4fdf-9d04-b34a9c1c3979_ActionId">
    <vt:lpwstr>4a99c42f-d8d4-4dff-9b90-cca44c36784e</vt:lpwstr>
  </property>
  <property fmtid="{D5CDD505-2E9C-101B-9397-08002B2CF9AE}" pid="9" name="MSIP_Label_e120c11f-7d21-4fdf-9d04-b34a9c1c3979_Extended_MSFT_Method">
    <vt:lpwstr>Manual</vt:lpwstr>
  </property>
  <property fmtid="{D5CDD505-2E9C-101B-9397-08002B2CF9AE}" pid="10" name="Sensitivity">
    <vt:lpwstr>CUI</vt:lpwstr>
  </property>
</Properties>
</file>