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7642A1EA" w14:textId="77777777">
          <w:pPr>
            <w:rPr>
              <w:noProof/>
            </w:rPr>
          </w:pPr>
          <w:r>
            <w:rPr>
              <w:noProof/>
            </w:rPr>
            <mc:AlternateContent>
              <mc:Choice Requires="wps">
                <w:drawing>
                  <wp:anchor distT="0" distB="0" distL="114300" distR="114300" simplePos="0" relativeHeight="251676672" behindDoc="1" locked="0" layoutInCell="1" allowOverlap="1" wp14:editId="7642A288" wp14:anchorId="7642A287">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F85BEA">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22B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editId="7642A28A" wp14:anchorId="7642A289">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editId="7642A28C" wp14:anchorId="7642A28B">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04AA3AE">
                  <v:shapetype id="_x0000_t32" coordsize="21600,21600" o:oned="t" filled="f" o:spt="32" path="m,l21600,21600e" w14:anchorId="24437684">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7642A1EB" w14:textId="77777777">
          <w:pPr>
            <w:ind w:left="1080"/>
          </w:pPr>
          <w:r>
            <w:rPr>
              <w:noProof/>
            </w:rPr>
            <w:softHyphen/>
          </w:r>
          <w:r>
            <w:rPr>
              <w:noProof/>
            </w:rPr>
            <w:softHyphen/>
          </w:r>
          <w:r>
            <w:rPr>
              <w:noProof/>
            </w:rPr>
            <w:softHyphen/>
          </w:r>
        </w:p>
      </w:sdtContent>
    </w:sdt>
    <w:p w:rsidR="00D928FD" w:rsidP="00D928FD" w:rsidRDefault="00D928FD" w14:paraId="7642A1EC"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DB081B" w14:paraId="7642A1ED" w14:textId="221FF06C">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Quarterly Electricity Imports and Exports Report</w:t>
          </w:r>
        </w:p>
      </w:sdtContent>
    </w:sdt>
    <w:p w:rsidRPr="00EE2CAF" w:rsidR="0059212D" w:rsidP="00EE2CAF" w:rsidRDefault="00EE2CAF" w14:paraId="7642A1EE" w14:textId="77777777">
      <w:pPr>
        <w:pStyle w:val="Heading1"/>
      </w:pPr>
      <w:bookmarkStart w:name="_Toc46306964" w:id="0"/>
      <w:r w:rsidRPr="00EE2CAF">
        <w:t>Part A: Justification</w:t>
      </w:r>
      <w:bookmarkEnd w:id="0"/>
    </w:p>
    <w:p w:rsidRPr="00711414" w:rsidR="00711414" w:rsidP="00D928FD" w:rsidRDefault="009763C5" w14:paraId="7642A1EF" w14:textId="0444DB27">
      <w:pPr>
        <w:rPr>
          <w:b/>
          <w:sz w:val="36"/>
          <w:szCs w:val="36"/>
        </w:rPr>
      </w:pPr>
      <w:r>
        <w:rPr>
          <w:noProof/>
        </w:rPr>
        <mc:AlternateContent>
          <mc:Choice Requires="wps">
            <w:drawing>
              <wp:anchor distT="0" distB="0" distL="114300" distR="114300" simplePos="0" relativeHeight="251680768" behindDoc="0" locked="0" layoutInCell="1" allowOverlap="1" wp14:editId="58575E5A" wp14:anchorId="7642A293">
                <wp:simplePos x="0" y="0"/>
                <wp:positionH relativeFrom="margin">
                  <wp:posOffset>1267428</wp:posOffset>
                </wp:positionH>
                <wp:positionV relativeFrom="paragraph">
                  <wp:posOffset>1078286</wp:posOffset>
                </wp:positionV>
                <wp:extent cx="4143737" cy="70993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737"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7642A2B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42A293">
                <v:stroke joinstyle="miter"/>
                <v:path gradientshapeok="t" o:connecttype="rect"/>
              </v:shapetype>
              <v:shape id="Text Box 29" style="position:absolute;margin-left:99.8pt;margin-top:84.9pt;width:326.3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">
                <v:textbox inset="0">
                  <w:txbxContent>
                    <w:p w:rsidRPr="00AA3D91" w:rsidR="00132F4A" w:rsidP="00D001E4" w:rsidRDefault="00132F4A" w14:paraId="7642A2B0" w14:textId="77777777">
                      <w:pPr>
                        <w:spacing w:line="240" w:lineRule="auto"/>
                        <w:ind w:left="90"/>
                        <w:rPr>
                          <w:sz w:val="52"/>
                          <w:szCs w:val="52"/>
                        </w:rPr>
                      </w:pPr>
                    </w:p>
                  </w:txbxContent>
                </v:textbox>
                <w10:wrap anchorx="margin"/>
              </v:shape>
            </w:pict>
          </mc:Fallback>
        </mc:AlternateContent>
      </w:r>
      <w:r w:rsidR="0059212D">
        <w:rPr>
          <w:noProof/>
        </w:rPr>
        <mc:AlternateContent>
          <mc:Choice Requires="wps">
            <w:drawing>
              <wp:anchor distT="0" distB="0" distL="114300" distR="114300" simplePos="0" relativeHeight="251693056" behindDoc="0" locked="0" layoutInCell="1" allowOverlap="1" wp14:editId="7642A28E" wp14:anchorId="7642A28D">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975B66" w:rsidP="00975B66" w:rsidRDefault="00975B66" w14:paraId="1B565CCC" w14:textId="7DD9BEE8">
                            <w:pPr>
                              <w:rPr>
                                <w:i/>
                                <w:sz w:val="28"/>
                                <w:szCs w:val="28"/>
                              </w:rPr>
                            </w:pPr>
                            <w:r w:rsidRPr="009477CA">
                              <w:rPr>
                                <w:sz w:val="28"/>
                                <w:szCs w:val="28"/>
                              </w:rPr>
                              <w:t>Form EIA-111</w:t>
                            </w:r>
                            <w:r w:rsidRPr="0059212D">
                              <w:rPr>
                                <w:i/>
                                <w:sz w:val="28"/>
                                <w:szCs w:val="28"/>
                              </w:rPr>
                              <w:t xml:space="preserve"> </w:t>
                            </w:r>
                            <w:r>
                              <w:rPr>
                                <w:i/>
                                <w:sz w:val="28"/>
                                <w:szCs w:val="28"/>
                              </w:rPr>
                              <w:t>Quarterly Electricity Imports and Exports Report</w:t>
                            </w:r>
                          </w:p>
                          <w:p w:rsidRPr="0059212D" w:rsidR="00FB6BF3" w:rsidP="00FB6BF3" w:rsidRDefault="00FB6BF3" w14:paraId="7642A2AE" w14:textId="6DB0310B">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xWuAIAAL8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" w14:anchorId="7642A28D">
                <v:textbox inset="0">
                  <w:txbxContent>
                    <w:p w:rsidRPr="0059212D" w:rsidR="00975B66" w:rsidP="00975B66" w:rsidRDefault="00975B66" w14:paraId="1B565CCC" w14:textId="7DD9BEE8">
                      <w:pPr>
                        <w:rPr>
                          <w:i/>
                          <w:sz w:val="28"/>
                          <w:szCs w:val="28"/>
                        </w:rPr>
                      </w:pPr>
                      <w:r w:rsidRPr="009477CA">
                        <w:rPr>
                          <w:sz w:val="28"/>
                          <w:szCs w:val="28"/>
                        </w:rPr>
                        <w:t>Form EIA-111</w:t>
                      </w:r>
                      <w:r w:rsidRPr="0059212D">
                        <w:rPr>
                          <w:i/>
                          <w:sz w:val="28"/>
                          <w:szCs w:val="28"/>
                        </w:rPr>
                        <w:t xml:space="preserve"> </w:t>
                      </w:r>
                      <w:r>
                        <w:rPr>
                          <w:i/>
                          <w:sz w:val="28"/>
                          <w:szCs w:val="28"/>
                        </w:rPr>
                        <w:t>Quarterly Electricity Imports and Exports Report</w:t>
                      </w:r>
                    </w:p>
                    <w:p w:rsidRPr="0059212D" w:rsidR="00FB6BF3" w:rsidP="00FB6BF3" w:rsidRDefault="00FB6BF3" w14:paraId="7642A2AE" w14:textId="6DB0310B">
                      <w:pPr>
                        <w:rPr>
                          <w:i/>
                          <w:sz w:val="28"/>
                          <w:szCs w:val="28"/>
                        </w:rPr>
                      </w:pPr>
                    </w:p>
                  </w:txbxContent>
                </v:textbox>
                <w10:wrap type="square" anchorx="margin" anchory="margin"/>
              </v:shape>
            </w:pict>
          </mc:Fallback>
        </mc:AlternateContent>
      </w:r>
      <w:r w:rsidR="00975B66">
        <w:rPr>
          <w:rFonts w:ascii="Times New Roman" w:hAnsi="Times New Roman" w:cs="Times New Roman"/>
          <w:b/>
          <w:sz w:val="36"/>
          <w:szCs w:val="36"/>
        </w:rPr>
        <w:t>OMB No. 1905-0208</w:t>
      </w:r>
    </w:p>
    <w:p w:rsidRPr="00711414" w:rsidR="001F3A8F" w:rsidP="00711414" w:rsidRDefault="00EE2CAF" w14:paraId="7642A1F0" w14:textId="50B32951">
      <w:pPr>
        <w:rPr>
          <w:i/>
          <w:sz w:val="28"/>
          <w:szCs w:val="28"/>
        </w:rPr>
      </w:pPr>
      <w:r>
        <w:rPr>
          <w:noProof/>
        </w:rPr>
        <mc:AlternateContent>
          <mc:Choice Requires="wps">
            <w:drawing>
              <wp:anchor distT="0" distB="0" distL="114300" distR="114300" simplePos="0" relativeHeight="251681792" behindDoc="0" locked="0" layoutInCell="1" allowOverlap="1" wp14:editId="7642A290" wp14:anchorId="7642A28F">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0E2C1E" w14:paraId="7642A2AF" w14:textId="150AD796">
                            <w:pPr>
                              <w:rPr>
                                <w:color w:val="A6A6A6" w:themeColor="background1" w:themeShade="A6"/>
                                <w:sz w:val="36"/>
                              </w:rPr>
                            </w:pPr>
                            <w:r>
                              <w:rPr>
                                <w:color w:val="A6A6A6" w:themeColor="background1" w:themeShade="A6"/>
                                <w:sz w:val="36"/>
                              </w:rPr>
                              <w:t>June</w:t>
                            </w:r>
                            <w:r w:rsidR="009763C5">
                              <w:rPr>
                                <w:color w:val="A6A6A6" w:themeColor="background1" w:themeShade="A6"/>
                                <w:sz w:val="36"/>
                              </w:rPr>
                              <w:t xml:space="preserve"> 202</w:t>
                            </w:r>
                            <w:r>
                              <w:rPr>
                                <w:color w:val="A6A6A6" w:themeColor="background1" w:themeShade="A6"/>
                                <w:sz w:val="36"/>
                              </w:rPr>
                              <w:t>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w14:anchorId="7642A28F">
                <v:textbox style="mso-fit-shape-to-text:t" inset="0">
                  <w:txbxContent>
                    <w:p w:rsidRPr="009818F9" w:rsidR="00132F4A" w:rsidRDefault="000E2C1E" w14:paraId="7642A2AF" w14:textId="150AD796">
                      <w:pPr>
                        <w:rPr>
                          <w:color w:val="A6A6A6" w:themeColor="background1" w:themeShade="A6"/>
                          <w:sz w:val="36"/>
                        </w:rPr>
                      </w:pPr>
                      <w:r>
                        <w:rPr>
                          <w:color w:val="A6A6A6" w:themeColor="background1" w:themeShade="A6"/>
                          <w:sz w:val="36"/>
                        </w:rPr>
                        <w:t>June</w:t>
                      </w:r>
                      <w:r w:rsidR="009763C5">
                        <w:rPr>
                          <w:color w:val="A6A6A6" w:themeColor="background1" w:themeShade="A6"/>
                          <w:sz w:val="36"/>
                        </w:rPr>
                        <w:t xml:space="preserve"> 202</w:t>
                      </w:r>
                      <w:r>
                        <w:rPr>
                          <w:color w:val="A6A6A6" w:themeColor="background1" w:themeShade="A6"/>
                          <w:sz w:val="36"/>
                        </w:rPr>
                        <w:t>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7642A292" wp14:anchorId="7642A291">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4847CC">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0EA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2556F3">
        <w:rPr>
          <w:noProof/>
        </w:rPr>
        <w:drawing>
          <wp:anchor distT="0" distB="0" distL="114300" distR="114300" simplePos="0" relativeHeight="251658752" behindDoc="0" locked="0" layoutInCell="1" allowOverlap="1" wp14:editId="7642A296" wp14:anchorId="7642A29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7642A298" wp14:anchorId="7642A297">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7642A2B1"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7642A2B2"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7642A297">
                <v:textbox inset="0,,0">
                  <w:txbxContent>
                    <w:p w:rsidRPr="008F4CBD" w:rsidR="00132F4A" w:rsidP="00D300F4" w:rsidRDefault="00132F4A" w14:paraId="7642A2B1"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7642A2B2"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7642A29A" wp14:anchorId="7642A299">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7642A2B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7642A2B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7642A299">
                <v:textbox inset="0">
                  <w:txbxContent>
                    <w:p w:rsidRPr="008F4CBD" w:rsidR="00132F4A" w:rsidP="002556F3" w:rsidRDefault="00132F4A" w14:paraId="7642A2B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7642A2B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7642A1F1"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7642A1F2" w14:textId="77777777">
          <w:pPr>
            <w:pStyle w:val="TOCHeading"/>
          </w:pPr>
          <w:r>
            <w:t>Table of Contents</w:t>
          </w:r>
        </w:p>
        <w:p w:rsidR="00226E41" w:rsidRDefault="0059212D" w14:paraId="3E353783" w14:textId="77777777">
          <w:pPr>
            <w:pStyle w:val="TOC1"/>
            <w:rPr>
              <w:rFonts w:eastAsiaTheme="minorEastAsia"/>
              <w:noProof/>
              <w:color w:val="auto"/>
            </w:rPr>
          </w:pPr>
          <w:r>
            <w:fldChar w:fldCharType="begin"/>
          </w:r>
          <w:r>
            <w:instrText xml:space="preserve"> TOC \o "1-3" \h \z \u </w:instrText>
          </w:r>
          <w:r>
            <w:fldChar w:fldCharType="separate"/>
          </w:r>
          <w:hyperlink w:history="1" w:anchor="_Toc46306964">
            <w:r w:rsidRPr="00AE47EA" w:rsidR="00226E41">
              <w:rPr>
                <w:rStyle w:val="Hyperlink"/>
                <w:noProof/>
              </w:rPr>
              <w:t>Part A: Justification</w:t>
            </w:r>
            <w:r w:rsidR="00226E41">
              <w:rPr>
                <w:noProof/>
                <w:webHidden/>
              </w:rPr>
              <w:tab/>
            </w:r>
            <w:r w:rsidR="00226E41">
              <w:rPr>
                <w:noProof/>
                <w:webHidden/>
              </w:rPr>
              <w:fldChar w:fldCharType="begin"/>
            </w:r>
            <w:r w:rsidR="00226E41">
              <w:rPr>
                <w:noProof/>
                <w:webHidden/>
              </w:rPr>
              <w:instrText xml:space="preserve"> PAGEREF _Toc46306964 \h </w:instrText>
            </w:r>
            <w:r w:rsidR="00226E41">
              <w:rPr>
                <w:noProof/>
                <w:webHidden/>
              </w:rPr>
            </w:r>
            <w:r w:rsidR="00226E41">
              <w:rPr>
                <w:noProof/>
                <w:webHidden/>
              </w:rPr>
              <w:fldChar w:fldCharType="separate"/>
            </w:r>
            <w:r w:rsidR="00226E41">
              <w:rPr>
                <w:noProof/>
                <w:webHidden/>
              </w:rPr>
              <w:t>i</w:t>
            </w:r>
            <w:r w:rsidR="00226E41">
              <w:rPr>
                <w:noProof/>
                <w:webHidden/>
              </w:rPr>
              <w:fldChar w:fldCharType="end"/>
            </w:r>
          </w:hyperlink>
        </w:p>
        <w:p w:rsidR="00226E41" w:rsidRDefault="00C36BF7" w14:paraId="1A9F83B2" w14:textId="77777777">
          <w:pPr>
            <w:pStyle w:val="TOC2"/>
            <w:rPr>
              <w:rFonts w:eastAsiaTheme="minorEastAsia"/>
              <w:noProof/>
              <w:color w:val="auto"/>
            </w:rPr>
          </w:pPr>
          <w:hyperlink w:history="1" w:anchor="_Toc46306965">
            <w:r w:rsidRPr="00AE47EA" w:rsidR="00226E41">
              <w:rPr>
                <w:rStyle w:val="Hyperlink"/>
                <w:noProof/>
              </w:rPr>
              <w:t>Introduction</w:t>
            </w:r>
            <w:r w:rsidR="00226E41">
              <w:rPr>
                <w:noProof/>
                <w:webHidden/>
              </w:rPr>
              <w:tab/>
            </w:r>
            <w:r w:rsidR="00226E41">
              <w:rPr>
                <w:noProof/>
                <w:webHidden/>
              </w:rPr>
              <w:fldChar w:fldCharType="begin"/>
            </w:r>
            <w:r w:rsidR="00226E41">
              <w:rPr>
                <w:noProof/>
                <w:webHidden/>
              </w:rPr>
              <w:instrText xml:space="preserve"> PAGEREF _Toc46306965 \h </w:instrText>
            </w:r>
            <w:r w:rsidR="00226E41">
              <w:rPr>
                <w:noProof/>
                <w:webHidden/>
              </w:rPr>
            </w:r>
            <w:r w:rsidR="00226E41">
              <w:rPr>
                <w:noProof/>
                <w:webHidden/>
              </w:rPr>
              <w:fldChar w:fldCharType="separate"/>
            </w:r>
            <w:r w:rsidR="00226E41">
              <w:rPr>
                <w:noProof/>
                <w:webHidden/>
              </w:rPr>
              <w:t>1</w:t>
            </w:r>
            <w:r w:rsidR="00226E41">
              <w:rPr>
                <w:noProof/>
                <w:webHidden/>
              </w:rPr>
              <w:fldChar w:fldCharType="end"/>
            </w:r>
          </w:hyperlink>
        </w:p>
        <w:p w:rsidR="00226E41" w:rsidRDefault="00C36BF7" w14:paraId="748BF4BD" w14:textId="77777777">
          <w:pPr>
            <w:pStyle w:val="TOC2"/>
            <w:rPr>
              <w:rFonts w:eastAsiaTheme="minorEastAsia"/>
              <w:noProof/>
              <w:color w:val="auto"/>
            </w:rPr>
          </w:pPr>
          <w:hyperlink w:history="1" w:anchor="_Toc46306966">
            <w:r w:rsidRPr="00AE47EA" w:rsidR="00226E41">
              <w:rPr>
                <w:rStyle w:val="Hyperlink"/>
                <w:noProof/>
              </w:rPr>
              <w:t>A.1. Legal Justification</w:t>
            </w:r>
            <w:r w:rsidR="00226E41">
              <w:rPr>
                <w:noProof/>
                <w:webHidden/>
              </w:rPr>
              <w:tab/>
            </w:r>
            <w:r w:rsidR="00226E41">
              <w:rPr>
                <w:noProof/>
                <w:webHidden/>
              </w:rPr>
              <w:fldChar w:fldCharType="begin"/>
            </w:r>
            <w:r w:rsidR="00226E41">
              <w:rPr>
                <w:noProof/>
                <w:webHidden/>
              </w:rPr>
              <w:instrText xml:space="preserve"> PAGEREF _Toc46306966 \h </w:instrText>
            </w:r>
            <w:r w:rsidR="00226E41">
              <w:rPr>
                <w:noProof/>
                <w:webHidden/>
              </w:rPr>
            </w:r>
            <w:r w:rsidR="00226E41">
              <w:rPr>
                <w:noProof/>
                <w:webHidden/>
              </w:rPr>
              <w:fldChar w:fldCharType="separate"/>
            </w:r>
            <w:r w:rsidR="00226E41">
              <w:rPr>
                <w:noProof/>
                <w:webHidden/>
              </w:rPr>
              <w:t>1</w:t>
            </w:r>
            <w:r w:rsidR="00226E41">
              <w:rPr>
                <w:noProof/>
                <w:webHidden/>
              </w:rPr>
              <w:fldChar w:fldCharType="end"/>
            </w:r>
          </w:hyperlink>
        </w:p>
        <w:p w:rsidR="00226E41" w:rsidRDefault="00C36BF7" w14:paraId="3838F5E4" w14:textId="77777777">
          <w:pPr>
            <w:pStyle w:val="TOC2"/>
            <w:rPr>
              <w:rFonts w:eastAsiaTheme="minorEastAsia"/>
              <w:noProof/>
              <w:color w:val="auto"/>
            </w:rPr>
          </w:pPr>
          <w:hyperlink w:history="1" w:anchor="_Toc46306967">
            <w:r w:rsidRPr="00AE47EA" w:rsidR="00226E41">
              <w:rPr>
                <w:rStyle w:val="Hyperlink"/>
                <w:noProof/>
              </w:rPr>
              <w:t>A.2. Needs and Uses of Data</w:t>
            </w:r>
            <w:r w:rsidR="00226E41">
              <w:rPr>
                <w:noProof/>
                <w:webHidden/>
              </w:rPr>
              <w:tab/>
            </w:r>
            <w:r w:rsidR="00226E41">
              <w:rPr>
                <w:noProof/>
                <w:webHidden/>
              </w:rPr>
              <w:fldChar w:fldCharType="begin"/>
            </w:r>
            <w:r w:rsidR="00226E41">
              <w:rPr>
                <w:noProof/>
                <w:webHidden/>
              </w:rPr>
              <w:instrText xml:space="preserve"> PAGEREF _Toc46306967 \h </w:instrText>
            </w:r>
            <w:r w:rsidR="00226E41">
              <w:rPr>
                <w:noProof/>
                <w:webHidden/>
              </w:rPr>
            </w:r>
            <w:r w:rsidR="00226E41">
              <w:rPr>
                <w:noProof/>
                <w:webHidden/>
              </w:rPr>
              <w:fldChar w:fldCharType="separate"/>
            </w:r>
            <w:r w:rsidR="00226E41">
              <w:rPr>
                <w:noProof/>
                <w:webHidden/>
              </w:rPr>
              <w:t>3</w:t>
            </w:r>
            <w:r w:rsidR="00226E41">
              <w:rPr>
                <w:noProof/>
                <w:webHidden/>
              </w:rPr>
              <w:fldChar w:fldCharType="end"/>
            </w:r>
          </w:hyperlink>
        </w:p>
        <w:p w:rsidR="00226E41" w:rsidRDefault="00C36BF7" w14:paraId="7C3DEFC9" w14:textId="77777777">
          <w:pPr>
            <w:pStyle w:val="TOC2"/>
            <w:rPr>
              <w:rFonts w:eastAsiaTheme="minorEastAsia"/>
              <w:noProof/>
              <w:color w:val="auto"/>
            </w:rPr>
          </w:pPr>
          <w:hyperlink w:history="1" w:anchor="_Toc46306968">
            <w:r w:rsidRPr="00AE47EA" w:rsidR="00226E41">
              <w:rPr>
                <w:rStyle w:val="Hyperlink"/>
                <w:noProof/>
              </w:rPr>
              <w:t>A.3. Use of Technology</w:t>
            </w:r>
            <w:r w:rsidR="00226E41">
              <w:rPr>
                <w:noProof/>
                <w:webHidden/>
              </w:rPr>
              <w:tab/>
            </w:r>
            <w:r w:rsidR="00226E41">
              <w:rPr>
                <w:noProof/>
                <w:webHidden/>
              </w:rPr>
              <w:fldChar w:fldCharType="begin"/>
            </w:r>
            <w:r w:rsidR="00226E41">
              <w:rPr>
                <w:noProof/>
                <w:webHidden/>
              </w:rPr>
              <w:instrText xml:space="preserve"> PAGEREF _Toc46306968 \h </w:instrText>
            </w:r>
            <w:r w:rsidR="00226E41">
              <w:rPr>
                <w:noProof/>
                <w:webHidden/>
              </w:rPr>
            </w:r>
            <w:r w:rsidR="00226E41">
              <w:rPr>
                <w:noProof/>
                <w:webHidden/>
              </w:rPr>
              <w:fldChar w:fldCharType="separate"/>
            </w:r>
            <w:r w:rsidR="00226E41">
              <w:rPr>
                <w:noProof/>
                <w:webHidden/>
              </w:rPr>
              <w:t>5</w:t>
            </w:r>
            <w:r w:rsidR="00226E41">
              <w:rPr>
                <w:noProof/>
                <w:webHidden/>
              </w:rPr>
              <w:fldChar w:fldCharType="end"/>
            </w:r>
          </w:hyperlink>
        </w:p>
        <w:p w:rsidR="00226E41" w:rsidRDefault="00C36BF7" w14:paraId="6F24E88E" w14:textId="77777777">
          <w:pPr>
            <w:pStyle w:val="TOC2"/>
            <w:rPr>
              <w:rFonts w:eastAsiaTheme="minorEastAsia"/>
              <w:noProof/>
              <w:color w:val="auto"/>
            </w:rPr>
          </w:pPr>
          <w:hyperlink w:history="1" w:anchor="_Toc46306969">
            <w:r w:rsidRPr="00AE47EA" w:rsidR="00226E41">
              <w:rPr>
                <w:rStyle w:val="Hyperlink"/>
                <w:noProof/>
              </w:rPr>
              <w:t>A.4. Efforts to Identify Duplication</w:t>
            </w:r>
            <w:r w:rsidR="00226E41">
              <w:rPr>
                <w:noProof/>
                <w:webHidden/>
              </w:rPr>
              <w:tab/>
            </w:r>
            <w:r w:rsidR="00226E41">
              <w:rPr>
                <w:noProof/>
                <w:webHidden/>
              </w:rPr>
              <w:fldChar w:fldCharType="begin"/>
            </w:r>
            <w:r w:rsidR="00226E41">
              <w:rPr>
                <w:noProof/>
                <w:webHidden/>
              </w:rPr>
              <w:instrText xml:space="preserve"> PAGEREF _Toc46306969 \h </w:instrText>
            </w:r>
            <w:r w:rsidR="00226E41">
              <w:rPr>
                <w:noProof/>
                <w:webHidden/>
              </w:rPr>
            </w:r>
            <w:r w:rsidR="00226E41">
              <w:rPr>
                <w:noProof/>
                <w:webHidden/>
              </w:rPr>
              <w:fldChar w:fldCharType="separate"/>
            </w:r>
            <w:r w:rsidR="00226E41">
              <w:rPr>
                <w:noProof/>
                <w:webHidden/>
              </w:rPr>
              <w:t>5</w:t>
            </w:r>
            <w:r w:rsidR="00226E41">
              <w:rPr>
                <w:noProof/>
                <w:webHidden/>
              </w:rPr>
              <w:fldChar w:fldCharType="end"/>
            </w:r>
          </w:hyperlink>
        </w:p>
        <w:p w:rsidR="00226E41" w:rsidRDefault="00C36BF7" w14:paraId="75FA7735" w14:textId="77777777">
          <w:pPr>
            <w:pStyle w:val="TOC2"/>
            <w:rPr>
              <w:rFonts w:eastAsiaTheme="minorEastAsia"/>
              <w:noProof/>
              <w:color w:val="auto"/>
            </w:rPr>
          </w:pPr>
          <w:hyperlink w:history="1" w:anchor="_Toc46306970">
            <w:r w:rsidRPr="00AE47EA" w:rsidR="00226E41">
              <w:rPr>
                <w:rStyle w:val="Hyperlink"/>
                <w:noProof/>
              </w:rPr>
              <w:t>A.5. Provisions for Reducing Burden on Small Businesses</w:t>
            </w:r>
            <w:r w:rsidR="00226E41">
              <w:rPr>
                <w:noProof/>
                <w:webHidden/>
              </w:rPr>
              <w:tab/>
            </w:r>
            <w:r w:rsidR="00226E41">
              <w:rPr>
                <w:noProof/>
                <w:webHidden/>
              </w:rPr>
              <w:fldChar w:fldCharType="begin"/>
            </w:r>
            <w:r w:rsidR="00226E41">
              <w:rPr>
                <w:noProof/>
                <w:webHidden/>
              </w:rPr>
              <w:instrText xml:space="preserve"> PAGEREF _Toc46306970 \h </w:instrText>
            </w:r>
            <w:r w:rsidR="00226E41">
              <w:rPr>
                <w:noProof/>
                <w:webHidden/>
              </w:rPr>
            </w:r>
            <w:r w:rsidR="00226E41">
              <w:rPr>
                <w:noProof/>
                <w:webHidden/>
              </w:rPr>
              <w:fldChar w:fldCharType="separate"/>
            </w:r>
            <w:r w:rsidR="00226E41">
              <w:rPr>
                <w:noProof/>
                <w:webHidden/>
              </w:rPr>
              <w:t>5</w:t>
            </w:r>
            <w:r w:rsidR="00226E41">
              <w:rPr>
                <w:noProof/>
                <w:webHidden/>
              </w:rPr>
              <w:fldChar w:fldCharType="end"/>
            </w:r>
          </w:hyperlink>
        </w:p>
        <w:p w:rsidR="00226E41" w:rsidRDefault="00C36BF7" w14:paraId="24BC348D" w14:textId="77777777">
          <w:pPr>
            <w:pStyle w:val="TOC2"/>
            <w:rPr>
              <w:rFonts w:eastAsiaTheme="minorEastAsia"/>
              <w:noProof/>
              <w:color w:val="auto"/>
            </w:rPr>
          </w:pPr>
          <w:hyperlink w:history="1" w:anchor="_Toc46306971">
            <w:r w:rsidRPr="00AE47EA" w:rsidR="00226E41">
              <w:rPr>
                <w:rStyle w:val="Hyperlink"/>
                <w:noProof/>
              </w:rPr>
              <w:t>A.6. Consequences of Less-Frequent Reporting</w:t>
            </w:r>
            <w:r w:rsidR="00226E41">
              <w:rPr>
                <w:noProof/>
                <w:webHidden/>
              </w:rPr>
              <w:tab/>
            </w:r>
            <w:r w:rsidR="00226E41">
              <w:rPr>
                <w:noProof/>
                <w:webHidden/>
              </w:rPr>
              <w:fldChar w:fldCharType="begin"/>
            </w:r>
            <w:r w:rsidR="00226E41">
              <w:rPr>
                <w:noProof/>
                <w:webHidden/>
              </w:rPr>
              <w:instrText xml:space="preserve"> PAGEREF _Toc46306971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6338C848" w14:textId="77777777">
          <w:pPr>
            <w:pStyle w:val="TOC2"/>
            <w:rPr>
              <w:rFonts w:eastAsiaTheme="minorEastAsia"/>
              <w:noProof/>
              <w:color w:val="auto"/>
            </w:rPr>
          </w:pPr>
          <w:hyperlink w:history="1" w:anchor="_Toc46306972">
            <w:r w:rsidRPr="00AE47EA" w:rsidR="00226E41">
              <w:rPr>
                <w:rStyle w:val="Hyperlink"/>
                <w:noProof/>
              </w:rPr>
              <w:t>A.7. Compliance with 5 CFR 1320.5</w:t>
            </w:r>
            <w:r w:rsidR="00226E41">
              <w:rPr>
                <w:noProof/>
                <w:webHidden/>
              </w:rPr>
              <w:tab/>
            </w:r>
            <w:r w:rsidR="00226E41">
              <w:rPr>
                <w:noProof/>
                <w:webHidden/>
              </w:rPr>
              <w:fldChar w:fldCharType="begin"/>
            </w:r>
            <w:r w:rsidR="00226E41">
              <w:rPr>
                <w:noProof/>
                <w:webHidden/>
              </w:rPr>
              <w:instrText xml:space="preserve"> PAGEREF _Toc46306972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146861CD" w14:textId="77777777">
          <w:pPr>
            <w:pStyle w:val="TOC2"/>
            <w:rPr>
              <w:rFonts w:eastAsiaTheme="minorEastAsia"/>
              <w:noProof/>
              <w:color w:val="auto"/>
            </w:rPr>
          </w:pPr>
          <w:hyperlink w:history="1" w:anchor="_Toc46306973">
            <w:r w:rsidRPr="00AE47EA" w:rsidR="00226E41">
              <w:rPr>
                <w:rStyle w:val="Hyperlink"/>
                <w:noProof/>
              </w:rPr>
              <w:t>A.8. Summary of Consultations Outside of the Agency</w:t>
            </w:r>
            <w:r w:rsidR="00226E41">
              <w:rPr>
                <w:noProof/>
                <w:webHidden/>
              </w:rPr>
              <w:tab/>
            </w:r>
            <w:r w:rsidR="00226E41">
              <w:rPr>
                <w:noProof/>
                <w:webHidden/>
              </w:rPr>
              <w:fldChar w:fldCharType="begin"/>
            </w:r>
            <w:r w:rsidR="00226E41">
              <w:rPr>
                <w:noProof/>
                <w:webHidden/>
              </w:rPr>
              <w:instrText xml:space="preserve"> PAGEREF _Toc46306973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037CC1AE" w14:textId="77777777">
          <w:pPr>
            <w:pStyle w:val="TOC2"/>
            <w:rPr>
              <w:rFonts w:eastAsiaTheme="minorEastAsia"/>
              <w:noProof/>
              <w:color w:val="auto"/>
            </w:rPr>
          </w:pPr>
          <w:hyperlink w:history="1" w:anchor="_Toc46306974">
            <w:r w:rsidRPr="00AE47EA" w:rsidR="00226E41">
              <w:rPr>
                <w:rStyle w:val="Hyperlink"/>
                <w:noProof/>
              </w:rPr>
              <w:t>A.9. Payments or Gifts to Respondents</w:t>
            </w:r>
            <w:r w:rsidR="00226E41">
              <w:rPr>
                <w:noProof/>
                <w:webHidden/>
              </w:rPr>
              <w:tab/>
            </w:r>
            <w:r w:rsidR="00226E41">
              <w:rPr>
                <w:noProof/>
                <w:webHidden/>
              </w:rPr>
              <w:fldChar w:fldCharType="begin"/>
            </w:r>
            <w:r w:rsidR="00226E41">
              <w:rPr>
                <w:noProof/>
                <w:webHidden/>
              </w:rPr>
              <w:instrText xml:space="preserve"> PAGEREF _Toc46306974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641ED945" w14:textId="77777777">
          <w:pPr>
            <w:pStyle w:val="TOC2"/>
            <w:rPr>
              <w:rFonts w:eastAsiaTheme="minorEastAsia"/>
              <w:noProof/>
              <w:color w:val="auto"/>
            </w:rPr>
          </w:pPr>
          <w:hyperlink w:history="1" w:anchor="_Toc46306975">
            <w:r w:rsidRPr="00AE47EA" w:rsidR="00226E41">
              <w:rPr>
                <w:rStyle w:val="Hyperlink"/>
                <w:noProof/>
              </w:rPr>
              <w:t>A.10. Provisions for Protection of Information</w:t>
            </w:r>
            <w:r w:rsidR="00226E41">
              <w:rPr>
                <w:noProof/>
                <w:webHidden/>
              </w:rPr>
              <w:tab/>
            </w:r>
            <w:r w:rsidR="00226E41">
              <w:rPr>
                <w:noProof/>
                <w:webHidden/>
              </w:rPr>
              <w:fldChar w:fldCharType="begin"/>
            </w:r>
            <w:r w:rsidR="00226E41">
              <w:rPr>
                <w:noProof/>
                <w:webHidden/>
              </w:rPr>
              <w:instrText xml:space="preserve"> PAGEREF _Toc46306975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0E821A97" w14:textId="77777777">
          <w:pPr>
            <w:pStyle w:val="TOC2"/>
            <w:rPr>
              <w:rFonts w:eastAsiaTheme="minorEastAsia"/>
              <w:noProof/>
              <w:color w:val="auto"/>
            </w:rPr>
          </w:pPr>
          <w:hyperlink w:history="1" w:anchor="_Toc46306976">
            <w:r w:rsidRPr="00AE47EA" w:rsidR="00226E41">
              <w:rPr>
                <w:rStyle w:val="Hyperlink"/>
                <w:noProof/>
              </w:rPr>
              <w:t>A.11. Justification for Sensitive Questions</w:t>
            </w:r>
            <w:r w:rsidR="00226E41">
              <w:rPr>
                <w:noProof/>
                <w:webHidden/>
              </w:rPr>
              <w:tab/>
            </w:r>
            <w:r w:rsidR="00226E41">
              <w:rPr>
                <w:noProof/>
                <w:webHidden/>
              </w:rPr>
              <w:fldChar w:fldCharType="begin"/>
            </w:r>
            <w:r w:rsidR="00226E41">
              <w:rPr>
                <w:noProof/>
                <w:webHidden/>
              </w:rPr>
              <w:instrText xml:space="preserve"> PAGEREF _Toc46306976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3042C343" w14:textId="77777777">
          <w:pPr>
            <w:pStyle w:val="TOC2"/>
            <w:rPr>
              <w:rFonts w:eastAsiaTheme="minorEastAsia"/>
              <w:noProof/>
              <w:color w:val="auto"/>
            </w:rPr>
          </w:pPr>
          <w:hyperlink w:history="1" w:anchor="_Toc46306977">
            <w:r w:rsidRPr="00AE47EA" w:rsidR="00226E41">
              <w:rPr>
                <w:rStyle w:val="Hyperlink"/>
                <w:noProof/>
              </w:rPr>
              <w:t>A.12. Estimate of Respondent Burden Hours and Cost</w:t>
            </w:r>
            <w:r w:rsidR="00226E41">
              <w:rPr>
                <w:noProof/>
                <w:webHidden/>
              </w:rPr>
              <w:tab/>
            </w:r>
            <w:r w:rsidR="00226E41">
              <w:rPr>
                <w:noProof/>
                <w:webHidden/>
              </w:rPr>
              <w:fldChar w:fldCharType="begin"/>
            </w:r>
            <w:r w:rsidR="00226E41">
              <w:rPr>
                <w:noProof/>
                <w:webHidden/>
              </w:rPr>
              <w:instrText xml:space="preserve"> PAGEREF _Toc46306977 \h </w:instrText>
            </w:r>
            <w:r w:rsidR="00226E41">
              <w:rPr>
                <w:noProof/>
                <w:webHidden/>
              </w:rPr>
            </w:r>
            <w:r w:rsidR="00226E41">
              <w:rPr>
                <w:noProof/>
                <w:webHidden/>
              </w:rPr>
              <w:fldChar w:fldCharType="separate"/>
            </w:r>
            <w:r w:rsidR="00226E41">
              <w:rPr>
                <w:noProof/>
                <w:webHidden/>
              </w:rPr>
              <w:t>6</w:t>
            </w:r>
            <w:r w:rsidR="00226E41">
              <w:rPr>
                <w:noProof/>
                <w:webHidden/>
              </w:rPr>
              <w:fldChar w:fldCharType="end"/>
            </w:r>
          </w:hyperlink>
        </w:p>
        <w:p w:rsidR="00226E41" w:rsidRDefault="00C36BF7" w14:paraId="0C49A1DB" w14:textId="77777777">
          <w:pPr>
            <w:pStyle w:val="TOC2"/>
            <w:rPr>
              <w:rFonts w:eastAsiaTheme="minorEastAsia"/>
              <w:noProof/>
              <w:color w:val="auto"/>
            </w:rPr>
          </w:pPr>
          <w:hyperlink w:history="1" w:anchor="_Toc46306978">
            <w:r w:rsidRPr="00AE47EA" w:rsidR="00226E41">
              <w:rPr>
                <w:rStyle w:val="Hyperlink"/>
                <w:noProof/>
              </w:rPr>
              <w:t>A.13. Annual Cost to the Federal Government</w:t>
            </w:r>
            <w:r w:rsidR="00226E41">
              <w:rPr>
                <w:noProof/>
                <w:webHidden/>
              </w:rPr>
              <w:tab/>
            </w:r>
            <w:r w:rsidR="00226E41">
              <w:rPr>
                <w:noProof/>
                <w:webHidden/>
              </w:rPr>
              <w:fldChar w:fldCharType="begin"/>
            </w:r>
            <w:r w:rsidR="00226E41">
              <w:rPr>
                <w:noProof/>
                <w:webHidden/>
              </w:rPr>
              <w:instrText xml:space="preserve"> PAGEREF _Toc46306978 \h </w:instrText>
            </w:r>
            <w:r w:rsidR="00226E41">
              <w:rPr>
                <w:noProof/>
                <w:webHidden/>
              </w:rPr>
            </w:r>
            <w:r w:rsidR="00226E41">
              <w:rPr>
                <w:noProof/>
                <w:webHidden/>
              </w:rPr>
              <w:fldChar w:fldCharType="separate"/>
            </w:r>
            <w:r w:rsidR="00226E41">
              <w:rPr>
                <w:noProof/>
                <w:webHidden/>
              </w:rPr>
              <w:t>7</w:t>
            </w:r>
            <w:r w:rsidR="00226E41">
              <w:rPr>
                <w:noProof/>
                <w:webHidden/>
              </w:rPr>
              <w:fldChar w:fldCharType="end"/>
            </w:r>
          </w:hyperlink>
        </w:p>
        <w:p w:rsidR="00226E41" w:rsidRDefault="00C36BF7" w14:paraId="7FD31117" w14:textId="77777777">
          <w:pPr>
            <w:pStyle w:val="TOC2"/>
            <w:rPr>
              <w:rFonts w:eastAsiaTheme="minorEastAsia"/>
              <w:noProof/>
              <w:color w:val="auto"/>
            </w:rPr>
          </w:pPr>
          <w:hyperlink w:history="1" w:anchor="_Toc46306979">
            <w:r w:rsidRPr="00AE47EA" w:rsidR="00226E41">
              <w:rPr>
                <w:rStyle w:val="Hyperlink"/>
                <w:noProof/>
              </w:rPr>
              <w:t>A.14. Changes in Burden</w:t>
            </w:r>
            <w:r w:rsidR="00226E41">
              <w:rPr>
                <w:noProof/>
                <w:webHidden/>
              </w:rPr>
              <w:tab/>
            </w:r>
            <w:r w:rsidR="00226E41">
              <w:rPr>
                <w:noProof/>
                <w:webHidden/>
              </w:rPr>
              <w:fldChar w:fldCharType="begin"/>
            </w:r>
            <w:r w:rsidR="00226E41">
              <w:rPr>
                <w:noProof/>
                <w:webHidden/>
              </w:rPr>
              <w:instrText xml:space="preserve"> PAGEREF _Toc46306979 \h </w:instrText>
            </w:r>
            <w:r w:rsidR="00226E41">
              <w:rPr>
                <w:noProof/>
                <w:webHidden/>
              </w:rPr>
            </w:r>
            <w:r w:rsidR="00226E41">
              <w:rPr>
                <w:noProof/>
                <w:webHidden/>
              </w:rPr>
              <w:fldChar w:fldCharType="separate"/>
            </w:r>
            <w:r w:rsidR="00226E41">
              <w:rPr>
                <w:noProof/>
                <w:webHidden/>
              </w:rPr>
              <w:t>8</w:t>
            </w:r>
            <w:r w:rsidR="00226E41">
              <w:rPr>
                <w:noProof/>
                <w:webHidden/>
              </w:rPr>
              <w:fldChar w:fldCharType="end"/>
            </w:r>
          </w:hyperlink>
        </w:p>
        <w:p w:rsidR="00226E41" w:rsidRDefault="00C36BF7" w14:paraId="5F43AAF2" w14:textId="77777777">
          <w:pPr>
            <w:pStyle w:val="TOC2"/>
            <w:rPr>
              <w:rFonts w:eastAsiaTheme="minorEastAsia"/>
              <w:noProof/>
              <w:color w:val="auto"/>
            </w:rPr>
          </w:pPr>
          <w:hyperlink w:history="1" w:anchor="_Toc46306980">
            <w:r w:rsidRPr="00AE47EA" w:rsidR="00226E41">
              <w:rPr>
                <w:rStyle w:val="Hyperlink"/>
                <w:noProof/>
              </w:rPr>
              <w:t>A.15. Reasons for Changes in Burden</w:t>
            </w:r>
            <w:r w:rsidR="00226E41">
              <w:rPr>
                <w:noProof/>
                <w:webHidden/>
              </w:rPr>
              <w:tab/>
            </w:r>
            <w:r w:rsidR="00226E41">
              <w:rPr>
                <w:noProof/>
                <w:webHidden/>
              </w:rPr>
              <w:fldChar w:fldCharType="begin"/>
            </w:r>
            <w:r w:rsidR="00226E41">
              <w:rPr>
                <w:noProof/>
                <w:webHidden/>
              </w:rPr>
              <w:instrText xml:space="preserve"> PAGEREF _Toc46306980 \h </w:instrText>
            </w:r>
            <w:r w:rsidR="00226E41">
              <w:rPr>
                <w:noProof/>
                <w:webHidden/>
              </w:rPr>
            </w:r>
            <w:r w:rsidR="00226E41">
              <w:rPr>
                <w:noProof/>
                <w:webHidden/>
              </w:rPr>
              <w:fldChar w:fldCharType="separate"/>
            </w:r>
            <w:r w:rsidR="00226E41">
              <w:rPr>
                <w:noProof/>
                <w:webHidden/>
              </w:rPr>
              <w:t>9</w:t>
            </w:r>
            <w:r w:rsidR="00226E41">
              <w:rPr>
                <w:noProof/>
                <w:webHidden/>
              </w:rPr>
              <w:fldChar w:fldCharType="end"/>
            </w:r>
          </w:hyperlink>
        </w:p>
        <w:p w:rsidR="00226E41" w:rsidRDefault="00C36BF7" w14:paraId="4201EF0A" w14:textId="77777777">
          <w:pPr>
            <w:pStyle w:val="TOC2"/>
            <w:rPr>
              <w:rFonts w:eastAsiaTheme="minorEastAsia"/>
              <w:noProof/>
              <w:color w:val="auto"/>
            </w:rPr>
          </w:pPr>
          <w:hyperlink w:history="1" w:anchor="_Toc46306981">
            <w:r w:rsidRPr="00AE47EA" w:rsidR="00226E41">
              <w:rPr>
                <w:rStyle w:val="Hyperlink"/>
                <w:noProof/>
              </w:rPr>
              <w:t>A.16. Collection, Tabulation, and Publication Plans</w:t>
            </w:r>
            <w:r w:rsidR="00226E41">
              <w:rPr>
                <w:noProof/>
                <w:webHidden/>
              </w:rPr>
              <w:tab/>
            </w:r>
            <w:r w:rsidR="00226E41">
              <w:rPr>
                <w:noProof/>
                <w:webHidden/>
              </w:rPr>
              <w:fldChar w:fldCharType="begin"/>
            </w:r>
            <w:r w:rsidR="00226E41">
              <w:rPr>
                <w:noProof/>
                <w:webHidden/>
              </w:rPr>
              <w:instrText xml:space="preserve"> PAGEREF _Toc46306981 \h </w:instrText>
            </w:r>
            <w:r w:rsidR="00226E41">
              <w:rPr>
                <w:noProof/>
                <w:webHidden/>
              </w:rPr>
            </w:r>
            <w:r w:rsidR="00226E41">
              <w:rPr>
                <w:noProof/>
                <w:webHidden/>
              </w:rPr>
              <w:fldChar w:fldCharType="separate"/>
            </w:r>
            <w:r w:rsidR="00226E41">
              <w:rPr>
                <w:noProof/>
                <w:webHidden/>
              </w:rPr>
              <w:t>9</w:t>
            </w:r>
            <w:r w:rsidR="00226E41">
              <w:rPr>
                <w:noProof/>
                <w:webHidden/>
              </w:rPr>
              <w:fldChar w:fldCharType="end"/>
            </w:r>
          </w:hyperlink>
        </w:p>
        <w:p w:rsidR="00226E41" w:rsidRDefault="00C36BF7" w14:paraId="5F3C2667" w14:textId="77777777">
          <w:pPr>
            <w:pStyle w:val="TOC2"/>
            <w:rPr>
              <w:rFonts w:eastAsiaTheme="minorEastAsia"/>
              <w:noProof/>
              <w:color w:val="auto"/>
            </w:rPr>
          </w:pPr>
          <w:hyperlink w:history="1" w:anchor="_Toc46306982">
            <w:r w:rsidRPr="00AE47EA" w:rsidR="00226E41">
              <w:rPr>
                <w:rStyle w:val="Hyperlink"/>
                <w:noProof/>
              </w:rPr>
              <w:t>A.17. OMB Number and Expiration Date</w:t>
            </w:r>
            <w:r w:rsidR="00226E41">
              <w:rPr>
                <w:noProof/>
                <w:webHidden/>
              </w:rPr>
              <w:tab/>
            </w:r>
            <w:r w:rsidR="00226E41">
              <w:rPr>
                <w:noProof/>
                <w:webHidden/>
              </w:rPr>
              <w:fldChar w:fldCharType="begin"/>
            </w:r>
            <w:r w:rsidR="00226E41">
              <w:rPr>
                <w:noProof/>
                <w:webHidden/>
              </w:rPr>
              <w:instrText xml:space="preserve"> PAGEREF _Toc46306982 \h </w:instrText>
            </w:r>
            <w:r w:rsidR="00226E41">
              <w:rPr>
                <w:noProof/>
                <w:webHidden/>
              </w:rPr>
            </w:r>
            <w:r w:rsidR="00226E41">
              <w:rPr>
                <w:noProof/>
                <w:webHidden/>
              </w:rPr>
              <w:fldChar w:fldCharType="separate"/>
            </w:r>
            <w:r w:rsidR="00226E41">
              <w:rPr>
                <w:noProof/>
                <w:webHidden/>
              </w:rPr>
              <w:t>9</w:t>
            </w:r>
            <w:r w:rsidR="00226E41">
              <w:rPr>
                <w:noProof/>
                <w:webHidden/>
              </w:rPr>
              <w:fldChar w:fldCharType="end"/>
            </w:r>
          </w:hyperlink>
        </w:p>
        <w:p w:rsidR="00226E41" w:rsidRDefault="00C36BF7" w14:paraId="219A1A1B" w14:textId="77777777">
          <w:pPr>
            <w:pStyle w:val="TOC2"/>
            <w:rPr>
              <w:rFonts w:eastAsiaTheme="minorEastAsia"/>
              <w:noProof/>
              <w:color w:val="auto"/>
            </w:rPr>
          </w:pPr>
          <w:hyperlink w:history="1" w:anchor="_Toc46306983">
            <w:r w:rsidRPr="00AE47EA" w:rsidR="00226E41">
              <w:rPr>
                <w:rStyle w:val="Hyperlink"/>
                <w:noProof/>
              </w:rPr>
              <w:t>A.18. Certification Statement</w:t>
            </w:r>
            <w:r w:rsidR="00226E41">
              <w:rPr>
                <w:noProof/>
                <w:webHidden/>
              </w:rPr>
              <w:tab/>
            </w:r>
            <w:r w:rsidR="00226E41">
              <w:rPr>
                <w:noProof/>
                <w:webHidden/>
              </w:rPr>
              <w:fldChar w:fldCharType="begin"/>
            </w:r>
            <w:r w:rsidR="00226E41">
              <w:rPr>
                <w:noProof/>
                <w:webHidden/>
              </w:rPr>
              <w:instrText xml:space="preserve"> PAGEREF _Toc46306983 \h </w:instrText>
            </w:r>
            <w:r w:rsidR="00226E41">
              <w:rPr>
                <w:noProof/>
                <w:webHidden/>
              </w:rPr>
            </w:r>
            <w:r w:rsidR="00226E41">
              <w:rPr>
                <w:noProof/>
                <w:webHidden/>
              </w:rPr>
              <w:fldChar w:fldCharType="separate"/>
            </w:r>
            <w:r w:rsidR="00226E41">
              <w:rPr>
                <w:noProof/>
                <w:webHidden/>
              </w:rPr>
              <w:t>9</w:t>
            </w:r>
            <w:r w:rsidR="00226E41">
              <w:rPr>
                <w:noProof/>
                <w:webHidden/>
              </w:rPr>
              <w:fldChar w:fldCharType="end"/>
            </w:r>
          </w:hyperlink>
        </w:p>
        <w:p w:rsidR="0059212D" w:rsidRDefault="0059212D" w14:paraId="7642A207" w14:textId="77777777">
          <w:r>
            <w:rPr>
              <w:b/>
              <w:bCs/>
              <w:noProof/>
            </w:rPr>
            <w:fldChar w:fldCharType="end"/>
          </w:r>
        </w:p>
      </w:sdtContent>
    </w:sdt>
    <w:p w:rsidR="001F3A8F" w:rsidP="00D928FD" w:rsidRDefault="001F3A8F" w14:paraId="7642A208" w14:textId="77777777"/>
    <w:p w:rsidR="00D928FD" w:rsidP="00D928FD" w:rsidRDefault="00D928FD" w14:paraId="7642A209"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7642A20A" w14:textId="77777777">
      <w:pPr>
        <w:spacing w:line="240" w:lineRule="auto"/>
      </w:pPr>
    </w:p>
    <w:p w:rsidR="00933D5D" w:rsidP="00933D5D" w:rsidRDefault="00933D5D" w14:paraId="7642A20B" w14:textId="77777777">
      <w:pPr>
        <w:tabs>
          <w:tab w:val="left" w:pos="7365"/>
        </w:tabs>
      </w:pPr>
      <w:r>
        <w:tab/>
      </w:r>
    </w:p>
    <w:p w:rsidRPr="00933D5D" w:rsidR="00041909" w:rsidP="00933D5D" w:rsidRDefault="00933D5D" w14:paraId="7642A20C"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Pr="00A41763" w:rsidR="00844524" w:rsidP="00844524" w:rsidRDefault="004C774D" w14:paraId="7642A211" w14:textId="7ADA487B">
      <w:r>
        <w:rPr>
          <w:b/>
          <w:bCs/>
        </w:rPr>
        <w:lastRenderedPageBreak/>
        <w:t xml:space="preserve"> </w:t>
      </w:r>
    </w:p>
    <w:p w:rsidR="008C734C" w:rsidP="00844524" w:rsidRDefault="008C734C" w14:paraId="7642A212" w14:textId="1E7BDAC2">
      <w:pPr>
        <w:pStyle w:val="Heading2"/>
      </w:pPr>
      <w:bookmarkStart w:name="_Toc46306965" w:id="1"/>
      <w:r>
        <w:t>Introdu</w:t>
      </w:r>
      <w:r w:rsidR="00844524">
        <w:t>ction</w:t>
      </w:r>
      <w:bookmarkEnd w:id="1"/>
    </w:p>
    <w:p w:rsidRPr="004C774D" w:rsidR="004C774D" w:rsidP="004C774D" w:rsidRDefault="004C774D" w14:paraId="79C9BE65" w14:textId="77777777">
      <w:r w:rsidRPr="004C774D">
        <w:t>The U.S. Energy Information Administration (EIA) is the statistical and analytical agency within the Department of Energy (DOE). It collects, analyzes, and disseminates independent and impartial energy information to promote sound policymaking, efficient markets, and public understanding regarding energy and its interaction with the economy and the environment.</w:t>
      </w:r>
      <w:r w:rsidRPr="004C774D">
        <w:rPr>
          <w:i/>
        </w:rPr>
        <w:t xml:space="preserve"> </w:t>
      </w:r>
      <w:r w:rsidRPr="004C774D">
        <w:t xml:space="preserve">EIA is required to </w:t>
      </w:r>
      <w:r w:rsidRPr="004C774D">
        <w:rPr>
          <w:noProof/>
        </w:rPr>
        <w:t>publish</w:t>
      </w:r>
      <w:r w:rsidRPr="004C774D">
        <w:t xml:space="preserve"> and otherwise make available independent, high-quality statistical data to federal government agencies, state and local governments, the energy industry, researchers, and interested parties through the EIA website. </w:t>
      </w:r>
    </w:p>
    <w:p w:rsidRPr="004C774D" w:rsidR="004C774D" w:rsidP="004C774D" w:rsidRDefault="004C774D" w14:paraId="4B9A3269" w14:textId="3976056F">
      <w:r w:rsidRPr="004C774D">
        <w:t xml:space="preserve">EIA is requesting a three-year extension with no changes to Form EIA-111 </w:t>
      </w:r>
      <w:r w:rsidRPr="004C774D">
        <w:rPr>
          <w:i/>
        </w:rPr>
        <w:t xml:space="preserve">Quarterly Electricity </w:t>
      </w:r>
      <w:r w:rsidRPr="004C774D">
        <w:rPr>
          <w:i/>
          <w:noProof/>
        </w:rPr>
        <w:t>Imports</w:t>
      </w:r>
      <w:r w:rsidRPr="004C774D">
        <w:rPr>
          <w:i/>
        </w:rPr>
        <w:t xml:space="preserve"> and Exports Report</w:t>
      </w:r>
      <w:r w:rsidRPr="004C774D">
        <w:t>. Form EIA-111 collects U. S. electricity import and export data for the purpose of measuring the flow of electricity into and out of the United States from Canada and Mexico. U.S. purchasers, sellers, and transmitters of wholesale electricity are required to report their data to EIA. These include:</w:t>
      </w:r>
    </w:p>
    <w:p w:rsidRPr="004C774D" w:rsidR="004C774D" w:rsidP="00FC1EB5" w:rsidRDefault="004C774D" w14:paraId="758CBA96" w14:textId="77777777">
      <w:pPr>
        <w:numPr>
          <w:ilvl w:val="0"/>
          <w:numId w:val="9"/>
        </w:numPr>
        <w:contextualSpacing/>
        <w:rPr>
          <w:rFonts w:eastAsia="Times New Roman" w:cs="Arial"/>
          <w:sz w:val="18"/>
          <w:szCs w:val="18"/>
        </w:rPr>
      </w:pPr>
      <w:r w:rsidRPr="004C774D">
        <w:t xml:space="preserve">persons authorized by Order of DOE’s Office of Electricity Delivery &amp; Energy Reliability (DOE-OE) to export electric energy from the United States to foreign countries; </w:t>
      </w:r>
    </w:p>
    <w:p w:rsidRPr="004C774D" w:rsidR="004C774D" w:rsidP="00FC1EB5" w:rsidRDefault="004C774D" w14:paraId="32DF0188" w14:textId="77777777">
      <w:pPr>
        <w:numPr>
          <w:ilvl w:val="0"/>
          <w:numId w:val="9"/>
        </w:numPr>
        <w:contextualSpacing/>
        <w:rPr>
          <w:rFonts w:eastAsia="Times New Roman" w:cs="Arial"/>
          <w:sz w:val="18"/>
          <w:szCs w:val="18"/>
        </w:rPr>
      </w:pPr>
      <w:r w:rsidRPr="004C774D">
        <w:t>persons authorized by Presidential Permit to construct, operate, maintain, or connect electric power transmission lines that cross the U.S. international border; and,</w:t>
      </w:r>
    </w:p>
    <w:p w:rsidRPr="004C774D" w:rsidR="004C774D" w:rsidP="00FC1EB5" w:rsidRDefault="004C774D" w14:paraId="304A8DC2" w14:textId="77777777">
      <w:pPr>
        <w:numPr>
          <w:ilvl w:val="0"/>
          <w:numId w:val="9"/>
        </w:numPr>
        <w:contextualSpacing/>
        <w:rPr>
          <w:rFonts w:eastAsia="Times New Roman" w:cs="Arial"/>
          <w:sz w:val="18"/>
          <w:szCs w:val="18"/>
        </w:rPr>
      </w:pPr>
      <w:r w:rsidRPr="004C774D">
        <w:t xml:space="preserve">U.S. Balancing Authorities that are interconnected with foreign Balancing Authorities. </w:t>
      </w:r>
    </w:p>
    <w:p w:rsidR="006D3D3B" w:rsidP="004C774D" w:rsidRDefault="006D3D3B" w14:paraId="7082B439" w14:textId="77777777"/>
    <w:p w:rsidRPr="004C774D" w:rsidR="004C774D" w:rsidP="004C774D" w:rsidRDefault="004C774D" w14:paraId="372D0CAA" w14:textId="77777777">
      <w:pPr>
        <w:rPr>
          <w:rFonts w:eastAsia="Times New Roman" w:cs="Arial"/>
          <w:sz w:val="18"/>
          <w:szCs w:val="18"/>
        </w:rPr>
      </w:pPr>
      <w:r w:rsidRPr="004C774D">
        <w:t>Respondents report, each quarter, monthly flows of electric energy received or delivered across the border, the cost associated with the transactions, and actual (energy transfers that cross Balancing Authority boundaries) and implemented interchange (</w:t>
      </w:r>
      <w:r w:rsidRPr="004C774D">
        <w:rPr>
          <w:rFonts w:eastAsia="Times New Roman" w:cs="Arial"/>
        </w:rPr>
        <w:t>the state where the Balancing Authority enters the Confirmed Interchange into its Area Control Error equation).</w:t>
      </w:r>
      <w:r w:rsidRPr="004C774D">
        <w:t xml:space="preserve"> Responses to this form are mandatory.</w:t>
      </w:r>
    </w:p>
    <w:p w:rsidRPr="00A41763" w:rsidR="00A41763" w:rsidP="00A41763" w:rsidRDefault="00A41763" w14:paraId="7642A215" w14:textId="77777777"/>
    <w:p w:rsidR="008C734C" w:rsidP="008C734C" w:rsidRDefault="008C734C" w14:paraId="7642A216" w14:textId="77777777">
      <w:pPr>
        <w:pStyle w:val="Heading2"/>
      </w:pPr>
      <w:bookmarkStart w:name="_Toc46306966" w:id="2"/>
      <w:r>
        <w:t>A.1. Legal Justification</w:t>
      </w:r>
      <w:bookmarkEnd w:id="2"/>
    </w:p>
    <w:p w:rsidRPr="002D5E90" w:rsidR="00FC1EB5" w:rsidP="00FC1EB5" w:rsidRDefault="00FC1EB5" w14:paraId="1D5DAA0D" w14:textId="241BE2C3">
      <w:pPr>
        <w:ind w:left="360" w:hanging="360"/>
      </w:pPr>
      <w:r w:rsidRPr="002D5E90">
        <w:t>The</w:t>
      </w:r>
      <w:r w:rsidR="00941B3A">
        <w:t xml:space="preserve"> </w:t>
      </w:r>
      <w:r w:rsidRPr="00941B3A" w:rsidR="00941B3A">
        <w:t>authority for this information collection is provided by the following general provisions</w:t>
      </w:r>
      <w:r w:rsidRPr="002D5E90">
        <w:t>:</w:t>
      </w:r>
    </w:p>
    <w:p w:rsidRPr="007B54C0" w:rsidR="00941B3A" w:rsidP="007B54C0" w:rsidRDefault="00941B3A" w14:paraId="523EAD22" w14:textId="6DE14A57">
      <w:pPr>
        <w:pStyle w:val="ListParagraph"/>
        <w:numPr>
          <w:ilvl w:val="0"/>
          <w:numId w:val="15"/>
        </w:numPr>
        <w:spacing w:before="240"/>
        <w:jc w:val="both"/>
        <w:rPr>
          <w:rFonts w:ascii="Calibri" w:hAnsi="Calibri" w:eastAsia="Calibri" w:cs="Times New Roman"/>
        </w:rPr>
      </w:pPr>
      <w:r>
        <w:t>Title 15 U.S. Code §772, which established the mandatory requirement of owners and</w:t>
      </w:r>
      <w:r w:rsidRPr="003F3A1B">
        <w:t xml:space="preserve"> operators of businesses </w:t>
      </w:r>
      <w:r>
        <w:t>in the U.S. to report energy supply and consumption data to the EIA Administrator.</w:t>
      </w:r>
    </w:p>
    <w:p w:rsidRPr="007B54C0" w:rsidR="00941B3A" w:rsidP="007B54C0" w:rsidRDefault="00941B3A" w14:paraId="76EDDEEB" w14:textId="77777777">
      <w:pPr>
        <w:pStyle w:val="ListParagraph"/>
        <w:numPr>
          <w:ilvl w:val="0"/>
          <w:numId w:val="0"/>
        </w:numPr>
        <w:spacing w:before="240"/>
        <w:ind w:left="720"/>
        <w:jc w:val="both"/>
        <w:rPr>
          <w:rFonts w:ascii="Calibri" w:hAnsi="Calibri" w:eastAsia="Calibri" w:cs="Times New Roman"/>
        </w:rPr>
      </w:pPr>
    </w:p>
    <w:p w:rsidRPr="007B54C0" w:rsidR="00941B3A" w:rsidP="007B54C0" w:rsidRDefault="00941B3A" w14:paraId="6ADEE6CB" w14:textId="3C7DCD83">
      <w:pPr>
        <w:pStyle w:val="ListParagraph"/>
        <w:numPr>
          <w:ilvl w:val="0"/>
          <w:numId w:val="15"/>
        </w:numPr>
        <w:spacing w:before="240"/>
        <w:jc w:val="both"/>
        <w:rPr>
          <w:rFonts w:ascii="Calibri" w:hAnsi="Calibri" w:eastAsia="Calibri" w:cs="Times New Roman"/>
        </w:rPr>
      </w:pPr>
      <w:r>
        <w:t>Title 15 U.S. Code §764, which established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Pr="007B54C0" w:rsidR="00941B3A" w:rsidP="007B54C0" w:rsidRDefault="00941B3A" w14:paraId="4141E452" w14:textId="77777777">
      <w:pPr>
        <w:pStyle w:val="ListParagraph"/>
        <w:numPr>
          <w:ilvl w:val="0"/>
          <w:numId w:val="0"/>
        </w:numPr>
        <w:ind w:left="1080"/>
        <w:rPr>
          <w:rFonts w:ascii="Calibri" w:hAnsi="Calibri" w:eastAsia="Calibri" w:cs="Times New Roman"/>
        </w:rPr>
      </w:pPr>
    </w:p>
    <w:p w:rsidRPr="00C608D5" w:rsidR="00941B3A" w:rsidP="00941B3A" w:rsidRDefault="00941B3A" w14:paraId="48BA1713" w14:textId="77777777">
      <w:pPr>
        <w:pStyle w:val="ListParagraph"/>
        <w:numPr>
          <w:ilvl w:val="0"/>
          <w:numId w:val="15"/>
        </w:numPr>
        <w:spacing w:before="240"/>
        <w:jc w:val="both"/>
        <w:rPr>
          <w:rFonts w:ascii="Calibri" w:hAnsi="Calibri" w:eastAsia="Calibri" w:cs="Times New Roman"/>
        </w:rPr>
      </w:pPr>
      <w:r>
        <w:lastRenderedPageBreak/>
        <w:t>Title 15 U.S. Code §790a, which e</w:t>
      </w:r>
      <w:r w:rsidRPr="00183336">
        <w:t>stablishe</w:t>
      </w:r>
      <w:r>
        <w:t>d</w:t>
      </w:r>
      <w:r w:rsidRPr="00183336">
        <w:t xml:space="preserve"> </w:t>
      </w:r>
      <w:r>
        <w:t xml:space="preserve">the </w:t>
      </w:r>
      <w:r w:rsidRPr="00183336">
        <w:t>National Energy Info</w:t>
      </w:r>
      <w:r>
        <w:t>rmation System (NEIS) that is the enclave containing the energy data collected by EIA, which allows EIA to describe and analyze</w:t>
      </w:r>
      <w:r w:rsidRPr="00183336">
        <w:t xml:space="preserve"> energy supply and consumption </w:t>
      </w:r>
      <w:r>
        <w:t>in the U.S.</w:t>
      </w:r>
      <w:r>
        <w:rPr>
          <w:i/>
        </w:rPr>
        <w:t xml:space="preserve">  </w:t>
      </w:r>
      <w:r>
        <w:t xml:space="preserve">NEIS allows EIA </w:t>
      </w:r>
      <w:r w:rsidRPr="00183336">
        <w:t>to</w:t>
      </w:r>
      <w:r>
        <w:t xml:space="preserve"> perform </w:t>
      </w:r>
      <w:r w:rsidRPr="00183336">
        <w:t>statistical and forecasting act</w:t>
      </w:r>
      <w:r>
        <w:t>ivities to meet the needs of the U.S. Department of Energy and Congress</w:t>
      </w:r>
      <w:r w:rsidRPr="00694507">
        <w:t>, as well as the needs of the States to the extent required by the Natural Gas Act [Title 15 U.S. Code §717 et seq.] and the Federal Power Act [Title 16 U.S. Code §791a et seq.].</w:t>
      </w:r>
    </w:p>
    <w:p w:rsidR="007B54C0" w:rsidP="00FC1EB5" w:rsidRDefault="007B54C0" w14:paraId="3822FE54" w14:textId="77777777">
      <w:pPr>
        <w:contextualSpacing/>
      </w:pPr>
    </w:p>
    <w:p w:rsidR="00FC1EB5" w:rsidP="00FC1EB5" w:rsidRDefault="00FC1EB5" w14:paraId="609C728D" w14:textId="19978483">
      <w:pPr>
        <w:contextualSpacing/>
      </w:pPr>
      <w:r>
        <w:t xml:space="preserve">The DOE’s authority to regulate electricity exports from the United States to foreign countries is provided by </w:t>
      </w:r>
      <w:r w:rsidR="00E879DF">
        <w:t xml:space="preserve">Section </w:t>
      </w:r>
      <w:r>
        <w:t>202(e) of the Federal Power Act (FPA) (</w:t>
      </w:r>
      <w:r w:rsidR="00F83A39">
        <w:t xml:space="preserve">codified as </w:t>
      </w:r>
      <w:r>
        <w:t>16 U.S.C. §824e</w:t>
      </w:r>
      <w:r w:rsidR="00E879DF">
        <w:t>)</w:t>
      </w:r>
      <w:r>
        <w:t xml:space="preserve"> and regulations thereunder (10 C.F.R. § 205.300 </w:t>
      </w:r>
      <w:r w:rsidRPr="007A14B6">
        <w:rPr>
          <w:i/>
        </w:rPr>
        <w:t>et seq</w:t>
      </w:r>
      <w:r>
        <w:t xml:space="preserve">.) </w:t>
      </w:r>
    </w:p>
    <w:p w:rsidR="00FC1EB5" w:rsidP="00FC1EB5" w:rsidRDefault="00FC1EB5" w14:paraId="6CE36549" w14:textId="77777777">
      <w:pPr>
        <w:contextualSpacing/>
      </w:pPr>
    </w:p>
    <w:p w:rsidR="00FC1EB5" w:rsidP="00FC1EB5" w:rsidRDefault="003F669D" w14:paraId="6AB18818" w14:textId="368E580B">
      <w:pPr>
        <w:contextualSpacing/>
      </w:pPr>
      <w:r>
        <w:t xml:space="preserve">16 U.S.C. §824(e) states that </w:t>
      </w:r>
      <w:r w:rsidR="00FC1EB5">
        <w:t xml:space="preserve"> DOE “shall issue such order upon application unless, after opportunity for hearing, it finds that the proposed transmission would impair the sufficiency of electric supply within the United States or would impede or tend to impede the coordination in the public interest of facilities subject to the jurisdiction of [DOE}.” DOE has discretion to condition the order as necessary or appropriate, DOE “may by its order grant such application in whole or in part, with such modifications and upon such terms and conditions as the [DOE] may find necessary or appropriate.”</w:t>
      </w:r>
    </w:p>
    <w:p w:rsidRPr="002D5E90" w:rsidR="00FC1EB5" w:rsidP="00FC1EB5" w:rsidRDefault="00FC1EB5" w14:paraId="37BEF42F" w14:textId="77777777">
      <w:pPr>
        <w:contextualSpacing/>
      </w:pPr>
    </w:p>
    <w:p w:rsidRPr="002D5E90" w:rsidR="00FC1EB5" w:rsidP="00FC1EB5" w:rsidRDefault="00FC1EB5" w14:paraId="33AA8565" w14:textId="0DD46209">
      <w:pPr>
        <w:contextualSpacing/>
      </w:pPr>
      <w:r>
        <w:t>DOE has the responsibility for implementing Executive Order (EO) 10485, as amended by E.O. 12038, which delegates to DOE</w:t>
      </w:r>
      <w:r w:rsidR="00E879DF">
        <w:t xml:space="preserve">’s Office of </w:t>
      </w:r>
      <w:r w:rsidR="00414212">
        <w:t>Electricity</w:t>
      </w:r>
      <w:r w:rsidR="00A21693">
        <w:t xml:space="preserve"> Deliverability</w:t>
      </w:r>
      <w:r w:rsidR="005F24A5">
        <w:t xml:space="preserve"> </w:t>
      </w:r>
      <w:r w:rsidRPr="004C774D" w:rsidR="005F24A5">
        <w:t>&amp; Energy Reliability</w:t>
      </w:r>
      <w:r w:rsidR="00E879DF">
        <w:t>,</w:t>
      </w:r>
      <w:r>
        <w:t xml:space="preserve"> the authority to issue Presidential permits for the Construction, operation, maintenance, or connection of electric transmission facilities at the United States international borders. DOE may issue such a permit if it determines that issuance of the permit is in the public interest and after obtaining favorable recommendations from the U.S. Departments of State and Defense.</w:t>
      </w:r>
    </w:p>
    <w:p w:rsidRPr="00A41763" w:rsidR="008C734C" w:rsidP="00A41763" w:rsidRDefault="008C734C" w14:paraId="7642A21A" w14:textId="77777777"/>
    <w:p w:rsidR="008C734C" w:rsidP="008C734C" w:rsidRDefault="008C734C" w14:paraId="7642A21B" w14:textId="77777777">
      <w:pPr>
        <w:pStyle w:val="Heading2"/>
      </w:pPr>
      <w:bookmarkStart w:name="_Toc46306967" w:id="3"/>
      <w:r>
        <w:t>A.2. Needs and Uses of Data</w:t>
      </w:r>
      <w:bookmarkEnd w:id="3"/>
    </w:p>
    <w:p w:rsidRPr="00FC1EB5" w:rsidR="00FC1EB5" w:rsidP="00FC1EB5" w:rsidRDefault="00FC1EB5" w14:paraId="3BF440B0" w14:textId="77777777">
      <w:r w:rsidRPr="00FC1EB5">
        <w:t xml:space="preserve">Form EIA-111 collects </w:t>
      </w:r>
      <w:r w:rsidRPr="00FC1EB5">
        <w:rPr>
          <w:rFonts w:cs="Times New Roman"/>
        </w:rPr>
        <w:t>U.S. electricity import and export data. The data are used to generate accurate estimates of the flow of electricity into and out of the United States.</w:t>
      </w:r>
    </w:p>
    <w:p w:rsidRPr="00FC1EB5" w:rsidR="00FC1EB5" w:rsidP="00FC1EB5" w:rsidRDefault="00FC1EB5" w14:paraId="246281A5" w14:textId="77777777">
      <w:pPr>
        <w:keepNext/>
        <w:keepLines/>
        <w:numPr>
          <w:ilvl w:val="3"/>
          <w:numId w:val="0"/>
        </w:numPr>
        <w:spacing w:before="200" w:after="0" w:line="240" w:lineRule="auto"/>
        <w:outlineLvl w:val="3"/>
        <w:rPr>
          <w:b/>
        </w:rPr>
      </w:pPr>
      <w:bookmarkStart w:name="_Toc524334487" w:id="4"/>
      <w:bookmarkStart w:name="_Toc524334569" w:id="5"/>
      <w:bookmarkStart w:name="_Toc524334717" w:id="6"/>
      <w:bookmarkStart w:name="_Toc524334910" w:id="7"/>
      <w:r w:rsidRPr="00FC1EB5">
        <w:rPr>
          <w:b/>
        </w:rPr>
        <w:t xml:space="preserve">2.1. Overview of Data </w:t>
      </w:r>
      <w:r w:rsidRPr="00FC1EB5">
        <w:rPr>
          <w:b/>
          <w:noProof/>
        </w:rPr>
        <w:t>Uses</w:t>
      </w:r>
      <w:bookmarkEnd w:id="4"/>
      <w:bookmarkEnd w:id="5"/>
      <w:bookmarkEnd w:id="6"/>
      <w:bookmarkEnd w:id="7"/>
    </w:p>
    <w:p w:rsidRPr="00FC1EB5" w:rsidR="00FC1EB5" w:rsidP="00FC1EB5" w:rsidRDefault="00FC1EB5" w14:paraId="72146B6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C1EB5">
        <w:t xml:space="preserve">Form EIA-111 data appear in several EIA publications that are available from EIA’s website or a joint website. The most prominent are: </w:t>
      </w:r>
    </w:p>
    <w:p w:rsidRPr="00FC1EB5" w:rsidR="00FC1EB5" w:rsidP="00FC1EB5" w:rsidRDefault="00FC1EB5" w14:paraId="146883A4" w14:textId="77777777">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FC1EB5">
        <w:t>Electric Power Annual</w:t>
      </w:r>
      <w:r w:rsidRPr="00FC1EB5">
        <w:tab/>
      </w:r>
      <w:hyperlink w:history="1" r:id="rId18">
        <w:r w:rsidRPr="00FC1EB5">
          <w:rPr>
            <w:color w:val="1396D8"/>
            <w:u w:val="single"/>
          </w:rPr>
          <w:t>http://www.eia.gov/electricity/annual/</w:t>
        </w:r>
      </w:hyperlink>
    </w:p>
    <w:p w:rsidRPr="00FC1EB5" w:rsidR="00FC1EB5" w:rsidP="00FC1EB5" w:rsidRDefault="00FC1EB5" w14:paraId="088EF9EE" w14:textId="77777777">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FC1EB5">
        <w:t>Monthly Energy Review</w:t>
      </w:r>
      <w:r w:rsidRPr="00FC1EB5">
        <w:tab/>
      </w:r>
      <w:hyperlink w:history="1" r:id="rId19">
        <w:r w:rsidRPr="00FC1EB5">
          <w:rPr>
            <w:color w:val="1396D8"/>
            <w:u w:val="single"/>
          </w:rPr>
          <w:t>https://www.eia.gov/totalenergy/data/monthly/</w:t>
        </w:r>
      </w:hyperlink>
    </w:p>
    <w:p w:rsidRPr="00FC1EB5" w:rsidR="00FC1EB5" w:rsidP="00FC1EB5" w:rsidRDefault="00FC1EB5" w14:paraId="7016E0A5" w14:textId="77777777">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FC1EB5">
        <w:t xml:space="preserve">Electric Power Monthly </w:t>
      </w:r>
      <w:r w:rsidRPr="00FC1EB5">
        <w:tab/>
      </w:r>
      <w:hyperlink w:history="1" r:id="rId20">
        <w:r w:rsidRPr="00FC1EB5">
          <w:rPr>
            <w:color w:val="1396D8"/>
            <w:u w:val="single"/>
          </w:rPr>
          <w:t>https://www.eia.gov/electricity/monthly/</w:t>
        </w:r>
      </w:hyperlink>
    </w:p>
    <w:p w:rsidRPr="00FC1EB5" w:rsidR="00FC1EB5" w:rsidP="00FC1EB5" w:rsidRDefault="00FC1EB5" w14:paraId="38B51B32" w14:textId="77777777">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FC1EB5">
        <w:t>State Electricity Profiles</w:t>
      </w:r>
      <w:r w:rsidRPr="00FC1EB5">
        <w:tab/>
      </w:r>
      <w:hyperlink w:history="1" r:id="rId21">
        <w:r w:rsidRPr="00FC1EB5">
          <w:rPr>
            <w:color w:val="1396D8"/>
            <w:u w:val="single"/>
          </w:rPr>
          <w:t>https://www.eia.gov/electricity/state/</w:t>
        </w:r>
      </w:hyperlink>
    </w:p>
    <w:p w:rsidRPr="00FC1EB5" w:rsidR="00FC1EB5" w:rsidP="00FC1EB5" w:rsidRDefault="00FC1EB5" w14:paraId="16E10D61" w14:textId="250BE6B6">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FC1EB5">
        <w:t xml:space="preserve">North American Cooperation on Energy Information (NACEI) </w:t>
      </w:r>
      <w:r w:rsidRPr="00FC1EB5">
        <w:rPr>
          <w:noProof/>
        </w:rPr>
        <w:t>web page</w:t>
      </w:r>
      <w:r w:rsidRPr="00FC1EB5">
        <w:tab/>
      </w:r>
      <w:hyperlink w:history="1" w:anchor="!/overview" r:id="rId22">
        <w:r w:rsidRPr="00FC1EB5">
          <w:rPr>
            <w:color w:val="1396D8"/>
            <w:u w:val="single"/>
          </w:rPr>
          <w:t>http://www.nacei.org/#!/overview</w:t>
        </w:r>
      </w:hyperlink>
      <w:r w:rsidRPr="00FC1EB5">
        <w:t xml:space="preserve"> </w:t>
      </w:r>
    </w:p>
    <w:p w:rsidRPr="00FC1EB5" w:rsidR="00FC1EB5" w:rsidP="00FC1EB5" w:rsidRDefault="00FC1EB5" w14:paraId="52CB0F4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p>
    <w:p w:rsidRPr="00FC1EB5" w:rsidR="00FC1EB5" w:rsidP="00FC1EB5" w:rsidRDefault="00FC1EB5" w14:paraId="5315730D" w14:textId="4B882C5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data are used in other EIA products such as the State Energy Data System and as inputs to EIA projection models. The data collected </w:t>
      </w:r>
      <w:r w:rsidRPr="0D5F7045">
        <w:rPr>
          <w:noProof/>
        </w:rPr>
        <w:t>support</w:t>
      </w:r>
      <w:r>
        <w:t xml:space="preserve"> the following </w:t>
      </w:r>
      <w:r w:rsidR="6AA29520">
        <w:t>DOE-</w:t>
      </w:r>
      <w:r>
        <w:t>EIA functions:</w:t>
      </w:r>
    </w:p>
    <w:p w:rsidRPr="00FC1EB5" w:rsidR="00FC1EB5" w:rsidP="00FC1EB5" w:rsidRDefault="00FC1EB5" w14:paraId="78EBA145" w14:textId="77777777">
      <w:pPr>
        <w:numPr>
          <w:ilvl w:val="0"/>
          <w:numId w:val="12"/>
        </w:numPr>
        <w:spacing w:after="0" w:line="240" w:lineRule="auto"/>
      </w:pPr>
      <w:r>
        <w:lastRenderedPageBreak/>
        <w:t xml:space="preserve">Assess the adequacy of the electricity supply from Canada and Mexico into the U.S. </w:t>
      </w:r>
    </w:p>
    <w:p w:rsidR="0947EF5A" w:rsidP="0D5F7045" w:rsidRDefault="0947EF5A" w14:paraId="75210109" w14:textId="2A40752B">
      <w:pPr>
        <w:numPr>
          <w:ilvl w:val="0"/>
          <w:numId w:val="12"/>
        </w:numPr>
        <w:spacing w:after="0" w:line="240" w:lineRule="auto"/>
      </w:pPr>
      <w:r>
        <w:t>Used as historical electricity trade inputs for EIA’s Annual Energy Outlook projection models</w:t>
      </w:r>
    </w:p>
    <w:p w:rsidRPr="00FC1EB5" w:rsidR="00FC1EB5" w:rsidP="0D5F7045" w:rsidRDefault="00FC1EB5" w14:paraId="0296D552" w14:textId="77777777">
      <w:pPr>
        <w:numPr>
          <w:ilvl w:val="0"/>
          <w:numId w:val="12"/>
        </w:numPr>
        <w:spacing w:after="0" w:line="240" w:lineRule="auto"/>
        <w:rPr>
          <w:color w:val="000000" w:themeColor="text1"/>
        </w:rPr>
      </w:pPr>
      <w:r w:rsidRPr="0D5F7045">
        <w:t>Analyze and report on the adequacy of short- and long-term electricity supply in the U.S.</w:t>
      </w:r>
    </w:p>
    <w:p w:rsidR="6EEA310E" w:rsidP="0D5F7045" w:rsidRDefault="6EEA310E" w14:paraId="2EA9B6DB" w14:textId="45BB03B1">
      <w:pPr>
        <w:numPr>
          <w:ilvl w:val="0"/>
          <w:numId w:val="12"/>
        </w:numPr>
        <w:spacing w:after="0" w:line="240" w:lineRule="auto"/>
        <w:rPr>
          <w:rFonts w:eastAsiaTheme="minorEastAsia"/>
        </w:rPr>
      </w:pPr>
      <w:r w:rsidRPr="0D5F7045">
        <w:rPr>
          <w:rFonts w:eastAsiaTheme="minorEastAsia"/>
        </w:rPr>
        <w:t>Electricity imports and exports information was included in the Secretary of Energy’s 2019 CERAWeek presentation</w:t>
      </w:r>
    </w:p>
    <w:p w:rsidR="49D38C21" w:rsidP="0D5F7045" w:rsidRDefault="49D38C21" w14:paraId="0BA363AF" w14:textId="7B254AF4">
      <w:pPr>
        <w:numPr>
          <w:ilvl w:val="0"/>
          <w:numId w:val="12"/>
        </w:numPr>
        <w:spacing w:after="0" w:line="240" w:lineRule="auto"/>
      </w:pPr>
      <w:r w:rsidRPr="0D5F7045">
        <w:rPr>
          <w:rFonts w:eastAsiaTheme="minorEastAsia"/>
        </w:rPr>
        <w:t xml:space="preserve">An article in EIA’s Electricity Monthly Update </w:t>
      </w:r>
      <w:r w:rsidRPr="0D5F7045" w:rsidR="5DD7542B">
        <w:rPr>
          <w:rFonts w:eastAsiaTheme="minorEastAsia"/>
        </w:rPr>
        <w:t xml:space="preserve">July 2019 </w:t>
      </w:r>
      <w:r w:rsidRPr="0D5F7045">
        <w:rPr>
          <w:rFonts w:eastAsiaTheme="minorEastAsia"/>
        </w:rPr>
        <w:t>publication,</w:t>
      </w:r>
      <w:r w:rsidRPr="0D5F7045">
        <w:rPr>
          <w:rFonts w:eastAsiaTheme="minorEastAsia"/>
          <w:color w:val="00B0F0"/>
        </w:rPr>
        <w:t xml:space="preserve"> </w:t>
      </w:r>
      <w:hyperlink r:id="rId23">
        <w:r w:rsidRPr="0D5F7045">
          <w:rPr>
            <w:rStyle w:val="Hyperlink"/>
            <w:rFonts w:eastAsiaTheme="minorEastAsia"/>
            <w:color w:val="0096D7" w:themeColor="accent1"/>
          </w:rPr>
          <w:t>International U.S. electricity trade varies by regional transmission capacity</w:t>
        </w:r>
      </w:hyperlink>
    </w:p>
    <w:p w:rsidRPr="00FC1EB5" w:rsidR="00FC1EB5" w:rsidP="00FC1EB5" w:rsidRDefault="00FC1EB5" w14:paraId="6F826B00" w14:textId="77777777">
      <w:pPr>
        <w:numPr>
          <w:ilvl w:val="0"/>
          <w:numId w:val="12"/>
        </w:numPr>
        <w:spacing w:after="0" w:line="240" w:lineRule="auto"/>
      </w:pPr>
      <w:r w:rsidRPr="00FC1EB5">
        <w:rPr>
          <w:rFonts w:ascii="Calibri" w:hAnsi="Calibri" w:cs="Calibri"/>
        </w:rPr>
        <w:t xml:space="preserve">Fulfill DOE’s obligations for sharing import/export of energy data under the trilateral </w:t>
      </w:r>
      <w:hyperlink w:history="1" r:id="rId24">
        <w:r w:rsidRPr="00FC1EB5">
          <w:rPr>
            <w:rFonts w:ascii="Calibri" w:hAnsi="Calibri" w:cs="Calibri"/>
            <w:szCs w:val="20"/>
          </w:rPr>
          <w:t>Memorandum of Understanding (MOU)</w:t>
        </w:r>
      </w:hyperlink>
      <w:r w:rsidRPr="00FC1EB5">
        <w:rPr>
          <w:rFonts w:ascii="Calibri" w:hAnsi="Calibri" w:cs="Calibri"/>
        </w:rPr>
        <w:t xml:space="preserve"> (December 2014) on energy information cooperation between the United States, Canada, and Mexico. The MOU created a framework for consultation and cooperation on sharing publicly available</w:t>
      </w:r>
      <w:r w:rsidRPr="00FC1EB5">
        <w:t xml:space="preserve"> energy information among the participants, with the purpose of setting the stage for dialogue, comparisons and deliverables on each of the participant's energy outlooks and information. Section 3 of the MOU states: </w:t>
      </w:r>
    </w:p>
    <w:p w:rsidRPr="00FC1EB5" w:rsidR="00FC1EB5" w:rsidP="00FC1EB5" w:rsidRDefault="00FC1EB5" w14:paraId="794FD264" w14:textId="77777777">
      <w:pPr>
        <w:spacing w:after="0" w:line="240" w:lineRule="auto"/>
        <w:ind w:left="720" w:firstLine="720"/>
      </w:pPr>
    </w:p>
    <w:p w:rsidRPr="00FC1EB5" w:rsidR="00FC1EB5" w:rsidP="00FC1EB5" w:rsidRDefault="00FC1EB5" w14:paraId="06472CC2" w14:textId="77777777">
      <w:pPr>
        <w:spacing w:after="0" w:line="240" w:lineRule="auto"/>
        <w:ind w:left="1440"/>
      </w:pPr>
      <w:r w:rsidRPr="00FC1EB5">
        <w:t xml:space="preserve">“Participants understand that cooperative activities under this MOU, in subject areas within each Participant's respective purview, are intended to include: </w:t>
      </w:r>
    </w:p>
    <w:p w:rsidRPr="00FC1EB5" w:rsidR="00FC1EB5" w:rsidP="00FC1EB5" w:rsidRDefault="00FC1EB5" w14:paraId="738CCDA3" w14:textId="77777777">
      <w:pPr>
        <w:spacing w:after="0" w:line="240" w:lineRule="auto"/>
        <w:ind w:left="2160"/>
      </w:pPr>
      <w:r w:rsidRPr="00FC1EB5">
        <w:t>(a) systematically comparing respective import and export information on energy flows to validate publicly available data and improve data quality.”</w:t>
      </w:r>
    </w:p>
    <w:p w:rsidRPr="00FC1EB5" w:rsidR="00FC1EB5" w:rsidP="00FC1EB5" w:rsidRDefault="00FC1EB5" w14:paraId="7BB9EB22" w14:textId="77777777">
      <w:pPr>
        <w:spacing w:after="0" w:line="240" w:lineRule="auto"/>
        <w:ind w:left="720"/>
      </w:pPr>
    </w:p>
    <w:p w:rsidRPr="00FC1EB5" w:rsidR="00FC1EB5" w:rsidP="00FC1EB5" w:rsidRDefault="00FC1EB5" w14:paraId="267E808C" w14:textId="77777777">
      <w:pPr>
        <w:spacing w:after="0" w:line="240" w:lineRule="auto"/>
      </w:pPr>
      <w:r w:rsidRPr="00FC1EB5">
        <w:t>The form is designed to collect data from all entities engaged in the sale, purchase, or transfer of cross-border electricity transmissions. The data are used by DOE-OE for the following purposes:</w:t>
      </w:r>
    </w:p>
    <w:p w:rsidRPr="00FC1EB5" w:rsidR="00FC1EB5" w:rsidP="00FC1EB5" w:rsidRDefault="00FC1EB5" w14:paraId="5E1644D0" w14:textId="77777777">
      <w:pPr>
        <w:spacing w:after="0" w:line="240" w:lineRule="auto"/>
      </w:pPr>
    </w:p>
    <w:p w:rsidRPr="00FC1EB5" w:rsidR="00FC1EB5" w:rsidP="00FC1EB5" w:rsidRDefault="00FC1EB5" w14:paraId="175AC41E" w14:textId="77777777">
      <w:pPr>
        <w:numPr>
          <w:ilvl w:val="0"/>
          <w:numId w:val="12"/>
        </w:numPr>
        <w:spacing w:after="0" w:line="240" w:lineRule="auto"/>
      </w:pPr>
      <w:r w:rsidRPr="00FC1EB5">
        <w:t xml:space="preserve">Monitor compliance with the terms of Presidential Permits and Export Authorizations. </w:t>
      </w:r>
    </w:p>
    <w:p w:rsidRPr="00FC1EB5" w:rsidR="00FC1EB5" w:rsidP="00FC1EB5" w:rsidRDefault="00FC1EB5" w14:paraId="10228399" w14:textId="77777777">
      <w:pPr>
        <w:numPr>
          <w:ilvl w:val="0"/>
          <w:numId w:val="12"/>
        </w:numPr>
        <w:spacing w:after="0" w:line="240" w:lineRule="auto"/>
      </w:pPr>
      <w:r w:rsidRPr="00FC1EB5">
        <w:t>Evaluate open transmission access at the international border.</w:t>
      </w:r>
    </w:p>
    <w:p w:rsidRPr="00FC1EB5" w:rsidR="00FC1EB5" w:rsidP="00FC1EB5" w:rsidRDefault="00FC1EB5" w14:paraId="171F501D" w14:textId="77777777">
      <w:pPr>
        <w:numPr>
          <w:ilvl w:val="0"/>
          <w:numId w:val="12"/>
        </w:numPr>
        <w:spacing w:after="0" w:line="240" w:lineRule="auto"/>
      </w:pPr>
      <w:r w:rsidRPr="00FC1EB5">
        <w:t>Evaluate transmission constraints and system reliability.</w:t>
      </w:r>
    </w:p>
    <w:p w:rsidRPr="00FC1EB5" w:rsidR="00FC1EB5" w:rsidP="00FC1EB5" w:rsidRDefault="00FC1EB5" w14:paraId="27511F9C" w14:textId="77777777">
      <w:pPr>
        <w:numPr>
          <w:ilvl w:val="0"/>
          <w:numId w:val="12"/>
        </w:numPr>
        <w:spacing w:after="0" w:line="240" w:lineRule="auto"/>
      </w:pPr>
      <w:r w:rsidRPr="00FC1EB5">
        <w:t>Evaluate the need for additional electric transmission capacity.</w:t>
      </w:r>
    </w:p>
    <w:p w:rsidRPr="00FC1EB5" w:rsidR="00FC1EB5" w:rsidP="00FC1EB5" w:rsidRDefault="00FC1EB5" w14:paraId="6E366A8D" w14:textId="77777777">
      <w:pPr>
        <w:keepNext/>
        <w:keepLines/>
        <w:numPr>
          <w:ilvl w:val="3"/>
          <w:numId w:val="0"/>
        </w:numPr>
        <w:spacing w:before="200" w:after="0" w:line="240" w:lineRule="auto"/>
        <w:outlineLvl w:val="3"/>
        <w:rPr>
          <w:b/>
        </w:rPr>
      </w:pPr>
      <w:bookmarkStart w:name="_Toc524334488" w:id="8"/>
      <w:bookmarkStart w:name="_Toc524334570" w:id="9"/>
      <w:bookmarkStart w:name="_Toc524334718" w:id="10"/>
      <w:bookmarkStart w:name="_Toc524334911" w:id="11"/>
      <w:r w:rsidRPr="00FC1EB5">
        <w:rPr>
          <w:b/>
        </w:rPr>
        <w:t>2.2. Overview of Data Collections</w:t>
      </w:r>
      <w:bookmarkEnd w:id="8"/>
      <w:bookmarkEnd w:id="9"/>
      <w:bookmarkEnd w:id="10"/>
      <w:bookmarkEnd w:id="11"/>
    </w:p>
    <w:p w:rsidRPr="00FC1EB5" w:rsidR="00FC1EB5" w:rsidP="00FC1EB5" w:rsidRDefault="00FC1EB5" w14:paraId="38A29CFB" w14:textId="77777777">
      <w:pPr>
        <w:autoSpaceDE w:val="0"/>
        <w:autoSpaceDN w:val="0"/>
        <w:adjustRightInd w:val="0"/>
        <w:spacing w:after="0" w:line="240" w:lineRule="auto"/>
        <w:rPr>
          <w:rFonts w:cs="Arial"/>
        </w:rPr>
      </w:pPr>
      <w:r w:rsidRPr="00FC1EB5">
        <w:rPr>
          <w:rFonts w:cs="Arial"/>
        </w:rPr>
        <w:t>The data collected on Form EIA-111 is used to obtain an accurate measure of the flow of electricity into and out of the United States.</w:t>
      </w:r>
    </w:p>
    <w:p w:rsidRPr="00FC1EB5" w:rsidR="00FC1EB5" w:rsidP="00FC1EB5" w:rsidRDefault="00FC1EB5" w14:paraId="516D2977" w14:textId="77777777">
      <w:pPr>
        <w:autoSpaceDE w:val="0"/>
        <w:autoSpaceDN w:val="0"/>
        <w:adjustRightInd w:val="0"/>
        <w:spacing w:after="0" w:line="240" w:lineRule="auto"/>
        <w:rPr>
          <w:rFonts w:cs="Arial"/>
        </w:rPr>
      </w:pPr>
    </w:p>
    <w:p w:rsidRPr="00FC1EB5" w:rsidR="00FC1EB5" w:rsidP="00FC1EB5" w:rsidRDefault="00FC1EB5" w14:paraId="63DCA3BA" w14:textId="77777777">
      <w:pPr>
        <w:autoSpaceDE w:val="0"/>
        <w:autoSpaceDN w:val="0"/>
        <w:adjustRightInd w:val="0"/>
        <w:spacing w:after="0" w:line="240" w:lineRule="auto"/>
        <w:rPr>
          <w:rFonts w:cs="Arial"/>
        </w:rPr>
      </w:pPr>
      <w:r w:rsidRPr="00FC1EB5">
        <w:rPr>
          <w:rFonts w:cs="Arial"/>
        </w:rPr>
        <w:t>Form EIA-111 collects U. S. electricity import and export data from:</w:t>
      </w:r>
    </w:p>
    <w:p w:rsidRPr="00FC1EB5" w:rsidR="00FC1EB5" w:rsidP="00FC1EB5" w:rsidRDefault="00FC1EB5" w14:paraId="22820D2F" w14:textId="77777777">
      <w:pPr>
        <w:autoSpaceDE w:val="0"/>
        <w:autoSpaceDN w:val="0"/>
        <w:adjustRightInd w:val="0"/>
        <w:spacing w:after="0" w:line="240" w:lineRule="auto"/>
        <w:rPr>
          <w:rFonts w:cs="Arial"/>
        </w:rPr>
      </w:pPr>
    </w:p>
    <w:p w:rsidRPr="00FC1EB5" w:rsidR="00FC1EB5" w:rsidP="009477CA" w:rsidRDefault="00FC1EB5" w14:paraId="72408C27" w14:textId="77777777">
      <w:pPr>
        <w:numPr>
          <w:ilvl w:val="0"/>
          <w:numId w:val="13"/>
        </w:numPr>
        <w:contextualSpacing/>
      </w:pPr>
      <w:r w:rsidRPr="00FC1EB5">
        <w:t xml:space="preserve">U.S. entities that purchase, sell, or exchange electricity at wholesale, including persons authorized by Order of DOE-OE to export electric energy from the United States to foreign countries, report monthly flows of electric energy received, or delivered across the border and the cost associated with the transactions. </w:t>
      </w:r>
    </w:p>
    <w:p w:rsidRPr="00FC1EB5" w:rsidR="00FC1EB5" w:rsidP="009477CA" w:rsidRDefault="00FC1EB5" w14:paraId="314DAA55" w14:textId="77777777">
      <w:pPr>
        <w:numPr>
          <w:ilvl w:val="0"/>
          <w:numId w:val="13"/>
        </w:numPr>
        <w:contextualSpacing/>
      </w:pPr>
      <w:r w:rsidRPr="00FC1EB5">
        <w:t xml:space="preserve">U.S. Balancing Authorities that are directly interconnected with foreign Balancing Authorities report actual and implemented interchange. </w:t>
      </w:r>
    </w:p>
    <w:p w:rsidRPr="00FC1EB5" w:rsidR="00FC1EB5" w:rsidP="009477CA" w:rsidRDefault="00FC1EB5" w14:paraId="0B8C4397" w14:textId="77777777">
      <w:pPr>
        <w:numPr>
          <w:ilvl w:val="0"/>
          <w:numId w:val="13"/>
        </w:numPr>
        <w:contextualSpacing/>
      </w:pPr>
      <w:r w:rsidRPr="00FC1EB5">
        <w:t xml:space="preserve">Persons authorized by Presidential Permit to construct, operate, maintain, or connect electric power transmission lines that cross the U.S. international border and export authorization holders report events where their DOE Order terms were exceeded. </w:t>
      </w:r>
    </w:p>
    <w:p w:rsidR="008C734C" w:rsidP="008C734C" w:rsidRDefault="008C734C" w14:paraId="7642A21E" w14:textId="77777777">
      <w:pPr>
        <w:pStyle w:val="Heading2"/>
      </w:pPr>
      <w:bookmarkStart w:name="_Toc46306968" w:id="12"/>
      <w:r>
        <w:lastRenderedPageBreak/>
        <w:t>A.</w:t>
      </w:r>
      <w:r w:rsidRPr="00A41763" w:rsidR="00A41763">
        <w:t xml:space="preserve">3. </w:t>
      </w:r>
      <w:r>
        <w:t>Use of Technology</w:t>
      </w:r>
      <w:bookmarkEnd w:id="12"/>
    </w:p>
    <w:p w:rsidRPr="002D5E90" w:rsidR="00907157" w:rsidP="00907157" w:rsidRDefault="00907157" w14:paraId="70C2D10E" w14:textId="0387781C">
      <w:r w:rsidRPr="002D5E90">
        <w:t>Form EIA-111 use</w:t>
      </w:r>
      <w:r w:rsidR="007E2C2B">
        <w:t>s</w:t>
      </w:r>
      <w:r w:rsidRPr="002D5E90">
        <w:t xml:space="preserve"> Internet-based data collection systems as the primary means of data collection. The majority of contact with respondents (e.g., notification that a survey has opened for a collection cycle) is </w:t>
      </w:r>
      <w:r w:rsidR="005103B5">
        <w:t>done by</w:t>
      </w:r>
      <w:r w:rsidRPr="002D5E90">
        <w:t xml:space="preserve"> email.</w:t>
      </w:r>
    </w:p>
    <w:p w:rsidRPr="002D5E90" w:rsidR="00907157" w:rsidP="00907157" w:rsidRDefault="00907157" w14:paraId="7CDB08D5" w14:textId="11832535">
      <w:pPr>
        <w:spacing w:before="100" w:beforeAutospacing="1"/>
      </w:pPr>
      <w:r w:rsidRPr="002D5E90">
        <w:t xml:space="preserve">Internet data collection </w:t>
      </w:r>
      <w:r w:rsidR="005103B5">
        <w:t xml:space="preserve">is </w:t>
      </w:r>
      <w:r w:rsidRPr="002D5E90">
        <w:t xml:space="preserve">the primary collection mode for the electricity surveys. The Internet-based systems allow respondents to enter their data directly into the EIA survey databases, which reduces the time needed for data collection and processing. The systems identify reported data that fail edit specifications prior to submission, which allow respondents to make necessary corrections or explain unusual situations affecting the reported data. This </w:t>
      </w:r>
      <w:r>
        <w:t>process</w:t>
      </w:r>
      <w:r w:rsidRPr="002D5E90">
        <w:t xml:space="preserve"> </w:t>
      </w:r>
      <w:r w:rsidRPr="0041342D">
        <w:t>aid</w:t>
      </w:r>
      <w:r>
        <w:t>s</w:t>
      </w:r>
      <w:r w:rsidRPr="0041342D">
        <w:t xml:space="preserve"> in detecting and minimizing response errors, data validation procedures are used to check current data. </w:t>
      </w:r>
      <w:r w:rsidRPr="002D5E90">
        <w:t xml:space="preserve"> It also improves the timeliness of reporting the information to the public. The only equipment and software respondent</w:t>
      </w:r>
      <w:r w:rsidR="005103B5">
        <w:t>s</w:t>
      </w:r>
      <w:r w:rsidRPr="002D5E90">
        <w:t xml:space="preserve"> require </w:t>
      </w:r>
      <w:r w:rsidRPr="002D5E90">
        <w:rPr>
          <w:noProof/>
        </w:rPr>
        <w:t>are</w:t>
      </w:r>
      <w:r w:rsidRPr="002D5E90">
        <w:t xml:space="preserve"> a connection to the Internet and a standard industry web browser.</w:t>
      </w:r>
    </w:p>
    <w:p w:rsidRPr="00A41763" w:rsidR="008C734C" w:rsidP="00A41763" w:rsidRDefault="008C734C" w14:paraId="7642A221" w14:textId="77777777"/>
    <w:p w:rsidR="008C734C" w:rsidP="008C734C" w:rsidRDefault="008C734C" w14:paraId="7642A222" w14:textId="77777777">
      <w:pPr>
        <w:pStyle w:val="Heading2"/>
      </w:pPr>
      <w:bookmarkStart w:name="_Toc46306969" w:id="13"/>
      <w:r>
        <w:t>A.</w:t>
      </w:r>
      <w:r w:rsidRPr="00A41763" w:rsidR="00A41763">
        <w:t xml:space="preserve">4. </w:t>
      </w:r>
      <w:r>
        <w:t>Efforts to Identify Duplication</w:t>
      </w:r>
      <w:bookmarkEnd w:id="13"/>
    </w:p>
    <w:p w:rsidRPr="002D5E90" w:rsidR="00907157" w:rsidP="00907157" w:rsidRDefault="00907157" w14:paraId="5A040F34" w14:textId="489E7740">
      <w:r>
        <w:t xml:space="preserve">EIA has verified that Form EIA-111 data are not collected by more than one federal government agency. The Canadian National Energy Board (NEB) publishes imports and exports of electricity from Canada. The NEB reports do not include information on Presidential permits and export authorizations issued by DOE which makes it </w:t>
      </w:r>
      <w:r w:rsidR="1ECD2DA7">
        <w:t>ineffective in</w:t>
      </w:r>
      <w:r>
        <w:t xml:space="preserve"> </w:t>
      </w:r>
      <w:r w:rsidR="00006885">
        <w:t>determining</w:t>
      </w:r>
      <w:r>
        <w:t xml:space="preserve"> compliance with the DOE orders. There is no known alternative source of data for electricity trade with Mexico. In the absence of the centralized and public data collection by EIA, each state on an international border would have to undertake its own collection of the volumes and prices of imported purchases and exported sales of electricity at wholesale for use by public utility commissions when reviewing rate cases. This may lead duplicative information requests from multiple firms within the electric power industry that engage in the import or export of electricity at the </w:t>
      </w:r>
      <w:r w:rsidRPr="613B3A20">
        <w:rPr>
          <w:noProof/>
        </w:rPr>
        <w:t>international</w:t>
      </w:r>
      <w:r>
        <w:t xml:space="preserve"> border. </w:t>
      </w:r>
    </w:p>
    <w:p w:rsidRPr="00A41763" w:rsidR="008C734C" w:rsidP="00A41763" w:rsidRDefault="008C734C" w14:paraId="7642A225" w14:textId="77777777"/>
    <w:p w:rsidR="008C734C" w:rsidP="008C734C" w:rsidRDefault="008C734C" w14:paraId="7642A226" w14:textId="77777777">
      <w:pPr>
        <w:pStyle w:val="Heading2"/>
      </w:pPr>
      <w:bookmarkStart w:name="_Toc46306970" w:id="14"/>
      <w:r>
        <w:t>A.</w:t>
      </w:r>
      <w:r w:rsidRPr="00A41763" w:rsidR="00A41763">
        <w:t xml:space="preserve">5. </w:t>
      </w:r>
      <w:r w:rsidRPr="008C734C">
        <w:t>Provisions for Reducing Burden on Small Businesses</w:t>
      </w:r>
      <w:bookmarkEnd w:id="14"/>
      <w:r w:rsidRPr="008C734C">
        <w:t xml:space="preserve"> </w:t>
      </w:r>
    </w:p>
    <w:p w:rsidRPr="00A144E3" w:rsidR="00A41763" w:rsidP="00A41763" w:rsidRDefault="00A41763" w14:paraId="7642A228" w14:textId="1A5078C5">
      <w:r w:rsidRPr="00A41763">
        <w:rPr>
          <w:b/>
          <w:bCs/>
        </w:rPr>
        <w:t xml:space="preserve">If the collection of information impacts small businesses or other small entities, describe any methods used to minimize burden. </w:t>
      </w:r>
    </w:p>
    <w:p w:rsidRPr="002D5E90" w:rsidR="00A144E3" w:rsidP="00A144E3" w:rsidRDefault="00A144E3" w14:paraId="02C22195" w14:textId="77777777">
      <w:pPr>
        <w:rPr>
          <w:i/>
          <w:iCs/>
        </w:rPr>
      </w:pPr>
      <w:r w:rsidRPr="002D5E90">
        <w:rPr>
          <w:color w:val="000000"/>
        </w:rPr>
        <w:t xml:space="preserve">EIA determined that businesses that engage in electricity transmission are not small businesses. </w:t>
      </w:r>
      <w:r>
        <w:rPr>
          <w:color w:val="000000"/>
        </w:rPr>
        <w:t>There are no small businesses reporting on this survey.</w:t>
      </w:r>
    </w:p>
    <w:p w:rsidRPr="00A41763" w:rsidR="008C734C" w:rsidP="00A41763" w:rsidRDefault="008C734C" w14:paraId="7642A229" w14:textId="77777777"/>
    <w:p w:rsidR="008C734C" w:rsidP="008C734C" w:rsidRDefault="008C734C" w14:paraId="7642A22A" w14:textId="77777777">
      <w:pPr>
        <w:pStyle w:val="Heading2"/>
      </w:pPr>
      <w:bookmarkStart w:name="_Toc46306971" w:id="15"/>
      <w:r>
        <w:t>A.</w:t>
      </w:r>
      <w:r w:rsidRPr="00A41763" w:rsidR="00A41763">
        <w:t xml:space="preserve">6. </w:t>
      </w:r>
      <w:r w:rsidRPr="008C734C">
        <w:t>Consequences of Less-Frequent Reporting</w:t>
      </w:r>
      <w:bookmarkEnd w:id="15"/>
    </w:p>
    <w:p w:rsidRPr="002D5E90" w:rsidR="00A144E3" w:rsidP="00A144E3" w:rsidRDefault="00A144E3" w14:paraId="04537C52" w14:textId="77777777">
      <w:pPr>
        <w:rPr>
          <w:sz w:val="24"/>
          <w:szCs w:val="24"/>
        </w:rPr>
      </w:pPr>
      <w:r w:rsidRPr="002D5E90">
        <w:t>Form EIA-111 collects monthly electric power import and export data information on a quarterly basis.</w:t>
      </w:r>
      <w:r>
        <w:t xml:space="preserve"> </w:t>
      </w:r>
      <w:r w:rsidRPr="002D5E90">
        <w:t xml:space="preserve">Less frequent reporting would result in less timely data on the flow of electricity between the U.S., Canada, and Mexico. </w:t>
      </w:r>
    </w:p>
    <w:p w:rsidRPr="002D5E90" w:rsidR="00A144E3" w:rsidP="00A144E3" w:rsidRDefault="00A144E3" w14:paraId="11D51568" w14:textId="77777777"/>
    <w:p w:rsidR="008C734C" w:rsidP="008C734C" w:rsidRDefault="008C734C" w14:paraId="7642A22E" w14:textId="77777777">
      <w:pPr>
        <w:pStyle w:val="Heading2"/>
      </w:pPr>
      <w:bookmarkStart w:name="_Toc46306972" w:id="16"/>
      <w:r>
        <w:lastRenderedPageBreak/>
        <w:t>A.</w:t>
      </w:r>
      <w:r w:rsidRPr="00A41763" w:rsidR="00A41763">
        <w:t xml:space="preserve">7. </w:t>
      </w:r>
      <w:r w:rsidRPr="008C734C">
        <w:t>Compliance with 5 CFR 1320.5</w:t>
      </w:r>
      <w:bookmarkEnd w:id="16"/>
    </w:p>
    <w:p w:rsidRPr="002D5E90" w:rsidR="00A144E3" w:rsidP="00A144E3" w:rsidRDefault="00A144E3" w14:paraId="243B098E" w14:textId="77777777">
      <w:r w:rsidRPr="002D5E90">
        <w:t xml:space="preserve">Form EIA-111 is operated in accordance with the guidelines in 5 CFR 1320.5. </w:t>
      </w:r>
    </w:p>
    <w:p w:rsidR="008C734C" w:rsidP="00A41763" w:rsidRDefault="008C734C" w14:paraId="7642A231" w14:textId="77777777">
      <w:pPr>
        <w:rPr>
          <w:b/>
          <w:bCs/>
        </w:rPr>
      </w:pPr>
    </w:p>
    <w:p w:rsidR="008C734C" w:rsidP="008C734C" w:rsidRDefault="008C734C" w14:paraId="7642A232" w14:textId="77777777">
      <w:pPr>
        <w:pStyle w:val="Heading2"/>
      </w:pPr>
      <w:bookmarkStart w:name="_Toc46306973" w:id="17"/>
      <w:r>
        <w:t>A.</w:t>
      </w:r>
      <w:r w:rsidRPr="00A41763" w:rsidR="00A41763">
        <w:t xml:space="preserve">8. </w:t>
      </w:r>
      <w:r w:rsidRPr="008C734C">
        <w:t>Summary of Consultations Outside of the Agency</w:t>
      </w:r>
      <w:bookmarkEnd w:id="17"/>
    </w:p>
    <w:p w:rsidR="008C734C" w:rsidP="613B3A20" w:rsidRDefault="00A144E3" w14:paraId="7642A237" w14:textId="1FE90B94">
      <w:r w:rsidRPr="7D8ACDA9">
        <w:rPr>
          <w:b/>
          <w:bCs/>
        </w:rPr>
        <w:t xml:space="preserve"> </w:t>
      </w:r>
      <w:r w:rsidRPr="00FC61E6">
        <w:t xml:space="preserve">On </w:t>
      </w:r>
      <w:r w:rsidRPr="00FC61E6" w:rsidR="00A14052">
        <w:t>12</w:t>
      </w:r>
      <w:r w:rsidRPr="00FC61E6">
        <w:t>/</w:t>
      </w:r>
      <w:r w:rsidRPr="00FC61E6" w:rsidR="00A14052">
        <w:t>15</w:t>
      </w:r>
      <w:r w:rsidRPr="00FC61E6">
        <w:t>/</w:t>
      </w:r>
      <w:r w:rsidRPr="00FC61E6" w:rsidR="00A14052">
        <w:t>2021</w:t>
      </w:r>
      <w:r w:rsidRPr="00FC61E6">
        <w:t xml:space="preserve">, EIA published a 60-day Federal Register Notice (FRN) in </w:t>
      </w:r>
      <w:r w:rsidRPr="0041200F" w:rsidR="0041200F">
        <w:t>v</w:t>
      </w:r>
      <w:r w:rsidRPr="0041200F">
        <w:rPr>
          <w:rStyle w:val="Hyperlink"/>
          <w:color w:val="auto"/>
          <w:u w:val="none"/>
        </w:rPr>
        <w:t xml:space="preserve">olume </w:t>
      </w:r>
      <w:r w:rsidRPr="0041200F" w:rsidR="00A14052">
        <w:rPr>
          <w:rStyle w:val="Hyperlink"/>
          <w:color w:val="auto"/>
          <w:u w:val="none"/>
        </w:rPr>
        <w:t>85</w:t>
      </w:r>
      <w:r w:rsidRPr="0041200F">
        <w:rPr>
          <w:rStyle w:val="Hyperlink"/>
          <w:color w:val="auto"/>
          <w:u w:val="none"/>
        </w:rPr>
        <w:t>,</w:t>
      </w:r>
      <w:r w:rsidRPr="0041200F" w:rsidR="00A14052">
        <w:rPr>
          <w:rStyle w:val="Hyperlink"/>
          <w:color w:val="auto"/>
          <w:u w:val="none"/>
        </w:rPr>
        <w:t xml:space="preserve"> page number 81192,</w:t>
      </w:r>
      <w:r w:rsidRPr="0041200F">
        <w:rPr>
          <w:rStyle w:val="Hyperlink"/>
          <w:color w:val="auto"/>
          <w:u w:val="none"/>
        </w:rPr>
        <w:t xml:space="preserve"> </w:t>
      </w:r>
      <w:r w:rsidRPr="0041200F">
        <w:t>regarding the ren</w:t>
      </w:r>
      <w:r w:rsidRPr="00FC61E6">
        <w:t xml:space="preserve">ewal of the Form EIA-111. EIA received </w:t>
      </w:r>
      <w:r w:rsidRPr="00FC61E6" w:rsidR="00A14052">
        <w:t>one</w:t>
      </w:r>
      <w:r w:rsidRPr="00FC61E6">
        <w:t xml:space="preserve"> written</w:t>
      </w:r>
      <w:r>
        <w:t xml:space="preserve"> com</w:t>
      </w:r>
      <w:r w:rsidRPr="0041200F">
        <w:t>ment in response to the 60-Day FRN.</w:t>
      </w:r>
      <w:r w:rsidRPr="0041200F" w:rsidR="006715B3">
        <w:t xml:space="preserve"> </w:t>
      </w:r>
      <w:r w:rsidRPr="0041200F" w:rsidR="00F87564">
        <w:t>The comment was from a single respondent. The</w:t>
      </w:r>
      <w:r w:rsidRPr="0041200F" w:rsidR="4FD0E0F9">
        <w:t xml:space="preserve"> respondent found </w:t>
      </w:r>
      <w:r w:rsidRPr="0041200F" w:rsidR="09745DA9">
        <w:rPr>
          <w:rFonts w:eastAsiaTheme="minorEastAsia"/>
        </w:rPr>
        <w:t>the “Category of Service” element bur</w:t>
      </w:r>
      <w:r w:rsidRPr="0041200F" w:rsidR="0644C498">
        <w:rPr>
          <w:rFonts w:eastAsiaTheme="minorEastAsia"/>
        </w:rPr>
        <w:t>densome to provide per transaction because the information</w:t>
      </w:r>
      <w:r w:rsidRPr="0041200F" w:rsidR="697CAA38">
        <w:rPr>
          <w:rFonts w:eastAsiaTheme="minorEastAsia"/>
        </w:rPr>
        <w:t xml:space="preserve"> must be manually reviewed in order to determine whether a transaction</w:t>
      </w:r>
      <w:r w:rsidRPr="0041200F" w:rsidR="007F3F79">
        <w:rPr>
          <w:rFonts w:eastAsiaTheme="minorEastAsia"/>
        </w:rPr>
        <w:t xml:space="preserve"> </w:t>
      </w:r>
      <w:r w:rsidRPr="0041200F" w:rsidR="42B075F0">
        <w:rPr>
          <w:rFonts w:eastAsiaTheme="minorEastAsia"/>
        </w:rPr>
        <w:t xml:space="preserve">is </w:t>
      </w:r>
      <w:r w:rsidRPr="0041200F" w:rsidR="007F3F79">
        <w:t xml:space="preserve">firm, non-firm, exchange, </w:t>
      </w:r>
      <w:r w:rsidR="007F3F79">
        <w:t>or other</w:t>
      </w:r>
      <w:r w:rsidR="00B672C1">
        <w:t xml:space="preserve">. The program office’s reply was to let the respondent know that this reporting requirement did not extend to each of their individual transactions but to their contractual obligations. </w:t>
      </w:r>
      <w:r w:rsidR="0D124046">
        <w:t>Furthermore, t</w:t>
      </w:r>
      <w:r w:rsidR="00532926">
        <w:t xml:space="preserve">he </w:t>
      </w:r>
      <w:r w:rsidR="6E9E0CF0">
        <w:t>“</w:t>
      </w:r>
      <w:r w:rsidR="00532926">
        <w:t>Category of Service</w:t>
      </w:r>
      <w:r w:rsidR="54447829">
        <w:t>”</w:t>
      </w:r>
      <w:r w:rsidR="00532926">
        <w:t xml:space="preserve"> question cannot be removed because it has significant relevance to the type of commercial transactions that cross U.S. borders and its impact on the international electricity trade industry is still being researched</w:t>
      </w:r>
      <w:r w:rsidR="6C6C963E">
        <w:t>.</w:t>
      </w:r>
    </w:p>
    <w:p w:rsidR="00A144E3" w:rsidP="00A41763" w:rsidRDefault="00A144E3" w14:paraId="5117640C" w14:textId="689EC9F0">
      <w:pPr>
        <w:rPr>
          <w:b/>
          <w:bCs/>
        </w:rPr>
      </w:pPr>
    </w:p>
    <w:p w:rsidR="008C734C" w:rsidP="008C734C" w:rsidRDefault="008C734C" w14:paraId="7642A238" w14:textId="77777777">
      <w:pPr>
        <w:pStyle w:val="Heading2"/>
      </w:pPr>
      <w:bookmarkStart w:name="_Toc46306974" w:id="18"/>
      <w:r>
        <w:t>A.</w:t>
      </w:r>
      <w:r w:rsidRPr="00A41763" w:rsidR="00A41763">
        <w:t xml:space="preserve">9. </w:t>
      </w:r>
      <w:r w:rsidRPr="008C734C">
        <w:t>Payments or Gifts to Respondents</w:t>
      </w:r>
      <w:bookmarkEnd w:id="18"/>
      <w:r w:rsidRPr="008C734C">
        <w:t xml:space="preserve"> </w:t>
      </w:r>
    </w:p>
    <w:p w:rsidRPr="002D5E90" w:rsidR="00A144E3" w:rsidP="00A144E3" w:rsidRDefault="00A144E3" w14:paraId="17451F0B" w14:textId="77777777">
      <w:pPr>
        <w:rPr>
          <w:bCs/>
          <w:u w:val="single"/>
        </w:rPr>
      </w:pPr>
      <w:r w:rsidRPr="002D5E90">
        <w:rPr>
          <w:bCs/>
        </w:rPr>
        <w:t>There will not be any payments made or gifts given to respondents as an incentive to complete Form EIA-111.</w:t>
      </w:r>
    </w:p>
    <w:p w:rsidR="008C734C" w:rsidP="00A41763" w:rsidRDefault="008C734C" w14:paraId="7642A23B" w14:textId="77777777">
      <w:pPr>
        <w:rPr>
          <w:b/>
          <w:bCs/>
        </w:rPr>
      </w:pPr>
    </w:p>
    <w:p w:rsidR="008C734C" w:rsidP="008C734C" w:rsidRDefault="008C734C" w14:paraId="7642A23C" w14:textId="77777777">
      <w:pPr>
        <w:pStyle w:val="Heading2"/>
      </w:pPr>
      <w:bookmarkStart w:name="_Toc46306975" w:id="19"/>
      <w:r>
        <w:t>A.</w:t>
      </w:r>
      <w:r w:rsidRPr="00A41763" w:rsidR="00A41763">
        <w:t xml:space="preserve">10. </w:t>
      </w:r>
      <w:r w:rsidRPr="008C734C">
        <w:t>Provisions for Protection of Information</w:t>
      </w:r>
      <w:bookmarkEnd w:id="19"/>
      <w:r w:rsidRPr="008C734C">
        <w:t xml:space="preserve"> </w:t>
      </w:r>
    </w:p>
    <w:p w:rsidRPr="002D5E90" w:rsidR="00A144E3" w:rsidP="00A144E3" w:rsidRDefault="00A144E3" w14:paraId="7FC79336" w14:textId="1B272DF0">
      <w:pPr>
        <w:rPr>
          <w:bCs/>
        </w:rPr>
      </w:pPr>
      <w:r w:rsidRPr="002D5E90">
        <w:rPr>
          <w:bCs/>
        </w:rPr>
        <w:t xml:space="preserve">The information reported on Form EIA-111 will be considered public information and may be publicly released in identifiable form. </w:t>
      </w:r>
    </w:p>
    <w:p w:rsidR="00F056C3" w:rsidP="00A41763" w:rsidRDefault="00F056C3" w14:paraId="7642A23F" w14:textId="77777777">
      <w:pPr>
        <w:rPr>
          <w:b/>
          <w:bCs/>
        </w:rPr>
      </w:pPr>
    </w:p>
    <w:p w:rsidR="00F056C3" w:rsidP="00F056C3" w:rsidRDefault="00F056C3" w14:paraId="7642A240" w14:textId="77777777">
      <w:pPr>
        <w:pStyle w:val="Heading2"/>
      </w:pPr>
      <w:bookmarkStart w:name="_Toc46306976" w:id="20"/>
      <w:r>
        <w:t>A.</w:t>
      </w:r>
      <w:r w:rsidRPr="00A41763" w:rsidR="00A41763">
        <w:t xml:space="preserve">11. </w:t>
      </w:r>
      <w:r w:rsidRPr="00F056C3">
        <w:t>Justification for Sensitive Questions</w:t>
      </w:r>
      <w:bookmarkEnd w:id="20"/>
      <w:r w:rsidRPr="00F056C3">
        <w:t xml:space="preserve"> </w:t>
      </w:r>
    </w:p>
    <w:p w:rsidRPr="002D5E90" w:rsidR="00A144E3" w:rsidP="00A144E3" w:rsidRDefault="00A144E3" w14:paraId="055C0A53" w14:textId="77777777">
      <w:pPr>
        <w:rPr>
          <w:bCs/>
        </w:rPr>
      </w:pPr>
      <w:r w:rsidRPr="002D5E90">
        <w:rPr>
          <w:bCs/>
        </w:rPr>
        <w:t>There are no questions of a sensitive nature.</w:t>
      </w:r>
    </w:p>
    <w:p w:rsidR="00F056C3" w:rsidP="00A41763" w:rsidRDefault="00F056C3" w14:paraId="7642A243" w14:textId="77777777">
      <w:pPr>
        <w:rPr>
          <w:b/>
          <w:bCs/>
        </w:rPr>
      </w:pPr>
    </w:p>
    <w:p w:rsidR="003F669D" w:rsidP="00A41763" w:rsidRDefault="003F669D" w14:paraId="1B05F821" w14:textId="6CD3CC36">
      <w:pPr>
        <w:rPr>
          <w:b/>
          <w:bCs/>
        </w:rPr>
      </w:pPr>
    </w:p>
    <w:p w:rsidR="007B54C0" w:rsidP="00A41763" w:rsidRDefault="007B54C0" w14:paraId="60F76D85" w14:textId="77777777">
      <w:pPr>
        <w:rPr>
          <w:b/>
          <w:bCs/>
        </w:rPr>
      </w:pPr>
    </w:p>
    <w:p w:rsidR="007B54C0" w:rsidP="00A41763" w:rsidRDefault="007B54C0" w14:paraId="0F317E4E" w14:textId="77777777">
      <w:pPr>
        <w:rPr>
          <w:b/>
          <w:bCs/>
        </w:rPr>
      </w:pPr>
    </w:p>
    <w:p w:rsidR="007B54C0" w:rsidP="00A41763" w:rsidRDefault="007B54C0" w14:paraId="78C73AE4" w14:textId="77777777">
      <w:pPr>
        <w:rPr>
          <w:b/>
          <w:bCs/>
        </w:rPr>
      </w:pPr>
    </w:p>
    <w:p w:rsidR="007B54C0" w:rsidP="00A41763" w:rsidRDefault="007B54C0" w14:paraId="0E2B44C0" w14:textId="77777777">
      <w:pPr>
        <w:rPr>
          <w:b/>
          <w:bCs/>
        </w:rPr>
      </w:pPr>
    </w:p>
    <w:p w:rsidR="003F669D" w:rsidP="00A41763" w:rsidRDefault="003F669D" w14:paraId="386098D4" w14:textId="77777777">
      <w:pPr>
        <w:rPr>
          <w:b/>
          <w:bCs/>
        </w:rPr>
      </w:pPr>
    </w:p>
    <w:p w:rsidR="003F669D" w:rsidP="00A41763" w:rsidRDefault="003F669D" w14:paraId="58615E18" w14:textId="77777777">
      <w:pPr>
        <w:rPr>
          <w:b/>
          <w:bCs/>
        </w:rPr>
      </w:pPr>
    </w:p>
    <w:p w:rsidRPr="004116DA" w:rsidR="00F056C3" w:rsidP="00F056C3" w:rsidRDefault="00F056C3" w14:paraId="7642A244" w14:textId="77777777">
      <w:pPr>
        <w:pStyle w:val="Heading2"/>
      </w:pPr>
      <w:bookmarkStart w:name="_Toc46306977" w:id="21"/>
      <w:r w:rsidRPr="004116DA">
        <w:t>A.</w:t>
      </w:r>
      <w:r w:rsidRPr="004116DA" w:rsidR="00A41763">
        <w:t xml:space="preserve">12. </w:t>
      </w:r>
      <w:r w:rsidRPr="004116DA">
        <w:t>Estimate of Respondent Burden Hours and Cost</w:t>
      </w:r>
      <w:bookmarkEnd w:id="21"/>
      <w:r w:rsidRPr="004116DA">
        <w:t xml:space="preserve"> </w:t>
      </w:r>
    </w:p>
    <w:p w:rsidRPr="002D5E90" w:rsidR="00A144E3" w:rsidP="00A144E3" w:rsidRDefault="00A144E3" w14:paraId="7DB7BA7F" w14:textId="3383E92E">
      <w:bookmarkStart w:name="_Toc459210196" w:id="22"/>
      <w:r w:rsidRPr="004116DA">
        <w:t xml:space="preserve">The total annual burden is estimated to be </w:t>
      </w:r>
      <w:r w:rsidRPr="009477CA">
        <w:rPr>
          <w:bCs/>
          <w:i/>
        </w:rPr>
        <w:t>1,0</w:t>
      </w:r>
      <w:r w:rsidRPr="009477CA" w:rsidR="46E3E538">
        <w:rPr>
          <w:bCs/>
          <w:i/>
        </w:rPr>
        <w:t>80</w:t>
      </w:r>
      <w:r w:rsidRPr="009477CA">
        <w:rPr>
          <w:bCs/>
          <w:i/>
        </w:rPr>
        <w:t xml:space="preserve"> hours</w:t>
      </w:r>
      <w:r w:rsidRPr="004116DA">
        <w:rPr>
          <w:b/>
          <w:bCs/>
        </w:rPr>
        <w:t xml:space="preserve"> </w:t>
      </w:r>
      <w:r w:rsidRPr="004116DA">
        <w:t>(</w:t>
      </w:r>
      <w:r>
        <w:t xml:space="preserve">see </w:t>
      </w:r>
      <w:r w:rsidRPr="009477CA">
        <w:rPr>
          <w:i/>
        </w:rPr>
        <w:t>Table 1</w:t>
      </w:r>
      <w:r>
        <w:t xml:space="preserve"> below). B</w:t>
      </w:r>
      <w:r w:rsidR="00CD0A13">
        <w:t>ased on the estimated rate of $8</w:t>
      </w:r>
      <w:r w:rsidR="00A505B9">
        <w:t>1</w:t>
      </w:r>
      <w:r w:rsidR="00CD0A13">
        <w:t>.</w:t>
      </w:r>
      <w:r w:rsidR="00A505B9">
        <w:t>65</w:t>
      </w:r>
      <w:r>
        <w:t xml:space="preserve"> per hour for employees who would complete these forms, the total annual respondent cost for all forms is estimated to be:</w:t>
      </w:r>
      <w:bookmarkEnd w:id="22"/>
    </w:p>
    <w:p w:rsidRPr="002D5E90" w:rsidR="00A144E3" w:rsidP="00A144E3" w:rsidRDefault="00A144E3" w14:paraId="0C7A9BEA" w14:textId="0DC39B17">
      <w:pPr>
        <w:rPr>
          <w:bCs/>
        </w:rPr>
      </w:pPr>
      <w:r w:rsidRPr="002D5E90">
        <w:rPr>
          <w:bCs/>
        </w:rPr>
        <w:lastRenderedPageBreak/>
        <w:t>$</w:t>
      </w:r>
      <w:r w:rsidR="003A4DCC">
        <w:rPr>
          <w:bCs/>
        </w:rPr>
        <w:t>8</w:t>
      </w:r>
      <w:r w:rsidR="00A505B9">
        <w:rPr>
          <w:bCs/>
        </w:rPr>
        <w:t>1</w:t>
      </w:r>
      <w:r w:rsidR="003A4DCC">
        <w:rPr>
          <w:bCs/>
        </w:rPr>
        <w:t>.</w:t>
      </w:r>
      <w:r w:rsidR="00A505B9">
        <w:rPr>
          <w:bCs/>
        </w:rPr>
        <w:t>65</w:t>
      </w:r>
      <w:r w:rsidRPr="002D5E90">
        <w:rPr>
          <w:bCs/>
        </w:rPr>
        <w:t>/hour x 1,</w:t>
      </w:r>
      <w:r w:rsidRPr="002D5E90" w:rsidR="00196725">
        <w:rPr>
          <w:bCs/>
        </w:rPr>
        <w:t>0</w:t>
      </w:r>
      <w:r w:rsidR="00196725">
        <w:rPr>
          <w:bCs/>
        </w:rPr>
        <w:t>80</w:t>
      </w:r>
      <w:r w:rsidRPr="002D5E90" w:rsidR="00196725">
        <w:rPr>
          <w:bCs/>
        </w:rPr>
        <w:t xml:space="preserve"> </w:t>
      </w:r>
      <w:r w:rsidRPr="002D5E90">
        <w:rPr>
          <w:bCs/>
        </w:rPr>
        <w:t>hours/year = $</w:t>
      </w:r>
      <w:r w:rsidR="003A4DCC">
        <w:rPr>
          <w:bCs/>
        </w:rPr>
        <w:t>8</w:t>
      </w:r>
      <w:r w:rsidR="00A505B9">
        <w:rPr>
          <w:bCs/>
        </w:rPr>
        <w:t>8</w:t>
      </w:r>
      <w:r w:rsidR="003A4DCC">
        <w:rPr>
          <w:bCs/>
        </w:rPr>
        <w:t>,</w:t>
      </w:r>
      <w:r w:rsidR="00A505B9">
        <w:rPr>
          <w:bCs/>
        </w:rPr>
        <w:t>182</w:t>
      </w:r>
    </w:p>
    <w:p w:rsidR="009105F4" w:rsidP="00A41763" w:rsidRDefault="00E658ED" w14:paraId="205950AE" w14:textId="32EABCC9">
      <w:pPr>
        <w:rPr>
          <w:bCs/>
        </w:rPr>
      </w:pPr>
      <w:r w:rsidRPr="00E658ED">
        <w:rPr>
          <w:bCs/>
        </w:rPr>
        <w:t>The $8</w:t>
      </w:r>
      <w:r w:rsidR="00A505B9">
        <w:rPr>
          <w:bCs/>
        </w:rPr>
        <w:t>1</w:t>
      </w:r>
      <w:r w:rsidRPr="00E658ED">
        <w:rPr>
          <w:bCs/>
        </w:rPr>
        <w:t>.</w:t>
      </w:r>
      <w:r w:rsidR="00A505B9">
        <w:rPr>
          <w:bCs/>
        </w:rPr>
        <w:t>65</w:t>
      </w:r>
      <w:r w:rsidRPr="00E658ED">
        <w:rPr>
          <w:bCs/>
        </w:rPr>
        <w:t xml:space="preserve"> hourly wage is based on the average hourly loaded cost (including benefits and cost-of-living adjustments for the Washington, DC area) among all EIA administrative, professional, and executive employees for the current fiscal year</w:t>
      </w:r>
      <w:r>
        <w:rPr>
          <w:bCs/>
        </w:rPr>
        <w:t>.</w:t>
      </w:r>
      <w:r w:rsidRPr="002D5E90" w:rsidR="00A144E3">
        <w:rPr>
          <w:bCs/>
        </w:rPr>
        <w:t xml:space="preserve"> EIA assumes that the survey respondent workforce completing surveys is comparable </w:t>
      </w:r>
      <w:r w:rsidR="00160CE1">
        <w:rPr>
          <w:bCs/>
        </w:rPr>
        <w:t>to the</w:t>
      </w:r>
      <w:r w:rsidRPr="002D5E90" w:rsidR="00A144E3">
        <w:rPr>
          <w:bCs/>
        </w:rPr>
        <w:t xml:space="preserve"> EIA workfor</w:t>
      </w:r>
      <w:r w:rsidR="000C722F">
        <w:rPr>
          <w:bCs/>
        </w:rPr>
        <w:t>ce.</w:t>
      </w:r>
      <w:r w:rsidR="00E415C8">
        <w:rPr>
          <w:bCs/>
        </w:rPr>
        <w:t xml:space="preserve"> The </w:t>
      </w:r>
      <w:r w:rsidRPr="009477CA" w:rsidR="00E415C8">
        <w:rPr>
          <w:bCs/>
          <w:i/>
        </w:rPr>
        <w:t>T</w:t>
      </w:r>
      <w:r w:rsidRPr="009477CA">
        <w:rPr>
          <w:bCs/>
          <w:i/>
        </w:rPr>
        <w:t>able</w:t>
      </w:r>
      <w:r w:rsidRPr="009477CA" w:rsidR="00E415C8">
        <w:rPr>
          <w:bCs/>
          <w:i/>
        </w:rPr>
        <w:t xml:space="preserve"> </w:t>
      </w:r>
      <w:r w:rsidR="00E95690">
        <w:rPr>
          <w:bCs/>
          <w:i/>
        </w:rPr>
        <w:t>2</w:t>
      </w:r>
      <w:r w:rsidR="00E415C8">
        <w:rPr>
          <w:bCs/>
        </w:rPr>
        <w:t xml:space="preserve"> shows how EIA arrives at the wage</w:t>
      </w:r>
      <w:r>
        <w:rPr>
          <w:bCs/>
        </w:rPr>
        <w:t xml:space="preserve"> estimate which includes administrative and executive level employees. Cognitive studies conducted by EIA show that </w:t>
      </w:r>
      <w:r w:rsidR="00E415C8">
        <w:rPr>
          <w:bCs/>
        </w:rPr>
        <w:t>people who actually fill out and submit EIA surveys are industry professionals</w:t>
      </w:r>
      <w:r>
        <w:rPr>
          <w:bCs/>
        </w:rPr>
        <w:t xml:space="preserve"> who perform a variety of tasks and hold a variety of positions.  </w:t>
      </w:r>
    </w:p>
    <w:p w:rsidR="00E95690" w:rsidP="00A41763" w:rsidRDefault="00E95690" w14:paraId="78248462" w14:textId="77777777">
      <w:pPr>
        <w:rPr>
          <w:bCs/>
        </w:rPr>
      </w:pPr>
    </w:p>
    <w:bookmarkStart w:name="_MON_1539789608" w:id="23"/>
    <w:bookmarkEnd w:id="23"/>
    <w:p w:rsidR="00F056C3" w:rsidP="00A41763" w:rsidRDefault="00E95690" w14:paraId="7642A246" w14:textId="0515FD0D">
      <w:pPr>
        <w:rPr>
          <w:b/>
          <w:bCs/>
        </w:rPr>
      </w:pPr>
      <w:r>
        <w:rPr>
          <w:b/>
          <w:bCs/>
        </w:rPr>
        <w:object w:dxaOrig="9778" w:dyaOrig="2138" w14:anchorId="7642A29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9pt;height:107pt" o:ole="" type="#_x0000_t75">
            <v:imagedata o:title="" r:id="rId25"/>
          </v:shape>
          <o:OLEObject Type="Embed" ProgID="Excel.Sheet.12" ShapeID="_x0000_i1025" DrawAspect="Content" ObjectID="_1682845015" r:id="rId26"/>
        </w:object>
      </w:r>
    </w:p>
    <w:p w:rsidR="00E95690" w:rsidP="00F056C3" w:rsidRDefault="00E95690" w14:paraId="50E8EDC1" w14:textId="2D856FE3">
      <w:pPr>
        <w:pStyle w:val="Heading2"/>
      </w:pPr>
      <w:bookmarkStart w:name="_Toc46306978" w:id="24"/>
    </w:p>
    <w:tbl>
      <w:tblPr>
        <w:tblW w:w="9763" w:type="dxa"/>
        <w:tblLook w:val="04A0" w:firstRow="1" w:lastRow="0" w:firstColumn="1" w:lastColumn="0" w:noHBand="0" w:noVBand="1"/>
      </w:tblPr>
      <w:tblGrid>
        <w:gridCol w:w="1808"/>
        <w:gridCol w:w="1117"/>
        <w:gridCol w:w="1393"/>
        <w:gridCol w:w="1395"/>
        <w:gridCol w:w="1486"/>
        <w:gridCol w:w="1262"/>
        <w:gridCol w:w="1302"/>
      </w:tblGrid>
      <w:tr w:rsidRPr="00E95690" w:rsidR="00E95690" w:rsidTr="009477CA" w14:paraId="4F35D733" w14:textId="77777777">
        <w:trPr>
          <w:trHeight w:val="631"/>
        </w:trPr>
        <w:tc>
          <w:tcPr>
            <w:tcW w:w="9763" w:type="dxa"/>
            <w:gridSpan w:val="7"/>
            <w:tcBorders>
              <w:top w:val="nil"/>
              <w:left w:val="nil"/>
              <w:bottom w:val="nil"/>
              <w:right w:val="nil"/>
            </w:tcBorders>
            <w:shd w:val="clear" w:color="auto" w:fill="auto"/>
            <w:vAlign w:val="bottom"/>
            <w:hideMark/>
          </w:tcPr>
          <w:p w:rsidRPr="00E95690" w:rsidR="00E95690" w:rsidP="00E95690" w:rsidRDefault="00E95690" w14:paraId="79911DEC" w14:textId="72592F80">
            <w:pPr>
              <w:spacing w:after="0" w:line="240" w:lineRule="auto"/>
              <w:jc w:val="center"/>
              <w:rPr>
                <w:rFonts w:ascii="Calibri" w:hAnsi="Calibri" w:eastAsia="Times New Roman" w:cs="Calibri"/>
                <w:b/>
                <w:bCs/>
                <w:color w:val="00B0F0"/>
                <w:sz w:val="28"/>
                <w:szCs w:val="28"/>
              </w:rPr>
            </w:pPr>
            <w:r w:rsidRPr="00E95690">
              <w:rPr>
                <w:rFonts w:ascii="Calibri" w:hAnsi="Calibri" w:eastAsia="Times New Roman" w:cs="Calibri"/>
                <w:b/>
                <w:bCs/>
                <w:color w:val="00B0F0"/>
                <w:sz w:val="28"/>
                <w:szCs w:val="28"/>
              </w:rPr>
              <w:t>Table 2: Average Hourly Loaded Cost of an EIA Employee, Fiscal year 202</w:t>
            </w:r>
            <w:r w:rsidR="005C03F1">
              <w:rPr>
                <w:rFonts w:ascii="Calibri" w:hAnsi="Calibri" w:eastAsia="Times New Roman" w:cs="Calibri"/>
                <w:b/>
                <w:bCs/>
                <w:color w:val="00B0F0"/>
                <w:sz w:val="28"/>
                <w:szCs w:val="28"/>
              </w:rPr>
              <w:t>1</w:t>
            </w:r>
          </w:p>
        </w:tc>
      </w:tr>
      <w:tr w:rsidRPr="00E95690" w:rsidR="00E95690" w:rsidTr="005C03F1" w14:paraId="6216ACBD" w14:textId="77777777">
        <w:trPr>
          <w:trHeight w:val="665"/>
        </w:trPr>
        <w:tc>
          <w:tcPr>
            <w:tcW w:w="1808"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E95690" w:rsidR="00E95690" w:rsidP="00E95690" w:rsidRDefault="00E95690" w14:paraId="5F8DB217"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As of 1/21/2020</w:t>
            </w:r>
          </w:p>
        </w:tc>
        <w:tc>
          <w:tcPr>
            <w:tcW w:w="1117"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59F61224"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Number of Employees</w:t>
            </w:r>
          </w:p>
        </w:tc>
        <w:tc>
          <w:tcPr>
            <w:tcW w:w="1393"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5022DD99"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Average Annual Salary</w:t>
            </w:r>
          </w:p>
        </w:tc>
        <w:tc>
          <w:tcPr>
            <w:tcW w:w="1395"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649C0D59"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Average Benefit Percentage</w:t>
            </w:r>
          </w:p>
        </w:tc>
        <w:tc>
          <w:tcPr>
            <w:tcW w:w="1486"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51B8F635"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Average Benefit Costs</w:t>
            </w:r>
          </w:p>
        </w:tc>
        <w:tc>
          <w:tcPr>
            <w:tcW w:w="1262"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3FCA3827"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Total Average Salary and Benefits</w:t>
            </w:r>
          </w:p>
        </w:tc>
        <w:tc>
          <w:tcPr>
            <w:tcW w:w="1302" w:type="dxa"/>
            <w:tcBorders>
              <w:top w:val="single" w:color="auto" w:sz="4" w:space="0"/>
              <w:left w:val="nil"/>
              <w:bottom w:val="single" w:color="auto" w:sz="4" w:space="0"/>
              <w:right w:val="single" w:color="auto" w:sz="4" w:space="0"/>
            </w:tcBorders>
            <w:shd w:val="clear" w:color="000000" w:fill="00B0F0"/>
            <w:vAlign w:val="center"/>
            <w:hideMark/>
          </w:tcPr>
          <w:p w:rsidRPr="00E95690" w:rsidR="00E95690" w:rsidP="00E95690" w:rsidRDefault="00E95690" w14:paraId="4BD91565" w14:textId="77777777">
            <w:pPr>
              <w:spacing w:after="0" w:line="240" w:lineRule="auto"/>
              <w:jc w:val="center"/>
              <w:rPr>
                <w:rFonts w:ascii="Calibri" w:hAnsi="Calibri" w:eastAsia="Times New Roman" w:cs="Calibri"/>
                <w:b/>
                <w:bCs/>
                <w:color w:val="000000"/>
                <w:sz w:val="20"/>
                <w:szCs w:val="20"/>
              </w:rPr>
            </w:pPr>
            <w:r w:rsidRPr="00E95690">
              <w:rPr>
                <w:rFonts w:ascii="Calibri" w:hAnsi="Calibri" w:eastAsia="Times New Roman" w:cs="Calibri"/>
                <w:b/>
                <w:bCs/>
                <w:color w:val="000000"/>
                <w:sz w:val="20"/>
                <w:szCs w:val="20"/>
              </w:rPr>
              <w:t>Average Hourly Loaded Cost</w:t>
            </w:r>
          </w:p>
        </w:tc>
      </w:tr>
      <w:tr w:rsidRPr="00E95690" w:rsidR="005C03F1" w:rsidTr="005C03F1" w14:paraId="4120CFFD" w14:textId="77777777">
        <w:trPr>
          <w:trHeight w:val="426"/>
        </w:trPr>
        <w:tc>
          <w:tcPr>
            <w:tcW w:w="1808" w:type="dxa"/>
            <w:tcBorders>
              <w:top w:val="nil"/>
              <w:left w:val="single" w:color="auto" w:sz="4" w:space="0"/>
              <w:bottom w:val="single" w:color="auto" w:sz="4" w:space="0"/>
              <w:right w:val="single" w:color="auto" w:sz="4" w:space="0"/>
            </w:tcBorders>
            <w:shd w:val="clear" w:color="auto" w:fill="auto"/>
            <w:vAlign w:val="center"/>
            <w:hideMark/>
          </w:tcPr>
          <w:p w:rsidRPr="00E95690" w:rsidR="005C03F1" w:rsidP="005C03F1" w:rsidRDefault="005C03F1" w14:paraId="1AEDC1D4" w14:textId="77777777">
            <w:pPr>
              <w:spacing w:after="0" w:line="240" w:lineRule="auto"/>
              <w:rPr>
                <w:rFonts w:ascii="Calibri" w:hAnsi="Calibri" w:eastAsia="Times New Roman" w:cs="Calibri"/>
                <w:color w:val="000000"/>
                <w:sz w:val="18"/>
                <w:szCs w:val="18"/>
              </w:rPr>
            </w:pPr>
            <w:r w:rsidRPr="00E95690">
              <w:rPr>
                <w:rFonts w:ascii="Calibri" w:hAnsi="Calibri" w:eastAsia="Times New Roman" w:cs="Calibri"/>
                <w:color w:val="000000"/>
                <w:sz w:val="18"/>
              </w:rPr>
              <w:t>Administrative/ Professional (GS)</w:t>
            </w:r>
          </w:p>
        </w:tc>
        <w:tc>
          <w:tcPr>
            <w:tcW w:w="1117"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2E319C76" w14:textId="62804273">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287</w:t>
            </w:r>
          </w:p>
        </w:tc>
        <w:tc>
          <w:tcPr>
            <w:tcW w:w="1393"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404C286B" w14:textId="6D8226D7">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$129,612 </w:t>
            </w:r>
          </w:p>
        </w:tc>
        <w:tc>
          <w:tcPr>
            <w:tcW w:w="1395"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44B76AA3" w14:textId="351909FB">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26.58%</w:t>
            </w:r>
          </w:p>
        </w:tc>
        <w:tc>
          <w:tcPr>
            <w:tcW w:w="1486"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4B82B9EB" w14:textId="1CA0B009">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$34,451 </w:t>
            </w:r>
          </w:p>
        </w:tc>
        <w:tc>
          <w:tcPr>
            <w:tcW w:w="126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712349E1" w14:textId="5B8E188B">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$164,063 </w:t>
            </w:r>
          </w:p>
        </w:tc>
        <w:tc>
          <w:tcPr>
            <w:tcW w:w="130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71D630F3" w14:textId="75506D13">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$78.88 </w:t>
            </w:r>
          </w:p>
        </w:tc>
      </w:tr>
      <w:tr w:rsidRPr="00E95690" w:rsidR="005C03F1" w:rsidTr="005C03F1" w14:paraId="5C5A3EC4" w14:textId="77777777">
        <w:trPr>
          <w:trHeight w:val="426"/>
        </w:trPr>
        <w:tc>
          <w:tcPr>
            <w:tcW w:w="1808" w:type="dxa"/>
            <w:tcBorders>
              <w:top w:val="nil"/>
              <w:left w:val="single" w:color="auto" w:sz="4" w:space="0"/>
              <w:bottom w:val="single" w:color="auto" w:sz="4" w:space="0"/>
              <w:right w:val="single" w:color="auto" w:sz="4" w:space="0"/>
            </w:tcBorders>
            <w:shd w:val="clear" w:color="auto" w:fill="auto"/>
            <w:vAlign w:val="center"/>
            <w:hideMark/>
          </w:tcPr>
          <w:p w:rsidRPr="00E95690" w:rsidR="005C03F1" w:rsidP="005C03F1" w:rsidRDefault="005C03F1" w14:paraId="22D8048A" w14:textId="77777777">
            <w:pPr>
              <w:spacing w:after="0" w:line="240" w:lineRule="auto"/>
              <w:rPr>
                <w:rFonts w:ascii="Calibri" w:hAnsi="Calibri" w:eastAsia="Times New Roman" w:cs="Calibri"/>
                <w:color w:val="000000"/>
                <w:sz w:val="18"/>
                <w:szCs w:val="18"/>
              </w:rPr>
            </w:pPr>
            <w:r w:rsidRPr="00E95690">
              <w:rPr>
                <w:rFonts w:ascii="Calibri" w:hAnsi="Calibri" w:eastAsia="Times New Roman" w:cs="Calibri"/>
                <w:color w:val="000000"/>
                <w:sz w:val="18"/>
              </w:rPr>
              <w:t>Executive (EJ,ES,EX,SL)</w:t>
            </w:r>
          </w:p>
        </w:tc>
        <w:tc>
          <w:tcPr>
            <w:tcW w:w="1117"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5432DDA0" w14:textId="29757747">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23</w:t>
            </w:r>
          </w:p>
        </w:tc>
        <w:tc>
          <w:tcPr>
            <w:tcW w:w="1393"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3E6D2582" w14:textId="1A6D9E8F">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$190,939 </w:t>
            </w:r>
          </w:p>
        </w:tc>
        <w:tc>
          <w:tcPr>
            <w:tcW w:w="1395"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7C44B2A8" w14:textId="7A689D87">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26.58%</w:t>
            </w:r>
          </w:p>
        </w:tc>
        <w:tc>
          <w:tcPr>
            <w:tcW w:w="1486"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7286CD57" w14:textId="1A702C1F">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$50,752 </w:t>
            </w:r>
          </w:p>
        </w:tc>
        <w:tc>
          <w:tcPr>
            <w:tcW w:w="126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38807B9E" w14:textId="5C596046">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$241,691 </w:t>
            </w:r>
          </w:p>
        </w:tc>
        <w:tc>
          <w:tcPr>
            <w:tcW w:w="130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34131D5D" w14:textId="6BCF546A">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$116.20 </w:t>
            </w:r>
          </w:p>
        </w:tc>
      </w:tr>
      <w:tr w:rsidRPr="00E95690" w:rsidR="005C03F1" w:rsidTr="005C03F1" w14:paraId="1A05DAA1" w14:textId="77777777">
        <w:trPr>
          <w:trHeight w:val="426"/>
        </w:trPr>
        <w:tc>
          <w:tcPr>
            <w:tcW w:w="1808" w:type="dxa"/>
            <w:tcBorders>
              <w:top w:val="nil"/>
              <w:left w:val="single" w:color="auto" w:sz="4" w:space="0"/>
              <w:bottom w:val="single" w:color="auto" w:sz="4" w:space="0"/>
              <w:right w:val="single" w:color="auto" w:sz="4" w:space="0"/>
            </w:tcBorders>
            <w:shd w:val="clear" w:color="auto" w:fill="auto"/>
            <w:vAlign w:val="center"/>
            <w:hideMark/>
          </w:tcPr>
          <w:p w:rsidRPr="00E95690" w:rsidR="005C03F1" w:rsidP="005C03F1" w:rsidRDefault="005C03F1" w14:paraId="0D26D812" w14:textId="77777777">
            <w:pPr>
              <w:spacing w:after="0" w:line="240" w:lineRule="auto"/>
              <w:rPr>
                <w:rFonts w:ascii="Calibri" w:hAnsi="Calibri" w:eastAsia="Times New Roman" w:cs="Calibri"/>
                <w:color w:val="000000"/>
                <w:sz w:val="18"/>
                <w:szCs w:val="18"/>
              </w:rPr>
            </w:pPr>
            <w:r w:rsidRPr="00E95690">
              <w:rPr>
                <w:rFonts w:ascii="Calibri" w:hAnsi="Calibri" w:eastAsia="Times New Roman" w:cs="Calibri"/>
                <w:color w:val="000000"/>
                <w:sz w:val="18"/>
              </w:rPr>
              <w:t>All EIA Employees</w:t>
            </w:r>
          </w:p>
        </w:tc>
        <w:tc>
          <w:tcPr>
            <w:tcW w:w="1117"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263BEF7A" w14:textId="0BE6516F">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310</w:t>
            </w:r>
          </w:p>
        </w:tc>
        <w:tc>
          <w:tcPr>
            <w:tcW w:w="1393"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645ED2FD" w14:textId="1DCECA98">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$134,162 </w:t>
            </w:r>
          </w:p>
        </w:tc>
        <w:tc>
          <w:tcPr>
            <w:tcW w:w="1395"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24D1328A" w14:textId="213EF6B2">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26.58%</w:t>
            </w:r>
          </w:p>
        </w:tc>
        <w:tc>
          <w:tcPr>
            <w:tcW w:w="1486"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088CB0ED" w14:textId="078ADD77">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$35,660 </w:t>
            </w:r>
          </w:p>
        </w:tc>
        <w:tc>
          <w:tcPr>
            <w:tcW w:w="126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186C30F1" w14:textId="755EC6B0">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$169,822 </w:t>
            </w:r>
          </w:p>
        </w:tc>
        <w:tc>
          <w:tcPr>
            <w:tcW w:w="1302" w:type="dxa"/>
            <w:tcBorders>
              <w:top w:val="nil"/>
              <w:left w:val="nil"/>
              <w:bottom w:val="single" w:color="auto" w:sz="4" w:space="0"/>
              <w:right w:val="single" w:color="auto" w:sz="4" w:space="0"/>
            </w:tcBorders>
            <w:shd w:val="clear" w:color="auto" w:fill="auto"/>
            <w:vAlign w:val="center"/>
            <w:hideMark/>
          </w:tcPr>
          <w:p w:rsidRPr="00E95690" w:rsidR="005C03F1" w:rsidP="005C03F1" w:rsidRDefault="005C03F1" w14:paraId="099E53E9" w14:textId="4FF95170">
            <w:pPr>
              <w:spacing w:after="0" w:line="240" w:lineRule="auto"/>
              <w:jc w:val="right"/>
              <w:rPr>
                <w:rFonts w:ascii="Calibri" w:hAnsi="Calibri" w:eastAsia="Times New Roman" w:cs="Calibri"/>
                <w:b/>
                <w:bCs/>
                <w:color w:val="000000"/>
                <w:sz w:val="18"/>
                <w:szCs w:val="18"/>
              </w:rPr>
            </w:pPr>
            <w:r>
              <w:rPr>
                <w:rFonts w:ascii="Calibri" w:hAnsi="Calibri" w:cs="Calibri"/>
                <w:b/>
                <w:bCs/>
                <w:color w:val="000000"/>
                <w:sz w:val="18"/>
                <w:szCs w:val="18"/>
              </w:rPr>
              <w:t xml:space="preserve">$81.65 </w:t>
            </w:r>
          </w:p>
        </w:tc>
      </w:tr>
    </w:tbl>
    <w:p w:rsidR="00E95690" w:rsidP="009477CA" w:rsidRDefault="00E95690" w14:paraId="7D61D716" w14:textId="77777777"/>
    <w:p w:rsidR="00E95690" w:rsidP="009477CA" w:rsidRDefault="00E95690" w14:paraId="73222BE8" w14:textId="77777777"/>
    <w:p w:rsidR="007B54C0" w:rsidP="009477CA" w:rsidRDefault="007B54C0" w14:paraId="551DC817" w14:textId="77777777">
      <w:bookmarkStart w:name="_GoBack" w:id="25"/>
      <w:bookmarkEnd w:id="25"/>
    </w:p>
    <w:p w:rsidR="007B54C0" w:rsidP="009477CA" w:rsidRDefault="007B54C0" w14:paraId="72921037" w14:textId="77777777"/>
    <w:p w:rsidR="007B54C0" w:rsidP="009477CA" w:rsidRDefault="007B54C0" w14:paraId="68850377" w14:textId="77777777"/>
    <w:p w:rsidR="00F056C3" w:rsidP="00F056C3" w:rsidRDefault="00F056C3" w14:paraId="7642A247" w14:textId="77777777">
      <w:pPr>
        <w:pStyle w:val="Heading2"/>
      </w:pPr>
      <w:r w:rsidRPr="004116DA">
        <w:t>A.</w:t>
      </w:r>
      <w:r w:rsidRPr="004116DA" w:rsidR="00A41763">
        <w:t xml:space="preserve">13. </w:t>
      </w:r>
      <w:r w:rsidRPr="004116DA">
        <w:t>Annual Cost to the Federal Government</w:t>
      </w:r>
      <w:bookmarkEnd w:id="24"/>
    </w:p>
    <w:p w:rsidR="00E26174" w:rsidP="003A4DCC" w:rsidRDefault="003A4DCC" w14:paraId="09CFAF60" w14:textId="154E7518">
      <w:r>
        <w:t xml:space="preserve">The annual cost of operating these surveys is estimated </w:t>
      </w:r>
      <w:r w:rsidRPr="00E26174">
        <w:t>at $</w:t>
      </w:r>
      <w:r w:rsidR="00F814C2">
        <w:t>1</w:t>
      </w:r>
      <w:r w:rsidR="00AD093B">
        <w:t>71,465</w:t>
      </w:r>
      <w:r>
        <w:t xml:space="preserve"> and includes contractor costs and federal staff time for survey related activities. T</w:t>
      </w:r>
      <w:r w:rsidR="00E95690">
        <w:t>able 3 shows the approximate costs of</w:t>
      </w:r>
      <w:r>
        <w:t xml:space="preserve"> survey related activities includ</w:t>
      </w:r>
      <w:r w:rsidR="00E95690">
        <w:t>ing</w:t>
      </w:r>
      <w:r>
        <w:t xml:space="preserve"> frame maintenance, collection, processing, dissemination, and data systems maintenance. EIA anticipates no additional respondent costs for generating, maintaining, and providing the information required in this Information Collection Request</w:t>
      </w:r>
      <w:r w:rsidR="00E26174">
        <w:t>.</w:t>
      </w:r>
    </w:p>
    <w:p w:rsidR="00E95690" w:rsidRDefault="00F814C2" w14:paraId="741FED37" w14:textId="7DEEE6F7">
      <w:r>
        <w:lastRenderedPageBreak/>
        <w:t>The estimated annual cost of Form EIA-111 is $1</w:t>
      </w:r>
      <w:r w:rsidR="00AD093B">
        <w:t>71,465</w:t>
      </w:r>
      <w:r>
        <w:t xml:space="preserve">. </w:t>
      </w:r>
      <w:r w:rsidR="00E26174">
        <w:t>A</w:t>
      </w:r>
      <w:r>
        <w:t>pproximately</w:t>
      </w:r>
      <w:r w:rsidR="00E26174">
        <w:t xml:space="preserve"> 2,100 hours per year</w:t>
      </w:r>
      <w:r>
        <w:t xml:space="preserve"> are spent administering Form EIA-111.</w:t>
      </w:r>
      <w:r w:rsidR="00E26174">
        <w:t xml:space="preserve"> </w:t>
      </w:r>
    </w:p>
    <w:p w:rsidR="004148E1" w:rsidP="003A4DCC" w:rsidRDefault="00E26174" w14:paraId="5DE7C417" w14:textId="09C147C0">
      <w:r>
        <w:t xml:space="preserve"> </w:t>
      </w:r>
    </w:p>
    <w:tbl>
      <w:tblPr>
        <w:tblW w:w="9222" w:type="dxa"/>
        <w:tblLook w:val="04A0" w:firstRow="1" w:lastRow="0" w:firstColumn="1" w:lastColumn="0" w:noHBand="0" w:noVBand="1"/>
      </w:tblPr>
      <w:tblGrid>
        <w:gridCol w:w="4761"/>
        <w:gridCol w:w="1341"/>
        <w:gridCol w:w="1299"/>
        <w:gridCol w:w="1821"/>
      </w:tblGrid>
      <w:tr w:rsidRPr="004148E1" w:rsidR="004148E1" w:rsidTr="009477CA" w14:paraId="6FD7BA1B" w14:textId="77777777">
        <w:trPr>
          <w:trHeight w:val="277"/>
        </w:trPr>
        <w:tc>
          <w:tcPr>
            <w:tcW w:w="9222" w:type="dxa"/>
            <w:gridSpan w:val="4"/>
            <w:tcBorders>
              <w:top w:val="nil"/>
              <w:left w:val="nil"/>
              <w:bottom w:val="single" w:color="auto" w:sz="4" w:space="0"/>
              <w:right w:val="nil"/>
            </w:tcBorders>
            <w:shd w:val="clear" w:color="000000" w:fill="FFFFFF"/>
            <w:noWrap/>
            <w:vAlign w:val="bottom"/>
            <w:hideMark/>
          </w:tcPr>
          <w:p w:rsidRPr="004148E1" w:rsidR="004148E1" w:rsidP="004148E1" w:rsidRDefault="004148E1" w14:paraId="1F5A8CC9" w14:textId="77777777">
            <w:pPr>
              <w:spacing w:after="0" w:line="240" w:lineRule="auto"/>
              <w:jc w:val="center"/>
              <w:rPr>
                <w:rFonts w:ascii="Arial" w:hAnsi="Arial" w:eastAsia="Times New Roman" w:cs="Arial"/>
                <w:b/>
                <w:bCs/>
                <w:color w:val="00B0F0"/>
              </w:rPr>
            </w:pPr>
            <w:r w:rsidRPr="004148E1">
              <w:rPr>
                <w:rFonts w:ascii="Arial" w:hAnsi="Arial" w:eastAsia="Times New Roman" w:cs="Arial"/>
                <w:b/>
                <w:bCs/>
                <w:color w:val="00B0F0"/>
              </w:rPr>
              <w:t>Table 3: Annual Cost to the Federal Government</w:t>
            </w:r>
          </w:p>
        </w:tc>
      </w:tr>
      <w:tr w:rsidRPr="004148E1" w:rsidR="004148E1" w:rsidTr="00AD093B" w14:paraId="7EB69747" w14:textId="77777777">
        <w:trPr>
          <w:trHeight w:val="277"/>
        </w:trPr>
        <w:tc>
          <w:tcPr>
            <w:tcW w:w="4761" w:type="dxa"/>
            <w:tcBorders>
              <w:top w:val="nil"/>
              <w:left w:val="single" w:color="auto" w:sz="4" w:space="0"/>
              <w:bottom w:val="single" w:color="auto" w:sz="4" w:space="0"/>
              <w:right w:val="single" w:color="auto" w:sz="4" w:space="0"/>
            </w:tcBorders>
            <w:shd w:val="clear" w:color="000000" w:fill="00B0F0"/>
            <w:noWrap/>
            <w:vAlign w:val="center"/>
            <w:hideMark/>
          </w:tcPr>
          <w:p w:rsidRPr="004148E1" w:rsidR="004148E1" w:rsidP="004148E1" w:rsidRDefault="004148E1" w14:paraId="420B9BC3" w14:textId="77777777">
            <w:pPr>
              <w:spacing w:after="0" w:line="240" w:lineRule="auto"/>
              <w:rPr>
                <w:rFonts w:ascii="Calibri" w:hAnsi="Calibri" w:eastAsia="Times New Roman" w:cs="Calibri"/>
                <w:b/>
                <w:bCs/>
                <w:color w:val="000000"/>
                <w:sz w:val="18"/>
                <w:szCs w:val="18"/>
              </w:rPr>
            </w:pPr>
            <w:r w:rsidRPr="004148E1">
              <w:rPr>
                <w:rFonts w:ascii="Calibri" w:hAnsi="Calibri" w:eastAsia="Times New Roman" w:cs="Calibri"/>
                <w:b/>
                <w:bCs/>
                <w:color w:val="000000"/>
                <w:sz w:val="18"/>
                <w:szCs w:val="18"/>
              </w:rPr>
              <w:t>Activity</w:t>
            </w:r>
          </w:p>
        </w:tc>
        <w:tc>
          <w:tcPr>
            <w:tcW w:w="1341" w:type="dxa"/>
            <w:tcBorders>
              <w:top w:val="nil"/>
              <w:left w:val="nil"/>
              <w:bottom w:val="single" w:color="auto" w:sz="4" w:space="0"/>
              <w:right w:val="single" w:color="auto" w:sz="4" w:space="0"/>
            </w:tcBorders>
            <w:shd w:val="clear" w:color="000000" w:fill="00B0F0"/>
            <w:noWrap/>
            <w:vAlign w:val="center"/>
            <w:hideMark/>
          </w:tcPr>
          <w:p w:rsidRPr="004148E1" w:rsidR="004148E1" w:rsidP="004148E1" w:rsidRDefault="004148E1" w14:paraId="52636EB7" w14:textId="77777777">
            <w:pPr>
              <w:spacing w:after="0" w:line="240" w:lineRule="auto"/>
              <w:jc w:val="center"/>
              <w:rPr>
                <w:rFonts w:ascii="Calibri" w:hAnsi="Calibri" w:eastAsia="Times New Roman" w:cs="Calibri"/>
                <w:b/>
                <w:bCs/>
                <w:color w:val="000000"/>
                <w:sz w:val="18"/>
                <w:szCs w:val="18"/>
              </w:rPr>
            </w:pPr>
            <w:r w:rsidRPr="004148E1">
              <w:rPr>
                <w:rFonts w:ascii="Calibri" w:hAnsi="Calibri" w:eastAsia="Times New Roman" w:cs="Calibri"/>
                <w:b/>
                <w:bCs/>
                <w:color w:val="000000"/>
                <w:sz w:val="18"/>
                <w:szCs w:val="18"/>
              </w:rPr>
              <w:t>Labor hours</w:t>
            </w:r>
          </w:p>
        </w:tc>
        <w:tc>
          <w:tcPr>
            <w:tcW w:w="1299" w:type="dxa"/>
            <w:tcBorders>
              <w:top w:val="nil"/>
              <w:left w:val="nil"/>
              <w:bottom w:val="single" w:color="auto" w:sz="4" w:space="0"/>
              <w:right w:val="single" w:color="auto" w:sz="4" w:space="0"/>
            </w:tcBorders>
            <w:shd w:val="clear" w:color="000000" w:fill="00B0F0"/>
            <w:noWrap/>
            <w:vAlign w:val="center"/>
            <w:hideMark/>
          </w:tcPr>
          <w:p w:rsidRPr="004148E1" w:rsidR="004148E1" w:rsidP="004148E1" w:rsidRDefault="004148E1" w14:paraId="4B9B4B61" w14:textId="77777777">
            <w:pPr>
              <w:spacing w:after="0" w:line="240" w:lineRule="auto"/>
              <w:jc w:val="center"/>
              <w:rPr>
                <w:rFonts w:ascii="Calibri" w:hAnsi="Calibri" w:eastAsia="Times New Roman" w:cs="Calibri"/>
                <w:b/>
                <w:bCs/>
                <w:color w:val="000000"/>
                <w:sz w:val="18"/>
                <w:szCs w:val="18"/>
              </w:rPr>
            </w:pPr>
            <w:r w:rsidRPr="004148E1">
              <w:rPr>
                <w:rFonts w:ascii="Calibri" w:hAnsi="Calibri" w:eastAsia="Times New Roman" w:cs="Calibri"/>
                <w:b/>
                <w:bCs/>
                <w:color w:val="000000"/>
                <w:sz w:val="18"/>
                <w:szCs w:val="18"/>
              </w:rPr>
              <w:t xml:space="preserve"> x Rate</w:t>
            </w:r>
          </w:p>
        </w:tc>
        <w:tc>
          <w:tcPr>
            <w:tcW w:w="1821" w:type="dxa"/>
            <w:tcBorders>
              <w:top w:val="nil"/>
              <w:left w:val="nil"/>
              <w:bottom w:val="single" w:color="auto" w:sz="4" w:space="0"/>
              <w:right w:val="single" w:color="auto" w:sz="4" w:space="0"/>
            </w:tcBorders>
            <w:shd w:val="clear" w:color="000000" w:fill="00B0F0"/>
            <w:noWrap/>
            <w:vAlign w:val="center"/>
            <w:hideMark/>
          </w:tcPr>
          <w:p w:rsidRPr="004148E1" w:rsidR="004148E1" w:rsidP="004148E1" w:rsidRDefault="004148E1" w14:paraId="1FA7AD78" w14:textId="77777777">
            <w:pPr>
              <w:spacing w:after="0" w:line="240" w:lineRule="auto"/>
              <w:jc w:val="center"/>
              <w:rPr>
                <w:rFonts w:ascii="Calibri" w:hAnsi="Calibri" w:eastAsia="Times New Roman" w:cs="Calibri"/>
                <w:b/>
                <w:bCs/>
                <w:color w:val="000000"/>
                <w:sz w:val="18"/>
                <w:szCs w:val="18"/>
              </w:rPr>
            </w:pPr>
            <w:r w:rsidRPr="004148E1">
              <w:rPr>
                <w:rFonts w:ascii="Calibri" w:hAnsi="Calibri" w:eastAsia="Times New Roman" w:cs="Calibri"/>
                <w:b/>
                <w:bCs/>
                <w:color w:val="000000"/>
                <w:sz w:val="18"/>
                <w:szCs w:val="18"/>
              </w:rPr>
              <w:t xml:space="preserve"> = Cost</w:t>
            </w:r>
          </w:p>
        </w:tc>
      </w:tr>
      <w:tr w:rsidRPr="004148E1" w:rsidR="00AD093B" w:rsidTr="0041200F" w14:paraId="32E483E1" w14:textId="77777777">
        <w:trPr>
          <w:trHeight w:val="277"/>
        </w:trPr>
        <w:tc>
          <w:tcPr>
            <w:tcW w:w="4761" w:type="dxa"/>
            <w:tcBorders>
              <w:top w:val="nil"/>
              <w:left w:val="single" w:color="auto" w:sz="4" w:space="0"/>
              <w:bottom w:val="single" w:color="auto" w:sz="4" w:space="0"/>
              <w:right w:val="single" w:color="auto" w:sz="4" w:space="0"/>
            </w:tcBorders>
            <w:shd w:val="clear" w:color="auto" w:fill="auto"/>
            <w:noWrap/>
            <w:vAlign w:val="bottom"/>
            <w:hideMark/>
          </w:tcPr>
          <w:p w:rsidRPr="004148E1" w:rsidR="00AD093B" w:rsidP="00AD093B" w:rsidRDefault="00AD093B" w14:paraId="3DD671F5" w14:textId="77777777">
            <w:pPr>
              <w:spacing w:after="0" w:line="240" w:lineRule="auto"/>
              <w:rPr>
                <w:rFonts w:ascii="Calibri" w:hAnsi="Calibri" w:eastAsia="Times New Roman" w:cs="Calibri"/>
                <w:color w:val="000000"/>
                <w:sz w:val="18"/>
                <w:szCs w:val="18"/>
              </w:rPr>
            </w:pPr>
            <w:r w:rsidRPr="004148E1">
              <w:rPr>
                <w:rFonts w:ascii="Calibri" w:hAnsi="Calibri" w:eastAsia="Times New Roman" w:cs="Calibri"/>
                <w:color w:val="000000"/>
                <w:sz w:val="18"/>
                <w:szCs w:val="18"/>
              </w:rPr>
              <w:t>Survey frame and maintenance</w:t>
            </w:r>
          </w:p>
        </w:tc>
        <w:tc>
          <w:tcPr>
            <w:tcW w:w="1341"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66DEA4E2" w14:textId="511F9C59">
            <w:pPr>
              <w:spacing w:after="0" w:line="240" w:lineRule="auto"/>
              <w:jc w:val="center"/>
              <w:rPr>
                <w:rFonts w:ascii="Calibri" w:hAnsi="Calibri" w:eastAsia="Times New Roman" w:cs="Calibri"/>
                <w:color w:val="000000"/>
                <w:sz w:val="18"/>
                <w:szCs w:val="18"/>
              </w:rPr>
            </w:pPr>
            <w:r>
              <w:rPr>
                <w:rFonts w:ascii="Calibri" w:hAnsi="Calibri" w:cs="Calibri"/>
                <w:color w:val="000000"/>
                <w:sz w:val="18"/>
                <w:szCs w:val="18"/>
              </w:rPr>
              <w:t>372</w:t>
            </w:r>
          </w:p>
        </w:tc>
        <w:tc>
          <w:tcPr>
            <w:tcW w:w="1299"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06686CFD" w14:textId="38C72D3C">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xml:space="preserve">$81.65 </w:t>
            </w:r>
          </w:p>
        </w:tc>
        <w:tc>
          <w:tcPr>
            <w:tcW w:w="1821" w:type="dxa"/>
            <w:tcBorders>
              <w:top w:val="nil"/>
              <w:left w:val="nil"/>
              <w:bottom w:val="single" w:color="auto" w:sz="4" w:space="0"/>
              <w:right w:val="single" w:color="auto" w:sz="4" w:space="0"/>
            </w:tcBorders>
            <w:shd w:val="clear" w:color="auto" w:fill="auto"/>
            <w:noWrap/>
            <w:vAlign w:val="center"/>
            <w:hideMark/>
          </w:tcPr>
          <w:p w:rsidRPr="004148E1" w:rsidR="00AD093B" w:rsidP="0041200F" w:rsidRDefault="00AD093B" w14:paraId="6F29D530" w14:textId="62FB95FF">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$30,374 </w:t>
            </w:r>
          </w:p>
        </w:tc>
      </w:tr>
      <w:tr w:rsidRPr="004148E1" w:rsidR="00AD093B" w:rsidTr="0041200F" w14:paraId="7CB05900" w14:textId="77777777">
        <w:trPr>
          <w:trHeight w:val="277"/>
        </w:trPr>
        <w:tc>
          <w:tcPr>
            <w:tcW w:w="4761" w:type="dxa"/>
            <w:tcBorders>
              <w:top w:val="nil"/>
              <w:left w:val="single" w:color="auto" w:sz="4" w:space="0"/>
              <w:bottom w:val="single" w:color="auto" w:sz="4" w:space="0"/>
              <w:right w:val="single" w:color="auto" w:sz="4" w:space="0"/>
            </w:tcBorders>
            <w:shd w:val="clear" w:color="auto" w:fill="auto"/>
            <w:noWrap/>
            <w:vAlign w:val="bottom"/>
            <w:hideMark/>
          </w:tcPr>
          <w:p w:rsidRPr="004148E1" w:rsidR="00AD093B" w:rsidP="00AD093B" w:rsidRDefault="00AD093B" w14:paraId="03A428E2" w14:textId="2384943D">
            <w:pPr>
              <w:spacing w:after="0" w:line="240" w:lineRule="auto"/>
              <w:rPr>
                <w:rFonts w:ascii="Calibri" w:hAnsi="Calibri" w:eastAsia="Times New Roman" w:cs="Calibri"/>
                <w:color w:val="000000"/>
                <w:sz w:val="18"/>
                <w:szCs w:val="18"/>
              </w:rPr>
            </w:pPr>
            <w:r w:rsidRPr="004148E1">
              <w:rPr>
                <w:rFonts w:ascii="Calibri" w:hAnsi="Calibri" w:eastAsia="Times New Roman" w:cs="Calibri"/>
                <w:color w:val="000000"/>
                <w:sz w:val="18"/>
                <w:szCs w:val="18"/>
              </w:rPr>
              <w:t xml:space="preserve">Data collection and processing </w:t>
            </w:r>
          </w:p>
        </w:tc>
        <w:tc>
          <w:tcPr>
            <w:tcW w:w="1341"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4BC106EB" w14:textId="68B653DE">
            <w:pPr>
              <w:spacing w:after="0" w:line="240" w:lineRule="auto"/>
              <w:jc w:val="center"/>
              <w:rPr>
                <w:rFonts w:ascii="Calibri" w:hAnsi="Calibri" w:eastAsia="Times New Roman" w:cs="Calibri"/>
                <w:color w:val="000000"/>
                <w:sz w:val="18"/>
                <w:szCs w:val="18"/>
              </w:rPr>
            </w:pPr>
            <w:r>
              <w:rPr>
                <w:rFonts w:ascii="Calibri" w:hAnsi="Calibri" w:cs="Calibri"/>
                <w:color w:val="000000"/>
                <w:sz w:val="18"/>
                <w:szCs w:val="18"/>
              </w:rPr>
              <w:t>1,228</w:t>
            </w:r>
          </w:p>
        </w:tc>
        <w:tc>
          <w:tcPr>
            <w:tcW w:w="1299"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473354A4" w14:textId="35BC4BA2">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xml:space="preserve">$81.65 </w:t>
            </w:r>
          </w:p>
        </w:tc>
        <w:tc>
          <w:tcPr>
            <w:tcW w:w="1821" w:type="dxa"/>
            <w:tcBorders>
              <w:top w:val="nil"/>
              <w:left w:val="nil"/>
              <w:bottom w:val="single" w:color="auto" w:sz="4" w:space="0"/>
              <w:right w:val="single" w:color="auto" w:sz="4" w:space="0"/>
            </w:tcBorders>
            <w:shd w:val="clear" w:color="auto" w:fill="auto"/>
            <w:noWrap/>
            <w:vAlign w:val="center"/>
            <w:hideMark/>
          </w:tcPr>
          <w:p w:rsidRPr="004148E1" w:rsidR="00AD093B" w:rsidP="0041200F" w:rsidRDefault="00AD093B" w14:paraId="1742E74E" w14:textId="13AE537B">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$100,266 </w:t>
            </w:r>
          </w:p>
        </w:tc>
      </w:tr>
      <w:tr w:rsidRPr="004148E1" w:rsidR="00AD093B" w:rsidTr="0041200F" w14:paraId="24C1D753" w14:textId="77777777">
        <w:trPr>
          <w:trHeight w:val="277"/>
        </w:trPr>
        <w:tc>
          <w:tcPr>
            <w:tcW w:w="4761" w:type="dxa"/>
            <w:tcBorders>
              <w:top w:val="nil"/>
              <w:left w:val="single" w:color="auto" w:sz="4" w:space="0"/>
              <w:bottom w:val="single" w:color="auto" w:sz="4" w:space="0"/>
              <w:right w:val="single" w:color="auto" w:sz="4" w:space="0"/>
            </w:tcBorders>
            <w:shd w:val="clear" w:color="auto" w:fill="auto"/>
            <w:noWrap/>
            <w:vAlign w:val="bottom"/>
            <w:hideMark/>
          </w:tcPr>
          <w:p w:rsidRPr="004148E1" w:rsidR="00AD093B" w:rsidP="00AD093B" w:rsidRDefault="00AD093B" w14:paraId="145341A6" w14:textId="77777777">
            <w:pPr>
              <w:spacing w:after="0" w:line="240" w:lineRule="auto"/>
              <w:rPr>
                <w:rFonts w:ascii="Calibri" w:hAnsi="Calibri" w:eastAsia="Times New Roman" w:cs="Calibri"/>
                <w:color w:val="000000"/>
                <w:sz w:val="18"/>
                <w:szCs w:val="18"/>
              </w:rPr>
            </w:pPr>
            <w:r w:rsidRPr="004148E1">
              <w:rPr>
                <w:rFonts w:ascii="Calibri" w:hAnsi="Calibri" w:eastAsia="Times New Roman" w:cs="Calibri"/>
                <w:color w:val="000000"/>
                <w:sz w:val="18"/>
                <w:szCs w:val="18"/>
              </w:rPr>
              <w:t xml:space="preserve">Data dissemination </w:t>
            </w:r>
          </w:p>
        </w:tc>
        <w:tc>
          <w:tcPr>
            <w:tcW w:w="1341"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590A3F77" w14:textId="21C5500E">
            <w:pPr>
              <w:spacing w:after="0" w:line="240" w:lineRule="auto"/>
              <w:jc w:val="center"/>
              <w:rPr>
                <w:rFonts w:ascii="Calibri" w:hAnsi="Calibri" w:eastAsia="Times New Roman" w:cs="Calibri"/>
                <w:color w:val="000000"/>
                <w:sz w:val="18"/>
                <w:szCs w:val="18"/>
              </w:rPr>
            </w:pPr>
            <w:r>
              <w:rPr>
                <w:rFonts w:ascii="Calibri" w:hAnsi="Calibri" w:cs="Calibri"/>
                <w:color w:val="000000"/>
                <w:sz w:val="18"/>
                <w:szCs w:val="18"/>
              </w:rPr>
              <w:t>274</w:t>
            </w:r>
          </w:p>
        </w:tc>
        <w:tc>
          <w:tcPr>
            <w:tcW w:w="1299" w:type="dxa"/>
            <w:tcBorders>
              <w:top w:val="nil"/>
              <w:left w:val="nil"/>
              <w:bottom w:val="single" w:color="auto" w:sz="4" w:space="0"/>
              <w:right w:val="single" w:color="auto" w:sz="4" w:space="0"/>
            </w:tcBorders>
            <w:shd w:val="clear" w:color="auto" w:fill="auto"/>
            <w:noWrap/>
            <w:vAlign w:val="center"/>
            <w:hideMark/>
          </w:tcPr>
          <w:p w:rsidRPr="004148E1" w:rsidR="00AD093B" w:rsidP="00AD093B" w:rsidRDefault="00AD093B" w14:paraId="7931A0FA" w14:textId="299CEFAC">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xml:space="preserve">$81.65 </w:t>
            </w:r>
          </w:p>
        </w:tc>
        <w:tc>
          <w:tcPr>
            <w:tcW w:w="1821" w:type="dxa"/>
            <w:tcBorders>
              <w:top w:val="nil"/>
              <w:left w:val="nil"/>
              <w:bottom w:val="single" w:color="auto" w:sz="4" w:space="0"/>
              <w:right w:val="single" w:color="auto" w:sz="4" w:space="0"/>
            </w:tcBorders>
            <w:shd w:val="clear" w:color="auto" w:fill="auto"/>
            <w:noWrap/>
            <w:vAlign w:val="center"/>
            <w:hideMark/>
          </w:tcPr>
          <w:p w:rsidRPr="004148E1" w:rsidR="00AD093B" w:rsidP="0041200F" w:rsidRDefault="00AD093B" w14:paraId="7FF99479" w14:textId="04A35103">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$22,372 </w:t>
            </w:r>
          </w:p>
        </w:tc>
      </w:tr>
      <w:tr w:rsidRPr="004148E1" w:rsidR="00AD093B" w:rsidTr="0041200F" w14:paraId="2A4B3CDB" w14:textId="77777777">
        <w:trPr>
          <w:trHeight w:val="277"/>
        </w:trPr>
        <w:tc>
          <w:tcPr>
            <w:tcW w:w="47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148E1" w:rsidR="00AD093B" w:rsidP="00AD093B" w:rsidRDefault="00AD093B" w14:paraId="3B6E5E40" w14:textId="77777777">
            <w:pPr>
              <w:spacing w:after="0" w:line="240" w:lineRule="auto"/>
              <w:rPr>
                <w:rFonts w:ascii="Calibri" w:hAnsi="Calibri" w:eastAsia="Times New Roman" w:cs="Calibri"/>
                <w:color w:val="000000"/>
                <w:sz w:val="18"/>
                <w:szCs w:val="18"/>
              </w:rPr>
            </w:pPr>
            <w:r w:rsidRPr="004148E1">
              <w:rPr>
                <w:rFonts w:ascii="Calibri" w:hAnsi="Calibri" w:eastAsia="Times New Roman" w:cs="Calibri"/>
                <w:color w:val="000000"/>
                <w:sz w:val="18"/>
                <w:szCs w:val="18"/>
              </w:rPr>
              <w:t xml:space="preserve">Data systems maintenance and enhancements </w:t>
            </w:r>
          </w:p>
        </w:tc>
        <w:tc>
          <w:tcPr>
            <w:tcW w:w="1341" w:type="dxa"/>
            <w:tcBorders>
              <w:top w:val="single" w:color="auto" w:sz="4" w:space="0"/>
              <w:left w:val="nil"/>
              <w:bottom w:val="single" w:color="auto" w:sz="4" w:space="0"/>
              <w:right w:val="single" w:color="auto" w:sz="4" w:space="0"/>
            </w:tcBorders>
            <w:shd w:val="clear" w:color="auto" w:fill="auto"/>
            <w:noWrap/>
            <w:vAlign w:val="center"/>
            <w:hideMark/>
          </w:tcPr>
          <w:p w:rsidRPr="004148E1" w:rsidR="00AD093B" w:rsidP="00AD093B" w:rsidRDefault="00AD093B" w14:paraId="14228196" w14:textId="0867840F">
            <w:pPr>
              <w:spacing w:after="0" w:line="240" w:lineRule="auto"/>
              <w:jc w:val="center"/>
              <w:rPr>
                <w:rFonts w:ascii="Calibri" w:hAnsi="Calibri" w:eastAsia="Times New Roman" w:cs="Calibri"/>
                <w:color w:val="000000"/>
                <w:sz w:val="18"/>
                <w:szCs w:val="18"/>
              </w:rPr>
            </w:pPr>
            <w:r>
              <w:rPr>
                <w:rFonts w:ascii="Calibri" w:hAnsi="Calibri" w:cs="Calibri"/>
                <w:color w:val="000000"/>
                <w:sz w:val="18"/>
                <w:szCs w:val="18"/>
              </w:rPr>
              <w:t>226</w:t>
            </w:r>
          </w:p>
        </w:tc>
        <w:tc>
          <w:tcPr>
            <w:tcW w:w="1299" w:type="dxa"/>
            <w:tcBorders>
              <w:top w:val="single" w:color="auto" w:sz="4" w:space="0"/>
              <w:left w:val="nil"/>
              <w:bottom w:val="single" w:color="auto" w:sz="4" w:space="0"/>
              <w:right w:val="single" w:color="auto" w:sz="4" w:space="0"/>
            </w:tcBorders>
            <w:shd w:val="clear" w:color="auto" w:fill="auto"/>
            <w:noWrap/>
            <w:vAlign w:val="center"/>
            <w:hideMark/>
          </w:tcPr>
          <w:p w:rsidRPr="004148E1" w:rsidR="00AD093B" w:rsidP="00AD093B" w:rsidRDefault="00AD093B" w14:paraId="0AD22426" w14:textId="0641EE1F">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xml:space="preserve">$81.65 </w:t>
            </w:r>
          </w:p>
        </w:tc>
        <w:tc>
          <w:tcPr>
            <w:tcW w:w="1821" w:type="dxa"/>
            <w:tcBorders>
              <w:top w:val="single" w:color="auto" w:sz="4" w:space="0"/>
              <w:left w:val="nil"/>
              <w:bottom w:val="single" w:color="auto" w:sz="4" w:space="0"/>
              <w:right w:val="single" w:color="auto" w:sz="4" w:space="0"/>
            </w:tcBorders>
            <w:shd w:val="clear" w:color="auto" w:fill="auto"/>
            <w:noWrap/>
            <w:vAlign w:val="center"/>
            <w:hideMark/>
          </w:tcPr>
          <w:p w:rsidRPr="004148E1" w:rsidR="00AD093B" w:rsidP="0041200F" w:rsidRDefault="00AD093B" w14:paraId="3AC17250" w14:textId="2A58D75B">
            <w:pPr>
              <w:spacing w:after="0" w:line="240" w:lineRule="auto"/>
              <w:jc w:val="right"/>
              <w:rPr>
                <w:rFonts w:ascii="Calibri" w:hAnsi="Calibri" w:eastAsia="Times New Roman" w:cs="Calibri"/>
                <w:color w:val="000000"/>
                <w:sz w:val="18"/>
                <w:szCs w:val="18"/>
              </w:rPr>
            </w:pPr>
            <w:r>
              <w:rPr>
                <w:rFonts w:ascii="Calibri" w:hAnsi="Calibri" w:cs="Calibri"/>
                <w:color w:val="000000"/>
                <w:sz w:val="18"/>
                <w:szCs w:val="18"/>
              </w:rPr>
              <w:t xml:space="preserve">$18,453 </w:t>
            </w:r>
          </w:p>
        </w:tc>
      </w:tr>
      <w:tr w:rsidRPr="004148E1" w:rsidR="00AD093B" w:rsidTr="0041200F" w14:paraId="472091EA" w14:textId="77777777">
        <w:trPr>
          <w:trHeight w:val="277"/>
        </w:trPr>
        <w:tc>
          <w:tcPr>
            <w:tcW w:w="4761" w:type="dxa"/>
            <w:tcBorders>
              <w:top w:val="nil"/>
              <w:left w:val="single" w:color="auto" w:sz="4" w:space="0"/>
              <w:bottom w:val="single" w:color="auto" w:sz="4" w:space="0"/>
              <w:right w:val="nil"/>
            </w:tcBorders>
            <w:shd w:val="clear" w:color="000000" w:fill="FFFFFF"/>
            <w:noWrap/>
            <w:vAlign w:val="bottom"/>
            <w:hideMark/>
          </w:tcPr>
          <w:p w:rsidRPr="004148E1" w:rsidR="00AD093B" w:rsidP="00AD093B" w:rsidRDefault="00AD093B" w14:paraId="236A7693" w14:textId="77777777">
            <w:pPr>
              <w:spacing w:after="0" w:line="240" w:lineRule="auto"/>
              <w:rPr>
                <w:rFonts w:ascii="Calibri" w:hAnsi="Calibri" w:eastAsia="Times New Roman" w:cs="Calibri"/>
                <w:b/>
                <w:bCs/>
                <w:color w:val="000000"/>
                <w:sz w:val="18"/>
                <w:szCs w:val="18"/>
              </w:rPr>
            </w:pPr>
            <w:r w:rsidRPr="004148E1">
              <w:rPr>
                <w:rFonts w:ascii="Calibri" w:hAnsi="Calibri" w:eastAsia="Times New Roman" w:cs="Calibri"/>
                <w:b/>
                <w:bCs/>
                <w:color w:val="000000"/>
                <w:sz w:val="18"/>
                <w:szCs w:val="18"/>
              </w:rPr>
              <w:t>Total Annual Cost</w:t>
            </w:r>
          </w:p>
        </w:tc>
        <w:tc>
          <w:tcPr>
            <w:tcW w:w="1341" w:type="dxa"/>
            <w:tcBorders>
              <w:top w:val="nil"/>
              <w:left w:val="nil"/>
              <w:bottom w:val="single" w:color="auto" w:sz="4" w:space="0"/>
              <w:right w:val="nil"/>
            </w:tcBorders>
            <w:shd w:val="clear" w:color="000000" w:fill="FFFFFF"/>
            <w:noWrap/>
            <w:vAlign w:val="center"/>
            <w:hideMark/>
          </w:tcPr>
          <w:p w:rsidRPr="004148E1" w:rsidR="00AD093B" w:rsidP="00AD093B" w:rsidRDefault="00AD093B" w14:paraId="4653B726" w14:textId="2D4A8B76">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w:t>
            </w:r>
          </w:p>
        </w:tc>
        <w:tc>
          <w:tcPr>
            <w:tcW w:w="1299" w:type="dxa"/>
            <w:tcBorders>
              <w:top w:val="nil"/>
              <w:left w:val="nil"/>
              <w:bottom w:val="single" w:color="auto" w:sz="4" w:space="0"/>
              <w:right w:val="nil"/>
            </w:tcBorders>
            <w:shd w:val="clear" w:color="000000" w:fill="FFFFFF"/>
            <w:noWrap/>
            <w:vAlign w:val="center"/>
            <w:hideMark/>
          </w:tcPr>
          <w:p w:rsidRPr="004148E1" w:rsidR="00AD093B" w:rsidP="00AD093B" w:rsidRDefault="00AD093B" w14:paraId="14A60D2A" w14:textId="1FD4F9B2">
            <w:pPr>
              <w:spacing w:after="0" w:line="240" w:lineRule="auto"/>
              <w:rPr>
                <w:rFonts w:ascii="Calibri" w:hAnsi="Calibri" w:eastAsia="Times New Roman" w:cs="Calibri"/>
                <w:color w:val="000000"/>
                <w:sz w:val="18"/>
                <w:szCs w:val="18"/>
              </w:rPr>
            </w:pPr>
            <w:r>
              <w:rPr>
                <w:rFonts w:ascii="Calibri" w:hAnsi="Calibri" w:cs="Calibri"/>
                <w:color w:val="000000"/>
                <w:sz w:val="18"/>
                <w:szCs w:val="18"/>
              </w:rPr>
              <w:t> </w:t>
            </w:r>
          </w:p>
        </w:tc>
        <w:tc>
          <w:tcPr>
            <w:tcW w:w="1821" w:type="dxa"/>
            <w:tcBorders>
              <w:top w:val="nil"/>
              <w:left w:val="nil"/>
              <w:bottom w:val="single" w:color="auto" w:sz="4" w:space="0"/>
              <w:right w:val="single" w:color="auto" w:sz="4" w:space="0"/>
            </w:tcBorders>
            <w:shd w:val="clear" w:color="000000" w:fill="FFFFFF"/>
            <w:noWrap/>
            <w:vAlign w:val="center"/>
            <w:hideMark/>
          </w:tcPr>
          <w:p w:rsidRPr="004148E1" w:rsidR="00AD093B" w:rsidP="0041200F" w:rsidRDefault="00AD093B" w14:paraId="4153CE5D" w14:textId="487BF49C">
            <w:pPr>
              <w:spacing w:after="0" w:line="240" w:lineRule="auto"/>
              <w:jc w:val="right"/>
              <w:rPr>
                <w:rFonts w:ascii="Calibri" w:hAnsi="Calibri" w:eastAsia="Times New Roman" w:cs="Calibri"/>
                <w:b/>
                <w:bCs/>
                <w:color w:val="000000"/>
                <w:sz w:val="18"/>
                <w:szCs w:val="18"/>
              </w:rPr>
            </w:pPr>
            <w:r>
              <w:rPr>
                <w:rFonts w:ascii="Calibri" w:hAnsi="Calibri" w:cs="Calibri"/>
                <w:b/>
                <w:bCs/>
                <w:color w:val="000000"/>
                <w:sz w:val="18"/>
                <w:szCs w:val="18"/>
              </w:rPr>
              <w:t xml:space="preserve">$171,465 </w:t>
            </w:r>
          </w:p>
        </w:tc>
      </w:tr>
    </w:tbl>
    <w:p w:rsidRPr="003A4DCC" w:rsidR="00E26174" w:rsidP="003A4DCC" w:rsidRDefault="00E26174" w14:paraId="692AAA33" w14:textId="50A8E09A">
      <w:pPr>
        <w:sectPr w:rsidRPr="003A4DCC" w:rsidR="00E26174" w:rsidSect="008F4CBD">
          <w:headerReference w:type="even" r:id="rId27"/>
          <w:headerReference w:type="default" r:id="rId28"/>
          <w:footerReference w:type="even" r:id="rId29"/>
          <w:headerReference w:type="first" r:id="rId30"/>
          <w:footerReference w:type="first" r:id="rId31"/>
          <w:pgSz w:w="12240" w:h="15840"/>
          <w:pgMar w:top="1440" w:right="1440" w:bottom="1440" w:left="1440" w:header="720" w:footer="720" w:gutter="0"/>
          <w:pgNumType w:start="1"/>
          <w:cols w:space="720"/>
          <w:docGrid w:linePitch="360"/>
        </w:sectPr>
      </w:pPr>
    </w:p>
    <w:p w:rsidR="00F056C3" w:rsidP="00F056C3" w:rsidRDefault="00F056C3" w14:paraId="7642A24E" w14:textId="01FE0680">
      <w:pPr>
        <w:pStyle w:val="Heading2"/>
      </w:pPr>
      <w:bookmarkStart w:name="_Toc46306979" w:id="26"/>
      <w:r w:rsidRPr="004116DA">
        <w:lastRenderedPageBreak/>
        <w:t>A.</w:t>
      </w:r>
      <w:r w:rsidRPr="004116DA" w:rsidR="00A41763">
        <w:t xml:space="preserve">14. </w:t>
      </w:r>
      <w:r w:rsidRPr="004116DA">
        <w:t>Changes in Burden</w:t>
      </w:r>
      <w:bookmarkEnd w:id="26"/>
      <w:r w:rsidRPr="00F056C3">
        <w:t xml:space="preserve"> </w:t>
      </w:r>
    </w:p>
    <w:p w:rsidRPr="002D5E90" w:rsidR="008E1710" w:rsidP="00BE4833" w:rsidRDefault="008E1710" w14:paraId="320C3909" w14:textId="70BEA21A">
      <w:pPr>
        <w:rPr>
          <w:bCs/>
        </w:rPr>
      </w:pPr>
      <w:r w:rsidRPr="002D5E90">
        <w:rPr>
          <w:bCs/>
        </w:rPr>
        <w:t xml:space="preserve">There is </w:t>
      </w:r>
      <w:r w:rsidR="004E6069">
        <w:rPr>
          <w:bCs/>
        </w:rPr>
        <w:t>an</w:t>
      </w:r>
      <w:r w:rsidRPr="002D5E90" w:rsidR="004E6069">
        <w:rPr>
          <w:bCs/>
        </w:rPr>
        <w:t xml:space="preserve"> </w:t>
      </w:r>
      <w:r w:rsidRPr="002D5E90">
        <w:rPr>
          <w:bCs/>
        </w:rPr>
        <w:t xml:space="preserve">estimated </w:t>
      </w:r>
      <w:r w:rsidR="004E6069">
        <w:rPr>
          <w:bCs/>
        </w:rPr>
        <w:t>increase of 24 annual burden hours</w:t>
      </w:r>
      <w:r w:rsidRPr="002D5E90" w:rsidR="004E6069">
        <w:rPr>
          <w:bCs/>
        </w:rPr>
        <w:t xml:space="preserve"> </w:t>
      </w:r>
      <w:r w:rsidRPr="002D5E90">
        <w:rPr>
          <w:bCs/>
        </w:rPr>
        <w:t xml:space="preserve">as shown in Table </w:t>
      </w:r>
      <w:r w:rsidR="00742C18">
        <w:rPr>
          <w:bCs/>
        </w:rPr>
        <w:t>4</w:t>
      </w:r>
      <w:r w:rsidRPr="002D5E90">
        <w:rPr>
          <w:bCs/>
        </w:rPr>
        <w:t xml:space="preserve"> below.</w:t>
      </w:r>
      <w:r w:rsidR="004E6069">
        <w:rPr>
          <w:bCs/>
        </w:rPr>
        <w:t xml:space="preserve"> This increase in annual burden </w:t>
      </w:r>
      <w:r w:rsidR="00141469">
        <w:rPr>
          <w:bCs/>
        </w:rPr>
        <w:t xml:space="preserve">hours </w:t>
      </w:r>
      <w:r w:rsidR="00BE4833">
        <w:rPr>
          <w:bCs/>
        </w:rPr>
        <w:t>was</w:t>
      </w:r>
      <w:r w:rsidR="004E6069">
        <w:rPr>
          <w:bCs/>
        </w:rPr>
        <w:t xml:space="preserve"> due to </w:t>
      </w:r>
      <w:r w:rsidR="00C5142E">
        <w:rPr>
          <w:bCs/>
        </w:rPr>
        <w:t>an additional</w:t>
      </w:r>
      <w:r w:rsidR="004E6069">
        <w:rPr>
          <w:bCs/>
        </w:rPr>
        <w:t xml:space="preserve"> four respondents to the EIA-111 frame</w:t>
      </w:r>
      <w:r w:rsidR="00141469">
        <w:rPr>
          <w:bCs/>
        </w:rPr>
        <w:t xml:space="preserve"> which increased the annual number of responses by 16</w:t>
      </w:r>
      <w:r w:rsidR="004E6069">
        <w:rPr>
          <w:bCs/>
        </w:rPr>
        <w:t>.</w:t>
      </w:r>
      <w:r w:rsidR="006167CE">
        <w:rPr>
          <w:bCs/>
        </w:rPr>
        <w:t xml:space="preserve"> </w:t>
      </w:r>
      <w:r w:rsidR="00BE4833">
        <w:rPr>
          <w:bCs/>
        </w:rPr>
        <w:t xml:space="preserve">These changes to burden were recorded as </w:t>
      </w:r>
      <w:r w:rsidRPr="009477CA" w:rsidR="00BE4833">
        <w:rPr>
          <w:bCs/>
          <w:i/>
        </w:rPr>
        <w:t>Changes Due to Agency Estimate</w:t>
      </w:r>
      <w:r w:rsidR="00BE4833">
        <w:rPr>
          <w:bCs/>
        </w:rPr>
        <w:t xml:space="preserve">. </w:t>
      </w:r>
    </w:p>
    <w:p w:rsidRPr="008E1710" w:rsidR="008E1710" w:rsidP="00D854D8" w:rsidRDefault="008E1710" w14:paraId="6AC8BD1F" w14:textId="77777777">
      <w:pPr>
        <w:rPr>
          <w:iCs/>
        </w:rPr>
      </w:pPr>
    </w:p>
    <w:bookmarkStart w:name="_MON_1566376226" w:id="27"/>
    <w:bookmarkEnd w:id="27"/>
    <w:p w:rsidR="00F056C3" w:rsidP="00933D5D" w:rsidRDefault="001468E0" w14:paraId="7642A251" w14:textId="2C1C6CE0">
      <w:pPr>
        <w:ind w:left="-720" w:right="-720"/>
        <w:rPr>
          <w:b/>
          <w:bCs/>
        </w:rPr>
      </w:pPr>
      <w:r>
        <w:rPr>
          <w:b/>
          <w:bCs/>
        </w:rPr>
        <w:object w:dxaOrig="20691" w:dyaOrig="7394" w14:anchorId="7642A29C">
          <v:shape id="_x0000_i1026" style="width:759.5pt;height:273.5pt" o:ole="" type="#_x0000_t75">
            <v:imagedata o:title="" r:id="rId32"/>
          </v:shape>
          <o:OLEObject Type="Embed" ProgID="Excel.Sheet.12" ShapeID="_x0000_i1026" DrawAspect="Content" ObjectID="_1682845016" r:id="rId33"/>
        </w:object>
      </w:r>
    </w:p>
    <w:p w:rsidR="00812C91" w:rsidP="00933D5D" w:rsidRDefault="00812C91" w14:paraId="7642A252" w14:textId="77777777">
      <w:pPr>
        <w:ind w:left="-720" w:right="-720"/>
        <w:rPr>
          <w:b/>
          <w:bCs/>
        </w:rPr>
      </w:pPr>
    </w:p>
    <w:p w:rsidR="0091409C" w:rsidP="006D42EC" w:rsidRDefault="0091409C" w14:paraId="7642A253" w14:textId="77777777">
      <w:pPr>
        <w:pStyle w:val="Heading2"/>
        <w:sectPr w:rsidR="0091409C" w:rsidSect="00933D5D">
          <w:footerReference w:type="default" r:id="rId34"/>
          <w:pgSz w:w="15840" w:h="12240" w:orient="landscape"/>
          <w:pgMar w:top="1440" w:right="1440" w:bottom="1440" w:left="1440" w:header="720" w:footer="720" w:gutter="0"/>
          <w:cols w:space="720"/>
          <w:docGrid w:linePitch="360"/>
        </w:sectPr>
      </w:pPr>
    </w:p>
    <w:p w:rsidR="006D42EC" w:rsidP="006D42EC" w:rsidRDefault="00F056C3" w14:paraId="7642A254" w14:textId="77777777">
      <w:pPr>
        <w:pStyle w:val="Heading2"/>
      </w:pPr>
      <w:bookmarkStart w:name="_Toc46306980" w:id="28"/>
      <w:r>
        <w:lastRenderedPageBreak/>
        <w:t>A.</w:t>
      </w:r>
      <w:r w:rsidRPr="00A41763" w:rsidR="00A41763">
        <w:t xml:space="preserve">15. </w:t>
      </w:r>
      <w:r w:rsidR="006D42EC">
        <w:t>Reasons for Changes in Burden</w:t>
      </w:r>
      <w:bookmarkEnd w:id="28"/>
    </w:p>
    <w:p w:rsidRPr="00CA1143" w:rsidR="00A41763" w:rsidP="00A41763" w:rsidRDefault="00CA1143" w14:paraId="7642A256" w14:textId="75483D85">
      <w:pPr>
        <w:rPr>
          <w:i/>
          <w:iCs/>
        </w:rPr>
      </w:pPr>
      <w:r w:rsidRPr="004116DA">
        <w:rPr>
          <w:bCs/>
        </w:rPr>
        <w:t>The</w:t>
      </w:r>
      <w:r w:rsidRPr="004116DA" w:rsidR="00097102">
        <w:rPr>
          <w:bCs/>
        </w:rPr>
        <w:t xml:space="preserve"> minor increase in estimated annual burden is due to an increase in the respondent frame</w:t>
      </w:r>
      <w:r w:rsidRPr="004116DA">
        <w:rPr>
          <w:bCs/>
        </w:rPr>
        <w:t>.</w:t>
      </w:r>
      <w:r w:rsidRPr="004116DA" w:rsidR="00097102">
        <w:rPr>
          <w:bCs/>
        </w:rPr>
        <w:t xml:space="preserve"> The EIA-111 respondents who were issued export authorizations and/or presidential permits must report until those permits expire</w:t>
      </w:r>
      <w:r w:rsidRPr="004116DA" w:rsidR="004E6069">
        <w:rPr>
          <w:bCs/>
        </w:rPr>
        <w:t xml:space="preserve"> or </w:t>
      </w:r>
      <w:r w:rsidR="004116DA">
        <w:rPr>
          <w:bCs/>
        </w:rPr>
        <w:t xml:space="preserve">are </w:t>
      </w:r>
      <w:r w:rsidRPr="004116DA" w:rsidR="004E6069">
        <w:rPr>
          <w:bCs/>
        </w:rPr>
        <w:t>rescinded</w:t>
      </w:r>
      <w:r w:rsidRPr="004116DA" w:rsidR="00097102">
        <w:rPr>
          <w:bCs/>
        </w:rPr>
        <w:t xml:space="preserve">. Export authorizations can expire after five years, ten years, or </w:t>
      </w:r>
      <w:r w:rsidRPr="004116DA" w:rsidR="004E6069">
        <w:rPr>
          <w:bCs/>
        </w:rPr>
        <w:t xml:space="preserve">when </w:t>
      </w:r>
      <w:r w:rsidRPr="004116DA" w:rsidR="00097102">
        <w:rPr>
          <w:bCs/>
        </w:rPr>
        <w:t xml:space="preserve">the affiliated transmission facility is decommissioned. Presidential permits </w:t>
      </w:r>
      <w:r w:rsidRPr="004116DA" w:rsidR="004E6069">
        <w:rPr>
          <w:bCs/>
        </w:rPr>
        <w:t xml:space="preserve">are valid until the affiliated transmission facility is decommissioned. </w:t>
      </w:r>
      <w:r w:rsidRPr="004116DA" w:rsidR="00097102">
        <w:rPr>
          <w:bCs/>
        </w:rPr>
        <w:t xml:space="preserve">The net change in new </w:t>
      </w:r>
      <w:r w:rsidRPr="004116DA" w:rsidR="004E6069">
        <w:rPr>
          <w:bCs/>
        </w:rPr>
        <w:t>permits</w:t>
      </w:r>
      <w:r w:rsidRPr="004116DA" w:rsidR="00097102">
        <w:rPr>
          <w:bCs/>
        </w:rPr>
        <w:t xml:space="preserve"> being issued, expiring </w:t>
      </w:r>
      <w:r w:rsidRPr="004116DA" w:rsidR="004E6069">
        <w:rPr>
          <w:bCs/>
        </w:rPr>
        <w:t>permits</w:t>
      </w:r>
      <w:r w:rsidRPr="004116DA" w:rsidR="00097102">
        <w:rPr>
          <w:bCs/>
        </w:rPr>
        <w:t xml:space="preserve">, </w:t>
      </w:r>
      <w:r w:rsidRPr="004116DA" w:rsidR="004E6069">
        <w:rPr>
          <w:bCs/>
        </w:rPr>
        <w:t>and the renewal</w:t>
      </w:r>
      <w:r w:rsidRPr="004116DA" w:rsidR="00097102">
        <w:rPr>
          <w:bCs/>
        </w:rPr>
        <w:t xml:space="preserve"> of </w:t>
      </w:r>
      <w:r w:rsidRPr="004116DA" w:rsidR="004E6069">
        <w:rPr>
          <w:bCs/>
        </w:rPr>
        <w:t xml:space="preserve">existing permits has resulted in an increase in respondents and the estimated annual burden. </w:t>
      </w:r>
    </w:p>
    <w:tbl>
      <w:tblPr>
        <w:tblW w:w="9360" w:type="dxa"/>
        <w:jc w:val="center"/>
        <w:tblLayout w:type="fixed"/>
        <w:tblCellMar>
          <w:left w:w="115" w:type="dxa"/>
          <w:right w:w="115" w:type="dxa"/>
        </w:tblCellMar>
        <w:tblLook w:val="04A0" w:firstRow="1" w:lastRow="0" w:firstColumn="1" w:lastColumn="0" w:noHBand="0" w:noVBand="1"/>
      </w:tblPr>
      <w:tblGrid>
        <w:gridCol w:w="1872"/>
        <w:gridCol w:w="1818"/>
        <w:gridCol w:w="1926"/>
        <w:gridCol w:w="1872"/>
        <w:gridCol w:w="1872"/>
      </w:tblGrid>
      <w:tr w:rsidRPr="00812C91" w:rsidR="008A7E5F" w:rsidTr="00545C0F" w14:paraId="7642A258"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343EB3" w:rsidRDefault="008A7E5F" w14:paraId="7642A257" w14:textId="142D40F3">
            <w:pPr>
              <w:spacing w:after="0" w:line="240" w:lineRule="auto"/>
              <w:jc w:val="center"/>
              <w:rPr>
                <w:rFonts w:ascii="Arial" w:hAnsi="Arial" w:eastAsia="Times New Roman" w:cs="Arial"/>
                <w:b/>
                <w:color w:val="0070C0"/>
                <w:sz w:val="28"/>
                <w:szCs w:val="28"/>
              </w:rPr>
            </w:pPr>
            <w:r>
              <w:br w:type="page"/>
            </w:r>
            <w:r w:rsidRPr="009477CA">
              <w:rPr>
                <w:rFonts w:ascii="Arial" w:hAnsi="Arial" w:eastAsia="Times New Roman" w:cs="Arial"/>
                <w:b/>
                <w:color w:val="00B0F0"/>
                <w:sz w:val="28"/>
                <w:szCs w:val="28"/>
              </w:rPr>
              <w:t>Table</w:t>
            </w:r>
            <w:r w:rsidRPr="009477CA" w:rsidR="001468E0">
              <w:rPr>
                <w:rFonts w:ascii="Arial" w:hAnsi="Arial" w:eastAsia="Times New Roman" w:cs="Arial"/>
                <w:b/>
                <w:color w:val="00B0F0"/>
                <w:sz w:val="28"/>
                <w:szCs w:val="28"/>
              </w:rPr>
              <w:t xml:space="preserve"> 5:</w:t>
            </w:r>
            <w:r w:rsidRPr="009477CA">
              <w:rPr>
                <w:rFonts w:ascii="Arial" w:hAnsi="Arial" w:eastAsia="Times New Roman" w:cs="Arial"/>
                <w:b/>
                <w:color w:val="00B0F0"/>
                <w:sz w:val="28"/>
                <w:szCs w:val="28"/>
              </w:rPr>
              <w:t xml:space="preserve"> ICR Summary of Burden</w:t>
            </w:r>
          </w:p>
        </w:tc>
      </w:tr>
      <w:tr w:rsidRPr="00812C91" w:rsidR="00545C0F" w:rsidTr="00B67C29" w14:paraId="7642A25E"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343EB3" w:rsidRDefault="008A7E5F" w14:paraId="7642A259"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18"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7642A25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926"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7642A25B"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7642A25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343EB3" w:rsidRDefault="008A7E5F" w14:paraId="7642A25D"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1C1B09" w14:paraId="7642A26C" w14:textId="77777777">
        <w:trPr>
          <w:trHeight w:val="890"/>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343EB3" w:rsidRDefault="00A874E4" w14:paraId="7642A25F"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18" w:type="dxa"/>
            <w:tcBorders>
              <w:top w:val="nil"/>
              <w:left w:val="nil"/>
              <w:bottom w:val="single" w:color="auto" w:sz="4" w:space="0"/>
              <w:right w:val="single" w:color="auto" w:sz="4" w:space="0"/>
            </w:tcBorders>
            <w:shd w:val="clear" w:color="auto" w:fill="auto"/>
            <w:vAlign w:val="center"/>
            <w:hideMark/>
          </w:tcPr>
          <w:p w:rsidRPr="0041200F" w:rsidR="008A7E5F" w:rsidRDefault="00083A1E" w14:paraId="7642A262" w14:textId="521204A7">
            <w:pPr>
              <w:spacing w:after="0" w:line="240" w:lineRule="auto"/>
              <w:jc w:val="center"/>
              <w:rPr>
                <w:rFonts w:ascii="Calibri" w:hAnsi="Calibri" w:eastAsia="Times New Roman" w:cs="Arial"/>
                <w:b/>
                <w:bCs/>
                <w:color w:val="576170"/>
                <w:sz w:val="20"/>
                <w:szCs w:val="20"/>
              </w:rPr>
            </w:pPr>
            <w:r w:rsidRPr="009477CA">
              <w:rPr>
                <w:rFonts w:ascii="Calibri" w:hAnsi="Calibri" w:eastAsia="Times New Roman" w:cs="Arial"/>
                <w:b/>
                <w:bCs/>
                <w:color w:val="576170"/>
                <w:sz w:val="20"/>
                <w:szCs w:val="20"/>
              </w:rPr>
              <w:t>720</w:t>
            </w:r>
          </w:p>
        </w:tc>
        <w:tc>
          <w:tcPr>
            <w:tcW w:w="1926" w:type="dxa"/>
            <w:tcBorders>
              <w:top w:val="nil"/>
              <w:left w:val="nil"/>
              <w:bottom w:val="single" w:color="auto" w:sz="4" w:space="0"/>
              <w:right w:val="single" w:color="auto" w:sz="4" w:space="0"/>
            </w:tcBorders>
            <w:shd w:val="clear" w:color="auto" w:fill="auto"/>
            <w:vAlign w:val="center"/>
            <w:hideMark/>
          </w:tcPr>
          <w:p w:rsidRPr="0041200F" w:rsidR="008A7E5F" w:rsidP="000F56B4" w:rsidRDefault="0041200F" w14:paraId="7642A265" w14:textId="29242F1D">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00941B3A" w:rsidP="00AA03BA" w:rsidRDefault="00941B3A" w14:paraId="434C64FF" w14:textId="77777777">
            <w:pPr>
              <w:spacing w:after="0" w:line="240" w:lineRule="auto"/>
              <w:jc w:val="center"/>
            </w:pPr>
            <w:r>
              <w:fldChar w:fldCharType="begin"/>
            </w:r>
            <w:r>
              <w:instrText xml:space="preserve"> LINK Excel.Sheet.12 "\\\\fs-f3\\OES\\SDSI\\SDT\\OMB_Forms_Clearance_Team\\Templates\\Supporting Statement A Template.docx" "_1566376226!Table A2. Changes in Burden!R11C12" \f 0 \h </w:instrText>
            </w:r>
            <w:r>
              <w:fldChar w:fldCharType="separate"/>
            </w:r>
          </w:p>
          <w:p w:rsidRPr="00A41B96" w:rsidR="00941B3A" w:rsidP="007B54C0" w:rsidRDefault="00941B3A" w14:paraId="394DC37B" w14:textId="77777777">
            <w:pPr>
              <w:spacing w:after="0" w:line="240" w:lineRule="auto"/>
              <w:jc w:val="center"/>
              <w:rPr>
                <w:rFonts w:ascii="Calibri" w:hAnsi="Calibri" w:eastAsia="Times New Roman" w:cs="Calibri"/>
                <w:b/>
                <w:bCs/>
                <w:color w:val="000000"/>
                <w:sz w:val="20"/>
                <w:szCs w:val="20"/>
              </w:rPr>
            </w:pPr>
            <w:r w:rsidRPr="00A41B96">
              <w:rPr>
                <w:rFonts w:ascii="Calibri" w:hAnsi="Calibri" w:eastAsia="Times New Roman" w:cs="Calibri"/>
                <w:b/>
                <w:bCs/>
                <w:color w:val="000000"/>
                <w:sz w:val="20"/>
                <w:szCs w:val="20"/>
              </w:rPr>
              <w:t>0</w:t>
            </w:r>
          </w:p>
          <w:p w:rsidRPr="003A55A9" w:rsidR="003A55A9" w:rsidP="00941B3A" w:rsidRDefault="00941B3A" w14:paraId="7642A266" w14:textId="3F388B31">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fldChar w:fldCharType="end"/>
            </w:r>
            <w:r w:rsidRPr="000F56B4" w:rsidR="00B67C29">
              <w:rPr>
                <w:rFonts w:ascii="Calibri" w:hAnsi="Calibri" w:eastAsia="Times New Roman" w:cs="Arial"/>
                <w:b/>
                <w:bCs/>
                <w:color w:val="576170"/>
                <w:sz w:val="20"/>
                <w:szCs w:val="20"/>
              </w:rPr>
              <w:fldChar w:fldCharType="begin"/>
            </w:r>
            <w:r w:rsidRPr="000F56B4" w:rsidR="00B67C29">
              <w:rPr>
                <w:rFonts w:ascii="Calibri" w:hAnsi="Calibri" w:eastAsia="Times New Roman" w:cs="Arial"/>
                <w:b/>
                <w:bCs/>
                <w:color w:val="576170"/>
                <w:sz w:val="20"/>
                <w:szCs w:val="20"/>
              </w:rPr>
              <w:instrText xml:space="preserve"> LINK </w:instrText>
            </w:r>
            <w:r>
              <w:rPr>
                <w:rFonts w:ascii="Calibri" w:hAnsi="Calibri" w:eastAsia="Times New Roman" w:cs="Arial"/>
                <w:b/>
                <w:bCs/>
                <w:color w:val="576170"/>
                <w:sz w:val="20"/>
                <w:szCs w:val="20"/>
              </w:rPr>
              <w:instrText xml:space="preserve">Excel.Sheet.12 "\\\\fs-f3\\OES\\SDSI\\SDT\\OMB_Forms_Clearance_Team\\Templates\\Supporting Statement A Template.docx" "_1566376226!Table A2. Changes in Burden!R11C12" </w:instrText>
            </w:r>
            <w:r w:rsidRPr="000F56B4" w:rsidR="00B67C29">
              <w:rPr>
                <w:rFonts w:ascii="Calibri" w:hAnsi="Calibri" w:eastAsia="Times New Roman" w:cs="Arial"/>
                <w:b/>
                <w:bCs/>
                <w:color w:val="576170"/>
                <w:sz w:val="20"/>
                <w:szCs w:val="20"/>
              </w:rPr>
              <w:instrText xml:space="preserve">\a \f 5 \h  \* MERGEFORMAT </w:instrText>
            </w:r>
            <w:r w:rsidRPr="000F56B4" w:rsidR="00B67C29">
              <w:rPr>
                <w:rFonts w:ascii="Calibri" w:hAnsi="Calibri" w:eastAsia="Times New Roman" w:cs="Arial"/>
                <w:b/>
                <w:bCs/>
                <w:color w:val="576170"/>
                <w:sz w:val="20"/>
                <w:szCs w:val="20"/>
              </w:rPr>
              <w:fldChar w:fldCharType="separate"/>
            </w:r>
          </w:p>
          <w:p w:rsidRPr="003A55A9" w:rsidR="003A55A9" w:rsidP="003A55A9" w:rsidRDefault="005313C5" w14:paraId="7642A267" w14:textId="532FCEE3">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16</w:t>
            </w:r>
          </w:p>
          <w:p w:rsidRPr="000F56B4" w:rsidR="008A7E5F" w:rsidP="00AA03BA" w:rsidRDefault="00B67C29" w14:paraId="7642A268" w14:textId="77777777">
            <w:pPr>
              <w:spacing w:after="0" w:line="240" w:lineRule="auto"/>
              <w:jc w:val="center"/>
              <w:rPr>
                <w:rFonts w:ascii="Calibri" w:hAnsi="Calibri" w:eastAsia="Times New Roman" w:cs="Arial"/>
                <w:b/>
                <w:bCs/>
                <w:color w:val="576170"/>
                <w:sz w:val="20"/>
                <w:szCs w:val="20"/>
              </w:rPr>
            </w:pPr>
            <w:r w:rsidRPr="000F56B4">
              <w:rPr>
                <w:rFonts w:ascii="Calibri" w:hAnsi="Calibri" w:eastAsia="Times New Roman" w:cs="Arial"/>
                <w:b/>
                <w:bCs/>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3A55A9" w:rsidR="003A55A9" w:rsidP="00AA03BA" w:rsidRDefault="00B67C29" w14:paraId="7642A269" w14:textId="3AB1A465">
            <w:pPr>
              <w:spacing w:after="0" w:line="240" w:lineRule="auto"/>
              <w:jc w:val="center"/>
              <w:rPr>
                <w:rFonts w:ascii="Calibri" w:hAnsi="Calibri" w:eastAsia="Times New Roman" w:cs="Arial"/>
                <w:b/>
                <w:bCs/>
                <w:color w:val="576170"/>
                <w:sz w:val="20"/>
                <w:szCs w:val="20"/>
              </w:rPr>
            </w:pPr>
            <w:r w:rsidRPr="000F56B4">
              <w:rPr>
                <w:rFonts w:ascii="Calibri" w:hAnsi="Calibri" w:eastAsia="Times New Roman" w:cs="Arial"/>
                <w:b/>
                <w:bCs/>
                <w:color w:val="576170"/>
                <w:sz w:val="20"/>
                <w:szCs w:val="20"/>
              </w:rPr>
              <w:fldChar w:fldCharType="begin"/>
            </w:r>
            <w:r w:rsidRPr="000F56B4">
              <w:rPr>
                <w:rFonts w:ascii="Calibri" w:hAnsi="Calibri" w:eastAsia="Times New Roman" w:cs="Arial"/>
                <w:b/>
                <w:bCs/>
                <w:color w:val="576170"/>
                <w:sz w:val="20"/>
                <w:szCs w:val="20"/>
              </w:rPr>
              <w:instrText xml:space="preserve"> LINK </w:instrText>
            </w:r>
            <w:r w:rsidR="00941B3A">
              <w:rPr>
                <w:rFonts w:ascii="Calibri" w:hAnsi="Calibri" w:eastAsia="Times New Roman" w:cs="Arial"/>
                <w:b/>
                <w:bCs/>
                <w:color w:val="576170"/>
                <w:sz w:val="20"/>
                <w:szCs w:val="20"/>
              </w:rPr>
              <w:instrText xml:space="preserve">Excel.Sheet.12 "\\\\fs-f3\\OES\\SDSI\\SDT\\OMB_Forms_Clearance_Team\\Templates\\Supporting Statement A Template.docx" "_1566376226!Table A2. Changes in Burden!R11C5" </w:instrText>
            </w:r>
            <w:r w:rsidRPr="000F56B4">
              <w:rPr>
                <w:rFonts w:ascii="Calibri" w:hAnsi="Calibri" w:eastAsia="Times New Roman" w:cs="Arial"/>
                <w:b/>
                <w:bCs/>
                <w:color w:val="576170"/>
                <w:sz w:val="20"/>
                <w:szCs w:val="20"/>
              </w:rPr>
              <w:instrText xml:space="preserve">\a \f 5 \h  \* MERGEFORMAT </w:instrText>
            </w:r>
            <w:r w:rsidRPr="000F56B4">
              <w:rPr>
                <w:rFonts w:ascii="Calibri" w:hAnsi="Calibri" w:eastAsia="Times New Roman" w:cs="Arial"/>
                <w:b/>
                <w:bCs/>
                <w:color w:val="576170"/>
                <w:sz w:val="20"/>
                <w:szCs w:val="20"/>
              </w:rPr>
              <w:fldChar w:fldCharType="separate"/>
            </w:r>
          </w:p>
          <w:p w:rsidRPr="003A55A9" w:rsidR="003A55A9" w:rsidP="003A55A9" w:rsidRDefault="00CA1143" w14:paraId="7642A26A" w14:textId="5C739A54">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704</w:t>
            </w:r>
          </w:p>
          <w:p w:rsidRPr="000F56B4" w:rsidR="008A7E5F" w:rsidP="00AA03BA" w:rsidRDefault="00B67C29" w14:paraId="7642A26B" w14:textId="77777777">
            <w:pPr>
              <w:spacing w:after="0" w:line="240" w:lineRule="auto"/>
              <w:jc w:val="center"/>
              <w:rPr>
                <w:rFonts w:ascii="Calibri" w:hAnsi="Calibri" w:eastAsia="Times New Roman" w:cs="Arial"/>
                <w:b/>
                <w:bCs/>
                <w:color w:val="576170"/>
                <w:sz w:val="20"/>
                <w:szCs w:val="20"/>
              </w:rPr>
            </w:pPr>
            <w:r w:rsidRPr="000F56B4">
              <w:rPr>
                <w:rFonts w:ascii="Calibri" w:hAnsi="Calibri" w:eastAsia="Times New Roman" w:cs="Arial"/>
                <w:b/>
                <w:bCs/>
                <w:color w:val="576170"/>
                <w:sz w:val="20"/>
                <w:szCs w:val="20"/>
              </w:rPr>
              <w:fldChar w:fldCharType="end"/>
            </w:r>
          </w:p>
        </w:tc>
      </w:tr>
      <w:tr w:rsidRPr="00812C91" w:rsidR="008A7E5F" w:rsidTr="00AA03BA" w14:paraId="7642A27A"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343EB3" w:rsidRDefault="00A874E4" w14:paraId="7642A26D"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1818" w:type="dxa"/>
            <w:tcBorders>
              <w:top w:val="nil"/>
              <w:left w:val="nil"/>
              <w:bottom w:val="single" w:color="auto" w:sz="4" w:space="0"/>
              <w:right w:val="single" w:color="auto" w:sz="4" w:space="0"/>
            </w:tcBorders>
            <w:shd w:val="clear" w:color="auto" w:fill="auto"/>
            <w:vAlign w:val="center"/>
            <w:hideMark/>
          </w:tcPr>
          <w:p w:rsidRPr="003A55A9" w:rsidR="003A55A9" w:rsidP="00AA03BA" w:rsidRDefault="00B67C29" w14:paraId="7642A26E" w14:textId="38266AB1">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941B3A">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Burden!R11C10"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3A55A9" w:rsidR="003A55A9" w:rsidP="003A55A9" w:rsidRDefault="00097102" w14:paraId="7642A26F" w14:textId="0E240829">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1080</w:t>
            </w:r>
          </w:p>
          <w:p w:rsidRPr="00A017C3" w:rsidR="008A7E5F" w:rsidP="00AA03BA" w:rsidRDefault="00B67C29" w14:paraId="7642A270" w14:textId="77777777">
            <w:pPr>
              <w:spacing w:after="0" w:line="240" w:lineRule="auto"/>
              <w:jc w:val="center"/>
            </w:pPr>
            <w:r>
              <w:rPr>
                <w:rFonts w:ascii="Calibri" w:hAnsi="Calibri" w:eastAsia="Times New Roman" w:cs="Arial"/>
                <w:color w:val="576170"/>
                <w:sz w:val="20"/>
                <w:szCs w:val="20"/>
              </w:rPr>
              <w:fldChar w:fldCharType="end"/>
            </w:r>
          </w:p>
        </w:tc>
        <w:tc>
          <w:tcPr>
            <w:tcW w:w="1926" w:type="dxa"/>
            <w:tcBorders>
              <w:top w:val="nil"/>
              <w:left w:val="nil"/>
              <w:bottom w:val="single" w:color="auto" w:sz="4" w:space="0"/>
              <w:right w:val="single" w:color="auto" w:sz="4" w:space="0"/>
            </w:tcBorders>
            <w:shd w:val="clear" w:color="auto" w:fill="auto"/>
            <w:vAlign w:val="center"/>
            <w:hideMark/>
          </w:tcPr>
          <w:p w:rsidRPr="003A55A9" w:rsidR="003A55A9" w:rsidP="00AA03BA" w:rsidRDefault="00B67C29" w14:paraId="7642A271" w14:textId="38B9DB04">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941B3A">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Burden!R11C14"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3A55A9" w:rsidR="003A55A9" w:rsidP="003A55A9" w:rsidRDefault="005313C5" w14:paraId="7642A272" w14:textId="6C20AA30">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0</w:t>
            </w:r>
          </w:p>
          <w:p w:rsidRPr="00A017C3" w:rsidR="008A7E5F" w:rsidP="00AA03BA" w:rsidRDefault="00B67C29" w14:paraId="7642A273"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9477CA" w:rsidR="00F065CD" w:rsidP="00AA03BA" w:rsidRDefault="00B67C29" w14:paraId="40213343" w14:textId="1B08CD18">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941B3A">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Burden!R11C15"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9477CA" w:rsidR="00F065CD" w:rsidP="009477CA" w:rsidRDefault="005313C5" w14:paraId="793627C5" w14:textId="3C2DD778">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24</w:t>
            </w:r>
          </w:p>
          <w:p w:rsidRPr="00A017C3" w:rsidR="008A7E5F" w:rsidP="00AA03BA" w:rsidRDefault="00B67C29" w14:paraId="7642A276"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9477CA" w:rsidR="00F065CD" w:rsidP="009477CA" w:rsidRDefault="00B67C29" w14:paraId="3573BFF9" w14:textId="643FF87E">
            <w:pPr>
              <w:spacing w:after="0" w:line="240" w:lineRule="auto"/>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A505B9">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Burden!R11C9"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p>
          <w:p w:rsidRPr="009477CA" w:rsidR="00F065CD" w:rsidP="009477CA" w:rsidRDefault="00160CE1" w14:paraId="522EFB52" w14:textId="28651C18">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1056</w:t>
            </w:r>
          </w:p>
          <w:p w:rsidRPr="00A017C3" w:rsidR="008A7E5F" w:rsidP="00AA03BA" w:rsidRDefault="00B67C29" w14:paraId="7642A279" w14:textId="77777777">
            <w:pPr>
              <w:spacing w:after="0" w:line="240" w:lineRule="auto"/>
              <w:jc w:val="center"/>
            </w:pPr>
            <w:r>
              <w:rPr>
                <w:rFonts w:ascii="Calibri" w:hAnsi="Calibri" w:eastAsia="Times New Roman" w:cs="Arial"/>
                <w:color w:val="576170"/>
                <w:sz w:val="20"/>
                <w:szCs w:val="20"/>
              </w:rPr>
              <w:fldChar w:fldCharType="end"/>
            </w:r>
          </w:p>
        </w:tc>
      </w:tr>
    </w:tbl>
    <w:p w:rsidR="00D854D8" w:rsidP="00A41763" w:rsidRDefault="00D854D8" w14:paraId="7642A27B" w14:textId="77777777"/>
    <w:p w:rsidRPr="00A41763" w:rsidR="00B740D4" w:rsidP="00A41763" w:rsidRDefault="00B740D4" w14:paraId="59E8B3F6" w14:textId="77777777"/>
    <w:p w:rsidR="00F056C3" w:rsidP="00F056C3" w:rsidRDefault="00F056C3" w14:paraId="7642A27C" w14:textId="77777777">
      <w:pPr>
        <w:pStyle w:val="Heading2"/>
      </w:pPr>
      <w:bookmarkStart w:name="_Toc46306981" w:id="29"/>
      <w:r>
        <w:t>A.</w:t>
      </w:r>
      <w:r w:rsidRPr="00A41763" w:rsidR="00A41763">
        <w:t xml:space="preserve">16. </w:t>
      </w:r>
      <w:r w:rsidRPr="00F056C3">
        <w:t>Collection, Tabulation, and Publication Plans</w:t>
      </w:r>
      <w:bookmarkEnd w:id="29"/>
      <w:r w:rsidRPr="00F056C3">
        <w:t xml:space="preserve"> </w:t>
      </w:r>
    </w:p>
    <w:p w:rsidR="00F056C3" w:rsidP="00A41763" w:rsidRDefault="00CA1143" w14:paraId="7642A27F" w14:textId="103D6A64">
      <w:r>
        <w:t xml:space="preserve">The data collected on this form will be released in EIA reports and will be made available on the EIA website. </w:t>
      </w:r>
    </w:p>
    <w:p w:rsidRPr="00A41763" w:rsidR="00B740D4" w:rsidP="00A41763" w:rsidRDefault="00B740D4" w14:paraId="36D58A03" w14:textId="77777777"/>
    <w:p w:rsidR="00F056C3" w:rsidP="00F056C3" w:rsidRDefault="00F056C3" w14:paraId="7642A280" w14:textId="77777777">
      <w:pPr>
        <w:pStyle w:val="Heading2"/>
      </w:pPr>
      <w:bookmarkStart w:name="_Toc46306982" w:id="30"/>
      <w:r>
        <w:t>A.</w:t>
      </w:r>
      <w:r w:rsidRPr="00A41763" w:rsidR="00A41763">
        <w:t xml:space="preserve">17. </w:t>
      </w:r>
      <w:r w:rsidRPr="00F056C3">
        <w:t>OMB Number and Expiration Date</w:t>
      </w:r>
      <w:bookmarkEnd w:id="30"/>
      <w:r w:rsidRPr="00F056C3">
        <w:t xml:space="preserve"> </w:t>
      </w:r>
    </w:p>
    <w:p w:rsidRPr="002D5E90" w:rsidR="00CA1143" w:rsidP="00CA1143" w:rsidRDefault="00CA1143" w14:paraId="3F9CE744" w14:textId="392E8D59">
      <w:pPr>
        <w:rPr>
          <w:bCs/>
        </w:rPr>
      </w:pPr>
      <w:r w:rsidRPr="002D5E90">
        <w:rPr>
          <w:bCs/>
        </w:rPr>
        <w:t>The OMB number (OMB Number 1905-0208) and expiration date will be displayed on the data collection form and the instructions.</w:t>
      </w:r>
    </w:p>
    <w:p w:rsidR="00F056C3" w:rsidP="00A41763" w:rsidRDefault="00F056C3" w14:paraId="7642A283" w14:textId="77777777">
      <w:pPr>
        <w:rPr>
          <w:b/>
          <w:bCs/>
        </w:rPr>
      </w:pPr>
    </w:p>
    <w:p w:rsidR="00F056C3" w:rsidP="00F056C3" w:rsidRDefault="00F056C3" w14:paraId="7642A284" w14:textId="77777777">
      <w:pPr>
        <w:pStyle w:val="Heading2"/>
      </w:pPr>
      <w:bookmarkStart w:name="_Toc46306983" w:id="31"/>
      <w:r>
        <w:t>A.</w:t>
      </w:r>
      <w:r w:rsidRPr="00A41763" w:rsidR="00A41763">
        <w:t xml:space="preserve">18. </w:t>
      </w:r>
      <w:r w:rsidRPr="00F056C3">
        <w:t>Certification Statement</w:t>
      </w:r>
      <w:bookmarkEnd w:id="31"/>
      <w:r w:rsidRPr="00F056C3">
        <w:t xml:space="preserve"> </w:t>
      </w:r>
    </w:p>
    <w:p w:rsidRPr="002D5E90" w:rsidR="00CA1143" w:rsidP="00CA1143" w:rsidRDefault="00CA1143" w14:paraId="18B02122" w14:textId="77777777">
      <w:r w:rsidRPr="002D5E90">
        <w:t xml:space="preserve">There are no exceptions to the certification statement identified in Item 19, "Certification for Paperwork Reduction Act Submissions," of OMB Form 83-I. This information collection request complies with 5 CFR 1320.9. </w:t>
      </w:r>
    </w:p>
    <w:p w:rsidRPr="00A41763" w:rsidR="00CA1143" w:rsidP="00A41763" w:rsidRDefault="00CA1143" w14:paraId="4AD2EBE2" w14:textId="77777777"/>
    <w:sectPr w:rsidRPr="00A41763" w:rsidR="00CA1143" w:rsidSect="00933D5D">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2EF57C" w16cex:dateUtc="2021-04-26T14:14:41.138Z"/>
</w16cex:commentsExtensible>
</file>

<file path=word/commentsIds.xml><?xml version="1.0" encoding="utf-8"?>
<w16cid:commentsIds xmlns:mc="http://schemas.openxmlformats.org/markup-compatibility/2006" xmlns:w16cid="http://schemas.microsoft.com/office/word/2016/wordml/cid" mc:Ignorable="w16cid">
  <w16cid:commentId w16cid:paraId="4E8206A9" w16cid:durableId="4CEBE0DA"/>
  <w16cid:commentId w16cid:paraId="58651C67" w16cid:durableId="63B0866D"/>
  <w16cid:commentId w16cid:paraId="74C62A63" w16cid:durableId="63631AF3"/>
  <w16cid:commentId w16cid:paraId="0A01DA33" w16cid:durableId="717C89F5"/>
  <w16cid:commentId w16cid:paraId="784D1DD7" w16cid:durableId="43255043"/>
  <w16cid:commentId w16cid:paraId="6F69EB17" w16cid:durableId="138F1231"/>
  <w16cid:commentId w16cid:paraId="70532684" w16cid:durableId="25DCCE69"/>
  <w16cid:commentId w16cid:paraId="3A7D26C3" w16cid:durableId="6E302E78"/>
  <w16cid:commentId w16cid:paraId="2046D082" w16cid:durableId="162EF5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2A29F" w14:textId="77777777" w:rsidR="00A41763" w:rsidRDefault="00A41763" w:rsidP="00536CE1">
      <w:pPr>
        <w:spacing w:after="0" w:line="240" w:lineRule="auto"/>
      </w:pPr>
      <w:r>
        <w:separator/>
      </w:r>
    </w:p>
  </w:endnote>
  <w:endnote w:type="continuationSeparator" w:id="0">
    <w:p w14:paraId="7642A2A0"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2" w14:textId="2F8C49BC"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DB081B">
          <w:t>Supporting Statement for Quarterly Electricity Imports and Exports Report</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C36BF7">
      <w:rPr>
        <w:noProof/>
      </w:rPr>
      <w:t>7</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3" w14:textId="77777777" w:rsidR="00132F4A" w:rsidRDefault="00C36BF7" w:rsidP="00760677">
    <w:pPr>
      <w:pStyle w:val="Footer"/>
    </w:pPr>
    <w:sdt>
      <w:sdtPr>
        <w:id w:val="272451101"/>
        <w:docPartObj>
          <w:docPartGallery w:val="Page Numbers (Bottom of Page)"/>
          <w:docPartUnique/>
        </w:docPartObj>
      </w:sdtPr>
      <w:sdtEndPr/>
      <w:sdtContent>
        <w:r w:rsidR="00132F4A"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7642A2A4"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5" w14:textId="77777777" w:rsidR="00132F4A" w:rsidRDefault="00C36BF7" w:rsidP="00760677">
    <w:pPr>
      <w:pStyle w:val="Footer"/>
    </w:pPr>
    <w:sdt>
      <w:sdtPr>
        <w:id w:val="-22715443"/>
        <w:docPartObj>
          <w:docPartGallery w:val="Page Numbers (Bottom of Page)"/>
          <w:docPartUnique/>
        </w:docPartObj>
      </w:sdtPr>
      <w:sdtEndPr/>
      <w:sdtContent>
        <w:r w:rsidR="00132F4A"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7642A2A6"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789814"/>
      <w:docPartObj>
        <w:docPartGallery w:val="Page Numbers (Bottom of Page)"/>
        <w:docPartUnique/>
      </w:docPartObj>
    </w:sdtPr>
    <w:sdtEndPr/>
    <w:sdtContent>
      <w:p w14:paraId="7642A2A9"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B" w14:textId="77777777" w:rsidR="00132F4A" w:rsidRDefault="00C36BF7" w:rsidP="00760677">
    <w:pPr>
      <w:pStyle w:val="Footer"/>
    </w:pPr>
    <w:sdt>
      <w:sdtPr>
        <w:id w:val="-1770452069"/>
        <w:docPartObj>
          <w:docPartGallery w:val="Page Numbers (Bottom of Page)"/>
          <w:docPartUnique/>
        </w:docPartObj>
      </w:sdtPr>
      <w:sdtEndPr/>
      <w:sdtContent>
        <w:r w:rsidR="00132F4A" w:rsidRPr="00CB180D">
          <w:t xml:space="preserve">U.S. Energy Information Administration   |   </w:t>
        </w:r>
        <w:sdt>
          <w:sdtPr>
            <w:alias w:val="Subject"/>
            <w:id w:val="-2052460837"/>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7642A2AC"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D" w14:textId="351F9F32" w:rsidR="00933D5D" w:rsidRPr="001F3A8F" w:rsidRDefault="00933D5D" w:rsidP="00616E46">
    <w:pPr>
      <w:pStyle w:val="Footer"/>
      <w:tabs>
        <w:tab w:val="clear" w:pos="9720"/>
        <w:tab w:val="left" w:pos="8655"/>
      </w:tabs>
    </w:pPr>
    <w:r w:rsidRPr="00CB180D">
      <w:t>U.S. Energy Information Administration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DB081B">
          <w:t>Supporting Statement for Quarterly Electricity Imports and Exports Report</w:t>
        </w:r>
      </w:sdtContent>
    </w:sdt>
    <w:r>
      <w:t xml:space="preserve"> </w:t>
    </w:r>
    <w:r>
      <w:tab/>
      <w:t xml:space="preserve"> </w:t>
    </w:r>
    <w:r>
      <w:fldChar w:fldCharType="begin"/>
    </w:r>
    <w:r>
      <w:instrText xml:space="preserve"> PAGE   \* MERGEFORMAT </w:instrText>
    </w:r>
    <w:r>
      <w:fldChar w:fldCharType="separate"/>
    </w:r>
    <w:r w:rsidR="00C36BF7">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2A29D" w14:textId="77777777" w:rsidR="00A41763" w:rsidRDefault="00A41763" w:rsidP="00536CE1">
      <w:pPr>
        <w:spacing w:after="0" w:line="240" w:lineRule="auto"/>
      </w:pPr>
      <w:r>
        <w:separator/>
      </w:r>
    </w:p>
  </w:footnote>
  <w:footnote w:type="continuationSeparator" w:id="0">
    <w:p w14:paraId="7642A29E" w14:textId="77777777"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1"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7"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8" w14:textId="7C8B0457" w:rsidR="00132F4A" w:rsidRPr="00F8298C" w:rsidRDefault="000E2C1E" w:rsidP="00041909">
    <w:pPr>
      <w:pStyle w:val="Header"/>
    </w:pPr>
    <w:r>
      <w:t>June</w:t>
    </w:r>
    <w:r w:rsidR="00FC1EB5">
      <w:t xml:space="preserve"> 202</w:t>
    </w:r>
    <w: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A2AA"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multilevel"/>
    <w:tmpl w:val="F948091A"/>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5268DBE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8"/>
    <w:multiLevelType w:val="multilevel"/>
    <w:tmpl w:val="8220A52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997C75"/>
    <w:multiLevelType w:val="hybridMultilevel"/>
    <w:tmpl w:val="2BFA61C6"/>
    <w:lvl w:ilvl="0" w:tplc="52387F7A">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85781"/>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352BA"/>
    <w:multiLevelType w:val="hybridMultilevel"/>
    <w:tmpl w:val="176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63061"/>
    <w:multiLevelType w:val="multilevel"/>
    <w:tmpl w:val="44ACF2B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0"/>
  </w:num>
  <w:num w:numId="8">
    <w:abstractNumId w:val="14"/>
  </w:num>
  <w:num w:numId="9">
    <w:abstractNumId w:val="10"/>
  </w:num>
  <w:num w:numId="10">
    <w:abstractNumId w:val="8"/>
  </w:num>
  <w:num w:numId="11">
    <w:abstractNumId w:val="12"/>
  </w:num>
  <w:num w:numId="12">
    <w:abstractNumId w:val="11"/>
  </w:num>
  <w:num w:numId="13">
    <w:abstractNumId w:val="9"/>
  </w:num>
  <w:num w:numId="14">
    <w:abstractNumId w:val="5"/>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markup="0"/>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7168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06885"/>
    <w:rsid w:val="00011B3F"/>
    <w:rsid w:val="00013373"/>
    <w:rsid w:val="000142E5"/>
    <w:rsid w:val="00015DA7"/>
    <w:rsid w:val="000230A3"/>
    <w:rsid w:val="000248CE"/>
    <w:rsid w:val="00024E1E"/>
    <w:rsid w:val="0003233A"/>
    <w:rsid w:val="00034A4B"/>
    <w:rsid w:val="00041909"/>
    <w:rsid w:val="00046593"/>
    <w:rsid w:val="00047C08"/>
    <w:rsid w:val="0005401F"/>
    <w:rsid w:val="00055769"/>
    <w:rsid w:val="00056EC3"/>
    <w:rsid w:val="00062CFE"/>
    <w:rsid w:val="0007129A"/>
    <w:rsid w:val="000831C4"/>
    <w:rsid w:val="00083A1E"/>
    <w:rsid w:val="000844CA"/>
    <w:rsid w:val="00097102"/>
    <w:rsid w:val="000B3FBE"/>
    <w:rsid w:val="000C28E1"/>
    <w:rsid w:val="000C5311"/>
    <w:rsid w:val="000C722F"/>
    <w:rsid w:val="000C79BB"/>
    <w:rsid w:val="000E2C1E"/>
    <w:rsid w:val="000F040A"/>
    <w:rsid w:val="000F4861"/>
    <w:rsid w:val="000F56B4"/>
    <w:rsid w:val="001034E8"/>
    <w:rsid w:val="00112A69"/>
    <w:rsid w:val="0011541D"/>
    <w:rsid w:val="00132F4A"/>
    <w:rsid w:val="00141469"/>
    <w:rsid w:val="001468E0"/>
    <w:rsid w:val="00154192"/>
    <w:rsid w:val="00160BC8"/>
    <w:rsid w:val="00160CE1"/>
    <w:rsid w:val="00167425"/>
    <w:rsid w:val="001807A3"/>
    <w:rsid w:val="001947D5"/>
    <w:rsid w:val="00196725"/>
    <w:rsid w:val="001A6E1E"/>
    <w:rsid w:val="001B0E69"/>
    <w:rsid w:val="001B6585"/>
    <w:rsid w:val="001B7A13"/>
    <w:rsid w:val="001C1B09"/>
    <w:rsid w:val="001D03A8"/>
    <w:rsid w:val="001F3A8F"/>
    <w:rsid w:val="002008B4"/>
    <w:rsid w:val="00201F24"/>
    <w:rsid w:val="00205BF9"/>
    <w:rsid w:val="002127CE"/>
    <w:rsid w:val="00215842"/>
    <w:rsid w:val="002207DF"/>
    <w:rsid w:val="00221AC2"/>
    <w:rsid w:val="00226E41"/>
    <w:rsid w:val="00227E4B"/>
    <w:rsid w:val="0023015A"/>
    <w:rsid w:val="0023708A"/>
    <w:rsid w:val="0025022D"/>
    <w:rsid w:val="002530BB"/>
    <w:rsid w:val="002556F3"/>
    <w:rsid w:val="00260EDF"/>
    <w:rsid w:val="00264148"/>
    <w:rsid w:val="002722D9"/>
    <w:rsid w:val="00274179"/>
    <w:rsid w:val="002B0FD2"/>
    <w:rsid w:val="002C378C"/>
    <w:rsid w:val="002E3FD5"/>
    <w:rsid w:val="002E7A38"/>
    <w:rsid w:val="00306516"/>
    <w:rsid w:val="003169C9"/>
    <w:rsid w:val="003469CB"/>
    <w:rsid w:val="00350C8B"/>
    <w:rsid w:val="00351313"/>
    <w:rsid w:val="00363331"/>
    <w:rsid w:val="00371E14"/>
    <w:rsid w:val="00373208"/>
    <w:rsid w:val="00376488"/>
    <w:rsid w:val="00383DB3"/>
    <w:rsid w:val="003854B2"/>
    <w:rsid w:val="00385AE6"/>
    <w:rsid w:val="00387C8D"/>
    <w:rsid w:val="00392DD0"/>
    <w:rsid w:val="00396BCB"/>
    <w:rsid w:val="00397825"/>
    <w:rsid w:val="003A1073"/>
    <w:rsid w:val="003A10F3"/>
    <w:rsid w:val="003A3906"/>
    <w:rsid w:val="003A4DCC"/>
    <w:rsid w:val="003A55A9"/>
    <w:rsid w:val="003B03A4"/>
    <w:rsid w:val="003B2F19"/>
    <w:rsid w:val="003C03EA"/>
    <w:rsid w:val="003C690C"/>
    <w:rsid w:val="003E40FA"/>
    <w:rsid w:val="003F24ED"/>
    <w:rsid w:val="003F3F76"/>
    <w:rsid w:val="003F529E"/>
    <w:rsid w:val="003F5882"/>
    <w:rsid w:val="003F669D"/>
    <w:rsid w:val="00407CCE"/>
    <w:rsid w:val="004116DA"/>
    <w:rsid w:val="0041200F"/>
    <w:rsid w:val="00414212"/>
    <w:rsid w:val="004148E1"/>
    <w:rsid w:val="00426481"/>
    <w:rsid w:val="00432966"/>
    <w:rsid w:val="00433CEC"/>
    <w:rsid w:val="0045608E"/>
    <w:rsid w:val="0045662F"/>
    <w:rsid w:val="0046374F"/>
    <w:rsid w:val="00466959"/>
    <w:rsid w:val="0047784B"/>
    <w:rsid w:val="004946F0"/>
    <w:rsid w:val="00496BDC"/>
    <w:rsid w:val="00497C2A"/>
    <w:rsid w:val="004B1075"/>
    <w:rsid w:val="004C277B"/>
    <w:rsid w:val="004C774D"/>
    <w:rsid w:val="004D05FB"/>
    <w:rsid w:val="004D29C7"/>
    <w:rsid w:val="004E6069"/>
    <w:rsid w:val="00504119"/>
    <w:rsid w:val="005065CF"/>
    <w:rsid w:val="00506BB4"/>
    <w:rsid w:val="0050705F"/>
    <w:rsid w:val="005103B5"/>
    <w:rsid w:val="005170D3"/>
    <w:rsid w:val="00517C51"/>
    <w:rsid w:val="0052493A"/>
    <w:rsid w:val="0052783E"/>
    <w:rsid w:val="005313C5"/>
    <w:rsid w:val="00532926"/>
    <w:rsid w:val="00535CAF"/>
    <w:rsid w:val="00536054"/>
    <w:rsid w:val="0053654B"/>
    <w:rsid w:val="00536CE1"/>
    <w:rsid w:val="0054180D"/>
    <w:rsid w:val="00545C0F"/>
    <w:rsid w:val="00547B53"/>
    <w:rsid w:val="005515CD"/>
    <w:rsid w:val="00571D8F"/>
    <w:rsid w:val="0057367D"/>
    <w:rsid w:val="00585BE3"/>
    <w:rsid w:val="0059212D"/>
    <w:rsid w:val="005B2B58"/>
    <w:rsid w:val="005C00FA"/>
    <w:rsid w:val="005C03F1"/>
    <w:rsid w:val="005C2D89"/>
    <w:rsid w:val="005C485B"/>
    <w:rsid w:val="005D39D7"/>
    <w:rsid w:val="005D5956"/>
    <w:rsid w:val="005D6F63"/>
    <w:rsid w:val="005E792A"/>
    <w:rsid w:val="005F24A5"/>
    <w:rsid w:val="005F4848"/>
    <w:rsid w:val="006167CE"/>
    <w:rsid w:val="00616E46"/>
    <w:rsid w:val="0062008C"/>
    <w:rsid w:val="00620797"/>
    <w:rsid w:val="00626494"/>
    <w:rsid w:val="00641DE2"/>
    <w:rsid w:val="00643384"/>
    <w:rsid w:val="00650EE2"/>
    <w:rsid w:val="0065406F"/>
    <w:rsid w:val="00663EC4"/>
    <w:rsid w:val="006715B3"/>
    <w:rsid w:val="00677C5F"/>
    <w:rsid w:val="006A0BC7"/>
    <w:rsid w:val="006A5DF4"/>
    <w:rsid w:val="006A6D8F"/>
    <w:rsid w:val="006C0062"/>
    <w:rsid w:val="006C097E"/>
    <w:rsid w:val="006C2DC3"/>
    <w:rsid w:val="006C6817"/>
    <w:rsid w:val="006D0439"/>
    <w:rsid w:val="006D3D3B"/>
    <w:rsid w:val="006D42EC"/>
    <w:rsid w:val="00704B7D"/>
    <w:rsid w:val="00711414"/>
    <w:rsid w:val="007139A9"/>
    <w:rsid w:val="00725453"/>
    <w:rsid w:val="00730DA0"/>
    <w:rsid w:val="00737591"/>
    <w:rsid w:val="00742381"/>
    <w:rsid w:val="00742C18"/>
    <w:rsid w:val="007438F2"/>
    <w:rsid w:val="00755C3D"/>
    <w:rsid w:val="007576EF"/>
    <w:rsid w:val="00760677"/>
    <w:rsid w:val="00761C12"/>
    <w:rsid w:val="007658BA"/>
    <w:rsid w:val="00776CF4"/>
    <w:rsid w:val="00777E63"/>
    <w:rsid w:val="00784F89"/>
    <w:rsid w:val="00786336"/>
    <w:rsid w:val="007951D6"/>
    <w:rsid w:val="007A0E7F"/>
    <w:rsid w:val="007A4378"/>
    <w:rsid w:val="007B5499"/>
    <w:rsid w:val="007B54C0"/>
    <w:rsid w:val="007C2019"/>
    <w:rsid w:val="007C5CE9"/>
    <w:rsid w:val="007D02BF"/>
    <w:rsid w:val="007D39CC"/>
    <w:rsid w:val="007D6AAF"/>
    <w:rsid w:val="007E29F8"/>
    <w:rsid w:val="007E2C2B"/>
    <w:rsid w:val="007E5A11"/>
    <w:rsid w:val="007E73E6"/>
    <w:rsid w:val="007F1954"/>
    <w:rsid w:val="007F21D7"/>
    <w:rsid w:val="007F3F79"/>
    <w:rsid w:val="008057F8"/>
    <w:rsid w:val="008060BD"/>
    <w:rsid w:val="00811910"/>
    <w:rsid w:val="00812C91"/>
    <w:rsid w:val="00817ED2"/>
    <w:rsid w:val="008213F9"/>
    <w:rsid w:val="008307E1"/>
    <w:rsid w:val="00836D62"/>
    <w:rsid w:val="00844524"/>
    <w:rsid w:val="00867160"/>
    <w:rsid w:val="0087205B"/>
    <w:rsid w:val="00874FB8"/>
    <w:rsid w:val="008864C9"/>
    <w:rsid w:val="00895669"/>
    <w:rsid w:val="00897946"/>
    <w:rsid w:val="008A3276"/>
    <w:rsid w:val="008A3447"/>
    <w:rsid w:val="008A7E5F"/>
    <w:rsid w:val="008B992B"/>
    <w:rsid w:val="008C734C"/>
    <w:rsid w:val="008E1710"/>
    <w:rsid w:val="008E4BF2"/>
    <w:rsid w:val="008F4CBD"/>
    <w:rsid w:val="009017AD"/>
    <w:rsid w:val="00901BED"/>
    <w:rsid w:val="00905735"/>
    <w:rsid w:val="00907157"/>
    <w:rsid w:val="009105F4"/>
    <w:rsid w:val="009131B9"/>
    <w:rsid w:val="0091409C"/>
    <w:rsid w:val="00933D5D"/>
    <w:rsid w:val="00935805"/>
    <w:rsid w:val="009368F3"/>
    <w:rsid w:val="00941B3A"/>
    <w:rsid w:val="009477CA"/>
    <w:rsid w:val="00947C42"/>
    <w:rsid w:val="00950489"/>
    <w:rsid w:val="00957DE9"/>
    <w:rsid w:val="009616F7"/>
    <w:rsid w:val="00965A44"/>
    <w:rsid w:val="00967D7C"/>
    <w:rsid w:val="0097548D"/>
    <w:rsid w:val="009757AD"/>
    <w:rsid w:val="00975B66"/>
    <w:rsid w:val="009763C5"/>
    <w:rsid w:val="00980B6A"/>
    <w:rsid w:val="009818F9"/>
    <w:rsid w:val="009860AD"/>
    <w:rsid w:val="0098618F"/>
    <w:rsid w:val="00987C32"/>
    <w:rsid w:val="00991646"/>
    <w:rsid w:val="00992B7D"/>
    <w:rsid w:val="0099448B"/>
    <w:rsid w:val="00997347"/>
    <w:rsid w:val="009A31C1"/>
    <w:rsid w:val="009B19CE"/>
    <w:rsid w:val="009C202F"/>
    <w:rsid w:val="009C77F7"/>
    <w:rsid w:val="009E48F1"/>
    <w:rsid w:val="009E5ABC"/>
    <w:rsid w:val="009E5B9C"/>
    <w:rsid w:val="009F4ED1"/>
    <w:rsid w:val="00A00D71"/>
    <w:rsid w:val="00A00EDF"/>
    <w:rsid w:val="00A017C3"/>
    <w:rsid w:val="00A14052"/>
    <w:rsid w:val="00A144E3"/>
    <w:rsid w:val="00A21693"/>
    <w:rsid w:val="00A26A17"/>
    <w:rsid w:val="00A30169"/>
    <w:rsid w:val="00A312A3"/>
    <w:rsid w:val="00A33D9F"/>
    <w:rsid w:val="00A37229"/>
    <w:rsid w:val="00A41763"/>
    <w:rsid w:val="00A418C9"/>
    <w:rsid w:val="00A466A0"/>
    <w:rsid w:val="00A505B9"/>
    <w:rsid w:val="00A72AA8"/>
    <w:rsid w:val="00A74C9B"/>
    <w:rsid w:val="00A874E4"/>
    <w:rsid w:val="00A93478"/>
    <w:rsid w:val="00A97FE7"/>
    <w:rsid w:val="00AA03BA"/>
    <w:rsid w:val="00AA3FD0"/>
    <w:rsid w:val="00AA46CA"/>
    <w:rsid w:val="00AA7EFA"/>
    <w:rsid w:val="00AB46D2"/>
    <w:rsid w:val="00AB61B3"/>
    <w:rsid w:val="00AC1D23"/>
    <w:rsid w:val="00AC323A"/>
    <w:rsid w:val="00AD093B"/>
    <w:rsid w:val="00AD6357"/>
    <w:rsid w:val="00AD7F81"/>
    <w:rsid w:val="00AE4CA9"/>
    <w:rsid w:val="00AF367D"/>
    <w:rsid w:val="00AF45FD"/>
    <w:rsid w:val="00B2386E"/>
    <w:rsid w:val="00B35E2A"/>
    <w:rsid w:val="00B4263D"/>
    <w:rsid w:val="00B56F49"/>
    <w:rsid w:val="00B672C1"/>
    <w:rsid w:val="00B67C29"/>
    <w:rsid w:val="00B740D4"/>
    <w:rsid w:val="00B7442A"/>
    <w:rsid w:val="00B906F7"/>
    <w:rsid w:val="00B97002"/>
    <w:rsid w:val="00BB2F70"/>
    <w:rsid w:val="00BB6CF4"/>
    <w:rsid w:val="00BC14C3"/>
    <w:rsid w:val="00BC1ABE"/>
    <w:rsid w:val="00BD2F20"/>
    <w:rsid w:val="00BD4F62"/>
    <w:rsid w:val="00BE4833"/>
    <w:rsid w:val="00BE4AFD"/>
    <w:rsid w:val="00BE7BE0"/>
    <w:rsid w:val="00C00590"/>
    <w:rsid w:val="00C04647"/>
    <w:rsid w:val="00C058CF"/>
    <w:rsid w:val="00C12551"/>
    <w:rsid w:val="00C211CD"/>
    <w:rsid w:val="00C25328"/>
    <w:rsid w:val="00C30E43"/>
    <w:rsid w:val="00C36BF7"/>
    <w:rsid w:val="00C36CC8"/>
    <w:rsid w:val="00C3744D"/>
    <w:rsid w:val="00C43A84"/>
    <w:rsid w:val="00C5142E"/>
    <w:rsid w:val="00C64137"/>
    <w:rsid w:val="00C658E4"/>
    <w:rsid w:val="00C711A2"/>
    <w:rsid w:val="00C7266E"/>
    <w:rsid w:val="00C76C66"/>
    <w:rsid w:val="00C82DF9"/>
    <w:rsid w:val="00C87190"/>
    <w:rsid w:val="00CA1143"/>
    <w:rsid w:val="00CA1564"/>
    <w:rsid w:val="00CA6655"/>
    <w:rsid w:val="00CA7C8A"/>
    <w:rsid w:val="00CB44E8"/>
    <w:rsid w:val="00CB7978"/>
    <w:rsid w:val="00CC1D12"/>
    <w:rsid w:val="00CD0A13"/>
    <w:rsid w:val="00CE42E9"/>
    <w:rsid w:val="00D001E4"/>
    <w:rsid w:val="00D00AA8"/>
    <w:rsid w:val="00D02778"/>
    <w:rsid w:val="00D054A5"/>
    <w:rsid w:val="00D11A20"/>
    <w:rsid w:val="00D13E84"/>
    <w:rsid w:val="00D17918"/>
    <w:rsid w:val="00D300F4"/>
    <w:rsid w:val="00D3344B"/>
    <w:rsid w:val="00D40175"/>
    <w:rsid w:val="00D55243"/>
    <w:rsid w:val="00D62F90"/>
    <w:rsid w:val="00D63E74"/>
    <w:rsid w:val="00D715C4"/>
    <w:rsid w:val="00D854D8"/>
    <w:rsid w:val="00D928FD"/>
    <w:rsid w:val="00DB081B"/>
    <w:rsid w:val="00DC79E3"/>
    <w:rsid w:val="00DD51E1"/>
    <w:rsid w:val="00DE2D54"/>
    <w:rsid w:val="00E02BB0"/>
    <w:rsid w:val="00E03CE6"/>
    <w:rsid w:val="00E05FAA"/>
    <w:rsid w:val="00E13479"/>
    <w:rsid w:val="00E13716"/>
    <w:rsid w:val="00E26174"/>
    <w:rsid w:val="00E266FF"/>
    <w:rsid w:val="00E27661"/>
    <w:rsid w:val="00E415C8"/>
    <w:rsid w:val="00E47DB3"/>
    <w:rsid w:val="00E509A9"/>
    <w:rsid w:val="00E51F8B"/>
    <w:rsid w:val="00E5242A"/>
    <w:rsid w:val="00E53398"/>
    <w:rsid w:val="00E658ED"/>
    <w:rsid w:val="00E66AE2"/>
    <w:rsid w:val="00E74DA4"/>
    <w:rsid w:val="00E81B89"/>
    <w:rsid w:val="00E879DF"/>
    <w:rsid w:val="00E91432"/>
    <w:rsid w:val="00E91B5A"/>
    <w:rsid w:val="00E95690"/>
    <w:rsid w:val="00ED6E45"/>
    <w:rsid w:val="00EE2CAF"/>
    <w:rsid w:val="00EE43E4"/>
    <w:rsid w:val="00F001EA"/>
    <w:rsid w:val="00F056C3"/>
    <w:rsid w:val="00F065CD"/>
    <w:rsid w:val="00F16B90"/>
    <w:rsid w:val="00F34F19"/>
    <w:rsid w:val="00F44A21"/>
    <w:rsid w:val="00F46A82"/>
    <w:rsid w:val="00F575F0"/>
    <w:rsid w:val="00F623E0"/>
    <w:rsid w:val="00F6664C"/>
    <w:rsid w:val="00F750E7"/>
    <w:rsid w:val="00F80AF1"/>
    <w:rsid w:val="00F814C2"/>
    <w:rsid w:val="00F8298C"/>
    <w:rsid w:val="00F83A39"/>
    <w:rsid w:val="00F87564"/>
    <w:rsid w:val="00F90245"/>
    <w:rsid w:val="00F920D9"/>
    <w:rsid w:val="00F94781"/>
    <w:rsid w:val="00FA5388"/>
    <w:rsid w:val="00FA7880"/>
    <w:rsid w:val="00FB08E3"/>
    <w:rsid w:val="00FB6BF3"/>
    <w:rsid w:val="00FC1EB5"/>
    <w:rsid w:val="00FC61E6"/>
    <w:rsid w:val="00FD397B"/>
    <w:rsid w:val="00FD4B01"/>
    <w:rsid w:val="00FD52F2"/>
    <w:rsid w:val="00FD7CDC"/>
    <w:rsid w:val="00FE58E0"/>
    <w:rsid w:val="00FE74D0"/>
    <w:rsid w:val="013DF1FF"/>
    <w:rsid w:val="0644C498"/>
    <w:rsid w:val="07231198"/>
    <w:rsid w:val="0858E31B"/>
    <w:rsid w:val="0947EF5A"/>
    <w:rsid w:val="09745DA9"/>
    <w:rsid w:val="0B0F4DE2"/>
    <w:rsid w:val="0C407ED1"/>
    <w:rsid w:val="0D124046"/>
    <w:rsid w:val="0D5F7045"/>
    <w:rsid w:val="1007C611"/>
    <w:rsid w:val="14367D1B"/>
    <w:rsid w:val="17383C2A"/>
    <w:rsid w:val="17C6F977"/>
    <w:rsid w:val="1D460694"/>
    <w:rsid w:val="1DE64B2F"/>
    <w:rsid w:val="1ECD2DA7"/>
    <w:rsid w:val="23A07EB5"/>
    <w:rsid w:val="2B9E3B7D"/>
    <w:rsid w:val="2D9A6B93"/>
    <w:rsid w:val="30D0D2CA"/>
    <w:rsid w:val="3415F0C0"/>
    <w:rsid w:val="3B09C44C"/>
    <w:rsid w:val="3B5D6EF5"/>
    <w:rsid w:val="41F11387"/>
    <w:rsid w:val="42B075F0"/>
    <w:rsid w:val="45924CF8"/>
    <w:rsid w:val="46E3E538"/>
    <w:rsid w:val="49D38C21"/>
    <w:rsid w:val="4AE39245"/>
    <w:rsid w:val="4FD0E0F9"/>
    <w:rsid w:val="54447829"/>
    <w:rsid w:val="599680AF"/>
    <w:rsid w:val="5CC63F58"/>
    <w:rsid w:val="5DD7542B"/>
    <w:rsid w:val="613B3A20"/>
    <w:rsid w:val="624A8BB4"/>
    <w:rsid w:val="697CAA38"/>
    <w:rsid w:val="699366F0"/>
    <w:rsid w:val="6AA29520"/>
    <w:rsid w:val="6C6C963E"/>
    <w:rsid w:val="6E9E0CF0"/>
    <w:rsid w:val="6EEA310E"/>
    <w:rsid w:val="79CCDC63"/>
    <w:rsid w:val="7B48362B"/>
    <w:rsid w:val="7D8ACDA9"/>
    <w:rsid w:val="7F746554"/>
    <w:rsid w:val="7FD39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fill="f" fillcolor="white" stroke="f">
      <v:fill color="white" on="f"/>
      <v:stroke on="f"/>
    </o:shapedefaults>
    <o:shapelayout v:ext="edit">
      <o:idmap v:ext="edit" data="1"/>
    </o:shapelayout>
  </w:shapeDefaults>
  <w:decimalSymbol w:val="."/>
  <w:listSeparator w:val=","/>
  <w14:docId w14:val="7642A1E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941B3A"/>
    <w:pPr>
      <w:numPr>
        <w:numId w:val="14"/>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7E2C2B"/>
    <w:rPr>
      <w:sz w:val="16"/>
      <w:szCs w:val="16"/>
    </w:rPr>
  </w:style>
  <w:style w:type="paragraph" w:styleId="CommentText">
    <w:name w:val="annotation text"/>
    <w:basedOn w:val="Normal"/>
    <w:link w:val="CommentTextChar"/>
    <w:uiPriority w:val="99"/>
    <w:semiHidden/>
    <w:unhideWhenUsed/>
    <w:locked/>
    <w:rsid w:val="007E2C2B"/>
    <w:pPr>
      <w:spacing w:line="240" w:lineRule="auto"/>
    </w:pPr>
    <w:rPr>
      <w:sz w:val="20"/>
      <w:szCs w:val="20"/>
    </w:rPr>
  </w:style>
  <w:style w:type="character" w:customStyle="1" w:styleId="CommentTextChar">
    <w:name w:val="Comment Text Char"/>
    <w:basedOn w:val="DefaultParagraphFont"/>
    <w:link w:val="CommentText"/>
    <w:uiPriority w:val="99"/>
    <w:semiHidden/>
    <w:rsid w:val="007E2C2B"/>
    <w:rPr>
      <w:sz w:val="20"/>
      <w:szCs w:val="20"/>
    </w:rPr>
  </w:style>
  <w:style w:type="paragraph" w:styleId="CommentSubject">
    <w:name w:val="annotation subject"/>
    <w:basedOn w:val="CommentText"/>
    <w:next w:val="CommentText"/>
    <w:link w:val="CommentSubjectChar"/>
    <w:uiPriority w:val="99"/>
    <w:semiHidden/>
    <w:unhideWhenUsed/>
    <w:locked/>
    <w:rsid w:val="007E2C2B"/>
    <w:rPr>
      <w:b/>
      <w:bCs/>
    </w:rPr>
  </w:style>
  <w:style w:type="character" w:customStyle="1" w:styleId="CommentSubjectChar">
    <w:name w:val="Comment Subject Char"/>
    <w:basedOn w:val="CommentTextChar"/>
    <w:link w:val="CommentSubject"/>
    <w:uiPriority w:val="99"/>
    <w:semiHidden/>
    <w:rsid w:val="007E2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08">
      <w:bodyDiv w:val="1"/>
      <w:marLeft w:val="0"/>
      <w:marRight w:val="0"/>
      <w:marTop w:val="0"/>
      <w:marBottom w:val="0"/>
      <w:divBdr>
        <w:top w:val="none" w:sz="0" w:space="0" w:color="auto"/>
        <w:left w:val="none" w:sz="0" w:space="0" w:color="auto"/>
        <w:bottom w:val="none" w:sz="0" w:space="0" w:color="auto"/>
        <w:right w:val="none" w:sz="0" w:space="0" w:color="auto"/>
      </w:divBdr>
    </w:div>
    <w:div w:id="8341439">
      <w:bodyDiv w:val="1"/>
      <w:marLeft w:val="0"/>
      <w:marRight w:val="0"/>
      <w:marTop w:val="0"/>
      <w:marBottom w:val="0"/>
      <w:divBdr>
        <w:top w:val="none" w:sz="0" w:space="0" w:color="auto"/>
        <w:left w:val="none" w:sz="0" w:space="0" w:color="auto"/>
        <w:bottom w:val="none" w:sz="0" w:space="0" w:color="auto"/>
        <w:right w:val="none" w:sz="0" w:space="0" w:color="auto"/>
      </w:divBdr>
    </w:div>
    <w:div w:id="9991995">
      <w:bodyDiv w:val="1"/>
      <w:marLeft w:val="0"/>
      <w:marRight w:val="0"/>
      <w:marTop w:val="0"/>
      <w:marBottom w:val="0"/>
      <w:divBdr>
        <w:top w:val="none" w:sz="0" w:space="0" w:color="auto"/>
        <w:left w:val="none" w:sz="0" w:space="0" w:color="auto"/>
        <w:bottom w:val="none" w:sz="0" w:space="0" w:color="auto"/>
        <w:right w:val="none" w:sz="0" w:space="0" w:color="auto"/>
      </w:divBdr>
    </w:div>
    <w:div w:id="28724773">
      <w:bodyDiv w:val="1"/>
      <w:marLeft w:val="0"/>
      <w:marRight w:val="0"/>
      <w:marTop w:val="0"/>
      <w:marBottom w:val="0"/>
      <w:divBdr>
        <w:top w:val="none" w:sz="0" w:space="0" w:color="auto"/>
        <w:left w:val="none" w:sz="0" w:space="0" w:color="auto"/>
        <w:bottom w:val="none" w:sz="0" w:space="0" w:color="auto"/>
        <w:right w:val="none" w:sz="0" w:space="0" w:color="auto"/>
      </w:divBdr>
    </w:div>
    <w:div w:id="33509630">
      <w:bodyDiv w:val="1"/>
      <w:marLeft w:val="0"/>
      <w:marRight w:val="0"/>
      <w:marTop w:val="0"/>
      <w:marBottom w:val="0"/>
      <w:divBdr>
        <w:top w:val="none" w:sz="0" w:space="0" w:color="auto"/>
        <w:left w:val="none" w:sz="0" w:space="0" w:color="auto"/>
        <w:bottom w:val="none" w:sz="0" w:space="0" w:color="auto"/>
        <w:right w:val="none" w:sz="0" w:space="0" w:color="auto"/>
      </w:divBdr>
    </w:div>
    <w:div w:id="61106690">
      <w:bodyDiv w:val="1"/>
      <w:marLeft w:val="0"/>
      <w:marRight w:val="0"/>
      <w:marTop w:val="0"/>
      <w:marBottom w:val="0"/>
      <w:divBdr>
        <w:top w:val="none" w:sz="0" w:space="0" w:color="auto"/>
        <w:left w:val="none" w:sz="0" w:space="0" w:color="auto"/>
        <w:bottom w:val="none" w:sz="0" w:space="0" w:color="auto"/>
        <w:right w:val="none" w:sz="0" w:space="0" w:color="auto"/>
      </w:divBdr>
    </w:div>
    <w:div w:id="69893680">
      <w:bodyDiv w:val="1"/>
      <w:marLeft w:val="0"/>
      <w:marRight w:val="0"/>
      <w:marTop w:val="0"/>
      <w:marBottom w:val="0"/>
      <w:divBdr>
        <w:top w:val="none" w:sz="0" w:space="0" w:color="auto"/>
        <w:left w:val="none" w:sz="0" w:space="0" w:color="auto"/>
        <w:bottom w:val="none" w:sz="0" w:space="0" w:color="auto"/>
        <w:right w:val="none" w:sz="0" w:space="0" w:color="auto"/>
      </w:divBdr>
    </w:div>
    <w:div w:id="86200455">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5974358">
      <w:bodyDiv w:val="1"/>
      <w:marLeft w:val="0"/>
      <w:marRight w:val="0"/>
      <w:marTop w:val="0"/>
      <w:marBottom w:val="0"/>
      <w:divBdr>
        <w:top w:val="none" w:sz="0" w:space="0" w:color="auto"/>
        <w:left w:val="none" w:sz="0" w:space="0" w:color="auto"/>
        <w:bottom w:val="none" w:sz="0" w:space="0" w:color="auto"/>
        <w:right w:val="none" w:sz="0" w:space="0" w:color="auto"/>
      </w:divBdr>
    </w:div>
    <w:div w:id="106781533">
      <w:bodyDiv w:val="1"/>
      <w:marLeft w:val="0"/>
      <w:marRight w:val="0"/>
      <w:marTop w:val="0"/>
      <w:marBottom w:val="0"/>
      <w:divBdr>
        <w:top w:val="none" w:sz="0" w:space="0" w:color="auto"/>
        <w:left w:val="none" w:sz="0" w:space="0" w:color="auto"/>
        <w:bottom w:val="none" w:sz="0" w:space="0" w:color="auto"/>
        <w:right w:val="none" w:sz="0" w:space="0" w:color="auto"/>
      </w:divBdr>
    </w:div>
    <w:div w:id="147675299">
      <w:bodyDiv w:val="1"/>
      <w:marLeft w:val="0"/>
      <w:marRight w:val="0"/>
      <w:marTop w:val="0"/>
      <w:marBottom w:val="0"/>
      <w:divBdr>
        <w:top w:val="none" w:sz="0" w:space="0" w:color="auto"/>
        <w:left w:val="none" w:sz="0" w:space="0" w:color="auto"/>
        <w:bottom w:val="none" w:sz="0" w:space="0" w:color="auto"/>
        <w:right w:val="none" w:sz="0" w:space="0" w:color="auto"/>
      </w:divBdr>
    </w:div>
    <w:div w:id="159466170">
      <w:bodyDiv w:val="1"/>
      <w:marLeft w:val="0"/>
      <w:marRight w:val="0"/>
      <w:marTop w:val="0"/>
      <w:marBottom w:val="0"/>
      <w:divBdr>
        <w:top w:val="none" w:sz="0" w:space="0" w:color="auto"/>
        <w:left w:val="none" w:sz="0" w:space="0" w:color="auto"/>
        <w:bottom w:val="none" w:sz="0" w:space="0" w:color="auto"/>
        <w:right w:val="none" w:sz="0" w:space="0" w:color="auto"/>
      </w:divBdr>
    </w:div>
    <w:div w:id="16193982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84682326">
      <w:bodyDiv w:val="1"/>
      <w:marLeft w:val="0"/>
      <w:marRight w:val="0"/>
      <w:marTop w:val="0"/>
      <w:marBottom w:val="0"/>
      <w:divBdr>
        <w:top w:val="none" w:sz="0" w:space="0" w:color="auto"/>
        <w:left w:val="none" w:sz="0" w:space="0" w:color="auto"/>
        <w:bottom w:val="none" w:sz="0" w:space="0" w:color="auto"/>
        <w:right w:val="none" w:sz="0" w:space="0" w:color="auto"/>
      </w:divBdr>
    </w:div>
    <w:div w:id="198470681">
      <w:bodyDiv w:val="1"/>
      <w:marLeft w:val="0"/>
      <w:marRight w:val="0"/>
      <w:marTop w:val="0"/>
      <w:marBottom w:val="0"/>
      <w:divBdr>
        <w:top w:val="none" w:sz="0" w:space="0" w:color="auto"/>
        <w:left w:val="none" w:sz="0" w:space="0" w:color="auto"/>
        <w:bottom w:val="none" w:sz="0" w:space="0" w:color="auto"/>
        <w:right w:val="none" w:sz="0" w:space="0" w:color="auto"/>
      </w:divBdr>
    </w:div>
    <w:div w:id="198856328">
      <w:bodyDiv w:val="1"/>
      <w:marLeft w:val="0"/>
      <w:marRight w:val="0"/>
      <w:marTop w:val="0"/>
      <w:marBottom w:val="0"/>
      <w:divBdr>
        <w:top w:val="none" w:sz="0" w:space="0" w:color="auto"/>
        <w:left w:val="none" w:sz="0" w:space="0" w:color="auto"/>
        <w:bottom w:val="none" w:sz="0" w:space="0" w:color="auto"/>
        <w:right w:val="none" w:sz="0" w:space="0" w:color="auto"/>
      </w:divBdr>
    </w:div>
    <w:div w:id="207643881">
      <w:bodyDiv w:val="1"/>
      <w:marLeft w:val="0"/>
      <w:marRight w:val="0"/>
      <w:marTop w:val="0"/>
      <w:marBottom w:val="0"/>
      <w:divBdr>
        <w:top w:val="none" w:sz="0" w:space="0" w:color="auto"/>
        <w:left w:val="none" w:sz="0" w:space="0" w:color="auto"/>
        <w:bottom w:val="none" w:sz="0" w:space="0" w:color="auto"/>
        <w:right w:val="none" w:sz="0" w:space="0" w:color="auto"/>
      </w:divBdr>
    </w:div>
    <w:div w:id="217984683">
      <w:bodyDiv w:val="1"/>
      <w:marLeft w:val="0"/>
      <w:marRight w:val="0"/>
      <w:marTop w:val="0"/>
      <w:marBottom w:val="0"/>
      <w:divBdr>
        <w:top w:val="none" w:sz="0" w:space="0" w:color="auto"/>
        <w:left w:val="none" w:sz="0" w:space="0" w:color="auto"/>
        <w:bottom w:val="none" w:sz="0" w:space="0" w:color="auto"/>
        <w:right w:val="none" w:sz="0" w:space="0" w:color="auto"/>
      </w:divBdr>
    </w:div>
    <w:div w:id="224799205">
      <w:bodyDiv w:val="1"/>
      <w:marLeft w:val="0"/>
      <w:marRight w:val="0"/>
      <w:marTop w:val="0"/>
      <w:marBottom w:val="0"/>
      <w:divBdr>
        <w:top w:val="none" w:sz="0" w:space="0" w:color="auto"/>
        <w:left w:val="none" w:sz="0" w:space="0" w:color="auto"/>
        <w:bottom w:val="none" w:sz="0" w:space="0" w:color="auto"/>
        <w:right w:val="none" w:sz="0" w:space="0" w:color="auto"/>
      </w:divBdr>
    </w:div>
    <w:div w:id="233856640">
      <w:bodyDiv w:val="1"/>
      <w:marLeft w:val="0"/>
      <w:marRight w:val="0"/>
      <w:marTop w:val="0"/>
      <w:marBottom w:val="0"/>
      <w:divBdr>
        <w:top w:val="none" w:sz="0" w:space="0" w:color="auto"/>
        <w:left w:val="none" w:sz="0" w:space="0" w:color="auto"/>
        <w:bottom w:val="none" w:sz="0" w:space="0" w:color="auto"/>
        <w:right w:val="none" w:sz="0" w:space="0" w:color="auto"/>
      </w:divBdr>
    </w:div>
    <w:div w:id="241329872">
      <w:bodyDiv w:val="1"/>
      <w:marLeft w:val="0"/>
      <w:marRight w:val="0"/>
      <w:marTop w:val="0"/>
      <w:marBottom w:val="0"/>
      <w:divBdr>
        <w:top w:val="none" w:sz="0" w:space="0" w:color="auto"/>
        <w:left w:val="none" w:sz="0" w:space="0" w:color="auto"/>
        <w:bottom w:val="none" w:sz="0" w:space="0" w:color="auto"/>
        <w:right w:val="none" w:sz="0" w:space="0" w:color="auto"/>
      </w:divBdr>
    </w:div>
    <w:div w:id="2479291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61033115">
      <w:bodyDiv w:val="1"/>
      <w:marLeft w:val="0"/>
      <w:marRight w:val="0"/>
      <w:marTop w:val="0"/>
      <w:marBottom w:val="0"/>
      <w:divBdr>
        <w:top w:val="none" w:sz="0" w:space="0" w:color="auto"/>
        <w:left w:val="none" w:sz="0" w:space="0" w:color="auto"/>
        <w:bottom w:val="none" w:sz="0" w:space="0" w:color="auto"/>
        <w:right w:val="none" w:sz="0" w:space="0" w:color="auto"/>
      </w:divBdr>
    </w:div>
    <w:div w:id="263536102">
      <w:bodyDiv w:val="1"/>
      <w:marLeft w:val="0"/>
      <w:marRight w:val="0"/>
      <w:marTop w:val="0"/>
      <w:marBottom w:val="0"/>
      <w:divBdr>
        <w:top w:val="none" w:sz="0" w:space="0" w:color="auto"/>
        <w:left w:val="none" w:sz="0" w:space="0" w:color="auto"/>
        <w:bottom w:val="none" w:sz="0" w:space="0" w:color="auto"/>
        <w:right w:val="none" w:sz="0" w:space="0" w:color="auto"/>
      </w:divBdr>
    </w:div>
    <w:div w:id="267196673">
      <w:bodyDiv w:val="1"/>
      <w:marLeft w:val="0"/>
      <w:marRight w:val="0"/>
      <w:marTop w:val="0"/>
      <w:marBottom w:val="0"/>
      <w:divBdr>
        <w:top w:val="none" w:sz="0" w:space="0" w:color="auto"/>
        <w:left w:val="none" w:sz="0" w:space="0" w:color="auto"/>
        <w:bottom w:val="none" w:sz="0" w:space="0" w:color="auto"/>
        <w:right w:val="none" w:sz="0" w:space="0" w:color="auto"/>
      </w:divBdr>
    </w:div>
    <w:div w:id="275337601">
      <w:bodyDiv w:val="1"/>
      <w:marLeft w:val="0"/>
      <w:marRight w:val="0"/>
      <w:marTop w:val="0"/>
      <w:marBottom w:val="0"/>
      <w:divBdr>
        <w:top w:val="none" w:sz="0" w:space="0" w:color="auto"/>
        <w:left w:val="none" w:sz="0" w:space="0" w:color="auto"/>
        <w:bottom w:val="none" w:sz="0" w:space="0" w:color="auto"/>
        <w:right w:val="none" w:sz="0" w:space="0" w:color="auto"/>
      </w:divBdr>
    </w:div>
    <w:div w:id="307251000">
      <w:bodyDiv w:val="1"/>
      <w:marLeft w:val="0"/>
      <w:marRight w:val="0"/>
      <w:marTop w:val="0"/>
      <w:marBottom w:val="0"/>
      <w:divBdr>
        <w:top w:val="none" w:sz="0" w:space="0" w:color="auto"/>
        <w:left w:val="none" w:sz="0" w:space="0" w:color="auto"/>
        <w:bottom w:val="none" w:sz="0" w:space="0" w:color="auto"/>
        <w:right w:val="none" w:sz="0" w:space="0" w:color="auto"/>
      </w:divBdr>
    </w:div>
    <w:div w:id="326522043">
      <w:bodyDiv w:val="1"/>
      <w:marLeft w:val="0"/>
      <w:marRight w:val="0"/>
      <w:marTop w:val="0"/>
      <w:marBottom w:val="0"/>
      <w:divBdr>
        <w:top w:val="none" w:sz="0" w:space="0" w:color="auto"/>
        <w:left w:val="none" w:sz="0" w:space="0" w:color="auto"/>
        <w:bottom w:val="none" w:sz="0" w:space="0" w:color="auto"/>
        <w:right w:val="none" w:sz="0" w:space="0" w:color="auto"/>
      </w:divBdr>
    </w:div>
    <w:div w:id="32875678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2392132">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2387952">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76205483">
      <w:bodyDiv w:val="1"/>
      <w:marLeft w:val="0"/>
      <w:marRight w:val="0"/>
      <w:marTop w:val="0"/>
      <w:marBottom w:val="0"/>
      <w:divBdr>
        <w:top w:val="none" w:sz="0" w:space="0" w:color="auto"/>
        <w:left w:val="none" w:sz="0" w:space="0" w:color="auto"/>
        <w:bottom w:val="none" w:sz="0" w:space="0" w:color="auto"/>
        <w:right w:val="none" w:sz="0" w:space="0" w:color="auto"/>
      </w:divBdr>
    </w:div>
    <w:div w:id="394549290">
      <w:bodyDiv w:val="1"/>
      <w:marLeft w:val="0"/>
      <w:marRight w:val="0"/>
      <w:marTop w:val="0"/>
      <w:marBottom w:val="0"/>
      <w:divBdr>
        <w:top w:val="none" w:sz="0" w:space="0" w:color="auto"/>
        <w:left w:val="none" w:sz="0" w:space="0" w:color="auto"/>
        <w:bottom w:val="none" w:sz="0" w:space="0" w:color="auto"/>
        <w:right w:val="none" w:sz="0" w:space="0" w:color="auto"/>
      </w:divBdr>
    </w:div>
    <w:div w:id="408044075">
      <w:bodyDiv w:val="1"/>
      <w:marLeft w:val="0"/>
      <w:marRight w:val="0"/>
      <w:marTop w:val="0"/>
      <w:marBottom w:val="0"/>
      <w:divBdr>
        <w:top w:val="none" w:sz="0" w:space="0" w:color="auto"/>
        <w:left w:val="none" w:sz="0" w:space="0" w:color="auto"/>
        <w:bottom w:val="none" w:sz="0" w:space="0" w:color="auto"/>
        <w:right w:val="none" w:sz="0" w:space="0" w:color="auto"/>
      </w:divBdr>
    </w:div>
    <w:div w:id="411970579">
      <w:bodyDiv w:val="1"/>
      <w:marLeft w:val="0"/>
      <w:marRight w:val="0"/>
      <w:marTop w:val="0"/>
      <w:marBottom w:val="0"/>
      <w:divBdr>
        <w:top w:val="none" w:sz="0" w:space="0" w:color="auto"/>
        <w:left w:val="none" w:sz="0" w:space="0" w:color="auto"/>
        <w:bottom w:val="none" w:sz="0" w:space="0" w:color="auto"/>
        <w:right w:val="none" w:sz="0" w:space="0" w:color="auto"/>
      </w:divBdr>
    </w:div>
    <w:div w:id="416680737">
      <w:bodyDiv w:val="1"/>
      <w:marLeft w:val="0"/>
      <w:marRight w:val="0"/>
      <w:marTop w:val="0"/>
      <w:marBottom w:val="0"/>
      <w:divBdr>
        <w:top w:val="none" w:sz="0" w:space="0" w:color="auto"/>
        <w:left w:val="none" w:sz="0" w:space="0" w:color="auto"/>
        <w:bottom w:val="none" w:sz="0" w:space="0" w:color="auto"/>
        <w:right w:val="none" w:sz="0" w:space="0" w:color="auto"/>
      </w:divBdr>
    </w:div>
    <w:div w:id="417215831">
      <w:bodyDiv w:val="1"/>
      <w:marLeft w:val="0"/>
      <w:marRight w:val="0"/>
      <w:marTop w:val="0"/>
      <w:marBottom w:val="0"/>
      <w:divBdr>
        <w:top w:val="none" w:sz="0" w:space="0" w:color="auto"/>
        <w:left w:val="none" w:sz="0" w:space="0" w:color="auto"/>
        <w:bottom w:val="none" w:sz="0" w:space="0" w:color="auto"/>
        <w:right w:val="none" w:sz="0" w:space="0" w:color="auto"/>
      </w:divBdr>
    </w:div>
    <w:div w:id="428895925">
      <w:bodyDiv w:val="1"/>
      <w:marLeft w:val="0"/>
      <w:marRight w:val="0"/>
      <w:marTop w:val="0"/>
      <w:marBottom w:val="0"/>
      <w:divBdr>
        <w:top w:val="none" w:sz="0" w:space="0" w:color="auto"/>
        <w:left w:val="none" w:sz="0" w:space="0" w:color="auto"/>
        <w:bottom w:val="none" w:sz="0" w:space="0" w:color="auto"/>
        <w:right w:val="none" w:sz="0" w:space="0" w:color="auto"/>
      </w:divBdr>
    </w:div>
    <w:div w:id="432475263">
      <w:bodyDiv w:val="1"/>
      <w:marLeft w:val="0"/>
      <w:marRight w:val="0"/>
      <w:marTop w:val="0"/>
      <w:marBottom w:val="0"/>
      <w:divBdr>
        <w:top w:val="none" w:sz="0" w:space="0" w:color="auto"/>
        <w:left w:val="none" w:sz="0" w:space="0" w:color="auto"/>
        <w:bottom w:val="none" w:sz="0" w:space="0" w:color="auto"/>
        <w:right w:val="none" w:sz="0" w:space="0" w:color="auto"/>
      </w:divBdr>
    </w:div>
    <w:div w:id="440533093">
      <w:bodyDiv w:val="1"/>
      <w:marLeft w:val="0"/>
      <w:marRight w:val="0"/>
      <w:marTop w:val="0"/>
      <w:marBottom w:val="0"/>
      <w:divBdr>
        <w:top w:val="none" w:sz="0" w:space="0" w:color="auto"/>
        <w:left w:val="none" w:sz="0" w:space="0" w:color="auto"/>
        <w:bottom w:val="none" w:sz="0" w:space="0" w:color="auto"/>
        <w:right w:val="none" w:sz="0" w:space="0" w:color="auto"/>
      </w:divBdr>
    </w:div>
    <w:div w:id="44211248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48820451">
      <w:bodyDiv w:val="1"/>
      <w:marLeft w:val="0"/>
      <w:marRight w:val="0"/>
      <w:marTop w:val="0"/>
      <w:marBottom w:val="0"/>
      <w:divBdr>
        <w:top w:val="none" w:sz="0" w:space="0" w:color="auto"/>
        <w:left w:val="none" w:sz="0" w:space="0" w:color="auto"/>
        <w:bottom w:val="none" w:sz="0" w:space="0" w:color="auto"/>
        <w:right w:val="none" w:sz="0" w:space="0" w:color="auto"/>
      </w:divBdr>
    </w:div>
    <w:div w:id="460926269">
      <w:bodyDiv w:val="1"/>
      <w:marLeft w:val="0"/>
      <w:marRight w:val="0"/>
      <w:marTop w:val="0"/>
      <w:marBottom w:val="0"/>
      <w:divBdr>
        <w:top w:val="none" w:sz="0" w:space="0" w:color="auto"/>
        <w:left w:val="none" w:sz="0" w:space="0" w:color="auto"/>
        <w:bottom w:val="none" w:sz="0" w:space="0" w:color="auto"/>
        <w:right w:val="none" w:sz="0" w:space="0" w:color="auto"/>
      </w:divBdr>
    </w:div>
    <w:div w:id="468089137">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2673796">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0937623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25411041">
      <w:bodyDiv w:val="1"/>
      <w:marLeft w:val="0"/>
      <w:marRight w:val="0"/>
      <w:marTop w:val="0"/>
      <w:marBottom w:val="0"/>
      <w:divBdr>
        <w:top w:val="none" w:sz="0" w:space="0" w:color="auto"/>
        <w:left w:val="none" w:sz="0" w:space="0" w:color="auto"/>
        <w:bottom w:val="none" w:sz="0" w:space="0" w:color="auto"/>
        <w:right w:val="none" w:sz="0" w:space="0" w:color="auto"/>
      </w:divBdr>
    </w:div>
    <w:div w:id="553203091">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2199988">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0433323">
      <w:bodyDiv w:val="1"/>
      <w:marLeft w:val="0"/>
      <w:marRight w:val="0"/>
      <w:marTop w:val="0"/>
      <w:marBottom w:val="0"/>
      <w:divBdr>
        <w:top w:val="none" w:sz="0" w:space="0" w:color="auto"/>
        <w:left w:val="none" w:sz="0" w:space="0" w:color="auto"/>
        <w:bottom w:val="none" w:sz="0" w:space="0" w:color="auto"/>
        <w:right w:val="none" w:sz="0" w:space="0" w:color="auto"/>
      </w:divBdr>
    </w:div>
    <w:div w:id="610624356">
      <w:bodyDiv w:val="1"/>
      <w:marLeft w:val="0"/>
      <w:marRight w:val="0"/>
      <w:marTop w:val="0"/>
      <w:marBottom w:val="0"/>
      <w:divBdr>
        <w:top w:val="none" w:sz="0" w:space="0" w:color="auto"/>
        <w:left w:val="none" w:sz="0" w:space="0" w:color="auto"/>
        <w:bottom w:val="none" w:sz="0" w:space="0" w:color="auto"/>
        <w:right w:val="none" w:sz="0" w:space="0" w:color="auto"/>
      </w:divBdr>
    </w:div>
    <w:div w:id="616063549">
      <w:bodyDiv w:val="1"/>
      <w:marLeft w:val="0"/>
      <w:marRight w:val="0"/>
      <w:marTop w:val="0"/>
      <w:marBottom w:val="0"/>
      <w:divBdr>
        <w:top w:val="none" w:sz="0" w:space="0" w:color="auto"/>
        <w:left w:val="none" w:sz="0" w:space="0" w:color="auto"/>
        <w:bottom w:val="none" w:sz="0" w:space="0" w:color="auto"/>
        <w:right w:val="none" w:sz="0" w:space="0" w:color="auto"/>
      </w:divBdr>
    </w:div>
    <w:div w:id="618875977">
      <w:bodyDiv w:val="1"/>
      <w:marLeft w:val="0"/>
      <w:marRight w:val="0"/>
      <w:marTop w:val="0"/>
      <w:marBottom w:val="0"/>
      <w:divBdr>
        <w:top w:val="none" w:sz="0" w:space="0" w:color="auto"/>
        <w:left w:val="none" w:sz="0" w:space="0" w:color="auto"/>
        <w:bottom w:val="none" w:sz="0" w:space="0" w:color="auto"/>
        <w:right w:val="none" w:sz="0" w:space="0" w:color="auto"/>
      </w:divBdr>
    </w:div>
    <w:div w:id="657878643">
      <w:bodyDiv w:val="1"/>
      <w:marLeft w:val="0"/>
      <w:marRight w:val="0"/>
      <w:marTop w:val="0"/>
      <w:marBottom w:val="0"/>
      <w:divBdr>
        <w:top w:val="none" w:sz="0" w:space="0" w:color="auto"/>
        <w:left w:val="none" w:sz="0" w:space="0" w:color="auto"/>
        <w:bottom w:val="none" w:sz="0" w:space="0" w:color="auto"/>
        <w:right w:val="none" w:sz="0" w:space="0" w:color="auto"/>
      </w:divBdr>
    </w:div>
    <w:div w:id="678510149">
      <w:bodyDiv w:val="1"/>
      <w:marLeft w:val="0"/>
      <w:marRight w:val="0"/>
      <w:marTop w:val="0"/>
      <w:marBottom w:val="0"/>
      <w:divBdr>
        <w:top w:val="none" w:sz="0" w:space="0" w:color="auto"/>
        <w:left w:val="none" w:sz="0" w:space="0" w:color="auto"/>
        <w:bottom w:val="none" w:sz="0" w:space="0" w:color="auto"/>
        <w:right w:val="none" w:sz="0" w:space="0" w:color="auto"/>
      </w:divBdr>
    </w:div>
    <w:div w:id="694233091">
      <w:bodyDiv w:val="1"/>
      <w:marLeft w:val="0"/>
      <w:marRight w:val="0"/>
      <w:marTop w:val="0"/>
      <w:marBottom w:val="0"/>
      <w:divBdr>
        <w:top w:val="none" w:sz="0" w:space="0" w:color="auto"/>
        <w:left w:val="none" w:sz="0" w:space="0" w:color="auto"/>
        <w:bottom w:val="none" w:sz="0" w:space="0" w:color="auto"/>
        <w:right w:val="none" w:sz="0" w:space="0" w:color="auto"/>
      </w:divBdr>
    </w:div>
    <w:div w:id="71986624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60762041">
      <w:bodyDiv w:val="1"/>
      <w:marLeft w:val="0"/>
      <w:marRight w:val="0"/>
      <w:marTop w:val="0"/>
      <w:marBottom w:val="0"/>
      <w:divBdr>
        <w:top w:val="none" w:sz="0" w:space="0" w:color="auto"/>
        <w:left w:val="none" w:sz="0" w:space="0" w:color="auto"/>
        <w:bottom w:val="none" w:sz="0" w:space="0" w:color="auto"/>
        <w:right w:val="none" w:sz="0" w:space="0" w:color="auto"/>
      </w:divBdr>
    </w:div>
    <w:div w:id="790635307">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0026998">
      <w:bodyDiv w:val="1"/>
      <w:marLeft w:val="0"/>
      <w:marRight w:val="0"/>
      <w:marTop w:val="0"/>
      <w:marBottom w:val="0"/>
      <w:divBdr>
        <w:top w:val="none" w:sz="0" w:space="0" w:color="auto"/>
        <w:left w:val="none" w:sz="0" w:space="0" w:color="auto"/>
        <w:bottom w:val="none" w:sz="0" w:space="0" w:color="auto"/>
        <w:right w:val="none" w:sz="0" w:space="0" w:color="auto"/>
      </w:divBdr>
    </w:div>
    <w:div w:id="827745108">
      <w:bodyDiv w:val="1"/>
      <w:marLeft w:val="0"/>
      <w:marRight w:val="0"/>
      <w:marTop w:val="0"/>
      <w:marBottom w:val="0"/>
      <w:divBdr>
        <w:top w:val="none" w:sz="0" w:space="0" w:color="auto"/>
        <w:left w:val="none" w:sz="0" w:space="0" w:color="auto"/>
        <w:bottom w:val="none" w:sz="0" w:space="0" w:color="auto"/>
        <w:right w:val="none" w:sz="0" w:space="0" w:color="auto"/>
      </w:divBdr>
    </w:div>
    <w:div w:id="852110354">
      <w:bodyDiv w:val="1"/>
      <w:marLeft w:val="0"/>
      <w:marRight w:val="0"/>
      <w:marTop w:val="0"/>
      <w:marBottom w:val="0"/>
      <w:divBdr>
        <w:top w:val="none" w:sz="0" w:space="0" w:color="auto"/>
        <w:left w:val="none" w:sz="0" w:space="0" w:color="auto"/>
        <w:bottom w:val="none" w:sz="0" w:space="0" w:color="auto"/>
        <w:right w:val="none" w:sz="0" w:space="0" w:color="auto"/>
      </w:divBdr>
    </w:div>
    <w:div w:id="852378061">
      <w:bodyDiv w:val="1"/>
      <w:marLeft w:val="0"/>
      <w:marRight w:val="0"/>
      <w:marTop w:val="0"/>
      <w:marBottom w:val="0"/>
      <w:divBdr>
        <w:top w:val="none" w:sz="0" w:space="0" w:color="auto"/>
        <w:left w:val="none" w:sz="0" w:space="0" w:color="auto"/>
        <w:bottom w:val="none" w:sz="0" w:space="0" w:color="auto"/>
        <w:right w:val="none" w:sz="0" w:space="0" w:color="auto"/>
      </w:divBdr>
    </w:div>
    <w:div w:id="854151467">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79903247">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09927046">
      <w:bodyDiv w:val="1"/>
      <w:marLeft w:val="0"/>
      <w:marRight w:val="0"/>
      <w:marTop w:val="0"/>
      <w:marBottom w:val="0"/>
      <w:divBdr>
        <w:top w:val="none" w:sz="0" w:space="0" w:color="auto"/>
        <w:left w:val="none" w:sz="0" w:space="0" w:color="auto"/>
        <w:bottom w:val="none" w:sz="0" w:space="0" w:color="auto"/>
        <w:right w:val="none" w:sz="0" w:space="0" w:color="auto"/>
      </w:divBdr>
    </w:div>
    <w:div w:id="910113503">
      <w:bodyDiv w:val="1"/>
      <w:marLeft w:val="0"/>
      <w:marRight w:val="0"/>
      <w:marTop w:val="0"/>
      <w:marBottom w:val="0"/>
      <w:divBdr>
        <w:top w:val="none" w:sz="0" w:space="0" w:color="auto"/>
        <w:left w:val="none" w:sz="0" w:space="0" w:color="auto"/>
        <w:bottom w:val="none" w:sz="0" w:space="0" w:color="auto"/>
        <w:right w:val="none" w:sz="0" w:space="0" w:color="auto"/>
      </w:divBdr>
    </w:div>
    <w:div w:id="913706222">
      <w:bodyDiv w:val="1"/>
      <w:marLeft w:val="0"/>
      <w:marRight w:val="0"/>
      <w:marTop w:val="0"/>
      <w:marBottom w:val="0"/>
      <w:divBdr>
        <w:top w:val="none" w:sz="0" w:space="0" w:color="auto"/>
        <w:left w:val="none" w:sz="0" w:space="0" w:color="auto"/>
        <w:bottom w:val="none" w:sz="0" w:space="0" w:color="auto"/>
        <w:right w:val="none" w:sz="0" w:space="0" w:color="auto"/>
      </w:divBdr>
    </w:div>
    <w:div w:id="916402363">
      <w:bodyDiv w:val="1"/>
      <w:marLeft w:val="0"/>
      <w:marRight w:val="0"/>
      <w:marTop w:val="0"/>
      <w:marBottom w:val="0"/>
      <w:divBdr>
        <w:top w:val="none" w:sz="0" w:space="0" w:color="auto"/>
        <w:left w:val="none" w:sz="0" w:space="0" w:color="auto"/>
        <w:bottom w:val="none" w:sz="0" w:space="0" w:color="auto"/>
        <w:right w:val="none" w:sz="0" w:space="0" w:color="auto"/>
      </w:divBdr>
    </w:div>
    <w:div w:id="928852065">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1497782">
      <w:bodyDiv w:val="1"/>
      <w:marLeft w:val="0"/>
      <w:marRight w:val="0"/>
      <w:marTop w:val="0"/>
      <w:marBottom w:val="0"/>
      <w:divBdr>
        <w:top w:val="none" w:sz="0" w:space="0" w:color="auto"/>
        <w:left w:val="none" w:sz="0" w:space="0" w:color="auto"/>
        <w:bottom w:val="none" w:sz="0" w:space="0" w:color="auto"/>
        <w:right w:val="none" w:sz="0" w:space="0" w:color="auto"/>
      </w:divBdr>
    </w:div>
    <w:div w:id="992567943">
      <w:bodyDiv w:val="1"/>
      <w:marLeft w:val="0"/>
      <w:marRight w:val="0"/>
      <w:marTop w:val="0"/>
      <w:marBottom w:val="0"/>
      <w:divBdr>
        <w:top w:val="none" w:sz="0" w:space="0" w:color="auto"/>
        <w:left w:val="none" w:sz="0" w:space="0" w:color="auto"/>
        <w:bottom w:val="none" w:sz="0" w:space="0" w:color="auto"/>
        <w:right w:val="none" w:sz="0" w:space="0" w:color="auto"/>
      </w:divBdr>
    </w:div>
    <w:div w:id="1010838879">
      <w:bodyDiv w:val="1"/>
      <w:marLeft w:val="0"/>
      <w:marRight w:val="0"/>
      <w:marTop w:val="0"/>
      <w:marBottom w:val="0"/>
      <w:divBdr>
        <w:top w:val="none" w:sz="0" w:space="0" w:color="auto"/>
        <w:left w:val="none" w:sz="0" w:space="0" w:color="auto"/>
        <w:bottom w:val="none" w:sz="0" w:space="0" w:color="auto"/>
        <w:right w:val="none" w:sz="0" w:space="0" w:color="auto"/>
      </w:divBdr>
    </w:div>
    <w:div w:id="1030454463">
      <w:bodyDiv w:val="1"/>
      <w:marLeft w:val="0"/>
      <w:marRight w:val="0"/>
      <w:marTop w:val="0"/>
      <w:marBottom w:val="0"/>
      <w:divBdr>
        <w:top w:val="none" w:sz="0" w:space="0" w:color="auto"/>
        <w:left w:val="none" w:sz="0" w:space="0" w:color="auto"/>
        <w:bottom w:val="none" w:sz="0" w:space="0" w:color="auto"/>
        <w:right w:val="none" w:sz="0" w:space="0" w:color="auto"/>
      </w:divBdr>
    </w:div>
    <w:div w:id="1068378217">
      <w:bodyDiv w:val="1"/>
      <w:marLeft w:val="0"/>
      <w:marRight w:val="0"/>
      <w:marTop w:val="0"/>
      <w:marBottom w:val="0"/>
      <w:divBdr>
        <w:top w:val="none" w:sz="0" w:space="0" w:color="auto"/>
        <w:left w:val="none" w:sz="0" w:space="0" w:color="auto"/>
        <w:bottom w:val="none" w:sz="0" w:space="0" w:color="auto"/>
        <w:right w:val="none" w:sz="0" w:space="0" w:color="auto"/>
      </w:divBdr>
    </w:div>
    <w:div w:id="1070345516">
      <w:bodyDiv w:val="1"/>
      <w:marLeft w:val="0"/>
      <w:marRight w:val="0"/>
      <w:marTop w:val="0"/>
      <w:marBottom w:val="0"/>
      <w:divBdr>
        <w:top w:val="none" w:sz="0" w:space="0" w:color="auto"/>
        <w:left w:val="none" w:sz="0" w:space="0" w:color="auto"/>
        <w:bottom w:val="none" w:sz="0" w:space="0" w:color="auto"/>
        <w:right w:val="none" w:sz="0" w:space="0" w:color="auto"/>
      </w:divBdr>
    </w:div>
    <w:div w:id="1106921055">
      <w:bodyDiv w:val="1"/>
      <w:marLeft w:val="0"/>
      <w:marRight w:val="0"/>
      <w:marTop w:val="0"/>
      <w:marBottom w:val="0"/>
      <w:divBdr>
        <w:top w:val="none" w:sz="0" w:space="0" w:color="auto"/>
        <w:left w:val="none" w:sz="0" w:space="0" w:color="auto"/>
        <w:bottom w:val="none" w:sz="0" w:space="0" w:color="auto"/>
        <w:right w:val="none" w:sz="0" w:space="0" w:color="auto"/>
      </w:divBdr>
    </w:div>
    <w:div w:id="1122726081">
      <w:bodyDiv w:val="1"/>
      <w:marLeft w:val="0"/>
      <w:marRight w:val="0"/>
      <w:marTop w:val="0"/>
      <w:marBottom w:val="0"/>
      <w:divBdr>
        <w:top w:val="none" w:sz="0" w:space="0" w:color="auto"/>
        <w:left w:val="none" w:sz="0" w:space="0" w:color="auto"/>
        <w:bottom w:val="none" w:sz="0" w:space="0" w:color="auto"/>
        <w:right w:val="none" w:sz="0" w:space="0" w:color="auto"/>
      </w:divBdr>
    </w:div>
    <w:div w:id="1123617919">
      <w:bodyDiv w:val="1"/>
      <w:marLeft w:val="0"/>
      <w:marRight w:val="0"/>
      <w:marTop w:val="0"/>
      <w:marBottom w:val="0"/>
      <w:divBdr>
        <w:top w:val="none" w:sz="0" w:space="0" w:color="auto"/>
        <w:left w:val="none" w:sz="0" w:space="0" w:color="auto"/>
        <w:bottom w:val="none" w:sz="0" w:space="0" w:color="auto"/>
        <w:right w:val="none" w:sz="0" w:space="0" w:color="auto"/>
      </w:divBdr>
    </w:div>
    <w:div w:id="1131900259">
      <w:bodyDiv w:val="1"/>
      <w:marLeft w:val="0"/>
      <w:marRight w:val="0"/>
      <w:marTop w:val="0"/>
      <w:marBottom w:val="0"/>
      <w:divBdr>
        <w:top w:val="none" w:sz="0" w:space="0" w:color="auto"/>
        <w:left w:val="none" w:sz="0" w:space="0" w:color="auto"/>
        <w:bottom w:val="none" w:sz="0" w:space="0" w:color="auto"/>
        <w:right w:val="none" w:sz="0" w:space="0" w:color="auto"/>
      </w:divBdr>
    </w:div>
    <w:div w:id="1156070143">
      <w:bodyDiv w:val="1"/>
      <w:marLeft w:val="0"/>
      <w:marRight w:val="0"/>
      <w:marTop w:val="0"/>
      <w:marBottom w:val="0"/>
      <w:divBdr>
        <w:top w:val="none" w:sz="0" w:space="0" w:color="auto"/>
        <w:left w:val="none" w:sz="0" w:space="0" w:color="auto"/>
        <w:bottom w:val="none" w:sz="0" w:space="0" w:color="auto"/>
        <w:right w:val="none" w:sz="0" w:space="0" w:color="auto"/>
      </w:divBdr>
    </w:div>
    <w:div w:id="1166286666">
      <w:bodyDiv w:val="1"/>
      <w:marLeft w:val="0"/>
      <w:marRight w:val="0"/>
      <w:marTop w:val="0"/>
      <w:marBottom w:val="0"/>
      <w:divBdr>
        <w:top w:val="none" w:sz="0" w:space="0" w:color="auto"/>
        <w:left w:val="none" w:sz="0" w:space="0" w:color="auto"/>
        <w:bottom w:val="none" w:sz="0" w:space="0" w:color="auto"/>
        <w:right w:val="none" w:sz="0" w:space="0" w:color="auto"/>
      </w:divBdr>
    </w:div>
    <w:div w:id="1167669066">
      <w:bodyDiv w:val="1"/>
      <w:marLeft w:val="0"/>
      <w:marRight w:val="0"/>
      <w:marTop w:val="0"/>
      <w:marBottom w:val="0"/>
      <w:divBdr>
        <w:top w:val="none" w:sz="0" w:space="0" w:color="auto"/>
        <w:left w:val="none" w:sz="0" w:space="0" w:color="auto"/>
        <w:bottom w:val="none" w:sz="0" w:space="0" w:color="auto"/>
        <w:right w:val="none" w:sz="0" w:space="0" w:color="auto"/>
      </w:divBdr>
    </w:div>
    <w:div w:id="1172451503">
      <w:bodyDiv w:val="1"/>
      <w:marLeft w:val="0"/>
      <w:marRight w:val="0"/>
      <w:marTop w:val="0"/>
      <w:marBottom w:val="0"/>
      <w:divBdr>
        <w:top w:val="none" w:sz="0" w:space="0" w:color="auto"/>
        <w:left w:val="none" w:sz="0" w:space="0" w:color="auto"/>
        <w:bottom w:val="none" w:sz="0" w:space="0" w:color="auto"/>
        <w:right w:val="none" w:sz="0" w:space="0" w:color="auto"/>
      </w:divBdr>
    </w:div>
    <w:div w:id="1175149734">
      <w:bodyDiv w:val="1"/>
      <w:marLeft w:val="0"/>
      <w:marRight w:val="0"/>
      <w:marTop w:val="0"/>
      <w:marBottom w:val="0"/>
      <w:divBdr>
        <w:top w:val="none" w:sz="0" w:space="0" w:color="auto"/>
        <w:left w:val="none" w:sz="0" w:space="0" w:color="auto"/>
        <w:bottom w:val="none" w:sz="0" w:space="0" w:color="auto"/>
        <w:right w:val="none" w:sz="0" w:space="0" w:color="auto"/>
      </w:divBdr>
    </w:div>
    <w:div w:id="117893212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05142783">
      <w:bodyDiv w:val="1"/>
      <w:marLeft w:val="0"/>
      <w:marRight w:val="0"/>
      <w:marTop w:val="0"/>
      <w:marBottom w:val="0"/>
      <w:divBdr>
        <w:top w:val="none" w:sz="0" w:space="0" w:color="auto"/>
        <w:left w:val="none" w:sz="0" w:space="0" w:color="auto"/>
        <w:bottom w:val="none" w:sz="0" w:space="0" w:color="auto"/>
        <w:right w:val="none" w:sz="0" w:space="0" w:color="auto"/>
      </w:divBdr>
    </w:div>
    <w:div w:id="1220364084">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5641357">
      <w:bodyDiv w:val="1"/>
      <w:marLeft w:val="0"/>
      <w:marRight w:val="0"/>
      <w:marTop w:val="0"/>
      <w:marBottom w:val="0"/>
      <w:divBdr>
        <w:top w:val="none" w:sz="0" w:space="0" w:color="auto"/>
        <w:left w:val="none" w:sz="0" w:space="0" w:color="auto"/>
        <w:bottom w:val="none" w:sz="0" w:space="0" w:color="auto"/>
        <w:right w:val="none" w:sz="0" w:space="0" w:color="auto"/>
      </w:divBdr>
    </w:div>
    <w:div w:id="1406148914">
      <w:bodyDiv w:val="1"/>
      <w:marLeft w:val="0"/>
      <w:marRight w:val="0"/>
      <w:marTop w:val="0"/>
      <w:marBottom w:val="0"/>
      <w:divBdr>
        <w:top w:val="none" w:sz="0" w:space="0" w:color="auto"/>
        <w:left w:val="none" w:sz="0" w:space="0" w:color="auto"/>
        <w:bottom w:val="none" w:sz="0" w:space="0" w:color="auto"/>
        <w:right w:val="none" w:sz="0" w:space="0" w:color="auto"/>
      </w:divBdr>
    </w:div>
    <w:div w:id="1412658548">
      <w:bodyDiv w:val="1"/>
      <w:marLeft w:val="0"/>
      <w:marRight w:val="0"/>
      <w:marTop w:val="0"/>
      <w:marBottom w:val="0"/>
      <w:divBdr>
        <w:top w:val="none" w:sz="0" w:space="0" w:color="auto"/>
        <w:left w:val="none" w:sz="0" w:space="0" w:color="auto"/>
        <w:bottom w:val="none" w:sz="0" w:space="0" w:color="auto"/>
        <w:right w:val="none" w:sz="0" w:space="0" w:color="auto"/>
      </w:divBdr>
    </w:div>
    <w:div w:id="1472942324">
      <w:bodyDiv w:val="1"/>
      <w:marLeft w:val="0"/>
      <w:marRight w:val="0"/>
      <w:marTop w:val="0"/>
      <w:marBottom w:val="0"/>
      <w:divBdr>
        <w:top w:val="none" w:sz="0" w:space="0" w:color="auto"/>
        <w:left w:val="none" w:sz="0" w:space="0" w:color="auto"/>
        <w:bottom w:val="none" w:sz="0" w:space="0" w:color="auto"/>
        <w:right w:val="none" w:sz="0" w:space="0" w:color="auto"/>
      </w:divBdr>
    </w:div>
    <w:div w:id="1479541580">
      <w:bodyDiv w:val="1"/>
      <w:marLeft w:val="0"/>
      <w:marRight w:val="0"/>
      <w:marTop w:val="0"/>
      <w:marBottom w:val="0"/>
      <w:divBdr>
        <w:top w:val="none" w:sz="0" w:space="0" w:color="auto"/>
        <w:left w:val="none" w:sz="0" w:space="0" w:color="auto"/>
        <w:bottom w:val="none" w:sz="0" w:space="0" w:color="auto"/>
        <w:right w:val="none" w:sz="0" w:space="0" w:color="auto"/>
      </w:divBdr>
    </w:div>
    <w:div w:id="1497651940">
      <w:bodyDiv w:val="1"/>
      <w:marLeft w:val="0"/>
      <w:marRight w:val="0"/>
      <w:marTop w:val="0"/>
      <w:marBottom w:val="0"/>
      <w:divBdr>
        <w:top w:val="none" w:sz="0" w:space="0" w:color="auto"/>
        <w:left w:val="none" w:sz="0" w:space="0" w:color="auto"/>
        <w:bottom w:val="none" w:sz="0" w:space="0" w:color="auto"/>
        <w:right w:val="none" w:sz="0" w:space="0" w:color="auto"/>
      </w:divBdr>
    </w:div>
    <w:div w:id="1509445326">
      <w:bodyDiv w:val="1"/>
      <w:marLeft w:val="0"/>
      <w:marRight w:val="0"/>
      <w:marTop w:val="0"/>
      <w:marBottom w:val="0"/>
      <w:divBdr>
        <w:top w:val="none" w:sz="0" w:space="0" w:color="auto"/>
        <w:left w:val="none" w:sz="0" w:space="0" w:color="auto"/>
        <w:bottom w:val="none" w:sz="0" w:space="0" w:color="auto"/>
        <w:right w:val="none" w:sz="0" w:space="0" w:color="auto"/>
      </w:divBdr>
    </w:div>
    <w:div w:id="1516000540">
      <w:bodyDiv w:val="1"/>
      <w:marLeft w:val="0"/>
      <w:marRight w:val="0"/>
      <w:marTop w:val="0"/>
      <w:marBottom w:val="0"/>
      <w:divBdr>
        <w:top w:val="none" w:sz="0" w:space="0" w:color="auto"/>
        <w:left w:val="none" w:sz="0" w:space="0" w:color="auto"/>
        <w:bottom w:val="none" w:sz="0" w:space="0" w:color="auto"/>
        <w:right w:val="none" w:sz="0" w:space="0" w:color="auto"/>
      </w:divBdr>
    </w:div>
    <w:div w:id="1520853197">
      <w:bodyDiv w:val="1"/>
      <w:marLeft w:val="0"/>
      <w:marRight w:val="0"/>
      <w:marTop w:val="0"/>
      <w:marBottom w:val="0"/>
      <w:divBdr>
        <w:top w:val="none" w:sz="0" w:space="0" w:color="auto"/>
        <w:left w:val="none" w:sz="0" w:space="0" w:color="auto"/>
        <w:bottom w:val="none" w:sz="0" w:space="0" w:color="auto"/>
        <w:right w:val="none" w:sz="0" w:space="0" w:color="auto"/>
      </w:divBdr>
    </w:div>
    <w:div w:id="1528445468">
      <w:bodyDiv w:val="1"/>
      <w:marLeft w:val="0"/>
      <w:marRight w:val="0"/>
      <w:marTop w:val="0"/>
      <w:marBottom w:val="0"/>
      <w:divBdr>
        <w:top w:val="none" w:sz="0" w:space="0" w:color="auto"/>
        <w:left w:val="none" w:sz="0" w:space="0" w:color="auto"/>
        <w:bottom w:val="none" w:sz="0" w:space="0" w:color="auto"/>
        <w:right w:val="none" w:sz="0" w:space="0" w:color="auto"/>
      </w:divBdr>
    </w:div>
    <w:div w:id="153526404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423681">
      <w:bodyDiv w:val="1"/>
      <w:marLeft w:val="0"/>
      <w:marRight w:val="0"/>
      <w:marTop w:val="0"/>
      <w:marBottom w:val="0"/>
      <w:divBdr>
        <w:top w:val="none" w:sz="0" w:space="0" w:color="auto"/>
        <w:left w:val="none" w:sz="0" w:space="0" w:color="auto"/>
        <w:bottom w:val="none" w:sz="0" w:space="0" w:color="auto"/>
        <w:right w:val="none" w:sz="0" w:space="0" w:color="auto"/>
      </w:divBdr>
    </w:div>
    <w:div w:id="1548300607">
      <w:bodyDiv w:val="1"/>
      <w:marLeft w:val="0"/>
      <w:marRight w:val="0"/>
      <w:marTop w:val="0"/>
      <w:marBottom w:val="0"/>
      <w:divBdr>
        <w:top w:val="none" w:sz="0" w:space="0" w:color="auto"/>
        <w:left w:val="none" w:sz="0" w:space="0" w:color="auto"/>
        <w:bottom w:val="none" w:sz="0" w:space="0" w:color="auto"/>
        <w:right w:val="none" w:sz="0" w:space="0" w:color="auto"/>
      </w:divBdr>
    </w:div>
    <w:div w:id="1549221315">
      <w:bodyDiv w:val="1"/>
      <w:marLeft w:val="0"/>
      <w:marRight w:val="0"/>
      <w:marTop w:val="0"/>
      <w:marBottom w:val="0"/>
      <w:divBdr>
        <w:top w:val="none" w:sz="0" w:space="0" w:color="auto"/>
        <w:left w:val="none" w:sz="0" w:space="0" w:color="auto"/>
        <w:bottom w:val="none" w:sz="0" w:space="0" w:color="auto"/>
        <w:right w:val="none" w:sz="0" w:space="0" w:color="auto"/>
      </w:divBdr>
    </w:div>
    <w:div w:id="1554922720">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69077873">
      <w:bodyDiv w:val="1"/>
      <w:marLeft w:val="0"/>
      <w:marRight w:val="0"/>
      <w:marTop w:val="0"/>
      <w:marBottom w:val="0"/>
      <w:divBdr>
        <w:top w:val="none" w:sz="0" w:space="0" w:color="auto"/>
        <w:left w:val="none" w:sz="0" w:space="0" w:color="auto"/>
        <w:bottom w:val="none" w:sz="0" w:space="0" w:color="auto"/>
        <w:right w:val="none" w:sz="0" w:space="0" w:color="auto"/>
      </w:divBdr>
    </w:div>
    <w:div w:id="1574512187">
      <w:bodyDiv w:val="1"/>
      <w:marLeft w:val="0"/>
      <w:marRight w:val="0"/>
      <w:marTop w:val="0"/>
      <w:marBottom w:val="0"/>
      <w:divBdr>
        <w:top w:val="none" w:sz="0" w:space="0" w:color="auto"/>
        <w:left w:val="none" w:sz="0" w:space="0" w:color="auto"/>
        <w:bottom w:val="none" w:sz="0" w:space="0" w:color="auto"/>
        <w:right w:val="none" w:sz="0" w:space="0" w:color="auto"/>
      </w:divBdr>
    </w:div>
    <w:div w:id="1574702023">
      <w:bodyDiv w:val="1"/>
      <w:marLeft w:val="0"/>
      <w:marRight w:val="0"/>
      <w:marTop w:val="0"/>
      <w:marBottom w:val="0"/>
      <w:divBdr>
        <w:top w:val="none" w:sz="0" w:space="0" w:color="auto"/>
        <w:left w:val="none" w:sz="0" w:space="0" w:color="auto"/>
        <w:bottom w:val="none" w:sz="0" w:space="0" w:color="auto"/>
        <w:right w:val="none" w:sz="0" w:space="0" w:color="auto"/>
      </w:divBdr>
    </w:div>
    <w:div w:id="1579368496">
      <w:bodyDiv w:val="1"/>
      <w:marLeft w:val="0"/>
      <w:marRight w:val="0"/>
      <w:marTop w:val="0"/>
      <w:marBottom w:val="0"/>
      <w:divBdr>
        <w:top w:val="none" w:sz="0" w:space="0" w:color="auto"/>
        <w:left w:val="none" w:sz="0" w:space="0" w:color="auto"/>
        <w:bottom w:val="none" w:sz="0" w:space="0" w:color="auto"/>
        <w:right w:val="none" w:sz="0" w:space="0" w:color="auto"/>
      </w:divBdr>
    </w:div>
    <w:div w:id="1595360169">
      <w:bodyDiv w:val="1"/>
      <w:marLeft w:val="0"/>
      <w:marRight w:val="0"/>
      <w:marTop w:val="0"/>
      <w:marBottom w:val="0"/>
      <w:divBdr>
        <w:top w:val="none" w:sz="0" w:space="0" w:color="auto"/>
        <w:left w:val="none" w:sz="0" w:space="0" w:color="auto"/>
        <w:bottom w:val="none" w:sz="0" w:space="0" w:color="auto"/>
        <w:right w:val="none" w:sz="0" w:space="0" w:color="auto"/>
      </w:divBdr>
    </w:div>
    <w:div w:id="1609120159">
      <w:bodyDiv w:val="1"/>
      <w:marLeft w:val="0"/>
      <w:marRight w:val="0"/>
      <w:marTop w:val="0"/>
      <w:marBottom w:val="0"/>
      <w:divBdr>
        <w:top w:val="none" w:sz="0" w:space="0" w:color="auto"/>
        <w:left w:val="none" w:sz="0" w:space="0" w:color="auto"/>
        <w:bottom w:val="none" w:sz="0" w:space="0" w:color="auto"/>
        <w:right w:val="none" w:sz="0" w:space="0" w:color="auto"/>
      </w:divBdr>
    </w:div>
    <w:div w:id="1611815506">
      <w:bodyDiv w:val="1"/>
      <w:marLeft w:val="0"/>
      <w:marRight w:val="0"/>
      <w:marTop w:val="0"/>
      <w:marBottom w:val="0"/>
      <w:divBdr>
        <w:top w:val="none" w:sz="0" w:space="0" w:color="auto"/>
        <w:left w:val="none" w:sz="0" w:space="0" w:color="auto"/>
        <w:bottom w:val="none" w:sz="0" w:space="0" w:color="auto"/>
        <w:right w:val="none" w:sz="0" w:space="0" w:color="auto"/>
      </w:divBdr>
    </w:div>
    <w:div w:id="161378397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4383122">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55913623">
      <w:bodyDiv w:val="1"/>
      <w:marLeft w:val="0"/>
      <w:marRight w:val="0"/>
      <w:marTop w:val="0"/>
      <w:marBottom w:val="0"/>
      <w:divBdr>
        <w:top w:val="none" w:sz="0" w:space="0" w:color="auto"/>
        <w:left w:val="none" w:sz="0" w:space="0" w:color="auto"/>
        <w:bottom w:val="none" w:sz="0" w:space="0" w:color="auto"/>
        <w:right w:val="none" w:sz="0" w:space="0" w:color="auto"/>
      </w:divBdr>
    </w:div>
    <w:div w:id="1659268086">
      <w:bodyDiv w:val="1"/>
      <w:marLeft w:val="0"/>
      <w:marRight w:val="0"/>
      <w:marTop w:val="0"/>
      <w:marBottom w:val="0"/>
      <w:divBdr>
        <w:top w:val="none" w:sz="0" w:space="0" w:color="auto"/>
        <w:left w:val="none" w:sz="0" w:space="0" w:color="auto"/>
        <w:bottom w:val="none" w:sz="0" w:space="0" w:color="auto"/>
        <w:right w:val="none" w:sz="0" w:space="0" w:color="auto"/>
      </w:divBdr>
    </w:div>
    <w:div w:id="1686399316">
      <w:bodyDiv w:val="1"/>
      <w:marLeft w:val="0"/>
      <w:marRight w:val="0"/>
      <w:marTop w:val="0"/>
      <w:marBottom w:val="0"/>
      <w:divBdr>
        <w:top w:val="none" w:sz="0" w:space="0" w:color="auto"/>
        <w:left w:val="none" w:sz="0" w:space="0" w:color="auto"/>
        <w:bottom w:val="none" w:sz="0" w:space="0" w:color="auto"/>
        <w:right w:val="none" w:sz="0" w:space="0" w:color="auto"/>
      </w:divBdr>
    </w:div>
    <w:div w:id="1687946916">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5960037">
      <w:bodyDiv w:val="1"/>
      <w:marLeft w:val="0"/>
      <w:marRight w:val="0"/>
      <w:marTop w:val="0"/>
      <w:marBottom w:val="0"/>
      <w:divBdr>
        <w:top w:val="none" w:sz="0" w:space="0" w:color="auto"/>
        <w:left w:val="none" w:sz="0" w:space="0" w:color="auto"/>
        <w:bottom w:val="none" w:sz="0" w:space="0" w:color="auto"/>
        <w:right w:val="none" w:sz="0" w:space="0" w:color="auto"/>
      </w:divBdr>
    </w:div>
    <w:div w:id="1720589178">
      <w:bodyDiv w:val="1"/>
      <w:marLeft w:val="0"/>
      <w:marRight w:val="0"/>
      <w:marTop w:val="0"/>
      <w:marBottom w:val="0"/>
      <w:divBdr>
        <w:top w:val="none" w:sz="0" w:space="0" w:color="auto"/>
        <w:left w:val="none" w:sz="0" w:space="0" w:color="auto"/>
        <w:bottom w:val="none" w:sz="0" w:space="0" w:color="auto"/>
        <w:right w:val="none" w:sz="0" w:space="0" w:color="auto"/>
      </w:divBdr>
    </w:div>
    <w:div w:id="1721663399">
      <w:bodyDiv w:val="1"/>
      <w:marLeft w:val="0"/>
      <w:marRight w:val="0"/>
      <w:marTop w:val="0"/>
      <w:marBottom w:val="0"/>
      <w:divBdr>
        <w:top w:val="none" w:sz="0" w:space="0" w:color="auto"/>
        <w:left w:val="none" w:sz="0" w:space="0" w:color="auto"/>
        <w:bottom w:val="none" w:sz="0" w:space="0" w:color="auto"/>
        <w:right w:val="none" w:sz="0" w:space="0" w:color="auto"/>
      </w:divBdr>
    </w:div>
    <w:div w:id="1727489065">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3693815">
      <w:bodyDiv w:val="1"/>
      <w:marLeft w:val="0"/>
      <w:marRight w:val="0"/>
      <w:marTop w:val="0"/>
      <w:marBottom w:val="0"/>
      <w:divBdr>
        <w:top w:val="none" w:sz="0" w:space="0" w:color="auto"/>
        <w:left w:val="none" w:sz="0" w:space="0" w:color="auto"/>
        <w:bottom w:val="none" w:sz="0" w:space="0" w:color="auto"/>
        <w:right w:val="none" w:sz="0" w:space="0" w:color="auto"/>
      </w:divBdr>
    </w:div>
    <w:div w:id="1755937047">
      <w:bodyDiv w:val="1"/>
      <w:marLeft w:val="0"/>
      <w:marRight w:val="0"/>
      <w:marTop w:val="0"/>
      <w:marBottom w:val="0"/>
      <w:divBdr>
        <w:top w:val="none" w:sz="0" w:space="0" w:color="auto"/>
        <w:left w:val="none" w:sz="0" w:space="0" w:color="auto"/>
        <w:bottom w:val="none" w:sz="0" w:space="0" w:color="auto"/>
        <w:right w:val="none" w:sz="0" w:space="0" w:color="auto"/>
      </w:divBdr>
    </w:div>
    <w:div w:id="1768841666">
      <w:bodyDiv w:val="1"/>
      <w:marLeft w:val="0"/>
      <w:marRight w:val="0"/>
      <w:marTop w:val="0"/>
      <w:marBottom w:val="0"/>
      <w:divBdr>
        <w:top w:val="none" w:sz="0" w:space="0" w:color="auto"/>
        <w:left w:val="none" w:sz="0" w:space="0" w:color="auto"/>
        <w:bottom w:val="none" w:sz="0" w:space="0" w:color="auto"/>
        <w:right w:val="none" w:sz="0" w:space="0" w:color="auto"/>
      </w:divBdr>
    </w:div>
    <w:div w:id="176923377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73277588">
      <w:bodyDiv w:val="1"/>
      <w:marLeft w:val="0"/>
      <w:marRight w:val="0"/>
      <w:marTop w:val="0"/>
      <w:marBottom w:val="0"/>
      <w:divBdr>
        <w:top w:val="none" w:sz="0" w:space="0" w:color="auto"/>
        <w:left w:val="none" w:sz="0" w:space="0" w:color="auto"/>
        <w:bottom w:val="none" w:sz="0" w:space="0" w:color="auto"/>
        <w:right w:val="none" w:sz="0" w:space="0" w:color="auto"/>
      </w:divBdr>
    </w:div>
    <w:div w:id="1786658351">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793941865">
      <w:bodyDiv w:val="1"/>
      <w:marLeft w:val="0"/>
      <w:marRight w:val="0"/>
      <w:marTop w:val="0"/>
      <w:marBottom w:val="0"/>
      <w:divBdr>
        <w:top w:val="none" w:sz="0" w:space="0" w:color="auto"/>
        <w:left w:val="none" w:sz="0" w:space="0" w:color="auto"/>
        <w:bottom w:val="none" w:sz="0" w:space="0" w:color="auto"/>
        <w:right w:val="none" w:sz="0" w:space="0" w:color="auto"/>
      </w:divBdr>
    </w:div>
    <w:div w:id="1801681781">
      <w:bodyDiv w:val="1"/>
      <w:marLeft w:val="0"/>
      <w:marRight w:val="0"/>
      <w:marTop w:val="0"/>
      <w:marBottom w:val="0"/>
      <w:divBdr>
        <w:top w:val="none" w:sz="0" w:space="0" w:color="auto"/>
        <w:left w:val="none" w:sz="0" w:space="0" w:color="auto"/>
        <w:bottom w:val="none" w:sz="0" w:space="0" w:color="auto"/>
        <w:right w:val="none" w:sz="0" w:space="0" w:color="auto"/>
      </w:divBdr>
    </w:div>
    <w:div w:id="1831167872">
      <w:bodyDiv w:val="1"/>
      <w:marLeft w:val="0"/>
      <w:marRight w:val="0"/>
      <w:marTop w:val="0"/>
      <w:marBottom w:val="0"/>
      <w:divBdr>
        <w:top w:val="none" w:sz="0" w:space="0" w:color="auto"/>
        <w:left w:val="none" w:sz="0" w:space="0" w:color="auto"/>
        <w:bottom w:val="none" w:sz="0" w:space="0" w:color="auto"/>
        <w:right w:val="none" w:sz="0" w:space="0" w:color="auto"/>
      </w:divBdr>
    </w:div>
    <w:div w:id="1838957022">
      <w:bodyDiv w:val="1"/>
      <w:marLeft w:val="0"/>
      <w:marRight w:val="0"/>
      <w:marTop w:val="0"/>
      <w:marBottom w:val="0"/>
      <w:divBdr>
        <w:top w:val="none" w:sz="0" w:space="0" w:color="auto"/>
        <w:left w:val="none" w:sz="0" w:space="0" w:color="auto"/>
        <w:bottom w:val="none" w:sz="0" w:space="0" w:color="auto"/>
        <w:right w:val="none" w:sz="0" w:space="0" w:color="auto"/>
      </w:divBdr>
    </w:div>
    <w:div w:id="1846703832">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846155">
      <w:bodyDiv w:val="1"/>
      <w:marLeft w:val="0"/>
      <w:marRight w:val="0"/>
      <w:marTop w:val="0"/>
      <w:marBottom w:val="0"/>
      <w:divBdr>
        <w:top w:val="none" w:sz="0" w:space="0" w:color="auto"/>
        <w:left w:val="none" w:sz="0" w:space="0" w:color="auto"/>
        <w:bottom w:val="none" w:sz="0" w:space="0" w:color="auto"/>
        <w:right w:val="none" w:sz="0" w:space="0" w:color="auto"/>
      </w:divBdr>
    </w:div>
    <w:div w:id="1858302767">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79277354">
      <w:bodyDiv w:val="1"/>
      <w:marLeft w:val="0"/>
      <w:marRight w:val="0"/>
      <w:marTop w:val="0"/>
      <w:marBottom w:val="0"/>
      <w:divBdr>
        <w:top w:val="none" w:sz="0" w:space="0" w:color="auto"/>
        <w:left w:val="none" w:sz="0" w:space="0" w:color="auto"/>
        <w:bottom w:val="none" w:sz="0" w:space="0" w:color="auto"/>
        <w:right w:val="none" w:sz="0" w:space="0" w:color="auto"/>
      </w:divBdr>
    </w:div>
    <w:div w:id="1895699084">
      <w:bodyDiv w:val="1"/>
      <w:marLeft w:val="0"/>
      <w:marRight w:val="0"/>
      <w:marTop w:val="0"/>
      <w:marBottom w:val="0"/>
      <w:divBdr>
        <w:top w:val="none" w:sz="0" w:space="0" w:color="auto"/>
        <w:left w:val="none" w:sz="0" w:space="0" w:color="auto"/>
        <w:bottom w:val="none" w:sz="0" w:space="0" w:color="auto"/>
        <w:right w:val="none" w:sz="0" w:space="0" w:color="auto"/>
      </w:divBdr>
    </w:div>
    <w:div w:id="1898324175">
      <w:bodyDiv w:val="1"/>
      <w:marLeft w:val="0"/>
      <w:marRight w:val="0"/>
      <w:marTop w:val="0"/>
      <w:marBottom w:val="0"/>
      <w:divBdr>
        <w:top w:val="none" w:sz="0" w:space="0" w:color="auto"/>
        <w:left w:val="none" w:sz="0" w:space="0" w:color="auto"/>
        <w:bottom w:val="none" w:sz="0" w:space="0" w:color="auto"/>
        <w:right w:val="none" w:sz="0" w:space="0" w:color="auto"/>
      </w:divBdr>
    </w:div>
    <w:div w:id="1907494192">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4143071">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423890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607004">
      <w:bodyDiv w:val="1"/>
      <w:marLeft w:val="0"/>
      <w:marRight w:val="0"/>
      <w:marTop w:val="0"/>
      <w:marBottom w:val="0"/>
      <w:divBdr>
        <w:top w:val="none" w:sz="0" w:space="0" w:color="auto"/>
        <w:left w:val="none" w:sz="0" w:space="0" w:color="auto"/>
        <w:bottom w:val="none" w:sz="0" w:space="0" w:color="auto"/>
        <w:right w:val="none" w:sz="0" w:space="0" w:color="auto"/>
      </w:divBdr>
    </w:div>
    <w:div w:id="2006976857">
      <w:bodyDiv w:val="1"/>
      <w:marLeft w:val="0"/>
      <w:marRight w:val="0"/>
      <w:marTop w:val="0"/>
      <w:marBottom w:val="0"/>
      <w:divBdr>
        <w:top w:val="none" w:sz="0" w:space="0" w:color="auto"/>
        <w:left w:val="none" w:sz="0" w:space="0" w:color="auto"/>
        <w:bottom w:val="none" w:sz="0" w:space="0" w:color="auto"/>
        <w:right w:val="none" w:sz="0" w:space="0" w:color="auto"/>
      </w:divBdr>
    </w:div>
    <w:div w:id="2010061605">
      <w:bodyDiv w:val="1"/>
      <w:marLeft w:val="0"/>
      <w:marRight w:val="0"/>
      <w:marTop w:val="0"/>
      <w:marBottom w:val="0"/>
      <w:divBdr>
        <w:top w:val="none" w:sz="0" w:space="0" w:color="auto"/>
        <w:left w:val="none" w:sz="0" w:space="0" w:color="auto"/>
        <w:bottom w:val="none" w:sz="0" w:space="0" w:color="auto"/>
        <w:right w:val="none" w:sz="0" w:space="0" w:color="auto"/>
      </w:divBdr>
    </w:div>
    <w:div w:id="2010906928">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63868230">
      <w:bodyDiv w:val="1"/>
      <w:marLeft w:val="0"/>
      <w:marRight w:val="0"/>
      <w:marTop w:val="0"/>
      <w:marBottom w:val="0"/>
      <w:divBdr>
        <w:top w:val="none" w:sz="0" w:space="0" w:color="auto"/>
        <w:left w:val="none" w:sz="0" w:space="0" w:color="auto"/>
        <w:bottom w:val="none" w:sz="0" w:space="0" w:color="auto"/>
        <w:right w:val="none" w:sz="0" w:space="0" w:color="auto"/>
      </w:divBdr>
    </w:div>
    <w:div w:id="206983973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89187128">
      <w:bodyDiv w:val="1"/>
      <w:marLeft w:val="0"/>
      <w:marRight w:val="0"/>
      <w:marTop w:val="0"/>
      <w:marBottom w:val="0"/>
      <w:divBdr>
        <w:top w:val="none" w:sz="0" w:space="0" w:color="auto"/>
        <w:left w:val="none" w:sz="0" w:space="0" w:color="auto"/>
        <w:bottom w:val="none" w:sz="0" w:space="0" w:color="auto"/>
        <w:right w:val="none" w:sz="0" w:space="0" w:color="auto"/>
      </w:divBdr>
    </w:div>
    <w:div w:id="2101023176">
      <w:bodyDiv w:val="1"/>
      <w:marLeft w:val="0"/>
      <w:marRight w:val="0"/>
      <w:marTop w:val="0"/>
      <w:marBottom w:val="0"/>
      <w:divBdr>
        <w:top w:val="none" w:sz="0" w:space="0" w:color="auto"/>
        <w:left w:val="none" w:sz="0" w:space="0" w:color="auto"/>
        <w:bottom w:val="none" w:sz="0" w:space="0" w:color="auto"/>
        <w:right w:val="none" w:sz="0" w:space="0" w:color="auto"/>
      </w:divBdr>
    </w:div>
    <w:div w:id="2115594659">
      <w:bodyDiv w:val="1"/>
      <w:marLeft w:val="0"/>
      <w:marRight w:val="0"/>
      <w:marTop w:val="0"/>
      <w:marBottom w:val="0"/>
      <w:divBdr>
        <w:top w:val="none" w:sz="0" w:space="0" w:color="auto"/>
        <w:left w:val="none" w:sz="0" w:space="0" w:color="auto"/>
        <w:bottom w:val="none" w:sz="0" w:space="0" w:color="auto"/>
        <w:right w:val="none" w:sz="0" w:space="0" w:color="auto"/>
      </w:divBdr>
    </w:div>
    <w:div w:id="2126382991">
      <w:bodyDiv w:val="1"/>
      <w:marLeft w:val="0"/>
      <w:marRight w:val="0"/>
      <w:marTop w:val="0"/>
      <w:marBottom w:val="0"/>
      <w:divBdr>
        <w:top w:val="none" w:sz="0" w:space="0" w:color="auto"/>
        <w:left w:val="none" w:sz="0" w:space="0" w:color="auto"/>
        <w:bottom w:val="none" w:sz="0" w:space="0" w:color="auto"/>
        <w:right w:val="none" w:sz="0" w:space="0" w:color="auto"/>
      </w:divBdr>
    </w:div>
    <w:div w:id="21334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ia.gov/electricity/annual/" TargetMode="External"/><Relationship Id="rId26" Type="http://schemas.openxmlformats.org/officeDocument/2006/relationships/package" Target="embeddings/Microsoft_Excel_Worksheet1.xlsx"/><Relationship Id="rId21" Type="http://schemas.openxmlformats.org/officeDocument/2006/relationships/hyperlink" Target="https://www.eia.gov/electricity/state/" TargetMode="External"/><Relationship Id="rId34" Type="http://schemas.openxmlformats.org/officeDocument/2006/relationships/footer" Target="footer6.xml"/><Relationship Id="Raffd915b0db64529"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package" Target="embeddings/Microsoft_Excel_Worksheet2.xlsx"/><Relationship Id="R40b1e6e351084d39"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ia.gov/electricity/monthl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acei.org/content/documents/DOE-NR_Canada-United_States_Mexican_MOU_Energy%20Information_12-15-2014.pdf" TargetMode="External"/><Relationship Id="rId32" Type="http://schemas.openxmlformats.org/officeDocument/2006/relationships/image" Target="media/image4.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ia.gov/electricity/monthly/update/archive/july2019/" TargetMode="External"/><Relationship Id="rId28" Type="http://schemas.openxmlformats.org/officeDocument/2006/relationships/header" Target="header3.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ia.gov/totalenergy/data/monthly/"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nacei.org/"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AB89F6AB84054CA0EFD90F0DA8656D" ma:contentTypeVersion="2" ma:contentTypeDescription="Create a new document." ma:contentTypeScope="" ma:versionID="048f2c9e8a2e92e8e8c1f9e1a223fd81">
  <xsd:schema xmlns:xsd="http://www.w3.org/2001/XMLSchema" xmlns:xs="http://www.w3.org/2001/XMLSchema" xmlns:p="http://schemas.microsoft.com/office/2006/metadata/properties" xmlns:ns2="92c0d188-f656-46a8-95c7-45de6d7c9d54" targetNamespace="http://schemas.microsoft.com/office/2006/metadata/properties" ma:root="true" ma:fieldsID="7df662970328bd4f3cd32cda587405cd" ns2:_="">
    <xsd:import namespace="92c0d188-f656-46a8-95c7-45de6d7c9d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0d188-f656-46a8-95c7-45de6d7c9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39A0C-752F-4B14-B5FA-CC9703D7A743}">
  <ds:schemaRefs>
    <ds:schemaRef ds:uri="http://purl.org/dc/elements/1.1/"/>
    <ds:schemaRef ds:uri="http://schemas.microsoft.com/office/2006/documentManagement/types"/>
    <ds:schemaRef ds:uri="92c0d188-f656-46a8-95c7-45de6d7c9d54"/>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466DF86-BF49-4BED-BB1E-46C59CCC39FA}">
  <ds:schemaRefs>
    <ds:schemaRef ds:uri="http://schemas.microsoft.com/sharepoint/v3/contenttype/forms"/>
  </ds:schemaRefs>
</ds:datastoreItem>
</file>

<file path=customXml/itemProps4.xml><?xml version="1.0" encoding="utf-8"?>
<ds:datastoreItem xmlns:ds="http://schemas.openxmlformats.org/officeDocument/2006/customXml" ds:itemID="{A13D1C12-BBB4-4EF4-B943-71B0B2DD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0d188-f656-46a8-95c7-45de6d7c9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BE5D41-7F45-4AC0-A932-BB4AC686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65</TotalTime>
  <Pages>11</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Quarterly Electricity Imports and Exports Report</vt:lpstr>
    </vt:vector>
  </TitlesOfParts>
  <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Quarterly Electricity Imports and Exports Report</dc:title>
  <dc:subject>Improving the Quality and Scope of EIA Data</dc:subject>
  <dc:creator>Stroud, Lawrence</dc:creator>
  <cp:keywords/>
  <dc:description/>
  <cp:lastModifiedBy>Murray, Patrick</cp:lastModifiedBy>
  <cp:revision>80</cp:revision>
  <cp:lastPrinted>2011-12-12T20:42:00Z</cp:lastPrinted>
  <dcterms:created xsi:type="dcterms:W3CDTF">2020-05-15T16:53:00Z</dcterms:created>
  <dcterms:modified xsi:type="dcterms:W3CDTF">2021-05-18T16:10:00Z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0x01010064AB89F6AB84054CA0EFD90F0DA8656D</vt:lpwstr>
  </property>
</Properties>
</file>