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63A5D" w:rsidR="00756DF3" w:rsidP="0092693A" w:rsidRDefault="00F9463C">
      <w:pPr>
        <w:pStyle w:val="N6-DateInd"/>
        <w:spacing w:line="240" w:lineRule="auto"/>
        <w:ind w:left="0"/>
        <w:jc w:val="center"/>
        <w:rPr>
          <w:rFonts w:ascii="Arial" w:hAnsi="Arial" w:cs="Arial"/>
          <w:b/>
          <w:szCs w:val="22"/>
        </w:rPr>
      </w:pPr>
      <w:bookmarkStart w:name="_GoBack" w:id="0"/>
      <w:bookmarkEnd w:id="0"/>
      <w:r w:rsidRPr="00263A5D">
        <w:rPr>
          <w:rFonts w:ascii="Arial" w:hAnsi="Arial" w:cs="Arial"/>
          <w:b/>
          <w:szCs w:val="22"/>
        </w:rPr>
        <w:t>Supporting Statement – Part A</w:t>
      </w:r>
    </w:p>
    <w:p w:rsidRPr="00263A5D" w:rsidR="00F9463C" w:rsidP="00263A5D" w:rsidRDefault="00F9463C">
      <w:pPr>
        <w:pStyle w:val="N6-DateInd"/>
        <w:spacing w:line="240" w:lineRule="auto"/>
        <w:ind w:left="0"/>
        <w:rPr>
          <w:rFonts w:ascii="Arial" w:hAnsi="Arial" w:cs="Arial"/>
          <w:szCs w:val="22"/>
        </w:rPr>
      </w:pPr>
    </w:p>
    <w:p w:rsidRPr="00263A5D" w:rsidR="00756DF3" w:rsidP="0092693A" w:rsidRDefault="00263A5D">
      <w:pPr>
        <w:jc w:val="center"/>
        <w:rPr>
          <w:rFonts w:ascii="Arial" w:hAnsi="Arial" w:cs="Arial"/>
          <w:b/>
          <w:sz w:val="22"/>
          <w:szCs w:val="22"/>
        </w:rPr>
      </w:pPr>
      <w:r w:rsidRPr="00263A5D">
        <w:rPr>
          <w:rFonts w:ascii="Arial" w:hAnsi="Arial" w:cs="Arial"/>
          <w:b/>
          <w:sz w:val="22"/>
          <w:szCs w:val="22"/>
        </w:rPr>
        <w:t xml:space="preserve">Proposed Emergency Survey </w:t>
      </w:r>
      <w:r w:rsidR="004612E0">
        <w:rPr>
          <w:rFonts w:ascii="Arial" w:hAnsi="Arial" w:cs="Arial"/>
          <w:b/>
          <w:sz w:val="22"/>
          <w:szCs w:val="22"/>
        </w:rPr>
        <w:t>to Supplement the EIA-805</w:t>
      </w:r>
      <w:r w:rsidRPr="00263A5D">
        <w:rPr>
          <w:rFonts w:ascii="Arial" w:hAnsi="Arial" w:cs="Arial"/>
          <w:b/>
          <w:sz w:val="22"/>
          <w:szCs w:val="22"/>
        </w:rPr>
        <w:t xml:space="preserve"> </w:t>
      </w:r>
      <w:r w:rsidR="005C4625">
        <w:rPr>
          <w:rFonts w:ascii="Arial" w:hAnsi="Arial" w:cs="Arial"/>
          <w:b/>
          <w:bCs/>
          <w:color w:val="333333"/>
          <w:sz w:val="21"/>
          <w:szCs w:val="21"/>
          <w:shd w:val="clear" w:color="auto" w:fill="FFFFFF"/>
        </w:rPr>
        <w:t>Weekly Bulk Terminal Report</w:t>
      </w:r>
      <w:r w:rsidRPr="00263A5D">
        <w:rPr>
          <w:rFonts w:ascii="Arial" w:hAnsi="Arial" w:cs="Arial"/>
          <w:b/>
          <w:sz w:val="22"/>
          <w:szCs w:val="22"/>
        </w:rPr>
        <w:t xml:space="preserve"> in </w:t>
      </w:r>
      <w:r w:rsidR="000B1012">
        <w:rPr>
          <w:rFonts w:ascii="Arial" w:hAnsi="Arial" w:cs="Arial"/>
          <w:b/>
          <w:sz w:val="22"/>
          <w:szCs w:val="22"/>
        </w:rPr>
        <w:t>PADD 1 (East Coast) and PADD 3 (Gulf Coast)</w:t>
      </w:r>
    </w:p>
    <w:p w:rsidRPr="00263A5D" w:rsidR="00F9463C" w:rsidP="0092693A" w:rsidRDefault="00F9463C">
      <w:pPr>
        <w:jc w:val="center"/>
        <w:rPr>
          <w:rFonts w:ascii="Arial" w:hAnsi="Arial" w:cs="Arial"/>
          <w:b/>
          <w:sz w:val="22"/>
          <w:szCs w:val="22"/>
        </w:rPr>
      </w:pPr>
    </w:p>
    <w:p w:rsidRPr="00263A5D" w:rsidR="00F9463C" w:rsidP="0092693A" w:rsidRDefault="00F9463C">
      <w:pPr>
        <w:jc w:val="center"/>
        <w:rPr>
          <w:rFonts w:ascii="Arial" w:hAnsi="Arial" w:cs="Arial"/>
          <w:b/>
          <w:sz w:val="22"/>
          <w:szCs w:val="22"/>
        </w:rPr>
      </w:pPr>
      <w:r w:rsidRPr="00263A5D">
        <w:rPr>
          <w:rFonts w:ascii="Arial" w:hAnsi="Arial" w:cs="Arial"/>
          <w:b/>
          <w:sz w:val="22"/>
          <w:szCs w:val="22"/>
        </w:rPr>
        <w:t xml:space="preserve">OMB No. </w:t>
      </w:r>
      <w:r w:rsidRPr="00263A5D" w:rsidR="00263A5D">
        <w:rPr>
          <w:rFonts w:ascii="Arial" w:hAnsi="Arial" w:cs="Arial"/>
          <w:b/>
          <w:sz w:val="22"/>
          <w:szCs w:val="22"/>
        </w:rPr>
        <w:t>XXXX</w:t>
      </w:r>
      <w:r w:rsidRPr="00263A5D">
        <w:rPr>
          <w:rFonts w:ascii="Arial" w:hAnsi="Arial" w:cs="Arial"/>
          <w:b/>
          <w:sz w:val="22"/>
          <w:szCs w:val="22"/>
        </w:rPr>
        <w:t xml:space="preserve"> - XXXX</w:t>
      </w:r>
    </w:p>
    <w:p w:rsidR="00263A5D" w:rsidP="00263A5D" w:rsidRDefault="00263A5D">
      <w:pPr>
        <w:contextualSpacing/>
        <w:rPr>
          <w:rFonts w:ascii="Arial" w:hAnsi="Arial" w:cs="Arial"/>
          <w:sz w:val="22"/>
          <w:szCs w:val="22"/>
        </w:rPr>
      </w:pPr>
    </w:p>
    <w:p w:rsidR="00F81A65" w:rsidP="00263A5D" w:rsidRDefault="00F81A65">
      <w:pPr>
        <w:contextualSpacing/>
        <w:rPr>
          <w:rFonts w:ascii="Arial" w:hAnsi="Arial" w:cs="Arial"/>
          <w:sz w:val="22"/>
          <w:szCs w:val="22"/>
        </w:rPr>
      </w:pPr>
    </w:p>
    <w:p w:rsidRPr="00E6180D" w:rsidR="00263A5D" w:rsidP="00263A5D" w:rsidRDefault="00263A5D">
      <w:pPr>
        <w:contextualSpacing/>
        <w:rPr>
          <w:rFonts w:ascii="Arial" w:hAnsi="Arial" w:cs="Arial"/>
          <w:sz w:val="22"/>
          <w:szCs w:val="22"/>
        </w:rPr>
      </w:pPr>
    </w:p>
    <w:p w:rsidR="00F81A65" w:rsidP="00E6180D" w:rsidRDefault="00F81A65">
      <w:pPr>
        <w:contextualSpacing/>
        <w:rPr>
          <w:rFonts w:ascii="Arial" w:hAnsi="Arial" w:cs="Arial"/>
          <w:b/>
          <w:sz w:val="22"/>
          <w:szCs w:val="22"/>
        </w:rPr>
      </w:pPr>
      <w:r w:rsidRPr="0001690A">
        <w:rPr>
          <w:rFonts w:ascii="Arial" w:hAnsi="Arial" w:cs="Arial"/>
          <w:b/>
          <w:sz w:val="22"/>
          <w:szCs w:val="22"/>
        </w:rPr>
        <w:t>Introduction</w:t>
      </w:r>
    </w:p>
    <w:p w:rsidRPr="0001690A" w:rsidR="00F81A65" w:rsidP="00E6180D" w:rsidRDefault="00F81A65">
      <w:pPr>
        <w:contextualSpacing/>
        <w:rPr>
          <w:rFonts w:ascii="Arial" w:hAnsi="Arial" w:cs="Arial"/>
          <w:b/>
          <w:sz w:val="22"/>
          <w:szCs w:val="22"/>
        </w:rPr>
      </w:pPr>
    </w:p>
    <w:p w:rsidRPr="00CF7144" w:rsidR="00CF7144" w:rsidP="00CF7144" w:rsidRDefault="00CF7144">
      <w:pPr>
        <w:contextualSpacing/>
        <w:rPr>
          <w:rFonts w:ascii="Arial" w:hAnsi="Arial" w:cs="Arial"/>
          <w:sz w:val="22"/>
          <w:szCs w:val="22"/>
        </w:rPr>
      </w:pPr>
      <w:r w:rsidRPr="00CF7144">
        <w:rPr>
          <w:rFonts w:ascii="Arial" w:hAnsi="Arial" w:cs="Arial"/>
          <w:sz w:val="22"/>
          <w:szCs w:val="22"/>
        </w:rPr>
        <w:t>The U.S. Energy Information Administration (EIA) is the statistical and analytical agency within the Departm</w:t>
      </w:r>
      <w:r w:rsidR="003E1F5D">
        <w:rPr>
          <w:rFonts w:ascii="Arial" w:hAnsi="Arial" w:cs="Arial"/>
          <w:sz w:val="22"/>
          <w:szCs w:val="22"/>
        </w:rPr>
        <w:t xml:space="preserve">ent of Energy (DOE). </w:t>
      </w:r>
      <w:r w:rsidRPr="00CF7144">
        <w:rPr>
          <w:rFonts w:ascii="Arial" w:hAnsi="Arial" w:cs="Arial"/>
          <w:sz w:val="22"/>
          <w:szCs w:val="22"/>
        </w:rPr>
        <w:t>EIA</w:t>
      </w:r>
      <w:r w:rsidR="003E1F5D">
        <w:rPr>
          <w:rFonts w:ascii="Arial" w:hAnsi="Arial" w:cs="Arial"/>
          <w:sz w:val="22"/>
          <w:szCs w:val="22"/>
        </w:rPr>
        <w:t>’s</w:t>
      </w:r>
      <w:r w:rsidRPr="00CF7144">
        <w:rPr>
          <w:rFonts w:ascii="Arial" w:hAnsi="Arial" w:cs="Arial"/>
          <w:sz w:val="22"/>
          <w:szCs w:val="22"/>
        </w:rPr>
        <w:t xml:space="preserve"> mission is to collect, analyze, and disseminate independent and impartial energy information to promote sound policymaking, efficient markets, and public understanding of energy and its interaction with the economy and the environment. EIA is the Nation’s premier source of energy information and, by law, its data, analyses, and forecasts are independent of approval by any other officer or employee of the United States Government. EIA conducts a relevant, reliable, and timely data collection program that covers the full spectrum of energy sources, end uses, and energy flows; generates short- and long-term domestic and international energy projections; and performs informative energy analyses. EIA communicates its statistical and analytical products primarily through its website and customer contact center. </w:t>
      </w:r>
    </w:p>
    <w:p w:rsidRPr="00CF7144" w:rsidR="00CF7144" w:rsidP="00CF7144" w:rsidRDefault="00CF7144">
      <w:pPr>
        <w:contextualSpacing/>
        <w:rPr>
          <w:rFonts w:ascii="Arial" w:hAnsi="Arial" w:cs="Arial"/>
          <w:sz w:val="22"/>
          <w:szCs w:val="22"/>
        </w:rPr>
      </w:pPr>
    </w:p>
    <w:p w:rsidRPr="00CF7144" w:rsidR="00CF7144" w:rsidP="00CF7144" w:rsidRDefault="00CF7144">
      <w:pPr>
        <w:contextualSpacing/>
        <w:rPr>
          <w:rFonts w:ascii="Arial" w:hAnsi="Arial" w:cs="Arial"/>
          <w:sz w:val="22"/>
          <w:szCs w:val="22"/>
        </w:rPr>
      </w:pPr>
      <w:r w:rsidRPr="00CF7144">
        <w:rPr>
          <w:rFonts w:ascii="Arial" w:hAnsi="Arial" w:cs="Arial"/>
          <w:sz w:val="22"/>
          <w:szCs w:val="22"/>
        </w:rPr>
        <w:t xml:space="preserve">To meet this obligation, EIA’s </w:t>
      </w:r>
      <w:r w:rsidRPr="003E1F5D" w:rsidR="003E1F5D">
        <w:rPr>
          <w:rFonts w:ascii="Arial" w:hAnsi="Arial" w:cs="Arial"/>
          <w:sz w:val="22"/>
          <w:szCs w:val="22"/>
        </w:rPr>
        <w:t xml:space="preserve">Office of Energy Production, Conversion &amp; Delivery </w:t>
      </w:r>
      <w:r w:rsidR="003E1F5D">
        <w:rPr>
          <w:rFonts w:ascii="Arial" w:hAnsi="Arial" w:cs="Arial"/>
          <w:sz w:val="22"/>
          <w:szCs w:val="22"/>
        </w:rPr>
        <w:t xml:space="preserve">(EPCD) </w:t>
      </w:r>
      <w:r w:rsidRPr="00CF7144">
        <w:rPr>
          <w:rFonts w:ascii="Arial" w:hAnsi="Arial" w:cs="Arial"/>
          <w:sz w:val="22"/>
          <w:szCs w:val="22"/>
        </w:rPr>
        <w:t xml:space="preserve">conducts surveys that collect information about petroleum </w:t>
      </w:r>
      <w:r w:rsidR="00AA76FC">
        <w:rPr>
          <w:rFonts w:ascii="Arial" w:hAnsi="Arial" w:cs="Arial"/>
          <w:sz w:val="22"/>
          <w:szCs w:val="22"/>
        </w:rPr>
        <w:t>supply</w:t>
      </w:r>
      <w:r w:rsidRPr="00CF7144">
        <w:rPr>
          <w:rFonts w:ascii="Arial" w:hAnsi="Arial" w:cs="Arial"/>
          <w:sz w:val="22"/>
          <w:szCs w:val="22"/>
        </w:rPr>
        <w:t xml:space="preserve"> activities from entities </w:t>
      </w:r>
      <w:r w:rsidR="00AA76FC">
        <w:rPr>
          <w:rFonts w:ascii="Arial" w:hAnsi="Arial" w:cs="Arial"/>
          <w:sz w:val="22"/>
          <w:szCs w:val="22"/>
        </w:rPr>
        <w:t xml:space="preserve">along the supply chain for </w:t>
      </w:r>
      <w:r w:rsidRPr="00CF7144">
        <w:rPr>
          <w:rFonts w:ascii="Arial" w:hAnsi="Arial" w:cs="Arial"/>
          <w:sz w:val="22"/>
          <w:szCs w:val="22"/>
        </w:rPr>
        <w:t>crude oil and petr</w:t>
      </w:r>
      <w:r w:rsidR="003E1F5D">
        <w:rPr>
          <w:rFonts w:ascii="Arial" w:hAnsi="Arial" w:cs="Arial"/>
          <w:sz w:val="22"/>
          <w:szCs w:val="22"/>
        </w:rPr>
        <w:t>oleum products. EIA</w:t>
      </w:r>
      <w:r w:rsidRPr="00CF7144">
        <w:rPr>
          <w:rFonts w:ascii="Arial" w:hAnsi="Arial" w:cs="Arial"/>
          <w:sz w:val="22"/>
          <w:szCs w:val="22"/>
        </w:rPr>
        <w:t xml:space="preserve"> requests that the Office of Management and Budget (OMB) approve a mandatory proposed emergency survey to assess </w:t>
      </w:r>
      <w:r w:rsidR="00AA76FC">
        <w:rPr>
          <w:rFonts w:ascii="Arial" w:hAnsi="Arial" w:cs="Arial"/>
          <w:sz w:val="22"/>
          <w:szCs w:val="22"/>
        </w:rPr>
        <w:t xml:space="preserve">stocks at </w:t>
      </w:r>
      <w:r w:rsidR="000B1012">
        <w:rPr>
          <w:rFonts w:ascii="Arial" w:hAnsi="Arial" w:cs="Arial"/>
          <w:sz w:val="22"/>
          <w:szCs w:val="22"/>
        </w:rPr>
        <w:t>terminal blenders</w:t>
      </w:r>
      <w:r w:rsidR="00AA76FC">
        <w:rPr>
          <w:rFonts w:ascii="Arial" w:hAnsi="Arial" w:cs="Arial"/>
          <w:sz w:val="22"/>
          <w:szCs w:val="22"/>
        </w:rPr>
        <w:t xml:space="preserve"> as supply chains continue to be impacted by the lingering effects of </w:t>
      </w:r>
      <w:r w:rsidR="00185404">
        <w:rPr>
          <w:rFonts w:ascii="Arial" w:hAnsi="Arial" w:cs="Arial"/>
          <w:sz w:val="22"/>
          <w:szCs w:val="22"/>
        </w:rPr>
        <w:t>the cyberattack</w:t>
      </w:r>
      <w:r w:rsidRPr="00CF7144">
        <w:rPr>
          <w:rFonts w:ascii="Arial" w:hAnsi="Arial" w:cs="Arial"/>
          <w:sz w:val="22"/>
          <w:szCs w:val="22"/>
        </w:rPr>
        <w:t xml:space="preserve"> which </w:t>
      </w:r>
      <w:r w:rsidRPr="00CF7144" w:rsidR="00AA76FC">
        <w:rPr>
          <w:rFonts w:ascii="Arial" w:hAnsi="Arial" w:cs="Arial"/>
          <w:sz w:val="22"/>
          <w:szCs w:val="22"/>
        </w:rPr>
        <w:t>ha</w:t>
      </w:r>
      <w:r w:rsidR="00AA76FC">
        <w:rPr>
          <w:rFonts w:ascii="Arial" w:hAnsi="Arial" w:cs="Arial"/>
          <w:sz w:val="22"/>
          <w:szCs w:val="22"/>
        </w:rPr>
        <w:t>d</w:t>
      </w:r>
      <w:r w:rsidRPr="00CF7144" w:rsidR="00AA76FC">
        <w:rPr>
          <w:rFonts w:ascii="Arial" w:hAnsi="Arial" w:cs="Arial"/>
          <w:sz w:val="22"/>
          <w:szCs w:val="22"/>
        </w:rPr>
        <w:t xml:space="preserve"> </w:t>
      </w:r>
      <w:r w:rsidRPr="00CF7144">
        <w:rPr>
          <w:rFonts w:ascii="Arial" w:hAnsi="Arial" w:cs="Arial"/>
          <w:sz w:val="22"/>
          <w:szCs w:val="22"/>
        </w:rPr>
        <w:t>halted fuel movement on the Colonial petroleum pipeline, primarily in the Lower Atlantic (PADD 1C)</w:t>
      </w:r>
      <w:r w:rsidR="000B1012">
        <w:rPr>
          <w:rFonts w:ascii="Arial" w:hAnsi="Arial" w:cs="Arial"/>
          <w:sz w:val="22"/>
          <w:szCs w:val="22"/>
        </w:rPr>
        <w:t>, but also impacting the Central Atlantic (PADD 1B) and Gulf Coast (PADD 3).</w:t>
      </w:r>
      <w:r w:rsidRPr="00CF7144" w:rsidR="000B1012">
        <w:rPr>
          <w:rFonts w:ascii="Arial" w:hAnsi="Arial" w:cs="Arial"/>
          <w:sz w:val="22"/>
          <w:szCs w:val="22"/>
        </w:rPr>
        <w:t xml:space="preserve"> </w:t>
      </w:r>
      <w:r w:rsidRPr="00CF7144">
        <w:rPr>
          <w:rFonts w:ascii="Arial" w:hAnsi="Arial" w:cs="Arial"/>
          <w:sz w:val="22"/>
          <w:szCs w:val="22"/>
        </w:rPr>
        <w:t xml:space="preserve">Colonial Pipeline, a major delivery system spanning from the U.S. Gulf Coast to the East Coast for transportation fuels and other refined petroleum products, halted operations </w:t>
      </w:r>
      <w:r w:rsidR="00AA76FC">
        <w:rPr>
          <w:rFonts w:ascii="Arial" w:hAnsi="Arial" w:cs="Arial"/>
          <w:sz w:val="22"/>
          <w:szCs w:val="22"/>
        </w:rPr>
        <w:t>from</w:t>
      </w:r>
      <w:r w:rsidRPr="00CF7144" w:rsidR="00AA76FC">
        <w:rPr>
          <w:rFonts w:ascii="Arial" w:hAnsi="Arial" w:cs="Arial"/>
          <w:sz w:val="22"/>
          <w:szCs w:val="22"/>
        </w:rPr>
        <w:t xml:space="preserve"> </w:t>
      </w:r>
      <w:r w:rsidR="00AA76FC">
        <w:rPr>
          <w:rFonts w:ascii="Arial" w:hAnsi="Arial" w:cs="Arial"/>
          <w:sz w:val="22"/>
          <w:szCs w:val="22"/>
        </w:rPr>
        <w:t>May 7 – May 12,</w:t>
      </w:r>
      <w:r w:rsidRPr="00CF7144">
        <w:rPr>
          <w:rFonts w:ascii="Arial" w:hAnsi="Arial" w:cs="Arial"/>
          <w:sz w:val="22"/>
          <w:szCs w:val="22"/>
        </w:rPr>
        <w:t xml:space="preserve"> to contain the effects of a cyberattack. </w:t>
      </w:r>
    </w:p>
    <w:p w:rsidRPr="00CF7144" w:rsidR="00CF7144" w:rsidP="00CF7144" w:rsidRDefault="00CF7144">
      <w:pPr>
        <w:contextualSpacing/>
        <w:rPr>
          <w:rFonts w:ascii="Arial" w:hAnsi="Arial" w:cs="Arial"/>
          <w:sz w:val="22"/>
          <w:szCs w:val="22"/>
        </w:rPr>
      </w:pPr>
    </w:p>
    <w:p w:rsidR="00CF7144" w:rsidP="00CF7144" w:rsidRDefault="00567080">
      <w:pPr>
        <w:contextualSpacing/>
        <w:rPr>
          <w:rFonts w:ascii="Arial" w:hAnsi="Arial" w:cs="Arial"/>
          <w:sz w:val="22"/>
          <w:szCs w:val="22"/>
        </w:rPr>
      </w:pPr>
      <w:r>
        <w:rPr>
          <w:rFonts w:ascii="Arial" w:hAnsi="Arial" w:cs="Arial"/>
          <w:sz w:val="22"/>
          <w:szCs w:val="22"/>
        </w:rPr>
        <w:t>If approved, d</w:t>
      </w:r>
      <w:r w:rsidRPr="00CF7144" w:rsidR="00CF7144">
        <w:rPr>
          <w:rFonts w:ascii="Arial" w:hAnsi="Arial" w:cs="Arial"/>
          <w:sz w:val="22"/>
          <w:szCs w:val="22"/>
        </w:rPr>
        <w:t xml:space="preserve">ata </w:t>
      </w:r>
      <w:r>
        <w:rPr>
          <w:rFonts w:ascii="Arial" w:hAnsi="Arial" w:cs="Arial"/>
          <w:sz w:val="22"/>
          <w:szCs w:val="22"/>
        </w:rPr>
        <w:t xml:space="preserve">collection </w:t>
      </w:r>
      <w:r w:rsidR="00905D09">
        <w:rPr>
          <w:rFonts w:ascii="Arial" w:hAnsi="Arial" w:cs="Arial"/>
          <w:sz w:val="22"/>
          <w:szCs w:val="22"/>
        </w:rPr>
        <w:t>c</w:t>
      </w:r>
      <w:r>
        <w:rPr>
          <w:rFonts w:ascii="Arial" w:hAnsi="Arial" w:cs="Arial"/>
          <w:sz w:val="22"/>
          <w:szCs w:val="22"/>
        </w:rPr>
        <w:t xml:space="preserve">ould begin </w:t>
      </w:r>
      <w:r w:rsidR="00905D09">
        <w:rPr>
          <w:rFonts w:ascii="Arial" w:hAnsi="Arial" w:cs="Arial"/>
          <w:sz w:val="22"/>
          <w:szCs w:val="22"/>
        </w:rPr>
        <w:t>as soon as</w:t>
      </w:r>
      <w:r>
        <w:rPr>
          <w:rFonts w:ascii="Arial" w:hAnsi="Arial" w:cs="Arial"/>
          <w:sz w:val="22"/>
          <w:szCs w:val="22"/>
        </w:rPr>
        <w:t xml:space="preserve"> </w:t>
      </w:r>
      <w:r w:rsidR="00AA76FC">
        <w:rPr>
          <w:rFonts w:ascii="Arial" w:hAnsi="Arial" w:cs="Arial"/>
          <w:sz w:val="22"/>
          <w:szCs w:val="22"/>
        </w:rPr>
        <w:t xml:space="preserve">June </w:t>
      </w:r>
      <w:r w:rsidR="00905D09">
        <w:rPr>
          <w:rFonts w:ascii="Arial" w:hAnsi="Arial" w:cs="Arial"/>
          <w:sz w:val="22"/>
          <w:szCs w:val="22"/>
        </w:rPr>
        <w:t>8</w:t>
      </w:r>
      <w:r w:rsidRPr="00CF7144" w:rsidR="00CF7144">
        <w:rPr>
          <w:rFonts w:ascii="Arial" w:hAnsi="Arial" w:cs="Arial"/>
          <w:sz w:val="22"/>
          <w:szCs w:val="22"/>
        </w:rPr>
        <w:t xml:space="preserve">, 2021, and would be conducted </w:t>
      </w:r>
      <w:r w:rsidR="00905D09">
        <w:rPr>
          <w:rFonts w:ascii="Arial" w:hAnsi="Arial" w:cs="Arial"/>
          <w:sz w:val="22"/>
          <w:szCs w:val="22"/>
        </w:rPr>
        <w:t>a</w:t>
      </w:r>
      <w:r w:rsidR="00692E0C">
        <w:rPr>
          <w:rFonts w:ascii="Arial" w:hAnsi="Arial" w:cs="Arial"/>
          <w:sz w:val="22"/>
          <w:szCs w:val="22"/>
        </w:rPr>
        <w:t>n additional one day per week</w:t>
      </w:r>
      <w:r w:rsidRPr="00CF7144" w:rsidR="00692E0C">
        <w:rPr>
          <w:rFonts w:ascii="Arial" w:hAnsi="Arial" w:cs="Arial"/>
          <w:sz w:val="22"/>
          <w:szCs w:val="22"/>
        </w:rPr>
        <w:t xml:space="preserve"> </w:t>
      </w:r>
      <w:r w:rsidRPr="00CF7144" w:rsidR="00CF7144">
        <w:rPr>
          <w:rFonts w:ascii="Arial" w:hAnsi="Arial" w:cs="Arial"/>
          <w:sz w:val="22"/>
          <w:szCs w:val="22"/>
        </w:rPr>
        <w:t xml:space="preserve">for up to </w:t>
      </w:r>
      <w:r w:rsidR="000B1012">
        <w:rPr>
          <w:rFonts w:ascii="Arial" w:hAnsi="Arial" w:cs="Arial"/>
          <w:sz w:val="22"/>
          <w:szCs w:val="22"/>
        </w:rPr>
        <w:t>98</w:t>
      </w:r>
      <w:r w:rsidR="00625469">
        <w:rPr>
          <w:rFonts w:ascii="Arial" w:hAnsi="Arial" w:cs="Arial"/>
          <w:sz w:val="22"/>
          <w:szCs w:val="22"/>
        </w:rPr>
        <w:t xml:space="preserve"> days</w:t>
      </w:r>
      <w:r w:rsidR="00692E0C">
        <w:rPr>
          <w:rFonts w:ascii="Arial" w:hAnsi="Arial" w:cs="Arial"/>
          <w:sz w:val="22"/>
          <w:szCs w:val="22"/>
        </w:rPr>
        <w:t xml:space="preserve"> for PADD 1 and PADD 3</w:t>
      </w:r>
      <w:r w:rsidRPr="00CF7144" w:rsidR="00CF7144">
        <w:rPr>
          <w:rFonts w:ascii="Arial" w:hAnsi="Arial" w:cs="Arial"/>
          <w:sz w:val="22"/>
          <w:szCs w:val="22"/>
        </w:rPr>
        <w:t xml:space="preserve">, dependent on the </w:t>
      </w:r>
      <w:r w:rsidR="000B1012">
        <w:rPr>
          <w:rFonts w:ascii="Arial" w:hAnsi="Arial" w:cs="Arial"/>
          <w:sz w:val="22"/>
          <w:szCs w:val="22"/>
        </w:rPr>
        <w:t>lingering impacts of the colonial pipeline cybersecurity event and consumer demand</w:t>
      </w:r>
      <w:r w:rsidR="00705F74">
        <w:rPr>
          <w:rFonts w:ascii="Arial" w:hAnsi="Arial" w:cs="Arial"/>
          <w:sz w:val="22"/>
          <w:szCs w:val="22"/>
        </w:rPr>
        <w:t>.</w:t>
      </w:r>
      <w:r w:rsidRPr="00CF7144" w:rsidR="00CF7144">
        <w:rPr>
          <w:rFonts w:ascii="Arial" w:hAnsi="Arial" w:cs="Arial"/>
          <w:sz w:val="22"/>
          <w:szCs w:val="22"/>
        </w:rPr>
        <w:t xml:space="preserve"> </w:t>
      </w:r>
      <w:r w:rsidR="00FE0E88">
        <w:rPr>
          <w:rFonts w:ascii="Arial" w:hAnsi="Arial" w:cs="Arial"/>
          <w:sz w:val="22"/>
          <w:szCs w:val="22"/>
        </w:rPr>
        <w:t>EIA</w:t>
      </w:r>
      <w:r w:rsidR="00C729FD">
        <w:rPr>
          <w:rFonts w:ascii="Arial" w:hAnsi="Arial" w:cs="Arial"/>
          <w:sz w:val="22"/>
          <w:szCs w:val="22"/>
        </w:rPr>
        <w:t xml:space="preserve"> would collect </w:t>
      </w:r>
      <w:r w:rsidR="00FE0E88">
        <w:rPr>
          <w:rFonts w:ascii="Arial" w:hAnsi="Arial" w:cs="Arial"/>
          <w:sz w:val="22"/>
          <w:szCs w:val="22"/>
        </w:rPr>
        <w:t xml:space="preserve">data from </w:t>
      </w:r>
      <w:r w:rsidR="000B1012">
        <w:rPr>
          <w:rFonts w:ascii="Arial" w:hAnsi="Arial" w:cs="Arial"/>
          <w:sz w:val="22"/>
          <w:szCs w:val="22"/>
        </w:rPr>
        <w:t>terminal blenders</w:t>
      </w:r>
      <w:r w:rsidR="00625469">
        <w:rPr>
          <w:rFonts w:ascii="Arial" w:hAnsi="Arial" w:cs="Arial"/>
          <w:sz w:val="22"/>
          <w:szCs w:val="22"/>
        </w:rPr>
        <w:t xml:space="preserve"> </w:t>
      </w:r>
      <w:r w:rsidR="00FE0E88">
        <w:rPr>
          <w:rFonts w:ascii="Arial" w:hAnsi="Arial" w:cs="Arial"/>
          <w:sz w:val="22"/>
          <w:szCs w:val="22"/>
        </w:rPr>
        <w:t xml:space="preserve">in </w:t>
      </w:r>
      <w:r w:rsidR="000B1012">
        <w:rPr>
          <w:rFonts w:ascii="Arial" w:hAnsi="Arial" w:cs="Arial"/>
          <w:sz w:val="22"/>
          <w:szCs w:val="22"/>
        </w:rPr>
        <w:t xml:space="preserve">PADD 1 and PADD 3, using </w:t>
      </w:r>
      <w:r w:rsidR="00FE0E88">
        <w:rPr>
          <w:rFonts w:ascii="Arial" w:hAnsi="Arial" w:cs="Arial"/>
          <w:sz w:val="22"/>
          <w:szCs w:val="22"/>
        </w:rPr>
        <w:t xml:space="preserve">the </w:t>
      </w:r>
      <w:r w:rsidRPr="00FE0E88" w:rsidR="00FE0E88">
        <w:rPr>
          <w:rFonts w:ascii="Arial" w:hAnsi="Arial" w:cs="Arial"/>
          <w:sz w:val="22"/>
          <w:szCs w:val="22"/>
        </w:rPr>
        <w:t>existing samples f</w:t>
      </w:r>
      <w:r w:rsidR="00692E0C">
        <w:rPr>
          <w:rFonts w:ascii="Arial" w:hAnsi="Arial" w:cs="Arial"/>
          <w:sz w:val="22"/>
          <w:szCs w:val="22"/>
        </w:rPr>
        <w:t>rom</w:t>
      </w:r>
      <w:r w:rsidRPr="00FE0E88" w:rsidR="00FE0E88">
        <w:rPr>
          <w:rFonts w:ascii="Arial" w:hAnsi="Arial" w:cs="Arial"/>
          <w:sz w:val="22"/>
          <w:szCs w:val="22"/>
        </w:rPr>
        <w:t xml:space="preserve"> Form EIA-</w:t>
      </w:r>
      <w:r w:rsidRPr="00FE0E88" w:rsidR="00625469">
        <w:rPr>
          <w:rFonts w:ascii="Arial" w:hAnsi="Arial" w:cs="Arial"/>
          <w:sz w:val="22"/>
          <w:szCs w:val="22"/>
        </w:rPr>
        <w:t>8</w:t>
      </w:r>
      <w:r w:rsidR="00625469">
        <w:rPr>
          <w:rFonts w:ascii="Arial" w:hAnsi="Arial" w:cs="Arial"/>
          <w:sz w:val="22"/>
          <w:szCs w:val="22"/>
        </w:rPr>
        <w:t>05</w:t>
      </w:r>
      <w:r w:rsidRPr="00FE0E88" w:rsidR="00FE0E88">
        <w:rPr>
          <w:rFonts w:ascii="Arial" w:hAnsi="Arial" w:cs="Arial"/>
          <w:sz w:val="22"/>
          <w:szCs w:val="22"/>
        </w:rPr>
        <w:t>, “</w:t>
      </w:r>
      <w:r w:rsidR="00625469">
        <w:rPr>
          <w:rFonts w:ascii="Arial" w:hAnsi="Arial" w:cs="Arial"/>
          <w:sz w:val="22"/>
          <w:szCs w:val="22"/>
        </w:rPr>
        <w:t>Weekly Bulk Terminal Report</w:t>
      </w:r>
      <w:r w:rsidRPr="00FE0E88" w:rsidR="00FE0E88">
        <w:rPr>
          <w:rFonts w:ascii="Arial" w:hAnsi="Arial" w:cs="Arial"/>
          <w:sz w:val="22"/>
          <w:szCs w:val="22"/>
        </w:rPr>
        <w:t>”</w:t>
      </w:r>
      <w:r w:rsidR="00625469">
        <w:rPr>
          <w:rFonts w:ascii="Arial" w:hAnsi="Arial" w:cs="Arial"/>
          <w:sz w:val="22"/>
          <w:szCs w:val="22"/>
        </w:rPr>
        <w:t>.</w:t>
      </w:r>
      <w:r w:rsidR="00705F74">
        <w:rPr>
          <w:rFonts w:ascii="Arial" w:hAnsi="Arial" w:cs="Arial"/>
          <w:sz w:val="22"/>
          <w:szCs w:val="22"/>
        </w:rPr>
        <w:t xml:space="preserve"> </w:t>
      </w:r>
      <w:r w:rsidRPr="00FE0E88" w:rsidR="00FE0E88">
        <w:rPr>
          <w:rFonts w:ascii="Arial" w:hAnsi="Arial" w:cs="Arial"/>
          <w:sz w:val="22"/>
          <w:szCs w:val="22"/>
        </w:rPr>
        <w:t xml:space="preserve">There are </w:t>
      </w:r>
      <w:r w:rsidR="00692E0C">
        <w:rPr>
          <w:rFonts w:ascii="Arial" w:hAnsi="Arial" w:cs="Arial"/>
          <w:sz w:val="22"/>
          <w:szCs w:val="22"/>
        </w:rPr>
        <w:t>767</w:t>
      </w:r>
      <w:r w:rsidRPr="00FE0E88" w:rsidR="00692E0C">
        <w:rPr>
          <w:rFonts w:ascii="Arial" w:hAnsi="Arial" w:cs="Arial"/>
          <w:sz w:val="22"/>
          <w:szCs w:val="22"/>
        </w:rPr>
        <w:t xml:space="preserve"> </w:t>
      </w:r>
      <w:r w:rsidRPr="00FE0E88" w:rsidR="00FE0E88">
        <w:rPr>
          <w:rFonts w:ascii="Arial" w:hAnsi="Arial" w:cs="Arial"/>
          <w:sz w:val="22"/>
          <w:szCs w:val="22"/>
        </w:rPr>
        <w:t>respondents in the EIA-</w:t>
      </w:r>
      <w:r w:rsidRPr="00FE0E88" w:rsidR="00625469">
        <w:rPr>
          <w:rFonts w:ascii="Arial" w:hAnsi="Arial" w:cs="Arial"/>
          <w:sz w:val="22"/>
          <w:szCs w:val="22"/>
        </w:rPr>
        <w:t>8</w:t>
      </w:r>
      <w:r w:rsidR="00625469">
        <w:rPr>
          <w:rFonts w:ascii="Arial" w:hAnsi="Arial" w:cs="Arial"/>
          <w:sz w:val="22"/>
          <w:szCs w:val="22"/>
        </w:rPr>
        <w:t>05</w:t>
      </w:r>
      <w:r w:rsidRPr="00FE0E88" w:rsidR="00625469">
        <w:rPr>
          <w:rFonts w:ascii="Arial" w:hAnsi="Arial" w:cs="Arial"/>
          <w:sz w:val="22"/>
          <w:szCs w:val="22"/>
        </w:rPr>
        <w:t xml:space="preserve"> </w:t>
      </w:r>
      <w:r w:rsidR="00692E0C">
        <w:rPr>
          <w:rFonts w:ascii="Arial" w:hAnsi="Arial" w:cs="Arial"/>
          <w:sz w:val="22"/>
          <w:szCs w:val="22"/>
        </w:rPr>
        <w:t xml:space="preserve">weekly </w:t>
      </w:r>
      <w:r w:rsidRPr="00FE0E88" w:rsidR="00FE0E88">
        <w:rPr>
          <w:rFonts w:ascii="Arial" w:hAnsi="Arial" w:cs="Arial"/>
          <w:sz w:val="22"/>
          <w:szCs w:val="22"/>
        </w:rPr>
        <w:t xml:space="preserve">sample, but this request would affect only the </w:t>
      </w:r>
      <w:r w:rsidR="00692E0C">
        <w:rPr>
          <w:rFonts w:ascii="Arial" w:hAnsi="Arial" w:cs="Arial"/>
          <w:sz w:val="22"/>
          <w:szCs w:val="22"/>
        </w:rPr>
        <w:t>404</w:t>
      </w:r>
      <w:r w:rsidRPr="00FE0E88" w:rsidR="00692E0C">
        <w:rPr>
          <w:rFonts w:ascii="Arial" w:hAnsi="Arial" w:cs="Arial"/>
          <w:sz w:val="22"/>
          <w:szCs w:val="22"/>
        </w:rPr>
        <w:t xml:space="preserve"> </w:t>
      </w:r>
      <w:r w:rsidRPr="00FE0E88" w:rsidR="00FE0E88">
        <w:rPr>
          <w:rFonts w:ascii="Arial" w:hAnsi="Arial" w:cs="Arial"/>
          <w:sz w:val="22"/>
          <w:szCs w:val="22"/>
        </w:rPr>
        <w:t xml:space="preserve">respondents in </w:t>
      </w:r>
      <w:r w:rsidR="000B1012">
        <w:rPr>
          <w:rFonts w:ascii="Arial" w:hAnsi="Arial" w:cs="Arial"/>
          <w:sz w:val="22"/>
          <w:szCs w:val="22"/>
        </w:rPr>
        <w:t>PADD 1 and PADD 3.</w:t>
      </w:r>
      <w:r w:rsidRPr="00FE0E88" w:rsidR="00FE0E88">
        <w:rPr>
          <w:rFonts w:ascii="Arial" w:hAnsi="Arial" w:cs="Arial"/>
          <w:sz w:val="22"/>
          <w:szCs w:val="22"/>
        </w:rPr>
        <w:t xml:space="preserve"> </w:t>
      </w:r>
      <w:r w:rsidRPr="00CF7144" w:rsidR="00CF7144">
        <w:rPr>
          <w:rFonts w:ascii="Arial" w:hAnsi="Arial" w:cs="Arial"/>
          <w:sz w:val="22"/>
          <w:szCs w:val="22"/>
        </w:rPr>
        <w:t xml:space="preserve">On or before </w:t>
      </w:r>
      <w:r w:rsidR="000B1012">
        <w:rPr>
          <w:rFonts w:ascii="Arial" w:hAnsi="Arial" w:cs="Arial"/>
          <w:sz w:val="22"/>
          <w:szCs w:val="22"/>
        </w:rPr>
        <w:t>September 6</w:t>
      </w:r>
      <w:r w:rsidRPr="000150FC" w:rsidR="000B1012">
        <w:rPr>
          <w:rFonts w:ascii="Arial" w:hAnsi="Arial" w:cs="Arial"/>
          <w:sz w:val="22"/>
          <w:szCs w:val="22"/>
          <w:vertAlign w:val="superscript"/>
        </w:rPr>
        <w:t>th</w:t>
      </w:r>
      <w:r w:rsidRPr="00CF7144" w:rsidR="00CF7144">
        <w:rPr>
          <w:rFonts w:ascii="Arial" w:hAnsi="Arial" w:cs="Arial"/>
          <w:sz w:val="22"/>
          <w:szCs w:val="22"/>
        </w:rPr>
        <w:t xml:space="preserve">, 2021, EIA would reassess fuel </w:t>
      </w:r>
      <w:r w:rsidR="00625469">
        <w:rPr>
          <w:rFonts w:ascii="Arial" w:hAnsi="Arial" w:cs="Arial"/>
          <w:sz w:val="22"/>
          <w:szCs w:val="22"/>
        </w:rPr>
        <w:t>supply chain</w:t>
      </w:r>
      <w:r w:rsidRPr="00CF7144" w:rsidR="00625469">
        <w:rPr>
          <w:rFonts w:ascii="Arial" w:hAnsi="Arial" w:cs="Arial"/>
          <w:sz w:val="22"/>
          <w:szCs w:val="22"/>
        </w:rPr>
        <w:t xml:space="preserve"> </w:t>
      </w:r>
      <w:r w:rsidRPr="00CF7144" w:rsidR="00CF7144">
        <w:rPr>
          <w:rFonts w:ascii="Arial" w:hAnsi="Arial" w:cs="Arial"/>
          <w:sz w:val="22"/>
          <w:szCs w:val="22"/>
        </w:rPr>
        <w:t xml:space="preserve">disruptions caused by the </w:t>
      </w:r>
      <w:r w:rsidR="00625469">
        <w:rPr>
          <w:rFonts w:ascii="Arial" w:hAnsi="Arial" w:cs="Arial"/>
          <w:sz w:val="22"/>
          <w:szCs w:val="22"/>
        </w:rPr>
        <w:t xml:space="preserve">lingering effects of the </w:t>
      </w:r>
      <w:r w:rsidRPr="00CF7144" w:rsidR="00CF7144">
        <w:rPr>
          <w:rFonts w:ascii="Arial" w:hAnsi="Arial" w:cs="Arial"/>
          <w:sz w:val="22"/>
          <w:szCs w:val="22"/>
        </w:rPr>
        <w:t xml:space="preserve">cyberattack on the Colonial petroleum pipeline and determine if it is necessary to collect data for an additional period of time and send </w:t>
      </w:r>
      <w:r w:rsidR="00705F74">
        <w:rPr>
          <w:rFonts w:ascii="Arial" w:hAnsi="Arial" w:cs="Arial"/>
          <w:sz w:val="22"/>
          <w:szCs w:val="22"/>
        </w:rPr>
        <w:t xml:space="preserve">a supplemental request to OMB. </w:t>
      </w:r>
      <w:r w:rsidRPr="00CF7144" w:rsidR="00CF7144">
        <w:rPr>
          <w:rFonts w:ascii="Arial" w:hAnsi="Arial" w:cs="Arial"/>
          <w:sz w:val="22"/>
          <w:szCs w:val="22"/>
        </w:rPr>
        <w:t xml:space="preserve">If EIA finds that less frequent data collection satisfies the need for information about the recovery of </w:t>
      </w:r>
      <w:r w:rsidR="000B1012">
        <w:rPr>
          <w:rFonts w:ascii="Arial" w:hAnsi="Arial" w:cs="Arial"/>
          <w:sz w:val="22"/>
          <w:szCs w:val="22"/>
        </w:rPr>
        <w:t>crude oil and petroleum products supply</w:t>
      </w:r>
      <w:r w:rsidRPr="00CF7144" w:rsidR="000B1012">
        <w:rPr>
          <w:rFonts w:ascii="Arial" w:hAnsi="Arial" w:cs="Arial"/>
          <w:sz w:val="22"/>
          <w:szCs w:val="22"/>
        </w:rPr>
        <w:t xml:space="preserve"> </w:t>
      </w:r>
      <w:r w:rsidR="00625469">
        <w:rPr>
          <w:rFonts w:ascii="Arial" w:hAnsi="Arial" w:cs="Arial"/>
          <w:sz w:val="22"/>
          <w:szCs w:val="22"/>
        </w:rPr>
        <w:t>along the supply chain</w:t>
      </w:r>
      <w:r w:rsidRPr="00CF7144" w:rsidR="00CF7144">
        <w:rPr>
          <w:rFonts w:ascii="Arial" w:hAnsi="Arial" w:cs="Arial"/>
          <w:sz w:val="22"/>
          <w:szCs w:val="22"/>
        </w:rPr>
        <w:t>, we would reduce the frequency of data collection.</w:t>
      </w:r>
    </w:p>
    <w:p w:rsidRPr="00263A5D" w:rsidR="00263A5D" w:rsidP="0001690A" w:rsidRDefault="00263A5D">
      <w:pPr>
        <w:contextualSpacing/>
        <w:rPr>
          <w:rFonts w:ascii="Arial" w:hAnsi="Arial" w:cs="Arial"/>
          <w:sz w:val="22"/>
          <w:szCs w:val="22"/>
        </w:rPr>
      </w:pPr>
    </w:p>
    <w:p w:rsidRPr="00263A5D" w:rsidR="006E3700" w:rsidP="0092693A" w:rsidRDefault="006E3700">
      <w:pPr>
        <w:tabs>
          <w:tab w:val="left" w:pos="3060"/>
        </w:tabs>
        <w:rPr>
          <w:rFonts w:ascii="Arial" w:hAnsi="Arial" w:cs="Arial"/>
          <w:sz w:val="22"/>
          <w:szCs w:val="22"/>
          <w:u w:val="single"/>
        </w:rPr>
      </w:pPr>
    </w:p>
    <w:p w:rsidR="00756DF3" w:rsidP="0092693A" w:rsidRDefault="0001690A">
      <w:pPr>
        <w:pStyle w:val="Heading1"/>
        <w:spacing w:line="240" w:lineRule="auto"/>
        <w:jc w:val="left"/>
        <w:rPr>
          <w:rFonts w:ascii="Arial" w:hAnsi="Arial" w:cs="Arial"/>
          <w:szCs w:val="22"/>
        </w:rPr>
      </w:pPr>
      <w:r>
        <w:rPr>
          <w:rFonts w:ascii="Arial" w:hAnsi="Arial" w:cs="Arial"/>
          <w:szCs w:val="22"/>
        </w:rPr>
        <w:br w:type="page"/>
      </w:r>
      <w:r w:rsidRPr="00263A5D" w:rsidR="00756DF3">
        <w:rPr>
          <w:rFonts w:ascii="Arial" w:hAnsi="Arial" w:cs="Arial"/>
          <w:szCs w:val="22"/>
        </w:rPr>
        <w:lastRenderedPageBreak/>
        <w:t>SECTION A.</w:t>
      </w:r>
      <w:r w:rsidRPr="00263A5D" w:rsidR="00756DF3">
        <w:rPr>
          <w:rFonts w:ascii="Arial" w:hAnsi="Arial" w:cs="Arial"/>
          <w:szCs w:val="22"/>
        </w:rPr>
        <w:tab/>
      </w:r>
    </w:p>
    <w:p w:rsidRPr="002A6F3A" w:rsidR="002A6F3A" w:rsidP="002A6F3A" w:rsidRDefault="002A6F3A"/>
    <w:p w:rsidRPr="00263A5D" w:rsidR="00A864C3" w:rsidP="00145B7A" w:rsidRDefault="00145B7A">
      <w:pPr>
        <w:numPr>
          <w:ilvl w:val="0"/>
          <w:numId w:val="21"/>
        </w:numPr>
        <w:tabs>
          <w:tab w:val="left" w:pos="90"/>
          <w:tab w:val="left" w:pos="360"/>
          <w:tab w:val="left" w:pos="1728"/>
          <w:tab w:val="left" w:pos="2304"/>
        </w:tabs>
        <w:rPr>
          <w:rFonts w:ascii="Arial" w:hAnsi="Arial" w:cs="Arial"/>
          <w:b/>
          <w:sz w:val="22"/>
          <w:szCs w:val="22"/>
        </w:rPr>
      </w:pPr>
      <w:r>
        <w:rPr>
          <w:rFonts w:ascii="Arial" w:hAnsi="Arial" w:cs="Arial"/>
          <w:b/>
          <w:sz w:val="22"/>
          <w:szCs w:val="22"/>
        </w:rPr>
        <w:t>Legal Justification</w:t>
      </w:r>
    </w:p>
    <w:p w:rsidRPr="00263A5D" w:rsidR="00263A5D" w:rsidP="00CB0D3C" w:rsidRDefault="00263A5D">
      <w:pPr>
        <w:contextualSpacing/>
        <w:rPr>
          <w:rFonts w:ascii="Arial" w:hAnsi="Arial" w:cs="Arial"/>
          <w:color w:val="333333"/>
          <w:sz w:val="22"/>
          <w:szCs w:val="22"/>
          <w:shd w:val="clear" w:color="auto" w:fill="FFFFFF"/>
        </w:rPr>
      </w:pPr>
    </w:p>
    <w:p w:rsidR="004E16CF" w:rsidP="000150FC" w:rsidRDefault="004E16CF">
      <w:pPr>
        <w:ind w:left="360"/>
        <w:contextualSpacing/>
        <w:rPr>
          <w:rFonts w:ascii="Arial" w:hAnsi="Arial" w:cs="Arial"/>
          <w:sz w:val="22"/>
          <w:szCs w:val="22"/>
        </w:rPr>
      </w:pPr>
      <w:r w:rsidRPr="004E16CF">
        <w:rPr>
          <w:rFonts w:ascii="Arial" w:hAnsi="Arial" w:cs="Arial"/>
          <w:sz w:val="22"/>
          <w:szCs w:val="22"/>
        </w:rPr>
        <w:t xml:space="preserve">The authority for this </w:t>
      </w:r>
      <w:r w:rsidR="00625469">
        <w:rPr>
          <w:rFonts w:ascii="Arial" w:hAnsi="Arial" w:cs="Arial"/>
          <w:sz w:val="22"/>
          <w:szCs w:val="22"/>
        </w:rPr>
        <w:t xml:space="preserve">mandatory </w:t>
      </w:r>
      <w:r w:rsidRPr="004E16CF">
        <w:rPr>
          <w:rFonts w:ascii="Arial" w:hAnsi="Arial" w:cs="Arial"/>
          <w:sz w:val="22"/>
          <w:szCs w:val="22"/>
        </w:rPr>
        <w:t>information collection is provided by the following general provisions:</w:t>
      </w:r>
    </w:p>
    <w:p w:rsidRPr="004E16CF" w:rsidR="004E16CF" w:rsidP="004E16CF" w:rsidRDefault="004E16CF">
      <w:pPr>
        <w:contextualSpacing/>
        <w:rPr>
          <w:rFonts w:ascii="Arial" w:hAnsi="Arial" w:cs="Arial"/>
          <w:sz w:val="22"/>
          <w:szCs w:val="22"/>
        </w:rPr>
      </w:pPr>
    </w:p>
    <w:p w:rsidR="004E16CF" w:rsidP="0001690A" w:rsidRDefault="004E16CF">
      <w:pPr>
        <w:numPr>
          <w:ilvl w:val="0"/>
          <w:numId w:val="23"/>
        </w:numPr>
        <w:ind w:left="1170"/>
        <w:contextualSpacing/>
        <w:rPr>
          <w:rFonts w:ascii="Arial" w:hAnsi="Arial" w:cs="Arial"/>
          <w:sz w:val="22"/>
          <w:szCs w:val="22"/>
        </w:rPr>
      </w:pPr>
      <w:r w:rsidRPr="004E16CF">
        <w:rPr>
          <w:rFonts w:ascii="Arial" w:hAnsi="Arial" w:cs="Arial"/>
          <w:sz w:val="22"/>
          <w:szCs w:val="22"/>
        </w:rPr>
        <w:t>Title 15 U.S. Code §772, which established the mandatory requirement of owners and operators of businesses in the U.S. to report energy supply and consumption data to the EIA Administrator.</w:t>
      </w:r>
    </w:p>
    <w:p w:rsidR="004E16CF" w:rsidP="0001690A" w:rsidRDefault="004E16CF">
      <w:pPr>
        <w:ind w:left="720"/>
        <w:contextualSpacing/>
        <w:rPr>
          <w:rFonts w:ascii="Arial" w:hAnsi="Arial" w:cs="Arial"/>
          <w:sz w:val="22"/>
          <w:szCs w:val="22"/>
        </w:rPr>
      </w:pPr>
    </w:p>
    <w:p w:rsidR="004E16CF" w:rsidP="0001690A" w:rsidRDefault="004E16CF">
      <w:pPr>
        <w:numPr>
          <w:ilvl w:val="0"/>
          <w:numId w:val="23"/>
        </w:numPr>
        <w:ind w:left="1170"/>
        <w:contextualSpacing/>
        <w:rPr>
          <w:rFonts w:ascii="Arial" w:hAnsi="Arial" w:cs="Arial"/>
          <w:sz w:val="22"/>
          <w:szCs w:val="22"/>
        </w:rPr>
      </w:pPr>
      <w:r w:rsidRPr="0001690A">
        <w:rPr>
          <w:rFonts w:ascii="Arial" w:hAnsi="Arial" w:cs="Arial"/>
          <w:sz w:val="22"/>
          <w:szCs w:val="22"/>
        </w:rPr>
        <w:t>Title 15 U.S. Code §764, which established the EIA Administrator’s powers to plan, direct, and conduct mandatory and voluntary energy programs that are designed and implemented in a fair and efficient manner.  These powers include duties to collect, evaluate, assemble, and analyze energy information on U.S. reserves, production, demand, and related economic data, while obtaining the cooperation of business, labor, consumer, and other interests.</w:t>
      </w:r>
    </w:p>
    <w:p w:rsidRPr="0001690A" w:rsidR="004E16CF" w:rsidP="0001690A" w:rsidRDefault="004E16CF">
      <w:pPr>
        <w:pStyle w:val="ListParagraph"/>
        <w:numPr>
          <w:ilvl w:val="0"/>
          <w:numId w:val="0"/>
        </w:numPr>
        <w:ind w:left="1080"/>
        <w:rPr>
          <w:rFonts w:ascii="Arial" w:hAnsi="Arial" w:cs="Arial"/>
          <w:szCs w:val="22"/>
        </w:rPr>
      </w:pPr>
    </w:p>
    <w:p w:rsidR="004E16CF" w:rsidP="0001690A" w:rsidRDefault="004E16CF">
      <w:pPr>
        <w:numPr>
          <w:ilvl w:val="0"/>
          <w:numId w:val="23"/>
        </w:numPr>
        <w:ind w:left="1170"/>
        <w:contextualSpacing/>
        <w:rPr>
          <w:rFonts w:ascii="Arial" w:hAnsi="Arial" w:cs="Arial"/>
          <w:sz w:val="22"/>
          <w:szCs w:val="22"/>
        </w:rPr>
      </w:pPr>
      <w:r w:rsidRPr="0001690A">
        <w:rPr>
          <w:rFonts w:ascii="Arial" w:hAnsi="Arial" w:cs="Arial"/>
          <w:sz w:val="22"/>
          <w:szCs w:val="22"/>
        </w:rPr>
        <w:t>Title 15 U.S. Code §790a, which established the National Energy Information System (NEIS) that is the enclave containing the energy data collected by EIA, which allows EIA to describe and analyze energy supply and consumption in the U.S.  NEIS allows EIA to perform statistical and forecasting activities to meet the needs of the U.S. Department of Energy and Congress, as well as the needs of the States to the extent required by the Natural Gas Act [Title 15 U.S. Code §717 et seq.] and the Federal Power Act [Title 16 U.S. Code §791a et seq.].</w:t>
      </w:r>
    </w:p>
    <w:p w:rsidRPr="0001690A" w:rsidR="004E16CF" w:rsidP="0001690A" w:rsidRDefault="004E16CF">
      <w:pPr>
        <w:pStyle w:val="ListParagraph"/>
        <w:numPr>
          <w:ilvl w:val="0"/>
          <w:numId w:val="0"/>
        </w:numPr>
        <w:ind w:left="1080"/>
        <w:rPr>
          <w:rFonts w:ascii="Arial" w:hAnsi="Arial" w:cs="Arial"/>
          <w:szCs w:val="22"/>
        </w:rPr>
      </w:pPr>
    </w:p>
    <w:p w:rsidR="004E16CF" w:rsidP="00EA5A1E" w:rsidRDefault="004E16CF">
      <w:pPr>
        <w:tabs>
          <w:tab w:val="left" w:pos="360"/>
        </w:tabs>
        <w:ind w:left="360"/>
        <w:contextualSpacing/>
        <w:rPr>
          <w:rFonts w:ascii="Arial" w:hAnsi="Arial" w:cs="Arial"/>
          <w:sz w:val="22"/>
          <w:szCs w:val="22"/>
        </w:rPr>
      </w:pPr>
      <w:r w:rsidRPr="004E16CF">
        <w:rPr>
          <w:rFonts w:ascii="Arial" w:hAnsi="Arial" w:cs="Arial"/>
          <w:sz w:val="22"/>
          <w:szCs w:val="22"/>
        </w:rPr>
        <w:t>Authority for this information collection is supported by the following additional provision(s) specific to this information collection:</w:t>
      </w:r>
    </w:p>
    <w:p w:rsidRPr="004E16CF" w:rsidR="004E16CF" w:rsidP="004E16CF" w:rsidRDefault="004E16CF">
      <w:pPr>
        <w:contextualSpacing/>
        <w:rPr>
          <w:rFonts w:ascii="Arial" w:hAnsi="Arial" w:cs="Arial"/>
          <w:sz w:val="22"/>
          <w:szCs w:val="22"/>
        </w:rPr>
      </w:pPr>
    </w:p>
    <w:p w:rsidR="004E16CF" w:rsidP="009C41E5" w:rsidRDefault="004E16CF">
      <w:pPr>
        <w:numPr>
          <w:ilvl w:val="0"/>
          <w:numId w:val="24"/>
        </w:numPr>
        <w:ind w:left="1170"/>
        <w:contextualSpacing/>
        <w:rPr>
          <w:rFonts w:ascii="Arial" w:hAnsi="Arial" w:cs="Arial"/>
          <w:sz w:val="22"/>
          <w:szCs w:val="22"/>
        </w:rPr>
      </w:pPr>
      <w:r w:rsidRPr="004E16CF">
        <w:rPr>
          <w:rFonts w:ascii="Arial" w:hAnsi="Arial" w:cs="Arial"/>
          <w:sz w:val="22"/>
          <w:szCs w:val="22"/>
        </w:rPr>
        <w:t>Title 42 U.S. Code §6</w:t>
      </w:r>
      <w:r w:rsidR="009C41E5">
        <w:rPr>
          <w:rFonts w:ascii="Arial" w:hAnsi="Arial" w:cs="Arial"/>
          <w:sz w:val="22"/>
          <w:szCs w:val="22"/>
        </w:rPr>
        <w:t>274</w:t>
      </w:r>
      <w:r w:rsidRPr="004E16CF">
        <w:rPr>
          <w:rFonts w:ascii="Arial" w:hAnsi="Arial" w:cs="Arial"/>
          <w:sz w:val="22"/>
          <w:szCs w:val="22"/>
        </w:rPr>
        <w:t>, which established</w:t>
      </w:r>
      <w:r w:rsidR="009C41E5">
        <w:rPr>
          <w:rFonts w:ascii="Arial" w:hAnsi="Arial" w:cs="Arial"/>
          <w:sz w:val="22"/>
          <w:szCs w:val="22"/>
        </w:rPr>
        <w:t xml:space="preserve"> </w:t>
      </w:r>
      <w:r w:rsidRPr="009C41E5" w:rsidR="009C41E5">
        <w:rPr>
          <w:rFonts w:ascii="Arial" w:hAnsi="Arial" w:cs="Arial"/>
          <w:sz w:val="22"/>
          <w:szCs w:val="22"/>
        </w:rPr>
        <w:t>the joint powers of the Secretary of Energy and the Secretary of State to work together to transmit data collected on the U.S. energy industry to the International Energy Agency, subject to limitations on the disclosure of identifiable information.</w:t>
      </w:r>
    </w:p>
    <w:p w:rsidR="00756DF3" w:rsidP="000150FC" w:rsidRDefault="00756DF3">
      <w:pPr>
        <w:pStyle w:val="P1-StandPara"/>
        <w:spacing w:line="240" w:lineRule="auto"/>
        <w:ind w:firstLine="0"/>
        <w:jc w:val="left"/>
        <w:rPr>
          <w:rFonts w:ascii="Arial" w:hAnsi="Arial" w:cs="Arial"/>
          <w:szCs w:val="22"/>
        </w:rPr>
      </w:pPr>
    </w:p>
    <w:p w:rsidRPr="00263A5D" w:rsidR="002A6F3A" w:rsidP="000150FC" w:rsidRDefault="002A6F3A">
      <w:pPr>
        <w:pStyle w:val="P1-StandPara"/>
        <w:spacing w:line="240" w:lineRule="auto"/>
        <w:ind w:firstLine="0"/>
        <w:jc w:val="left"/>
        <w:rPr>
          <w:rFonts w:ascii="Arial" w:hAnsi="Arial" w:cs="Arial"/>
          <w:szCs w:val="22"/>
        </w:rPr>
      </w:pPr>
    </w:p>
    <w:p w:rsidRPr="00263A5D" w:rsidR="00A864C3" w:rsidP="006E3700" w:rsidRDefault="00A864C3">
      <w:pPr>
        <w:numPr>
          <w:ilvl w:val="0"/>
          <w:numId w:val="18"/>
        </w:numPr>
        <w:tabs>
          <w:tab w:val="clear" w:pos="360"/>
          <w:tab w:val="num" w:pos="720"/>
          <w:tab w:val="left" w:pos="1152"/>
          <w:tab w:val="left" w:pos="1728"/>
          <w:tab w:val="left" w:pos="2304"/>
        </w:tabs>
        <w:ind w:left="720" w:hanging="720"/>
        <w:rPr>
          <w:rFonts w:ascii="Arial" w:hAnsi="Arial" w:cs="Arial"/>
          <w:b/>
          <w:color w:val="000000"/>
          <w:sz w:val="22"/>
          <w:szCs w:val="22"/>
        </w:rPr>
      </w:pPr>
      <w:r w:rsidRPr="00263A5D">
        <w:rPr>
          <w:rFonts w:ascii="Arial" w:hAnsi="Arial" w:cs="Arial"/>
          <w:b/>
          <w:color w:val="000000"/>
          <w:sz w:val="22"/>
          <w:szCs w:val="22"/>
        </w:rPr>
        <w:t>Indicate how, by whom, and for what purpose the information is to be used.  Except for a new collection, indicate the actual use the agency has made of the information received from the current collection.</w:t>
      </w:r>
    </w:p>
    <w:p w:rsidRPr="00263A5D" w:rsidR="00180675" w:rsidP="0092693A" w:rsidRDefault="00180675">
      <w:pPr>
        <w:tabs>
          <w:tab w:val="left" w:pos="0"/>
          <w:tab w:val="left" w:pos="1152"/>
          <w:tab w:val="left" w:pos="1728"/>
          <w:tab w:val="left" w:pos="2304"/>
        </w:tabs>
        <w:ind w:left="-540"/>
        <w:rPr>
          <w:rFonts w:ascii="Arial" w:hAnsi="Arial" w:cs="Arial"/>
          <w:color w:val="000000"/>
          <w:sz w:val="22"/>
          <w:szCs w:val="22"/>
        </w:rPr>
      </w:pPr>
    </w:p>
    <w:p w:rsidR="00675215" w:rsidP="00263A5D" w:rsidRDefault="00675215">
      <w:pPr>
        <w:ind w:left="720"/>
        <w:contextualSpacing/>
        <w:rPr>
          <w:rFonts w:ascii="Arial" w:hAnsi="Arial" w:cs="Arial"/>
          <w:sz w:val="22"/>
          <w:szCs w:val="22"/>
        </w:rPr>
      </w:pPr>
      <w:r w:rsidRPr="00675215">
        <w:rPr>
          <w:rFonts w:ascii="Arial" w:hAnsi="Arial" w:cs="Arial"/>
          <w:sz w:val="22"/>
          <w:szCs w:val="22"/>
        </w:rPr>
        <w:t xml:space="preserve">There is precedent for EIA conducting approved emergency fuel surveys on a daily basis during </w:t>
      </w:r>
      <w:r w:rsidR="00625469">
        <w:rPr>
          <w:rFonts w:ascii="Arial" w:hAnsi="Arial" w:cs="Arial"/>
          <w:sz w:val="22"/>
          <w:szCs w:val="22"/>
        </w:rPr>
        <w:t xml:space="preserve">supply chain </w:t>
      </w:r>
      <w:r w:rsidR="00707ACA">
        <w:rPr>
          <w:rFonts w:ascii="Arial" w:hAnsi="Arial" w:cs="Arial"/>
          <w:sz w:val="22"/>
          <w:szCs w:val="22"/>
        </w:rPr>
        <w:t xml:space="preserve">or distribution </w:t>
      </w:r>
      <w:r w:rsidR="00625469">
        <w:rPr>
          <w:rFonts w:ascii="Arial" w:hAnsi="Arial" w:cs="Arial"/>
          <w:sz w:val="22"/>
          <w:szCs w:val="22"/>
        </w:rPr>
        <w:t xml:space="preserve">interruptions </w:t>
      </w:r>
      <w:r w:rsidR="00571FFB">
        <w:rPr>
          <w:rFonts w:ascii="Arial" w:hAnsi="Arial" w:cs="Arial"/>
          <w:sz w:val="22"/>
          <w:szCs w:val="22"/>
        </w:rPr>
        <w:t>directly</w:t>
      </w:r>
      <w:r w:rsidR="003A3B47">
        <w:rPr>
          <w:rFonts w:ascii="Arial" w:hAnsi="Arial" w:cs="Arial"/>
          <w:sz w:val="22"/>
          <w:szCs w:val="22"/>
        </w:rPr>
        <w:t xml:space="preserve"> caused by</w:t>
      </w:r>
      <w:r w:rsidR="00625469">
        <w:rPr>
          <w:rFonts w:ascii="Arial" w:hAnsi="Arial" w:cs="Arial"/>
          <w:sz w:val="22"/>
          <w:szCs w:val="22"/>
        </w:rPr>
        <w:t xml:space="preserve"> emergencies</w:t>
      </w:r>
      <w:r w:rsidR="00571FFB">
        <w:rPr>
          <w:rFonts w:ascii="Arial" w:hAnsi="Arial" w:cs="Arial"/>
          <w:sz w:val="22"/>
          <w:szCs w:val="22"/>
        </w:rPr>
        <w:t xml:space="preserve"> or the lingering effects of emergencies</w:t>
      </w:r>
      <w:r w:rsidRPr="00675215">
        <w:rPr>
          <w:rFonts w:ascii="Arial" w:hAnsi="Arial" w:cs="Arial"/>
          <w:sz w:val="22"/>
          <w:szCs w:val="22"/>
        </w:rPr>
        <w:t xml:space="preserve">. </w:t>
      </w:r>
      <w:r w:rsidR="00571FFB">
        <w:rPr>
          <w:rFonts w:ascii="Arial" w:hAnsi="Arial" w:cs="Arial"/>
          <w:sz w:val="22"/>
          <w:szCs w:val="22"/>
        </w:rPr>
        <w:t>For example, t</w:t>
      </w:r>
      <w:r w:rsidRPr="00675215" w:rsidR="00571FFB">
        <w:rPr>
          <w:rFonts w:ascii="Arial" w:hAnsi="Arial" w:cs="Arial"/>
          <w:sz w:val="22"/>
          <w:szCs w:val="22"/>
        </w:rPr>
        <w:t xml:space="preserve">he </w:t>
      </w:r>
      <w:r w:rsidRPr="00675215">
        <w:rPr>
          <w:rFonts w:ascii="Arial" w:hAnsi="Arial" w:cs="Arial"/>
          <w:sz w:val="22"/>
          <w:szCs w:val="22"/>
        </w:rPr>
        <w:t>EIA-878 survey provided daily estimates from April 29, 1996, through August 2, 1996, to Congress, Federal officials, and the transportation industry in order to monitor rapid price increases at both regional and national levels. During the 1991 Iraq war, the data were used by Congress and Federal officials to monitor the retail pric</w:t>
      </w:r>
      <w:r>
        <w:rPr>
          <w:rFonts w:ascii="Arial" w:hAnsi="Arial" w:cs="Arial"/>
          <w:sz w:val="22"/>
          <w:szCs w:val="22"/>
        </w:rPr>
        <w:t>e of gasoline on a daily basis.</w:t>
      </w:r>
      <w:r w:rsidRPr="00675215">
        <w:rPr>
          <w:rFonts w:ascii="Arial" w:hAnsi="Arial" w:cs="Arial"/>
          <w:sz w:val="22"/>
          <w:szCs w:val="22"/>
        </w:rPr>
        <w:t xml:space="preserve"> After Hurricane Sandy in 2012, </w:t>
      </w:r>
      <w:r w:rsidR="009322B2">
        <w:rPr>
          <w:rFonts w:ascii="Arial" w:hAnsi="Arial" w:cs="Arial"/>
          <w:sz w:val="22"/>
          <w:szCs w:val="22"/>
        </w:rPr>
        <w:t>t</w:t>
      </w:r>
      <w:r w:rsidR="00571FFB">
        <w:rPr>
          <w:rFonts w:ascii="Arial" w:hAnsi="Arial" w:cs="Arial"/>
          <w:sz w:val="22"/>
          <w:szCs w:val="22"/>
        </w:rPr>
        <w:t>he EIA-878 and EIA-888</w:t>
      </w:r>
      <w:r w:rsidRPr="00675215">
        <w:rPr>
          <w:rFonts w:ascii="Arial" w:hAnsi="Arial" w:cs="Arial"/>
          <w:sz w:val="22"/>
          <w:szCs w:val="22"/>
        </w:rPr>
        <w:t xml:space="preserve"> were used to evaluate the availability of gasoline and diesel in the New York City metropolitan area. </w:t>
      </w:r>
      <w:r w:rsidR="00571FFB">
        <w:rPr>
          <w:rFonts w:ascii="Arial" w:hAnsi="Arial" w:cs="Arial"/>
          <w:sz w:val="22"/>
          <w:szCs w:val="22"/>
        </w:rPr>
        <w:t>In addition, t</w:t>
      </w:r>
      <w:r w:rsidRPr="00675215" w:rsidR="00571FFB">
        <w:rPr>
          <w:rFonts w:ascii="Arial" w:hAnsi="Arial" w:cs="Arial"/>
          <w:sz w:val="22"/>
          <w:szCs w:val="22"/>
        </w:rPr>
        <w:t xml:space="preserve">he </w:t>
      </w:r>
      <w:r w:rsidRPr="00675215">
        <w:rPr>
          <w:rFonts w:ascii="Arial" w:hAnsi="Arial" w:cs="Arial"/>
          <w:sz w:val="22"/>
          <w:szCs w:val="22"/>
        </w:rPr>
        <w:t xml:space="preserve">New York State Energy </w:t>
      </w:r>
      <w:r w:rsidRPr="00675215">
        <w:rPr>
          <w:rFonts w:ascii="Arial" w:hAnsi="Arial" w:cs="Arial"/>
          <w:sz w:val="22"/>
          <w:szCs w:val="22"/>
        </w:rPr>
        <w:lastRenderedPageBreak/>
        <w:t>Research Development Authority used the EIA-878 retail gasoline price estimates for New York State to monitor supply conditions and price levels in the State.</w:t>
      </w:r>
    </w:p>
    <w:p w:rsidR="0088128F" w:rsidP="00263A5D" w:rsidRDefault="0088128F">
      <w:pPr>
        <w:ind w:left="720"/>
        <w:contextualSpacing/>
        <w:rPr>
          <w:rFonts w:ascii="Arial" w:hAnsi="Arial" w:cs="Arial"/>
          <w:sz w:val="22"/>
          <w:szCs w:val="22"/>
        </w:rPr>
      </w:pPr>
    </w:p>
    <w:p w:rsidRPr="00F258B3" w:rsidR="0088128F" w:rsidP="0088128F" w:rsidRDefault="00BC582E">
      <w:pPr>
        <w:ind w:left="720"/>
        <w:contextualSpacing/>
        <w:rPr>
          <w:rFonts w:ascii="Arial" w:hAnsi="Arial" w:cs="Arial"/>
          <w:sz w:val="22"/>
          <w:szCs w:val="22"/>
        </w:rPr>
      </w:pPr>
      <w:r>
        <w:rPr>
          <w:rFonts w:ascii="Arial" w:hAnsi="Arial" w:cs="Arial"/>
          <w:sz w:val="22"/>
          <w:szCs w:val="22"/>
        </w:rPr>
        <w:t>An example</w:t>
      </w:r>
      <w:r w:rsidRPr="00F258B3" w:rsidR="0088128F">
        <w:rPr>
          <w:rFonts w:ascii="Arial" w:hAnsi="Arial" w:cs="Arial"/>
          <w:sz w:val="22"/>
          <w:szCs w:val="22"/>
        </w:rPr>
        <w:t xml:space="preserve"> of previous uses for emergency fuel survey data collection include:</w:t>
      </w:r>
    </w:p>
    <w:p w:rsidRPr="00F258B3" w:rsidR="0088128F" w:rsidP="00F46DB8" w:rsidRDefault="0088128F">
      <w:pPr>
        <w:contextualSpacing/>
        <w:rPr>
          <w:rFonts w:ascii="Arial" w:hAnsi="Arial" w:cs="Arial"/>
          <w:color w:val="1F497D"/>
          <w:sz w:val="22"/>
          <w:szCs w:val="22"/>
        </w:rPr>
      </w:pPr>
    </w:p>
    <w:p w:rsidRPr="00F258B3" w:rsidR="0088128F" w:rsidP="0088128F" w:rsidRDefault="0088128F">
      <w:pPr>
        <w:ind w:left="720"/>
        <w:contextualSpacing/>
        <w:rPr>
          <w:rFonts w:ascii="Arial" w:hAnsi="Arial" w:cs="Arial"/>
          <w:sz w:val="22"/>
          <w:szCs w:val="22"/>
        </w:rPr>
      </w:pPr>
      <w:hyperlink w:history="1" r:id="rId7">
        <w:r w:rsidRPr="00F258B3">
          <w:rPr>
            <w:rStyle w:val="Hyperlink"/>
            <w:rFonts w:ascii="Arial" w:hAnsi="Arial" w:cs="Arial"/>
            <w:sz w:val="22"/>
            <w:szCs w:val="22"/>
          </w:rPr>
          <w:t>https://www.eia.gov/special/disruptions/archive/hurricane/sandy/gasoline_updates.php</w:t>
        </w:r>
      </w:hyperlink>
    </w:p>
    <w:p w:rsidR="00675215" w:rsidP="00F46DB8" w:rsidRDefault="00675215">
      <w:pPr>
        <w:contextualSpacing/>
        <w:rPr>
          <w:rFonts w:ascii="Arial" w:hAnsi="Arial" w:cs="Arial"/>
          <w:sz w:val="22"/>
          <w:szCs w:val="22"/>
        </w:rPr>
      </w:pPr>
    </w:p>
    <w:p w:rsidRPr="00F258B3" w:rsidR="00263A5D" w:rsidP="00263A5D" w:rsidRDefault="00263A5D">
      <w:pPr>
        <w:ind w:left="720"/>
        <w:contextualSpacing/>
        <w:rPr>
          <w:rFonts w:ascii="Arial" w:hAnsi="Arial" w:cs="Arial"/>
          <w:sz w:val="22"/>
          <w:szCs w:val="22"/>
        </w:rPr>
      </w:pPr>
      <w:r w:rsidRPr="00263A5D">
        <w:rPr>
          <w:rFonts w:ascii="Arial" w:hAnsi="Arial" w:cs="Arial"/>
          <w:sz w:val="22"/>
          <w:szCs w:val="22"/>
        </w:rPr>
        <w:t>Upon receipt of the data from the proposed emergency survey, EIA would publish the aggregate statistics</w:t>
      </w:r>
      <w:r w:rsidR="00B5103D">
        <w:rPr>
          <w:rFonts w:ascii="Arial" w:hAnsi="Arial" w:cs="Arial"/>
          <w:sz w:val="22"/>
          <w:szCs w:val="22"/>
        </w:rPr>
        <w:t xml:space="preserve"> for </w:t>
      </w:r>
      <w:r w:rsidR="00571FFB">
        <w:rPr>
          <w:rFonts w:ascii="Arial" w:hAnsi="Arial" w:cs="Arial"/>
          <w:sz w:val="22"/>
          <w:szCs w:val="22"/>
        </w:rPr>
        <w:t>crude oil and petroleum products for PADD 1 (including the sub-PADDs 1a (New England), 1b (Central Atlantic), 1c (Lower Atlantic)</w:t>
      </w:r>
      <w:r w:rsidR="003F6BDB">
        <w:rPr>
          <w:rFonts w:ascii="Arial" w:hAnsi="Arial" w:cs="Arial"/>
          <w:sz w:val="22"/>
          <w:szCs w:val="22"/>
        </w:rPr>
        <w:t>)</w:t>
      </w:r>
      <w:r w:rsidR="00571FFB">
        <w:rPr>
          <w:rFonts w:ascii="Arial" w:hAnsi="Arial" w:cs="Arial"/>
          <w:sz w:val="22"/>
          <w:szCs w:val="22"/>
        </w:rPr>
        <w:t xml:space="preserve"> and PADD 3 (Gulf Coast)</w:t>
      </w:r>
      <w:r w:rsidRPr="00263A5D">
        <w:rPr>
          <w:rFonts w:ascii="Arial" w:hAnsi="Arial" w:cs="Arial"/>
          <w:sz w:val="22"/>
          <w:szCs w:val="22"/>
        </w:rPr>
        <w:t xml:space="preserve">. The Secretary of Energy routinely uses data </w:t>
      </w:r>
      <w:r w:rsidR="000D61EE">
        <w:rPr>
          <w:rFonts w:ascii="Arial" w:hAnsi="Arial" w:cs="Arial"/>
          <w:sz w:val="22"/>
          <w:szCs w:val="22"/>
        </w:rPr>
        <w:t xml:space="preserve">produced by </w:t>
      </w:r>
      <w:r w:rsidR="00625469">
        <w:rPr>
          <w:rFonts w:ascii="Arial" w:hAnsi="Arial" w:cs="Arial"/>
          <w:sz w:val="22"/>
          <w:szCs w:val="22"/>
        </w:rPr>
        <w:t>the EIA-805</w:t>
      </w:r>
      <w:r w:rsidR="000D61EE">
        <w:rPr>
          <w:rFonts w:ascii="Arial" w:hAnsi="Arial" w:cs="Arial"/>
          <w:sz w:val="22"/>
          <w:szCs w:val="22"/>
        </w:rPr>
        <w:t xml:space="preserve"> </w:t>
      </w:r>
      <w:r w:rsidRPr="00263A5D">
        <w:rPr>
          <w:rFonts w:ascii="Arial" w:hAnsi="Arial" w:cs="Arial"/>
          <w:sz w:val="22"/>
          <w:szCs w:val="22"/>
        </w:rPr>
        <w:t xml:space="preserve">to monitor </w:t>
      </w:r>
      <w:r w:rsidR="00571FFB">
        <w:rPr>
          <w:rFonts w:ascii="Arial" w:hAnsi="Arial" w:cs="Arial"/>
          <w:sz w:val="22"/>
          <w:szCs w:val="22"/>
        </w:rPr>
        <w:t>crude oil and petroleum products supply</w:t>
      </w:r>
      <w:r w:rsidR="002E0668">
        <w:rPr>
          <w:rFonts w:ascii="Arial" w:hAnsi="Arial" w:cs="Arial"/>
          <w:sz w:val="22"/>
          <w:szCs w:val="22"/>
        </w:rPr>
        <w:t xml:space="preserve"> on the data in her</w:t>
      </w:r>
      <w:r w:rsidRPr="00263A5D">
        <w:rPr>
          <w:rFonts w:ascii="Arial" w:hAnsi="Arial" w:cs="Arial"/>
          <w:sz w:val="22"/>
          <w:szCs w:val="22"/>
        </w:rPr>
        <w:t xml:space="preserve"> reports to the Congress and the White House. EIA would conduct this collection to better inform the government </w:t>
      </w:r>
      <w:r w:rsidR="00145B7A">
        <w:rPr>
          <w:rFonts w:ascii="Arial" w:hAnsi="Arial" w:cs="Arial"/>
          <w:sz w:val="22"/>
          <w:szCs w:val="22"/>
        </w:rPr>
        <w:t xml:space="preserve">and public </w:t>
      </w:r>
      <w:r w:rsidRPr="00263A5D">
        <w:rPr>
          <w:rFonts w:ascii="Arial" w:hAnsi="Arial" w:cs="Arial"/>
          <w:sz w:val="22"/>
          <w:szCs w:val="22"/>
        </w:rPr>
        <w:t xml:space="preserve">as it relates to the </w:t>
      </w:r>
      <w:r w:rsidR="00571FFB">
        <w:rPr>
          <w:rFonts w:ascii="Arial" w:hAnsi="Arial" w:cs="Arial"/>
          <w:sz w:val="22"/>
          <w:szCs w:val="22"/>
        </w:rPr>
        <w:t>effects on</w:t>
      </w:r>
      <w:r w:rsidR="00625469">
        <w:rPr>
          <w:rFonts w:ascii="Arial" w:hAnsi="Arial" w:cs="Arial"/>
          <w:sz w:val="22"/>
          <w:szCs w:val="22"/>
        </w:rPr>
        <w:t xml:space="preserve"> supply</w:t>
      </w:r>
      <w:r w:rsidRPr="00263A5D">
        <w:rPr>
          <w:rFonts w:ascii="Arial" w:hAnsi="Arial" w:cs="Arial"/>
          <w:sz w:val="22"/>
          <w:szCs w:val="22"/>
        </w:rPr>
        <w:t xml:space="preserve"> as an outgrowth of the cyberattack which </w:t>
      </w:r>
      <w:r w:rsidRPr="00263A5D" w:rsidR="00625469">
        <w:rPr>
          <w:rFonts w:ascii="Arial" w:hAnsi="Arial" w:cs="Arial"/>
          <w:sz w:val="22"/>
          <w:szCs w:val="22"/>
        </w:rPr>
        <w:t>ha</w:t>
      </w:r>
      <w:r w:rsidR="00625469">
        <w:rPr>
          <w:rFonts w:ascii="Arial" w:hAnsi="Arial" w:cs="Arial"/>
          <w:sz w:val="22"/>
          <w:szCs w:val="22"/>
        </w:rPr>
        <w:t>d</w:t>
      </w:r>
      <w:r w:rsidRPr="00263A5D" w:rsidR="00625469">
        <w:rPr>
          <w:rFonts w:ascii="Arial" w:hAnsi="Arial" w:cs="Arial"/>
          <w:sz w:val="22"/>
          <w:szCs w:val="22"/>
        </w:rPr>
        <w:t xml:space="preserve"> </w:t>
      </w:r>
      <w:r w:rsidRPr="00263A5D">
        <w:rPr>
          <w:rFonts w:ascii="Arial" w:hAnsi="Arial" w:cs="Arial"/>
          <w:sz w:val="22"/>
          <w:szCs w:val="22"/>
        </w:rPr>
        <w:t xml:space="preserve">halted fuel movement on the </w:t>
      </w:r>
      <w:r w:rsidRPr="00F258B3">
        <w:rPr>
          <w:rFonts w:ascii="Arial" w:hAnsi="Arial" w:cs="Arial"/>
          <w:sz w:val="22"/>
          <w:szCs w:val="22"/>
        </w:rPr>
        <w:t>Colonial petroleum pipeline.</w:t>
      </w:r>
    </w:p>
    <w:p w:rsidR="00756DF3" w:rsidP="0092693A" w:rsidRDefault="00756DF3">
      <w:pPr>
        <w:pStyle w:val="BodyText"/>
        <w:tabs>
          <w:tab w:val="left" w:pos="1170"/>
        </w:tabs>
        <w:spacing w:after="0"/>
        <w:rPr>
          <w:rFonts w:ascii="Arial" w:hAnsi="Arial" w:cs="Arial"/>
          <w:szCs w:val="22"/>
        </w:rPr>
      </w:pPr>
    </w:p>
    <w:p w:rsidRPr="00F258B3" w:rsidR="002A6F3A" w:rsidP="0092693A" w:rsidRDefault="002A6F3A">
      <w:pPr>
        <w:pStyle w:val="BodyText"/>
        <w:tabs>
          <w:tab w:val="left" w:pos="1170"/>
        </w:tabs>
        <w:spacing w:after="0"/>
        <w:rPr>
          <w:rFonts w:ascii="Arial" w:hAnsi="Arial" w:cs="Arial"/>
          <w:szCs w:val="22"/>
        </w:rPr>
      </w:pPr>
    </w:p>
    <w:p w:rsidRPr="00F258B3" w:rsidR="00A864C3" w:rsidP="00A61ED8" w:rsidRDefault="00A864C3">
      <w:pPr>
        <w:keepNext/>
        <w:keepLines/>
        <w:tabs>
          <w:tab w:val="left" w:pos="720"/>
          <w:tab w:val="left" w:pos="1728"/>
          <w:tab w:val="left" w:pos="2304"/>
        </w:tabs>
        <w:ind w:left="720" w:hanging="720"/>
        <w:rPr>
          <w:rFonts w:ascii="Arial" w:hAnsi="Arial" w:cs="Arial"/>
          <w:color w:val="000000"/>
          <w:sz w:val="22"/>
          <w:szCs w:val="22"/>
        </w:rPr>
      </w:pPr>
      <w:r w:rsidRPr="00F258B3">
        <w:rPr>
          <w:rFonts w:ascii="Arial" w:hAnsi="Arial" w:cs="Arial"/>
          <w:b/>
          <w:color w:val="000000"/>
          <w:sz w:val="22"/>
          <w:szCs w:val="22"/>
        </w:rPr>
        <w:t>3.</w:t>
      </w:r>
      <w:r w:rsidRPr="00F258B3">
        <w:rPr>
          <w:rFonts w:ascii="Arial" w:hAnsi="Arial" w:cs="Arial"/>
          <w:b/>
          <w:color w:val="000000"/>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54D8D" w:rsidR="00180675" w:rsidP="0092693A" w:rsidRDefault="00180675">
      <w:pPr>
        <w:pStyle w:val="P1-StandPara"/>
        <w:spacing w:line="240" w:lineRule="auto"/>
        <w:ind w:firstLine="0"/>
        <w:jc w:val="left"/>
        <w:rPr>
          <w:rFonts w:ascii="Arial" w:hAnsi="Arial" w:cs="Arial"/>
          <w:szCs w:val="22"/>
        </w:rPr>
      </w:pPr>
    </w:p>
    <w:p w:rsidRPr="000150FC" w:rsidR="00254D8D" w:rsidP="000150FC" w:rsidRDefault="00254D8D">
      <w:pPr>
        <w:ind w:left="720"/>
        <w:rPr>
          <w:rFonts w:ascii="Arial" w:hAnsi="Arial" w:cs="Arial"/>
          <w:sz w:val="22"/>
          <w:szCs w:val="22"/>
        </w:rPr>
      </w:pPr>
      <w:r w:rsidRPr="000150FC">
        <w:rPr>
          <w:rFonts w:ascii="Arial" w:hAnsi="Arial" w:cs="Arial"/>
          <w:sz w:val="22"/>
          <w:szCs w:val="22"/>
        </w:rPr>
        <w:t xml:space="preserve">In an effort to reduce respondent burden and to provide for timelier processing of filings, EIA offers multiple modes of data collection. Automated reporting of the data is accepted, provided such reports are prepared and transmitted to EIA in the same format as the data collection form. Data are submitted by the Internet using secure file transfer, the PC Electronic Data Reporting Option (PEDRO), by email when submitting PDF forms only, and by facsimile. </w:t>
      </w:r>
    </w:p>
    <w:p w:rsidRPr="000150FC" w:rsidR="00254D8D" w:rsidP="00254D8D" w:rsidRDefault="00254D8D">
      <w:pPr>
        <w:rPr>
          <w:rFonts w:ascii="Arial" w:hAnsi="Arial" w:cs="Arial"/>
          <w:sz w:val="22"/>
          <w:szCs w:val="22"/>
        </w:rPr>
      </w:pPr>
    </w:p>
    <w:p w:rsidRPr="000150FC" w:rsidR="00254D8D" w:rsidP="000150FC" w:rsidRDefault="00254D8D">
      <w:pPr>
        <w:ind w:left="720"/>
        <w:rPr>
          <w:rFonts w:ascii="Arial" w:hAnsi="Arial" w:cs="Arial"/>
          <w:sz w:val="22"/>
          <w:szCs w:val="22"/>
        </w:rPr>
      </w:pPr>
      <w:r w:rsidRPr="000150FC">
        <w:rPr>
          <w:rFonts w:ascii="Arial" w:hAnsi="Arial" w:cs="Arial"/>
          <w:sz w:val="22"/>
          <w:szCs w:val="22"/>
        </w:rPr>
        <w:t>EIA encourages its survey respondents to transmit data using the Secure File Transfer System of a Microsoft Excel® spreadsheet through the Internet. The Secure File Transfer System encrypts (scrambles) the spreadsheet data into a code that is not readable to anyone without the key to decipher the code. The secure hypertext transfer protocol (HTTPS) is a communications protocol designed to transfer encrypted information between computers over the Internet.</w:t>
      </w:r>
    </w:p>
    <w:p w:rsidRPr="000150FC" w:rsidR="00254D8D" w:rsidP="00254D8D" w:rsidRDefault="00254D8D">
      <w:pPr>
        <w:spacing w:after="120"/>
        <w:rPr>
          <w:rFonts w:ascii="Arial" w:hAnsi="Arial" w:cs="Arial"/>
          <w:sz w:val="22"/>
          <w:szCs w:val="22"/>
        </w:rPr>
      </w:pPr>
    </w:p>
    <w:p w:rsidRPr="000150FC" w:rsidR="00254D8D" w:rsidP="000150FC" w:rsidRDefault="00254D8D">
      <w:pPr>
        <w:spacing w:after="120"/>
        <w:ind w:left="720"/>
        <w:rPr>
          <w:rFonts w:ascii="Arial" w:hAnsi="Arial" w:cs="Arial"/>
          <w:sz w:val="22"/>
          <w:szCs w:val="22"/>
        </w:rPr>
      </w:pPr>
      <w:r w:rsidRPr="000150FC">
        <w:rPr>
          <w:rFonts w:ascii="Arial" w:hAnsi="Arial" w:cs="Arial"/>
          <w:sz w:val="22"/>
          <w:szCs w:val="22"/>
        </w:rPr>
        <w:t xml:space="preserve">As part of data collection enhancements, EIA is introducing Electronic Data Extraction System (EDES) on some of these surveys. This technology will allow electronic extraction of the information submitted via Excel spreadsheets. EDES will reduce manual data entry and keying errors; therefore, reducing program costs, reporting burden, and non-sampling errors. </w:t>
      </w:r>
    </w:p>
    <w:p w:rsidR="00756DF3" w:rsidP="0001690A" w:rsidRDefault="00756DF3">
      <w:pPr>
        <w:pStyle w:val="P1-StandPara"/>
        <w:spacing w:line="240" w:lineRule="auto"/>
        <w:ind w:firstLine="0"/>
        <w:jc w:val="left"/>
        <w:rPr>
          <w:rFonts w:ascii="Arial" w:hAnsi="Arial" w:cs="Arial"/>
          <w:szCs w:val="22"/>
        </w:rPr>
      </w:pPr>
    </w:p>
    <w:p w:rsidRPr="00263A5D" w:rsidR="002A6F3A" w:rsidP="0001690A" w:rsidRDefault="002A6F3A">
      <w:pPr>
        <w:pStyle w:val="P1-StandPara"/>
        <w:spacing w:line="240" w:lineRule="auto"/>
        <w:ind w:firstLine="0"/>
        <w:jc w:val="left"/>
        <w:rPr>
          <w:rFonts w:ascii="Arial" w:hAnsi="Arial" w:cs="Arial"/>
          <w:szCs w:val="22"/>
        </w:rPr>
      </w:pPr>
    </w:p>
    <w:p w:rsidRPr="00263A5D" w:rsidR="00A864C3" w:rsidP="00A61ED8" w:rsidRDefault="00A864C3">
      <w:pPr>
        <w:tabs>
          <w:tab w:val="left" w:pos="720"/>
          <w:tab w:val="left" w:pos="1152"/>
          <w:tab w:val="left" w:pos="1728"/>
          <w:tab w:val="left" w:pos="2304"/>
        </w:tabs>
        <w:rPr>
          <w:rFonts w:ascii="Arial" w:hAnsi="Arial" w:cs="Arial"/>
          <w:color w:val="000000"/>
          <w:sz w:val="22"/>
          <w:szCs w:val="22"/>
        </w:rPr>
      </w:pPr>
      <w:r w:rsidRPr="00263A5D">
        <w:rPr>
          <w:rFonts w:ascii="Arial" w:hAnsi="Arial" w:cs="Arial"/>
          <w:b/>
          <w:color w:val="000000"/>
          <w:sz w:val="22"/>
          <w:szCs w:val="22"/>
        </w:rPr>
        <w:t>4.</w:t>
      </w:r>
      <w:r w:rsidRPr="00263A5D">
        <w:rPr>
          <w:rFonts w:ascii="Arial" w:hAnsi="Arial" w:cs="Arial"/>
          <w:b/>
          <w:color w:val="000000"/>
          <w:sz w:val="22"/>
          <w:szCs w:val="22"/>
        </w:rPr>
        <w:tab/>
        <w:t>Describe efforts to identify duplication.</w:t>
      </w:r>
    </w:p>
    <w:p w:rsidRPr="00254D8D" w:rsidR="00180675" w:rsidP="0092693A" w:rsidRDefault="00180675">
      <w:pPr>
        <w:pStyle w:val="P1-StandPara"/>
        <w:spacing w:line="240" w:lineRule="auto"/>
        <w:ind w:firstLine="0"/>
        <w:jc w:val="left"/>
        <w:rPr>
          <w:rFonts w:ascii="Arial" w:hAnsi="Arial" w:cs="Arial"/>
          <w:szCs w:val="22"/>
        </w:rPr>
      </w:pPr>
    </w:p>
    <w:p w:rsidR="00692E0C" w:rsidP="000150FC" w:rsidRDefault="00254D8D">
      <w:pPr>
        <w:pStyle w:val="P1-StandPara"/>
        <w:spacing w:line="240" w:lineRule="auto"/>
        <w:ind w:left="720" w:firstLine="0"/>
        <w:jc w:val="left"/>
        <w:rPr>
          <w:rFonts w:ascii="Arial" w:hAnsi="Arial" w:cs="Arial"/>
          <w:szCs w:val="24"/>
        </w:rPr>
      </w:pPr>
      <w:r w:rsidRPr="000150FC">
        <w:rPr>
          <w:rFonts w:ascii="Arial" w:hAnsi="Arial" w:cs="Arial"/>
          <w:szCs w:val="24"/>
        </w:rPr>
        <w:t>Comparable data for selected petroleum balance components are produced by other organizations, but EIA is the only source of complete volumetric balance data required to estimate demand for petroleum products.</w:t>
      </w:r>
      <w:r w:rsidR="00571FFB">
        <w:rPr>
          <w:rFonts w:ascii="Arial" w:hAnsi="Arial" w:cs="Arial"/>
          <w:szCs w:val="24"/>
        </w:rPr>
        <w:t xml:space="preserve"> There is no other known source of data to replace what is collected on the EIA-805.</w:t>
      </w:r>
    </w:p>
    <w:p w:rsidR="00692E0C" w:rsidP="000150FC" w:rsidRDefault="00692E0C">
      <w:pPr>
        <w:pStyle w:val="P1-StandPara"/>
        <w:spacing w:line="240" w:lineRule="auto"/>
        <w:ind w:left="720" w:firstLine="0"/>
        <w:jc w:val="left"/>
        <w:rPr>
          <w:rFonts w:ascii="Arial" w:hAnsi="Arial" w:cs="Arial"/>
          <w:szCs w:val="24"/>
        </w:rPr>
      </w:pPr>
    </w:p>
    <w:p w:rsidR="00756DF3" w:rsidP="000150FC" w:rsidRDefault="00692E0C">
      <w:pPr>
        <w:pStyle w:val="P1-StandPara"/>
        <w:spacing w:line="240" w:lineRule="auto"/>
        <w:ind w:left="720" w:firstLine="0"/>
        <w:jc w:val="left"/>
        <w:rPr>
          <w:rFonts w:ascii="Arial" w:hAnsi="Arial" w:cs="Arial"/>
          <w:szCs w:val="22"/>
        </w:rPr>
      </w:pPr>
      <w:r>
        <w:rPr>
          <w:rFonts w:ascii="Arial" w:hAnsi="Arial" w:cs="Arial"/>
          <w:szCs w:val="22"/>
        </w:rPr>
        <w:t>To minimize duplication with the existing EIA-805, this proposed emergency survey will not be fielded during the normal weekly data collection of that survey.</w:t>
      </w:r>
      <w:r w:rsidR="00254D8D">
        <w:rPr>
          <w:szCs w:val="24"/>
        </w:rPr>
        <w:br/>
      </w:r>
    </w:p>
    <w:p w:rsidRPr="00263A5D" w:rsidR="002A6F3A" w:rsidP="000150FC" w:rsidRDefault="002A6F3A">
      <w:pPr>
        <w:pStyle w:val="P1-StandPara"/>
        <w:spacing w:line="240" w:lineRule="auto"/>
        <w:ind w:left="720" w:firstLine="0"/>
        <w:jc w:val="left"/>
        <w:rPr>
          <w:rFonts w:ascii="Arial" w:hAnsi="Arial" w:cs="Arial"/>
          <w:szCs w:val="22"/>
        </w:rPr>
      </w:pPr>
    </w:p>
    <w:p w:rsidRPr="000150FC" w:rsidR="00756DF3" w:rsidP="00A61ED8" w:rsidRDefault="00756DF3">
      <w:pPr>
        <w:pStyle w:val="Heading1"/>
        <w:tabs>
          <w:tab w:val="clear" w:pos="1152"/>
          <w:tab w:val="left" w:pos="720"/>
        </w:tabs>
        <w:spacing w:line="240" w:lineRule="auto"/>
        <w:ind w:left="720" w:hanging="720"/>
        <w:jc w:val="left"/>
        <w:rPr>
          <w:rFonts w:ascii="Arial" w:hAnsi="Arial" w:cs="Arial"/>
          <w:sz w:val="20"/>
        </w:rPr>
      </w:pPr>
      <w:r w:rsidRPr="00263A5D">
        <w:rPr>
          <w:rFonts w:ascii="Arial" w:hAnsi="Arial" w:cs="Arial"/>
          <w:szCs w:val="22"/>
        </w:rPr>
        <w:t xml:space="preserve"> 5.</w:t>
      </w:r>
      <w:r w:rsidRPr="00263A5D" w:rsidR="00A864C3">
        <w:rPr>
          <w:rFonts w:ascii="Arial" w:hAnsi="Arial" w:cs="Arial"/>
          <w:szCs w:val="22"/>
        </w:rPr>
        <w:tab/>
      </w:r>
      <w:r w:rsidRPr="00263A5D" w:rsidR="00A864C3">
        <w:rPr>
          <w:rFonts w:ascii="Arial" w:hAnsi="Arial" w:cs="Arial"/>
          <w:szCs w:val="22"/>
          <w:lang w:val="en-CA"/>
        </w:rPr>
        <w:fldChar w:fldCharType="begin"/>
      </w:r>
      <w:r w:rsidRPr="00263A5D" w:rsidR="00A864C3">
        <w:rPr>
          <w:rFonts w:ascii="Arial" w:hAnsi="Arial" w:cs="Arial"/>
          <w:szCs w:val="22"/>
          <w:lang w:val="en-CA"/>
        </w:rPr>
        <w:instrText xml:space="preserve"> SEQ CHAPTER \h \r 1</w:instrText>
      </w:r>
      <w:r w:rsidRPr="00263A5D" w:rsidR="00A864C3">
        <w:rPr>
          <w:rFonts w:ascii="Arial" w:hAnsi="Arial" w:cs="Arial"/>
          <w:szCs w:val="22"/>
          <w:lang w:val="en-CA"/>
        </w:rPr>
        <w:fldChar w:fldCharType="end"/>
      </w:r>
      <w:r w:rsidRPr="00263A5D" w:rsidR="00A864C3">
        <w:rPr>
          <w:rFonts w:ascii="Arial" w:hAnsi="Arial" w:cs="Arial"/>
          <w:bCs/>
          <w:szCs w:val="22"/>
        </w:rPr>
        <w:t>If the collection of information impacts small bus</w:t>
      </w:r>
      <w:r w:rsidR="00231D77">
        <w:rPr>
          <w:rFonts w:ascii="Arial" w:hAnsi="Arial" w:cs="Arial"/>
          <w:bCs/>
          <w:szCs w:val="22"/>
        </w:rPr>
        <w:t xml:space="preserve">inesses or other small entities, </w:t>
      </w:r>
      <w:r w:rsidRPr="000150FC" w:rsidR="00A864C3">
        <w:rPr>
          <w:rFonts w:ascii="Arial" w:hAnsi="Arial" w:cs="Arial"/>
          <w:bCs/>
          <w:sz w:val="20"/>
        </w:rPr>
        <w:t>describe any methods used to minimize burden.</w:t>
      </w:r>
    </w:p>
    <w:p w:rsidR="00756DF3" w:rsidP="000150FC" w:rsidRDefault="00652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rPr>
          <w:rFonts w:ascii="Arial" w:hAnsi="Arial" w:cs="Arial"/>
          <w:sz w:val="22"/>
          <w:szCs w:val="22"/>
        </w:rPr>
      </w:pPr>
      <w:r w:rsidRPr="000150FC">
        <w:rPr>
          <w:rFonts w:ascii="Arial" w:hAnsi="Arial" w:cs="Arial"/>
          <w:sz w:val="22"/>
          <w:szCs w:val="22"/>
        </w:rPr>
        <w:t>Minimizing burden to small businesses is a primary concern to EIA. Alternative modes of data collection seek to reduce respondent burden. For example, some respondents provide data which can be uploaded, and thus reducing the need for data entry. EIA uses the cut-off sampling method to minimize reporting burden on the weekly surveys. The use of PEDRO or the Internet by respondents reduces reporting burden by eliminating paperwork and reducing the need for follow-up calls and resubmissions of the forms. EIA staff members are available during normal business hours to provide assistance by telephone.</w:t>
      </w:r>
    </w:p>
    <w:p w:rsidRPr="00263A5D" w:rsidR="002A6F3A" w:rsidP="000150FC" w:rsidRDefault="002A6F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pPr>
    </w:p>
    <w:p w:rsidRPr="00263A5D" w:rsidR="00A864C3" w:rsidP="001B5EAA" w:rsidRDefault="00A864C3">
      <w:pPr>
        <w:keepNext/>
        <w:keepLines/>
        <w:tabs>
          <w:tab w:val="left" w:pos="180"/>
          <w:tab w:val="left" w:pos="810"/>
          <w:tab w:val="left" w:pos="1728"/>
          <w:tab w:val="left" w:pos="2304"/>
        </w:tabs>
        <w:ind w:left="720" w:hanging="720"/>
        <w:rPr>
          <w:rFonts w:ascii="Arial" w:hAnsi="Arial" w:cs="Arial"/>
          <w:color w:val="000000"/>
          <w:sz w:val="22"/>
          <w:szCs w:val="22"/>
        </w:rPr>
      </w:pPr>
      <w:r w:rsidRPr="00263A5D">
        <w:rPr>
          <w:rFonts w:ascii="Arial" w:hAnsi="Arial" w:cs="Arial"/>
          <w:b/>
          <w:color w:val="000000"/>
          <w:sz w:val="22"/>
          <w:szCs w:val="22"/>
        </w:rPr>
        <w:t>6.</w:t>
      </w:r>
      <w:r w:rsidRPr="00263A5D" w:rsidR="001B5EAA">
        <w:rPr>
          <w:rFonts w:ascii="Arial" w:hAnsi="Arial" w:cs="Arial"/>
          <w:b/>
          <w:color w:val="000000"/>
          <w:sz w:val="22"/>
          <w:szCs w:val="22"/>
        </w:rPr>
        <w:t xml:space="preserve"> </w:t>
      </w:r>
      <w:r w:rsidRPr="00263A5D" w:rsidR="001B5EAA">
        <w:rPr>
          <w:rFonts w:ascii="Arial" w:hAnsi="Arial" w:cs="Arial"/>
          <w:b/>
          <w:color w:val="000000"/>
          <w:sz w:val="22"/>
          <w:szCs w:val="22"/>
        </w:rPr>
        <w:tab/>
      </w:r>
      <w:r w:rsidRPr="00263A5D">
        <w:rPr>
          <w:rFonts w:ascii="Arial" w:hAnsi="Arial" w:cs="Arial"/>
          <w:b/>
          <w:color w:val="000000"/>
          <w:sz w:val="22"/>
          <w:szCs w:val="22"/>
        </w:rPr>
        <w:t>Describe the consequence to Federal program or policy activities if the collection is not conducted or is conducted less frequently, as well as any technical or legal obstacles to reducing burden.</w:t>
      </w:r>
    </w:p>
    <w:p w:rsidR="00180675" w:rsidP="0092693A" w:rsidRDefault="00180675">
      <w:pPr>
        <w:pStyle w:val="P1-StandPara"/>
        <w:spacing w:line="240" w:lineRule="auto"/>
        <w:ind w:firstLine="0"/>
        <w:jc w:val="left"/>
        <w:rPr>
          <w:rFonts w:ascii="Arial" w:hAnsi="Arial" w:cs="Arial"/>
          <w:szCs w:val="22"/>
        </w:rPr>
      </w:pPr>
    </w:p>
    <w:p w:rsidR="00F258B3" w:rsidP="000150FC" w:rsidRDefault="00F258B3">
      <w:pPr>
        <w:shd w:val="clear" w:color="auto" w:fill="FFFFFF"/>
        <w:spacing w:before="100" w:beforeAutospacing="1" w:after="100" w:afterAutospacing="1"/>
        <w:ind w:left="720"/>
        <w:rPr>
          <w:rFonts w:ascii="Arial" w:hAnsi="Arial" w:cs="Arial"/>
          <w:color w:val="333333"/>
          <w:sz w:val="22"/>
          <w:szCs w:val="22"/>
          <w:shd w:val="clear" w:color="auto" w:fill="FFFFFF"/>
        </w:rPr>
      </w:pPr>
      <w:r w:rsidRPr="00E6180D">
        <w:rPr>
          <w:rFonts w:ascii="Arial" w:hAnsi="Arial" w:cs="Arial"/>
          <w:color w:val="333333"/>
          <w:sz w:val="22"/>
          <w:szCs w:val="22"/>
          <w:shd w:val="clear" w:color="auto" w:fill="FFFFFF"/>
        </w:rPr>
        <w:t>Colonial Pipeline, a major delivery system spanning from the U.S. Gulf Coast to the East Coast for transportation fuels and other refined petroleum products, </w:t>
      </w:r>
      <w:r w:rsidRPr="00E6180D">
        <w:rPr>
          <w:rFonts w:ascii="Arial" w:hAnsi="Arial" w:cs="Arial"/>
          <w:sz w:val="22"/>
          <w:szCs w:val="22"/>
          <w:bdr w:val="none" w:color="auto" w:sz="0" w:space="0" w:frame="1"/>
          <w:shd w:val="clear" w:color="auto" w:fill="FFFFFF"/>
        </w:rPr>
        <w:t>halted operations</w:t>
      </w:r>
      <w:r w:rsidRPr="00E6180D">
        <w:rPr>
          <w:rFonts w:ascii="Arial" w:hAnsi="Arial" w:cs="Arial"/>
          <w:color w:val="333333"/>
          <w:sz w:val="22"/>
          <w:szCs w:val="22"/>
          <w:shd w:val="clear" w:color="auto" w:fill="FFFFFF"/>
        </w:rPr>
        <w:t> </w:t>
      </w:r>
      <w:r w:rsidR="00671E5A">
        <w:rPr>
          <w:rFonts w:ascii="Arial" w:hAnsi="Arial" w:cs="Arial"/>
          <w:color w:val="333333"/>
          <w:sz w:val="22"/>
          <w:szCs w:val="22"/>
          <w:shd w:val="clear" w:color="auto" w:fill="FFFFFF"/>
        </w:rPr>
        <w:t>from May 7 – May 12</w:t>
      </w:r>
      <w:r w:rsidRPr="00E6180D">
        <w:rPr>
          <w:rFonts w:ascii="Arial" w:hAnsi="Arial" w:cs="Arial"/>
          <w:color w:val="333333"/>
          <w:sz w:val="22"/>
          <w:szCs w:val="22"/>
          <w:shd w:val="clear" w:color="auto" w:fill="FFFFFF"/>
        </w:rPr>
        <w:t xml:space="preserve">, to contain the effects of a cyberattack. This proposed emergency survey is necessary to measure </w:t>
      </w:r>
      <w:r w:rsidR="00571FFB">
        <w:rPr>
          <w:rFonts w:ascii="Arial" w:hAnsi="Arial" w:cs="Arial"/>
          <w:color w:val="333333"/>
          <w:sz w:val="22"/>
          <w:szCs w:val="22"/>
          <w:shd w:val="clear" w:color="auto" w:fill="FFFFFF"/>
        </w:rPr>
        <w:t xml:space="preserve">fuel supplies to enhance </w:t>
      </w:r>
      <w:r w:rsidR="008E54D4">
        <w:rPr>
          <w:rFonts w:ascii="Arial" w:hAnsi="Arial" w:cs="Arial"/>
          <w:color w:val="333333"/>
          <w:sz w:val="22"/>
          <w:szCs w:val="22"/>
          <w:shd w:val="clear" w:color="auto" w:fill="FFFFFF"/>
        </w:rPr>
        <w:t>situational awareness that can help inform decision making and continue to actively monitor the state supply</w:t>
      </w:r>
      <w:r w:rsidRPr="00E6180D">
        <w:rPr>
          <w:rFonts w:ascii="Arial" w:hAnsi="Arial" w:cs="Arial"/>
          <w:color w:val="333333"/>
          <w:sz w:val="22"/>
          <w:szCs w:val="22"/>
          <w:shd w:val="clear" w:color="auto" w:fill="FFFFFF"/>
        </w:rPr>
        <w:t xml:space="preserve">; necessary </w:t>
      </w:r>
      <w:r w:rsidR="008E54D4">
        <w:rPr>
          <w:rFonts w:ascii="Arial" w:hAnsi="Arial" w:cs="Arial"/>
          <w:color w:val="333333"/>
          <w:sz w:val="22"/>
          <w:szCs w:val="22"/>
          <w:shd w:val="clear" w:color="auto" w:fill="FFFFFF"/>
        </w:rPr>
        <w:t>to communicate across relevant state agencies to discuss status and any actions needed at state or local level</w:t>
      </w:r>
      <w:r w:rsidRPr="00E6180D">
        <w:rPr>
          <w:rFonts w:ascii="Arial" w:hAnsi="Arial" w:cs="Arial"/>
          <w:color w:val="333333"/>
          <w:sz w:val="22"/>
          <w:szCs w:val="22"/>
          <w:shd w:val="clear" w:color="auto" w:fill="FFFFFF"/>
        </w:rPr>
        <w:t xml:space="preserve">; and necessary to </w:t>
      </w:r>
      <w:r w:rsidR="008E54D4">
        <w:rPr>
          <w:rFonts w:ascii="Arial" w:hAnsi="Arial" w:cs="Arial"/>
          <w:color w:val="333333"/>
          <w:sz w:val="22"/>
          <w:szCs w:val="22"/>
          <w:shd w:val="clear" w:color="auto" w:fill="FFFFFF"/>
        </w:rPr>
        <w:t xml:space="preserve">share information with the public about the nature, severity, and duration of the lingering impacts on fuel supply to maintain rumor control and avoid actions that may exacerbate the situation (e.g., panic buying, price gouging, and hoarding.) </w:t>
      </w:r>
      <w:r w:rsidR="00877BCB">
        <w:rPr>
          <w:rFonts w:ascii="Arial" w:hAnsi="Arial" w:cs="Arial"/>
          <w:color w:val="333333"/>
          <w:sz w:val="22"/>
          <w:szCs w:val="22"/>
          <w:shd w:val="clear" w:color="auto" w:fill="FFFFFF"/>
        </w:rPr>
        <w:t xml:space="preserve">Even after the pipeline </w:t>
      </w:r>
      <w:r w:rsidR="00671E5A">
        <w:rPr>
          <w:rFonts w:ascii="Arial" w:hAnsi="Arial" w:cs="Arial"/>
          <w:color w:val="333333"/>
          <w:sz w:val="22"/>
          <w:szCs w:val="22"/>
          <w:shd w:val="clear" w:color="auto" w:fill="FFFFFF"/>
        </w:rPr>
        <w:t xml:space="preserve">resumed </w:t>
      </w:r>
      <w:r w:rsidR="00877BCB">
        <w:rPr>
          <w:rFonts w:ascii="Arial" w:hAnsi="Arial" w:cs="Arial"/>
          <w:color w:val="333333"/>
          <w:sz w:val="22"/>
          <w:szCs w:val="22"/>
          <w:shd w:val="clear" w:color="auto" w:fill="FFFFFF"/>
        </w:rPr>
        <w:t>operation</w:t>
      </w:r>
      <w:r>
        <w:rPr>
          <w:rFonts w:ascii="Arial" w:hAnsi="Arial" w:cs="Arial"/>
          <w:color w:val="333333"/>
          <w:sz w:val="22"/>
          <w:szCs w:val="22"/>
          <w:shd w:val="clear" w:color="auto" w:fill="FFFFFF"/>
        </w:rPr>
        <w:t>,</w:t>
      </w:r>
      <w:r w:rsidR="00877BCB">
        <w:rPr>
          <w:rFonts w:ascii="Arial" w:hAnsi="Arial" w:cs="Arial"/>
          <w:color w:val="333333"/>
          <w:sz w:val="22"/>
          <w:szCs w:val="22"/>
          <w:shd w:val="clear" w:color="auto" w:fill="FFFFFF"/>
        </w:rPr>
        <w:t xml:space="preserve"> </w:t>
      </w:r>
      <w:r>
        <w:rPr>
          <w:rFonts w:ascii="Arial" w:hAnsi="Arial" w:cs="Arial"/>
          <w:color w:val="333333"/>
          <w:sz w:val="22"/>
          <w:szCs w:val="22"/>
          <w:shd w:val="clear" w:color="auto" w:fill="FFFFFF"/>
        </w:rPr>
        <w:t xml:space="preserve">fuel </w:t>
      </w:r>
      <w:r w:rsidR="00671E5A">
        <w:rPr>
          <w:rFonts w:ascii="Arial" w:hAnsi="Arial" w:cs="Arial"/>
          <w:color w:val="333333"/>
          <w:sz w:val="22"/>
          <w:szCs w:val="22"/>
          <w:shd w:val="clear" w:color="auto" w:fill="FFFFFF"/>
        </w:rPr>
        <w:t>supply has been</w:t>
      </w:r>
      <w:r>
        <w:rPr>
          <w:rFonts w:ascii="Arial" w:hAnsi="Arial" w:cs="Arial"/>
          <w:color w:val="333333"/>
          <w:sz w:val="22"/>
          <w:szCs w:val="22"/>
          <w:shd w:val="clear" w:color="auto" w:fill="FFFFFF"/>
        </w:rPr>
        <w:t xml:space="preserve"> volatile </w:t>
      </w:r>
      <w:r w:rsidR="00877BCB">
        <w:rPr>
          <w:rFonts w:ascii="Arial" w:hAnsi="Arial" w:cs="Arial"/>
          <w:color w:val="333333"/>
          <w:sz w:val="22"/>
          <w:szCs w:val="22"/>
          <w:shd w:val="clear" w:color="auto" w:fill="FFFFFF"/>
        </w:rPr>
        <w:t xml:space="preserve">for weeks due to the </w:t>
      </w:r>
      <w:r w:rsidR="00571FFB">
        <w:rPr>
          <w:rFonts w:ascii="Arial" w:hAnsi="Arial" w:cs="Arial"/>
          <w:color w:val="333333"/>
          <w:sz w:val="22"/>
          <w:szCs w:val="22"/>
          <w:shd w:val="clear" w:color="auto" w:fill="FFFFFF"/>
        </w:rPr>
        <w:t xml:space="preserve">lagging </w:t>
      </w:r>
      <w:r w:rsidR="00877BCB">
        <w:rPr>
          <w:rFonts w:ascii="Arial" w:hAnsi="Arial" w:cs="Arial"/>
          <w:color w:val="333333"/>
          <w:sz w:val="22"/>
          <w:szCs w:val="22"/>
          <w:shd w:val="clear" w:color="auto" w:fill="FFFFFF"/>
        </w:rPr>
        <w:t xml:space="preserve">effects of the </w:t>
      </w:r>
      <w:r>
        <w:rPr>
          <w:rFonts w:ascii="Arial" w:hAnsi="Arial" w:cs="Arial"/>
          <w:color w:val="333333"/>
          <w:sz w:val="22"/>
          <w:szCs w:val="22"/>
          <w:shd w:val="clear" w:color="auto" w:fill="FFFFFF"/>
        </w:rPr>
        <w:t>supply disruptions</w:t>
      </w:r>
      <w:r w:rsidR="00877BCB">
        <w:rPr>
          <w:rFonts w:ascii="Arial" w:hAnsi="Arial" w:cs="Arial"/>
          <w:color w:val="333333"/>
          <w:sz w:val="22"/>
          <w:szCs w:val="22"/>
          <w:shd w:val="clear" w:color="auto" w:fill="FFFFFF"/>
        </w:rPr>
        <w:t xml:space="preserve"> on the retail markets</w:t>
      </w:r>
      <w:r>
        <w:rPr>
          <w:rFonts w:ascii="Arial" w:hAnsi="Arial" w:cs="Arial"/>
          <w:color w:val="333333"/>
          <w:sz w:val="22"/>
          <w:szCs w:val="22"/>
          <w:shd w:val="clear" w:color="auto" w:fill="FFFFFF"/>
        </w:rPr>
        <w:t xml:space="preserve">. </w:t>
      </w:r>
      <w:r w:rsidR="003523ED">
        <w:rPr>
          <w:rFonts w:ascii="Arial" w:hAnsi="Arial" w:cs="Arial"/>
          <w:color w:val="333333"/>
          <w:sz w:val="22"/>
          <w:szCs w:val="22"/>
          <w:shd w:val="clear" w:color="auto" w:fill="FFFFFF"/>
        </w:rPr>
        <w:t xml:space="preserve">Because of the uncertainty of the nature of this volatility, EIA has determined that the collection of information on a </w:t>
      </w:r>
      <w:r w:rsidR="00251B30">
        <w:rPr>
          <w:rFonts w:ascii="Arial" w:hAnsi="Arial" w:cs="Arial"/>
          <w:color w:val="333333"/>
          <w:sz w:val="22"/>
          <w:szCs w:val="22"/>
          <w:shd w:val="clear" w:color="auto" w:fill="FFFFFF"/>
        </w:rPr>
        <w:t>twice weekly</w:t>
      </w:r>
      <w:r w:rsidR="00671E5A">
        <w:rPr>
          <w:rFonts w:ascii="Arial" w:hAnsi="Arial" w:cs="Arial"/>
          <w:color w:val="333333"/>
          <w:sz w:val="22"/>
          <w:szCs w:val="22"/>
          <w:shd w:val="clear" w:color="auto" w:fill="FFFFFF"/>
        </w:rPr>
        <w:t xml:space="preserve"> </w:t>
      </w:r>
      <w:r w:rsidR="003523ED">
        <w:rPr>
          <w:rFonts w:ascii="Arial" w:hAnsi="Arial" w:cs="Arial"/>
          <w:color w:val="333333"/>
          <w:sz w:val="22"/>
          <w:szCs w:val="22"/>
          <w:shd w:val="clear" w:color="auto" w:fill="FFFFFF"/>
        </w:rPr>
        <w:t>basis i</w:t>
      </w:r>
      <w:r w:rsidR="002F7F63">
        <w:rPr>
          <w:rFonts w:ascii="Arial" w:hAnsi="Arial" w:cs="Arial"/>
          <w:color w:val="333333"/>
          <w:sz w:val="22"/>
          <w:szCs w:val="22"/>
          <w:shd w:val="clear" w:color="auto" w:fill="FFFFFF"/>
        </w:rPr>
        <w:t>s required to adequately monitor</w:t>
      </w:r>
      <w:r w:rsidR="003523ED">
        <w:rPr>
          <w:rFonts w:ascii="Arial" w:hAnsi="Arial" w:cs="Arial"/>
          <w:color w:val="333333"/>
          <w:sz w:val="22"/>
          <w:szCs w:val="22"/>
          <w:shd w:val="clear" w:color="auto" w:fill="FFFFFF"/>
        </w:rPr>
        <w:t xml:space="preserve"> the </w:t>
      </w:r>
      <w:r w:rsidR="00671E5A">
        <w:rPr>
          <w:rFonts w:ascii="Arial" w:hAnsi="Arial" w:cs="Arial"/>
          <w:color w:val="333333"/>
          <w:sz w:val="22"/>
          <w:szCs w:val="22"/>
          <w:shd w:val="clear" w:color="auto" w:fill="FFFFFF"/>
        </w:rPr>
        <w:t>lingering impacts</w:t>
      </w:r>
      <w:r w:rsidR="003523ED">
        <w:rPr>
          <w:rFonts w:ascii="Arial" w:hAnsi="Arial" w:cs="Arial"/>
          <w:color w:val="333333"/>
          <w:sz w:val="22"/>
          <w:szCs w:val="22"/>
          <w:shd w:val="clear" w:color="auto" w:fill="FFFFFF"/>
        </w:rPr>
        <w:t xml:space="preserve"> of this emergency on these markets.</w:t>
      </w:r>
      <w:r w:rsidR="00571FFB">
        <w:rPr>
          <w:rFonts w:ascii="Arial" w:hAnsi="Arial" w:cs="Arial"/>
          <w:color w:val="333333"/>
          <w:sz w:val="22"/>
          <w:szCs w:val="22"/>
          <w:shd w:val="clear" w:color="auto" w:fill="FFFFFF"/>
        </w:rPr>
        <w:t xml:space="preserve"> In addition, this information is needed to inform potential policy decision</w:t>
      </w:r>
      <w:r w:rsidR="000150FC">
        <w:rPr>
          <w:rFonts w:ascii="Arial" w:hAnsi="Arial" w:cs="Arial"/>
          <w:color w:val="333333"/>
          <w:sz w:val="22"/>
          <w:szCs w:val="22"/>
          <w:shd w:val="clear" w:color="auto" w:fill="FFFFFF"/>
        </w:rPr>
        <w:t xml:space="preserve">s to increase supply distribution, such as the “hours of service” regulations found in </w:t>
      </w:r>
      <w:hyperlink w:history="1" r:id="rId8">
        <w:r w:rsidRPr="000150FC" w:rsidR="000150FC">
          <w:rPr>
            <w:rStyle w:val="Hyperlink"/>
            <w:rFonts w:ascii="Arial" w:hAnsi="Arial" w:cs="Arial"/>
            <w:sz w:val="22"/>
            <w:szCs w:val="22"/>
            <w:shd w:val="clear" w:color="auto" w:fill="FFFFFF"/>
          </w:rPr>
          <w:t>49 CFR 395</w:t>
        </w:r>
      </w:hyperlink>
      <w:r w:rsidR="000150FC">
        <w:rPr>
          <w:rFonts w:ascii="Arial" w:hAnsi="Arial" w:cs="Arial"/>
          <w:color w:val="333333"/>
          <w:sz w:val="22"/>
          <w:szCs w:val="22"/>
          <w:shd w:val="clear" w:color="auto" w:fill="FFFFFF"/>
        </w:rPr>
        <w:t>.</w:t>
      </w:r>
    </w:p>
    <w:p w:rsidR="00F258B3" w:rsidP="00F258B3" w:rsidRDefault="00F258B3">
      <w:pPr>
        <w:ind w:left="720"/>
        <w:contextualSpacing/>
        <w:rPr>
          <w:rFonts w:ascii="Arial" w:hAnsi="Arial" w:cs="Arial"/>
          <w:color w:val="333333"/>
          <w:sz w:val="22"/>
          <w:szCs w:val="22"/>
          <w:shd w:val="clear" w:color="auto" w:fill="FFFFFF"/>
        </w:rPr>
      </w:pPr>
    </w:p>
    <w:p w:rsidRPr="00E6180D" w:rsidR="00F258B3" w:rsidP="00F258B3" w:rsidRDefault="00F258B3">
      <w:pPr>
        <w:ind w:left="720"/>
        <w:contextualSpacing/>
        <w:rPr>
          <w:rFonts w:ascii="Arial" w:hAnsi="Arial" w:cs="Arial"/>
          <w:color w:val="333333"/>
          <w:sz w:val="22"/>
          <w:szCs w:val="22"/>
          <w:shd w:val="clear" w:color="auto" w:fill="FFFFFF"/>
        </w:rPr>
      </w:pPr>
      <w:r w:rsidRPr="00E6180D">
        <w:rPr>
          <w:rFonts w:ascii="Arial" w:hAnsi="Arial" w:cs="Arial"/>
          <w:color w:val="333333"/>
          <w:sz w:val="22"/>
          <w:szCs w:val="22"/>
          <w:shd w:val="clear" w:color="auto" w:fill="FFFFFF"/>
        </w:rPr>
        <w:t xml:space="preserve">If this proposed emergency survey is not conducted </w:t>
      </w:r>
      <w:r w:rsidR="00251B30">
        <w:rPr>
          <w:rFonts w:ascii="Arial" w:hAnsi="Arial" w:cs="Arial"/>
          <w:color w:val="333333"/>
          <w:sz w:val="22"/>
          <w:szCs w:val="22"/>
          <w:shd w:val="clear" w:color="auto" w:fill="FFFFFF"/>
        </w:rPr>
        <w:t>twice per week</w:t>
      </w:r>
      <w:r w:rsidRPr="00E6180D">
        <w:rPr>
          <w:rFonts w:ascii="Arial" w:hAnsi="Arial" w:cs="Arial"/>
          <w:color w:val="333333"/>
          <w:sz w:val="22"/>
          <w:szCs w:val="22"/>
          <w:shd w:val="clear" w:color="auto" w:fill="FFFFFF"/>
        </w:rPr>
        <w:t>, then these</w:t>
      </w:r>
      <w:r w:rsidR="000646D1">
        <w:rPr>
          <w:rFonts w:ascii="Arial" w:hAnsi="Arial" w:cs="Arial"/>
          <w:color w:val="333333"/>
          <w:sz w:val="22"/>
          <w:szCs w:val="22"/>
          <w:shd w:val="clear" w:color="auto" w:fill="FFFFFF"/>
        </w:rPr>
        <w:t xml:space="preserve"> statistics will continue to be published </w:t>
      </w:r>
      <w:r w:rsidR="00CF55D4">
        <w:rPr>
          <w:rFonts w:ascii="Arial" w:hAnsi="Arial" w:cs="Arial"/>
          <w:color w:val="333333"/>
          <w:sz w:val="22"/>
          <w:szCs w:val="22"/>
          <w:shd w:val="clear" w:color="auto" w:fill="FFFFFF"/>
        </w:rPr>
        <w:t xml:space="preserve">only </w:t>
      </w:r>
      <w:r w:rsidR="000646D1">
        <w:rPr>
          <w:rFonts w:ascii="Arial" w:hAnsi="Arial" w:cs="Arial"/>
          <w:color w:val="333333"/>
          <w:sz w:val="22"/>
          <w:szCs w:val="22"/>
          <w:shd w:val="clear" w:color="auto" w:fill="FFFFFF"/>
        </w:rPr>
        <w:t xml:space="preserve">on a weekly basis. As a result, </w:t>
      </w:r>
      <w:r w:rsidR="00671E5A">
        <w:rPr>
          <w:rFonts w:ascii="Arial" w:hAnsi="Arial" w:cs="Arial"/>
          <w:color w:val="333333"/>
          <w:sz w:val="22"/>
          <w:szCs w:val="22"/>
          <w:shd w:val="clear" w:color="auto" w:fill="FFFFFF"/>
        </w:rPr>
        <w:t xml:space="preserve">data from </w:t>
      </w:r>
      <w:r w:rsidR="000150FC">
        <w:rPr>
          <w:rFonts w:ascii="Arial" w:hAnsi="Arial" w:cs="Arial"/>
          <w:color w:val="333333"/>
          <w:sz w:val="22"/>
          <w:szCs w:val="22"/>
          <w:shd w:val="clear" w:color="auto" w:fill="FFFFFF"/>
        </w:rPr>
        <w:t>terminal blenders</w:t>
      </w:r>
      <w:r w:rsidR="00671E5A">
        <w:rPr>
          <w:rFonts w:ascii="Arial" w:hAnsi="Arial" w:cs="Arial"/>
          <w:color w:val="333333"/>
          <w:sz w:val="22"/>
          <w:szCs w:val="22"/>
          <w:shd w:val="clear" w:color="auto" w:fill="FFFFFF"/>
        </w:rPr>
        <w:t xml:space="preserve"> </w:t>
      </w:r>
      <w:r w:rsidR="000646D1">
        <w:rPr>
          <w:rFonts w:ascii="Arial" w:hAnsi="Arial" w:cs="Arial"/>
          <w:color w:val="333333"/>
          <w:sz w:val="22"/>
          <w:szCs w:val="22"/>
          <w:shd w:val="clear" w:color="auto" w:fill="FFFFFF"/>
        </w:rPr>
        <w:t xml:space="preserve">for the days in between collections </w:t>
      </w:r>
      <w:r w:rsidRPr="00E6180D">
        <w:rPr>
          <w:rFonts w:ascii="Arial" w:hAnsi="Arial" w:cs="Arial"/>
          <w:color w:val="333333"/>
          <w:sz w:val="22"/>
          <w:szCs w:val="22"/>
          <w:shd w:val="clear" w:color="auto" w:fill="FFFFFF"/>
        </w:rPr>
        <w:t>will not be available to inform the federal government, state government and the public</w:t>
      </w:r>
      <w:r w:rsidR="003F5865">
        <w:rPr>
          <w:rFonts w:ascii="Arial" w:hAnsi="Arial" w:cs="Arial"/>
          <w:color w:val="333333"/>
          <w:sz w:val="22"/>
          <w:szCs w:val="22"/>
          <w:shd w:val="clear" w:color="auto" w:fill="FFFFFF"/>
        </w:rPr>
        <w:t xml:space="preserve"> for as many as 10 days after a change has occurred</w:t>
      </w:r>
      <w:r w:rsidRPr="00E6180D">
        <w:rPr>
          <w:rFonts w:ascii="Arial" w:hAnsi="Arial" w:cs="Arial"/>
          <w:color w:val="333333"/>
          <w:sz w:val="22"/>
          <w:szCs w:val="22"/>
          <w:shd w:val="clear" w:color="auto" w:fill="FFFFFF"/>
        </w:rPr>
        <w:t xml:space="preserve">. </w:t>
      </w:r>
      <w:r w:rsidR="00E963E8">
        <w:rPr>
          <w:rFonts w:ascii="Arial" w:hAnsi="Arial" w:cs="Arial"/>
          <w:color w:val="333333"/>
          <w:sz w:val="22"/>
          <w:szCs w:val="22"/>
          <w:shd w:val="clear" w:color="auto" w:fill="FFFFFF"/>
        </w:rPr>
        <w:t xml:space="preserve">This </w:t>
      </w:r>
      <w:r w:rsidR="001217A4">
        <w:rPr>
          <w:rFonts w:ascii="Arial" w:hAnsi="Arial" w:cs="Arial"/>
          <w:color w:val="333333"/>
          <w:sz w:val="22"/>
          <w:szCs w:val="22"/>
          <w:shd w:val="clear" w:color="auto" w:fill="FFFFFF"/>
        </w:rPr>
        <w:t xml:space="preserve">would </w:t>
      </w:r>
      <w:r w:rsidR="00E963E8">
        <w:rPr>
          <w:rFonts w:ascii="Arial" w:hAnsi="Arial" w:cs="Arial"/>
          <w:color w:val="333333"/>
          <w:sz w:val="22"/>
          <w:szCs w:val="22"/>
          <w:shd w:val="clear" w:color="auto" w:fill="FFFFFF"/>
        </w:rPr>
        <w:t xml:space="preserve">lead to </w:t>
      </w:r>
      <w:r w:rsidR="00765794">
        <w:rPr>
          <w:rFonts w:ascii="Arial" w:hAnsi="Arial" w:cs="Arial"/>
          <w:color w:val="333333"/>
          <w:sz w:val="22"/>
          <w:szCs w:val="22"/>
          <w:shd w:val="clear" w:color="auto" w:fill="FFFFFF"/>
        </w:rPr>
        <w:t xml:space="preserve">a lack of </w:t>
      </w:r>
      <w:r w:rsidR="00BD1AAF">
        <w:rPr>
          <w:rFonts w:ascii="Arial" w:hAnsi="Arial" w:cs="Arial"/>
          <w:color w:val="333333"/>
          <w:sz w:val="22"/>
          <w:szCs w:val="22"/>
          <w:shd w:val="clear" w:color="auto" w:fill="FFFFFF"/>
        </w:rPr>
        <w:t xml:space="preserve">timely </w:t>
      </w:r>
      <w:r w:rsidR="00765794">
        <w:rPr>
          <w:rFonts w:ascii="Arial" w:hAnsi="Arial" w:cs="Arial"/>
          <w:color w:val="333333"/>
          <w:sz w:val="22"/>
          <w:szCs w:val="22"/>
          <w:shd w:val="clear" w:color="auto" w:fill="FFFFFF"/>
        </w:rPr>
        <w:t xml:space="preserve">data necessary for </w:t>
      </w:r>
      <w:r w:rsidR="001217A4">
        <w:rPr>
          <w:rFonts w:ascii="Arial" w:hAnsi="Arial" w:cs="Arial"/>
          <w:color w:val="333333"/>
          <w:sz w:val="22"/>
          <w:szCs w:val="22"/>
          <w:shd w:val="clear" w:color="auto" w:fill="FFFFFF"/>
        </w:rPr>
        <w:t xml:space="preserve">policymakers to monitor </w:t>
      </w:r>
      <w:r w:rsidR="008E54D4">
        <w:rPr>
          <w:rFonts w:ascii="Arial" w:hAnsi="Arial" w:cs="Arial"/>
          <w:color w:val="333333"/>
          <w:sz w:val="22"/>
          <w:szCs w:val="22"/>
          <w:shd w:val="clear" w:color="auto" w:fill="FFFFFF"/>
        </w:rPr>
        <w:t xml:space="preserve">supplies </w:t>
      </w:r>
      <w:r w:rsidR="001217A4">
        <w:rPr>
          <w:rFonts w:ascii="Arial" w:hAnsi="Arial" w:cs="Arial"/>
          <w:color w:val="333333"/>
          <w:sz w:val="22"/>
          <w:szCs w:val="22"/>
          <w:shd w:val="clear" w:color="auto" w:fill="FFFFFF"/>
        </w:rPr>
        <w:t>in the affected region and inform their decisions</w:t>
      </w:r>
      <w:r w:rsidR="00765794">
        <w:rPr>
          <w:rFonts w:ascii="Arial" w:hAnsi="Arial" w:cs="Arial"/>
          <w:color w:val="333333"/>
          <w:sz w:val="22"/>
          <w:szCs w:val="22"/>
          <w:shd w:val="clear" w:color="auto" w:fill="FFFFFF"/>
        </w:rPr>
        <w:t xml:space="preserve"> </w:t>
      </w:r>
      <w:r w:rsidR="00E963E8">
        <w:rPr>
          <w:rFonts w:ascii="Arial" w:hAnsi="Arial" w:cs="Arial"/>
          <w:color w:val="333333"/>
          <w:sz w:val="22"/>
          <w:szCs w:val="22"/>
          <w:shd w:val="clear" w:color="auto" w:fill="FFFFFF"/>
        </w:rPr>
        <w:t>for weeks after the pipeline resumes operation.</w:t>
      </w:r>
    </w:p>
    <w:p w:rsidR="008E54D4" w:rsidP="0092693A" w:rsidRDefault="006C5B04">
      <w:pPr>
        <w:pStyle w:val="P1-StandPara"/>
        <w:spacing w:line="240" w:lineRule="auto"/>
        <w:ind w:firstLine="0"/>
        <w:jc w:val="left"/>
        <w:rPr>
          <w:rFonts w:ascii="Arial" w:hAnsi="Arial" w:cs="Arial"/>
          <w:szCs w:val="22"/>
        </w:rPr>
      </w:pPr>
      <w:r>
        <w:rPr>
          <w:rFonts w:ascii="Arial" w:hAnsi="Arial" w:cs="Arial"/>
          <w:szCs w:val="22"/>
        </w:rPr>
        <w:t xml:space="preserve"> </w:t>
      </w:r>
    </w:p>
    <w:p w:rsidRPr="00E6180D" w:rsidR="00756DF3" w:rsidP="00E6180D" w:rsidRDefault="00756DF3">
      <w:pPr>
        <w:pStyle w:val="P1-StandPara"/>
        <w:spacing w:line="240" w:lineRule="auto"/>
        <w:ind w:firstLine="0"/>
        <w:jc w:val="left"/>
        <w:rPr>
          <w:rFonts w:ascii="Arial" w:hAnsi="Arial" w:cs="Arial"/>
          <w:szCs w:val="22"/>
        </w:rPr>
      </w:pPr>
    </w:p>
    <w:p w:rsidRPr="00E6180D" w:rsidR="00A864C3" w:rsidP="001B5EAA" w:rsidRDefault="00A864C3">
      <w:pPr>
        <w:tabs>
          <w:tab w:val="left" w:pos="720"/>
        </w:tabs>
        <w:ind w:left="720" w:hanging="720"/>
        <w:rPr>
          <w:rFonts w:ascii="Arial" w:hAnsi="Arial" w:cs="Arial"/>
          <w:sz w:val="22"/>
          <w:szCs w:val="22"/>
        </w:rPr>
      </w:pPr>
      <w:r w:rsidRPr="00E6180D">
        <w:rPr>
          <w:rFonts w:ascii="Arial" w:hAnsi="Arial" w:cs="Arial"/>
          <w:b/>
          <w:sz w:val="22"/>
          <w:szCs w:val="22"/>
        </w:rPr>
        <w:lastRenderedPageBreak/>
        <w:t>7.</w:t>
      </w:r>
      <w:r w:rsidRPr="00E6180D">
        <w:rPr>
          <w:rFonts w:ascii="Arial" w:hAnsi="Arial" w:cs="Arial"/>
          <w:sz w:val="22"/>
          <w:szCs w:val="22"/>
        </w:rPr>
        <w:t xml:space="preserve">   </w:t>
      </w:r>
      <w:r w:rsidRPr="00E6180D">
        <w:rPr>
          <w:rFonts w:ascii="Arial" w:hAnsi="Arial" w:cs="Arial"/>
          <w:sz w:val="22"/>
          <w:szCs w:val="22"/>
        </w:rPr>
        <w:tab/>
      </w:r>
      <w:r w:rsidRPr="00E6180D">
        <w:rPr>
          <w:rFonts w:ascii="Arial" w:hAnsi="Arial" w:cs="Arial"/>
          <w:sz w:val="22"/>
          <w:szCs w:val="22"/>
          <w:lang w:val="en-CA"/>
        </w:rPr>
        <w:fldChar w:fldCharType="begin"/>
      </w:r>
      <w:r w:rsidRPr="00E6180D">
        <w:rPr>
          <w:rFonts w:ascii="Arial" w:hAnsi="Arial" w:cs="Arial"/>
          <w:sz w:val="22"/>
          <w:szCs w:val="22"/>
          <w:lang w:val="en-CA"/>
        </w:rPr>
        <w:instrText xml:space="preserve"> SEQ CHAPTER \h \r 1</w:instrText>
      </w:r>
      <w:r w:rsidRPr="00E6180D">
        <w:rPr>
          <w:rFonts w:ascii="Arial" w:hAnsi="Arial" w:cs="Arial"/>
          <w:sz w:val="22"/>
          <w:szCs w:val="22"/>
          <w:lang w:val="en-CA"/>
        </w:rPr>
        <w:fldChar w:fldCharType="end"/>
      </w:r>
      <w:r w:rsidRPr="00E6180D">
        <w:rPr>
          <w:rFonts w:ascii="Arial" w:hAnsi="Arial" w:cs="Arial"/>
          <w:b/>
          <w:bCs/>
          <w:sz w:val="22"/>
          <w:szCs w:val="22"/>
        </w:rPr>
        <w:t>Explain any special circumstances that would cause an information collection to be conducted in a manner requiring respondents to report information to the agency more often than quarterly;</w:t>
      </w:r>
    </w:p>
    <w:p w:rsidRPr="00E6180D" w:rsidR="00831E98" w:rsidP="0092693A" w:rsidRDefault="00831E98">
      <w:pPr>
        <w:tabs>
          <w:tab w:val="left" w:pos="360"/>
        </w:tabs>
        <w:ind w:left="90"/>
        <w:rPr>
          <w:rFonts w:ascii="Arial" w:hAnsi="Arial" w:cs="Arial"/>
          <w:sz w:val="22"/>
          <w:szCs w:val="22"/>
        </w:rPr>
      </w:pPr>
    </w:p>
    <w:p w:rsidR="00251B30" w:rsidP="00251B30" w:rsidRDefault="00251B30">
      <w:pPr>
        <w:shd w:val="clear" w:color="auto" w:fill="FFFFFF"/>
        <w:spacing w:before="100" w:beforeAutospacing="1" w:after="100" w:afterAutospacing="1"/>
        <w:ind w:left="720"/>
        <w:rPr>
          <w:rFonts w:ascii="Arial" w:hAnsi="Arial" w:cs="Arial"/>
          <w:color w:val="333333"/>
          <w:sz w:val="22"/>
          <w:szCs w:val="22"/>
          <w:shd w:val="clear" w:color="auto" w:fill="FFFFFF"/>
        </w:rPr>
      </w:pPr>
      <w:r w:rsidRPr="00E6180D">
        <w:rPr>
          <w:rFonts w:ascii="Arial" w:hAnsi="Arial" w:cs="Arial"/>
          <w:color w:val="333333"/>
          <w:sz w:val="22"/>
          <w:szCs w:val="22"/>
          <w:shd w:val="clear" w:color="auto" w:fill="FFFFFF"/>
        </w:rPr>
        <w:t>Colonial Pipeline, a major delivery system spanning from the U.S. Gulf Coast to the East Coast for transportation fuels and other refined petroleum products, </w:t>
      </w:r>
      <w:r w:rsidRPr="00E6180D">
        <w:rPr>
          <w:rFonts w:ascii="Arial" w:hAnsi="Arial" w:cs="Arial"/>
          <w:sz w:val="22"/>
          <w:szCs w:val="22"/>
          <w:bdr w:val="none" w:color="auto" w:sz="0" w:space="0" w:frame="1"/>
          <w:shd w:val="clear" w:color="auto" w:fill="FFFFFF"/>
        </w:rPr>
        <w:t>halted operations</w:t>
      </w:r>
      <w:r w:rsidRPr="00E6180D">
        <w:rPr>
          <w:rFonts w:ascii="Arial" w:hAnsi="Arial" w:cs="Arial"/>
          <w:color w:val="333333"/>
          <w:sz w:val="22"/>
          <w:szCs w:val="22"/>
          <w:shd w:val="clear" w:color="auto" w:fill="FFFFFF"/>
        </w:rPr>
        <w:t> </w:t>
      </w:r>
      <w:r>
        <w:rPr>
          <w:rFonts w:ascii="Arial" w:hAnsi="Arial" w:cs="Arial"/>
          <w:color w:val="333333"/>
          <w:sz w:val="22"/>
          <w:szCs w:val="22"/>
          <w:shd w:val="clear" w:color="auto" w:fill="FFFFFF"/>
        </w:rPr>
        <w:t>from May 7 – May 12</w:t>
      </w:r>
      <w:r w:rsidRPr="00E6180D">
        <w:rPr>
          <w:rFonts w:ascii="Arial" w:hAnsi="Arial" w:cs="Arial"/>
          <w:color w:val="333333"/>
          <w:sz w:val="22"/>
          <w:szCs w:val="22"/>
          <w:shd w:val="clear" w:color="auto" w:fill="FFFFFF"/>
        </w:rPr>
        <w:t xml:space="preserve">, to contain the effects of a cyberattack. This proposed emergency survey is necessary to measure </w:t>
      </w:r>
      <w:r>
        <w:rPr>
          <w:rFonts w:ascii="Arial" w:hAnsi="Arial" w:cs="Arial"/>
          <w:color w:val="333333"/>
          <w:sz w:val="22"/>
          <w:szCs w:val="22"/>
          <w:shd w:val="clear" w:color="auto" w:fill="FFFFFF"/>
        </w:rPr>
        <w:t>fuel supplies to enhance situational awareness that can help inform decision making and continue to actively monitor the state supply</w:t>
      </w:r>
      <w:r w:rsidRPr="00E6180D">
        <w:rPr>
          <w:rFonts w:ascii="Arial" w:hAnsi="Arial" w:cs="Arial"/>
          <w:color w:val="333333"/>
          <w:sz w:val="22"/>
          <w:szCs w:val="22"/>
          <w:shd w:val="clear" w:color="auto" w:fill="FFFFFF"/>
        </w:rPr>
        <w:t xml:space="preserve">; necessary </w:t>
      </w:r>
      <w:r>
        <w:rPr>
          <w:rFonts w:ascii="Arial" w:hAnsi="Arial" w:cs="Arial"/>
          <w:color w:val="333333"/>
          <w:sz w:val="22"/>
          <w:szCs w:val="22"/>
          <w:shd w:val="clear" w:color="auto" w:fill="FFFFFF"/>
        </w:rPr>
        <w:t>to communicate across relevant state agencies to discuss status and any actions needed at state or local level</w:t>
      </w:r>
      <w:r w:rsidRPr="00E6180D">
        <w:rPr>
          <w:rFonts w:ascii="Arial" w:hAnsi="Arial" w:cs="Arial"/>
          <w:color w:val="333333"/>
          <w:sz w:val="22"/>
          <w:szCs w:val="22"/>
          <w:shd w:val="clear" w:color="auto" w:fill="FFFFFF"/>
        </w:rPr>
        <w:t xml:space="preserve">; and necessary to </w:t>
      </w:r>
      <w:r>
        <w:rPr>
          <w:rFonts w:ascii="Arial" w:hAnsi="Arial" w:cs="Arial"/>
          <w:color w:val="333333"/>
          <w:sz w:val="22"/>
          <w:szCs w:val="22"/>
          <w:shd w:val="clear" w:color="auto" w:fill="FFFFFF"/>
        </w:rPr>
        <w:t xml:space="preserve">share information with the public about the nature, severity, and duration of the lingering impacts on fuel supply to maintain rumor control and avoid actions that may exacerbate the situation (e.g., panic buying, price gouging, and hoarding.) Even after the pipeline resumed operation, fuel supply has been volatile for weeks due to the lagging effects of the supply disruptions on the retail markets. Because of the uncertainty of the nature of this volatility, EIA has determined that the collection of information on a twice weekly basis is required to adequately monitor the lingering impacts of this emergency on these markets. In addition, this information is needed to inform potential policy decisions to increase supply distribution, such as the “hours of service” regulations found in </w:t>
      </w:r>
      <w:hyperlink w:history="1" r:id="rId9">
        <w:r w:rsidRPr="000150FC">
          <w:rPr>
            <w:rStyle w:val="Hyperlink"/>
            <w:rFonts w:ascii="Arial" w:hAnsi="Arial" w:cs="Arial"/>
            <w:sz w:val="22"/>
            <w:szCs w:val="22"/>
            <w:shd w:val="clear" w:color="auto" w:fill="FFFFFF"/>
          </w:rPr>
          <w:t>49 CFR 395</w:t>
        </w:r>
      </w:hyperlink>
      <w:r>
        <w:rPr>
          <w:rFonts w:ascii="Arial" w:hAnsi="Arial" w:cs="Arial"/>
          <w:color w:val="333333"/>
          <w:sz w:val="22"/>
          <w:szCs w:val="22"/>
          <w:shd w:val="clear" w:color="auto" w:fill="FFFFFF"/>
        </w:rPr>
        <w:t>.</w:t>
      </w:r>
    </w:p>
    <w:p w:rsidR="00251B30" w:rsidP="00251B30" w:rsidRDefault="00251B30">
      <w:pPr>
        <w:ind w:left="720"/>
        <w:contextualSpacing/>
        <w:rPr>
          <w:rFonts w:ascii="Arial" w:hAnsi="Arial" w:cs="Arial"/>
          <w:color w:val="333333"/>
          <w:sz w:val="22"/>
          <w:szCs w:val="22"/>
          <w:shd w:val="clear" w:color="auto" w:fill="FFFFFF"/>
        </w:rPr>
      </w:pPr>
    </w:p>
    <w:p w:rsidRPr="00E6180D" w:rsidR="00251B30" w:rsidP="00251B30" w:rsidRDefault="00251B30">
      <w:pPr>
        <w:ind w:left="720"/>
        <w:contextualSpacing/>
        <w:rPr>
          <w:rFonts w:ascii="Arial" w:hAnsi="Arial" w:cs="Arial"/>
          <w:color w:val="333333"/>
          <w:sz w:val="22"/>
          <w:szCs w:val="22"/>
          <w:shd w:val="clear" w:color="auto" w:fill="FFFFFF"/>
        </w:rPr>
      </w:pPr>
      <w:r w:rsidRPr="00E6180D">
        <w:rPr>
          <w:rFonts w:ascii="Arial" w:hAnsi="Arial" w:cs="Arial"/>
          <w:color w:val="333333"/>
          <w:sz w:val="22"/>
          <w:szCs w:val="22"/>
          <w:shd w:val="clear" w:color="auto" w:fill="FFFFFF"/>
        </w:rPr>
        <w:t xml:space="preserve">If this proposed emergency survey is not conducted </w:t>
      </w:r>
      <w:r>
        <w:rPr>
          <w:rFonts w:ascii="Arial" w:hAnsi="Arial" w:cs="Arial"/>
          <w:color w:val="333333"/>
          <w:sz w:val="22"/>
          <w:szCs w:val="22"/>
          <w:shd w:val="clear" w:color="auto" w:fill="FFFFFF"/>
        </w:rPr>
        <w:t>twice per week</w:t>
      </w:r>
      <w:r w:rsidRPr="00E6180D">
        <w:rPr>
          <w:rFonts w:ascii="Arial" w:hAnsi="Arial" w:cs="Arial"/>
          <w:color w:val="333333"/>
          <w:sz w:val="22"/>
          <w:szCs w:val="22"/>
          <w:shd w:val="clear" w:color="auto" w:fill="FFFFFF"/>
        </w:rPr>
        <w:t>, then these</w:t>
      </w:r>
      <w:r>
        <w:rPr>
          <w:rFonts w:ascii="Arial" w:hAnsi="Arial" w:cs="Arial"/>
          <w:color w:val="333333"/>
          <w:sz w:val="22"/>
          <w:szCs w:val="22"/>
          <w:shd w:val="clear" w:color="auto" w:fill="FFFFFF"/>
        </w:rPr>
        <w:t xml:space="preserve"> statistics will continue to be published only on a weekly basis. As a result, data from terminal blenders for the days in between collections </w:t>
      </w:r>
      <w:r w:rsidRPr="00E6180D">
        <w:rPr>
          <w:rFonts w:ascii="Arial" w:hAnsi="Arial" w:cs="Arial"/>
          <w:color w:val="333333"/>
          <w:sz w:val="22"/>
          <w:szCs w:val="22"/>
          <w:shd w:val="clear" w:color="auto" w:fill="FFFFFF"/>
        </w:rPr>
        <w:t>will not be available to inform the federal government, state government and the public</w:t>
      </w:r>
      <w:r>
        <w:rPr>
          <w:rFonts w:ascii="Arial" w:hAnsi="Arial" w:cs="Arial"/>
          <w:color w:val="333333"/>
          <w:sz w:val="22"/>
          <w:szCs w:val="22"/>
          <w:shd w:val="clear" w:color="auto" w:fill="FFFFFF"/>
        </w:rPr>
        <w:t xml:space="preserve"> for as many as 10 days after a change has occurred</w:t>
      </w:r>
      <w:r w:rsidRPr="00E6180D">
        <w:rPr>
          <w:rFonts w:ascii="Arial" w:hAnsi="Arial" w:cs="Arial"/>
          <w:color w:val="333333"/>
          <w:sz w:val="22"/>
          <w:szCs w:val="22"/>
          <w:shd w:val="clear" w:color="auto" w:fill="FFFFFF"/>
        </w:rPr>
        <w:t xml:space="preserve">. </w:t>
      </w:r>
      <w:r>
        <w:rPr>
          <w:rFonts w:ascii="Arial" w:hAnsi="Arial" w:cs="Arial"/>
          <w:color w:val="333333"/>
          <w:sz w:val="22"/>
          <w:szCs w:val="22"/>
          <w:shd w:val="clear" w:color="auto" w:fill="FFFFFF"/>
        </w:rPr>
        <w:t>This would lead to a lack of timely data necessary for policymakers to monitor supplies in the affected region and inform their decisions for weeks after the pipeline resumes operation.</w:t>
      </w:r>
    </w:p>
    <w:p w:rsidR="00A864C3" w:rsidP="000150FC" w:rsidRDefault="000150FC">
      <w:pPr>
        <w:pStyle w:val="P1-StandPara"/>
        <w:spacing w:line="240" w:lineRule="auto"/>
        <w:ind w:firstLine="0"/>
        <w:jc w:val="left"/>
        <w:rPr>
          <w:rFonts w:ascii="Arial" w:hAnsi="Arial" w:cs="Arial"/>
          <w:szCs w:val="22"/>
        </w:rPr>
      </w:pPr>
      <w:r>
        <w:rPr>
          <w:rFonts w:ascii="Arial" w:hAnsi="Arial" w:cs="Arial"/>
          <w:szCs w:val="22"/>
        </w:rPr>
        <w:t xml:space="preserve"> </w:t>
      </w:r>
    </w:p>
    <w:p w:rsidRPr="00E6180D" w:rsidR="002A6F3A" w:rsidP="000150FC" w:rsidRDefault="002A6F3A">
      <w:pPr>
        <w:pStyle w:val="P1-StandPara"/>
        <w:spacing w:line="240" w:lineRule="auto"/>
        <w:ind w:firstLine="0"/>
        <w:jc w:val="left"/>
      </w:pPr>
    </w:p>
    <w:p w:rsidRPr="00E6180D" w:rsidR="00A864C3" w:rsidP="001B5EAA" w:rsidRDefault="00A864C3">
      <w:pPr>
        <w:pStyle w:val="P1-StandPara"/>
        <w:numPr>
          <w:ilvl w:val="0"/>
          <w:numId w:val="15"/>
        </w:numPr>
        <w:tabs>
          <w:tab w:val="left" w:pos="90"/>
        </w:tabs>
        <w:spacing w:line="240" w:lineRule="auto"/>
        <w:jc w:val="left"/>
        <w:rPr>
          <w:rFonts w:ascii="Arial" w:hAnsi="Arial" w:cs="Arial"/>
          <w:szCs w:val="22"/>
        </w:rPr>
      </w:pPr>
      <w:r w:rsidRPr="00E6180D">
        <w:rPr>
          <w:rFonts w:ascii="Arial" w:hAnsi="Arial" w:cs="Arial"/>
          <w:b/>
          <w:color w:val="000000"/>
          <w:szCs w:val="22"/>
        </w:rPr>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rsidRPr="00E6180D">
        <w:rPr>
          <w:rFonts w:ascii="Arial" w:hAnsi="Arial" w:cs="Arial"/>
          <w:szCs w:val="22"/>
        </w:rPr>
        <w:t xml:space="preserve"> </w:t>
      </w:r>
    </w:p>
    <w:p w:rsidRPr="00E6180D" w:rsidR="00A864C3" w:rsidP="0092693A" w:rsidRDefault="00A864C3">
      <w:pPr>
        <w:pStyle w:val="P1-StandPara"/>
        <w:spacing w:line="240" w:lineRule="auto"/>
        <w:ind w:left="360" w:firstLine="0"/>
        <w:jc w:val="left"/>
        <w:rPr>
          <w:rFonts w:ascii="Arial" w:hAnsi="Arial" w:cs="Arial"/>
          <w:szCs w:val="22"/>
        </w:rPr>
      </w:pPr>
    </w:p>
    <w:p w:rsidRPr="00E6180D" w:rsidR="00756DF3" w:rsidP="001B5EAA" w:rsidRDefault="00231D77">
      <w:pPr>
        <w:pStyle w:val="P1-StandPara"/>
        <w:spacing w:line="240" w:lineRule="auto"/>
        <w:ind w:left="720" w:firstLine="0"/>
        <w:jc w:val="left"/>
        <w:rPr>
          <w:rFonts w:ascii="Arial" w:hAnsi="Arial" w:cs="Arial"/>
          <w:szCs w:val="22"/>
        </w:rPr>
      </w:pPr>
      <w:r w:rsidRPr="00E6180D">
        <w:rPr>
          <w:rFonts w:ascii="Arial" w:hAnsi="Arial" w:cs="Arial"/>
          <w:szCs w:val="22"/>
        </w:rPr>
        <w:t>T</w:t>
      </w:r>
      <w:r w:rsidRPr="00E6180D" w:rsidR="00E6180D">
        <w:rPr>
          <w:rFonts w:ascii="Arial" w:hAnsi="Arial" w:cs="Arial"/>
          <w:szCs w:val="22"/>
        </w:rPr>
        <w:t xml:space="preserve">his is an emergency survey request and there is currently no Federal Register Notice. </w:t>
      </w:r>
    </w:p>
    <w:p w:rsidR="00756DF3" w:rsidP="0092693A" w:rsidRDefault="00756DF3">
      <w:pPr>
        <w:pStyle w:val="P1-StandPara"/>
        <w:spacing w:line="240" w:lineRule="auto"/>
        <w:jc w:val="left"/>
        <w:rPr>
          <w:rFonts w:ascii="Arial" w:hAnsi="Arial" w:cs="Arial"/>
          <w:szCs w:val="22"/>
        </w:rPr>
      </w:pPr>
    </w:p>
    <w:p w:rsidRPr="00E6180D" w:rsidR="002A6F3A" w:rsidP="0092693A" w:rsidRDefault="002A6F3A">
      <w:pPr>
        <w:pStyle w:val="P1-StandPara"/>
        <w:spacing w:line="240" w:lineRule="auto"/>
        <w:jc w:val="left"/>
        <w:rPr>
          <w:rFonts w:ascii="Arial" w:hAnsi="Arial" w:cs="Arial"/>
          <w:szCs w:val="22"/>
        </w:rPr>
      </w:pPr>
    </w:p>
    <w:p w:rsidRPr="00E6180D" w:rsidR="00A864C3" w:rsidP="001B5EAA" w:rsidRDefault="00A864C3">
      <w:pPr>
        <w:pStyle w:val="P1-StandPara"/>
        <w:spacing w:line="240" w:lineRule="auto"/>
        <w:ind w:firstLine="0"/>
        <w:jc w:val="left"/>
        <w:rPr>
          <w:rFonts w:ascii="Arial" w:hAnsi="Arial" w:cs="Arial"/>
          <w:b/>
          <w:szCs w:val="22"/>
        </w:rPr>
      </w:pPr>
      <w:r w:rsidRPr="00E6180D">
        <w:rPr>
          <w:rFonts w:ascii="Arial" w:hAnsi="Arial" w:cs="Arial"/>
          <w:b/>
          <w:szCs w:val="22"/>
        </w:rPr>
        <w:t>9.</w:t>
      </w:r>
      <w:r w:rsidRPr="00E6180D">
        <w:rPr>
          <w:rFonts w:ascii="Arial" w:hAnsi="Arial" w:cs="Arial"/>
          <w:b/>
          <w:szCs w:val="22"/>
        </w:rPr>
        <w:tab/>
        <w:t>Explain any decision to provide any payment or gift to respondents.</w:t>
      </w:r>
    </w:p>
    <w:p w:rsidRPr="00E6180D" w:rsidR="00A864C3" w:rsidP="0092693A" w:rsidRDefault="00A864C3">
      <w:pPr>
        <w:pStyle w:val="P1-StandPara"/>
        <w:spacing w:line="240" w:lineRule="auto"/>
        <w:ind w:firstLine="0"/>
        <w:jc w:val="left"/>
        <w:rPr>
          <w:rFonts w:ascii="Arial" w:hAnsi="Arial" w:cs="Arial"/>
          <w:b/>
          <w:szCs w:val="22"/>
        </w:rPr>
      </w:pPr>
    </w:p>
    <w:p w:rsidRPr="00E6180D" w:rsidR="001115D0" w:rsidP="001B5EAA" w:rsidRDefault="00E6180D">
      <w:pPr>
        <w:pStyle w:val="P1-StandPara"/>
        <w:spacing w:line="240" w:lineRule="auto"/>
        <w:ind w:left="720" w:firstLine="0"/>
        <w:jc w:val="left"/>
        <w:rPr>
          <w:rFonts w:ascii="Arial" w:hAnsi="Arial" w:cs="Arial"/>
          <w:szCs w:val="22"/>
        </w:rPr>
      </w:pPr>
      <w:r w:rsidRPr="00E6180D">
        <w:rPr>
          <w:rFonts w:ascii="Arial" w:hAnsi="Arial" w:cs="Arial"/>
          <w:szCs w:val="22"/>
        </w:rPr>
        <w:t xml:space="preserve">EIA will not provide any payments or gifts to respondents. </w:t>
      </w:r>
    </w:p>
    <w:p w:rsidR="00756DF3" w:rsidP="0092693A" w:rsidRDefault="00756DF3">
      <w:pPr>
        <w:pStyle w:val="P1-StandPara"/>
        <w:spacing w:line="240" w:lineRule="auto"/>
        <w:jc w:val="left"/>
        <w:rPr>
          <w:rFonts w:ascii="Arial" w:hAnsi="Arial" w:cs="Arial"/>
          <w:szCs w:val="22"/>
        </w:rPr>
      </w:pPr>
    </w:p>
    <w:p w:rsidRPr="00E6180D" w:rsidR="002A6F3A" w:rsidP="0092693A" w:rsidRDefault="002A6F3A">
      <w:pPr>
        <w:pStyle w:val="P1-StandPara"/>
        <w:spacing w:line="240" w:lineRule="auto"/>
        <w:jc w:val="left"/>
        <w:rPr>
          <w:rFonts w:ascii="Arial" w:hAnsi="Arial" w:cs="Arial"/>
          <w:szCs w:val="22"/>
        </w:rPr>
      </w:pPr>
    </w:p>
    <w:p w:rsidRPr="00CB0D3C" w:rsidR="00A864C3" w:rsidP="001B5EAA" w:rsidRDefault="00A864C3">
      <w:pPr>
        <w:pStyle w:val="BodyText"/>
        <w:tabs>
          <w:tab w:val="left" w:pos="1170"/>
        </w:tabs>
        <w:ind w:left="720" w:hanging="900"/>
        <w:rPr>
          <w:rFonts w:ascii="Arial" w:hAnsi="Arial" w:cs="Arial"/>
          <w:b/>
          <w:szCs w:val="22"/>
        </w:rPr>
      </w:pPr>
      <w:r w:rsidRPr="00E6180D">
        <w:rPr>
          <w:rFonts w:ascii="Arial" w:hAnsi="Arial" w:cs="Arial"/>
          <w:b/>
          <w:szCs w:val="22"/>
        </w:rPr>
        <w:t>10.</w:t>
      </w:r>
      <w:r w:rsidRPr="00E6180D">
        <w:rPr>
          <w:rFonts w:ascii="Arial" w:hAnsi="Arial" w:cs="Arial"/>
          <w:b/>
          <w:szCs w:val="22"/>
        </w:rPr>
        <w:tab/>
        <w:t xml:space="preserve">Describe any assurance of confidentiality provided to respondents and the basis for </w:t>
      </w:r>
      <w:r w:rsidRPr="00CB0D3C">
        <w:rPr>
          <w:rFonts w:ascii="Arial" w:hAnsi="Arial" w:cs="Arial"/>
          <w:b/>
          <w:szCs w:val="22"/>
        </w:rPr>
        <w:t>the assurance in statute, regulation, or agency policy.</w:t>
      </w:r>
    </w:p>
    <w:p w:rsidRPr="000150FC" w:rsidR="008E54D4" w:rsidP="000150FC" w:rsidRDefault="008E54D4">
      <w:pPr>
        <w:ind w:left="720"/>
        <w:rPr>
          <w:rFonts w:ascii="Arial" w:hAnsi="Arial" w:cs="Arial"/>
          <w:b/>
          <w:bCs/>
          <w:sz w:val="22"/>
          <w:szCs w:val="22"/>
        </w:rPr>
      </w:pPr>
      <w:r w:rsidRPr="000150FC">
        <w:rPr>
          <w:rFonts w:ascii="Arial" w:hAnsi="Arial" w:cs="Arial"/>
          <w:sz w:val="22"/>
          <w:szCs w:val="22"/>
        </w:rPr>
        <w:t xml:space="preserve">The data collected in </w:t>
      </w:r>
      <w:r w:rsidR="000150FC">
        <w:rPr>
          <w:rFonts w:ascii="Arial" w:hAnsi="Arial" w:cs="Arial"/>
          <w:sz w:val="22"/>
          <w:szCs w:val="22"/>
        </w:rPr>
        <w:t>the EIA-805</w:t>
      </w:r>
      <w:r w:rsidRPr="000150FC">
        <w:rPr>
          <w:rFonts w:ascii="Arial" w:hAnsi="Arial" w:cs="Arial"/>
          <w:sz w:val="22"/>
          <w:szCs w:val="22"/>
        </w:rPr>
        <w:t xml:space="preserve"> are used by EIA for statistical purposes, however the information may be made available, upon request, to other federal agencies authorized by </w:t>
      </w:r>
      <w:r w:rsidRPr="000150FC">
        <w:rPr>
          <w:rFonts w:ascii="Arial" w:hAnsi="Arial" w:cs="Arial"/>
          <w:sz w:val="22"/>
          <w:szCs w:val="22"/>
        </w:rPr>
        <w:lastRenderedPageBreak/>
        <w:t xml:space="preserve">law to receive such information for any non-statistical purposes such as administrative, regulatory, law enforcement, or adjudicatory purposes. </w:t>
      </w:r>
    </w:p>
    <w:p w:rsidRPr="000150FC" w:rsidR="008E54D4" w:rsidP="000150FC" w:rsidRDefault="008E54D4">
      <w:pPr>
        <w:rPr>
          <w:rFonts w:ascii="Arial" w:hAnsi="Arial" w:cs="Arial"/>
          <w:b/>
          <w:color w:val="000000"/>
          <w:sz w:val="22"/>
          <w:szCs w:val="22"/>
        </w:rPr>
      </w:pPr>
    </w:p>
    <w:p w:rsidRPr="000150FC" w:rsidR="008E54D4" w:rsidP="000150FC" w:rsidRDefault="008E54D4">
      <w:pPr>
        <w:ind w:firstLine="720"/>
        <w:rPr>
          <w:rFonts w:ascii="Arial" w:hAnsi="Arial" w:cs="Arial"/>
          <w:b/>
          <w:color w:val="000000"/>
          <w:sz w:val="22"/>
          <w:szCs w:val="22"/>
        </w:rPr>
      </w:pPr>
      <w:r w:rsidRPr="000150FC">
        <w:rPr>
          <w:rFonts w:ascii="Arial" w:hAnsi="Arial" w:cs="Arial"/>
          <w:b/>
          <w:color w:val="000000"/>
          <w:sz w:val="22"/>
          <w:szCs w:val="22"/>
        </w:rPr>
        <w:t>PROVISIONS REGARDING CONFIDENTIALITY OF INFORMATION</w:t>
      </w:r>
    </w:p>
    <w:p w:rsidRPr="000150FC" w:rsidR="008E54D4" w:rsidP="000150FC" w:rsidRDefault="008E54D4">
      <w:pPr>
        <w:ind w:firstLine="720"/>
        <w:rPr>
          <w:rFonts w:ascii="Arial" w:hAnsi="Arial" w:cs="Arial"/>
          <w:b/>
          <w:color w:val="000000"/>
          <w:sz w:val="22"/>
          <w:szCs w:val="22"/>
        </w:rPr>
      </w:pPr>
    </w:p>
    <w:p w:rsidRPr="000150FC" w:rsidR="008E54D4" w:rsidP="000150FC" w:rsidRDefault="008E54D4">
      <w:pPr>
        <w:ind w:left="720"/>
        <w:rPr>
          <w:rFonts w:ascii="Arial" w:hAnsi="Arial" w:cs="Arial"/>
          <w:color w:val="000000"/>
          <w:sz w:val="22"/>
          <w:szCs w:val="22"/>
        </w:rPr>
      </w:pPr>
      <w:r w:rsidRPr="000150FC">
        <w:rPr>
          <w:rFonts w:ascii="Arial" w:hAnsi="Arial" w:cs="Arial"/>
          <w:color w:val="000000"/>
          <w:sz w:val="22"/>
          <w:szCs w:val="22"/>
        </w:rPr>
        <w:t xml:space="preserve">“The information reported on </w:t>
      </w:r>
      <w:r w:rsidR="000150FC">
        <w:rPr>
          <w:rFonts w:ascii="Arial" w:hAnsi="Arial" w:cs="Arial"/>
          <w:color w:val="000000"/>
          <w:sz w:val="22"/>
          <w:szCs w:val="22"/>
        </w:rPr>
        <w:t>the EIA-805</w:t>
      </w:r>
      <w:r w:rsidRPr="000150FC">
        <w:rPr>
          <w:rFonts w:ascii="Arial" w:hAnsi="Arial" w:cs="Arial"/>
          <w:color w:val="000000"/>
          <w:sz w:val="22"/>
          <w:szCs w:val="22"/>
        </w:rPr>
        <w:t xml:space="preserve"> will be </w:t>
      </w:r>
      <w:r w:rsidRPr="000150FC">
        <w:rPr>
          <w:rFonts w:ascii="Arial" w:hAnsi="Arial" w:cs="Arial"/>
          <w:sz w:val="22"/>
          <w:szCs w:val="22"/>
        </w:rPr>
        <w:t>protected</w:t>
      </w:r>
      <w:r w:rsidRPr="000150FC">
        <w:rPr>
          <w:rFonts w:ascii="Arial" w:hAnsi="Arial" w:cs="Arial"/>
          <w:color w:val="000080"/>
          <w:sz w:val="22"/>
          <w:szCs w:val="22"/>
        </w:rPr>
        <w:t xml:space="preserve"> </w:t>
      </w:r>
      <w:r w:rsidRPr="000150FC">
        <w:rPr>
          <w:rFonts w:ascii="Arial" w:hAnsi="Arial" w:cs="Arial"/>
          <w:color w:val="000000"/>
          <w:sz w:val="22"/>
          <w:szCs w:val="22"/>
        </w:rPr>
        <w:t>and not disclosed to the public to the extent that it satisfies the criteria for exemption under the Freedom of Information Act (FOIA), 5 U.S.C. §552(b), the Department of Energy (DOE) regulations, 10 C.F.R. §1004.11, implementing the FOIA, and the Trade Secrets Act, 18 U.S.C. §1905.</w:t>
      </w:r>
    </w:p>
    <w:p w:rsidRPr="000150FC" w:rsidR="008E54D4" w:rsidP="000150FC" w:rsidRDefault="008E54D4">
      <w:pPr>
        <w:ind w:left="720"/>
        <w:rPr>
          <w:rFonts w:ascii="Arial" w:hAnsi="Arial" w:cs="Arial"/>
          <w:color w:val="000000"/>
          <w:sz w:val="22"/>
          <w:szCs w:val="22"/>
        </w:rPr>
      </w:pPr>
    </w:p>
    <w:p w:rsidR="008E54D4" w:rsidP="000150FC" w:rsidRDefault="008E54D4">
      <w:pPr>
        <w:ind w:left="720"/>
        <w:rPr>
          <w:rFonts w:ascii="Arial" w:hAnsi="Arial" w:cs="Arial"/>
          <w:sz w:val="22"/>
          <w:szCs w:val="22"/>
        </w:rPr>
      </w:pPr>
      <w:r w:rsidRPr="000150FC">
        <w:rPr>
          <w:rFonts w:ascii="Arial" w:hAnsi="Arial" w:cs="Arial"/>
          <w:sz w:val="22"/>
          <w:szCs w:val="22"/>
        </w:rPr>
        <w:t>The Federal Energy Administration Act requires the EIA to provide company-specific data to other Federal agencies when requested for official use. The information reported on this form may also be made available, upon request, to another DOE component;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Pr="000150FC" w:rsidR="008E54D4" w:rsidP="000150FC" w:rsidRDefault="008E54D4">
      <w:pPr>
        <w:ind w:left="720"/>
        <w:rPr>
          <w:rFonts w:ascii="Arial" w:hAnsi="Arial" w:cs="Arial"/>
          <w:color w:val="000000"/>
          <w:sz w:val="22"/>
          <w:szCs w:val="22"/>
        </w:rPr>
      </w:pPr>
    </w:p>
    <w:p w:rsidRPr="000150FC" w:rsidR="008E54D4" w:rsidP="000150FC" w:rsidRDefault="008E54D4">
      <w:pPr>
        <w:ind w:left="720"/>
        <w:rPr>
          <w:rFonts w:ascii="Arial" w:hAnsi="Arial" w:cs="Arial"/>
          <w:color w:val="000000"/>
          <w:sz w:val="22"/>
          <w:szCs w:val="22"/>
        </w:rPr>
      </w:pPr>
      <w:r w:rsidRPr="000150FC">
        <w:rPr>
          <w:rFonts w:ascii="Arial" w:hAnsi="Arial" w:cs="Arial"/>
          <w:color w:val="000000"/>
          <w:sz w:val="22"/>
          <w:szCs w:val="22"/>
        </w:rPr>
        <w:t xml:space="preserve">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 Company specific data are also provided to other DOE offices for the purpose of examining specific petroleum operations in the context of emergency response planning </w:t>
      </w:r>
      <w:r w:rsidRPr="000150FC">
        <w:rPr>
          <w:rFonts w:ascii="Arial" w:hAnsi="Arial" w:cs="Arial"/>
          <w:sz w:val="22"/>
          <w:szCs w:val="22"/>
        </w:rPr>
        <w:t>and actual emergencies.”</w:t>
      </w:r>
    </w:p>
    <w:p w:rsidR="00E6180D" w:rsidP="00E6180D" w:rsidRDefault="00E6180D">
      <w:pPr>
        <w:ind w:left="720"/>
        <w:jc w:val="both"/>
        <w:rPr>
          <w:rFonts w:ascii="Arial" w:hAnsi="Arial" w:cs="Arial"/>
          <w:sz w:val="22"/>
          <w:szCs w:val="22"/>
        </w:rPr>
      </w:pPr>
    </w:p>
    <w:p w:rsidRPr="00E6180D" w:rsidR="002A6F3A" w:rsidP="00E6180D" w:rsidRDefault="002A6F3A">
      <w:pPr>
        <w:ind w:left="720"/>
        <w:jc w:val="both"/>
        <w:rPr>
          <w:rFonts w:ascii="Arial" w:hAnsi="Arial" w:cs="Arial"/>
          <w:sz w:val="22"/>
          <w:szCs w:val="22"/>
        </w:rPr>
      </w:pPr>
    </w:p>
    <w:p w:rsidRPr="00E6180D" w:rsidR="00A864C3" w:rsidP="001B5EAA" w:rsidRDefault="00A864C3">
      <w:pPr>
        <w:pStyle w:val="P1-StandPara"/>
        <w:spacing w:line="240" w:lineRule="auto"/>
        <w:ind w:hanging="180"/>
        <w:jc w:val="left"/>
        <w:rPr>
          <w:rFonts w:ascii="Arial" w:hAnsi="Arial" w:cs="Arial"/>
          <w:b/>
          <w:szCs w:val="22"/>
        </w:rPr>
      </w:pPr>
      <w:r w:rsidRPr="00E6180D">
        <w:rPr>
          <w:rFonts w:ascii="Arial" w:hAnsi="Arial" w:cs="Arial"/>
          <w:b/>
          <w:szCs w:val="22"/>
        </w:rPr>
        <w:t>11.</w:t>
      </w:r>
      <w:r w:rsidRPr="00E6180D">
        <w:rPr>
          <w:rFonts w:ascii="Arial" w:hAnsi="Arial" w:cs="Arial"/>
          <w:b/>
          <w:szCs w:val="22"/>
        </w:rPr>
        <w:tab/>
        <w:t>Provide additional justification for any questions of a sensitive nature.</w:t>
      </w:r>
    </w:p>
    <w:p w:rsidRPr="00E6180D" w:rsidR="00A864C3" w:rsidP="0092693A" w:rsidRDefault="00A864C3">
      <w:pPr>
        <w:pStyle w:val="P1-StandPara"/>
        <w:spacing w:line="240" w:lineRule="auto"/>
        <w:ind w:firstLine="0"/>
        <w:jc w:val="left"/>
        <w:rPr>
          <w:rFonts w:ascii="Arial" w:hAnsi="Arial" w:cs="Arial"/>
          <w:szCs w:val="22"/>
        </w:rPr>
      </w:pPr>
    </w:p>
    <w:p w:rsidRPr="00E6180D" w:rsidR="00756DF3" w:rsidP="001B5EAA" w:rsidRDefault="00756DF3">
      <w:pPr>
        <w:pStyle w:val="P1-StandPara"/>
        <w:spacing w:line="240" w:lineRule="auto"/>
        <w:ind w:left="720" w:firstLine="0"/>
        <w:jc w:val="left"/>
        <w:rPr>
          <w:rFonts w:ascii="Arial" w:hAnsi="Arial" w:cs="Arial"/>
          <w:szCs w:val="22"/>
        </w:rPr>
      </w:pPr>
      <w:r w:rsidRPr="00E6180D">
        <w:rPr>
          <w:rFonts w:ascii="Arial" w:hAnsi="Arial" w:cs="Arial"/>
          <w:szCs w:val="22"/>
        </w:rPr>
        <w:t xml:space="preserve">No questions of a sensitive nature are anticipated in </w:t>
      </w:r>
      <w:r w:rsidRPr="00E6180D" w:rsidR="00231D77">
        <w:rPr>
          <w:rFonts w:ascii="Arial" w:hAnsi="Arial" w:cs="Arial"/>
          <w:szCs w:val="22"/>
        </w:rPr>
        <w:t xml:space="preserve">this proposed emergency data collection. </w:t>
      </w:r>
    </w:p>
    <w:p w:rsidR="003B0910" w:rsidP="0092693A" w:rsidRDefault="003B0910">
      <w:pPr>
        <w:keepNext/>
        <w:keepLines/>
        <w:tabs>
          <w:tab w:val="left" w:pos="0"/>
          <w:tab w:val="left" w:pos="1152"/>
          <w:tab w:val="left" w:pos="1728"/>
          <w:tab w:val="left" w:pos="2304"/>
        </w:tabs>
        <w:ind w:hanging="720"/>
        <w:rPr>
          <w:rFonts w:ascii="Arial" w:hAnsi="Arial" w:cs="Arial"/>
          <w:b/>
          <w:color w:val="000000"/>
          <w:sz w:val="22"/>
          <w:szCs w:val="22"/>
        </w:rPr>
      </w:pPr>
    </w:p>
    <w:p w:rsidRPr="00E6180D" w:rsidR="002A6F3A" w:rsidP="0092693A" w:rsidRDefault="002A6F3A">
      <w:pPr>
        <w:keepNext/>
        <w:keepLines/>
        <w:tabs>
          <w:tab w:val="left" w:pos="0"/>
          <w:tab w:val="left" w:pos="1152"/>
          <w:tab w:val="left" w:pos="1728"/>
          <w:tab w:val="left" w:pos="2304"/>
        </w:tabs>
        <w:ind w:hanging="720"/>
        <w:rPr>
          <w:rFonts w:ascii="Arial" w:hAnsi="Arial" w:cs="Arial"/>
          <w:b/>
          <w:color w:val="000000"/>
          <w:sz w:val="22"/>
          <w:szCs w:val="22"/>
        </w:rPr>
      </w:pPr>
    </w:p>
    <w:p w:rsidRPr="00263A5D" w:rsidR="00A864C3" w:rsidP="001B5EAA" w:rsidRDefault="00A864C3">
      <w:pPr>
        <w:keepNext/>
        <w:keepLines/>
        <w:tabs>
          <w:tab w:val="left" w:pos="720"/>
          <w:tab w:val="left" w:pos="1152"/>
          <w:tab w:val="left" w:pos="1728"/>
          <w:tab w:val="left" w:pos="2304"/>
        </w:tabs>
        <w:ind w:left="720" w:hanging="900"/>
        <w:rPr>
          <w:rFonts w:ascii="Arial" w:hAnsi="Arial" w:cs="Arial"/>
          <w:color w:val="000000"/>
          <w:sz w:val="22"/>
          <w:szCs w:val="22"/>
        </w:rPr>
      </w:pPr>
      <w:r w:rsidRPr="00E6180D">
        <w:rPr>
          <w:rFonts w:ascii="Arial" w:hAnsi="Arial" w:cs="Arial"/>
          <w:b/>
          <w:color w:val="000000"/>
          <w:sz w:val="22"/>
          <w:szCs w:val="22"/>
        </w:rPr>
        <w:t>12.</w:t>
      </w:r>
      <w:r w:rsidRPr="00E6180D">
        <w:rPr>
          <w:rFonts w:ascii="Arial" w:hAnsi="Arial" w:cs="Arial"/>
          <w:b/>
          <w:color w:val="000000"/>
          <w:sz w:val="22"/>
          <w:szCs w:val="22"/>
        </w:rPr>
        <w:tab/>
        <w:t>Provide estimates of the hour burden of the collection of information. The statement should indicate the number of respondents,</w:t>
      </w:r>
      <w:r w:rsidRPr="00263A5D">
        <w:rPr>
          <w:rFonts w:ascii="Arial" w:hAnsi="Arial" w:cs="Arial"/>
          <w:b/>
          <w:color w:val="000000"/>
          <w:sz w:val="22"/>
          <w:szCs w:val="22"/>
        </w:rPr>
        <w:t xml:space="preserve"> frequency of response, annual hour burden, and an explanation of how the burden was estimated.</w:t>
      </w:r>
    </w:p>
    <w:p w:rsidRPr="00E6180D" w:rsidR="00A864C3" w:rsidP="0092693A" w:rsidRDefault="00A864C3">
      <w:pPr>
        <w:pStyle w:val="P1-StandPara"/>
        <w:spacing w:line="240" w:lineRule="auto"/>
        <w:ind w:firstLine="0"/>
        <w:jc w:val="left"/>
        <w:rPr>
          <w:rFonts w:ascii="Arial" w:hAnsi="Arial" w:cs="Arial"/>
          <w:szCs w:val="22"/>
        </w:rPr>
      </w:pPr>
    </w:p>
    <w:p w:rsidRPr="00E6180D" w:rsidR="00E6180D" w:rsidP="00E6180D" w:rsidRDefault="00E6180D">
      <w:pPr>
        <w:ind w:left="720"/>
        <w:contextualSpacing/>
        <w:rPr>
          <w:rFonts w:ascii="Arial" w:hAnsi="Arial" w:cs="Arial"/>
          <w:sz w:val="22"/>
          <w:szCs w:val="22"/>
        </w:rPr>
      </w:pPr>
      <w:r w:rsidRPr="00E6180D">
        <w:rPr>
          <w:rFonts w:ascii="Arial" w:hAnsi="Arial" w:cs="Arial"/>
          <w:sz w:val="22"/>
          <w:szCs w:val="22"/>
        </w:rPr>
        <w:t xml:space="preserve">Selected </w:t>
      </w:r>
      <w:r w:rsidR="000150FC">
        <w:rPr>
          <w:rFonts w:ascii="Arial" w:hAnsi="Arial" w:cs="Arial"/>
          <w:sz w:val="22"/>
          <w:szCs w:val="22"/>
        </w:rPr>
        <w:t>terminal blenders</w:t>
      </w:r>
      <w:r w:rsidRPr="00E6180D">
        <w:rPr>
          <w:rFonts w:ascii="Arial" w:hAnsi="Arial" w:cs="Arial"/>
          <w:sz w:val="22"/>
          <w:szCs w:val="22"/>
        </w:rPr>
        <w:t xml:space="preserve"> would consist of those currently in the EIA-</w:t>
      </w:r>
      <w:r w:rsidR="008E54D4">
        <w:rPr>
          <w:rFonts w:ascii="Arial" w:hAnsi="Arial" w:cs="Arial"/>
          <w:sz w:val="22"/>
          <w:szCs w:val="22"/>
        </w:rPr>
        <w:t>805</w:t>
      </w:r>
      <w:r w:rsidRPr="00E6180D">
        <w:rPr>
          <w:rFonts w:ascii="Arial" w:hAnsi="Arial" w:cs="Arial"/>
          <w:sz w:val="22"/>
          <w:szCs w:val="22"/>
        </w:rPr>
        <w:t xml:space="preserve"> sample that are located in </w:t>
      </w:r>
      <w:r w:rsidR="000150FC">
        <w:rPr>
          <w:rFonts w:ascii="Arial" w:hAnsi="Arial" w:cs="Arial"/>
          <w:sz w:val="22"/>
          <w:szCs w:val="22"/>
        </w:rPr>
        <w:t>PADD 1 and PADD 3.</w:t>
      </w:r>
      <w:r w:rsidRPr="00E6180D">
        <w:rPr>
          <w:rFonts w:ascii="Arial" w:hAnsi="Arial" w:cs="Arial"/>
          <w:sz w:val="22"/>
          <w:szCs w:val="22"/>
        </w:rPr>
        <w:t xml:space="preserve">  </w:t>
      </w:r>
    </w:p>
    <w:p w:rsidRPr="00E6180D" w:rsidR="00E6180D" w:rsidP="00E6180D" w:rsidRDefault="00E6180D">
      <w:pPr>
        <w:ind w:left="720"/>
        <w:contextualSpacing/>
        <w:rPr>
          <w:rFonts w:ascii="Arial" w:hAnsi="Arial" w:cs="Arial"/>
          <w:sz w:val="22"/>
          <w:szCs w:val="22"/>
        </w:rPr>
      </w:pPr>
    </w:p>
    <w:p w:rsidRPr="00E6180D" w:rsidR="00E6180D" w:rsidP="00E6180D" w:rsidRDefault="00E6180D">
      <w:pPr>
        <w:ind w:left="720"/>
        <w:contextualSpacing/>
        <w:rPr>
          <w:rFonts w:ascii="Arial" w:hAnsi="Arial" w:cs="Arial"/>
          <w:sz w:val="22"/>
          <w:szCs w:val="22"/>
        </w:rPr>
      </w:pPr>
      <w:r w:rsidRPr="002A6F3A">
        <w:rPr>
          <w:rFonts w:ascii="Arial" w:hAnsi="Arial" w:cs="Arial"/>
          <w:sz w:val="22"/>
          <w:szCs w:val="22"/>
        </w:rPr>
        <w:t xml:space="preserve">The total burden is estimated to be </w:t>
      </w:r>
      <w:r w:rsidRPr="002A6F3A" w:rsidR="002A6F3A">
        <w:rPr>
          <w:rFonts w:ascii="Arial" w:hAnsi="Arial" w:cs="Arial"/>
          <w:sz w:val="22"/>
          <w:szCs w:val="22"/>
        </w:rPr>
        <w:t>9,696</w:t>
      </w:r>
      <w:r w:rsidRPr="002A6F3A">
        <w:rPr>
          <w:rFonts w:ascii="Arial" w:hAnsi="Arial" w:cs="Arial"/>
          <w:sz w:val="22"/>
          <w:szCs w:val="22"/>
        </w:rPr>
        <w:t xml:space="preserve"> hours, i.e., </w:t>
      </w:r>
      <w:r w:rsidRPr="002A6F3A" w:rsidR="002A6F3A">
        <w:rPr>
          <w:rFonts w:ascii="Arial" w:hAnsi="Arial" w:cs="Arial"/>
          <w:sz w:val="22"/>
          <w:szCs w:val="22"/>
        </w:rPr>
        <w:t>1.6</w:t>
      </w:r>
      <w:r w:rsidRPr="002A6F3A">
        <w:rPr>
          <w:rFonts w:ascii="Arial" w:hAnsi="Arial" w:cs="Arial"/>
          <w:sz w:val="22"/>
          <w:szCs w:val="22"/>
        </w:rPr>
        <w:t xml:space="preserve"> hours per </w:t>
      </w:r>
      <w:r w:rsidRPr="002A6F3A" w:rsidR="002A6F3A">
        <w:rPr>
          <w:rFonts w:ascii="Arial" w:hAnsi="Arial" w:cs="Arial"/>
          <w:sz w:val="22"/>
          <w:szCs w:val="22"/>
        </w:rPr>
        <w:t xml:space="preserve">terminal blender </w:t>
      </w:r>
      <w:r w:rsidRPr="002A6F3A">
        <w:rPr>
          <w:rFonts w:ascii="Arial" w:hAnsi="Arial" w:cs="Arial"/>
          <w:sz w:val="22"/>
          <w:szCs w:val="22"/>
        </w:rPr>
        <w:t xml:space="preserve">times </w:t>
      </w:r>
      <w:r w:rsidRPr="002A6F3A" w:rsidR="002A6F3A">
        <w:rPr>
          <w:rFonts w:ascii="Arial" w:hAnsi="Arial" w:cs="Arial"/>
          <w:sz w:val="22"/>
          <w:szCs w:val="22"/>
        </w:rPr>
        <w:t xml:space="preserve">15 </w:t>
      </w:r>
      <w:r w:rsidRPr="002A6F3A">
        <w:rPr>
          <w:rFonts w:ascii="Arial" w:hAnsi="Arial" w:cs="Arial"/>
          <w:sz w:val="22"/>
          <w:szCs w:val="22"/>
        </w:rPr>
        <w:t xml:space="preserve">days times </w:t>
      </w:r>
      <w:r w:rsidRPr="002A6F3A" w:rsidR="002A6F3A">
        <w:rPr>
          <w:rFonts w:ascii="Arial" w:hAnsi="Arial" w:cs="Arial"/>
          <w:sz w:val="22"/>
          <w:szCs w:val="22"/>
        </w:rPr>
        <w:t>404 terminal blenders</w:t>
      </w:r>
      <w:r w:rsidRPr="002A6F3A">
        <w:rPr>
          <w:rFonts w:ascii="Arial" w:hAnsi="Arial" w:cs="Arial"/>
          <w:sz w:val="22"/>
          <w:szCs w:val="22"/>
        </w:rPr>
        <w:t>.  The estimated total additional cost to respondents for the burden hours is estimated to be $</w:t>
      </w:r>
      <w:r w:rsidRPr="002A6F3A" w:rsidR="002A6F3A">
        <w:rPr>
          <w:rFonts w:ascii="Arial" w:hAnsi="Arial" w:cs="Arial"/>
          <w:sz w:val="22"/>
          <w:szCs w:val="22"/>
        </w:rPr>
        <w:t>791,678</w:t>
      </w:r>
      <w:r w:rsidRPr="002A6F3A">
        <w:rPr>
          <w:rFonts w:ascii="Arial" w:hAnsi="Arial" w:cs="Arial"/>
          <w:sz w:val="22"/>
          <w:szCs w:val="22"/>
        </w:rPr>
        <w:t xml:space="preserve"> dollars, i.e., </w:t>
      </w:r>
      <w:r w:rsidRPr="002A6F3A" w:rsidR="002A6F3A">
        <w:rPr>
          <w:rFonts w:ascii="Arial" w:hAnsi="Arial" w:cs="Arial"/>
          <w:sz w:val="22"/>
          <w:szCs w:val="22"/>
        </w:rPr>
        <w:t xml:space="preserve">9,696 </w:t>
      </w:r>
      <w:r w:rsidRPr="002A6F3A">
        <w:rPr>
          <w:rFonts w:ascii="Arial" w:hAnsi="Arial" w:cs="Arial"/>
          <w:sz w:val="22"/>
          <w:szCs w:val="22"/>
        </w:rPr>
        <w:t>hours times $81.65 per hour. (The average loaded salary plus benefits for an EIA employee is $81.65 per hour).  In fact, the actual burden to respondents may be less</w:t>
      </w:r>
      <w:r w:rsidRPr="002A6F3A" w:rsidR="002A6F3A">
        <w:rPr>
          <w:rFonts w:ascii="Arial" w:hAnsi="Arial" w:cs="Arial"/>
          <w:sz w:val="22"/>
          <w:szCs w:val="22"/>
        </w:rPr>
        <w:t xml:space="preserve"> as this information is already reported on the existing EIA-805; and,</w:t>
      </w:r>
      <w:r w:rsidRPr="002A6F3A">
        <w:rPr>
          <w:rFonts w:ascii="Arial" w:hAnsi="Arial" w:cs="Arial"/>
          <w:sz w:val="22"/>
          <w:szCs w:val="22"/>
        </w:rPr>
        <w:t xml:space="preserve"> because no data collection is necessary once supplies have stabilized to normal levels in </w:t>
      </w:r>
      <w:r w:rsidRPr="002A6F3A" w:rsidR="002A6F3A">
        <w:rPr>
          <w:rFonts w:ascii="Arial" w:hAnsi="Arial" w:cs="Arial"/>
          <w:sz w:val="22"/>
          <w:szCs w:val="22"/>
        </w:rPr>
        <w:t>PADD 1 and PADD 3.</w:t>
      </w:r>
    </w:p>
    <w:p w:rsidRPr="00E6180D" w:rsidR="00B62868" w:rsidP="00E6180D" w:rsidRDefault="00B62868">
      <w:pPr>
        <w:contextualSpacing/>
        <w:rPr>
          <w:rFonts w:ascii="Arial" w:hAnsi="Arial" w:cs="Arial"/>
          <w:sz w:val="22"/>
          <w:szCs w:val="22"/>
        </w:rPr>
      </w:pPr>
    </w:p>
    <w:p w:rsidRPr="00E6180D" w:rsidR="00E6180D" w:rsidP="002A6F3A" w:rsidRDefault="00F04FC2">
      <w:pPr>
        <w:contextualSpacing/>
        <w:rPr>
          <w:rFonts w:ascii="Arial" w:hAnsi="Arial" w:cs="Arial"/>
          <w:sz w:val="22"/>
          <w:szCs w:val="22"/>
        </w:rPr>
      </w:pPr>
      <w:r>
        <w:rPr>
          <w:rFonts w:ascii="Arial" w:hAnsi="Arial" w:cs="Arial"/>
          <w:sz w:val="22"/>
          <w:szCs w:val="22"/>
        </w:rPr>
        <w:br w:type="page"/>
      </w:r>
      <w:r w:rsidRPr="00E6180D" w:rsidR="00E6180D">
        <w:rPr>
          <w:rFonts w:ascii="Arial" w:hAnsi="Arial" w:cs="Arial"/>
          <w:sz w:val="22"/>
          <w:szCs w:val="22"/>
        </w:rPr>
        <w:lastRenderedPageBreak/>
        <w:t>Table 1.</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6"/>
        <w:gridCol w:w="1602"/>
        <w:gridCol w:w="1447"/>
        <w:gridCol w:w="1389"/>
        <w:gridCol w:w="1713"/>
      </w:tblGrid>
      <w:tr w:rsidRPr="00E6180D" w:rsidR="00E6180D" w:rsidTr="00E6180D">
        <w:trPr>
          <w:jc w:val="center"/>
        </w:trPr>
        <w:tc>
          <w:tcPr>
            <w:tcW w:w="1386" w:type="dxa"/>
          </w:tcPr>
          <w:p w:rsidRPr="00E6180D" w:rsidR="00E6180D" w:rsidP="007707D6" w:rsidRDefault="00E6180D">
            <w:pPr>
              <w:contextualSpacing/>
              <w:jc w:val="center"/>
              <w:rPr>
                <w:rFonts w:ascii="Arial" w:hAnsi="Arial" w:cs="Arial"/>
                <w:sz w:val="22"/>
                <w:szCs w:val="22"/>
              </w:rPr>
            </w:pPr>
            <w:r w:rsidRPr="00E6180D">
              <w:rPr>
                <w:rFonts w:ascii="Arial" w:hAnsi="Arial" w:cs="Arial"/>
                <w:sz w:val="22"/>
                <w:szCs w:val="22"/>
              </w:rPr>
              <w:t xml:space="preserve">Number of </w:t>
            </w:r>
            <w:r w:rsidR="007707D6">
              <w:rPr>
                <w:rFonts w:ascii="Arial" w:hAnsi="Arial" w:cs="Arial"/>
                <w:sz w:val="22"/>
                <w:szCs w:val="22"/>
              </w:rPr>
              <w:t>Terminal Blenders</w:t>
            </w:r>
          </w:p>
        </w:tc>
        <w:tc>
          <w:tcPr>
            <w:tcW w:w="1602" w:type="dxa"/>
          </w:tcPr>
          <w:p w:rsidRPr="00E6180D" w:rsidR="00E6180D" w:rsidP="00300CF2" w:rsidRDefault="00E6180D">
            <w:pPr>
              <w:contextualSpacing/>
              <w:jc w:val="center"/>
              <w:rPr>
                <w:rFonts w:ascii="Arial" w:hAnsi="Arial" w:cs="Arial"/>
                <w:sz w:val="22"/>
                <w:szCs w:val="22"/>
              </w:rPr>
            </w:pPr>
            <w:r w:rsidRPr="00E6180D">
              <w:rPr>
                <w:rFonts w:ascii="Arial" w:hAnsi="Arial" w:cs="Arial"/>
                <w:sz w:val="22"/>
                <w:szCs w:val="22"/>
              </w:rPr>
              <w:t>Burden Hours</w:t>
            </w:r>
          </w:p>
        </w:tc>
        <w:tc>
          <w:tcPr>
            <w:tcW w:w="1447" w:type="dxa"/>
          </w:tcPr>
          <w:p w:rsidRPr="00E6180D" w:rsidR="00E6180D" w:rsidP="00300CF2" w:rsidRDefault="00E6180D">
            <w:pPr>
              <w:contextualSpacing/>
              <w:jc w:val="center"/>
              <w:rPr>
                <w:rFonts w:ascii="Arial" w:hAnsi="Arial" w:cs="Arial"/>
                <w:sz w:val="22"/>
                <w:szCs w:val="22"/>
              </w:rPr>
            </w:pPr>
            <w:r w:rsidRPr="00E6180D">
              <w:rPr>
                <w:rFonts w:ascii="Arial" w:hAnsi="Arial" w:cs="Arial"/>
                <w:sz w:val="22"/>
                <w:szCs w:val="22"/>
              </w:rPr>
              <w:t>Frequency</w:t>
            </w:r>
          </w:p>
        </w:tc>
        <w:tc>
          <w:tcPr>
            <w:tcW w:w="1389" w:type="dxa"/>
          </w:tcPr>
          <w:p w:rsidRPr="00E6180D" w:rsidR="00E6180D" w:rsidP="00300CF2" w:rsidRDefault="00E6180D">
            <w:pPr>
              <w:contextualSpacing/>
              <w:jc w:val="center"/>
              <w:rPr>
                <w:rFonts w:ascii="Arial" w:hAnsi="Arial" w:cs="Arial"/>
                <w:sz w:val="22"/>
                <w:szCs w:val="22"/>
              </w:rPr>
            </w:pPr>
            <w:r w:rsidRPr="00E6180D">
              <w:rPr>
                <w:rFonts w:ascii="Arial" w:hAnsi="Arial" w:cs="Arial"/>
                <w:sz w:val="22"/>
                <w:szCs w:val="22"/>
              </w:rPr>
              <w:t>Duration</w:t>
            </w:r>
          </w:p>
        </w:tc>
        <w:tc>
          <w:tcPr>
            <w:tcW w:w="1713" w:type="dxa"/>
          </w:tcPr>
          <w:p w:rsidRPr="00E6180D" w:rsidR="00E6180D" w:rsidP="00300CF2" w:rsidRDefault="00E6180D">
            <w:pPr>
              <w:contextualSpacing/>
              <w:jc w:val="center"/>
              <w:rPr>
                <w:rFonts w:ascii="Arial" w:hAnsi="Arial" w:cs="Arial"/>
                <w:sz w:val="22"/>
                <w:szCs w:val="22"/>
              </w:rPr>
            </w:pPr>
            <w:r w:rsidRPr="00E6180D">
              <w:rPr>
                <w:rFonts w:ascii="Arial" w:hAnsi="Arial" w:cs="Arial"/>
                <w:sz w:val="22"/>
                <w:szCs w:val="22"/>
              </w:rPr>
              <w:t>Total Burden Hours</w:t>
            </w:r>
          </w:p>
        </w:tc>
      </w:tr>
      <w:tr w:rsidRPr="00E6180D" w:rsidR="00E6180D" w:rsidTr="00E6180D">
        <w:trPr>
          <w:jc w:val="center"/>
        </w:trPr>
        <w:tc>
          <w:tcPr>
            <w:tcW w:w="1386" w:type="dxa"/>
          </w:tcPr>
          <w:p w:rsidRPr="00E6180D" w:rsidR="00E6180D" w:rsidP="00300CF2" w:rsidRDefault="00692E0C">
            <w:pPr>
              <w:contextualSpacing/>
              <w:jc w:val="center"/>
              <w:rPr>
                <w:rFonts w:ascii="Arial" w:hAnsi="Arial" w:cs="Arial"/>
                <w:sz w:val="22"/>
                <w:szCs w:val="22"/>
              </w:rPr>
            </w:pPr>
            <w:r>
              <w:rPr>
                <w:rFonts w:ascii="Arial" w:hAnsi="Arial" w:cs="Arial"/>
                <w:sz w:val="22"/>
                <w:szCs w:val="22"/>
              </w:rPr>
              <w:t>404</w:t>
            </w:r>
          </w:p>
        </w:tc>
        <w:tc>
          <w:tcPr>
            <w:tcW w:w="1602" w:type="dxa"/>
          </w:tcPr>
          <w:p w:rsidRPr="00E6180D" w:rsidR="00E6180D" w:rsidP="00300CF2" w:rsidRDefault="000150FC">
            <w:pPr>
              <w:contextualSpacing/>
              <w:jc w:val="center"/>
              <w:rPr>
                <w:rFonts w:ascii="Arial" w:hAnsi="Arial" w:cs="Arial"/>
                <w:sz w:val="22"/>
                <w:szCs w:val="22"/>
              </w:rPr>
            </w:pPr>
            <w:r w:rsidRPr="002A6F3A">
              <w:rPr>
                <w:rFonts w:ascii="Arial" w:hAnsi="Arial" w:cs="Arial"/>
                <w:sz w:val="22"/>
                <w:szCs w:val="22"/>
              </w:rPr>
              <w:t>1.6</w:t>
            </w:r>
            <w:r w:rsidRPr="002A6F3A" w:rsidR="00E6180D">
              <w:rPr>
                <w:rFonts w:ascii="Arial" w:hAnsi="Arial" w:cs="Arial"/>
                <w:sz w:val="22"/>
                <w:szCs w:val="22"/>
              </w:rPr>
              <w:t xml:space="preserve"> hours</w:t>
            </w:r>
          </w:p>
        </w:tc>
        <w:tc>
          <w:tcPr>
            <w:tcW w:w="1447" w:type="dxa"/>
          </w:tcPr>
          <w:p w:rsidRPr="00E6180D" w:rsidR="00E6180D" w:rsidP="00300CF2" w:rsidRDefault="002A6F3A">
            <w:pPr>
              <w:contextualSpacing/>
              <w:jc w:val="center"/>
              <w:rPr>
                <w:rFonts w:ascii="Arial" w:hAnsi="Arial" w:cs="Arial"/>
                <w:sz w:val="22"/>
                <w:szCs w:val="22"/>
              </w:rPr>
            </w:pPr>
            <w:r>
              <w:rPr>
                <w:rFonts w:ascii="Arial" w:hAnsi="Arial" w:cs="Arial"/>
                <w:sz w:val="22"/>
                <w:szCs w:val="22"/>
              </w:rPr>
              <w:t>On</w:t>
            </w:r>
            <w:r w:rsidR="004B4F34">
              <w:rPr>
                <w:rFonts w:ascii="Arial" w:hAnsi="Arial" w:cs="Arial"/>
                <w:sz w:val="22"/>
                <w:szCs w:val="22"/>
              </w:rPr>
              <w:t xml:space="preserve">e </w:t>
            </w:r>
            <w:r w:rsidR="00033981">
              <w:rPr>
                <w:rFonts w:ascii="Arial" w:hAnsi="Arial" w:cs="Arial"/>
                <w:sz w:val="22"/>
                <w:szCs w:val="22"/>
              </w:rPr>
              <w:t xml:space="preserve">additional </w:t>
            </w:r>
            <w:r w:rsidR="004B4F34">
              <w:rPr>
                <w:rFonts w:ascii="Arial" w:hAnsi="Arial" w:cs="Arial"/>
                <w:sz w:val="22"/>
                <w:szCs w:val="22"/>
              </w:rPr>
              <w:t>day</w:t>
            </w:r>
            <w:r>
              <w:rPr>
                <w:rFonts w:ascii="Arial" w:hAnsi="Arial" w:cs="Arial"/>
                <w:sz w:val="22"/>
                <w:szCs w:val="22"/>
              </w:rPr>
              <w:t xml:space="preserve"> per week</w:t>
            </w:r>
          </w:p>
        </w:tc>
        <w:tc>
          <w:tcPr>
            <w:tcW w:w="1389" w:type="dxa"/>
          </w:tcPr>
          <w:p w:rsidRPr="00E6180D" w:rsidR="00E6180D" w:rsidP="00300CF2" w:rsidRDefault="00692E0C">
            <w:pPr>
              <w:contextualSpacing/>
              <w:jc w:val="center"/>
              <w:rPr>
                <w:rFonts w:ascii="Arial" w:hAnsi="Arial" w:cs="Arial"/>
                <w:sz w:val="22"/>
                <w:szCs w:val="22"/>
              </w:rPr>
            </w:pPr>
            <w:r>
              <w:rPr>
                <w:rFonts w:ascii="Arial" w:hAnsi="Arial" w:cs="Arial"/>
                <w:sz w:val="22"/>
                <w:szCs w:val="22"/>
              </w:rPr>
              <w:t>15</w:t>
            </w:r>
            <w:r w:rsidRPr="00E6180D">
              <w:rPr>
                <w:rFonts w:ascii="Arial" w:hAnsi="Arial" w:cs="Arial"/>
                <w:sz w:val="22"/>
                <w:szCs w:val="22"/>
              </w:rPr>
              <w:t xml:space="preserve"> </w:t>
            </w:r>
            <w:r w:rsidR="004B4F34">
              <w:rPr>
                <w:rFonts w:ascii="Arial" w:hAnsi="Arial" w:cs="Arial"/>
                <w:sz w:val="22"/>
                <w:szCs w:val="22"/>
              </w:rPr>
              <w:t>weeks</w:t>
            </w:r>
          </w:p>
        </w:tc>
        <w:tc>
          <w:tcPr>
            <w:tcW w:w="1713" w:type="dxa"/>
          </w:tcPr>
          <w:p w:rsidRPr="00E6180D" w:rsidR="00E6180D" w:rsidP="00300CF2" w:rsidRDefault="002A6F3A">
            <w:pPr>
              <w:contextualSpacing/>
              <w:jc w:val="center"/>
              <w:rPr>
                <w:rFonts w:ascii="Arial" w:hAnsi="Arial" w:cs="Arial"/>
                <w:sz w:val="22"/>
                <w:szCs w:val="22"/>
              </w:rPr>
            </w:pPr>
            <w:r>
              <w:rPr>
                <w:rFonts w:ascii="Arial" w:hAnsi="Arial" w:cs="Arial"/>
                <w:sz w:val="22"/>
                <w:szCs w:val="22"/>
              </w:rPr>
              <w:t>9,696</w:t>
            </w:r>
          </w:p>
        </w:tc>
      </w:tr>
    </w:tbl>
    <w:p w:rsidRPr="00E6180D" w:rsidR="00E6180D" w:rsidP="00E6180D" w:rsidRDefault="00E6180D">
      <w:pPr>
        <w:contextualSpacing/>
        <w:rPr>
          <w:rFonts w:ascii="Arial" w:hAnsi="Arial" w:cs="Arial"/>
          <w:sz w:val="22"/>
          <w:szCs w:val="22"/>
        </w:rPr>
      </w:pPr>
    </w:p>
    <w:p w:rsidR="00E6180D" w:rsidP="00E6180D" w:rsidRDefault="00E6180D">
      <w:pPr>
        <w:ind w:left="720"/>
        <w:contextualSpacing/>
        <w:rPr>
          <w:rFonts w:ascii="Calibri" w:hAnsi="Calibri"/>
        </w:rPr>
      </w:pPr>
    </w:p>
    <w:p w:rsidRPr="00263A5D" w:rsidR="00924091" w:rsidP="00F63758" w:rsidRDefault="00924091">
      <w:pPr>
        <w:pStyle w:val="P1-StandPara"/>
        <w:spacing w:line="240" w:lineRule="auto"/>
        <w:ind w:left="720" w:firstLine="0"/>
        <w:jc w:val="left"/>
        <w:rPr>
          <w:rFonts w:ascii="Arial" w:hAnsi="Arial" w:cs="Arial"/>
          <w:b/>
          <w:color w:val="000000"/>
          <w:szCs w:val="22"/>
        </w:rPr>
      </w:pPr>
    </w:p>
    <w:p w:rsidRPr="00263A5D" w:rsidR="00A864C3" w:rsidP="001B5EAA" w:rsidRDefault="00A864C3">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color w:val="000000"/>
          <w:sz w:val="22"/>
          <w:szCs w:val="22"/>
        </w:rPr>
      </w:pPr>
      <w:r w:rsidRPr="00263A5D">
        <w:rPr>
          <w:rFonts w:ascii="Arial" w:hAnsi="Arial" w:cs="Arial"/>
          <w:b/>
          <w:color w:val="000000"/>
          <w:sz w:val="22"/>
          <w:szCs w:val="22"/>
        </w:rPr>
        <w:t>13.</w:t>
      </w:r>
      <w:r w:rsidRPr="00263A5D">
        <w:rPr>
          <w:rFonts w:ascii="Arial" w:hAnsi="Arial" w:cs="Arial"/>
          <w:b/>
          <w:color w:val="000000"/>
          <w:sz w:val="22"/>
          <w:szCs w:val="22"/>
        </w:rPr>
        <w:tab/>
        <w:t>Provide an estimate of the total annual cost burden to respondents or recordkeepers resulting from the collection of information.</w:t>
      </w:r>
    </w:p>
    <w:p w:rsidRPr="00263A5D" w:rsidR="00180675" w:rsidP="00F63758" w:rsidRDefault="00180675">
      <w:pPr>
        <w:pStyle w:val="P1-StandPara"/>
        <w:rPr>
          <w:rFonts w:ascii="Arial" w:hAnsi="Arial" w:cs="Arial"/>
          <w:szCs w:val="22"/>
        </w:rPr>
      </w:pPr>
    </w:p>
    <w:p w:rsidRPr="00263A5D" w:rsidR="00AF3BF7" w:rsidP="00F63758" w:rsidRDefault="00F63758">
      <w:pPr>
        <w:pStyle w:val="P1-StandPara"/>
        <w:spacing w:line="240" w:lineRule="auto"/>
        <w:ind w:left="720" w:firstLine="0"/>
        <w:jc w:val="left"/>
        <w:rPr>
          <w:rFonts w:ascii="Arial" w:hAnsi="Arial" w:cs="Arial"/>
          <w:szCs w:val="22"/>
        </w:rPr>
      </w:pPr>
      <w:r w:rsidRPr="00E6180D">
        <w:rPr>
          <w:rFonts w:ascii="Arial" w:hAnsi="Arial" w:cs="Arial"/>
          <w:szCs w:val="22"/>
        </w:rPr>
        <w:t xml:space="preserve">There are no capital/startup or ongoing operation/maintenance costs associated with this </w:t>
      </w:r>
      <w:r w:rsidRPr="00E6180D" w:rsidR="00E6180D">
        <w:rPr>
          <w:rFonts w:ascii="Arial" w:hAnsi="Arial" w:cs="Arial"/>
          <w:szCs w:val="22"/>
        </w:rPr>
        <w:t>proposed emergency data collection as the information requested already matches existing record keeping practices of the respondent</w:t>
      </w:r>
      <w:r w:rsidR="008E54D4">
        <w:rPr>
          <w:rFonts w:ascii="Arial" w:hAnsi="Arial" w:cs="Arial"/>
          <w:szCs w:val="22"/>
        </w:rPr>
        <w:t>s that report on the EIA-805.</w:t>
      </w:r>
    </w:p>
    <w:p w:rsidR="00AF3BF7" w:rsidP="00F63758" w:rsidRDefault="00AF3BF7">
      <w:pPr>
        <w:pStyle w:val="P1-StandPara"/>
        <w:rPr>
          <w:rFonts w:ascii="Arial" w:hAnsi="Arial" w:cs="Arial"/>
          <w:szCs w:val="22"/>
        </w:rPr>
      </w:pPr>
    </w:p>
    <w:p w:rsidRPr="00263A5D" w:rsidR="002A6F3A" w:rsidP="00F63758" w:rsidRDefault="002A6F3A">
      <w:pPr>
        <w:pStyle w:val="P1-StandPara"/>
        <w:rPr>
          <w:rFonts w:ascii="Arial" w:hAnsi="Arial" w:cs="Arial"/>
          <w:szCs w:val="22"/>
        </w:rPr>
      </w:pPr>
    </w:p>
    <w:p w:rsidRPr="00263A5D" w:rsidR="00A864C3" w:rsidP="00CC53C2" w:rsidRDefault="00A864C3">
      <w:pPr>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color w:val="000000"/>
          <w:sz w:val="22"/>
          <w:szCs w:val="22"/>
        </w:rPr>
      </w:pPr>
      <w:r w:rsidRPr="00263A5D">
        <w:rPr>
          <w:rFonts w:ascii="Arial" w:hAnsi="Arial" w:cs="Arial"/>
          <w:b/>
          <w:color w:val="000000"/>
          <w:sz w:val="22"/>
          <w:szCs w:val="22"/>
        </w:rPr>
        <w:t>14.</w:t>
      </w:r>
      <w:r w:rsidRPr="00263A5D">
        <w:rPr>
          <w:rFonts w:ascii="Arial" w:hAnsi="Arial" w:cs="Arial"/>
          <w:b/>
          <w:color w:val="000000"/>
          <w:sz w:val="22"/>
          <w:szCs w:val="22"/>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Pr="00263A5D" w:rsidR="00180675" w:rsidP="0092693A" w:rsidRDefault="00180675">
      <w:pPr>
        <w:keepLines/>
        <w:tabs>
          <w:tab w:val="left" w:pos="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30"/>
        <w:rPr>
          <w:rFonts w:ascii="Arial" w:hAnsi="Arial" w:cs="Arial"/>
          <w:color w:val="000000"/>
          <w:sz w:val="22"/>
          <w:szCs w:val="22"/>
        </w:rPr>
      </w:pPr>
    </w:p>
    <w:p w:rsidRPr="00263A5D" w:rsidR="00756DF3" w:rsidP="00CC53C2" w:rsidRDefault="002B6595">
      <w:pPr>
        <w:pStyle w:val="P1-StandPara"/>
        <w:spacing w:line="240" w:lineRule="auto"/>
        <w:ind w:left="720" w:firstLine="0"/>
        <w:jc w:val="left"/>
        <w:rPr>
          <w:rFonts w:ascii="Arial" w:hAnsi="Arial" w:cs="Arial"/>
          <w:color w:val="FF0000"/>
          <w:szCs w:val="22"/>
        </w:rPr>
      </w:pPr>
      <w:r>
        <w:rPr>
          <w:rFonts w:ascii="Arial" w:hAnsi="Arial" w:cs="Arial"/>
          <w:szCs w:val="22"/>
        </w:rPr>
        <w:t xml:space="preserve">The estimated cost to the federal government to conduct this emergency survey is </w:t>
      </w:r>
      <w:r w:rsidR="00692E0C">
        <w:rPr>
          <w:rFonts w:ascii="Arial" w:hAnsi="Arial" w:cs="Arial"/>
          <w:szCs w:val="22"/>
        </w:rPr>
        <w:t xml:space="preserve">$200,000. </w:t>
      </w:r>
    </w:p>
    <w:p w:rsidR="00756DF3" w:rsidP="0092693A" w:rsidRDefault="00756DF3">
      <w:pPr>
        <w:pStyle w:val="P1-StandPara"/>
        <w:spacing w:line="240" w:lineRule="auto"/>
        <w:jc w:val="left"/>
        <w:rPr>
          <w:rFonts w:ascii="Arial" w:hAnsi="Arial" w:cs="Arial"/>
          <w:szCs w:val="22"/>
        </w:rPr>
      </w:pPr>
    </w:p>
    <w:p w:rsidRPr="00263A5D" w:rsidR="002A6F3A" w:rsidP="0092693A" w:rsidRDefault="002A6F3A">
      <w:pPr>
        <w:pStyle w:val="P1-StandPara"/>
        <w:spacing w:line="240" w:lineRule="auto"/>
        <w:jc w:val="left"/>
        <w:rPr>
          <w:rFonts w:ascii="Arial" w:hAnsi="Arial" w:cs="Arial"/>
          <w:szCs w:val="22"/>
        </w:rPr>
      </w:pPr>
    </w:p>
    <w:p w:rsidRPr="00263A5D" w:rsidR="00A864C3" w:rsidP="00CC53C2" w:rsidRDefault="00A864C3">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color w:val="000000"/>
          <w:sz w:val="22"/>
          <w:szCs w:val="22"/>
        </w:rPr>
      </w:pPr>
      <w:r w:rsidRPr="00263A5D">
        <w:rPr>
          <w:rFonts w:ascii="Arial" w:hAnsi="Arial" w:cs="Arial"/>
          <w:b/>
          <w:color w:val="000000"/>
          <w:sz w:val="22"/>
          <w:szCs w:val="22"/>
        </w:rPr>
        <w:t>15.</w:t>
      </w:r>
      <w:r w:rsidRPr="00263A5D">
        <w:rPr>
          <w:rFonts w:ascii="Arial" w:hAnsi="Arial" w:cs="Arial"/>
          <w:b/>
          <w:color w:val="000000"/>
          <w:sz w:val="22"/>
          <w:szCs w:val="22"/>
        </w:rPr>
        <w:tab/>
        <w:t>Explain the reasons for any program changes or adjustments reported in Items 13 or 14 of the OMB Form 83-I (reasons for changes in burden).</w:t>
      </w:r>
    </w:p>
    <w:p w:rsidRPr="00263A5D" w:rsidR="00A864C3" w:rsidP="0092693A" w:rsidRDefault="00A864C3">
      <w:pPr>
        <w:tabs>
          <w:tab w:val="left" w:pos="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30"/>
        <w:rPr>
          <w:rFonts w:ascii="Arial" w:hAnsi="Arial" w:cs="Arial"/>
          <w:color w:val="000000"/>
          <w:sz w:val="22"/>
          <w:szCs w:val="22"/>
        </w:rPr>
      </w:pPr>
    </w:p>
    <w:p w:rsidRPr="00263A5D" w:rsidR="00756DF3" w:rsidP="00CC53C2" w:rsidRDefault="00F63758">
      <w:pPr>
        <w:ind w:left="720"/>
        <w:rPr>
          <w:rFonts w:ascii="Arial" w:hAnsi="Arial" w:cs="Arial"/>
          <w:sz w:val="22"/>
          <w:szCs w:val="22"/>
        </w:rPr>
      </w:pPr>
      <w:r w:rsidRPr="00263A5D">
        <w:rPr>
          <w:rFonts w:ascii="Arial" w:hAnsi="Arial" w:cs="Arial"/>
          <w:sz w:val="22"/>
          <w:szCs w:val="22"/>
        </w:rPr>
        <w:t>This is a new collection</w:t>
      </w:r>
      <w:r w:rsidR="00E6180D">
        <w:rPr>
          <w:rFonts w:ascii="Arial" w:hAnsi="Arial" w:cs="Arial"/>
          <w:sz w:val="22"/>
          <w:szCs w:val="22"/>
        </w:rPr>
        <w:t xml:space="preserve"> request</w:t>
      </w:r>
      <w:r w:rsidRPr="00263A5D" w:rsidR="00756DF3">
        <w:rPr>
          <w:rFonts w:ascii="Arial" w:hAnsi="Arial" w:cs="Arial"/>
          <w:sz w:val="22"/>
          <w:szCs w:val="22"/>
        </w:rPr>
        <w:t xml:space="preserve">.  </w:t>
      </w:r>
    </w:p>
    <w:p w:rsidR="00756DF3" w:rsidP="0092693A" w:rsidRDefault="00756DF3">
      <w:pPr>
        <w:pStyle w:val="P1-StandPara"/>
        <w:spacing w:line="240" w:lineRule="auto"/>
        <w:rPr>
          <w:rFonts w:ascii="Arial" w:hAnsi="Arial" w:cs="Arial"/>
          <w:szCs w:val="22"/>
        </w:rPr>
      </w:pPr>
    </w:p>
    <w:p w:rsidRPr="00263A5D" w:rsidR="002A6F3A" w:rsidP="0092693A" w:rsidRDefault="002A6F3A">
      <w:pPr>
        <w:pStyle w:val="P1-StandPara"/>
        <w:spacing w:line="240" w:lineRule="auto"/>
        <w:rPr>
          <w:rFonts w:ascii="Arial" w:hAnsi="Arial" w:cs="Arial"/>
          <w:szCs w:val="22"/>
        </w:rPr>
      </w:pPr>
    </w:p>
    <w:p w:rsidRPr="00E6180D" w:rsidR="00A864C3" w:rsidP="00CC53C2" w:rsidRDefault="00A864C3">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color w:val="000000"/>
          <w:sz w:val="22"/>
          <w:szCs w:val="22"/>
        </w:rPr>
      </w:pPr>
      <w:r w:rsidRPr="00263A5D">
        <w:rPr>
          <w:rFonts w:ascii="Arial" w:hAnsi="Arial" w:cs="Arial"/>
          <w:b/>
          <w:color w:val="000000"/>
          <w:sz w:val="22"/>
          <w:szCs w:val="22"/>
        </w:rPr>
        <w:t>16.</w:t>
      </w:r>
      <w:r w:rsidRPr="00263A5D">
        <w:rPr>
          <w:rFonts w:ascii="Arial" w:hAnsi="Arial" w:cs="Arial"/>
          <w:b/>
          <w:color w:val="000000"/>
          <w:sz w:val="22"/>
          <w:szCs w:val="22"/>
        </w:rPr>
        <w:tab/>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E6180D">
        <w:rPr>
          <w:rFonts w:ascii="Arial" w:hAnsi="Arial" w:cs="Arial"/>
          <w:b/>
          <w:color w:val="000000"/>
          <w:sz w:val="22"/>
          <w:szCs w:val="22"/>
        </w:rPr>
        <w:t>ending dates of the collection of information, completion of report, publication dates, and other actions.</w:t>
      </w:r>
      <w:r w:rsidRPr="00E6180D">
        <w:rPr>
          <w:rFonts w:ascii="Arial" w:hAnsi="Arial" w:cs="Arial"/>
          <w:color w:val="000000"/>
          <w:sz w:val="22"/>
          <w:szCs w:val="22"/>
        </w:rPr>
        <w:t xml:space="preserve"> </w:t>
      </w:r>
    </w:p>
    <w:p w:rsidRPr="00E6180D" w:rsidR="00A864C3" w:rsidP="0092693A" w:rsidRDefault="00A864C3">
      <w:pPr>
        <w:pStyle w:val="BodyText"/>
        <w:tabs>
          <w:tab w:val="left" w:pos="1170"/>
        </w:tabs>
        <w:spacing w:after="0"/>
        <w:rPr>
          <w:rFonts w:ascii="Arial" w:hAnsi="Arial" w:cs="Arial"/>
          <w:szCs w:val="22"/>
        </w:rPr>
      </w:pPr>
    </w:p>
    <w:p w:rsidRPr="00F258B3" w:rsidR="000150FC" w:rsidP="000150FC" w:rsidRDefault="00E6180D">
      <w:pPr>
        <w:ind w:left="720"/>
        <w:contextualSpacing/>
        <w:rPr>
          <w:rFonts w:ascii="Arial" w:hAnsi="Arial" w:cs="Arial"/>
          <w:sz w:val="22"/>
          <w:szCs w:val="22"/>
        </w:rPr>
      </w:pPr>
      <w:r w:rsidRPr="00E6180D">
        <w:rPr>
          <w:rFonts w:ascii="Arial" w:hAnsi="Arial" w:cs="Arial"/>
          <w:sz w:val="22"/>
          <w:szCs w:val="22"/>
        </w:rPr>
        <w:t xml:space="preserve">Upon receipt of </w:t>
      </w:r>
      <w:r>
        <w:rPr>
          <w:rFonts w:ascii="Arial" w:hAnsi="Arial" w:cs="Arial"/>
          <w:sz w:val="22"/>
          <w:szCs w:val="22"/>
        </w:rPr>
        <w:t>these data</w:t>
      </w:r>
      <w:r w:rsidRPr="00E6180D">
        <w:rPr>
          <w:rFonts w:ascii="Arial" w:hAnsi="Arial" w:cs="Arial"/>
          <w:sz w:val="22"/>
          <w:szCs w:val="22"/>
        </w:rPr>
        <w:t xml:space="preserve">, </w:t>
      </w:r>
      <w:r w:rsidRPr="00263A5D" w:rsidR="000150FC">
        <w:rPr>
          <w:rFonts w:ascii="Arial" w:hAnsi="Arial" w:cs="Arial"/>
          <w:sz w:val="22"/>
          <w:szCs w:val="22"/>
        </w:rPr>
        <w:t xml:space="preserve">EIA would publish </w:t>
      </w:r>
      <w:r w:rsidR="002D312B">
        <w:rPr>
          <w:rFonts w:ascii="Arial" w:hAnsi="Arial" w:cs="Arial"/>
          <w:sz w:val="22"/>
          <w:szCs w:val="22"/>
        </w:rPr>
        <w:t xml:space="preserve">on its website </w:t>
      </w:r>
      <w:r w:rsidRPr="00263A5D" w:rsidR="000150FC">
        <w:rPr>
          <w:rFonts w:ascii="Arial" w:hAnsi="Arial" w:cs="Arial"/>
          <w:sz w:val="22"/>
          <w:szCs w:val="22"/>
        </w:rPr>
        <w:t>the aggregate statistics</w:t>
      </w:r>
      <w:r w:rsidR="000150FC">
        <w:rPr>
          <w:rFonts w:ascii="Arial" w:hAnsi="Arial" w:cs="Arial"/>
          <w:sz w:val="22"/>
          <w:szCs w:val="22"/>
        </w:rPr>
        <w:t xml:space="preserve"> for crude oil and petroleum products for PADD 1 (including the sub-PADDs 1a (New England), 1b (Central Atlantic), 1c (Lower Atlantic)</w:t>
      </w:r>
      <w:r w:rsidR="002D312B">
        <w:rPr>
          <w:rFonts w:ascii="Arial" w:hAnsi="Arial" w:cs="Arial"/>
          <w:sz w:val="22"/>
          <w:szCs w:val="22"/>
        </w:rPr>
        <w:t>)</w:t>
      </w:r>
      <w:r w:rsidR="000150FC">
        <w:rPr>
          <w:rFonts w:ascii="Arial" w:hAnsi="Arial" w:cs="Arial"/>
          <w:sz w:val="22"/>
          <w:szCs w:val="22"/>
        </w:rPr>
        <w:t xml:space="preserve"> and PADD 3 (Gulf Coast)</w:t>
      </w:r>
      <w:r w:rsidRPr="00263A5D" w:rsidR="000150FC">
        <w:rPr>
          <w:rFonts w:ascii="Arial" w:hAnsi="Arial" w:cs="Arial"/>
          <w:sz w:val="22"/>
          <w:szCs w:val="22"/>
        </w:rPr>
        <w:t xml:space="preserve">. The Secretary of Energy routinely uses data </w:t>
      </w:r>
      <w:r w:rsidR="000150FC">
        <w:rPr>
          <w:rFonts w:ascii="Arial" w:hAnsi="Arial" w:cs="Arial"/>
          <w:sz w:val="22"/>
          <w:szCs w:val="22"/>
        </w:rPr>
        <w:t xml:space="preserve">produced by the EIA-805 </w:t>
      </w:r>
      <w:r w:rsidRPr="00263A5D" w:rsidR="000150FC">
        <w:rPr>
          <w:rFonts w:ascii="Arial" w:hAnsi="Arial" w:cs="Arial"/>
          <w:sz w:val="22"/>
          <w:szCs w:val="22"/>
        </w:rPr>
        <w:t xml:space="preserve">to monitor </w:t>
      </w:r>
      <w:r w:rsidR="000150FC">
        <w:rPr>
          <w:rFonts w:ascii="Arial" w:hAnsi="Arial" w:cs="Arial"/>
          <w:sz w:val="22"/>
          <w:szCs w:val="22"/>
        </w:rPr>
        <w:t>crude oil and petroleum products supply on the data in her</w:t>
      </w:r>
      <w:r w:rsidRPr="00263A5D" w:rsidR="000150FC">
        <w:rPr>
          <w:rFonts w:ascii="Arial" w:hAnsi="Arial" w:cs="Arial"/>
          <w:sz w:val="22"/>
          <w:szCs w:val="22"/>
        </w:rPr>
        <w:t xml:space="preserve"> reports to the Congress and the White House. EIA would conduct this collection to better inform the government </w:t>
      </w:r>
      <w:r w:rsidR="000150FC">
        <w:rPr>
          <w:rFonts w:ascii="Arial" w:hAnsi="Arial" w:cs="Arial"/>
          <w:sz w:val="22"/>
          <w:szCs w:val="22"/>
        </w:rPr>
        <w:t xml:space="preserve">and public </w:t>
      </w:r>
      <w:r w:rsidRPr="00263A5D" w:rsidR="000150FC">
        <w:rPr>
          <w:rFonts w:ascii="Arial" w:hAnsi="Arial" w:cs="Arial"/>
          <w:sz w:val="22"/>
          <w:szCs w:val="22"/>
        </w:rPr>
        <w:t xml:space="preserve">as it relates to the </w:t>
      </w:r>
      <w:r w:rsidR="000150FC">
        <w:rPr>
          <w:rFonts w:ascii="Arial" w:hAnsi="Arial" w:cs="Arial"/>
          <w:sz w:val="22"/>
          <w:szCs w:val="22"/>
        </w:rPr>
        <w:t>effects on supply</w:t>
      </w:r>
      <w:r w:rsidRPr="00263A5D" w:rsidR="000150FC">
        <w:rPr>
          <w:rFonts w:ascii="Arial" w:hAnsi="Arial" w:cs="Arial"/>
          <w:sz w:val="22"/>
          <w:szCs w:val="22"/>
        </w:rPr>
        <w:t xml:space="preserve"> as an outgrowth of the cyberattack which ha</w:t>
      </w:r>
      <w:r w:rsidR="000150FC">
        <w:rPr>
          <w:rFonts w:ascii="Arial" w:hAnsi="Arial" w:cs="Arial"/>
          <w:sz w:val="22"/>
          <w:szCs w:val="22"/>
        </w:rPr>
        <w:t>d</w:t>
      </w:r>
      <w:r w:rsidRPr="00263A5D" w:rsidR="000150FC">
        <w:rPr>
          <w:rFonts w:ascii="Arial" w:hAnsi="Arial" w:cs="Arial"/>
          <w:sz w:val="22"/>
          <w:szCs w:val="22"/>
        </w:rPr>
        <w:t xml:space="preserve"> halted fuel movement on the </w:t>
      </w:r>
      <w:r w:rsidRPr="00F258B3" w:rsidR="000150FC">
        <w:rPr>
          <w:rFonts w:ascii="Arial" w:hAnsi="Arial" w:cs="Arial"/>
          <w:sz w:val="22"/>
          <w:szCs w:val="22"/>
        </w:rPr>
        <w:t>Colonial petroleum pipeline.</w:t>
      </w:r>
    </w:p>
    <w:p w:rsidRPr="00E6180D" w:rsidR="00866283" w:rsidP="00E6180D" w:rsidRDefault="00866283">
      <w:pPr>
        <w:ind w:left="720"/>
        <w:contextualSpacing/>
        <w:rPr>
          <w:rFonts w:ascii="Arial" w:hAnsi="Arial" w:cs="Arial"/>
          <w:sz w:val="22"/>
          <w:szCs w:val="22"/>
        </w:rPr>
      </w:pPr>
    </w:p>
    <w:p w:rsidRPr="00E6180D" w:rsidR="00756DF3" w:rsidP="0092693A" w:rsidRDefault="00756DF3">
      <w:pPr>
        <w:pStyle w:val="BodyText"/>
        <w:tabs>
          <w:tab w:val="left" w:pos="1170"/>
        </w:tabs>
        <w:spacing w:after="0"/>
        <w:rPr>
          <w:rFonts w:ascii="Arial" w:hAnsi="Arial" w:cs="Arial"/>
          <w:szCs w:val="22"/>
        </w:rPr>
      </w:pPr>
    </w:p>
    <w:p w:rsidRPr="00263A5D" w:rsidR="00A864C3" w:rsidP="00CC53C2" w:rsidRDefault="00A864C3">
      <w:pPr>
        <w:keepNext/>
        <w:keepLines/>
        <w:tabs>
          <w:tab w:val="left" w:pos="720"/>
          <w:tab w:val="left" w:pos="1152"/>
          <w:tab w:val="left" w:pos="1728"/>
          <w:tab w:val="left" w:pos="2304"/>
        </w:tabs>
        <w:ind w:left="720" w:hanging="900"/>
        <w:rPr>
          <w:rFonts w:ascii="Arial" w:hAnsi="Arial" w:cs="Arial"/>
          <w:color w:val="000000"/>
          <w:sz w:val="22"/>
          <w:szCs w:val="22"/>
        </w:rPr>
      </w:pPr>
      <w:r w:rsidRPr="00E6180D">
        <w:rPr>
          <w:rFonts w:ascii="Arial" w:hAnsi="Arial" w:cs="Arial"/>
          <w:b/>
          <w:color w:val="000000"/>
          <w:sz w:val="22"/>
          <w:szCs w:val="22"/>
        </w:rPr>
        <w:t>17.</w:t>
      </w:r>
      <w:r w:rsidRPr="00E6180D">
        <w:rPr>
          <w:rFonts w:ascii="Arial" w:hAnsi="Arial" w:cs="Arial"/>
          <w:b/>
          <w:color w:val="000000"/>
          <w:sz w:val="22"/>
          <w:szCs w:val="22"/>
        </w:rPr>
        <w:tab/>
        <w:t>If seeking approval</w:t>
      </w:r>
      <w:r w:rsidRPr="00263A5D">
        <w:rPr>
          <w:rFonts w:ascii="Arial" w:hAnsi="Arial" w:cs="Arial"/>
          <w:b/>
          <w:color w:val="000000"/>
          <w:sz w:val="22"/>
          <w:szCs w:val="22"/>
        </w:rPr>
        <w:t xml:space="preserve"> to not display the expiration date for OMB approval of the information collection, explain the reasons that display would be inappropriate.</w:t>
      </w:r>
    </w:p>
    <w:p w:rsidRPr="00263A5D" w:rsidR="00756DF3" w:rsidP="0092693A" w:rsidRDefault="00756DF3">
      <w:pPr>
        <w:pStyle w:val="P1-StandPara"/>
        <w:spacing w:line="240" w:lineRule="auto"/>
        <w:ind w:firstLine="0"/>
        <w:rPr>
          <w:rFonts w:ascii="Arial" w:hAnsi="Arial" w:cs="Arial"/>
          <w:b/>
          <w:szCs w:val="22"/>
        </w:rPr>
      </w:pPr>
    </w:p>
    <w:p w:rsidRPr="00263A5D" w:rsidR="00756DF3" w:rsidP="00CC53C2" w:rsidRDefault="00145B7A">
      <w:pPr>
        <w:pStyle w:val="P1-StandPara"/>
        <w:spacing w:line="240" w:lineRule="auto"/>
        <w:ind w:left="720" w:firstLine="0"/>
        <w:jc w:val="left"/>
        <w:rPr>
          <w:rFonts w:ascii="Arial" w:hAnsi="Arial" w:cs="Arial"/>
          <w:szCs w:val="22"/>
        </w:rPr>
      </w:pPr>
      <w:r>
        <w:rPr>
          <w:rFonts w:ascii="Arial" w:hAnsi="Arial" w:cs="Arial"/>
          <w:szCs w:val="22"/>
        </w:rPr>
        <w:t xml:space="preserve">EIA </w:t>
      </w:r>
      <w:r w:rsidRPr="00263A5D" w:rsidR="00756DF3">
        <w:rPr>
          <w:rFonts w:ascii="Arial" w:hAnsi="Arial" w:cs="Arial"/>
          <w:szCs w:val="22"/>
        </w:rPr>
        <w:t>will display the expiration date for OMB approval o</w:t>
      </w:r>
      <w:r w:rsidRPr="00263A5D" w:rsidR="0062720C">
        <w:rPr>
          <w:rFonts w:ascii="Arial" w:hAnsi="Arial" w:cs="Arial"/>
          <w:szCs w:val="22"/>
        </w:rPr>
        <w:t>n</w:t>
      </w:r>
      <w:r w:rsidRPr="00263A5D" w:rsidR="00756DF3">
        <w:rPr>
          <w:rFonts w:ascii="Arial" w:hAnsi="Arial" w:cs="Arial"/>
          <w:szCs w:val="22"/>
        </w:rPr>
        <w:t xml:space="preserve"> the information collection</w:t>
      </w:r>
      <w:r w:rsidRPr="00263A5D" w:rsidR="0062720C">
        <w:rPr>
          <w:rFonts w:ascii="Arial" w:hAnsi="Arial" w:cs="Arial"/>
          <w:szCs w:val="22"/>
        </w:rPr>
        <w:t xml:space="preserve"> instrument(s)</w:t>
      </w:r>
      <w:r w:rsidRPr="00263A5D" w:rsidR="00756DF3">
        <w:rPr>
          <w:rFonts w:ascii="Arial" w:hAnsi="Arial" w:cs="Arial"/>
          <w:szCs w:val="22"/>
        </w:rPr>
        <w:t>.</w:t>
      </w:r>
    </w:p>
    <w:p w:rsidR="00756DF3" w:rsidP="0092693A" w:rsidRDefault="00756DF3">
      <w:pPr>
        <w:pStyle w:val="P1-StandPara"/>
        <w:spacing w:line="240" w:lineRule="auto"/>
        <w:ind w:firstLine="0"/>
        <w:rPr>
          <w:rFonts w:ascii="Arial" w:hAnsi="Arial" w:cs="Arial"/>
          <w:szCs w:val="22"/>
        </w:rPr>
      </w:pPr>
    </w:p>
    <w:p w:rsidRPr="00263A5D" w:rsidR="002A6F3A" w:rsidP="0092693A" w:rsidRDefault="002A6F3A">
      <w:pPr>
        <w:pStyle w:val="P1-StandPara"/>
        <w:spacing w:line="240" w:lineRule="auto"/>
        <w:ind w:firstLine="0"/>
        <w:rPr>
          <w:rFonts w:ascii="Arial" w:hAnsi="Arial" w:cs="Arial"/>
          <w:szCs w:val="22"/>
        </w:rPr>
      </w:pPr>
    </w:p>
    <w:p w:rsidRPr="00263A5D" w:rsidR="00A864C3" w:rsidP="00CC53C2" w:rsidRDefault="00A864C3">
      <w:pPr>
        <w:keepNext/>
        <w:keepLines/>
        <w:tabs>
          <w:tab w:val="left" w:pos="720"/>
          <w:tab w:val="left" w:pos="1152"/>
          <w:tab w:val="left" w:pos="1728"/>
          <w:tab w:val="left" w:pos="2304"/>
        </w:tabs>
        <w:ind w:left="720" w:hanging="900"/>
        <w:rPr>
          <w:rFonts w:ascii="Arial" w:hAnsi="Arial" w:cs="Arial"/>
          <w:color w:val="000000"/>
          <w:sz w:val="22"/>
          <w:szCs w:val="22"/>
        </w:rPr>
      </w:pPr>
      <w:r w:rsidRPr="00263A5D">
        <w:rPr>
          <w:rFonts w:ascii="Arial" w:hAnsi="Arial" w:cs="Arial"/>
          <w:b/>
          <w:color w:val="000000"/>
          <w:sz w:val="22"/>
          <w:szCs w:val="22"/>
        </w:rPr>
        <w:t>18.</w:t>
      </w:r>
      <w:r w:rsidRPr="00263A5D">
        <w:rPr>
          <w:rFonts w:ascii="Arial" w:hAnsi="Arial" w:cs="Arial"/>
          <w:b/>
          <w:color w:val="000000"/>
          <w:sz w:val="22"/>
          <w:szCs w:val="22"/>
        </w:rPr>
        <w:tab/>
        <w:t>Explain each exception to the certification statement identified in Item 19, “Certification for Paperwork Reduction Act Submissions” of OMB Form 83-I.</w:t>
      </w:r>
    </w:p>
    <w:p w:rsidRPr="00263A5D" w:rsidR="00756DF3" w:rsidP="0092693A" w:rsidRDefault="00756DF3">
      <w:pPr>
        <w:pStyle w:val="P1-StandPara"/>
        <w:spacing w:line="240" w:lineRule="auto"/>
        <w:ind w:firstLine="0"/>
        <w:rPr>
          <w:rFonts w:ascii="Arial" w:hAnsi="Arial" w:cs="Arial"/>
          <w:b/>
          <w:szCs w:val="22"/>
        </w:rPr>
      </w:pPr>
    </w:p>
    <w:p w:rsidRPr="00263A5D" w:rsidR="00756DF3" w:rsidP="00CC53C2" w:rsidRDefault="00756DF3">
      <w:pPr>
        <w:pStyle w:val="P1-StandPara"/>
        <w:spacing w:line="240" w:lineRule="auto"/>
        <w:ind w:left="720" w:firstLine="0"/>
        <w:jc w:val="left"/>
        <w:rPr>
          <w:rFonts w:ascii="Arial" w:hAnsi="Arial" w:cs="Arial"/>
          <w:szCs w:val="22"/>
        </w:rPr>
      </w:pPr>
      <w:r w:rsidRPr="00263A5D">
        <w:rPr>
          <w:rFonts w:ascii="Arial" w:hAnsi="Arial" w:cs="Arial"/>
          <w:szCs w:val="22"/>
        </w:rPr>
        <w:t xml:space="preserve">No exceptions to the Certification Statement should be required.  If so, OMB approval will be requested in advance of conducting the survey.  </w:t>
      </w:r>
    </w:p>
    <w:sectPr w:rsidRPr="00263A5D" w:rsidR="00756DF3" w:rsidSect="006E3700">
      <w:footerReference w:type="even" r:id="rId10"/>
      <w:footerReference w:type="default" r:id="rId11"/>
      <w:pgSz w:w="12240" w:h="15840"/>
      <w:pgMar w:top="1440" w:right="1267" w:bottom="1440" w:left="1440" w:header="720" w:footer="4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880" w:rsidRDefault="00687880">
      <w:r>
        <w:separator/>
      </w:r>
    </w:p>
  </w:endnote>
  <w:endnote w:type="continuationSeparator" w:id="0">
    <w:p w:rsidR="00687880" w:rsidRDefault="0068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C5A" w:rsidRDefault="00FF2C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5A" w:rsidRDefault="00FF2C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C5A" w:rsidRDefault="00FF2C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69B1">
      <w:rPr>
        <w:rStyle w:val="PageNumber"/>
        <w:noProof/>
      </w:rPr>
      <w:t>1</w:t>
    </w:r>
    <w:r>
      <w:rPr>
        <w:rStyle w:val="PageNumber"/>
      </w:rPr>
      <w:fldChar w:fldCharType="end"/>
    </w:r>
  </w:p>
  <w:p w:rsidR="00FF2C5A" w:rsidRDefault="00FF2C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880" w:rsidRDefault="00687880">
      <w:r>
        <w:separator/>
      </w:r>
    </w:p>
  </w:footnote>
  <w:footnote w:type="continuationSeparator" w:id="0">
    <w:p w:rsidR="00687880" w:rsidRDefault="006878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6F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03935FFD"/>
    <w:multiLevelType w:val="hybridMultilevel"/>
    <w:tmpl w:val="E2AA550E"/>
    <w:lvl w:ilvl="0" w:tplc="7EF27276">
      <w:start w:val="1"/>
      <w:numFmt w:val="bullet"/>
      <w:pStyle w:val="ListParagraph"/>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2B0276"/>
    <w:multiLevelType w:val="hybridMultilevel"/>
    <w:tmpl w:val="1FE4F0F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B223D81"/>
    <w:multiLevelType w:val="hybridMultilevel"/>
    <w:tmpl w:val="AA587FA2"/>
    <w:lvl w:ilvl="0" w:tplc="EAD0D4A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02DD9"/>
    <w:multiLevelType w:val="hybridMultilevel"/>
    <w:tmpl w:val="CCB005E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CC030D7"/>
    <w:multiLevelType w:val="hybridMultilevel"/>
    <w:tmpl w:val="BB0A1D86"/>
    <w:lvl w:ilvl="0" w:tplc="D9121B8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1F775EDC"/>
    <w:multiLevelType w:val="hybridMultilevel"/>
    <w:tmpl w:val="7D22DD0A"/>
    <w:lvl w:ilvl="0" w:tplc="DB0CFC10">
      <w:start w:val="2"/>
      <w:numFmt w:val="decimal"/>
      <w:lvlText w:val="%1."/>
      <w:lvlJc w:val="left"/>
      <w:pPr>
        <w:tabs>
          <w:tab w:val="num" w:pos="0"/>
        </w:tabs>
        <w:ind w:left="0" w:hanging="630"/>
      </w:pPr>
      <w:rPr>
        <w:rFonts w:hint="default"/>
      </w:rPr>
    </w:lvl>
    <w:lvl w:ilvl="1" w:tplc="04090019" w:tentative="1">
      <w:start w:val="1"/>
      <w:numFmt w:val="lowerLetter"/>
      <w:lvlText w:val="%2."/>
      <w:lvlJc w:val="left"/>
      <w:pPr>
        <w:tabs>
          <w:tab w:val="num" w:pos="450"/>
        </w:tabs>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7" w15:restartNumberingAfterBreak="0">
    <w:nsid w:val="31497270"/>
    <w:multiLevelType w:val="hybridMultilevel"/>
    <w:tmpl w:val="CE367700"/>
    <w:lvl w:ilvl="0" w:tplc="E018A258">
      <w:start w:val="8"/>
      <w:numFmt w:val="decimal"/>
      <w:lvlText w:val="%1."/>
      <w:lvlJc w:val="left"/>
      <w:pPr>
        <w:tabs>
          <w:tab w:val="num" w:pos="720"/>
        </w:tabs>
        <w:ind w:left="720" w:hanging="720"/>
      </w:pPr>
      <w:rPr>
        <w:rFonts w:hint="default"/>
        <w:b/>
        <w:color w:val="00000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16F26C7"/>
    <w:multiLevelType w:val="hybridMultilevel"/>
    <w:tmpl w:val="B6C2D68A"/>
    <w:lvl w:ilvl="0">
      <w:start w:val="1"/>
      <w:numFmt w:val="bullet"/>
      <w:lvlText w:val=""/>
      <w:lvlJc w:val="left"/>
      <w:pPr>
        <w:tabs>
          <w:tab w:val="num" w:pos="1890"/>
        </w:tabs>
        <w:ind w:left="1890" w:hanging="360"/>
      </w:pPr>
      <w:rPr>
        <w:rFonts w:ascii="Symbol" w:hAnsi="Symbol" w:hint="default"/>
      </w:rPr>
    </w:lvl>
    <w:lvl w:ilvl="1" w:tentative="1">
      <w:start w:val="1"/>
      <w:numFmt w:val="bullet"/>
      <w:lvlText w:val="o"/>
      <w:lvlJc w:val="left"/>
      <w:pPr>
        <w:tabs>
          <w:tab w:val="num" w:pos="2610"/>
        </w:tabs>
        <w:ind w:left="2610" w:hanging="360"/>
      </w:pPr>
      <w:rPr>
        <w:rFonts w:ascii="Courier New" w:hAnsi="Courier New" w:hint="default"/>
      </w:rPr>
    </w:lvl>
    <w:lvl w:ilvl="2" w:tentative="1">
      <w:start w:val="1"/>
      <w:numFmt w:val="bullet"/>
      <w:lvlText w:val=""/>
      <w:lvlJc w:val="left"/>
      <w:pPr>
        <w:tabs>
          <w:tab w:val="num" w:pos="3330"/>
        </w:tabs>
        <w:ind w:left="3330" w:hanging="360"/>
      </w:pPr>
      <w:rPr>
        <w:rFonts w:ascii="Wingdings" w:hAnsi="Wingdings" w:hint="default"/>
      </w:rPr>
    </w:lvl>
    <w:lvl w:ilvl="3" w:tentative="1">
      <w:start w:val="1"/>
      <w:numFmt w:val="bullet"/>
      <w:lvlText w:val=""/>
      <w:lvlJc w:val="left"/>
      <w:pPr>
        <w:tabs>
          <w:tab w:val="num" w:pos="4050"/>
        </w:tabs>
        <w:ind w:left="4050" w:hanging="360"/>
      </w:pPr>
      <w:rPr>
        <w:rFonts w:ascii="Symbol" w:hAnsi="Symbol" w:hint="default"/>
      </w:rPr>
    </w:lvl>
    <w:lvl w:ilvl="4" w:tentative="1">
      <w:start w:val="1"/>
      <w:numFmt w:val="bullet"/>
      <w:lvlText w:val="o"/>
      <w:lvlJc w:val="left"/>
      <w:pPr>
        <w:tabs>
          <w:tab w:val="num" w:pos="4770"/>
        </w:tabs>
        <w:ind w:left="4770" w:hanging="360"/>
      </w:pPr>
      <w:rPr>
        <w:rFonts w:ascii="Courier New" w:hAnsi="Courier New" w:hint="default"/>
      </w:rPr>
    </w:lvl>
    <w:lvl w:ilvl="5" w:tentative="1">
      <w:start w:val="1"/>
      <w:numFmt w:val="bullet"/>
      <w:lvlText w:val=""/>
      <w:lvlJc w:val="left"/>
      <w:pPr>
        <w:tabs>
          <w:tab w:val="num" w:pos="5490"/>
        </w:tabs>
        <w:ind w:left="5490" w:hanging="360"/>
      </w:pPr>
      <w:rPr>
        <w:rFonts w:ascii="Wingdings" w:hAnsi="Wingdings" w:hint="default"/>
      </w:rPr>
    </w:lvl>
    <w:lvl w:ilvl="6" w:tentative="1">
      <w:start w:val="1"/>
      <w:numFmt w:val="bullet"/>
      <w:lvlText w:val=""/>
      <w:lvlJc w:val="left"/>
      <w:pPr>
        <w:tabs>
          <w:tab w:val="num" w:pos="6210"/>
        </w:tabs>
        <w:ind w:left="6210" w:hanging="360"/>
      </w:pPr>
      <w:rPr>
        <w:rFonts w:ascii="Symbol" w:hAnsi="Symbol" w:hint="default"/>
      </w:rPr>
    </w:lvl>
    <w:lvl w:ilvl="7" w:tentative="1">
      <w:start w:val="1"/>
      <w:numFmt w:val="bullet"/>
      <w:lvlText w:val="o"/>
      <w:lvlJc w:val="left"/>
      <w:pPr>
        <w:tabs>
          <w:tab w:val="num" w:pos="6930"/>
        </w:tabs>
        <w:ind w:left="6930" w:hanging="360"/>
      </w:pPr>
      <w:rPr>
        <w:rFonts w:ascii="Courier New" w:hAnsi="Courier New" w:hint="default"/>
      </w:rPr>
    </w:lvl>
    <w:lvl w:ilvl="8" w:tentative="1">
      <w:start w:val="1"/>
      <w:numFmt w:val="bullet"/>
      <w:lvlText w:val=""/>
      <w:lvlJc w:val="left"/>
      <w:pPr>
        <w:tabs>
          <w:tab w:val="num" w:pos="7650"/>
        </w:tabs>
        <w:ind w:left="7650" w:hanging="360"/>
      </w:pPr>
      <w:rPr>
        <w:rFonts w:ascii="Wingdings" w:hAnsi="Wingdings" w:hint="default"/>
      </w:rPr>
    </w:lvl>
  </w:abstractNum>
  <w:abstractNum w:abstractNumId="9" w15:restartNumberingAfterBreak="0">
    <w:nsid w:val="3D6F7EB2"/>
    <w:multiLevelType w:val="hybridMultilevel"/>
    <w:tmpl w:val="8D58E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180BF2"/>
    <w:multiLevelType w:val="singleLevel"/>
    <w:tmpl w:val="0D9EABD6"/>
    <w:lvl w:ilvl="0">
      <w:start w:val="1"/>
      <w:numFmt w:val="decimal"/>
      <w:lvlText w:val="%1."/>
      <w:lvlJc w:val="left"/>
      <w:pPr>
        <w:tabs>
          <w:tab w:val="num" w:pos="1080"/>
        </w:tabs>
        <w:ind w:left="1080" w:hanging="360"/>
      </w:pPr>
      <w:rPr>
        <w:rFonts w:hint="default"/>
      </w:rPr>
    </w:lvl>
  </w:abstractNum>
  <w:abstractNum w:abstractNumId="11" w15:restartNumberingAfterBreak="0">
    <w:nsid w:val="4CE70BDF"/>
    <w:multiLevelType w:val="hybridMultilevel"/>
    <w:tmpl w:val="F5BCAD82"/>
    <w:lvl w:ilvl="0">
      <w:start w:val="2"/>
      <w:numFmt w:val="lowerLetter"/>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D974ED1"/>
    <w:multiLevelType w:val="singleLevel"/>
    <w:tmpl w:val="04090013"/>
    <w:lvl w:ilvl="0">
      <w:start w:val="1"/>
      <w:numFmt w:val="upperRoman"/>
      <w:lvlText w:val="%1."/>
      <w:lvlJc w:val="left"/>
      <w:pPr>
        <w:tabs>
          <w:tab w:val="num" w:pos="720"/>
        </w:tabs>
        <w:ind w:left="720" w:hanging="720"/>
      </w:pPr>
      <w:rPr>
        <w:rFonts w:hint="default"/>
      </w:rPr>
    </w:lvl>
  </w:abstractNum>
  <w:abstractNum w:abstractNumId="13" w15:restartNumberingAfterBreak="0">
    <w:nsid w:val="52EB5888"/>
    <w:multiLevelType w:val="hybridMultilevel"/>
    <w:tmpl w:val="847CEDFA"/>
    <w:lvl w:ilvl="0" w:tplc="11506DAA">
      <w:start w:val="1"/>
      <w:numFmt w:val="bullet"/>
      <w:pStyle w:val="TEX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CA00BD"/>
    <w:multiLevelType w:val="hybridMultilevel"/>
    <w:tmpl w:val="696CDD4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4F74A34"/>
    <w:multiLevelType w:val="singleLevel"/>
    <w:tmpl w:val="CB6EBFF6"/>
    <w:lvl w:ilvl="0">
      <w:start w:val="1"/>
      <w:numFmt w:val="decimal"/>
      <w:lvlText w:val="%1."/>
      <w:lvlJc w:val="left"/>
      <w:pPr>
        <w:tabs>
          <w:tab w:val="num" w:pos="720"/>
        </w:tabs>
        <w:ind w:left="720" w:hanging="360"/>
      </w:pPr>
      <w:rPr>
        <w:rFonts w:hint="default"/>
      </w:rPr>
    </w:lvl>
  </w:abstractNum>
  <w:abstractNum w:abstractNumId="16" w15:restartNumberingAfterBreak="0">
    <w:nsid w:val="56BE7E6B"/>
    <w:multiLevelType w:val="hybridMultilevel"/>
    <w:tmpl w:val="06AC51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3E37BB"/>
    <w:multiLevelType w:val="hybridMultilevel"/>
    <w:tmpl w:val="B28C28E0"/>
    <w:lvl w:ilvl="0" w:tplc="B92A22E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64E1039"/>
    <w:multiLevelType w:val="hybridMultilevel"/>
    <w:tmpl w:val="AFD0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207415"/>
    <w:multiLevelType w:val="hybridMultilevel"/>
    <w:tmpl w:val="1CFC7538"/>
    <w:lvl w:ilvl="0">
      <w:start w:val="3"/>
      <w:numFmt w:val="lowerLetter"/>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6D5E0D67"/>
    <w:multiLevelType w:val="singleLevel"/>
    <w:tmpl w:val="94587024"/>
    <w:lvl w:ilvl="0">
      <w:start w:val="1"/>
      <w:numFmt w:val="bullet"/>
      <w:lvlText w:val=""/>
      <w:lvlJc w:val="left"/>
      <w:pPr>
        <w:tabs>
          <w:tab w:val="num" w:pos="1512"/>
        </w:tabs>
        <w:ind w:left="1512" w:hanging="360"/>
      </w:pPr>
      <w:rPr>
        <w:rFonts w:ascii="Symbol" w:hAnsi="Symbol" w:hint="default"/>
      </w:rPr>
    </w:lvl>
  </w:abstractNum>
  <w:abstractNum w:abstractNumId="21" w15:restartNumberingAfterBreak="0">
    <w:nsid w:val="6E557305"/>
    <w:multiLevelType w:val="hybridMultilevel"/>
    <w:tmpl w:val="1EDAFCC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71F47513"/>
    <w:multiLevelType w:val="singleLevel"/>
    <w:tmpl w:val="38D471F6"/>
    <w:lvl w:ilvl="0">
      <w:start w:val="1"/>
      <w:numFmt w:val="decimal"/>
      <w:lvlText w:val="%1."/>
      <w:lvlJc w:val="left"/>
      <w:pPr>
        <w:tabs>
          <w:tab w:val="num" w:pos="720"/>
        </w:tabs>
        <w:ind w:left="720" w:hanging="360"/>
      </w:pPr>
      <w:rPr>
        <w:rFonts w:hint="default"/>
      </w:rPr>
    </w:lvl>
  </w:abstractNum>
  <w:abstractNum w:abstractNumId="23" w15:restartNumberingAfterBreak="0">
    <w:nsid w:val="74E24185"/>
    <w:multiLevelType w:val="multilevel"/>
    <w:tmpl w:val="A754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0553F9"/>
    <w:multiLevelType w:val="hybridMultilevel"/>
    <w:tmpl w:val="6FCC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E4579C"/>
    <w:multiLevelType w:val="hybridMultilevel"/>
    <w:tmpl w:val="B1D00CA4"/>
    <w:lvl w:ilvl="0">
      <w:start w:val="2"/>
      <w:numFmt w:val="lowerLetter"/>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5"/>
  </w:num>
  <w:num w:numId="4">
    <w:abstractNumId w:val="22"/>
  </w:num>
  <w:num w:numId="5">
    <w:abstractNumId w:val="14"/>
  </w:num>
  <w:num w:numId="6">
    <w:abstractNumId w:val="21"/>
  </w:num>
  <w:num w:numId="7">
    <w:abstractNumId w:val="11"/>
  </w:num>
  <w:num w:numId="8">
    <w:abstractNumId w:val="25"/>
  </w:num>
  <w:num w:numId="9">
    <w:abstractNumId w:val="19"/>
  </w:num>
  <w:num w:numId="10">
    <w:abstractNumId w:val="4"/>
  </w:num>
  <w:num w:numId="11">
    <w:abstractNumId w:val="10"/>
  </w:num>
  <w:num w:numId="12">
    <w:abstractNumId w:val="20"/>
  </w:num>
  <w:num w:numId="13">
    <w:abstractNumId w:val="8"/>
  </w:num>
  <w:num w:numId="14">
    <w:abstractNumId w:val="2"/>
  </w:num>
  <w:num w:numId="15">
    <w:abstractNumId w:val="7"/>
  </w:num>
  <w:num w:numId="16">
    <w:abstractNumId w:val="6"/>
  </w:num>
  <w:num w:numId="17">
    <w:abstractNumId w:val="5"/>
  </w:num>
  <w:num w:numId="18">
    <w:abstractNumId w:val="17"/>
  </w:num>
  <w:num w:numId="19">
    <w:abstractNumId w:val="3"/>
  </w:num>
  <w:num w:numId="20">
    <w:abstractNumId w:val="1"/>
  </w:num>
  <w:num w:numId="21">
    <w:abstractNumId w:val="16"/>
  </w:num>
  <w:num w:numId="22">
    <w:abstractNumId w:val="13"/>
  </w:num>
  <w:num w:numId="23">
    <w:abstractNumId w:val="9"/>
  </w:num>
  <w:num w:numId="24">
    <w:abstractNumId w:val="24"/>
  </w:num>
  <w:num w:numId="25">
    <w:abstractNumId w:val="1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F3"/>
    <w:rsid w:val="000150FC"/>
    <w:rsid w:val="0001690A"/>
    <w:rsid w:val="00021A13"/>
    <w:rsid w:val="00024BC3"/>
    <w:rsid w:val="00033981"/>
    <w:rsid w:val="0004333B"/>
    <w:rsid w:val="000477B1"/>
    <w:rsid w:val="00051211"/>
    <w:rsid w:val="000646D1"/>
    <w:rsid w:val="000A295E"/>
    <w:rsid w:val="000B1012"/>
    <w:rsid w:val="000C4CBD"/>
    <w:rsid w:val="000D235C"/>
    <w:rsid w:val="000D61EE"/>
    <w:rsid w:val="001115D0"/>
    <w:rsid w:val="00116C69"/>
    <w:rsid w:val="001217A4"/>
    <w:rsid w:val="0013619E"/>
    <w:rsid w:val="00145B7A"/>
    <w:rsid w:val="00150F37"/>
    <w:rsid w:val="001555E8"/>
    <w:rsid w:val="00171020"/>
    <w:rsid w:val="00180675"/>
    <w:rsid w:val="00185404"/>
    <w:rsid w:val="0019532B"/>
    <w:rsid w:val="001B1340"/>
    <w:rsid w:val="001B5EAA"/>
    <w:rsid w:val="001C09A2"/>
    <w:rsid w:val="001D3203"/>
    <w:rsid w:val="001F2B1B"/>
    <w:rsid w:val="00213978"/>
    <w:rsid w:val="00231D77"/>
    <w:rsid w:val="00234190"/>
    <w:rsid w:val="0024518D"/>
    <w:rsid w:val="00245229"/>
    <w:rsid w:val="00251B30"/>
    <w:rsid w:val="00254D8D"/>
    <w:rsid w:val="00263A5D"/>
    <w:rsid w:val="00275B57"/>
    <w:rsid w:val="002808A8"/>
    <w:rsid w:val="002A4A92"/>
    <w:rsid w:val="002A6F3A"/>
    <w:rsid w:val="002B4995"/>
    <w:rsid w:val="002B6595"/>
    <w:rsid w:val="002B6BEE"/>
    <w:rsid w:val="002C33CD"/>
    <w:rsid w:val="002D0C25"/>
    <w:rsid w:val="002D312B"/>
    <w:rsid w:val="002E0668"/>
    <w:rsid w:val="002E0C44"/>
    <w:rsid w:val="002F0735"/>
    <w:rsid w:val="002F7F63"/>
    <w:rsid w:val="00300CF2"/>
    <w:rsid w:val="00302B01"/>
    <w:rsid w:val="00314E5F"/>
    <w:rsid w:val="00316403"/>
    <w:rsid w:val="00324A73"/>
    <w:rsid w:val="003319EE"/>
    <w:rsid w:val="00346EC9"/>
    <w:rsid w:val="003523ED"/>
    <w:rsid w:val="0035564B"/>
    <w:rsid w:val="003649D7"/>
    <w:rsid w:val="00372C4B"/>
    <w:rsid w:val="00380EAF"/>
    <w:rsid w:val="00394474"/>
    <w:rsid w:val="003A3B47"/>
    <w:rsid w:val="003B0910"/>
    <w:rsid w:val="003B4570"/>
    <w:rsid w:val="003C1C2F"/>
    <w:rsid w:val="003D3BCB"/>
    <w:rsid w:val="003D4CA7"/>
    <w:rsid w:val="003E1F5D"/>
    <w:rsid w:val="003E5B2C"/>
    <w:rsid w:val="003F5865"/>
    <w:rsid w:val="003F6BDB"/>
    <w:rsid w:val="00401921"/>
    <w:rsid w:val="004247EF"/>
    <w:rsid w:val="00432BAD"/>
    <w:rsid w:val="004612E0"/>
    <w:rsid w:val="00475F36"/>
    <w:rsid w:val="0047795E"/>
    <w:rsid w:val="004A5929"/>
    <w:rsid w:val="004A59A5"/>
    <w:rsid w:val="004B4F34"/>
    <w:rsid w:val="004C1385"/>
    <w:rsid w:val="004D72AE"/>
    <w:rsid w:val="004E16CF"/>
    <w:rsid w:val="004E7DA0"/>
    <w:rsid w:val="004F33B8"/>
    <w:rsid w:val="00505B94"/>
    <w:rsid w:val="00510B0A"/>
    <w:rsid w:val="00532E0F"/>
    <w:rsid w:val="00567080"/>
    <w:rsid w:val="00571FFB"/>
    <w:rsid w:val="00581D01"/>
    <w:rsid w:val="00594F13"/>
    <w:rsid w:val="005B150E"/>
    <w:rsid w:val="005B2E50"/>
    <w:rsid w:val="005B30B7"/>
    <w:rsid w:val="005B7BC7"/>
    <w:rsid w:val="005C4625"/>
    <w:rsid w:val="005C6289"/>
    <w:rsid w:val="006145D9"/>
    <w:rsid w:val="00615670"/>
    <w:rsid w:val="00623A87"/>
    <w:rsid w:val="00625469"/>
    <w:rsid w:val="006268C3"/>
    <w:rsid w:val="0062720C"/>
    <w:rsid w:val="00636C72"/>
    <w:rsid w:val="00641564"/>
    <w:rsid w:val="006429C8"/>
    <w:rsid w:val="00650134"/>
    <w:rsid w:val="00652B59"/>
    <w:rsid w:val="00656EE6"/>
    <w:rsid w:val="00671E5A"/>
    <w:rsid w:val="00675215"/>
    <w:rsid w:val="00687880"/>
    <w:rsid w:val="00692E0C"/>
    <w:rsid w:val="006A56B9"/>
    <w:rsid w:val="006B2C8B"/>
    <w:rsid w:val="006C0763"/>
    <w:rsid w:val="006C1161"/>
    <w:rsid w:val="006C5B04"/>
    <w:rsid w:val="006C66AC"/>
    <w:rsid w:val="006D4EAF"/>
    <w:rsid w:val="006E3700"/>
    <w:rsid w:val="006E4A87"/>
    <w:rsid w:val="00705F74"/>
    <w:rsid w:val="00707ACA"/>
    <w:rsid w:val="00727A48"/>
    <w:rsid w:val="00754588"/>
    <w:rsid w:val="00756DF3"/>
    <w:rsid w:val="007618C7"/>
    <w:rsid w:val="00765794"/>
    <w:rsid w:val="007707D6"/>
    <w:rsid w:val="0079196B"/>
    <w:rsid w:val="007B11B1"/>
    <w:rsid w:val="007B35C7"/>
    <w:rsid w:val="007D1342"/>
    <w:rsid w:val="007E3551"/>
    <w:rsid w:val="007F2E7E"/>
    <w:rsid w:val="00807F02"/>
    <w:rsid w:val="00831E98"/>
    <w:rsid w:val="00866283"/>
    <w:rsid w:val="00874BD4"/>
    <w:rsid w:val="00877BCB"/>
    <w:rsid w:val="0088128F"/>
    <w:rsid w:val="0089473B"/>
    <w:rsid w:val="008C441C"/>
    <w:rsid w:val="008C50C8"/>
    <w:rsid w:val="008E0688"/>
    <w:rsid w:val="008E54D4"/>
    <w:rsid w:val="008E7051"/>
    <w:rsid w:val="00901FA1"/>
    <w:rsid w:val="00905D09"/>
    <w:rsid w:val="00924091"/>
    <w:rsid w:val="0092693A"/>
    <w:rsid w:val="009322B2"/>
    <w:rsid w:val="009365F4"/>
    <w:rsid w:val="00941ECA"/>
    <w:rsid w:val="00947A90"/>
    <w:rsid w:val="0096133D"/>
    <w:rsid w:val="009618E7"/>
    <w:rsid w:val="00995ED5"/>
    <w:rsid w:val="009A74B5"/>
    <w:rsid w:val="009C41E5"/>
    <w:rsid w:val="009C5991"/>
    <w:rsid w:val="009C6944"/>
    <w:rsid w:val="009D38A4"/>
    <w:rsid w:val="00A04DF4"/>
    <w:rsid w:val="00A33634"/>
    <w:rsid w:val="00A34C70"/>
    <w:rsid w:val="00A356C2"/>
    <w:rsid w:val="00A37BD5"/>
    <w:rsid w:val="00A41F39"/>
    <w:rsid w:val="00A61ED8"/>
    <w:rsid w:val="00A637E0"/>
    <w:rsid w:val="00A864C3"/>
    <w:rsid w:val="00AA76D6"/>
    <w:rsid w:val="00AA76FC"/>
    <w:rsid w:val="00AB4B14"/>
    <w:rsid w:val="00AB6623"/>
    <w:rsid w:val="00AD524F"/>
    <w:rsid w:val="00AF001C"/>
    <w:rsid w:val="00AF3BF7"/>
    <w:rsid w:val="00B10C07"/>
    <w:rsid w:val="00B13D79"/>
    <w:rsid w:val="00B15D21"/>
    <w:rsid w:val="00B26821"/>
    <w:rsid w:val="00B5103D"/>
    <w:rsid w:val="00B55605"/>
    <w:rsid w:val="00B5580B"/>
    <w:rsid w:val="00B60C04"/>
    <w:rsid w:val="00B62868"/>
    <w:rsid w:val="00B71AAA"/>
    <w:rsid w:val="00BA5633"/>
    <w:rsid w:val="00BC1F4A"/>
    <w:rsid w:val="00BC582E"/>
    <w:rsid w:val="00BC5AE2"/>
    <w:rsid w:val="00BD159A"/>
    <w:rsid w:val="00BD1AAF"/>
    <w:rsid w:val="00BD69B1"/>
    <w:rsid w:val="00BD7F0F"/>
    <w:rsid w:val="00BF2892"/>
    <w:rsid w:val="00C729FD"/>
    <w:rsid w:val="00C72A6C"/>
    <w:rsid w:val="00CA442A"/>
    <w:rsid w:val="00CB0D3C"/>
    <w:rsid w:val="00CB3157"/>
    <w:rsid w:val="00CC53C2"/>
    <w:rsid w:val="00CE2456"/>
    <w:rsid w:val="00CE4D38"/>
    <w:rsid w:val="00CF462D"/>
    <w:rsid w:val="00CF4A4D"/>
    <w:rsid w:val="00CF55D4"/>
    <w:rsid w:val="00CF7144"/>
    <w:rsid w:val="00D1197E"/>
    <w:rsid w:val="00D279B1"/>
    <w:rsid w:val="00D41C4C"/>
    <w:rsid w:val="00D507DC"/>
    <w:rsid w:val="00D5400B"/>
    <w:rsid w:val="00D64C46"/>
    <w:rsid w:val="00D73B3A"/>
    <w:rsid w:val="00D81AC8"/>
    <w:rsid w:val="00DB4F8F"/>
    <w:rsid w:val="00DC5AD7"/>
    <w:rsid w:val="00DC6112"/>
    <w:rsid w:val="00DF4397"/>
    <w:rsid w:val="00DF56D1"/>
    <w:rsid w:val="00DF75A2"/>
    <w:rsid w:val="00E03147"/>
    <w:rsid w:val="00E42713"/>
    <w:rsid w:val="00E51DF7"/>
    <w:rsid w:val="00E60FA8"/>
    <w:rsid w:val="00E6180D"/>
    <w:rsid w:val="00E860AC"/>
    <w:rsid w:val="00E963E8"/>
    <w:rsid w:val="00EA1DE7"/>
    <w:rsid w:val="00EA5A1E"/>
    <w:rsid w:val="00EC5489"/>
    <w:rsid w:val="00EF1A02"/>
    <w:rsid w:val="00F03B62"/>
    <w:rsid w:val="00F04FC2"/>
    <w:rsid w:val="00F2219F"/>
    <w:rsid w:val="00F24058"/>
    <w:rsid w:val="00F258B3"/>
    <w:rsid w:val="00F42F46"/>
    <w:rsid w:val="00F46DB8"/>
    <w:rsid w:val="00F561D5"/>
    <w:rsid w:val="00F62D9E"/>
    <w:rsid w:val="00F63758"/>
    <w:rsid w:val="00F81A65"/>
    <w:rsid w:val="00F84FAE"/>
    <w:rsid w:val="00F9463C"/>
    <w:rsid w:val="00FA7F0E"/>
    <w:rsid w:val="00FE0E88"/>
    <w:rsid w:val="00FF2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57FBDC2-2519-46B2-B9DE-AB3B83A3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FC2"/>
  </w:style>
  <w:style w:type="paragraph" w:styleId="Heading1">
    <w:name w:val="heading 1"/>
    <w:aliases w:val="H1-Sec.Head"/>
    <w:basedOn w:val="Normal"/>
    <w:next w:val="Normal"/>
    <w:qFormat/>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6-DateInd">
    <w:name w:val="N6-Date Ind."/>
    <w:basedOn w:val="Normal"/>
    <w:pPr>
      <w:tabs>
        <w:tab w:val="left" w:pos="5400"/>
      </w:tabs>
      <w:spacing w:line="240" w:lineRule="atLeast"/>
      <w:ind w:left="5400"/>
      <w:jc w:val="both"/>
    </w:pPr>
    <w:rPr>
      <w:sz w:val="22"/>
    </w:rPr>
  </w:style>
  <w:style w:type="paragraph" w:styleId="PlainText">
    <w:name w:val="Plain Text"/>
    <w:basedOn w:val="Normal"/>
    <w:rPr>
      <w:rFonts w:ascii="Courier New" w:hAnsi="Courier New"/>
    </w:rPr>
  </w:style>
  <w:style w:type="paragraph" w:styleId="BodyTextIndent2">
    <w:name w:val="Body Text Indent 2"/>
    <w:basedOn w:val="Normal"/>
    <w:pPr>
      <w:spacing w:line="240" w:lineRule="atLeast"/>
      <w:ind w:left="360"/>
      <w:jc w:val="both"/>
    </w:pPr>
    <w:rPr>
      <w:sz w:val="22"/>
    </w:rPr>
  </w:style>
  <w:style w:type="paragraph" w:styleId="BodyText3">
    <w:name w:val="Body Text 3"/>
    <w:basedOn w:val="Normal"/>
    <w:pPr>
      <w:spacing w:line="240" w:lineRule="atLeast"/>
      <w:jc w:val="both"/>
    </w:pPr>
    <w:rPr>
      <w:sz w:val="24"/>
    </w:rPr>
  </w:style>
  <w:style w:type="character" w:styleId="FootnoteReference">
    <w:name w:val="footnote reference"/>
    <w:semiHidden/>
    <w:rPr>
      <w:vertAlign w:val="superscript"/>
    </w:rPr>
  </w:style>
  <w:style w:type="paragraph" w:styleId="FootnoteText">
    <w:name w:val="footnote text"/>
    <w:basedOn w:val="Normal"/>
    <w:semiHidden/>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1-StandPara">
    <w:name w:val="P1-Stand Para"/>
    <w:pPr>
      <w:spacing w:line="360" w:lineRule="atLeast"/>
      <w:ind w:firstLine="1152"/>
      <w:jc w:val="both"/>
    </w:pPr>
    <w:rPr>
      <w:sz w:val="22"/>
    </w:rPr>
  </w:style>
  <w:style w:type="paragraph" w:customStyle="1" w:styleId="SL-FlLftSgl">
    <w:name w:val="SL-Fl Lft Sgl"/>
    <w:pPr>
      <w:spacing w:line="240" w:lineRule="atLeast"/>
      <w:jc w:val="both"/>
    </w:pPr>
    <w:rPr>
      <w:sz w:val="22"/>
    </w:rPr>
  </w:style>
  <w:style w:type="paragraph" w:styleId="BodyText">
    <w:name w:val="Body Text"/>
    <w:basedOn w:val="Normal"/>
    <w:pPr>
      <w:spacing w:after="160"/>
    </w:pPr>
    <w:rPr>
      <w:sz w:val="22"/>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sid w:val="00A864C3"/>
    <w:rPr>
      <w:rFonts w:ascii="Tahoma" w:hAnsi="Tahoma" w:cs="Tahoma"/>
      <w:sz w:val="16"/>
      <w:szCs w:val="16"/>
    </w:rPr>
  </w:style>
  <w:style w:type="paragraph" w:styleId="Header">
    <w:name w:val="header"/>
    <w:basedOn w:val="Normal"/>
    <w:rsid w:val="009618E7"/>
    <w:pPr>
      <w:tabs>
        <w:tab w:val="center" w:pos="4320"/>
        <w:tab w:val="right" w:pos="8640"/>
      </w:tabs>
    </w:pPr>
  </w:style>
  <w:style w:type="paragraph" w:styleId="List">
    <w:name w:val="List"/>
    <w:basedOn w:val="Normal"/>
    <w:rsid w:val="00245229"/>
    <w:pPr>
      <w:ind w:left="360" w:hanging="360"/>
    </w:pPr>
  </w:style>
  <w:style w:type="paragraph" w:styleId="List2">
    <w:name w:val="List 2"/>
    <w:basedOn w:val="Normal"/>
    <w:rsid w:val="00245229"/>
    <w:pPr>
      <w:ind w:left="720" w:hanging="360"/>
    </w:pPr>
  </w:style>
  <w:style w:type="paragraph" w:styleId="ListContinue">
    <w:name w:val="List Continue"/>
    <w:basedOn w:val="Normal"/>
    <w:rsid w:val="00245229"/>
    <w:pPr>
      <w:spacing w:after="120"/>
      <w:ind w:left="360"/>
    </w:pPr>
  </w:style>
  <w:style w:type="paragraph" w:styleId="BodyTextIndent">
    <w:name w:val="Body Text Indent"/>
    <w:basedOn w:val="Normal"/>
    <w:rsid w:val="00245229"/>
    <w:pPr>
      <w:spacing w:after="120"/>
      <w:ind w:left="360"/>
    </w:pPr>
  </w:style>
  <w:style w:type="paragraph" w:styleId="BodyTextFirstIndent2">
    <w:name w:val="Body Text First Indent 2"/>
    <w:basedOn w:val="BodyTextIndent"/>
    <w:rsid w:val="00245229"/>
    <w:pPr>
      <w:ind w:firstLine="210"/>
    </w:pPr>
  </w:style>
  <w:style w:type="paragraph" w:styleId="ListParagraph">
    <w:name w:val="List Paragraph"/>
    <w:basedOn w:val="Normal"/>
    <w:autoRedefine/>
    <w:uiPriority w:val="34"/>
    <w:qFormat/>
    <w:rsid w:val="00263A5D"/>
    <w:pPr>
      <w:numPr>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pPr>
    <w:rPr>
      <w:rFonts w:ascii="Calibri" w:hAnsi="Calibri"/>
      <w:color w:val="0070C0"/>
      <w:sz w:val="22"/>
      <w:szCs w:val="24"/>
    </w:rPr>
  </w:style>
  <w:style w:type="paragraph" w:customStyle="1" w:styleId="TEXT">
    <w:name w:val="TEXT"/>
    <w:basedOn w:val="Normal"/>
    <w:next w:val="Normal"/>
    <w:link w:val="TEXTChar"/>
    <w:autoRedefine/>
    <w:rsid w:val="00231D77"/>
    <w:pPr>
      <w:numPr>
        <w:numId w:val="22"/>
      </w:numPr>
      <w:spacing w:line="360" w:lineRule="auto"/>
    </w:pPr>
    <w:rPr>
      <w:rFonts w:ascii="Calibri" w:hAnsi="Calibri"/>
      <w:bCs/>
      <w:sz w:val="22"/>
      <w:szCs w:val="22"/>
    </w:rPr>
  </w:style>
  <w:style w:type="character" w:customStyle="1" w:styleId="TEXTChar">
    <w:name w:val="TEXT Char"/>
    <w:link w:val="TEXT"/>
    <w:rsid w:val="00231D77"/>
    <w:rPr>
      <w:rFonts w:ascii="Calibri" w:hAnsi="Calibri"/>
      <w:bCs/>
      <w:sz w:val="22"/>
      <w:szCs w:val="22"/>
    </w:rPr>
  </w:style>
  <w:style w:type="paragraph" w:styleId="Revision">
    <w:name w:val="Revision"/>
    <w:hidden/>
    <w:uiPriority w:val="99"/>
    <w:semiHidden/>
    <w:rsid w:val="0001690A"/>
  </w:style>
  <w:style w:type="paragraph" w:styleId="CommentSubject">
    <w:name w:val="annotation subject"/>
    <w:basedOn w:val="CommentText"/>
    <w:next w:val="CommentText"/>
    <w:link w:val="CommentSubjectChar"/>
    <w:rsid w:val="00AA76FC"/>
    <w:rPr>
      <w:b/>
      <w:bCs/>
    </w:rPr>
  </w:style>
  <w:style w:type="character" w:customStyle="1" w:styleId="CommentTextChar">
    <w:name w:val="Comment Text Char"/>
    <w:basedOn w:val="DefaultParagraphFont"/>
    <w:link w:val="CommentText"/>
    <w:semiHidden/>
    <w:rsid w:val="00AA76FC"/>
  </w:style>
  <w:style w:type="character" w:customStyle="1" w:styleId="CommentSubjectChar">
    <w:name w:val="Comment Subject Char"/>
    <w:link w:val="CommentSubject"/>
    <w:rsid w:val="00AA76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554647">
      <w:bodyDiv w:val="1"/>
      <w:marLeft w:val="0"/>
      <w:marRight w:val="0"/>
      <w:marTop w:val="0"/>
      <w:marBottom w:val="0"/>
      <w:divBdr>
        <w:top w:val="none" w:sz="0" w:space="0" w:color="auto"/>
        <w:left w:val="none" w:sz="0" w:space="0" w:color="auto"/>
        <w:bottom w:val="none" w:sz="0" w:space="0" w:color="auto"/>
        <w:right w:val="none" w:sz="0" w:space="0" w:color="auto"/>
      </w:divBdr>
    </w:div>
    <w:div w:id="1175800988">
      <w:bodyDiv w:val="1"/>
      <w:marLeft w:val="0"/>
      <w:marRight w:val="0"/>
      <w:marTop w:val="0"/>
      <w:marBottom w:val="0"/>
      <w:divBdr>
        <w:top w:val="none" w:sz="0" w:space="0" w:color="auto"/>
        <w:left w:val="none" w:sz="0" w:space="0" w:color="auto"/>
        <w:bottom w:val="none" w:sz="0" w:space="0" w:color="auto"/>
        <w:right w:val="none" w:sz="0" w:space="0" w:color="auto"/>
      </w:divBdr>
    </w:div>
    <w:div w:id="1851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mcsa.dot.gov/regulations/hours-service/summary-hours-service-regula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ia.gov/special/disruptions/archive/hurricane/sandy/gasoline_updates.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mcsa.dot.gov/regulations/hours-service/summary-hours-service-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3120</Words>
  <Characters>17784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REQUEST FOR GENERIC CLEARANCE OF</vt:lpstr>
    </vt:vector>
  </TitlesOfParts>
  <Company>National Science Foundation</Company>
  <LinksUpToDate>false</LinksUpToDate>
  <CharactersWithSpaces>20863</CharactersWithSpaces>
  <SharedDoc>false</SharedDoc>
  <HLinks>
    <vt:vector size="18" baseType="variant">
      <vt:variant>
        <vt:i4>1245264</vt:i4>
      </vt:variant>
      <vt:variant>
        <vt:i4>10</vt:i4>
      </vt:variant>
      <vt:variant>
        <vt:i4>0</vt:i4>
      </vt:variant>
      <vt:variant>
        <vt:i4>5</vt:i4>
      </vt:variant>
      <vt:variant>
        <vt:lpwstr>https://www.fmcsa.dot.gov/regulations/hours-service/summary-hours-service-regulations</vt:lpwstr>
      </vt:variant>
      <vt:variant>
        <vt:lpwstr/>
      </vt:variant>
      <vt:variant>
        <vt:i4>1245264</vt:i4>
      </vt:variant>
      <vt:variant>
        <vt:i4>5</vt:i4>
      </vt:variant>
      <vt:variant>
        <vt:i4>0</vt:i4>
      </vt:variant>
      <vt:variant>
        <vt:i4>5</vt:i4>
      </vt:variant>
      <vt:variant>
        <vt:lpwstr>https://www.fmcsa.dot.gov/regulations/hours-service/summary-hours-service-regulations</vt:lpwstr>
      </vt:variant>
      <vt:variant>
        <vt:lpwstr/>
      </vt:variant>
      <vt:variant>
        <vt:i4>589866</vt:i4>
      </vt:variant>
      <vt:variant>
        <vt:i4>0</vt:i4>
      </vt:variant>
      <vt:variant>
        <vt:i4>0</vt:i4>
      </vt:variant>
      <vt:variant>
        <vt:i4>5</vt:i4>
      </vt:variant>
      <vt:variant>
        <vt:lpwstr>https://www.eia.gov/special/disruptions/archive/hurricane/sandy/gasoline_updates.php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GENERIC CLEARANCE OF</dc:title>
  <dc:subject/>
  <dc:creator>mvburke</dc:creator>
  <cp:keywords/>
  <cp:lastModifiedBy>Murray, Patrick</cp:lastModifiedBy>
  <cp:revision>2</cp:revision>
  <cp:lastPrinted>2008-04-21T17:49:00Z</cp:lastPrinted>
  <dcterms:created xsi:type="dcterms:W3CDTF">2021-05-28T18:53:00Z</dcterms:created>
  <dcterms:modified xsi:type="dcterms:W3CDTF">2021-05-28T18:53:00Z</dcterms:modified>
</cp:coreProperties>
</file>