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4FB4" w:rsidR="006C1DBB" w:rsidP="006C1DBB" w:rsidRDefault="006C1DBB">
      <w:pPr>
        <w:widowControl w:val="0"/>
        <w:tabs>
          <w:tab w:val="center" w:pos="4680"/>
        </w:tabs>
        <w:jc w:val="center"/>
        <w:rPr>
          <w:szCs w:val="24"/>
        </w:rPr>
      </w:pPr>
      <w:r w:rsidRPr="001B4FB4">
        <w:rPr>
          <w:szCs w:val="24"/>
        </w:rPr>
        <w:t>DEPARTMENT OF TRANSPORTATION</w:t>
      </w:r>
    </w:p>
    <w:p w:rsidRPr="001B4FB4" w:rsidR="001D224D" w:rsidP="006C1DBB" w:rsidRDefault="001D224D">
      <w:pPr>
        <w:widowControl w:val="0"/>
        <w:tabs>
          <w:tab w:val="center" w:pos="4680"/>
        </w:tabs>
        <w:jc w:val="center"/>
        <w:rPr>
          <w:szCs w:val="24"/>
        </w:rPr>
      </w:pPr>
      <w:r w:rsidRPr="001B4FB4">
        <w:rPr>
          <w:szCs w:val="24"/>
        </w:rPr>
        <w:fldChar w:fldCharType="begin"/>
      </w:r>
      <w:r w:rsidRPr="001B4FB4">
        <w:rPr>
          <w:szCs w:val="24"/>
        </w:rPr>
        <w:instrText xml:space="preserve"> SEQ CHAPTER \h \r 1</w:instrText>
      </w:r>
      <w:r w:rsidRPr="001B4FB4">
        <w:rPr>
          <w:szCs w:val="24"/>
        </w:rPr>
        <w:fldChar w:fldCharType="end"/>
      </w:r>
      <w:r w:rsidRPr="001B4FB4">
        <w:rPr>
          <w:szCs w:val="24"/>
        </w:rPr>
        <w:t>INFORMATION COLLECTION</w:t>
      </w:r>
    </w:p>
    <w:p w:rsidR="001B4FB4" w:rsidRDefault="001D224D">
      <w:pPr>
        <w:widowControl w:val="0"/>
        <w:tabs>
          <w:tab w:val="center" w:pos="4680"/>
        </w:tabs>
        <w:rPr>
          <w:szCs w:val="24"/>
        </w:rPr>
      </w:pPr>
      <w:r w:rsidRPr="001B4FB4">
        <w:rPr>
          <w:szCs w:val="24"/>
        </w:rPr>
        <w:tab/>
      </w:r>
    </w:p>
    <w:p w:rsidR="001D224D" w:rsidP="001B4FB4" w:rsidRDefault="001D224D">
      <w:pPr>
        <w:widowControl w:val="0"/>
        <w:tabs>
          <w:tab w:val="center" w:pos="4680"/>
        </w:tabs>
        <w:jc w:val="center"/>
        <w:rPr>
          <w:szCs w:val="24"/>
          <w:u w:val="single"/>
        </w:rPr>
      </w:pPr>
      <w:r w:rsidRPr="001B4FB4">
        <w:rPr>
          <w:szCs w:val="24"/>
          <w:u w:val="single"/>
        </w:rPr>
        <w:t xml:space="preserve">SUPPORTING </w:t>
      </w:r>
      <w:r w:rsidRPr="001B4FB4" w:rsidR="00311384">
        <w:rPr>
          <w:szCs w:val="24"/>
          <w:u w:val="single"/>
        </w:rPr>
        <w:t>STATEMENT</w:t>
      </w:r>
    </w:p>
    <w:p w:rsidRPr="001B4FB4" w:rsidR="001B4FB4" w:rsidP="001B4FB4" w:rsidRDefault="001B4FB4">
      <w:pPr>
        <w:widowControl w:val="0"/>
        <w:tabs>
          <w:tab w:val="center" w:pos="4680"/>
        </w:tabs>
        <w:jc w:val="center"/>
        <w:rPr>
          <w:szCs w:val="24"/>
          <w:u w:val="single"/>
        </w:rPr>
      </w:pPr>
    </w:p>
    <w:p w:rsidR="001B4FB4" w:rsidP="001B4FB4" w:rsidRDefault="00907424">
      <w:pPr>
        <w:widowControl w:val="0"/>
        <w:tabs>
          <w:tab w:val="center" w:pos="4680"/>
        </w:tabs>
        <w:jc w:val="center"/>
        <w:rPr>
          <w:szCs w:val="24"/>
        </w:rPr>
      </w:pPr>
      <w:r>
        <w:t>“</w:t>
      </w:r>
      <w:r w:rsidRPr="009C2A5D">
        <w:t xml:space="preserve">Post-Accident Drug </w:t>
      </w:r>
      <w:r w:rsidR="00230D8E">
        <w:t>T</w:t>
      </w:r>
      <w:r w:rsidRPr="009C2A5D">
        <w:t>esting for Pipeline Operators</w:t>
      </w:r>
      <w:r>
        <w:t>”</w:t>
      </w:r>
    </w:p>
    <w:p w:rsidRPr="001B4FB4" w:rsidR="001B4FB4" w:rsidP="002F668A" w:rsidRDefault="00A37A22">
      <w:pPr>
        <w:widowControl w:val="0"/>
        <w:tabs>
          <w:tab w:val="center" w:pos="4680"/>
        </w:tabs>
        <w:jc w:val="center"/>
        <w:rPr>
          <w:szCs w:val="24"/>
        </w:rPr>
      </w:pPr>
      <w:r w:rsidRPr="001B4FB4">
        <w:rPr>
          <w:szCs w:val="24"/>
        </w:rPr>
        <w:t xml:space="preserve">OMB </w:t>
      </w:r>
      <w:r w:rsidRPr="001B4FB4" w:rsidR="001B4FB4">
        <w:rPr>
          <w:szCs w:val="24"/>
        </w:rPr>
        <w:t>Control No.  2137-</w:t>
      </w:r>
      <w:r w:rsidR="002F668A">
        <w:rPr>
          <w:szCs w:val="24"/>
        </w:rPr>
        <w:t>0632</w:t>
      </w:r>
      <w:r w:rsidR="00C63F5E">
        <w:rPr>
          <w:szCs w:val="24"/>
        </w:rPr>
        <w:t xml:space="preserve"> </w:t>
      </w:r>
    </w:p>
    <w:p w:rsidRPr="001B4FB4" w:rsidR="001B4FB4" w:rsidP="001B4FB4" w:rsidRDefault="001B4FB4">
      <w:pPr>
        <w:widowControl w:val="0"/>
        <w:tabs>
          <w:tab w:val="center" w:pos="4680"/>
        </w:tabs>
        <w:jc w:val="center"/>
        <w:rPr>
          <w:b/>
          <w:szCs w:val="24"/>
        </w:rPr>
      </w:pPr>
    </w:p>
    <w:p w:rsidRPr="00981917" w:rsidR="00EC23D6" w:rsidP="00EC23D6" w:rsidRDefault="00EC23D6">
      <w:pPr>
        <w:rPr>
          <w:b/>
          <w:szCs w:val="24"/>
          <w:u w:val="single"/>
        </w:rPr>
      </w:pPr>
      <w:r w:rsidRPr="00981917">
        <w:rPr>
          <w:b/>
          <w:szCs w:val="24"/>
          <w:u w:val="single"/>
        </w:rPr>
        <w:t>INTRODUCTION</w:t>
      </w:r>
    </w:p>
    <w:p w:rsidRPr="00981917" w:rsidR="00EC23D6" w:rsidP="00EC23D6" w:rsidRDefault="00EC23D6">
      <w:pPr>
        <w:rPr>
          <w:b/>
          <w:szCs w:val="24"/>
          <w:u w:val="single"/>
        </w:rPr>
      </w:pPr>
    </w:p>
    <w:p w:rsidRPr="001B4FB4" w:rsidR="001B4FB4" w:rsidP="001B4FB4" w:rsidRDefault="001B4FB4">
      <w:pPr>
        <w:outlineLvl w:val="0"/>
        <w:rPr>
          <w:szCs w:val="24"/>
        </w:rPr>
      </w:pPr>
      <w:r w:rsidRPr="001B4FB4">
        <w:rPr>
          <w:bCs/>
          <w:szCs w:val="24"/>
        </w:rPr>
        <w:t xml:space="preserve">The Pipeline and Hazardous Materials Safety </w:t>
      </w:r>
      <w:r w:rsidR="002F668A">
        <w:rPr>
          <w:bCs/>
          <w:szCs w:val="24"/>
        </w:rPr>
        <w:t xml:space="preserve">Administration (PHMSA) requests a renewal, without change, </w:t>
      </w:r>
      <w:r w:rsidRPr="001B4FB4">
        <w:rPr>
          <w:bCs/>
          <w:szCs w:val="24"/>
        </w:rPr>
        <w:t xml:space="preserve">from the Office of Management and Budget (OMB) </w:t>
      </w:r>
      <w:r w:rsidR="002F668A">
        <w:rPr>
          <w:bCs/>
          <w:szCs w:val="24"/>
        </w:rPr>
        <w:t xml:space="preserve">of an </w:t>
      </w:r>
      <w:r>
        <w:rPr>
          <w:bCs/>
          <w:szCs w:val="24"/>
        </w:rPr>
        <w:t xml:space="preserve">information collection </w:t>
      </w:r>
      <w:proofErr w:type="gramStart"/>
      <w:r w:rsidRPr="00981917">
        <w:rPr>
          <w:szCs w:val="24"/>
        </w:rPr>
        <w:t xml:space="preserve">entitled, </w:t>
      </w:r>
      <w:r>
        <w:rPr>
          <w:szCs w:val="24"/>
        </w:rPr>
        <w:t xml:space="preserve"> “</w:t>
      </w:r>
      <w:proofErr w:type="gramEnd"/>
      <w:r w:rsidRPr="009C2A5D" w:rsidR="00907424">
        <w:t>Post-Accident Drug and Alcohol Testing for Pipeline Operators</w:t>
      </w:r>
      <w:r>
        <w:rPr>
          <w:szCs w:val="24"/>
        </w:rPr>
        <w:t xml:space="preserve">.” </w:t>
      </w:r>
      <w:r w:rsidR="00945FB5">
        <w:rPr>
          <w:szCs w:val="24"/>
        </w:rPr>
        <w:t xml:space="preserve"> </w:t>
      </w:r>
    </w:p>
    <w:p w:rsidRPr="001B4FB4" w:rsidR="001B4FB4" w:rsidP="001B4FB4" w:rsidRDefault="001B4FB4">
      <w:pPr>
        <w:rPr>
          <w:szCs w:val="24"/>
        </w:rPr>
      </w:pPr>
    </w:p>
    <w:p w:rsidRPr="00981917" w:rsidR="00EC23D6" w:rsidP="00EC23D6" w:rsidRDefault="00EC23D6">
      <w:pPr>
        <w:rPr>
          <w:b/>
          <w:szCs w:val="24"/>
        </w:rPr>
      </w:pPr>
      <w:bookmarkStart w:name="_GoBack" w:id="0"/>
      <w:bookmarkEnd w:id="0"/>
      <w:r w:rsidRPr="00981917">
        <w:rPr>
          <w:b/>
          <w:szCs w:val="24"/>
        </w:rPr>
        <w:t>Part A. Justification</w:t>
      </w:r>
    </w:p>
    <w:p w:rsidRPr="00981917" w:rsidR="00EC23D6" w:rsidP="00EC23D6" w:rsidRDefault="00EC23D6">
      <w:pPr>
        <w:jc w:val="center"/>
        <w:rPr>
          <w:b/>
          <w:szCs w:val="24"/>
        </w:rPr>
      </w:pPr>
    </w:p>
    <w:p w:rsidRPr="00945FB5" w:rsidR="00EC23D6" w:rsidP="000A6210" w:rsidRDefault="00EC23D6">
      <w:pPr>
        <w:numPr>
          <w:ilvl w:val="0"/>
          <w:numId w:val="16"/>
        </w:numPr>
        <w:tabs>
          <w:tab w:val="clear" w:pos="720"/>
          <w:tab w:val="num" w:pos="0"/>
          <w:tab w:val="left" w:pos="540"/>
        </w:tabs>
        <w:ind w:left="0" w:firstLine="0"/>
        <w:rPr>
          <w:szCs w:val="24"/>
        </w:rPr>
      </w:pPr>
      <w:r w:rsidRPr="00945FB5">
        <w:rPr>
          <w:b/>
          <w:szCs w:val="24"/>
          <w:u w:val="single"/>
        </w:rPr>
        <w:t>Circumstances that make the collection of information necessary</w:t>
      </w:r>
      <w:r w:rsidRPr="00945FB5">
        <w:rPr>
          <w:b/>
          <w:szCs w:val="24"/>
        </w:rPr>
        <w:t>.</w:t>
      </w:r>
    </w:p>
    <w:p w:rsidRPr="00945FB5" w:rsidR="00945FB5" w:rsidP="00945FB5" w:rsidRDefault="00945FB5">
      <w:pPr>
        <w:tabs>
          <w:tab w:val="left" w:pos="540"/>
        </w:tabs>
        <w:rPr>
          <w:szCs w:val="24"/>
        </w:rPr>
      </w:pPr>
    </w:p>
    <w:p w:rsidR="000D1FCE" w:rsidP="000D1FCE" w:rsidRDefault="000D1FCE">
      <w:pPr>
        <w:rPr>
          <w:szCs w:val="24"/>
        </w:rPr>
      </w:pPr>
      <w:r>
        <w:rPr>
          <w:szCs w:val="24"/>
        </w:rPr>
        <w:t>The “</w:t>
      </w:r>
      <w:r w:rsidRPr="00907424">
        <w:rPr>
          <w:szCs w:val="24"/>
        </w:rPr>
        <w:t>Pipeline Safety:  Operator Qualification, Cost Recovery, Accident and Incident Notification, and Other Pipeline Safety Proposed Changes</w:t>
      </w:r>
      <w:r>
        <w:rPr>
          <w:szCs w:val="24"/>
        </w:rPr>
        <w:t xml:space="preserve">” </w:t>
      </w:r>
      <w:r w:rsidRPr="00907424">
        <w:rPr>
          <w:szCs w:val="24"/>
        </w:rPr>
        <w:t>amend</w:t>
      </w:r>
      <w:r w:rsidR="002F668A">
        <w:rPr>
          <w:szCs w:val="24"/>
        </w:rPr>
        <w:t>ed</w:t>
      </w:r>
      <w:r w:rsidRPr="00907424">
        <w:rPr>
          <w:szCs w:val="24"/>
        </w:rPr>
        <w:t xml:space="preserve"> </w:t>
      </w:r>
      <w:r>
        <w:rPr>
          <w:szCs w:val="24"/>
        </w:rPr>
        <w:t>49 CFR199.227 to require operators to retain records for three years if they decide not to administer post-accident/incident drug testing on affected employees.  This information collection request pertains only to the recordkeeping component of this requirement.</w:t>
      </w:r>
    </w:p>
    <w:p w:rsidR="000D1FCE" w:rsidP="00D93C47" w:rsidRDefault="000D1FCE"/>
    <w:p w:rsidR="00D93C47" w:rsidP="00D93C47" w:rsidRDefault="00D93C47">
      <w:r>
        <w:t>Drug and alcohol abuse is a major societal problem.  It is reasonable to assume the problem could exists in the pipeline and liquefied natural gas facility industries absent a vigorous monitoring and abatement program.  The potentially harmful effect of drug and alcohol abuse on safe pipeline operations warrants comprehensive testing regulations for the pipeline industry.  The drug and alcohol tests are an integral component for keeping national pipeline operations safe.</w:t>
      </w:r>
    </w:p>
    <w:p w:rsidR="00D93C47" w:rsidP="00D93C47" w:rsidRDefault="00D93C47"/>
    <w:p w:rsidR="00D93C47" w:rsidP="00D93C47" w:rsidRDefault="00D93C47">
      <w:r>
        <w:t>This information collection promotes the US DOT’s Safety Strategic Goals.  Employees who are subject to testing are less likely to choose to be under the influence of drugs and alcohol while they work.  PHMSA can identify drug and alcohol trends among pipeline and LNG facility employees with the tests.  In addition, PHMSA can take additional actions if tests reveal an increase in drug or alcohol usage.  Decreased drug and alcohol use will improve human and environmental resources protection and increase pipeline safety.</w:t>
      </w:r>
    </w:p>
    <w:p w:rsidR="00D93C47" w:rsidP="00907424" w:rsidRDefault="00D93C47">
      <w:pPr>
        <w:rPr>
          <w:szCs w:val="24"/>
        </w:rPr>
      </w:pPr>
    </w:p>
    <w:p w:rsidR="00907424" w:rsidP="00945FB5" w:rsidRDefault="00907424">
      <w:pPr>
        <w:rPr>
          <w:bCs/>
        </w:rPr>
      </w:pPr>
    </w:p>
    <w:p w:rsidR="001D224D" w:rsidP="000A6210" w:rsidRDefault="001D224D">
      <w:pPr>
        <w:widowControl w:val="0"/>
        <w:tabs>
          <w:tab w:val="left" w:pos="540"/>
        </w:tabs>
        <w:ind w:left="1440"/>
        <w:rPr>
          <w:b/>
          <w:szCs w:val="24"/>
        </w:rPr>
      </w:pPr>
    </w:p>
    <w:p w:rsidRPr="00981917" w:rsidR="000D1FCE" w:rsidP="000A6210" w:rsidRDefault="000D1FCE">
      <w:pPr>
        <w:widowControl w:val="0"/>
        <w:tabs>
          <w:tab w:val="left" w:pos="540"/>
        </w:tabs>
        <w:ind w:left="1440"/>
        <w:rPr>
          <w:b/>
          <w:szCs w:val="24"/>
        </w:rPr>
      </w:pPr>
    </w:p>
    <w:p w:rsidRPr="00981917" w:rsidR="00F45271" w:rsidP="000A6210" w:rsidRDefault="001D224D">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p>
    <w:p w:rsidR="005A3519" w:rsidP="005A3519" w:rsidRDefault="005A3519"/>
    <w:p w:rsidRPr="00C152F3" w:rsidR="00C152F3" w:rsidP="00AE7C13" w:rsidRDefault="00D93C47">
      <w:pPr>
        <w:rPr>
          <w:szCs w:val="24"/>
        </w:rPr>
      </w:pPr>
      <w:r>
        <w:t xml:space="preserve">The requirements for Drug and alcohol testing are in 49 CFR 199.  </w:t>
      </w:r>
      <w:r w:rsidRPr="00C152F3" w:rsidR="00C152F3">
        <w:rPr>
          <w:szCs w:val="24"/>
        </w:rPr>
        <w:t>The NTSB issued the following safety recommendation to PHMSA (September 26, 2011, NTSB Recommendation P-11-12):</w:t>
      </w:r>
    </w:p>
    <w:p w:rsidRPr="00C152F3" w:rsidR="00C152F3" w:rsidP="00C152F3" w:rsidRDefault="00C152F3">
      <w:pPr>
        <w:ind w:firstLine="720"/>
        <w:rPr>
          <w:szCs w:val="24"/>
        </w:rPr>
      </w:pPr>
    </w:p>
    <w:p w:rsidRPr="00C152F3" w:rsidR="00C152F3" w:rsidP="00C152F3" w:rsidRDefault="00C152F3">
      <w:pPr>
        <w:ind w:left="360"/>
        <w:rPr>
          <w:szCs w:val="24"/>
        </w:rPr>
      </w:pPr>
      <w:r w:rsidRPr="00C152F3">
        <w:rPr>
          <w:szCs w:val="24"/>
        </w:rPr>
        <w:t xml:space="preserve">Amend §§ 199.105 and 199.225 to eliminate operator discretion </w:t>
      </w:r>
      <w:proofErr w:type="gramStart"/>
      <w:r w:rsidRPr="00C152F3">
        <w:rPr>
          <w:szCs w:val="24"/>
        </w:rPr>
        <w:t>with regard to</w:t>
      </w:r>
      <w:proofErr w:type="gramEnd"/>
      <w:r w:rsidRPr="00C152F3">
        <w:rPr>
          <w:szCs w:val="24"/>
        </w:rPr>
        <w:t xml:space="preserve"> testing of covered employees.  </w:t>
      </w:r>
      <w:r w:rsidR="002F668A">
        <w:rPr>
          <w:szCs w:val="24"/>
        </w:rPr>
        <w:t>This information collection</w:t>
      </w:r>
      <w:r w:rsidRPr="00C152F3">
        <w:rPr>
          <w:szCs w:val="24"/>
        </w:rPr>
        <w:t xml:space="preserve"> require</w:t>
      </w:r>
      <w:r w:rsidR="002F668A">
        <w:rPr>
          <w:szCs w:val="24"/>
        </w:rPr>
        <w:t>s</w:t>
      </w:r>
      <w:r w:rsidRPr="00C152F3">
        <w:rPr>
          <w:szCs w:val="24"/>
        </w:rPr>
        <w:t xml:space="preserve"> drug and alcohol testing of each </w:t>
      </w:r>
      <w:r w:rsidRPr="00C152F3">
        <w:rPr>
          <w:szCs w:val="24"/>
        </w:rPr>
        <w:lastRenderedPageBreak/>
        <w:t>employee whose performance either contributed to the accident or cannot be completely discounted as a contributing factor to the accident.</w:t>
      </w:r>
    </w:p>
    <w:p w:rsidRPr="00C152F3" w:rsidR="00C152F3" w:rsidP="00C152F3" w:rsidRDefault="00C152F3">
      <w:pPr>
        <w:ind w:left="720" w:hanging="360"/>
        <w:rPr>
          <w:szCs w:val="24"/>
        </w:rPr>
      </w:pPr>
    </w:p>
    <w:p w:rsidRPr="00C152F3" w:rsidR="00C152F3" w:rsidP="00C152F3" w:rsidRDefault="002F668A">
      <w:pPr>
        <w:ind w:firstLine="720"/>
        <w:rPr>
          <w:szCs w:val="24"/>
        </w:rPr>
      </w:pPr>
      <w:r>
        <w:rPr>
          <w:szCs w:val="24"/>
        </w:rPr>
        <w:t>49 CFR</w:t>
      </w:r>
      <w:r w:rsidRPr="00C152F3" w:rsidR="00C152F3">
        <w:rPr>
          <w:szCs w:val="24"/>
        </w:rPr>
        <w:t xml:space="preserve"> §§ 199.105 and 199.225 </w:t>
      </w:r>
      <w:r>
        <w:rPr>
          <w:szCs w:val="24"/>
        </w:rPr>
        <w:t xml:space="preserve">require the </w:t>
      </w:r>
      <w:r w:rsidRPr="00C152F3" w:rsidR="00C152F3">
        <w:rPr>
          <w:szCs w:val="24"/>
        </w:rPr>
        <w:t>drug testing of employees after an accident and allowing exemption from drug testing only when there is sufficient information that establishes the employee(s) had no role in the accident.</w:t>
      </w:r>
    </w:p>
    <w:p w:rsidRPr="00C152F3" w:rsidR="00C152F3" w:rsidP="00C152F3" w:rsidRDefault="00C152F3">
      <w:pPr>
        <w:ind w:firstLine="720"/>
        <w:rPr>
          <w:szCs w:val="24"/>
        </w:rPr>
      </w:pPr>
      <w:r w:rsidRPr="00C152F3">
        <w:rPr>
          <w:szCs w:val="24"/>
        </w:rPr>
        <w:t>PHMSA’s regulations require the documentation of decisions not to administer a post-accident alcohol test but the requirement to document decisions not to administer a post-accident drug test is only implied in the regulation.  PHMSA require</w:t>
      </w:r>
      <w:r w:rsidR="002F668A">
        <w:rPr>
          <w:szCs w:val="24"/>
        </w:rPr>
        <w:t>s</w:t>
      </w:r>
      <w:r w:rsidRPr="00C152F3">
        <w:rPr>
          <w:szCs w:val="24"/>
        </w:rPr>
        <w:t xml:space="preserve"> documentation of the decision to ke</w:t>
      </w:r>
      <w:r w:rsidR="002F668A">
        <w:rPr>
          <w:szCs w:val="24"/>
        </w:rPr>
        <w:t>pt</w:t>
      </w:r>
      <w:r w:rsidRPr="00C152F3">
        <w:rPr>
          <w:szCs w:val="24"/>
        </w:rPr>
        <w:t xml:space="preserve"> for at least three years.</w:t>
      </w:r>
    </w:p>
    <w:p w:rsidR="005A3519" w:rsidP="005A3519" w:rsidRDefault="005A3519"/>
    <w:p w:rsidR="001D224D" w:rsidP="000A6210" w:rsidRDefault="001D224D">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rsidRDefault="00E94974"/>
    <w:p w:rsidR="00C152F3" w:rsidP="00C152F3" w:rsidRDefault="00C152F3">
      <w:r>
        <w:t xml:space="preserve">Operators are permitted to keep records in any retrievable form.  They may use the latest information technology to reduce any additional burden.  </w:t>
      </w:r>
    </w:p>
    <w:p w:rsidRPr="00981917" w:rsidR="00855CD7" w:rsidP="00855CD7" w:rsidRDefault="00855CD7">
      <w:pPr>
        <w:widowControl w:val="0"/>
        <w:tabs>
          <w:tab w:val="left" w:pos="540"/>
        </w:tabs>
        <w:rPr>
          <w:b/>
          <w:szCs w:val="24"/>
        </w:rPr>
      </w:pPr>
    </w:p>
    <w:p w:rsidRPr="00855CD7" w:rsidR="00720D5B" w:rsidP="00855CD7" w:rsidRDefault="000A6210">
      <w:pPr>
        <w:widowControl w:val="0"/>
        <w:numPr>
          <w:ilvl w:val="0"/>
          <w:numId w:val="11"/>
        </w:numPr>
        <w:tabs>
          <w:tab w:val="clear" w:pos="720"/>
          <w:tab w:val="num" w:pos="-90"/>
          <w:tab w:val="left" w:pos="0"/>
          <w:tab w:val="left" w:pos="540"/>
        </w:tabs>
        <w:ind w:left="0" w:firstLine="0"/>
        <w:rPr>
          <w:b/>
          <w:szCs w:val="24"/>
          <w:u w:val="single"/>
        </w:rPr>
      </w:pPr>
      <w:r w:rsidRPr="00855CD7">
        <w:rPr>
          <w:b/>
          <w:szCs w:val="24"/>
          <w:u w:val="single"/>
        </w:rPr>
        <w:t>Describe efforts to identify duplication</w:t>
      </w:r>
    </w:p>
    <w:p w:rsidR="00E94974" w:rsidP="00C152F3" w:rsidRDefault="00E94974"/>
    <w:p w:rsidR="00C152F3" w:rsidP="00C152F3" w:rsidRDefault="00C152F3">
      <w:r>
        <w:t>PHMSA is the only federal agency that requires the retention of records related to pipeline and LNG facility operator employee drug and alcohol usage.  No similar information on is requested by the government or industry.</w:t>
      </w:r>
    </w:p>
    <w:p w:rsidR="00855CD7" w:rsidP="00855CD7" w:rsidRDefault="00855CD7"/>
    <w:p w:rsidR="00855CD7" w:rsidP="000A6210" w:rsidRDefault="001D224D">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rsidRDefault="00E94974"/>
    <w:p w:rsidR="00855CD7" w:rsidP="00855CD7" w:rsidRDefault="00C152F3">
      <w:r>
        <w:t xml:space="preserve">PHMSA </w:t>
      </w:r>
      <w:r w:rsidR="00855CD7">
        <w:t>affected operators to be both large and small businesses.  However, this information is necessary for safety and tracking purposes regardless of business size.  There are currently no exceptions for small businesses.</w:t>
      </w:r>
    </w:p>
    <w:p w:rsidRPr="00981917" w:rsidR="00720D5B" w:rsidP="00720D5B" w:rsidRDefault="00720D5B">
      <w:pPr>
        <w:widowControl w:val="0"/>
        <w:tabs>
          <w:tab w:val="left" w:pos="0"/>
          <w:tab w:val="left" w:pos="540"/>
        </w:tabs>
        <w:ind w:left="-90"/>
        <w:rPr>
          <w:szCs w:val="24"/>
        </w:rPr>
      </w:pPr>
    </w:p>
    <w:p w:rsidRPr="00981917" w:rsidR="001D224D" w:rsidP="00FA69D1" w:rsidRDefault="001D224D">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rsidRDefault="00FA69D1"/>
    <w:p w:rsidR="00855CD7" w:rsidP="00855CD7" w:rsidRDefault="00781054">
      <w:pPr>
        <w:rPr>
          <w:b/>
          <w:bCs/>
        </w:rPr>
      </w:pPr>
      <w:r>
        <w:t>This</w:t>
      </w:r>
      <w:r w:rsidR="00855CD7">
        <w:t xml:space="preserve"> information collection is event driven and therefore cannot be conducted less frequently.  </w:t>
      </w:r>
      <w:r>
        <w:t xml:space="preserve">Without this timely collection, </w:t>
      </w:r>
      <w:r w:rsidR="00855CD7">
        <w:t xml:space="preserve">PHMSA would be unable to appropriately and properly assess </w:t>
      </w:r>
      <w:r>
        <w:t xml:space="preserve">the practices of </w:t>
      </w:r>
      <w:r w:rsidR="00855CD7">
        <w:t xml:space="preserve">its regulated community.  Less frequent information collection could compromise the safety and economic viability of the U.S. pipeline system.  </w:t>
      </w:r>
    </w:p>
    <w:p w:rsidR="00FA69D1" w:rsidP="000A6210" w:rsidRDefault="00FA69D1">
      <w:pPr>
        <w:widowControl w:val="0"/>
        <w:tabs>
          <w:tab w:val="left" w:pos="540"/>
        </w:tabs>
        <w:rPr>
          <w:b/>
          <w:szCs w:val="24"/>
        </w:rPr>
      </w:pPr>
    </w:p>
    <w:p w:rsidRPr="00981917" w:rsidR="001D224D" w:rsidP="00FA69D1" w:rsidRDefault="001D224D">
      <w:pPr>
        <w:widowControl w:val="0"/>
        <w:tabs>
          <w:tab w:val="left" w:pos="540"/>
        </w:tabs>
        <w:rPr>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2F668A" w:rsidP="00781054" w:rsidRDefault="002F668A"/>
    <w:p w:rsidR="00781054" w:rsidP="00781054" w:rsidRDefault="00781054">
      <w:r>
        <w:t>The information collection contains no special circumstances.</w:t>
      </w:r>
    </w:p>
    <w:p w:rsidRPr="00981917" w:rsidR="001D224D" w:rsidP="000A6210" w:rsidRDefault="001D224D">
      <w:pPr>
        <w:widowControl w:val="0"/>
        <w:tabs>
          <w:tab w:val="left" w:pos="540"/>
        </w:tabs>
        <w:rPr>
          <w:szCs w:val="24"/>
        </w:rPr>
      </w:pPr>
    </w:p>
    <w:p w:rsidRPr="00981917" w:rsidR="001D224D" w:rsidP="00FA69D1" w:rsidRDefault="001D224D">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rsidRDefault="00FA69D1">
      <w:pPr>
        <w:rPr>
          <w:szCs w:val="24"/>
        </w:rPr>
      </w:pPr>
    </w:p>
    <w:p w:rsidRPr="00721229" w:rsidR="00721229" w:rsidP="00721229" w:rsidRDefault="00721229">
      <w:pPr>
        <w:rPr>
          <w:szCs w:val="24"/>
        </w:rPr>
      </w:pPr>
      <w:r w:rsidRPr="00721229">
        <w:rPr>
          <w:szCs w:val="24"/>
        </w:rPr>
        <w:t xml:space="preserve">PHMSA published a </w:t>
      </w:r>
      <w:r w:rsidR="002F668A">
        <w:rPr>
          <w:szCs w:val="24"/>
        </w:rPr>
        <w:t xml:space="preserve">60-Day Notice in the Federal Register [86 FR 9568] on February 16, 2021.  PHMSA received no comments pertaining to this information collection. </w:t>
      </w:r>
      <w:r w:rsidRPr="00721229">
        <w:rPr>
          <w:szCs w:val="24"/>
        </w:rPr>
        <w:t xml:space="preserve"> </w:t>
      </w:r>
    </w:p>
    <w:p w:rsidRPr="00981917" w:rsidR="00F67076" w:rsidP="00F67076" w:rsidRDefault="00F67076">
      <w:pPr>
        <w:widowControl w:val="0"/>
        <w:tabs>
          <w:tab w:val="left" w:pos="540"/>
        </w:tabs>
        <w:rPr>
          <w:b/>
          <w:szCs w:val="24"/>
        </w:rPr>
      </w:pPr>
    </w:p>
    <w:p w:rsidRPr="00FA69D1" w:rsidR="001D224D" w:rsidP="00FA69D1" w:rsidRDefault="0026419F">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rsidRDefault="00FA69D1">
      <w:pPr>
        <w:rPr>
          <w:szCs w:val="24"/>
        </w:rPr>
      </w:pPr>
    </w:p>
    <w:p w:rsidRPr="00FA69D1" w:rsidR="00FA69D1" w:rsidP="00FA69D1" w:rsidRDefault="00FA69D1">
      <w:pPr>
        <w:rPr>
          <w:szCs w:val="24"/>
        </w:rPr>
      </w:pPr>
      <w:r w:rsidRPr="00FA69D1">
        <w:rPr>
          <w:szCs w:val="24"/>
        </w:rPr>
        <w:t>There is no payment or gift provided to respondents associated with this collection of information.</w:t>
      </w:r>
    </w:p>
    <w:p w:rsidR="00FA69D1" w:rsidP="00AA1704" w:rsidRDefault="00FA69D1">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Pr="00981917" w:rsidR="001D224D" w:rsidP="000A6210" w:rsidRDefault="001D224D">
      <w:pPr>
        <w:widowControl w:val="0"/>
        <w:tabs>
          <w:tab w:val="left" w:pos="540"/>
        </w:tabs>
        <w:rPr>
          <w:b/>
          <w:szCs w:val="24"/>
        </w:rPr>
      </w:pPr>
    </w:p>
    <w:p w:rsidRPr="00FA69D1" w:rsidR="00AA1704" w:rsidP="000A6210" w:rsidRDefault="00FA69D1">
      <w:pPr>
        <w:widowControl w:val="0"/>
        <w:tabs>
          <w:tab w:val="left" w:pos="540"/>
        </w:tabs>
        <w:rPr>
          <w:szCs w:val="24"/>
        </w:rPr>
      </w:pPr>
      <w:r w:rsidRPr="00FA69D1">
        <w:rPr>
          <w:szCs w:val="24"/>
        </w:rPr>
        <w:t>PHMSA does not have the authority to guarantee confidentiality.</w:t>
      </w:r>
    </w:p>
    <w:p w:rsidRPr="00981917" w:rsidR="00FA69D1" w:rsidP="000A6210" w:rsidRDefault="00FA69D1">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Pr="00981917" w:rsidR="001D224D" w:rsidP="000A6210" w:rsidRDefault="001D224D">
      <w:pPr>
        <w:widowControl w:val="0"/>
        <w:tabs>
          <w:tab w:val="left" w:pos="540"/>
        </w:tabs>
        <w:rPr>
          <w:b/>
          <w:szCs w:val="24"/>
        </w:rPr>
      </w:pPr>
    </w:p>
    <w:p w:rsidRPr="00FA69D1" w:rsidR="00FA69D1" w:rsidP="00FA69D1" w:rsidRDefault="00FA69D1">
      <w:pPr>
        <w:rPr>
          <w:szCs w:val="24"/>
        </w:rPr>
      </w:pPr>
      <w:r w:rsidRPr="00FA69D1">
        <w:rPr>
          <w:szCs w:val="24"/>
        </w:rPr>
        <w:t>The reporting and recordkeeping requirements of this information collection do not involve questions of a sensitive nature.</w:t>
      </w:r>
    </w:p>
    <w:p w:rsidRPr="00981917" w:rsidR="00AA1704" w:rsidP="000A6210" w:rsidRDefault="00AA1704">
      <w:pPr>
        <w:widowControl w:val="0"/>
        <w:tabs>
          <w:tab w:val="left" w:pos="540"/>
        </w:tabs>
        <w:rPr>
          <w:b/>
          <w:szCs w:val="24"/>
        </w:rPr>
      </w:pPr>
    </w:p>
    <w:p w:rsidRPr="00981917" w:rsidR="0012012B" w:rsidP="00781054" w:rsidRDefault="001D224D">
      <w:pPr>
        <w:widowControl w:val="0"/>
        <w:tabs>
          <w:tab w:val="left" w:pos="540"/>
        </w:tabs>
        <w:rPr>
          <w:b/>
          <w:szCs w:val="24"/>
        </w:rPr>
      </w:pPr>
      <w:r w:rsidRPr="00981917">
        <w:rPr>
          <w:b/>
          <w:szCs w:val="24"/>
        </w:rPr>
        <w:t>12.</w:t>
      </w:r>
      <w:r w:rsidRPr="00981917">
        <w:rPr>
          <w:b/>
          <w:szCs w:val="24"/>
        </w:rPr>
        <w:tab/>
      </w:r>
      <w:r w:rsidRPr="00981917" w:rsidR="006C0638">
        <w:rPr>
          <w:b/>
          <w:szCs w:val="24"/>
          <w:u w:val="single"/>
        </w:rPr>
        <w:t>Estimate of burden hours for information requested.</w:t>
      </w:r>
    </w:p>
    <w:p w:rsidRPr="00981917" w:rsidR="00AD05BD" w:rsidP="00AD05BD" w:rsidRDefault="00AD05BD">
      <w:pPr>
        <w:widowControl w:val="0"/>
        <w:tabs>
          <w:tab w:val="left" w:pos="270"/>
          <w:tab w:val="left" w:pos="540"/>
        </w:tabs>
        <w:rPr>
          <w:b/>
          <w:szCs w:val="24"/>
        </w:rPr>
      </w:pPr>
    </w:p>
    <w:p w:rsidRPr="00781054" w:rsidR="00AD05BD" w:rsidP="00AD05BD" w:rsidRDefault="00781054">
      <w:pPr>
        <w:widowControl w:val="0"/>
        <w:tabs>
          <w:tab w:val="left" w:pos="270"/>
          <w:tab w:val="left" w:pos="540"/>
        </w:tabs>
        <w:rPr>
          <w:b/>
          <w:szCs w:val="24"/>
        </w:rPr>
      </w:pPr>
      <w:r>
        <w:rPr>
          <w:b/>
          <w:szCs w:val="24"/>
        </w:rPr>
        <w:tab/>
      </w:r>
      <w:r>
        <w:rPr>
          <w:b/>
          <w:szCs w:val="24"/>
        </w:rPr>
        <w:tab/>
      </w:r>
      <w:r w:rsidRPr="00781054">
        <w:rPr>
          <w:b/>
          <w:szCs w:val="24"/>
        </w:rPr>
        <w:t xml:space="preserve">609 Annual Responses and </w:t>
      </w:r>
      <w:r w:rsidR="00721229">
        <w:rPr>
          <w:b/>
          <w:szCs w:val="24"/>
        </w:rPr>
        <w:t>1,218</w:t>
      </w:r>
      <w:r w:rsidRPr="00781054">
        <w:rPr>
          <w:b/>
          <w:szCs w:val="24"/>
        </w:rPr>
        <w:t xml:space="preserve"> Annual Burden Hours</w:t>
      </w:r>
    </w:p>
    <w:p w:rsidR="007E5E25" w:rsidP="000A6210" w:rsidRDefault="007E5E25">
      <w:pPr>
        <w:widowControl w:val="0"/>
        <w:tabs>
          <w:tab w:val="left" w:pos="540"/>
        </w:tabs>
        <w:rPr>
          <w:szCs w:val="24"/>
        </w:rPr>
      </w:pPr>
    </w:p>
    <w:p w:rsidRPr="00981917" w:rsidR="001D224D" w:rsidP="000A6210" w:rsidRDefault="007E5E25">
      <w:pPr>
        <w:widowControl w:val="0"/>
        <w:tabs>
          <w:tab w:val="left" w:pos="540"/>
        </w:tabs>
        <w:rPr>
          <w:b/>
          <w:szCs w:val="24"/>
        </w:rPr>
      </w:pPr>
      <w:r w:rsidRPr="00666147">
        <w:rPr>
          <w:szCs w:val="24"/>
        </w:rPr>
        <w:t>Over the past 5 years, there ha</w:t>
      </w:r>
      <w:r>
        <w:rPr>
          <w:szCs w:val="24"/>
        </w:rPr>
        <w:t>s</w:t>
      </w:r>
      <w:r w:rsidRPr="00666147">
        <w:rPr>
          <w:szCs w:val="24"/>
        </w:rPr>
        <w:t xml:space="preserve"> been an average of 609 reported pipeline incidents per year.  Although many firms may already document their decisions, we assume conservatively that</w:t>
      </w:r>
      <w:r w:rsidR="00230D8E">
        <w:rPr>
          <w:szCs w:val="24"/>
        </w:rPr>
        <w:t xml:space="preserve"> </w:t>
      </w:r>
      <w:r w:rsidRPr="00666147">
        <w:rPr>
          <w:szCs w:val="24"/>
        </w:rPr>
        <w:t>each incident would require some new documentation</w:t>
      </w:r>
      <w:r>
        <w:rPr>
          <w:szCs w:val="24"/>
        </w:rPr>
        <w:t xml:space="preserve"> since it is not yet mandatory for them to </w:t>
      </w:r>
      <w:r w:rsidR="00230D8E">
        <w:rPr>
          <w:szCs w:val="24"/>
        </w:rPr>
        <w:t xml:space="preserve">keep post-accident drug testing records.  PHMSA estimates that it will take </w:t>
      </w:r>
      <w:r w:rsidR="00721229">
        <w:rPr>
          <w:szCs w:val="24"/>
        </w:rPr>
        <w:t>2</w:t>
      </w:r>
      <w:r w:rsidR="00230D8E">
        <w:rPr>
          <w:szCs w:val="24"/>
        </w:rPr>
        <w:t xml:space="preserve"> hours to compile and retain the requested records</w:t>
      </w:r>
      <w:r w:rsidRPr="00666147">
        <w:rPr>
          <w:szCs w:val="24"/>
        </w:rPr>
        <w:t xml:space="preserve">.  </w:t>
      </w:r>
      <w:proofErr w:type="gramStart"/>
      <w:r w:rsidRPr="00666147">
        <w:rPr>
          <w:szCs w:val="24"/>
        </w:rPr>
        <w:t>The</w:t>
      </w:r>
      <w:r>
        <w:rPr>
          <w:szCs w:val="24"/>
        </w:rPr>
        <w:t>refore</w:t>
      </w:r>
      <w:proofErr w:type="gramEnd"/>
      <w:r>
        <w:rPr>
          <w:szCs w:val="24"/>
        </w:rPr>
        <w:t xml:space="preserve"> PHMSA estimates a</w:t>
      </w:r>
      <w:r w:rsidRPr="00666147">
        <w:rPr>
          <w:szCs w:val="24"/>
        </w:rPr>
        <w:t xml:space="preserve"> total </w:t>
      </w:r>
      <w:r>
        <w:rPr>
          <w:szCs w:val="24"/>
        </w:rPr>
        <w:t>annual burden of 609 responses</w:t>
      </w:r>
      <w:r w:rsidRPr="00666147">
        <w:rPr>
          <w:szCs w:val="24"/>
        </w:rPr>
        <w:t xml:space="preserve"> </w:t>
      </w:r>
      <w:r>
        <w:rPr>
          <w:szCs w:val="24"/>
        </w:rPr>
        <w:t xml:space="preserve">and </w:t>
      </w:r>
      <w:r w:rsidR="00721229">
        <w:rPr>
          <w:szCs w:val="24"/>
        </w:rPr>
        <w:t>1,218</w:t>
      </w:r>
      <w:r w:rsidR="00230D8E">
        <w:rPr>
          <w:szCs w:val="24"/>
        </w:rPr>
        <w:t xml:space="preserve"> </w:t>
      </w:r>
      <w:r>
        <w:rPr>
          <w:szCs w:val="24"/>
        </w:rPr>
        <w:t>burden hours</w:t>
      </w:r>
      <w:r w:rsidR="00721229">
        <w:rPr>
          <w:szCs w:val="24"/>
        </w:rPr>
        <w:t xml:space="preserve"> </w:t>
      </w:r>
      <w:r w:rsidRPr="00666147">
        <w:rPr>
          <w:szCs w:val="24"/>
        </w:rPr>
        <w:t xml:space="preserve">(609 incidents * </w:t>
      </w:r>
      <w:r w:rsidR="00721229">
        <w:rPr>
          <w:szCs w:val="24"/>
        </w:rPr>
        <w:t>2</w:t>
      </w:r>
      <w:r w:rsidRPr="00666147">
        <w:rPr>
          <w:szCs w:val="24"/>
        </w:rPr>
        <w:t xml:space="preserve"> </w:t>
      </w:r>
      <w:r>
        <w:rPr>
          <w:szCs w:val="24"/>
        </w:rPr>
        <w:t>hour</w:t>
      </w:r>
      <w:r w:rsidR="00230D8E">
        <w:rPr>
          <w:szCs w:val="24"/>
        </w:rPr>
        <w:t>s</w:t>
      </w:r>
      <w:r w:rsidRPr="00666147">
        <w:rPr>
          <w:szCs w:val="24"/>
        </w:rPr>
        <w:t>).</w:t>
      </w:r>
      <w:r w:rsidRPr="00666147">
        <w:rPr>
          <w:szCs w:val="24"/>
        </w:rPr>
        <w:br/>
      </w:r>
    </w:p>
    <w:p w:rsidRPr="00981917" w:rsidR="00781054" w:rsidP="00781054" w:rsidRDefault="001D224D">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rsidRDefault="00E94974">
      <w:pPr>
        <w:widowControl w:val="0"/>
        <w:tabs>
          <w:tab w:val="left" w:pos="540"/>
        </w:tabs>
        <w:rPr>
          <w:szCs w:val="24"/>
        </w:rPr>
      </w:pPr>
    </w:p>
    <w:p w:rsidR="00781054" w:rsidP="000A6210" w:rsidRDefault="007E5E25">
      <w:pPr>
        <w:widowControl w:val="0"/>
        <w:tabs>
          <w:tab w:val="left" w:pos="540"/>
        </w:tabs>
        <w:rPr>
          <w:szCs w:val="24"/>
        </w:rPr>
      </w:pPr>
      <w:proofErr w:type="gramStart"/>
      <w:r w:rsidRPr="00666147">
        <w:rPr>
          <w:szCs w:val="24"/>
        </w:rPr>
        <w:t>According to</w:t>
      </w:r>
      <w:proofErr w:type="gramEnd"/>
      <w:r w:rsidRPr="00666147">
        <w:rPr>
          <w:szCs w:val="24"/>
        </w:rPr>
        <w:t xml:space="preserve"> the Bureau of Labor Statistics, the average wage rate of a Human Resources Specialist (Occupation Code 13-1071) in the Oil and Gas Extraction industry (NAICS 211100) is $37.12. </w:t>
      </w:r>
      <w:r w:rsidR="00B72722">
        <w:rPr>
          <w:szCs w:val="24"/>
        </w:rPr>
        <w:t xml:space="preserve"> PHMSA has used this baseline </w:t>
      </w:r>
      <w:proofErr w:type="gramStart"/>
      <w:r w:rsidR="00B72722">
        <w:rPr>
          <w:szCs w:val="24"/>
        </w:rPr>
        <w:t>in order to</w:t>
      </w:r>
      <w:proofErr w:type="gramEnd"/>
      <w:r w:rsidR="00B72722">
        <w:rPr>
          <w:szCs w:val="24"/>
        </w:rPr>
        <w:t xml:space="preserve"> estimate the costs to operators to comply with this recordkeeping requirement.  </w:t>
      </w:r>
      <w:proofErr w:type="gramStart"/>
      <w:r w:rsidR="00B72722">
        <w:rPr>
          <w:szCs w:val="24"/>
        </w:rPr>
        <w:t>As a result</w:t>
      </w:r>
      <w:proofErr w:type="gramEnd"/>
      <w:r w:rsidR="00B72722">
        <w:rPr>
          <w:szCs w:val="24"/>
        </w:rPr>
        <w:t>, PHMSA estimates an overall cost of $</w:t>
      </w:r>
      <w:r w:rsidR="00721229">
        <w:rPr>
          <w:szCs w:val="24"/>
        </w:rPr>
        <w:t>45</w:t>
      </w:r>
      <w:r w:rsidR="000D1FCE">
        <w:rPr>
          <w:szCs w:val="24"/>
        </w:rPr>
        <w:t>,</w:t>
      </w:r>
      <w:r w:rsidR="00721229">
        <w:rPr>
          <w:szCs w:val="24"/>
        </w:rPr>
        <w:t>212</w:t>
      </w:r>
      <w:r w:rsidR="00B72722">
        <w:rPr>
          <w:szCs w:val="24"/>
        </w:rPr>
        <w:t xml:space="preserve"> </w:t>
      </w:r>
      <w:r w:rsidRPr="00666147">
        <w:rPr>
          <w:szCs w:val="24"/>
        </w:rPr>
        <w:t xml:space="preserve">(609 incidents * </w:t>
      </w:r>
      <w:r w:rsidR="00721229">
        <w:rPr>
          <w:szCs w:val="24"/>
        </w:rPr>
        <w:t>2</w:t>
      </w:r>
      <w:r w:rsidRPr="00666147">
        <w:rPr>
          <w:szCs w:val="24"/>
        </w:rPr>
        <w:t xml:space="preserve"> hour</w:t>
      </w:r>
      <w:r w:rsidR="00230D8E">
        <w:rPr>
          <w:szCs w:val="24"/>
        </w:rPr>
        <w:t>s</w:t>
      </w:r>
      <w:r w:rsidR="00B72722">
        <w:rPr>
          <w:szCs w:val="24"/>
        </w:rPr>
        <w:t xml:space="preserve"> at</w:t>
      </w:r>
      <w:r w:rsidRPr="00666147">
        <w:rPr>
          <w:szCs w:val="24"/>
        </w:rPr>
        <w:t xml:space="preserve"> $37.12/hour).</w:t>
      </w:r>
      <w:r w:rsidRPr="00781054" w:rsidR="00B72722">
        <w:rPr>
          <w:szCs w:val="24"/>
        </w:rPr>
        <w:t xml:space="preserve"> </w:t>
      </w:r>
      <w:r w:rsidRPr="00781054" w:rsidR="00781054">
        <w:rPr>
          <w:szCs w:val="24"/>
        </w:rPr>
        <w:t xml:space="preserve">There </w:t>
      </w:r>
      <w:proofErr w:type="gramStart"/>
      <w:r w:rsidR="00B72722">
        <w:rPr>
          <w:szCs w:val="24"/>
        </w:rPr>
        <w:t>are</w:t>
      </w:r>
      <w:proofErr w:type="gramEnd"/>
      <w:r w:rsidRPr="00781054" w:rsidR="00781054">
        <w:rPr>
          <w:szCs w:val="24"/>
        </w:rPr>
        <w:t xml:space="preserve"> no</w:t>
      </w:r>
      <w:r w:rsidR="00B72722">
        <w:rPr>
          <w:szCs w:val="24"/>
        </w:rPr>
        <w:t xml:space="preserve"> additional cost to respondents associated with this requirement.</w:t>
      </w:r>
    </w:p>
    <w:p w:rsidRPr="00981917" w:rsidR="00B72722" w:rsidP="000A6210" w:rsidRDefault="00B72722">
      <w:pPr>
        <w:widowControl w:val="0"/>
        <w:tabs>
          <w:tab w:val="left" w:pos="540"/>
        </w:tabs>
        <w:rPr>
          <w:b/>
          <w:szCs w:val="24"/>
        </w:rPr>
      </w:pPr>
    </w:p>
    <w:p w:rsidRPr="00981917" w:rsidR="001D224D" w:rsidP="006C0638" w:rsidRDefault="001D224D">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rsidRDefault="00E94974">
      <w:pPr>
        <w:widowControl w:val="0"/>
        <w:tabs>
          <w:tab w:val="left" w:pos="540"/>
        </w:tabs>
        <w:rPr>
          <w:szCs w:val="24"/>
        </w:rPr>
      </w:pPr>
    </w:p>
    <w:p w:rsidR="006C0638" w:rsidP="000A6210" w:rsidRDefault="00781054">
      <w:pPr>
        <w:widowControl w:val="0"/>
        <w:tabs>
          <w:tab w:val="left" w:pos="540"/>
        </w:tabs>
        <w:rPr>
          <w:szCs w:val="24"/>
        </w:rPr>
      </w:pPr>
      <w:r w:rsidRPr="00781054">
        <w:rPr>
          <w:szCs w:val="24"/>
        </w:rPr>
        <w:t>There is no additional cost to the Federal Government associated with this information collection.</w:t>
      </w:r>
    </w:p>
    <w:p w:rsidRPr="00781054" w:rsidR="00721229" w:rsidP="000A6210" w:rsidRDefault="00721229">
      <w:pPr>
        <w:widowControl w:val="0"/>
        <w:tabs>
          <w:tab w:val="left" w:pos="540"/>
        </w:tabs>
        <w:rPr>
          <w:szCs w:val="24"/>
        </w:rPr>
      </w:pPr>
    </w:p>
    <w:p w:rsidRPr="00781054" w:rsidR="00F67FCC" w:rsidP="00F67FCC" w:rsidRDefault="00F67FCC">
      <w:pPr>
        <w:widowControl w:val="0"/>
        <w:numPr>
          <w:ilvl w:val="0"/>
          <w:numId w:val="10"/>
        </w:numPr>
        <w:tabs>
          <w:tab w:val="clear" w:pos="720"/>
          <w:tab w:val="num" w:pos="0"/>
          <w:tab w:val="left" w:pos="540"/>
        </w:tabs>
        <w:ind w:left="0" w:firstLine="0"/>
        <w:rPr>
          <w:b/>
          <w:szCs w:val="24"/>
        </w:rPr>
      </w:pPr>
      <w:r w:rsidRPr="00781054">
        <w:rPr>
          <w:b/>
          <w:szCs w:val="24"/>
          <w:u w:val="single"/>
        </w:rPr>
        <w:t>Explanation of the program change or adjustments</w:t>
      </w:r>
      <w:r w:rsidR="00781054">
        <w:rPr>
          <w:b/>
          <w:szCs w:val="24"/>
        </w:rPr>
        <w:t>.</w:t>
      </w:r>
    </w:p>
    <w:p w:rsidR="00E94974" w:rsidP="00781054" w:rsidRDefault="00E94974"/>
    <w:p w:rsidRPr="00981917" w:rsidR="001D224D" w:rsidP="00781054" w:rsidRDefault="002F668A">
      <w:pPr>
        <w:rPr>
          <w:szCs w:val="24"/>
        </w:rPr>
      </w:pPr>
      <w:r>
        <w:lastRenderedPageBreak/>
        <w:t xml:space="preserve">PHMSA is requesting a renewal, without change, of this information collection.  There are no program changes or adjustments </w:t>
      </w:r>
      <w:proofErr w:type="gramStart"/>
      <w:r>
        <w:t>at this time</w:t>
      </w:r>
      <w:proofErr w:type="gramEnd"/>
      <w:r>
        <w:t>.</w:t>
      </w:r>
    </w:p>
    <w:p w:rsidR="00781054" w:rsidP="007B68C6" w:rsidRDefault="00781054">
      <w:pPr>
        <w:widowControl w:val="0"/>
        <w:tabs>
          <w:tab w:val="left" w:pos="540"/>
        </w:tabs>
        <w:rPr>
          <w:b/>
          <w:szCs w:val="24"/>
        </w:rPr>
      </w:pPr>
    </w:p>
    <w:p w:rsidRPr="00981917" w:rsidR="001D224D" w:rsidP="007B68C6" w:rsidRDefault="001D224D">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rsidRDefault="00E94974"/>
    <w:p w:rsidR="00E94974" w:rsidP="00E94974" w:rsidRDefault="00E94974">
      <w:r>
        <w:t>This information will not be published for statistical purposes.</w:t>
      </w:r>
    </w:p>
    <w:p w:rsidRPr="00981917" w:rsidR="007B68C6" w:rsidP="000A6210" w:rsidRDefault="007B68C6">
      <w:pPr>
        <w:widowControl w:val="0"/>
        <w:tabs>
          <w:tab w:val="left" w:pos="540"/>
        </w:tabs>
        <w:rPr>
          <w:szCs w:val="24"/>
        </w:rPr>
      </w:pPr>
    </w:p>
    <w:p w:rsidR="00E94974" w:rsidP="000A6210" w:rsidRDefault="001D224D">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rsidRDefault="00E94974"/>
    <w:p w:rsidR="00E94974" w:rsidP="00E94974" w:rsidRDefault="00E94974">
      <w:r>
        <w:t>PHMSA is not seeking such approval.</w:t>
      </w:r>
    </w:p>
    <w:p w:rsidRPr="00981917" w:rsidR="007B68C6" w:rsidP="000A6210" w:rsidRDefault="007B68C6">
      <w:pPr>
        <w:widowControl w:val="0"/>
        <w:tabs>
          <w:tab w:val="left" w:pos="540"/>
        </w:tabs>
        <w:rPr>
          <w:b/>
          <w:szCs w:val="24"/>
        </w:rPr>
      </w:pPr>
    </w:p>
    <w:p w:rsidRPr="00E94974" w:rsidR="00E94974" w:rsidP="00E94974" w:rsidRDefault="007B68C6">
      <w:pPr>
        <w:widowControl w:val="0"/>
        <w:numPr>
          <w:ilvl w:val="0"/>
          <w:numId w:val="18"/>
        </w:numPr>
        <w:tabs>
          <w:tab w:val="clear" w:pos="900"/>
          <w:tab w:val="num" w:pos="0"/>
          <w:tab w:val="left" w:pos="540"/>
        </w:tabs>
        <w:ind w:left="0" w:firstLine="0"/>
        <w:rPr>
          <w:bCs/>
        </w:rPr>
      </w:pPr>
      <w:r w:rsidRPr="00981917">
        <w:rPr>
          <w:b/>
          <w:szCs w:val="24"/>
          <w:u w:val="single"/>
        </w:rPr>
        <w:t>Exceptions to the certification statement</w:t>
      </w:r>
      <w:r w:rsidRPr="00981917">
        <w:rPr>
          <w:b/>
          <w:szCs w:val="24"/>
        </w:rPr>
        <w:t xml:space="preserve">.  </w:t>
      </w:r>
    </w:p>
    <w:p w:rsidR="00E94974" w:rsidP="00E94974" w:rsidRDefault="00E94974">
      <w:pPr>
        <w:widowControl w:val="0"/>
        <w:tabs>
          <w:tab w:val="left" w:pos="540"/>
        </w:tabs>
        <w:rPr>
          <w:bCs/>
        </w:rPr>
      </w:pPr>
    </w:p>
    <w:p w:rsidRPr="00152695" w:rsidR="00E94974" w:rsidP="00E94974" w:rsidRDefault="00E94974">
      <w:pPr>
        <w:widowControl w:val="0"/>
        <w:tabs>
          <w:tab w:val="left" w:pos="540"/>
        </w:tabs>
        <w:rPr>
          <w:bCs/>
        </w:rPr>
      </w:pPr>
      <w:r>
        <w:rPr>
          <w:bCs/>
        </w:rPr>
        <w:t>There is no exception.</w:t>
      </w:r>
    </w:p>
    <w:sectPr w:rsidRPr="00152695" w:rsidR="00E94974"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68" w:rsidRDefault="00442368">
      <w:r>
        <w:separator/>
      </w:r>
    </w:p>
  </w:endnote>
  <w:endnote w:type="continuationSeparator" w:id="0">
    <w:p w:rsidR="00442368" w:rsidRDefault="0044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68" w:rsidRDefault="00442368">
      <w:r>
        <w:separator/>
      </w:r>
    </w:p>
  </w:footnote>
  <w:footnote w:type="continuationSeparator" w:id="0">
    <w:p w:rsidR="00442368" w:rsidRDefault="0044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6246">
      <w:rPr>
        <w:rStyle w:val="PageNumber"/>
        <w:noProof/>
      </w:rPr>
      <w:t>4</w:t>
    </w:r>
    <w:r>
      <w:rPr>
        <w:rStyle w:val="PageNumber"/>
      </w:rPr>
      <w:fldChar w:fldCharType="end"/>
    </w:r>
  </w:p>
  <w:p w:rsidR="00B15EA9" w:rsidRDefault="00B15EA9">
    <w:pPr>
      <w:widowControl w:val="0"/>
    </w:pPr>
  </w:p>
  <w:p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6246">
      <w:rPr>
        <w:rStyle w:val="PageNumber"/>
        <w:noProof/>
      </w:rPr>
      <w:t>3</w:t>
    </w:r>
    <w:r>
      <w:rPr>
        <w:rStyle w:val="PageNumber"/>
      </w:rPr>
      <w:fldChar w:fldCharType="end"/>
    </w:r>
  </w:p>
  <w:p w:rsidR="00B15EA9" w:rsidRDefault="00B15EA9">
    <w:pPr>
      <w:widowControl w:val="0"/>
    </w:pPr>
  </w:p>
  <w:p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427E1"/>
    <w:multiLevelType w:val="hybridMultilevel"/>
    <w:tmpl w:val="0B46C51C"/>
    <w:lvl w:ilvl="0" w:tplc="3996957A">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7"/>
  </w:num>
  <w:num w:numId="11">
    <w:abstractNumId w:val="20"/>
  </w:num>
  <w:num w:numId="12">
    <w:abstractNumId w:val="8"/>
  </w:num>
  <w:num w:numId="13">
    <w:abstractNumId w:val="11"/>
  </w:num>
  <w:num w:numId="14">
    <w:abstractNumId w:val="15"/>
  </w:num>
  <w:num w:numId="15">
    <w:abstractNumId w:val="19"/>
  </w:num>
  <w:num w:numId="16">
    <w:abstractNumId w:val="12"/>
  </w:num>
  <w:num w:numId="17">
    <w:abstractNumId w:val="23"/>
  </w:num>
  <w:num w:numId="18">
    <w:abstractNumId w:val="16"/>
  </w:num>
  <w:num w:numId="19">
    <w:abstractNumId w:val="10"/>
  </w:num>
  <w:num w:numId="20">
    <w:abstractNumId w:val="24"/>
  </w:num>
  <w:num w:numId="21">
    <w:abstractNumId w:val="14"/>
  </w:num>
  <w:num w:numId="22">
    <w:abstractNumId w:val="21"/>
  </w:num>
  <w:num w:numId="23">
    <w:abstractNumId w:val="9"/>
  </w:num>
  <w:num w:numId="24">
    <w:abstractNumId w:val="13"/>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89D"/>
    <w:rsid w:val="0000185B"/>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490E"/>
    <w:rsid w:val="000A6210"/>
    <w:rsid w:val="000A6237"/>
    <w:rsid w:val="000A6651"/>
    <w:rsid w:val="000C5B12"/>
    <w:rsid w:val="000D16E2"/>
    <w:rsid w:val="000D1FCE"/>
    <w:rsid w:val="000D2714"/>
    <w:rsid w:val="000D3A31"/>
    <w:rsid w:val="000E129F"/>
    <w:rsid w:val="000F02F0"/>
    <w:rsid w:val="0010553F"/>
    <w:rsid w:val="00105786"/>
    <w:rsid w:val="00111C90"/>
    <w:rsid w:val="0012012B"/>
    <w:rsid w:val="00125C17"/>
    <w:rsid w:val="00137BBF"/>
    <w:rsid w:val="00143869"/>
    <w:rsid w:val="0014478D"/>
    <w:rsid w:val="00145724"/>
    <w:rsid w:val="00145EE7"/>
    <w:rsid w:val="001602BD"/>
    <w:rsid w:val="00162850"/>
    <w:rsid w:val="001A2B8C"/>
    <w:rsid w:val="001B4FB4"/>
    <w:rsid w:val="001C56C9"/>
    <w:rsid w:val="001D1C24"/>
    <w:rsid w:val="001D1D81"/>
    <w:rsid w:val="001D224D"/>
    <w:rsid w:val="001F680E"/>
    <w:rsid w:val="00214EA1"/>
    <w:rsid w:val="00216BBD"/>
    <w:rsid w:val="00217301"/>
    <w:rsid w:val="00220896"/>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F283D"/>
    <w:rsid w:val="002F668A"/>
    <w:rsid w:val="0030347C"/>
    <w:rsid w:val="0030454E"/>
    <w:rsid w:val="0030713B"/>
    <w:rsid w:val="00311384"/>
    <w:rsid w:val="0031308A"/>
    <w:rsid w:val="00323F3E"/>
    <w:rsid w:val="00342AD1"/>
    <w:rsid w:val="003520AC"/>
    <w:rsid w:val="003533E1"/>
    <w:rsid w:val="0035553B"/>
    <w:rsid w:val="00364904"/>
    <w:rsid w:val="00366EDD"/>
    <w:rsid w:val="003825DD"/>
    <w:rsid w:val="00383C3D"/>
    <w:rsid w:val="003848F8"/>
    <w:rsid w:val="00385DEC"/>
    <w:rsid w:val="0039412D"/>
    <w:rsid w:val="0039436D"/>
    <w:rsid w:val="00397165"/>
    <w:rsid w:val="00397F24"/>
    <w:rsid w:val="003F21BC"/>
    <w:rsid w:val="003F5A55"/>
    <w:rsid w:val="003F7601"/>
    <w:rsid w:val="003F766B"/>
    <w:rsid w:val="00400889"/>
    <w:rsid w:val="00412866"/>
    <w:rsid w:val="00414833"/>
    <w:rsid w:val="00427866"/>
    <w:rsid w:val="00431B7C"/>
    <w:rsid w:val="00442368"/>
    <w:rsid w:val="00447A44"/>
    <w:rsid w:val="004547EA"/>
    <w:rsid w:val="00463C8A"/>
    <w:rsid w:val="004722AC"/>
    <w:rsid w:val="0048262A"/>
    <w:rsid w:val="0048271C"/>
    <w:rsid w:val="004845F1"/>
    <w:rsid w:val="00485806"/>
    <w:rsid w:val="00490FF0"/>
    <w:rsid w:val="00492398"/>
    <w:rsid w:val="004A133B"/>
    <w:rsid w:val="004A2D90"/>
    <w:rsid w:val="004B0581"/>
    <w:rsid w:val="004B41D5"/>
    <w:rsid w:val="004B4313"/>
    <w:rsid w:val="004C5215"/>
    <w:rsid w:val="004D1083"/>
    <w:rsid w:val="004D1AA9"/>
    <w:rsid w:val="004D72DD"/>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632B0"/>
    <w:rsid w:val="00571076"/>
    <w:rsid w:val="00576631"/>
    <w:rsid w:val="00581334"/>
    <w:rsid w:val="0058459E"/>
    <w:rsid w:val="00591081"/>
    <w:rsid w:val="005A0377"/>
    <w:rsid w:val="005A3519"/>
    <w:rsid w:val="005A5526"/>
    <w:rsid w:val="005B0506"/>
    <w:rsid w:val="005C1E2C"/>
    <w:rsid w:val="005E0EDE"/>
    <w:rsid w:val="005E3952"/>
    <w:rsid w:val="005F0AE8"/>
    <w:rsid w:val="00602613"/>
    <w:rsid w:val="00606246"/>
    <w:rsid w:val="00607316"/>
    <w:rsid w:val="00620F79"/>
    <w:rsid w:val="00624048"/>
    <w:rsid w:val="006306BD"/>
    <w:rsid w:val="00636AA0"/>
    <w:rsid w:val="0064782C"/>
    <w:rsid w:val="00647958"/>
    <w:rsid w:val="00653420"/>
    <w:rsid w:val="0065710F"/>
    <w:rsid w:val="00662FEA"/>
    <w:rsid w:val="00671D37"/>
    <w:rsid w:val="00681E37"/>
    <w:rsid w:val="0068484D"/>
    <w:rsid w:val="00687C73"/>
    <w:rsid w:val="00691922"/>
    <w:rsid w:val="00693C31"/>
    <w:rsid w:val="006A0320"/>
    <w:rsid w:val="006B5210"/>
    <w:rsid w:val="006B749B"/>
    <w:rsid w:val="006C0638"/>
    <w:rsid w:val="006C1DBB"/>
    <w:rsid w:val="006D527E"/>
    <w:rsid w:val="00720D5B"/>
    <w:rsid w:val="00721229"/>
    <w:rsid w:val="0072371F"/>
    <w:rsid w:val="00724627"/>
    <w:rsid w:val="00731CCC"/>
    <w:rsid w:val="00731F93"/>
    <w:rsid w:val="00733E58"/>
    <w:rsid w:val="00743112"/>
    <w:rsid w:val="00752227"/>
    <w:rsid w:val="00763417"/>
    <w:rsid w:val="007666F7"/>
    <w:rsid w:val="00781054"/>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43930"/>
    <w:rsid w:val="00855CD7"/>
    <w:rsid w:val="00884CD2"/>
    <w:rsid w:val="008B1820"/>
    <w:rsid w:val="008B5371"/>
    <w:rsid w:val="009038BD"/>
    <w:rsid w:val="00907424"/>
    <w:rsid w:val="00910FC7"/>
    <w:rsid w:val="00912BA0"/>
    <w:rsid w:val="0093512C"/>
    <w:rsid w:val="00936CC3"/>
    <w:rsid w:val="00936FE9"/>
    <w:rsid w:val="0094084B"/>
    <w:rsid w:val="00945FB5"/>
    <w:rsid w:val="00954038"/>
    <w:rsid w:val="00970D00"/>
    <w:rsid w:val="00977EE8"/>
    <w:rsid w:val="00981917"/>
    <w:rsid w:val="009857FB"/>
    <w:rsid w:val="00990FC4"/>
    <w:rsid w:val="00991BB1"/>
    <w:rsid w:val="00997784"/>
    <w:rsid w:val="00997834"/>
    <w:rsid w:val="009A3299"/>
    <w:rsid w:val="009B3673"/>
    <w:rsid w:val="009D71D4"/>
    <w:rsid w:val="009D7683"/>
    <w:rsid w:val="009E1D59"/>
    <w:rsid w:val="009E26B1"/>
    <w:rsid w:val="009E2B72"/>
    <w:rsid w:val="009E49DB"/>
    <w:rsid w:val="009E4A89"/>
    <w:rsid w:val="009F3D0A"/>
    <w:rsid w:val="00A1037E"/>
    <w:rsid w:val="00A32459"/>
    <w:rsid w:val="00A32E48"/>
    <w:rsid w:val="00A3435C"/>
    <w:rsid w:val="00A37A22"/>
    <w:rsid w:val="00A40753"/>
    <w:rsid w:val="00A45FCC"/>
    <w:rsid w:val="00A46ADB"/>
    <w:rsid w:val="00A6206A"/>
    <w:rsid w:val="00A71EC0"/>
    <w:rsid w:val="00A75487"/>
    <w:rsid w:val="00A81529"/>
    <w:rsid w:val="00A86046"/>
    <w:rsid w:val="00AA1704"/>
    <w:rsid w:val="00AA2D42"/>
    <w:rsid w:val="00AB5155"/>
    <w:rsid w:val="00AB7AC4"/>
    <w:rsid w:val="00AC512B"/>
    <w:rsid w:val="00AD05BD"/>
    <w:rsid w:val="00AD24E5"/>
    <w:rsid w:val="00AE19BD"/>
    <w:rsid w:val="00AE7C13"/>
    <w:rsid w:val="00AF0344"/>
    <w:rsid w:val="00AF2582"/>
    <w:rsid w:val="00AF7499"/>
    <w:rsid w:val="00AF7D52"/>
    <w:rsid w:val="00B0075F"/>
    <w:rsid w:val="00B029B8"/>
    <w:rsid w:val="00B0326B"/>
    <w:rsid w:val="00B114B5"/>
    <w:rsid w:val="00B11502"/>
    <w:rsid w:val="00B15EA9"/>
    <w:rsid w:val="00B16A3B"/>
    <w:rsid w:val="00B2436D"/>
    <w:rsid w:val="00B34D95"/>
    <w:rsid w:val="00B40E11"/>
    <w:rsid w:val="00B47CE1"/>
    <w:rsid w:val="00B623C2"/>
    <w:rsid w:val="00B67CA5"/>
    <w:rsid w:val="00B72722"/>
    <w:rsid w:val="00B80B03"/>
    <w:rsid w:val="00B97699"/>
    <w:rsid w:val="00BB1A46"/>
    <w:rsid w:val="00BD7C75"/>
    <w:rsid w:val="00BE2C8F"/>
    <w:rsid w:val="00BF16E9"/>
    <w:rsid w:val="00BF24AA"/>
    <w:rsid w:val="00C0163B"/>
    <w:rsid w:val="00C03498"/>
    <w:rsid w:val="00C0587C"/>
    <w:rsid w:val="00C152F3"/>
    <w:rsid w:val="00C2648A"/>
    <w:rsid w:val="00C314A7"/>
    <w:rsid w:val="00C3484D"/>
    <w:rsid w:val="00C433E6"/>
    <w:rsid w:val="00C50B19"/>
    <w:rsid w:val="00C50BFC"/>
    <w:rsid w:val="00C56F3F"/>
    <w:rsid w:val="00C63F5E"/>
    <w:rsid w:val="00C65AE6"/>
    <w:rsid w:val="00C67722"/>
    <w:rsid w:val="00C8396F"/>
    <w:rsid w:val="00C861B2"/>
    <w:rsid w:val="00C95090"/>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50419"/>
    <w:rsid w:val="00D546F8"/>
    <w:rsid w:val="00D55503"/>
    <w:rsid w:val="00D7060E"/>
    <w:rsid w:val="00D759FC"/>
    <w:rsid w:val="00D93C47"/>
    <w:rsid w:val="00DA1B86"/>
    <w:rsid w:val="00DA2E75"/>
    <w:rsid w:val="00DB4683"/>
    <w:rsid w:val="00DB6E97"/>
    <w:rsid w:val="00DC04EE"/>
    <w:rsid w:val="00DC4CC7"/>
    <w:rsid w:val="00DE110A"/>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66A09"/>
    <w:rsid w:val="00E67ED3"/>
    <w:rsid w:val="00E76DB5"/>
    <w:rsid w:val="00E94974"/>
    <w:rsid w:val="00EA0394"/>
    <w:rsid w:val="00EA4541"/>
    <w:rsid w:val="00EA591D"/>
    <w:rsid w:val="00EA7689"/>
    <w:rsid w:val="00EB4240"/>
    <w:rsid w:val="00EC23D6"/>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7076"/>
    <w:rsid w:val="00F67FCC"/>
    <w:rsid w:val="00F702C1"/>
    <w:rsid w:val="00F7389D"/>
    <w:rsid w:val="00F75AD0"/>
    <w:rsid w:val="00F75DB2"/>
    <w:rsid w:val="00F83CF4"/>
    <w:rsid w:val="00F90453"/>
    <w:rsid w:val="00FA6919"/>
    <w:rsid w:val="00FA69D1"/>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36BD8E"/>
  <w15:chartTrackingRefBased/>
  <w15:docId w15:val="{FAA7DE46-9772-4505-B963-108DAAC7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7944">
      <w:bodyDiv w:val="1"/>
      <w:marLeft w:val="0"/>
      <w:marRight w:val="0"/>
      <w:marTop w:val="0"/>
      <w:marBottom w:val="0"/>
      <w:divBdr>
        <w:top w:val="none" w:sz="0" w:space="0" w:color="auto"/>
        <w:left w:val="none" w:sz="0" w:space="0" w:color="auto"/>
        <w:bottom w:val="none" w:sz="0" w:space="0" w:color="auto"/>
        <w:right w:val="none" w:sz="0" w:space="0" w:color="auto"/>
      </w:divBdr>
    </w:div>
    <w:div w:id="527791114">
      <w:bodyDiv w:val="1"/>
      <w:marLeft w:val="0"/>
      <w:marRight w:val="0"/>
      <w:marTop w:val="0"/>
      <w:marBottom w:val="0"/>
      <w:divBdr>
        <w:top w:val="none" w:sz="0" w:space="0" w:color="auto"/>
        <w:left w:val="none" w:sz="0" w:space="0" w:color="auto"/>
        <w:bottom w:val="none" w:sz="0" w:space="0" w:color="auto"/>
        <w:right w:val="none" w:sz="0" w:space="0" w:color="auto"/>
      </w:divBdr>
    </w:div>
    <w:div w:id="981694655">
      <w:bodyDiv w:val="1"/>
      <w:marLeft w:val="0"/>
      <w:marRight w:val="0"/>
      <w:marTop w:val="0"/>
      <w:marBottom w:val="0"/>
      <w:divBdr>
        <w:top w:val="none" w:sz="0" w:space="0" w:color="auto"/>
        <w:left w:val="none" w:sz="0" w:space="0" w:color="auto"/>
        <w:bottom w:val="none" w:sz="0" w:space="0" w:color="auto"/>
        <w:right w:val="none" w:sz="0" w:space="0" w:color="auto"/>
      </w:divBdr>
    </w:div>
    <w:div w:id="1282375032">
      <w:bodyDiv w:val="1"/>
      <w:marLeft w:val="0"/>
      <w:marRight w:val="0"/>
      <w:marTop w:val="0"/>
      <w:marBottom w:val="0"/>
      <w:divBdr>
        <w:top w:val="none" w:sz="0" w:space="0" w:color="auto"/>
        <w:left w:val="none" w:sz="0" w:space="0" w:color="auto"/>
        <w:bottom w:val="none" w:sz="0" w:space="0" w:color="auto"/>
        <w:right w:val="none" w:sz="0" w:space="0" w:color="auto"/>
      </w:divBdr>
    </w:div>
    <w:div w:id="1284314163">
      <w:bodyDiv w:val="1"/>
      <w:marLeft w:val="0"/>
      <w:marRight w:val="0"/>
      <w:marTop w:val="0"/>
      <w:marBottom w:val="0"/>
      <w:divBdr>
        <w:top w:val="none" w:sz="0" w:space="0" w:color="auto"/>
        <w:left w:val="none" w:sz="0" w:space="0" w:color="auto"/>
        <w:bottom w:val="none" w:sz="0" w:space="0" w:color="auto"/>
        <w:right w:val="none" w:sz="0" w:space="0" w:color="auto"/>
      </w:divBdr>
    </w:div>
    <w:div w:id="1362437217">
      <w:bodyDiv w:val="1"/>
      <w:marLeft w:val="0"/>
      <w:marRight w:val="0"/>
      <w:marTop w:val="0"/>
      <w:marBottom w:val="0"/>
      <w:divBdr>
        <w:top w:val="none" w:sz="0" w:space="0" w:color="auto"/>
        <w:left w:val="none" w:sz="0" w:space="0" w:color="auto"/>
        <w:bottom w:val="none" w:sz="0" w:space="0" w:color="auto"/>
        <w:right w:val="none" w:sz="0" w:space="0" w:color="auto"/>
      </w:divBdr>
    </w:div>
    <w:div w:id="1582108003">
      <w:bodyDiv w:val="1"/>
      <w:marLeft w:val="0"/>
      <w:marRight w:val="0"/>
      <w:marTop w:val="0"/>
      <w:marBottom w:val="0"/>
      <w:divBdr>
        <w:top w:val="none" w:sz="0" w:space="0" w:color="auto"/>
        <w:left w:val="none" w:sz="0" w:space="0" w:color="auto"/>
        <w:bottom w:val="none" w:sz="0" w:space="0" w:color="auto"/>
        <w:right w:val="none" w:sz="0" w:space="0" w:color="auto"/>
      </w:divBdr>
    </w:div>
    <w:div w:id="16088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1BD8174C-FDA4-42A0-ACFC-87ECBD83895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2</cp:revision>
  <cp:lastPrinted>2009-07-23T15:59:00Z</cp:lastPrinted>
  <dcterms:created xsi:type="dcterms:W3CDTF">2021-05-26T02:14:00Z</dcterms:created>
  <dcterms:modified xsi:type="dcterms:W3CDTF">2021-05-26T02:14:00Z</dcterms:modified>
</cp:coreProperties>
</file>