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545C9" w14:paraId="5F10D136" w14:textId="323C6051">
      <w:pPr>
        <w:spacing w:after="0" w:line="240" w:lineRule="auto"/>
        <w:jc w:val="center"/>
        <w:rPr>
          <w:rFonts w:ascii="Arial" w:hAnsi="Arial" w:eastAsia="Times New Roman" w:cs="Arial"/>
          <w:b/>
          <w:sz w:val="24"/>
          <w:szCs w:val="24"/>
        </w:rPr>
      </w:pPr>
      <w:r>
        <w:rPr>
          <w:rFonts w:ascii="Arial" w:hAnsi="Arial" w:eastAsia="Times New Roman" w:cs="Arial"/>
          <w:b/>
          <w:sz w:val="24"/>
          <w:szCs w:val="24"/>
        </w:rPr>
        <w:t>VA LOAN ELECTRONIC REPORTING INTERFACE (VALERI) SYSTEM</w:t>
      </w:r>
    </w:p>
    <w:p w:rsidR="00463D10" w:rsidP="00463D10" w:rsidRDefault="00463D10" w14:paraId="6A0B8E21" w14:textId="67981D5F">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w:t>
      </w:r>
      <w:r w:rsidR="00B545C9">
        <w:rPr>
          <w:rFonts w:ascii="Arial" w:hAnsi="Arial" w:eastAsia="Times New Roman" w:cs="Arial"/>
          <w:b/>
          <w:sz w:val="24"/>
          <w:szCs w:val="24"/>
        </w:rPr>
        <w:t>021</w:t>
      </w:r>
      <w:r w:rsidRPr="00B962F8">
        <w:rPr>
          <w:rFonts w:ascii="Arial" w:hAnsi="Arial" w:eastAsia="Times New Roman" w:cs="Arial"/>
          <w:b/>
          <w:sz w:val="24"/>
          <w:szCs w:val="24"/>
        </w:rPr>
        <w:br/>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A46642" w:rsidR="00B545C9" w:rsidP="00463D10" w:rsidRDefault="00B545C9" w14:paraId="58DD363E" w14:textId="489CBBD1">
      <w:pPr>
        <w:spacing w:after="0" w:line="240" w:lineRule="auto"/>
        <w:ind w:left="720"/>
        <w:rPr>
          <w:rFonts w:ascii="Arial" w:hAnsi="Arial" w:eastAsia="Times New Roman" w:cs="Arial"/>
          <w:color w:val="C00000"/>
          <w:sz w:val="24"/>
          <w:szCs w:val="24"/>
        </w:rPr>
      </w:pPr>
    </w:p>
    <w:p w:rsidR="00A46642" w:rsidP="00463D10" w:rsidRDefault="00F4337A" w14:paraId="3FDE1D76" w14:textId="0477D466">
      <w:pPr>
        <w:spacing w:after="0" w:line="240" w:lineRule="auto"/>
        <w:ind w:left="720"/>
        <w:rPr>
          <w:rFonts w:ascii="Arial" w:hAnsi="Arial" w:eastAsia="Times New Roman" w:cs="Arial"/>
          <w:sz w:val="24"/>
          <w:szCs w:val="24"/>
        </w:rPr>
      </w:pPr>
      <w:bookmarkStart w:name="_Hlk29830155" w:id="0"/>
      <w:r w:rsidRP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CFR 36.4300 require specific, critical information be provided to VA and without the collection of such documentation and data, the number of foreclosures of VA-guaranteed loans and homeless Veterans would increase.</w:t>
      </w:r>
      <w:r w:rsidR="001F5BEA">
        <w:rPr>
          <w:rFonts w:ascii="Arial" w:hAnsi="Arial" w:eastAsia="Times New Roman" w:cs="Arial"/>
          <w:sz w:val="24"/>
          <w:szCs w:val="24"/>
        </w:rPr>
        <w:t xml:space="preserve"> </w:t>
      </w:r>
      <w:r w:rsidR="004F35DE">
        <w:rPr>
          <w:rFonts w:ascii="Arial" w:hAnsi="Arial" w:eastAsia="Times New Roman" w:cs="Arial"/>
          <w:sz w:val="24"/>
          <w:szCs w:val="24"/>
        </w:rPr>
        <w:t xml:space="preserve"> </w:t>
      </w:r>
      <w:r w:rsidR="00EC4AE9">
        <w:rPr>
          <w:rFonts w:ascii="Arial" w:hAnsi="Arial" w:eastAsia="Times New Roman" w:cs="Arial"/>
          <w:sz w:val="24"/>
          <w:szCs w:val="24"/>
        </w:rPr>
        <w:t xml:space="preserve">Federal Regulation under 38 CFR 36.4807 also requires </w:t>
      </w:r>
      <w:r w:rsidR="00AC1ADB">
        <w:rPr>
          <w:rFonts w:ascii="Arial" w:hAnsi="Arial" w:eastAsia="Times New Roman" w:cs="Arial"/>
          <w:sz w:val="24"/>
          <w:szCs w:val="24"/>
        </w:rPr>
        <w:t xml:space="preserve">servicers to report information consistent with the partial claim payment </w:t>
      </w:r>
      <w:r w:rsidR="009850B6">
        <w:rPr>
          <w:rFonts w:ascii="Arial" w:hAnsi="Arial" w:eastAsia="Times New Roman" w:cs="Arial"/>
          <w:sz w:val="24"/>
          <w:szCs w:val="24"/>
        </w:rPr>
        <w:t>home retention option</w:t>
      </w:r>
      <w:r w:rsidR="00AC1ADB">
        <w:rPr>
          <w:rFonts w:ascii="Arial" w:hAnsi="Arial" w:eastAsia="Times New Roman" w:cs="Arial"/>
          <w:sz w:val="24"/>
          <w:szCs w:val="24"/>
        </w:rPr>
        <w:t xml:space="preserve"> authorized under 38 CFR 36.4800 </w:t>
      </w:r>
      <w:r w:rsidRPr="002F0563" w:rsidR="00AC1ADB">
        <w:rPr>
          <w:rFonts w:ascii="Arial" w:hAnsi="Arial" w:eastAsia="Times New Roman" w:cs="Arial"/>
          <w:i/>
          <w:iCs/>
          <w:sz w:val="24"/>
          <w:szCs w:val="24"/>
        </w:rPr>
        <w:t>et seq</w:t>
      </w:r>
      <w:r w:rsidR="00AC1ADB">
        <w:rPr>
          <w:rFonts w:ascii="Arial" w:hAnsi="Arial" w:eastAsia="Times New Roman" w:cs="Arial"/>
          <w:sz w:val="24"/>
          <w:szCs w:val="24"/>
        </w:rPr>
        <w:t>.</w:t>
      </w:r>
    </w:p>
    <w:bookmarkEnd w:id="0"/>
    <w:p w:rsidR="00A46642" w:rsidP="00463D10" w:rsidRDefault="00A46642" w14:paraId="431D28D4" w14:textId="50B428BA">
      <w:pPr>
        <w:spacing w:after="0" w:line="240" w:lineRule="auto"/>
        <w:ind w:left="720"/>
        <w:rPr>
          <w:rFonts w:ascii="Arial" w:hAnsi="Arial" w:eastAsia="Times New Roman" w:cs="Arial"/>
          <w:sz w:val="24"/>
          <w:szCs w:val="24"/>
        </w:rPr>
      </w:pPr>
    </w:p>
    <w:p w:rsidRPr="00B962F8" w:rsidR="00A46642" w:rsidP="00463D10" w:rsidRDefault="00A46642" w14:paraId="2A8B4E00"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B962F8" w:rsidP="00463D10" w:rsidRDefault="00B545C9" w14:paraId="1FBB3EB9" w14:textId="0D10A76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This information is provided by loan servicers.  VA has moved toward placing greater reliance on private-sector servicing in accordance with VA guidelines, with VA using advanced technology to oversee holder actions.</w:t>
      </w:r>
    </w:p>
    <w:p w:rsidR="00B545C9" w:rsidP="00463D10" w:rsidRDefault="00B545C9" w14:paraId="09E27474"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7777777">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A new internet-based reporting system has replaced the following OMB-approved forms:  26-6850, 26-6850a, and </w:t>
      </w:r>
    </w:p>
    <w:p w:rsidRPr="00B545C9" w:rsidR="00B545C9" w:rsidP="00B545C9" w:rsidRDefault="00B545C9" w14:paraId="28833A92" w14:textId="4D6AB8A6">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lastRenderedPageBreak/>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B962F8" w:rsidP="00463D10" w:rsidRDefault="00B545C9" w14:paraId="3862D76A" w14:textId="114777AD">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There is no duplication of information involved.  </w:t>
      </w:r>
    </w:p>
    <w:p w:rsidR="00B545C9" w:rsidP="00463D10" w:rsidRDefault="00B545C9" w14:paraId="7DC6E7E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B962F8" w:rsidP="00463D10" w:rsidRDefault="00B545C9" w14:paraId="361A05DD" w14:textId="68FBE951">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The collection of information does not involve small businesses.</w:t>
      </w: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0B441ADB">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a servicer's portfolio.  This collection is necessary in order for VA to responsibly meet its obligations to oversee loan holder actions.</w:t>
      </w:r>
    </w:p>
    <w:p w:rsidR="00B545C9" w:rsidP="00B962F8" w:rsidRDefault="00B545C9" w14:paraId="0B3242C6"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B545C9"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E11370" w:rsidRDefault="00B962F8" w14:paraId="6A0B8E47" w14:textId="31F14900">
      <w:pPr>
        <w:spacing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The Department notice was published in the Federal</w:t>
      </w:r>
      <w:r w:rsidR="00D41C84">
        <w:rPr>
          <w:rFonts w:ascii="Arial" w:hAnsi="Arial" w:eastAsia="Times New Roman" w:cs="Arial"/>
          <w:sz w:val="24"/>
          <w:szCs w:val="24"/>
        </w:rPr>
        <w:t xml:space="preserve"> Register</w:t>
      </w:r>
      <w:r w:rsidRPr="00B962F8">
        <w:rPr>
          <w:rFonts w:ascii="Arial" w:hAnsi="Arial" w:eastAsia="Times New Roman" w:cs="Arial"/>
          <w:sz w:val="24"/>
          <w:szCs w:val="24"/>
        </w:rPr>
        <w:t xml:space="preserve"> </w:t>
      </w:r>
      <w:r w:rsidRPr="00E11370" w:rsidR="00E11370">
        <w:rPr>
          <w:rFonts w:ascii="Arial" w:hAnsi="Arial" w:eastAsia="Times New Roman" w:cs="Arial"/>
          <w:sz w:val="24"/>
          <w:szCs w:val="24"/>
        </w:rPr>
        <w:t xml:space="preserve">on </w:t>
      </w:r>
      <w:r w:rsidRPr="008E4494" w:rsidR="00D41C84">
        <w:rPr>
          <w:rFonts w:ascii="Arial" w:hAnsi="Arial" w:eastAsia="Times New Roman" w:cs="Arial"/>
          <w:sz w:val="24"/>
          <w:szCs w:val="24"/>
          <w:u w:val="single"/>
        </w:rPr>
        <w:t>December 9, 2020</w:t>
      </w:r>
      <w:r w:rsidR="00D41C84">
        <w:rPr>
          <w:rFonts w:ascii="Arial" w:hAnsi="Arial" w:eastAsia="Times New Roman" w:cs="Arial"/>
          <w:sz w:val="24"/>
          <w:szCs w:val="24"/>
        </w:rPr>
        <w:t xml:space="preserve"> at </w:t>
      </w:r>
      <w:r w:rsidRPr="008E4494" w:rsidR="00D41C84">
        <w:rPr>
          <w:rFonts w:ascii="Arial" w:hAnsi="Arial" w:eastAsia="Times New Roman" w:cs="Arial"/>
          <w:sz w:val="24"/>
          <w:szCs w:val="24"/>
          <w:u w:val="single"/>
        </w:rPr>
        <w:t>85 FR 79142</w:t>
      </w:r>
      <w:r w:rsidR="00D41C84">
        <w:rPr>
          <w:rFonts w:ascii="Arial" w:hAnsi="Arial" w:eastAsia="Times New Roman" w:cs="Arial"/>
          <w:sz w:val="24"/>
          <w:szCs w:val="24"/>
        </w:rPr>
        <w:t xml:space="preserve">, </w:t>
      </w:r>
      <w:r w:rsidRPr="008E4494" w:rsidR="00D41C84">
        <w:rPr>
          <w:rFonts w:ascii="Arial" w:hAnsi="Arial" w:eastAsia="Times New Roman" w:cs="Arial"/>
          <w:sz w:val="24"/>
          <w:szCs w:val="24"/>
          <w:u w:val="single"/>
        </w:rPr>
        <w:t xml:space="preserve">pages </w:t>
      </w:r>
      <w:r w:rsidRPr="008E4494" w:rsidR="008F2C88">
        <w:rPr>
          <w:rFonts w:ascii="Arial" w:hAnsi="Arial" w:eastAsia="Times New Roman" w:cs="Arial"/>
          <w:sz w:val="24"/>
          <w:szCs w:val="24"/>
          <w:u w:val="single"/>
        </w:rPr>
        <w:t>7915</w:t>
      </w:r>
      <w:r w:rsidRPr="008E4494" w:rsidR="009F23EF">
        <w:rPr>
          <w:rFonts w:ascii="Arial" w:hAnsi="Arial" w:eastAsia="Times New Roman" w:cs="Arial"/>
          <w:sz w:val="24"/>
          <w:szCs w:val="24"/>
          <w:u w:val="single"/>
        </w:rPr>
        <w:t>7</w:t>
      </w:r>
      <w:r w:rsidRPr="008E4494" w:rsidR="008F2C88">
        <w:rPr>
          <w:rFonts w:ascii="Arial" w:hAnsi="Arial" w:eastAsia="Times New Roman" w:cs="Arial"/>
          <w:sz w:val="24"/>
          <w:szCs w:val="24"/>
          <w:u w:val="single"/>
        </w:rPr>
        <w:t>-</w:t>
      </w:r>
      <w:r w:rsidRPr="008E4494" w:rsidR="009F23EF">
        <w:rPr>
          <w:rFonts w:ascii="Arial" w:hAnsi="Arial" w:eastAsia="Times New Roman" w:cs="Arial"/>
          <w:sz w:val="24"/>
          <w:szCs w:val="24"/>
          <w:u w:val="single"/>
        </w:rPr>
        <w:t>79158</w:t>
      </w:r>
      <w:r w:rsidR="009F23EF">
        <w:rPr>
          <w:rFonts w:ascii="Arial" w:hAnsi="Arial" w:eastAsia="Times New Roman" w:cs="Arial"/>
          <w:sz w:val="24"/>
          <w:szCs w:val="24"/>
        </w:rPr>
        <w:t xml:space="preserve"> as part of </w:t>
      </w:r>
      <w:r w:rsidR="00AD2C75">
        <w:rPr>
          <w:rFonts w:ascii="Arial" w:hAnsi="Arial" w:eastAsia="Times New Roman" w:cs="Arial"/>
          <w:sz w:val="24"/>
          <w:szCs w:val="24"/>
        </w:rPr>
        <w:t xml:space="preserve">VA’s </w:t>
      </w:r>
      <w:r w:rsidR="009F23EF">
        <w:rPr>
          <w:rFonts w:ascii="Arial" w:hAnsi="Arial" w:eastAsia="Times New Roman" w:cs="Arial"/>
          <w:sz w:val="24"/>
          <w:szCs w:val="24"/>
        </w:rPr>
        <w:t>proposed rule</w:t>
      </w:r>
      <w:r w:rsidR="00AD2C75">
        <w:rPr>
          <w:rFonts w:ascii="Arial" w:hAnsi="Arial" w:eastAsia="Times New Roman" w:cs="Arial"/>
          <w:sz w:val="24"/>
          <w:szCs w:val="24"/>
        </w:rPr>
        <w:t xml:space="preserve"> RIN 2900-AR05, Loan Guaranty: COVID-19 Veterans Assistance Partial Claim Payment Program</w:t>
      </w:r>
      <w:r w:rsidRPr="00E11370" w:rsidR="00E11370">
        <w:rPr>
          <w:rFonts w:ascii="Arial" w:hAnsi="Arial" w:eastAsia="Times New Roman" w:cs="Arial"/>
          <w:sz w:val="24"/>
          <w:szCs w:val="24"/>
        </w:rPr>
        <w:t>.</w:t>
      </w:r>
      <w:r w:rsidR="00E11370">
        <w:rPr>
          <w:rFonts w:ascii="Arial" w:hAnsi="Arial" w:eastAsia="Times New Roman" w:cs="Arial"/>
          <w:sz w:val="24"/>
          <w:szCs w:val="24"/>
        </w:rPr>
        <w:t xml:space="preserve"> </w:t>
      </w:r>
      <w:r w:rsidR="00AD2C75">
        <w:rPr>
          <w:rFonts w:ascii="Arial" w:hAnsi="Arial" w:eastAsia="Times New Roman" w:cs="Arial"/>
          <w:sz w:val="24"/>
          <w:szCs w:val="24"/>
        </w:rPr>
        <w:t>While public comments were received o</w:t>
      </w:r>
      <w:r w:rsidR="005E3A05">
        <w:rPr>
          <w:rFonts w:ascii="Arial" w:hAnsi="Arial" w:eastAsia="Times New Roman" w:cs="Arial"/>
          <w:sz w:val="24"/>
          <w:szCs w:val="24"/>
        </w:rPr>
        <w:t xml:space="preserve">n the proposed rule, no specific comments </w:t>
      </w:r>
      <w:r w:rsidRPr="00B962F8">
        <w:rPr>
          <w:rFonts w:ascii="Arial" w:hAnsi="Arial" w:eastAsia="Times New Roman" w:cs="Arial"/>
          <w:sz w:val="24"/>
          <w:szCs w:val="24"/>
        </w:rPr>
        <w:t>were received</w:t>
      </w:r>
      <w:r w:rsidR="005E3A05">
        <w:rPr>
          <w:rFonts w:ascii="Arial" w:hAnsi="Arial" w:eastAsia="Times New Roman" w:cs="Arial"/>
          <w:sz w:val="24"/>
          <w:szCs w:val="24"/>
        </w:rPr>
        <w:t xml:space="preserve"> regarding this information collection</w:t>
      </w:r>
      <w:r w:rsidRPr="00B962F8">
        <w:rPr>
          <w:rFonts w:ascii="Arial" w:hAnsi="Arial" w:eastAsia="Times New Roman" w:cs="Arial"/>
          <w:sz w:val="24"/>
          <w:szCs w:val="24"/>
        </w:rPr>
        <w:t>.</w:t>
      </w:r>
    </w:p>
    <w:p w:rsidR="00B962F8" w:rsidP="00463D10" w:rsidRDefault="00B962F8" w14:paraId="06547EDB"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lastRenderedPageBreak/>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229E0249">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5E4D6D" w:rsidRDefault="005E4D6D" w14:paraId="4B85859D" w14:textId="77777777">
      <w:pPr>
        <w:tabs>
          <w:tab w:val="left" w:pos="480"/>
          <w:tab w:val="right" w:pos="8640"/>
        </w:tabs>
        <w:spacing w:after="0" w:line="240" w:lineRule="auto"/>
        <w:ind w:left="1080" w:right="684"/>
        <w:contextualSpacing/>
        <w:rPr>
          <w:rFonts w:ascii="Arial" w:hAnsi="Arial" w:eastAsia="Times New Roman" w:cs="Arial"/>
          <w:i/>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005E4D6D" w:rsidP="00BC50DC" w:rsidRDefault="00463D10" w14:paraId="3E7708AA" w14:textId="4F6FA980">
      <w:pPr>
        <w:numPr>
          <w:ilvl w:val="0"/>
          <w:numId w:val="3"/>
        </w:numPr>
        <w:spacing w:after="0" w:line="240" w:lineRule="auto"/>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Pr="00454809" w:rsidR="005E4D6D">
        <w:rPr>
          <w:rFonts w:ascii="Arial" w:hAnsi="Arial" w:eastAsia="Times New Roman" w:cs="Arial"/>
          <w:sz w:val="24"/>
          <w:szCs w:val="24"/>
        </w:rPr>
        <w:t>70</w:t>
      </w:r>
      <w:r w:rsidRPr="00454809" w:rsidR="00B962F8">
        <w:rPr>
          <w:rFonts w:ascii="Arial" w:hAnsi="Arial" w:eastAsia="Times New Roman" w:cs="Arial"/>
          <w:sz w:val="24"/>
          <w:szCs w:val="24"/>
        </w:rPr>
        <w:t xml:space="preserve"> hours</w:t>
      </w:r>
    </w:p>
    <w:p w:rsidRPr="00454809" w:rsidR="00454809" w:rsidP="00454809" w:rsidRDefault="00454809" w14:paraId="09C677D5" w14:textId="77777777">
      <w:pPr>
        <w:spacing w:after="0" w:line="240" w:lineRule="auto"/>
        <w:contextualSpacing/>
        <w:rPr>
          <w:rFonts w:ascii="Arial" w:hAnsi="Arial" w:eastAsia="Times New Roman" w:cs="Arial"/>
          <w:sz w:val="24"/>
          <w:szCs w:val="24"/>
        </w:rPr>
      </w:pPr>
    </w:p>
    <w:p w:rsidR="00B962F8" w:rsidP="00255A1C" w:rsidRDefault="00463D10" w14:paraId="5D85F478" w14:textId="4994DF61">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00B962F8" w:rsidP="00B962F8" w:rsidRDefault="00B962F8" w14:paraId="7700984D" w14:textId="77777777">
      <w:pPr>
        <w:pStyle w:val="ListParagraph"/>
        <w:rPr>
          <w:rFonts w:ascii="Arial" w:hAnsi="Arial" w:cs="Arial"/>
          <w:color w:val="C00000"/>
          <w:sz w:val="24"/>
          <w:szCs w:val="24"/>
        </w:rPr>
      </w:pPr>
    </w:p>
    <w:p w:rsidRPr="00A13FA4" w:rsidR="00A13FA4" w:rsidP="00A13FA4" w:rsidRDefault="005E4D6D" w14:paraId="25BD75BB" w14:textId="1519A254">
      <w:pPr>
        <w:pStyle w:val="ListParagraph"/>
        <w:numPr>
          <w:ilvl w:val="0"/>
          <w:numId w:val="3"/>
        </w:numPr>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1"/>
      <w:r w:rsidRPr="00A13FA4" w:rsidR="00A13FA4">
        <w:rPr>
          <w:rFonts w:ascii="Arial" w:hAnsi="Arial" w:cs="Arial"/>
          <w:sz w:val="24"/>
          <w:szCs w:val="24"/>
        </w:rPr>
        <w:t xml:space="preserve">VBA used general wage data for Loan Officers to estimate the respondents’ costs associated with 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p w:rsidR="00B962F8" w:rsidP="00B962F8" w:rsidRDefault="00B962F8" w14:paraId="760B89F0" w14:textId="3AFEE5C9">
      <w:pPr>
        <w:spacing w:before="240" w:after="240" w:line="240" w:lineRule="auto"/>
        <w:contextualSpacing/>
        <w:rPr>
          <w:rFonts w:ascii="Arial" w:hAnsi="Arial" w:cs="Arial"/>
          <w:sz w:val="24"/>
          <w:szCs w:val="24"/>
        </w:rPr>
      </w:pPr>
      <w:bookmarkStart w:name="_Hlk29831637" w:id="2"/>
      <w:bookmarkEnd w:id="1"/>
      <w:r w:rsidRPr="00B962F8">
        <w:rPr>
          <w:rFonts w:ascii="Arial" w:hAnsi="Arial" w:cs="Arial"/>
          <w:sz w:val="24"/>
          <w:szCs w:val="24"/>
        </w:rPr>
        <w:lastRenderedPageBreak/>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E11370">
        <w:rPr>
          <w:rFonts w:ascii="Arial" w:hAnsi="Arial" w:cs="Arial"/>
          <w:sz w:val="24"/>
          <w:szCs w:val="24"/>
        </w:rPr>
        <w:t>465.60</w:t>
      </w:r>
      <w:r w:rsidRPr="00B962F8">
        <w:rPr>
          <w:rFonts w:ascii="Arial" w:hAnsi="Arial" w:cs="Arial"/>
          <w:sz w:val="24"/>
          <w:szCs w:val="24"/>
        </w:rPr>
        <w:t>. Assuming a forty (40) hour work week, the median hourly wage is $</w:t>
      </w:r>
      <w:r w:rsidR="00F4337A">
        <w:rPr>
          <w:rFonts w:ascii="Arial" w:hAnsi="Arial" w:cs="Arial"/>
          <w:sz w:val="24"/>
          <w:szCs w:val="24"/>
        </w:rPr>
        <w:t>3</w:t>
      </w:r>
      <w:r w:rsidR="00E11370">
        <w:rPr>
          <w:rFonts w:ascii="Arial" w:hAnsi="Arial" w:cs="Arial"/>
          <w:sz w:val="24"/>
          <w:szCs w:val="24"/>
        </w:rPr>
        <w:t>6</w:t>
      </w:r>
      <w:r w:rsidR="00F4337A">
        <w:rPr>
          <w:rFonts w:ascii="Arial" w:hAnsi="Arial" w:cs="Arial"/>
          <w:sz w:val="24"/>
          <w:szCs w:val="24"/>
        </w:rPr>
        <w:t>.</w:t>
      </w:r>
      <w:r w:rsidR="00E11370">
        <w:rPr>
          <w:rFonts w:ascii="Arial" w:hAnsi="Arial" w:cs="Arial"/>
          <w:sz w:val="24"/>
          <w:szCs w:val="24"/>
        </w:rPr>
        <w:t>64</w:t>
      </w:r>
      <w:r w:rsidRPr="00B962F8">
        <w:rPr>
          <w:rFonts w:ascii="Arial" w:hAnsi="Arial" w:cs="Arial"/>
          <w:sz w:val="24"/>
          <w:szCs w:val="24"/>
        </w:rPr>
        <w:t>.</w:t>
      </w:r>
    </w:p>
    <w:p w:rsidRPr="00E11370" w:rsidR="009F18E0" w:rsidP="00B962F8" w:rsidRDefault="009F18E0" w14:paraId="06A894F1" w14:textId="77777777">
      <w:pPr>
        <w:spacing w:before="240" w:after="240" w:line="240" w:lineRule="auto"/>
        <w:contextualSpacing/>
        <w:rPr>
          <w:rFonts w:ascii="Arial" w:hAnsi="Arial" w:cs="Arial"/>
          <w:sz w:val="24"/>
          <w:szCs w:val="24"/>
        </w:rPr>
      </w:pPr>
    </w:p>
    <w:p w:rsidRPr="00E11370" w:rsidR="00255A1C" w:rsidP="00B962F8" w:rsidRDefault="00B962F8" w14:paraId="6BF23EB0" w14:textId="089CB2E5">
      <w:pPr>
        <w:spacing w:before="240" w:after="240" w:line="240" w:lineRule="auto"/>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1">
        <w:r w:rsidRPr="00E11370" w:rsidR="00E11370">
          <w:rPr>
            <w:rStyle w:val="Hyperlink"/>
            <w:rFonts w:ascii="Arial" w:hAnsi="Arial" w:cs="Arial"/>
            <w:sz w:val="24"/>
            <w:szCs w:val="24"/>
          </w:rPr>
          <w:t>https://www.bls.gov/oes/current/oes_nat.htm</w:t>
        </w:r>
      </w:hyperlink>
      <w:r w:rsidRPr="00E11370" w:rsidR="00E11370">
        <w:rPr>
          <w:rFonts w:ascii="Arial" w:hAnsi="Arial" w:cs="Arial"/>
          <w:sz w:val="24"/>
          <w:szCs w:val="24"/>
        </w:rPr>
        <w:t>, May 2019</w:t>
      </w:r>
      <w:r w:rsidRPr="00E11370">
        <w:rPr>
          <w:rFonts w:ascii="Arial" w:hAnsi="Arial" w:cs="Arial"/>
          <w:sz w:val="24"/>
          <w:szCs w:val="24"/>
        </w:rPr>
        <w:t>.</w:t>
      </w:r>
    </w:p>
    <w:bookmarkEnd w:id="2"/>
    <w:p w:rsidRPr="006041A3" w:rsidR="00B962F8" w:rsidP="00B962F8" w:rsidRDefault="00B962F8" w14:paraId="0FCD4284"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65025E2F">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E11370">
        <w:rPr>
          <w:rFonts w:ascii="Arial" w:hAnsi="Arial" w:cs="Arial"/>
          <w:sz w:val="24"/>
          <w:szCs w:val="24"/>
        </w:rPr>
        <w:t>56</w:t>
      </w:r>
      <w:r w:rsidR="000339AA">
        <w:rPr>
          <w:rFonts w:ascii="Arial" w:hAnsi="Arial" w:cs="Arial"/>
          <w:sz w:val="24"/>
          <w:szCs w:val="24"/>
        </w:rPr>
        <w:t>4</w:t>
      </w:r>
      <w:r w:rsidR="00E11370">
        <w:rPr>
          <w:rFonts w:ascii="Arial" w:hAnsi="Arial" w:cs="Arial"/>
          <w:sz w:val="24"/>
          <w:szCs w:val="24"/>
        </w:rPr>
        <w:t>.</w:t>
      </w:r>
      <w:r w:rsidR="000339AA">
        <w:rPr>
          <w:rFonts w:ascii="Arial" w:hAnsi="Arial" w:cs="Arial"/>
          <w:sz w:val="24"/>
          <w:szCs w:val="24"/>
        </w:rPr>
        <w:t>8</w:t>
      </w:r>
      <w:r w:rsidR="00E11370">
        <w:rPr>
          <w:rFonts w:ascii="Arial" w:hAnsi="Arial" w:cs="Arial"/>
          <w:sz w:val="24"/>
          <w:szCs w:val="24"/>
        </w:rPr>
        <w:t>0</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36.6</w:t>
      </w:r>
      <w:r w:rsidR="000339AA">
        <w:rPr>
          <w:rFonts w:ascii="Arial" w:hAnsi="Arial" w:cs="Arial"/>
          <w:sz w:val="24"/>
          <w:szCs w:val="24"/>
        </w:rPr>
        <w:t>4</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0339AA" w:rsidP="009F18E0" w:rsidRDefault="009F18E0" w14:paraId="29BA21F4" w14:textId="77777777">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0339AA">
        <w:rPr>
          <w:rFonts w:ascii="Arial" w:hAnsi="Arial" w:cs="Arial"/>
          <w:color w:val="auto"/>
          <w:szCs w:val="24"/>
        </w:rPr>
        <w:t>:</w:t>
      </w:r>
    </w:p>
    <w:p w:rsidR="004814CC" w:rsidP="009F18E0" w:rsidRDefault="000339AA" w14:paraId="31E7E048" w14:textId="29D6E382">
      <w:pPr>
        <w:pStyle w:val="BodyText"/>
        <w:ind w:left="720"/>
        <w:rPr>
          <w:rFonts w:ascii="Arial" w:hAnsi="Arial" w:cs="Arial"/>
          <w:color w:val="C00000"/>
          <w:szCs w:val="24"/>
        </w:rPr>
      </w:pPr>
      <w:hyperlink w:history="1" r:id="rId12">
        <w:r w:rsidRPr="001366C6">
          <w:rPr>
            <w:rStyle w:val="Hyperlink"/>
            <w:rFonts w:ascii="Arial" w:hAnsi="Arial" w:cs="Arial"/>
            <w:szCs w:val="24"/>
          </w:rPr>
          <w:t>https://www.opm.gov/policy-data-oversight/pay-leave/salaries-wages/salary-tables/pdf/2021/GS_h.pdf</w:t>
        </w:r>
      </w:hyperlink>
    </w:p>
    <w:p w:rsidRPr="00125F42" w:rsidR="000339AA" w:rsidP="009F18E0" w:rsidRDefault="000339AA" w14:paraId="0AB70956" w14:textId="77777777">
      <w:pPr>
        <w:pStyle w:val="BodyText"/>
        <w:ind w:left="720"/>
        <w:rPr>
          <w:rStyle w:val="Hyperlink"/>
          <w:color w:val="C00000"/>
        </w:rPr>
      </w:pPr>
    </w:p>
    <w:p w:rsidRPr="00125F42" w:rsidR="006D11F3" w:rsidP="006D11F3" w:rsidRDefault="006D11F3" w14:paraId="1BA4D6F4" w14:textId="505F6581">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9985" w:type="dxa"/>
        <w:tblLook w:val="04A0" w:firstRow="1" w:lastRow="0" w:firstColumn="1" w:lastColumn="0" w:noHBand="0" w:noVBand="1"/>
      </w:tblPr>
      <w:tblGrid>
        <w:gridCol w:w="1346"/>
        <w:gridCol w:w="1184"/>
        <w:gridCol w:w="1231"/>
        <w:gridCol w:w="1231"/>
        <w:gridCol w:w="1638"/>
        <w:gridCol w:w="1785"/>
        <w:gridCol w:w="1570"/>
      </w:tblGrid>
      <w:tr w:rsidRPr="008F6593" w:rsidR="009F18E0" w:rsidTr="006D2973" w14:paraId="738B07CD" w14:textId="77777777">
        <w:trPr>
          <w:trHeight w:val="492"/>
        </w:trPr>
        <w:tc>
          <w:tcPr>
            <w:tcW w:w="13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97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lastRenderedPageBreak/>
              <w:t>Grade</w:t>
            </w:r>
          </w:p>
        </w:tc>
        <w:tc>
          <w:tcPr>
            <w:tcW w:w="1184"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Step</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Burden Time</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Hourly Rate</w:t>
            </w:r>
          </w:p>
        </w:tc>
        <w:tc>
          <w:tcPr>
            <w:tcW w:w="1638"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6D2973" w14:paraId="23626014" w14:textId="77777777">
        <w:trPr>
          <w:trHeight w:val="288"/>
        </w:trPr>
        <w:tc>
          <w:tcPr>
            <w:tcW w:w="1346" w:type="dxa"/>
            <w:tcBorders>
              <w:top w:val="nil"/>
              <w:left w:val="single" w:color="auto" w:sz="4" w:space="0"/>
              <w:bottom w:val="single" w:color="auto" w:sz="4" w:space="0"/>
              <w:right w:val="single" w:color="auto" w:sz="4" w:space="0"/>
            </w:tcBorders>
            <w:shd w:val="clear" w:color="auto" w:fill="auto"/>
            <w:vAlign w:val="bottom"/>
            <w:hideMark/>
          </w:tcPr>
          <w:p w:rsidRPr="006D2973" w:rsidR="009F18E0" w:rsidP="00280FD7" w:rsidRDefault="009F18E0" w14:paraId="37B729E7" w14:textId="6DC94380">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Pr="006D2973" w:rsidR="008430FD">
              <w:rPr>
                <w:rFonts w:ascii="Arial" w:hAnsi="Arial" w:eastAsia="Times New Roman" w:cs="Arial"/>
                <w:color w:val="000000"/>
                <w:sz w:val="24"/>
                <w:szCs w:val="24"/>
              </w:rPr>
              <w:t>2</w:t>
            </w:r>
          </w:p>
        </w:tc>
        <w:tc>
          <w:tcPr>
            <w:tcW w:w="1184"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8430FD" w14:paraId="08CF4216" w14:textId="76A3E0AA">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00964113">
              <w:rPr>
                <w:rFonts w:ascii="Arial" w:hAnsi="Arial" w:eastAsia="Times New Roman" w:cs="Arial"/>
                <w:color w:val="000000"/>
                <w:sz w:val="24"/>
                <w:szCs w:val="24"/>
              </w:rPr>
              <w:t>0</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9F18E0" w14:paraId="30C5D15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 min</w:t>
            </w:r>
          </w:p>
          <w:p w:rsidRPr="006D2973" w:rsidR="008430FD" w:rsidP="00280FD7" w:rsidRDefault="008430FD" w14:paraId="1226FE31" w14:textId="0EA62CB1">
            <w:pPr>
              <w:spacing w:after="0" w:line="240" w:lineRule="auto"/>
              <w:jc w:val="center"/>
              <w:rPr>
                <w:rFonts w:ascii="Arial" w:hAnsi="Arial" w:eastAsia="Times New Roman" w:cs="Arial"/>
                <w:color w:val="000000"/>
                <w:sz w:val="18"/>
                <w:szCs w:val="18"/>
              </w:rPr>
            </w:pPr>
            <w:r w:rsidRPr="006D2973">
              <w:rPr>
                <w:rFonts w:ascii="Arial" w:hAnsi="Arial" w:eastAsia="Times New Roman" w:cs="Arial"/>
                <w:color w:val="000000"/>
                <w:sz w:val="18"/>
                <w:szCs w:val="18"/>
              </w:rPr>
              <w:t>(0.02)</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9F18E0" w:rsidRDefault="009F18E0" w14:paraId="7CF25A1D" w14:textId="0AE166C4">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41.63</w:t>
            </w:r>
          </w:p>
        </w:tc>
        <w:tc>
          <w:tcPr>
            <w:tcW w:w="1638" w:type="dxa"/>
            <w:tcBorders>
              <w:top w:val="nil"/>
              <w:left w:val="nil"/>
              <w:bottom w:val="single" w:color="auto" w:sz="4" w:space="0"/>
              <w:right w:val="single" w:color="auto" w:sz="4" w:space="0"/>
            </w:tcBorders>
            <w:shd w:val="clear" w:color="auto" w:fill="auto"/>
            <w:vAlign w:val="bottom"/>
            <w:hideMark/>
          </w:tcPr>
          <w:p w:rsidR="009F18E0" w:rsidP="009F18E0" w:rsidRDefault="008430FD" w14:paraId="6E4CEF14" w14:textId="38D3367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0.</w:t>
            </w:r>
            <w:r w:rsidR="00964113">
              <w:rPr>
                <w:rFonts w:ascii="Arial" w:hAnsi="Arial" w:eastAsia="Times New Roman" w:cs="Arial"/>
                <w:color w:val="000000"/>
                <w:sz w:val="24"/>
                <w:szCs w:val="24"/>
              </w:rPr>
              <w:t>83</w:t>
            </w:r>
          </w:p>
          <w:p w:rsidRPr="008430FD" w:rsidR="008430FD" w:rsidP="009F18E0" w:rsidRDefault="008430FD" w14:paraId="78781334" w14:textId="65995DCD">
            <w:pPr>
              <w:spacing w:after="0" w:line="240" w:lineRule="auto"/>
              <w:jc w:val="center"/>
              <w:rPr>
                <w:rFonts w:ascii="Arial" w:hAnsi="Arial" w:eastAsia="Times New Roman" w:cs="Arial"/>
                <w:color w:val="000000"/>
                <w:sz w:val="18"/>
                <w:szCs w:val="18"/>
              </w:rPr>
            </w:pPr>
            <w:r w:rsidRPr="008430FD">
              <w:rPr>
                <w:rFonts w:ascii="Arial" w:hAnsi="Arial" w:eastAsia="Times New Roman" w:cs="Arial"/>
                <w:color w:val="000000"/>
                <w:sz w:val="18"/>
                <w:szCs w:val="18"/>
              </w:rPr>
              <w:t>(</w:t>
            </w:r>
            <w:r w:rsidR="00964113">
              <w:rPr>
                <w:rFonts w:ascii="Arial" w:hAnsi="Arial" w:eastAsia="Times New Roman" w:cs="Arial"/>
                <w:color w:val="000000"/>
                <w:sz w:val="18"/>
                <w:szCs w:val="18"/>
              </w:rPr>
              <w:t>41.63</w:t>
            </w:r>
            <w:r w:rsidRPr="008430FD">
              <w:rPr>
                <w:rFonts w:ascii="Arial" w:hAnsi="Arial" w:eastAsia="Times New Roman" w:cs="Arial"/>
                <w:color w:val="000000"/>
                <w:sz w:val="18"/>
                <w:szCs w:val="18"/>
              </w:rPr>
              <w:t xml:space="preserve"> x 0.02) </w:t>
            </w:r>
          </w:p>
        </w:tc>
        <w:tc>
          <w:tcPr>
            <w:tcW w:w="1785"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832CD2" w14:paraId="318597B8" w14:textId="3D9C538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967</w:t>
            </w:r>
            <w:r w:rsidRPr="008F6593" w:rsidR="009F18E0">
              <w:rPr>
                <w:rFonts w:ascii="Arial" w:hAnsi="Arial" w:eastAsia="Times New Roman" w:cs="Arial"/>
                <w:color w:val="000000"/>
                <w:sz w:val="24"/>
                <w:szCs w:val="24"/>
              </w:rPr>
              <w:t xml:space="preserve"> </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6D1A41FC" w14:textId="6F6F887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p>
        </w:tc>
      </w:tr>
      <w:tr w:rsidRPr="008F6593" w:rsidR="009F18E0" w:rsidTr="006D2973" w14:paraId="5FCD214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80FD7" w:rsidR="009F18E0" w:rsidP="00280FD7" w:rsidRDefault="009F18E0" w14:paraId="100C98BD" w14:textId="44C0095C">
            <w:pPr>
              <w:spacing w:after="0" w:line="240" w:lineRule="auto"/>
              <w:rPr>
                <w:rFonts w:ascii="Arial" w:hAnsi="Arial" w:eastAsia="Times New Roman" w:cs="Arial"/>
                <w:b/>
                <w:bCs/>
                <w:color w:val="000000"/>
                <w:sz w:val="24"/>
                <w:szCs w:val="24"/>
              </w:rPr>
            </w:pPr>
            <w:r w:rsidRPr="00280FD7">
              <w:rPr>
                <w:rFonts w:ascii="Arial" w:hAnsi="Arial" w:eastAsia="Times New Roman" w:cs="Arial"/>
                <w:b/>
                <w:bCs/>
                <w:color w:val="000000"/>
                <w:sz w:val="24"/>
                <w:szCs w:val="24"/>
              </w:rPr>
              <w:t xml:space="preserve">Overhead at </w:t>
            </w:r>
            <w:r w:rsidR="00964113">
              <w:rPr>
                <w:rFonts w:ascii="Arial" w:hAnsi="Arial" w:eastAsia="Times New Roman" w:cs="Arial"/>
                <w:b/>
                <w:bCs/>
                <w:color w:val="000000"/>
                <w:sz w:val="24"/>
                <w:szCs w:val="24"/>
              </w:rPr>
              <w:t>10</w:t>
            </w:r>
            <w:r w:rsidRPr="00280FD7" w:rsidR="00280FD7">
              <w:rPr>
                <w:rFonts w:ascii="Arial" w:hAnsi="Arial" w:eastAsia="Times New Roman" w:cs="Arial"/>
                <w:b/>
                <w:bCs/>
                <w:color w:val="000000"/>
                <w:sz w:val="24"/>
                <w:szCs w:val="24"/>
              </w:rPr>
              <w:t>0</w:t>
            </w:r>
            <w:r w:rsidRPr="00280FD7">
              <w:rPr>
                <w:rFonts w:ascii="Arial" w:hAnsi="Arial" w:eastAsia="Times New Roman" w:cs="Arial"/>
                <w:b/>
                <w:bCs/>
                <w:color w:val="000000"/>
                <w:sz w:val="24"/>
                <w:szCs w:val="24"/>
              </w:rPr>
              <w:t>% Salary</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4E4C4A59" w14:textId="2F157FE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r w:rsidRPr="008F6593">
              <w:rPr>
                <w:rFonts w:ascii="Arial" w:hAnsi="Arial" w:eastAsia="Times New Roman" w:cs="Arial"/>
                <w:color w:val="000000"/>
                <w:sz w:val="24"/>
                <w:szCs w:val="24"/>
              </w:rPr>
              <w:t xml:space="preserve"> </w:t>
            </w:r>
          </w:p>
        </w:tc>
      </w:tr>
      <w:tr w:rsidRPr="008F6593" w:rsidR="00964113" w:rsidTr="00AB1A2F" w14:paraId="156F0E20" w14:textId="77777777">
        <w:trPr>
          <w:trHeight w:val="347"/>
        </w:trPr>
        <w:tc>
          <w:tcPr>
            <w:tcW w:w="99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64113" w:rsidR="00964113" w:rsidP="00964113" w:rsidRDefault="00964113" w14:paraId="72C1F208" w14:textId="44C7472B">
            <w:pPr>
              <w:spacing w:after="0" w:line="240" w:lineRule="auto"/>
              <w:rPr>
                <w:rFonts w:ascii="Arial" w:hAnsi="Arial" w:eastAsia="Times New Roman" w:cs="Arial"/>
                <w:i/>
                <w:iCs/>
                <w:color w:val="000000"/>
                <w:sz w:val="18"/>
                <w:szCs w:val="18"/>
              </w:rPr>
            </w:pPr>
            <w:r w:rsidRPr="00964113">
              <w:rPr>
                <w:rFonts w:ascii="Arial" w:hAnsi="Arial" w:eastAsia="Times New Roman" w:cs="Arial"/>
                <w:i/>
                <w:iCs/>
                <w:color w:val="000000"/>
                <w:sz w:val="18"/>
                <w:szCs w:val="18"/>
              </w:rPr>
              <w:t xml:space="preserve">Note: </w:t>
            </w:r>
            <w:r>
              <w:rPr>
                <w:rFonts w:ascii="Arial" w:hAnsi="Arial" w:eastAsia="Times New Roman" w:cs="Arial"/>
                <w:i/>
                <w:iCs/>
                <w:color w:val="000000"/>
                <w:sz w:val="18"/>
                <w:szCs w:val="18"/>
              </w:rPr>
              <w:t xml:space="preserve"> GS-12</w:t>
            </w:r>
            <w:r w:rsidR="00D41D1C">
              <w:rPr>
                <w:rFonts w:ascii="Arial" w:hAnsi="Arial" w:eastAsia="Times New Roman" w:cs="Arial"/>
                <w:i/>
                <w:iCs/>
                <w:color w:val="000000"/>
                <w:sz w:val="18"/>
                <w:szCs w:val="18"/>
              </w:rPr>
              <w:t xml:space="preserve"> completes 90% of the time.</w:t>
            </w:r>
            <w:r>
              <w:rPr>
                <w:rFonts w:ascii="Arial" w:hAnsi="Arial" w:eastAsia="Times New Roman" w:cs="Arial"/>
                <w:i/>
                <w:iCs/>
                <w:color w:val="000000"/>
                <w:sz w:val="18"/>
                <w:szCs w:val="18"/>
              </w:rPr>
              <w:t xml:space="preserve"> </w:t>
            </w:r>
            <w:r w:rsidRPr="00964113">
              <w:rPr>
                <w:rFonts w:ascii="Arial" w:hAnsi="Arial" w:eastAsia="Times New Roman" w:cs="Arial"/>
                <w:i/>
                <w:iCs/>
                <w:color w:val="000000"/>
                <w:sz w:val="18"/>
                <w:szCs w:val="18"/>
              </w:rPr>
              <w:t xml:space="preserve">On occasion GS-13 or GS-14 </w:t>
            </w:r>
            <w:r>
              <w:rPr>
                <w:rFonts w:ascii="Arial" w:hAnsi="Arial" w:eastAsia="Times New Roman" w:cs="Arial"/>
                <w:i/>
                <w:iCs/>
                <w:color w:val="000000"/>
                <w:sz w:val="18"/>
                <w:szCs w:val="18"/>
              </w:rPr>
              <w:t>may complete</w:t>
            </w:r>
            <w:r w:rsidR="00D41D1C">
              <w:rPr>
                <w:rFonts w:ascii="Arial" w:hAnsi="Arial" w:eastAsia="Times New Roman" w:cs="Arial"/>
                <w:i/>
                <w:iCs/>
                <w:color w:val="000000"/>
                <w:sz w:val="18"/>
                <w:szCs w:val="18"/>
              </w:rPr>
              <w:t xml:space="preserve">. </w:t>
            </w:r>
            <w:r>
              <w:rPr>
                <w:rFonts w:ascii="Arial" w:hAnsi="Arial" w:eastAsia="Times New Roman" w:cs="Arial"/>
                <w:i/>
                <w:iCs/>
                <w:color w:val="000000"/>
                <w:sz w:val="18"/>
                <w:szCs w:val="18"/>
              </w:rPr>
              <w:t xml:space="preserve"> </w:t>
            </w:r>
          </w:p>
        </w:tc>
      </w:tr>
      <w:tr w:rsidRPr="008F6593" w:rsidR="009F18E0" w:rsidTr="006D2973" w14:paraId="0FDC3F6C" w14:textId="77777777">
        <w:trPr>
          <w:trHeight w:val="587"/>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6D2973" w14:paraId="44D92DB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4E26E2D7" w14:textId="29B5536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454809">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r w:rsidRPr="008F6593">
              <w:rPr>
                <w:rFonts w:ascii="Arial" w:hAnsi="Arial" w:eastAsia="Times New Roman" w:cs="Arial"/>
                <w:color w:val="000000"/>
                <w:sz w:val="24"/>
                <w:szCs w:val="24"/>
              </w:rPr>
              <w:t xml:space="preserve"> </w:t>
            </w:r>
          </w:p>
        </w:tc>
      </w:tr>
      <w:tr w:rsidRPr="008F6593" w:rsidR="009F18E0" w:rsidTr="006D2973" w14:paraId="385DAC32"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13F1A543" w14:textId="6C57326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8430FD">
              <w:rPr>
                <w:rFonts w:ascii="Arial" w:hAnsi="Arial" w:eastAsia="Times New Roman" w:cs="Arial"/>
                <w:color w:val="000000"/>
                <w:sz w:val="24"/>
                <w:szCs w:val="24"/>
              </w:rPr>
              <w:t>0</w:t>
            </w:r>
          </w:p>
        </w:tc>
      </w:tr>
      <w:tr w:rsidRPr="008F6593" w:rsidR="009F18E0" w:rsidTr="006D2973" w14:paraId="0F68F6BD"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30C1A1CD" w14:textId="1B27A832">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1B06A42C" w14:textId="68D4E00F">
      <w:pPr>
        <w:pStyle w:val="BodyText"/>
        <w:ind w:left="720"/>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22FDDB29">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8E4494" w:rsidRDefault="00531B3A" w14:paraId="48DC1D5B" w14:textId="108A4345">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As discussed in the proposed rule, VA does not </w:t>
      </w:r>
      <w:r w:rsidR="00DD292C">
        <w:rPr>
          <w:rFonts w:ascii="Arial" w:hAnsi="Arial" w:eastAsia="Times New Roman" w:cs="Arial"/>
          <w:sz w:val="24"/>
          <w:szCs w:val="24"/>
        </w:rPr>
        <w:t>estimate</w:t>
      </w:r>
      <w:r>
        <w:rPr>
          <w:rFonts w:ascii="Arial" w:hAnsi="Arial" w:eastAsia="Times New Roman" w:cs="Arial"/>
          <w:sz w:val="24"/>
          <w:szCs w:val="24"/>
        </w:rPr>
        <w:t xml:space="preserve"> any change in the average burden per response</w:t>
      </w:r>
      <w:r w:rsidR="00DD292C">
        <w:rPr>
          <w:rFonts w:ascii="Arial" w:hAnsi="Arial" w:eastAsia="Times New Roman" w:cs="Arial"/>
          <w:sz w:val="24"/>
          <w:szCs w:val="24"/>
        </w:rPr>
        <w:t xml:space="preserve"> as servicers are already required to report activity on every VA-guaranteed loan in their servicing portfolio, regardless of the home retention option pursued. The amendment to this information collection associated with 38 CFR 36.4807 simply adds partial claim and its associated data elements to the list of available home retention options</w:t>
      </w:r>
      <w:r w:rsidR="0053063B">
        <w:rPr>
          <w:rFonts w:ascii="Arial" w:hAnsi="Arial" w:eastAsia="Times New Roman" w:cs="Arial"/>
          <w:sz w:val="24"/>
          <w:szCs w:val="24"/>
        </w:rPr>
        <w:t>.</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F7B91" w:rsidRDefault="000339AA" w14:paraId="6A0B8E98" w14:textId="77777777"/>
    <w:sectPr w:rsidR="000F7B91" w:rsidSect="000339AA">
      <w:headerReference w:type="default" r:id="rId13"/>
      <w:foot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1850" w14:textId="77777777" w:rsidR="0078683A" w:rsidRDefault="0078683A" w:rsidP="005F453F">
      <w:pPr>
        <w:spacing w:after="0" w:line="240" w:lineRule="auto"/>
      </w:pPr>
      <w:r>
        <w:separator/>
      </w:r>
    </w:p>
  </w:endnote>
  <w:endnote w:type="continuationSeparator" w:id="0">
    <w:p w14:paraId="65F8C86F" w14:textId="77777777" w:rsidR="0078683A" w:rsidRDefault="0078683A"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2B77A" w14:textId="77777777" w:rsidR="0078683A" w:rsidRDefault="0078683A" w:rsidP="005F453F">
      <w:pPr>
        <w:spacing w:after="0" w:line="240" w:lineRule="auto"/>
      </w:pPr>
      <w:r>
        <w:separator/>
      </w:r>
    </w:p>
  </w:footnote>
  <w:footnote w:type="continuationSeparator" w:id="0">
    <w:p w14:paraId="3B6CA65D" w14:textId="77777777" w:rsidR="0078683A" w:rsidRDefault="0078683A"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339AA"/>
    <w:rsid w:val="000513C4"/>
    <w:rsid w:val="00051D09"/>
    <w:rsid w:val="00125F42"/>
    <w:rsid w:val="001269E4"/>
    <w:rsid w:val="001451EE"/>
    <w:rsid w:val="001F5BEA"/>
    <w:rsid w:val="00206E36"/>
    <w:rsid w:val="00215DC3"/>
    <w:rsid w:val="00255A1C"/>
    <w:rsid w:val="00280FD7"/>
    <w:rsid w:val="002C2AC4"/>
    <w:rsid w:val="002F0563"/>
    <w:rsid w:val="0030566B"/>
    <w:rsid w:val="00344A7B"/>
    <w:rsid w:val="003C58C5"/>
    <w:rsid w:val="003E5ED9"/>
    <w:rsid w:val="00421F04"/>
    <w:rsid w:val="00454809"/>
    <w:rsid w:val="004557DA"/>
    <w:rsid w:val="00463D10"/>
    <w:rsid w:val="004814CC"/>
    <w:rsid w:val="00497657"/>
    <w:rsid w:val="004A5FFB"/>
    <w:rsid w:val="004C2042"/>
    <w:rsid w:val="004F35DE"/>
    <w:rsid w:val="00526A58"/>
    <w:rsid w:val="005272B9"/>
    <w:rsid w:val="0053063B"/>
    <w:rsid w:val="00531B3A"/>
    <w:rsid w:val="00555AD2"/>
    <w:rsid w:val="005E3A05"/>
    <w:rsid w:val="005E4D6D"/>
    <w:rsid w:val="005F453F"/>
    <w:rsid w:val="005F7370"/>
    <w:rsid w:val="00646C5F"/>
    <w:rsid w:val="006C7A43"/>
    <w:rsid w:val="006D11F3"/>
    <w:rsid w:val="006D2973"/>
    <w:rsid w:val="0078683A"/>
    <w:rsid w:val="007977A3"/>
    <w:rsid w:val="007B6983"/>
    <w:rsid w:val="007E0666"/>
    <w:rsid w:val="007F0162"/>
    <w:rsid w:val="00832CD2"/>
    <w:rsid w:val="008430FD"/>
    <w:rsid w:val="00865F97"/>
    <w:rsid w:val="008A2A7A"/>
    <w:rsid w:val="008A7F13"/>
    <w:rsid w:val="008E4494"/>
    <w:rsid w:val="008F2C88"/>
    <w:rsid w:val="008F4CE8"/>
    <w:rsid w:val="00955D82"/>
    <w:rsid w:val="00964113"/>
    <w:rsid w:val="009850B6"/>
    <w:rsid w:val="00997793"/>
    <w:rsid w:val="009B45BA"/>
    <w:rsid w:val="009D5BAC"/>
    <w:rsid w:val="009F18E0"/>
    <w:rsid w:val="009F23EF"/>
    <w:rsid w:val="00A014C3"/>
    <w:rsid w:val="00A13FA4"/>
    <w:rsid w:val="00A2152D"/>
    <w:rsid w:val="00A45DC4"/>
    <w:rsid w:val="00A46642"/>
    <w:rsid w:val="00A70E7E"/>
    <w:rsid w:val="00A92A5E"/>
    <w:rsid w:val="00AA212B"/>
    <w:rsid w:val="00AC1ADB"/>
    <w:rsid w:val="00AD2C75"/>
    <w:rsid w:val="00AE799C"/>
    <w:rsid w:val="00AF0F81"/>
    <w:rsid w:val="00B44935"/>
    <w:rsid w:val="00B545C9"/>
    <w:rsid w:val="00B572A2"/>
    <w:rsid w:val="00B82092"/>
    <w:rsid w:val="00B90E79"/>
    <w:rsid w:val="00B9372E"/>
    <w:rsid w:val="00B962F8"/>
    <w:rsid w:val="00BA7D2B"/>
    <w:rsid w:val="00BE1E6A"/>
    <w:rsid w:val="00BE5216"/>
    <w:rsid w:val="00BF1095"/>
    <w:rsid w:val="00C17DA8"/>
    <w:rsid w:val="00C331FE"/>
    <w:rsid w:val="00C33BAE"/>
    <w:rsid w:val="00C728B5"/>
    <w:rsid w:val="00CB7E10"/>
    <w:rsid w:val="00CD7F48"/>
    <w:rsid w:val="00D41C84"/>
    <w:rsid w:val="00D41D1C"/>
    <w:rsid w:val="00D55F0F"/>
    <w:rsid w:val="00DB6F48"/>
    <w:rsid w:val="00DD292C"/>
    <w:rsid w:val="00DE3E87"/>
    <w:rsid w:val="00E11370"/>
    <w:rsid w:val="00E11ADD"/>
    <w:rsid w:val="00E42ED3"/>
    <w:rsid w:val="00E45518"/>
    <w:rsid w:val="00EC0EBB"/>
    <w:rsid w:val="00EC4AE9"/>
    <w:rsid w:val="00F1030C"/>
    <w:rsid w:val="00F4337A"/>
    <w:rsid w:val="00F43544"/>
    <w:rsid w:val="00F6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7" ma:contentTypeDescription="Create a new document." ma:contentTypeScope="" ma:versionID="1457f44ccb03eb9341a7eb7a814866dc">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8202a52798b51f1889f0280876ce09b5"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F87C50-7938-448F-85B7-571ABDCB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5983D495-5A20-4447-B955-3ACB3272BD50}">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www.w3.org/XML/1998/namespace"/>
    <ds:schemaRef ds:uri="http://schemas.openxmlformats.org/package/2006/metadata/core-properties"/>
    <ds:schemaRef ds:uri="77dce447-0566-47ff-8c07-c9b85fda5322"/>
    <ds:schemaRef ds:uri="d1dd4dc1-eb0c-486e-b049-4a6a8dc978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VALERI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 </dc:title>
  <dc:subject/>
  <dc:creator>Hopkins, Rodney, VBAVACO</dc:creator>
  <cp:keywords/>
  <dc:description/>
  <cp:lastModifiedBy>Richardson, Charnae, VBAVACO</cp:lastModifiedBy>
  <cp:revision>49</cp:revision>
  <cp:lastPrinted>2020-01-09T17:29:00Z</cp:lastPrinted>
  <dcterms:created xsi:type="dcterms:W3CDTF">2020-01-02T19:09:00Z</dcterms:created>
  <dcterms:modified xsi:type="dcterms:W3CDTF">2021-03-26T18:45:00Z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