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2018" w:rsidR="00EF3305" w:rsidP="00D26242" w:rsidRDefault="0053535F" w14:paraId="387B1AA4" w14:textId="6C4DB218">
      <w:pPr>
        <w:suppressAutoHyphens/>
        <w:rPr>
          <w:rFonts w:ascii="Times New Roman" w:hAnsi="Times New Roman"/>
          <w:b/>
          <w:sz w:val="22"/>
          <w:szCs w:val="22"/>
        </w:rPr>
      </w:pPr>
      <w:r>
        <w:rPr>
          <w:rFonts w:ascii="Times New Roman" w:hAnsi="Times New Roman"/>
          <w:b/>
          <w:sz w:val="22"/>
          <w:szCs w:val="22"/>
        </w:rPr>
        <w:t xml:space="preserve">New Procedure for Non-Federal Public Safety </w:t>
      </w:r>
      <w:proofErr w:type="gramStart"/>
      <w:r>
        <w:rPr>
          <w:rFonts w:ascii="Times New Roman" w:hAnsi="Times New Roman"/>
          <w:b/>
          <w:sz w:val="22"/>
          <w:szCs w:val="22"/>
        </w:rPr>
        <w:t xml:space="preserve">Entities </w:t>
      </w:r>
      <w:r w:rsidRPr="00A52A65" w:rsidR="0014159F">
        <w:rPr>
          <w:rFonts w:ascii="Times New Roman" w:hAnsi="Times New Roman"/>
          <w:b/>
          <w:sz w:val="22"/>
          <w:szCs w:val="22"/>
        </w:rPr>
        <w:t xml:space="preserve"> </w:t>
      </w:r>
      <w:r w:rsidRPr="00A52A65" w:rsidR="0014159F">
        <w:rPr>
          <w:rFonts w:ascii="Times New Roman" w:hAnsi="Times New Roman"/>
          <w:b/>
          <w:sz w:val="22"/>
          <w:szCs w:val="22"/>
        </w:rPr>
        <w:tab/>
      </w:r>
      <w:proofErr w:type="gramEnd"/>
      <w:r w:rsidRPr="00A52A65" w:rsidR="0014159F">
        <w:rPr>
          <w:rFonts w:ascii="Times New Roman" w:hAnsi="Times New Roman"/>
          <w:b/>
          <w:sz w:val="22"/>
          <w:szCs w:val="22"/>
        </w:rPr>
        <w:tab/>
      </w:r>
      <w:r w:rsidRPr="00A52A65" w:rsidR="0014159F">
        <w:rPr>
          <w:rFonts w:ascii="Times New Roman" w:hAnsi="Times New Roman"/>
          <w:b/>
          <w:sz w:val="22"/>
          <w:szCs w:val="22"/>
        </w:rPr>
        <w:tab/>
        <w:t xml:space="preserve">     </w:t>
      </w:r>
      <w:r w:rsidR="00B41189">
        <w:rPr>
          <w:rFonts w:ascii="Times New Roman" w:hAnsi="Times New Roman"/>
          <w:b/>
          <w:sz w:val="22"/>
          <w:szCs w:val="22"/>
        </w:rPr>
        <w:t xml:space="preserve">    </w:t>
      </w:r>
      <w:r w:rsidR="00B41189">
        <w:rPr>
          <w:rFonts w:ascii="Times New Roman" w:hAnsi="Times New Roman"/>
          <w:b/>
          <w:sz w:val="22"/>
          <w:szCs w:val="22"/>
        </w:rPr>
        <w:tab/>
      </w:r>
      <w:r w:rsidRPr="00EF4774" w:rsidR="00B41189">
        <w:rPr>
          <w:rFonts w:ascii="Times New Roman" w:hAnsi="Times New Roman"/>
          <w:b/>
          <w:sz w:val="22"/>
          <w:szCs w:val="22"/>
        </w:rPr>
        <w:t>3060</w:t>
      </w:r>
      <w:r w:rsidRPr="003A2018" w:rsidR="00EF3305">
        <w:rPr>
          <w:rFonts w:ascii="Times New Roman" w:hAnsi="Times New Roman"/>
          <w:b/>
          <w:sz w:val="22"/>
          <w:szCs w:val="22"/>
        </w:rPr>
        <w:t>-</w:t>
      </w:r>
      <w:r w:rsidR="00F21140">
        <w:rPr>
          <w:rFonts w:ascii="Times New Roman" w:hAnsi="Times New Roman"/>
          <w:b/>
          <w:sz w:val="22"/>
          <w:szCs w:val="22"/>
        </w:rPr>
        <w:t>1257</w:t>
      </w:r>
      <w:r w:rsidRPr="003A2018" w:rsidR="00EF3305">
        <w:rPr>
          <w:rFonts w:ascii="Times New Roman" w:hAnsi="Times New Roman"/>
          <w:b/>
          <w:sz w:val="22"/>
          <w:szCs w:val="22"/>
        </w:rPr>
        <w:fldChar w:fldCharType="begin"/>
      </w:r>
      <w:r w:rsidRPr="003A2018" w:rsidR="00EF3305">
        <w:rPr>
          <w:rFonts w:ascii="Times New Roman" w:hAnsi="Times New Roman"/>
          <w:b/>
          <w:sz w:val="22"/>
          <w:szCs w:val="22"/>
        </w:rPr>
        <w:instrText xml:space="preserve">PRIVATE </w:instrText>
      </w:r>
      <w:r w:rsidRPr="003A2018" w:rsidR="00EF3305">
        <w:rPr>
          <w:rFonts w:ascii="Times New Roman" w:hAnsi="Times New Roman"/>
          <w:b/>
          <w:sz w:val="22"/>
          <w:szCs w:val="22"/>
        </w:rPr>
        <w:fldChar w:fldCharType="end"/>
      </w:r>
    </w:p>
    <w:p w:rsidRPr="00A52A65" w:rsidR="00EF3305" w:rsidP="0053535F" w:rsidRDefault="0052221D" w14:paraId="65B9E6FC" w14:textId="722C1CB0">
      <w:pPr>
        <w:tabs>
          <w:tab w:val="left" w:pos="7830"/>
        </w:tabs>
        <w:suppressAutoHyphens/>
        <w:rPr>
          <w:rFonts w:ascii="Times New Roman" w:hAnsi="Times New Roman"/>
          <w:b/>
          <w:sz w:val="22"/>
          <w:szCs w:val="22"/>
        </w:rPr>
      </w:pPr>
      <w:r w:rsidRPr="003A2018">
        <w:rPr>
          <w:rFonts w:ascii="Times New Roman" w:hAnsi="Times New Roman"/>
          <w:b/>
          <w:sz w:val="22"/>
          <w:szCs w:val="22"/>
        </w:rPr>
        <w:t>t</w:t>
      </w:r>
      <w:r w:rsidRPr="003A2018" w:rsidR="0053535F">
        <w:rPr>
          <w:rFonts w:ascii="Times New Roman" w:hAnsi="Times New Roman"/>
          <w:b/>
          <w:sz w:val="22"/>
          <w:szCs w:val="22"/>
        </w:rPr>
        <w:t>o License Federal Govern</w:t>
      </w:r>
      <w:r w:rsidRPr="003A2018" w:rsidR="00B41189">
        <w:rPr>
          <w:rFonts w:ascii="Times New Roman" w:hAnsi="Times New Roman"/>
          <w:b/>
          <w:sz w:val="22"/>
          <w:szCs w:val="22"/>
        </w:rPr>
        <w:t xml:space="preserve">ment Interoperability Channels </w:t>
      </w:r>
      <w:proofErr w:type="gramStart"/>
      <w:r w:rsidRPr="003A2018" w:rsidR="00B41189">
        <w:rPr>
          <w:rFonts w:ascii="Times New Roman" w:hAnsi="Times New Roman"/>
          <w:b/>
          <w:sz w:val="22"/>
          <w:szCs w:val="22"/>
        </w:rPr>
        <w:tab/>
      </w:r>
      <w:r w:rsidR="00004FBF">
        <w:rPr>
          <w:rFonts w:ascii="Times New Roman" w:hAnsi="Times New Roman"/>
          <w:b/>
          <w:sz w:val="22"/>
          <w:szCs w:val="22"/>
        </w:rPr>
        <w:t xml:space="preserve">  May</w:t>
      </w:r>
      <w:proofErr w:type="gramEnd"/>
      <w:r w:rsidR="009E3D26">
        <w:rPr>
          <w:rFonts w:ascii="Times New Roman" w:hAnsi="Times New Roman"/>
          <w:b/>
          <w:sz w:val="22"/>
          <w:szCs w:val="22"/>
        </w:rPr>
        <w:t xml:space="preserve"> 2021</w:t>
      </w:r>
    </w:p>
    <w:p w:rsidRPr="00707CAA" w:rsidR="0053535F" w:rsidP="00D26242" w:rsidRDefault="0053535F" w14:paraId="27DF307C" w14:textId="77777777">
      <w:pPr>
        <w:suppressAutoHyphens/>
        <w:rPr>
          <w:rFonts w:ascii="Times New Roman" w:hAnsi="Times New Roman"/>
          <w:sz w:val="22"/>
          <w:szCs w:val="22"/>
        </w:rPr>
      </w:pPr>
    </w:p>
    <w:p w:rsidRPr="00D26242" w:rsidR="00EF3305" w:rsidP="00275AF4" w:rsidRDefault="005C2D1C" w14:paraId="3853BDD8" w14:textId="77777777">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rsidRPr="004D65A2" w:rsidR="004D65A2" w:rsidP="00275AF4" w:rsidRDefault="004D65A2" w14:paraId="7FA6D52A" w14:textId="77777777">
      <w:pPr>
        <w:widowControl/>
        <w:suppressAutoHyphens/>
        <w:rPr>
          <w:rFonts w:ascii="Times New Roman" w:hAnsi="Times New Roman"/>
          <w:sz w:val="22"/>
          <w:szCs w:val="22"/>
        </w:rPr>
      </w:pPr>
    </w:p>
    <w:p w:rsidRPr="00707CAA" w:rsidR="00EF3305" w:rsidP="00275AF4" w:rsidRDefault="00EF3305" w14:paraId="3E4CBA53" w14:textId="77777777">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Pr="00707CAA" w:rsidR="00CD318D">
        <w:rPr>
          <w:rFonts w:ascii="Times New Roman" w:hAnsi="Times New Roman"/>
          <w:b/>
          <w:sz w:val="22"/>
          <w:szCs w:val="22"/>
        </w:rPr>
        <w:t>:</w:t>
      </w:r>
    </w:p>
    <w:p w:rsidRPr="00707CAA" w:rsidR="00EF3305" w:rsidP="00275AF4" w:rsidRDefault="00EF3305" w14:paraId="2094C49E" w14:textId="77777777">
      <w:pPr>
        <w:widowControl/>
        <w:suppressAutoHyphens/>
        <w:rPr>
          <w:rFonts w:ascii="Times New Roman" w:hAnsi="Times New Roman"/>
          <w:sz w:val="22"/>
          <w:szCs w:val="22"/>
        </w:rPr>
      </w:pPr>
    </w:p>
    <w:p w:rsidRPr="00E50D9A" w:rsidR="00E50D9A" w:rsidP="00275AF4" w:rsidRDefault="00E575FF" w14:paraId="0647994C" w14:textId="77777777">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w:t>
      </w:r>
      <w:r w:rsidR="00A323E1">
        <w:rPr>
          <w:rFonts w:ascii="Times New Roman" w:hAnsi="Times New Roman"/>
          <w:b/>
          <w:bCs/>
          <w:sz w:val="22"/>
          <w:szCs w:val="22"/>
        </w:rPr>
        <w:t>t</w:t>
      </w:r>
      <w:r w:rsidRPr="00E575FF">
        <w:rPr>
          <w:rFonts w:ascii="Times New Roman" w:hAnsi="Times New Roman"/>
          <w:b/>
          <w:bCs/>
          <w:sz w:val="22"/>
          <w:szCs w:val="22"/>
        </w:rPr>
        <w:t>e and regulation mandating or authorizing the information collection.</w:t>
      </w:r>
    </w:p>
    <w:p w:rsidR="00E575FF" w:rsidP="00275AF4" w:rsidRDefault="00E575FF" w14:paraId="03D0BF6C" w14:textId="77777777">
      <w:pPr>
        <w:widowControl/>
        <w:suppressAutoHyphens/>
        <w:ind w:left="360"/>
        <w:rPr>
          <w:rFonts w:ascii="Times New Roman" w:hAnsi="Times New Roman"/>
          <w:sz w:val="22"/>
          <w:szCs w:val="22"/>
        </w:rPr>
      </w:pPr>
    </w:p>
    <w:p w:rsidRPr="00377066" w:rsidR="00C56261" w:rsidP="0050676E" w:rsidRDefault="00264A5A" w14:paraId="7A4C384B" w14:textId="77777777">
      <w:pPr>
        <w:widowControl/>
        <w:suppressAutoHyphens/>
        <w:ind w:firstLine="360"/>
        <w:rPr>
          <w:rFonts w:ascii="Times New Roman" w:hAnsi="Times New Roman"/>
          <w:sz w:val="22"/>
          <w:szCs w:val="22"/>
        </w:rPr>
      </w:pPr>
      <w:r w:rsidRPr="00377066">
        <w:rPr>
          <w:rFonts w:ascii="Times New Roman" w:hAnsi="Times New Roman"/>
          <w:sz w:val="22"/>
          <w:szCs w:val="22"/>
        </w:rPr>
        <w:t xml:space="preserve">On </w:t>
      </w:r>
      <w:r w:rsidR="00430449">
        <w:rPr>
          <w:rFonts w:ascii="Times New Roman" w:hAnsi="Times New Roman"/>
          <w:sz w:val="22"/>
          <w:szCs w:val="22"/>
        </w:rPr>
        <w:t>March 22, 2018</w:t>
      </w:r>
      <w:r w:rsidRPr="00377066">
        <w:rPr>
          <w:rFonts w:ascii="Times New Roman" w:hAnsi="Times New Roman"/>
          <w:sz w:val="22"/>
          <w:szCs w:val="22"/>
        </w:rPr>
        <w:t>, the Public Safety and Homeland Security Bureau (</w:t>
      </w:r>
      <w:r w:rsidRPr="00377066" w:rsidR="004E1775">
        <w:rPr>
          <w:rFonts w:ascii="Times New Roman" w:hAnsi="Times New Roman"/>
          <w:sz w:val="22"/>
          <w:szCs w:val="22"/>
        </w:rPr>
        <w:t>Bureau</w:t>
      </w:r>
      <w:r w:rsidRPr="00377066">
        <w:rPr>
          <w:rFonts w:ascii="Times New Roman" w:hAnsi="Times New Roman"/>
          <w:sz w:val="22"/>
          <w:szCs w:val="22"/>
        </w:rPr>
        <w:t xml:space="preserve">) </w:t>
      </w:r>
      <w:r w:rsidRPr="00377066" w:rsidR="002F02CC">
        <w:rPr>
          <w:rFonts w:ascii="Times New Roman" w:hAnsi="Times New Roman"/>
          <w:sz w:val="22"/>
          <w:szCs w:val="22"/>
        </w:rPr>
        <w:t>and the Office of Engineering and Technology</w:t>
      </w:r>
      <w:r w:rsidRPr="00377066" w:rsidR="00C56261">
        <w:rPr>
          <w:rFonts w:ascii="Times New Roman" w:hAnsi="Times New Roman"/>
          <w:sz w:val="22"/>
          <w:szCs w:val="22"/>
        </w:rPr>
        <w:t xml:space="preserve"> (OET)</w:t>
      </w:r>
      <w:r w:rsidRPr="00377066" w:rsidR="001019AB">
        <w:rPr>
          <w:rFonts w:ascii="Times New Roman" w:hAnsi="Times New Roman"/>
          <w:sz w:val="22"/>
          <w:szCs w:val="22"/>
        </w:rPr>
        <w:t>,</w:t>
      </w:r>
      <w:r w:rsidRPr="00377066" w:rsidR="00C56261">
        <w:rPr>
          <w:rFonts w:ascii="Times New Roman" w:hAnsi="Times New Roman"/>
          <w:sz w:val="22"/>
          <w:szCs w:val="22"/>
        </w:rPr>
        <w:t xml:space="preserve"> on delegated authority, jointly released an Order amending Sections 2.102(c)(4) and 90.173(c) </w:t>
      </w:r>
      <w:r w:rsidRPr="00377066" w:rsidR="0042497D">
        <w:rPr>
          <w:rFonts w:ascii="Times New Roman" w:hAnsi="Times New Roman"/>
          <w:sz w:val="22"/>
          <w:szCs w:val="22"/>
        </w:rPr>
        <w:t xml:space="preserve">of the Commission’s rules </w:t>
      </w:r>
      <w:r w:rsidRPr="00377066" w:rsidR="00C56261">
        <w:rPr>
          <w:rFonts w:ascii="Times New Roman" w:hAnsi="Times New Roman"/>
          <w:sz w:val="22"/>
          <w:szCs w:val="22"/>
        </w:rPr>
        <w:t xml:space="preserve">and adopting new Section 90.25 to conform the Commission’s rules to a streamlining modification recently </w:t>
      </w:r>
      <w:r w:rsidRPr="00377066" w:rsidR="002A419D">
        <w:rPr>
          <w:rFonts w:ascii="Times New Roman" w:hAnsi="Times New Roman"/>
          <w:sz w:val="22"/>
          <w:szCs w:val="22"/>
        </w:rPr>
        <w:t xml:space="preserve">made </w:t>
      </w:r>
      <w:r w:rsidRPr="00377066" w:rsidR="00C56261">
        <w:rPr>
          <w:rFonts w:ascii="Times New Roman" w:hAnsi="Times New Roman"/>
          <w:sz w:val="22"/>
          <w:szCs w:val="22"/>
        </w:rPr>
        <w:t xml:space="preserve">by the National Telecommunications and Information Administration (NTIA).  </w:t>
      </w:r>
      <w:proofErr w:type="gramStart"/>
      <w:r w:rsidRPr="00377066" w:rsidR="00C56261">
        <w:rPr>
          <w:rFonts w:ascii="Times New Roman" w:hAnsi="Times New Roman"/>
          <w:sz w:val="22"/>
          <w:szCs w:val="22"/>
        </w:rPr>
        <w:t>In particular, NTIA</w:t>
      </w:r>
      <w:proofErr w:type="gramEnd"/>
      <w:r w:rsidRPr="00377066" w:rsidR="00C56261">
        <w:rPr>
          <w:rFonts w:ascii="Times New Roman" w:hAnsi="Times New Roman"/>
          <w:sz w:val="22"/>
          <w:szCs w:val="22"/>
        </w:rPr>
        <w:t xml:space="preserve"> streamlined the process by which the Commission may grant licenses to non-federal public safety entities who seek to operate on forty federal government interoperability channels over which NTIA has jurisdiction.</w:t>
      </w:r>
    </w:p>
    <w:p w:rsidR="00C56261" w:rsidP="0050676E" w:rsidRDefault="00C56261" w14:paraId="59189FF0" w14:textId="77777777">
      <w:pPr>
        <w:widowControl/>
        <w:suppressAutoHyphens/>
        <w:ind w:firstLine="360"/>
        <w:rPr>
          <w:rFonts w:ascii="Times New Roman" w:hAnsi="Times New Roman"/>
          <w:sz w:val="22"/>
          <w:szCs w:val="22"/>
        </w:rPr>
      </w:pPr>
    </w:p>
    <w:p w:rsidR="002F02CC" w:rsidP="0050676E" w:rsidRDefault="00C56261" w14:paraId="20BC9C6C" w14:textId="30E1112E">
      <w:pPr>
        <w:widowControl/>
        <w:suppressAutoHyphens/>
        <w:ind w:firstLine="360"/>
        <w:rPr>
          <w:rFonts w:ascii="Times New Roman" w:hAnsi="Times New Roman"/>
          <w:sz w:val="22"/>
          <w:szCs w:val="22"/>
        </w:rPr>
      </w:pPr>
      <w:r>
        <w:rPr>
          <w:rFonts w:ascii="Times New Roman" w:hAnsi="Times New Roman"/>
          <w:sz w:val="22"/>
          <w:szCs w:val="22"/>
        </w:rPr>
        <w:t xml:space="preserve"> Section 90.25 contains </w:t>
      </w:r>
      <w:r w:rsidR="00F21140">
        <w:rPr>
          <w:rFonts w:ascii="Times New Roman" w:hAnsi="Times New Roman"/>
          <w:sz w:val="22"/>
          <w:szCs w:val="22"/>
        </w:rPr>
        <w:t>an information</w:t>
      </w:r>
      <w:r>
        <w:rPr>
          <w:rFonts w:ascii="Times New Roman" w:hAnsi="Times New Roman"/>
          <w:sz w:val="22"/>
          <w:szCs w:val="22"/>
        </w:rPr>
        <w:t xml:space="preserve"> collection requirement. </w:t>
      </w:r>
      <w:r w:rsidR="002F02CC">
        <w:rPr>
          <w:rFonts w:ascii="Times New Roman" w:hAnsi="Times New Roman"/>
          <w:sz w:val="22"/>
          <w:szCs w:val="22"/>
        </w:rPr>
        <w:t xml:space="preserve"> </w:t>
      </w:r>
      <w:r w:rsidR="00C735CF">
        <w:rPr>
          <w:rFonts w:ascii="Times New Roman" w:hAnsi="Times New Roman"/>
          <w:sz w:val="22"/>
          <w:szCs w:val="22"/>
        </w:rPr>
        <w:t xml:space="preserve">Namely, it requires </w:t>
      </w:r>
      <w:r w:rsidR="00FE146B">
        <w:rPr>
          <w:rFonts w:ascii="Times New Roman" w:hAnsi="Times New Roman"/>
          <w:sz w:val="22"/>
          <w:szCs w:val="22"/>
        </w:rPr>
        <w:t xml:space="preserve">any </w:t>
      </w:r>
      <w:r w:rsidR="00C735CF">
        <w:rPr>
          <w:rFonts w:ascii="Times New Roman" w:hAnsi="Times New Roman"/>
          <w:sz w:val="22"/>
          <w:szCs w:val="22"/>
        </w:rPr>
        <w:t>non-</w:t>
      </w:r>
      <w:r w:rsidR="00DC0599">
        <w:rPr>
          <w:rFonts w:ascii="Times New Roman" w:hAnsi="Times New Roman"/>
          <w:sz w:val="22"/>
          <w:szCs w:val="22"/>
        </w:rPr>
        <w:t>f</w:t>
      </w:r>
      <w:r w:rsidR="00C735CF">
        <w:rPr>
          <w:rFonts w:ascii="Times New Roman" w:hAnsi="Times New Roman"/>
          <w:sz w:val="22"/>
          <w:szCs w:val="22"/>
        </w:rPr>
        <w:t>ederal public safety entit</w:t>
      </w:r>
      <w:r w:rsidR="00FE146B">
        <w:rPr>
          <w:rFonts w:ascii="Times New Roman" w:hAnsi="Times New Roman"/>
          <w:sz w:val="22"/>
          <w:szCs w:val="22"/>
        </w:rPr>
        <w:t xml:space="preserve">y </w:t>
      </w:r>
      <w:r w:rsidR="00C735CF">
        <w:rPr>
          <w:rFonts w:ascii="Times New Roman" w:hAnsi="Times New Roman"/>
          <w:sz w:val="22"/>
          <w:szCs w:val="22"/>
        </w:rPr>
        <w:t>seeking to license</w:t>
      </w:r>
      <w:r w:rsidR="00FE146B">
        <w:rPr>
          <w:rFonts w:ascii="Times New Roman" w:hAnsi="Times New Roman"/>
          <w:sz w:val="22"/>
          <w:szCs w:val="22"/>
        </w:rPr>
        <w:t xml:space="preserve"> mobile </w:t>
      </w:r>
      <w:r w:rsidR="0042497D">
        <w:rPr>
          <w:rFonts w:ascii="Times New Roman" w:hAnsi="Times New Roman"/>
          <w:sz w:val="22"/>
          <w:szCs w:val="22"/>
        </w:rPr>
        <w:t xml:space="preserve">and </w:t>
      </w:r>
      <w:r w:rsidR="00FE146B">
        <w:rPr>
          <w:rFonts w:ascii="Times New Roman" w:hAnsi="Times New Roman"/>
          <w:sz w:val="22"/>
          <w:szCs w:val="22"/>
        </w:rPr>
        <w:t xml:space="preserve">portable units on the </w:t>
      </w:r>
      <w:r w:rsidR="00377066">
        <w:rPr>
          <w:rFonts w:ascii="Times New Roman" w:hAnsi="Times New Roman"/>
          <w:sz w:val="22"/>
          <w:szCs w:val="22"/>
        </w:rPr>
        <w:t>F</w:t>
      </w:r>
      <w:r w:rsidR="00FE146B">
        <w:rPr>
          <w:rFonts w:ascii="Times New Roman" w:hAnsi="Times New Roman"/>
          <w:sz w:val="22"/>
          <w:szCs w:val="22"/>
        </w:rPr>
        <w:t xml:space="preserve">ederal </w:t>
      </w:r>
      <w:r w:rsidR="00377066">
        <w:rPr>
          <w:rFonts w:ascii="Times New Roman" w:hAnsi="Times New Roman"/>
          <w:sz w:val="22"/>
          <w:szCs w:val="22"/>
        </w:rPr>
        <w:t>I</w:t>
      </w:r>
      <w:r w:rsidR="00FE146B">
        <w:rPr>
          <w:rFonts w:ascii="Times New Roman" w:hAnsi="Times New Roman"/>
          <w:sz w:val="22"/>
          <w:szCs w:val="22"/>
        </w:rPr>
        <w:t xml:space="preserve">nteroperability </w:t>
      </w:r>
      <w:r w:rsidR="00377066">
        <w:rPr>
          <w:rFonts w:ascii="Times New Roman" w:hAnsi="Times New Roman"/>
          <w:sz w:val="22"/>
          <w:szCs w:val="22"/>
        </w:rPr>
        <w:t>C</w:t>
      </w:r>
      <w:r w:rsidR="00FE146B">
        <w:rPr>
          <w:rFonts w:ascii="Times New Roman" w:hAnsi="Times New Roman"/>
          <w:sz w:val="22"/>
          <w:szCs w:val="22"/>
        </w:rPr>
        <w:t xml:space="preserve">hannels to obtain </w:t>
      </w:r>
      <w:r w:rsidRPr="00FE146B" w:rsidR="00FE146B">
        <w:rPr>
          <w:rFonts w:ascii="Times New Roman" w:hAnsi="Times New Roman"/>
          <w:sz w:val="22"/>
          <w:szCs w:val="22"/>
        </w:rPr>
        <w:t xml:space="preserve">written concurrence from its Statewide Interoperability Coordinator (SWIC) or </w:t>
      </w:r>
      <w:r w:rsidRPr="00377066" w:rsidR="00377066">
        <w:rPr>
          <w:rFonts w:ascii="Times New Roman" w:hAnsi="Times New Roman"/>
          <w:sz w:val="22"/>
          <w:szCs w:val="22"/>
        </w:rPr>
        <w:t>state appointed official</w:t>
      </w:r>
      <w:r w:rsidR="00FE146B">
        <w:rPr>
          <w:rFonts w:ascii="Times New Roman" w:hAnsi="Times New Roman"/>
          <w:sz w:val="22"/>
          <w:szCs w:val="22"/>
        </w:rPr>
        <w:t xml:space="preserve"> and include such written concurrence with its application for license.  </w:t>
      </w:r>
      <w:r w:rsidR="00C735CF">
        <w:rPr>
          <w:rFonts w:ascii="Times New Roman" w:hAnsi="Times New Roman"/>
          <w:sz w:val="22"/>
          <w:szCs w:val="22"/>
        </w:rPr>
        <w:t xml:space="preserve"> </w:t>
      </w:r>
    </w:p>
    <w:p w:rsidR="002F02CC" w:rsidP="0050676E" w:rsidRDefault="002F02CC" w14:paraId="7EC993BA" w14:textId="77777777">
      <w:pPr>
        <w:widowControl/>
        <w:suppressAutoHyphens/>
        <w:ind w:firstLine="360"/>
        <w:rPr>
          <w:rFonts w:ascii="Times New Roman" w:hAnsi="Times New Roman"/>
          <w:sz w:val="22"/>
          <w:szCs w:val="22"/>
        </w:rPr>
      </w:pPr>
    </w:p>
    <w:p w:rsidR="00513E20" w:rsidP="0050676E" w:rsidRDefault="00FE146B" w14:paraId="16354521" w14:textId="77777777">
      <w:pPr>
        <w:widowControl/>
        <w:suppressAutoHyphens/>
        <w:ind w:firstLine="360"/>
        <w:rPr>
          <w:rFonts w:ascii="Times New Roman" w:hAnsi="Times New Roman"/>
          <w:sz w:val="22"/>
          <w:szCs w:val="22"/>
        </w:rPr>
      </w:pPr>
      <w:r>
        <w:rPr>
          <w:rFonts w:ascii="Times New Roman" w:hAnsi="Times New Roman"/>
          <w:sz w:val="22"/>
          <w:szCs w:val="22"/>
        </w:rPr>
        <w:t xml:space="preserve">By way of background, </w:t>
      </w:r>
      <w:r w:rsidRPr="002A419D" w:rsidR="002A419D">
        <w:rPr>
          <w:rFonts w:ascii="Times New Roman" w:hAnsi="Times New Roman"/>
          <w:sz w:val="22"/>
          <w:szCs w:val="22"/>
        </w:rPr>
        <w:t xml:space="preserve">NTIA designates forty channels for interoperability communications among federal agencies and between federal agencies and non-federal entities with which federal agencies have a requirement to interoperate.  A non-federal public safety entity may communicate on the NTIA designated </w:t>
      </w:r>
      <w:r w:rsidR="00377066">
        <w:rPr>
          <w:rFonts w:ascii="Times New Roman" w:hAnsi="Times New Roman"/>
          <w:sz w:val="22"/>
          <w:szCs w:val="22"/>
        </w:rPr>
        <w:t>F</w:t>
      </w:r>
      <w:r w:rsidRPr="002A419D" w:rsidR="002A419D">
        <w:rPr>
          <w:rFonts w:ascii="Times New Roman" w:hAnsi="Times New Roman"/>
          <w:sz w:val="22"/>
          <w:szCs w:val="22"/>
        </w:rPr>
        <w:t xml:space="preserve">ederal </w:t>
      </w:r>
      <w:r w:rsidR="00377066">
        <w:rPr>
          <w:rFonts w:ascii="Times New Roman" w:hAnsi="Times New Roman"/>
          <w:sz w:val="22"/>
          <w:szCs w:val="22"/>
        </w:rPr>
        <w:t>I</w:t>
      </w:r>
      <w:r w:rsidRPr="002A419D" w:rsidR="002A419D">
        <w:rPr>
          <w:rFonts w:ascii="Times New Roman" w:hAnsi="Times New Roman"/>
          <w:sz w:val="22"/>
          <w:szCs w:val="22"/>
        </w:rPr>
        <w:t xml:space="preserve">nteroperability </w:t>
      </w:r>
      <w:r w:rsidR="00377066">
        <w:rPr>
          <w:rFonts w:ascii="Times New Roman" w:hAnsi="Times New Roman"/>
          <w:sz w:val="22"/>
          <w:szCs w:val="22"/>
        </w:rPr>
        <w:t>C</w:t>
      </w:r>
      <w:r w:rsidRPr="002A419D" w:rsidR="002A419D">
        <w:rPr>
          <w:rFonts w:ascii="Times New Roman" w:hAnsi="Times New Roman"/>
          <w:sz w:val="22"/>
          <w:szCs w:val="22"/>
        </w:rPr>
        <w:t>hannels for joint federal/non-federal operations, provided it first obtains a license from the Commission authorizing use of the channels.</w:t>
      </w:r>
      <w:r w:rsidR="00462569">
        <w:rPr>
          <w:rFonts w:ascii="Times New Roman" w:hAnsi="Times New Roman"/>
          <w:sz w:val="22"/>
          <w:szCs w:val="22"/>
        </w:rPr>
        <w:t xml:space="preserve">  </w:t>
      </w:r>
    </w:p>
    <w:p w:rsidR="00513E20" w:rsidP="00275AF4" w:rsidRDefault="00513E20" w14:paraId="14A9AE86" w14:textId="77777777">
      <w:pPr>
        <w:widowControl/>
        <w:suppressAutoHyphens/>
        <w:rPr>
          <w:rFonts w:ascii="Times New Roman" w:hAnsi="Times New Roman"/>
          <w:sz w:val="22"/>
          <w:szCs w:val="22"/>
        </w:rPr>
      </w:pPr>
    </w:p>
    <w:p w:rsidR="00900C5B" w:rsidP="0050676E" w:rsidRDefault="004F054F" w14:paraId="4C99129C" w14:textId="3B7D84F5">
      <w:pPr>
        <w:widowControl/>
        <w:suppressAutoHyphens/>
        <w:ind w:firstLine="360"/>
        <w:rPr>
          <w:rFonts w:ascii="Times New Roman" w:hAnsi="Times New Roman"/>
          <w:sz w:val="22"/>
          <w:szCs w:val="22"/>
        </w:rPr>
      </w:pPr>
      <w:r>
        <w:rPr>
          <w:rFonts w:ascii="Times New Roman" w:hAnsi="Times New Roman"/>
          <w:sz w:val="22"/>
          <w:szCs w:val="22"/>
        </w:rPr>
        <w:t xml:space="preserve">Under </w:t>
      </w:r>
      <w:r w:rsidR="00F21140">
        <w:rPr>
          <w:rFonts w:ascii="Times New Roman" w:hAnsi="Times New Roman"/>
          <w:sz w:val="22"/>
          <w:szCs w:val="22"/>
        </w:rPr>
        <w:t>NTIA’s process</w:t>
      </w:r>
      <w:r w:rsidR="00900C5B">
        <w:rPr>
          <w:rFonts w:ascii="Times New Roman" w:hAnsi="Times New Roman"/>
          <w:sz w:val="22"/>
          <w:szCs w:val="22"/>
        </w:rPr>
        <w:t xml:space="preserve">, </w:t>
      </w:r>
      <w:r w:rsidRPr="00900C5B" w:rsidR="00900C5B">
        <w:rPr>
          <w:rFonts w:ascii="Times New Roman" w:hAnsi="Times New Roman"/>
          <w:sz w:val="22"/>
          <w:szCs w:val="22"/>
        </w:rPr>
        <w:t xml:space="preserve">the SWIC or </w:t>
      </w:r>
      <w:r w:rsidRPr="00377066" w:rsidR="00377066">
        <w:rPr>
          <w:rFonts w:ascii="Times New Roman" w:hAnsi="Times New Roman"/>
          <w:sz w:val="22"/>
          <w:szCs w:val="22"/>
        </w:rPr>
        <w:t>state appointed official</w:t>
      </w:r>
      <w:r w:rsidRPr="00900C5B" w:rsidR="00900C5B">
        <w:rPr>
          <w:rFonts w:ascii="Times New Roman" w:hAnsi="Times New Roman"/>
          <w:sz w:val="22"/>
          <w:szCs w:val="22"/>
        </w:rPr>
        <w:t xml:space="preserve"> in each state is responsible for coordinating access to the </w:t>
      </w:r>
      <w:r w:rsidR="00377066">
        <w:rPr>
          <w:rFonts w:ascii="Times New Roman" w:hAnsi="Times New Roman"/>
          <w:sz w:val="22"/>
          <w:szCs w:val="22"/>
        </w:rPr>
        <w:t>F</w:t>
      </w:r>
      <w:r w:rsidRPr="00900C5B" w:rsidR="00900C5B">
        <w:rPr>
          <w:rFonts w:ascii="Times New Roman" w:hAnsi="Times New Roman"/>
          <w:sz w:val="22"/>
          <w:szCs w:val="22"/>
        </w:rPr>
        <w:t xml:space="preserve">ederal </w:t>
      </w:r>
      <w:r w:rsidR="00377066">
        <w:rPr>
          <w:rFonts w:ascii="Times New Roman" w:hAnsi="Times New Roman"/>
          <w:sz w:val="22"/>
          <w:szCs w:val="22"/>
        </w:rPr>
        <w:t>I</w:t>
      </w:r>
      <w:r w:rsidRPr="00900C5B" w:rsidR="00900C5B">
        <w:rPr>
          <w:rFonts w:ascii="Times New Roman" w:hAnsi="Times New Roman"/>
          <w:sz w:val="22"/>
          <w:szCs w:val="22"/>
        </w:rPr>
        <w:t xml:space="preserve">nteroperability </w:t>
      </w:r>
      <w:r w:rsidR="00377066">
        <w:rPr>
          <w:rFonts w:ascii="Times New Roman" w:hAnsi="Times New Roman"/>
          <w:sz w:val="22"/>
          <w:szCs w:val="22"/>
        </w:rPr>
        <w:t>C</w:t>
      </w:r>
      <w:r w:rsidRPr="00900C5B" w:rsidR="00900C5B">
        <w:rPr>
          <w:rFonts w:ascii="Times New Roman" w:hAnsi="Times New Roman"/>
          <w:sz w:val="22"/>
          <w:szCs w:val="22"/>
        </w:rPr>
        <w:t>hannels by non-federal public safety entities.  Each SWIC/</w:t>
      </w:r>
      <w:r w:rsidR="00377066">
        <w:rPr>
          <w:rFonts w:ascii="Times New Roman" w:hAnsi="Times New Roman"/>
          <w:sz w:val="22"/>
          <w:szCs w:val="22"/>
        </w:rPr>
        <w:t xml:space="preserve">official </w:t>
      </w:r>
      <w:r w:rsidRPr="00900C5B" w:rsidR="00900C5B">
        <w:rPr>
          <w:rFonts w:ascii="Times New Roman" w:hAnsi="Times New Roman"/>
          <w:sz w:val="22"/>
          <w:szCs w:val="22"/>
        </w:rPr>
        <w:t>will sign a</w:t>
      </w:r>
      <w:r w:rsidR="00377066">
        <w:rPr>
          <w:rFonts w:ascii="Times New Roman" w:hAnsi="Times New Roman"/>
          <w:sz w:val="22"/>
          <w:szCs w:val="22"/>
        </w:rPr>
        <w:t xml:space="preserve">n agreement </w:t>
      </w:r>
      <w:r w:rsidRPr="00900C5B" w:rsidR="00900C5B">
        <w:rPr>
          <w:rFonts w:ascii="Times New Roman" w:hAnsi="Times New Roman"/>
          <w:sz w:val="22"/>
          <w:szCs w:val="22"/>
        </w:rPr>
        <w:t xml:space="preserve">with a federal user </w:t>
      </w:r>
      <w:r w:rsidRPr="00377066" w:rsidR="00377066">
        <w:rPr>
          <w:rFonts w:ascii="Times New Roman" w:hAnsi="Times New Roman"/>
          <w:sz w:val="22"/>
          <w:szCs w:val="22"/>
        </w:rPr>
        <w:t>with a valid assignment</w:t>
      </w:r>
      <w:r w:rsidR="00377066">
        <w:rPr>
          <w:rFonts w:ascii="Times New Roman" w:hAnsi="Times New Roman"/>
          <w:sz w:val="22"/>
          <w:szCs w:val="22"/>
        </w:rPr>
        <w:t xml:space="preserve"> from </w:t>
      </w:r>
      <w:r w:rsidRPr="00900C5B" w:rsidR="00900C5B">
        <w:rPr>
          <w:rFonts w:ascii="Times New Roman" w:hAnsi="Times New Roman"/>
          <w:sz w:val="22"/>
          <w:szCs w:val="22"/>
        </w:rPr>
        <w:t xml:space="preserve">NTIA.  The </w:t>
      </w:r>
      <w:r w:rsidR="00377066">
        <w:rPr>
          <w:rFonts w:ascii="Times New Roman" w:hAnsi="Times New Roman"/>
          <w:sz w:val="22"/>
          <w:szCs w:val="22"/>
        </w:rPr>
        <w:t xml:space="preserve">agreement </w:t>
      </w:r>
      <w:r w:rsidRPr="00900C5B" w:rsidR="00900C5B">
        <w:rPr>
          <w:rFonts w:ascii="Times New Roman" w:hAnsi="Times New Roman"/>
          <w:sz w:val="22"/>
          <w:szCs w:val="22"/>
        </w:rPr>
        <w:t xml:space="preserve">will specify which </w:t>
      </w:r>
      <w:r w:rsidR="00377066">
        <w:rPr>
          <w:rFonts w:ascii="Times New Roman" w:hAnsi="Times New Roman"/>
          <w:sz w:val="22"/>
          <w:szCs w:val="22"/>
        </w:rPr>
        <w:t>F</w:t>
      </w:r>
      <w:r w:rsidRPr="00900C5B" w:rsidR="00900C5B">
        <w:rPr>
          <w:rFonts w:ascii="Times New Roman" w:hAnsi="Times New Roman"/>
          <w:sz w:val="22"/>
          <w:szCs w:val="22"/>
        </w:rPr>
        <w:t xml:space="preserve">ederal </w:t>
      </w:r>
      <w:r w:rsidR="00377066">
        <w:rPr>
          <w:rFonts w:ascii="Times New Roman" w:hAnsi="Times New Roman"/>
          <w:sz w:val="22"/>
          <w:szCs w:val="22"/>
        </w:rPr>
        <w:t>I</w:t>
      </w:r>
      <w:r w:rsidRPr="00900C5B" w:rsidR="00900C5B">
        <w:rPr>
          <w:rFonts w:ascii="Times New Roman" w:hAnsi="Times New Roman"/>
          <w:sz w:val="22"/>
          <w:szCs w:val="22"/>
        </w:rPr>
        <w:t xml:space="preserve">nteroperability </w:t>
      </w:r>
      <w:r w:rsidR="00377066">
        <w:rPr>
          <w:rFonts w:ascii="Times New Roman" w:hAnsi="Times New Roman"/>
          <w:sz w:val="22"/>
          <w:szCs w:val="22"/>
        </w:rPr>
        <w:t>C</w:t>
      </w:r>
      <w:r w:rsidRPr="00900C5B" w:rsidR="00900C5B">
        <w:rPr>
          <w:rFonts w:ascii="Times New Roman" w:hAnsi="Times New Roman"/>
          <w:sz w:val="22"/>
          <w:szCs w:val="22"/>
        </w:rPr>
        <w:t>hannels are available for use in a particular state and establish the conditions for their use by non-federal public safety entities.</w:t>
      </w:r>
    </w:p>
    <w:p w:rsidR="00900C5B" w:rsidP="0050676E" w:rsidRDefault="00900C5B" w14:paraId="276BD2E6" w14:textId="77777777">
      <w:pPr>
        <w:widowControl/>
        <w:suppressAutoHyphens/>
        <w:ind w:firstLine="360"/>
        <w:rPr>
          <w:rFonts w:ascii="Times New Roman" w:hAnsi="Times New Roman"/>
          <w:sz w:val="22"/>
          <w:szCs w:val="22"/>
        </w:rPr>
      </w:pPr>
    </w:p>
    <w:p w:rsidR="00900C5B" w:rsidP="0050676E" w:rsidRDefault="00900C5B" w14:paraId="6E868E6E" w14:textId="01C9D84C">
      <w:pPr>
        <w:widowControl/>
        <w:suppressAutoHyphens/>
        <w:ind w:firstLine="360"/>
        <w:rPr>
          <w:rFonts w:ascii="Times New Roman" w:hAnsi="Times New Roman"/>
          <w:sz w:val="22"/>
          <w:szCs w:val="22"/>
        </w:rPr>
      </w:pPr>
      <w:r w:rsidRPr="00900C5B">
        <w:rPr>
          <w:rFonts w:ascii="Times New Roman" w:hAnsi="Times New Roman"/>
          <w:sz w:val="22"/>
          <w:szCs w:val="22"/>
        </w:rPr>
        <w:t xml:space="preserve">Once the </w:t>
      </w:r>
      <w:r w:rsidR="00377066">
        <w:rPr>
          <w:rFonts w:ascii="Times New Roman" w:hAnsi="Times New Roman"/>
          <w:sz w:val="22"/>
          <w:szCs w:val="22"/>
        </w:rPr>
        <w:t xml:space="preserve">agreement </w:t>
      </w:r>
      <w:r w:rsidRPr="00900C5B">
        <w:rPr>
          <w:rFonts w:ascii="Times New Roman" w:hAnsi="Times New Roman"/>
          <w:sz w:val="22"/>
          <w:szCs w:val="22"/>
        </w:rPr>
        <w:t xml:space="preserve">for a given state is signed, non-federal public safety entities in that state may file an application with the Commission to license the designated </w:t>
      </w:r>
      <w:r w:rsidR="00377066">
        <w:rPr>
          <w:rFonts w:ascii="Times New Roman" w:hAnsi="Times New Roman"/>
          <w:sz w:val="22"/>
          <w:szCs w:val="22"/>
        </w:rPr>
        <w:t>F</w:t>
      </w:r>
      <w:r w:rsidRPr="00900C5B">
        <w:rPr>
          <w:rFonts w:ascii="Times New Roman" w:hAnsi="Times New Roman"/>
          <w:sz w:val="22"/>
          <w:szCs w:val="22"/>
        </w:rPr>
        <w:t xml:space="preserve">ederal </w:t>
      </w:r>
      <w:r w:rsidR="00377066">
        <w:rPr>
          <w:rFonts w:ascii="Times New Roman" w:hAnsi="Times New Roman"/>
          <w:sz w:val="22"/>
          <w:szCs w:val="22"/>
        </w:rPr>
        <w:t>I</w:t>
      </w:r>
      <w:r w:rsidRPr="00900C5B">
        <w:rPr>
          <w:rFonts w:ascii="Times New Roman" w:hAnsi="Times New Roman"/>
          <w:sz w:val="22"/>
          <w:szCs w:val="22"/>
        </w:rPr>
        <w:t xml:space="preserve">nteroperability </w:t>
      </w:r>
      <w:r w:rsidR="00377066">
        <w:rPr>
          <w:rFonts w:ascii="Times New Roman" w:hAnsi="Times New Roman"/>
          <w:sz w:val="22"/>
          <w:szCs w:val="22"/>
        </w:rPr>
        <w:t>C</w:t>
      </w:r>
      <w:r w:rsidRPr="00900C5B">
        <w:rPr>
          <w:rFonts w:ascii="Times New Roman" w:hAnsi="Times New Roman"/>
          <w:sz w:val="22"/>
          <w:szCs w:val="22"/>
        </w:rPr>
        <w:t xml:space="preserve">hannels under </w:t>
      </w:r>
      <w:r w:rsidRPr="00900C5B" w:rsidR="00F21140">
        <w:rPr>
          <w:rFonts w:ascii="Times New Roman" w:hAnsi="Times New Roman"/>
          <w:sz w:val="22"/>
          <w:szCs w:val="22"/>
        </w:rPr>
        <w:t>the streamlined</w:t>
      </w:r>
      <w:r w:rsidRPr="00900C5B">
        <w:rPr>
          <w:rFonts w:ascii="Times New Roman" w:hAnsi="Times New Roman"/>
          <w:sz w:val="22"/>
          <w:szCs w:val="22"/>
        </w:rPr>
        <w:t xml:space="preserve"> process.  Before filing with the Commission, a non-federal public safety entity seeking to license mobile and portable units on the </w:t>
      </w:r>
      <w:r w:rsidR="00377066">
        <w:rPr>
          <w:rFonts w:ascii="Times New Roman" w:hAnsi="Times New Roman"/>
          <w:sz w:val="22"/>
          <w:szCs w:val="22"/>
        </w:rPr>
        <w:t>F</w:t>
      </w:r>
      <w:r w:rsidRPr="00900C5B">
        <w:rPr>
          <w:rFonts w:ascii="Times New Roman" w:hAnsi="Times New Roman"/>
          <w:sz w:val="22"/>
          <w:szCs w:val="22"/>
        </w:rPr>
        <w:t xml:space="preserve">ederal </w:t>
      </w:r>
      <w:r w:rsidR="00377066">
        <w:rPr>
          <w:rFonts w:ascii="Times New Roman" w:hAnsi="Times New Roman"/>
          <w:sz w:val="22"/>
          <w:szCs w:val="22"/>
        </w:rPr>
        <w:t>I</w:t>
      </w:r>
      <w:r w:rsidRPr="00900C5B">
        <w:rPr>
          <w:rFonts w:ascii="Times New Roman" w:hAnsi="Times New Roman"/>
          <w:sz w:val="22"/>
          <w:szCs w:val="22"/>
        </w:rPr>
        <w:t xml:space="preserve">nteroperability </w:t>
      </w:r>
      <w:r w:rsidR="00377066">
        <w:rPr>
          <w:rFonts w:ascii="Times New Roman" w:hAnsi="Times New Roman"/>
          <w:sz w:val="22"/>
          <w:szCs w:val="22"/>
        </w:rPr>
        <w:t>C</w:t>
      </w:r>
      <w:r w:rsidRPr="00900C5B">
        <w:rPr>
          <w:rFonts w:ascii="Times New Roman" w:hAnsi="Times New Roman"/>
          <w:sz w:val="22"/>
          <w:szCs w:val="22"/>
        </w:rPr>
        <w:t>hannels must first obtain written concurrence from its SWIC</w:t>
      </w:r>
      <w:r w:rsidR="00377066">
        <w:rPr>
          <w:rFonts w:ascii="Times New Roman" w:hAnsi="Times New Roman"/>
          <w:sz w:val="22"/>
          <w:szCs w:val="22"/>
        </w:rPr>
        <w:t>/official</w:t>
      </w:r>
      <w:r w:rsidRPr="00900C5B">
        <w:rPr>
          <w:rFonts w:ascii="Times New Roman" w:hAnsi="Times New Roman"/>
          <w:sz w:val="22"/>
          <w:szCs w:val="22"/>
        </w:rPr>
        <w:t xml:space="preserve">.  The non-federal </w:t>
      </w:r>
      <w:r w:rsidR="00B438A7">
        <w:rPr>
          <w:rFonts w:ascii="Times New Roman" w:hAnsi="Times New Roman"/>
          <w:sz w:val="22"/>
          <w:szCs w:val="22"/>
        </w:rPr>
        <w:t xml:space="preserve">public safety entity </w:t>
      </w:r>
      <w:r w:rsidRPr="00900C5B">
        <w:rPr>
          <w:rFonts w:ascii="Times New Roman" w:hAnsi="Times New Roman"/>
          <w:sz w:val="22"/>
          <w:szCs w:val="22"/>
        </w:rPr>
        <w:t>must then include a copy of the written concurrence with its license application to the Commission.</w:t>
      </w:r>
    </w:p>
    <w:p w:rsidR="00900C5B" w:rsidP="0050676E" w:rsidRDefault="00900C5B" w14:paraId="3B12F9BD" w14:textId="77777777">
      <w:pPr>
        <w:widowControl/>
        <w:suppressAutoHyphens/>
        <w:ind w:firstLine="360"/>
        <w:rPr>
          <w:rFonts w:ascii="Times New Roman" w:hAnsi="Times New Roman"/>
          <w:sz w:val="22"/>
          <w:szCs w:val="22"/>
        </w:rPr>
      </w:pPr>
    </w:p>
    <w:p w:rsidR="00900C5B" w:rsidP="0050676E" w:rsidRDefault="00900C5B" w14:paraId="6203912A" w14:textId="090CCA2C">
      <w:pPr>
        <w:widowControl/>
        <w:suppressAutoHyphens/>
        <w:ind w:firstLine="360"/>
        <w:rPr>
          <w:rFonts w:ascii="Times New Roman" w:hAnsi="Times New Roman"/>
          <w:sz w:val="22"/>
          <w:szCs w:val="22"/>
        </w:rPr>
      </w:pPr>
      <w:r w:rsidRPr="00900C5B">
        <w:rPr>
          <w:rFonts w:ascii="Times New Roman" w:hAnsi="Times New Roman"/>
          <w:sz w:val="22"/>
          <w:szCs w:val="22"/>
        </w:rPr>
        <w:t xml:space="preserve">NTIA’s streamlined process eliminates the need for non-federal public safety entities to obtain </w:t>
      </w:r>
      <w:r w:rsidR="00DC0599">
        <w:rPr>
          <w:rFonts w:ascii="Times New Roman" w:hAnsi="Times New Roman"/>
          <w:sz w:val="22"/>
          <w:szCs w:val="22"/>
        </w:rPr>
        <w:t xml:space="preserve">a </w:t>
      </w:r>
      <w:r w:rsidRPr="00900C5B">
        <w:rPr>
          <w:rFonts w:ascii="Times New Roman" w:hAnsi="Times New Roman"/>
          <w:sz w:val="22"/>
          <w:szCs w:val="22"/>
        </w:rPr>
        <w:t>written certification from a federal government agency and for the Commission to refer applications</w:t>
      </w:r>
      <w:r w:rsidR="009B42DE">
        <w:rPr>
          <w:rFonts w:ascii="Times New Roman" w:hAnsi="Times New Roman"/>
          <w:sz w:val="22"/>
          <w:szCs w:val="22"/>
        </w:rPr>
        <w:t xml:space="preserve"> </w:t>
      </w:r>
      <w:r w:rsidRPr="009B42DE" w:rsidR="009B42DE">
        <w:rPr>
          <w:rFonts w:ascii="Times New Roman" w:hAnsi="Times New Roman"/>
          <w:sz w:val="22"/>
          <w:szCs w:val="22"/>
        </w:rPr>
        <w:t>to NTIA for coordination with the IRAC’s Frequency Assignment Subcommittee (FAS)</w:t>
      </w:r>
      <w:r w:rsidRPr="00900C5B">
        <w:rPr>
          <w:rFonts w:ascii="Times New Roman" w:hAnsi="Times New Roman"/>
          <w:sz w:val="22"/>
          <w:szCs w:val="22"/>
        </w:rPr>
        <w:t>.</w:t>
      </w:r>
    </w:p>
    <w:p w:rsidR="00097631" w:rsidP="0050676E" w:rsidRDefault="00097631" w14:paraId="4AB4A06C" w14:textId="77777777">
      <w:pPr>
        <w:widowControl/>
        <w:suppressAutoHyphens/>
        <w:ind w:firstLine="360"/>
        <w:rPr>
          <w:rFonts w:ascii="Times New Roman" w:hAnsi="Times New Roman"/>
          <w:sz w:val="22"/>
          <w:szCs w:val="22"/>
        </w:rPr>
      </w:pPr>
    </w:p>
    <w:p w:rsidR="00900C5B" w:rsidP="0050676E" w:rsidRDefault="00900C5B" w14:paraId="3DE4D95E" w14:textId="77777777">
      <w:pPr>
        <w:widowControl/>
        <w:suppressAutoHyphens/>
        <w:ind w:firstLine="360"/>
        <w:rPr>
          <w:rFonts w:ascii="Times New Roman" w:hAnsi="Times New Roman"/>
          <w:sz w:val="22"/>
          <w:szCs w:val="22"/>
        </w:rPr>
      </w:pPr>
    </w:p>
    <w:p w:rsidR="00F66E7E" w:rsidP="00541157" w:rsidRDefault="00F21140" w14:paraId="0F73AE36" w14:textId="4901E07E">
      <w:pPr>
        <w:widowControl/>
        <w:suppressAutoHyphens/>
        <w:ind w:firstLine="360"/>
        <w:rPr>
          <w:rFonts w:ascii="Times New Roman" w:hAnsi="Times New Roman"/>
          <w:sz w:val="22"/>
          <w:szCs w:val="22"/>
        </w:rPr>
      </w:pPr>
      <w:r>
        <w:rPr>
          <w:rFonts w:ascii="Times New Roman" w:hAnsi="Times New Roman"/>
          <w:sz w:val="22"/>
          <w:szCs w:val="22"/>
        </w:rPr>
        <w:lastRenderedPageBreak/>
        <w:t>NTIA’s streamlined</w:t>
      </w:r>
      <w:r w:rsidR="009B42DE">
        <w:rPr>
          <w:rFonts w:ascii="Times New Roman" w:hAnsi="Times New Roman"/>
          <w:sz w:val="22"/>
          <w:szCs w:val="22"/>
        </w:rPr>
        <w:t xml:space="preserve"> process is codified </w:t>
      </w:r>
      <w:r>
        <w:rPr>
          <w:rFonts w:ascii="Times New Roman" w:hAnsi="Times New Roman"/>
          <w:sz w:val="22"/>
          <w:szCs w:val="22"/>
        </w:rPr>
        <w:t>in Section</w:t>
      </w:r>
      <w:r w:rsidR="009B42DE">
        <w:rPr>
          <w:rFonts w:ascii="Times New Roman" w:hAnsi="Times New Roman"/>
          <w:sz w:val="22"/>
          <w:szCs w:val="22"/>
        </w:rPr>
        <w:t xml:space="preserve"> 90.25 of the Commission’s rules.  </w:t>
      </w:r>
      <w:r w:rsidRPr="009904A8" w:rsidR="00F66E7E">
        <w:rPr>
          <w:rFonts w:ascii="Times New Roman" w:hAnsi="Times New Roman"/>
          <w:sz w:val="22"/>
          <w:szCs w:val="22"/>
        </w:rPr>
        <w:t>Th</w:t>
      </w:r>
      <w:r w:rsidR="005673F9">
        <w:rPr>
          <w:rFonts w:ascii="Times New Roman" w:hAnsi="Times New Roman"/>
          <w:sz w:val="22"/>
          <w:szCs w:val="22"/>
        </w:rPr>
        <w:t>e</w:t>
      </w:r>
      <w:r w:rsidRPr="009904A8" w:rsidR="00F66E7E">
        <w:rPr>
          <w:rFonts w:ascii="Times New Roman" w:hAnsi="Times New Roman"/>
          <w:sz w:val="22"/>
          <w:szCs w:val="22"/>
        </w:rPr>
        <w:t xml:space="preserve"> information collection </w:t>
      </w:r>
      <w:r w:rsidR="009B42DE">
        <w:rPr>
          <w:rFonts w:ascii="Times New Roman" w:hAnsi="Times New Roman"/>
          <w:sz w:val="22"/>
          <w:szCs w:val="22"/>
        </w:rPr>
        <w:t xml:space="preserve">requirement </w:t>
      </w:r>
      <w:r w:rsidR="007F141C">
        <w:rPr>
          <w:rFonts w:ascii="Times New Roman" w:hAnsi="Times New Roman"/>
          <w:sz w:val="22"/>
          <w:szCs w:val="22"/>
        </w:rPr>
        <w:t xml:space="preserve">in Section 90.25 </w:t>
      </w:r>
      <w:r w:rsidRPr="009904A8" w:rsidR="00F66E7E">
        <w:rPr>
          <w:rFonts w:ascii="Times New Roman" w:hAnsi="Times New Roman"/>
          <w:sz w:val="22"/>
          <w:szCs w:val="22"/>
        </w:rPr>
        <w:t xml:space="preserve">does not affect individuals or households; </w:t>
      </w:r>
      <w:r w:rsidRPr="009904A8">
        <w:rPr>
          <w:rFonts w:ascii="Times New Roman" w:hAnsi="Times New Roman"/>
          <w:sz w:val="22"/>
          <w:szCs w:val="22"/>
        </w:rPr>
        <w:t>thus,</w:t>
      </w:r>
      <w:r w:rsidRPr="009904A8" w:rsidR="00F66E7E">
        <w:rPr>
          <w:rFonts w:ascii="Times New Roman" w:hAnsi="Times New Roman"/>
          <w:sz w:val="22"/>
          <w:szCs w:val="22"/>
        </w:rPr>
        <w:t xml:space="preserve"> there is no impact under the Privacy Act. </w:t>
      </w:r>
    </w:p>
    <w:p w:rsidRPr="00707CAA" w:rsidR="00F66E7E" w:rsidP="00F66E7E" w:rsidRDefault="00F66E7E" w14:paraId="63EF16E5" w14:textId="77777777">
      <w:pPr>
        <w:widowControl/>
        <w:suppressAutoHyphens/>
        <w:rPr>
          <w:rFonts w:ascii="Times New Roman" w:hAnsi="Times New Roman"/>
          <w:sz w:val="22"/>
          <w:szCs w:val="22"/>
        </w:rPr>
      </w:pPr>
    </w:p>
    <w:p w:rsidR="00097631" w:rsidP="00275AF4" w:rsidRDefault="00097631" w14:paraId="26EEE38C" w14:textId="2391F213">
      <w:pPr>
        <w:widowControl/>
        <w:suppressAutoHyphens/>
        <w:rPr>
          <w:rFonts w:ascii="Times New Roman" w:hAnsi="Times New Roman"/>
          <w:sz w:val="22"/>
          <w:szCs w:val="22"/>
        </w:rPr>
      </w:pPr>
      <w:r w:rsidRPr="00544CCE">
        <w:rPr>
          <w:rFonts w:ascii="Times New Roman" w:hAnsi="Times New Roman"/>
          <w:sz w:val="22"/>
          <w:szCs w:val="22"/>
        </w:rPr>
        <w:t xml:space="preserve">Statutory authority for these collections </w:t>
      </w:r>
      <w:proofErr w:type="gramStart"/>
      <w:r w:rsidR="00126048">
        <w:rPr>
          <w:rFonts w:ascii="Times New Roman" w:hAnsi="Times New Roman"/>
          <w:sz w:val="22"/>
          <w:szCs w:val="22"/>
        </w:rPr>
        <w:t>are</w:t>
      </w:r>
      <w:proofErr w:type="gramEnd"/>
      <w:r w:rsidRPr="00544CCE">
        <w:rPr>
          <w:rFonts w:ascii="Times New Roman" w:hAnsi="Times New Roman"/>
          <w:sz w:val="22"/>
          <w:szCs w:val="22"/>
        </w:rPr>
        <w:t xml:space="preserve"> contained in 47 U.S.C. 151, 154, 301, 303, and 332 of the Communications Act of 1934.</w:t>
      </w:r>
    </w:p>
    <w:p w:rsidR="00097631" w:rsidP="00275AF4" w:rsidRDefault="00097631" w14:paraId="480E03D4" w14:textId="77777777">
      <w:pPr>
        <w:widowControl/>
        <w:suppressAutoHyphens/>
        <w:rPr>
          <w:rFonts w:ascii="Times New Roman" w:hAnsi="Times New Roman"/>
          <w:sz w:val="22"/>
          <w:szCs w:val="22"/>
        </w:rPr>
      </w:pPr>
    </w:p>
    <w:p w:rsidR="00E50D9A" w:rsidP="00275AF4" w:rsidRDefault="00F66E7E" w14:paraId="664E41C1" w14:textId="359C4BA0">
      <w:pPr>
        <w:widowControl/>
        <w:suppressAutoHyphens/>
        <w:rPr>
          <w:rFonts w:ascii="Times New Roman" w:hAnsi="Times New Roman"/>
          <w:sz w:val="22"/>
          <w:szCs w:val="22"/>
        </w:rPr>
      </w:pPr>
      <w:r>
        <w:rPr>
          <w:rFonts w:ascii="Times New Roman" w:hAnsi="Times New Roman"/>
          <w:sz w:val="22"/>
          <w:szCs w:val="22"/>
        </w:rPr>
        <w:t>T</w:t>
      </w:r>
      <w:r w:rsidRPr="00707CAA">
        <w:rPr>
          <w:rFonts w:ascii="Times New Roman" w:hAnsi="Times New Roman"/>
          <w:sz w:val="22"/>
          <w:szCs w:val="22"/>
        </w:rPr>
        <w:t xml:space="preserve">he Commission is </w:t>
      </w:r>
      <w:r>
        <w:rPr>
          <w:rFonts w:ascii="Times New Roman" w:hAnsi="Times New Roman"/>
          <w:sz w:val="22"/>
          <w:szCs w:val="22"/>
        </w:rPr>
        <w:t xml:space="preserve">now </w:t>
      </w:r>
      <w:r w:rsidR="002A7587">
        <w:rPr>
          <w:rFonts w:ascii="Times New Roman" w:hAnsi="Times New Roman"/>
          <w:sz w:val="22"/>
          <w:szCs w:val="22"/>
        </w:rPr>
        <w:t xml:space="preserve">extending </w:t>
      </w:r>
      <w:r w:rsidRPr="00707CAA" w:rsidR="00F21140">
        <w:rPr>
          <w:rFonts w:ascii="Times New Roman" w:hAnsi="Times New Roman"/>
          <w:sz w:val="22"/>
          <w:szCs w:val="22"/>
        </w:rPr>
        <w:t xml:space="preserve">this </w:t>
      </w:r>
      <w:r w:rsidR="00F21140">
        <w:rPr>
          <w:rFonts w:ascii="Times New Roman" w:hAnsi="Times New Roman"/>
          <w:sz w:val="22"/>
          <w:szCs w:val="22"/>
        </w:rPr>
        <w:t>information</w:t>
      </w:r>
      <w:r w:rsidRPr="00707CAA">
        <w:rPr>
          <w:rFonts w:ascii="Times New Roman" w:hAnsi="Times New Roman"/>
          <w:sz w:val="22"/>
          <w:szCs w:val="22"/>
        </w:rPr>
        <w:t xml:space="preserve"> collection </w:t>
      </w:r>
      <w:r>
        <w:rPr>
          <w:rFonts w:ascii="Times New Roman" w:hAnsi="Times New Roman"/>
          <w:sz w:val="22"/>
          <w:szCs w:val="22"/>
        </w:rPr>
        <w:t xml:space="preserve">to the Office of Management and Budget (OMB) to obtain the full three-year clearance.    </w:t>
      </w:r>
    </w:p>
    <w:p w:rsidRPr="00E50D9A" w:rsidR="0079711D" w:rsidP="00275AF4" w:rsidRDefault="0079711D" w14:paraId="633D7EE6" w14:textId="77777777">
      <w:pPr>
        <w:widowControl/>
        <w:suppressAutoHyphens/>
        <w:rPr>
          <w:rFonts w:ascii="Times New Roman" w:hAnsi="Times New Roman"/>
          <w:sz w:val="22"/>
          <w:szCs w:val="22"/>
        </w:rPr>
      </w:pPr>
    </w:p>
    <w:p w:rsidR="007946A9" w:rsidP="00275AF4" w:rsidRDefault="00E50D9A" w14:paraId="493A2C13" w14:textId="470A21AA">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t xml:space="preserve">Indicate how, by whom and for what purpose the information is to be used. Except for </w:t>
      </w:r>
      <w:r w:rsidRPr="00E50D9A" w:rsidR="00F21140">
        <w:rPr>
          <w:rFonts w:ascii="Times New Roman" w:hAnsi="Times New Roman"/>
          <w:b/>
          <w:bCs/>
          <w:sz w:val="22"/>
          <w:szCs w:val="22"/>
        </w:rPr>
        <w:t>a collection</w:t>
      </w:r>
      <w:r w:rsidRPr="00E50D9A">
        <w:rPr>
          <w:rFonts w:ascii="Times New Roman" w:hAnsi="Times New Roman"/>
          <w:b/>
          <w:bCs/>
          <w:sz w:val="22"/>
          <w:szCs w:val="22"/>
        </w:rPr>
        <w:t>, indicate the actual use the agency has made of the information received from the current collection.</w:t>
      </w:r>
    </w:p>
    <w:p w:rsidR="00743218" w:rsidP="00275AF4" w:rsidRDefault="00743218" w14:paraId="57B9ABAB" w14:textId="77777777">
      <w:pPr>
        <w:widowControl/>
        <w:suppressAutoHyphens/>
        <w:rPr>
          <w:rFonts w:ascii="Times New Roman" w:hAnsi="Times New Roman"/>
          <w:sz w:val="22"/>
          <w:szCs w:val="22"/>
        </w:rPr>
      </w:pPr>
    </w:p>
    <w:p w:rsidR="0042497D" w:rsidP="005B25E0" w:rsidRDefault="0042497D" w14:paraId="08FBA600" w14:textId="77777777">
      <w:pPr>
        <w:ind w:firstLine="720"/>
        <w:rPr>
          <w:rFonts w:ascii="Times New Roman" w:hAnsi="Times New Roman"/>
          <w:sz w:val="22"/>
          <w:szCs w:val="22"/>
        </w:rPr>
      </w:pPr>
      <w:r>
        <w:rPr>
          <w:rFonts w:ascii="Times New Roman" w:hAnsi="Times New Roman"/>
          <w:sz w:val="22"/>
          <w:szCs w:val="22"/>
        </w:rPr>
        <w:t xml:space="preserve">The purpose of requiring each </w:t>
      </w:r>
      <w:r w:rsidRPr="0042497D">
        <w:rPr>
          <w:rFonts w:ascii="Times New Roman" w:hAnsi="Times New Roman"/>
          <w:sz w:val="22"/>
          <w:szCs w:val="22"/>
        </w:rPr>
        <w:t>no</w:t>
      </w:r>
      <w:r>
        <w:rPr>
          <w:rFonts w:ascii="Times New Roman" w:hAnsi="Times New Roman"/>
          <w:sz w:val="22"/>
          <w:szCs w:val="22"/>
        </w:rPr>
        <w:t xml:space="preserve">n-federal public safety entity to obtain written consent from its SWIC or </w:t>
      </w:r>
      <w:r w:rsidRPr="009B42DE" w:rsidR="009B42DE">
        <w:rPr>
          <w:rFonts w:ascii="Times New Roman" w:hAnsi="Times New Roman"/>
          <w:sz w:val="22"/>
          <w:szCs w:val="22"/>
        </w:rPr>
        <w:t>state appointed official</w:t>
      </w:r>
      <w:r>
        <w:rPr>
          <w:rFonts w:ascii="Times New Roman" w:hAnsi="Times New Roman"/>
          <w:sz w:val="22"/>
          <w:szCs w:val="22"/>
        </w:rPr>
        <w:t xml:space="preserve"> before filing an application with the Commission to license the </w:t>
      </w:r>
      <w:r w:rsidR="009B42DE">
        <w:rPr>
          <w:rFonts w:ascii="Times New Roman" w:hAnsi="Times New Roman"/>
          <w:sz w:val="22"/>
          <w:szCs w:val="22"/>
        </w:rPr>
        <w:t>F</w:t>
      </w:r>
      <w:r>
        <w:rPr>
          <w:rFonts w:ascii="Times New Roman" w:hAnsi="Times New Roman"/>
          <w:sz w:val="22"/>
          <w:szCs w:val="22"/>
        </w:rPr>
        <w:t xml:space="preserve">ederal </w:t>
      </w:r>
      <w:r w:rsidR="009B42DE">
        <w:rPr>
          <w:rFonts w:ascii="Times New Roman" w:hAnsi="Times New Roman"/>
          <w:sz w:val="22"/>
          <w:szCs w:val="22"/>
        </w:rPr>
        <w:t>I</w:t>
      </w:r>
      <w:r>
        <w:rPr>
          <w:rFonts w:ascii="Times New Roman" w:hAnsi="Times New Roman"/>
          <w:sz w:val="22"/>
          <w:szCs w:val="22"/>
        </w:rPr>
        <w:t xml:space="preserve">nteroperability </w:t>
      </w:r>
      <w:r w:rsidR="009B42DE">
        <w:rPr>
          <w:rFonts w:ascii="Times New Roman" w:hAnsi="Times New Roman"/>
          <w:sz w:val="22"/>
          <w:szCs w:val="22"/>
        </w:rPr>
        <w:t>C</w:t>
      </w:r>
      <w:r>
        <w:rPr>
          <w:rFonts w:ascii="Times New Roman" w:hAnsi="Times New Roman"/>
          <w:sz w:val="22"/>
          <w:szCs w:val="22"/>
        </w:rPr>
        <w:t>hannels is to ensure that the proposed operation conform</w:t>
      </w:r>
      <w:r w:rsidR="005510BD">
        <w:rPr>
          <w:rFonts w:ascii="Times New Roman" w:hAnsi="Times New Roman"/>
          <w:sz w:val="22"/>
          <w:szCs w:val="22"/>
        </w:rPr>
        <w:t xml:space="preserve">s to </w:t>
      </w:r>
      <w:r>
        <w:rPr>
          <w:rFonts w:ascii="Times New Roman" w:hAnsi="Times New Roman"/>
          <w:sz w:val="22"/>
          <w:szCs w:val="22"/>
        </w:rPr>
        <w:t xml:space="preserve">the terms of </w:t>
      </w:r>
      <w:r w:rsidR="009B42DE">
        <w:rPr>
          <w:rFonts w:ascii="Times New Roman" w:hAnsi="Times New Roman"/>
          <w:sz w:val="22"/>
          <w:szCs w:val="22"/>
        </w:rPr>
        <w:t xml:space="preserve">an agreement </w:t>
      </w:r>
      <w:r>
        <w:rPr>
          <w:rFonts w:ascii="Times New Roman" w:hAnsi="Times New Roman"/>
          <w:sz w:val="22"/>
          <w:szCs w:val="22"/>
        </w:rPr>
        <w:t xml:space="preserve">signed by the SWIC or </w:t>
      </w:r>
      <w:r w:rsidR="009B42DE">
        <w:rPr>
          <w:rFonts w:ascii="Times New Roman" w:hAnsi="Times New Roman"/>
          <w:sz w:val="22"/>
          <w:szCs w:val="22"/>
        </w:rPr>
        <w:t>official</w:t>
      </w:r>
      <w:r>
        <w:rPr>
          <w:rFonts w:ascii="Times New Roman" w:hAnsi="Times New Roman"/>
          <w:sz w:val="22"/>
          <w:szCs w:val="22"/>
        </w:rPr>
        <w:t xml:space="preserve">.  </w:t>
      </w:r>
    </w:p>
    <w:p w:rsidR="00287FB8" w:rsidP="005B25E0" w:rsidRDefault="00287FB8" w14:paraId="391C1089" w14:textId="77777777">
      <w:pPr>
        <w:ind w:firstLine="720"/>
        <w:rPr>
          <w:rFonts w:ascii="Times New Roman" w:hAnsi="Times New Roman"/>
          <w:sz w:val="22"/>
          <w:szCs w:val="22"/>
        </w:rPr>
      </w:pPr>
    </w:p>
    <w:p w:rsidRPr="00E218C0" w:rsidR="005B25E0" w:rsidP="005B25E0" w:rsidRDefault="00287FB8" w14:paraId="04B33D00" w14:textId="77777777">
      <w:pPr>
        <w:ind w:firstLine="720"/>
        <w:rPr>
          <w:rFonts w:ascii="Times New Roman" w:hAnsi="Times New Roman"/>
          <w:sz w:val="22"/>
          <w:szCs w:val="22"/>
        </w:rPr>
      </w:pPr>
      <w:r>
        <w:rPr>
          <w:rFonts w:ascii="Times New Roman" w:hAnsi="Times New Roman"/>
          <w:sz w:val="22"/>
          <w:szCs w:val="22"/>
        </w:rPr>
        <w:t xml:space="preserve">As noted above, the </w:t>
      </w:r>
      <w:r w:rsidR="009B42DE">
        <w:rPr>
          <w:rFonts w:ascii="Times New Roman" w:hAnsi="Times New Roman"/>
          <w:sz w:val="22"/>
          <w:szCs w:val="22"/>
        </w:rPr>
        <w:t xml:space="preserve">agreement </w:t>
      </w:r>
      <w:r>
        <w:rPr>
          <w:rFonts w:ascii="Times New Roman" w:hAnsi="Times New Roman"/>
          <w:sz w:val="22"/>
          <w:szCs w:val="22"/>
        </w:rPr>
        <w:t xml:space="preserve">signed by the </w:t>
      </w:r>
      <w:r w:rsidRPr="00E218C0" w:rsidR="005B25E0">
        <w:rPr>
          <w:rFonts w:ascii="Times New Roman" w:hAnsi="Times New Roman"/>
          <w:sz w:val="22"/>
          <w:szCs w:val="22"/>
        </w:rPr>
        <w:t xml:space="preserve">SWIC </w:t>
      </w:r>
      <w:r>
        <w:rPr>
          <w:rFonts w:ascii="Times New Roman" w:hAnsi="Times New Roman"/>
          <w:sz w:val="22"/>
          <w:szCs w:val="22"/>
        </w:rPr>
        <w:t xml:space="preserve">or </w:t>
      </w:r>
      <w:r w:rsidRPr="009B42DE" w:rsidR="009B42DE">
        <w:rPr>
          <w:rFonts w:ascii="Times New Roman" w:hAnsi="Times New Roman"/>
          <w:sz w:val="22"/>
          <w:szCs w:val="22"/>
        </w:rPr>
        <w:t>state appointed official</w:t>
      </w:r>
      <w:r>
        <w:rPr>
          <w:rFonts w:ascii="Times New Roman" w:hAnsi="Times New Roman"/>
          <w:sz w:val="22"/>
          <w:szCs w:val="22"/>
        </w:rPr>
        <w:t xml:space="preserve"> </w:t>
      </w:r>
      <w:r w:rsidR="001D7E1E">
        <w:rPr>
          <w:rFonts w:ascii="Times New Roman" w:hAnsi="Times New Roman"/>
          <w:sz w:val="22"/>
          <w:szCs w:val="22"/>
        </w:rPr>
        <w:t xml:space="preserve">will specify </w:t>
      </w:r>
      <w:r w:rsidRPr="00E218C0" w:rsidR="005B25E0">
        <w:rPr>
          <w:rFonts w:ascii="Times New Roman" w:hAnsi="Times New Roman"/>
          <w:sz w:val="22"/>
          <w:szCs w:val="22"/>
        </w:rPr>
        <w:t xml:space="preserve">which </w:t>
      </w:r>
      <w:r w:rsidR="009B42DE">
        <w:rPr>
          <w:rFonts w:ascii="Times New Roman" w:hAnsi="Times New Roman"/>
          <w:sz w:val="22"/>
          <w:szCs w:val="22"/>
        </w:rPr>
        <w:t>F</w:t>
      </w:r>
      <w:r w:rsidR="00DC0599">
        <w:rPr>
          <w:rFonts w:ascii="Times New Roman" w:hAnsi="Times New Roman"/>
          <w:sz w:val="22"/>
          <w:szCs w:val="22"/>
        </w:rPr>
        <w:t xml:space="preserve">ederal </w:t>
      </w:r>
      <w:r w:rsidR="009B42DE">
        <w:rPr>
          <w:rFonts w:ascii="Times New Roman" w:hAnsi="Times New Roman"/>
          <w:sz w:val="22"/>
          <w:szCs w:val="22"/>
        </w:rPr>
        <w:t>I</w:t>
      </w:r>
      <w:r w:rsidRPr="00E218C0" w:rsidR="005B25E0">
        <w:rPr>
          <w:rFonts w:ascii="Times New Roman" w:hAnsi="Times New Roman"/>
          <w:sz w:val="22"/>
          <w:szCs w:val="22"/>
        </w:rPr>
        <w:t xml:space="preserve">nteroperability </w:t>
      </w:r>
      <w:r w:rsidR="009B42DE">
        <w:rPr>
          <w:rFonts w:ascii="Times New Roman" w:hAnsi="Times New Roman"/>
          <w:sz w:val="22"/>
          <w:szCs w:val="22"/>
        </w:rPr>
        <w:t>C</w:t>
      </w:r>
      <w:r w:rsidRPr="00E218C0" w:rsidR="005B25E0">
        <w:rPr>
          <w:rFonts w:ascii="Times New Roman" w:hAnsi="Times New Roman"/>
          <w:sz w:val="22"/>
          <w:szCs w:val="22"/>
        </w:rPr>
        <w:t>hannels are available for use in a particular state</w:t>
      </w:r>
      <w:r w:rsidR="00DC0599">
        <w:rPr>
          <w:rFonts w:ascii="Times New Roman" w:hAnsi="Times New Roman"/>
          <w:sz w:val="22"/>
          <w:szCs w:val="22"/>
        </w:rPr>
        <w:t xml:space="preserve">.  The </w:t>
      </w:r>
      <w:r w:rsidR="009B42DE">
        <w:rPr>
          <w:rFonts w:ascii="Times New Roman" w:hAnsi="Times New Roman"/>
          <w:sz w:val="22"/>
          <w:szCs w:val="22"/>
        </w:rPr>
        <w:t xml:space="preserve">agreement </w:t>
      </w:r>
      <w:r w:rsidR="00DC0599">
        <w:rPr>
          <w:rFonts w:ascii="Times New Roman" w:hAnsi="Times New Roman"/>
          <w:sz w:val="22"/>
          <w:szCs w:val="22"/>
        </w:rPr>
        <w:t xml:space="preserve">also </w:t>
      </w:r>
      <w:r w:rsidRPr="00E218C0" w:rsidR="005B25E0">
        <w:rPr>
          <w:rFonts w:ascii="Times New Roman" w:hAnsi="Times New Roman"/>
          <w:sz w:val="22"/>
          <w:szCs w:val="22"/>
        </w:rPr>
        <w:t>establish</w:t>
      </w:r>
      <w:r w:rsidR="00DC0599">
        <w:rPr>
          <w:rFonts w:ascii="Times New Roman" w:hAnsi="Times New Roman"/>
          <w:sz w:val="22"/>
          <w:szCs w:val="22"/>
        </w:rPr>
        <w:t>es</w:t>
      </w:r>
      <w:r w:rsidRPr="00E218C0" w:rsidR="005B25E0">
        <w:rPr>
          <w:rFonts w:ascii="Times New Roman" w:hAnsi="Times New Roman"/>
          <w:sz w:val="22"/>
          <w:szCs w:val="22"/>
        </w:rPr>
        <w:t xml:space="preserve"> the c</w:t>
      </w:r>
      <w:r w:rsidR="006F62AF">
        <w:rPr>
          <w:rFonts w:ascii="Times New Roman" w:hAnsi="Times New Roman"/>
          <w:sz w:val="22"/>
          <w:szCs w:val="22"/>
        </w:rPr>
        <w:t>onditions for their use by non-f</w:t>
      </w:r>
      <w:r w:rsidRPr="00E218C0" w:rsidR="005B25E0">
        <w:rPr>
          <w:rFonts w:ascii="Times New Roman" w:hAnsi="Times New Roman"/>
          <w:sz w:val="22"/>
          <w:szCs w:val="22"/>
        </w:rPr>
        <w:t xml:space="preserve">ederal public safety entities.  </w:t>
      </w:r>
    </w:p>
    <w:p w:rsidRPr="00E218C0" w:rsidR="005B25E0" w:rsidP="005B25E0" w:rsidRDefault="005B25E0" w14:paraId="6B37EBAF" w14:textId="77777777">
      <w:pPr>
        <w:rPr>
          <w:rFonts w:ascii="Times New Roman" w:hAnsi="Times New Roman"/>
          <w:sz w:val="22"/>
          <w:szCs w:val="22"/>
        </w:rPr>
      </w:pPr>
    </w:p>
    <w:p w:rsidR="006F62AF" w:rsidP="005B25E0" w:rsidRDefault="005510BD" w14:paraId="5B598BBD" w14:textId="77777777">
      <w:pPr>
        <w:ind w:firstLine="720"/>
        <w:rPr>
          <w:rFonts w:ascii="Times New Roman" w:hAnsi="Times New Roman"/>
          <w:sz w:val="22"/>
          <w:szCs w:val="22"/>
        </w:rPr>
      </w:pPr>
      <w:r>
        <w:rPr>
          <w:rFonts w:ascii="Times New Roman" w:hAnsi="Times New Roman"/>
          <w:sz w:val="22"/>
          <w:szCs w:val="22"/>
        </w:rPr>
        <w:t xml:space="preserve">Without the written consent, staff at the Bureau would be unsure if an applicant complies with the conditions agreed to by the </w:t>
      </w:r>
      <w:r w:rsidRPr="00E218C0" w:rsidR="005B25E0">
        <w:rPr>
          <w:rFonts w:ascii="Times New Roman" w:hAnsi="Times New Roman"/>
          <w:sz w:val="22"/>
          <w:szCs w:val="22"/>
        </w:rPr>
        <w:t>SWIC</w:t>
      </w:r>
      <w:r w:rsidR="009B42DE">
        <w:rPr>
          <w:rFonts w:ascii="Times New Roman" w:hAnsi="Times New Roman"/>
          <w:sz w:val="22"/>
          <w:szCs w:val="22"/>
        </w:rPr>
        <w:t>/official</w:t>
      </w:r>
      <w:r w:rsidR="00DC0599">
        <w:rPr>
          <w:rFonts w:ascii="Times New Roman" w:hAnsi="Times New Roman"/>
          <w:sz w:val="22"/>
          <w:szCs w:val="22"/>
        </w:rPr>
        <w:t xml:space="preserve"> in the </w:t>
      </w:r>
      <w:r w:rsidR="009B42DE">
        <w:rPr>
          <w:rFonts w:ascii="Times New Roman" w:hAnsi="Times New Roman"/>
          <w:sz w:val="22"/>
          <w:szCs w:val="22"/>
        </w:rPr>
        <w:t xml:space="preserve">agreement </w:t>
      </w:r>
      <w:r w:rsidR="00DC0599">
        <w:rPr>
          <w:rFonts w:ascii="Times New Roman" w:hAnsi="Times New Roman"/>
          <w:sz w:val="22"/>
          <w:szCs w:val="22"/>
        </w:rPr>
        <w:t xml:space="preserve">it signed with a </w:t>
      </w:r>
      <w:r>
        <w:rPr>
          <w:rFonts w:ascii="Times New Roman" w:hAnsi="Times New Roman"/>
          <w:sz w:val="22"/>
          <w:szCs w:val="22"/>
        </w:rPr>
        <w:t xml:space="preserve">federal user </w:t>
      </w:r>
      <w:r w:rsidRPr="00377066" w:rsidR="009B42DE">
        <w:rPr>
          <w:rFonts w:ascii="Times New Roman" w:hAnsi="Times New Roman"/>
          <w:sz w:val="22"/>
          <w:szCs w:val="22"/>
        </w:rPr>
        <w:t>with a valid assignment</w:t>
      </w:r>
      <w:r w:rsidR="009B42DE">
        <w:rPr>
          <w:rFonts w:ascii="Times New Roman" w:hAnsi="Times New Roman"/>
          <w:sz w:val="22"/>
          <w:szCs w:val="22"/>
        </w:rPr>
        <w:t xml:space="preserve"> from </w:t>
      </w:r>
      <w:r>
        <w:rPr>
          <w:rFonts w:ascii="Times New Roman" w:hAnsi="Times New Roman"/>
          <w:sz w:val="22"/>
          <w:szCs w:val="22"/>
        </w:rPr>
        <w:t xml:space="preserve">NTIA.  </w:t>
      </w:r>
      <w:r w:rsidR="006F62AF">
        <w:rPr>
          <w:rFonts w:ascii="Times New Roman" w:hAnsi="Times New Roman"/>
          <w:sz w:val="22"/>
          <w:szCs w:val="22"/>
        </w:rPr>
        <w:t xml:space="preserve">Any non-federal operation on the </w:t>
      </w:r>
      <w:r w:rsidR="009B42DE">
        <w:rPr>
          <w:rFonts w:ascii="Times New Roman" w:hAnsi="Times New Roman"/>
          <w:sz w:val="22"/>
          <w:szCs w:val="22"/>
        </w:rPr>
        <w:t>F</w:t>
      </w:r>
      <w:r w:rsidR="006F62AF">
        <w:rPr>
          <w:rFonts w:ascii="Times New Roman" w:hAnsi="Times New Roman"/>
          <w:sz w:val="22"/>
          <w:szCs w:val="22"/>
        </w:rPr>
        <w:t xml:space="preserve">ederal </w:t>
      </w:r>
      <w:r w:rsidR="009B42DE">
        <w:rPr>
          <w:rFonts w:ascii="Times New Roman" w:hAnsi="Times New Roman"/>
          <w:sz w:val="22"/>
          <w:szCs w:val="22"/>
        </w:rPr>
        <w:t>I</w:t>
      </w:r>
      <w:r w:rsidR="006F62AF">
        <w:rPr>
          <w:rFonts w:ascii="Times New Roman" w:hAnsi="Times New Roman"/>
          <w:sz w:val="22"/>
          <w:szCs w:val="22"/>
        </w:rPr>
        <w:t xml:space="preserve">nteroperability </w:t>
      </w:r>
      <w:r w:rsidR="009B42DE">
        <w:rPr>
          <w:rFonts w:ascii="Times New Roman" w:hAnsi="Times New Roman"/>
          <w:sz w:val="22"/>
          <w:szCs w:val="22"/>
        </w:rPr>
        <w:t>C</w:t>
      </w:r>
      <w:r w:rsidR="006F62AF">
        <w:rPr>
          <w:rFonts w:ascii="Times New Roman" w:hAnsi="Times New Roman"/>
          <w:sz w:val="22"/>
          <w:szCs w:val="22"/>
        </w:rPr>
        <w:t xml:space="preserve">hannels which does not comply with the terms of the </w:t>
      </w:r>
      <w:r w:rsidR="009B42DE">
        <w:rPr>
          <w:rFonts w:ascii="Times New Roman" w:hAnsi="Times New Roman"/>
          <w:sz w:val="22"/>
          <w:szCs w:val="22"/>
        </w:rPr>
        <w:t xml:space="preserve">agreement </w:t>
      </w:r>
      <w:r w:rsidR="006F62AF">
        <w:rPr>
          <w:rFonts w:ascii="Times New Roman" w:hAnsi="Times New Roman"/>
          <w:sz w:val="22"/>
          <w:szCs w:val="22"/>
        </w:rPr>
        <w:t>could cause harmful interference to federal agencies operating on th</w:t>
      </w:r>
      <w:r w:rsidR="00DC0599">
        <w:rPr>
          <w:rFonts w:ascii="Times New Roman" w:hAnsi="Times New Roman"/>
          <w:sz w:val="22"/>
          <w:szCs w:val="22"/>
        </w:rPr>
        <w:t xml:space="preserve">ose </w:t>
      </w:r>
      <w:r w:rsidR="006F62AF">
        <w:rPr>
          <w:rFonts w:ascii="Times New Roman" w:hAnsi="Times New Roman"/>
          <w:sz w:val="22"/>
          <w:szCs w:val="22"/>
        </w:rPr>
        <w:t xml:space="preserve">channels.   </w:t>
      </w:r>
    </w:p>
    <w:p w:rsidRPr="00F15BCA" w:rsidR="001F1147" w:rsidP="00275AF4" w:rsidRDefault="001F1147" w14:paraId="1552B28C" w14:textId="77777777">
      <w:pPr>
        <w:widowControl/>
        <w:suppressAutoHyphens/>
        <w:rPr>
          <w:rFonts w:ascii="Times New Roman" w:hAnsi="Times New Roman"/>
          <w:sz w:val="22"/>
          <w:szCs w:val="22"/>
        </w:rPr>
      </w:pPr>
    </w:p>
    <w:p w:rsidRPr="007628B8" w:rsidR="00A962C8" w:rsidP="00275AF4" w:rsidRDefault="007628B8" w14:paraId="20985304" w14:textId="77777777">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P="00275AF4" w:rsidRDefault="00E50D9A" w14:paraId="0EB59619" w14:textId="77777777">
      <w:pPr>
        <w:widowControl/>
        <w:suppressAutoHyphens/>
        <w:rPr>
          <w:rFonts w:ascii="Times New Roman" w:hAnsi="Times New Roman"/>
          <w:sz w:val="22"/>
          <w:szCs w:val="22"/>
        </w:rPr>
      </w:pPr>
    </w:p>
    <w:p w:rsidR="007628B8" w:rsidP="006F791E" w:rsidRDefault="001D7E1E" w14:paraId="674C0828" w14:textId="77777777">
      <w:pPr>
        <w:widowControl/>
        <w:suppressAutoHyphens/>
        <w:ind w:firstLine="360"/>
        <w:rPr>
          <w:rFonts w:ascii="Times New Roman" w:hAnsi="Times New Roman"/>
          <w:sz w:val="22"/>
          <w:szCs w:val="22"/>
        </w:rPr>
      </w:pPr>
      <w:r>
        <w:rPr>
          <w:rFonts w:ascii="Times New Roman" w:hAnsi="Times New Roman"/>
          <w:sz w:val="22"/>
          <w:szCs w:val="22"/>
        </w:rPr>
        <w:t xml:space="preserve">Non-federal public safety entities will attach a copy of the </w:t>
      </w:r>
      <w:r w:rsidRPr="00F94A37" w:rsidR="00E65D99">
        <w:rPr>
          <w:rFonts w:ascii="Times New Roman" w:hAnsi="Times New Roman"/>
          <w:sz w:val="22"/>
          <w:szCs w:val="22"/>
        </w:rPr>
        <w:t xml:space="preserve">written </w:t>
      </w:r>
      <w:r>
        <w:rPr>
          <w:rFonts w:ascii="Times New Roman" w:hAnsi="Times New Roman"/>
          <w:sz w:val="22"/>
          <w:szCs w:val="22"/>
        </w:rPr>
        <w:t xml:space="preserve">consent </w:t>
      </w:r>
      <w:r w:rsidR="00E65D99">
        <w:rPr>
          <w:rFonts w:ascii="Times New Roman" w:hAnsi="Times New Roman"/>
          <w:sz w:val="22"/>
          <w:szCs w:val="22"/>
        </w:rPr>
        <w:t xml:space="preserve">from </w:t>
      </w:r>
      <w:r>
        <w:rPr>
          <w:rFonts w:ascii="Times New Roman" w:hAnsi="Times New Roman"/>
          <w:sz w:val="22"/>
          <w:szCs w:val="22"/>
        </w:rPr>
        <w:t xml:space="preserve">their </w:t>
      </w:r>
      <w:r w:rsidR="00AC0DF7">
        <w:rPr>
          <w:rFonts w:ascii="Times New Roman" w:hAnsi="Times New Roman"/>
          <w:sz w:val="22"/>
          <w:szCs w:val="22"/>
        </w:rPr>
        <w:t xml:space="preserve">SWIC or </w:t>
      </w:r>
      <w:r w:rsidRPr="009B42DE" w:rsidR="00D56372">
        <w:rPr>
          <w:rFonts w:ascii="Times New Roman" w:hAnsi="Times New Roman"/>
          <w:sz w:val="22"/>
          <w:szCs w:val="22"/>
        </w:rPr>
        <w:t>state appointed official</w:t>
      </w:r>
      <w:r>
        <w:rPr>
          <w:rFonts w:ascii="Times New Roman" w:hAnsi="Times New Roman"/>
          <w:sz w:val="22"/>
          <w:szCs w:val="22"/>
        </w:rPr>
        <w:t xml:space="preserve"> with their application for license.  Applicants file their license applications using the </w:t>
      </w:r>
      <w:r w:rsidR="00AC0DF7">
        <w:rPr>
          <w:rFonts w:ascii="Times New Roman" w:hAnsi="Times New Roman"/>
          <w:sz w:val="22"/>
          <w:szCs w:val="22"/>
        </w:rPr>
        <w:t>Commission’s Universal Licensing System (ULS)</w:t>
      </w:r>
      <w:r w:rsidR="00E65D99">
        <w:rPr>
          <w:rFonts w:ascii="Times New Roman" w:hAnsi="Times New Roman"/>
          <w:sz w:val="22"/>
          <w:szCs w:val="22"/>
        </w:rPr>
        <w:t xml:space="preserve">.  </w:t>
      </w:r>
      <w:r>
        <w:rPr>
          <w:rFonts w:ascii="Times New Roman" w:hAnsi="Times New Roman"/>
          <w:sz w:val="22"/>
          <w:szCs w:val="22"/>
        </w:rPr>
        <w:t>Thus, a</w:t>
      </w:r>
      <w:r w:rsidR="00AC0DF7">
        <w:rPr>
          <w:rFonts w:ascii="Times New Roman" w:hAnsi="Times New Roman"/>
          <w:sz w:val="22"/>
          <w:szCs w:val="22"/>
        </w:rPr>
        <w:t>pplicants</w:t>
      </w:r>
      <w:r w:rsidR="00E65D99">
        <w:rPr>
          <w:rFonts w:ascii="Times New Roman" w:hAnsi="Times New Roman"/>
          <w:sz w:val="22"/>
          <w:szCs w:val="22"/>
        </w:rPr>
        <w:t xml:space="preserve"> may use electronic means </w:t>
      </w:r>
      <w:r w:rsidR="00AC0DF7">
        <w:rPr>
          <w:rFonts w:ascii="Times New Roman" w:hAnsi="Times New Roman"/>
          <w:sz w:val="22"/>
          <w:szCs w:val="22"/>
        </w:rPr>
        <w:t>to submit the</w:t>
      </w:r>
      <w:r w:rsidR="00C51F66">
        <w:rPr>
          <w:rFonts w:ascii="Times New Roman" w:hAnsi="Times New Roman"/>
          <w:sz w:val="22"/>
          <w:szCs w:val="22"/>
        </w:rPr>
        <w:t>ir</w:t>
      </w:r>
      <w:r w:rsidR="00E65D99">
        <w:rPr>
          <w:rFonts w:ascii="Times New Roman" w:hAnsi="Times New Roman"/>
          <w:sz w:val="22"/>
          <w:szCs w:val="22"/>
        </w:rPr>
        <w:t xml:space="preserve"> written consent</w:t>
      </w:r>
      <w:r>
        <w:rPr>
          <w:rFonts w:ascii="Times New Roman" w:hAnsi="Times New Roman"/>
          <w:sz w:val="22"/>
          <w:szCs w:val="22"/>
        </w:rPr>
        <w:t xml:space="preserve"> through the ULS</w:t>
      </w:r>
      <w:r w:rsidR="00E65D99">
        <w:rPr>
          <w:rFonts w:ascii="Times New Roman" w:hAnsi="Times New Roman"/>
          <w:sz w:val="22"/>
          <w:szCs w:val="22"/>
        </w:rPr>
        <w:t xml:space="preserve">.  </w:t>
      </w:r>
    </w:p>
    <w:p w:rsidR="00E66974" w:rsidP="00275AF4" w:rsidRDefault="00E66974" w14:paraId="6AE1E6E2" w14:textId="77777777">
      <w:pPr>
        <w:widowControl/>
        <w:suppressAutoHyphens/>
        <w:rPr>
          <w:rFonts w:ascii="Times New Roman" w:hAnsi="Times New Roman"/>
          <w:sz w:val="22"/>
          <w:szCs w:val="22"/>
        </w:rPr>
      </w:pPr>
    </w:p>
    <w:p w:rsidRPr="00E66974" w:rsidR="00743218" w:rsidP="00275AF4" w:rsidRDefault="00E66974" w14:paraId="77634BB5" w14:textId="77777777">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rsidR="00E66974" w:rsidP="00275AF4" w:rsidRDefault="00E66974" w14:paraId="375C5644" w14:textId="77777777">
      <w:pPr>
        <w:widowControl/>
        <w:suppressAutoHyphens/>
        <w:ind w:left="360"/>
        <w:rPr>
          <w:rFonts w:ascii="Times New Roman" w:hAnsi="Times New Roman"/>
          <w:sz w:val="22"/>
          <w:szCs w:val="22"/>
        </w:rPr>
      </w:pPr>
    </w:p>
    <w:p w:rsidR="00EF3305" w:rsidP="006F791E" w:rsidRDefault="00EF3305" w14:paraId="6C663DC0" w14:textId="77777777">
      <w:pPr>
        <w:widowControl/>
        <w:suppressAutoHyphens/>
        <w:ind w:firstLine="360"/>
        <w:rPr>
          <w:rFonts w:ascii="Times New Roman" w:hAnsi="Times New Roman"/>
          <w:sz w:val="22"/>
          <w:szCs w:val="22"/>
        </w:rPr>
      </w:pPr>
      <w:r w:rsidRPr="00707CAA">
        <w:rPr>
          <w:rFonts w:ascii="Times New Roman" w:hAnsi="Times New Roman"/>
          <w:sz w:val="22"/>
          <w:szCs w:val="22"/>
        </w:rPr>
        <w:t xml:space="preserve">No other federal agency </w:t>
      </w:r>
      <w:r w:rsidR="00E66974">
        <w:rPr>
          <w:rFonts w:ascii="Times New Roman" w:hAnsi="Times New Roman"/>
          <w:sz w:val="22"/>
          <w:szCs w:val="22"/>
        </w:rPr>
        <w:t xml:space="preserve">requires or collects the documents described here.  </w:t>
      </w:r>
    </w:p>
    <w:p w:rsidR="00743218" w:rsidP="00275AF4" w:rsidRDefault="00743218" w14:paraId="295BE0CB" w14:textId="77777777">
      <w:pPr>
        <w:widowControl/>
        <w:suppressAutoHyphens/>
        <w:rPr>
          <w:rFonts w:ascii="Times New Roman" w:hAnsi="Times New Roman"/>
          <w:sz w:val="22"/>
          <w:szCs w:val="22"/>
        </w:rPr>
      </w:pPr>
    </w:p>
    <w:p w:rsidRPr="00E57FDB" w:rsidR="00E57FDB" w:rsidP="00275AF4" w:rsidRDefault="00E57FDB" w14:paraId="44CB90E8" w14:textId="19D741E4">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 xml:space="preserve">If the collection of information will have significant economic impacts on small businesses, </w:t>
      </w:r>
      <w:r w:rsidRPr="00E57FDB" w:rsidR="00F21140">
        <w:rPr>
          <w:rFonts w:ascii="Times New Roman" w:hAnsi="Times New Roman"/>
          <w:b/>
          <w:sz w:val="22"/>
          <w:szCs w:val="22"/>
        </w:rPr>
        <w:t>organizations,</w:t>
      </w:r>
      <w:r w:rsidRPr="00E57FDB">
        <w:rPr>
          <w:rFonts w:ascii="Times New Roman" w:hAnsi="Times New Roman"/>
          <w:b/>
          <w:sz w:val="22"/>
          <w:szCs w:val="22"/>
        </w:rPr>
        <w:t xml:space="preserve"> or other small entities, describe any methods used to minimize the burden on these entities.</w:t>
      </w:r>
    </w:p>
    <w:p w:rsidR="00E57FDB" w:rsidP="00275AF4" w:rsidRDefault="00E57FDB" w14:paraId="5082E0DB" w14:textId="77777777">
      <w:pPr>
        <w:widowControl/>
        <w:suppressAutoHyphens/>
        <w:rPr>
          <w:rFonts w:ascii="Times New Roman" w:hAnsi="Times New Roman"/>
          <w:sz w:val="22"/>
          <w:szCs w:val="22"/>
        </w:rPr>
      </w:pPr>
    </w:p>
    <w:p w:rsidR="00C07F97" w:rsidP="006F791E" w:rsidRDefault="00C07F97" w14:paraId="47F923D3" w14:textId="2AD137B9">
      <w:pPr>
        <w:widowControl/>
        <w:suppressAutoHyphens/>
        <w:ind w:firstLine="360"/>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sidR="0086772A">
        <w:rPr>
          <w:rFonts w:ascii="Times New Roman" w:hAnsi="Times New Roman"/>
          <w:sz w:val="22"/>
          <w:szCs w:val="22"/>
        </w:rPr>
        <w:t xml:space="preserve">the Commission </w:t>
      </w:r>
      <w:r w:rsidR="00F21140">
        <w:rPr>
          <w:rFonts w:ascii="Times New Roman" w:hAnsi="Times New Roman"/>
          <w:sz w:val="22"/>
          <w:szCs w:val="22"/>
        </w:rPr>
        <w:t>tries</w:t>
      </w:r>
      <w:r w:rsidRPr="00707CAA">
        <w:rPr>
          <w:rFonts w:ascii="Times New Roman" w:hAnsi="Times New Roman"/>
          <w:sz w:val="22"/>
          <w:szCs w:val="22"/>
        </w:rPr>
        <w:t xml:space="preserve"> to minimize the burden </w:t>
      </w:r>
      <w:r>
        <w:rPr>
          <w:rFonts w:ascii="Times New Roman" w:hAnsi="Times New Roman"/>
          <w:sz w:val="22"/>
          <w:szCs w:val="22"/>
        </w:rPr>
        <w:t xml:space="preserve">of information collection on </w:t>
      </w:r>
      <w:r w:rsidRPr="00707CAA">
        <w:rPr>
          <w:rFonts w:ascii="Times New Roman" w:hAnsi="Times New Roman"/>
          <w:sz w:val="22"/>
          <w:szCs w:val="22"/>
        </w:rPr>
        <w:t xml:space="preserve">all </w:t>
      </w:r>
      <w:r>
        <w:rPr>
          <w:rFonts w:ascii="Times New Roman" w:hAnsi="Times New Roman"/>
          <w:sz w:val="22"/>
          <w:szCs w:val="22"/>
        </w:rPr>
        <w:t>its licensees</w:t>
      </w:r>
      <w:r w:rsidRPr="00707CAA">
        <w:rPr>
          <w:rFonts w:ascii="Times New Roman" w:hAnsi="Times New Roman"/>
          <w:sz w:val="22"/>
          <w:szCs w:val="22"/>
        </w:rPr>
        <w:t xml:space="preserve"> regardless of size.  </w:t>
      </w:r>
      <w:r>
        <w:rPr>
          <w:rFonts w:ascii="Times New Roman" w:hAnsi="Times New Roman"/>
          <w:sz w:val="22"/>
          <w:szCs w:val="22"/>
        </w:rPr>
        <w:t xml:space="preserve">To that </w:t>
      </w:r>
      <w:r w:rsidR="001E7826">
        <w:rPr>
          <w:rFonts w:ascii="Times New Roman" w:hAnsi="Times New Roman"/>
          <w:sz w:val="22"/>
          <w:szCs w:val="22"/>
        </w:rPr>
        <w:t>end, the information collection</w:t>
      </w:r>
      <w:r>
        <w:rPr>
          <w:rFonts w:ascii="Times New Roman" w:hAnsi="Times New Roman"/>
          <w:sz w:val="22"/>
          <w:szCs w:val="22"/>
        </w:rPr>
        <w:t xml:space="preserve"> detailed </w:t>
      </w:r>
      <w:r w:rsidR="00F21140">
        <w:rPr>
          <w:rFonts w:ascii="Times New Roman" w:hAnsi="Times New Roman"/>
          <w:sz w:val="22"/>
          <w:szCs w:val="22"/>
        </w:rPr>
        <w:t>in Section</w:t>
      </w:r>
      <w:r w:rsidR="0086772A">
        <w:rPr>
          <w:rFonts w:ascii="Times New Roman" w:hAnsi="Times New Roman"/>
          <w:sz w:val="22"/>
          <w:szCs w:val="22"/>
        </w:rPr>
        <w:t xml:space="preserve"> 90.25 </w:t>
      </w:r>
      <w:r>
        <w:rPr>
          <w:rFonts w:ascii="Times New Roman" w:hAnsi="Times New Roman"/>
          <w:sz w:val="22"/>
          <w:szCs w:val="22"/>
        </w:rPr>
        <w:t>appl</w:t>
      </w:r>
      <w:r w:rsidR="0086772A">
        <w:rPr>
          <w:rFonts w:ascii="Times New Roman" w:hAnsi="Times New Roman"/>
          <w:sz w:val="22"/>
          <w:szCs w:val="22"/>
        </w:rPr>
        <w:t xml:space="preserve">ies </w:t>
      </w:r>
      <w:r>
        <w:rPr>
          <w:rFonts w:ascii="Times New Roman" w:hAnsi="Times New Roman"/>
          <w:sz w:val="22"/>
          <w:szCs w:val="22"/>
        </w:rPr>
        <w:t xml:space="preserve">to the absolute minimum number of licensees necessary.  </w:t>
      </w:r>
    </w:p>
    <w:p w:rsidR="00C07F97" w:rsidP="00275AF4" w:rsidRDefault="00C07F97" w14:paraId="3BE02F91" w14:textId="77777777">
      <w:pPr>
        <w:widowControl/>
        <w:suppressAutoHyphens/>
        <w:rPr>
          <w:rFonts w:ascii="Times New Roman" w:hAnsi="Times New Roman"/>
          <w:sz w:val="22"/>
          <w:szCs w:val="22"/>
        </w:rPr>
      </w:pPr>
    </w:p>
    <w:p w:rsidR="00C51F66" w:rsidP="006F791E" w:rsidRDefault="00C07F97" w14:paraId="228DA651" w14:textId="5C6E8625">
      <w:pPr>
        <w:widowControl/>
        <w:suppressAutoHyphens/>
        <w:ind w:firstLine="360"/>
        <w:rPr>
          <w:rFonts w:ascii="Times New Roman" w:hAnsi="Times New Roman"/>
          <w:sz w:val="22"/>
          <w:szCs w:val="22"/>
        </w:rPr>
      </w:pPr>
      <w:r>
        <w:rPr>
          <w:rFonts w:ascii="Times New Roman" w:hAnsi="Times New Roman"/>
          <w:sz w:val="22"/>
          <w:szCs w:val="22"/>
        </w:rPr>
        <w:lastRenderedPageBreak/>
        <w:t xml:space="preserve">For instance, the requirement </w:t>
      </w:r>
      <w:r w:rsidR="00C51F66">
        <w:rPr>
          <w:rFonts w:ascii="Times New Roman" w:hAnsi="Times New Roman"/>
          <w:sz w:val="22"/>
          <w:szCs w:val="22"/>
        </w:rPr>
        <w:t xml:space="preserve">in  Section 90.25 </w:t>
      </w:r>
      <w:r>
        <w:rPr>
          <w:rFonts w:ascii="Times New Roman" w:hAnsi="Times New Roman"/>
          <w:sz w:val="22"/>
          <w:szCs w:val="22"/>
        </w:rPr>
        <w:t>for non-</w:t>
      </w:r>
      <w:r w:rsidR="00C51F66">
        <w:rPr>
          <w:rFonts w:ascii="Times New Roman" w:hAnsi="Times New Roman"/>
          <w:sz w:val="22"/>
          <w:szCs w:val="22"/>
        </w:rPr>
        <w:t>f</w:t>
      </w:r>
      <w:r>
        <w:rPr>
          <w:rFonts w:ascii="Times New Roman" w:hAnsi="Times New Roman"/>
          <w:sz w:val="22"/>
          <w:szCs w:val="22"/>
        </w:rPr>
        <w:t xml:space="preserve">ederal </w:t>
      </w:r>
      <w:r w:rsidR="00A323E1">
        <w:rPr>
          <w:rFonts w:ascii="Times New Roman" w:hAnsi="Times New Roman"/>
          <w:sz w:val="22"/>
          <w:szCs w:val="22"/>
        </w:rPr>
        <w:t xml:space="preserve">public safety </w:t>
      </w:r>
      <w:r w:rsidR="00C51F66">
        <w:rPr>
          <w:rFonts w:ascii="Times New Roman" w:hAnsi="Times New Roman"/>
          <w:sz w:val="22"/>
          <w:szCs w:val="22"/>
        </w:rPr>
        <w:t xml:space="preserve">entities to obtain </w:t>
      </w:r>
      <w:r>
        <w:rPr>
          <w:rFonts w:ascii="Times New Roman" w:hAnsi="Times New Roman"/>
          <w:sz w:val="22"/>
          <w:szCs w:val="22"/>
        </w:rPr>
        <w:t xml:space="preserve">written consent from </w:t>
      </w:r>
      <w:r w:rsidR="00C51F66">
        <w:rPr>
          <w:rFonts w:ascii="Times New Roman" w:hAnsi="Times New Roman"/>
          <w:sz w:val="22"/>
          <w:szCs w:val="22"/>
        </w:rPr>
        <w:t xml:space="preserve">its </w:t>
      </w:r>
      <w:r>
        <w:rPr>
          <w:rFonts w:ascii="Times New Roman" w:hAnsi="Times New Roman"/>
          <w:sz w:val="22"/>
          <w:szCs w:val="22"/>
        </w:rPr>
        <w:t xml:space="preserve">SWIC </w:t>
      </w:r>
      <w:r w:rsidR="00C51F66">
        <w:rPr>
          <w:rFonts w:ascii="Times New Roman" w:hAnsi="Times New Roman"/>
          <w:sz w:val="22"/>
          <w:szCs w:val="22"/>
        </w:rPr>
        <w:t xml:space="preserve">or </w:t>
      </w:r>
      <w:r w:rsidRPr="009B42DE" w:rsidR="00E00CA5">
        <w:rPr>
          <w:rFonts w:ascii="Times New Roman" w:hAnsi="Times New Roman"/>
          <w:sz w:val="22"/>
          <w:szCs w:val="22"/>
        </w:rPr>
        <w:t>state appointed official</w:t>
      </w:r>
      <w:r w:rsidR="00E00CA5">
        <w:rPr>
          <w:rFonts w:ascii="Times New Roman" w:hAnsi="Times New Roman"/>
          <w:sz w:val="22"/>
          <w:szCs w:val="22"/>
        </w:rPr>
        <w:t xml:space="preserve"> </w:t>
      </w:r>
      <w:r>
        <w:rPr>
          <w:rFonts w:ascii="Times New Roman" w:hAnsi="Times New Roman"/>
          <w:sz w:val="22"/>
          <w:szCs w:val="22"/>
        </w:rPr>
        <w:t xml:space="preserve">applies only if that </w:t>
      </w:r>
      <w:r w:rsidR="00C51F66">
        <w:rPr>
          <w:rFonts w:ascii="Times New Roman" w:hAnsi="Times New Roman"/>
          <w:sz w:val="22"/>
          <w:szCs w:val="22"/>
        </w:rPr>
        <w:t xml:space="preserve">entity </w:t>
      </w:r>
      <w:r>
        <w:rPr>
          <w:rFonts w:ascii="Times New Roman" w:hAnsi="Times New Roman"/>
          <w:sz w:val="22"/>
          <w:szCs w:val="22"/>
        </w:rPr>
        <w:t xml:space="preserve">seeks to communicate with </w:t>
      </w:r>
      <w:r w:rsidR="00C51F66">
        <w:rPr>
          <w:rFonts w:ascii="Times New Roman" w:hAnsi="Times New Roman"/>
          <w:sz w:val="22"/>
          <w:szCs w:val="22"/>
        </w:rPr>
        <w:t>f</w:t>
      </w:r>
      <w:r>
        <w:rPr>
          <w:rFonts w:ascii="Times New Roman" w:hAnsi="Times New Roman"/>
          <w:sz w:val="22"/>
          <w:szCs w:val="22"/>
        </w:rPr>
        <w:t xml:space="preserve">ederal </w:t>
      </w:r>
      <w:r w:rsidR="00C51F66">
        <w:rPr>
          <w:rFonts w:ascii="Times New Roman" w:hAnsi="Times New Roman"/>
          <w:sz w:val="22"/>
          <w:szCs w:val="22"/>
        </w:rPr>
        <w:t xml:space="preserve">agencies </w:t>
      </w:r>
      <w:r>
        <w:rPr>
          <w:rFonts w:ascii="Times New Roman" w:hAnsi="Times New Roman"/>
          <w:sz w:val="22"/>
          <w:szCs w:val="22"/>
        </w:rPr>
        <w:t xml:space="preserve">on </w:t>
      </w:r>
      <w:r w:rsidR="00C51F66">
        <w:rPr>
          <w:rFonts w:ascii="Times New Roman" w:hAnsi="Times New Roman"/>
          <w:sz w:val="22"/>
          <w:szCs w:val="22"/>
        </w:rPr>
        <w:t xml:space="preserve">the </w:t>
      </w:r>
      <w:r w:rsidR="00E00CA5">
        <w:rPr>
          <w:rFonts w:ascii="Times New Roman" w:hAnsi="Times New Roman"/>
          <w:sz w:val="22"/>
          <w:szCs w:val="22"/>
        </w:rPr>
        <w:t>F</w:t>
      </w:r>
      <w:r>
        <w:rPr>
          <w:rFonts w:ascii="Times New Roman" w:hAnsi="Times New Roman"/>
          <w:sz w:val="22"/>
          <w:szCs w:val="22"/>
        </w:rPr>
        <w:t xml:space="preserve">ederal </w:t>
      </w:r>
      <w:r w:rsidR="00E00CA5">
        <w:rPr>
          <w:rFonts w:ascii="Times New Roman" w:hAnsi="Times New Roman"/>
          <w:sz w:val="22"/>
          <w:szCs w:val="22"/>
        </w:rPr>
        <w:t>I</w:t>
      </w:r>
      <w:r>
        <w:rPr>
          <w:rFonts w:ascii="Times New Roman" w:hAnsi="Times New Roman"/>
          <w:sz w:val="22"/>
          <w:szCs w:val="22"/>
        </w:rPr>
        <w:t xml:space="preserve">nteroperability </w:t>
      </w:r>
      <w:r w:rsidR="00E00CA5">
        <w:rPr>
          <w:rFonts w:ascii="Times New Roman" w:hAnsi="Times New Roman"/>
          <w:sz w:val="22"/>
          <w:szCs w:val="22"/>
        </w:rPr>
        <w:t>C</w:t>
      </w:r>
      <w:r>
        <w:rPr>
          <w:rFonts w:ascii="Times New Roman" w:hAnsi="Times New Roman"/>
          <w:sz w:val="22"/>
          <w:szCs w:val="22"/>
        </w:rPr>
        <w:t xml:space="preserve">hannels during emergency events </w:t>
      </w:r>
      <w:r w:rsidR="0075062B">
        <w:rPr>
          <w:rFonts w:ascii="Times New Roman" w:hAnsi="Times New Roman"/>
          <w:sz w:val="22"/>
          <w:szCs w:val="22"/>
        </w:rPr>
        <w:t xml:space="preserve">or </w:t>
      </w:r>
      <w:r>
        <w:rPr>
          <w:rFonts w:ascii="Times New Roman" w:hAnsi="Times New Roman"/>
          <w:sz w:val="22"/>
          <w:szCs w:val="22"/>
        </w:rPr>
        <w:t>training</w:t>
      </w:r>
      <w:r w:rsidR="006F791E">
        <w:rPr>
          <w:rFonts w:ascii="Times New Roman" w:hAnsi="Times New Roman"/>
          <w:sz w:val="22"/>
          <w:szCs w:val="22"/>
        </w:rPr>
        <w:t xml:space="preserve"> exercises</w:t>
      </w:r>
      <w:r>
        <w:rPr>
          <w:rFonts w:ascii="Times New Roman" w:hAnsi="Times New Roman"/>
          <w:sz w:val="22"/>
          <w:szCs w:val="22"/>
        </w:rPr>
        <w:t xml:space="preserve">.  </w:t>
      </w:r>
    </w:p>
    <w:p w:rsidR="00C51F66" w:rsidP="006F791E" w:rsidRDefault="00C51F66" w14:paraId="2F3246B2" w14:textId="77777777">
      <w:pPr>
        <w:widowControl/>
        <w:suppressAutoHyphens/>
        <w:ind w:firstLine="360"/>
        <w:rPr>
          <w:rFonts w:ascii="Times New Roman" w:hAnsi="Times New Roman"/>
          <w:sz w:val="22"/>
          <w:szCs w:val="22"/>
        </w:rPr>
      </w:pPr>
    </w:p>
    <w:p w:rsidR="00E971B9" w:rsidP="006F791E" w:rsidRDefault="00C51F66" w14:paraId="36CEE944" w14:textId="44EE6CCF">
      <w:pPr>
        <w:widowControl/>
        <w:suppressAutoHyphens/>
        <w:ind w:firstLine="360"/>
        <w:rPr>
          <w:rFonts w:ascii="Times New Roman" w:hAnsi="Times New Roman"/>
          <w:sz w:val="22"/>
          <w:szCs w:val="22"/>
        </w:rPr>
      </w:pPr>
      <w:r>
        <w:rPr>
          <w:rFonts w:ascii="Times New Roman" w:hAnsi="Times New Roman"/>
          <w:sz w:val="22"/>
          <w:szCs w:val="22"/>
        </w:rPr>
        <w:t xml:space="preserve">Furthermore, the process detailed </w:t>
      </w:r>
      <w:r w:rsidR="00F21140">
        <w:rPr>
          <w:rFonts w:ascii="Times New Roman" w:hAnsi="Times New Roman"/>
          <w:sz w:val="22"/>
          <w:szCs w:val="22"/>
        </w:rPr>
        <w:t>in Section</w:t>
      </w:r>
      <w:r>
        <w:rPr>
          <w:rFonts w:ascii="Times New Roman" w:hAnsi="Times New Roman"/>
          <w:sz w:val="22"/>
          <w:szCs w:val="22"/>
        </w:rPr>
        <w:t xml:space="preserve"> 90.25 </w:t>
      </w:r>
      <w:r w:rsidR="00C07F97">
        <w:rPr>
          <w:rFonts w:ascii="Times New Roman" w:hAnsi="Times New Roman"/>
          <w:sz w:val="22"/>
          <w:szCs w:val="22"/>
        </w:rPr>
        <w:t>streamline</w:t>
      </w:r>
      <w:r>
        <w:rPr>
          <w:rFonts w:ascii="Times New Roman" w:hAnsi="Times New Roman"/>
          <w:sz w:val="22"/>
          <w:szCs w:val="22"/>
        </w:rPr>
        <w:t xml:space="preserve">s the previous </w:t>
      </w:r>
      <w:r w:rsidR="00C07F97">
        <w:rPr>
          <w:rFonts w:ascii="Times New Roman" w:hAnsi="Times New Roman"/>
          <w:sz w:val="22"/>
          <w:szCs w:val="22"/>
        </w:rPr>
        <w:t xml:space="preserve">licensing process </w:t>
      </w:r>
      <w:r>
        <w:rPr>
          <w:rFonts w:ascii="Times New Roman" w:hAnsi="Times New Roman"/>
          <w:sz w:val="22"/>
          <w:szCs w:val="22"/>
        </w:rPr>
        <w:t xml:space="preserve">established by </w:t>
      </w:r>
      <w:r w:rsidR="00C07F97">
        <w:rPr>
          <w:rFonts w:ascii="Times New Roman" w:hAnsi="Times New Roman"/>
          <w:sz w:val="22"/>
          <w:szCs w:val="22"/>
        </w:rPr>
        <w:t xml:space="preserve">NTIA </w:t>
      </w:r>
      <w:r>
        <w:rPr>
          <w:rFonts w:ascii="Times New Roman" w:hAnsi="Times New Roman"/>
          <w:sz w:val="22"/>
          <w:szCs w:val="22"/>
        </w:rPr>
        <w:t xml:space="preserve">for non-federal public safety entities to license the </w:t>
      </w:r>
      <w:r w:rsidR="00E00CA5">
        <w:rPr>
          <w:rFonts w:ascii="Times New Roman" w:hAnsi="Times New Roman"/>
          <w:sz w:val="22"/>
          <w:szCs w:val="22"/>
        </w:rPr>
        <w:t>F</w:t>
      </w:r>
      <w:r>
        <w:rPr>
          <w:rFonts w:ascii="Times New Roman" w:hAnsi="Times New Roman"/>
          <w:sz w:val="22"/>
          <w:szCs w:val="22"/>
        </w:rPr>
        <w:t xml:space="preserve">ederal </w:t>
      </w:r>
      <w:r w:rsidR="00E00CA5">
        <w:rPr>
          <w:rFonts w:ascii="Times New Roman" w:hAnsi="Times New Roman"/>
          <w:sz w:val="22"/>
          <w:szCs w:val="22"/>
        </w:rPr>
        <w:t>I</w:t>
      </w:r>
      <w:r>
        <w:rPr>
          <w:rFonts w:ascii="Times New Roman" w:hAnsi="Times New Roman"/>
          <w:sz w:val="22"/>
          <w:szCs w:val="22"/>
        </w:rPr>
        <w:t xml:space="preserve">nteroperability </w:t>
      </w:r>
      <w:r w:rsidR="00E00CA5">
        <w:rPr>
          <w:rFonts w:ascii="Times New Roman" w:hAnsi="Times New Roman"/>
          <w:sz w:val="22"/>
          <w:szCs w:val="22"/>
        </w:rPr>
        <w:t>C</w:t>
      </w:r>
      <w:r>
        <w:rPr>
          <w:rFonts w:ascii="Times New Roman" w:hAnsi="Times New Roman"/>
          <w:sz w:val="22"/>
          <w:szCs w:val="22"/>
        </w:rPr>
        <w:t xml:space="preserve">hannels.  As noted above, </w:t>
      </w:r>
      <w:r w:rsidRPr="00900C5B" w:rsidR="00E971B9">
        <w:rPr>
          <w:rFonts w:ascii="Times New Roman" w:hAnsi="Times New Roman"/>
          <w:sz w:val="22"/>
          <w:szCs w:val="22"/>
        </w:rPr>
        <w:t xml:space="preserve">non-federal public safety entities </w:t>
      </w:r>
      <w:r w:rsidR="00E971B9">
        <w:rPr>
          <w:rFonts w:ascii="Times New Roman" w:hAnsi="Times New Roman"/>
          <w:sz w:val="22"/>
          <w:szCs w:val="22"/>
        </w:rPr>
        <w:t xml:space="preserve">no longer need </w:t>
      </w:r>
      <w:r w:rsidRPr="00900C5B" w:rsidR="00E971B9">
        <w:rPr>
          <w:rFonts w:ascii="Times New Roman" w:hAnsi="Times New Roman"/>
          <w:sz w:val="22"/>
          <w:szCs w:val="22"/>
        </w:rPr>
        <w:t>to obtain written certification from a</w:t>
      </w:r>
      <w:r w:rsidR="006875C7">
        <w:rPr>
          <w:rFonts w:ascii="Times New Roman" w:hAnsi="Times New Roman"/>
          <w:sz w:val="22"/>
          <w:szCs w:val="22"/>
        </w:rPr>
        <w:t>n</w:t>
      </w:r>
      <w:r w:rsidRPr="00900C5B" w:rsidR="00E971B9">
        <w:rPr>
          <w:rFonts w:ascii="Times New Roman" w:hAnsi="Times New Roman"/>
          <w:sz w:val="22"/>
          <w:szCs w:val="22"/>
        </w:rPr>
        <w:t xml:space="preserve"> </w:t>
      </w:r>
      <w:r w:rsidR="006875C7">
        <w:rPr>
          <w:rFonts w:ascii="Times New Roman" w:hAnsi="Times New Roman"/>
          <w:sz w:val="22"/>
          <w:szCs w:val="22"/>
        </w:rPr>
        <w:t xml:space="preserve">individual </w:t>
      </w:r>
      <w:r w:rsidRPr="00900C5B" w:rsidR="00E971B9">
        <w:rPr>
          <w:rFonts w:ascii="Times New Roman" w:hAnsi="Times New Roman"/>
          <w:sz w:val="22"/>
          <w:szCs w:val="22"/>
        </w:rPr>
        <w:t xml:space="preserve">federal government agency </w:t>
      </w:r>
      <w:r w:rsidR="00E971B9">
        <w:rPr>
          <w:rFonts w:ascii="Times New Roman" w:hAnsi="Times New Roman"/>
          <w:sz w:val="22"/>
          <w:szCs w:val="22"/>
        </w:rPr>
        <w:t>with which they would interoperate with during an emergency</w:t>
      </w:r>
      <w:r w:rsidR="006875C7">
        <w:rPr>
          <w:rFonts w:ascii="Times New Roman" w:hAnsi="Times New Roman"/>
          <w:sz w:val="22"/>
          <w:szCs w:val="22"/>
        </w:rPr>
        <w:t xml:space="preserve">.  In addition, </w:t>
      </w:r>
      <w:r w:rsidRPr="00900C5B" w:rsidR="00E971B9">
        <w:rPr>
          <w:rFonts w:ascii="Times New Roman" w:hAnsi="Times New Roman"/>
          <w:sz w:val="22"/>
          <w:szCs w:val="22"/>
        </w:rPr>
        <w:t xml:space="preserve">the Commission </w:t>
      </w:r>
      <w:r w:rsidR="00E971B9">
        <w:rPr>
          <w:rFonts w:ascii="Times New Roman" w:hAnsi="Times New Roman"/>
          <w:sz w:val="22"/>
          <w:szCs w:val="22"/>
        </w:rPr>
        <w:t xml:space="preserve">no longer needs to </w:t>
      </w:r>
      <w:r w:rsidRPr="00900C5B" w:rsidR="00E971B9">
        <w:rPr>
          <w:rFonts w:ascii="Times New Roman" w:hAnsi="Times New Roman"/>
          <w:sz w:val="22"/>
          <w:szCs w:val="22"/>
        </w:rPr>
        <w:t xml:space="preserve">refer applications for the </w:t>
      </w:r>
      <w:r w:rsidR="00E00CA5">
        <w:rPr>
          <w:rFonts w:ascii="Times New Roman" w:hAnsi="Times New Roman"/>
          <w:sz w:val="22"/>
          <w:szCs w:val="22"/>
        </w:rPr>
        <w:t>F</w:t>
      </w:r>
      <w:r w:rsidRPr="00900C5B" w:rsidR="00E971B9">
        <w:rPr>
          <w:rFonts w:ascii="Times New Roman" w:hAnsi="Times New Roman"/>
          <w:sz w:val="22"/>
          <w:szCs w:val="22"/>
        </w:rPr>
        <w:t xml:space="preserve">ederal </w:t>
      </w:r>
      <w:r w:rsidR="00E00CA5">
        <w:rPr>
          <w:rFonts w:ascii="Times New Roman" w:hAnsi="Times New Roman"/>
          <w:sz w:val="22"/>
          <w:szCs w:val="22"/>
        </w:rPr>
        <w:t>I</w:t>
      </w:r>
      <w:r w:rsidRPr="00900C5B" w:rsidR="00E971B9">
        <w:rPr>
          <w:rFonts w:ascii="Times New Roman" w:hAnsi="Times New Roman"/>
          <w:sz w:val="22"/>
          <w:szCs w:val="22"/>
        </w:rPr>
        <w:t xml:space="preserve">nteroperability </w:t>
      </w:r>
      <w:r w:rsidR="00E00CA5">
        <w:rPr>
          <w:rFonts w:ascii="Times New Roman" w:hAnsi="Times New Roman"/>
          <w:sz w:val="22"/>
          <w:szCs w:val="22"/>
        </w:rPr>
        <w:t>C</w:t>
      </w:r>
      <w:r w:rsidRPr="00900C5B" w:rsidR="00E971B9">
        <w:rPr>
          <w:rFonts w:ascii="Times New Roman" w:hAnsi="Times New Roman"/>
          <w:sz w:val="22"/>
          <w:szCs w:val="22"/>
        </w:rPr>
        <w:t xml:space="preserve">hannels to </w:t>
      </w:r>
      <w:r w:rsidRPr="009B42DE" w:rsidR="00E00CA5">
        <w:rPr>
          <w:rFonts w:ascii="Times New Roman" w:hAnsi="Times New Roman"/>
          <w:sz w:val="22"/>
          <w:szCs w:val="22"/>
        </w:rPr>
        <w:t>NTIA for coordination with the IRAC’s Frequency Assignment Subcommittee (FAS)</w:t>
      </w:r>
      <w:r w:rsidRPr="00900C5B" w:rsidR="00E971B9">
        <w:rPr>
          <w:rFonts w:ascii="Times New Roman" w:hAnsi="Times New Roman"/>
          <w:sz w:val="22"/>
          <w:szCs w:val="22"/>
        </w:rPr>
        <w:t>.</w:t>
      </w:r>
      <w:r w:rsidR="00C07F97">
        <w:rPr>
          <w:rFonts w:ascii="Times New Roman" w:hAnsi="Times New Roman"/>
          <w:sz w:val="22"/>
          <w:szCs w:val="22"/>
        </w:rPr>
        <w:t xml:space="preserve">  </w:t>
      </w:r>
    </w:p>
    <w:p w:rsidR="00E971B9" w:rsidP="006F791E" w:rsidRDefault="00E971B9" w14:paraId="3AD79DEF" w14:textId="77777777">
      <w:pPr>
        <w:widowControl/>
        <w:suppressAutoHyphens/>
        <w:ind w:firstLine="360"/>
        <w:rPr>
          <w:rFonts w:ascii="Times New Roman" w:hAnsi="Times New Roman"/>
          <w:sz w:val="22"/>
          <w:szCs w:val="22"/>
        </w:rPr>
      </w:pPr>
    </w:p>
    <w:p w:rsidR="00C07F97" w:rsidP="006F791E" w:rsidRDefault="00BF5F26" w14:paraId="7CD2B78E" w14:textId="5F44949F">
      <w:pPr>
        <w:widowControl/>
        <w:suppressAutoHyphens/>
        <w:ind w:firstLine="360"/>
        <w:rPr>
          <w:rFonts w:ascii="Times New Roman" w:hAnsi="Times New Roman"/>
          <w:sz w:val="22"/>
          <w:szCs w:val="22"/>
        </w:rPr>
      </w:pPr>
      <w:r>
        <w:rPr>
          <w:rFonts w:ascii="Times New Roman" w:hAnsi="Times New Roman"/>
          <w:sz w:val="22"/>
          <w:szCs w:val="22"/>
        </w:rPr>
        <w:t>Thus, th</w:t>
      </w:r>
      <w:r w:rsidR="006875C7">
        <w:rPr>
          <w:rFonts w:ascii="Times New Roman" w:hAnsi="Times New Roman"/>
          <w:sz w:val="22"/>
          <w:szCs w:val="22"/>
        </w:rPr>
        <w:t xml:space="preserve">e </w:t>
      </w:r>
      <w:r>
        <w:rPr>
          <w:rFonts w:ascii="Times New Roman" w:hAnsi="Times New Roman"/>
          <w:sz w:val="22"/>
          <w:szCs w:val="22"/>
        </w:rPr>
        <w:t xml:space="preserve">information collection </w:t>
      </w:r>
      <w:r w:rsidR="006875C7">
        <w:rPr>
          <w:rFonts w:ascii="Times New Roman" w:hAnsi="Times New Roman"/>
          <w:sz w:val="22"/>
          <w:szCs w:val="22"/>
        </w:rPr>
        <w:t xml:space="preserve">requirement </w:t>
      </w:r>
      <w:r w:rsidR="00E971B9">
        <w:rPr>
          <w:rFonts w:ascii="Times New Roman" w:hAnsi="Times New Roman"/>
          <w:sz w:val="22"/>
          <w:szCs w:val="22"/>
        </w:rPr>
        <w:t xml:space="preserve">specified </w:t>
      </w:r>
      <w:r w:rsidR="00F21140">
        <w:rPr>
          <w:rFonts w:ascii="Times New Roman" w:hAnsi="Times New Roman"/>
          <w:sz w:val="22"/>
          <w:szCs w:val="22"/>
        </w:rPr>
        <w:t>in Section</w:t>
      </w:r>
      <w:r w:rsidR="00E971B9">
        <w:rPr>
          <w:rFonts w:ascii="Times New Roman" w:hAnsi="Times New Roman"/>
          <w:sz w:val="22"/>
          <w:szCs w:val="22"/>
        </w:rPr>
        <w:t xml:space="preserve"> 90.25 </w:t>
      </w:r>
      <w:r>
        <w:rPr>
          <w:rFonts w:ascii="Times New Roman" w:hAnsi="Times New Roman"/>
          <w:sz w:val="22"/>
          <w:szCs w:val="22"/>
        </w:rPr>
        <w:t>reduces existing burdens on small governmental entities</w:t>
      </w:r>
      <w:r w:rsidR="006875C7">
        <w:rPr>
          <w:rFonts w:ascii="Times New Roman" w:hAnsi="Times New Roman"/>
          <w:sz w:val="22"/>
          <w:szCs w:val="22"/>
        </w:rPr>
        <w:t xml:space="preserve"> since non-federal public safety entities will now have one</w:t>
      </w:r>
      <w:r w:rsidR="00E971B9">
        <w:rPr>
          <w:rFonts w:ascii="Times New Roman" w:hAnsi="Times New Roman"/>
          <w:sz w:val="22"/>
          <w:szCs w:val="22"/>
        </w:rPr>
        <w:t xml:space="preserve"> </w:t>
      </w:r>
      <w:r w:rsidR="006875C7">
        <w:rPr>
          <w:rFonts w:ascii="Times New Roman" w:hAnsi="Times New Roman"/>
          <w:sz w:val="22"/>
          <w:szCs w:val="22"/>
        </w:rPr>
        <w:t xml:space="preserve">point of contact in their state for access to the </w:t>
      </w:r>
      <w:r w:rsidR="00E00CA5">
        <w:rPr>
          <w:rFonts w:ascii="Times New Roman" w:hAnsi="Times New Roman"/>
          <w:sz w:val="22"/>
          <w:szCs w:val="22"/>
        </w:rPr>
        <w:t>F</w:t>
      </w:r>
      <w:r w:rsidR="006875C7">
        <w:rPr>
          <w:rFonts w:ascii="Times New Roman" w:hAnsi="Times New Roman"/>
          <w:sz w:val="22"/>
          <w:szCs w:val="22"/>
        </w:rPr>
        <w:t xml:space="preserve">ederal </w:t>
      </w:r>
      <w:r w:rsidR="00E00CA5">
        <w:rPr>
          <w:rFonts w:ascii="Times New Roman" w:hAnsi="Times New Roman"/>
          <w:sz w:val="22"/>
          <w:szCs w:val="22"/>
        </w:rPr>
        <w:t>I</w:t>
      </w:r>
      <w:r w:rsidR="006875C7">
        <w:rPr>
          <w:rFonts w:ascii="Times New Roman" w:hAnsi="Times New Roman"/>
          <w:sz w:val="22"/>
          <w:szCs w:val="22"/>
        </w:rPr>
        <w:t xml:space="preserve">nteroperability </w:t>
      </w:r>
      <w:r w:rsidR="00E00CA5">
        <w:rPr>
          <w:rFonts w:ascii="Times New Roman" w:hAnsi="Times New Roman"/>
          <w:sz w:val="22"/>
          <w:szCs w:val="22"/>
        </w:rPr>
        <w:t>C</w:t>
      </w:r>
      <w:r w:rsidR="006875C7">
        <w:rPr>
          <w:rFonts w:ascii="Times New Roman" w:hAnsi="Times New Roman"/>
          <w:sz w:val="22"/>
          <w:szCs w:val="22"/>
        </w:rPr>
        <w:t xml:space="preserve">hannels.  In addition, the new streamlined process specified </w:t>
      </w:r>
      <w:r w:rsidR="00F21140">
        <w:rPr>
          <w:rFonts w:ascii="Times New Roman" w:hAnsi="Times New Roman"/>
          <w:sz w:val="22"/>
          <w:szCs w:val="22"/>
        </w:rPr>
        <w:t>in Section</w:t>
      </w:r>
      <w:r w:rsidR="006875C7">
        <w:rPr>
          <w:rFonts w:ascii="Times New Roman" w:hAnsi="Times New Roman"/>
          <w:sz w:val="22"/>
          <w:szCs w:val="22"/>
        </w:rPr>
        <w:t xml:space="preserve"> 90.25 </w:t>
      </w:r>
      <w:r w:rsidR="00E971B9">
        <w:rPr>
          <w:rFonts w:ascii="Times New Roman" w:hAnsi="Times New Roman"/>
          <w:sz w:val="22"/>
          <w:szCs w:val="22"/>
        </w:rPr>
        <w:t xml:space="preserve">reduces the time the Bureau </w:t>
      </w:r>
      <w:r w:rsidR="006875C7">
        <w:rPr>
          <w:rFonts w:ascii="Times New Roman" w:hAnsi="Times New Roman"/>
          <w:sz w:val="22"/>
          <w:szCs w:val="22"/>
        </w:rPr>
        <w:t xml:space="preserve">needs </w:t>
      </w:r>
      <w:r w:rsidR="00C427C4">
        <w:rPr>
          <w:rFonts w:ascii="Times New Roman" w:hAnsi="Times New Roman"/>
          <w:sz w:val="22"/>
          <w:szCs w:val="22"/>
        </w:rPr>
        <w:t xml:space="preserve">to </w:t>
      </w:r>
      <w:r w:rsidR="00E971B9">
        <w:rPr>
          <w:rFonts w:ascii="Times New Roman" w:hAnsi="Times New Roman"/>
          <w:sz w:val="22"/>
          <w:szCs w:val="22"/>
        </w:rPr>
        <w:t xml:space="preserve">process license applications for the </w:t>
      </w:r>
      <w:r w:rsidR="00E00CA5">
        <w:rPr>
          <w:rFonts w:ascii="Times New Roman" w:hAnsi="Times New Roman"/>
          <w:sz w:val="22"/>
          <w:szCs w:val="22"/>
        </w:rPr>
        <w:t>F</w:t>
      </w:r>
      <w:r w:rsidR="00E971B9">
        <w:rPr>
          <w:rFonts w:ascii="Times New Roman" w:hAnsi="Times New Roman"/>
          <w:sz w:val="22"/>
          <w:szCs w:val="22"/>
        </w:rPr>
        <w:t xml:space="preserve">ederal </w:t>
      </w:r>
      <w:r w:rsidR="00E00CA5">
        <w:rPr>
          <w:rFonts w:ascii="Times New Roman" w:hAnsi="Times New Roman"/>
          <w:sz w:val="22"/>
          <w:szCs w:val="22"/>
        </w:rPr>
        <w:t>I</w:t>
      </w:r>
      <w:r w:rsidR="00E971B9">
        <w:rPr>
          <w:rFonts w:ascii="Times New Roman" w:hAnsi="Times New Roman"/>
          <w:sz w:val="22"/>
          <w:szCs w:val="22"/>
        </w:rPr>
        <w:t xml:space="preserve">nteroperability </w:t>
      </w:r>
      <w:r w:rsidR="00E00CA5">
        <w:rPr>
          <w:rFonts w:ascii="Times New Roman" w:hAnsi="Times New Roman"/>
          <w:sz w:val="22"/>
          <w:szCs w:val="22"/>
        </w:rPr>
        <w:t>C</w:t>
      </w:r>
      <w:r w:rsidR="00E971B9">
        <w:rPr>
          <w:rFonts w:ascii="Times New Roman" w:hAnsi="Times New Roman"/>
          <w:sz w:val="22"/>
          <w:szCs w:val="22"/>
        </w:rPr>
        <w:t xml:space="preserve">hannels.  </w:t>
      </w:r>
    </w:p>
    <w:p w:rsidR="00511FD4" w:rsidP="00275AF4" w:rsidRDefault="00511FD4" w14:paraId="3AD8CBB5" w14:textId="77777777">
      <w:pPr>
        <w:widowControl/>
        <w:suppressAutoHyphens/>
        <w:rPr>
          <w:rFonts w:ascii="Times New Roman" w:hAnsi="Times New Roman"/>
          <w:sz w:val="22"/>
          <w:szCs w:val="22"/>
        </w:rPr>
      </w:pPr>
    </w:p>
    <w:p w:rsidRPr="00AA6B08" w:rsidR="00AE1FB0" w:rsidP="00275AF4" w:rsidRDefault="00AA6B08" w14:paraId="2A0BA1D1" w14:textId="77777777">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P="00275AF4" w:rsidRDefault="00AE1FB0" w14:paraId="1B4B9835" w14:textId="77777777">
      <w:pPr>
        <w:widowControl/>
        <w:suppressAutoHyphens/>
        <w:rPr>
          <w:rFonts w:ascii="Times New Roman" w:hAnsi="Times New Roman"/>
          <w:sz w:val="22"/>
          <w:szCs w:val="22"/>
        </w:rPr>
      </w:pPr>
    </w:p>
    <w:p w:rsidR="000F4389" w:rsidP="006F791E" w:rsidRDefault="000F4389" w14:paraId="3E1AF575" w14:textId="77777777">
      <w:pPr>
        <w:widowControl/>
        <w:suppressAutoHyphens/>
        <w:ind w:firstLine="360"/>
        <w:rPr>
          <w:rFonts w:ascii="Times New Roman" w:hAnsi="Times New Roman"/>
          <w:snapToGrid/>
          <w:sz w:val="22"/>
          <w:szCs w:val="22"/>
        </w:rPr>
      </w:pPr>
      <w:r>
        <w:rPr>
          <w:rFonts w:ascii="Times New Roman" w:hAnsi="Times New Roman"/>
          <w:sz w:val="22"/>
          <w:szCs w:val="22"/>
        </w:rPr>
        <w:t xml:space="preserve">A consequence of a </w:t>
      </w:r>
      <w:r w:rsidR="00551715">
        <w:rPr>
          <w:rFonts w:ascii="Times New Roman" w:hAnsi="Times New Roman"/>
          <w:sz w:val="22"/>
          <w:szCs w:val="22"/>
        </w:rPr>
        <w:t xml:space="preserve">non-federal public safety entity </w:t>
      </w:r>
      <w:r>
        <w:rPr>
          <w:rFonts w:ascii="Times New Roman" w:hAnsi="Times New Roman"/>
          <w:sz w:val="22"/>
          <w:szCs w:val="22"/>
        </w:rPr>
        <w:t xml:space="preserve">communicating on </w:t>
      </w:r>
      <w:r w:rsidR="00551715">
        <w:rPr>
          <w:rFonts w:ascii="Times New Roman" w:hAnsi="Times New Roman"/>
          <w:sz w:val="22"/>
          <w:szCs w:val="22"/>
        </w:rPr>
        <w:t xml:space="preserve">a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 without first seeking written approval from </w:t>
      </w:r>
      <w:r w:rsidR="00B438A7">
        <w:rPr>
          <w:rFonts w:ascii="Times New Roman" w:hAnsi="Times New Roman"/>
          <w:sz w:val="22"/>
          <w:szCs w:val="22"/>
        </w:rPr>
        <w:t xml:space="preserve">the </w:t>
      </w:r>
      <w:r>
        <w:rPr>
          <w:rFonts w:ascii="Times New Roman" w:hAnsi="Times New Roman"/>
          <w:sz w:val="22"/>
          <w:szCs w:val="22"/>
        </w:rPr>
        <w:t xml:space="preserve">SWIC </w:t>
      </w:r>
      <w:r w:rsidR="00B438A7">
        <w:rPr>
          <w:rFonts w:ascii="Times New Roman" w:hAnsi="Times New Roman"/>
          <w:sz w:val="22"/>
          <w:szCs w:val="22"/>
        </w:rPr>
        <w:t xml:space="preserve">or </w:t>
      </w:r>
      <w:r w:rsidRPr="009B42DE" w:rsidR="00BD1ECA">
        <w:rPr>
          <w:rFonts w:ascii="Times New Roman" w:hAnsi="Times New Roman"/>
          <w:sz w:val="22"/>
          <w:szCs w:val="22"/>
        </w:rPr>
        <w:t>state appointed official</w:t>
      </w:r>
      <w:r w:rsidR="00B438A7">
        <w:rPr>
          <w:rFonts w:ascii="Times New Roman" w:hAnsi="Times New Roman"/>
          <w:sz w:val="22"/>
          <w:szCs w:val="22"/>
        </w:rPr>
        <w:t xml:space="preserve"> </w:t>
      </w:r>
      <w:r>
        <w:rPr>
          <w:rFonts w:ascii="Times New Roman" w:hAnsi="Times New Roman"/>
          <w:sz w:val="22"/>
          <w:szCs w:val="22"/>
        </w:rPr>
        <w:t>is that the unauthorized communication could cause interference or confusion during an emergency event</w:t>
      </w:r>
      <w:r w:rsidR="00BF5F26">
        <w:rPr>
          <w:rFonts w:ascii="Times New Roman" w:hAnsi="Times New Roman"/>
          <w:sz w:val="22"/>
          <w:szCs w:val="22"/>
        </w:rPr>
        <w:t xml:space="preserve"> or violate NTIA rules</w:t>
      </w:r>
      <w:r>
        <w:rPr>
          <w:rFonts w:ascii="Times New Roman" w:hAnsi="Times New Roman"/>
          <w:sz w:val="22"/>
          <w:szCs w:val="22"/>
        </w:rPr>
        <w:t>.</w:t>
      </w:r>
    </w:p>
    <w:p w:rsidR="000F4389" w:rsidP="000F4389" w:rsidRDefault="000F4389" w14:paraId="2B4758EE" w14:textId="77777777">
      <w:pPr>
        <w:widowControl/>
        <w:suppressAutoHyphens/>
        <w:rPr>
          <w:rFonts w:ascii="Times New Roman" w:hAnsi="Times New Roman"/>
          <w:sz w:val="22"/>
          <w:szCs w:val="22"/>
        </w:rPr>
      </w:pPr>
    </w:p>
    <w:p w:rsidR="000F4389" w:rsidP="006F791E" w:rsidRDefault="000F4389" w14:paraId="6B2B6A9D" w14:textId="77777777">
      <w:pPr>
        <w:widowControl/>
        <w:suppressAutoHyphens/>
        <w:ind w:firstLine="360"/>
        <w:rPr>
          <w:rFonts w:ascii="Times New Roman" w:hAnsi="Times New Roman"/>
          <w:sz w:val="22"/>
          <w:szCs w:val="22"/>
        </w:rPr>
      </w:pPr>
      <w:r>
        <w:rPr>
          <w:rFonts w:ascii="Times New Roman" w:hAnsi="Times New Roman"/>
          <w:sz w:val="22"/>
          <w:szCs w:val="22"/>
        </w:rPr>
        <w:t xml:space="preserve">As noted above, </w:t>
      </w:r>
      <w:r w:rsidR="00551715">
        <w:rPr>
          <w:rFonts w:ascii="Times New Roman" w:hAnsi="Times New Roman"/>
          <w:sz w:val="22"/>
          <w:szCs w:val="22"/>
        </w:rPr>
        <w:t xml:space="preserve">requiring applicants seeking to license the </w:t>
      </w:r>
      <w:r w:rsidR="00BD1ECA">
        <w:rPr>
          <w:rFonts w:ascii="Times New Roman" w:hAnsi="Times New Roman"/>
          <w:sz w:val="22"/>
          <w:szCs w:val="22"/>
        </w:rPr>
        <w:t>F</w:t>
      </w:r>
      <w:r w:rsidR="00551715">
        <w:rPr>
          <w:rFonts w:ascii="Times New Roman" w:hAnsi="Times New Roman"/>
          <w:sz w:val="22"/>
          <w:szCs w:val="22"/>
        </w:rPr>
        <w:t xml:space="preserve">ederal </w:t>
      </w:r>
      <w:r w:rsidR="00BD1ECA">
        <w:rPr>
          <w:rFonts w:ascii="Times New Roman" w:hAnsi="Times New Roman"/>
          <w:sz w:val="22"/>
          <w:szCs w:val="22"/>
        </w:rPr>
        <w:t>I</w:t>
      </w:r>
      <w:r w:rsidR="00551715">
        <w:rPr>
          <w:rFonts w:ascii="Times New Roman" w:hAnsi="Times New Roman"/>
          <w:sz w:val="22"/>
          <w:szCs w:val="22"/>
        </w:rPr>
        <w:t xml:space="preserve">nteroperability </w:t>
      </w:r>
      <w:r w:rsidR="00BD1ECA">
        <w:rPr>
          <w:rFonts w:ascii="Times New Roman" w:hAnsi="Times New Roman"/>
          <w:sz w:val="22"/>
          <w:szCs w:val="22"/>
        </w:rPr>
        <w:t>C</w:t>
      </w:r>
      <w:r w:rsidR="00551715">
        <w:rPr>
          <w:rFonts w:ascii="Times New Roman" w:hAnsi="Times New Roman"/>
          <w:sz w:val="22"/>
          <w:szCs w:val="22"/>
        </w:rPr>
        <w:t xml:space="preserve">hannels to first obtain written consent from its </w:t>
      </w:r>
      <w:r>
        <w:rPr>
          <w:rFonts w:ascii="Times New Roman" w:hAnsi="Times New Roman"/>
          <w:sz w:val="22"/>
          <w:szCs w:val="22"/>
        </w:rPr>
        <w:t>SWIC</w:t>
      </w:r>
      <w:r w:rsidR="00BD1ECA">
        <w:rPr>
          <w:rFonts w:ascii="Times New Roman" w:hAnsi="Times New Roman"/>
          <w:sz w:val="22"/>
          <w:szCs w:val="22"/>
        </w:rPr>
        <w:t xml:space="preserve">/official </w:t>
      </w:r>
      <w:r>
        <w:rPr>
          <w:rFonts w:ascii="Times New Roman" w:hAnsi="Times New Roman"/>
          <w:sz w:val="22"/>
          <w:szCs w:val="22"/>
        </w:rPr>
        <w:t>ensures that the non-</w:t>
      </w:r>
      <w:r w:rsidR="00551715">
        <w:rPr>
          <w:rFonts w:ascii="Times New Roman" w:hAnsi="Times New Roman"/>
          <w:sz w:val="22"/>
          <w:szCs w:val="22"/>
        </w:rPr>
        <w:t>f</w:t>
      </w:r>
      <w:r>
        <w:rPr>
          <w:rFonts w:ascii="Times New Roman" w:hAnsi="Times New Roman"/>
          <w:sz w:val="22"/>
          <w:szCs w:val="22"/>
        </w:rPr>
        <w:t xml:space="preserve">ederal </w:t>
      </w:r>
      <w:r w:rsidR="00551715">
        <w:rPr>
          <w:rFonts w:ascii="Times New Roman" w:hAnsi="Times New Roman"/>
          <w:sz w:val="22"/>
          <w:szCs w:val="22"/>
        </w:rPr>
        <w:t xml:space="preserve">entity </w:t>
      </w:r>
      <w:r>
        <w:rPr>
          <w:rFonts w:ascii="Times New Roman" w:hAnsi="Times New Roman"/>
          <w:sz w:val="22"/>
          <w:szCs w:val="22"/>
        </w:rPr>
        <w:t>understand</w:t>
      </w:r>
      <w:r w:rsidR="00551715">
        <w:rPr>
          <w:rFonts w:ascii="Times New Roman" w:hAnsi="Times New Roman"/>
          <w:sz w:val="22"/>
          <w:szCs w:val="22"/>
        </w:rPr>
        <w:t>s</w:t>
      </w:r>
      <w:r>
        <w:rPr>
          <w:rFonts w:ascii="Times New Roman" w:hAnsi="Times New Roman"/>
          <w:sz w:val="22"/>
          <w:szCs w:val="22"/>
        </w:rPr>
        <w:t xml:space="preserve"> the procedures and protocols for communicating on the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hannels during emergency response.  </w:t>
      </w:r>
    </w:p>
    <w:p w:rsidR="000F4389" w:rsidP="000F4389" w:rsidRDefault="000F4389" w14:paraId="7BA60629" w14:textId="77777777">
      <w:pPr>
        <w:widowControl/>
        <w:suppressAutoHyphens/>
        <w:rPr>
          <w:rFonts w:ascii="Times New Roman" w:hAnsi="Times New Roman"/>
          <w:sz w:val="22"/>
          <w:szCs w:val="22"/>
        </w:rPr>
      </w:pPr>
    </w:p>
    <w:p w:rsidR="00C83A71" w:rsidP="006F791E" w:rsidRDefault="000F4389" w14:paraId="2B476049" w14:textId="77777777">
      <w:pPr>
        <w:widowControl/>
        <w:suppressAutoHyphens/>
        <w:ind w:firstLine="360"/>
        <w:rPr>
          <w:rFonts w:ascii="Times New Roman" w:hAnsi="Times New Roman"/>
          <w:sz w:val="22"/>
          <w:szCs w:val="22"/>
        </w:rPr>
      </w:pPr>
      <w:r>
        <w:rPr>
          <w:rFonts w:ascii="Times New Roman" w:hAnsi="Times New Roman"/>
          <w:sz w:val="22"/>
          <w:szCs w:val="22"/>
        </w:rPr>
        <w:t xml:space="preserve">Nonetheless, the issuing and receiving of written concurrence need only be a one-time collection.  </w:t>
      </w:r>
      <w:r w:rsidR="00BD1ECA">
        <w:rPr>
          <w:rFonts w:ascii="Times New Roman" w:hAnsi="Times New Roman"/>
          <w:sz w:val="22"/>
          <w:szCs w:val="22"/>
        </w:rPr>
        <w:t xml:space="preserve">A non-federal public safety entity need only seek written concurrence from its </w:t>
      </w:r>
      <w:proofErr w:type="gramStart"/>
      <w:r>
        <w:rPr>
          <w:rFonts w:ascii="Times New Roman" w:hAnsi="Times New Roman"/>
          <w:sz w:val="22"/>
          <w:szCs w:val="22"/>
        </w:rPr>
        <w:t>SWIC</w:t>
      </w:r>
      <w:proofErr w:type="gramEnd"/>
      <w:r>
        <w:rPr>
          <w:rFonts w:ascii="Times New Roman" w:hAnsi="Times New Roman"/>
          <w:sz w:val="22"/>
          <w:szCs w:val="22"/>
        </w:rPr>
        <w:t xml:space="preserve"> </w:t>
      </w:r>
      <w:r w:rsidR="00551715">
        <w:rPr>
          <w:rFonts w:ascii="Times New Roman" w:hAnsi="Times New Roman"/>
          <w:sz w:val="22"/>
          <w:szCs w:val="22"/>
        </w:rPr>
        <w:t xml:space="preserve">or </w:t>
      </w:r>
      <w:r w:rsidRPr="009B42DE" w:rsidR="00BD1ECA">
        <w:rPr>
          <w:rFonts w:ascii="Times New Roman" w:hAnsi="Times New Roman"/>
          <w:sz w:val="22"/>
          <w:szCs w:val="22"/>
        </w:rPr>
        <w:t>state appointed official</w:t>
      </w:r>
      <w:r w:rsidR="00551715">
        <w:rPr>
          <w:rFonts w:ascii="Times New Roman" w:hAnsi="Times New Roman"/>
          <w:sz w:val="22"/>
          <w:szCs w:val="22"/>
        </w:rPr>
        <w:t xml:space="preserve"> </w:t>
      </w:r>
      <w:r>
        <w:rPr>
          <w:rFonts w:ascii="Times New Roman" w:hAnsi="Times New Roman"/>
          <w:sz w:val="22"/>
          <w:szCs w:val="22"/>
        </w:rPr>
        <w:t xml:space="preserve">once; before </w:t>
      </w:r>
      <w:r w:rsidR="00BD1ECA">
        <w:rPr>
          <w:rFonts w:ascii="Times New Roman" w:hAnsi="Times New Roman"/>
          <w:sz w:val="22"/>
          <w:szCs w:val="22"/>
        </w:rPr>
        <w:t xml:space="preserve">it applies for </w:t>
      </w:r>
      <w:r w:rsidR="00181C44">
        <w:rPr>
          <w:rFonts w:ascii="Times New Roman" w:hAnsi="Times New Roman"/>
          <w:sz w:val="22"/>
          <w:szCs w:val="22"/>
        </w:rPr>
        <w:t xml:space="preserve">a license from the Commission to operate </w:t>
      </w:r>
      <w:r>
        <w:rPr>
          <w:rFonts w:ascii="Times New Roman" w:hAnsi="Times New Roman"/>
          <w:sz w:val="22"/>
          <w:szCs w:val="22"/>
        </w:rPr>
        <w:t xml:space="preserve">on the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hannels.  </w:t>
      </w:r>
    </w:p>
    <w:p w:rsidR="00C83A71" w:rsidP="00275AF4" w:rsidRDefault="00C83A71" w14:paraId="6C45A111" w14:textId="77777777">
      <w:pPr>
        <w:widowControl/>
        <w:suppressAutoHyphens/>
        <w:rPr>
          <w:rFonts w:ascii="Times New Roman" w:hAnsi="Times New Roman"/>
          <w:sz w:val="22"/>
          <w:szCs w:val="22"/>
        </w:rPr>
      </w:pPr>
    </w:p>
    <w:p w:rsidRPr="00602288" w:rsidR="00743218" w:rsidP="00602288" w:rsidRDefault="00602288" w14:paraId="4640ED21" w14:textId="77777777">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1320.5(d)(2).</w:t>
      </w:r>
      <w:r w:rsidRPr="00602288" w:rsidR="004917C9">
        <w:rPr>
          <w:rFonts w:ascii="Times New Roman" w:hAnsi="Times New Roman"/>
          <w:b/>
          <w:sz w:val="22"/>
          <w:szCs w:val="22"/>
        </w:rPr>
        <w:t xml:space="preserve">     </w:t>
      </w:r>
      <w:r w:rsidRPr="00602288" w:rsidR="004F1B4C">
        <w:rPr>
          <w:rFonts w:ascii="Times New Roman" w:hAnsi="Times New Roman"/>
          <w:b/>
          <w:sz w:val="22"/>
          <w:szCs w:val="22"/>
        </w:rPr>
        <w:t xml:space="preserve"> </w:t>
      </w:r>
    </w:p>
    <w:p w:rsidR="00EF3305" w:rsidP="00494B05" w:rsidRDefault="00EF3305" w14:paraId="43D5F0D1" w14:textId="77777777">
      <w:pPr>
        <w:widowControl/>
        <w:suppressAutoHyphens/>
        <w:rPr>
          <w:rFonts w:ascii="Times New Roman" w:hAnsi="Times New Roman"/>
          <w:sz w:val="22"/>
          <w:szCs w:val="22"/>
        </w:rPr>
      </w:pPr>
    </w:p>
    <w:p w:rsidR="00494B05" w:rsidP="006F791E" w:rsidRDefault="00A230E5" w14:paraId="01845600" w14:textId="2DA870CA">
      <w:pPr>
        <w:widowControl/>
        <w:suppressAutoHyphens/>
        <w:ind w:firstLine="360"/>
        <w:rPr>
          <w:rFonts w:ascii="Times New Roman" w:hAnsi="Times New Roman"/>
          <w:sz w:val="22"/>
          <w:szCs w:val="22"/>
        </w:rPr>
      </w:pPr>
      <w:r>
        <w:rPr>
          <w:rFonts w:ascii="Times New Roman" w:hAnsi="Times New Roman"/>
          <w:sz w:val="22"/>
          <w:szCs w:val="22"/>
        </w:rPr>
        <w:t>The information collection</w:t>
      </w:r>
      <w:r w:rsidR="00494B05">
        <w:rPr>
          <w:rFonts w:ascii="Times New Roman" w:hAnsi="Times New Roman"/>
          <w:sz w:val="22"/>
          <w:szCs w:val="22"/>
        </w:rPr>
        <w:t xml:space="preserve"> detailed </w:t>
      </w:r>
      <w:r w:rsidR="00F21140">
        <w:rPr>
          <w:rFonts w:ascii="Times New Roman" w:hAnsi="Times New Roman"/>
          <w:sz w:val="22"/>
          <w:szCs w:val="22"/>
        </w:rPr>
        <w:t>in Section</w:t>
      </w:r>
      <w:r>
        <w:rPr>
          <w:rFonts w:ascii="Times New Roman" w:hAnsi="Times New Roman"/>
          <w:sz w:val="22"/>
          <w:szCs w:val="22"/>
        </w:rPr>
        <w:t xml:space="preserve"> 90.25 is </w:t>
      </w:r>
      <w:r w:rsidR="00494B05">
        <w:rPr>
          <w:rFonts w:ascii="Times New Roman" w:hAnsi="Times New Roman"/>
          <w:sz w:val="22"/>
          <w:szCs w:val="22"/>
        </w:rPr>
        <w:t xml:space="preserve">consistent </w:t>
      </w:r>
      <w:r w:rsidRPr="00707CAA" w:rsidR="00494B05">
        <w:rPr>
          <w:rFonts w:ascii="Times New Roman" w:hAnsi="Times New Roman"/>
          <w:sz w:val="22"/>
          <w:szCs w:val="22"/>
        </w:rPr>
        <w:t>with the guidelines in 5 C</w:t>
      </w:r>
      <w:r w:rsidR="00494B05">
        <w:rPr>
          <w:rFonts w:ascii="Times New Roman" w:hAnsi="Times New Roman"/>
          <w:sz w:val="22"/>
          <w:szCs w:val="22"/>
        </w:rPr>
        <w:t>.</w:t>
      </w:r>
      <w:r w:rsidRPr="00707CAA" w:rsidR="00494B05">
        <w:rPr>
          <w:rFonts w:ascii="Times New Roman" w:hAnsi="Times New Roman"/>
          <w:sz w:val="22"/>
          <w:szCs w:val="22"/>
        </w:rPr>
        <w:t>R</w:t>
      </w:r>
      <w:r w:rsidR="00494B05">
        <w:rPr>
          <w:rFonts w:ascii="Times New Roman" w:hAnsi="Times New Roman"/>
          <w:sz w:val="22"/>
          <w:szCs w:val="22"/>
        </w:rPr>
        <w:t xml:space="preserve"> </w:t>
      </w:r>
      <w:r w:rsidRPr="00494B05" w:rsidR="00494B05">
        <w:rPr>
          <w:rFonts w:ascii="Times New Roman" w:hAnsi="Times New Roman"/>
          <w:sz w:val="22"/>
          <w:szCs w:val="22"/>
        </w:rPr>
        <w:t>§</w:t>
      </w:r>
      <w:r w:rsidRPr="00707CAA" w:rsidR="00494B05">
        <w:rPr>
          <w:rFonts w:ascii="Times New Roman" w:hAnsi="Times New Roman"/>
          <w:sz w:val="22"/>
          <w:szCs w:val="22"/>
        </w:rPr>
        <w:t xml:space="preserve"> 1320.</w:t>
      </w:r>
      <w:r w:rsidR="00494B05">
        <w:rPr>
          <w:rFonts w:ascii="Times New Roman" w:hAnsi="Times New Roman"/>
          <w:sz w:val="22"/>
          <w:szCs w:val="22"/>
        </w:rPr>
        <w:t>5(d)(2).</w:t>
      </w:r>
    </w:p>
    <w:p w:rsidR="00494B05" w:rsidP="00494B05" w:rsidRDefault="00494B05" w14:paraId="4CE3E9D5" w14:textId="77777777">
      <w:pPr>
        <w:widowControl/>
        <w:suppressAutoHyphens/>
        <w:rPr>
          <w:rFonts w:ascii="Times New Roman" w:hAnsi="Times New Roman"/>
          <w:sz w:val="22"/>
          <w:szCs w:val="22"/>
        </w:rPr>
      </w:pPr>
    </w:p>
    <w:p w:rsidRPr="00213FC5" w:rsidR="00494B05" w:rsidP="00213FC5" w:rsidRDefault="00213FC5" w14:paraId="5E8E742F" w14:textId="77777777">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 xml:space="preserve">Identify the date and page number of </w:t>
      </w:r>
      <w:proofErr w:type="gramStart"/>
      <w:r w:rsidRPr="00213FC5">
        <w:rPr>
          <w:rFonts w:ascii="Times New Roman" w:hAnsi="Times New Roman"/>
          <w:b/>
          <w:sz w:val="22"/>
          <w:szCs w:val="22"/>
        </w:rPr>
        <w:t>publication</w:t>
      </w:r>
      <w:proofErr w:type="gramEnd"/>
      <w:r w:rsidRPr="00213FC5">
        <w:rPr>
          <w:rFonts w:ascii="Times New Roman" w:hAnsi="Times New Roman"/>
          <w:b/>
          <w:sz w:val="22"/>
          <w:szCs w:val="22"/>
        </w:rPr>
        <w:t xml:space="preserve"> in the Federal Register of the agency’s Paperwork Reduction Act (PRA) 60-day notice, required by 5 CF. § 1320.8(d), soliciting comments on the information collection requirement(s) prior to submission to OMB.</w:t>
      </w:r>
    </w:p>
    <w:p w:rsidR="00213FC5" w:rsidP="00213FC5" w:rsidRDefault="00213FC5" w14:paraId="1A0C1248" w14:textId="77777777">
      <w:pPr>
        <w:widowControl/>
        <w:suppressAutoHyphens/>
        <w:rPr>
          <w:rFonts w:ascii="Times New Roman" w:hAnsi="Times New Roman"/>
          <w:sz w:val="22"/>
          <w:szCs w:val="22"/>
        </w:rPr>
      </w:pPr>
    </w:p>
    <w:p w:rsidR="00D94F6D" w:rsidP="006F791E" w:rsidRDefault="000B1570" w14:paraId="5C261A83" w14:textId="4DFA75BE">
      <w:pPr>
        <w:widowControl/>
        <w:suppressAutoHyphens/>
        <w:ind w:firstLine="360"/>
        <w:rPr>
          <w:rFonts w:ascii="Times New Roman" w:hAnsi="Times New Roman"/>
          <w:sz w:val="22"/>
          <w:szCs w:val="22"/>
        </w:rPr>
      </w:pPr>
      <w:r>
        <w:rPr>
          <w:rFonts w:ascii="Times New Roman" w:hAnsi="Times New Roman"/>
          <w:sz w:val="22"/>
          <w:szCs w:val="22"/>
        </w:rPr>
        <w:t xml:space="preserve"> </w:t>
      </w:r>
      <w:r w:rsidRPr="004C6B70" w:rsidR="002845B6">
        <w:rPr>
          <w:rFonts w:ascii="Times New Roman" w:hAnsi="Times New Roman"/>
          <w:sz w:val="22"/>
          <w:szCs w:val="22"/>
        </w:rPr>
        <w:t xml:space="preserve">The Commission </w:t>
      </w:r>
      <w:r w:rsidRPr="004C6B70" w:rsidR="00D94F6D">
        <w:rPr>
          <w:rFonts w:ascii="Times New Roman" w:hAnsi="Times New Roman"/>
          <w:sz w:val="22"/>
          <w:szCs w:val="22"/>
        </w:rPr>
        <w:t xml:space="preserve">initiated a 60-day public comment period which </w:t>
      </w:r>
      <w:r w:rsidRPr="004C6B70" w:rsidR="00245FD8">
        <w:rPr>
          <w:rFonts w:ascii="Times New Roman" w:hAnsi="Times New Roman"/>
          <w:sz w:val="22"/>
          <w:szCs w:val="22"/>
        </w:rPr>
        <w:t xml:space="preserve">was published </w:t>
      </w:r>
      <w:r w:rsidRPr="004C6B70" w:rsidR="00D94F6D">
        <w:rPr>
          <w:rFonts w:ascii="Times New Roman" w:hAnsi="Times New Roman"/>
          <w:sz w:val="22"/>
          <w:szCs w:val="22"/>
        </w:rPr>
        <w:t xml:space="preserve">in the Federal Register on </w:t>
      </w:r>
      <w:r w:rsidR="00004FBF">
        <w:rPr>
          <w:rFonts w:ascii="Times New Roman" w:hAnsi="Times New Roman"/>
          <w:sz w:val="22"/>
          <w:szCs w:val="22"/>
        </w:rPr>
        <w:t>March 11</w:t>
      </w:r>
      <w:r w:rsidRPr="003A2018" w:rsidR="00E907AF">
        <w:rPr>
          <w:rFonts w:ascii="Times New Roman" w:hAnsi="Times New Roman"/>
          <w:sz w:val="22"/>
          <w:szCs w:val="22"/>
        </w:rPr>
        <w:t>, 20</w:t>
      </w:r>
      <w:r w:rsidR="002A7587">
        <w:rPr>
          <w:rFonts w:ascii="Times New Roman" w:hAnsi="Times New Roman"/>
          <w:sz w:val="22"/>
          <w:szCs w:val="22"/>
        </w:rPr>
        <w:t>2</w:t>
      </w:r>
      <w:r w:rsidRPr="003A2018" w:rsidR="00E907AF">
        <w:rPr>
          <w:rFonts w:ascii="Times New Roman" w:hAnsi="Times New Roman"/>
          <w:sz w:val="22"/>
          <w:szCs w:val="22"/>
        </w:rPr>
        <w:t xml:space="preserve">1 </w:t>
      </w:r>
      <w:r w:rsidRPr="003A2018" w:rsidR="00DC7A27">
        <w:rPr>
          <w:rFonts w:ascii="Times New Roman" w:hAnsi="Times New Roman"/>
          <w:sz w:val="22"/>
          <w:szCs w:val="22"/>
        </w:rPr>
        <w:t>(</w:t>
      </w:r>
      <w:r w:rsidRPr="003A2018" w:rsidR="003A2018">
        <w:rPr>
          <w:rFonts w:ascii="Times New Roman" w:hAnsi="Times New Roman"/>
          <w:sz w:val="22"/>
          <w:szCs w:val="22"/>
        </w:rPr>
        <w:t>8</w:t>
      </w:r>
      <w:r w:rsidR="002A7587">
        <w:rPr>
          <w:rFonts w:ascii="Times New Roman" w:hAnsi="Times New Roman"/>
          <w:sz w:val="22"/>
          <w:szCs w:val="22"/>
        </w:rPr>
        <w:t>6</w:t>
      </w:r>
      <w:r w:rsidRPr="003A2018" w:rsidR="00DC7A27">
        <w:rPr>
          <w:rFonts w:ascii="Times New Roman" w:hAnsi="Times New Roman"/>
          <w:sz w:val="22"/>
          <w:szCs w:val="22"/>
        </w:rPr>
        <w:t xml:space="preserve"> FR </w:t>
      </w:r>
      <w:r w:rsidR="00004FBF">
        <w:rPr>
          <w:rFonts w:ascii="Times New Roman" w:hAnsi="Times New Roman"/>
          <w:sz w:val="22"/>
          <w:szCs w:val="22"/>
        </w:rPr>
        <w:t>13900</w:t>
      </w:r>
      <w:r w:rsidRPr="003A2018" w:rsidR="00DC7A27">
        <w:rPr>
          <w:rFonts w:ascii="Times New Roman" w:hAnsi="Times New Roman"/>
          <w:sz w:val="22"/>
          <w:szCs w:val="22"/>
        </w:rPr>
        <w:t xml:space="preserve">).  </w:t>
      </w:r>
      <w:r w:rsidRPr="003A2018" w:rsidR="003A2018">
        <w:rPr>
          <w:rFonts w:ascii="Times New Roman" w:hAnsi="Times New Roman"/>
          <w:sz w:val="22"/>
          <w:szCs w:val="22"/>
        </w:rPr>
        <w:t>No</w:t>
      </w:r>
      <w:r w:rsidRPr="004C6B70" w:rsidR="00D94F6D">
        <w:rPr>
          <w:rFonts w:ascii="Times New Roman" w:hAnsi="Times New Roman"/>
          <w:sz w:val="22"/>
          <w:szCs w:val="22"/>
        </w:rPr>
        <w:t xml:space="preserve"> comments were received </w:t>
      </w:r>
      <w:proofErr w:type="gramStart"/>
      <w:r w:rsidRPr="004C6B70" w:rsidR="00D94F6D">
        <w:rPr>
          <w:rFonts w:ascii="Times New Roman" w:hAnsi="Times New Roman"/>
          <w:sz w:val="22"/>
          <w:szCs w:val="22"/>
        </w:rPr>
        <w:t>as a result of</w:t>
      </w:r>
      <w:proofErr w:type="gramEnd"/>
      <w:r w:rsidRPr="004C6B70" w:rsidR="00D94F6D">
        <w:rPr>
          <w:rFonts w:ascii="Times New Roman" w:hAnsi="Times New Roman"/>
          <w:sz w:val="22"/>
          <w:szCs w:val="22"/>
        </w:rPr>
        <w:t xml:space="preserve"> the </w:t>
      </w:r>
      <w:r w:rsidRPr="004C6B70" w:rsidR="00E3440E">
        <w:rPr>
          <w:rFonts w:ascii="Times New Roman" w:hAnsi="Times New Roman"/>
          <w:sz w:val="22"/>
          <w:szCs w:val="22"/>
        </w:rPr>
        <w:t>N</w:t>
      </w:r>
      <w:r w:rsidRPr="004C6B70" w:rsidR="00D94F6D">
        <w:rPr>
          <w:rFonts w:ascii="Times New Roman" w:hAnsi="Times New Roman"/>
          <w:sz w:val="22"/>
          <w:szCs w:val="22"/>
        </w:rPr>
        <w:t xml:space="preserve">otice.  A copy of the Federal Register </w:t>
      </w:r>
      <w:r w:rsidRPr="004C6B70" w:rsidR="00E3440E">
        <w:rPr>
          <w:rFonts w:ascii="Times New Roman" w:hAnsi="Times New Roman"/>
          <w:sz w:val="22"/>
          <w:szCs w:val="22"/>
        </w:rPr>
        <w:t>N</w:t>
      </w:r>
      <w:r w:rsidRPr="004C6B70" w:rsidR="00D94F6D">
        <w:rPr>
          <w:rFonts w:ascii="Times New Roman" w:hAnsi="Times New Roman"/>
          <w:sz w:val="22"/>
          <w:szCs w:val="22"/>
        </w:rPr>
        <w:t xml:space="preserve">otice is </w:t>
      </w:r>
      <w:r w:rsidRPr="004C6B70" w:rsidR="00B33865">
        <w:rPr>
          <w:rFonts w:ascii="Times New Roman" w:hAnsi="Times New Roman"/>
          <w:sz w:val="22"/>
          <w:szCs w:val="22"/>
        </w:rPr>
        <w:t>referenced in this submission to the OMB</w:t>
      </w:r>
      <w:r w:rsidRPr="004C6B70" w:rsidR="00D94F6D">
        <w:rPr>
          <w:rFonts w:ascii="Times New Roman" w:hAnsi="Times New Roman"/>
          <w:sz w:val="22"/>
          <w:szCs w:val="22"/>
        </w:rPr>
        <w:t>.</w:t>
      </w:r>
    </w:p>
    <w:p w:rsidR="00743218" w:rsidP="00275AF4" w:rsidRDefault="00743218" w14:paraId="3CD402EF" w14:textId="77777777">
      <w:pPr>
        <w:widowControl/>
        <w:suppressAutoHyphens/>
        <w:rPr>
          <w:rFonts w:ascii="Times New Roman" w:hAnsi="Times New Roman"/>
          <w:sz w:val="22"/>
          <w:szCs w:val="22"/>
        </w:rPr>
      </w:pPr>
    </w:p>
    <w:p w:rsidR="00213FC5" w:rsidP="00213FC5" w:rsidRDefault="00213FC5" w14:paraId="2C816185" w14:textId="77777777">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lastRenderedPageBreak/>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rsidR="00213FC5" w:rsidP="00213FC5" w:rsidRDefault="00213FC5" w14:paraId="7A86E4DC" w14:textId="77777777">
      <w:pPr>
        <w:widowControl/>
        <w:suppressAutoHyphens/>
        <w:ind w:left="360"/>
        <w:rPr>
          <w:rFonts w:ascii="Times New Roman" w:hAnsi="Times New Roman"/>
          <w:sz w:val="22"/>
          <w:szCs w:val="22"/>
        </w:rPr>
      </w:pPr>
    </w:p>
    <w:p w:rsidR="00EF3305" w:rsidP="006F791E" w:rsidRDefault="0010164F" w14:paraId="2406B8F2" w14:textId="706C3893">
      <w:pPr>
        <w:widowControl/>
        <w:suppressAutoHyphens/>
        <w:ind w:firstLine="360"/>
        <w:rPr>
          <w:rFonts w:ascii="Times New Roman" w:hAnsi="Times New Roman"/>
          <w:sz w:val="22"/>
          <w:szCs w:val="22"/>
        </w:rPr>
      </w:pPr>
      <w:r>
        <w:rPr>
          <w:rFonts w:ascii="Times New Roman" w:hAnsi="Times New Roman"/>
          <w:sz w:val="22"/>
          <w:szCs w:val="22"/>
        </w:rPr>
        <w:t>Non-federal p</w:t>
      </w:r>
      <w:r w:rsidR="00841335">
        <w:rPr>
          <w:rFonts w:ascii="Times New Roman" w:hAnsi="Times New Roman"/>
          <w:sz w:val="22"/>
          <w:szCs w:val="22"/>
        </w:rPr>
        <w:t xml:space="preserve">ublic safety </w:t>
      </w:r>
      <w:r>
        <w:rPr>
          <w:rFonts w:ascii="Times New Roman" w:hAnsi="Times New Roman"/>
          <w:sz w:val="22"/>
          <w:szCs w:val="22"/>
        </w:rPr>
        <w:t xml:space="preserve">entities </w:t>
      </w:r>
      <w:r w:rsidR="00213FC5">
        <w:rPr>
          <w:rFonts w:ascii="Times New Roman" w:hAnsi="Times New Roman"/>
          <w:sz w:val="22"/>
          <w:szCs w:val="22"/>
        </w:rPr>
        <w:t xml:space="preserve">subject to the information collections detailed </w:t>
      </w:r>
      <w:r w:rsidR="00F21140">
        <w:rPr>
          <w:rFonts w:ascii="Times New Roman" w:hAnsi="Times New Roman"/>
          <w:sz w:val="22"/>
          <w:szCs w:val="22"/>
        </w:rPr>
        <w:t>in Section</w:t>
      </w:r>
      <w:r>
        <w:rPr>
          <w:rFonts w:ascii="Times New Roman" w:hAnsi="Times New Roman"/>
          <w:sz w:val="22"/>
          <w:szCs w:val="22"/>
        </w:rPr>
        <w:t xml:space="preserve"> 90.25 </w:t>
      </w:r>
      <w:r w:rsidRPr="00707CAA" w:rsidR="00EF3305">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Pr="00707CAA" w:rsidR="00EF3305">
        <w:rPr>
          <w:rFonts w:ascii="Times New Roman" w:hAnsi="Times New Roman"/>
          <w:sz w:val="22"/>
          <w:szCs w:val="22"/>
        </w:rPr>
        <w:t>payments.</w:t>
      </w:r>
    </w:p>
    <w:p w:rsidR="0079711D" w:rsidP="00213FC5" w:rsidRDefault="0079711D" w14:paraId="30F1DA7B" w14:textId="77777777">
      <w:pPr>
        <w:widowControl/>
        <w:suppressAutoHyphens/>
        <w:rPr>
          <w:rFonts w:ascii="Times New Roman" w:hAnsi="Times New Roman"/>
          <w:sz w:val="22"/>
          <w:szCs w:val="22"/>
        </w:rPr>
      </w:pPr>
    </w:p>
    <w:p w:rsidRPr="004E1775" w:rsidR="00213FC5" w:rsidP="004E1775" w:rsidRDefault="004E1775" w14:paraId="49576DDC" w14:textId="77777777">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t>Describe any assurance of confidentiality provided to respondents and the basis for the assurance in statute, regulation, or agency policy.</w:t>
      </w:r>
    </w:p>
    <w:p w:rsidR="004E1775" w:rsidP="004E1775" w:rsidRDefault="004E1775" w14:paraId="3A1E6E35" w14:textId="77777777">
      <w:pPr>
        <w:widowControl/>
        <w:suppressAutoHyphens/>
        <w:rPr>
          <w:rFonts w:ascii="Times New Roman" w:hAnsi="Times New Roman"/>
          <w:sz w:val="22"/>
          <w:szCs w:val="22"/>
        </w:rPr>
      </w:pPr>
    </w:p>
    <w:p w:rsidR="00731AEE" w:rsidP="006F791E" w:rsidRDefault="00B438A7" w14:paraId="3C76C690" w14:textId="427D0A14">
      <w:pPr>
        <w:widowControl/>
        <w:suppressAutoHyphens/>
        <w:ind w:firstLine="360"/>
        <w:rPr>
          <w:rFonts w:ascii="Times New Roman" w:hAnsi="Times New Roman"/>
          <w:sz w:val="22"/>
          <w:szCs w:val="22"/>
        </w:rPr>
      </w:pPr>
      <w:r>
        <w:rPr>
          <w:rFonts w:ascii="Times New Roman" w:hAnsi="Times New Roman"/>
          <w:sz w:val="22"/>
          <w:szCs w:val="22"/>
        </w:rPr>
        <w:t xml:space="preserve">Section 90.25 requires </w:t>
      </w:r>
      <w:r w:rsidR="00731AEE">
        <w:rPr>
          <w:rFonts w:ascii="Times New Roman" w:hAnsi="Times New Roman"/>
          <w:sz w:val="22"/>
          <w:szCs w:val="22"/>
        </w:rPr>
        <w:t xml:space="preserve">that </w:t>
      </w:r>
      <w:r w:rsidR="00742CF2">
        <w:rPr>
          <w:rFonts w:ascii="Times New Roman" w:hAnsi="Times New Roman"/>
          <w:sz w:val="22"/>
          <w:szCs w:val="22"/>
        </w:rPr>
        <w:t>a non-</w:t>
      </w:r>
      <w:r>
        <w:rPr>
          <w:rFonts w:ascii="Times New Roman" w:hAnsi="Times New Roman"/>
          <w:sz w:val="22"/>
          <w:szCs w:val="22"/>
        </w:rPr>
        <w:t>f</w:t>
      </w:r>
      <w:r w:rsidR="00742CF2">
        <w:rPr>
          <w:rFonts w:ascii="Times New Roman" w:hAnsi="Times New Roman"/>
          <w:sz w:val="22"/>
          <w:szCs w:val="22"/>
        </w:rPr>
        <w:t xml:space="preserve">ederal public safety entity </w:t>
      </w:r>
      <w:r>
        <w:rPr>
          <w:rFonts w:ascii="Times New Roman" w:hAnsi="Times New Roman"/>
          <w:sz w:val="22"/>
          <w:szCs w:val="22"/>
        </w:rPr>
        <w:t xml:space="preserve">seeking </w:t>
      </w:r>
      <w:r w:rsidR="000912C3">
        <w:rPr>
          <w:rFonts w:ascii="Times New Roman" w:hAnsi="Times New Roman"/>
          <w:sz w:val="22"/>
          <w:szCs w:val="22"/>
        </w:rPr>
        <w:t xml:space="preserve">a </w:t>
      </w:r>
      <w:r>
        <w:rPr>
          <w:rFonts w:ascii="Times New Roman" w:hAnsi="Times New Roman"/>
          <w:sz w:val="22"/>
          <w:szCs w:val="22"/>
        </w:rPr>
        <w:t xml:space="preserve">license to operate on the </w:t>
      </w:r>
      <w:r w:rsidR="000912C3">
        <w:rPr>
          <w:rFonts w:ascii="Times New Roman" w:hAnsi="Times New Roman"/>
          <w:sz w:val="22"/>
          <w:szCs w:val="22"/>
        </w:rPr>
        <w:t>F</w:t>
      </w:r>
      <w:r>
        <w:rPr>
          <w:rFonts w:ascii="Times New Roman" w:hAnsi="Times New Roman"/>
          <w:sz w:val="22"/>
          <w:szCs w:val="22"/>
        </w:rPr>
        <w:t xml:space="preserve">ederal </w:t>
      </w:r>
      <w:r w:rsidR="000912C3">
        <w:rPr>
          <w:rFonts w:ascii="Times New Roman" w:hAnsi="Times New Roman"/>
          <w:sz w:val="22"/>
          <w:szCs w:val="22"/>
        </w:rPr>
        <w:t>I</w:t>
      </w:r>
      <w:r>
        <w:rPr>
          <w:rFonts w:ascii="Times New Roman" w:hAnsi="Times New Roman"/>
          <w:sz w:val="22"/>
          <w:szCs w:val="22"/>
        </w:rPr>
        <w:t xml:space="preserve">nteroperability </w:t>
      </w:r>
      <w:r w:rsidR="000912C3">
        <w:rPr>
          <w:rFonts w:ascii="Times New Roman" w:hAnsi="Times New Roman"/>
          <w:sz w:val="22"/>
          <w:szCs w:val="22"/>
        </w:rPr>
        <w:t>C</w:t>
      </w:r>
      <w:r>
        <w:rPr>
          <w:rFonts w:ascii="Times New Roman" w:hAnsi="Times New Roman"/>
          <w:sz w:val="22"/>
          <w:szCs w:val="22"/>
        </w:rPr>
        <w:t xml:space="preserve">hannels </w:t>
      </w:r>
      <w:r w:rsidR="00731AEE">
        <w:rPr>
          <w:rFonts w:ascii="Times New Roman" w:hAnsi="Times New Roman"/>
          <w:sz w:val="22"/>
          <w:szCs w:val="22"/>
        </w:rPr>
        <w:t xml:space="preserve">submit </w:t>
      </w:r>
      <w:r w:rsidR="00DD1017">
        <w:rPr>
          <w:rFonts w:ascii="Times New Roman" w:hAnsi="Times New Roman"/>
          <w:sz w:val="22"/>
          <w:szCs w:val="22"/>
        </w:rPr>
        <w:t xml:space="preserve">written </w:t>
      </w:r>
      <w:r w:rsidR="000B08A2">
        <w:rPr>
          <w:rFonts w:ascii="Times New Roman" w:hAnsi="Times New Roman"/>
          <w:sz w:val="22"/>
          <w:szCs w:val="22"/>
        </w:rPr>
        <w:t xml:space="preserve">concurrence from </w:t>
      </w:r>
      <w:r>
        <w:rPr>
          <w:rFonts w:ascii="Times New Roman" w:hAnsi="Times New Roman"/>
          <w:sz w:val="22"/>
          <w:szCs w:val="22"/>
        </w:rPr>
        <w:t xml:space="preserve">its </w:t>
      </w:r>
      <w:r w:rsidR="000B08A2">
        <w:rPr>
          <w:rFonts w:ascii="Times New Roman" w:hAnsi="Times New Roman"/>
          <w:sz w:val="22"/>
          <w:szCs w:val="22"/>
        </w:rPr>
        <w:t xml:space="preserve">SWIC </w:t>
      </w:r>
      <w:r>
        <w:rPr>
          <w:rFonts w:ascii="Times New Roman" w:hAnsi="Times New Roman"/>
          <w:sz w:val="22"/>
          <w:szCs w:val="22"/>
        </w:rPr>
        <w:t xml:space="preserve">or </w:t>
      </w:r>
      <w:r w:rsidR="00A323E1">
        <w:rPr>
          <w:rFonts w:ascii="Times New Roman" w:hAnsi="Times New Roman"/>
          <w:sz w:val="22"/>
          <w:szCs w:val="22"/>
        </w:rPr>
        <w:t xml:space="preserve">designated state official </w:t>
      </w:r>
      <w:r>
        <w:rPr>
          <w:rFonts w:ascii="Times New Roman" w:hAnsi="Times New Roman"/>
          <w:sz w:val="22"/>
          <w:szCs w:val="22"/>
        </w:rPr>
        <w:t xml:space="preserve">with its license application.  </w:t>
      </w:r>
      <w:r w:rsidR="00B5492A">
        <w:rPr>
          <w:rFonts w:ascii="Times New Roman" w:hAnsi="Times New Roman"/>
          <w:sz w:val="22"/>
          <w:szCs w:val="22"/>
        </w:rPr>
        <w:t xml:space="preserve">No confidential information need be included with the application.  </w:t>
      </w:r>
    </w:p>
    <w:p w:rsidRPr="005F4939" w:rsidR="00731AEE" w:rsidP="004E1775" w:rsidRDefault="00731AEE" w14:paraId="33AC5DF3" w14:textId="77777777">
      <w:pPr>
        <w:widowControl/>
        <w:suppressAutoHyphens/>
        <w:rPr>
          <w:rFonts w:ascii="Times New Roman" w:hAnsi="Times New Roman"/>
          <w:sz w:val="22"/>
          <w:szCs w:val="22"/>
        </w:rPr>
      </w:pPr>
    </w:p>
    <w:p w:rsidRPr="005F4939" w:rsidR="00EF3305" w:rsidP="006F791E" w:rsidRDefault="00E3440E" w14:paraId="769D12BC" w14:textId="0B7F0627">
      <w:pPr>
        <w:widowControl/>
        <w:suppressAutoHyphens/>
        <w:ind w:firstLine="360"/>
        <w:rPr>
          <w:rFonts w:ascii="Times New Roman" w:hAnsi="Times New Roman"/>
          <w:sz w:val="22"/>
          <w:szCs w:val="22"/>
        </w:rPr>
      </w:pPr>
      <w:r w:rsidRPr="005F4939">
        <w:rPr>
          <w:rFonts w:ascii="Times New Roman" w:hAnsi="Times New Roman"/>
          <w:sz w:val="22"/>
          <w:szCs w:val="22"/>
        </w:rPr>
        <w:t xml:space="preserve">Pursuant to § 208(b) of the E-Government Act of 2002, 44 U.S.C.A. § 3501, in conformance with the Privacy Act of 1974, 5 U.S.C. </w:t>
      </w:r>
      <w:r w:rsidR="0099600A">
        <w:rPr>
          <w:rFonts w:ascii="Times New Roman" w:hAnsi="Times New Roman"/>
          <w:sz w:val="22"/>
          <w:szCs w:val="22"/>
        </w:rPr>
        <w:t xml:space="preserve">§ </w:t>
      </w:r>
      <w:r w:rsidRPr="005F4939">
        <w:rPr>
          <w:rFonts w:ascii="Times New Roman" w:hAnsi="Times New Roman"/>
          <w:sz w:val="22"/>
          <w:szCs w:val="22"/>
        </w:rPr>
        <w:t xml:space="preserve">552(a), </w:t>
      </w:r>
      <w:r w:rsidR="00115C17">
        <w:rPr>
          <w:rFonts w:ascii="Times New Roman" w:hAnsi="Times New Roman"/>
          <w:sz w:val="22"/>
          <w:szCs w:val="22"/>
        </w:rPr>
        <w:t xml:space="preserve">the Commission </w:t>
      </w:r>
      <w:r w:rsidRPr="005F4939">
        <w:rPr>
          <w:rFonts w:ascii="Times New Roman" w:hAnsi="Times New Roman"/>
          <w:sz w:val="22"/>
          <w:szCs w:val="22"/>
        </w:rPr>
        <w:t xml:space="preserve">instructs </w:t>
      </w:r>
      <w:r w:rsidRPr="005F4939" w:rsidR="00AE30E8">
        <w:rPr>
          <w:rFonts w:ascii="Times New Roman" w:hAnsi="Times New Roman"/>
          <w:sz w:val="22"/>
          <w:szCs w:val="22"/>
        </w:rPr>
        <w:t>applicants</w:t>
      </w:r>
      <w:r w:rsidRPr="005F4939">
        <w:rPr>
          <w:rFonts w:ascii="Times New Roman" w:hAnsi="Times New Roman"/>
          <w:sz w:val="22"/>
          <w:szCs w:val="22"/>
        </w:rPr>
        <w:t xml:space="preserve"> to use the FCC’s ULS, ASR, Commission Registrations System (CORES) and related systems and subsystems to submit information.</w:t>
      </w:r>
      <w:r w:rsidRPr="005F4939">
        <w:rPr>
          <w:rStyle w:val="FootnoteReference"/>
          <w:rFonts w:ascii="Times New Roman" w:hAnsi="Times New Roman"/>
          <w:sz w:val="22"/>
          <w:szCs w:val="22"/>
        </w:rPr>
        <w:footnoteReference w:id="1"/>
      </w:r>
      <w:r w:rsidRPr="005F4939">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within the </w:t>
      </w:r>
      <w:r w:rsidR="00115C17">
        <w:rPr>
          <w:rFonts w:ascii="Times New Roman" w:hAnsi="Times New Roman"/>
          <w:sz w:val="22"/>
          <w:szCs w:val="22"/>
        </w:rPr>
        <w:t xml:space="preserve">Commission’s </w:t>
      </w:r>
      <w:r w:rsidRPr="005F4939">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Upon </w:t>
      </w:r>
      <w:r w:rsidR="00A323E1">
        <w:rPr>
          <w:rFonts w:ascii="Times New Roman" w:hAnsi="Times New Roman"/>
          <w:sz w:val="22"/>
          <w:szCs w:val="22"/>
        </w:rPr>
        <w:t xml:space="preserve">making a </w:t>
      </w:r>
      <w:r w:rsidRPr="005F4939">
        <w:rPr>
          <w:rFonts w:ascii="Times New Roman" w:hAnsi="Times New Roman"/>
          <w:sz w:val="22"/>
          <w:szCs w:val="22"/>
        </w:rPr>
        <w:t xml:space="preserve">request </w:t>
      </w:r>
      <w:r w:rsidR="00A323E1">
        <w:rPr>
          <w:rFonts w:ascii="Times New Roman" w:hAnsi="Times New Roman"/>
          <w:sz w:val="22"/>
          <w:szCs w:val="22"/>
        </w:rPr>
        <w:t xml:space="preserve">for </w:t>
      </w:r>
      <w:r w:rsidRPr="005F4939" w:rsidR="00F21140">
        <w:rPr>
          <w:rFonts w:ascii="Times New Roman" w:hAnsi="Times New Roman"/>
          <w:sz w:val="22"/>
          <w:szCs w:val="22"/>
        </w:rPr>
        <w:t>an</w:t>
      </w:r>
      <w:r w:rsidRPr="005F4939">
        <w:rPr>
          <w:rFonts w:ascii="Times New Roman" w:hAnsi="Times New Roman"/>
          <w:sz w:val="22"/>
          <w:szCs w:val="22"/>
        </w:rPr>
        <w:t xml:space="preserve"> FRN, the individual </w:t>
      </w:r>
      <w:r w:rsidR="009B6341">
        <w:rPr>
          <w:rFonts w:ascii="Times New Roman" w:hAnsi="Times New Roman"/>
          <w:sz w:val="22"/>
          <w:szCs w:val="22"/>
        </w:rPr>
        <w:t>applicant/</w:t>
      </w:r>
      <w:r w:rsidR="00D74AE7">
        <w:rPr>
          <w:rFonts w:ascii="Times New Roman" w:hAnsi="Times New Roman"/>
          <w:sz w:val="22"/>
          <w:szCs w:val="22"/>
        </w:rPr>
        <w:t>licensee</w:t>
      </w:r>
      <w:r w:rsidRPr="005F4939">
        <w:rPr>
          <w:rFonts w:ascii="Times New Roman" w:hAnsi="Times New Roman"/>
          <w:sz w:val="22"/>
          <w:szCs w:val="22"/>
        </w:rPr>
        <w:t xml:space="preserve"> is consenting to make publicly available, via the ULS database, all information that is not confidential in nature.</w:t>
      </w:r>
      <w:r w:rsidRPr="005F4939" w:rsidR="00977686">
        <w:rPr>
          <w:rFonts w:ascii="Times New Roman" w:hAnsi="Times New Roman"/>
          <w:sz w:val="22"/>
          <w:szCs w:val="22"/>
        </w:rPr>
        <w:t xml:space="preserve">  </w:t>
      </w:r>
    </w:p>
    <w:p w:rsidR="00743218" w:rsidP="00275AF4" w:rsidRDefault="00743218" w14:paraId="02E49FE0" w14:textId="77777777">
      <w:pPr>
        <w:widowControl/>
        <w:suppressAutoHyphens/>
        <w:rPr>
          <w:rFonts w:ascii="Times New Roman" w:hAnsi="Times New Roman"/>
          <w:sz w:val="22"/>
          <w:szCs w:val="22"/>
        </w:rPr>
      </w:pPr>
    </w:p>
    <w:p w:rsidRPr="003D790A" w:rsidR="003D790A" w:rsidP="003D790A" w:rsidRDefault="003D790A" w14:paraId="17D6054E" w14:textId="77777777">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rsidRPr="00E3440E" w:rsidR="003D790A" w:rsidP="00275AF4" w:rsidRDefault="003D790A" w14:paraId="08964C45" w14:textId="77777777">
      <w:pPr>
        <w:widowControl/>
        <w:suppressAutoHyphens/>
        <w:rPr>
          <w:rFonts w:ascii="Times New Roman" w:hAnsi="Times New Roman"/>
          <w:sz w:val="22"/>
          <w:szCs w:val="22"/>
        </w:rPr>
      </w:pPr>
    </w:p>
    <w:p w:rsidR="00731AEE" w:rsidP="006F791E" w:rsidRDefault="00115C17" w14:paraId="08F8AFC3" w14:textId="75067572">
      <w:pPr>
        <w:widowControl/>
        <w:suppressAutoHyphens/>
        <w:ind w:firstLine="360"/>
        <w:rPr>
          <w:rFonts w:ascii="Times New Roman" w:hAnsi="Times New Roman"/>
          <w:sz w:val="22"/>
          <w:szCs w:val="22"/>
        </w:rPr>
      </w:pPr>
      <w:r>
        <w:rPr>
          <w:rFonts w:ascii="Times New Roman" w:hAnsi="Times New Roman"/>
          <w:sz w:val="22"/>
          <w:szCs w:val="22"/>
        </w:rPr>
        <w:t>In adopting Section 90.25, the Commission d</w:t>
      </w:r>
      <w:r w:rsidR="00F21140">
        <w:rPr>
          <w:rFonts w:ascii="Times New Roman" w:hAnsi="Times New Roman"/>
          <w:sz w:val="22"/>
          <w:szCs w:val="22"/>
        </w:rPr>
        <w:t>id</w:t>
      </w:r>
      <w:r>
        <w:rPr>
          <w:rFonts w:ascii="Times New Roman" w:hAnsi="Times New Roman"/>
          <w:sz w:val="22"/>
          <w:szCs w:val="22"/>
        </w:rPr>
        <w:t xml:space="preserve"> </w:t>
      </w:r>
      <w:r w:rsidR="00731AEE">
        <w:rPr>
          <w:rFonts w:ascii="Times New Roman" w:hAnsi="Times New Roman"/>
          <w:sz w:val="22"/>
          <w:szCs w:val="22"/>
        </w:rPr>
        <w:t>not requir</w:t>
      </w:r>
      <w:r>
        <w:rPr>
          <w:rFonts w:ascii="Times New Roman" w:hAnsi="Times New Roman"/>
          <w:sz w:val="22"/>
          <w:szCs w:val="22"/>
        </w:rPr>
        <w:t xml:space="preserve">e </w:t>
      </w:r>
      <w:r w:rsidR="00587D10">
        <w:rPr>
          <w:rFonts w:ascii="Times New Roman" w:hAnsi="Times New Roman"/>
          <w:sz w:val="22"/>
          <w:szCs w:val="22"/>
        </w:rPr>
        <w:t xml:space="preserve">any </w:t>
      </w:r>
      <w:r w:rsidR="00731AEE">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w:t>
      </w:r>
      <w:r w:rsidR="00D67AFF">
        <w:rPr>
          <w:rFonts w:ascii="Times New Roman" w:hAnsi="Times New Roman"/>
          <w:sz w:val="22"/>
          <w:szCs w:val="22"/>
        </w:rPr>
        <w:t xml:space="preserve">concurrence </w:t>
      </w:r>
      <w:r w:rsidR="00587D10">
        <w:rPr>
          <w:rFonts w:ascii="Times New Roman" w:hAnsi="Times New Roman"/>
          <w:sz w:val="22"/>
          <w:szCs w:val="22"/>
        </w:rPr>
        <w:t xml:space="preserve">described above.  </w:t>
      </w:r>
    </w:p>
    <w:p w:rsidR="00731AEE" w:rsidP="003D790A" w:rsidRDefault="00731AEE" w14:paraId="477B8443" w14:textId="77777777">
      <w:pPr>
        <w:widowControl/>
        <w:suppressAutoHyphens/>
        <w:rPr>
          <w:rFonts w:ascii="Times New Roman" w:hAnsi="Times New Roman"/>
          <w:sz w:val="22"/>
          <w:szCs w:val="22"/>
        </w:rPr>
      </w:pPr>
    </w:p>
    <w:p w:rsidRPr="006B21BC" w:rsidR="00EF3305" w:rsidP="006F791E" w:rsidRDefault="00587D10" w14:paraId="688DCF8F" w14:textId="77777777">
      <w:pPr>
        <w:widowControl/>
        <w:suppressAutoHyphens/>
        <w:ind w:firstLine="360"/>
        <w:rPr>
          <w:rFonts w:ascii="Times New Roman" w:hAnsi="Times New Roman"/>
          <w:sz w:val="22"/>
          <w:szCs w:val="22"/>
          <w:shd w:val="clear" w:color="auto" w:fill="00FFFF"/>
        </w:rPr>
      </w:pPr>
      <w:r>
        <w:rPr>
          <w:rFonts w:ascii="Times New Roman" w:hAnsi="Times New Roman"/>
          <w:sz w:val="22"/>
          <w:szCs w:val="22"/>
        </w:rPr>
        <w:t>Nonetheless, in</w:t>
      </w:r>
      <w:r w:rsidR="00E31678">
        <w:rPr>
          <w:rFonts w:ascii="Times New Roman" w:hAnsi="Times New Roman"/>
          <w:sz w:val="22"/>
          <w:szCs w:val="22"/>
        </w:rPr>
        <w:t xml:space="preserve"> instances where </w:t>
      </w:r>
      <w:r>
        <w:rPr>
          <w:rFonts w:ascii="Times New Roman" w:hAnsi="Times New Roman"/>
          <w:sz w:val="22"/>
          <w:szCs w:val="22"/>
        </w:rPr>
        <w:t xml:space="preserve">licensees </w:t>
      </w:r>
      <w:r w:rsidR="00E31678">
        <w:rPr>
          <w:rFonts w:ascii="Times New Roman" w:hAnsi="Times New Roman"/>
          <w:sz w:val="22"/>
          <w:szCs w:val="22"/>
        </w:rPr>
        <w:t xml:space="preserve">provide personally identifiable information (PII), the </w:t>
      </w:r>
      <w:r w:rsidR="001B6E81">
        <w:rPr>
          <w:rFonts w:ascii="Times New Roman" w:hAnsi="Times New Roman"/>
          <w:sz w:val="22"/>
          <w:szCs w:val="22"/>
        </w:rPr>
        <w:t>Commission</w:t>
      </w:r>
      <w:r w:rsidR="00E31678">
        <w:rPr>
          <w:rFonts w:ascii="Times New Roman" w:hAnsi="Times New Roman"/>
          <w:sz w:val="22"/>
          <w:szCs w:val="22"/>
        </w:rPr>
        <w:t xml:space="preserve"> has a System of Records Notice (SORN), FCC/WTB-1, </w:t>
      </w:r>
      <w:r w:rsidR="00966847">
        <w:rPr>
          <w:rFonts w:ascii="Times New Roman" w:hAnsi="Times New Roman"/>
          <w:sz w:val="22"/>
          <w:szCs w:val="22"/>
        </w:rPr>
        <w:t>and “</w:t>
      </w:r>
      <w:r w:rsidR="00E31678">
        <w:rPr>
          <w:rFonts w:ascii="Times New Roman" w:hAnsi="Times New Roman"/>
          <w:sz w:val="22"/>
          <w:szCs w:val="22"/>
        </w:rPr>
        <w:t>Wire</w:t>
      </w:r>
      <w:r w:rsidR="00606837">
        <w:rPr>
          <w:rFonts w:ascii="Times New Roman" w:hAnsi="Times New Roman"/>
          <w:sz w:val="22"/>
          <w:szCs w:val="22"/>
        </w:rPr>
        <w:t>less Services Licensing Records</w:t>
      </w:r>
      <w:r w:rsidR="00E31678">
        <w:rPr>
          <w:rFonts w:ascii="Times New Roman" w:hAnsi="Times New Roman"/>
          <w:sz w:val="22"/>
          <w:szCs w:val="22"/>
        </w:rPr>
        <w:t>,</w:t>
      </w:r>
      <w:r w:rsidR="00606837">
        <w:rPr>
          <w:rFonts w:ascii="Times New Roman" w:hAnsi="Times New Roman"/>
          <w:sz w:val="22"/>
          <w:szCs w:val="22"/>
        </w:rPr>
        <w:t>”</w:t>
      </w:r>
      <w:r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w:t>
      </w:r>
      <w:r w:rsidRPr="009B64D6" w:rsidR="009B64D6">
        <w:rPr>
          <w:rFonts w:ascii="Times New Roman" w:hAnsi="Times New Roman"/>
          <w:sz w:val="22"/>
          <w:szCs w:val="22"/>
        </w:rPr>
        <w:t>November 5, 2008</w:t>
      </w:r>
      <w:r w:rsidR="00E31678">
        <w:rPr>
          <w:rFonts w:ascii="Times New Roman" w:hAnsi="Times New Roman"/>
          <w:sz w:val="22"/>
          <w:szCs w:val="22"/>
        </w:rPr>
        <w:t xml:space="preserve"> and that may be viewed at:  </w:t>
      </w:r>
      <w:hyperlink w:history="1" r:id="rId11">
        <w:r w:rsidRPr="001C76D4" w:rsidR="00CC6752">
          <w:rPr>
            <w:rStyle w:val="Hyperlink"/>
            <w:rFonts w:ascii="Times New Roman" w:hAnsi="Times New Roman"/>
            <w:sz w:val="22"/>
            <w:szCs w:val="22"/>
          </w:rPr>
          <w:t>http://www.fcc.gov/omd/privacyact/Privacy_Impact_Assessment.html</w:t>
        </w:r>
      </w:hyperlink>
      <w:r w:rsidR="00CC6752">
        <w:rPr>
          <w:rFonts w:ascii="Times New Roman" w:hAnsi="Times New Roman"/>
          <w:sz w:val="22"/>
          <w:szCs w:val="22"/>
        </w:rPr>
        <w:t>.</w:t>
      </w:r>
    </w:p>
    <w:p w:rsidR="00743218" w:rsidP="00275AF4" w:rsidRDefault="00743218" w14:paraId="23609D42" w14:textId="77777777">
      <w:pPr>
        <w:widowControl/>
        <w:suppressAutoHyphens/>
        <w:rPr>
          <w:rFonts w:ascii="Times New Roman" w:hAnsi="Times New Roman"/>
          <w:sz w:val="22"/>
          <w:szCs w:val="22"/>
        </w:rPr>
      </w:pPr>
    </w:p>
    <w:p w:rsidRPr="00A101E1" w:rsidR="00A101E1" w:rsidP="00A101E1" w:rsidRDefault="00A101E1" w14:paraId="4C7DAD90" w14:textId="77777777">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rsidR="00A101E1" w:rsidP="00A101E1" w:rsidRDefault="00A101E1" w14:paraId="0C785D2F" w14:textId="77777777">
      <w:pPr>
        <w:widowControl/>
        <w:suppressAutoHyphens/>
        <w:rPr>
          <w:rFonts w:ascii="Times New Roman" w:hAnsi="Times New Roman"/>
          <w:sz w:val="22"/>
          <w:szCs w:val="22"/>
        </w:rPr>
      </w:pPr>
    </w:p>
    <w:p w:rsidR="00A101E1" w:rsidP="006F791E" w:rsidRDefault="008831D1" w14:paraId="009B8ED2" w14:textId="2324FEFA">
      <w:pPr>
        <w:widowControl/>
        <w:suppressAutoHyphens/>
        <w:ind w:firstLine="360"/>
        <w:rPr>
          <w:rFonts w:ascii="Times New Roman" w:hAnsi="Times New Roman"/>
          <w:sz w:val="22"/>
          <w:szCs w:val="22"/>
        </w:rPr>
      </w:pPr>
      <w:r>
        <w:rPr>
          <w:rFonts w:ascii="Times New Roman" w:hAnsi="Times New Roman"/>
          <w:sz w:val="22"/>
          <w:szCs w:val="22"/>
        </w:rPr>
        <w:t>According to the FCC’s Universal Licensing System (ULS), t</w:t>
      </w:r>
      <w:r w:rsidR="004942C1">
        <w:rPr>
          <w:rFonts w:ascii="Times New Roman" w:hAnsi="Times New Roman"/>
          <w:sz w:val="22"/>
          <w:szCs w:val="22"/>
        </w:rPr>
        <w:t xml:space="preserve">here are </w:t>
      </w:r>
      <w:r w:rsidRPr="008831D1" w:rsidR="004942C1">
        <w:rPr>
          <w:rFonts w:ascii="Times New Roman" w:hAnsi="Times New Roman"/>
          <w:sz w:val="22"/>
          <w:szCs w:val="22"/>
        </w:rPr>
        <w:t xml:space="preserve">approximately </w:t>
      </w:r>
      <w:r w:rsidRPr="008831D1">
        <w:rPr>
          <w:rFonts w:ascii="Times New Roman" w:hAnsi="Times New Roman"/>
          <w:sz w:val="22"/>
          <w:szCs w:val="22"/>
        </w:rPr>
        <w:t>45,947 active</w:t>
      </w:r>
      <w:r w:rsidRPr="008831D1" w:rsidR="006D541C">
        <w:rPr>
          <w:rFonts w:ascii="Times New Roman" w:hAnsi="Times New Roman"/>
          <w:sz w:val="22"/>
          <w:szCs w:val="22"/>
        </w:rPr>
        <w:t xml:space="preserve"> </w:t>
      </w:r>
      <w:r w:rsidR="006D541C">
        <w:rPr>
          <w:rFonts w:ascii="Times New Roman" w:hAnsi="Times New Roman"/>
          <w:sz w:val="22"/>
          <w:szCs w:val="22"/>
        </w:rPr>
        <w:t>non-</w:t>
      </w:r>
      <w:r w:rsidR="00871C7F">
        <w:rPr>
          <w:rFonts w:ascii="Times New Roman" w:hAnsi="Times New Roman"/>
          <w:sz w:val="22"/>
          <w:szCs w:val="22"/>
        </w:rPr>
        <w:t>f</w:t>
      </w:r>
      <w:r w:rsidR="006D541C">
        <w:rPr>
          <w:rFonts w:ascii="Times New Roman" w:hAnsi="Times New Roman"/>
          <w:sz w:val="22"/>
          <w:szCs w:val="22"/>
        </w:rPr>
        <w:t xml:space="preserve">ederal </w:t>
      </w:r>
      <w:r w:rsidR="004942C1">
        <w:rPr>
          <w:rFonts w:ascii="Times New Roman" w:hAnsi="Times New Roman"/>
          <w:sz w:val="22"/>
          <w:szCs w:val="22"/>
        </w:rPr>
        <w:t xml:space="preserve">public safety </w:t>
      </w:r>
      <w:r w:rsidR="00BF5F26">
        <w:rPr>
          <w:rFonts w:ascii="Times New Roman" w:hAnsi="Times New Roman"/>
          <w:sz w:val="22"/>
          <w:szCs w:val="22"/>
        </w:rPr>
        <w:t>licensees that may be eligible</w:t>
      </w:r>
      <w:r w:rsidR="006D541C">
        <w:rPr>
          <w:rFonts w:ascii="Times New Roman" w:hAnsi="Times New Roman"/>
          <w:sz w:val="22"/>
          <w:szCs w:val="22"/>
        </w:rPr>
        <w:t xml:space="preserve"> to </w:t>
      </w:r>
      <w:r w:rsidR="00BF5F26">
        <w:rPr>
          <w:rFonts w:ascii="Times New Roman" w:hAnsi="Times New Roman"/>
          <w:sz w:val="22"/>
          <w:szCs w:val="22"/>
        </w:rPr>
        <w:t xml:space="preserve">license </w:t>
      </w:r>
      <w:r w:rsidR="00871C7F">
        <w:rPr>
          <w:rFonts w:ascii="Times New Roman" w:hAnsi="Times New Roman"/>
          <w:sz w:val="22"/>
          <w:szCs w:val="22"/>
        </w:rPr>
        <w:t xml:space="preserve">the </w:t>
      </w:r>
      <w:r w:rsidR="00BF5F26">
        <w:rPr>
          <w:rFonts w:ascii="Times New Roman" w:hAnsi="Times New Roman"/>
          <w:sz w:val="22"/>
          <w:szCs w:val="22"/>
        </w:rPr>
        <w:t xml:space="preserve">Federal Interoperability </w:t>
      </w:r>
      <w:r w:rsidR="00871C7F">
        <w:rPr>
          <w:rFonts w:ascii="Times New Roman" w:hAnsi="Times New Roman"/>
          <w:sz w:val="22"/>
          <w:szCs w:val="22"/>
        </w:rPr>
        <w:t>C</w:t>
      </w:r>
      <w:r w:rsidR="00BF5F26">
        <w:rPr>
          <w:rFonts w:ascii="Times New Roman" w:hAnsi="Times New Roman"/>
          <w:sz w:val="22"/>
          <w:szCs w:val="22"/>
        </w:rPr>
        <w:t xml:space="preserve">hannels under </w:t>
      </w:r>
      <w:r w:rsidR="00F21140">
        <w:rPr>
          <w:rFonts w:ascii="Times New Roman" w:hAnsi="Times New Roman"/>
          <w:sz w:val="22"/>
          <w:szCs w:val="22"/>
        </w:rPr>
        <w:t>this procedure</w:t>
      </w:r>
      <w:r w:rsidR="003A1C9F">
        <w:rPr>
          <w:rFonts w:ascii="Times New Roman" w:hAnsi="Times New Roman"/>
          <w:sz w:val="22"/>
          <w:szCs w:val="22"/>
        </w:rPr>
        <w:t>.</w:t>
      </w:r>
      <w:r w:rsidR="00737AF2">
        <w:rPr>
          <w:rFonts w:ascii="Times New Roman" w:hAnsi="Times New Roman"/>
          <w:sz w:val="22"/>
          <w:szCs w:val="22"/>
        </w:rPr>
        <w:t xml:space="preserve">  We believe this is the total universe of </w:t>
      </w:r>
      <w:r w:rsidR="005951E5">
        <w:rPr>
          <w:rFonts w:ascii="Times New Roman" w:hAnsi="Times New Roman"/>
          <w:sz w:val="22"/>
          <w:szCs w:val="22"/>
        </w:rPr>
        <w:t>entities</w:t>
      </w:r>
      <w:r w:rsidR="00737AF2">
        <w:rPr>
          <w:rFonts w:ascii="Times New Roman" w:hAnsi="Times New Roman"/>
          <w:sz w:val="22"/>
          <w:szCs w:val="22"/>
        </w:rPr>
        <w:t xml:space="preserve"> who would be subject to the </w:t>
      </w:r>
      <w:r w:rsidR="003F207E">
        <w:rPr>
          <w:rFonts w:ascii="Times New Roman" w:hAnsi="Times New Roman"/>
          <w:sz w:val="22"/>
          <w:szCs w:val="22"/>
        </w:rPr>
        <w:t>information collection requirement in Section 90.25</w:t>
      </w:r>
      <w:r w:rsidR="00737AF2">
        <w:rPr>
          <w:rFonts w:ascii="Times New Roman" w:hAnsi="Times New Roman"/>
          <w:sz w:val="22"/>
          <w:szCs w:val="22"/>
        </w:rPr>
        <w:t xml:space="preserve">.  </w:t>
      </w:r>
    </w:p>
    <w:p w:rsidR="00737AF2" w:rsidP="00A101E1" w:rsidRDefault="00737AF2" w14:paraId="6AC2D159" w14:textId="77777777">
      <w:pPr>
        <w:widowControl/>
        <w:suppressAutoHyphens/>
        <w:rPr>
          <w:rFonts w:ascii="Times New Roman" w:hAnsi="Times New Roman"/>
          <w:sz w:val="22"/>
          <w:szCs w:val="22"/>
        </w:rPr>
      </w:pPr>
    </w:p>
    <w:p w:rsidR="00732D07" w:rsidP="006F791E" w:rsidRDefault="00732D07" w14:paraId="4EE632FA" w14:textId="4D483170">
      <w:pPr>
        <w:widowControl/>
        <w:suppressAutoHyphens/>
        <w:ind w:firstLine="360"/>
        <w:rPr>
          <w:rFonts w:ascii="Times New Roman" w:hAnsi="Times New Roman"/>
          <w:sz w:val="22"/>
          <w:szCs w:val="22"/>
        </w:rPr>
      </w:pPr>
      <w:r>
        <w:rPr>
          <w:rFonts w:ascii="Times New Roman" w:hAnsi="Times New Roman"/>
          <w:sz w:val="22"/>
          <w:szCs w:val="22"/>
        </w:rPr>
        <w:t>Below</w:t>
      </w:r>
      <w:r w:rsidR="006F791E">
        <w:rPr>
          <w:rFonts w:ascii="Times New Roman" w:hAnsi="Times New Roman"/>
          <w:sz w:val="22"/>
          <w:szCs w:val="22"/>
        </w:rPr>
        <w:t>,</w:t>
      </w:r>
      <w:r>
        <w:rPr>
          <w:rFonts w:ascii="Times New Roman" w:hAnsi="Times New Roman"/>
          <w:sz w:val="22"/>
          <w:szCs w:val="22"/>
        </w:rPr>
        <w:t xml:space="preserve"> we </w:t>
      </w:r>
      <w:r w:rsidR="000C4CFB">
        <w:rPr>
          <w:rFonts w:ascii="Times New Roman" w:hAnsi="Times New Roman"/>
          <w:sz w:val="22"/>
          <w:szCs w:val="22"/>
        </w:rPr>
        <w:t xml:space="preserve">estimate </w:t>
      </w:r>
      <w:r>
        <w:rPr>
          <w:rFonts w:ascii="Times New Roman" w:hAnsi="Times New Roman"/>
          <w:sz w:val="22"/>
          <w:szCs w:val="22"/>
        </w:rPr>
        <w:t xml:space="preserve">burden hours for </w:t>
      </w:r>
      <w:r w:rsidR="006F791E">
        <w:rPr>
          <w:rFonts w:ascii="Times New Roman" w:hAnsi="Times New Roman"/>
          <w:sz w:val="22"/>
          <w:szCs w:val="22"/>
        </w:rPr>
        <w:t>the</w:t>
      </w:r>
      <w:r>
        <w:rPr>
          <w:rFonts w:ascii="Times New Roman" w:hAnsi="Times New Roman"/>
          <w:sz w:val="22"/>
          <w:szCs w:val="22"/>
        </w:rPr>
        <w:t xml:space="preserve"> collection specified in </w:t>
      </w:r>
      <w:r w:rsidR="003F207E">
        <w:rPr>
          <w:rFonts w:ascii="Times New Roman" w:hAnsi="Times New Roman"/>
          <w:sz w:val="22"/>
          <w:szCs w:val="22"/>
        </w:rPr>
        <w:t>Section 90.25</w:t>
      </w:r>
      <w:r>
        <w:rPr>
          <w:rFonts w:ascii="Times New Roman" w:hAnsi="Times New Roman"/>
          <w:sz w:val="22"/>
          <w:szCs w:val="22"/>
        </w:rPr>
        <w:t xml:space="preserve">.  </w:t>
      </w:r>
    </w:p>
    <w:p w:rsidR="00732D07" w:rsidP="00A101E1" w:rsidRDefault="00732D07" w14:paraId="703E787C" w14:textId="77777777">
      <w:pPr>
        <w:widowControl/>
        <w:suppressAutoHyphens/>
        <w:rPr>
          <w:rFonts w:ascii="Times New Roman" w:hAnsi="Times New Roman"/>
          <w:sz w:val="22"/>
          <w:szCs w:val="22"/>
        </w:rPr>
      </w:pPr>
    </w:p>
    <w:p w:rsidR="00142302" w:rsidP="00541157" w:rsidRDefault="00764D01" w14:paraId="27A11AD2" w14:textId="77777777">
      <w:pPr>
        <w:widowControl/>
        <w:suppressAutoHyphens/>
        <w:ind w:firstLine="360"/>
        <w:rPr>
          <w:rFonts w:ascii="Times New Roman" w:hAnsi="Times New Roman"/>
          <w:sz w:val="22"/>
          <w:szCs w:val="22"/>
        </w:rPr>
      </w:pPr>
      <w:r w:rsidRPr="00595CD2">
        <w:rPr>
          <w:rFonts w:ascii="Times New Roman" w:hAnsi="Times New Roman"/>
          <w:sz w:val="22"/>
          <w:szCs w:val="22"/>
        </w:rPr>
        <w:t xml:space="preserve">We estimate a </w:t>
      </w:r>
      <w:r w:rsidRPr="00595CD2" w:rsidR="00E218C0">
        <w:rPr>
          <w:rFonts w:ascii="Times New Roman" w:hAnsi="Times New Roman"/>
          <w:sz w:val="22"/>
          <w:szCs w:val="22"/>
        </w:rPr>
        <w:t>non-</w:t>
      </w:r>
      <w:r w:rsidR="00871C7F">
        <w:rPr>
          <w:rFonts w:ascii="Times New Roman" w:hAnsi="Times New Roman"/>
          <w:sz w:val="22"/>
          <w:szCs w:val="22"/>
        </w:rPr>
        <w:t>f</w:t>
      </w:r>
      <w:r w:rsidRPr="00595CD2" w:rsidR="00E218C0">
        <w:rPr>
          <w:rFonts w:ascii="Times New Roman" w:hAnsi="Times New Roman"/>
          <w:sz w:val="22"/>
          <w:szCs w:val="22"/>
        </w:rPr>
        <w:t>ederal</w:t>
      </w:r>
      <w:r w:rsidR="00115C17">
        <w:rPr>
          <w:rFonts w:ascii="Times New Roman" w:hAnsi="Times New Roman"/>
          <w:sz w:val="22"/>
          <w:szCs w:val="22"/>
        </w:rPr>
        <w:t xml:space="preserve"> public safety</w:t>
      </w:r>
      <w:r w:rsidRPr="00595CD2" w:rsidR="00E218C0">
        <w:rPr>
          <w:rFonts w:ascii="Times New Roman" w:hAnsi="Times New Roman"/>
          <w:sz w:val="22"/>
          <w:szCs w:val="22"/>
        </w:rPr>
        <w:t xml:space="preserve"> entity</w:t>
      </w:r>
      <w:r w:rsidRPr="00595CD2">
        <w:rPr>
          <w:rFonts w:ascii="Times New Roman" w:hAnsi="Times New Roman"/>
          <w:sz w:val="22"/>
          <w:szCs w:val="22"/>
        </w:rPr>
        <w:t xml:space="preserve"> would need </w:t>
      </w:r>
      <w:r w:rsidRPr="00595CD2" w:rsidR="00E218C0">
        <w:rPr>
          <w:rFonts w:ascii="Times New Roman" w:hAnsi="Times New Roman"/>
          <w:sz w:val="22"/>
          <w:szCs w:val="22"/>
        </w:rPr>
        <w:t xml:space="preserve">0.25 </w:t>
      </w:r>
      <w:r w:rsidRPr="00595CD2">
        <w:rPr>
          <w:rFonts w:ascii="Times New Roman" w:hAnsi="Times New Roman"/>
          <w:sz w:val="22"/>
          <w:szCs w:val="22"/>
        </w:rPr>
        <w:t xml:space="preserve">hours to </w:t>
      </w:r>
      <w:r w:rsidR="00FD7E1C">
        <w:rPr>
          <w:rFonts w:ascii="Times New Roman" w:hAnsi="Times New Roman"/>
          <w:sz w:val="22"/>
          <w:szCs w:val="22"/>
        </w:rPr>
        <w:t xml:space="preserve">(1) </w:t>
      </w:r>
      <w:r w:rsidRPr="00595CD2" w:rsidR="00E218C0">
        <w:rPr>
          <w:rFonts w:ascii="Times New Roman" w:hAnsi="Times New Roman"/>
          <w:sz w:val="22"/>
          <w:szCs w:val="22"/>
        </w:rPr>
        <w:t xml:space="preserve">request </w:t>
      </w:r>
      <w:r w:rsidR="00115C17">
        <w:rPr>
          <w:rFonts w:ascii="Times New Roman" w:hAnsi="Times New Roman"/>
          <w:sz w:val="22"/>
          <w:szCs w:val="22"/>
        </w:rPr>
        <w:t xml:space="preserve">written consent from its </w:t>
      </w:r>
      <w:r w:rsidRPr="00595CD2" w:rsidR="00E218C0">
        <w:rPr>
          <w:rFonts w:ascii="Times New Roman" w:hAnsi="Times New Roman"/>
          <w:sz w:val="22"/>
          <w:szCs w:val="22"/>
        </w:rPr>
        <w:t xml:space="preserve">SWIC </w:t>
      </w:r>
      <w:r w:rsidR="00115C17">
        <w:rPr>
          <w:rFonts w:ascii="Times New Roman" w:hAnsi="Times New Roman"/>
          <w:sz w:val="22"/>
          <w:szCs w:val="22"/>
        </w:rPr>
        <w:t xml:space="preserve">or </w:t>
      </w:r>
      <w:r w:rsidRPr="009B42DE" w:rsidR="00871C7F">
        <w:rPr>
          <w:rFonts w:ascii="Times New Roman" w:hAnsi="Times New Roman"/>
          <w:sz w:val="22"/>
          <w:szCs w:val="22"/>
        </w:rPr>
        <w:t>state appointed official</w:t>
      </w:r>
      <w:r w:rsidR="00FD7E1C">
        <w:rPr>
          <w:rFonts w:ascii="Times New Roman" w:hAnsi="Times New Roman"/>
          <w:sz w:val="22"/>
          <w:szCs w:val="22"/>
        </w:rPr>
        <w:t xml:space="preserve"> (likely via email) and (2) attach it to its license application once it receives an electronic copy of the written consent</w:t>
      </w:r>
      <w:r w:rsidRPr="00595CD2" w:rsidR="00BA36D8">
        <w:rPr>
          <w:rFonts w:ascii="Times New Roman" w:hAnsi="Times New Roman"/>
          <w:sz w:val="22"/>
          <w:szCs w:val="22"/>
        </w:rPr>
        <w:t xml:space="preserve">. </w:t>
      </w:r>
      <w:r w:rsidRPr="00595CD2" w:rsidR="00802FB8">
        <w:rPr>
          <w:rFonts w:ascii="Times New Roman" w:hAnsi="Times New Roman"/>
          <w:sz w:val="22"/>
          <w:szCs w:val="22"/>
        </w:rPr>
        <w:t xml:space="preserve"> </w:t>
      </w:r>
      <w:r w:rsidRPr="00595CD2" w:rsidR="00D92B5F">
        <w:rPr>
          <w:rFonts w:ascii="Times New Roman" w:hAnsi="Times New Roman"/>
          <w:sz w:val="22"/>
          <w:szCs w:val="22"/>
        </w:rPr>
        <w:t xml:space="preserve">We anticipate </w:t>
      </w:r>
      <w:r w:rsidRPr="00595CD2" w:rsidR="009E431A">
        <w:rPr>
          <w:rFonts w:ascii="Times New Roman" w:hAnsi="Times New Roman"/>
          <w:sz w:val="22"/>
          <w:szCs w:val="22"/>
        </w:rPr>
        <w:t xml:space="preserve">such </w:t>
      </w:r>
      <w:r w:rsidRPr="00595CD2" w:rsidR="00E218C0">
        <w:rPr>
          <w:rFonts w:ascii="Times New Roman" w:hAnsi="Times New Roman"/>
          <w:sz w:val="22"/>
          <w:szCs w:val="22"/>
        </w:rPr>
        <w:t>request</w:t>
      </w:r>
      <w:r w:rsidR="00115C17">
        <w:rPr>
          <w:rFonts w:ascii="Times New Roman" w:hAnsi="Times New Roman"/>
          <w:sz w:val="22"/>
          <w:szCs w:val="22"/>
        </w:rPr>
        <w:t>s</w:t>
      </w:r>
      <w:r w:rsidRPr="00595CD2" w:rsidR="00E218C0">
        <w:rPr>
          <w:rFonts w:ascii="Times New Roman" w:hAnsi="Times New Roman"/>
          <w:sz w:val="22"/>
          <w:szCs w:val="22"/>
        </w:rPr>
        <w:t xml:space="preserve"> </w:t>
      </w:r>
      <w:r w:rsidRPr="00595CD2" w:rsidR="00FA5945">
        <w:rPr>
          <w:rFonts w:ascii="Times New Roman" w:hAnsi="Times New Roman"/>
          <w:sz w:val="22"/>
          <w:szCs w:val="22"/>
        </w:rPr>
        <w:t xml:space="preserve">being a </w:t>
      </w:r>
      <w:r w:rsidRPr="00595CD2" w:rsidR="009E431A">
        <w:rPr>
          <w:rFonts w:ascii="Times New Roman" w:hAnsi="Times New Roman"/>
          <w:sz w:val="22"/>
          <w:szCs w:val="22"/>
        </w:rPr>
        <w:t xml:space="preserve">one-time filing.  </w:t>
      </w:r>
      <w:r w:rsidRPr="00D41AA2" w:rsidR="00595CD2">
        <w:rPr>
          <w:rFonts w:ascii="Times New Roman" w:hAnsi="Times New Roman"/>
          <w:sz w:val="22"/>
          <w:szCs w:val="22"/>
        </w:rPr>
        <w:lastRenderedPageBreak/>
        <w:t xml:space="preserve">Assuming every </w:t>
      </w:r>
      <w:r w:rsidR="00595CD2">
        <w:rPr>
          <w:rFonts w:ascii="Times New Roman" w:hAnsi="Times New Roman"/>
          <w:sz w:val="22"/>
          <w:szCs w:val="22"/>
        </w:rPr>
        <w:t>non-</w:t>
      </w:r>
      <w:r w:rsidR="00871C7F">
        <w:rPr>
          <w:rFonts w:ascii="Times New Roman" w:hAnsi="Times New Roman"/>
          <w:sz w:val="22"/>
          <w:szCs w:val="22"/>
        </w:rPr>
        <w:t>f</w:t>
      </w:r>
      <w:r w:rsidR="00595CD2">
        <w:rPr>
          <w:rFonts w:ascii="Times New Roman" w:hAnsi="Times New Roman"/>
          <w:sz w:val="22"/>
          <w:szCs w:val="22"/>
        </w:rPr>
        <w:t xml:space="preserve">ederal public safety </w:t>
      </w:r>
      <w:r w:rsidR="00115C17">
        <w:rPr>
          <w:rFonts w:ascii="Times New Roman" w:hAnsi="Times New Roman"/>
          <w:sz w:val="22"/>
          <w:szCs w:val="22"/>
        </w:rPr>
        <w:t xml:space="preserve">licensee in the U.S. </w:t>
      </w:r>
      <w:r w:rsidRPr="00D41AA2" w:rsidR="00595CD2">
        <w:rPr>
          <w:rFonts w:ascii="Times New Roman" w:hAnsi="Times New Roman"/>
          <w:sz w:val="22"/>
          <w:szCs w:val="22"/>
        </w:rPr>
        <w:t>needs to obtain written</w:t>
      </w:r>
      <w:r w:rsidR="00595CD2">
        <w:rPr>
          <w:rFonts w:ascii="Times New Roman" w:hAnsi="Times New Roman"/>
          <w:sz w:val="22"/>
          <w:szCs w:val="22"/>
        </w:rPr>
        <w:t xml:space="preserve"> consent from </w:t>
      </w:r>
      <w:r w:rsidR="003F207E">
        <w:rPr>
          <w:rFonts w:ascii="Times New Roman" w:hAnsi="Times New Roman"/>
          <w:sz w:val="22"/>
          <w:szCs w:val="22"/>
        </w:rPr>
        <w:t xml:space="preserve">its </w:t>
      </w:r>
      <w:r w:rsidR="00595CD2">
        <w:rPr>
          <w:rFonts w:ascii="Times New Roman" w:hAnsi="Times New Roman"/>
          <w:sz w:val="22"/>
          <w:szCs w:val="22"/>
        </w:rPr>
        <w:t xml:space="preserve">SWIC </w:t>
      </w:r>
      <w:r w:rsidR="003F207E">
        <w:rPr>
          <w:rFonts w:ascii="Times New Roman" w:hAnsi="Times New Roman"/>
          <w:sz w:val="22"/>
          <w:szCs w:val="22"/>
        </w:rPr>
        <w:t xml:space="preserve">or </w:t>
      </w:r>
      <w:r w:rsidRPr="009B42DE" w:rsidR="00871C7F">
        <w:rPr>
          <w:rFonts w:ascii="Times New Roman" w:hAnsi="Times New Roman"/>
          <w:sz w:val="22"/>
          <w:szCs w:val="22"/>
        </w:rPr>
        <w:t>state appointed official</w:t>
      </w:r>
      <w:r w:rsidRPr="00D41AA2" w:rsidR="00595CD2">
        <w:rPr>
          <w:rFonts w:ascii="Times New Roman" w:hAnsi="Times New Roman"/>
          <w:sz w:val="22"/>
          <w:szCs w:val="22"/>
        </w:rPr>
        <w:t xml:space="preserve"> </w:t>
      </w:r>
      <w:r w:rsidR="00FD7E1C">
        <w:rPr>
          <w:rFonts w:ascii="Times New Roman" w:hAnsi="Times New Roman"/>
          <w:sz w:val="22"/>
          <w:szCs w:val="22"/>
        </w:rPr>
        <w:t xml:space="preserve">and attach it to a license application </w:t>
      </w:r>
      <w:r w:rsidRPr="00D41AA2" w:rsidR="00595CD2">
        <w:rPr>
          <w:rFonts w:ascii="Times New Roman" w:hAnsi="Times New Roman"/>
          <w:sz w:val="22"/>
          <w:szCs w:val="22"/>
        </w:rPr>
        <w:t xml:space="preserve">the burden hours for this one-time collection would be: </w:t>
      </w:r>
    </w:p>
    <w:p w:rsidRPr="00595CD2" w:rsidR="00871C7F" w:rsidP="00541157" w:rsidRDefault="00871C7F" w14:paraId="6A8EA1CF" w14:textId="77777777">
      <w:pPr>
        <w:widowControl/>
        <w:suppressAutoHyphens/>
        <w:ind w:firstLine="360"/>
        <w:rPr>
          <w:rFonts w:ascii="Times New Roman" w:hAnsi="Times New Roman"/>
          <w:sz w:val="22"/>
          <w:szCs w:val="22"/>
        </w:rPr>
      </w:pPr>
    </w:p>
    <w:p w:rsidR="00737AF2" w:rsidP="00595CD2" w:rsidRDefault="008831D1" w14:paraId="7CE272E3" w14:textId="77777777">
      <w:pPr>
        <w:widowControl/>
        <w:suppressAutoHyphens/>
        <w:ind w:left="720" w:firstLine="720"/>
        <w:rPr>
          <w:rFonts w:ascii="Times New Roman" w:hAnsi="Times New Roman"/>
          <w:sz w:val="22"/>
          <w:szCs w:val="22"/>
        </w:rPr>
      </w:pPr>
      <w:r w:rsidRPr="008831D1">
        <w:rPr>
          <w:rFonts w:ascii="Times New Roman" w:hAnsi="Times New Roman"/>
          <w:sz w:val="22"/>
          <w:szCs w:val="22"/>
        </w:rPr>
        <w:t>45,947</w:t>
      </w:r>
      <w:r w:rsidR="00FA5945">
        <w:rPr>
          <w:rFonts w:ascii="Times New Roman" w:hAnsi="Times New Roman"/>
          <w:sz w:val="22"/>
          <w:szCs w:val="22"/>
        </w:rPr>
        <w:t xml:space="preserve"> </w:t>
      </w:r>
      <w:r>
        <w:rPr>
          <w:rFonts w:ascii="Times New Roman" w:hAnsi="Times New Roman"/>
          <w:sz w:val="22"/>
          <w:szCs w:val="22"/>
        </w:rPr>
        <w:t>Non-Federal Public Safety licensees</w:t>
      </w:r>
      <w:r w:rsidR="00142302">
        <w:rPr>
          <w:rFonts w:ascii="Times New Roman" w:hAnsi="Times New Roman"/>
          <w:sz w:val="22"/>
          <w:szCs w:val="22"/>
        </w:rPr>
        <w:t xml:space="preserve"> </w:t>
      </w:r>
      <w:r w:rsidR="0099600A">
        <w:rPr>
          <w:rFonts w:ascii="Times New Roman" w:hAnsi="Times New Roman"/>
          <w:sz w:val="22"/>
          <w:szCs w:val="22"/>
        </w:rPr>
        <w:t>x</w:t>
      </w:r>
      <w:r w:rsidR="00FA5945">
        <w:rPr>
          <w:rFonts w:ascii="Times New Roman" w:hAnsi="Times New Roman"/>
          <w:sz w:val="22"/>
          <w:szCs w:val="22"/>
        </w:rPr>
        <w:t xml:space="preserve"> </w:t>
      </w:r>
      <w:r w:rsidR="00E218C0">
        <w:rPr>
          <w:rFonts w:ascii="Times New Roman" w:hAnsi="Times New Roman"/>
          <w:sz w:val="22"/>
          <w:szCs w:val="22"/>
        </w:rPr>
        <w:t xml:space="preserve">0.25 </w:t>
      </w:r>
      <w:r w:rsidR="00142302">
        <w:rPr>
          <w:rFonts w:ascii="Times New Roman" w:hAnsi="Times New Roman"/>
          <w:sz w:val="22"/>
          <w:szCs w:val="22"/>
        </w:rPr>
        <w:t xml:space="preserve">hours </w:t>
      </w:r>
      <w:r w:rsidR="00FA5945">
        <w:rPr>
          <w:rFonts w:ascii="Times New Roman" w:hAnsi="Times New Roman"/>
          <w:sz w:val="22"/>
          <w:szCs w:val="22"/>
        </w:rPr>
        <w:t xml:space="preserve">= </w:t>
      </w:r>
      <w:r>
        <w:rPr>
          <w:rFonts w:ascii="Times New Roman" w:hAnsi="Times New Roman"/>
          <w:sz w:val="22"/>
          <w:szCs w:val="22"/>
        </w:rPr>
        <w:t>11,48</w:t>
      </w:r>
      <w:r w:rsidR="00874A49">
        <w:rPr>
          <w:rFonts w:ascii="Times New Roman" w:hAnsi="Times New Roman"/>
          <w:sz w:val="22"/>
          <w:szCs w:val="22"/>
        </w:rPr>
        <w:t xml:space="preserve">7 </w:t>
      </w:r>
      <w:r w:rsidR="00FA5945">
        <w:rPr>
          <w:rFonts w:ascii="Times New Roman" w:hAnsi="Times New Roman"/>
          <w:sz w:val="22"/>
          <w:szCs w:val="22"/>
        </w:rPr>
        <w:t>hours</w:t>
      </w:r>
      <w:r w:rsidR="00874A49">
        <w:rPr>
          <w:rFonts w:ascii="Times New Roman" w:hAnsi="Times New Roman"/>
          <w:sz w:val="22"/>
          <w:szCs w:val="22"/>
        </w:rPr>
        <w:t xml:space="preserve"> (rounded up)</w:t>
      </w:r>
      <w:r w:rsidR="00FA5945">
        <w:rPr>
          <w:rFonts w:ascii="Times New Roman" w:hAnsi="Times New Roman"/>
          <w:sz w:val="22"/>
          <w:szCs w:val="22"/>
        </w:rPr>
        <w:t xml:space="preserve">.  </w:t>
      </w:r>
    </w:p>
    <w:p w:rsidR="008C31F8" w:rsidP="00A101E1" w:rsidRDefault="008C31F8" w14:paraId="165E75DD" w14:textId="77777777">
      <w:pPr>
        <w:widowControl/>
        <w:suppressAutoHyphens/>
        <w:rPr>
          <w:rFonts w:ascii="Times New Roman" w:hAnsi="Times New Roman"/>
          <w:b/>
          <w:sz w:val="22"/>
          <w:szCs w:val="22"/>
        </w:rPr>
      </w:pPr>
    </w:p>
    <w:p w:rsidRPr="008831D1" w:rsidR="00A828E0" w:rsidP="00A101E1" w:rsidRDefault="00A828E0" w14:paraId="40DC5B74" w14:textId="77777777">
      <w:pPr>
        <w:widowControl/>
        <w:suppressAutoHyphens/>
        <w:rPr>
          <w:rFonts w:ascii="Times New Roman" w:hAnsi="Times New Roman"/>
          <w:b/>
          <w:sz w:val="22"/>
          <w:szCs w:val="22"/>
        </w:rPr>
      </w:pPr>
      <w:r w:rsidRPr="004C6B70">
        <w:rPr>
          <w:rFonts w:ascii="Times New Roman" w:hAnsi="Times New Roman"/>
          <w:b/>
          <w:sz w:val="22"/>
          <w:szCs w:val="22"/>
        </w:rPr>
        <w:t xml:space="preserve">Total </w:t>
      </w:r>
      <w:r w:rsidRPr="008831D1">
        <w:rPr>
          <w:rFonts w:ascii="Times New Roman" w:hAnsi="Times New Roman"/>
          <w:b/>
          <w:sz w:val="22"/>
          <w:szCs w:val="22"/>
        </w:rPr>
        <w:t>Respondents:</w:t>
      </w:r>
      <w:r w:rsidRPr="008831D1" w:rsidR="00245FD8">
        <w:rPr>
          <w:rFonts w:ascii="Times New Roman" w:hAnsi="Times New Roman"/>
          <w:b/>
          <w:sz w:val="22"/>
          <w:szCs w:val="22"/>
        </w:rPr>
        <w:t xml:space="preserve"> </w:t>
      </w:r>
      <w:r w:rsidRPr="008831D1" w:rsidR="008831D1">
        <w:rPr>
          <w:rFonts w:ascii="Times New Roman" w:hAnsi="Times New Roman"/>
          <w:b/>
          <w:sz w:val="22"/>
          <w:szCs w:val="22"/>
        </w:rPr>
        <w:t>45,947</w:t>
      </w:r>
    </w:p>
    <w:p w:rsidRPr="008831D1" w:rsidR="00A828E0" w:rsidP="00A101E1" w:rsidRDefault="00A828E0" w14:paraId="60AD4582" w14:textId="77777777">
      <w:pPr>
        <w:widowControl/>
        <w:suppressAutoHyphens/>
        <w:rPr>
          <w:rFonts w:ascii="Times New Roman" w:hAnsi="Times New Roman"/>
          <w:b/>
          <w:sz w:val="22"/>
          <w:szCs w:val="22"/>
        </w:rPr>
      </w:pPr>
    </w:p>
    <w:p w:rsidRPr="008831D1" w:rsidR="00A828E0" w:rsidP="00A101E1" w:rsidRDefault="00A828E0" w14:paraId="72507A4B" w14:textId="77777777">
      <w:pPr>
        <w:widowControl/>
        <w:suppressAutoHyphens/>
        <w:rPr>
          <w:rFonts w:ascii="Times New Roman" w:hAnsi="Times New Roman"/>
          <w:b/>
          <w:sz w:val="22"/>
          <w:szCs w:val="22"/>
        </w:rPr>
      </w:pPr>
      <w:r w:rsidRPr="008831D1">
        <w:rPr>
          <w:rFonts w:ascii="Times New Roman" w:hAnsi="Times New Roman"/>
          <w:b/>
          <w:sz w:val="22"/>
          <w:szCs w:val="22"/>
        </w:rPr>
        <w:t xml:space="preserve">Total Responses:  </w:t>
      </w:r>
      <w:r w:rsidRPr="008831D1" w:rsidR="008831D1">
        <w:rPr>
          <w:rFonts w:ascii="Times New Roman" w:hAnsi="Times New Roman"/>
          <w:b/>
          <w:sz w:val="22"/>
          <w:szCs w:val="22"/>
        </w:rPr>
        <w:t xml:space="preserve">45,947 </w:t>
      </w:r>
      <w:r w:rsidRPr="008831D1" w:rsidR="00245FD8">
        <w:rPr>
          <w:rFonts w:ascii="Times New Roman" w:hAnsi="Times New Roman"/>
          <w:b/>
          <w:sz w:val="22"/>
          <w:szCs w:val="22"/>
        </w:rPr>
        <w:t xml:space="preserve"> </w:t>
      </w:r>
    </w:p>
    <w:p w:rsidRPr="008831D1" w:rsidR="008C31F8" w:rsidP="00A101E1" w:rsidRDefault="008C31F8" w14:paraId="147088EF" w14:textId="77777777">
      <w:pPr>
        <w:widowControl/>
        <w:suppressAutoHyphens/>
        <w:rPr>
          <w:rFonts w:ascii="Times New Roman" w:hAnsi="Times New Roman"/>
          <w:b/>
          <w:sz w:val="22"/>
          <w:szCs w:val="22"/>
        </w:rPr>
      </w:pPr>
    </w:p>
    <w:p w:rsidRPr="008831D1" w:rsidR="008C31F8" w:rsidP="00A101E1" w:rsidRDefault="008C31F8" w14:paraId="3C41EBB3" w14:textId="77777777">
      <w:pPr>
        <w:widowControl/>
        <w:suppressAutoHyphens/>
        <w:rPr>
          <w:rFonts w:ascii="Times New Roman" w:hAnsi="Times New Roman"/>
          <w:b/>
          <w:sz w:val="22"/>
          <w:szCs w:val="22"/>
        </w:rPr>
      </w:pPr>
      <w:r w:rsidRPr="008831D1">
        <w:rPr>
          <w:rFonts w:ascii="Times New Roman" w:hAnsi="Times New Roman"/>
          <w:b/>
          <w:sz w:val="22"/>
          <w:szCs w:val="22"/>
        </w:rPr>
        <w:t>Total Annual Burden Hours:</w:t>
      </w:r>
      <w:r w:rsidRPr="008831D1" w:rsidR="00245FD8">
        <w:rPr>
          <w:rFonts w:ascii="Times New Roman" w:hAnsi="Times New Roman"/>
          <w:b/>
          <w:sz w:val="22"/>
          <w:szCs w:val="22"/>
        </w:rPr>
        <w:t xml:space="preserve"> </w:t>
      </w:r>
      <w:r w:rsidRPr="004D6DA6" w:rsidR="008831D1">
        <w:rPr>
          <w:rFonts w:ascii="Times New Roman" w:hAnsi="Times New Roman"/>
          <w:b/>
          <w:sz w:val="22"/>
          <w:szCs w:val="22"/>
        </w:rPr>
        <w:t>11,48</w:t>
      </w:r>
      <w:r w:rsidRPr="004D6DA6" w:rsidR="00874A49">
        <w:rPr>
          <w:rFonts w:ascii="Times New Roman" w:hAnsi="Times New Roman"/>
          <w:b/>
          <w:sz w:val="22"/>
          <w:szCs w:val="22"/>
        </w:rPr>
        <w:t xml:space="preserve">7 </w:t>
      </w:r>
      <w:r w:rsidRPr="004D6DA6" w:rsidR="00245FD8">
        <w:rPr>
          <w:rFonts w:ascii="Times New Roman" w:hAnsi="Times New Roman"/>
          <w:b/>
          <w:sz w:val="22"/>
          <w:szCs w:val="22"/>
        </w:rPr>
        <w:t>hours</w:t>
      </w:r>
      <w:r w:rsidR="00874A49">
        <w:rPr>
          <w:rFonts w:ascii="Times New Roman" w:hAnsi="Times New Roman"/>
          <w:b/>
          <w:sz w:val="22"/>
          <w:szCs w:val="22"/>
        </w:rPr>
        <w:t xml:space="preserve"> rounded up to a whole number </w:t>
      </w:r>
    </w:p>
    <w:p w:rsidRPr="00D26242" w:rsidR="008C31F8" w:rsidP="00A101E1" w:rsidRDefault="008C31F8" w14:paraId="47FC18AE" w14:textId="77777777">
      <w:pPr>
        <w:widowControl/>
        <w:suppressAutoHyphens/>
        <w:rPr>
          <w:rFonts w:ascii="Times New Roman" w:hAnsi="Times New Roman"/>
          <w:b/>
          <w:sz w:val="22"/>
          <w:szCs w:val="22"/>
          <w:highlight w:val="yellow"/>
        </w:rPr>
      </w:pPr>
    </w:p>
    <w:p w:rsidR="00A828E0" w:rsidP="00A101E1" w:rsidRDefault="008C31F8" w14:paraId="2D4B9F35" w14:textId="77777777">
      <w:pPr>
        <w:widowControl/>
        <w:suppressAutoHyphens/>
        <w:rPr>
          <w:rFonts w:ascii="Times New Roman" w:hAnsi="Times New Roman"/>
          <w:sz w:val="22"/>
          <w:szCs w:val="22"/>
        </w:rPr>
      </w:pPr>
      <w:r w:rsidRPr="00A52A65">
        <w:rPr>
          <w:rFonts w:ascii="Times New Roman" w:hAnsi="Times New Roman"/>
          <w:b/>
          <w:sz w:val="22"/>
          <w:szCs w:val="22"/>
        </w:rPr>
        <w:t>Total In-House Cost:</w:t>
      </w:r>
      <w:r w:rsidRPr="00A52A65" w:rsidR="004C6B70">
        <w:rPr>
          <w:rFonts w:ascii="Times New Roman" w:hAnsi="Times New Roman"/>
          <w:b/>
          <w:sz w:val="22"/>
          <w:szCs w:val="22"/>
        </w:rPr>
        <w:t xml:space="preserve"> None. </w:t>
      </w:r>
      <w:r w:rsidRPr="00A52A65" w:rsidR="00245FD8">
        <w:rPr>
          <w:rFonts w:ascii="Times New Roman" w:hAnsi="Times New Roman"/>
          <w:b/>
          <w:sz w:val="22"/>
          <w:szCs w:val="22"/>
        </w:rPr>
        <w:t xml:space="preserve"> </w:t>
      </w:r>
    </w:p>
    <w:p w:rsidR="00A828E0" w:rsidP="00A101E1" w:rsidRDefault="00A828E0" w14:paraId="49277F7B" w14:textId="77777777">
      <w:pPr>
        <w:widowControl/>
        <w:suppressAutoHyphens/>
        <w:rPr>
          <w:rFonts w:ascii="Times New Roman" w:hAnsi="Times New Roman"/>
          <w:sz w:val="22"/>
          <w:szCs w:val="22"/>
        </w:rPr>
      </w:pPr>
    </w:p>
    <w:p w:rsidR="00D00EFA" w:rsidP="00D00EFA" w:rsidRDefault="00D00EFA" w14:paraId="0B52799D" w14:textId="77777777">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rsidR="00D00EFA" w:rsidP="00D00EFA" w:rsidRDefault="00D00EFA" w14:paraId="76102D09" w14:textId="77777777">
      <w:pPr>
        <w:widowControl/>
        <w:suppressAutoHyphens/>
        <w:rPr>
          <w:rFonts w:ascii="Times New Roman" w:hAnsi="Times New Roman"/>
          <w:sz w:val="22"/>
          <w:szCs w:val="22"/>
        </w:rPr>
      </w:pPr>
    </w:p>
    <w:p w:rsidR="00F16ED7" w:rsidP="006F791E" w:rsidRDefault="00841335" w14:paraId="659CAA87" w14:textId="6FF1EBE4">
      <w:pPr>
        <w:widowControl/>
        <w:suppressAutoHyphens/>
        <w:ind w:firstLine="360"/>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 detailed </w:t>
      </w:r>
      <w:r w:rsidR="00F21140">
        <w:rPr>
          <w:rFonts w:ascii="Times New Roman" w:hAnsi="Times New Roman"/>
          <w:sz w:val="22"/>
          <w:szCs w:val="22"/>
        </w:rPr>
        <w:t>in Section</w:t>
      </w:r>
      <w:r w:rsidR="003F207E">
        <w:rPr>
          <w:rFonts w:ascii="Times New Roman" w:hAnsi="Times New Roman"/>
          <w:sz w:val="22"/>
          <w:szCs w:val="22"/>
        </w:rPr>
        <w:t xml:space="preserve"> 90.25</w:t>
      </w:r>
      <w:r w:rsidR="00C63A22">
        <w:rPr>
          <w:rFonts w:ascii="Times New Roman" w:hAnsi="Times New Roman"/>
          <w:sz w:val="22"/>
          <w:szCs w:val="22"/>
        </w:rPr>
        <w:t xml:space="preserve">. </w:t>
      </w:r>
      <w:r w:rsidR="003F207E">
        <w:rPr>
          <w:rFonts w:ascii="Times New Roman" w:hAnsi="Times New Roman"/>
          <w:sz w:val="22"/>
          <w:szCs w:val="22"/>
        </w:rPr>
        <w:t xml:space="preserve"> </w:t>
      </w:r>
      <w:r w:rsidR="00B833D4">
        <w:rPr>
          <w:rFonts w:ascii="Times New Roman" w:hAnsi="Times New Roman"/>
          <w:sz w:val="22"/>
          <w:szCs w:val="22"/>
        </w:rPr>
        <w:t xml:space="preserve">Nor are there </w:t>
      </w:r>
      <w:r w:rsidRPr="001E443B" w:rsidR="00D628EF">
        <w:rPr>
          <w:rFonts w:ascii="Times New Roman" w:hAnsi="Times New Roman"/>
          <w:sz w:val="22"/>
          <w:szCs w:val="22"/>
        </w:rPr>
        <w:t>operational or maintenance costs</w:t>
      </w:r>
      <w:r w:rsidR="00D628EF">
        <w:rPr>
          <w:rFonts w:ascii="Times New Roman" w:hAnsi="Times New Roman"/>
          <w:sz w:val="22"/>
          <w:szCs w:val="22"/>
        </w:rPr>
        <w:t xml:space="preserve"> associated with infor</w:t>
      </w:r>
      <w:r w:rsidR="00C63A22">
        <w:rPr>
          <w:rFonts w:ascii="Times New Roman" w:hAnsi="Times New Roman"/>
          <w:sz w:val="22"/>
          <w:szCs w:val="22"/>
        </w:rPr>
        <w:t xml:space="preserve">mation collection detailed </w:t>
      </w:r>
      <w:r w:rsidR="00F21140">
        <w:rPr>
          <w:rFonts w:ascii="Times New Roman" w:hAnsi="Times New Roman"/>
          <w:sz w:val="22"/>
          <w:szCs w:val="22"/>
        </w:rPr>
        <w:t>in Section</w:t>
      </w:r>
      <w:r w:rsidR="00B833D4">
        <w:rPr>
          <w:rFonts w:ascii="Times New Roman" w:hAnsi="Times New Roman"/>
          <w:sz w:val="22"/>
          <w:szCs w:val="22"/>
        </w:rPr>
        <w:t xml:space="preserve"> 90.25</w:t>
      </w:r>
      <w:r w:rsidR="00D628EF">
        <w:rPr>
          <w:rFonts w:ascii="Times New Roman" w:hAnsi="Times New Roman"/>
          <w:sz w:val="22"/>
          <w:szCs w:val="22"/>
        </w:rPr>
        <w:t>.</w:t>
      </w:r>
    </w:p>
    <w:p w:rsidRPr="001E443B" w:rsidR="0079711D" w:rsidP="00275AF4" w:rsidRDefault="0079711D" w14:paraId="4646EB6A" w14:textId="77777777">
      <w:pPr>
        <w:widowControl/>
        <w:suppressAutoHyphens/>
        <w:rPr>
          <w:rFonts w:ascii="Times New Roman" w:hAnsi="Times New Roman"/>
          <w:sz w:val="22"/>
          <w:szCs w:val="22"/>
        </w:rPr>
      </w:pPr>
    </w:p>
    <w:p w:rsidR="00EF3305" w:rsidP="005D6CB3" w:rsidRDefault="005D6CB3" w14:paraId="29C20A57" w14:textId="77777777">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rsidR="005D6CB3" w:rsidP="005D6CB3" w:rsidRDefault="005D6CB3" w14:paraId="1413745D" w14:textId="77777777">
      <w:pPr>
        <w:widowControl/>
        <w:suppressAutoHyphens/>
        <w:rPr>
          <w:rFonts w:ascii="Times New Roman" w:hAnsi="Times New Roman"/>
          <w:sz w:val="22"/>
          <w:szCs w:val="22"/>
        </w:rPr>
      </w:pPr>
    </w:p>
    <w:p w:rsidR="005D6CB3" w:rsidP="006F791E" w:rsidRDefault="00E71579" w14:paraId="4963D592" w14:textId="1CBECFD5">
      <w:pPr>
        <w:widowControl/>
        <w:suppressAutoHyphens/>
        <w:ind w:firstLine="360"/>
        <w:rPr>
          <w:rFonts w:ascii="Times New Roman" w:hAnsi="Times New Roman"/>
          <w:sz w:val="22"/>
          <w:szCs w:val="22"/>
        </w:rPr>
      </w:pPr>
      <w:r>
        <w:rPr>
          <w:rFonts w:ascii="Times New Roman" w:hAnsi="Times New Roman"/>
          <w:sz w:val="22"/>
          <w:szCs w:val="22"/>
        </w:rPr>
        <w:t>The Bureau’s</w:t>
      </w:r>
      <w:r w:rsidR="005D6CB3">
        <w:rPr>
          <w:rFonts w:ascii="Times New Roman" w:hAnsi="Times New Roman"/>
          <w:sz w:val="22"/>
          <w:szCs w:val="22"/>
        </w:rPr>
        <w:t xml:space="preserve"> staff will </w:t>
      </w:r>
      <w:r w:rsidR="00667BCB">
        <w:rPr>
          <w:rFonts w:ascii="Times New Roman" w:hAnsi="Times New Roman"/>
          <w:sz w:val="22"/>
          <w:szCs w:val="22"/>
        </w:rPr>
        <w:t xml:space="preserve">only </w:t>
      </w:r>
      <w:r w:rsidR="005D6CB3">
        <w:rPr>
          <w:rFonts w:ascii="Times New Roman" w:hAnsi="Times New Roman"/>
          <w:sz w:val="22"/>
          <w:szCs w:val="22"/>
        </w:rPr>
        <w:t xml:space="preserve">review </w:t>
      </w:r>
      <w:r w:rsidR="00667BCB">
        <w:rPr>
          <w:rFonts w:ascii="Times New Roman" w:hAnsi="Times New Roman"/>
          <w:sz w:val="22"/>
          <w:szCs w:val="22"/>
        </w:rPr>
        <w:t xml:space="preserve">the information collection document described in </w:t>
      </w:r>
      <w:r w:rsidR="00B833D4">
        <w:rPr>
          <w:rFonts w:ascii="Times New Roman" w:hAnsi="Times New Roman"/>
          <w:sz w:val="22"/>
          <w:szCs w:val="22"/>
        </w:rPr>
        <w:t xml:space="preserve">Section 90.25 </w:t>
      </w:r>
      <w:r w:rsidR="00667BCB">
        <w:rPr>
          <w:rFonts w:ascii="Times New Roman" w:hAnsi="Times New Roman"/>
          <w:sz w:val="22"/>
          <w:szCs w:val="22"/>
        </w:rPr>
        <w:t xml:space="preserve">if a </w:t>
      </w:r>
      <w:r w:rsidR="00DC3D80">
        <w:rPr>
          <w:rFonts w:ascii="Times New Roman" w:hAnsi="Times New Roman"/>
          <w:sz w:val="22"/>
          <w:szCs w:val="22"/>
        </w:rPr>
        <w:t>non-</w:t>
      </w:r>
      <w:r w:rsidR="00B833D4">
        <w:rPr>
          <w:rFonts w:ascii="Times New Roman" w:hAnsi="Times New Roman"/>
          <w:sz w:val="22"/>
          <w:szCs w:val="22"/>
        </w:rPr>
        <w:t>f</w:t>
      </w:r>
      <w:r w:rsidR="00DC3D80">
        <w:rPr>
          <w:rFonts w:ascii="Times New Roman" w:hAnsi="Times New Roman"/>
          <w:sz w:val="22"/>
          <w:szCs w:val="22"/>
        </w:rPr>
        <w:t xml:space="preserve">ederal </w:t>
      </w:r>
      <w:r w:rsidR="00667BCB">
        <w:rPr>
          <w:rFonts w:ascii="Times New Roman" w:hAnsi="Times New Roman"/>
          <w:sz w:val="22"/>
          <w:szCs w:val="22"/>
        </w:rPr>
        <w:t xml:space="preserve">public safety </w:t>
      </w:r>
      <w:r w:rsidR="00B833D4">
        <w:rPr>
          <w:rFonts w:ascii="Times New Roman" w:hAnsi="Times New Roman"/>
          <w:sz w:val="22"/>
          <w:szCs w:val="22"/>
        </w:rPr>
        <w:t xml:space="preserve">entity </w:t>
      </w:r>
      <w:r w:rsidR="00B22170">
        <w:rPr>
          <w:rFonts w:ascii="Times New Roman" w:hAnsi="Times New Roman"/>
          <w:sz w:val="22"/>
          <w:szCs w:val="22"/>
        </w:rPr>
        <w:t xml:space="preserve">includes the document as an attachment to </w:t>
      </w:r>
      <w:r w:rsidR="00B833D4">
        <w:rPr>
          <w:rFonts w:ascii="Times New Roman" w:hAnsi="Times New Roman"/>
          <w:sz w:val="22"/>
          <w:szCs w:val="22"/>
        </w:rPr>
        <w:t xml:space="preserve">its </w:t>
      </w:r>
      <w:r w:rsidR="00667BCB">
        <w:rPr>
          <w:rFonts w:ascii="Times New Roman" w:hAnsi="Times New Roman"/>
          <w:sz w:val="22"/>
          <w:szCs w:val="22"/>
        </w:rPr>
        <w:t xml:space="preserve">application.  </w:t>
      </w:r>
      <w:r w:rsidR="00142302">
        <w:rPr>
          <w:rFonts w:ascii="Times New Roman" w:hAnsi="Times New Roman"/>
          <w:sz w:val="22"/>
          <w:szCs w:val="22"/>
        </w:rPr>
        <w:t xml:space="preserve">We estimate it will take staff </w:t>
      </w:r>
      <w:r w:rsidR="006C27E1">
        <w:rPr>
          <w:rFonts w:ascii="Times New Roman" w:hAnsi="Times New Roman"/>
          <w:sz w:val="22"/>
          <w:szCs w:val="22"/>
        </w:rPr>
        <w:t xml:space="preserve">0.25 </w:t>
      </w:r>
      <w:r w:rsidR="00142302">
        <w:rPr>
          <w:rFonts w:ascii="Times New Roman" w:hAnsi="Times New Roman"/>
          <w:sz w:val="22"/>
          <w:szCs w:val="22"/>
        </w:rPr>
        <w:t xml:space="preserve">hours to review such </w:t>
      </w:r>
      <w:r w:rsidR="005D6CB3">
        <w:rPr>
          <w:rFonts w:ascii="Times New Roman" w:hAnsi="Times New Roman"/>
          <w:sz w:val="22"/>
          <w:szCs w:val="22"/>
        </w:rPr>
        <w:t>attachments</w:t>
      </w:r>
      <w:r w:rsidR="00142302">
        <w:rPr>
          <w:rFonts w:ascii="Times New Roman" w:hAnsi="Times New Roman"/>
          <w:sz w:val="22"/>
          <w:szCs w:val="22"/>
        </w:rPr>
        <w:t xml:space="preserve"> when reviewing an application.  </w:t>
      </w:r>
    </w:p>
    <w:p w:rsidR="00142302" w:rsidP="005D6CB3" w:rsidRDefault="00142302" w14:paraId="16052E50" w14:textId="77777777">
      <w:pPr>
        <w:widowControl/>
        <w:suppressAutoHyphens/>
        <w:rPr>
          <w:rFonts w:ascii="Times New Roman" w:hAnsi="Times New Roman"/>
          <w:sz w:val="22"/>
          <w:szCs w:val="22"/>
        </w:rPr>
      </w:pPr>
    </w:p>
    <w:p w:rsidR="00EF3305" w:rsidP="006F791E" w:rsidRDefault="009533AF" w14:paraId="5FCE7898" w14:textId="77777777">
      <w:pPr>
        <w:widowControl/>
        <w:suppressAutoHyphens/>
        <w:ind w:firstLine="360"/>
        <w:rPr>
          <w:rFonts w:ascii="Times New Roman" w:hAnsi="Times New Roman"/>
          <w:sz w:val="22"/>
          <w:szCs w:val="22"/>
        </w:rPr>
      </w:pPr>
      <w:r>
        <w:rPr>
          <w:rFonts w:ascii="Times New Roman" w:hAnsi="Times New Roman"/>
          <w:sz w:val="22"/>
          <w:szCs w:val="22"/>
        </w:rPr>
        <w:t>Assuming every non-</w:t>
      </w:r>
      <w:r w:rsidR="00564F9E">
        <w:rPr>
          <w:rFonts w:ascii="Times New Roman" w:hAnsi="Times New Roman"/>
          <w:sz w:val="22"/>
          <w:szCs w:val="22"/>
        </w:rPr>
        <w:t>f</w:t>
      </w:r>
      <w:r>
        <w:rPr>
          <w:rFonts w:ascii="Times New Roman" w:hAnsi="Times New Roman"/>
          <w:sz w:val="22"/>
          <w:szCs w:val="22"/>
        </w:rPr>
        <w:t xml:space="preserve">ederal public entity </w:t>
      </w:r>
      <w:r w:rsidR="00142302">
        <w:rPr>
          <w:rFonts w:ascii="Times New Roman" w:hAnsi="Times New Roman"/>
          <w:sz w:val="22"/>
          <w:szCs w:val="22"/>
        </w:rPr>
        <w:t xml:space="preserve">files an application and includes the </w:t>
      </w:r>
      <w:r w:rsidR="00B833D4">
        <w:rPr>
          <w:rFonts w:ascii="Times New Roman" w:hAnsi="Times New Roman"/>
          <w:sz w:val="22"/>
          <w:szCs w:val="22"/>
        </w:rPr>
        <w:t xml:space="preserve">required </w:t>
      </w:r>
      <w:r w:rsidR="00142302">
        <w:rPr>
          <w:rFonts w:ascii="Times New Roman" w:hAnsi="Times New Roman"/>
          <w:sz w:val="22"/>
          <w:szCs w:val="22"/>
        </w:rPr>
        <w:t>attachment</w:t>
      </w:r>
      <w:r w:rsidR="00252CB2">
        <w:rPr>
          <w:rFonts w:ascii="Times New Roman" w:hAnsi="Times New Roman"/>
          <w:sz w:val="22"/>
          <w:szCs w:val="22"/>
        </w:rPr>
        <w:t xml:space="preserve"> with a one-time application</w:t>
      </w:r>
      <w:r w:rsidR="00142302">
        <w:rPr>
          <w:rFonts w:ascii="Times New Roman" w:hAnsi="Times New Roman"/>
          <w:sz w:val="22"/>
          <w:szCs w:val="22"/>
        </w:rPr>
        <w:t>, we</w:t>
      </w:r>
      <w:r w:rsidRPr="001E443B" w:rsidR="00EF3305">
        <w:rPr>
          <w:rFonts w:ascii="Times New Roman" w:hAnsi="Times New Roman"/>
          <w:sz w:val="22"/>
          <w:szCs w:val="22"/>
        </w:rPr>
        <w:t xml:space="preserve"> </w:t>
      </w:r>
      <w:r w:rsidR="00142302">
        <w:rPr>
          <w:rFonts w:ascii="Times New Roman" w:hAnsi="Times New Roman"/>
          <w:sz w:val="22"/>
          <w:szCs w:val="22"/>
        </w:rPr>
        <w:t>e</w:t>
      </w:r>
      <w:r w:rsidRPr="001E443B" w:rsidR="00EF3305">
        <w:rPr>
          <w:rFonts w:ascii="Times New Roman" w:hAnsi="Times New Roman"/>
          <w:sz w:val="22"/>
          <w:szCs w:val="22"/>
        </w:rPr>
        <w:t xml:space="preserve">stimate </w:t>
      </w:r>
      <w:r w:rsidR="00142302">
        <w:rPr>
          <w:rFonts w:ascii="Times New Roman" w:hAnsi="Times New Roman"/>
          <w:sz w:val="22"/>
          <w:szCs w:val="22"/>
        </w:rPr>
        <w:t xml:space="preserve">the </w:t>
      </w:r>
      <w:r w:rsidRPr="001E443B" w:rsidR="00EF3305">
        <w:rPr>
          <w:rFonts w:ascii="Times New Roman" w:hAnsi="Times New Roman"/>
          <w:sz w:val="22"/>
          <w:szCs w:val="22"/>
        </w:rPr>
        <w:t xml:space="preserve">cost to </w:t>
      </w:r>
      <w:r w:rsidR="00AB306C">
        <w:rPr>
          <w:rFonts w:ascii="Times New Roman" w:hAnsi="Times New Roman"/>
          <w:sz w:val="22"/>
          <w:szCs w:val="22"/>
        </w:rPr>
        <w:t>f</w:t>
      </w:r>
      <w:r w:rsidRPr="001E443B" w:rsidR="00EF3305">
        <w:rPr>
          <w:rFonts w:ascii="Times New Roman" w:hAnsi="Times New Roman"/>
          <w:sz w:val="22"/>
          <w:szCs w:val="22"/>
        </w:rPr>
        <w:t xml:space="preserve">ederal </w:t>
      </w:r>
      <w:r w:rsidR="00AB306C">
        <w:rPr>
          <w:rFonts w:ascii="Times New Roman" w:hAnsi="Times New Roman"/>
          <w:sz w:val="22"/>
          <w:szCs w:val="22"/>
        </w:rPr>
        <w:t>g</w:t>
      </w:r>
      <w:r w:rsidRPr="001E443B" w:rsidR="00EF3305">
        <w:rPr>
          <w:rFonts w:ascii="Times New Roman" w:hAnsi="Times New Roman"/>
          <w:sz w:val="22"/>
          <w:szCs w:val="22"/>
        </w:rPr>
        <w:t>overnment</w:t>
      </w:r>
      <w:r w:rsidR="00142302">
        <w:rPr>
          <w:rFonts w:ascii="Times New Roman" w:hAnsi="Times New Roman"/>
          <w:sz w:val="22"/>
          <w:szCs w:val="22"/>
        </w:rPr>
        <w:t xml:space="preserve"> to be</w:t>
      </w:r>
      <w:r w:rsidRPr="001E443B" w:rsidR="00EF3305">
        <w:rPr>
          <w:rFonts w:ascii="Times New Roman" w:hAnsi="Times New Roman"/>
          <w:sz w:val="22"/>
          <w:szCs w:val="22"/>
        </w:rPr>
        <w:t xml:space="preserve">: </w:t>
      </w:r>
    </w:p>
    <w:p w:rsidR="00782C23" w:rsidP="00275AF4" w:rsidRDefault="00782C23" w14:paraId="0EF54EA4" w14:textId="77777777">
      <w:pPr>
        <w:widowControl/>
        <w:suppressAutoHyphens/>
        <w:rPr>
          <w:rFonts w:ascii="Times New Roman" w:hAnsi="Times New Roman"/>
          <w:sz w:val="22"/>
          <w:szCs w:val="22"/>
        </w:rPr>
      </w:pPr>
    </w:p>
    <w:p w:rsidR="00EB77E8" w:rsidP="006F791E" w:rsidRDefault="00C07F97" w14:paraId="73D6A0DF" w14:textId="7E409049">
      <w:pPr>
        <w:widowControl/>
        <w:suppressAutoHyphens/>
        <w:ind w:left="360"/>
        <w:rPr>
          <w:rFonts w:ascii="Times New Roman" w:hAnsi="Times New Roman"/>
          <w:sz w:val="22"/>
          <w:szCs w:val="22"/>
        </w:rPr>
      </w:pPr>
      <w:r>
        <w:rPr>
          <w:rFonts w:ascii="Times New Roman" w:hAnsi="Times New Roman"/>
          <w:sz w:val="22"/>
          <w:szCs w:val="22"/>
        </w:rPr>
        <w:t>$</w:t>
      </w:r>
      <w:r w:rsidR="00EB77E8">
        <w:rPr>
          <w:rFonts w:ascii="Times New Roman" w:hAnsi="Times New Roman"/>
          <w:sz w:val="22"/>
          <w:szCs w:val="22"/>
        </w:rPr>
        <w:t>3</w:t>
      </w:r>
      <w:r w:rsidR="002A7587">
        <w:rPr>
          <w:rFonts w:ascii="Times New Roman" w:hAnsi="Times New Roman"/>
          <w:sz w:val="22"/>
          <w:szCs w:val="22"/>
        </w:rPr>
        <w:t>9.51</w:t>
      </w:r>
      <w:r w:rsidR="00874A49">
        <w:rPr>
          <w:rFonts w:ascii="Times New Roman" w:hAnsi="Times New Roman"/>
          <w:sz w:val="22"/>
          <w:szCs w:val="22"/>
        </w:rPr>
        <w:t xml:space="preserve"> </w:t>
      </w:r>
      <w:r w:rsidR="00A828E0">
        <w:rPr>
          <w:rFonts w:ascii="Times New Roman" w:hAnsi="Times New Roman"/>
          <w:sz w:val="22"/>
          <w:szCs w:val="22"/>
        </w:rPr>
        <w:t xml:space="preserve">salary </w:t>
      </w:r>
      <w:r w:rsidRPr="00782C23" w:rsidR="00782C23">
        <w:rPr>
          <w:rFonts w:ascii="Times New Roman" w:hAnsi="Times New Roman"/>
          <w:sz w:val="22"/>
          <w:szCs w:val="22"/>
        </w:rPr>
        <w:t>per hour</w:t>
      </w:r>
      <w:r w:rsidR="00A828E0">
        <w:rPr>
          <w:rFonts w:ascii="Times New Roman" w:hAnsi="Times New Roman"/>
          <w:sz w:val="22"/>
          <w:szCs w:val="22"/>
        </w:rPr>
        <w:t xml:space="preserve"> </w:t>
      </w:r>
      <w:r w:rsidRPr="00782C23" w:rsidR="00782C23">
        <w:rPr>
          <w:rFonts w:ascii="Times New Roman" w:hAnsi="Times New Roman"/>
          <w:sz w:val="22"/>
          <w:szCs w:val="22"/>
        </w:rPr>
        <w:t>(</w:t>
      </w:r>
      <w:r>
        <w:rPr>
          <w:rFonts w:ascii="Times New Roman" w:hAnsi="Times New Roman"/>
          <w:sz w:val="22"/>
          <w:szCs w:val="22"/>
        </w:rPr>
        <w:t xml:space="preserve">GS 11, Step </w:t>
      </w:r>
      <w:r w:rsidR="00874A49">
        <w:rPr>
          <w:rFonts w:ascii="Times New Roman" w:hAnsi="Times New Roman"/>
          <w:sz w:val="22"/>
          <w:szCs w:val="22"/>
        </w:rPr>
        <w:t>5</w:t>
      </w:r>
      <w:r>
        <w:rPr>
          <w:rFonts w:ascii="Times New Roman" w:hAnsi="Times New Roman"/>
          <w:sz w:val="22"/>
          <w:szCs w:val="22"/>
        </w:rPr>
        <w:t>/Electronics Engineer</w:t>
      </w:r>
      <w:r w:rsidR="007023A1">
        <w:rPr>
          <w:rFonts w:ascii="Times New Roman" w:hAnsi="Times New Roman"/>
          <w:sz w:val="22"/>
          <w:szCs w:val="22"/>
        </w:rPr>
        <w:t xml:space="preserve">) </w:t>
      </w:r>
      <w:r w:rsidR="006C27E1">
        <w:rPr>
          <w:rFonts w:ascii="Times New Roman" w:hAnsi="Times New Roman"/>
          <w:sz w:val="22"/>
          <w:szCs w:val="22"/>
        </w:rPr>
        <w:t>0.25</w:t>
      </w:r>
      <w:r w:rsidR="0099600A">
        <w:rPr>
          <w:rFonts w:ascii="Times New Roman" w:hAnsi="Times New Roman"/>
          <w:sz w:val="22"/>
          <w:szCs w:val="22"/>
        </w:rPr>
        <w:t xml:space="preserve"> hours x</w:t>
      </w:r>
      <w:r w:rsidRPr="00782C23" w:rsidR="00782C23">
        <w:rPr>
          <w:rFonts w:ascii="Times New Roman" w:hAnsi="Times New Roman"/>
          <w:sz w:val="22"/>
          <w:szCs w:val="22"/>
        </w:rPr>
        <w:t xml:space="preserve"> </w:t>
      </w:r>
      <w:r w:rsidRPr="00B30315" w:rsidR="00B30315">
        <w:rPr>
          <w:rFonts w:ascii="Times New Roman" w:hAnsi="Times New Roman"/>
          <w:sz w:val="22"/>
          <w:szCs w:val="22"/>
        </w:rPr>
        <w:t>45,947</w:t>
      </w:r>
      <w:r w:rsidRPr="00782C23" w:rsidR="00782C23">
        <w:rPr>
          <w:rFonts w:ascii="Times New Roman" w:hAnsi="Times New Roman"/>
          <w:sz w:val="22"/>
          <w:szCs w:val="22"/>
        </w:rPr>
        <w:t xml:space="preserve"> applications = $</w:t>
      </w:r>
      <w:r w:rsidR="00EB77E8">
        <w:rPr>
          <w:rFonts w:ascii="Times New Roman" w:hAnsi="Times New Roman"/>
          <w:sz w:val="22"/>
          <w:szCs w:val="22"/>
        </w:rPr>
        <w:t>4</w:t>
      </w:r>
      <w:r w:rsidR="002A7587">
        <w:rPr>
          <w:rFonts w:ascii="Times New Roman" w:hAnsi="Times New Roman"/>
          <w:sz w:val="22"/>
          <w:szCs w:val="22"/>
        </w:rPr>
        <w:t>53,841.49</w:t>
      </w:r>
    </w:p>
    <w:p w:rsidR="00874A49" w:rsidP="006F791E" w:rsidRDefault="00874A49" w14:paraId="0BE68D2A" w14:textId="77777777">
      <w:pPr>
        <w:widowControl/>
        <w:suppressAutoHyphens/>
        <w:ind w:left="360"/>
        <w:rPr>
          <w:rFonts w:ascii="Times New Roman" w:hAnsi="Times New Roman"/>
          <w:sz w:val="22"/>
          <w:szCs w:val="22"/>
        </w:rPr>
      </w:pPr>
      <w:r>
        <w:rPr>
          <w:rFonts w:ascii="Times New Roman" w:hAnsi="Times New Roman"/>
          <w:sz w:val="22"/>
          <w:szCs w:val="22"/>
        </w:rPr>
        <w:t xml:space="preserve"> </w:t>
      </w:r>
    </w:p>
    <w:p w:rsidRPr="001E443B" w:rsidR="00782C23" w:rsidP="006F791E" w:rsidRDefault="00782C23" w14:paraId="26C24B5E" w14:textId="0DEC2BD2">
      <w:pPr>
        <w:widowControl/>
        <w:suppressAutoHyphens/>
        <w:ind w:left="360"/>
        <w:rPr>
          <w:rFonts w:ascii="Times New Roman" w:hAnsi="Times New Roman"/>
          <w:sz w:val="22"/>
          <w:szCs w:val="22"/>
        </w:rPr>
      </w:pPr>
      <w:r w:rsidRPr="003D2079">
        <w:rPr>
          <w:rFonts w:ascii="Times New Roman" w:hAnsi="Times New Roman"/>
          <w:b/>
          <w:sz w:val="22"/>
          <w:szCs w:val="22"/>
        </w:rPr>
        <w:t xml:space="preserve">Total </w:t>
      </w:r>
      <w:r w:rsidRPr="003D2079" w:rsidR="00874A49">
        <w:rPr>
          <w:rFonts w:ascii="Times New Roman" w:hAnsi="Times New Roman"/>
          <w:b/>
          <w:sz w:val="22"/>
          <w:szCs w:val="22"/>
        </w:rPr>
        <w:t xml:space="preserve">Cost to the Federal Government </w:t>
      </w:r>
      <w:r w:rsidRPr="003D2079">
        <w:rPr>
          <w:rFonts w:ascii="Times New Roman" w:hAnsi="Times New Roman"/>
          <w:b/>
          <w:sz w:val="22"/>
          <w:szCs w:val="22"/>
        </w:rPr>
        <w:t>for One-Time Collection</w:t>
      </w:r>
      <w:r w:rsidR="00874A49">
        <w:rPr>
          <w:rFonts w:ascii="Times New Roman" w:hAnsi="Times New Roman"/>
          <w:sz w:val="22"/>
          <w:szCs w:val="22"/>
        </w:rPr>
        <w:t>: $</w:t>
      </w:r>
      <w:r w:rsidR="0052221D">
        <w:rPr>
          <w:rFonts w:ascii="Times New Roman" w:hAnsi="Times New Roman"/>
          <w:sz w:val="22"/>
          <w:szCs w:val="22"/>
        </w:rPr>
        <w:t>4</w:t>
      </w:r>
      <w:r w:rsidR="002A7587">
        <w:rPr>
          <w:rFonts w:ascii="Times New Roman" w:hAnsi="Times New Roman"/>
          <w:sz w:val="22"/>
          <w:szCs w:val="22"/>
        </w:rPr>
        <w:t>53,841.49</w:t>
      </w:r>
    </w:p>
    <w:p w:rsidRPr="001E443B" w:rsidR="00EF3305" w:rsidP="00275AF4" w:rsidRDefault="00EF3305" w14:paraId="06D21717" w14:textId="77777777">
      <w:pPr>
        <w:widowControl/>
        <w:suppressAutoHyphens/>
        <w:rPr>
          <w:rFonts w:ascii="Times New Roman" w:hAnsi="Times New Roman"/>
          <w:sz w:val="22"/>
          <w:szCs w:val="22"/>
        </w:rPr>
      </w:pPr>
    </w:p>
    <w:p w:rsidRPr="00373F2B" w:rsidR="00373F2B" w:rsidP="00373F2B" w:rsidRDefault="00373F2B" w14:paraId="44CC7AD6" w14:textId="77777777">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rsidR="00373F2B" w:rsidP="00275AF4" w:rsidRDefault="00373F2B" w14:paraId="73914765" w14:textId="77777777">
      <w:pPr>
        <w:widowControl/>
        <w:tabs>
          <w:tab w:val="left" w:pos="360"/>
        </w:tabs>
        <w:suppressAutoHyphens/>
        <w:ind w:left="360" w:hanging="360"/>
        <w:rPr>
          <w:rFonts w:ascii="Times New Roman" w:hAnsi="Times New Roman"/>
          <w:sz w:val="22"/>
          <w:szCs w:val="22"/>
        </w:rPr>
      </w:pPr>
    </w:p>
    <w:p w:rsidR="00203D4D" w:rsidP="00203D4D" w:rsidRDefault="002A7587" w14:paraId="1688179E" w14:textId="7B8C0CB4">
      <w:pPr>
        <w:widowControl/>
        <w:suppressAutoHyphens/>
        <w:rPr>
          <w:rFonts w:ascii="Times New Roman" w:hAnsi="Times New Roman"/>
          <w:sz w:val="22"/>
          <w:szCs w:val="22"/>
        </w:rPr>
      </w:pPr>
      <w:r>
        <w:rPr>
          <w:rFonts w:ascii="Times New Roman" w:hAnsi="Times New Roman"/>
          <w:sz w:val="22"/>
          <w:szCs w:val="22"/>
        </w:rPr>
        <w:t xml:space="preserve">There are no program changes or adjustments being reported </w:t>
      </w:r>
      <w:r w:rsidR="00C73728">
        <w:rPr>
          <w:rFonts w:ascii="Times New Roman" w:hAnsi="Times New Roman"/>
          <w:sz w:val="22"/>
          <w:szCs w:val="22"/>
        </w:rPr>
        <w:t xml:space="preserve">to this information collection. </w:t>
      </w:r>
    </w:p>
    <w:p w:rsidR="0092453A" w:rsidP="00203D4D" w:rsidRDefault="0092453A" w14:paraId="46D043C3" w14:textId="77777777">
      <w:pPr>
        <w:widowControl/>
        <w:suppressAutoHyphens/>
        <w:rPr>
          <w:rFonts w:ascii="Times New Roman" w:hAnsi="Times New Roman"/>
          <w:sz w:val="22"/>
          <w:szCs w:val="22"/>
        </w:rPr>
      </w:pPr>
    </w:p>
    <w:p w:rsidRPr="00A52A65" w:rsidR="008611D7" w:rsidP="008611D7" w:rsidRDefault="008611D7" w14:paraId="7DFEC1F1" w14:textId="7777777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rsidR="008611D7" w:rsidP="00275AF4" w:rsidRDefault="008611D7" w14:paraId="31632793" w14:textId="77777777">
      <w:pPr>
        <w:widowControl/>
        <w:tabs>
          <w:tab w:val="left" w:pos="360"/>
        </w:tabs>
        <w:suppressAutoHyphens/>
        <w:rPr>
          <w:rFonts w:ascii="Times New Roman" w:hAnsi="Times New Roman"/>
          <w:sz w:val="22"/>
          <w:szCs w:val="22"/>
        </w:rPr>
      </w:pPr>
    </w:p>
    <w:p w:rsidR="00743218" w:rsidP="00275AF4" w:rsidRDefault="006F791E" w14:paraId="43F1F0F8" w14:textId="240D97A0">
      <w:pPr>
        <w:widowControl/>
        <w:tabs>
          <w:tab w:val="left" w:pos="360"/>
        </w:tabs>
        <w:suppressAutoHyphens/>
        <w:rPr>
          <w:rFonts w:ascii="Times New Roman" w:hAnsi="Times New Roman"/>
          <w:sz w:val="22"/>
          <w:szCs w:val="22"/>
        </w:rPr>
      </w:pPr>
      <w:r>
        <w:rPr>
          <w:rFonts w:ascii="Times New Roman" w:hAnsi="Times New Roman"/>
          <w:sz w:val="22"/>
          <w:szCs w:val="22"/>
        </w:rPr>
        <w:tab/>
      </w:r>
      <w:r w:rsidR="00245FD8">
        <w:rPr>
          <w:rFonts w:ascii="Times New Roman" w:hAnsi="Times New Roman"/>
          <w:sz w:val="22"/>
          <w:szCs w:val="22"/>
        </w:rPr>
        <w:t xml:space="preserve">The </w:t>
      </w:r>
      <w:r w:rsidR="004C6B70">
        <w:rPr>
          <w:rFonts w:ascii="Times New Roman" w:hAnsi="Times New Roman"/>
          <w:sz w:val="22"/>
          <w:szCs w:val="22"/>
        </w:rPr>
        <w:t>Commission</w:t>
      </w:r>
      <w:r w:rsidR="00245FD8">
        <w:rPr>
          <w:rFonts w:ascii="Times New Roman" w:hAnsi="Times New Roman"/>
          <w:sz w:val="22"/>
          <w:szCs w:val="22"/>
        </w:rPr>
        <w:t xml:space="preserve"> </w:t>
      </w:r>
      <w:r w:rsidRPr="00860CDF" w:rsidR="00860CDF">
        <w:rPr>
          <w:rFonts w:ascii="Times New Roman" w:hAnsi="Times New Roman"/>
          <w:sz w:val="22"/>
          <w:szCs w:val="22"/>
        </w:rPr>
        <w:t xml:space="preserve">will not publish any </w:t>
      </w:r>
      <w:r w:rsidR="00B833D4">
        <w:rPr>
          <w:rFonts w:ascii="Times New Roman" w:hAnsi="Times New Roman"/>
          <w:sz w:val="22"/>
          <w:szCs w:val="22"/>
        </w:rPr>
        <w:t xml:space="preserve">results from the </w:t>
      </w:r>
      <w:r w:rsidRPr="00860CDF" w:rsidR="00860CDF">
        <w:rPr>
          <w:rFonts w:ascii="Times New Roman" w:hAnsi="Times New Roman"/>
          <w:sz w:val="22"/>
          <w:szCs w:val="22"/>
        </w:rPr>
        <w:t>information collect</w:t>
      </w:r>
      <w:r w:rsidR="00B833D4">
        <w:rPr>
          <w:rFonts w:ascii="Times New Roman" w:hAnsi="Times New Roman"/>
          <w:sz w:val="22"/>
          <w:szCs w:val="22"/>
        </w:rPr>
        <w:t>ed pursuant to Section 90.25</w:t>
      </w:r>
      <w:r w:rsidRPr="00860CDF" w:rsidR="00860CDF">
        <w:rPr>
          <w:rFonts w:ascii="Times New Roman" w:hAnsi="Times New Roman"/>
          <w:sz w:val="22"/>
          <w:szCs w:val="22"/>
        </w:rPr>
        <w:t xml:space="preserve">.  </w:t>
      </w:r>
    </w:p>
    <w:p w:rsidR="00860CDF" w:rsidP="00275AF4" w:rsidRDefault="00860CDF" w14:paraId="33B62745" w14:textId="0C19AC2A">
      <w:pPr>
        <w:widowControl/>
        <w:tabs>
          <w:tab w:val="left" w:pos="360"/>
        </w:tabs>
        <w:suppressAutoHyphens/>
        <w:rPr>
          <w:rFonts w:ascii="Times New Roman" w:hAnsi="Times New Roman"/>
          <w:sz w:val="22"/>
          <w:szCs w:val="22"/>
        </w:rPr>
      </w:pPr>
    </w:p>
    <w:p w:rsidR="0092453A" w:rsidP="00275AF4" w:rsidRDefault="0092453A" w14:paraId="4FEE6D05" w14:textId="08D947A4">
      <w:pPr>
        <w:widowControl/>
        <w:tabs>
          <w:tab w:val="left" w:pos="360"/>
        </w:tabs>
        <w:suppressAutoHyphens/>
        <w:rPr>
          <w:rFonts w:ascii="Times New Roman" w:hAnsi="Times New Roman"/>
          <w:sz w:val="22"/>
          <w:szCs w:val="22"/>
        </w:rPr>
      </w:pPr>
    </w:p>
    <w:p w:rsidR="0092453A" w:rsidP="00275AF4" w:rsidRDefault="0092453A" w14:paraId="129E047F" w14:textId="531F2C2A">
      <w:pPr>
        <w:widowControl/>
        <w:tabs>
          <w:tab w:val="left" w:pos="360"/>
        </w:tabs>
        <w:suppressAutoHyphens/>
        <w:rPr>
          <w:rFonts w:ascii="Times New Roman" w:hAnsi="Times New Roman"/>
          <w:sz w:val="22"/>
          <w:szCs w:val="22"/>
        </w:rPr>
      </w:pPr>
    </w:p>
    <w:p w:rsidR="0092453A" w:rsidP="00275AF4" w:rsidRDefault="0092453A" w14:paraId="6DEE31A7" w14:textId="65F3D12C">
      <w:pPr>
        <w:widowControl/>
        <w:tabs>
          <w:tab w:val="left" w:pos="360"/>
        </w:tabs>
        <w:suppressAutoHyphens/>
        <w:rPr>
          <w:rFonts w:ascii="Times New Roman" w:hAnsi="Times New Roman"/>
          <w:sz w:val="22"/>
          <w:szCs w:val="22"/>
        </w:rPr>
      </w:pPr>
    </w:p>
    <w:p w:rsidR="0092453A" w:rsidP="00275AF4" w:rsidRDefault="0092453A" w14:paraId="55AC686A" w14:textId="77777777">
      <w:pPr>
        <w:widowControl/>
        <w:tabs>
          <w:tab w:val="left" w:pos="360"/>
        </w:tabs>
        <w:suppressAutoHyphens/>
        <w:rPr>
          <w:rFonts w:ascii="Times New Roman" w:hAnsi="Times New Roman"/>
          <w:sz w:val="22"/>
          <w:szCs w:val="22"/>
        </w:rPr>
      </w:pPr>
    </w:p>
    <w:p w:rsidRPr="008E019D" w:rsidR="008611D7" w:rsidP="008E019D" w:rsidRDefault="008611D7" w14:paraId="6E0D5F5A" w14:textId="7777777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lastRenderedPageBreak/>
        <w:t>If seeking approval to not display the expiration date for OMB approval of the</w:t>
      </w:r>
      <w:r w:rsidR="008E019D">
        <w:rPr>
          <w:rFonts w:ascii="Times New Roman" w:hAnsi="Times New Roman"/>
          <w:b/>
          <w:sz w:val="22"/>
          <w:szCs w:val="22"/>
        </w:rPr>
        <w:t xml:space="preserve"> </w:t>
      </w:r>
      <w:r w:rsidRPr="008E019D">
        <w:rPr>
          <w:rFonts w:ascii="Times New Roman" w:hAnsi="Times New Roman"/>
          <w:b/>
          <w:sz w:val="22"/>
          <w:szCs w:val="22"/>
        </w:rPr>
        <w:t>information collection, explain the reason that a display would be inappropriate.</w:t>
      </w:r>
    </w:p>
    <w:p w:rsidR="008611D7" w:rsidP="00275AF4" w:rsidRDefault="008611D7" w14:paraId="120FDF02" w14:textId="77777777">
      <w:pPr>
        <w:widowControl/>
        <w:tabs>
          <w:tab w:val="left" w:pos="360"/>
        </w:tabs>
        <w:suppressAutoHyphens/>
        <w:ind w:left="360" w:hanging="360"/>
        <w:rPr>
          <w:rFonts w:ascii="Times New Roman" w:hAnsi="Times New Roman"/>
          <w:sz w:val="22"/>
          <w:szCs w:val="22"/>
        </w:rPr>
      </w:pPr>
    </w:p>
    <w:p w:rsidRPr="00A52A65" w:rsidR="004C1628" w:rsidP="006F791E" w:rsidRDefault="004C1628" w14:paraId="05EB0501" w14:textId="77777777">
      <w:pPr>
        <w:suppressAutoHyphens/>
        <w:ind w:firstLine="360"/>
        <w:rPr>
          <w:rFonts w:ascii="Times New Roman" w:hAnsi="Times New Roman"/>
        </w:rPr>
      </w:pPr>
      <w:r w:rsidRPr="00A52A65">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Pr="009C4737" w:rsidR="009C4737">
        <w:rPr>
          <w:rFonts w:ascii="Times New Roman" w:hAnsi="Times New Roman"/>
          <w:b/>
          <w:snapToGrid/>
          <w:sz w:val="22"/>
          <w:szCs w:val="22"/>
        </w:rPr>
        <w:t xml:space="preserve">§ </w:t>
      </w:r>
      <w:r w:rsidRPr="00A52A65">
        <w:rPr>
          <w:rFonts w:ascii="Times New Roman" w:hAnsi="Times New Roman"/>
          <w:sz w:val="22"/>
          <w:szCs w:val="22"/>
        </w:rPr>
        <w:t>0.408</w:t>
      </w:r>
      <w:r w:rsidRPr="00A52A65" w:rsidR="009C4737">
        <w:rPr>
          <w:rFonts w:ascii="Times New Roman" w:hAnsi="Times New Roman"/>
          <w:sz w:val="22"/>
          <w:szCs w:val="22"/>
        </w:rPr>
        <w:t>.</w:t>
      </w:r>
    </w:p>
    <w:p w:rsidR="00860CDF" w:rsidP="00860CDF" w:rsidRDefault="00860CDF" w14:paraId="242BB076" w14:textId="77777777">
      <w:pPr>
        <w:widowControl/>
        <w:suppressAutoHyphens/>
        <w:rPr>
          <w:rFonts w:ascii="Times New Roman" w:hAnsi="Times New Roman"/>
          <w:sz w:val="22"/>
          <w:szCs w:val="22"/>
        </w:rPr>
      </w:pPr>
    </w:p>
    <w:p w:rsidRPr="00860CDF" w:rsidR="00860CDF" w:rsidP="00860CDF" w:rsidRDefault="00860CDF" w14:paraId="3B1D6214" w14:textId="77777777">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w:t>
      </w:r>
      <w:r w:rsidR="0099600A">
        <w:rPr>
          <w:rFonts w:ascii="Times New Roman" w:hAnsi="Times New Roman"/>
          <w:b/>
          <w:snapToGrid/>
          <w:sz w:val="22"/>
          <w:szCs w:val="22"/>
        </w:rPr>
        <w:t xml:space="preserve"> certifying compliance with 5 CFR</w:t>
      </w:r>
      <w:r w:rsidRPr="00860CDF">
        <w:rPr>
          <w:rFonts w:ascii="Times New Roman" w:hAnsi="Times New Roman"/>
          <w:b/>
          <w:snapToGrid/>
          <w:sz w:val="22"/>
          <w:szCs w:val="22"/>
        </w:rPr>
        <w:t xml:space="preserve"> § 1320.9 an</w:t>
      </w:r>
      <w:r w:rsidR="0099600A">
        <w:rPr>
          <w:rFonts w:ascii="Times New Roman" w:hAnsi="Times New Roman"/>
          <w:b/>
          <w:snapToGrid/>
          <w:sz w:val="22"/>
          <w:szCs w:val="22"/>
        </w:rPr>
        <w:t>d the related provisions of 5 CFR</w:t>
      </w:r>
      <w:r w:rsidRPr="00860CDF">
        <w:rPr>
          <w:rFonts w:ascii="Times New Roman" w:hAnsi="Times New Roman"/>
          <w:b/>
          <w:snapToGrid/>
          <w:sz w:val="22"/>
          <w:szCs w:val="22"/>
        </w:rPr>
        <w:t xml:space="preserve"> § 1320.8(b)(3)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rsidRPr="00860CDF" w:rsidR="00860CDF" w:rsidP="00860CDF" w:rsidRDefault="00860CDF" w14:paraId="7148707B" w14:textId="77777777">
      <w:pPr>
        <w:widowControl/>
        <w:tabs>
          <w:tab w:val="left" w:pos="360"/>
        </w:tabs>
        <w:suppressAutoHyphens/>
        <w:ind w:left="360" w:hanging="360"/>
        <w:rPr>
          <w:rFonts w:ascii="Times New Roman" w:hAnsi="Times New Roman"/>
          <w:snapToGrid/>
          <w:sz w:val="22"/>
          <w:szCs w:val="22"/>
        </w:rPr>
      </w:pPr>
    </w:p>
    <w:p w:rsidRPr="00860CDF" w:rsidR="00860CDF" w:rsidP="00860CDF" w:rsidRDefault="006F791E" w14:paraId="03100903" w14:textId="77777777">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ab/>
      </w:r>
      <w:r w:rsidR="00A828E0">
        <w:rPr>
          <w:rFonts w:ascii="Times New Roman" w:hAnsi="Times New Roman"/>
          <w:snapToGrid/>
          <w:sz w:val="22"/>
          <w:szCs w:val="22"/>
        </w:rPr>
        <w:t xml:space="preserve">There are </w:t>
      </w:r>
      <w:r w:rsidRPr="00860CDF" w:rsidR="00860CDF">
        <w:rPr>
          <w:rFonts w:ascii="Times New Roman" w:hAnsi="Times New Roman"/>
          <w:snapToGrid/>
          <w:sz w:val="22"/>
          <w:szCs w:val="22"/>
        </w:rPr>
        <w:t>no exceptions to the Certification Statement</w:t>
      </w:r>
      <w:r w:rsidR="00A828E0">
        <w:rPr>
          <w:rFonts w:ascii="Times New Roman" w:hAnsi="Times New Roman"/>
          <w:snapToGrid/>
          <w:sz w:val="22"/>
          <w:szCs w:val="22"/>
        </w:rPr>
        <w:t>.</w:t>
      </w:r>
      <w:r w:rsidRPr="00860CDF" w:rsidR="00860CDF">
        <w:rPr>
          <w:rFonts w:ascii="Times New Roman" w:hAnsi="Times New Roman"/>
          <w:snapToGrid/>
          <w:sz w:val="22"/>
          <w:szCs w:val="22"/>
        </w:rPr>
        <w:t xml:space="preserve"> </w:t>
      </w:r>
    </w:p>
    <w:p w:rsidRPr="00707CAA" w:rsidR="00EF3305" w:rsidP="00275AF4" w:rsidRDefault="00EF3305" w14:paraId="193661FA" w14:textId="77777777">
      <w:pPr>
        <w:widowControl/>
        <w:suppressAutoHyphens/>
        <w:rPr>
          <w:rFonts w:ascii="Times New Roman" w:hAnsi="Times New Roman"/>
          <w:b/>
          <w:sz w:val="22"/>
          <w:szCs w:val="22"/>
        </w:rPr>
      </w:pPr>
    </w:p>
    <w:p w:rsidRPr="00707CAA" w:rsidR="00EF3305" w:rsidP="00275AF4" w:rsidRDefault="00EF3305" w14:paraId="56597BE7" w14:textId="77777777">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Pr="00707CAA" w:rsidR="00CD318D">
        <w:rPr>
          <w:rFonts w:ascii="Times New Roman" w:hAnsi="Times New Roman"/>
          <w:b/>
          <w:sz w:val="22"/>
          <w:szCs w:val="22"/>
          <w:u w:val="single"/>
        </w:rPr>
        <w:t>:</w:t>
      </w:r>
    </w:p>
    <w:p w:rsidRPr="00707CAA" w:rsidR="00EF3305" w:rsidP="00275AF4" w:rsidRDefault="00EF3305" w14:paraId="41F333B8" w14:textId="77777777">
      <w:pPr>
        <w:widowControl/>
        <w:suppressAutoHyphens/>
        <w:rPr>
          <w:rFonts w:ascii="Times New Roman" w:hAnsi="Times New Roman"/>
          <w:sz w:val="22"/>
          <w:szCs w:val="22"/>
        </w:rPr>
      </w:pPr>
    </w:p>
    <w:p w:rsidRPr="00707CAA" w:rsidR="00EF3305" w:rsidP="006F791E" w:rsidRDefault="00245FD8" w14:paraId="2A13FBC7" w14:textId="77777777">
      <w:pPr>
        <w:widowControl/>
        <w:suppressAutoHyphens/>
        <w:ind w:firstLine="720"/>
        <w:rPr>
          <w:rFonts w:ascii="Times New Roman" w:hAnsi="Times New Roman"/>
          <w:sz w:val="22"/>
          <w:szCs w:val="22"/>
        </w:rPr>
      </w:pPr>
      <w:r>
        <w:rPr>
          <w:rFonts w:ascii="Times New Roman" w:hAnsi="Times New Roman"/>
          <w:sz w:val="22"/>
          <w:szCs w:val="22"/>
        </w:rPr>
        <w:t xml:space="preserve">The Commission </w:t>
      </w:r>
      <w:r w:rsidRPr="00860CDF" w:rsidR="00860CDF">
        <w:rPr>
          <w:rFonts w:ascii="Times New Roman" w:hAnsi="Times New Roman"/>
          <w:sz w:val="22"/>
          <w:szCs w:val="22"/>
        </w:rPr>
        <w:t xml:space="preserve">is </w:t>
      </w:r>
      <w:r>
        <w:rPr>
          <w:rFonts w:ascii="Times New Roman" w:hAnsi="Times New Roman"/>
          <w:sz w:val="22"/>
          <w:szCs w:val="22"/>
        </w:rPr>
        <w:t xml:space="preserve">not </w:t>
      </w:r>
      <w:r w:rsidRPr="00860CDF" w:rsidR="00860CDF">
        <w:rPr>
          <w:rFonts w:ascii="Times New Roman" w:hAnsi="Times New Roman"/>
          <w:sz w:val="22"/>
          <w:szCs w:val="22"/>
        </w:rPr>
        <w:t xml:space="preserve">employing </w:t>
      </w:r>
      <w:r>
        <w:rPr>
          <w:rFonts w:ascii="Times New Roman" w:hAnsi="Times New Roman"/>
          <w:sz w:val="22"/>
          <w:szCs w:val="22"/>
        </w:rPr>
        <w:t xml:space="preserve">any </w:t>
      </w:r>
      <w:r w:rsidRPr="00860CDF" w:rsidR="00860CDF">
        <w:rPr>
          <w:rFonts w:ascii="Times New Roman" w:hAnsi="Times New Roman"/>
          <w:sz w:val="22"/>
          <w:szCs w:val="22"/>
        </w:rPr>
        <w:t xml:space="preserve">statistical methods </w:t>
      </w:r>
      <w:proofErr w:type="gramStart"/>
      <w:r w:rsidRPr="00860CDF" w:rsidR="00860CDF">
        <w:rPr>
          <w:rFonts w:ascii="Times New Roman" w:hAnsi="Times New Roman"/>
          <w:sz w:val="22"/>
          <w:szCs w:val="22"/>
        </w:rPr>
        <w:t>with regard to</w:t>
      </w:r>
      <w:proofErr w:type="gramEnd"/>
      <w:r w:rsidRPr="00860CDF" w:rsidR="00860CDF">
        <w:rPr>
          <w:rFonts w:ascii="Times New Roman" w:hAnsi="Times New Roman"/>
          <w:sz w:val="22"/>
          <w:szCs w:val="22"/>
        </w:rPr>
        <w:t xml:space="preserve"> th</w:t>
      </w:r>
      <w:r>
        <w:rPr>
          <w:rFonts w:ascii="Times New Roman" w:hAnsi="Times New Roman"/>
          <w:sz w:val="22"/>
          <w:szCs w:val="22"/>
        </w:rPr>
        <w:t>is</w:t>
      </w:r>
      <w:r w:rsidRPr="00860CDF" w:rsidR="00860CDF">
        <w:rPr>
          <w:rFonts w:ascii="Times New Roman" w:hAnsi="Times New Roman"/>
          <w:sz w:val="22"/>
          <w:szCs w:val="22"/>
        </w:rPr>
        <w:t xml:space="preserve"> information collection</w:t>
      </w:r>
      <w:r w:rsidR="00A52A65">
        <w:rPr>
          <w:rFonts w:ascii="Times New Roman" w:hAnsi="Times New Roman"/>
          <w:sz w:val="22"/>
          <w:szCs w:val="22"/>
        </w:rPr>
        <w:t>.</w:t>
      </w:r>
    </w:p>
    <w:sectPr w:rsidRPr="00707CAA" w:rsidR="00EF330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360B2" w14:textId="77777777" w:rsidR="001D08B2" w:rsidRDefault="001D08B2">
      <w:pPr>
        <w:spacing w:line="20" w:lineRule="exact"/>
      </w:pPr>
    </w:p>
  </w:endnote>
  <w:endnote w:type="continuationSeparator" w:id="0">
    <w:p w14:paraId="52B3DB72" w14:textId="77777777" w:rsidR="001D08B2" w:rsidRDefault="001D08B2">
      <w:r>
        <w:t xml:space="preserve"> </w:t>
      </w:r>
    </w:p>
  </w:endnote>
  <w:endnote w:type="continuationNotice" w:id="1">
    <w:p w14:paraId="0430E277" w14:textId="77777777" w:rsidR="001D08B2" w:rsidRDefault="001D08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D87F2" w14:textId="77777777" w:rsidR="001D08B2" w:rsidRDefault="001D08B2">
      <w:r>
        <w:separator/>
      </w:r>
    </w:p>
  </w:footnote>
  <w:footnote w:type="continuationSeparator" w:id="0">
    <w:p w14:paraId="64139072" w14:textId="77777777" w:rsidR="001D08B2" w:rsidRDefault="001D08B2">
      <w:r>
        <w:continuationSeparator/>
      </w:r>
    </w:p>
  </w:footnote>
  <w:footnote w:id="1">
    <w:p w14:paraId="5CD1913C" w14:textId="77777777"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17D57"/>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4FBF"/>
    <w:rsid w:val="000158A1"/>
    <w:rsid w:val="00016ED8"/>
    <w:rsid w:val="00021B57"/>
    <w:rsid w:val="00024500"/>
    <w:rsid w:val="00033547"/>
    <w:rsid w:val="00036313"/>
    <w:rsid w:val="00045D22"/>
    <w:rsid w:val="000536CB"/>
    <w:rsid w:val="00053A4D"/>
    <w:rsid w:val="0005755A"/>
    <w:rsid w:val="0006387D"/>
    <w:rsid w:val="0007094B"/>
    <w:rsid w:val="00071687"/>
    <w:rsid w:val="00073626"/>
    <w:rsid w:val="000912C3"/>
    <w:rsid w:val="00095F21"/>
    <w:rsid w:val="000968D7"/>
    <w:rsid w:val="00097631"/>
    <w:rsid w:val="000A3410"/>
    <w:rsid w:val="000B08A2"/>
    <w:rsid w:val="000B1570"/>
    <w:rsid w:val="000C4CFB"/>
    <w:rsid w:val="000D07B3"/>
    <w:rsid w:val="000D5A64"/>
    <w:rsid w:val="000E7805"/>
    <w:rsid w:val="000F4389"/>
    <w:rsid w:val="0010164F"/>
    <w:rsid w:val="001019AB"/>
    <w:rsid w:val="00104839"/>
    <w:rsid w:val="001128A5"/>
    <w:rsid w:val="001134C0"/>
    <w:rsid w:val="00115C17"/>
    <w:rsid w:val="001253C8"/>
    <w:rsid w:val="00126048"/>
    <w:rsid w:val="00132121"/>
    <w:rsid w:val="0014159F"/>
    <w:rsid w:val="00142302"/>
    <w:rsid w:val="00152E55"/>
    <w:rsid w:val="00163B75"/>
    <w:rsid w:val="00174072"/>
    <w:rsid w:val="001778A5"/>
    <w:rsid w:val="00181C44"/>
    <w:rsid w:val="001935C9"/>
    <w:rsid w:val="001B1100"/>
    <w:rsid w:val="001B541E"/>
    <w:rsid w:val="001B56F9"/>
    <w:rsid w:val="001B6E81"/>
    <w:rsid w:val="001B70EA"/>
    <w:rsid w:val="001C42A2"/>
    <w:rsid w:val="001C6BB3"/>
    <w:rsid w:val="001D08B2"/>
    <w:rsid w:val="001D32FB"/>
    <w:rsid w:val="001D4937"/>
    <w:rsid w:val="001D7E1E"/>
    <w:rsid w:val="001E443B"/>
    <w:rsid w:val="001E7826"/>
    <w:rsid w:val="001F1147"/>
    <w:rsid w:val="002022D9"/>
    <w:rsid w:val="00203D4D"/>
    <w:rsid w:val="00210898"/>
    <w:rsid w:val="002125AF"/>
    <w:rsid w:val="00213FC5"/>
    <w:rsid w:val="00214304"/>
    <w:rsid w:val="00215DBC"/>
    <w:rsid w:val="0022013D"/>
    <w:rsid w:val="00220250"/>
    <w:rsid w:val="0023028A"/>
    <w:rsid w:val="002303F6"/>
    <w:rsid w:val="002338E7"/>
    <w:rsid w:val="00234995"/>
    <w:rsid w:val="00245FD8"/>
    <w:rsid w:val="00252CB2"/>
    <w:rsid w:val="00257A67"/>
    <w:rsid w:val="00262938"/>
    <w:rsid w:val="00263E45"/>
    <w:rsid w:val="00264A5A"/>
    <w:rsid w:val="00275AF4"/>
    <w:rsid w:val="00275BC0"/>
    <w:rsid w:val="0027767D"/>
    <w:rsid w:val="002845B6"/>
    <w:rsid w:val="00287EC3"/>
    <w:rsid w:val="00287FB8"/>
    <w:rsid w:val="00290958"/>
    <w:rsid w:val="002959D3"/>
    <w:rsid w:val="002A1FB3"/>
    <w:rsid w:val="002A419D"/>
    <w:rsid w:val="002A5E1C"/>
    <w:rsid w:val="002A7587"/>
    <w:rsid w:val="002B2283"/>
    <w:rsid w:val="002B4361"/>
    <w:rsid w:val="002C09B8"/>
    <w:rsid w:val="002C405A"/>
    <w:rsid w:val="002F02CC"/>
    <w:rsid w:val="002F07D0"/>
    <w:rsid w:val="002F1EDB"/>
    <w:rsid w:val="00302CB6"/>
    <w:rsid w:val="00305867"/>
    <w:rsid w:val="00310562"/>
    <w:rsid w:val="003155E9"/>
    <w:rsid w:val="003412D3"/>
    <w:rsid w:val="003476B1"/>
    <w:rsid w:val="003574D8"/>
    <w:rsid w:val="00365C43"/>
    <w:rsid w:val="003668C8"/>
    <w:rsid w:val="00373F2B"/>
    <w:rsid w:val="00377066"/>
    <w:rsid w:val="00382EC4"/>
    <w:rsid w:val="00384957"/>
    <w:rsid w:val="003940D6"/>
    <w:rsid w:val="00395155"/>
    <w:rsid w:val="003A1C9F"/>
    <w:rsid w:val="003A2018"/>
    <w:rsid w:val="003B051F"/>
    <w:rsid w:val="003C4F8E"/>
    <w:rsid w:val="003C63C0"/>
    <w:rsid w:val="003D0597"/>
    <w:rsid w:val="003D0860"/>
    <w:rsid w:val="003D2079"/>
    <w:rsid w:val="003D6655"/>
    <w:rsid w:val="003D790A"/>
    <w:rsid w:val="003E0012"/>
    <w:rsid w:val="003E088F"/>
    <w:rsid w:val="003E0A22"/>
    <w:rsid w:val="003E2A3F"/>
    <w:rsid w:val="003E4655"/>
    <w:rsid w:val="003E7A5B"/>
    <w:rsid w:val="003F207E"/>
    <w:rsid w:val="003F62F2"/>
    <w:rsid w:val="00400C48"/>
    <w:rsid w:val="00402C66"/>
    <w:rsid w:val="00403C8C"/>
    <w:rsid w:val="00413159"/>
    <w:rsid w:val="0041365E"/>
    <w:rsid w:val="0042201B"/>
    <w:rsid w:val="0042497D"/>
    <w:rsid w:val="004300BD"/>
    <w:rsid w:val="00430449"/>
    <w:rsid w:val="004327D4"/>
    <w:rsid w:val="00434FBB"/>
    <w:rsid w:val="00435C65"/>
    <w:rsid w:val="0044497F"/>
    <w:rsid w:val="00462569"/>
    <w:rsid w:val="004811D3"/>
    <w:rsid w:val="0048670A"/>
    <w:rsid w:val="00490E3E"/>
    <w:rsid w:val="004917C9"/>
    <w:rsid w:val="004942C1"/>
    <w:rsid w:val="00494B05"/>
    <w:rsid w:val="004950FC"/>
    <w:rsid w:val="004B37CE"/>
    <w:rsid w:val="004C1628"/>
    <w:rsid w:val="004C3AA8"/>
    <w:rsid w:val="004C46DD"/>
    <w:rsid w:val="004C6B70"/>
    <w:rsid w:val="004D0F6F"/>
    <w:rsid w:val="004D252D"/>
    <w:rsid w:val="004D65A2"/>
    <w:rsid w:val="004D6DA6"/>
    <w:rsid w:val="004D7F7A"/>
    <w:rsid w:val="004E163B"/>
    <w:rsid w:val="004E1754"/>
    <w:rsid w:val="004E1775"/>
    <w:rsid w:val="004E349F"/>
    <w:rsid w:val="004F054F"/>
    <w:rsid w:val="004F1B4C"/>
    <w:rsid w:val="0050455B"/>
    <w:rsid w:val="00504DE9"/>
    <w:rsid w:val="0050676E"/>
    <w:rsid w:val="00511FD4"/>
    <w:rsid w:val="005137A9"/>
    <w:rsid w:val="00513E20"/>
    <w:rsid w:val="0052221D"/>
    <w:rsid w:val="0053535F"/>
    <w:rsid w:val="0053714C"/>
    <w:rsid w:val="0053744A"/>
    <w:rsid w:val="0054111A"/>
    <w:rsid w:val="00541157"/>
    <w:rsid w:val="00544CCE"/>
    <w:rsid w:val="005510BD"/>
    <w:rsid w:val="00551715"/>
    <w:rsid w:val="00562CA5"/>
    <w:rsid w:val="00562D72"/>
    <w:rsid w:val="00564F9E"/>
    <w:rsid w:val="005673F9"/>
    <w:rsid w:val="005707C6"/>
    <w:rsid w:val="00572599"/>
    <w:rsid w:val="00587AA4"/>
    <w:rsid w:val="00587D10"/>
    <w:rsid w:val="005951E5"/>
    <w:rsid w:val="00595CD2"/>
    <w:rsid w:val="0059606F"/>
    <w:rsid w:val="005A1842"/>
    <w:rsid w:val="005A2114"/>
    <w:rsid w:val="005A3F08"/>
    <w:rsid w:val="005B25E0"/>
    <w:rsid w:val="005B367A"/>
    <w:rsid w:val="005C268B"/>
    <w:rsid w:val="005C2D1C"/>
    <w:rsid w:val="005D033F"/>
    <w:rsid w:val="005D6CB3"/>
    <w:rsid w:val="005E39B9"/>
    <w:rsid w:val="005E3D90"/>
    <w:rsid w:val="005E715D"/>
    <w:rsid w:val="005E7678"/>
    <w:rsid w:val="005F4939"/>
    <w:rsid w:val="00600539"/>
    <w:rsid w:val="00602288"/>
    <w:rsid w:val="00603748"/>
    <w:rsid w:val="00606837"/>
    <w:rsid w:val="00623DB0"/>
    <w:rsid w:val="00624387"/>
    <w:rsid w:val="006301A4"/>
    <w:rsid w:val="00630C7B"/>
    <w:rsid w:val="006316DA"/>
    <w:rsid w:val="00641357"/>
    <w:rsid w:val="00642B95"/>
    <w:rsid w:val="00653B4B"/>
    <w:rsid w:val="00653C7B"/>
    <w:rsid w:val="006558D5"/>
    <w:rsid w:val="006610EE"/>
    <w:rsid w:val="0066437B"/>
    <w:rsid w:val="00667BCB"/>
    <w:rsid w:val="00680646"/>
    <w:rsid w:val="006875C7"/>
    <w:rsid w:val="006A3D34"/>
    <w:rsid w:val="006A7BFF"/>
    <w:rsid w:val="006B21BC"/>
    <w:rsid w:val="006B4E2A"/>
    <w:rsid w:val="006B5C3D"/>
    <w:rsid w:val="006C27E1"/>
    <w:rsid w:val="006D2A69"/>
    <w:rsid w:val="006D541C"/>
    <w:rsid w:val="006E4D88"/>
    <w:rsid w:val="006F1F0C"/>
    <w:rsid w:val="006F624E"/>
    <w:rsid w:val="006F62AF"/>
    <w:rsid w:val="006F791E"/>
    <w:rsid w:val="007023A1"/>
    <w:rsid w:val="00704AE8"/>
    <w:rsid w:val="007062D6"/>
    <w:rsid w:val="00707CAA"/>
    <w:rsid w:val="00717727"/>
    <w:rsid w:val="00724434"/>
    <w:rsid w:val="00731AEE"/>
    <w:rsid w:val="00732D07"/>
    <w:rsid w:val="00733717"/>
    <w:rsid w:val="00736BF4"/>
    <w:rsid w:val="00737AF2"/>
    <w:rsid w:val="00742CF2"/>
    <w:rsid w:val="00743218"/>
    <w:rsid w:val="0075062B"/>
    <w:rsid w:val="007530B5"/>
    <w:rsid w:val="007628B8"/>
    <w:rsid w:val="00764D01"/>
    <w:rsid w:val="00765D1A"/>
    <w:rsid w:val="00766AA6"/>
    <w:rsid w:val="00771A2A"/>
    <w:rsid w:val="00774630"/>
    <w:rsid w:val="00782C23"/>
    <w:rsid w:val="00792322"/>
    <w:rsid w:val="007946A9"/>
    <w:rsid w:val="0079711D"/>
    <w:rsid w:val="007979E3"/>
    <w:rsid w:val="007A0F40"/>
    <w:rsid w:val="007B47B3"/>
    <w:rsid w:val="007D08D6"/>
    <w:rsid w:val="007D75C3"/>
    <w:rsid w:val="007E0CBF"/>
    <w:rsid w:val="007E5946"/>
    <w:rsid w:val="007F141C"/>
    <w:rsid w:val="007F1DE5"/>
    <w:rsid w:val="007F65D5"/>
    <w:rsid w:val="00802FB8"/>
    <w:rsid w:val="008069AC"/>
    <w:rsid w:val="00812D4D"/>
    <w:rsid w:val="0081503A"/>
    <w:rsid w:val="008176BF"/>
    <w:rsid w:val="00822749"/>
    <w:rsid w:val="00826B73"/>
    <w:rsid w:val="00831FC5"/>
    <w:rsid w:val="008351AD"/>
    <w:rsid w:val="00841335"/>
    <w:rsid w:val="008437FD"/>
    <w:rsid w:val="008448CC"/>
    <w:rsid w:val="008469EC"/>
    <w:rsid w:val="00860CDF"/>
    <w:rsid w:val="008611D7"/>
    <w:rsid w:val="0086736A"/>
    <w:rsid w:val="0086772A"/>
    <w:rsid w:val="0087179D"/>
    <w:rsid w:val="00871C7F"/>
    <w:rsid w:val="00874159"/>
    <w:rsid w:val="00874A49"/>
    <w:rsid w:val="008831D1"/>
    <w:rsid w:val="008834A3"/>
    <w:rsid w:val="00884046"/>
    <w:rsid w:val="008850FF"/>
    <w:rsid w:val="008B6EEB"/>
    <w:rsid w:val="008B7978"/>
    <w:rsid w:val="008C21F3"/>
    <w:rsid w:val="008C31F8"/>
    <w:rsid w:val="008C69E3"/>
    <w:rsid w:val="008D5C69"/>
    <w:rsid w:val="008D72AB"/>
    <w:rsid w:val="008E019D"/>
    <w:rsid w:val="00900C5B"/>
    <w:rsid w:val="00903249"/>
    <w:rsid w:val="0090465D"/>
    <w:rsid w:val="00907856"/>
    <w:rsid w:val="0091258C"/>
    <w:rsid w:val="0092453A"/>
    <w:rsid w:val="00932641"/>
    <w:rsid w:val="00940542"/>
    <w:rsid w:val="00943331"/>
    <w:rsid w:val="009533AF"/>
    <w:rsid w:val="009558F2"/>
    <w:rsid w:val="009645B0"/>
    <w:rsid w:val="00966847"/>
    <w:rsid w:val="00972CEB"/>
    <w:rsid w:val="00977686"/>
    <w:rsid w:val="0098015B"/>
    <w:rsid w:val="009901E3"/>
    <w:rsid w:val="0099600A"/>
    <w:rsid w:val="009A1426"/>
    <w:rsid w:val="009B351B"/>
    <w:rsid w:val="009B42DE"/>
    <w:rsid w:val="009B6341"/>
    <w:rsid w:val="009B64D6"/>
    <w:rsid w:val="009C0822"/>
    <w:rsid w:val="009C4737"/>
    <w:rsid w:val="009D784B"/>
    <w:rsid w:val="009E3D26"/>
    <w:rsid w:val="009E431A"/>
    <w:rsid w:val="009E7FC0"/>
    <w:rsid w:val="009F60F0"/>
    <w:rsid w:val="00A0055C"/>
    <w:rsid w:val="00A02AB9"/>
    <w:rsid w:val="00A101E1"/>
    <w:rsid w:val="00A11EE1"/>
    <w:rsid w:val="00A132F2"/>
    <w:rsid w:val="00A20686"/>
    <w:rsid w:val="00A230E5"/>
    <w:rsid w:val="00A23294"/>
    <w:rsid w:val="00A323E1"/>
    <w:rsid w:val="00A326DB"/>
    <w:rsid w:val="00A52A65"/>
    <w:rsid w:val="00A61029"/>
    <w:rsid w:val="00A828E0"/>
    <w:rsid w:val="00A86A0F"/>
    <w:rsid w:val="00A87288"/>
    <w:rsid w:val="00A962C8"/>
    <w:rsid w:val="00AA04C2"/>
    <w:rsid w:val="00AA0ADB"/>
    <w:rsid w:val="00AA0BD2"/>
    <w:rsid w:val="00AA2868"/>
    <w:rsid w:val="00AA3138"/>
    <w:rsid w:val="00AA6B08"/>
    <w:rsid w:val="00AB306C"/>
    <w:rsid w:val="00AB5209"/>
    <w:rsid w:val="00AC0DF7"/>
    <w:rsid w:val="00AC7DBC"/>
    <w:rsid w:val="00AD3842"/>
    <w:rsid w:val="00AE1FB0"/>
    <w:rsid w:val="00AE30E8"/>
    <w:rsid w:val="00AE4DF3"/>
    <w:rsid w:val="00B135D8"/>
    <w:rsid w:val="00B22170"/>
    <w:rsid w:val="00B24E22"/>
    <w:rsid w:val="00B25744"/>
    <w:rsid w:val="00B30315"/>
    <w:rsid w:val="00B3189A"/>
    <w:rsid w:val="00B33865"/>
    <w:rsid w:val="00B37224"/>
    <w:rsid w:val="00B41189"/>
    <w:rsid w:val="00B438A7"/>
    <w:rsid w:val="00B5492A"/>
    <w:rsid w:val="00B62C78"/>
    <w:rsid w:val="00B644AC"/>
    <w:rsid w:val="00B6626E"/>
    <w:rsid w:val="00B7748C"/>
    <w:rsid w:val="00B82A89"/>
    <w:rsid w:val="00B833D4"/>
    <w:rsid w:val="00B9407B"/>
    <w:rsid w:val="00B970AD"/>
    <w:rsid w:val="00BA36D8"/>
    <w:rsid w:val="00BA4A03"/>
    <w:rsid w:val="00BB69BC"/>
    <w:rsid w:val="00BB7C32"/>
    <w:rsid w:val="00BD1ECA"/>
    <w:rsid w:val="00BD2871"/>
    <w:rsid w:val="00BD6DCB"/>
    <w:rsid w:val="00BE0C13"/>
    <w:rsid w:val="00BF1C18"/>
    <w:rsid w:val="00BF242E"/>
    <w:rsid w:val="00BF4DD8"/>
    <w:rsid w:val="00BF5F26"/>
    <w:rsid w:val="00BF73AB"/>
    <w:rsid w:val="00C03A6C"/>
    <w:rsid w:val="00C0633C"/>
    <w:rsid w:val="00C06BB9"/>
    <w:rsid w:val="00C07F97"/>
    <w:rsid w:val="00C110F0"/>
    <w:rsid w:val="00C15301"/>
    <w:rsid w:val="00C2087D"/>
    <w:rsid w:val="00C21EB6"/>
    <w:rsid w:val="00C24F50"/>
    <w:rsid w:val="00C37FDE"/>
    <w:rsid w:val="00C427C4"/>
    <w:rsid w:val="00C4509E"/>
    <w:rsid w:val="00C51F66"/>
    <w:rsid w:val="00C56261"/>
    <w:rsid w:val="00C63A22"/>
    <w:rsid w:val="00C735CF"/>
    <w:rsid w:val="00C73728"/>
    <w:rsid w:val="00C73F31"/>
    <w:rsid w:val="00C8158B"/>
    <w:rsid w:val="00C83A71"/>
    <w:rsid w:val="00C929DF"/>
    <w:rsid w:val="00C976B5"/>
    <w:rsid w:val="00CA0B55"/>
    <w:rsid w:val="00CA216C"/>
    <w:rsid w:val="00CA21BA"/>
    <w:rsid w:val="00CA4344"/>
    <w:rsid w:val="00CA795A"/>
    <w:rsid w:val="00CB050F"/>
    <w:rsid w:val="00CB2E50"/>
    <w:rsid w:val="00CC1108"/>
    <w:rsid w:val="00CC662B"/>
    <w:rsid w:val="00CC6752"/>
    <w:rsid w:val="00CC7074"/>
    <w:rsid w:val="00CD0E41"/>
    <w:rsid w:val="00CD318D"/>
    <w:rsid w:val="00CE1CAB"/>
    <w:rsid w:val="00CE44FC"/>
    <w:rsid w:val="00CF669B"/>
    <w:rsid w:val="00D00EFA"/>
    <w:rsid w:val="00D06B3B"/>
    <w:rsid w:val="00D26242"/>
    <w:rsid w:val="00D265C0"/>
    <w:rsid w:val="00D271CA"/>
    <w:rsid w:val="00D2722F"/>
    <w:rsid w:val="00D3420D"/>
    <w:rsid w:val="00D41AA2"/>
    <w:rsid w:val="00D5005F"/>
    <w:rsid w:val="00D52B7E"/>
    <w:rsid w:val="00D56372"/>
    <w:rsid w:val="00D57776"/>
    <w:rsid w:val="00D60D55"/>
    <w:rsid w:val="00D628EF"/>
    <w:rsid w:val="00D67AFF"/>
    <w:rsid w:val="00D72532"/>
    <w:rsid w:val="00D74AE7"/>
    <w:rsid w:val="00D77890"/>
    <w:rsid w:val="00D800D2"/>
    <w:rsid w:val="00D8607E"/>
    <w:rsid w:val="00D92B5F"/>
    <w:rsid w:val="00D94F6D"/>
    <w:rsid w:val="00DA209E"/>
    <w:rsid w:val="00DB15BD"/>
    <w:rsid w:val="00DC0599"/>
    <w:rsid w:val="00DC3D80"/>
    <w:rsid w:val="00DC7A27"/>
    <w:rsid w:val="00DD0B89"/>
    <w:rsid w:val="00DD1017"/>
    <w:rsid w:val="00DD6935"/>
    <w:rsid w:val="00DD6BEE"/>
    <w:rsid w:val="00DE7124"/>
    <w:rsid w:val="00DE7350"/>
    <w:rsid w:val="00DF07A4"/>
    <w:rsid w:val="00DF08F8"/>
    <w:rsid w:val="00DF33D2"/>
    <w:rsid w:val="00DF3EBD"/>
    <w:rsid w:val="00DF496A"/>
    <w:rsid w:val="00E001E4"/>
    <w:rsid w:val="00E00CA5"/>
    <w:rsid w:val="00E05B74"/>
    <w:rsid w:val="00E145AD"/>
    <w:rsid w:val="00E15007"/>
    <w:rsid w:val="00E218C0"/>
    <w:rsid w:val="00E27F46"/>
    <w:rsid w:val="00E30E6A"/>
    <w:rsid w:val="00E31678"/>
    <w:rsid w:val="00E3440E"/>
    <w:rsid w:val="00E50D9A"/>
    <w:rsid w:val="00E51136"/>
    <w:rsid w:val="00E52988"/>
    <w:rsid w:val="00E532FC"/>
    <w:rsid w:val="00E56CCF"/>
    <w:rsid w:val="00E575FF"/>
    <w:rsid w:val="00E57FDB"/>
    <w:rsid w:val="00E65D99"/>
    <w:rsid w:val="00E66974"/>
    <w:rsid w:val="00E71579"/>
    <w:rsid w:val="00E76945"/>
    <w:rsid w:val="00E907AF"/>
    <w:rsid w:val="00E91ABF"/>
    <w:rsid w:val="00E971B9"/>
    <w:rsid w:val="00EA0612"/>
    <w:rsid w:val="00EA2843"/>
    <w:rsid w:val="00EA4BCB"/>
    <w:rsid w:val="00EB3847"/>
    <w:rsid w:val="00EB77E8"/>
    <w:rsid w:val="00EC5526"/>
    <w:rsid w:val="00EC6236"/>
    <w:rsid w:val="00ED3A63"/>
    <w:rsid w:val="00ED5DF0"/>
    <w:rsid w:val="00EE4B21"/>
    <w:rsid w:val="00EE68F7"/>
    <w:rsid w:val="00EF3305"/>
    <w:rsid w:val="00EF4774"/>
    <w:rsid w:val="00EF7A20"/>
    <w:rsid w:val="00F04BA7"/>
    <w:rsid w:val="00F06017"/>
    <w:rsid w:val="00F15BCA"/>
    <w:rsid w:val="00F16AA1"/>
    <w:rsid w:val="00F16ED7"/>
    <w:rsid w:val="00F21140"/>
    <w:rsid w:val="00F3516D"/>
    <w:rsid w:val="00F406B3"/>
    <w:rsid w:val="00F51277"/>
    <w:rsid w:val="00F5338A"/>
    <w:rsid w:val="00F64892"/>
    <w:rsid w:val="00F66E7E"/>
    <w:rsid w:val="00F709E4"/>
    <w:rsid w:val="00F758BA"/>
    <w:rsid w:val="00F82587"/>
    <w:rsid w:val="00F922C6"/>
    <w:rsid w:val="00F94A37"/>
    <w:rsid w:val="00F95FEB"/>
    <w:rsid w:val="00FA062F"/>
    <w:rsid w:val="00FA5945"/>
    <w:rsid w:val="00FB13F7"/>
    <w:rsid w:val="00FB213E"/>
    <w:rsid w:val="00FB5BF9"/>
    <w:rsid w:val="00FC1F15"/>
    <w:rsid w:val="00FC4B7A"/>
    <w:rsid w:val="00FC5406"/>
    <w:rsid w:val="00FD7E1C"/>
    <w:rsid w:val="00FE146B"/>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0D375"/>
  <w15:docId w15:val="{D269ECB2-0683-4467-99B8-CF9147BE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 w:id="7593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omd/privacyact/Privacy_Impact_Assessmen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EB49C3CA6B8245A42A93235D885E45" ma:contentTypeVersion="12" ma:contentTypeDescription="Create a new document." ma:contentTypeScope="" ma:versionID="197a507b2b65ddadbaf50e600d7f7d64">
  <xsd:schema xmlns:xsd="http://www.w3.org/2001/XMLSchema" xmlns:xs="http://www.w3.org/2001/XMLSchema" xmlns:p="http://schemas.microsoft.com/office/2006/metadata/properties" xmlns:ns3="8f5da81c-2a38-46af-bc6b-2c7522a00eb6" xmlns:ns4="f5858d46-b826-4ab9-b6cb-b8cc0c6f9f3d" targetNamespace="http://schemas.microsoft.com/office/2006/metadata/properties" ma:root="true" ma:fieldsID="231102a71885284ebf785315b3c0cc38" ns3:_="" ns4:_="">
    <xsd:import namespace="8f5da81c-2a38-46af-bc6b-2c7522a00eb6"/>
    <xsd:import namespace="f5858d46-b826-4ab9-b6cb-b8cc0c6f9f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81c-2a38-46af-bc6b-2c7522a00e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58d46-b826-4ab9-b6cb-b8cc0c6f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52782-9DFC-42D3-859D-A6B1E768BD70}">
  <ds:schemaRefs>
    <ds:schemaRef ds:uri="http://schemas.openxmlformats.org/officeDocument/2006/bibliography"/>
  </ds:schemaRefs>
</ds:datastoreItem>
</file>

<file path=customXml/itemProps2.xml><?xml version="1.0" encoding="utf-8"?>
<ds:datastoreItem xmlns:ds="http://schemas.openxmlformats.org/officeDocument/2006/customXml" ds:itemID="{F0371831-9742-49B1-8782-C5CB60F6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81c-2a38-46af-bc6b-2c7522a00eb6"/>
    <ds:schemaRef ds:uri="f5858d46-b826-4ab9-b6cb-b8cc0c6f9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95845-1FD5-4D6C-9CE4-549F521C6BB4}">
  <ds:schemaRefs>
    <ds:schemaRef ds:uri="http://schemas.microsoft.com/sharepoint/v3/contenttype/forms"/>
  </ds:schemaRefs>
</ds:datastoreItem>
</file>

<file path=customXml/itemProps4.xml><?xml version="1.0" encoding="utf-8"?>
<ds:datastoreItem xmlns:ds="http://schemas.openxmlformats.org/officeDocument/2006/customXml" ds:itemID="{56F329EB-092E-4917-9317-617F18425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15861</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7</cp:revision>
  <cp:lastPrinted>2011-07-11T19:13:00Z</cp:lastPrinted>
  <dcterms:created xsi:type="dcterms:W3CDTF">2021-05-17T13:05:00Z</dcterms:created>
  <dcterms:modified xsi:type="dcterms:W3CDTF">2021-05-17T13:59:00Z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0x01010000EB49C3CA6B8245A42A93235D885E45</vt:lpwstr>
  </property>
</Properties>
</file>