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807AF" w:rsidR="00731A90" w:rsidRDefault="00731A90">
      <w:pPr>
        <w:pStyle w:val="Footer"/>
        <w:tabs>
          <w:tab w:val="clear" w:pos="4320"/>
          <w:tab w:val="clear" w:pos="8640"/>
          <w:tab w:val="center" w:pos="4680"/>
        </w:tabs>
        <w:jc w:val="center"/>
        <w:rPr>
          <w:rFonts w:ascii="Times New Roman" w:hAnsi="Times New Roman"/>
          <w:b/>
        </w:rPr>
      </w:pPr>
      <w:r w:rsidRPr="00D807AF">
        <w:rPr>
          <w:rFonts w:ascii="Times New Roman" w:hAnsi="Times New Roman"/>
          <w:b/>
        </w:rPr>
        <w:t>SUPPORTING STATEMENT</w:t>
      </w:r>
    </w:p>
    <w:p w:rsidRPr="00D807AF" w:rsidR="00731A90" w:rsidRDefault="001A5909">
      <w:pPr>
        <w:tabs>
          <w:tab w:val="center" w:pos="4680"/>
        </w:tabs>
        <w:jc w:val="center"/>
        <w:rPr>
          <w:rFonts w:ascii="Times New Roman" w:hAnsi="Times New Roman"/>
          <w:b/>
        </w:rPr>
      </w:pPr>
      <w:r>
        <w:rPr>
          <w:rFonts w:ascii="Times New Roman" w:hAnsi="Times New Roman"/>
          <w:b/>
        </w:rPr>
        <w:t>Tax Allocation Agreements</w:t>
      </w:r>
      <w:r w:rsidR="00AD4167">
        <w:rPr>
          <w:rFonts w:ascii="Times New Roman" w:hAnsi="Times New Roman"/>
          <w:b/>
        </w:rPr>
        <w:t xml:space="preserve"> </w:t>
      </w:r>
    </w:p>
    <w:p w:rsidRPr="00D807AF" w:rsidR="00731A90" w:rsidRDefault="00731A90">
      <w:pPr>
        <w:tabs>
          <w:tab w:val="center" w:pos="4680"/>
        </w:tabs>
        <w:jc w:val="center"/>
        <w:rPr>
          <w:rFonts w:ascii="Times New Roman" w:hAnsi="Times New Roman"/>
          <w:b/>
        </w:rPr>
      </w:pPr>
      <w:r w:rsidRPr="00D807AF">
        <w:rPr>
          <w:rFonts w:ascii="Times New Roman" w:hAnsi="Times New Roman"/>
          <w:b/>
        </w:rPr>
        <w:t>(</w:t>
      </w:r>
      <w:r w:rsidR="00D807AF">
        <w:rPr>
          <w:rFonts w:ascii="Times New Roman" w:hAnsi="Times New Roman"/>
          <w:b/>
        </w:rPr>
        <w:t xml:space="preserve">OMB Control No. </w:t>
      </w:r>
      <w:r w:rsidRPr="00D807AF">
        <w:rPr>
          <w:rFonts w:ascii="Times New Roman" w:hAnsi="Times New Roman"/>
          <w:b/>
        </w:rPr>
        <w:t>3064-</w:t>
      </w:r>
      <w:r w:rsidR="00826890">
        <w:rPr>
          <w:rFonts w:ascii="Times New Roman" w:hAnsi="Times New Roman"/>
          <w:b/>
        </w:rPr>
        <w:t>NEW</w:t>
      </w:r>
      <w:r w:rsidRPr="00D807AF">
        <w:rPr>
          <w:rFonts w:ascii="Times New Roman" w:hAnsi="Times New Roman"/>
          <w:b/>
        </w:rPr>
        <w:t>)</w:t>
      </w:r>
    </w:p>
    <w:p w:rsidR="00731A90" w:rsidRDefault="00731A90">
      <w:pPr>
        <w:rPr>
          <w:rFonts w:ascii="Times New Roman" w:hAnsi="Times New Roman"/>
        </w:rPr>
      </w:pPr>
    </w:p>
    <w:p w:rsidR="00731A90" w:rsidRDefault="00731A90">
      <w:pPr>
        <w:rPr>
          <w:rFonts w:ascii="Times New Roman" w:hAnsi="Times New Roman"/>
          <w:u w:val="single"/>
        </w:rPr>
      </w:pPr>
      <w:r>
        <w:rPr>
          <w:rFonts w:ascii="Times New Roman" w:hAnsi="Times New Roman"/>
          <w:u w:val="single"/>
        </w:rPr>
        <w:t>INTRODUCTION</w:t>
      </w:r>
    </w:p>
    <w:p w:rsidR="00731A90" w:rsidRDefault="00731A90">
      <w:pPr>
        <w:rPr>
          <w:rFonts w:ascii="Times New Roman" w:hAnsi="Times New Roman"/>
          <w:u w:val="single"/>
        </w:rPr>
      </w:pPr>
    </w:p>
    <w:p w:rsidR="00DB04B6" w:rsidP="00F601BE" w:rsidRDefault="00AD4167">
      <w:pPr>
        <w:ind w:left="720"/>
        <w:rPr>
          <w:rFonts w:ascii="Times New Roman" w:hAnsi="Times New Roman"/>
          <w:szCs w:val="24"/>
          <w:lang w:bidi="en-US"/>
        </w:rPr>
      </w:pPr>
      <w:r>
        <w:rPr>
          <w:rFonts w:ascii="Times New Roman" w:hAnsi="Times New Roman"/>
        </w:rPr>
        <w:t xml:space="preserve">The </w:t>
      </w:r>
      <w:r w:rsidRPr="00A658D8" w:rsidR="0077603D">
        <w:rPr>
          <w:rFonts w:ascii="Times New Roman" w:hAnsi="Times New Roman"/>
          <w:szCs w:val="24"/>
        </w:rPr>
        <w:t xml:space="preserve">Federal Deposit Insurance Corporation (FDIC) </w:t>
      </w:r>
      <w:r w:rsidR="0077603D">
        <w:rPr>
          <w:rFonts w:ascii="Times New Roman" w:hAnsi="Times New Roman"/>
          <w:szCs w:val="24"/>
        </w:rPr>
        <w:t xml:space="preserve">is </w:t>
      </w:r>
      <w:r w:rsidRPr="00A658D8" w:rsidR="0077603D">
        <w:rPr>
          <w:rFonts w:ascii="Times New Roman" w:hAnsi="Times New Roman"/>
          <w:szCs w:val="24"/>
        </w:rPr>
        <w:t xml:space="preserve">requesting </w:t>
      </w:r>
      <w:r w:rsidR="00826890">
        <w:rPr>
          <w:rFonts w:ascii="Times New Roman" w:hAnsi="Times New Roman"/>
          <w:szCs w:val="24"/>
        </w:rPr>
        <w:t xml:space="preserve">OMB approval of a new information collection </w:t>
      </w:r>
      <w:r w:rsidR="0010010B">
        <w:rPr>
          <w:rFonts w:ascii="Times New Roman" w:hAnsi="Times New Roman"/>
          <w:szCs w:val="24"/>
        </w:rPr>
        <w:t xml:space="preserve">related to a </w:t>
      </w:r>
      <w:r w:rsidRPr="0010010B" w:rsidR="0010010B">
        <w:rPr>
          <w:rFonts w:ascii="Times New Roman" w:hAnsi="Times New Roman"/>
          <w:szCs w:val="24"/>
          <w:lang w:bidi="en-US"/>
        </w:rPr>
        <w:t xml:space="preserve">notice of proposed rulemaking (proposed rule or proposal) that would </w:t>
      </w:r>
      <w:r w:rsidRPr="001A5909" w:rsidR="001A5909">
        <w:rPr>
          <w:rFonts w:ascii="Times New Roman" w:hAnsi="Times New Roman"/>
          <w:snapToGrid/>
          <w:szCs w:val="24"/>
        </w:rPr>
        <w:t>that would prescribe requirements for tax allocation agreements that involve insured depository institutions and OCC chartered uninsured institutions (collectively, institutions).</w:t>
      </w:r>
      <w:r w:rsidR="001A5909">
        <w:rPr>
          <w:rFonts w:ascii="Times New Roman" w:hAnsi="Times New Roman"/>
          <w:snapToGrid/>
          <w:szCs w:val="24"/>
        </w:rPr>
        <w:t xml:space="preserve"> </w:t>
      </w:r>
      <w:r w:rsidRPr="001A5909" w:rsidR="001A5909">
        <w:rPr>
          <w:rFonts w:ascii="Times New Roman" w:hAnsi="Times New Roman"/>
          <w:snapToGrid/>
          <w:szCs w:val="24"/>
        </w:rPr>
        <w:t>Under the proposal, institutions in a consolidated tax filing group (consolidated group</w:t>
      </w:r>
      <w:r w:rsidRPr="001A5909" w:rsidR="001A5909">
        <w:rPr>
          <w:rFonts w:ascii="Times New Roman" w:hAnsi="Times New Roman"/>
          <w:snapToGrid/>
          <w:szCs w:val="24"/>
          <w:vertAlign w:val="superscript"/>
        </w:rPr>
        <w:footnoteReference w:id="1"/>
      </w:r>
      <w:r w:rsidRPr="001A5909" w:rsidR="001A5909">
        <w:rPr>
          <w:rFonts w:ascii="Times New Roman" w:hAnsi="Times New Roman"/>
          <w:snapToGrid/>
          <w:szCs w:val="24"/>
        </w:rPr>
        <w:t>) would be required to enter into tax allocation agreements with their holding companies and other members of the consolidated group that join in the filing of a consolidated group tax return.  The proposal would establish a methodology for tax payment obligations between an institution and its parent holding company within a consolidated group and would address how the institution should be compensated for the use of its tax assets (such as net operating losses and tax credits).  The proposal would be adopted primarily under Section 39 of the Federal Deposit Insurance Act (FDI Act)</w:t>
      </w:r>
      <w:r w:rsidRPr="001A5909" w:rsidR="001A5909">
        <w:rPr>
          <w:rFonts w:ascii="Times New Roman" w:hAnsi="Times New Roman"/>
          <w:snapToGrid/>
          <w:szCs w:val="24"/>
          <w:vertAlign w:val="superscript"/>
        </w:rPr>
        <w:footnoteReference w:id="2"/>
      </w:r>
      <w:r w:rsidRPr="001A5909" w:rsidR="001A5909">
        <w:rPr>
          <w:rFonts w:ascii="Times New Roman" w:hAnsi="Times New Roman"/>
          <w:snapToGrid/>
          <w:szCs w:val="24"/>
        </w:rPr>
        <w:t xml:space="preserve"> and codified within the agencies’ safety and soundness regulations.</w:t>
      </w:r>
    </w:p>
    <w:p w:rsidRPr="00DB04B6" w:rsidR="0010010B" w:rsidP="00DB04B6" w:rsidRDefault="0010010B">
      <w:pPr>
        <w:rPr>
          <w:rFonts w:ascii="Times New Roman" w:hAnsi="Times New Roman"/>
        </w:rPr>
      </w:pPr>
    </w:p>
    <w:p w:rsidR="00DB04B6" w:rsidP="004D1876" w:rsidRDefault="00DB04B6">
      <w:pPr>
        <w:rPr>
          <w:rFonts w:ascii="Times New Roman" w:hAnsi="Times New Roman"/>
        </w:rPr>
      </w:pPr>
    </w:p>
    <w:p w:rsidR="00731A90" w:rsidRDefault="00731A90">
      <w:pPr>
        <w:rPr>
          <w:rFonts w:ascii="Times New Roman" w:hAnsi="Times New Roman"/>
          <w:u w:val="single"/>
        </w:rPr>
      </w:pPr>
      <w:r>
        <w:rPr>
          <w:rFonts w:ascii="Times New Roman" w:hAnsi="Times New Roman"/>
        </w:rPr>
        <w:t>A.</w:t>
      </w:r>
      <w:r>
        <w:rPr>
          <w:rFonts w:ascii="Times New Roman" w:hAnsi="Times New Roman"/>
        </w:rPr>
        <w:tab/>
      </w:r>
      <w:r>
        <w:rPr>
          <w:rFonts w:ascii="Times New Roman" w:hAnsi="Times New Roman"/>
          <w:u w:val="single"/>
        </w:rPr>
        <w:t>JUSTIFICATION</w:t>
      </w:r>
    </w:p>
    <w:p w:rsidR="00731A90" w:rsidRDefault="00731A90">
      <w:pPr>
        <w:rPr>
          <w:rFonts w:ascii="Times New Roman" w:hAnsi="Times New Roman"/>
        </w:rPr>
      </w:pPr>
    </w:p>
    <w:p w:rsidR="00731A90" w:rsidP="0001734D" w:rsidRDefault="00731A90">
      <w:pPr>
        <w:rPr>
          <w:rFonts w:ascii="Times New Roman" w:hAnsi="Times New Roman"/>
        </w:rPr>
      </w:pPr>
      <w:r>
        <w:rPr>
          <w:rFonts w:ascii="Times New Roman" w:hAnsi="Times New Roman"/>
        </w:rPr>
        <w:t>1.</w:t>
      </w:r>
      <w:r>
        <w:rPr>
          <w:rFonts w:ascii="Times New Roman" w:hAnsi="Times New Roman"/>
        </w:rPr>
        <w:tab/>
      </w:r>
      <w:r w:rsidRPr="00B662BE" w:rsidR="008F53AC">
        <w:rPr>
          <w:rFonts w:ascii="Times New Roman" w:hAnsi="Times New Roman"/>
          <w:bCs/>
          <w:szCs w:val="24"/>
          <w:u w:val="single"/>
        </w:rPr>
        <w:t>Circumstances that make the collection necessary:</w:t>
      </w:r>
    </w:p>
    <w:p w:rsidR="00731A90" w:rsidRDefault="00731A90">
      <w:pPr>
        <w:ind w:firstLine="1440"/>
        <w:rPr>
          <w:rFonts w:ascii="Times New Roman" w:hAnsi="Times New Roman"/>
        </w:rPr>
      </w:pPr>
    </w:p>
    <w:p w:rsidR="00B0375D" w:rsidP="00F601BE" w:rsidRDefault="00D9184D">
      <w:pPr>
        <w:ind w:left="720"/>
        <w:rPr>
          <w:rFonts w:ascii="Times New Roman" w:hAnsi="Times New Roman"/>
          <w:snapToGrid/>
          <w:szCs w:val="24"/>
        </w:rPr>
      </w:pPr>
      <w:r>
        <w:rPr>
          <w:rFonts w:ascii="Times New Roman" w:hAnsi="Times New Roman"/>
          <w:snapToGrid/>
          <w:szCs w:val="24"/>
        </w:rPr>
        <w:t>In its</w:t>
      </w:r>
      <w:r w:rsidRPr="005B25CA" w:rsidR="005B25CA">
        <w:rPr>
          <w:rFonts w:ascii="Times New Roman" w:hAnsi="Times New Roman"/>
          <w:snapToGrid/>
          <w:szCs w:val="24"/>
        </w:rPr>
        <w:t xml:space="preserve"> supervision of institutions, the </w:t>
      </w:r>
      <w:r w:rsidR="005B25CA">
        <w:rPr>
          <w:rFonts w:ascii="Times New Roman" w:hAnsi="Times New Roman"/>
          <w:snapToGrid/>
          <w:szCs w:val="24"/>
        </w:rPr>
        <w:t>FDIC has</w:t>
      </w:r>
      <w:r w:rsidRPr="005B25CA" w:rsidR="005B25CA">
        <w:rPr>
          <w:rFonts w:ascii="Times New Roman" w:hAnsi="Times New Roman"/>
          <w:snapToGrid/>
          <w:szCs w:val="24"/>
        </w:rPr>
        <w:t xml:space="preserve"> observed that some institutions in consolidated groups either lack tax allocation agreements with their holding companies or have agreements that do not have language conforming </w:t>
      </w:r>
      <w:r w:rsidRPr="005B25CA" w:rsidR="005B25CA">
        <w:rPr>
          <w:rFonts w:ascii="Times New Roman" w:hAnsi="Times New Roman"/>
          <w:snapToGrid/>
          <w:szCs w:val="24"/>
        </w:rPr>
        <w:t>to</w:t>
      </w:r>
      <w:r w:rsidRPr="005B25CA" w:rsidR="005B25CA">
        <w:rPr>
          <w:rFonts w:ascii="Times New Roman" w:hAnsi="Times New Roman"/>
          <w:snapToGrid/>
          <w:szCs w:val="24"/>
        </w:rPr>
        <w:t xml:space="preserve"> section 23A</w:t>
      </w:r>
      <w:r w:rsidRPr="00D9184D">
        <w:rPr>
          <w:rStyle w:val="FootnoteReference"/>
          <w:rFonts w:ascii="Times New Roman" w:hAnsi="Times New Roman"/>
          <w:snapToGrid/>
          <w:szCs w:val="24"/>
          <w:vertAlign w:val="superscript"/>
        </w:rPr>
        <w:footnoteReference w:id="3"/>
      </w:r>
      <w:r w:rsidRPr="00D9184D" w:rsidR="005B25CA">
        <w:rPr>
          <w:rFonts w:ascii="Times New Roman" w:hAnsi="Times New Roman"/>
          <w:snapToGrid/>
          <w:szCs w:val="24"/>
          <w:vertAlign w:val="superscript"/>
        </w:rPr>
        <w:t xml:space="preserve"> </w:t>
      </w:r>
      <w:r w:rsidRPr="005B25CA" w:rsidR="005B25CA">
        <w:rPr>
          <w:rFonts w:ascii="Times New Roman" w:hAnsi="Times New Roman"/>
          <w:snapToGrid/>
          <w:szCs w:val="24"/>
        </w:rPr>
        <w:t>or 23B</w:t>
      </w:r>
      <w:r w:rsidRPr="00D9184D" w:rsidR="005B25CA">
        <w:rPr>
          <w:rStyle w:val="FootnoteReference"/>
          <w:rFonts w:ascii="Times New Roman" w:hAnsi="Times New Roman"/>
          <w:snapToGrid/>
          <w:szCs w:val="24"/>
          <w:vertAlign w:val="superscript"/>
        </w:rPr>
        <w:footnoteReference w:id="4"/>
      </w:r>
      <w:r w:rsidRPr="005B25CA" w:rsidR="005B25CA">
        <w:rPr>
          <w:rFonts w:ascii="Times New Roman" w:hAnsi="Times New Roman"/>
          <w:snapToGrid/>
          <w:szCs w:val="24"/>
        </w:rPr>
        <w:t xml:space="preserve">.  In particular, </w:t>
      </w:r>
      <w:r>
        <w:rPr>
          <w:rFonts w:ascii="Times New Roman" w:hAnsi="Times New Roman"/>
          <w:snapToGrid/>
          <w:szCs w:val="24"/>
        </w:rPr>
        <w:t>the FDIC has</w:t>
      </w:r>
      <w:r w:rsidRPr="005B25CA" w:rsidR="005B25CA">
        <w:rPr>
          <w:rFonts w:ascii="Times New Roman" w:hAnsi="Times New Roman"/>
          <w:snapToGrid/>
          <w:szCs w:val="24"/>
        </w:rPr>
        <w:t xml:space="preserve"> reviewed tax allocation agreements that do not require a holding company in a consolidated group to transmit promptly the appropriate portion of a consolidated group’s tax refund to its subsidiary institution, resulting in the holding company failing to do so in some instances.  Such inaction could adversely affect the safety and soundness of the subsidiary institutions because delayed access to funds could </w:t>
      </w:r>
      <w:r w:rsidRPr="005B25CA" w:rsidR="005B25CA">
        <w:rPr>
          <w:rFonts w:ascii="Times New Roman" w:hAnsi="Times New Roman"/>
          <w:snapToGrid/>
          <w:szCs w:val="24"/>
        </w:rPr>
        <w:lastRenderedPageBreak/>
        <w:t>weaken an institution’s liquidity profile.  Further, in its capacity as receiver for failed insured depository institutions, the FDIC has engaged in legal disputes regarding the ownership of tax refunds claimed by holding companies based on losses incurred by insured depository institutions in a consolidated group because the tax allocation agreements did not clearly acknowledge an agency relationship between an insured depository institution and its holding company.</w:t>
      </w:r>
      <w:bookmarkStart w:name="fdic5478" w:id="0"/>
      <w:bookmarkEnd w:id="0"/>
      <w:r w:rsidRPr="005B25CA" w:rsidR="005B25CA">
        <w:rPr>
          <w:rFonts w:ascii="Times New Roman" w:hAnsi="Times New Roman"/>
          <w:snapToGrid/>
          <w:szCs w:val="24"/>
        </w:rPr>
        <w:t xml:space="preserve">  These disputes can reduce or prevent recoveries by the FDIC on behalf of failed insured depository institutions, consequently increase costs to the Deposit Insurance Fund, and thus could lead to higher FDIC deposit insurance premiums charged to solvent insured depository institutions.</w:t>
      </w:r>
    </w:p>
    <w:p w:rsidRPr="00373ED8" w:rsidR="009D2490" w:rsidP="009D2490" w:rsidRDefault="009D2490">
      <w:pPr>
        <w:ind w:left="1440"/>
        <w:rPr>
          <w:rFonts w:ascii="Times New Roman" w:hAnsi="Times New Roman"/>
        </w:rPr>
      </w:pPr>
    </w:p>
    <w:p w:rsidRPr="00373ED8" w:rsidR="004D1876" w:rsidP="00D00726" w:rsidRDefault="004D1876">
      <w:pPr>
        <w:rPr>
          <w:rFonts w:ascii="Times New Roman" w:hAnsi="Times New Roman"/>
        </w:rPr>
      </w:pPr>
      <w:r w:rsidRPr="00373ED8">
        <w:rPr>
          <w:rFonts w:ascii="Times New Roman" w:hAnsi="Times New Roman"/>
        </w:rPr>
        <w:t>2.</w:t>
      </w:r>
      <w:r w:rsidRPr="00373ED8">
        <w:rPr>
          <w:rFonts w:ascii="Times New Roman" w:hAnsi="Times New Roman"/>
        </w:rPr>
        <w:tab/>
      </w:r>
      <w:r w:rsidRPr="00373ED8">
        <w:rPr>
          <w:rFonts w:ascii="Times New Roman" w:hAnsi="Times New Roman"/>
          <w:u w:val="single"/>
        </w:rPr>
        <w:t>Use of the information:</w:t>
      </w:r>
    </w:p>
    <w:p w:rsidRPr="00373ED8" w:rsidR="004D1876" w:rsidP="004D1876" w:rsidRDefault="004D1876">
      <w:pPr>
        <w:ind w:left="1440"/>
        <w:rPr>
          <w:rFonts w:ascii="Times New Roman" w:hAnsi="Times New Roman"/>
        </w:rPr>
      </w:pPr>
    </w:p>
    <w:p w:rsidR="00B7058F" w:rsidP="00B7058F" w:rsidRDefault="00B7058F">
      <w:pPr>
        <w:ind w:left="720"/>
        <w:rPr>
          <w:rFonts w:ascii="Times New Roman" w:hAnsi="Times New Roman"/>
        </w:rPr>
      </w:pPr>
      <w:r w:rsidRPr="00B7058F">
        <w:rPr>
          <w:rFonts w:ascii="Times New Roman" w:hAnsi="Times New Roman"/>
        </w:rPr>
        <w:t>The proposal would require that all institutions that are subject to Federal or State tax and file tax returns as part of a consolidated group execute a tax allocation agreement that applies to and binds each member of the consolidated group.  The proposal also would require that the tax allocation agreement be approved by the boards of directors of an institution subject to that tax allocation agreement and its holding company to ensure the agreement’s enforceability by and among the institutions in the consolidated group.</w:t>
      </w:r>
    </w:p>
    <w:p w:rsidRPr="00B7058F" w:rsidR="00B7058F" w:rsidP="00B7058F" w:rsidRDefault="00B7058F">
      <w:pPr>
        <w:ind w:left="720"/>
        <w:rPr>
          <w:rFonts w:ascii="Times New Roman" w:hAnsi="Times New Roman"/>
        </w:rPr>
      </w:pPr>
    </w:p>
    <w:p w:rsidR="00B7058F" w:rsidP="00B7058F" w:rsidRDefault="00B7058F">
      <w:pPr>
        <w:ind w:left="720"/>
        <w:rPr>
          <w:rFonts w:ascii="Times New Roman" w:hAnsi="Times New Roman"/>
        </w:rPr>
      </w:pPr>
      <w:r w:rsidRPr="00B7058F">
        <w:rPr>
          <w:rFonts w:ascii="Times New Roman" w:hAnsi="Times New Roman"/>
        </w:rPr>
        <w:t>Section 23A and 23B generally govern extensions of credit and certain other transactions between institutions and their affiliates, which include their holding companies.  Section 23A places quantitative limits on covered transactions between an institution and its affiliates and imposes collateral requirements on certain covered transactions.  Section 23B requires that transactions between an institution and its affiliates be made on terms and under circumstances that are substantially the same, or at least as favorable to the institution, as comparable transactions involving nonaffiliated companies or, in the absence of the comparable transactions, on terms and circumstances that would in good faith be offered to nonaffiliated companies.  The tax allocation agreement requirements in the proposal are intended to be consistent with sections 23A and 23B.</w:t>
      </w:r>
    </w:p>
    <w:p w:rsidRPr="00B7058F" w:rsidR="00B7058F" w:rsidP="00B7058F" w:rsidRDefault="00B7058F">
      <w:pPr>
        <w:ind w:left="720"/>
        <w:rPr>
          <w:rFonts w:ascii="Times New Roman" w:hAnsi="Times New Roman"/>
        </w:rPr>
      </w:pPr>
      <w:r w:rsidRPr="00B7058F">
        <w:rPr>
          <w:rFonts w:ascii="Times New Roman" w:hAnsi="Times New Roman"/>
        </w:rPr>
        <w:t xml:space="preserve">  </w:t>
      </w:r>
    </w:p>
    <w:p w:rsidRPr="00B7058F" w:rsidR="00B7058F" w:rsidP="00B7058F" w:rsidRDefault="00B7058F">
      <w:pPr>
        <w:ind w:left="720"/>
        <w:rPr>
          <w:rFonts w:ascii="Times New Roman" w:hAnsi="Times New Roman"/>
        </w:rPr>
      </w:pPr>
      <w:r w:rsidRPr="00B7058F">
        <w:rPr>
          <w:rFonts w:ascii="Times New Roman" w:hAnsi="Times New Roman"/>
        </w:rPr>
        <w:t>To achieve this result, tax allocation agreements subject to the proposal would be required to establish certain rights and obligations among institutions in the consolidated group.  Adjustments for statutory tax considerations that may arise on a consolidated tax return are permitted as long as the adjustments are made on a basis that is equitable and consistently applied among the holding company and other affiliates.  Certain proposed key terms that would be required under the proposal for tax allocation agreements are explained below.</w:t>
      </w:r>
    </w:p>
    <w:p w:rsidR="004D1876" w:rsidP="00B7058F" w:rsidRDefault="004D1876">
      <w:pPr>
        <w:ind w:left="720"/>
        <w:rPr>
          <w:rFonts w:ascii="Times New Roman" w:hAnsi="Times New Roman"/>
        </w:rPr>
      </w:pPr>
    </w:p>
    <w:p w:rsidRPr="006E6A2D" w:rsidR="006E6A2D" w:rsidP="006E6A2D" w:rsidRDefault="006E6A2D">
      <w:pPr>
        <w:ind w:left="720"/>
        <w:rPr>
          <w:rFonts w:ascii="Times New Roman" w:hAnsi="Times New Roman"/>
        </w:rPr>
      </w:pPr>
      <w:r w:rsidRPr="006E6A2D">
        <w:rPr>
          <w:rFonts w:ascii="Times New Roman" w:hAnsi="Times New Roman"/>
        </w:rPr>
        <w:t xml:space="preserve">Under the proposal, a tax allocation agreement must require that all materials including, but not limited to, returns, supporting schedules, work papers, correspondence, and other documents relating to the consolidated federal income tax return and any consolidated, combined, or unitary group state or local return, which return includes the institution, be made available on demand to the institution or any successor during regular business hours and that this requirement must survive any termination of the tax allocation agreement.  Access to this information would permit the institution, as well as agency examiners, to evaluate compliance with the proposal, including whether the institution and holding company are appropriately calculating the institution’s share of any tax liability and the institution’s refund for use of its tax attributes.  This proposed approach </w:t>
      </w:r>
      <w:r w:rsidRPr="006E6A2D">
        <w:rPr>
          <w:rFonts w:ascii="Times New Roman" w:hAnsi="Times New Roman"/>
        </w:rPr>
        <w:lastRenderedPageBreak/>
        <w:t>also is consistent with how the Internal Revenue Service views the relationship of members in a consolidated group with respect to tax documentation.</w:t>
      </w:r>
      <w:r w:rsidRPr="006E6A2D">
        <w:rPr>
          <w:rFonts w:ascii="Times New Roman" w:hAnsi="Times New Roman"/>
          <w:vertAlign w:val="superscript"/>
        </w:rPr>
        <w:footnoteReference w:id="5"/>
      </w:r>
      <w:r w:rsidRPr="006E6A2D">
        <w:rPr>
          <w:rFonts w:ascii="Times New Roman" w:hAnsi="Times New Roman"/>
        </w:rPr>
        <w:t xml:space="preserve"> </w:t>
      </w:r>
    </w:p>
    <w:p w:rsidR="006E6A2D" w:rsidP="006E6A2D" w:rsidRDefault="006E6A2D">
      <w:pPr>
        <w:ind w:left="720"/>
        <w:rPr>
          <w:rFonts w:ascii="Times New Roman" w:hAnsi="Times New Roman"/>
        </w:rPr>
      </w:pPr>
    </w:p>
    <w:p w:rsidR="006E6A2D" w:rsidP="006E6A2D" w:rsidRDefault="006E6A2D">
      <w:pPr>
        <w:ind w:left="720"/>
        <w:rPr>
          <w:rFonts w:ascii="Times New Roman" w:hAnsi="Times New Roman"/>
        </w:rPr>
      </w:pPr>
      <w:r w:rsidRPr="006E6A2D">
        <w:rPr>
          <w:rFonts w:ascii="Times New Roman" w:hAnsi="Times New Roman"/>
        </w:rPr>
        <w:t>With respect to insured depository institutions that enter receivership, the FDIC as receiver would be successor to any rights or interests of the insured depository institution with respect to various agreements, including any tax allocation agreement and the ability to obtain tax return information for the consolidated group of which the insured depository institution is a member.</w:t>
      </w:r>
      <w:r w:rsidRPr="006E6A2D">
        <w:rPr>
          <w:rFonts w:ascii="Times New Roman" w:hAnsi="Times New Roman"/>
          <w:vertAlign w:val="superscript"/>
        </w:rPr>
        <w:footnoteReference w:id="6"/>
      </w:r>
      <w:r w:rsidRPr="006E6A2D">
        <w:rPr>
          <w:rFonts w:ascii="Times New Roman" w:hAnsi="Times New Roman"/>
        </w:rPr>
        <w:t xml:space="preserve">  Requiring the holding company to provide access to tax returns to the consolidated group, including the insured depository institution, would benefit the FDIC as receiver by improving its ability to meet its tax obligations and obtain tax refunds that are due and owed to the failed insured depository institution in a timely manner.</w:t>
      </w:r>
    </w:p>
    <w:p w:rsidR="004D1876" w:rsidP="004D1876" w:rsidRDefault="004D1876">
      <w:pPr>
        <w:ind w:left="2880"/>
        <w:rPr>
          <w:rFonts w:ascii="Times New Roman" w:hAnsi="Times New Roman"/>
        </w:rPr>
      </w:pPr>
    </w:p>
    <w:p w:rsidR="00731A90" w:rsidP="00540CBF" w:rsidRDefault="00731A90">
      <w:pPr>
        <w:rPr>
          <w:rFonts w:ascii="Times New Roman" w:hAnsi="Times New Roman"/>
        </w:rPr>
      </w:pPr>
      <w:r>
        <w:rPr>
          <w:rFonts w:ascii="Times New Roman" w:hAnsi="Times New Roman"/>
        </w:rPr>
        <w:t>3.</w:t>
      </w:r>
      <w:r>
        <w:rPr>
          <w:rFonts w:ascii="Times New Roman" w:hAnsi="Times New Roman"/>
        </w:rPr>
        <w:tab/>
      </w:r>
      <w:r w:rsidRPr="00540CBF" w:rsidR="00D807AF">
        <w:rPr>
          <w:rFonts w:ascii="Times New Roman" w:hAnsi="Times New Roman"/>
          <w:u w:val="single"/>
        </w:rPr>
        <w:t>Consideration</w:t>
      </w:r>
      <w:r w:rsidRPr="00B662BE" w:rsidR="00D807AF">
        <w:rPr>
          <w:rFonts w:ascii="Times New Roman" w:hAnsi="Times New Roman"/>
          <w:bCs/>
          <w:szCs w:val="24"/>
          <w:u w:val="single"/>
        </w:rPr>
        <w:t xml:space="preserve"> of the use of improved information technology:</w:t>
      </w:r>
    </w:p>
    <w:p w:rsidR="00731A90" w:rsidRDefault="00731A90">
      <w:pPr>
        <w:rPr>
          <w:rFonts w:ascii="Times New Roman" w:hAnsi="Times New Roman"/>
        </w:rPr>
      </w:pPr>
    </w:p>
    <w:p w:rsidRPr="0077603D" w:rsidR="0077603D" w:rsidP="0037682F" w:rsidRDefault="0077603D">
      <w:pPr>
        <w:ind w:left="720"/>
        <w:rPr>
          <w:rFonts w:ascii="Times New Roman" w:hAnsi="Times New Roman"/>
          <w:snapToGrid/>
          <w:szCs w:val="24"/>
        </w:rPr>
      </w:pPr>
      <w:r w:rsidRPr="0037682F">
        <w:rPr>
          <w:rFonts w:ascii="Times New Roman" w:hAnsi="Times New Roman"/>
          <w:szCs w:val="24"/>
        </w:rPr>
        <w:t>Respondents</w:t>
      </w:r>
      <w:r w:rsidRPr="0077603D">
        <w:rPr>
          <w:rFonts w:ascii="Times New Roman" w:hAnsi="Times New Roman"/>
          <w:snapToGrid/>
          <w:szCs w:val="24"/>
        </w:rPr>
        <w:t xml:space="preserve"> may use any information technology that permits review by FDIC examiners.</w:t>
      </w:r>
    </w:p>
    <w:p w:rsidR="0077603D" w:rsidP="00B26610" w:rsidRDefault="0077603D">
      <w:pPr>
        <w:ind w:left="1440"/>
        <w:rPr>
          <w:rFonts w:ascii="Times New Roman" w:hAnsi="Times New Roman"/>
          <w:color w:val="000000"/>
          <w:szCs w:val="24"/>
        </w:rPr>
      </w:pPr>
    </w:p>
    <w:p w:rsidR="00731A90" w:rsidP="00540CBF" w:rsidRDefault="00731A90">
      <w:pPr>
        <w:rPr>
          <w:rFonts w:ascii="Times New Roman" w:hAnsi="Times New Roman"/>
        </w:rPr>
      </w:pPr>
      <w:r>
        <w:rPr>
          <w:rFonts w:ascii="Times New Roman" w:hAnsi="Times New Roman"/>
        </w:rPr>
        <w:t>4.</w:t>
      </w:r>
      <w:r>
        <w:rPr>
          <w:rFonts w:ascii="Times New Roman" w:hAnsi="Times New Roman"/>
        </w:rPr>
        <w:tab/>
      </w:r>
      <w:r w:rsidR="00D807AF">
        <w:rPr>
          <w:rFonts w:ascii="Times New Roman" w:hAnsi="Times New Roman"/>
          <w:u w:val="single"/>
        </w:rPr>
        <w:t>Efforts to identify d</w:t>
      </w:r>
      <w:r>
        <w:rPr>
          <w:rFonts w:ascii="Times New Roman" w:hAnsi="Times New Roman"/>
          <w:u w:val="single"/>
        </w:rPr>
        <w:t>uplication</w:t>
      </w:r>
      <w:r w:rsidR="008F53AC">
        <w:rPr>
          <w:rFonts w:ascii="Times New Roman" w:hAnsi="Times New Roman"/>
          <w:u w:val="single"/>
        </w:rPr>
        <w:t>:</w:t>
      </w:r>
    </w:p>
    <w:p w:rsidR="00731A90" w:rsidRDefault="00731A90">
      <w:pPr>
        <w:rPr>
          <w:rFonts w:ascii="Times New Roman" w:hAnsi="Times New Roman"/>
        </w:rPr>
      </w:pPr>
    </w:p>
    <w:p w:rsidR="00AD4167" w:rsidP="0037682F" w:rsidRDefault="008846C0">
      <w:pPr>
        <w:ind w:left="720"/>
        <w:rPr>
          <w:rFonts w:ascii="Times New Roman" w:hAnsi="Times New Roman"/>
          <w:szCs w:val="24"/>
        </w:rPr>
      </w:pPr>
      <w:r>
        <w:rPr>
          <w:rFonts w:ascii="Times New Roman" w:hAnsi="Times New Roman"/>
        </w:rPr>
        <w:t xml:space="preserve">There is no duplication.  The information is not available </w:t>
      </w:r>
      <w:r w:rsidR="0033296A">
        <w:rPr>
          <w:rFonts w:ascii="Times New Roman" w:hAnsi="Times New Roman"/>
        </w:rPr>
        <w:t>elsewhere.</w:t>
      </w:r>
      <w:r w:rsidRPr="00B25DD3" w:rsidR="00B25DD3">
        <w:rPr>
          <w:rFonts w:ascii="Times New Roman" w:hAnsi="Times New Roman"/>
          <w:szCs w:val="24"/>
        </w:rPr>
        <w:t>.</w:t>
      </w:r>
    </w:p>
    <w:p w:rsidR="00731A90" w:rsidRDefault="00731A90">
      <w:pPr>
        <w:ind w:left="720"/>
        <w:rPr>
          <w:rFonts w:ascii="Times New Roman" w:hAnsi="Times New Roman"/>
        </w:rPr>
      </w:pPr>
    </w:p>
    <w:p w:rsidR="00731A90" w:rsidP="0037682F" w:rsidRDefault="00731A90">
      <w:pPr>
        <w:ind w:left="720" w:hanging="720"/>
        <w:outlineLvl w:val="0"/>
        <w:rPr>
          <w:rFonts w:ascii="Times New Roman" w:hAnsi="Times New Roman"/>
          <w:u w:val="single"/>
        </w:rPr>
      </w:pPr>
      <w:r>
        <w:rPr>
          <w:rFonts w:ascii="Times New Roman" w:hAnsi="Times New Roman"/>
        </w:rPr>
        <w:t>5.</w:t>
      </w:r>
      <w:r>
        <w:rPr>
          <w:rFonts w:ascii="Times New Roman" w:hAnsi="Times New Roman"/>
        </w:rPr>
        <w:tab/>
      </w:r>
      <w:r w:rsidRPr="0037682F" w:rsidR="00D807AF">
        <w:rPr>
          <w:rFonts w:ascii="Times New Roman" w:hAnsi="Times New Roman"/>
          <w:szCs w:val="24"/>
          <w:u w:val="single"/>
        </w:rPr>
        <w:t>Methods</w:t>
      </w:r>
      <w:r w:rsidRPr="008873E8" w:rsidR="00D807AF">
        <w:rPr>
          <w:rFonts w:ascii="Times New Roman" w:hAnsi="Times New Roman"/>
          <w:bCs/>
          <w:szCs w:val="24"/>
          <w:u w:val="single"/>
        </w:rPr>
        <w:t xml:space="preserve"> used to minimize burden if the collection has a significant impact on a substantial number of small entities:</w:t>
      </w:r>
    </w:p>
    <w:p w:rsidR="00731A90" w:rsidRDefault="00731A90">
      <w:pPr>
        <w:ind w:left="1440"/>
        <w:rPr>
          <w:rFonts w:ascii="Times New Roman" w:hAnsi="Times New Roman"/>
        </w:rPr>
      </w:pPr>
    </w:p>
    <w:p w:rsidRPr="005D1420" w:rsidR="00714873" w:rsidP="0037682F" w:rsidRDefault="00714873">
      <w:pPr>
        <w:ind w:left="720"/>
        <w:rPr>
          <w:rFonts w:ascii="Times New Roman" w:hAnsi="Times New Roman"/>
          <w:color w:val="1F497D"/>
        </w:rPr>
      </w:pPr>
      <w:r w:rsidRPr="005D1420">
        <w:rPr>
          <w:rFonts w:ascii="Times New Roman" w:hAnsi="Times New Roman"/>
        </w:rPr>
        <w:t xml:space="preserve">This </w:t>
      </w:r>
      <w:r w:rsidR="00E34CD4">
        <w:rPr>
          <w:rFonts w:ascii="Times New Roman" w:hAnsi="Times New Roman"/>
        </w:rPr>
        <w:t xml:space="preserve">proposed information </w:t>
      </w:r>
      <w:r w:rsidRPr="00F601BE">
        <w:rPr>
          <w:rFonts w:ascii="Times New Roman" w:hAnsi="Times New Roman"/>
        </w:rPr>
        <w:t>collection</w:t>
      </w:r>
      <w:r w:rsidR="00E34CD4">
        <w:rPr>
          <w:rFonts w:ascii="Times New Roman" w:hAnsi="Times New Roman"/>
        </w:rPr>
        <w:t xml:space="preserve"> would </w:t>
      </w:r>
      <w:r w:rsidRPr="005D1420">
        <w:rPr>
          <w:rFonts w:ascii="Times New Roman" w:hAnsi="Times New Roman"/>
        </w:rPr>
        <w:t xml:space="preserve">not have a significant impact on a substantial number of </w:t>
      </w:r>
      <w:r w:rsidRPr="0037682F">
        <w:rPr>
          <w:rFonts w:ascii="Times New Roman" w:hAnsi="Times New Roman"/>
          <w:szCs w:val="24"/>
        </w:rPr>
        <w:t>small</w:t>
      </w:r>
      <w:r w:rsidRPr="005D1420">
        <w:rPr>
          <w:rFonts w:ascii="Times New Roman" w:hAnsi="Times New Roman"/>
        </w:rPr>
        <w:t xml:space="preserve"> entities.</w:t>
      </w:r>
    </w:p>
    <w:p w:rsidR="00714873" w:rsidP="00BF48CF" w:rsidRDefault="00714873">
      <w:pPr>
        <w:ind w:left="1440"/>
        <w:rPr>
          <w:rFonts w:ascii="Times New Roman" w:hAnsi="Times New Roman"/>
          <w:szCs w:val="24"/>
        </w:rPr>
      </w:pPr>
    </w:p>
    <w:p w:rsidR="00731A90" w:rsidP="00D34AFE" w:rsidRDefault="00D34AFE">
      <w:pPr>
        <w:rPr>
          <w:rFonts w:ascii="Times New Roman" w:hAnsi="Times New Roman"/>
        </w:rPr>
      </w:pPr>
      <w:r>
        <w:rPr>
          <w:rFonts w:ascii="Times New Roman" w:hAnsi="Times New Roman"/>
        </w:rPr>
        <w:t>6.</w:t>
      </w:r>
      <w:r>
        <w:rPr>
          <w:rFonts w:ascii="Times New Roman" w:hAnsi="Times New Roman"/>
        </w:rPr>
        <w:tab/>
      </w:r>
      <w:r w:rsidRPr="00D34AFE">
        <w:rPr>
          <w:rFonts w:ascii="Times New Roman" w:hAnsi="Times New Roman"/>
          <w:u w:val="single"/>
        </w:rPr>
        <w:t>C</w:t>
      </w:r>
      <w:r w:rsidRPr="008873E8" w:rsidR="00D807AF">
        <w:rPr>
          <w:rFonts w:ascii="Times New Roman" w:hAnsi="Times New Roman"/>
          <w:bCs/>
          <w:szCs w:val="24"/>
          <w:u w:val="single"/>
        </w:rPr>
        <w:t>onsequences to the Federal program if the collection were conducted less frequently:</w:t>
      </w:r>
    </w:p>
    <w:p w:rsidR="00731A90" w:rsidP="00BF48CF" w:rsidRDefault="00731A90">
      <w:pPr>
        <w:ind w:left="1440"/>
        <w:rPr>
          <w:rFonts w:ascii="Times New Roman" w:hAnsi="Times New Roman"/>
        </w:rPr>
      </w:pPr>
    </w:p>
    <w:p w:rsidR="00BF48CF" w:rsidP="0037682F" w:rsidRDefault="0033296A">
      <w:pPr>
        <w:ind w:left="720"/>
        <w:rPr>
          <w:rFonts w:ascii="Times New Roman" w:hAnsi="Times New Roman"/>
          <w:szCs w:val="24"/>
          <w:u w:val="single"/>
        </w:rPr>
      </w:pPr>
      <w:r>
        <w:rPr>
          <w:rFonts w:ascii="Times New Roman" w:hAnsi="Times New Roman"/>
          <w:snapToGrid/>
          <w:szCs w:val="24"/>
        </w:rPr>
        <w:t>In the absence of tax allocation agreements meeting the requirements of the proposal results in</w:t>
      </w:r>
      <w:r w:rsidRPr="005B25CA">
        <w:rPr>
          <w:rFonts w:ascii="Times New Roman" w:hAnsi="Times New Roman"/>
          <w:snapToGrid/>
          <w:szCs w:val="24"/>
        </w:rPr>
        <w:t xml:space="preserve"> disputes </w:t>
      </w:r>
      <w:r>
        <w:rPr>
          <w:rFonts w:ascii="Times New Roman" w:hAnsi="Times New Roman"/>
          <w:snapToGrid/>
          <w:szCs w:val="24"/>
        </w:rPr>
        <w:t xml:space="preserve">that </w:t>
      </w:r>
      <w:r w:rsidRPr="005B25CA">
        <w:rPr>
          <w:rFonts w:ascii="Times New Roman" w:hAnsi="Times New Roman"/>
          <w:snapToGrid/>
          <w:szCs w:val="24"/>
        </w:rPr>
        <w:t xml:space="preserve">can reduce or prevent recoveries by the FDIC on behalf of failed </w:t>
      </w:r>
      <w:r>
        <w:rPr>
          <w:rFonts w:ascii="Times New Roman" w:hAnsi="Times New Roman"/>
          <w:snapToGrid/>
          <w:szCs w:val="24"/>
        </w:rPr>
        <w:t>insured depository institutions which</w:t>
      </w:r>
      <w:r w:rsidRPr="005B25CA">
        <w:rPr>
          <w:rFonts w:ascii="Times New Roman" w:hAnsi="Times New Roman"/>
          <w:snapToGrid/>
          <w:szCs w:val="24"/>
        </w:rPr>
        <w:t xml:space="preserve"> consequently increase costs to the Deposit Insurance Fund, and thus could lead to higher FDIC deposit insurance premiums charged to solvent insured depository institutions.</w:t>
      </w:r>
      <w:r w:rsidR="00BF48CF">
        <w:rPr>
          <w:rFonts w:ascii="Times New Roman" w:hAnsi="Times New Roman"/>
          <w:szCs w:val="24"/>
        </w:rPr>
        <w:t xml:space="preserve"> </w:t>
      </w:r>
    </w:p>
    <w:p w:rsidR="00731A90" w:rsidRDefault="00731A90">
      <w:pPr>
        <w:rPr>
          <w:rFonts w:ascii="Times New Roman" w:hAnsi="Times New Roman"/>
        </w:rPr>
      </w:pPr>
    </w:p>
    <w:p w:rsidRPr="001F2A5D" w:rsidR="00D807AF" w:rsidP="00E255C2" w:rsidRDefault="00731A90">
      <w:pPr>
        <w:rPr>
          <w:rFonts w:ascii="Times New Roman" w:hAnsi="Times New Roman"/>
          <w:szCs w:val="24"/>
        </w:rPr>
      </w:pPr>
      <w:r>
        <w:rPr>
          <w:rFonts w:ascii="Times New Roman" w:hAnsi="Times New Roman"/>
        </w:rPr>
        <w:t>7.</w:t>
      </w:r>
      <w:r>
        <w:rPr>
          <w:rFonts w:ascii="Times New Roman" w:hAnsi="Times New Roman"/>
        </w:rPr>
        <w:tab/>
      </w:r>
      <w:r w:rsidRPr="008873E8" w:rsidR="00D807AF">
        <w:rPr>
          <w:rFonts w:ascii="Times New Roman" w:hAnsi="Times New Roman"/>
          <w:bCs/>
          <w:szCs w:val="24"/>
          <w:u w:val="single"/>
        </w:rPr>
        <w:t>Special circumstances necessitating collection inconsistent with 5 CFR Part 1320.5(d)(2):</w:t>
      </w:r>
      <w:r w:rsidR="00D807AF">
        <w:rPr>
          <w:rFonts w:ascii="Times New Roman" w:hAnsi="Times New Roman"/>
          <w:bCs/>
          <w:szCs w:val="24"/>
          <w:u w:val="single"/>
        </w:rPr>
        <w:t xml:space="preserve"> </w:t>
      </w:r>
    </w:p>
    <w:p w:rsidR="00731A90" w:rsidRDefault="00731A90">
      <w:pPr>
        <w:rPr>
          <w:rFonts w:ascii="Times New Roman" w:hAnsi="Times New Roman"/>
        </w:rPr>
      </w:pPr>
    </w:p>
    <w:p w:rsidR="00D807AF" w:rsidP="0037682F" w:rsidRDefault="00D807AF">
      <w:pPr>
        <w:ind w:left="720"/>
        <w:rPr>
          <w:szCs w:val="24"/>
        </w:rPr>
      </w:pPr>
      <w:r w:rsidRPr="0037682F">
        <w:rPr>
          <w:rFonts w:ascii="Times New Roman" w:hAnsi="Times New Roman"/>
          <w:szCs w:val="24"/>
        </w:rPr>
        <w:t>There are no special circumstances. This information collection is conducted in accordance with the guidelines in 5 CFR 1320.5(d)(2).</w:t>
      </w:r>
      <w:r w:rsidRPr="001F2A5D">
        <w:rPr>
          <w:szCs w:val="24"/>
        </w:rPr>
        <w:t xml:space="preserve"> </w:t>
      </w:r>
    </w:p>
    <w:p w:rsidR="00731A90" w:rsidRDefault="00731A90">
      <w:pPr>
        <w:rPr>
          <w:rFonts w:ascii="Times New Roman" w:hAnsi="Times New Roman"/>
        </w:rPr>
      </w:pPr>
    </w:p>
    <w:p w:rsidRPr="001F2A5D" w:rsidR="00D807AF" w:rsidP="00E255C2" w:rsidRDefault="00731A90">
      <w:pPr>
        <w:rPr>
          <w:rFonts w:ascii="Times New Roman" w:hAnsi="Times New Roman"/>
          <w:szCs w:val="24"/>
        </w:rPr>
      </w:pPr>
      <w:r>
        <w:rPr>
          <w:rFonts w:ascii="Times New Roman" w:hAnsi="Times New Roman"/>
        </w:rPr>
        <w:t>8.</w:t>
      </w:r>
      <w:r>
        <w:rPr>
          <w:rFonts w:ascii="Times New Roman" w:hAnsi="Times New Roman"/>
        </w:rPr>
        <w:tab/>
      </w:r>
      <w:r w:rsidRPr="008873E8" w:rsidR="00D807AF">
        <w:rPr>
          <w:rFonts w:ascii="Times New Roman" w:hAnsi="Times New Roman"/>
          <w:bCs/>
          <w:szCs w:val="24"/>
          <w:u w:val="single"/>
        </w:rPr>
        <w:t>Efforts to consult with persons outside the agency:</w:t>
      </w:r>
    </w:p>
    <w:p w:rsidR="00731A90" w:rsidP="00D807AF" w:rsidRDefault="00731A90">
      <w:pPr>
        <w:ind w:firstLine="720"/>
        <w:rPr>
          <w:rFonts w:ascii="Times New Roman" w:hAnsi="Times New Roman"/>
        </w:rPr>
      </w:pPr>
    </w:p>
    <w:p w:rsidR="00731A90" w:rsidP="0037682F" w:rsidRDefault="000712DC">
      <w:pPr>
        <w:ind w:left="720"/>
        <w:rPr>
          <w:rFonts w:ascii="Times New Roman" w:hAnsi="Times New Roman" w:eastAsia="Calibri"/>
          <w:snapToGrid/>
          <w:szCs w:val="24"/>
        </w:rPr>
      </w:pPr>
      <w:r w:rsidRPr="000712DC">
        <w:rPr>
          <w:rFonts w:ascii="Times New Roman" w:hAnsi="Times New Roman" w:eastAsia="Calibri"/>
          <w:snapToGrid/>
          <w:szCs w:val="24"/>
        </w:rPr>
        <w:t xml:space="preserve">On </w:t>
      </w:r>
      <w:r w:rsidR="0033296A">
        <w:rPr>
          <w:rFonts w:ascii="Times New Roman" w:hAnsi="Times New Roman" w:eastAsia="Calibri"/>
          <w:snapToGrid/>
          <w:szCs w:val="24"/>
        </w:rPr>
        <w:t>May 10</w:t>
      </w:r>
      <w:r w:rsidR="00C8488C">
        <w:rPr>
          <w:rFonts w:ascii="Times New Roman" w:hAnsi="Times New Roman" w:eastAsia="Calibri"/>
          <w:snapToGrid/>
          <w:szCs w:val="24"/>
        </w:rPr>
        <w:t>, 2021, the agencies published a notice of proposed rulemaking in the Fe</w:t>
      </w:r>
      <w:r w:rsidR="0033296A">
        <w:rPr>
          <w:rFonts w:ascii="Times New Roman" w:hAnsi="Times New Roman" w:eastAsia="Calibri"/>
          <w:snapToGrid/>
          <w:szCs w:val="24"/>
        </w:rPr>
        <w:t>deral Register (86 FR 24755</w:t>
      </w:r>
      <w:r w:rsidR="00C8488C">
        <w:rPr>
          <w:rFonts w:ascii="Times New Roman" w:hAnsi="Times New Roman" w:eastAsia="Calibri"/>
          <w:snapToGrid/>
          <w:szCs w:val="24"/>
        </w:rPr>
        <w:t xml:space="preserve">) requesting comment on the information collection requirements </w:t>
      </w:r>
      <w:r w:rsidR="00C8488C">
        <w:rPr>
          <w:rFonts w:ascii="Times New Roman" w:hAnsi="Times New Roman" w:eastAsia="Calibri"/>
          <w:snapToGrid/>
          <w:szCs w:val="24"/>
        </w:rPr>
        <w:lastRenderedPageBreak/>
        <w:t>contained in the proposed rule.  Any comments received will be considered and addressed in the final rule.</w:t>
      </w:r>
    </w:p>
    <w:p w:rsidR="00FC1474" w:rsidP="00C8488C" w:rsidRDefault="00FC1474">
      <w:pPr>
        <w:widowControl/>
        <w:autoSpaceDE w:val="0"/>
        <w:autoSpaceDN w:val="0"/>
        <w:adjustRightInd w:val="0"/>
        <w:rPr>
          <w:rFonts w:ascii="Times New Roman" w:hAnsi="Times New Roman" w:eastAsia="Calibri"/>
          <w:snapToGrid/>
          <w:szCs w:val="24"/>
        </w:rPr>
      </w:pPr>
    </w:p>
    <w:p w:rsidRPr="00FC1474" w:rsidR="00FC1474" w:rsidP="00FC1474" w:rsidRDefault="00FC1474">
      <w:pPr>
        <w:widowControl/>
        <w:autoSpaceDE w:val="0"/>
        <w:autoSpaceDN w:val="0"/>
        <w:adjustRightInd w:val="0"/>
        <w:rPr>
          <w:rFonts w:ascii="Times New Roman" w:hAnsi="Times New Roman"/>
        </w:rPr>
      </w:pPr>
      <w:r>
        <w:rPr>
          <w:rFonts w:ascii="Times New Roman" w:hAnsi="Times New Roman"/>
        </w:rPr>
        <w:t>9.</w:t>
      </w:r>
      <w:r>
        <w:rPr>
          <w:rFonts w:ascii="Times New Roman" w:hAnsi="Times New Roman"/>
        </w:rPr>
        <w:tab/>
      </w:r>
      <w:r w:rsidRPr="00FC1474">
        <w:rPr>
          <w:rFonts w:ascii="Times New Roman" w:hAnsi="Times New Roman"/>
          <w:u w:val="single"/>
        </w:rPr>
        <w:t>Payment or Gift to Respondents</w:t>
      </w:r>
    </w:p>
    <w:p w:rsidRPr="00FC1474" w:rsidR="00FC1474" w:rsidP="00FC1474" w:rsidRDefault="00FC1474">
      <w:pPr>
        <w:widowControl/>
        <w:autoSpaceDE w:val="0"/>
        <w:autoSpaceDN w:val="0"/>
        <w:adjustRightInd w:val="0"/>
        <w:rPr>
          <w:rFonts w:ascii="Times New Roman" w:hAnsi="Times New Roman"/>
        </w:rPr>
      </w:pPr>
    </w:p>
    <w:p w:rsidR="00FC1474" w:rsidP="0037682F" w:rsidRDefault="00FC1474">
      <w:pPr>
        <w:ind w:left="720"/>
        <w:rPr>
          <w:rFonts w:ascii="Times New Roman" w:hAnsi="Times New Roman"/>
        </w:rPr>
      </w:pPr>
      <w:r w:rsidRPr="00FC1474">
        <w:rPr>
          <w:rFonts w:ascii="Times New Roman" w:hAnsi="Times New Roman"/>
        </w:rPr>
        <w:t xml:space="preserve"> </w:t>
      </w:r>
      <w:r w:rsidRPr="0037682F">
        <w:rPr>
          <w:rFonts w:ascii="Times New Roman" w:hAnsi="Times New Roman" w:eastAsia="Calibri"/>
          <w:snapToGrid/>
          <w:szCs w:val="24"/>
        </w:rPr>
        <w:t>None</w:t>
      </w:r>
      <w:r w:rsidRPr="00FC1474">
        <w:rPr>
          <w:rFonts w:ascii="Times New Roman" w:hAnsi="Times New Roman"/>
        </w:rPr>
        <w:t>.</w:t>
      </w:r>
    </w:p>
    <w:p w:rsidR="00FC1474" w:rsidRDefault="00FC1474">
      <w:pPr>
        <w:rPr>
          <w:rFonts w:ascii="Times New Roman" w:hAnsi="Times New Roman"/>
        </w:rPr>
      </w:pPr>
    </w:p>
    <w:p w:rsidR="00731A90" w:rsidP="00C8488C" w:rsidRDefault="00731A90">
      <w:pPr>
        <w:rPr>
          <w:rFonts w:ascii="Times New Roman" w:hAnsi="Times New Roman"/>
        </w:rPr>
      </w:pPr>
      <w:r>
        <w:rPr>
          <w:rFonts w:ascii="Times New Roman" w:hAnsi="Times New Roman"/>
        </w:rPr>
        <w:t>10.</w:t>
      </w:r>
      <w:r>
        <w:rPr>
          <w:rFonts w:ascii="Times New Roman" w:hAnsi="Times New Roman"/>
        </w:rPr>
        <w:tab/>
      </w:r>
      <w:r w:rsidRPr="00647F97" w:rsidR="00D807AF">
        <w:rPr>
          <w:rFonts w:ascii="Times New Roman TUR" w:hAnsi="Times New Roman TUR" w:cs="Times New Roman TUR"/>
          <w:bCs/>
          <w:u w:val="single"/>
        </w:rPr>
        <w:t>Any assurance of confidentiality:</w:t>
      </w:r>
    </w:p>
    <w:p w:rsidR="00731A90" w:rsidRDefault="00731A90">
      <w:pPr>
        <w:rPr>
          <w:rFonts w:ascii="Times New Roman" w:hAnsi="Times New Roman"/>
        </w:rPr>
      </w:pPr>
    </w:p>
    <w:p w:rsidRPr="00A658D8" w:rsidR="0077603D" w:rsidP="0037682F" w:rsidRDefault="00C8488C">
      <w:pPr>
        <w:ind w:left="720"/>
        <w:rPr>
          <w:rFonts w:ascii="Times New Roman" w:hAnsi="Times New Roman"/>
          <w:szCs w:val="24"/>
          <w:u w:val="single"/>
        </w:rPr>
      </w:pPr>
      <w:r w:rsidRPr="0037682F">
        <w:rPr>
          <w:rFonts w:ascii="Times New Roman" w:hAnsi="Times New Roman" w:eastAsia="Calibri"/>
          <w:snapToGrid/>
          <w:szCs w:val="24"/>
        </w:rPr>
        <w:t>Information</w:t>
      </w:r>
      <w:r>
        <w:rPr>
          <w:rFonts w:ascii="Times New Roman" w:hAnsi="Times New Roman"/>
          <w:szCs w:val="24"/>
        </w:rPr>
        <w:t xml:space="preserve"> will be kep</w:t>
      </w:r>
      <w:r w:rsidR="00FC1474">
        <w:rPr>
          <w:rFonts w:ascii="Times New Roman" w:hAnsi="Times New Roman"/>
          <w:szCs w:val="24"/>
        </w:rPr>
        <w:t>t</w:t>
      </w:r>
      <w:r>
        <w:rPr>
          <w:rFonts w:ascii="Times New Roman" w:hAnsi="Times New Roman"/>
          <w:szCs w:val="24"/>
        </w:rPr>
        <w:t xml:space="preserve"> private to the extent allowed by law.</w:t>
      </w:r>
      <w:r w:rsidRPr="00A658D8" w:rsidR="0077603D">
        <w:rPr>
          <w:rFonts w:ascii="Times New Roman" w:hAnsi="Times New Roman"/>
          <w:szCs w:val="24"/>
        </w:rPr>
        <w:t xml:space="preserve"> </w:t>
      </w:r>
    </w:p>
    <w:p w:rsidR="00FC1474" w:rsidRDefault="00FC1474">
      <w:pPr>
        <w:ind w:firstLine="720"/>
        <w:rPr>
          <w:rFonts w:ascii="Times New Roman" w:hAnsi="Times New Roman"/>
        </w:rPr>
      </w:pPr>
    </w:p>
    <w:p w:rsidR="00731A90" w:rsidP="00FC1474" w:rsidRDefault="00FC1474">
      <w:pPr>
        <w:rPr>
          <w:rFonts w:ascii="Times New Roman" w:hAnsi="Times New Roman"/>
        </w:rPr>
      </w:pPr>
      <w:r>
        <w:rPr>
          <w:rFonts w:ascii="Times New Roman" w:hAnsi="Times New Roman"/>
        </w:rPr>
        <w:t>11.</w:t>
      </w:r>
      <w:r>
        <w:rPr>
          <w:rFonts w:ascii="Times New Roman" w:hAnsi="Times New Roman"/>
        </w:rPr>
        <w:tab/>
      </w:r>
      <w:r w:rsidRPr="00647F97" w:rsidR="00D807AF">
        <w:rPr>
          <w:rFonts w:ascii="Times New Roman TUR" w:hAnsi="Times New Roman TUR" w:cs="Times New Roman TUR"/>
          <w:bCs/>
          <w:u w:val="single"/>
        </w:rPr>
        <w:t>Justification for questions of a sensitive nature:</w:t>
      </w:r>
    </w:p>
    <w:p w:rsidR="00731A90" w:rsidRDefault="00731A90">
      <w:pPr>
        <w:rPr>
          <w:rFonts w:ascii="Times New Roman" w:hAnsi="Times New Roman"/>
        </w:rPr>
      </w:pPr>
    </w:p>
    <w:p w:rsidR="00731A90" w:rsidP="0037682F" w:rsidRDefault="00FC1474">
      <w:pPr>
        <w:ind w:left="720"/>
        <w:rPr>
          <w:rFonts w:ascii="Times New Roman" w:hAnsi="Times New Roman"/>
        </w:rPr>
      </w:pPr>
      <w:r>
        <w:rPr>
          <w:rFonts w:ascii="Times New Roman" w:hAnsi="Times New Roman"/>
        </w:rPr>
        <w:t xml:space="preserve">No </w:t>
      </w:r>
      <w:r w:rsidRPr="0037682F">
        <w:rPr>
          <w:rFonts w:ascii="Times New Roman" w:hAnsi="Times New Roman" w:eastAsia="Calibri"/>
          <w:snapToGrid/>
          <w:szCs w:val="24"/>
        </w:rPr>
        <w:t>sensitive</w:t>
      </w:r>
      <w:r>
        <w:rPr>
          <w:rFonts w:ascii="Times New Roman" w:hAnsi="Times New Roman"/>
        </w:rPr>
        <w:t xml:space="preserve"> information is to be collected</w:t>
      </w:r>
      <w:r w:rsidR="00731A90">
        <w:rPr>
          <w:rFonts w:ascii="Times New Roman" w:hAnsi="Times New Roman"/>
        </w:rPr>
        <w:t xml:space="preserve">. </w:t>
      </w:r>
    </w:p>
    <w:p w:rsidR="009E7B87" w:rsidP="009E7B87" w:rsidRDefault="009E7B87">
      <w:pPr>
        <w:ind w:left="1440"/>
        <w:rPr>
          <w:rFonts w:ascii="Times New Roman" w:hAnsi="Times New Roman"/>
        </w:rPr>
      </w:pPr>
    </w:p>
    <w:p w:rsidR="00731A90" w:rsidP="00FC1474" w:rsidRDefault="00731A90">
      <w:pPr>
        <w:rPr>
          <w:rFonts w:ascii="Times New Roman" w:hAnsi="Times New Roman"/>
          <w:szCs w:val="24"/>
          <w:u w:val="single"/>
        </w:rPr>
      </w:pPr>
      <w:r w:rsidRPr="008F53AC">
        <w:rPr>
          <w:rFonts w:ascii="Times New Roman" w:hAnsi="Times New Roman"/>
        </w:rPr>
        <w:t>12.</w:t>
      </w:r>
      <w:r w:rsidRPr="008F53AC">
        <w:rPr>
          <w:rFonts w:ascii="Times New Roman" w:hAnsi="Times New Roman"/>
        </w:rPr>
        <w:tab/>
      </w:r>
      <w:r w:rsidRPr="008F53AC" w:rsidR="009F4532">
        <w:rPr>
          <w:rFonts w:ascii="Times New Roman" w:hAnsi="Times New Roman"/>
          <w:szCs w:val="24"/>
          <w:u w:val="single"/>
        </w:rPr>
        <w:t>Estimate of hour burden including annualized hourly costs:</w:t>
      </w:r>
    </w:p>
    <w:p w:rsidR="009778B4" w:rsidRDefault="009778B4">
      <w:pPr>
        <w:ind w:firstLine="720"/>
        <w:rPr>
          <w:rFonts w:ascii="Times New Roman" w:hAnsi="Times New Roman"/>
          <w:szCs w:val="24"/>
          <w:u w:val="single"/>
        </w:rPr>
      </w:pPr>
    </w:p>
    <w:tbl>
      <w:tblPr>
        <w:tblW w:w="934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062"/>
        <w:gridCol w:w="1350"/>
        <w:gridCol w:w="1440"/>
        <w:gridCol w:w="1269"/>
        <w:gridCol w:w="981"/>
        <w:gridCol w:w="900"/>
        <w:gridCol w:w="1342"/>
      </w:tblGrid>
      <w:tr w:rsidRPr="0032765D" w:rsidR="0032765D" w:rsidTr="00862E34">
        <w:trPr>
          <w:trHeight w:val="420"/>
        </w:trPr>
        <w:tc>
          <w:tcPr>
            <w:tcW w:w="9344" w:type="dxa"/>
            <w:gridSpan w:val="7"/>
            <w:tcBorders>
              <w:top w:val="single" w:color="auto" w:sz="6" w:space="0"/>
              <w:left w:val="single" w:color="auto" w:sz="6" w:space="0"/>
              <w:bottom w:val="single" w:color="auto" w:sz="6" w:space="0"/>
              <w:right w:val="single" w:color="auto" w:sz="6" w:space="0"/>
            </w:tcBorders>
            <w:shd w:val="clear" w:color="auto" w:fill="auto"/>
            <w:vAlign w:val="center"/>
            <w:hideMark/>
          </w:tcPr>
          <w:p w:rsidRPr="0032765D" w:rsidR="0032765D" w:rsidP="0032765D" w:rsidRDefault="0032765D">
            <w:pPr>
              <w:suppressAutoHyphens/>
              <w:autoSpaceDE w:val="0"/>
              <w:autoSpaceDN w:val="0"/>
              <w:spacing w:line="260" w:lineRule="exact"/>
              <w:jc w:val="center"/>
              <w:rPr>
                <w:rFonts w:ascii="Segoe UI" w:hAnsi="Segoe UI" w:cs="Segoe UI"/>
                <w:snapToGrid/>
                <w:sz w:val="18"/>
                <w:szCs w:val="18"/>
              </w:rPr>
            </w:pPr>
            <w:r w:rsidRPr="0032765D">
              <w:rPr>
                <w:rFonts w:ascii="Source Sans Pro" w:hAnsi="Source Sans Pro" w:cs="Segoe UI"/>
                <w:b/>
                <w:bCs/>
                <w:snapToGrid/>
                <w:color w:val="000000"/>
                <w:sz w:val="20"/>
              </w:rPr>
              <w:t xml:space="preserve">Table 1. </w:t>
            </w:r>
            <w:r w:rsidRPr="0032765D">
              <w:rPr>
                <w:rFonts w:ascii="Source Sans Pro" w:hAnsi="Source Sans Pro" w:eastAsia="Source Sans Pro" w:cs="Source Sans Pro"/>
                <w:b/>
                <w:snapToGrid/>
                <w:sz w:val="20"/>
                <w:lang w:bidi="en-US"/>
              </w:rPr>
              <w:t>Summary of Annual Burden and Internal Cost (OMB-3064-NEW)</w:t>
            </w:r>
          </w:p>
        </w:tc>
      </w:tr>
      <w:tr w:rsidRPr="0032765D" w:rsidR="0032765D" w:rsidTr="00862E34">
        <w:trPr>
          <w:trHeight w:val="1050"/>
        </w:trPr>
        <w:tc>
          <w:tcPr>
            <w:tcW w:w="2062" w:type="dxa"/>
            <w:tcBorders>
              <w:top w:val="nil"/>
              <w:left w:val="single" w:color="auto" w:sz="6" w:space="0"/>
              <w:bottom w:val="single" w:color="auto" w:sz="6" w:space="0"/>
              <w:right w:val="single" w:color="auto" w:sz="6" w:space="0"/>
            </w:tcBorders>
            <w:shd w:val="clear" w:color="auto" w:fill="auto"/>
            <w:vAlign w:val="center"/>
            <w:hideMark/>
          </w:tcPr>
          <w:p w:rsidRPr="0032765D" w:rsidR="0032765D" w:rsidP="0032765D" w:rsidRDefault="0032765D">
            <w:pPr>
              <w:widowControl/>
              <w:textAlignment w:val="baseline"/>
              <w:rPr>
                <w:rFonts w:ascii="Segoe UI" w:hAnsi="Segoe UI" w:cs="Segoe UI"/>
                <w:snapToGrid/>
                <w:sz w:val="18"/>
                <w:szCs w:val="18"/>
              </w:rPr>
            </w:pPr>
            <w:r w:rsidRPr="0032765D">
              <w:rPr>
                <w:rFonts w:ascii="Source Sans Pro" w:hAnsi="Source Sans Pro" w:cs="Segoe UI"/>
                <w:snapToGrid/>
                <w:color w:val="000000"/>
                <w:sz w:val="18"/>
                <w:szCs w:val="18"/>
              </w:rPr>
              <w:t>IC Description </w:t>
            </w:r>
          </w:p>
        </w:tc>
        <w:tc>
          <w:tcPr>
            <w:tcW w:w="1350" w:type="dxa"/>
            <w:tcBorders>
              <w:top w:val="nil"/>
              <w:left w:val="nil"/>
              <w:bottom w:val="single" w:color="auto" w:sz="6" w:space="0"/>
              <w:right w:val="single" w:color="auto" w:sz="6" w:space="0"/>
            </w:tcBorders>
            <w:shd w:val="clear" w:color="auto" w:fill="auto"/>
            <w:vAlign w:val="center"/>
            <w:hideMark/>
          </w:tcPr>
          <w:p w:rsidRPr="0032765D" w:rsidR="0032765D" w:rsidP="0032765D" w:rsidRDefault="0032765D">
            <w:pPr>
              <w:widowControl/>
              <w:jc w:val="center"/>
              <w:textAlignment w:val="baseline"/>
              <w:rPr>
                <w:rFonts w:ascii="Source Sans Pro" w:hAnsi="Source Sans Pro" w:cs="Segoe UI"/>
                <w:snapToGrid/>
                <w:color w:val="000000"/>
                <w:sz w:val="18"/>
                <w:szCs w:val="18"/>
              </w:rPr>
            </w:pPr>
            <w:r w:rsidRPr="0032765D">
              <w:rPr>
                <w:rFonts w:ascii="Source Sans Pro" w:hAnsi="Source Sans Pro" w:cs="Segoe UI"/>
                <w:snapToGrid/>
                <w:color w:val="000000"/>
                <w:sz w:val="18"/>
                <w:szCs w:val="18"/>
              </w:rPr>
              <w:t xml:space="preserve">Type of Burden </w:t>
            </w:r>
          </w:p>
          <w:p w:rsidRPr="0032765D" w:rsidR="0032765D" w:rsidP="0032765D" w:rsidRDefault="0032765D">
            <w:pPr>
              <w:widowControl/>
              <w:jc w:val="center"/>
              <w:textAlignment w:val="baseline"/>
              <w:rPr>
                <w:rFonts w:ascii="Segoe UI" w:hAnsi="Segoe UI" w:cs="Segoe UI"/>
                <w:snapToGrid/>
                <w:sz w:val="18"/>
                <w:szCs w:val="18"/>
              </w:rPr>
            </w:pPr>
            <w:r w:rsidRPr="0032765D">
              <w:rPr>
                <w:rFonts w:ascii="Source Sans Pro" w:hAnsi="Source Sans Pro" w:cs="Segoe UI"/>
                <w:snapToGrid/>
                <w:color w:val="000000"/>
                <w:sz w:val="18"/>
                <w:szCs w:val="18"/>
              </w:rPr>
              <w:t>(Obligation to Respond</w:t>
            </w:r>
            <w:r w:rsidRPr="0032765D">
              <w:rPr>
                <w:rFonts w:ascii="Times New Roman" w:hAnsi="Times New Roman"/>
                <w:snapToGrid/>
                <w:color w:val="000000"/>
                <w:sz w:val="18"/>
                <w:szCs w:val="18"/>
              </w:rPr>
              <w:t>) </w:t>
            </w:r>
          </w:p>
        </w:tc>
        <w:tc>
          <w:tcPr>
            <w:tcW w:w="1440" w:type="dxa"/>
            <w:tcBorders>
              <w:top w:val="nil"/>
              <w:left w:val="nil"/>
              <w:bottom w:val="single" w:color="auto" w:sz="6" w:space="0"/>
              <w:right w:val="single" w:color="auto" w:sz="6" w:space="0"/>
            </w:tcBorders>
            <w:shd w:val="clear" w:color="auto" w:fill="auto"/>
            <w:vAlign w:val="center"/>
            <w:hideMark/>
          </w:tcPr>
          <w:p w:rsidRPr="0032765D" w:rsidR="0032765D" w:rsidP="0032765D" w:rsidRDefault="0032765D">
            <w:pPr>
              <w:widowControl/>
              <w:jc w:val="center"/>
              <w:textAlignment w:val="baseline"/>
              <w:rPr>
                <w:rFonts w:ascii="Segoe UI" w:hAnsi="Segoe UI" w:cs="Segoe UI"/>
                <w:snapToGrid/>
                <w:sz w:val="18"/>
                <w:szCs w:val="18"/>
              </w:rPr>
            </w:pPr>
            <w:r w:rsidRPr="0032765D">
              <w:rPr>
                <w:rFonts w:ascii="Source Sans Pro" w:hAnsi="Source Sans Pro" w:cs="Segoe UI"/>
                <w:snapToGrid/>
                <w:color w:val="000000"/>
                <w:sz w:val="18"/>
                <w:szCs w:val="18"/>
              </w:rPr>
              <w:t>Frequency of Response </w:t>
            </w:r>
          </w:p>
        </w:tc>
        <w:tc>
          <w:tcPr>
            <w:tcW w:w="1269" w:type="dxa"/>
            <w:tcBorders>
              <w:top w:val="nil"/>
              <w:left w:val="single" w:color="auto" w:sz="6" w:space="0"/>
              <w:bottom w:val="single" w:color="auto" w:sz="6" w:space="0"/>
              <w:right w:val="single" w:color="auto" w:sz="6" w:space="0"/>
            </w:tcBorders>
            <w:shd w:val="clear" w:color="auto" w:fill="auto"/>
            <w:vAlign w:val="center"/>
            <w:hideMark/>
          </w:tcPr>
          <w:p w:rsidRPr="0032765D" w:rsidR="0032765D" w:rsidP="0032765D" w:rsidRDefault="0032765D">
            <w:pPr>
              <w:widowControl/>
              <w:jc w:val="center"/>
              <w:textAlignment w:val="baseline"/>
              <w:rPr>
                <w:rFonts w:ascii="Segoe UI" w:hAnsi="Segoe UI" w:cs="Segoe UI"/>
                <w:snapToGrid/>
                <w:sz w:val="18"/>
                <w:szCs w:val="18"/>
              </w:rPr>
            </w:pPr>
            <w:r w:rsidRPr="0032765D">
              <w:rPr>
                <w:rFonts w:ascii="Source Sans Pro" w:hAnsi="Source Sans Pro" w:cs="Segoe UI"/>
                <w:snapToGrid/>
                <w:color w:val="000000"/>
                <w:sz w:val="18"/>
                <w:szCs w:val="18"/>
              </w:rPr>
              <w:t>Number of Respondents</w:t>
            </w:r>
          </w:p>
        </w:tc>
        <w:tc>
          <w:tcPr>
            <w:tcW w:w="981" w:type="dxa"/>
            <w:tcBorders>
              <w:top w:val="nil"/>
              <w:left w:val="nil"/>
              <w:bottom w:val="single" w:color="auto" w:sz="6" w:space="0"/>
              <w:right w:val="single" w:color="auto" w:sz="6" w:space="0"/>
            </w:tcBorders>
            <w:shd w:val="clear" w:color="auto" w:fill="auto"/>
            <w:vAlign w:val="center"/>
            <w:hideMark/>
          </w:tcPr>
          <w:p w:rsidRPr="0032765D" w:rsidR="0032765D" w:rsidP="0032765D" w:rsidRDefault="0032765D">
            <w:pPr>
              <w:widowControl/>
              <w:jc w:val="center"/>
              <w:textAlignment w:val="baseline"/>
              <w:rPr>
                <w:rFonts w:ascii="Segoe UI" w:hAnsi="Segoe UI" w:cs="Segoe UI"/>
                <w:snapToGrid/>
                <w:sz w:val="18"/>
                <w:szCs w:val="18"/>
              </w:rPr>
            </w:pPr>
            <w:r w:rsidRPr="0032765D">
              <w:rPr>
                <w:rFonts w:ascii="Source Sans Pro" w:hAnsi="Source Sans Pro" w:cs="Segoe UI"/>
                <w:snapToGrid/>
                <w:color w:val="000000"/>
                <w:sz w:val="18"/>
                <w:szCs w:val="18"/>
              </w:rPr>
              <w:t>Number of Responses</w:t>
            </w:r>
            <w:r w:rsidRPr="0032765D">
              <w:rPr>
                <w:rFonts w:ascii="Times New Roman" w:hAnsi="Times New Roman"/>
                <w:snapToGrid/>
                <w:color w:val="000000"/>
                <w:sz w:val="18"/>
                <w:szCs w:val="18"/>
              </w:rPr>
              <w:t> /</w:t>
            </w:r>
            <w:r w:rsidRPr="0032765D">
              <w:rPr>
                <w:rFonts w:ascii="Source Sans Pro" w:hAnsi="Source Sans Pro" w:cs="Segoe UI"/>
                <w:snapToGrid/>
                <w:color w:val="000000"/>
                <w:sz w:val="18"/>
                <w:szCs w:val="18"/>
              </w:rPr>
              <w:t> Respondent</w:t>
            </w:r>
          </w:p>
        </w:tc>
        <w:tc>
          <w:tcPr>
            <w:tcW w:w="900" w:type="dxa"/>
            <w:tcBorders>
              <w:top w:val="nil"/>
              <w:left w:val="nil"/>
              <w:bottom w:val="single" w:color="auto" w:sz="6" w:space="0"/>
              <w:right w:val="single" w:color="auto" w:sz="6" w:space="0"/>
            </w:tcBorders>
            <w:shd w:val="clear" w:color="auto" w:fill="auto"/>
            <w:vAlign w:val="center"/>
            <w:hideMark/>
          </w:tcPr>
          <w:p w:rsidRPr="0032765D" w:rsidR="0032765D" w:rsidP="0032765D" w:rsidRDefault="0032765D">
            <w:pPr>
              <w:widowControl/>
              <w:jc w:val="center"/>
              <w:textAlignment w:val="baseline"/>
              <w:rPr>
                <w:rFonts w:ascii="Segoe UI" w:hAnsi="Segoe UI" w:cs="Segoe UI"/>
                <w:snapToGrid/>
                <w:sz w:val="18"/>
                <w:szCs w:val="18"/>
              </w:rPr>
            </w:pPr>
            <w:r w:rsidRPr="0032765D">
              <w:rPr>
                <w:rFonts w:ascii="Source Sans Pro" w:hAnsi="Source Sans Pro" w:cs="Segoe UI"/>
                <w:snapToGrid/>
                <w:color w:val="000000"/>
                <w:sz w:val="18"/>
                <w:szCs w:val="18"/>
              </w:rPr>
              <w:t>Hours</w:t>
            </w:r>
            <w:r w:rsidRPr="0032765D">
              <w:rPr>
                <w:rFonts w:ascii="Times New Roman" w:hAnsi="Times New Roman"/>
                <w:snapToGrid/>
                <w:color w:val="000000"/>
                <w:sz w:val="18"/>
                <w:szCs w:val="18"/>
              </w:rPr>
              <w:t> </w:t>
            </w:r>
            <w:r w:rsidRPr="0032765D">
              <w:rPr>
                <w:rFonts w:ascii="Source Sans Pro" w:hAnsi="Source Sans Pro" w:cs="Segoe UI"/>
                <w:snapToGrid/>
                <w:color w:val="000000"/>
                <w:sz w:val="18"/>
                <w:szCs w:val="18"/>
              </w:rPr>
              <w:t>per Response</w:t>
            </w:r>
          </w:p>
        </w:tc>
        <w:tc>
          <w:tcPr>
            <w:tcW w:w="1342" w:type="dxa"/>
            <w:tcBorders>
              <w:top w:val="nil"/>
              <w:left w:val="nil"/>
              <w:bottom w:val="single" w:color="auto" w:sz="6" w:space="0"/>
              <w:right w:val="single" w:color="auto" w:sz="6" w:space="0"/>
            </w:tcBorders>
            <w:shd w:val="clear" w:color="auto" w:fill="auto"/>
            <w:vAlign w:val="center"/>
            <w:hideMark/>
          </w:tcPr>
          <w:p w:rsidRPr="0032765D" w:rsidR="0032765D" w:rsidP="0032765D" w:rsidRDefault="0032765D">
            <w:pPr>
              <w:widowControl/>
              <w:jc w:val="right"/>
              <w:textAlignment w:val="baseline"/>
              <w:rPr>
                <w:rFonts w:ascii="Segoe UI" w:hAnsi="Segoe UI" w:cs="Segoe UI"/>
                <w:snapToGrid/>
                <w:sz w:val="18"/>
                <w:szCs w:val="18"/>
              </w:rPr>
            </w:pPr>
            <w:r w:rsidRPr="0032765D">
              <w:rPr>
                <w:rFonts w:ascii="Source Sans Pro" w:hAnsi="Source Sans Pro" w:cs="Segoe UI"/>
                <w:snapToGrid/>
                <w:color w:val="000000"/>
                <w:sz w:val="18"/>
                <w:szCs w:val="18"/>
              </w:rPr>
              <w:t>Annual Burden (Hours) </w:t>
            </w:r>
          </w:p>
        </w:tc>
      </w:tr>
      <w:tr w:rsidRPr="0032765D" w:rsidR="0032765D" w:rsidTr="00862E34">
        <w:trPr>
          <w:trHeight w:val="300"/>
        </w:trPr>
        <w:tc>
          <w:tcPr>
            <w:tcW w:w="2062" w:type="dxa"/>
            <w:tcBorders>
              <w:top w:val="nil"/>
              <w:left w:val="single" w:color="auto" w:sz="6" w:space="0"/>
              <w:bottom w:val="single" w:color="auto" w:sz="6" w:space="0"/>
              <w:right w:val="single" w:color="auto" w:sz="6" w:space="0"/>
            </w:tcBorders>
            <w:shd w:val="clear" w:color="auto" w:fill="auto"/>
            <w:vAlign w:val="center"/>
            <w:hideMark/>
          </w:tcPr>
          <w:p w:rsidRPr="0032765D" w:rsidR="0032765D" w:rsidP="0032765D" w:rsidRDefault="0032765D">
            <w:pPr>
              <w:widowControl/>
              <w:textAlignment w:val="baseline"/>
              <w:rPr>
                <w:rFonts w:ascii="Segoe UI" w:hAnsi="Segoe UI" w:cs="Segoe UI"/>
                <w:snapToGrid/>
                <w:sz w:val="18"/>
                <w:szCs w:val="18"/>
              </w:rPr>
            </w:pPr>
            <w:r w:rsidRPr="0032765D">
              <w:rPr>
                <w:rFonts w:ascii="Source Sans Pro" w:hAnsi="Source Sans Pro" w:eastAsia="Source Sans Pro" w:cs="Source Sans Pro"/>
                <w:bCs/>
                <w:snapToGrid/>
                <w:color w:val="000000"/>
                <w:sz w:val="20"/>
                <w:lang w:bidi="en-US"/>
              </w:rPr>
              <w:t>Initial Setup of a Tax Allocation Agreement (Implementation)</w:t>
            </w:r>
          </w:p>
        </w:tc>
        <w:tc>
          <w:tcPr>
            <w:tcW w:w="1350" w:type="dxa"/>
            <w:tcBorders>
              <w:top w:val="nil"/>
              <w:left w:val="nil"/>
              <w:bottom w:val="single" w:color="auto" w:sz="6" w:space="0"/>
              <w:right w:val="single" w:color="auto" w:sz="6" w:space="0"/>
            </w:tcBorders>
            <w:shd w:val="clear" w:color="auto" w:fill="auto"/>
            <w:vAlign w:val="center"/>
            <w:hideMark/>
          </w:tcPr>
          <w:p w:rsidRPr="0032765D" w:rsidR="0032765D" w:rsidP="0032765D" w:rsidRDefault="0032765D">
            <w:pPr>
              <w:widowControl/>
              <w:jc w:val="center"/>
              <w:textAlignment w:val="baseline"/>
              <w:rPr>
                <w:rFonts w:ascii="Source Sans Pro" w:hAnsi="Source Sans Pro" w:cs="Segoe UI"/>
                <w:snapToGrid/>
                <w:color w:val="000000"/>
                <w:sz w:val="20"/>
              </w:rPr>
            </w:pPr>
            <w:r w:rsidRPr="0032765D">
              <w:rPr>
                <w:rFonts w:ascii="Source Sans Pro" w:hAnsi="Source Sans Pro" w:cs="Segoe UI"/>
                <w:snapToGrid/>
                <w:color w:val="000000"/>
                <w:sz w:val="20"/>
              </w:rPr>
              <w:t>Recordkeeping</w:t>
            </w:r>
          </w:p>
          <w:p w:rsidRPr="0032765D" w:rsidR="0032765D" w:rsidP="0032765D" w:rsidRDefault="0032765D">
            <w:pPr>
              <w:widowControl/>
              <w:jc w:val="center"/>
              <w:textAlignment w:val="baseline"/>
              <w:rPr>
                <w:rFonts w:ascii="Segoe UI" w:hAnsi="Segoe UI" w:cs="Segoe UI"/>
                <w:snapToGrid/>
                <w:sz w:val="18"/>
                <w:szCs w:val="18"/>
              </w:rPr>
            </w:pPr>
            <w:r w:rsidRPr="0032765D">
              <w:rPr>
                <w:rFonts w:ascii="Source Sans Pro" w:hAnsi="Source Sans Pro" w:cs="Segoe UI"/>
                <w:snapToGrid/>
                <w:color w:val="000000"/>
                <w:sz w:val="20"/>
              </w:rPr>
              <w:t>(Mandatory) </w:t>
            </w:r>
          </w:p>
        </w:tc>
        <w:tc>
          <w:tcPr>
            <w:tcW w:w="1440" w:type="dxa"/>
            <w:tcBorders>
              <w:top w:val="single" w:color="auto" w:sz="6" w:space="0"/>
              <w:left w:val="nil"/>
              <w:bottom w:val="single" w:color="auto" w:sz="6" w:space="0"/>
              <w:right w:val="single" w:color="auto" w:sz="6" w:space="0"/>
            </w:tcBorders>
            <w:shd w:val="clear" w:color="auto" w:fill="auto"/>
            <w:vAlign w:val="center"/>
            <w:hideMark/>
          </w:tcPr>
          <w:p w:rsidRPr="0032765D" w:rsidR="0032765D" w:rsidP="0032765D" w:rsidRDefault="0032765D">
            <w:pPr>
              <w:widowControl/>
              <w:jc w:val="center"/>
              <w:textAlignment w:val="baseline"/>
              <w:rPr>
                <w:rFonts w:ascii="Segoe UI" w:hAnsi="Segoe UI" w:cs="Segoe UI"/>
                <w:snapToGrid/>
                <w:sz w:val="18"/>
                <w:szCs w:val="18"/>
              </w:rPr>
            </w:pPr>
            <w:r w:rsidRPr="0032765D">
              <w:rPr>
                <w:rFonts w:ascii="Source Sans Pro" w:hAnsi="Source Sans Pro" w:cs="Segoe UI"/>
                <w:snapToGrid/>
                <w:color w:val="000000"/>
                <w:sz w:val="20"/>
              </w:rPr>
              <w:t>One Time </w:t>
            </w:r>
          </w:p>
        </w:tc>
        <w:tc>
          <w:tcPr>
            <w:tcW w:w="1269" w:type="dxa"/>
            <w:tcBorders>
              <w:top w:val="nil"/>
              <w:left w:val="single" w:color="auto" w:sz="6" w:space="0"/>
              <w:bottom w:val="single" w:color="auto" w:sz="6" w:space="0"/>
              <w:right w:val="single" w:color="auto" w:sz="6" w:space="0"/>
            </w:tcBorders>
            <w:shd w:val="clear" w:color="auto" w:fill="auto"/>
            <w:vAlign w:val="center"/>
            <w:hideMark/>
          </w:tcPr>
          <w:p w:rsidRPr="0032765D" w:rsidR="0032765D" w:rsidP="0032765D" w:rsidRDefault="0032765D">
            <w:pPr>
              <w:widowControl/>
              <w:jc w:val="right"/>
              <w:textAlignment w:val="baseline"/>
              <w:rPr>
                <w:rFonts w:ascii="Segoe UI" w:hAnsi="Segoe UI" w:cs="Segoe UI"/>
                <w:snapToGrid/>
                <w:sz w:val="18"/>
                <w:szCs w:val="18"/>
              </w:rPr>
            </w:pPr>
            <w:r w:rsidRPr="0032765D">
              <w:rPr>
                <w:rFonts w:ascii="Source Sans Pro" w:hAnsi="Source Sans Pro" w:cs="Segoe UI"/>
                <w:snapToGrid/>
                <w:color w:val="000000"/>
                <w:sz w:val="20"/>
              </w:rPr>
              <w:t>1,590 </w:t>
            </w:r>
          </w:p>
        </w:tc>
        <w:tc>
          <w:tcPr>
            <w:tcW w:w="981" w:type="dxa"/>
            <w:tcBorders>
              <w:top w:val="nil"/>
              <w:left w:val="nil"/>
              <w:bottom w:val="single" w:color="auto" w:sz="6" w:space="0"/>
              <w:right w:val="single" w:color="auto" w:sz="6" w:space="0"/>
            </w:tcBorders>
            <w:shd w:val="clear" w:color="auto" w:fill="auto"/>
            <w:vAlign w:val="center"/>
            <w:hideMark/>
          </w:tcPr>
          <w:p w:rsidRPr="0032765D" w:rsidR="0032765D" w:rsidP="0032765D" w:rsidRDefault="0032765D">
            <w:pPr>
              <w:widowControl/>
              <w:jc w:val="right"/>
              <w:textAlignment w:val="baseline"/>
              <w:rPr>
                <w:rFonts w:ascii="Segoe UI" w:hAnsi="Segoe UI" w:cs="Segoe UI"/>
                <w:snapToGrid/>
                <w:sz w:val="18"/>
                <w:szCs w:val="18"/>
              </w:rPr>
            </w:pPr>
            <w:r w:rsidRPr="0032765D">
              <w:rPr>
                <w:rFonts w:ascii="Source Sans Pro" w:hAnsi="Source Sans Pro" w:cs="Segoe UI"/>
                <w:snapToGrid/>
                <w:color w:val="000000"/>
                <w:sz w:val="20"/>
              </w:rPr>
              <w:t>1 </w:t>
            </w:r>
          </w:p>
        </w:tc>
        <w:tc>
          <w:tcPr>
            <w:tcW w:w="900" w:type="dxa"/>
            <w:tcBorders>
              <w:top w:val="nil"/>
              <w:left w:val="nil"/>
              <w:bottom w:val="single" w:color="auto" w:sz="6" w:space="0"/>
              <w:right w:val="single" w:color="auto" w:sz="6" w:space="0"/>
            </w:tcBorders>
            <w:shd w:val="clear" w:color="auto" w:fill="auto"/>
            <w:vAlign w:val="center"/>
            <w:hideMark/>
          </w:tcPr>
          <w:p w:rsidRPr="0032765D" w:rsidR="0032765D" w:rsidP="0032765D" w:rsidRDefault="0032765D">
            <w:pPr>
              <w:widowControl/>
              <w:jc w:val="right"/>
              <w:textAlignment w:val="baseline"/>
              <w:rPr>
                <w:rFonts w:ascii="Segoe UI" w:hAnsi="Segoe UI" w:cs="Segoe UI"/>
                <w:snapToGrid/>
                <w:sz w:val="18"/>
                <w:szCs w:val="18"/>
              </w:rPr>
            </w:pPr>
            <w:r w:rsidRPr="0032765D">
              <w:rPr>
                <w:rFonts w:ascii="Source Sans Pro" w:hAnsi="Source Sans Pro" w:cs="Segoe UI"/>
                <w:snapToGrid/>
                <w:color w:val="000000"/>
                <w:sz w:val="20"/>
              </w:rPr>
              <w:t>20 </w:t>
            </w:r>
          </w:p>
        </w:tc>
        <w:tc>
          <w:tcPr>
            <w:tcW w:w="1342" w:type="dxa"/>
            <w:tcBorders>
              <w:top w:val="nil"/>
              <w:left w:val="nil"/>
              <w:bottom w:val="single" w:color="auto" w:sz="6" w:space="0"/>
              <w:right w:val="single" w:color="auto" w:sz="6" w:space="0"/>
            </w:tcBorders>
            <w:shd w:val="clear" w:color="auto" w:fill="auto"/>
            <w:vAlign w:val="center"/>
            <w:hideMark/>
          </w:tcPr>
          <w:p w:rsidRPr="0032765D" w:rsidR="0032765D" w:rsidP="0032765D" w:rsidRDefault="0032765D">
            <w:pPr>
              <w:widowControl/>
              <w:jc w:val="right"/>
              <w:textAlignment w:val="baseline"/>
              <w:rPr>
                <w:rFonts w:ascii="Segoe UI" w:hAnsi="Segoe UI" w:cs="Segoe UI"/>
                <w:snapToGrid/>
                <w:sz w:val="18"/>
                <w:szCs w:val="18"/>
              </w:rPr>
            </w:pPr>
            <w:r w:rsidRPr="0032765D">
              <w:rPr>
                <w:rFonts w:ascii="Source Sans Pro" w:hAnsi="Source Sans Pro" w:cs="Segoe UI"/>
                <w:snapToGrid/>
                <w:color w:val="000000"/>
                <w:sz w:val="20"/>
              </w:rPr>
              <w:t>31,800 </w:t>
            </w:r>
          </w:p>
        </w:tc>
      </w:tr>
      <w:tr w:rsidRPr="0032765D" w:rsidR="0032765D" w:rsidTr="00862E34">
        <w:trPr>
          <w:trHeight w:val="300"/>
        </w:trPr>
        <w:tc>
          <w:tcPr>
            <w:tcW w:w="2062" w:type="dxa"/>
            <w:tcBorders>
              <w:top w:val="nil"/>
              <w:left w:val="single" w:color="auto" w:sz="6" w:space="0"/>
              <w:bottom w:val="single" w:color="auto" w:sz="6" w:space="0"/>
              <w:right w:val="single" w:color="auto" w:sz="6" w:space="0"/>
            </w:tcBorders>
            <w:shd w:val="clear" w:color="auto" w:fill="auto"/>
            <w:vAlign w:val="center"/>
            <w:hideMark/>
          </w:tcPr>
          <w:p w:rsidRPr="0032765D" w:rsidR="0032765D" w:rsidP="0032765D" w:rsidRDefault="0032765D">
            <w:pPr>
              <w:widowControl/>
              <w:textAlignment w:val="baseline"/>
              <w:rPr>
                <w:rFonts w:ascii="Segoe UI" w:hAnsi="Segoe UI" w:cs="Segoe UI"/>
                <w:snapToGrid/>
                <w:sz w:val="18"/>
                <w:szCs w:val="18"/>
              </w:rPr>
            </w:pPr>
            <w:r w:rsidRPr="0032765D">
              <w:rPr>
                <w:rFonts w:ascii="Source Sans Pro" w:hAnsi="Source Sans Pro" w:eastAsia="Source Sans Pro" w:cs="Source Sans Pro"/>
                <w:snapToGrid/>
                <w:color w:val="000000"/>
                <w:sz w:val="20"/>
                <w:lang w:bidi="en-US"/>
              </w:rPr>
              <w:t xml:space="preserve">Revising an Existing Tax Allocation Agreement </w:t>
            </w:r>
            <w:r w:rsidRPr="0032765D">
              <w:rPr>
                <w:rFonts w:ascii="Source Sans Pro" w:hAnsi="Source Sans Pro" w:eastAsia="Source Sans Pro" w:cs="Source Sans Pro"/>
                <w:snapToGrid/>
                <w:sz w:val="20"/>
                <w:lang w:bidi="en-US"/>
              </w:rPr>
              <w:t>–</w:t>
            </w:r>
            <w:r w:rsidRPr="0032765D">
              <w:rPr>
                <w:rFonts w:ascii="Source Sans Pro" w:hAnsi="Source Sans Pro" w:eastAsia="Source Sans Pro" w:cs="Source Sans Pro"/>
                <w:snapToGrid/>
                <w:color w:val="000000"/>
                <w:sz w:val="20"/>
                <w:lang w:bidi="en-US"/>
              </w:rPr>
              <w:t>(Ongoing)</w:t>
            </w:r>
          </w:p>
        </w:tc>
        <w:tc>
          <w:tcPr>
            <w:tcW w:w="1350" w:type="dxa"/>
            <w:tcBorders>
              <w:top w:val="nil"/>
              <w:left w:val="nil"/>
              <w:bottom w:val="single" w:color="auto" w:sz="6" w:space="0"/>
              <w:right w:val="single" w:color="auto" w:sz="6" w:space="0"/>
            </w:tcBorders>
            <w:shd w:val="clear" w:color="auto" w:fill="auto"/>
            <w:vAlign w:val="center"/>
            <w:hideMark/>
          </w:tcPr>
          <w:p w:rsidRPr="0032765D" w:rsidR="0032765D" w:rsidP="0032765D" w:rsidRDefault="0032765D">
            <w:pPr>
              <w:widowControl/>
              <w:jc w:val="center"/>
              <w:textAlignment w:val="baseline"/>
              <w:rPr>
                <w:rFonts w:ascii="Segoe UI" w:hAnsi="Segoe UI" w:cs="Segoe UI"/>
                <w:snapToGrid/>
                <w:sz w:val="18"/>
                <w:szCs w:val="18"/>
              </w:rPr>
            </w:pPr>
            <w:r w:rsidRPr="0032765D">
              <w:rPr>
                <w:rFonts w:ascii="Source Sans Pro" w:hAnsi="Source Sans Pro" w:cs="Segoe UI"/>
                <w:snapToGrid/>
                <w:color w:val="000000"/>
                <w:sz w:val="20"/>
              </w:rPr>
              <w:t>Recordkeeping</w:t>
            </w:r>
            <w:r w:rsidRPr="0032765D">
              <w:rPr>
                <w:rFonts w:ascii="Arial" w:hAnsi="Arial" w:cs="Arial"/>
                <w:snapToGrid/>
                <w:color w:val="000000"/>
                <w:sz w:val="20"/>
              </w:rPr>
              <w:t> </w:t>
            </w:r>
            <w:r w:rsidRPr="0032765D">
              <w:rPr>
                <w:rFonts w:ascii="Source Sans Pro" w:hAnsi="Source Sans Pro" w:cs="Segoe UI"/>
                <w:snapToGrid/>
                <w:color w:val="000000"/>
                <w:sz w:val="20"/>
              </w:rPr>
              <w:t>(Mandatory) </w:t>
            </w:r>
          </w:p>
        </w:tc>
        <w:tc>
          <w:tcPr>
            <w:tcW w:w="1440" w:type="dxa"/>
            <w:tcBorders>
              <w:top w:val="single" w:color="auto" w:sz="6" w:space="0"/>
              <w:left w:val="nil"/>
              <w:bottom w:val="single" w:color="auto" w:sz="6" w:space="0"/>
              <w:right w:val="single" w:color="auto" w:sz="6" w:space="0"/>
            </w:tcBorders>
            <w:shd w:val="clear" w:color="auto" w:fill="auto"/>
            <w:vAlign w:val="center"/>
            <w:hideMark/>
          </w:tcPr>
          <w:p w:rsidRPr="0032765D" w:rsidR="0032765D" w:rsidP="0032765D" w:rsidRDefault="0032765D">
            <w:pPr>
              <w:widowControl/>
              <w:jc w:val="center"/>
              <w:textAlignment w:val="baseline"/>
              <w:rPr>
                <w:rFonts w:ascii="Segoe UI" w:hAnsi="Segoe UI" w:cs="Segoe UI"/>
                <w:snapToGrid/>
                <w:sz w:val="18"/>
                <w:szCs w:val="18"/>
              </w:rPr>
            </w:pPr>
            <w:r w:rsidRPr="0032765D">
              <w:rPr>
                <w:rFonts w:ascii="Source Sans Pro" w:hAnsi="Source Sans Pro" w:cs="Segoe UI"/>
                <w:snapToGrid/>
                <w:color w:val="000000"/>
                <w:sz w:val="20"/>
              </w:rPr>
              <w:t>Annual </w:t>
            </w:r>
          </w:p>
        </w:tc>
        <w:tc>
          <w:tcPr>
            <w:tcW w:w="1269" w:type="dxa"/>
            <w:tcBorders>
              <w:top w:val="nil"/>
              <w:left w:val="single" w:color="auto" w:sz="6" w:space="0"/>
              <w:bottom w:val="single" w:color="auto" w:sz="6" w:space="0"/>
              <w:right w:val="single" w:color="auto" w:sz="6" w:space="0"/>
            </w:tcBorders>
            <w:shd w:val="clear" w:color="auto" w:fill="auto"/>
            <w:vAlign w:val="center"/>
            <w:hideMark/>
          </w:tcPr>
          <w:p w:rsidRPr="0032765D" w:rsidR="0032765D" w:rsidP="0032765D" w:rsidRDefault="0032765D">
            <w:pPr>
              <w:widowControl/>
              <w:jc w:val="right"/>
              <w:textAlignment w:val="baseline"/>
              <w:rPr>
                <w:rFonts w:ascii="Segoe UI" w:hAnsi="Segoe UI" w:cs="Segoe UI"/>
                <w:snapToGrid/>
                <w:sz w:val="18"/>
                <w:szCs w:val="18"/>
              </w:rPr>
            </w:pPr>
            <w:r w:rsidRPr="0032765D">
              <w:rPr>
                <w:rFonts w:ascii="Source Sans Pro" w:hAnsi="Source Sans Pro" w:cs="Segoe UI"/>
                <w:snapToGrid/>
                <w:color w:val="000000"/>
                <w:sz w:val="20"/>
              </w:rPr>
              <w:t>1,590 </w:t>
            </w:r>
          </w:p>
        </w:tc>
        <w:tc>
          <w:tcPr>
            <w:tcW w:w="981" w:type="dxa"/>
            <w:tcBorders>
              <w:top w:val="nil"/>
              <w:left w:val="nil"/>
              <w:bottom w:val="single" w:color="auto" w:sz="6" w:space="0"/>
              <w:right w:val="single" w:color="auto" w:sz="6" w:space="0"/>
            </w:tcBorders>
            <w:shd w:val="clear" w:color="auto" w:fill="auto"/>
            <w:vAlign w:val="center"/>
            <w:hideMark/>
          </w:tcPr>
          <w:p w:rsidRPr="0032765D" w:rsidR="0032765D" w:rsidP="0032765D" w:rsidRDefault="0032765D">
            <w:pPr>
              <w:widowControl/>
              <w:jc w:val="right"/>
              <w:textAlignment w:val="baseline"/>
              <w:rPr>
                <w:rFonts w:ascii="Segoe UI" w:hAnsi="Segoe UI" w:cs="Segoe UI"/>
                <w:snapToGrid/>
                <w:sz w:val="18"/>
                <w:szCs w:val="18"/>
              </w:rPr>
            </w:pPr>
            <w:r w:rsidRPr="0032765D">
              <w:rPr>
                <w:rFonts w:ascii="Source Sans Pro" w:hAnsi="Source Sans Pro" w:cs="Segoe UI"/>
                <w:snapToGrid/>
                <w:color w:val="000000"/>
                <w:sz w:val="20"/>
              </w:rPr>
              <w:t>1 </w:t>
            </w:r>
          </w:p>
        </w:tc>
        <w:tc>
          <w:tcPr>
            <w:tcW w:w="900" w:type="dxa"/>
            <w:tcBorders>
              <w:top w:val="nil"/>
              <w:left w:val="nil"/>
              <w:bottom w:val="single" w:color="auto" w:sz="6" w:space="0"/>
              <w:right w:val="single" w:color="auto" w:sz="6" w:space="0"/>
            </w:tcBorders>
            <w:shd w:val="clear" w:color="auto" w:fill="auto"/>
            <w:vAlign w:val="center"/>
            <w:hideMark/>
          </w:tcPr>
          <w:p w:rsidRPr="0032765D" w:rsidR="0032765D" w:rsidP="0032765D" w:rsidRDefault="0032765D">
            <w:pPr>
              <w:widowControl/>
              <w:jc w:val="right"/>
              <w:textAlignment w:val="baseline"/>
              <w:rPr>
                <w:rFonts w:ascii="Segoe UI" w:hAnsi="Segoe UI" w:cs="Segoe UI"/>
                <w:snapToGrid/>
                <w:sz w:val="18"/>
                <w:szCs w:val="18"/>
              </w:rPr>
            </w:pPr>
            <w:r w:rsidRPr="0032765D">
              <w:rPr>
                <w:rFonts w:ascii="Source Sans Pro" w:hAnsi="Source Sans Pro" w:cs="Segoe UI"/>
                <w:snapToGrid/>
                <w:color w:val="000000"/>
                <w:sz w:val="20"/>
              </w:rPr>
              <w:t>1 </w:t>
            </w:r>
          </w:p>
        </w:tc>
        <w:tc>
          <w:tcPr>
            <w:tcW w:w="1342" w:type="dxa"/>
            <w:tcBorders>
              <w:top w:val="nil"/>
              <w:left w:val="nil"/>
              <w:bottom w:val="single" w:color="auto" w:sz="6" w:space="0"/>
              <w:right w:val="single" w:color="auto" w:sz="6" w:space="0"/>
            </w:tcBorders>
            <w:shd w:val="clear" w:color="auto" w:fill="auto"/>
            <w:vAlign w:val="center"/>
            <w:hideMark/>
          </w:tcPr>
          <w:p w:rsidRPr="0032765D" w:rsidR="0032765D" w:rsidP="0032765D" w:rsidRDefault="0032765D">
            <w:pPr>
              <w:widowControl/>
              <w:jc w:val="right"/>
              <w:textAlignment w:val="baseline"/>
              <w:rPr>
                <w:rFonts w:ascii="Segoe UI" w:hAnsi="Segoe UI" w:cs="Segoe UI"/>
                <w:snapToGrid/>
                <w:sz w:val="18"/>
                <w:szCs w:val="18"/>
              </w:rPr>
            </w:pPr>
            <w:r w:rsidRPr="0032765D">
              <w:rPr>
                <w:rFonts w:ascii="Source Sans Pro" w:hAnsi="Source Sans Pro" w:cs="Segoe UI"/>
                <w:snapToGrid/>
                <w:color w:val="000000"/>
                <w:sz w:val="20"/>
              </w:rPr>
              <w:t>1,590 </w:t>
            </w:r>
          </w:p>
        </w:tc>
      </w:tr>
      <w:tr w:rsidRPr="0032765D" w:rsidR="0032765D" w:rsidTr="00862E34">
        <w:trPr>
          <w:trHeight w:val="300"/>
        </w:trPr>
        <w:tc>
          <w:tcPr>
            <w:tcW w:w="8002" w:type="dxa"/>
            <w:gridSpan w:val="6"/>
            <w:tcBorders>
              <w:top w:val="single" w:color="auto" w:sz="6" w:space="0"/>
              <w:left w:val="single" w:color="auto" w:sz="6" w:space="0"/>
              <w:bottom w:val="single" w:color="auto" w:sz="6" w:space="0"/>
              <w:right w:val="nil"/>
            </w:tcBorders>
            <w:shd w:val="clear" w:color="auto" w:fill="auto"/>
            <w:vAlign w:val="center"/>
            <w:hideMark/>
          </w:tcPr>
          <w:p w:rsidRPr="0032765D" w:rsidR="0032765D" w:rsidP="0032765D" w:rsidRDefault="0032765D">
            <w:pPr>
              <w:widowControl/>
              <w:jc w:val="right"/>
              <w:textAlignment w:val="baseline"/>
              <w:rPr>
                <w:rFonts w:ascii="Segoe UI" w:hAnsi="Segoe UI" w:cs="Segoe UI"/>
                <w:snapToGrid/>
                <w:sz w:val="18"/>
                <w:szCs w:val="18"/>
              </w:rPr>
            </w:pPr>
            <w:r w:rsidRPr="0032765D">
              <w:rPr>
                <w:rFonts w:ascii="Source Sans Pro" w:hAnsi="Source Sans Pro" w:cs="Segoe UI"/>
                <w:snapToGrid/>
                <w:color w:val="000000"/>
                <w:sz w:val="20"/>
              </w:rPr>
              <w:t>Total Annual Burden Hours</w:t>
            </w:r>
            <w:r w:rsidRPr="0032765D">
              <w:rPr>
                <w:rFonts w:ascii="Arial" w:hAnsi="Arial" w:cs="Arial"/>
                <w:snapToGrid/>
                <w:color w:val="000000"/>
                <w:sz w:val="20"/>
              </w:rPr>
              <w:t>: </w:t>
            </w:r>
          </w:p>
        </w:tc>
        <w:tc>
          <w:tcPr>
            <w:tcW w:w="1342" w:type="dxa"/>
            <w:tcBorders>
              <w:top w:val="nil"/>
              <w:left w:val="nil"/>
              <w:bottom w:val="single" w:color="auto" w:sz="6" w:space="0"/>
              <w:right w:val="single" w:color="auto" w:sz="6" w:space="0"/>
            </w:tcBorders>
            <w:shd w:val="clear" w:color="auto" w:fill="auto"/>
            <w:vAlign w:val="center"/>
            <w:hideMark/>
          </w:tcPr>
          <w:p w:rsidRPr="0032765D" w:rsidR="0032765D" w:rsidP="0032765D" w:rsidRDefault="0032765D">
            <w:pPr>
              <w:widowControl/>
              <w:jc w:val="right"/>
              <w:textAlignment w:val="baseline"/>
              <w:rPr>
                <w:rFonts w:ascii="Segoe UI" w:hAnsi="Segoe UI" w:cs="Segoe UI"/>
                <w:snapToGrid/>
                <w:sz w:val="18"/>
                <w:szCs w:val="18"/>
              </w:rPr>
            </w:pPr>
            <w:r w:rsidRPr="0032765D">
              <w:rPr>
                <w:rFonts w:ascii="Source Sans Pro" w:hAnsi="Source Sans Pro" w:cs="Segoe UI"/>
                <w:snapToGrid/>
                <w:color w:val="000000"/>
                <w:sz w:val="20"/>
              </w:rPr>
              <w:t>33,390 </w:t>
            </w:r>
          </w:p>
        </w:tc>
      </w:tr>
      <w:tr w:rsidRPr="0032765D" w:rsidR="0032765D" w:rsidTr="00862E34">
        <w:trPr>
          <w:trHeight w:val="300"/>
        </w:trPr>
        <w:tc>
          <w:tcPr>
            <w:tcW w:w="9344" w:type="dxa"/>
            <w:gridSpan w:val="7"/>
            <w:tcBorders>
              <w:top w:val="nil"/>
              <w:left w:val="single" w:color="auto" w:sz="6" w:space="0"/>
              <w:bottom w:val="single" w:color="auto" w:sz="6" w:space="0"/>
              <w:right w:val="single" w:color="auto" w:sz="6" w:space="0"/>
            </w:tcBorders>
            <w:shd w:val="clear" w:color="auto" w:fill="auto"/>
            <w:vAlign w:val="center"/>
            <w:hideMark/>
          </w:tcPr>
          <w:p w:rsidRPr="0032765D" w:rsidR="0032765D" w:rsidP="0032765D" w:rsidRDefault="0032765D">
            <w:pPr>
              <w:widowControl/>
              <w:textAlignment w:val="baseline"/>
              <w:rPr>
                <w:rFonts w:ascii="Segoe UI" w:hAnsi="Segoe UI" w:cs="Segoe UI"/>
                <w:snapToGrid/>
                <w:sz w:val="18"/>
                <w:szCs w:val="18"/>
              </w:rPr>
            </w:pPr>
            <w:r w:rsidRPr="0032765D">
              <w:rPr>
                <w:rFonts w:ascii="Source Sans Pro" w:hAnsi="Source Sans Pro" w:cs="Segoe UI"/>
                <w:snapToGrid/>
                <w:color w:val="000000"/>
                <w:sz w:val="18"/>
                <w:szCs w:val="18"/>
              </w:rPr>
              <w:t>Source: FDIC. </w:t>
            </w:r>
          </w:p>
        </w:tc>
      </w:tr>
    </w:tbl>
    <w:p w:rsidR="00FC1474" w:rsidP="00B45163" w:rsidRDefault="00FC1474">
      <w:pPr>
        <w:rPr>
          <w:rFonts w:ascii="Times New Roman" w:hAnsi="Times New Roman"/>
        </w:rPr>
      </w:pPr>
    </w:p>
    <w:p w:rsidRPr="00AC0651" w:rsidR="00AC0651" w:rsidP="00AC0651" w:rsidRDefault="00AC0651">
      <w:pPr>
        <w:rPr>
          <w:rFonts w:ascii="Times New Roman" w:hAnsi="Times New Roman"/>
          <w:lang w:bidi="en-US"/>
        </w:rPr>
      </w:pPr>
    </w:p>
    <w:p w:rsidRPr="00AC0651" w:rsidR="00C96990" w:rsidP="00284533" w:rsidRDefault="00C96990">
      <w:pPr>
        <w:ind w:firstLine="720"/>
        <w:rPr>
          <w:rFonts w:ascii="Times New Roman" w:hAnsi="Times New Roman"/>
          <w:b/>
        </w:rPr>
      </w:pPr>
      <w:r w:rsidRPr="00AC0651">
        <w:rPr>
          <w:rFonts w:ascii="Times New Roman" w:hAnsi="Times New Roman"/>
          <w:b/>
        </w:rPr>
        <w:t>Annualized Cost of Internal Hourly Burden:</w:t>
      </w:r>
    </w:p>
    <w:p w:rsidR="0023731B" w:rsidP="00C96990" w:rsidRDefault="0023731B">
      <w:pPr>
        <w:ind w:left="720"/>
        <w:jc w:val="center"/>
        <w:rPr>
          <w:rFonts w:ascii="Times New Roman" w:hAnsi="Times New Roman"/>
        </w:rPr>
      </w:pPr>
    </w:p>
    <w:p w:rsidRPr="0032765D" w:rsidR="0032765D" w:rsidP="0032765D" w:rsidRDefault="0032765D">
      <w:pPr>
        <w:ind w:left="720"/>
        <w:rPr>
          <w:rFonts w:ascii="Times New Roman" w:hAnsi="Times New Roman"/>
          <w:szCs w:val="24"/>
        </w:rPr>
      </w:pPr>
      <w:r w:rsidRPr="0032765D">
        <w:rPr>
          <w:rFonts w:ascii="Times New Roman" w:hAnsi="Times New Roman"/>
          <w:szCs w:val="24"/>
        </w:rPr>
        <w:t>To estimate the weighted averag</w:t>
      </w:r>
      <w:r>
        <w:rPr>
          <w:rFonts w:ascii="Times New Roman" w:hAnsi="Times New Roman"/>
          <w:szCs w:val="24"/>
        </w:rPr>
        <w:t>e hourly cost of compensation, FDIC</w:t>
      </w:r>
      <w:r w:rsidRPr="0032765D">
        <w:rPr>
          <w:rFonts w:ascii="Times New Roman" w:hAnsi="Times New Roman"/>
          <w:szCs w:val="24"/>
        </w:rPr>
        <w:t xml:space="preserve"> use</w:t>
      </w:r>
      <w:r>
        <w:rPr>
          <w:rFonts w:ascii="Times New Roman" w:hAnsi="Times New Roman"/>
          <w:szCs w:val="24"/>
        </w:rPr>
        <w:t>s</w:t>
      </w:r>
      <w:r w:rsidRPr="0032765D">
        <w:rPr>
          <w:rFonts w:ascii="Times New Roman" w:hAnsi="Times New Roman"/>
          <w:szCs w:val="24"/>
        </w:rPr>
        <w:t xml:space="preserve"> the 75th percentile hourly wages reported by the Bureau of Labor Statistics (BLS) National Industry-Specific Occupational Employment and Wage Estimates for the relevant occupations in the Depository Credit Intermediation sector, as of September 2020. </w:t>
      </w:r>
    </w:p>
    <w:p w:rsidR="0032765D" w:rsidP="0032765D" w:rsidRDefault="0032765D">
      <w:pPr>
        <w:ind w:left="720"/>
        <w:rPr>
          <w:rFonts w:ascii="Times New Roman" w:hAnsi="Times New Roman"/>
          <w:szCs w:val="24"/>
        </w:rPr>
      </w:pPr>
      <w:r w:rsidRPr="0032765D">
        <w:rPr>
          <w:rFonts w:ascii="Times New Roman" w:hAnsi="Times New Roman"/>
          <w:szCs w:val="24"/>
        </w:rPr>
        <w:t>The reported hourly wage rates do not include non-monetary compensation. According to the September 2020 Employer Cost of Employee Compensation data, compensation rates for health and other benefits are 33.9 percent of total compensation. To account for non-monetary c</w:t>
      </w:r>
      <w:r>
        <w:rPr>
          <w:rFonts w:ascii="Times New Roman" w:hAnsi="Times New Roman"/>
          <w:szCs w:val="24"/>
        </w:rPr>
        <w:t>ompensation, FDIC</w:t>
      </w:r>
      <w:r w:rsidRPr="0032765D">
        <w:rPr>
          <w:rFonts w:ascii="Times New Roman" w:hAnsi="Times New Roman"/>
          <w:szCs w:val="24"/>
        </w:rPr>
        <w:t xml:space="preserve"> adjust</w:t>
      </w:r>
      <w:r>
        <w:rPr>
          <w:rFonts w:ascii="Times New Roman" w:hAnsi="Times New Roman"/>
          <w:szCs w:val="24"/>
        </w:rPr>
        <w:t>s</w:t>
      </w:r>
      <w:r w:rsidRPr="0032765D">
        <w:rPr>
          <w:rFonts w:ascii="Times New Roman" w:hAnsi="Times New Roman"/>
          <w:szCs w:val="24"/>
        </w:rPr>
        <w:t xml:space="preserve"> the hourly wage rates repor</w:t>
      </w:r>
      <w:r>
        <w:rPr>
          <w:rFonts w:ascii="Times New Roman" w:hAnsi="Times New Roman"/>
          <w:szCs w:val="24"/>
        </w:rPr>
        <w:t>ted by BLS by that percentage. FDIC</w:t>
      </w:r>
      <w:r w:rsidRPr="0032765D">
        <w:rPr>
          <w:rFonts w:ascii="Times New Roman" w:hAnsi="Times New Roman"/>
          <w:szCs w:val="24"/>
        </w:rPr>
        <w:t xml:space="preserve"> also adjust</w:t>
      </w:r>
      <w:r>
        <w:rPr>
          <w:rFonts w:ascii="Times New Roman" w:hAnsi="Times New Roman"/>
          <w:szCs w:val="24"/>
        </w:rPr>
        <w:t>s</w:t>
      </w:r>
      <w:r w:rsidRPr="0032765D">
        <w:rPr>
          <w:rFonts w:ascii="Times New Roman" w:hAnsi="Times New Roman"/>
          <w:szCs w:val="24"/>
        </w:rPr>
        <w:t xml:space="preserve"> the hourly wage by 1.64 percent based on changes in the Consumer Price Index for Urban Consumers (CPI-U) from May 2019 to September 2020 to account for inflation and ensure that the wage information is contemporaneous with the non-monetary compensation statistic. </w:t>
      </w:r>
    </w:p>
    <w:p w:rsidRPr="0032765D" w:rsidR="0032765D" w:rsidP="0032765D" w:rsidRDefault="0032765D">
      <w:pPr>
        <w:ind w:left="720"/>
        <w:rPr>
          <w:rFonts w:ascii="Times New Roman" w:hAnsi="Times New Roman"/>
          <w:szCs w:val="24"/>
        </w:rPr>
      </w:pPr>
    </w:p>
    <w:p w:rsidR="0032765D" w:rsidP="0032765D" w:rsidRDefault="0032765D">
      <w:pPr>
        <w:ind w:left="720"/>
        <w:rPr>
          <w:rFonts w:ascii="Times New Roman" w:hAnsi="Times New Roman"/>
          <w:szCs w:val="24"/>
        </w:rPr>
      </w:pPr>
      <w:r w:rsidRPr="0032765D">
        <w:rPr>
          <w:rFonts w:ascii="Times New Roman" w:hAnsi="Times New Roman"/>
          <w:szCs w:val="24"/>
        </w:rPr>
        <w:t xml:space="preserve">After </w:t>
      </w:r>
      <w:r>
        <w:rPr>
          <w:rFonts w:ascii="Times New Roman" w:hAnsi="Times New Roman"/>
          <w:szCs w:val="24"/>
        </w:rPr>
        <w:t>calculating these adjustments, FDIC</w:t>
      </w:r>
      <w:r w:rsidRPr="0032765D">
        <w:rPr>
          <w:rFonts w:ascii="Times New Roman" w:hAnsi="Times New Roman"/>
          <w:szCs w:val="24"/>
        </w:rPr>
        <w:t xml:space="preserve"> then weight</w:t>
      </w:r>
      <w:r>
        <w:rPr>
          <w:rFonts w:ascii="Times New Roman" w:hAnsi="Times New Roman"/>
          <w:szCs w:val="24"/>
        </w:rPr>
        <w:t>s</w:t>
      </w:r>
      <w:r w:rsidRPr="0032765D">
        <w:rPr>
          <w:rFonts w:ascii="Times New Roman" w:hAnsi="Times New Roman"/>
          <w:szCs w:val="24"/>
        </w:rPr>
        <w:t xml:space="preserve"> the total hourly compensation for the </w:t>
      </w:r>
      <w:r w:rsidRPr="0032765D">
        <w:rPr>
          <w:rFonts w:ascii="Times New Roman" w:hAnsi="Times New Roman"/>
          <w:szCs w:val="24"/>
        </w:rPr>
        <w:lastRenderedPageBreak/>
        <w:t>four occupations (Executives and Managers, Accountants and Auditors, Lawyers, and Clerical</w:t>
      </w:r>
      <w:r>
        <w:rPr>
          <w:rFonts w:ascii="Times New Roman" w:hAnsi="Times New Roman"/>
          <w:szCs w:val="24"/>
        </w:rPr>
        <w:t>) using the</w:t>
      </w:r>
      <w:r w:rsidRPr="0032765D">
        <w:rPr>
          <w:rFonts w:ascii="Times New Roman" w:hAnsi="Times New Roman"/>
          <w:szCs w:val="24"/>
        </w:rPr>
        <w:t xml:space="preserve"> estimated allocation of labor </w:t>
      </w:r>
      <w:r>
        <w:rPr>
          <w:rFonts w:ascii="Times New Roman" w:hAnsi="Times New Roman"/>
          <w:szCs w:val="24"/>
        </w:rPr>
        <w:t xml:space="preserve">indicated </w:t>
      </w:r>
      <w:r w:rsidRPr="0032765D">
        <w:rPr>
          <w:rFonts w:ascii="Times New Roman" w:hAnsi="Times New Roman"/>
          <w:szCs w:val="24"/>
        </w:rPr>
        <w:t>to find the estimated hourl</w:t>
      </w:r>
      <w:r>
        <w:rPr>
          <w:rFonts w:ascii="Times New Roman" w:hAnsi="Times New Roman"/>
          <w:szCs w:val="24"/>
        </w:rPr>
        <w:t>y cost of complying with this information collection</w:t>
      </w:r>
      <w:r w:rsidRPr="0032765D">
        <w:rPr>
          <w:rFonts w:ascii="Times New Roman" w:hAnsi="Times New Roman"/>
          <w:szCs w:val="24"/>
        </w:rPr>
        <w:t xml:space="preserve">. The estimated hourly compensation rates are reported in </w:t>
      </w:r>
      <w:r>
        <w:rPr>
          <w:rFonts w:ascii="Times New Roman" w:hAnsi="Times New Roman"/>
          <w:szCs w:val="24"/>
        </w:rPr>
        <w:t>the following table</w:t>
      </w:r>
      <w:r w:rsidRPr="0032765D">
        <w:rPr>
          <w:rFonts w:ascii="Times New Roman" w:hAnsi="Times New Roman"/>
          <w:szCs w:val="24"/>
        </w:rPr>
        <w:t>:</w:t>
      </w:r>
    </w:p>
    <w:p w:rsidRPr="0032765D" w:rsidR="0032765D" w:rsidP="0032765D" w:rsidRDefault="0032765D">
      <w:pPr>
        <w:ind w:left="720"/>
        <w:rPr>
          <w:rFonts w:ascii="Times New Roman" w:hAnsi="Times New Roman"/>
          <w:szCs w:val="24"/>
        </w:rPr>
      </w:pPr>
    </w:p>
    <w:tbl>
      <w:tblPr>
        <w:tblStyle w:val="TableGrid2"/>
        <w:tblW w:w="0" w:type="auto"/>
        <w:tblLook w:val="04A0" w:firstRow="1" w:lastRow="0" w:firstColumn="1" w:lastColumn="0" w:noHBand="0" w:noVBand="1"/>
      </w:tblPr>
      <w:tblGrid>
        <w:gridCol w:w="2965"/>
        <w:gridCol w:w="2160"/>
        <w:gridCol w:w="2070"/>
        <w:gridCol w:w="2155"/>
      </w:tblGrid>
      <w:tr w:rsidRPr="0032765D" w:rsidR="0032765D" w:rsidTr="00862E34">
        <w:tc>
          <w:tcPr>
            <w:tcW w:w="9350" w:type="dxa"/>
            <w:gridSpan w:val="4"/>
            <w:vAlign w:val="center"/>
          </w:tcPr>
          <w:p w:rsidRPr="0032765D" w:rsidR="0032765D" w:rsidP="0032765D" w:rsidRDefault="0032765D">
            <w:pPr>
              <w:suppressAutoHyphens/>
              <w:autoSpaceDE w:val="0"/>
              <w:autoSpaceDN w:val="0"/>
              <w:spacing w:line="260" w:lineRule="exact"/>
              <w:jc w:val="center"/>
              <w:rPr>
                <w:rFonts w:ascii="Times New Roman" w:hAnsi="Times New Roman" w:eastAsia="Times New Roman" w:cs="Times New Roman"/>
                <w:szCs w:val="24"/>
              </w:rPr>
            </w:pPr>
            <w:r w:rsidRPr="0032765D">
              <w:rPr>
                <w:rFonts w:ascii="Times New Roman" w:hAnsi="Times New Roman" w:eastAsia="Times New Roman" w:cs="Times New Roman"/>
                <w:szCs w:val="24"/>
              </w:rPr>
              <w:br w:type="page"/>
            </w:r>
            <w:r w:rsidRPr="0032765D">
              <w:rPr>
                <w:rFonts w:ascii="Source Sans Pro" w:hAnsi="Source Sans Pro" w:eastAsia="Source Sans Pro" w:cs="Source Sans Pro"/>
                <w:b/>
                <w:sz w:val="20"/>
                <w:lang w:bidi="en-US"/>
              </w:rPr>
              <w:t>Summary of Hourly Burden Cost Estimate</w:t>
            </w:r>
          </w:p>
          <w:p w:rsidRPr="0032765D" w:rsidR="0032765D" w:rsidP="0032765D" w:rsidRDefault="0032765D">
            <w:pPr>
              <w:suppressAutoHyphens/>
              <w:autoSpaceDE w:val="0"/>
              <w:autoSpaceDN w:val="0"/>
              <w:spacing w:line="260" w:lineRule="exact"/>
              <w:jc w:val="center"/>
              <w:rPr>
                <w:rFonts w:ascii="Source Sans Pro" w:hAnsi="Source Sans Pro" w:eastAsia="Source Sans Pro" w:cs="Source Sans Pro"/>
                <w:color w:val="000000"/>
                <w:sz w:val="20"/>
                <w:lang w:bidi="en-US"/>
              </w:rPr>
            </w:pPr>
            <w:r>
              <w:rPr>
                <w:rFonts w:ascii="Source Sans Pro" w:hAnsi="Source Sans Pro" w:eastAsia="Source Sans Pro" w:cs="Source Sans Pro"/>
                <w:b/>
                <w:sz w:val="20"/>
                <w:lang w:bidi="en-US"/>
              </w:rPr>
              <w:t>Tax Allocation Agreements</w:t>
            </w:r>
          </w:p>
        </w:tc>
      </w:tr>
      <w:tr w:rsidRPr="0032765D" w:rsidR="0032765D" w:rsidTr="00862E34">
        <w:tc>
          <w:tcPr>
            <w:tcW w:w="2965" w:type="dxa"/>
            <w:vAlign w:val="center"/>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sz w:val="18"/>
                <w:szCs w:val="18"/>
                <w:lang w:bidi="en-US"/>
              </w:rPr>
            </w:pPr>
            <w:r w:rsidRPr="0032765D">
              <w:rPr>
                <w:rFonts w:ascii="Source Sans Pro" w:hAnsi="Source Sans Pro" w:eastAsia="Source Sans Pro" w:cs="Source Sans Pro"/>
                <w:color w:val="000000"/>
                <w:sz w:val="18"/>
                <w:szCs w:val="18"/>
                <w:lang w:bidi="en-US"/>
              </w:rPr>
              <w:t>Estimated Category of Personnel Responsible for Complying with the PRA Burden</w:t>
            </w:r>
          </w:p>
        </w:tc>
        <w:tc>
          <w:tcPr>
            <w:tcW w:w="2160" w:type="dxa"/>
            <w:vAlign w:val="center"/>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sz w:val="18"/>
                <w:szCs w:val="18"/>
                <w:lang w:bidi="en-US"/>
              </w:rPr>
            </w:pPr>
            <w:r w:rsidRPr="0032765D">
              <w:rPr>
                <w:rFonts w:ascii="Source Sans Pro" w:hAnsi="Source Sans Pro" w:eastAsia="Source Sans Pro" w:cs="Source Sans Pro"/>
                <w:color w:val="000000"/>
                <w:sz w:val="18"/>
                <w:szCs w:val="18"/>
                <w:lang w:bidi="en-US"/>
              </w:rPr>
              <w:t>Total Estimated Hourly Compensation</w:t>
            </w:r>
          </w:p>
        </w:tc>
        <w:tc>
          <w:tcPr>
            <w:tcW w:w="2070" w:type="dxa"/>
            <w:vAlign w:val="center"/>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sz w:val="18"/>
                <w:szCs w:val="18"/>
                <w:lang w:bidi="en-US"/>
              </w:rPr>
            </w:pPr>
            <w:r w:rsidRPr="0032765D">
              <w:rPr>
                <w:rFonts w:ascii="Source Sans Pro" w:hAnsi="Source Sans Pro" w:eastAsia="Source Sans Pro" w:cs="Source Sans Pro"/>
                <w:color w:val="000000"/>
                <w:sz w:val="18"/>
                <w:szCs w:val="18"/>
                <w:lang w:bidi="en-US"/>
              </w:rPr>
              <w:t>Estimated Weights</w:t>
            </w:r>
          </w:p>
        </w:tc>
        <w:tc>
          <w:tcPr>
            <w:tcW w:w="2155" w:type="dxa"/>
            <w:vAlign w:val="center"/>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sz w:val="18"/>
                <w:szCs w:val="18"/>
                <w:lang w:bidi="en-US"/>
              </w:rPr>
            </w:pPr>
            <w:r w:rsidRPr="0032765D">
              <w:rPr>
                <w:rFonts w:ascii="Source Sans Pro" w:hAnsi="Source Sans Pro" w:eastAsia="Source Sans Pro" w:cs="Source Sans Pro"/>
                <w:color w:val="000000"/>
                <w:sz w:val="18"/>
                <w:szCs w:val="18"/>
                <w:lang w:bidi="en-US"/>
              </w:rPr>
              <w:t>Weighted Hourly Compensation</w:t>
            </w:r>
          </w:p>
        </w:tc>
      </w:tr>
      <w:tr w:rsidRPr="0032765D" w:rsidR="0032765D" w:rsidTr="00862E34">
        <w:tc>
          <w:tcPr>
            <w:tcW w:w="2965" w:type="dxa"/>
            <w:vAlign w:val="center"/>
          </w:tcPr>
          <w:p w:rsidRPr="0032765D" w:rsidR="0032765D" w:rsidP="0032765D" w:rsidRDefault="0032765D">
            <w:pPr>
              <w:suppressAutoHyphens/>
              <w:autoSpaceDE w:val="0"/>
              <w:autoSpaceDN w:val="0"/>
              <w:spacing w:after="240" w:line="260" w:lineRule="exact"/>
              <w:rPr>
                <w:rFonts w:ascii="Source Sans Pro" w:hAnsi="Source Sans Pro" w:eastAsia="Source Sans Pro" w:cs="Source Sans Pro"/>
                <w:sz w:val="20"/>
                <w:lang w:bidi="en-US"/>
              </w:rPr>
            </w:pPr>
            <w:r w:rsidRPr="0032765D">
              <w:rPr>
                <w:rFonts w:ascii="Source Sans Pro" w:hAnsi="Source Sans Pro" w:eastAsia="Source Sans Pro" w:cs="Source Sans Pro"/>
                <w:color w:val="000000"/>
                <w:sz w:val="20"/>
                <w:lang w:bidi="en-US"/>
              </w:rPr>
              <w:t>Executives and Managers</w:t>
            </w:r>
            <w:r w:rsidRPr="0032765D">
              <w:rPr>
                <w:rFonts w:ascii="Source Sans Pro" w:hAnsi="Source Sans Pro" w:eastAsia="Source Sans Pro" w:cs="Source Sans Pro"/>
                <w:color w:val="000000"/>
                <w:sz w:val="20"/>
                <w:vertAlign w:val="superscript"/>
                <w:lang w:bidi="en-US"/>
              </w:rPr>
              <w:footnoteReference w:id="7"/>
            </w:r>
          </w:p>
        </w:tc>
        <w:tc>
          <w:tcPr>
            <w:tcW w:w="2160" w:type="dxa"/>
            <w:vAlign w:val="center"/>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sz w:val="20"/>
                <w:lang w:bidi="en-US"/>
              </w:rPr>
            </w:pPr>
            <w:r w:rsidRPr="0032765D">
              <w:rPr>
                <w:rFonts w:ascii="Source Sans Pro" w:hAnsi="Source Sans Pro" w:eastAsia="Source Sans Pro" w:cs="Source Sans Pro"/>
                <w:color w:val="000000"/>
                <w:sz w:val="20"/>
                <w:lang w:bidi="en-US"/>
              </w:rPr>
              <w:t>$123.02</w:t>
            </w:r>
          </w:p>
        </w:tc>
        <w:tc>
          <w:tcPr>
            <w:tcW w:w="2070" w:type="dxa"/>
            <w:vAlign w:val="bottom"/>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sz w:val="20"/>
                <w:lang w:bidi="en-US"/>
              </w:rPr>
            </w:pPr>
            <w:r w:rsidRPr="0032765D">
              <w:rPr>
                <w:rFonts w:ascii="Source Sans Pro" w:hAnsi="Source Sans Pro" w:eastAsia="Source Sans Pro" w:cs="Source Sans Pro"/>
                <w:color w:val="000000"/>
                <w:sz w:val="20"/>
                <w:lang w:bidi="en-US"/>
              </w:rPr>
              <w:t>25%</w:t>
            </w:r>
          </w:p>
        </w:tc>
        <w:tc>
          <w:tcPr>
            <w:tcW w:w="2155" w:type="dxa"/>
            <w:vAlign w:val="center"/>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sz w:val="20"/>
                <w:lang w:bidi="en-US"/>
              </w:rPr>
            </w:pPr>
            <w:r w:rsidRPr="0032765D">
              <w:rPr>
                <w:rFonts w:ascii="Source Sans Pro" w:hAnsi="Source Sans Pro" w:eastAsia="Source Sans Pro" w:cs="Source Sans Pro"/>
                <w:color w:val="000000"/>
                <w:sz w:val="20"/>
                <w:lang w:bidi="en-US"/>
              </w:rPr>
              <w:t xml:space="preserve">$30.76 </w:t>
            </w:r>
          </w:p>
        </w:tc>
      </w:tr>
      <w:tr w:rsidRPr="0032765D" w:rsidR="0032765D" w:rsidTr="00862E34">
        <w:tc>
          <w:tcPr>
            <w:tcW w:w="2965" w:type="dxa"/>
            <w:vAlign w:val="center"/>
          </w:tcPr>
          <w:p w:rsidRPr="0032765D" w:rsidR="0032765D" w:rsidP="0032765D" w:rsidRDefault="0032765D">
            <w:pPr>
              <w:suppressAutoHyphens/>
              <w:autoSpaceDE w:val="0"/>
              <w:autoSpaceDN w:val="0"/>
              <w:spacing w:after="240" w:line="260" w:lineRule="exact"/>
              <w:rPr>
                <w:rFonts w:ascii="Source Sans Pro" w:hAnsi="Source Sans Pro" w:eastAsia="Source Sans Pro" w:cs="Source Sans Pro"/>
                <w:color w:val="000000"/>
                <w:sz w:val="20"/>
                <w:lang w:bidi="en-US"/>
              </w:rPr>
            </w:pPr>
            <w:r w:rsidRPr="0032765D">
              <w:rPr>
                <w:rFonts w:ascii="Source Sans Pro" w:hAnsi="Source Sans Pro" w:eastAsia="Source Sans Pro" w:cs="Source Sans Pro"/>
                <w:color w:val="000000"/>
                <w:sz w:val="20"/>
                <w:lang w:bidi="en-US"/>
              </w:rPr>
              <w:t>Accountants and Auditors</w:t>
            </w:r>
            <w:r w:rsidRPr="0032765D">
              <w:rPr>
                <w:rFonts w:ascii="Source Sans Pro" w:hAnsi="Source Sans Pro" w:eastAsia="Source Sans Pro" w:cs="Source Sans Pro"/>
                <w:color w:val="000000"/>
                <w:sz w:val="20"/>
                <w:vertAlign w:val="superscript"/>
                <w:lang w:bidi="en-US"/>
              </w:rPr>
              <w:footnoteReference w:id="8"/>
            </w:r>
          </w:p>
        </w:tc>
        <w:tc>
          <w:tcPr>
            <w:tcW w:w="2160" w:type="dxa"/>
            <w:vAlign w:val="center"/>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color w:val="000000"/>
                <w:sz w:val="20"/>
                <w:lang w:bidi="en-US"/>
              </w:rPr>
            </w:pPr>
            <w:r w:rsidRPr="0032765D">
              <w:rPr>
                <w:rFonts w:ascii="Source Sans Pro" w:hAnsi="Source Sans Pro" w:eastAsia="Source Sans Pro" w:cs="Source Sans Pro"/>
                <w:color w:val="000000"/>
                <w:sz w:val="20"/>
                <w:lang w:bidi="en-US"/>
              </w:rPr>
              <w:t>$74.50</w:t>
            </w:r>
          </w:p>
        </w:tc>
        <w:tc>
          <w:tcPr>
            <w:tcW w:w="2070" w:type="dxa"/>
            <w:vAlign w:val="bottom"/>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color w:val="000000"/>
                <w:sz w:val="20"/>
                <w:lang w:bidi="en-US"/>
              </w:rPr>
            </w:pPr>
            <w:r w:rsidRPr="0032765D">
              <w:rPr>
                <w:rFonts w:ascii="Source Sans Pro" w:hAnsi="Source Sans Pro" w:eastAsia="Source Sans Pro" w:cs="Source Sans Pro"/>
                <w:color w:val="000000"/>
                <w:sz w:val="20"/>
                <w:lang w:bidi="en-US"/>
              </w:rPr>
              <w:t>25%</w:t>
            </w:r>
          </w:p>
        </w:tc>
        <w:tc>
          <w:tcPr>
            <w:tcW w:w="2155" w:type="dxa"/>
            <w:vAlign w:val="center"/>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color w:val="000000"/>
                <w:sz w:val="20"/>
                <w:lang w:bidi="en-US"/>
              </w:rPr>
            </w:pPr>
            <w:r w:rsidRPr="0032765D">
              <w:rPr>
                <w:rFonts w:ascii="Source Sans Pro" w:hAnsi="Source Sans Pro" w:eastAsia="Source Sans Pro" w:cs="Source Sans Pro"/>
                <w:color w:val="000000"/>
                <w:sz w:val="20"/>
                <w:lang w:bidi="en-US"/>
              </w:rPr>
              <w:t xml:space="preserve">$18.63 </w:t>
            </w:r>
          </w:p>
        </w:tc>
      </w:tr>
      <w:tr w:rsidRPr="0032765D" w:rsidR="0032765D" w:rsidTr="00862E34">
        <w:tc>
          <w:tcPr>
            <w:tcW w:w="2965" w:type="dxa"/>
            <w:vAlign w:val="center"/>
          </w:tcPr>
          <w:p w:rsidRPr="0032765D" w:rsidR="0032765D" w:rsidP="0032765D" w:rsidRDefault="0032765D">
            <w:pPr>
              <w:suppressAutoHyphens/>
              <w:autoSpaceDE w:val="0"/>
              <w:autoSpaceDN w:val="0"/>
              <w:spacing w:after="240" w:line="260" w:lineRule="exact"/>
              <w:rPr>
                <w:rFonts w:ascii="Source Sans Pro" w:hAnsi="Source Sans Pro" w:eastAsia="Source Sans Pro" w:cs="Source Sans Pro"/>
                <w:color w:val="000000"/>
                <w:sz w:val="20"/>
                <w:lang w:bidi="en-US"/>
              </w:rPr>
            </w:pPr>
            <w:r w:rsidRPr="0032765D">
              <w:rPr>
                <w:rFonts w:ascii="Source Sans Pro" w:hAnsi="Source Sans Pro" w:eastAsia="Source Sans Pro" w:cs="Source Sans Pro"/>
                <w:color w:val="000000"/>
                <w:sz w:val="20"/>
                <w:lang w:bidi="en-US"/>
              </w:rPr>
              <w:t>Lawyers</w:t>
            </w:r>
            <w:r w:rsidRPr="0032765D">
              <w:rPr>
                <w:rFonts w:ascii="Source Sans Pro" w:hAnsi="Source Sans Pro" w:eastAsia="Source Sans Pro" w:cs="Source Sans Pro"/>
                <w:color w:val="000000"/>
                <w:sz w:val="20"/>
                <w:vertAlign w:val="superscript"/>
                <w:lang w:bidi="en-US"/>
              </w:rPr>
              <w:footnoteReference w:id="9"/>
            </w:r>
          </w:p>
        </w:tc>
        <w:tc>
          <w:tcPr>
            <w:tcW w:w="2160" w:type="dxa"/>
            <w:vAlign w:val="center"/>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color w:val="000000"/>
                <w:sz w:val="20"/>
                <w:lang w:bidi="en-US"/>
              </w:rPr>
            </w:pPr>
            <w:r w:rsidRPr="0032765D">
              <w:rPr>
                <w:rFonts w:ascii="Source Sans Pro" w:hAnsi="Source Sans Pro" w:eastAsia="Source Sans Pro" w:cs="Source Sans Pro"/>
                <w:color w:val="000000"/>
                <w:sz w:val="20"/>
                <w:lang w:bidi="en-US"/>
              </w:rPr>
              <w:t>$151.10</w:t>
            </w:r>
          </w:p>
        </w:tc>
        <w:tc>
          <w:tcPr>
            <w:tcW w:w="2070" w:type="dxa"/>
            <w:vAlign w:val="bottom"/>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color w:val="000000"/>
                <w:sz w:val="20"/>
                <w:lang w:bidi="en-US"/>
              </w:rPr>
            </w:pPr>
            <w:r w:rsidRPr="0032765D">
              <w:rPr>
                <w:rFonts w:ascii="Source Sans Pro" w:hAnsi="Source Sans Pro" w:eastAsia="Source Sans Pro" w:cs="Source Sans Pro"/>
                <w:color w:val="000000"/>
                <w:sz w:val="20"/>
                <w:lang w:bidi="en-US"/>
              </w:rPr>
              <w:t>40%</w:t>
            </w:r>
          </w:p>
        </w:tc>
        <w:tc>
          <w:tcPr>
            <w:tcW w:w="2155" w:type="dxa"/>
            <w:vAlign w:val="center"/>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color w:val="000000"/>
                <w:sz w:val="20"/>
                <w:lang w:bidi="en-US"/>
              </w:rPr>
            </w:pPr>
            <w:r w:rsidRPr="0032765D">
              <w:rPr>
                <w:rFonts w:ascii="Source Sans Pro" w:hAnsi="Source Sans Pro" w:eastAsia="Source Sans Pro" w:cs="Source Sans Pro"/>
                <w:color w:val="000000"/>
                <w:sz w:val="20"/>
                <w:lang w:bidi="en-US"/>
              </w:rPr>
              <w:t xml:space="preserve">$60.44 </w:t>
            </w:r>
          </w:p>
        </w:tc>
      </w:tr>
      <w:tr w:rsidRPr="0032765D" w:rsidR="0032765D" w:rsidTr="00862E34">
        <w:tc>
          <w:tcPr>
            <w:tcW w:w="2965" w:type="dxa"/>
            <w:vAlign w:val="center"/>
          </w:tcPr>
          <w:p w:rsidRPr="0032765D" w:rsidR="0032765D" w:rsidP="0032765D" w:rsidRDefault="0032765D">
            <w:pPr>
              <w:suppressAutoHyphens/>
              <w:autoSpaceDE w:val="0"/>
              <w:autoSpaceDN w:val="0"/>
              <w:spacing w:after="240" w:line="260" w:lineRule="exact"/>
              <w:rPr>
                <w:rFonts w:ascii="Source Sans Pro" w:hAnsi="Source Sans Pro" w:eastAsia="Source Sans Pro" w:cs="Source Sans Pro"/>
                <w:sz w:val="20"/>
                <w:lang w:bidi="en-US"/>
              </w:rPr>
            </w:pPr>
            <w:r w:rsidRPr="0032765D">
              <w:rPr>
                <w:rFonts w:ascii="Source Sans Pro" w:hAnsi="Source Sans Pro" w:eastAsia="Source Sans Pro" w:cs="Source Sans Pro"/>
                <w:color w:val="000000"/>
                <w:sz w:val="20"/>
                <w:lang w:bidi="en-US"/>
              </w:rPr>
              <w:t>Clerical</w:t>
            </w:r>
            <w:r w:rsidRPr="0032765D">
              <w:rPr>
                <w:rFonts w:ascii="Source Sans Pro" w:hAnsi="Source Sans Pro" w:eastAsia="Source Sans Pro" w:cs="Source Sans Pro"/>
                <w:color w:val="000000"/>
                <w:sz w:val="20"/>
                <w:vertAlign w:val="superscript"/>
                <w:lang w:bidi="en-US"/>
              </w:rPr>
              <w:footnoteReference w:id="10"/>
            </w:r>
          </w:p>
        </w:tc>
        <w:tc>
          <w:tcPr>
            <w:tcW w:w="2160" w:type="dxa"/>
            <w:vAlign w:val="center"/>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sz w:val="20"/>
                <w:lang w:bidi="en-US"/>
              </w:rPr>
            </w:pPr>
            <w:r w:rsidRPr="0032765D">
              <w:rPr>
                <w:rFonts w:ascii="Source Sans Pro" w:hAnsi="Source Sans Pro" w:eastAsia="Source Sans Pro" w:cs="Source Sans Pro"/>
                <w:color w:val="000000"/>
                <w:sz w:val="20"/>
                <w:lang w:bidi="en-US"/>
              </w:rPr>
              <w:t>$33.37</w:t>
            </w:r>
          </w:p>
        </w:tc>
        <w:tc>
          <w:tcPr>
            <w:tcW w:w="2070" w:type="dxa"/>
            <w:vAlign w:val="bottom"/>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sz w:val="20"/>
                <w:lang w:bidi="en-US"/>
              </w:rPr>
            </w:pPr>
            <w:r w:rsidRPr="0032765D">
              <w:rPr>
                <w:rFonts w:ascii="Source Sans Pro" w:hAnsi="Source Sans Pro" w:eastAsia="Source Sans Pro" w:cs="Source Sans Pro"/>
                <w:color w:val="000000"/>
                <w:sz w:val="20"/>
                <w:lang w:bidi="en-US"/>
              </w:rPr>
              <w:t>10%</w:t>
            </w:r>
          </w:p>
        </w:tc>
        <w:tc>
          <w:tcPr>
            <w:tcW w:w="2155" w:type="dxa"/>
            <w:vAlign w:val="center"/>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sz w:val="20"/>
                <w:lang w:bidi="en-US"/>
              </w:rPr>
            </w:pPr>
            <w:r w:rsidRPr="0032765D">
              <w:rPr>
                <w:rFonts w:ascii="Source Sans Pro" w:hAnsi="Source Sans Pro" w:eastAsia="Source Sans Pro" w:cs="Source Sans Pro"/>
                <w:color w:val="000000"/>
                <w:sz w:val="20"/>
                <w:lang w:bidi="en-US"/>
              </w:rPr>
              <w:t xml:space="preserve">$3.34 </w:t>
            </w:r>
          </w:p>
        </w:tc>
      </w:tr>
      <w:tr w:rsidRPr="0032765D" w:rsidR="0032765D" w:rsidTr="00862E34">
        <w:tc>
          <w:tcPr>
            <w:tcW w:w="2965" w:type="dxa"/>
            <w:vAlign w:val="bottom"/>
          </w:tcPr>
          <w:p w:rsidRPr="0032765D" w:rsidR="0032765D" w:rsidP="0032765D" w:rsidRDefault="0032765D">
            <w:pPr>
              <w:suppressAutoHyphens/>
              <w:autoSpaceDE w:val="0"/>
              <w:autoSpaceDN w:val="0"/>
              <w:spacing w:after="240" w:line="260" w:lineRule="exact"/>
              <w:rPr>
                <w:rFonts w:ascii="Source Sans Pro" w:hAnsi="Source Sans Pro" w:eastAsia="Source Sans Pro" w:cs="Source Sans Pro"/>
                <w:sz w:val="20"/>
                <w:lang w:bidi="en-US"/>
              </w:rPr>
            </w:pPr>
            <w:r w:rsidRPr="0032765D">
              <w:rPr>
                <w:rFonts w:ascii="Source Sans Pro" w:hAnsi="Source Sans Pro" w:eastAsia="Source Sans Pro" w:cs="Source Sans Pro"/>
                <w:bCs/>
                <w:color w:val="000000"/>
                <w:sz w:val="20"/>
                <w:lang w:bidi="en-US"/>
              </w:rPr>
              <w:t>Weighted Average</w:t>
            </w:r>
          </w:p>
        </w:tc>
        <w:tc>
          <w:tcPr>
            <w:tcW w:w="2160" w:type="dxa"/>
            <w:vAlign w:val="bottom"/>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sz w:val="20"/>
                <w:lang w:bidi="en-US"/>
              </w:rPr>
            </w:pPr>
          </w:p>
        </w:tc>
        <w:tc>
          <w:tcPr>
            <w:tcW w:w="2070" w:type="dxa"/>
            <w:vAlign w:val="bottom"/>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sz w:val="20"/>
                <w:lang w:bidi="en-US"/>
              </w:rPr>
            </w:pPr>
            <w:r w:rsidRPr="0032765D">
              <w:rPr>
                <w:rFonts w:ascii="Source Sans Pro" w:hAnsi="Source Sans Pro" w:eastAsia="Source Sans Pro" w:cs="Source Sans Pro"/>
                <w:sz w:val="20"/>
                <w:lang w:bidi="en-US"/>
              </w:rPr>
              <w:t>100%</w:t>
            </w:r>
          </w:p>
        </w:tc>
        <w:tc>
          <w:tcPr>
            <w:tcW w:w="2155" w:type="dxa"/>
            <w:vAlign w:val="center"/>
          </w:tcPr>
          <w:p w:rsidRPr="0032765D" w:rsidR="0032765D" w:rsidP="0032765D" w:rsidRDefault="0032765D">
            <w:pPr>
              <w:suppressAutoHyphens/>
              <w:autoSpaceDE w:val="0"/>
              <w:autoSpaceDN w:val="0"/>
              <w:spacing w:after="240" w:line="260" w:lineRule="exact"/>
              <w:jc w:val="center"/>
              <w:rPr>
                <w:rFonts w:ascii="Source Sans Pro" w:hAnsi="Source Sans Pro" w:eastAsia="Source Sans Pro" w:cs="Source Sans Pro"/>
                <w:sz w:val="20"/>
                <w:lang w:bidi="en-US"/>
              </w:rPr>
            </w:pPr>
            <w:r w:rsidRPr="0032765D">
              <w:rPr>
                <w:rFonts w:ascii="Source Sans Pro" w:hAnsi="Source Sans Pro" w:eastAsia="Source Sans Pro" w:cs="Source Sans Pro"/>
                <w:color w:val="000000"/>
                <w:sz w:val="20"/>
                <w:lang w:bidi="en-US"/>
              </w:rPr>
              <w:t>$115</w:t>
            </w:r>
            <w:r w:rsidRPr="0032765D">
              <w:rPr>
                <w:rFonts w:ascii="Source Sans Pro" w:hAnsi="Source Sans Pro" w:eastAsia="Source Sans Pro" w:cs="Source Sans Pro"/>
                <w:color w:val="000000"/>
                <w:sz w:val="20"/>
                <w:vertAlign w:val="superscript"/>
                <w:lang w:bidi="en-US"/>
              </w:rPr>
              <w:footnoteReference w:id="11"/>
            </w:r>
            <w:r w:rsidRPr="0032765D">
              <w:rPr>
                <w:rFonts w:ascii="Source Sans Pro" w:hAnsi="Source Sans Pro" w:eastAsia="Source Sans Pro" w:cs="Source Sans Pro"/>
                <w:color w:val="000000"/>
                <w:sz w:val="20"/>
                <w:lang w:bidi="en-US"/>
              </w:rPr>
              <w:t xml:space="preserve"> </w:t>
            </w:r>
          </w:p>
        </w:tc>
      </w:tr>
      <w:tr w:rsidRPr="0032765D" w:rsidR="0032765D" w:rsidTr="00862E34">
        <w:tc>
          <w:tcPr>
            <w:tcW w:w="9350" w:type="dxa"/>
            <w:gridSpan w:val="4"/>
            <w:vAlign w:val="bottom"/>
          </w:tcPr>
          <w:p w:rsidRPr="0032765D" w:rsidR="0032765D" w:rsidP="0032765D" w:rsidRDefault="0032765D">
            <w:pPr>
              <w:suppressAutoHyphens/>
              <w:autoSpaceDE w:val="0"/>
              <w:autoSpaceDN w:val="0"/>
              <w:spacing w:line="260" w:lineRule="exact"/>
              <w:rPr>
                <w:rFonts w:ascii="Source Sans Pro" w:hAnsi="Source Sans Pro" w:eastAsia="Source Sans Pro" w:cs="Source Sans Pro"/>
                <w:color w:val="000000"/>
                <w:sz w:val="18"/>
                <w:szCs w:val="18"/>
                <w:lang w:bidi="en-US"/>
              </w:rPr>
            </w:pPr>
            <w:r w:rsidRPr="0032765D">
              <w:rPr>
                <w:rFonts w:ascii="Source Sans Pro" w:hAnsi="Source Sans Pro" w:eastAsia="Source Sans Pro" w:cs="Source Sans Pro"/>
                <w:sz w:val="18"/>
                <w:szCs w:val="18"/>
                <w:lang w:bidi="en-US"/>
              </w:rPr>
              <w:t>Source: Bureau of Labor Statistics: "National Industry-Specific Occupational Employment and Wage Estimates: Credit Intermediation and Related Activities (5221 And 5223 only)" (May 2019), Employer Cost of Employee Compensation (September 2020), Consumer Price Index (September 2020).</w:t>
            </w:r>
          </w:p>
        </w:tc>
      </w:tr>
    </w:tbl>
    <w:p w:rsidR="00F90C4D" w:rsidP="00FC63BC" w:rsidRDefault="00F90C4D">
      <w:pPr>
        <w:ind w:left="720"/>
        <w:rPr>
          <w:rFonts w:ascii="Times New Roman" w:hAnsi="Times New Roman"/>
          <w:snapToGrid/>
          <w:szCs w:val="24"/>
        </w:rPr>
      </w:pPr>
    </w:p>
    <w:p w:rsidRPr="00284533" w:rsidR="00CF552E" w:rsidP="00FC63BC" w:rsidRDefault="00F90C4D">
      <w:pPr>
        <w:ind w:left="720"/>
        <w:rPr>
          <w:rStyle w:val="documentbody1"/>
          <w:rFonts w:ascii="Times New Roman" w:hAnsi="Times New Roman"/>
          <w:snapToGrid/>
          <w:sz w:val="24"/>
          <w:szCs w:val="24"/>
        </w:rPr>
      </w:pPr>
      <w:r>
        <w:rPr>
          <w:rFonts w:ascii="Times New Roman" w:hAnsi="Times New Roman"/>
          <w:snapToGrid/>
          <w:szCs w:val="24"/>
          <w:lang w:bidi="en-US"/>
        </w:rPr>
        <w:t>T</w:t>
      </w:r>
      <w:r w:rsidRPr="00F90C4D">
        <w:rPr>
          <w:rFonts w:ascii="Times New Roman" w:hAnsi="Times New Roman"/>
          <w:snapToGrid/>
          <w:szCs w:val="24"/>
          <w:lang w:bidi="en-US"/>
        </w:rPr>
        <w:t xml:space="preserve">he </w:t>
      </w:r>
      <w:r w:rsidRPr="00F90C4D">
        <w:rPr>
          <w:rFonts w:ascii="Times New Roman" w:hAnsi="Times New Roman"/>
          <w:szCs w:val="24"/>
        </w:rPr>
        <w:t>total</w:t>
      </w:r>
      <w:r w:rsidRPr="00F90C4D">
        <w:rPr>
          <w:rFonts w:ascii="Times New Roman" w:hAnsi="Times New Roman"/>
          <w:snapToGrid/>
          <w:szCs w:val="24"/>
          <w:lang w:bidi="en-US"/>
        </w:rPr>
        <w:t xml:space="preserve"> </w:t>
      </w:r>
      <w:r>
        <w:rPr>
          <w:rFonts w:ascii="Times New Roman" w:hAnsi="Times New Roman"/>
          <w:snapToGrid/>
          <w:szCs w:val="24"/>
          <w:lang w:bidi="en-US"/>
        </w:rPr>
        <w:t xml:space="preserve">estimated </w:t>
      </w:r>
      <w:r w:rsidRPr="00F90C4D">
        <w:rPr>
          <w:rFonts w:ascii="Times New Roman" w:hAnsi="Times New Roman"/>
          <w:snapToGrid/>
          <w:szCs w:val="24"/>
          <w:lang w:bidi="en-US"/>
        </w:rPr>
        <w:t xml:space="preserve">annual cost </w:t>
      </w:r>
      <w:r>
        <w:rPr>
          <w:rFonts w:ascii="Times New Roman" w:hAnsi="Times New Roman"/>
          <w:snapToGrid/>
          <w:szCs w:val="24"/>
          <w:lang w:bidi="en-US"/>
        </w:rPr>
        <w:t>burden for this information collection is calculated</w:t>
      </w:r>
      <w:r w:rsidRPr="00F90C4D">
        <w:rPr>
          <w:rFonts w:ascii="Times New Roman" w:hAnsi="Times New Roman"/>
          <w:snapToGrid/>
          <w:szCs w:val="24"/>
          <w:lang w:bidi="en-US"/>
        </w:rPr>
        <w:t xml:space="preserve"> by multiplying the total annual estimated burden hours by the weighted average hourly compensa</w:t>
      </w:r>
      <w:r>
        <w:rPr>
          <w:rFonts w:ascii="Times New Roman" w:hAnsi="Times New Roman"/>
          <w:snapToGrid/>
          <w:szCs w:val="24"/>
          <w:lang w:bidi="en-US"/>
        </w:rPr>
        <w:t>tion estimate</w:t>
      </w:r>
      <w:r w:rsidRPr="00F90C4D">
        <w:rPr>
          <w:rFonts w:ascii="Times New Roman" w:hAnsi="Times New Roman"/>
          <w:snapToGrid/>
          <w:szCs w:val="24"/>
          <w:lang w:bidi="en-US"/>
        </w:rPr>
        <w:t xml:space="preserve">. The total annual cost burden is estimated as: 33,390 hours / year * $115 / hour = </w:t>
      </w:r>
      <w:r w:rsidRPr="00F90C4D">
        <w:rPr>
          <w:rFonts w:ascii="Times New Roman" w:hAnsi="Times New Roman"/>
          <w:b/>
          <w:snapToGrid/>
          <w:szCs w:val="24"/>
          <w:lang w:bidi="en-US"/>
        </w:rPr>
        <w:t>$3,839,850 per year</w:t>
      </w:r>
      <w:r w:rsidRPr="00F90C4D">
        <w:rPr>
          <w:rFonts w:ascii="Times New Roman" w:hAnsi="Times New Roman"/>
          <w:snapToGrid/>
          <w:szCs w:val="24"/>
          <w:lang w:bidi="en-US"/>
        </w:rPr>
        <w:t>.</w:t>
      </w:r>
      <w:r w:rsidRPr="00B81846" w:rsidR="00B81846">
        <w:rPr>
          <w:rFonts w:ascii="Times New Roman" w:hAnsi="Times New Roman"/>
          <w:snapToGrid/>
          <w:szCs w:val="24"/>
        </w:rPr>
        <w:t xml:space="preserve"> </w:t>
      </w:r>
    </w:p>
    <w:p w:rsidRPr="00BA19E0" w:rsidR="009778B4" w:rsidP="00497E0B" w:rsidRDefault="009778B4">
      <w:pPr>
        <w:pStyle w:val="CommentText"/>
        <w:ind w:left="1440"/>
        <w:rPr>
          <w:rStyle w:val="documentbody1"/>
          <w:color w:val="000000"/>
          <w:sz w:val="24"/>
          <w:szCs w:val="24"/>
          <w:u w:val="single"/>
        </w:rPr>
      </w:pPr>
    </w:p>
    <w:p w:rsidRPr="001F2A5D" w:rsidR="009F4532" w:rsidP="00FC1474" w:rsidRDefault="00731A90">
      <w:pPr>
        <w:outlineLvl w:val="0"/>
        <w:rPr>
          <w:rFonts w:ascii="Times New Roman" w:hAnsi="Times New Roman"/>
          <w:szCs w:val="24"/>
          <w:u w:val="single"/>
        </w:rPr>
      </w:pPr>
      <w:r>
        <w:rPr>
          <w:rFonts w:ascii="Times New Roman" w:hAnsi="Times New Roman"/>
        </w:rPr>
        <w:t>13.</w:t>
      </w:r>
      <w:r>
        <w:rPr>
          <w:rFonts w:ascii="Times New Roman" w:hAnsi="Times New Roman"/>
        </w:rPr>
        <w:tab/>
      </w:r>
      <w:r w:rsidRPr="009E60FB" w:rsidR="009F4532">
        <w:rPr>
          <w:rFonts w:ascii="Times New Roman" w:hAnsi="Times New Roman"/>
          <w:bCs/>
          <w:szCs w:val="24"/>
          <w:u w:val="single"/>
        </w:rPr>
        <w:t>Estimate of start-up costs to respondents:</w:t>
      </w:r>
    </w:p>
    <w:p w:rsidR="00731A90" w:rsidRDefault="00731A90">
      <w:pPr>
        <w:rPr>
          <w:rFonts w:ascii="Times New Roman" w:hAnsi="Times New Roman"/>
        </w:rPr>
      </w:pPr>
    </w:p>
    <w:p w:rsidR="00731A90" w:rsidP="0037682F" w:rsidRDefault="00731A90">
      <w:pPr>
        <w:ind w:left="720"/>
        <w:rPr>
          <w:rFonts w:ascii="Times New Roman" w:hAnsi="Times New Roman"/>
        </w:rPr>
      </w:pPr>
      <w:r w:rsidRPr="0037682F">
        <w:rPr>
          <w:rFonts w:ascii="Times New Roman" w:hAnsi="Times New Roman" w:eastAsia="Calibri"/>
          <w:snapToGrid/>
          <w:szCs w:val="24"/>
        </w:rPr>
        <w:t>None</w:t>
      </w:r>
      <w:r>
        <w:rPr>
          <w:rFonts w:ascii="Times New Roman" w:hAnsi="Times New Roman"/>
        </w:rPr>
        <w:t xml:space="preserve">. </w:t>
      </w:r>
    </w:p>
    <w:p w:rsidR="00731A90" w:rsidRDefault="00731A90">
      <w:pPr>
        <w:rPr>
          <w:rFonts w:ascii="Times New Roman" w:hAnsi="Times New Roman"/>
        </w:rPr>
      </w:pPr>
    </w:p>
    <w:p w:rsidR="00731A90" w:rsidP="00FC1474" w:rsidRDefault="00731A90">
      <w:pPr>
        <w:rPr>
          <w:rFonts w:ascii="Times New Roman" w:hAnsi="Times New Roman"/>
          <w:bCs/>
          <w:szCs w:val="24"/>
          <w:u w:val="single"/>
        </w:rPr>
      </w:pPr>
      <w:r>
        <w:rPr>
          <w:rFonts w:ascii="Times New Roman" w:hAnsi="Times New Roman"/>
        </w:rPr>
        <w:t>14.</w:t>
      </w:r>
      <w:r>
        <w:rPr>
          <w:rFonts w:ascii="Times New Roman" w:hAnsi="Times New Roman"/>
        </w:rPr>
        <w:tab/>
      </w:r>
      <w:r w:rsidRPr="009E60FB" w:rsidR="009F4532">
        <w:rPr>
          <w:rFonts w:ascii="Times New Roman" w:hAnsi="Times New Roman"/>
          <w:bCs/>
          <w:szCs w:val="24"/>
          <w:u w:val="single"/>
        </w:rPr>
        <w:t>Estimate of annualized costs to the government:</w:t>
      </w:r>
    </w:p>
    <w:p w:rsidR="009F4532" w:rsidP="009F4532" w:rsidRDefault="009F4532">
      <w:pPr>
        <w:ind w:firstLine="720"/>
        <w:rPr>
          <w:rFonts w:ascii="Times New Roman" w:hAnsi="Times New Roman"/>
        </w:rPr>
      </w:pPr>
    </w:p>
    <w:p w:rsidR="007E3A41" w:rsidP="0037682F" w:rsidRDefault="007E3A41">
      <w:pPr>
        <w:ind w:left="720"/>
        <w:rPr>
          <w:rFonts w:ascii="Times New Roman" w:hAnsi="Times New Roman"/>
        </w:rPr>
      </w:pPr>
      <w:r w:rsidRPr="0037682F">
        <w:rPr>
          <w:rFonts w:ascii="Times New Roman" w:hAnsi="Times New Roman" w:eastAsia="Calibri"/>
          <w:snapToGrid/>
          <w:szCs w:val="24"/>
        </w:rPr>
        <w:t>None</w:t>
      </w:r>
      <w:r w:rsidR="0077603D">
        <w:rPr>
          <w:rFonts w:ascii="Times New Roman" w:hAnsi="Times New Roman"/>
        </w:rPr>
        <w:t>.</w:t>
      </w:r>
    </w:p>
    <w:p w:rsidR="007E3A41" w:rsidRDefault="007E3A41">
      <w:pPr>
        <w:ind w:firstLine="720"/>
        <w:rPr>
          <w:rFonts w:ascii="Times New Roman" w:hAnsi="Times New Roman"/>
        </w:rPr>
      </w:pPr>
    </w:p>
    <w:p w:rsidRPr="001F2A5D" w:rsidR="009F4532" w:rsidP="00FC1474" w:rsidRDefault="00731A90">
      <w:pPr>
        <w:outlineLvl w:val="0"/>
        <w:rPr>
          <w:rFonts w:ascii="Times New Roman" w:hAnsi="Times New Roman"/>
          <w:szCs w:val="24"/>
        </w:rPr>
      </w:pPr>
      <w:r>
        <w:rPr>
          <w:rFonts w:ascii="Times New Roman" w:hAnsi="Times New Roman"/>
        </w:rPr>
        <w:t>15.</w:t>
      </w:r>
      <w:r>
        <w:rPr>
          <w:rFonts w:ascii="Times New Roman" w:hAnsi="Times New Roman"/>
        </w:rPr>
        <w:tab/>
      </w:r>
      <w:r w:rsidRPr="009E60FB" w:rsidR="009F4532">
        <w:rPr>
          <w:rFonts w:ascii="Times New Roman" w:hAnsi="Times New Roman"/>
          <w:szCs w:val="24"/>
          <w:u w:val="single"/>
        </w:rPr>
        <w:t>Analysis of change in burden:</w:t>
      </w:r>
    </w:p>
    <w:p w:rsidR="00731A90" w:rsidRDefault="00731A90">
      <w:pPr>
        <w:ind w:firstLine="720"/>
        <w:rPr>
          <w:rFonts w:ascii="Times New Roman" w:hAnsi="Times New Roman"/>
        </w:rPr>
      </w:pPr>
    </w:p>
    <w:p w:rsidR="0077603D" w:rsidP="0037682F" w:rsidRDefault="00FC1474">
      <w:pPr>
        <w:ind w:left="720"/>
        <w:rPr>
          <w:rFonts w:ascii="Times New Roman" w:hAnsi="Times New Roman"/>
          <w:snapToGrid/>
          <w:szCs w:val="24"/>
        </w:rPr>
      </w:pPr>
      <w:r w:rsidRPr="0037682F">
        <w:rPr>
          <w:rFonts w:ascii="Times New Roman" w:hAnsi="Times New Roman" w:eastAsia="Calibri"/>
          <w:snapToGrid/>
          <w:szCs w:val="24"/>
        </w:rPr>
        <w:t>This</w:t>
      </w:r>
      <w:r w:rsidRPr="0037682F">
        <w:rPr>
          <w:rFonts w:ascii="Times New Roman" w:hAnsi="Times New Roman"/>
          <w:snapToGrid/>
          <w:szCs w:val="24"/>
        </w:rPr>
        <w:t xml:space="preserve"> </w:t>
      </w:r>
      <w:r w:rsidRPr="0037682F">
        <w:rPr>
          <w:rFonts w:ascii="Times New Roman" w:hAnsi="Times New Roman" w:eastAsia="Calibri"/>
          <w:snapToGrid/>
          <w:szCs w:val="24"/>
        </w:rPr>
        <w:t>is</w:t>
      </w:r>
      <w:r w:rsidRPr="0037682F">
        <w:rPr>
          <w:rFonts w:ascii="Times New Roman" w:hAnsi="Times New Roman"/>
          <w:snapToGrid/>
          <w:szCs w:val="24"/>
        </w:rPr>
        <w:t xml:space="preserve"> a new information collection.</w:t>
      </w:r>
      <w:bookmarkStart w:name="_GoBack" w:id="1"/>
      <w:bookmarkEnd w:id="1"/>
    </w:p>
    <w:p w:rsidRPr="0037682F" w:rsidR="00EA6F93" w:rsidP="0037682F" w:rsidRDefault="00EA6F93">
      <w:pPr>
        <w:ind w:left="720"/>
        <w:rPr>
          <w:rFonts w:ascii="Times New Roman" w:hAnsi="Times New Roman"/>
          <w:snapToGrid/>
          <w:szCs w:val="24"/>
        </w:rPr>
      </w:pPr>
    </w:p>
    <w:p w:rsidR="00731A90" w:rsidRDefault="00731A90">
      <w:pPr>
        <w:rPr>
          <w:rFonts w:ascii="Times New Roman" w:hAnsi="Times New Roman"/>
        </w:rPr>
      </w:pPr>
    </w:p>
    <w:p w:rsidRPr="001F2A5D" w:rsidR="009F4532" w:rsidP="00FC1474" w:rsidRDefault="00731A90">
      <w:pPr>
        <w:ind w:left="720" w:hanging="720"/>
        <w:outlineLvl w:val="0"/>
        <w:rPr>
          <w:rFonts w:ascii="Times New Roman" w:hAnsi="Times New Roman"/>
          <w:szCs w:val="24"/>
        </w:rPr>
      </w:pPr>
      <w:r>
        <w:rPr>
          <w:rFonts w:ascii="Times New Roman" w:hAnsi="Times New Roman"/>
        </w:rPr>
        <w:t>16.</w:t>
      </w:r>
      <w:r>
        <w:rPr>
          <w:rFonts w:ascii="Times New Roman" w:hAnsi="Times New Roman"/>
        </w:rPr>
        <w:tab/>
      </w:r>
      <w:r w:rsidRPr="00E47BDF" w:rsidR="009F4532">
        <w:rPr>
          <w:rFonts w:ascii="Times New Roman" w:hAnsi="Times New Roman"/>
          <w:szCs w:val="24"/>
          <w:u w:val="single"/>
        </w:rPr>
        <w:t>Information regarding collections whose results</w:t>
      </w:r>
      <w:r w:rsidRPr="006A7DD6" w:rsidR="009F4532">
        <w:rPr>
          <w:rFonts w:ascii="Times New Roman" w:hAnsi="Times New Roman"/>
          <w:szCs w:val="24"/>
          <w:u w:val="single"/>
        </w:rPr>
        <w:t xml:space="preserve"> are planned to be published for statistical use:</w:t>
      </w:r>
    </w:p>
    <w:p w:rsidR="00731A90" w:rsidRDefault="00731A90">
      <w:pPr>
        <w:rPr>
          <w:rFonts w:ascii="Times New Roman" w:hAnsi="Times New Roman"/>
        </w:rPr>
      </w:pPr>
    </w:p>
    <w:p w:rsidR="00731A90" w:rsidP="0037682F" w:rsidRDefault="00731A90">
      <w:pPr>
        <w:ind w:left="720"/>
        <w:rPr>
          <w:rFonts w:ascii="Times New Roman" w:hAnsi="Times New Roman"/>
        </w:rPr>
      </w:pPr>
      <w:r>
        <w:rPr>
          <w:rFonts w:ascii="Times New Roman" w:hAnsi="Times New Roman"/>
        </w:rPr>
        <w:t xml:space="preserve">No </w:t>
      </w:r>
      <w:r w:rsidRPr="0037682F">
        <w:rPr>
          <w:rFonts w:ascii="Times New Roman" w:hAnsi="Times New Roman" w:eastAsia="Calibri"/>
          <w:snapToGrid/>
          <w:szCs w:val="24"/>
        </w:rPr>
        <w:t>publication</w:t>
      </w:r>
      <w:r>
        <w:rPr>
          <w:rFonts w:ascii="Times New Roman" w:hAnsi="Times New Roman"/>
        </w:rPr>
        <w:t xml:space="preserve"> will be made of this information.</w:t>
      </w:r>
    </w:p>
    <w:p w:rsidR="00731A90" w:rsidRDefault="00731A90">
      <w:pPr>
        <w:rPr>
          <w:rFonts w:ascii="Times New Roman" w:hAnsi="Times New Roman"/>
        </w:rPr>
      </w:pPr>
    </w:p>
    <w:p w:rsidR="00731A90" w:rsidP="00FC1474" w:rsidRDefault="00731A90">
      <w:pPr>
        <w:rPr>
          <w:rFonts w:ascii="Times New Roman" w:hAnsi="Times New Roman"/>
        </w:rPr>
      </w:pPr>
      <w:r>
        <w:rPr>
          <w:rFonts w:ascii="Times New Roman" w:hAnsi="Times New Roman"/>
        </w:rPr>
        <w:t>17.</w:t>
      </w:r>
      <w:r>
        <w:rPr>
          <w:rFonts w:ascii="Times New Roman" w:hAnsi="Times New Roman"/>
        </w:rPr>
        <w:tab/>
      </w:r>
      <w:r w:rsidRPr="009E60FB" w:rsidR="009F4532">
        <w:rPr>
          <w:rFonts w:ascii="Times New Roman" w:hAnsi="Times New Roman"/>
          <w:szCs w:val="24"/>
          <w:u w:val="single"/>
        </w:rPr>
        <w:t>Display of expiration date</w:t>
      </w:r>
      <w:r w:rsidR="009F4532">
        <w:rPr>
          <w:rFonts w:ascii="Times New Roman" w:hAnsi="Times New Roman"/>
          <w:szCs w:val="24"/>
          <w:u w:val="single"/>
        </w:rPr>
        <w:t>:</w:t>
      </w:r>
    </w:p>
    <w:p w:rsidR="00731A90" w:rsidRDefault="00731A90">
      <w:pPr>
        <w:rPr>
          <w:rFonts w:ascii="Times New Roman" w:hAnsi="Times New Roman"/>
        </w:rPr>
      </w:pPr>
    </w:p>
    <w:p w:rsidR="00731A90" w:rsidP="0037682F" w:rsidRDefault="00731A90">
      <w:pPr>
        <w:ind w:left="720"/>
        <w:rPr>
          <w:rFonts w:ascii="Times New Roman" w:hAnsi="Times New Roman"/>
        </w:rPr>
      </w:pPr>
      <w:r>
        <w:rPr>
          <w:rFonts w:ascii="Times New Roman" w:hAnsi="Times New Roman"/>
        </w:rPr>
        <w:t xml:space="preserve">Not </w:t>
      </w:r>
      <w:r w:rsidRPr="0037682F">
        <w:rPr>
          <w:rFonts w:ascii="Times New Roman" w:hAnsi="Times New Roman" w:eastAsia="Calibri"/>
          <w:snapToGrid/>
          <w:szCs w:val="24"/>
        </w:rPr>
        <w:t>applicable</w:t>
      </w:r>
      <w:r>
        <w:rPr>
          <w:rFonts w:ascii="Times New Roman" w:hAnsi="Times New Roman"/>
        </w:rPr>
        <w:t>.</w:t>
      </w:r>
    </w:p>
    <w:p w:rsidR="00731A90" w:rsidRDefault="00731A90">
      <w:pPr>
        <w:rPr>
          <w:rFonts w:ascii="Times New Roman" w:hAnsi="Times New Roman"/>
        </w:rPr>
      </w:pPr>
    </w:p>
    <w:p w:rsidR="00731A90" w:rsidP="00FC1474" w:rsidRDefault="00731A90">
      <w:pPr>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Certification</w:t>
      </w:r>
      <w:r>
        <w:rPr>
          <w:rFonts w:ascii="Times New Roman" w:hAnsi="Times New Roman"/>
        </w:rPr>
        <w:t xml:space="preserve">  </w:t>
      </w:r>
    </w:p>
    <w:p w:rsidR="00731A90" w:rsidRDefault="00731A90">
      <w:pPr>
        <w:rPr>
          <w:rFonts w:ascii="Times New Roman" w:hAnsi="Times New Roman"/>
        </w:rPr>
      </w:pPr>
    </w:p>
    <w:p w:rsidR="00731A90" w:rsidP="0037682F" w:rsidRDefault="00731A90">
      <w:pPr>
        <w:ind w:left="720"/>
        <w:rPr>
          <w:rFonts w:ascii="Times New Roman" w:hAnsi="Times New Roman"/>
        </w:rPr>
      </w:pPr>
      <w:r w:rsidRPr="0037682F">
        <w:rPr>
          <w:rFonts w:ascii="Times New Roman" w:hAnsi="Times New Roman" w:eastAsia="Calibri"/>
          <w:snapToGrid/>
          <w:szCs w:val="24"/>
        </w:rPr>
        <w:t>None</w:t>
      </w:r>
      <w:r>
        <w:rPr>
          <w:rFonts w:ascii="Times New Roman" w:hAnsi="Times New Roman"/>
        </w:rPr>
        <w:t>.</w:t>
      </w:r>
    </w:p>
    <w:p w:rsidR="00731A90" w:rsidRDefault="00731A90">
      <w:pPr>
        <w:rPr>
          <w:rFonts w:ascii="Times New Roman" w:hAnsi="Times New Roman"/>
        </w:rPr>
      </w:pPr>
    </w:p>
    <w:p w:rsidR="00731A90" w:rsidRDefault="009F4532">
      <w:pPr>
        <w:numPr>
          <w:ilvl w:val="0"/>
          <w:numId w:val="3"/>
        </w:numPr>
        <w:rPr>
          <w:rFonts w:ascii="Times New Roman" w:hAnsi="Times New Roman"/>
          <w:u w:val="single"/>
        </w:rPr>
      </w:pPr>
      <w:r w:rsidRPr="001F2A5D">
        <w:rPr>
          <w:rFonts w:ascii="Times New Roman" w:hAnsi="Times New Roman"/>
          <w:szCs w:val="24"/>
          <w:u w:val="single"/>
        </w:rPr>
        <w:t>Collection of Information Employing Statistical Methods</w:t>
      </w:r>
      <w:r>
        <w:rPr>
          <w:rFonts w:ascii="Times New Roman" w:hAnsi="Times New Roman"/>
          <w:u w:val="single"/>
        </w:rPr>
        <w:t xml:space="preserve"> </w:t>
      </w:r>
    </w:p>
    <w:p w:rsidR="00731A90" w:rsidRDefault="00731A90">
      <w:pPr>
        <w:rPr>
          <w:rFonts w:ascii="Times New Roman" w:hAnsi="Times New Roman"/>
          <w:u w:val="single"/>
        </w:rPr>
      </w:pPr>
    </w:p>
    <w:p w:rsidR="00731A90" w:rsidP="0037682F" w:rsidRDefault="00731A90">
      <w:pPr>
        <w:ind w:left="720"/>
        <w:rPr>
          <w:rFonts w:ascii="Times New Roman" w:hAnsi="Times New Roman"/>
        </w:rPr>
      </w:pPr>
      <w:r w:rsidRPr="0037682F">
        <w:rPr>
          <w:rFonts w:ascii="Times New Roman" w:hAnsi="Times New Roman" w:eastAsia="Calibri"/>
          <w:snapToGrid/>
          <w:szCs w:val="24"/>
        </w:rPr>
        <w:t>Not</w:t>
      </w:r>
      <w:r>
        <w:rPr>
          <w:rFonts w:ascii="Times New Roman" w:hAnsi="Times New Roman"/>
        </w:rPr>
        <w:t xml:space="preserve"> Applicable</w:t>
      </w:r>
      <w:r w:rsidR="00DB04B6">
        <w:rPr>
          <w:rFonts w:ascii="Times New Roman" w:hAnsi="Times New Roman"/>
        </w:rPr>
        <w:t>.</w:t>
      </w:r>
    </w:p>
    <w:p w:rsidR="00731A90" w:rsidRDefault="00731A90">
      <w:pPr>
        <w:rPr>
          <w:rFonts w:ascii="Times New Roman" w:hAnsi="Times New Roman"/>
        </w:rPr>
      </w:pPr>
    </w:p>
    <w:p w:rsidR="00731A90" w:rsidRDefault="00731A90">
      <w:pPr>
        <w:rPr>
          <w:rFonts w:ascii="Times New Roman" w:hAnsi="Times New Roman"/>
        </w:rPr>
      </w:pPr>
    </w:p>
    <w:p w:rsidR="00731A90" w:rsidRDefault="00731A90">
      <w:pPr>
        <w:rPr>
          <w:rFonts w:ascii="Times New Roman" w:hAnsi="Times New Roman"/>
        </w:rPr>
      </w:pPr>
    </w:p>
    <w:p w:rsidR="00731A90" w:rsidRDefault="00731A90"/>
    <w:sectPr w:rsidR="00731A90" w:rsidSect="0023731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080" w:right="1440" w:bottom="1080" w:left="1440" w:header="43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4F3" w:rsidRDefault="003D44F3">
      <w:r>
        <w:separator/>
      </w:r>
    </w:p>
  </w:endnote>
  <w:endnote w:type="continuationSeparator" w:id="0">
    <w:p w:rsidR="003D44F3" w:rsidRDefault="003D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TUR">
    <w:altName w:val="Times New Roman"/>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86D" w:rsidRDefault="003C3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33" w:rsidRDefault="00782F33">
    <w:pPr>
      <w:spacing w:line="240" w:lineRule="exact"/>
    </w:pPr>
  </w:p>
  <w:p w:rsidR="00782F33" w:rsidRDefault="00782F33">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4735F6">
      <w:rPr>
        <w:rFonts w:ascii="Times New Roman" w:hAnsi="Times New Roman"/>
        <w:noProof/>
      </w:rPr>
      <w:t>6</w:t>
    </w:r>
    <w:r>
      <w:rPr>
        <w:rFonts w:ascii="Times New Roman" w:hAnsi="Times New Roman"/>
      </w:rPr>
      <w:fldChar w:fldCharType="end"/>
    </w:r>
  </w:p>
  <w:p w:rsidR="00782F33" w:rsidRDefault="00782F3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86D" w:rsidRDefault="003C3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4F3" w:rsidRDefault="003D44F3">
      <w:r>
        <w:separator/>
      </w:r>
    </w:p>
  </w:footnote>
  <w:footnote w:type="continuationSeparator" w:id="0">
    <w:p w:rsidR="003D44F3" w:rsidRDefault="003D44F3">
      <w:r>
        <w:continuationSeparator/>
      </w:r>
    </w:p>
  </w:footnote>
  <w:footnote w:id="1">
    <w:p w:rsidR="001A5909" w:rsidRDefault="001A5909" w:rsidP="001A5909">
      <w:pPr>
        <w:pStyle w:val="FootnoteText"/>
      </w:pPr>
      <w:r w:rsidRPr="005B25CA">
        <w:rPr>
          <w:rStyle w:val="FootnoteReference"/>
          <w:vertAlign w:val="superscript"/>
        </w:rPr>
        <w:footnoteRef/>
      </w:r>
      <w:r w:rsidRPr="005B25CA">
        <w:rPr>
          <w:vertAlign w:val="superscript"/>
        </w:rPr>
        <w:t xml:space="preserve"> </w:t>
      </w:r>
      <w:r>
        <w:t>A consolidated group refers to an institution, its parent, and any affiliates of the institution that join in the filing of a tax return as a single consolidated, combined, or unitary group.</w:t>
      </w:r>
    </w:p>
  </w:footnote>
  <w:footnote w:id="2">
    <w:p w:rsidR="001A5909" w:rsidRDefault="001A5909" w:rsidP="001A5909">
      <w:pPr>
        <w:pStyle w:val="FootnoteText"/>
      </w:pPr>
      <w:r w:rsidRPr="005B25CA">
        <w:rPr>
          <w:rStyle w:val="FootnoteReference"/>
          <w:vertAlign w:val="superscript"/>
        </w:rPr>
        <w:footnoteRef/>
      </w:r>
      <w:r w:rsidRPr="005B25CA">
        <w:rPr>
          <w:rStyle w:val="FootnoteReference"/>
          <w:vertAlign w:val="superscript"/>
        </w:rPr>
        <w:t xml:space="preserve"> </w:t>
      </w:r>
      <w:r>
        <w:t>12 U.S.C. 1831p-1.</w:t>
      </w:r>
    </w:p>
  </w:footnote>
  <w:footnote w:id="3">
    <w:p w:rsidR="00D9184D" w:rsidRDefault="00D9184D">
      <w:pPr>
        <w:pStyle w:val="FootnoteText"/>
      </w:pPr>
      <w:r w:rsidRPr="00D9184D">
        <w:rPr>
          <w:rStyle w:val="FootnoteReference"/>
          <w:vertAlign w:val="superscript"/>
        </w:rPr>
        <w:footnoteRef/>
      </w:r>
      <w:r>
        <w:t xml:space="preserve"> </w:t>
      </w:r>
      <w:r w:rsidRPr="005D1111">
        <w:t xml:space="preserve">12 U.S.C. 371c.  Section 23A requires, among other things, that loans and other extensions of credit from an </w:t>
      </w:r>
      <w:r>
        <w:t xml:space="preserve">insured depository institution </w:t>
      </w:r>
      <w:r w:rsidRPr="005D1111">
        <w:t xml:space="preserve">to its affiliate be collateralized </w:t>
      </w:r>
      <w:r>
        <w:t xml:space="preserve">properly by a specified amount </w:t>
      </w:r>
      <w:r w:rsidRPr="005D1111">
        <w:t xml:space="preserve">and subject to certain quantitative limits.  </w:t>
      </w:r>
      <w:r>
        <w:t>Issues concerning compliance with s</w:t>
      </w:r>
      <w:r w:rsidRPr="005D1111">
        <w:t>ection 23A could arise from instances where</w:t>
      </w:r>
      <w:r>
        <w:t>by</w:t>
      </w:r>
      <w:r w:rsidRPr="005D1111">
        <w:t xml:space="preserve"> a tax allocation agreement does not (i) acknowledge that </w:t>
      </w:r>
      <w:r>
        <w:t xml:space="preserve">a </w:t>
      </w:r>
      <w:r w:rsidRPr="005D1111">
        <w:t>holding compan</w:t>
      </w:r>
      <w:r>
        <w:t>y</w:t>
      </w:r>
      <w:r w:rsidRPr="005D1111">
        <w:t xml:space="preserve"> in a consolidated group serve</w:t>
      </w:r>
      <w:r>
        <w:t>s</w:t>
      </w:r>
      <w:r w:rsidRPr="005D1111">
        <w:t xml:space="preserve"> as agent for </w:t>
      </w:r>
      <w:r>
        <w:t xml:space="preserve">its </w:t>
      </w:r>
      <w:r w:rsidRPr="005D1111">
        <w:t xml:space="preserve">subsidiary </w:t>
      </w:r>
      <w:r w:rsidRPr="00B811F5">
        <w:t xml:space="preserve">insured depository </w:t>
      </w:r>
      <w:r>
        <w:t xml:space="preserve">institution </w:t>
      </w:r>
      <w:r w:rsidRPr="005D1111">
        <w:t xml:space="preserve">with respect to tax refunds </w:t>
      </w:r>
      <w:r>
        <w:t>genera</w:t>
      </w:r>
      <w:r w:rsidRPr="005D1111">
        <w:t xml:space="preserve">ted by the subsidiary </w:t>
      </w:r>
      <w:r w:rsidRPr="00B811F5">
        <w:t xml:space="preserve">insured depository </w:t>
      </w:r>
      <w:r>
        <w:t>institution</w:t>
      </w:r>
      <w:r w:rsidRPr="005D1111">
        <w:t xml:space="preserve">, or (ii) require </w:t>
      </w:r>
      <w:r>
        <w:t xml:space="preserve">a </w:t>
      </w:r>
      <w:r w:rsidRPr="005D1111">
        <w:t>holding compan</w:t>
      </w:r>
      <w:r>
        <w:t>y</w:t>
      </w:r>
      <w:r w:rsidRPr="005D1111">
        <w:t xml:space="preserve"> in a consolidated group to transmit promptly the appropriate portion of a consolidated group’s tax refund to the subsidiary </w:t>
      </w:r>
      <w:r w:rsidRPr="00B811F5">
        <w:t xml:space="preserve">insured depository </w:t>
      </w:r>
      <w:r>
        <w:t>institution</w:t>
      </w:r>
      <w:r w:rsidRPr="005D1111">
        <w:t xml:space="preserve">. </w:t>
      </w:r>
      <w:r>
        <w:t xml:space="preserve"> </w:t>
      </w:r>
      <w:r w:rsidRPr="005D1111">
        <w:t xml:space="preserve">In such circumstances, the failure of </w:t>
      </w:r>
      <w:r>
        <w:t xml:space="preserve">a </w:t>
      </w:r>
      <w:r w:rsidRPr="005D1111">
        <w:t>holding compan</w:t>
      </w:r>
      <w:r>
        <w:t>y</w:t>
      </w:r>
      <w:r w:rsidRPr="005D1111">
        <w:t xml:space="preserve"> to acknowledge an agency relationship with respect to tax refunds or </w:t>
      </w:r>
      <w:r>
        <w:t xml:space="preserve">to pay promptly </w:t>
      </w:r>
      <w:r w:rsidRPr="005D1111">
        <w:t xml:space="preserve">the subsidiary </w:t>
      </w:r>
      <w:r w:rsidRPr="00B811F5">
        <w:t>insured depository</w:t>
      </w:r>
      <w:r>
        <w:t xml:space="preserve"> institution its appropriate portion of </w:t>
      </w:r>
      <w:r w:rsidRPr="005D1111">
        <w:t xml:space="preserve">tax refunds </w:t>
      </w:r>
      <w:r>
        <w:t>c</w:t>
      </w:r>
      <w:r w:rsidRPr="005D1111">
        <w:t xml:space="preserve">ould </w:t>
      </w:r>
      <w:r>
        <w:t xml:space="preserve">result in </w:t>
      </w:r>
      <w:r w:rsidRPr="005D1111">
        <w:t xml:space="preserve">an extension of credit from the </w:t>
      </w:r>
      <w:r w:rsidRPr="00B811F5">
        <w:t xml:space="preserve">insured depository </w:t>
      </w:r>
      <w:r>
        <w:t xml:space="preserve">institution </w:t>
      </w:r>
      <w:r w:rsidRPr="005D1111">
        <w:t xml:space="preserve">to </w:t>
      </w:r>
      <w:r>
        <w:t xml:space="preserve">its </w:t>
      </w:r>
      <w:r w:rsidRPr="005D1111">
        <w:t>affiliated holding compan</w:t>
      </w:r>
      <w:r>
        <w:t>y</w:t>
      </w:r>
      <w:r w:rsidRPr="005D1111">
        <w:t xml:space="preserve"> in the consolidated group</w:t>
      </w:r>
      <w:r>
        <w:t xml:space="preserve"> that would be </w:t>
      </w:r>
      <w:r w:rsidRPr="005D1111">
        <w:t>subject to the requirements of section 23A.</w:t>
      </w:r>
    </w:p>
  </w:footnote>
  <w:footnote w:id="4">
    <w:p w:rsidR="005B25CA" w:rsidRDefault="005B25CA">
      <w:pPr>
        <w:pStyle w:val="FootnoteText"/>
      </w:pPr>
      <w:r w:rsidRPr="005B25CA">
        <w:rPr>
          <w:rStyle w:val="FootnoteReference"/>
          <w:vertAlign w:val="superscript"/>
        </w:rPr>
        <w:footnoteRef/>
      </w:r>
      <w:r w:rsidRPr="005B25CA">
        <w:rPr>
          <w:vertAlign w:val="superscript"/>
        </w:rPr>
        <w:t xml:space="preserve"> </w:t>
      </w:r>
      <w:r>
        <w:t>12 U.S.C. 371c-1.</w:t>
      </w:r>
    </w:p>
  </w:footnote>
  <w:footnote w:id="5">
    <w:p w:rsidR="006E6A2D" w:rsidRPr="002848C2" w:rsidRDefault="006E6A2D" w:rsidP="006E6A2D">
      <w:pPr>
        <w:pStyle w:val="FootnoteText"/>
        <w:rPr>
          <w:i/>
          <w:iCs/>
        </w:rPr>
      </w:pPr>
      <w:r w:rsidRPr="006E6A2D">
        <w:rPr>
          <w:rStyle w:val="FootnoteReference"/>
          <w:vertAlign w:val="superscript"/>
        </w:rPr>
        <w:footnoteRef/>
      </w:r>
      <w:r>
        <w:t xml:space="preserve"> </w:t>
      </w:r>
      <w:r>
        <w:rPr>
          <w:i/>
          <w:iCs/>
        </w:rPr>
        <w:t xml:space="preserve">See, e.g., </w:t>
      </w:r>
      <w:r w:rsidRPr="009E4A24">
        <w:t>I</w:t>
      </w:r>
      <w:r>
        <w:t xml:space="preserve">nternal </w:t>
      </w:r>
      <w:r w:rsidRPr="009E4A24">
        <w:t>R</w:t>
      </w:r>
      <w:r>
        <w:t xml:space="preserve">evenue </w:t>
      </w:r>
      <w:r w:rsidRPr="009E4A24">
        <w:t>M</w:t>
      </w:r>
      <w:r>
        <w:t>anual</w:t>
      </w:r>
      <w:r w:rsidRPr="00AC7D97">
        <w:t xml:space="preserve"> </w:t>
      </w:r>
      <w:r w:rsidRPr="00AC7D97">
        <w:rPr>
          <w:bCs/>
          <w:color w:val="1B1B1B"/>
        </w:rPr>
        <w:t>11.3.2.4.4 (</w:t>
      </w:r>
      <w:r>
        <w:rPr>
          <w:bCs/>
          <w:color w:val="1B1B1B"/>
        </w:rPr>
        <w:t>09-17-2020</w:t>
      </w:r>
      <w:r w:rsidRPr="00AC7D97">
        <w:rPr>
          <w:bCs/>
          <w:color w:val="1B1B1B"/>
        </w:rPr>
        <w:t>)</w:t>
      </w:r>
      <w:r>
        <w:rPr>
          <w:bCs/>
          <w:color w:val="1B1B1B"/>
        </w:rPr>
        <w:t>.</w:t>
      </w:r>
    </w:p>
  </w:footnote>
  <w:footnote w:id="6">
    <w:p w:rsidR="006E6A2D" w:rsidRPr="0046454E" w:rsidRDefault="006E6A2D" w:rsidP="006E6A2D">
      <w:pPr>
        <w:pStyle w:val="FootnoteText"/>
      </w:pPr>
      <w:r w:rsidRPr="006E6A2D">
        <w:rPr>
          <w:rStyle w:val="FootnoteReference"/>
          <w:vertAlign w:val="superscript"/>
        </w:rPr>
        <w:footnoteRef/>
      </w:r>
      <w:r>
        <w:t xml:space="preserve"> </w:t>
      </w:r>
      <w:r>
        <w:rPr>
          <w:i/>
          <w:iCs/>
        </w:rPr>
        <w:t xml:space="preserve">See </w:t>
      </w:r>
      <w:r>
        <w:t>26 U.S.C. 6103(e).</w:t>
      </w:r>
    </w:p>
  </w:footnote>
  <w:footnote w:id="7">
    <w:p w:rsidR="0032765D" w:rsidRDefault="0032765D" w:rsidP="0032765D">
      <w:pPr>
        <w:pStyle w:val="FootnoteText"/>
      </w:pPr>
      <w:r>
        <w:rPr>
          <w:rStyle w:val="FootnoteReference"/>
        </w:rPr>
        <w:footnoteRef/>
      </w:r>
      <w:r>
        <w:t xml:space="preserve"> </w:t>
      </w:r>
      <w:r w:rsidRPr="00BC3FC0">
        <w:t>Occupation (SOC Code): Management Occupations (110000)</w:t>
      </w:r>
    </w:p>
  </w:footnote>
  <w:footnote w:id="8">
    <w:p w:rsidR="0032765D" w:rsidRDefault="0032765D" w:rsidP="0032765D">
      <w:pPr>
        <w:pStyle w:val="FootnoteText"/>
      </w:pPr>
      <w:r>
        <w:rPr>
          <w:rStyle w:val="FootnoteReference"/>
        </w:rPr>
        <w:footnoteRef/>
      </w:r>
      <w:r>
        <w:t xml:space="preserve"> </w:t>
      </w:r>
      <w:r w:rsidRPr="00BC3FC0">
        <w:t>Occupation (SOC Code):</w:t>
      </w:r>
      <w:r>
        <w:t xml:space="preserve"> </w:t>
      </w:r>
      <w:r w:rsidRPr="00A624E4">
        <w:t>Business and Financial Operations Occupations (130000)</w:t>
      </w:r>
    </w:p>
  </w:footnote>
  <w:footnote w:id="9">
    <w:p w:rsidR="0032765D" w:rsidRDefault="0032765D" w:rsidP="0032765D">
      <w:pPr>
        <w:pStyle w:val="FootnoteText"/>
      </w:pPr>
      <w:r>
        <w:rPr>
          <w:rStyle w:val="FootnoteReference"/>
        </w:rPr>
        <w:footnoteRef/>
      </w:r>
      <w:r>
        <w:t xml:space="preserve"> </w:t>
      </w:r>
      <w:r w:rsidRPr="00BC3FC0">
        <w:t>Occupation (SOC Code):</w:t>
      </w:r>
      <w:r>
        <w:t xml:space="preserve"> Legal</w:t>
      </w:r>
      <w:r w:rsidRPr="00A624E4">
        <w:t xml:space="preserve"> Occupations (</w:t>
      </w:r>
      <w:r>
        <w:t>2</w:t>
      </w:r>
      <w:r w:rsidRPr="00A624E4">
        <w:t>30000)</w:t>
      </w:r>
    </w:p>
  </w:footnote>
  <w:footnote w:id="10">
    <w:p w:rsidR="0032765D" w:rsidRDefault="0032765D" w:rsidP="0032765D">
      <w:pPr>
        <w:pStyle w:val="FootnoteText"/>
      </w:pPr>
      <w:r>
        <w:rPr>
          <w:rStyle w:val="FootnoteReference"/>
        </w:rPr>
        <w:footnoteRef/>
      </w:r>
      <w:r>
        <w:t xml:space="preserve"> </w:t>
      </w:r>
      <w:r w:rsidRPr="00BC3FC0">
        <w:t>Occupation (SOC Code): Office and Administrative Support Occupations</w:t>
      </w:r>
      <w:r>
        <w:t xml:space="preserve"> </w:t>
      </w:r>
      <w:r w:rsidRPr="00BC3FC0">
        <w:t>(430000)</w:t>
      </w:r>
    </w:p>
  </w:footnote>
  <w:footnote w:id="11">
    <w:p w:rsidR="0032765D" w:rsidRDefault="0032765D" w:rsidP="0032765D">
      <w:pPr>
        <w:pStyle w:val="FootnoteText"/>
      </w:pPr>
      <w:r>
        <w:rPr>
          <w:rStyle w:val="FootnoteReference"/>
        </w:rPr>
        <w:footnoteRef/>
      </w:r>
      <w:r>
        <w:t xml:space="preserve"> Estimate rounded to the nearest five, following discussions with staff on the interagency team.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86D" w:rsidRDefault="003C3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86D" w:rsidRDefault="003C38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86D" w:rsidRDefault="003C3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2" w15:restartNumberingAfterBreak="0">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3" w15:restartNumberingAfterBreak="0">
    <w:nsid w:val="27C30C12"/>
    <w:multiLevelType w:val="hybridMultilevel"/>
    <w:tmpl w:val="66821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D231EC"/>
    <w:multiLevelType w:val="hybridMultilevel"/>
    <w:tmpl w:val="38080B4A"/>
    <w:lvl w:ilvl="0" w:tplc="65583E4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abstractNum w:abstractNumId="7" w15:restartNumberingAfterBreak="0">
    <w:nsid w:val="5ABF20BD"/>
    <w:multiLevelType w:val="singleLevel"/>
    <w:tmpl w:val="6A5EFD16"/>
    <w:lvl w:ilvl="0">
      <w:start w:val="1"/>
      <w:numFmt w:val="decimal"/>
      <w:lvlText w:val="(%1)"/>
      <w:lvlJc w:val="left"/>
      <w:pPr>
        <w:tabs>
          <w:tab w:val="num" w:pos="360"/>
        </w:tabs>
        <w:ind w:left="360" w:hanging="360"/>
      </w:pPr>
      <w:rPr>
        <w:rFonts w:hint="default"/>
      </w:rPr>
    </w:lvl>
  </w:abstractNum>
  <w:abstractNum w:abstractNumId="8" w15:restartNumberingAfterBreak="0">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B4B3676"/>
    <w:multiLevelType w:val="hybridMultilevel"/>
    <w:tmpl w:val="0C6CEE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D2C5665"/>
    <w:multiLevelType w:val="hybridMultilevel"/>
    <w:tmpl w:val="823CA48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10"/>
  </w:num>
  <w:num w:numId="6">
    <w:abstractNumId w:val="8"/>
  </w:num>
  <w:num w:numId="7">
    <w:abstractNumId w:val="4"/>
  </w:num>
  <w:num w:numId="8">
    <w:abstractNumId w:val="5"/>
  </w:num>
  <w:num w:numId="9">
    <w:abstractNumId w:val="9"/>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A3"/>
    <w:rsid w:val="0001734D"/>
    <w:rsid w:val="0003174D"/>
    <w:rsid w:val="000712DC"/>
    <w:rsid w:val="000C5523"/>
    <w:rsid w:val="000D7176"/>
    <w:rsid w:val="000F3F68"/>
    <w:rsid w:val="0010010B"/>
    <w:rsid w:val="0010261C"/>
    <w:rsid w:val="0016736A"/>
    <w:rsid w:val="00173189"/>
    <w:rsid w:val="0018551F"/>
    <w:rsid w:val="00195400"/>
    <w:rsid w:val="001A10B6"/>
    <w:rsid w:val="001A5909"/>
    <w:rsid w:val="001C4726"/>
    <w:rsid w:val="001D433C"/>
    <w:rsid w:val="001D7BBE"/>
    <w:rsid w:val="001E004B"/>
    <w:rsid w:val="001E3175"/>
    <w:rsid w:val="0023731B"/>
    <w:rsid w:val="0024688B"/>
    <w:rsid w:val="002657D0"/>
    <w:rsid w:val="00284533"/>
    <w:rsid w:val="002847B4"/>
    <w:rsid w:val="0029442A"/>
    <w:rsid w:val="002D58BF"/>
    <w:rsid w:val="002E28C3"/>
    <w:rsid w:val="00324E6B"/>
    <w:rsid w:val="0032765D"/>
    <w:rsid w:val="0033296A"/>
    <w:rsid w:val="00370E35"/>
    <w:rsid w:val="0037682F"/>
    <w:rsid w:val="003B5197"/>
    <w:rsid w:val="003C37B8"/>
    <w:rsid w:val="003C386D"/>
    <w:rsid w:val="003D44F3"/>
    <w:rsid w:val="00401A8A"/>
    <w:rsid w:val="00414D83"/>
    <w:rsid w:val="0042786A"/>
    <w:rsid w:val="00462F60"/>
    <w:rsid w:val="00464A98"/>
    <w:rsid w:val="004735F6"/>
    <w:rsid w:val="00497E0B"/>
    <w:rsid w:val="004C4367"/>
    <w:rsid w:val="004D1876"/>
    <w:rsid w:val="004D6D84"/>
    <w:rsid w:val="004E7B81"/>
    <w:rsid w:val="00503AAC"/>
    <w:rsid w:val="00540CBF"/>
    <w:rsid w:val="00565D70"/>
    <w:rsid w:val="00574D7A"/>
    <w:rsid w:val="005B25CA"/>
    <w:rsid w:val="005D2FE1"/>
    <w:rsid w:val="005F15BB"/>
    <w:rsid w:val="00606638"/>
    <w:rsid w:val="0061500B"/>
    <w:rsid w:val="00622986"/>
    <w:rsid w:val="00652F4C"/>
    <w:rsid w:val="00673498"/>
    <w:rsid w:val="00692309"/>
    <w:rsid w:val="00696A8B"/>
    <w:rsid w:val="00697A37"/>
    <w:rsid w:val="006A13B2"/>
    <w:rsid w:val="006B4247"/>
    <w:rsid w:val="006D6B34"/>
    <w:rsid w:val="006E11B2"/>
    <w:rsid w:val="006E2977"/>
    <w:rsid w:val="006E6A2D"/>
    <w:rsid w:val="00712DCA"/>
    <w:rsid w:val="00714873"/>
    <w:rsid w:val="00723A34"/>
    <w:rsid w:val="00727480"/>
    <w:rsid w:val="00731A90"/>
    <w:rsid w:val="0077603D"/>
    <w:rsid w:val="00782F33"/>
    <w:rsid w:val="007844D0"/>
    <w:rsid w:val="00784EE8"/>
    <w:rsid w:val="007B274F"/>
    <w:rsid w:val="007C6837"/>
    <w:rsid w:val="007D1404"/>
    <w:rsid w:val="007E3A41"/>
    <w:rsid w:val="007F2127"/>
    <w:rsid w:val="00805511"/>
    <w:rsid w:val="00807C1A"/>
    <w:rsid w:val="00817925"/>
    <w:rsid w:val="00826890"/>
    <w:rsid w:val="0086426A"/>
    <w:rsid w:val="008731F0"/>
    <w:rsid w:val="00876F23"/>
    <w:rsid w:val="008846C0"/>
    <w:rsid w:val="008F53AC"/>
    <w:rsid w:val="00900A97"/>
    <w:rsid w:val="009065F7"/>
    <w:rsid w:val="00967A7E"/>
    <w:rsid w:val="009778B4"/>
    <w:rsid w:val="0099128A"/>
    <w:rsid w:val="00994D3E"/>
    <w:rsid w:val="009A6AB2"/>
    <w:rsid w:val="009B6429"/>
    <w:rsid w:val="009D2490"/>
    <w:rsid w:val="009E7B87"/>
    <w:rsid w:val="009F4532"/>
    <w:rsid w:val="00A63E49"/>
    <w:rsid w:val="00A700DA"/>
    <w:rsid w:val="00AA31FB"/>
    <w:rsid w:val="00AA35E1"/>
    <w:rsid w:val="00AC0651"/>
    <w:rsid w:val="00AD251A"/>
    <w:rsid w:val="00AD2B69"/>
    <w:rsid w:val="00AD4167"/>
    <w:rsid w:val="00B0375D"/>
    <w:rsid w:val="00B25DD3"/>
    <w:rsid w:val="00B26610"/>
    <w:rsid w:val="00B45163"/>
    <w:rsid w:val="00B46EDD"/>
    <w:rsid w:val="00B6692C"/>
    <w:rsid w:val="00B7058F"/>
    <w:rsid w:val="00B723D8"/>
    <w:rsid w:val="00B81846"/>
    <w:rsid w:val="00B92CD6"/>
    <w:rsid w:val="00BA29C4"/>
    <w:rsid w:val="00BB1C99"/>
    <w:rsid w:val="00BD18FD"/>
    <w:rsid w:val="00BF2DBF"/>
    <w:rsid w:val="00BF402A"/>
    <w:rsid w:val="00BF48CF"/>
    <w:rsid w:val="00C2633A"/>
    <w:rsid w:val="00C46EA0"/>
    <w:rsid w:val="00C51500"/>
    <w:rsid w:val="00C56B13"/>
    <w:rsid w:val="00C806D4"/>
    <w:rsid w:val="00C8488C"/>
    <w:rsid w:val="00C96990"/>
    <w:rsid w:val="00CF1995"/>
    <w:rsid w:val="00CF552E"/>
    <w:rsid w:val="00D00726"/>
    <w:rsid w:val="00D10113"/>
    <w:rsid w:val="00D34AFE"/>
    <w:rsid w:val="00D53288"/>
    <w:rsid w:val="00D664A3"/>
    <w:rsid w:val="00D807AF"/>
    <w:rsid w:val="00D83947"/>
    <w:rsid w:val="00D9184D"/>
    <w:rsid w:val="00DB04B6"/>
    <w:rsid w:val="00E255C2"/>
    <w:rsid w:val="00E26D96"/>
    <w:rsid w:val="00E34CD4"/>
    <w:rsid w:val="00E4387F"/>
    <w:rsid w:val="00E46DF8"/>
    <w:rsid w:val="00E5596D"/>
    <w:rsid w:val="00E62CBF"/>
    <w:rsid w:val="00E72F1F"/>
    <w:rsid w:val="00EA6F93"/>
    <w:rsid w:val="00F27809"/>
    <w:rsid w:val="00F601BE"/>
    <w:rsid w:val="00F80067"/>
    <w:rsid w:val="00F9008E"/>
    <w:rsid w:val="00F90C4D"/>
    <w:rsid w:val="00F9659A"/>
    <w:rsid w:val="00FC1474"/>
    <w:rsid w:val="00FC6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70951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Style 39,12"/>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Footnote Text Char Char Char,fn Char,Footnote Text Char Char Char Char Char Char Char Char Char Char Char Char Char Char Char Char Char Char,Footnote Text Char1 Char Char Char,Footnote Text Char Char Char Char Char"/>
    <w:basedOn w:val="Normal"/>
    <w:link w:val="FootnoteTextChar1"/>
    <w:uiPriority w:val="99"/>
    <w:rsid w:val="004D1876"/>
    <w:pPr>
      <w:widowControl/>
    </w:pPr>
    <w:rPr>
      <w:rFonts w:ascii="Times New Roman" w:hAnsi="Times New Roman"/>
      <w:snapToGrid/>
      <w:sz w:val="20"/>
    </w:rPr>
  </w:style>
  <w:style w:type="character" w:customStyle="1" w:styleId="FootnoteTextChar1">
    <w:name w:val="Footnote Text Char1"/>
    <w:aliases w:val="Footnote Text Char Char,Footnote Text Char Char Char Char,fn Char Char,Footnote Text Char Char Char Char Char Char Char Char Char Char Char Char Char Char Char Char Char Char Char,Footnote Text Char1 Char Char Char Char"/>
    <w:link w:val="FootnoteText"/>
    <w:semiHidden/>
    <w:locked/>
    <w:rsid w:val="004D1876"/>
    <w:rPr>
      <w:lang w:val="en-US" w:eastAsia="en-US" w:bidi="ar-SA"/>
    </w:rPr>
  </w:style>
  <w:style w:type="paragraph" w:styleId="NormalWeb">
    <w:name w:val="Normal (Web)"/>
    <w:basedOn w:val="Normal"/>
    <w:rsid w:val="004D1876"/>
    <w:pPr>
      <w:widowControl/>
      <w:spacing w:before="100" w:beforeAutospacing="1" w:after="100" w:afterAutospacing="1"/>
    </w:pPr>
    <w:rPr>
      <w:rFonts w:ascii="Times New Roman" w:hAnsi="Times New Roman"/>
      <w:snapToGrid/>
      <w:szCs w:val="24"/>
    </w:rPr>
  </w:style>
  <w:style w:type="paragraph" w:styleId="NoSpacing">
    <w:name w:val="No Spacing"/>
    <w:qFormat/>
    <w:rsid w:val="004D1876"/>
    <w:rPr>
      <w:rFonts w:ascii="Calibri" w:hAnsi="Calibri"/>
      <w:sz w:val="22"/>
      <w:szCs w:val="22"/>
    </w:rPr>
  </w:style>
  <w:style w:type="paragraph" w:styleId="ListParagraph">
    <w:name w:val="List Paragraph"/>
    <w:basedOn w:val="Normal"/>
    <w:qFormat/>
    <w:rsid w:val="004D1876"/>
    <w:pPr>
      <w:widowControl/>
      <w:ind w:left="720"/>
      <w:contextualSpacing/>
    </w:pPr>
    <w:rPr>
      <w:rFonts w:ascii="Times New Roman" w:hAnsi="Times New Roman"/>
      <w:snapToGrid/>
      <w:szCs w:val="22"/>
    </w:rPr>
  </w:style>
  <w:style w:type="paragraph" w:styleId="CommentText">
    <w:name w:val="annotation text"/>
    <w:basedOn w:val="Normal"/>
    <w:link w:val="CommentTextChar"/>
    <w:rsid w:val="005D2FE1"/>
    <w:pPr>
      <w:widowControl/>
    </w:pPr>
    <w:rPr>
      <w:rFonts w:ascii="Times New Roman" w:hAnsi="Times New Roman"/>
      <w:snapToGrid/>
      <w:sz w:val="20"/>
    </w:rPr>
  </w:style>
  <w:style w:type="character" w:styleId="CommentReference">
    <w:name w:val="annotation reference"/>
    <w:rsid w:val="005D2FE1"/>
    <w:rPr>
      <w:rFonts w:ascii="Times New Roman" w:hAnsi="Times New Roman" w:cs="Times New Roman"/>
      <w:sz w:val="16"/>
    </w:rPr>
  </w:style>
  <w:style w:type="character" w:customStyle="1" w:styleId="CommentTextChar">
    <w:name w:val="Comment Text Char"/>
    <w:link w:val="CommentText"/>
    <w:locked/>
    <w:rsid w:val="005D2FE1"/>
    <w:rPr>
      <w:lang w:val="en-US" w:eastAsia="en-US" w:bidi="ar-SA"/>
    </w:rPr>
  </w:style>
  <w:style w:type="character" w:customStyle="1" w:styleId="documentbody1">
    <w:name w:val="documentbody1"/>
    <w:rsid w:val="005D2FE1"/>
    <w:rPr>
      <w:rFonts w:ascii="Verdana" w:hAnsi="Verdana"/>
      <w:sz w:val="19"/>
    </w:rPr>
  </w:style>
  <w:style w:type="paragraph" w:styleId="CommentSubject">
    <w:name w:val="annotation subject"/>
    <w:basedOn w:val="CommentText"/>
    <w:next w:val="CommentText"/>
    <w:link w:val="CommentSubjectChar"/>
    <w:rsid w:val="00C46EA0"/>
    <w:pPr>
      <w:widowControl w:val="0"/>
    </w:pPr>
    <w:rPr>
      <w:rFonts w:ascii="Courier" w:hAnsi="Courier"/>
      <w:b/>
      <w:bCs/>
      <w:snapToGrid w:val="0"/>
    </w:rPr>
  </w:style>
  <w:style w:type="character" w:customStyle="1" w:styleId="CommentSubjectChar">
    <w:name w:val="Comment Subject Char"/>
    <w:link w:val="CommentSubject"/>
    <w:rsid w:val="00C46EA0"/>
    <w:rPr>
      <w:rFonts w:ascii="Courier" w:hAnsi="Courier"/>
      <w:b/>
      <w:bCs/>
      <w:snapToGrid w:val="0"/>
      <w:lang w:val="en-US" w:eastAsia="en-US" w:bidi="ar-SA"/>
    </w:rPr>
  </w:style>
  <w:style w:type="table" w:customStyle="1" w:styleId="TableGrid1">
    <w:name w:val="Table Grid1"/>
    <w:basedOn w:val="TableNormal"/>
    <w:next w:val="TableGrid"/>
    <w:uiPriority w:val="59"/>
    <w:rsid w:val="002847B4"/>
    <w:pPr>
      <w:jc w:val="both"/>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8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7B4"/>
    <w:rPr>
      <w:rFonts w:ascii="Courier" w:hAnsi="Courier"/>
      <w:snapToGrid w:val="0"/>
      <w:sz w:val="24"/>
    </w:rPr>
  </w:style>
  <w:style w:type="paragraph" w:styleId="BodyTextIndent">
    <w:name w:val="Body Text Indent"/>
    <w:basedOn w:val="Normal"/>
    <w:link w:val="BodyTextIndentChar"/>
    <w:rsid w:val="00D807AF"/>
    <w:pPr>
      <w:ind w:left="720"/>
    </w:pPr>
    <w:rPr>
      <w:rFonts w:ascii="Times New Roman" w:hAnsi="Times New Roman"/>
    </w:rPr>
  </w:style>
  <w:style w:type="character" w:customStyle="1" w:styleId="BodyTextIndentChar">
    <w:name w:val="Body Text Indent Char"/>
    <w:link w:val="BodyTextIndent"/>
    <w:rsid w:val="00D807AF"/>
    <w:rPr>
      <w:snapToGrid w:val="0"/>
      <w:sz w:val="24"/>
    </w:rPr>
  </w:style>
  <w:style w:type="paragraph" w:styleId="BlockText">
    <w:name w:val="Block Text"/>
    <w:basedOn w:val="Normal"/>
    <w:rsid w:val="00DB04B6"/>
    <w:pPr>
      <w:widowControl/>
      <w:tabs>
        <w:tab w:val="left" w:pos="-24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left="1080" w:right="960"/>
    </w:pPr>
    <w:rPr>
      <w:rFonts w:ascii="Times New Roman" w:hAnsi="Times New Roman"/>
    </w:rPr>
  </w:style>
  <w:style w:type="paragraph" w:styleId="BodyText">
    <w:name w:val="Body Text"/>
    <w:basedOn w:val="Normal"/>
    <w:link w:val="BodyTextChar"/>
    <w:rsid w:val="0077603D"/>
    <w:pPr>
      <w:spacing w:after="120"/>
    </w:pPr>
  </w:style>
  <w:style w:type="character" w:customStyle="1" w:styleId="BodyTextChar">
    <w:name w:val="Body Text Char"/>
    <w:link w:val="BodyText"/>
    <w:rsid w:val="0077603D"/>
    <w:rPr>
      <w:rFonts w:ascii="Courier" w:hAnsi="Courier"/>
      <w:snapToGrid w:val="0"/>
      <w:sz w:val="24"/>
    </w:rPr>
  </w:style>
  <w:style w:type="table" w:customStyle="1" w:styleId="TableGrid2">
    <w:name w:val="Table Grid2"/>
    <w:basedOn w:val="TableNormal"/>
    <w:next w:val="TableGrid"/>
    <w:uiPriority w:val="39"/>
    <w:rsid w:val="003276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84224">
      <w:bodyDiv w:val="1"/>
      <w:marLeft w:val="0"/>
      <w:marRight w:val="0"/>
      <w:marTop w:val="0"/>
      <w:marBottom w:val="0"/>
      <w:divBdr>
        <w:top w:val="none" w:sz="0" w:space="0" w:color="auto"/>
        <w:left w:val="none" w:sz="0" w:space="0" w:color="auto"/>
        <w:bottom w:val="none" w:sz="0" w:space="0" w:color="auto"/>
        <w:right w:val="none" w:sz="0" w:space="0" w:color="auto"/>
      </w:divBdr>
    </w:div>
    <w:div w:id="6054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BB055-4325-4797-B038-29E0B079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1701</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2021-05-11T12:20:00Z</dcterms:created>
  <dcterms:modified xsi:type="dcterms:W3CDTF">2021-05-11T13:25:00Z</dcterms:modified>
</cp:coreProperties>
</file>