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207E" w:rsidR="00431598" w:rsidP="0083464E" w:rsidRDefault="00F54331" w14:paraId="0ECE039F" w14:textId="10E2523A">
      <w:pPr>
        <w:widowControl w:val="0"/>
        <w:tabs>
          <w:tab w:val="center" w:pos="4680"/>
        </w:tabs>
        <w:jc w:val="center"/>
        <w:rPr>
          <w:rFonts w:ascii="Arial" w:hAnsi="Arial" w:cs="Arial"/>
          <w:sz w:val="22"/>
          <w:szCs w:val="22"/>
        </w:rPr>
      </w:pPr>
      <w:r>
        <w:rPr>
          <w:rFonts w:ascii="Arial" w:hAnsi="Arial" w:cs="Arial"/>
          <w:sz w:val="22"/>
          <w:szCs w:val="22"/>
        </w:rPr>
        <w:t>FINAL</w:t>
      </w:r>
      <w:r w:rsidRPr="001F207E" w:rsidR="00077B0F">
        <w:rPr>
          <w:rFonts w:ascii="Arial" w:hAnsi="Arial" w:cs="Arial"/>
          <w:sz w:val="22"/>
          <w:szCs w:val="22"/>
        </w:rPr>
        <w:t xml:space="preserve"> </w:t>
      </w:r>
      <w:r w:rsidRPr="001F207E" w:rsidR="00431598">
        <w:rPr>
          <w:rFonts w:ascii="Arial" w:hAnsi="Arial" w:cs="Arial"/>
          <w:sz w:val="22"/>
          <w:szCs w:val="22"/>
        </w:rPr>
        <w:t>SUPPORTING STATEMENT</w:t>
      </w:r>
    </w:p>
    <w:p w:rsidRPr="001F207E" w:rsidR="00431598" w:rsidP="0083464E" w:rsidRDefault="00431598" w14:paraId="106DB3F8" w14:textId="77777777">
      <w:pPr>
        <w:widowControl w:val="0"/>
        <w:tabs>
          <w:tab w:val="center" w:pos="4680"/>
        </w:tabs>
        <w:jc w:val="center"/>
        <w:rPr>
          <w:rFonts w:ascii="Arial" w:hAnsi="Arial" w:cs="Arial"/>
          <w:sz w:val="22"/>
          <w:szCs w:val="22"/>
        </w:rPr>
      </w:pPr>
      <w:r w:rsidRPr="001F207E">
        <w:rPr>
          <w:rFonts w:ascii="Arial" w:hAnsi="Arial" w:cs="Arial"/>
          <w:sz w:val="22"/>
          <w:szCs w:val="22"/>
        </w:rPr>
        <w:t>FOR</w:t>
      </w:r>
    </w:p>
    <w:p w:rsidRPr="001F207E" w:rsidR="00077B0F" w:rsidP="000D56B7" w:rsidRDefault="00431598" w14:paraId="5B9DF653" w14:textId="77777777">
      <w:pPr>
        <w:widowControl w:val="0"/>
        <w:tabs>
          <w:tab w:val="center" w:pos="4680"/>
          <w:tab w:val="right" w:pos="9360"/>
        </w:tabs>
        <w:jc w:val="center"/>
        <w:rPr>
          <w:rFonts w:ascii="Arial" w:hAnsi="Arial" w:cs="Arial"/>
          <w:sz w:val="22"/>
          <w:szCs w:val="22"/>
        </w:rPr>
      </w:pPr>
      <w:r w:rsidRPr="001F207E">
        <w:rPr>
          <w:rFonts w:ascii="Arial" w:hAnsi="Arial" w:cs="Arial"/>
          <w:sz w:val="22"/>
          <w:szCs w:val="22"/>
        </w:rPr>
        <w:t>VOLUNTARY REPORTING OF PERFORMANCE INDICATORS</w:t>
      </w:r>
    </w:p>
    <w:p w:rsidRPr="001F207E" w:rsidR="00431598" w:rsidP="00272793" w:rsidRDefault="00272793" w14:paraId="55FFC80F" w14:textId="77777777">
      <w:pPr>
        <w:widowControl w:val="0"/>
        <w:tabs>
          <w:tab w:val="center" w:pos="4680"/>
          <w:tab w:val="right" w:pos="9360"/>
        </w:tabs>
        <w:rPr>
          <w:rFonts w:ascii="Arial" w:hAnsi="Arial" w:cs="Arial"/>
          <w:sz w:val="22"/>
          <w:szCs w:val="22"/>
        </w:rPr>
      </w:pPr>
      <w:r w:rsidRPr="001F207E">
        <w:rPr>
          <w:rFonts w:ascii="Arial" w:hAnsi="Arial" w:cs="Arial"/>
          <w:sz w:val="22"/>
          <w:szCs w:val="22"/>
        </w:rPr>
        <w:tab/>
      </w:r>
    </w:p>
    <w:p w:rsidRPr="001F207E" w:rsidR="00431598" w:rsidP="0083464E" w:rsidRDefault="00431598" w14:paraId="50AAD598" w14:textId="77777777">
      <w:pPr>
        <w:widowControl w:val="0"/>
        <w:tabs>
          <w:tab w:val="center" w:pos="4680"/>
        </w:tabs>
        <w:jc w:val="center"/>
        <w:rPr>
          <w:rFonts w:ascii="Arial" w:hAnsi="Arial" w:cs="Arial"/>
          <w:sz w:val="22"/>
          <w:szCs w:val="22"/>
        </w:rPr>
      </w:pPr>
      <w:r w:rsidRPr="001F207E">
        <w:rPr>
          <w:rFonts w:ascii="Arial" w:hAnsi="Arial" w:cs="Arial"/>
          <w:sz w:val="22"/>
          <w:szCs w:val="22"/>
        </w:rPr>
        <w:t>3150-0195</w:t>
      </w:r>
    </w:p>
    <w:p w:rsidRPr="001F207E" w:rsidR="00077B0F" w:rsidP="0083464E" w:rsidRDefault="00077B0F" w14:paraId="44D10282" w14:textId="77777777">
      <w:pPr>
        <w:widowControl w:val="0"/>
        <w:tabs>
          <w:tab w:val="center" w:pos="4680"/>
        </w:tabs>
        <w:jc w:val="center"/>
        <w:rPr>
          <w:rFonts w:ascii="Arial" w:hAnsi="Arial" w:cs="Arial"/>
          <w:sz w:val="22"/>
          <w:szCs w:val="22"/>
        </w:rPr>
      </w:pPr>
    </w:p>
    <w:p w:rsidRPr="001F207E" w:rsidR="00431598" w:rsidP="000D56B7" w:rsidRDefault="30315BB3" w14:paraId="215A0A59" w14:textId="4A265450">
      <w:pPr>
        <w:spacing w:line="259" w:lineRule="auto"/>
        <w:jc w:val="center"/>
        <w:rPr>
          <w:rFonts w:ascii="Arial" w:hAnsi="Arial" w:eastAsia="Arial" w:cs="Arial"/>
          <w:sz w:val="22"/>
          <w:szCs w:val="22"/>
        </w:rPr>
      </w:pPr>
      <w:r w:rsidRPr="4CBF5F36">
        <w:rPr>
          <w:rFonts w:ascii="Arial" w:hAnsi="Arial" w:cs="Arial"/>
          <w:sz w:val="22"/>
          <w:szCs w:val="22"/>
        </w:rPr>
        <w:t>REVISION</w:t>
      </w:r>
    </w:p>
    <w:p w:rsidRPr="001F207E" w:rsidR="00431598" w:rsidP="0083464E" w:rsidRDefault="00431598" w14:paraId="164BB8FF" w14:textId="77777777">
      <w:pPr>
        <w:widowControl w:val="0"/>
        <w:rPr>
          <w:rFonts w:ascii="Arial" w:hAnsi="Arial" w:cs="Arial"/>
          <w:sz w:val="22"/>
          <w:szCs w:val="22"/>
          <w:u w:val="single"/>
        </w:rPr>
      </w:pPr>
    </w:p>
    <w:p w:rsidRPr="001F207E" w:rsidR="00431598" w:rsidRDefault="00431598" w14:paraId="3FF01229" w14:textId="77777777">
      <w:pPr>
        <w:widowControl w:val="0"/>
        <w:rPr>
          <w:rFonts w:ascii="Arial" w:hAnsi="Arial" w:cs="Arial"/>
          <w:sz w:val="22"/>
          <w:szCs w:val="22"/>
        </w:rPr>
      </w:pPr>
      <w:r w:rsidRPr="001F207E">
        <w:rPr>
          <w:rFonts w:ascii="Arial" w:hAnsi="Arial" w:cs="Arial"/>
          <w:sz w:val="22"/>
          <w:szCs w:val="22"/>
          <w:u w:val="single"/>
        </w:rPr>
        <w:t>Description of the Information Collection</w:t>
      </w:r>
    </w:p>
    <w:p w:rsidRPr="001F207E" w:rsidR="000A2EBF" w:rsidRDefault="000A2EBF" w14:paraId="77F57267" w14:textId="77777777">
      <w:pPr>
        <w:widowControl w:val="0"/>
        <w:rPr>
          <w:rFonts w:ascii="Arial" w:hAnsi="Arial" w:cs="Arial"/>
          <w:sz w:val="22"/>
          <w:szCs w:val="22"/>
        </w:rPr>
      </w:pPr>
    </w:p>
    <w:p w:rsidRPr="001F207E" w:rsidR="00431598" w:rsidP="00604EA6" w:rsidRDefault="00431598" w14:paraId="1E32CC83" w14:textId="69CA68FA">
      <w:pPr>
        <w:widowControl w:val="0"/>
        <w:rPr>
          <w:rFonts w:ascii="Arial" w:hAnsi="Arial" w:cs="Arial"/>
          <w:sz w:val="22"/>
          <w:szCs w:val="22"/>
        </w:rPr>
      </w:pPr>
      <w:r w:rsidRPr="001F207E">
        <w:rPr>
          <w:rFonts w:ascii="Arial" w:hAnsi="Arial" w:cs="Arial"/>
          <w:sz w:val="22"/>
          <w:szCs w:val="22"/>
        </w:rPr>
        <w:t xml:space="preserve">The U.S. Nuclear Regulatory Commission (NRC) collects performance indicator (PI) information from commercial nuclear power plant licensees in accordance with the NRC’s Reactor Oversight Process (ROP).  Licensees voluntarily submit information related to selected performance </w:t>
      </w:r>
      <w:r w:rsidRPr="001F207E" w:rsidR="00490D07">
        <w:rPr>
          <w:rFonts w:ascii="Arial" w:hAnsi="Arial" w:cs="Arial"/>
          <w:sz w:val="22"/>
          <w:szCs w:val="22"/>
        </w:rPr>
        <w:t>indicator</w:t>
      </w:r>
      <w:r w:rsidRPr="001F207E">
        <w:rPr>
          <w:rFonts w:ascii="Arial" w:hAnsi="Arial" w:cs="Arial"/>
          <w:sz w:val="22"/>
          <w:szCs w:val="22"/>
        </w:rPr>
        <w:t>s (PIs) to the NRC on a quarterly basis.  Licensees submit PI</w:t>
      </w:r>
      <w:r w:rsidRPr="001F207E" w:rsidR="00291EEA">
        <w:rPr>
          <w:rFonts w:ascii="Arial" w:hAnsi="Arial" w:cs="Arial"/>
          <w:sz w:val="22"/>
          <w:szCs w:val="22"/>
        </w:rPr>
        <w:t xml:space="preserve"> information</w:t>
      </w:r>
      <w:r w:rsidRPr="001F207E">
        <w:rPr>
          <w:rFonts w:ascii="Arial" w:hAnsi="Arial" w:cs="Arial"/>
          <w:sz w:val="22"/>
          <w:szCs w:val="22"/>
        </w:rPr>
        <w:t xml:space="preserve"> electronically to reduce burden on themselves and the NRC.  The NRC meets month</w:t>
      </w:r>
      <w:r w:rsidRPr="001F207E" w:rsidR="001F733D">
        <w:rPr>
          <w:rFonts w:ascii="Arial" w:hAnsi="Arial" w:cs="Arial"/>
          <w:sz w:val="22"/>
          <w:szCs w:val="22"/>
        </w:rPr>
        <w:t>ly</w:t>
      </w:r>
      <w:r w:rsidRPr="001F207E">
        <w:rPr>
          <w:rFonts w:ascii="Arial" w:hAnsi="Arial" w:cs="Arial"/>
          <w:sz w:val="22"/>
          <w:szCs w:val="22"/>
        </w:rPr>
        <w:t xml:space="preserve"> with public stakeholders, industry representatives, and the Nuclear Energy Institute (NEI)</w:t>
      </w:r>
      <w:r w:rsidRPr="001F207E">
        <w:rPr>
          <w:rStyle w:val="FootnoteReference"/>
          <w:rFonts w:ascii="Arial" w:hAnsi="Arial" w:cs="Arial"/>
          <w:sz w:val="22"/>
          <w:szCs w:val="22"/>
        </w:rPr>
        <w:footnoteReference w:id="1"/>
      </w:r>
      <w:r w:rsidR="007D0E79">
        <w:rPr>
          <w:rFonts w:ascii="Arial" w:hAnsi="Arial" w:cs="Arial"/>
          <w:sz w:val="22"/>
          <w:szCs w:val="22"/>
        </w:rPr>
        <w:t xml:space="preserve"> to discuss ROP topics</w:t>
      </w:r>
      <w:r w:rsidR="00BE094A">
        <w:rPr>
          <w:rFonts w:ascii="Arial" w:hAnsi="Arial" w:cs="Arial"/>
          <w:sz w:val="22"/>
          <w:szCs w:val="22"/>
        </w:rPr>
        <w:t xml:space="preserve">.  Within </w:t>
      </w:r>
      <w:r w:rsidR="00D076E4">
        <w:rPr>
          <w:rFonts w:ascii="Arial" w:hAnsi="Arial" w:cs="Arial"/>
          <w:sz w:val="22"/>
          <w:szCs w:val="22"/>
        </w:rPr>
        <w:t xml:space="preserve">these meetings </w:t>
      </w:r>
      <w:r w:rsidR="00BE094A">
        <w:rPr>
          <w:rFonts w:ascii="Arial" w:hAnsi="Arial" w:cs="Arial"/>
          <w:sz w:val="22"/>
          <w:szCs w:val="22"/>
        </w:rPr>
        <w:t xml:space="preserve">PI topics are discussed </w:t>
      </w:r>
      <w:r w:rsidRPr="001F207E">
        <w:rPr>
          <w:rFonts w:ascii="Arial" w:hAnsi="Arial" w:cs="Arial"/>
          <w:sz w:val="22"/>
          <w:szCs w:val="22"/>
        </w:rPr>
        <w:t xml:space="preserve">to improve </w:t>
      </w:r>
      <w:r w:rsidR="008B66E4">
        <w:rPr>
          <w:rFonts w:ascii="Arial" w:hAnsi="Arial" w:cs="Arial"/>
          <w:sz w:val="22"/>
          <w:szCs w:val="22"/>
        </w:rPr>
        <w:t xml:space="preserve">or get clarification </w:t>
      </w:r>
      <w:r w:rsidR="00393C7D">
        <w:rPr>
          <w:rFonts w:ascii="Arial" w:hAnsi="Arial" w:cs="Arial"/>
          <w:sz w:val="22"/>
          <w:szCs w:val="22"/>
        </w:rPr>
        <w:t>about</w:t>
      </w:r>
      <w:r w:rsidR="008B66E4">
        <w:rPr>
          <w:rFonts w:ascii="Arial" w:hAnsi="Arial" w:cs="Arial"/>
          <w:sz w:val="22"/>
          <w:szCs w:val="22"/>
        </w:rPr>
        <w:t xml:space="preserve"> </w:t>
      </w:r>
      <w:r w:rsidRPr="001F207E">
        <w:rPr>
          <w:rFonts w:ascii="Arial" w:hAnsi="Arial" w:cs="Arial"/>
          <w:sz w:val="22"/>
          <w:szCs w:val="22"/>
        </w:rPr>
        <w:t>the PI program</w:t>
      </w:r>
      <w:r w:rsidR="007D0E79">
        <w:rPr>
          <w:rFonts w:ascii="Arial" w:hAnsi="Arial" w:cs="Arial"/>
          <w:sz w:val="22"/>
          <w:szCs w:val="22"/>
        </w:rPr>
        <w:t>,</w:t>
      </w:r>
      <w:r w:rsidR="00D076E4">
        <w:rPr>
          <w:rFonts w:ascii="Arial" w:hAnsi="Arial" w:cs="Arial"/>
          <w:sz w:val="22"/>
          <w:szCs w:val="22"/>
        </w:rPr>
        <w:t xml:space="preserve"> when necessary</w:t>
      </w:r>
      <w:r w:rsidRPr="001F207E">
        <w:rPr>
          <w:rFonts w:ascii="Arial" w:hAnsi="Arial" w:cs="Arial"/>
          <w:sz w:val="22"/>
          <w:szCs w:val="22"/>
        </w:rPr>
        <w:t xml:space="preserve">.  </w:t>
      </w:r>
      <w:r w:rsidR="00B04124">
        <w:rPr>
          <w:rFonts w:ascii="Arial" w:hAnsi="Arial" w:cs="Arial"/>
          <w:sz w:val="22"/>
          <w:szCs w:val="22"/>
        </w:rPr>
        <w:t xml:space="preserve">These improvements or clarifications are proposed and reviewed </w:t>
      </w:r>
      <w:r w:rsidR="00855B1E">
        <w:rPr>
          <w:rFonts w:ascii="Arial" w:hAnsi="Arial" w:cs="Arial"/>
          <w:sz w:val="22"/>
          <w:szCs w:val="22"/>
        </w:rPr>
        <w:t xml:space="preserve">with the </w:t>
      </w:r>
      <w:r w:rsidR="00D076E4">
        <w:rPr>
          <w:rFonts w:ascii="Arial" w:hAnsi="Arial" w:cs="Arial"/>
          <w:sz w:val="22"/>
          <w:szCs w:val="22"/>
        </w:rPr>
        <w:t xml:space="preserve">PI </w:t>
      </w:r>
      <w:r w:rsidR="00855B1E">
        <w:rPr>
          <w:rFonts w:ascii="Arial" w:hAnsi="Arial" w:cs="Arial"/>
          <w:sz w:val="22"/>
          <w:szCs w:val="22"/>
        </w:rPr>
        <w:t xml:space="preserve">FAQ process.  </w:t>
      </w:r>
      <w:r w:rsidRPr="001F207E">
        <w:rPr>
          <w:rFonts w:ascii="Arial" w:hAnsi="Arial" w:cs="Arial"/>
          <w:sz w:val="22"/>
          <w:szCs w:val="22"/>
        </w:rPr>
        <w:t xml:space="preserve">NEI issues updated guidance to licensees for use in collecting and reporting PI </w:t>
      </w:r>
      <w:r w:rsidRPr="001F207E" w:rsidR="00291EEA">
        <w:rPr>
          <w:rFonts w:ascii="Arial" w:hAnsi="Arial" w:cs="Arial"/>
          <w:sz w:val="22"/>
          <w:szCs w:val="22"/>
        </w:rPr>
        <w:t>information</w:t>
      </w:r>
      <w:r w:rsidRPr="001F207E">
        <w:rPr>
          <w:rFonts w:ascii="Arial" w:hAnsi="Arial" w:cs="Arial"/>
          <w:sz w:val="22"/>
          <w:szCs w:val="22"/>
        </w:rPr>
        <w:t xml:space="preserve"> to the NRC based on the results of these meetings.</w:t>
      </w:r>
    </w:p>
    <w:p w:rsidRPr="001F207E" w:rsidR="00431598" w:rsidRDefault="00431598" w14:paraId="1DDC7111" w14:textId="77777777">
      <w:pPr>
        <w:widowControl w:val="0"/>
        <w:rPr>
          <w:rFonts w:ascii="Arial" w:hAnsi="Arial" w:cs="Arial"/>
          <w:sz w:val="22"/>
          <w:szCs w:val="22"/>
        </w:rPr>
      </w:pPr>
    </w:p>
    <w:p w:rsidRPr="001F207E" w:rsidR="00431598" w:rsidP="00382D7E" w:rsidRDefault="00431598" w14:paraId="2CEA6AD9" w14:textId="77777777">
      <w:pPr>
        <w:pStyle w:val="Level1"/>
        <w:numPr>
          <w:ilvl w:val="0"/>
          <w:numId w:val="1"/>
        </w:numPr>
        <w:ind w:left="360" w:hanging="360"/>
        <w:rPr>
          <w:rFonts w:ascii="Arial" w:hAnsi="Arial" w:cs="Arial"/>
          <w:sz w:val="22"/>
          <w:szCs w:val="22"/>
        </w:rPr>
      </w:pPr>
      <w:r w:rsidRPr="001F207E">
        <w:rPr>
          <w:rFonts w:ascii="Arial" w:hAnsi="Arial" w:cs="Arial"/>
          <w:sz w:val="22"/>
          <w:szCs w:val="22"/>
        </w:rPr>
        <w:tab/>
        <w:t>JUSTIFICATION</w:t>
      </w:r>
    </w:p>
    <w:p w:rsidRPr="001F207E" w:rsidR="00431598" w:rsidRDefault="00431598" w14:paraId="3811E039" w14:textId="77777777">
      <w:pPr>
        <w:widowControl w:val="0"/>
        <w:rPr>
          <w:rFonts w:ascii="Arial" w:hAnsi="Arial" w:cs="Arial"/>
          <w:sz w:val="22"/>
          <w:szCs w:val="22"/>
        </w:rPr>
      </w:pPr>
    </w:p>
    <w:p w:rsidRPr="001F207E" w:rsidR="00431598" w:rsidP="0083464E" w:rsidRDefault="00431598" w14:paraId="20D3B8EF" w14:textId="77777777">
      <w:pPr>
        <w:pStyle w:val="Level1"/>
        <w:numPr>
          <w:ilvl w:val="0"/>
          <w:numId w:val="13"/>
        </w:numPr>
        <w:rPr>
          <w:rFonts w:ascii="Arial" w:hAnsi="Arial" w:cs="Arial"/>
          <w:sz w:val="22"/>
          <w:szCs w:val="22"/>
        </w:rPr>
      </w:pPr>
      <w:r w:rsidRPr="001F207E">
        <w:rPr>
          <w:rFonts w:ascii="Arial" w:hAnsi="Arial" w:cs="Arial"/>
          <w:sz w:val="22"/>
          <w:szCs w:val="22"/>
          <w:u w:val="single"/>
        </w:rPr>
        <w:t>Need for and Practical Utility of the Collection of Information</w:t>
      </w:r>
    </w:p>
    <w:p w:rsidRPr="001F207E" w:rsidR="00431598" w:rsidRDefault="00431598" w14:paraId="756A7493" w14:textId="77777777">
      <w:pPr>
        <w:widowControl w:val="0"/>
        <w:rPr>
          <w:rFonts w:ascii="Arial" w:hAnsi="Arial" w:cs="Arial"/>
          <w:sz w:val="22"/>
          <w:szCs w:val="22"/>
        </w:rPr>
      </w:pPr>
    </w:p>
    <w:p w:rsidRPr="001F207E" w:rsidR="00431598" w:rsidP="00382D7E" w:rsidRDefault="00431598" w14:paraId="10071DBF" w14:textId="77777777">
      <w:pPr>
        <w:widowControl w:val="0"/>
        <w:ind w:left="360"/>
        <w:rPr>
          <w:rFonts w:ascii="Arial" w:hAnsi="Arial" w:cs="Arial"/>
          <w:sz w:val="22"/>
          <w:szCs w:val="22"/>
        </w:rPr>
      </w:pPr>
      <w:r w:rsidRPr="001F207E">
        <w:rPr>
          <w:rFonts w:ascii="Arial" w:hAnsi="Arial" w:cs="Arial"/>
          <w:sz w:val="22"/>
          <w:szCs w:val="22"/>
        </w:rPr>
        <w:t>In 1998, the nuclear power industry offered to voluntarily send PI</w:t>
      </w:r>
      <w:r w:rsidRPr="001F207E" w:rsidR="00291EEA">
        <w:rPr>
          <w:rFonts w:ascii="Arial" w:hAnsi="Arial" w:cs="Arial"/>
          <w:sz w:val="22"/>
          <w:szCs w:val="22"/>
        </w:rPr>
        <w:t xml:space="preserve"> information</w:t>
      </w:r>
      <w:r w:rsidRPr="001F207E">
        <w:rPr>
          <w:rFonts w:ascii="Arial" w:hAnsi="Arial" w:cs="Arial"/>
          <w:sz w:val="22"/>
          <w:szCs w:val="22"/>
        </w:rPr>
        <w:t xml:space="preserve"> to the NRC to improve the NRC’s regulatory oversight process for nuclear reactors.  Power reactor licensees were already collecting and reporting PI </w:t>
      </w:r>
      <w:r w:rsidRPr="001F207E" w:rsidR="00291EEA">
        <w:rPr>
          <w:rFonts w:ascii="Arial" w:hAnsi="Arial" w:cs="Arial"/>
          <w:sz w:val="22"/>
          <w:szCs w:val="22"/>
        </w:rPr>
        <w:t>information</w:t>
      </w:r>
      <w:r w:rsidRPr="001F207E">
        <w:rPr>
          <w:rFonts w:ascii="Arial" w:hAnsi="Arial" w:cs="Arial"/>
          <w:sz w:val="22"/>
          <w:szCs w:val="22"/>
        </w:rPr>
        <w:t xml:space="preserve"> to various industry groups.  In April 2000, the NRC began implementing the ROP, which provides for risk-informed, objective, predictable, and understandable oversight of commercial nuclear power plants.  The ROP uses PIs and inspection results to provide objective indications of licensee performance and to inform the NRC’s regulatory response.  PIs measure the performance of plant systems and licensee programs in </w:t>
      </w:r>
      <w:r w:rsidRPr="001F207E" w:rsidR="00E80334">
        <w:rPr>
          <w:rFonts w:ascii="Arial" w:hAnsi="Arial" w:cs="Arial"/>
          <w:sz w:val="22"/>
          <w:szCs w:val="22"/>
        </w:rPr>
        <w:t xml:space="preserve">a </w:t>
      </w:r>
      <w:r w:rsidRPr="001F207E">
        <w:rPr>
          <w:rFonts w:ascii="Arial" w:hAnsi="Arial" w:cs="Arial"/>
          <w:sz w:val="22"/>
          <w:szCs w:val="22"/>
        </w:rPr>
        <w:t>risk-informed manner, where applicable.  The use of PIs allows for a more effective allocation of industry and NRC resources needed to support NRC oversight.</w:t>
      </w:r>
    </w:p>
    <w:p w:rsidRPr="001F207E" w:rsidR="00431598" w:rsidP="00382D7E" w:rsidRDefault="00431598" w14:paraId="7C0CE30D" w14:textId="77777777">
      <w:pPr>
        <w:widowControl w:val="0"/>
        <w:ind w:left="360"/>
        <w:rPr>
          <w:rFonts w:ascii="Arial" w:hAnsi="Arial" w:cs="Arial"/>
          <w:sz w:val="22"/>
          <w:szCs w:val="22"/>
        </w:rPr>
      </w:pPr>
    </w:p>
    <w:p w:rsidRPr="001F207E" w:rsidR="00431598" w:rsidP="00382D7E" w:rsidRDefault="00431598" w14:paraId="156F728B" w14:textId="77777777">
      <w:pPr>
        <w:widowControl w:val="0"/>
        <w:ind w:left="360"/>
        <w:rPr>
          <w:rFonts w:ascii="Arial" w:hAnsi="Arial" w:cs="Arial"/>
          <w:sz w:val="22"/>
          <w:szCs w:val="22"/>
        </w:rPr>
      </w:pPr>
      <w:r w:rsidRPr="001F207E">
        <w:rPr>
          <w:rFonts w:ascii="Arial" w:hAnsi="Arial" w:cs="Arial"/>
          <w:sz w:val="22"/>
          <w:szCs w:val="22"/>
        </w:rPr>
        <w:t>Licensees retain PI records as long as necessary to calculate specific indicators</w:t>
      </w:r>
      <w:r w:rsidRPr="001F207E" w:rsidR="009224AB">
        <w:rPr>
          <w:rFonts w:ascii="Arial" w:hAnsi="Arial" w:cs="Arial"/>
          <w:sz w:val="22"/>
          <w:szCs w:val="22"/>
        </w:rPr>
        <w:t>,</w:t>
      </w:r>
      <w:r w:rsidRPr="001F207E">
        <w:rPr>
          <w:rFonts w:ascii="Arial" w:hAnsi="Arial" w:cs="Arial"/>
          <w:sz w:val="22"/>
          <w:szCs w:val="22"/>
        </w:rPr>
        <w:t xml:space="preserve"> but do not have to retain these records for more than three years.</w:t>
      </w:r>
    </w:p>
    <w:p w:rsidRPr="001F207E" w:rsidR="00431598" w:rsidP="00382D7E" w:rsidRDefault="00431598" w14:paraId="6F8A0C0B" w14:textId="77777777">
      <w:pPr>
        <w:widowControl w:val="0"/>
        <w:ind w:left="360"/>
        <w:rPr>
          <w:rFonts w:ascii="Arial" w:hAnsi="Arial" w:cs="Arial"/>
          <w:sz w:val="22"/>
          <w:szCs w:val="22"/>
        </w:rPr>
      </w:pPr>
    </w:p>
    <w:p w:rsidRPr="001F207E" w:rsidR="00431598" w:rsidP="00F63442" w:rsidRDefault="00431598" w14:paraId="1DFD0220" w14:textId="77777777">
      <w:pPr>
        <w:ind w:left="360"/>
        <w:rPr>
          <w:rFonts w:ascii="Arial" w:hAnsi="Arial" w:cs="Arial"/>
          <w:sz w:val="22"/>
          <w:szCs w:val="22"/>
        </w:rPr>
      </w:pPr>
      <w:r w:rsidRPr="001F207E">
        <w:rPr>
          <w:rFonts w:ascii="Arial" w:hAnsi="Arial" w:cs="Arial"/>
          <w:sz w:val="22"/>
          <w:szCs w:val="22"/>
        </w:rPr>
        <w:t>Licensees report PIs to the NRC that provide the number of unplanned scrams and power changes per 7,000 hours of critical operation, unplanned scrams with complications over the previous four quarters,</w:t>
      </w:r>
      <w:r w:rsidRPr="001F207E" w:rsidDel="00C203C7">
        <w:rPr>
          <w:rFonts w:ascii="Arial" w:hAnsi="Arial" w:cs="Arial"/>
          <w:sz w:val="22"/>
          <w:szCs w:val="22"/>
        </w:rPr>
        <w:t xml:space="preserve"> </w:t>
      </w:r>
      <w:r w:rsidRPr="001F207E">
        <w:rPr>
          <w:rFonts w:ascii="Arial" w:hAnsi="Arial" w:cs="Arial"/>
          <w:sz w:val="22"/>
          <w:szCs w:val="22"/>
        </w:rPr>
        <w:t xml:space="preserve">safety system functional failures over the previous four quarters, </w:t>
      </w:r>
      <w:r w:rsidRPr="001F207E">
        <w:rPr>
          <w:rFonts w:ascii="Arial" w:hAnsi="Arial" w:cs="Arial"/>
          <w:sz w:val="22"/>
          <w:szCs w:val="22"/>
        </w:rPr>
        <w:br w:type="page"/>
      </w:r>
      <w:r w:rsidRPr="001F207E">
        <w:rPr>
          <w:rFonts w:ascii="Arial" w:hAnsi="Arial" w:cs="Arial"/>
          <w:sz w:val="22"/>
          <w:szCs w:val="22"/>
        </w:rPr>
        <w:lastRenderedPageBreak/>
        <w:t>non</w:t>
      </w:r>
      <w:r w:rsidRPr="001F207E">
        <w:rPr>
          <w:rFonts w:ascii="Arial" w:hAnsi="Arial" w:cs="Arial"/>
          <w:sz w:val="22"/>
          <w:szCs w:val="22"/>
        </w:rPr>
        <w:noBreakHyphen/>
        <w:t>conformances with 10 CFR Part 20 requirements for (very) high radiation areas or unintended personnel exposures over the previous four quarters,</w:t>
      </w:r>
      <w:r w:rsidRPr="001F207E" w:rsidDel="00C203C7">
        <w:rPr>
          <w:rFonts w:ascii="Arial" w:hAnsi="Arial" w:cs="Arial"/>
          <w:sz w:val="22"/>
          <w:szCs w:val="22"/>
        </w:rPr>
        <w:t xml:space="preserve"> </w:t>
      </w:r>
      <w:r w:rsidRPr="001F207E">
        <w:rPr>
          <w:rFonts w:ascii="Arial" w:hAnsi="Arial" w:cs="Arial"/>
          <w:sz w:val="22"/>
          <w:szCs w:val="22"/>
        </w:rPr>
        <w:t>and occurrences of radiological effluent releases that exceeded values derived from radiological effluent technical specifications or offsite dose calculation manuals over the previous four quarters.</w:t>
      </w:r>
    </w:p>
    <w:p w:rsidRPr="001F207E" w:rsidR="00431598" w:rsidRDefault="00431598" w14:paraId="0E47507B" w14:textId="77777777">
      <w:pPr>
        <w:widowControl w:val="0"/>
        <w:rPr>
          <w:rFonts w:ascii="Arial" w:hAnsi="Arial" w:cs="Arial"/>
          <w:sz w:val="22"/>
          <w:szCs w:val="22"/>
        </w:rPr>
      </w:pPr>
    </w:p>
    <w:p w:rsidRPr="001F207E" w:rsidR="00431598" w:rsidP="00382D7E" w:rsidRDefault="00431598" w14:paraId="60E743C4" w14:textId="77777777">
      <w:pPr>
        <w:widowControl w:val="0"/>
        <w:ind w:left="360"/>
        <w:rPr>
          <w:rFonts w:ascii="Arial" w:hAnsi="Arial" w:cs="Arial"/>
          <w:sz w:val="22"/>
          <w:szCs w:val="22"/>
        </w:rPr>
      </w:pPr>
      <w:r w:rsidRPr="001F207E">
        <w:rPr>
          <w:rFonts w:ascii="Arial" w:hAnsi="Arial" w:cs="Arial"/>
          <w:sz w:val="22"/>
          <w:szCs w:val="22"/>
        </w:rPr>
        <w:t>Licensees report PIs to the NRC that provide the unavailability and unreliability of high pressure injection, heat removal, residual heat removal, emergency power, and cooling water support systems.  Licensees also report PIs to the NRC that provide the percentages of reactor coolant activity and leakage with respect to technical specification limits; successful, accurate, and timely classifications, notifications, and protective action recommendations by the licensee’s emergency response organization (ERO) during drills, exercises, and actual events over the previous eight quarters; key ERO members that participated in emergency drills, exercises, or actual events over the previous eight quarters; sirens that operated reliably in the preceding four quarters</w:t>
      </w:r>
      <w:r w:rsidRPr="001F207E" w:rsidR="009224AB">
        <w:rPr>
          <w:rFonts w:ascii="Arial" w:hAnsi="Arial" w:cs="Arial"/>
          <w:sz w:val="22"/>
          <w:szCs w:val="22"/>
        </w:rPr>
        <w:t>;</w:t>
      </w:r>
      <w:r w:rsidRPr="001F207E" w:rsidR="006C6DC6">
        <w:rPr>
          <w:rFonts w:ascii="Arial" w:hAnsi="Arial" w:cs="Arial"/>
          <w:sz w:val="22"/>
          <w:szCs w:val="22"/>
        </w:rPr>
        <w:t xml:space="preserve"> and availability of security equipment</w:t>
      </w:r>
      <w:r w:rsidRPr="001F207E">
        <w:rPr>
          <w:rFonts w:ascii="Arial" w:hAnsi="Arial" w:cs="Arial"/>
          <w:sz w:val="22"/>
          <w:szCs w:val="22"/>
        </w:rPr>
        <w:t>.</w:t>
      </w:r>
    </w:p>
    <w:p w:rsidRPr="001F207E" w:rsidR="00E36259" w:rsidP="00382D7E" w:rsidRDefault="00E36259" w14:paraId="231FA22D" w14:textId="77777777">
      <w:pPr>
        <w:widowControl w:val="0"/>
        <w:ind w:left="360"/>
        <w:rPr>
          <w:rFonts w:ascii="Arial" w:hAnsi="Arial" w:cs="Arial"/>
          <w:sz w:val="22"/>
          <w:szCs w:val="22"/>
        </w:rPr>
      </w:pPr>
    </w:p>
    <w:p w:rsidRPr="001F207E" w:rsidR="00E36259" w:rsidP="00E36259" w:rsidRDefault="00E36259" w14:paraId="0F9D6860" w14:textId="0007A6F7">
      <w:pPr>
        <w:ind w:left="360"/>
        <w:rPr>
          <w:rFonts w:ascii="Arial" w:hAnsi="Arial" w:cs="Arial"/>
          <w:sz w:val="22"/>
          <w:szCs w:val="22"/>
        </w:rPr>
      </w:pPr>
      <w:r w:rsidRPr="001F207E">
        <w:rPr>
          <w:rFonts w:ascii="Arial" w:hAnsi="Arial" w:cs="Arial"/>
          <w:sz w:val="22"/>
          <w:szCs w:val="22"/>
          <w:lang w:val="en"/>
        </w:rPr>
        <w:t>Licensees also participate in the ROP Performance Indicator Frequently Asked Question (</w:t>
      </w:r>
      <w:r w:rsidR="00D16113">
        <w:rPr>
          <w:rFonts w:ascii="Arial" w:hAnsi="Arial" w:cs="Arial"/>
          <w:sz w:val="22"/>
          <w:szCs w:val="22"/>
          <w:lang w:val="en"/>
        </w:rPr>
        <w:t xml:space="preserve">PI </w:t>
      </w:r>
      <w:r w:rsidRPr="001F207E">
        <w:rPr>
          <w:rFonts w:ascii="Arial" w:hAnsi="Arial" w:cs="Arial"/>
          <w:sz w:val="22"/>
          <w:szCs w:val="22"/>
          <w:lang w:val="en"/>
        </w:rPr>
        <w:t xml:space="preserve">FAQ) process that it is used to resolve interpretation issues with NEI 99-02. The </w:t>
      </w:r>
      <w:r w:rsidR="00B6132A">
        <w:rPr>
          <w:rFonts w:ascii="Arial" w:hAnsi="Arial" w:cs="Arial"/>
          <w:sz w:val="22"/>
          <w:szCs w:val="22"/>
          <w:lang w:val="en"/>
        </w:rPr>
        <w:t xml:space="preserve">PI </w:t>
      </w:r>
      <w:r w:rsidRPr="001F207E">
        <w:rPr>
          <w:rFonts w:ascii="Arial" w:hAnsi="Arial" w:cs="Arial"/>
          <w:sz w:val="22"/>
          <w:szCs w:val="22"/>
          <w:lang w:val="en"/>
        </w:rPr>
        <w:t xml:space="preserve">FAQ process and white papers may also be used to propose changes to NEI 99-02 guidance and the PI Program. The NRC and industry review </w:t>
      </w:r>
      <w:r w:rsidR="00B6132A">
        <w:rPr>
          <w:rFonts w:ascii="Arial" w:hAnsi="Arial" w:cs="Arial"/>
          <w:sz w:val="22"/>
          <w:szCs w:val="22"/>
          <w:lang w:val="en"/>
        </w:rPr>
        <w:t xml:space="preserve">PI </w:t>
      </w:r>
      <w:r w:rsidRPr="001F207E">
        <w:rPr>
          <w:rFonts w:ascii="Arial" w:hAnsi="Arial" w:cs="Arial"/>
          <w:sz w:val="22"/>
          <w:szCs w:val="22"/>
          <w:lang w:val="en"/>
        </w:rPr>
        <w:t xml:space="preserve">FAQs and white papers and work to achieve resolution during periodic public meetings. IMC 0608 and Appendix E of NEI 99-02 contain additional information about the </w:t>
      </w:r>
      <w:r w:rsidR="00B6132A">
        <w:rPr>
          <w:rFonts w:ascii="Arial" w:hAnsi="Arial" w:cs="Arial"/>
          <w:sz w:val="22"/>
          <w:szCs w:val="22"/>
          <w:lang w:val="en"/>
        </w:rPr>
        <w:t xml:space="preserve">PI </w:t>
      </w:r>
      <w:r w:rsidRPr="001F207E">
        <w:rPr>
          <w:rFonts w:ascii="Arial" w:hAnsi="Arial" w:cs="Arial"/>
          <w:sz w:val="22"/>
          <w:szCs w:val="22"/>
          <w:lang w:val="en"/>
        </w:rPr>
        <w:t xml:space="preserve">FAQ and white paper processes. </w:t>
      </w:r>
      <w:r w:rsidR="00B6132A">
        <w:rPr>
          <w:rFonts w:ascii="Arial" w:hAnsi="Arial" w:cs="Arial"/>
          <w:sz w:val="22"/>
          <w:szCs w:val="22"/>
          <w:lang w:val="en"/>
        </w:rPr>
        <w:t xml:space="preserve">PI </w:t>
      </w:r>
      <w:r w:rsidRPr="001F207E">
        <w:rPr>
          <w:rFonts w:ascii="Arial" w:hAnsi="Arial" w:cs="Arial"/>
          <w:sz w:val="22"/>
          <w:szCs w:val="22"/>
          <w:lang w:val="en"/>
        </w:rPr>
        <w:t>FAQs and white papers that contain plant-specific security information will not be publicly available to help prevent provision of potentially useful information to a possible adversary.</w:t>
      </w:r>
    </w:p>
    <w:p w:rsidRPr="001F207E" w:rsidR="00431598" w:rsidRDefault="00431598" w14:paraId="098874E3" w14:textId="77777777">
      <w:pPr>
        <w:widowControl w:val="0"/>
        <w:rPr>
          <w:rFonts w:ascii="Arial" w:hAnsi="Arial" w:cs="Arial"/>
          <w:sz w:val="22"/>
          <w:szCs w:val="22"/>
        </w:rPr>
      </w:pPr>
    </w:p>
    <w:p w:rsidRPr="001F207E" w:rsidR="00431598" w:rsidP="00382D7E" w:rsidRDefault="00431598" w14:paraId="52F8EBF9" w14:textId="77777777">
      <w:pPr>
        <w:widowControl w:val="0"/>
        <w:ind w:left="360" w:hanging="360"/>
        <w:rPr>
          <w:rFonts w:ascii="Arial" w:hAnsi="Arial" w:cs="Arial"/>
          <w:sz w:val="22"/>
          <w:szCs w:val="22"/>
        </w:rPr>
      </w:pPr>
      <w:r w:rsidRPr="001F207E">
        <w:rPr>
          <w:rFonts w:ascii="Arial" w:hAnsi="Arial" w:cs="Arial"/>
          <w:sz w:val="22"/>
          <w:szCs w:val="22"/>
        </w:rPr>
        <w:t>2.</w:t>
      </w:r>
      <w:r w:rsidRPr="001F207E">
        <w:rPr>
          <w:rFonts w:ascii="Arial" w:hAnsi="Arial" w:cs="Arial"/>
          <w:sz w:val="22"/>
          <w:szCs w:val="22"/>
        </w:rPr>
        <w:tab/>
      </w:r>
      <w:r w:rsidRPr="001F207E">
        <w:rPr>
          <w:rFonts w:ascii="Arial" w:hAnsi="Arial" w:cs="Arial"/>
          <w:sz w:val="22"/>
          <w:szCs w:val="22"/>
          <w:u w:val="single"/>
        </w:rPr>
        <w:t>Agency Use of Information</w:t>
      </w:r>
    </w:p>
    <w:p w:rsidRPr="001F207E" w:rsidR="00431598" w:rsidRDefault="00431598" w14:paraId="3281A28C" w14:textId="77777777">
      <w:pPr>
        <w:widowControl w:val="0"/>
        <w:rPr>
          <w:rFonts w:ascii="Arial" w:hAnsi="Arial" w:cs="Arial"/>
          <w:sz w:val="22"/>
          <w:szCs w:val="22"/>
        </w:rPr>
      </w:pPr>
    </w:p>
    <w:p w:rsidRPr="001F207E" w:rsidR="00431598" w:rsidP="00382D7E" w:rsidRDefault="00431598" w14:paraId="3245AEB3" w14:textId="77777777">
      <w:pPr>
        <w:widowControl w:val="0"/>
        <w:ind w:left="360"/>
        <w:rPr>
          <w:rFonts w:ascii="Arial" w:hAnsi="Arial" w:cs="Arial"/>
          <w:sz w:val="22"/>
          <w:szCs w:val="22"/>
        </w:rPr>
      </w:pPr>
      <w:r w:rsidRPr="001F207E">
        <w:rPr>
          <w:rFonts w:ascii="Arial" w:hAnsi="Arial" w:cs="Arial"/>
          <w:sz w:val="22"/>
          <w:szCs w:val="22"/>
        </w:rPr>
        <w:t xml:space="preserve">The NRC uses PIs to assess licensee performance and determine the appropriate level of regulatory response.  </w:t>
      </w:r>
    </w:p>
    <w:p w:rsidRPr="001F207E" w:rsidR="00431598" w:rsidRDefault="00431598" w14:paraId="364BDAB3" w14:textId="77777777">
      <w:pPr>
        <w:widowControl w:val="0"/>
        <w:rPr>
          <w:rFonts w:ascii="Arial" w:hAnsi="Arial" w:cs="Arial"/>
          <w:sz w:val="22"/>
          <w:szCs w:val="22"/>
        </w:rPr>
      </w:pPr>
    </w:p>
    <w:p w:rsidRPr="001F207E" w:rsidR="00431598" w:rsidP="00382D7E" w:rsidRDefault="00431598" w14:paraId="1711DE6B" w14:textId="77777777">
      <w:pPr>
        <w:pStyle w:val="Level1"/>
        <w:numPr>
          <w:ilvl w:val="0"/>
          <w:numId w:val="9"/>
        </w:numPr>
        <w:ind w:left="360" w:hanging="360"/>
        <w:rPr>
          <w:rFonts w:ascii="Arial" w:hAnsi="Arial" w:cs="Arial"/>
          <w:sz w:val="22"/>
          <w:szCs w:val="22"/>
        </w:rPr>
      </w:pPr>
      <w:r w:rsidRPr="001F207E">
        <w:rPr>
          <w:rFonts w:ascii="Arial" w:hAnsi="Arial" w:cs="Arial"/>
          <w:sz w:val="22"/>
          <w:szCs w:val="22"/>
        </w:rPr>
        <w:tab/>
      </w:r>
      <w:r w:rsidRPr="001F207E">
        <w:rPr>
          <w:rFonts w:ascii="Arial" w:hAnsi="Arial" w:cs="Arial"/>
          <w:sz w:val="22"/>
          <w:szCs w:val="22"/>
          <w:u w:val="single"/>
        </w:rPr>
        <w:t>Reduction of Burden Through Information Technology</w:t>
      </w:r>
    </w:p>
    <w:p w:rsidRPr="001F207E" w:rsidR="00011C6B" w:rsidP="00011C6B" w:rsidRDefault="00011C6B" w14:paraId="238E7D19" w14:textId="77777777">
      <w:pPr>
        <w:pStyle w:val="Level1"/>
        <w:ind w:left="360"/>
        <w:rPr>
          <w:rFonts w:ascii="Arial" w:hAnsi="Arial" w:cs="Arial"/>
          <w:sz w:val="22"/>
          <w:szCs w:val="22"/>
          <w:u w:val="single"/>
        </w:rPr>
      </w:pPr>
    </w:p>
    <w:p w:rsidRPr="001F207E" w:rsidR="00011C6B" w:rsidP="00011C6B" w:rsidRDefault="00011C6B" w14:paraId="2C61F3D6" w14:textId="77777777">
      <w:pPr>
        <w:pStyle w:val="Level1"/>
        <w:ind w:left="360"/>
        <w:rPr>
          <w:rFonts w:ascii="Arial" w:hAnsi="Arial" w:cs="Arial"/>
          <w:sz w:val="22"/>
          <w:szCs w:val="22"/>
        </w:rPr>
      </w:pPr>
      <w:r w:rsidRPr="001F207E">
        <w:rPr>
          <w:rFonts w:ascii="Arial" w:hAnsi="Arial" w:cs="Arial"/>
          <w:sz w:val="22"/>
          <w:szCs w:val="22"/>
        </w:rPr>
        <w:t>There are no legal obstacles to reducing the burden associated with this information collection.  The NRC encourages respondents to use information technology when it would be beneficial to them.</w:t>
      </w:r>
    </w:p>
    <w:p w:rsidRPr="00E70FBF" w:rsidR="00431598" w:rsidP="00C203C7" w:rsidRDefault="00104ABA" w14:paraId="44D424B8" w14:textId="77777777">
      <w:pPr>
        <w:widowControl w:val="0"/>
        <w:rPr>
          <w:rFonts w:ascii="Arial" w:hAnsi="Arial" w:cs="Arial"/>
          <w:sz w:val="22"/>
          <w:szCs w:val="22"/>
        </w:rPr>
      </w:pPr>
      <w:r w:rsidRPr="001F207E">
        <w:rPr>
          <w:rFonts w:ascii="Arial" w:hAnsi="Arial" w:cs="Arial"/>
          <w:sz w:val="22"/>
          <w:szCs w:val="22"/>
        </w:rPr>
        <w:t xml:space="preserve">      </w:t>
      </w:r>
    </w:p>
    <w:p w:rsidRPr="001F207E" w:rsidR="004F5953" w:rsidP="004F5953" w:rsidRDefault="004F5953" w14:paraId="199187BB" w14:textId="152A3C6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2"/>
          <w:szCs w:val="22"/>
        </w:rPr>
      </w:pPr>
      <w:r w:rsidRPr="001F207E">
        <w:rPr>
          <w:rFonts w:ascii="Arial" w:hAnsi="Arial" w:cs="Arial"/>
          <w:sz w:val="22"/>
          <w:szCs w:val="22"/>
        </w:rPr>
        <w:t xml:space="preserve">The NRC has issued </w:t>
      </w:r>
      <w:hyperlink w:history="1" r:id="rId11">
        <w:r w:rsidRPr="001F207E">
          <w:rPr>
            <w:rStyle w:val="Hyperlink"/>
            <w:rFonts w:ascii="Arial" w:hAnsi="Arial" w:cs="Arial"/>
            <w:i/>
            <w:sz w:val="22"/>
            <w:szCs w:val="22"/>
          </w:rPr>
          <w:t>Guidance for Electronic Submissions to the NRC</w:t>
        </w:r>
      </w:hyperlink>
      <w:r w:rsidRPr="001F207E">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w:t>
      </w:r>
      <w:r w:rsidRPr="001F207E" w:rsidR="009224AB">
        <w:rPr>
          <w:rFonts w:ascii="Arial" w:hAnsi="Arial" w:cs="Arial"/>
          <w:sz w:val="22"/>
          <w:szCs w:val="22"/>
        </w:rPr>
        <w:t>,</w:t>
      </w:r>
      <w:r w:rsidRPr="001F207E">
        <w:rPr>
          <w:rFonts w:ascii="Arial" w:hAnsi="Arial" w:cs="Arial"/>
          <w:sz w:val="22"/>
          <w:szCs w:val="22"/>
        </w:rPr>
        <w:t xml:space="preserve"> CD-ROM, DVD), by facsimile or by e-mail.  It is estimated that approximately 100%</w:t>
      </w:r>
      <w:r w:rsidRPr="001F207E">
        <w:rPr>
          <w:rFonts w:ascii="Arial" w:hAnsi="Arial" w:cs="Arial"/>
          <w:b/>
          <w:sz w:val="22"/>
          <w:szCs w:val="22"/>
        </w:rPr>
        <w:t xml:space="preserve"> </w:t>
      </w:r>
      <w:r w:rsidRPr="001F207E">
        <w:rPr>
          <w:rFonts w:ascii="Arial" w:hAnsi="Arial" w:cs="Arial"/>
          <w:sz w:val="22"/>
          <w:szCs w:val="22"/>
        </w:rPr>
        <w:t xml:space="preserve">of the responses are </w:t>
      </w:r>
      <w:r w:rsidRPr="001F207E" w:rsidR="00E36259">
        <w:rPr>
          <w:rFonts w:ascii="Arial" w:hAnsi="Arial" w:cs="Arial"/>
          <w:sz w:val="22"/>
          <w:szCs w:val="22"/>
        </w:rPr>
        <w:t>received through email and the data is submitted in a text file</w:t>
      </w:r>
      <w:r w:rsidRPr="001F207E">
        <w:rPr>
          <w:rFonts w:ascii="Arial" w:hAnsi="Arial" w:cs="Arial"/>
          <w:sz w:val="22"/>
          <w:szCs w:val="22"/>
        </w:rPr>
        <w:t>.</w:t>
      </w:r>
    </w:p>
    <w:p w:rsidRPr="001F207E" w:rsidR="00431598" w:rsidP="00C203C7" w:rsidRDefault="00431598" w14:paraId="7F10BF16"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cs="Arial"/>
          <w:strike/>
          <w:sz w:val="22"/>
          <w:szCs w:val="22"/>
        </w:rPr>
      </w:pPr>
    </w:p>
    <w:p w:rsidRPr="001F207E" w:rsidR="00431598" w:rsidP="00382D7E" w:rsidRDefault="00431598" w14:paraId="407FAB00" w14:textId="77777777">
      <w:pPr>
        <w:widowControl w:val="0"/>
        <w:tabs>
          <w:tab w:val="left" w:pos="0"/>
          <w:tab w:val="left" w:pos="3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1F207E">
        <w:rPr>
          <w:rFonts w:ascii="Arial" w:hAnsi="Arial" w:cs="Arial"/>
          <w:sz w:val="22"/>
          <w:szCs w:val="22"/>
        </w:rPr>
        <w:t>4.</w:t>
      </w:r>
      <w:r w:rsidRPr="001F207E">
        <w:rPr>
          <w:rFonts w:ascii="Arial" w:hAnsi="Arial" w:cs="Arial"/>
          <w:sz w:val="22"/>
          <w:szCs w:val="22"/>
        </w:rPr>
        <w:tab/>
      </w:r>
      <w:r w:rsidRPr="001F207E">
        <w:rPr>
          <w:rFonts w:ascii="Arial" w:hAnsi="Arial" w:cs="Arial"/>
          <w:sz w:val="22"/>
          <w:szCs w:val="22"/>
          <w:u w:val="single"/>
        </w:rPr>
        <w:t>Effort to Identify Duplication and Use Similar Information</w:t>
      </w:r>
    </w:p>
    <w:p w:rsidRPr="001F207E" w:rsidR="00CE1603" w:rsidRDefault="00CE1603" w14:paraId="7CCFEA26" w14:textId="77777777">
      <w:pPr>
        <w:widowControl w:val="0"/>
        <w:rPr>
          <w:rFonts w:ascii="Arial" w:hAnsi="Arial" w:cs="Arial"/>
          <w:sz w:val="22"/>
          <w:szCs w:val="22"/>
        </w:rPr>
      </w:pPr>
      <w:r w:rsidRPr="001F207E">
        <w:rPr>
          <w:rFonts w:ascii="Arial" w:hAnsi="Arial" w:cs="Arial"/>
          <w:sz w:val="22"/>
          <w:szCs w:val="22"/>
        </w:rPr>
        <w:t xml:space="preserve">  </w:t>
      </w:r>
    </w:p>
    <w:p w:rsidRPr="001F207E" w:rsidR="002A19F1" w:rsidP="00164350" w:rsidRDefault="00F025CC" w14:paraId="4F56BB20" w14:textId="77777777">
      <w:pPr>
        <w:widowControl w:val="0"/>
        <w:ind w:left="360"/>
        <w:rPr>
          <w:rFonts w:ascii="Arial" w:hAnsi="Arial" w:cs="Arial"/>
          <w:sz w:val="22"/>
          <w:szCs w:val="22"/>
        </w:rPr>
      </w:pPr>
      <w:r w:rsidRPr="001F207E">
        <w:rPr>
          <w:rFonts w:ascii="Arial" w:hAnsi="Arial" w:cs="Arial"/>
          <w:sz w:val="22"/>
          <w:szCs w:val="22"/>
        </w:rPr>
        <w:t>L</w:t>
      </w:r>
      <w:r w:rsidRPr="001F207E" w:rsidR="00431598">
        <w:rPr>
          <w:rFonts w:ascii="Arial" w:hAnsi="Arial" w:cs="Arial"/>
          <w:sz w:val="22"/>
          <w:szCs w:val="22"/>
        </w:rPr>
        <w:t>icensees may report information similar to some PIs</w:t>
      </w:r>
      <w:r w:rsidRPr="001F207E" w:rsidR="009224AB">
        <w:rPr>
          <w:rFonts w:ascii="Arial" w:hAnsi="Arial" w:cs="Arial"/>
          <w:sz w:val="22"/>
          <w:szCs w:val="22"/>
        </w:rPr>
        <w:t xml:space="preserve"> to meet other NRC requirements; however,</w:t>
      </w:r>
      <w:r w:rsidRPr="001F207E" w:rsidR="00431598">
        <w:rPr>
          <w:rFonts w:ascii="Arial" w:hAnsi="Arial" w:cs="Arial"/>
          <w:sz w:val="22"/>
          <w:szCs w:val="22"/>
        </w:rPr>
        <w:t xml:space="preserve"> this information may not be reported in a manner that would allow for timely and adequate implementation of the ROP.  The industry </w:t>
      </w:r>
      <w:r w:rsidRPr="001F207E" w:rsidR="001F733D">
        <w:rPr>
          <w:rFonts w:ascii="Arial" w:hAnsi="Arial" w:cs="Arial"/>
          <w:sz w:val="22"/>
          <w:szCs w:val="22"/>
        </w:rPr>
        <w:t>prefers</w:t>
      </w:r>
      <w:r w:rsidRPr="001F207E" w:rsidR="00431598">
        <w:rPr>
          <w:rFonts w:ascii="Arial" w:hAnsi="Arial" w:cs="Arial"/>
          <w:sz w:val="22"/>
          <w:szCs w:val="22"/>
        </w:rPr>
        <w:t xml:space="preserve"> to report PIs separately from other reporting requirements to expedite the implementation of the ROP.</w:t>
      </w:r>
    </w:p>
    <w:p w:rsidRPr="001F207E" w:rsidR="002A19F1" w:rsidP="00382D7E" w:rsidRDefault="002A19F1" w14:paraId="4D559643" w14:textId="77777777">
      <w:pPr>
        <w:widowControl w:val="0"/>
        <w:ind w:left="360" w:hanging="360"/>
        <w:rPr>
          <w:rFonts w:ascii="Arial" w:hAnsi="Arial" w:cs="Arial"/>
          <w:sz w:val="22"/>
          <w:szCs w:val="22"/>
        </w:rPr>
      </w:pPr>
    </w:p>
    <w:p w:rsidRPr="001F207E" w:rsidR="00431598" w:rsidP="00382D7E" w:rsidRDefault="00431598" w14:paraId="677267CC" w14:textId="77777777">
      <w:pPr>
        <w:widowControl w:val="0"/>
        <w:ind w:left="360" w:hanging="360"/>
        <w:rPr>
          <w:rFonts w:ascii="Arial" w:hAnsi="Arial" w:cs="Arial"/>
          <w:sz w:val="22"/>
          <w:szCs w:val="22"/>
        </w:rPr>
      </w:pPr>
      <w:r w:rsidRPr="001F207E">
        <w:rPr>
          <w:rFonts w:ascii="Arial" w:hAnsi="Arial" w:cs="Arial"/>
          <w:sz w:val="22"/>
          <w:szCs w:val="22"/>
        </w:rPr>
        <w:t>5.</w:t>
      </w:r>
      <w:r w:rsidRPr="001F207E">
        <w:rPr>
          <w:rFonts w:ascii="Arial" w:hAnsi="Arial" w:cs="Arial"/>
          <w:sz w:val="22"/>
          <w:szCs w:val="22"/>
        </w:rPr>
        <w:tab/>
      </w:r>
      <w:r w:rsidRPr="001F207E">
        <w:rPr>
          <w:rFonts w:ascii="Arial" w:hAnsi="Arial" w:cs="Arial"/>
          <w:sz w:val="22"/>
          <w:szCs w:val="22"/>
          <w:u w:val="single"/>
        </w:rPr>
        <w:t>Effort to Reduce Small Business Burden</w:t>
      </w:r>
    </w:p>
    <w:p w:rsidRPr="001F207E" w:rsidR="00431598" w:rsidP="00C203C7" w:rsidRDefault="00431598" w14:paraId="2B04E6AF" w14:textId="77777777">
      <w:pPr>
        <w:widowControl w:val="0"/>
        <w:rPr>
          <w:rFonts w:ascii="Arial" w:hAnsi="Arial" w:cs="Arial"/>
          <w:sz w:val="22"/>
          <w:szCs w:val="22"/>
        </w:rPr>
      </w:pPr>
    </w:p>
    <w:p w:rsidRPr="001F207E" w:rsidR="00431598" w:rsidP="00382D7E" w:rsidRDefault="00431598" w14:paraId="76129ECA" w14:textId="77777777">
      <w:pPr>
        <w:widowControl w:val="0"/>
        <w:tabs>
          <w:tab w:val="left" w:pos="360"/>
        </w:tabs>
        <w:rPr>
          <w:rFonts w:ascii="Arial" w:hAnsi="Arial" w:cs="Arial"/>
          <w:sz w:val="22"/>
          <w:szCs w:val="22"/>
        </w:rPr>
      </w:pPr>
      <w:r w:rsidRPr="001F207E">
        <w:rPr>
          <w:rFonts w:ascii="Arial" w:hAnsi="Arial" w:cs="Arial"/>
          <w:sz w:val="22"/>
          <w:szCs w:val="22"/>
        </w:rPr>
        <w:tab/>
      </w:r>
      <w:r w:rsidRPr="001F207E" w:rsidR="00DA3B68">
        <w:rPr>
          <w:rFonts w:ascii="Arial" w:hAnsi="Arial" w:cs="Arial"/>
          <w:sz w:val="22"/>
          <w:szCs w:val="22"/>
        </w:rPr>
        <w:t>None of the respondents are small businesses.</w:t>
      </w:r>
    </w:p>
    <w:p w:rsidRPr="001F207E" w:rsidR="006C6DC6" w:rsidP="00382D7E" w:rsidRDefault="006C6DC6" w14:paraId="436295B5" w14:textId="77777777">
      <w:pPr>
        <w:widowControl w:val="0"/>
        <w:ind w:left="360" w:hanging="360"/>
        <w:rPr>
          <w:rFonts w:ascii="Arial" w:hAnsi="Arial" w:cs="Arial"/>
          <w:sz w:val="22"/>
          <w:szCs w:val="22"/>
        </w:rPr>
      </w:pPr>
    </w:p>
    <w:p w:rsidRPr="001F207E" w:rsidR="00431598" w:rsidP="00382D7E" w:rsidRDefault="00431598" w14:paraId="38161101" w14:textId="77777777">
      <w:pPr>
        <w:widowControl w:val="0"/>
        <w:ind w:left="360" w:hanging="360"/>
        <w:rPr>
          <w:rFonts w:ascii="Arial" w:hAnsi="Arial" w:cs="Arial"/>
          <w:sz w:val="22"/>
          <w:szCs w:val="22"/>
        </w:rPr>
      </w:pPr>
      <w:r w:rsidRPr="001F207E">
        <w:rPr>
          <w:rFonts w:ascii="Arial" w:hAnsi="Arial" w:cs="Arial"/>
          <w:sz w:val="22"/>
          <w:szCs w:val="22"/>
        </w:rPr>
        <w:t>6.</w:t>
      </w:r>
      <w:r w:rsidRPr="001F207E">
        <w:rPr>
          <w:rFonts w:ascii="Arial" w:hAnsi="Arial" w:cs="Arial"/>
          <w:sz w:val="22"/>
          <w:szCs w:val="22"/>
        </w:rPr>
        <w:tab/>
      </w:r>
      <w:r w:rsidRPr="001F207E">
        <w:rPr>
          <w:rFonts w:ascii="Arial" w:hAnsi="Arial" w:cs="Arial"/>
          <w:sz w:val="22"/>
          <w:szCs w:val="22"/>
          <w:u w:val="single"/>
        </w:rPr>
        <w:t>Consequences to Federal Program or Policy Activities if the Collection is not Conducted or is Conducted Less Frequently</w:t>
      </w:r>
    </w:p>
    <w:p w:rsidRPr="001F207E" w:rsidR="00431598" w:rsidRDefault="00431598" w14:paraId="41971B72" w14:textId="77777777">
      <w:pPr>
        <w:widowControl w:val="0"/>
        <w:rPr>
          <w:rFonts w:ascii="Arial" w:hAnsi="Arial" w:cs="Arial"/>
          <w:sz w:val="22"/>
          <w:szCs w:val="22"/>
        </w:rPr>
      </w:pPr>
    </w:p>
    <w:p w:rsidRPr="001F207E" w:rsidR="00CB6BD1" w:rsidP="00CB6BD1" w:rsidRDefault="0030476D" w14:paraId="5D04B436" w14:textId="105BFF62">
      <w:pPr>
        <w:widowControl w:val="0"/>
        <w:ind w:left="360"/>
        <w:rPr>
          <w:rFonts w:ascii="Arial" w:hAnsi="Arial" w:cs="Arial"/>
          <w:sz w:val="22"/>
          <w:szCs w:val="22"/>
        </w:rPr>
      </w:pPr>
      <w:r w:rsidRPr="001F207E">
        <w:rPr>
          <w:rFonts w:ascii="Arial" w:hAnsi="Arial" w:cs="Arial"/>
          <w:sz w:val="22"/>
          <w:szCs w:val="22"/>
        </w:rPr>
        <w:t xml:space="preserve">The reporting of PIs provides </w:t>
      </w:r>
      <w:r w:rsidRPr="001F207E" w:rsidR="00750F66">
        <w:rPr>
          <w:rFonts w:ascii="Arial" w:hAnsi="Arial" w:cs="Arial"/>
          <w:sz w:val="22"/>
          <w:szCs w:val="22"/>
        </w:rPr>
        <w:t xml:space="preserve">an </w:t>
      </w:r>
      <w:r w:rsidRPr="001F207E">
        <w:rPr>
          <w:rFonts w:ascii="Arial" w:hAnsi="Arial" w:cs="Arial"/>
          <w:sz w:val="22"/>
          <w:szCs w:val="22"/>
        </w:rPr>
        <w:t xml:space="preserve">efficient and effective </w:t>
      </w:r>
      <w:r w:rsidRPr="001F207E" w:rsidR="00750F66">
        <w:rPr>
          <w:rFonts w:ascii="Arial" w:hAnsi="Arial" w:cs="Arial"/>
          <w:sz w:val="22"/>
          <w:szCs w:val="22"/>
        </w:rPr>
        <w:t>mechanism</w:t>
      </w:r>
      <w:r w:rsidRPr="001F207E">
        <w:rPr>
          <w:rFonts w:ascii="Arial" w:hAnsi="Arial" w:cs="Arial"/>
          <w:sz w:val="22"/>
          <w:szCs w:val="22"/>
        </w:rPr>
        <w:t xml:space="preserve"> for the NRC to obtain information that is essential to </w:t>
      </w:r>
      <w:r w:rsidRPr="001F207E" w:rsidR="009224AB">
        <w:rPr>
          <w:rFonts w:ascii="Arial" w:hAnsi="Arial" w:cs="Arial"/>
          <w:sz w:val="22"/>
          <w:szCs w:val="22"/>
        </w:rPr>
        <w:t xml:space="preserve">an effective oversight program.  </w:t>
      </w:r>
      <w:r w:rsidRPr="001F207E">
        <w:rPr>
          <w:rFonts w:ascii="Arial" w:hAnsi="Arial" w:cs="Arial"/>
          <w:sz w:val="22"/>
          <w:szCs w:val="22"/>
        </w:rPr>
        <w:t xml:space="preserve">Less frequent collection of this information would result in increased licensee burden as the </w:t>
      </w:r>
      <w:r w:rsidRPr="001F207E" w:rsidR="00431598">
        <w:rPr>
          <w:rFonts w:ascii="Arial" w:hAnsi="Arial" w:cs="Arial"/>
          <w:sz w:val="22"/>
          <w:szCs w:val="22"/>
        </w:rPr>
        <w:t xml:space="preserve">NRC would be </w:t>
      </w:r>
      <w:r w:rsidRPr="001F207E">
        <w:rPr>
          <w:rFonts w:ascii="Arial" w:hAnsi="Arial" w:cs="Arial"/>
          <w:sz w:val="22"/>
          <w:szCs w:val="22"/>
        </w:rPr>
        <w:t xml:space="preserve">required </w:t>
      </w:r>
      <w:r w:rsidRPr="001F207E" w:rsidR="00431598">
        <w:rPr>
          <w:rFonts w:ascii="Arial" w:hAnsi="Arial" w:cs="Arial"/>
          <w:sz w:val="22"/>
          <w:szCs w:val="22"/>
        </w:rPr>
        <w:t xml:space="preserve">to increase the number of inspections at licensee facilities to obtain </w:t>
      </w:r>
      <w:r w:rsidRPr="001F207E">
        <w:rPr>
          <w:rFonts w:ascii="Arial" w:hAnsi="Arial" w:cs="Arial"/>
          <w:sz w:val="22"/>
          <w:szCs w:val="22"/>
        </w:rPr>
        <w:t xml:space="preserve">the information currently provided by the reporting of </w:t>
      </w:r>
      <w:r w:rsidRPr="001F207E" w:rsidR="00750F66">
        <w:rPr>
          <w:rFonts w:ascii="Arial" w:hAnsi="Arial" w:cs="Arial"/>
          <w:sz w:val="22"/>
          <w:szCs w:val="22"/>
        </w:rPr>
        <w:t>PIs</w:t>
      </w:r>
      <w:r w:rsidRPr="001F207E">
        <w:rPr>
          <w:rFonts w:ascii="Arial" w:hAnsi="Arial" w:cs="Arial"/>
          <w:sz w:val="22"/>
          <w:szCs w:val="22"/>
        </w:rPr>
        <w:t xml:space="preserve">.  </w:t>
      </w:r>
    </w:p>
    <w:p w:rsidRPr="001F207E" w:rsidR="009062D4" w:rsidP="009062D4" w:rsidRDefault="009062D4" w14:paraId="1882669E" w14:textId="77777777">
      <w:pPr>
        <w:widowControl w:val="0"/>
        <w:rPr>
          <w:rFonts w:ascii="Arial" w:hAnsi="Arial" w:cs="Arial"/>
          <w:sz w:val="22"/>
          <w:szCs w:val="22"/>
        </w:rPr>
      </w:pPr>
    </w:p>
    <w:p w:rsidRPr="001F207E" w:rsidR="00431598" w:rsidP="009062D4" w:rsidRDefault="00CB6BD1" w14:paraId="5DA77D8F" w14:textId="77777777">
      <w:pPr>
        <w:widowControl w:val="0"/>
        <w:rPr>
          <w:rFonts w:ascii="Arial" w:hAnsi="Arial" w:cs="Arial"/>
          <w:sz w:val="22"/>
          <w:szCs w:val="22"/>
          <w:u w:val="single"/>
        </w:rPr>
      </w:pPr>
      <w:r w:rsidRPr="001F207E">
        <w:rPr>
          <w:rFonts w:ascii="Arial" w:hAnsi="Arial" w:cs="Arial"/>
          <w:sz w:val="22"/>
          <w:szCs w:val="22"/>
        </w:rPr>
        <w:t>7</w:t>
      </w:r>
      <w:r w:rsidRPr="001F207E" w:rsidR="009224AB">
        <w:rPr>
          <w:rFonts w:ascii="Arial" w:hAnsi="Arial" w:cs="Arial"/>
          <w:sz w:val="22"/>
          <w:szCs w:val="22"/>
        </w:rPr>
        <w:t xml:space="preserve">.  </w:t>
      </w:r>
      <w:r w:rsidRPr="001F207E">
        <w:rPr>
          <w:rFonts w:ascii="Arial" w:hAnsi="Arial" w:cs="Arial"/>
          <w:sz w:val="22"/>
          <w:szCs w:val="22"/>
          <w:u w:val="single"/>
        </w:rPr>
        <w:t>C</w:t>
      </w:r>
      <w:r w:rsidRPr="001F207E" w:rsidR="00431598">
        <w:rPr>
          <w:rFonts w:ascii="Arial" w:hAnsi="Arial" w:cs="Arial"/>
          <w:sz w:val="22"/>
          <w:szCs w:val="22"/>
          <w:u w:val="single"/>
        </w:rPr>
        <w:t>ircumstances Which Justify Variation from OMB Guidelines</w:t>
      </w:r>
    </w:p>
    <w:p w:rsidRPr="001F207E" w:rsidR="00492CBA" w:rsidP="00382D7E" w:rsidRDefault="00431598" w14:paraId="7D88BFB2" w14:textId="77777777">
      <w:pPr>
        <w:widowControl w:val="0"/>
        <w:tabs>
          <w:tab w:val="left" w:pos="360"/>
        </w:tabs>
        <w:rPr>
          <w:rFonts w:ascii="Arial" w:hAnsi="Arial" w:cs="Arial"/>
          <w:sz w:val="22"/>
          <w:szCs w:val="22"/>
        </w:rPr>
      </w:pPr>
      <w:r w:rsidRPr="001F207E">
        <w:rPr>
          <w:rFonts w:ascii="Arial" w:hAnsi="Arial" w:cs="Arial"/>
          <w:sz w:val="22"/>
          <w:szCs w:val="22"/>
        </w:rPr>
        <w:tab/>
      </w:r>
    </w:p>
    <w:p w:rsidRPr="001F207E" w:rsidR="00431598" w:rsidP="00382D7E" w:rsidRDefault="00492CBA" w14:paraId="022F0D53" w14:textId="77777777">
      <w:pPr>
        <w:widowControl w:val="0"/>
        <w:tabs>
          <w:tab w:val="left" w:pos="360"/>
        </w:tabs>
        <w:rPr>
          <w:rFonts w:ascii="Arial" w:hAnsi="Arial" w:cs="Arial"/>
          <w:sz w:val="22"/>
          <w:szCs w:val="22"/>
        </w:rPr>
      </w:pPr>
      <w:r w:rsidRPr="001F207E">
        <w:rPr>
          <w:rFonts w:ascii="Arial" w:hAnsi="Arial" w:cs="Arial"/>
          <w:sz w:val="22"/>
          <w:szCs w:val="22"/>
        </w:rPr>
        <w:tab/>
      </w:r>
      <w:r w:rsidRPr="001F207E" w:rsidR="00431598">
        <w:rPr>
          <w:rFonts w:ascii="Arial" w:hAnsi="Arial" w:cs="Arial"/>
          <w:sz w:val="22"/>
          <w:szCs w:val="22"/>
        </w:rPr>
        <w:t>This information collection does not vary from OMB guidelines.</w:t>
      </w:r>
    </w:p>
    <w:p w:rsidRPr="001F207E" w:rsidR="00431598" w:rsidRDefault="00431598" w14:paraId="621ECDCA" w14:textId="77777777">
      <w:pPr>
        <w:widowControl w:val="0"/>
        <w:rPr>
          <w:rFonts w:ascii="Arial" w:hAnsi="Arial" w:cs="Arial"/>
          <w:sz w:val="22"/>
          <w:szCs w:val="22"/>
        </w:rPr>
      </w:pPr>
    </w:p>
    <w:p w:rsidRPr="004A5373" w:rsidR="00431598" w:rsidP="00382D7E" w:rsidRDefault="00431598" w14:paraId="52C9B7C5" w14:textId="77777777">
      <w:pPr>
        <w:widowControl w:val="0"/>
        <w:ind w:left="360" w:hanging="360"/>
        <w:rPr>
          <w:rFonts w:ascii="Arial" w:hAnsi="Arial" w:cs="Arial"/>
          <w:sz w:val="22"/>
          <w:szCs w:val="22"/>
        </w:rPr>
      </w:pPr>
      <w:r w:rsidRPr="001F207E">
        <w:rPr>
          <w:rFonts w:ascii="Arial" w:hAnsi="Arial" w:cs="Arial"/>
          <w:sz w:val="22"/>
          <w:szCs w:val="22"/>
        </w:rPr>
        <w:t>8.</w:t>
      </w:r>
      <w:r w:rsidRPr="001F207E">
        <w:rPr>
          <w:rFonts w:ascii="Arial" w:hAnsi="Arial" w:cs="Arial"/>
          <w:sz w:val="22"/>
          <w:szCs w:val="22"/>
        </w:rPr>
        <w:tab/>
      </w:r>
      <w:r w:rsidRPr="004A5373">
        <w:rPr>
          <w:rFonts w:ascii="Arial" w:hAnsi="Arial" w:cs="Arial"/>
          <w:sz w:val="22"/>
          <w:szCs w:val="22"/>
          <w:u w:val="single"/>
        </w:rPr>
        <w:t>Consultations Outside the NRC</w:t>
      </w:r>
    </w:p>
    <w:p w:rsidRPr="004A5373" w:rsidR="00431598" w:rsidP="00C203C7" w:rsidRDefault="00431598" w14:paraId="1F9BD4F0" w14:textId="77777777">
      <w:pPr>
        <w:widowControl w:val="0"/>
        <w:rPr>
          <w:rFonts w:ascii="Arial" w:hAnsi="Arial" w:cs="Arial"/>
          <w:sz w:val="22"/>
          <w:szCs w:val="22"/>
        </w:rPr>
      </w:pPr>
    </w:p>
    <w:p w:rsidRPr="004A5373" w:rsidR="00F54331" w:rsidP="00F54331" w:rsidRDefault="00F54331" w14:paraId="1E3BBA33" w14:textId="0E911B1C">
      <w:pPr>
        <w:widowControl w:val="0"/>
        <w:ind w:left="360"/>
        <w:rPr>
          <w:rFonts w:ascii="Arial" w:hAnsi="Arial" w:cs="Arial"/>
          <w:iCs/>
          <w:sz w:val="22"/>
          <w:szCs w:val="22"/>
        </w:rPr>
      </w:pPr>
      <w:r w:rsidRPr="004A5373">
        <w:rPr>
          <w:rFonts w:ascii="Arial" w:hAnsi="Arial" w:cs="Arial"/>
          <w:iCs/>
          <w:sz w:val="22"/>
          <w:szCs w:val="22"/>
        </w:rPr>
        <w:t>Opportunity for public comment on the information collection requirements for this</w:t>
      </w:r>
      <w:r w:rsidR="00E22A2B">
        <w:rPr>
          <w:rFonts w:ascii="Arial" w:hAnsi="Arial" w:cs="Arial"/>
          <w:iCs/>
          <w:sz w:val="22"/>
          <w:szCs w:val="22"/>
        </w:rPr>
        <w:t xml:space="preserve"> </w:t>
      </w:r>
      <w:r w:rsidRPr="004A5373">
        <w:rPr>
          <w:rFonts w:ascii="Arial" w:hAnsi="Arial" w:cs="Arial"/>
          <w:iCs/>
          <w:sz w:val="22"/>
          <w:szCs w:val="22"/>
        </w:rPr>
        <w:t xml:space="preserve">clearance package was published in the </w:t>
      </w:r>
      <w:r w:rsidRPr="004A5373">
        <w:rPr>
          <w:rFonts w:ascii="Arial" w:hAnsi="Arial" w:cs="Arial"/>
          <w:sz w:val="22"/>
          <w:szCs w:val="22"/>
          <w:u w:val="single"/>
        </w:rPr>
        <w:t>Federal Register</w:t>
      </w:r>
      <w:r w:rsidRPr="004A5373">
        <w:rPr>
          <w:rFonts w:ascii="Arial" w:hAnsi="Arial" w:cs="Arial"/>
          <w:i/>
          <w:iCs/>
          <w:sz w:val="22"/>
          <w:szCs w:val="22"/>
        </w:rPr>
        <w:t xml:space="preserve"> </w:t>
      </w:r>
      <w:r w:rsidRPr="004A5373">
        <w:rPr>
          <w:rFonts w:ascii="Arial" w:hAnsi="Arial" w:cs="Arial"/>
          <w:iCs/>
          <w:sz w:val="22"/>
          <w:szCs w:val="22"/>
        </w:rPr>
        <w:t xml:space="preserve">on </w:t>
      </w:r>
      <w:r w:rsidRPr="004A5373" w:rsidR="004E6666">
        <w:rPr>
          <w:rFonts w:ascii="Arial" w:hAnsi="Arial" w:cs="Arial"/>
          <w:iCs/>
          <w:sz w:val="22"/>
          <w:szCs w:val="22"/>
        </w:rPr>
        <w:t>January</w:t>
      </w:r>
      <w:r w:rsidRPr="004A5373">
        <w:rPr>
          <w:rFonts w:ascii="Arial" w:hAnsi="Arial" w:cs="Arial"/>
          <w:iCs/>
          <w:sz w:val="22"/>
          <w:szCs w:val="22"/>
        </w:rPr>
        <w:t xml:space="preserve"> 8, 2021</w:t>
      </w:r>
      <w:r w:rsidR="00313D6D">
        <w:rPr>
          <w:rFonts w:ascii="Arial" w:hAnsi="Arial" w:cs="Arial"/>
          <w:iCs/>
          <w:sz w:val="22"/>
          <w:szCs w:val="22"/>
        </w:rPr>
        <w:t xml:space="preserve"> </w:t>
      </w:r>
      <w:r w:rsidRPr="004A5373">
        <w:rPr>
          <w:rFonts w:ascii="Arial" w:hAnsi="Arial" w:cs="Arial"/>
          <w:iCs/>
          <w:sz w:val="22"/>
          <w:szCs w:val="22"/>
        </w:rPr>
        <w:t xml:space="preserve">(86 FR 1544).  Additionally, NRC staff contacted </w:t>
      </w:r>
      <w:r w:rsidRPr="004A5373" w:rsidR="00F92612">
        <w:rPr>
          <w:rFonts w:ascii="Arial" w:hAnsi="Arial" w:cs="Arial"/>
          <w:iCs/>
          <w:sz w:val="22"/>
          <w:szCs w:val="22"/>
        </w:rPr>
        <w:t>five</w:t>
      </w:r>
      <w:r w:rsidRPr="004A5373">
        <w:rPr>
          <w:rFonts w:ascii="Arial" w:hAnsi="Arial" w:cs="Arial"/>
          <w:iCs/>
          <w:sz w:val="22"/>
          <w:szCs w:val="22"/>
        </w:rPr>
        <w:t xml:space="preserve"> stakeholders via email. </w:t>
      </w:r>
      <w:r w:rsidR="00F0137D">
        <w:rPr>
          <w:rFonts w:ascii="Arial" w:hAnsi="Arial" w:cs="Arial"/>
          <w:iCs/>
          <w:sz w:val="22"/>
          <w:szCs w:val="22"/>
        </w:rPr>
        <w:t xml:space="preserve"> </w:t>
      </w:r>
      <w:r w:rsidRPr="004A5373">
        <w:rPr>
          <w:rFonts w:ascii="Arial" w:hAnsi="Arial" w:cs="Arial"/>
          <w:iCs/>
          <w:sz w:val="22"/>
          <w:szCs w:val="22"/>
        </w:rPr>
        <w:t>The</w:t>
      </w:r>
      <w:r w:rsidR="00313D6D">
        <w:rPr>
          <w:rFonts w:ascii="Arial" w:hAnsi="Arial" w:cs="Arial"/>
          <w:iCs/>
          <w:sz w:val="22"/>
          <w:szCs w:val="22"/>
        </w:rPr>
        <w:t xml:space="preserve"> </w:t>
      </w:r>
      <w:r w:rsidRPr="004A5373">
        <w:rPr>
          <w:rFonts w:ascii="Arial" w:hAnsi="Arial" w:cs="Arial"/>
          <w:iCs/>
          <w:sz w:val="22"/>
          <w:szCs w:val="22"/>
        </w:rPr>
        <w:t xml:space="preserve">stakeholders were reactor owner licensee representatives </w:t>
      </w:r>
      <w:r w:rsidRPr="004A5373" w:rsidR="00825909">
        <w:rPr>
          <w:rFonts w:ascii="Arial" w:hAnsi="Arial" w:cs="Arial"/>
          <w:iCs/>
          <w:sz w:val="22"/>
          <w:szCs w:val="22"/>
        </w:rPr>
        <w:t>and third</w:t>
      </w:r>
      <w:r w:rsidRPr="004A5373" w:rsidR="00825909">
        <w:rPr>
          <w:rFonts w:ascii="Arial" w:hAnsi="Arial" w:cs="Arial"/>
          <w:iCs/>
          <w:sz w:val="22"/>
          <w:szCs w:val="22"/>
        </w:rPr>
        <w:noBreakHyphen/>
        <w:t>party interested stakeholder</w:t>
      </w:r>
      <w:r w:rsidR="00F0137D">
        <w:rPr>
          <w:rFonts w:ascii="Arial" w:hAnsi="Arial" w:cs="Arial"/>
          <w:iCs/>
          <w:sz w:val="22"/>
          <w:szCs w:val="22"/>
        </w:rPr>
        <w:t>s</w:t>
      </w:r>
      <w:r w:rsidRPr="004A5373" w:rsidR="00825909">
        <w:rPr>
          <w:rFonts w:ascii="Arial" w:hAnsi="Arial" w:cs="Arial"/>
          <w:iCs/>
          <w:sz w:val="22"/>
          <w:szCs w:val="22"/>
        </w:rPr>
        <w:t xml:space="preserve"> </w:t>
      </w:r>
      <w:r w:rsidRPr="004A5373">
        <w:rPr>
          <w:rFonts w:ascii="Arial" w:hAnsi="Arial" w:cs="Arial"/>
          <w:iCs/>
          <w:sz w:val="22"/>
          <w:szCs w:val="22"/>
        </w:rPr>
        <w:t xml:space="preserve">from </w:t>
      </w:r>
      <w:r w:rsidRPr="004A5373" w:rsidR="00092C34">
        <w:rPr>
          <w:rFonts w:ascii="Arial" w:hAnsi="Arial" w:cs="Arial"/>
          <w:iCs/>
          <w:sz w:val="22"/>
          <w:szCs w:val="22"/>
        </w:rPr>
        <w:t>Energy</w:t>
      </w:r>
      <w:r w:rsidRPr="004A5373" w:rsidR="004A593F">
        <w:rPr>
          <w:rFonts w:ascii="Arial" w:hAnsi="Arial" w:cs="Arial"/>
          <w:iCs/>
          <w:sz w:val="22"/>
          <w:szCs w:val="22"/>
        </w:rPr>
        <w:t xml:space="preserve"> </w:t>
      </w:r>
      <w:r w:rsidRPr="004A5373" w:rsidR="00092C34">
        <w:rPr>
          <w:rFonts w:ascii="Arial" w:hAnsi="Arial" w:cs="Arial"/>
          <w:iCs/>
          <w:sz w:val="22"/>
          <w:szCs w:val="22"/>
        </w:rPr>
        <w:t>Northwest</w:t>
      </w:r>
      <w:r w:rsidRPr="004A5373" w:rsidR="000E768E">
        <w:rPr>
          <w:rFonts w:ascii="Arial" w:hAnsi="Arial" w:cs="Arial"/>
          <w:iCs/>
          <w:sz w:val="22"/>
          <w:szCs w:val="22"/>
        </w:rPr>
        <w:t xml:space="preserve">, </w:t>
      </w:r>
      <w:r w:rsidRPr="004A5373" w:rsidR="00643AEE">
        <w:rPr>
          <w:rFonts w:ascii="Arial" w:hAnsi="Arial" w:cs="Arial"/>
          <w:color w:val="333333"/>
          <w:sz w:val="22"/>
          <w:szCs w:val="22"/>
          <w:shd w:val="clear" w:color="auto" w:fill="FFFFFF"/>
        </w:rPr>
        <w:t xml:space="preserve">Entergy Nuclear Operations, Inc., Evergy Electric Services Co., </w:t>
      </w:r>
      <w:r w:rsidRPr="004A5373" w:rsidR="00E821F6">
        <w:rPr>
          <w:rFonts w:ascii="Arial" w:hAnsi="Arial" w:cs="Arial"/>
          <w:color w:val="333333"/>
          <w:sz w:val="22"/>
          <w:szCs w:val="22"/>
          <w:shd w:val="clear" w:color="auto" w:fill="FFFFFF"/>
        </w:rPr>
        <w:t>Florida Power &amp; Light Co. and the Nuclear Energy Institute</w:t>
      </w:r>
      <w:r w:rsidRPr="004A5373" w:rsidR="00827004">
        <w:rPr>
          <w:rFonts w:ascii="Arial" w:hAnsi="Arial" w:cs="Arial"/>
          <w:color w:val="333333"/>
          <w:sz w:val="22"/>
          <w:szCs w:val="22"/>
          <w:shd w:val="clear" w:color="auto" w:fill="FFFFFF"/>
        </w:rPr>
        <w:t xml:space="preserve"> (NEI)</w:t>
      </w:r>
      <w:r w:rsidRPr="004A5373">
        <w:rPr>
          <w:rFonts w:ascii="Arial" w:hAnsi="Arial" w:cs="Arial"/>
          <w:iCs/>
          <w:sz w:val="22"/>
          <w:szCs w:val="22"/>
        </w:rPr>
        <w:t xml:space="preserve">.  </w:t>
      </w:r>
    </w:p>
    <w:p w:rsidRPr="004A5373" w:rsidR="00F54331" w:rsidP="003A58CA" w:rsidRDefault="00F54331" w14:paraId="0E2ACF9A" w14:textId="77777777">
      <w:pPr>
        <w:widowControl w:val="0"/>
        <w:ind w:left="360"/>
        <w:rPr>
          <w:rFonts w:ascii="Arial" w:hAnsi="Arial" w:cs="Arial"/>
          <w:sz w:val="22"/>
          <w:szCs w:val="22"/>
        </w:rPr>
      </w:pPr>
    </w:p>
    <w:p w:rsidRPr="004A5373" w:rsidR="00827004" w:rsidP="0069630A" w:rsidRDefault="00BF7222" w14:paraId="208EBCDB" w14:textId="37EE762D">
      <w:pPr>
        <w:pStyle w:val="Default"/>
        <w:ind w:left="360"/>
        <w:rPr>
          <w:sz w:val="22"/>
          <w:szCs w:val="22"/>
        </w:rPr>
      </w:pPr>
      <w:r>
        <w:rPr>
          <w:iCs/>
          <w:sz w:val="22"/>
          <w:szCs w:val="22"/>
        </w:rPr>
        <w:t>The NRC</w:t>
      </w:r>
      <w:r w:rsidRPr="004A5373" w:rsidR="00827004">
        <w:rPr>
          <w:iCs/>
          <w:sz w:val="22"/>
          <w:szCs w:val="22"/>
        </w:rPr>
        <w:t xml:space="preserve"> received one letter with comments from NEI</w:t>
      </w:r>
      <w:r w:rsidRPr="004A5373" w:rsidR="00807A28">
        <w:rPr>
          <w:iCs/>
          <w:sz w:val="22"/>
          <w:szCs w:val="22"/>
        </w:rPr>
        <w:t>,</w:t>
      </w:r>
      <w:r w:rsidRPr="004A5373" w:rsidR="0069630A">
        <w:rPr>
          <w:iCs/>
          <w:sz w:val="22"/>
          <w:szCs w:val="22"/>
        </w:rPr>
        <w:t xml:space="preserve"> </w:t>
      </w:r>
      <w:r w:rsidRPr="004A5373" w:rsidR="00807A28">
        <w:rPr>
          <w:iCs/>
          <w:sz w:val="22"/>
          <w:szCs w:val="22"/>
        </w:rPr>
        <w:t>“</w:t>
      </w:r>
      <w:r w:rsidRPr="004A5373" w:rsidR="00807A28">
        <w:rPr>
          <w:sz w:val="22"/>
          <w:szCs w:val="22"/>
        </w:rPr>
        <w:t>Information</w:t>
      </w:r>
      <w:r w:rsidRPr="004A5373" w:rsidR="0069630A">
        <w:rPr>
          <w:sz w:val="22"/>
          <w:szCs w:val="22"/>
        </w:rPr>
        <w:t xml:space="preserve"> Collection: Voluntary Reporting of Performance Indicators [Docket NRC-2020-0185]” (ADAMS Accession Number </w:t>
      </w:r>
      <w:r w:rsidRPr="004A5373" w:rsidR="005938A0">
        <w:rPr>
          <w:sz w:val="22"/>
          <w:szCs w:val="22"/>
        </w:rPr>
        <w:t>ML21089A090)</w:t>
      </w:r>
      <w:r w:rsidRPr="004A5373" w:rsidR="00827004">
        <w:rPr>
          <w:iCs/>
          <w:sz w:val="22"/>
          <w:szCs w:val="22"/>
        </w:rPr>
        <w:t xml:space="preserve">.  </w:t>
      </w:r>
      <w:r w:rsidR="00C72521">
        <w:rPr>
          <w:iCs/>
          <w:sz w:val="22"/>
          <w:szCs w:val="22"/>
        </w:rPr>
        <w:t xml:space="preserve">Prior </w:t>
      </w:r>
      <w:r w:rsidR="0050221F">
        <w:rPr>
          <w:iCs/>
          <w:sz w:val="22"/>
          <w:szCs w:val="22"/>
        </w:rPr>
        <w:t>to submitting comments, NEI conducted a survey of its members regarding burden estimates for submitting</w:t>
      </w:r>
      <w:r w:rsidR="00EF5255">
        <w:rPr>
          <w:iCs/>
          <w:sz w:val="22"/>
          <w:szCs w:val="22"/>
        </w:rPr>
        <w:t xml:space="preserve"> quarterly</w:t>
      </w:r>
      <w:r w:rsidR="0050221F">
        <w:rPr>
          <w:iCs/>
          <w:sz w:val="22"/>
          <w:szCs w:val="22"/>
        </w:rPr>
        <w:t xml:space="preserve"> performance indicators.  This survey was conducted independently and without </w:t>
      </w:r>
      <w:r w:rsidR="00BF49C0">
        <w:rPr>
          <w:iCs/>
          <w:sz w:val="22"/>
          <w:szCs w:val="22"/>
        </w:rPr>
        <w:t>NRC staff</w:t>
      </w:r>
      <w:r w:rsidR="00B863EA">
        <w:rPr>
          <w:iCs/>
          <w:sz w:val="22"/>
          <w:szCs w:val="22"/>
        </w:rPr>
        <w:t xml:space="preserve"> knowledge</w:t>
      </w:r>
      <w:r w:rsidR="00BF49C0">
        <w:rPr>
          <w:iCs/>
          <w:sz w:val="22"/>
          <w:szCs w:val="22"/>
        </w:rPr>
        <w:t>.</w:t>
      </w:r>
      <w:r w:rsidR="00C72521">
        <w:rPr>
          <w:iCs/>
          <w:sz w:val="22"/>
          <w:szCs w:val="22"/>
        </w:rPr>
        <w:t xml:space="preserve"> </w:t>
      </w:r>
      <w:r w:rsidR="00C32814">
        <w:rPr>
          <w:iCs/>
          <w:sz w:val="22"/>
          <w:szCs w:val="22"/>
        </w:rPr>
        <w:t xml:space="preserve"> </w:t>
      </w:r>
      <w:r w:rsidRPr="004A5373" w:rsidR="00827004">
        <w:rPr>
          <w:iCs/>
          <w:sz w:val="22"/>
          <w:szCs w:val="22"/>
        </w:rPr>
        <w:t xml:space="preserve">The NRC staff followed up with a call </w:t>
      </w:r>
      <w:r w:rsidRPr="004A5373" w:rsidR="00233860">
        <w:rPr>
          <w:iCs/>
          <w:sz w:val="22"/>
          <w:szCs w:val="22"/>
        </w:rPr>
        <w:t xml:space="preserve">to </w:t>
      </w:r>
      <w:r w:rsidRPr="004A5373" w:rsidR="00827004">
        <w:rPr>
          <w:iCs/>
          <w:sz w:val="22"/>
          <w:szCs w:val="22"/>
        </w:rPr>
        <w:t xml:space="preserve">the commenter to obtain clarification on the comments received.  </w:t>
      </w:r>
      <w:r w:rsidR="00F0137D">
        <w:rPr>
          <w:iCs/>
          <w:sz w:val="22"/>
          <w:szCs w:val="22"/>
        </w:rPr>
        <w:t xml:space="preserve">The </w:t>
      </w:r>
      <w:r w:rsidR="00F0137D">
        <w:rPr>
          <w:sz w:val="22"/>
          <w:szCs w:val="22"/>
        </w:rPr>
        <w:t>f</w:t>
      </w:r>
      <w:r w:rsidRPr="004A5373" w:rsidR="00827004">
        <w:rPr>
          <w:sz w:val="22"/>
          <w:szCs w:val="22"/>
        </w:rPr>
        <w:t>ollowing is a summary of NEI comments and NRC staff responses:</w:t>
      </w:r>
    </w:p>
    <w:p w:rsidRPr="004A5373" w:rsidR="00A61C09" w:rsidP="00A61C09" w:rsidRDefault="00A61C09" w14:paraId="40F59E83" w14:textId="45AEF4C4">
      <w:pPr>
        <w:widowControl w:val="0"/>
        <w:ind w:left="360"/>
        <w:rPr>
          <w:rFonts w:ascii="Arial" w:hAnsi="Arial" w:cs="Arial"/>
          <w:sz w:val="22"/>
          <w:szCs w:val="22"/>
        </w:rPr>
      </w:pPr>
    </w:p>
    <w:p w:rsidRPr="004A5373" w:rsidR="00827004" w:rsidP="00BD4B64" w:rsidRDefault="00827004" w14:paraId="2F755269" w14:textId="42EAC2FE">
      <w:pPr>
        <w:pStyle w:val="Default"/>
        <w:ind w:left="360"/>
        <w:rPr>
          <w:sz w:val="22"/>
          <w:szCs w:val="22"/>
        </w:rPr>
      </w:pPr>
      <w:r w:rsidRPr="004A5373">
        <w:rPr>
          <w:i/>
          <w:sz w:val="22"/>
          <w:szCs w:val="22"/>
        </w:rPr>
        <w:t>Comment #1</w:t>
      </w:r>
      <w:r w:rsidRPr="004A5373">
        <w:rPr>
          <w:sz w:val="22"/>
          <w:szCs w:val="22"/>
        </w:rPr>
        <w:t xml:space="preserve">.  </w:t>
      </w:r>
      <w:r w:rsidRPr="00671218" w:rsidR="00671218">
        <w:rPr>
          <w:i/>
          <w:iCs/>
          <w:sz w:val="22"/>
          <w:szCs w:val="22"/>
        </w:rPr>
        <w:t>Redefining Trains -</w:t>
      </w:r>
      <w:r w:rsidR="00671218">
        <w:rPr>
          <w:sz w:val="22"/>
          <w:szCs w:val="22"/>
        </w:rPr>
        <w:t xml:space="preserve"> </w:t>
      </w:r>
      <w:r w:rsidRPr="00827004">
        <w:rPr>
          <w:sz w:val="22"/>
          <w:szCs w:val="22"/>
        </w:rPr>
        <w:t xml:space="preserve">Redefining trains in the Institute of Nuclear Power Operations (INPO) Industry Reporting and Information System (IRIS) system to support Unavailability Index (UAI) &amp; Unreliability Index (URI) calculations for submittal to the NRC for the Mitigating System Performance Index (MSPI) performance indicator. </w:t>
      </w:r>
    </w:p>
    <w:p w:rsidRPr="00827004" w:rsidR="00827004" w:rsidP="00BD4B64" w:rsidRDefault="00827004" w14:paraId="2B7328BF" w14:textId="77777777">
      <w:pPr>
        <w:pStyle w:val="Default"/>
        <w:ind w:left="360"/>
        <w:rPr>
          <w:sz w:val="22"/>
          <w:szCs w:val="22"/>
        </w:rPr>
      </w:pPr>
    </w:p>
    <w:p w:rsidRPr="004A5373" w:rsidR="00827004" w:rsidP="00BD4B64" w:rsidRDefault="00827004" w14:paraId="63F0DDCA" w14:textId="688790D7">
      <w:pPr>
        <w:widowControl w:val="0"/>
        <w:ind w:left="360"/>
        <w:rPr>
          <w:rFonts w:ascii="Arial" w:hAnsi="Arial" w:cs="Arial"/>
          <w:color w:val="000000"/>
          <w:sz w:val="22"/>
          <w:szCs w:val="22"/>
        </w:rPr>
      </w:pPr>
      <w:r w:rsidRPr="004A5373">
        <w:rPr>
          <w:rFonts w:ascii="Arial" w:hAnsi="Arial" w:cs="Arial"/>
          <w:color w:val="000000"/>
          <w:sz w:val="22"/>
          <w:szCs w:val="22"/>
        </w:rPr>
        <w:t>This infrequent activity is generally performed after the plant has completed a modification to improve MSPI margin and baseline core damage frequency (CDF) by installing an additional train.</w:t>
      </w:r>
      <w:r w:rsidR="00F0137D">
        <w:rPr>
          <w:rFonts w:ascii="Arial" w:hAnsi="Arial" w:cs="Arial"/>
          <w:color w:val="000000"/>
          <w:sz w:val="22"/>
          <w:szCs w:val="22"/>
        </w:rPr>
        <w:t xml:space="preserve"> </w:t>
      </w:r>
      <w:r w:rsidRPr="004A5373">
        <w:rPr>
          <w:rFonts w:ascii="Arial" w:hAnsi="Arial" w:cs="Arial"/>
          <w:color w:val="000000"/>
          <w:sz w:val="22"/>
          <w:szCs w:val="22"/>
        </w:rPr>
        <w:t xml:space="preserve"> This needs to be done following installation in the plant and the quarter before the new probabilistic risk assessment (PRA) values are to be used in the MSPI calculation.</w:t>
      </w:r>
      <w:r w:rsidR="00F0137D">
        <w:rPr>
          <w:rFonts w:ascii="Arial" w:hAnsi="Arial" w:cs="Arial"/>
          <w:color w:val="000000"/>
          <w:sz w:val="22"/>
          <w:szCs w:val="22"/>
        </w:rPr>
        <w:t xml:space="preserve"> </w:t>
      </w:r>
      <w:r w:rsidRPr="004A5373">
        <w:rPr>
          <w:rFonts w:ascii="Arial" w:hAnsi="Arial" w:cs="Arial"/>
          <w:color w:val="000000"/>
          <w:sz w:val="22"/>
          <w:szCs w:val="22"/>
        </w:rPr>
        <w:t xml:space="preserve"> This laborious exercise requires an individual fluent in IRIS as well as the cognizant engineer fully engaged for several days. </w:t>
      </w:r>
      <w:r w:rsidR="00F0137D">
        <w:rPr>
          <w:rFonts w:ascii="Arial" w:hAnsi="Arial" w:cs="Arial"/>
          <w:color w:val="000000"/>
          <w:sz w:val="22"/>
          <w:szCs w:val="22"/>
        </w:rPr>
        <w:t xml:space="preserve"> </w:t>
      </w:r>
      <w:r w:rsidRPr="004A5373">
        <w:rPr>
          <w:rFonts w:ascii="Arial" w:hAnsi="Arial" w:cs="Arial"/>
          <w:color w:val="000000"/>
          <w:sz w:val="22"/>
          <w:szCs w:val="22"/>
        </w:rPr>
        <w:t>This will also result in a change to the PRA values in IRIS. Revising those values is a demanding, non-routine task that requires diligence and attention to detail (i.e., time).</w:t>
      </w:r>
    </w:p>
    <w:p w:rsidRPr="004A5373" w:rsidR="00827004" w:rsidP="00BD4B64" w:rsidRDefault="00827004" w14:paraId="702D688D" w14:textId="1910D99E">
      <w:pPr>
        <w:widowControl w:val="0"/>
        <w:ind w:left="360"/>
        <w:rPr>
          <w:rFonts w:ascii="Arial" w:hAnsi="Arial" w:cs="Arial"/>
          <w:color w:val="000000"/>
          <w:sz w:val="22"/>
          <w:szCs w:val="22"/>
        </w:rPr>
      </w:pPr>
    </w:p>
    <w:p w:rsidRPr="004A5373" w:rsidR="00827004" w:rsidP="00BD4B64" w:rsidRDefault="00827004" w14:paraId="3679478F" w14:textId="436EABBB">
      <w:pPr>
        <w:widowControl w:val="0"/>
        <w:ind w:left="360"/>
        <w:rPr>
          <w:rFonts w:ascii="Arial" w:hAnsi="Arial" w:cs="Arial"/>
          <w:iCs/>
          <w:sz w:val="22"/>
          <w:szCs w:val="22"/>
        </w:rPr>
      </w:pPr>
      <w:r w:rsidRPr="004A5373">
        <w:rPr>
          <w:rFonts w:ascii="Arial" w:hAnsi="Arial" w:cs="Arial"/>
          <w:i/>
          <w:sz w:val="22"/>
          <w:szCs w:val="22"/>
        </w:rPr>
        <w:t xml:space="preserve">NRC Staff Response. </w:t>
      </w:r>
      <w:r w:rsidR="00F0137D">
        <w:rPr>
          <w:rFonts w:ascii="Arial" w:hAnsi="Arial" w:cs="Arial"/>
          <w:i/>
          <w:sz w:val="22"/>
          <w:szCs w:val="22"/>
        </w:rPr>
        <w:t xml:space="preserve"> </w:t>
      </w:r>
      <w:r w:rsidRPr="004A5373" w:rsidR="00447031">
        <w:rPr>
          <w:rFonts w:ascii="Arial" w:hAnsi="Arial" w:cs="Arial"/>
          <w:sz w:val="22"/>
        </w:rPr>
        <w:t xml:space="preserve">The NRC staff acknowledges that </w:t>
      </w:r>
      <w:r w:rsidRPr="004A5373" w:rsidR="00C91A4A">
        <w:rPr>
          <w:rFonts w:ascii="Arial" w:hAnsi="Arial" w:cs="Arial"/>
          <w:sz w:val="22"/>
        </w:rPr>
        <w:t xml:space="preserve">redefining trains would require </w:t>
      </w:r>
      <w:r w:rsidRPr="004A5373" w:rsidR="00C91A4A">
        <w:rPr>
          <w:rFonts w:ascii="Arial" w:hAnsi="Arial" w:cs="Arial"/>
          <w:sz w:val="22"/>
        </w:rPr>
        <w:lastRenderedPageBreak/>
        <w:t>additional effort that would go over the 200</w:t>
      </w:r>
      <w:r w:rsidRPr="004A5373" w:rsidR="00C55711">
        <w:rPr>
          <w:rFonts w:ascii="Arial" w:hAnsi="Arial" w:cs="Arial"/>
          <w:sz w:val="22"/>
        </w:rPr>
        <w:t xml:space="preserve"> hours burden response</w:t>
      </w:r>
      <w:r w:rsidRPr="004A5373" w:rsidR="00166C8A">
        <w:rPr>
          <w:rFonts w:ascii="Arial" w:hAnsi="Arial" w:cs="Arial"/>
          <w:sz w:val="22"/>
        </w:rPr>
        <w:t xml:space="preserve">.  </w:t>
      </w:r>
      <w:r w:rsidRPr="004A5373" w:rsidR="007107E1">
        <w:rPr>
          <w:rFonts w:ascii="Arial" w:hAnsi="Arial" w:cs="Arial"/>
          <w:sz w:val="22"/>
        </w:rPr>
        <w:t xml:space="preserve">However, not every site will have to perform such activity </w:t>
      </w:r>
      <w:r w:rsidRPr="004A5373" w:rsidR="00D32F6C">
        <w:rPr>
          <w:rFonts w:ascii="Arial" w:hAnsi="Arial" w:cs="Arial"/>
          <w:sz w:val="22"/>
        </w:rPr>
        <w:t>frequently</w:t>
      </w:r>
      <w:r w:rsidRPr="004A5373" w:rsidR="007107E1">
        <w:rPr>
          <w:rFonts w:ascii="Arial" w:hAnsi="Arial" w:cs="Arial"/>
          <w:sz w:val="22"/>
        </w:rPr>
        <w:t xml:space="preserve">. </w:t>
      </w:r>
      <w:r w:rsidRPr="004A5373" w:rsidR="0057214C">
        <w:rPr>
          <w:rFonts w:ascii="Arial" w:hAnsi="Arial" w:cs="Arial"/>
          <w:sz w:val="22"/>
        </w:rPr>
        <w:t xml:space="preserve"> We obtained information that showed that an average of </w:t>
      </w:r>
      <w:r w:rsidRPr="004A5373" w:rsidR="00455DEE">
        <w:rPr>
          <w:rFonts w:ascii="Arial" w:hAnsi="Arial" w:cs="Arial"/>
          <w:sz w:val="22"/>
        </w:rPr>
        <w:t>6 plants per year submit redefine</w:t>
      </w:r>
      <w:r w:rsidR="00F0137D">
        <w:rPr>
          <w:rFonts w:ascii="Arial" w:hAnsi="Arial" w:cs="Arial"/>
          <w:sz w:val="22"/>
        </w:rPr>
        <w:t>d</w:t>
      </w:r>
      <w:r w:rsidRPr="004A5373" w:rsidR="00455DEE">
        <w:rPr>
          <w:rFonts w:ascii="Arial" w:hAnsi="Arial" w:cs="Arial"/>
          <w:sz w:val="22"/>
        </w:rPr>
        <w:t xml:space="preserve"> trains.  </w:t>
      </w:r>
      <w:r w:rsidRPr="004A5373" w:rsidR="001A77DF">
        <w:rPr>
          <w:rFonts w:ascii="Arial" w:hAnsi="Arial" w:cs="Arial"/>
          <w:iCs/>
          <w:sz w:val="22"/>
          <w:szCs w:val="22"/>
        </w:rPr>
        <w:t xml:space="preserve">Based on this </w:t>
      </w:r>
      <w:r w:rsidRPr="004A5373" w:rsidR="00781F24">
        <w:rPr>
          <w:rFonts w:ascii="Arial" w:hAnsi="Arial" w:cs="Arial"/>
          <w:iCs/>
          <w:sz w:val="22"/>
          <w:szCs w:val="22"/>
        </w:rPr>
        <w:t>information</w:t>
      </w:r>
      <w:r w:rsidRPr="004A5373" w:rsidR="001A77DF">
        <w:rPr>
          <w:rFonts w:ascii="Arial" w:hAnsi="Arial" w:cs="Arial"/>
          <w:iCs/>
          <w:sz w:val="22"/>
          <w:szCs w:val="22"/>
        </w:rPr>
        <w:t xml:space="preserve">, </w:t>
      </w:r>
      <w:r w:rsidRPr="004A5373" w:rsidR="00781F24">
        <w:rPr>
          <w:rFonts w:ascii="Arial" w:hAnsi="Arial" w:cs="Arial"/>
          <w:iCs/>
          <w:sz w:val="22"/>
          <w:szCs w:val="22"/>
        </w:rPr>
        <w:t xml:space="preserve">the NRC </w:t>
      </w:r>
      <w:r w:rsidRPr="004A5373" w:rsidR="00F0546A">
        <w:rPr>
          <w:rFonts w:ascii="Arial" w:hAnsi="Arial" w:cs="Arial"/>
          <w:iCs/>
          <w:sz w:val="22"/>
          <w:szCs w:val="22"/>
        </w:rPr>
        <w:t>staff decided to slightly adjust the burden per response hours</w:t>
      </w:r>
      <w:r w:rsidRPr="004A5373" w:rsidR="004C2CF6">
        <w:rPr>
          <w:rFonts w:ascii="Arial" w:hAnsi="Arial" w:cs="Arial"/>
          <w:iCs/>
          <w:sz w:val="22"/>
          <w:szCs w:val="22"/>
        </w:rPr>
        <w:t xml:space="preserve"> by adding </w:t>
      </w:r>
      <w:r w:rsidRPr="004A5373" w:rsidR="00B02FB6">
        <w:rPr>
          <w:rFonts w:ascii="Arial" w:hAnsi="Arial" w:cs="Arial"/>
          <w:iCs/>
          <w:sz w:val="22"/>
          <w:szCs w:val="22"/>
        </w:rPr>
        <w:t xml:space="preserve">an additional </w:t>
      </w:r>
      <w:r w:rsidRPr="004A5373" w:rsidR="004C2CF6">
        <w:rPr>
          <w:rFonts w:ascii="Arial" w:hAnsi="Arial" w:cs="Arial"/>
          <w:iCs/>
          <w:sz w:val="22"/>
          <w:szCs w:val="22"/>
        </w:rPr>
        <w:t>5 hours per</w:t>
      </w:r>
      <w:r w:rsidRPr="004A5373" w:rsidR="00B02FB6">
        <w:rPr>
          <w:rFonts w:ascii="Arial" w:hAnsi="Arial" w:cs="Arial"/>
          <w:iCs/>
          <w:sz w:val="22"/>
          <w:szCs w:val="22"/>
        </w:rPr>
        <w:t xml:space="preserve"> quarter</w:t>
      </w:r>
      <w:r w:rsidRPr="004A5373" w:rsidR="00F0546A">
        <w:rPr>
          <w:rFonts w:ascii="Arial" w:hAnsi="Arial" w:cs="Arial"/>
          <w:iCs/>
          <w:sz w:val="22"/>
          <w:szCs w:val="22"/>
        </w:rPr>
        <w:t xml:space="preserve">.  </w:t>
      </w:r>
      <w:r w:rsidRPr="004A5373" w:rsidR="00815AFE">
        <w:rPr>
          <w:rFonts w:ascii="Arial" w:hAnsi="Arial" w:cs="Arial"/>
          <w:iCs/>
          <w:sz w:val="22"/>
          <w:szCs w:val="22"/>
        </w:rPr>
        <w:t xml:space="preserve">  </w:t>
      </w:r>
    </w:p>
    <w:p w:rsidRPr="004A5373" w:rsidR="00781F24" w:rsidP="00BD4B64" w:rsidRDefault="00781F24" w14:paraId="253793D3" w14:textId="602EBC0C">
      <w:pPr>
        <w:widowControl w:val="0"/>
        <w:ind w:left="360"/>
        <w:rPr>
          <w:rFonts w:ascii="Arial" w:hAnsi="Arial" w:cs="Arial"/>
          <w:sz w:val="22"/>
          <w:szCs w:val="22"/>
        </w:rPr>
      </w:pPr>
    </w:p>
    <w:p w:rsidRPr="00991607" w:rsidR="00991607" w:rsidP="00BD4B64" w:rsidRDefault="00991607" w14:paraId="3BEA12B7" w14:textId="25246C6D">
      <w:pPr>
        <w:pStyle w:val="Default"/>
        <w:ind w:left="360"/>
        <w:rPr>
          <w:sz w:val="22"/>
          <w:szCs w:val="22"/>
        </w:rPr>
      </w:pPr>
      <w:r w:rsidRPr="004A5373">
        <w:rPr>
          <w:i/>
          <w:iCs/>
          <w:sz w:val="22"/>
          <w:szCs w:val="22"/>
        </w:rPr>
        <w:t xml:space="preserve">Comment #2.  </w:t>
      </w:r>
      <w:r w:rsidR="00671218">
        <w:rPr>
          <w:i/>
          <w:iCs/>
          <w:sz w:val="22"/>
          <w:szCs w:val="22"/>
        </w:rPr>
        <w:t xml:space="preserve">Changes to the Security PI - </w:t>
      </w:r>
      <w:r w:rsidRPr="00991607">
        <w:rPr>
          <w:sz w:val="22"/>
          <w:szCs w:val="22"/>
        </w:rPr>
        <w:t xml:space="preserve">Changes to the closed-circuit television (CCTV) and intrusion detection system (IDS) normalization factors must be made in accordance with a similar, though somewhat less laborious and challenging process. </w:t>
      </w:r>
      <w:r w:rsidR="000B6BD5">
        <w:rPr>
          <w:sz w:val="22"/>
          <w:szCs w:val="22"/>
        </w:rPr>
        <w:t xml:space="preserve"> </w:t>
      </w:r>
      <w:r w:rsidRPr="00991607">
        <w:rPr>
          <w:sz w:val="22"/>
          <w:szCs w:val="22"/>
        </w:rPr>
        <w:t xml:space="preserve">This is not a routine activity. </w:t>
      </w:r>
    </w:p>
    <w:p w:rsidRPr="004A5373" w:rsidR="00781F24" w:rsidP="00BD4B64" w:rsidRDefault="00781F24" w14:paraId="7BF1139D" w14:textId="3B176014">
      <w:pPr>
        <w:widowControl w:val="0"/>
        <w:ind w:left="360"/>
        <w:rPr>
          <w:rFonts w:ascii="Arial" w:hAnsi="Arial" w:cs="Arial"/>
          <w:sz w:val="22"/>
          <w:szCs w:val="22"/>
        </w:rPr>
      </w:pPr>
    </w:p>
    <w:p w:rsidRPr="004A5373" w:rsidR="00827004" w:rsidP="00BD4B64" w:rsidRDefault="004C5AB7" w14:paraId="12185C6C" w14:textId="5675C1F4">
      <w:pPr>
        <w:widowControl w:val="0"/>
        <w:ind w:left="360"/>
        <w:rPr>
          <w:rFonts w:ascii="Arial" w:hAnsi="Arial" w:cs="Arial"/>
          <w:iCs/>
          <w:sz w:val="22"/>
          <w:szCs w:val="22"/>
        </w:rPr>
      </w:pPr>
      <w:r w:rsidRPr="004A5373">
        <w:rPr>
          <w:rFonts w:ascii="Arial" w:hAnsi="Arial" w:cs="Arial"/>
          <w:i/>
          <w:sz w:val="22"/>
          <w:szCs w:val="22"/>
        </w:rPr>
        <w:t xml:space="preserve">NRC Staff Response.  </w:t>
      </w:r>
      <w:r w:rsidRPr="004A5373" w:rsidR="00C728F7">
        <w:rPr>
          <w:rFonts w:ascii="Arial" w:hAnsi="Arial" w:cs="Arial"/>
          <w:iCs/>
          <w:sz w:val="22"/>
          <w:szCs w:val="22"/>
        </w:rPr>
        <w:t xml:space="preserve">After discussions with the commenter, it was determined that this activity is not required for the </w:t>
      </w:r>
      <w:r w:rsidRPr="004A5373" w:rsidR="003A017F">
        <w:rPr>
          <w:rFonts w:ascii="Arial" w:hAnsi="Arial" w:cs="Arial"/>
          <w:iCs/>
          <w:sz w:val="22"/>
          <w:szCs w:val="22"/>
        </w:rPr>
        <w:t xml:space="preserve">data gathering for the </w:t>
      </w:r>
      <w:r w:rsidRPr="004A5373" w:rsidR="0024319E">
        <w:rPr>
          <w:rFonts w:ascii="Arial" w:hAnsi="Arial" w:cs="Arial"/>
          <w:iCs/>
          <w:sz w:val="22"/>
          <w:szCs w:val="22"/>
        </w:rPr>
        <w:t>voluntary reporting of performance indicators</w:t>
      </w:r>
      <w:r w:rsidRPr="004A5373" w:rsidR="00C728F7">
        <w:rPr>
          <w:rFonts w:ascii="Arial" w:hAnsi="Arial" w:cs="Arial"/>
          <w:iCs/>
          <w:sz w:val="22"/>
          <w:szCs w:val="22"/>
        </w:rPr>
        <w:t xml:space="preserve"> program</w:t>
      </w:r>
      <w:r w:rsidRPr="004A5373" w:rsidR="00767F5F">
        <w:rPr>
          <w:rFonts w:ascii="Arial" w:hAnsi="Arial" w:cs="Arial"/>
          <w:iCs/>
          <w:sz w:val="22"/>
          <w:szCs w:val="22"/>
        </w:rPr>
        <w:t xml:space="preserve">.  </w:t>
      </w:r>
      <w:r w:rsidRPr="004A5373" w:rsidR="004C01A5">
        <w:rPr>
          <w:rFonts w:ascii="Arial" w:hAnsi="Arial" w:cs="Arial"/>
          <w:iCs/>
          <w:sz w:val="22"/>
          <w:szCs w:val="22"/>
        </w:rPr>
        <w:t>Based on this information, t</w:t>
      </w:r>
      <w:r w:rsidRPr="004A5373" w:rsidR="00767F5F">
        <w:rPr>
          <w:rFonts w:ascii="Arial" w:hAnsi="Arial" w:cs="Arial"/>
          <w:iCs/>
          <w:sz w:val="22"/>
          <w:szCs w:val="22"/>
        </w:rPr>
        <w:t xml:space="preserve">he NRC </w:t>
      </w:r>
      <w:r w:rsidRPr="004A5373" w:rsidR="009F2176">
        <w:rPr>
          <w:rFonts w:ascii="Arial" w:hAnsi="Arial" w:cs="Arial"/>
          <w:iCs/>
          <w:sz w:val="22"/>
          <w:szCs w:val="22"/>
        </w:rPr>
        <w:t xml:space="preserve">concluded that no burden per response adjustment was needed.  </w:t>
      </w:r>
    </w:p>
    <w:p w:rsidRPr="004A5373" w:rsidR="004C01A5" w:rsidP="00BD4B64" w:rsidRDefault="004C01A5" w14:paraId="7AD7E3C8" w14:textId="474A6AFD">
      <w:pPr>
        <w:widowControl w:val="0"/>
        <w:ind w:left="360"/>
        <w:rPr>
          <w:rFonts w:ascii="Arial" w:hAnsi="Arial" w:cs="Arial"/>
          <w:iCs/>
          <w:sz w:val="22"/>
          <w:szCs w:val="22"/>
        </w:rPr>
      </w:pPr>
    </w:p>
    <w:p w:rsidRPr="004A5373" w:rsidR="00260493" w:rsidP="00BD4B64" w:rsidRDefault="004C01A5" w14:paraId="428D40CC" w14:textId="61B2592C">
      <w:pPr>
        <w:pStyle w:val="Default"/>
        <w:ind w:left="360"/>
        <w:rPr>
          <w:sz w:val="22"/>
          <w:szCs w:val="22"/>
        </w:rPr>
      </w:pPr>
      <w:r w:rsidRPr="004A5373">
        <w:rPr>
          <w:i/>
          <w:sz w:val="22"/>
          <w:szCs w:val="22"/>
        </w:rPr>
        <w:t xml:space="preserve">Comment </w:t>
      </w:r>
      <w:r w:rsidRPr="004A5373" w:rsidR="00260493">
        <w:rPr>
          <w:i/>
          <w:sz w:val="22"/>
          <w:szCs w:val="22"/>
        </w:rPr>
        <w:t>#</w:t>
      </w:r>
      <w:r w:rsidRPr="004A5373">
        <w:rPr>
          <w:i/>
          <w:sz w:val="22"/>
          <w:szCs w:val="22"/>
        </w:rPr>
        <w:t>3.</w:t>
      </w:r>
      <w:r w:rsidR="00671218">
        <w:rPr>
          <w:i/>
          <w:sz w:val="22"/>
          <w:szCs w:val="22"/>
        </w:rPr>
        <w:t xml:space="preserve"> </w:t>
      </w:r>
      <w:r w:rsidR="002B0068">
        <w:rPr>
          <w:i/>
          <w:sz w:val="22"/>
          <w:szCs w:val="22"/>
        </w:rPr>
        <w:t xml:space="preserve"> </w:t>
      </w:r>
      <w:r w:rsidR="00150A38">
        <w:rPr>
          <w:i/>
          <w:sz w:val="22"/>
          <w:szCs w:val="22"/>
        </w:rPr>
        <w:t xml:space="preserve">Reportability Evaluations - </w:t>
      </w:r>
      <w:r w:rsidR="00486AC6">
        <w:rPr>
          <w:i/>
          <w:sz w:val="22"/>
          <w:szCs w:val="22"/>
        </w:rPr>
        <w:t>S</w:t>
      </w:r>
      <w:r w:rsidRPr="00CC6526" w:rsidR="00CC6526">
        <w:rPr>
          <w:sz w:val="22"/>
          <w:szCs w:val="22"/>
        </w:rPr>
        <w:t xml:space="preserve">everal times a year, a station will need to determine if an event or condition is reportable under an NEI 99-02 performance indicator. While these internal evaluations are most often associated with MSPI, several other indicators frequently reach this threshold, as well. </w:t>
      </w:r>
      <w:r w:rsidR="00122DD8">
        <w:rPr>
          <w:sz w:val="22"/>
          <w:szCs w:val="22"/>
        </w:rPr>
        <w:t xml:space="preserve"> </w:t>
      </w:r>
      <w:r w:rsidRPr="00CC6526" w:rsidR="00CC6526">
        <w:rPr>
          <w:sz w:val="22"/>
          <w:szCs w:val="22"/>
        </w:rPr>
        <w:t xml:space="preserve">Examples include the performance indicators for Unplanned Scrams per 7,000 Critical Hours (identified in NEI 99-02 as IE01); Unplanned Power Changes per 7,000 Critical Hours (IE03); and </w:t>
      </w:r>
      <w:r w:rsidRPr="00260493" w:rsidR="00260493">
        <w:rPr>
          <w:sz w:val="22"/>
          <w:szCs w:val="22"/>
        </w:rPr>
        <w:t xml:space="preserve">Unplanned Scrams with Complications (IE04). </w:t>
      </w:r>
      <w:r w:rsidR="00122DD8">
        <w:rPr>
          <w:sz w:val="22"/>
          <w:szCs w:val="22"/>
        </w:rPr>
        <w:t xml:space="preserve"> </w:t>
      </w:r>
      <w:r w:rsidRPr="00260493" w:rsidR="00260493">
        <w:rPr>
          <w:sz w:val="22"/>
          <w:szCs w:val="22"/>
        </w:rPr>
        <w:t xml:space="preserve">These internal evaluations may require research into the history of previous discussions with the NRC on related Frequently Asked Questions (FAQs), management presentations, use of consultants, and industry peer reviews. </w:t>
      </w:r>
    </w:p>
    <w:p w:rsidRPr="00260493" w:rsidR="00260493" w:rsidP="00BD4B64" w:rsidRDefault="00260493" w14:paraId="17753907" w14:textId="77777777">
      <w:pPr>
        <w:pStyle w:val="Default"/>
        <w:ind w:left="360"/>
        <w:rPr>
          <w:sz w:val="22"/>
          <w:szCs w:val="22"/>
        </w:rPr>
      </w:pPr>
    </w:p>
    <w:p w:rsidRPr="004A5373" w:rsidR="00CC6526" w:rsidP="00BD4B64" w:rsidRDefault="00260493" w14:paraId="785048AC" w14:textId="0B001B99">
      <w:pPr>
        <w:pStyle w:val="Default"/>
        <w:ind w:left="360"/>
        <w:rPr>
          <w:sz w:val="22"/>
          <w:szCs w:val="22"/>
        </w:rPr>
      </w:pPr>
      <w:r w:rsidRPr="004A5373">
        <w:rPr>
          <w:sz w:val="22"/>
          <w:szCs w:val="22"/>
        </w:rPr>
        <w:t xml:space="preserve">These could be needed up to a dozen times per station per year. </w:t>
      </w:r>
      <w:r w:rsidR="00114FE3">
        <w:rPr>
          <w:sz w:val="22"/>
          <w:szCs w:val="22"/>
        </w:rPr>
        <w:t xml:space="preserve"> </w:t>
      </w:r>
      <w:r w:rsidRPr="004A5373">
        <w:rPr>
          <w:sz w:val="22"/>
          <w:szCs w:val="22"/>
        </w:rPr>
        <w:t>Developing each position paper could take up to twenty hours.</w:t>
      </w:r>
      <w:r w:rsidR="00114FE3">
        <w:rPr>
          <w:sz w:val="22"/>
          <w:szCs w:val="22"/>
        </w:rPr>
        <w:t xml:space="preserve"> </w:t>
      </w:r>
      <w:r w:rsidRPr="004A5373">
        <w:rPr>
          <w:sz w:val="22"/>
          <w:szCs w:val="22"/>
        </w:rPr>
        <w:t xml:space="preserve"> Industry experts could be engaged as well. </w:t>
      </w:r>
      <w:r w:rsidR="00114FE3">
        <w:rPr>
          <w:sz w:val="22"/>
          <w:szCs w:val="22"/>
        </w:rPr>
        <w:t xml:space="preserve"> </w:t>
      </w:r>
      <w:r w:rsidRPr="004A5373">
        <w:rPr>
          <w:sz w:val="22"/>
          <w:szCs w:val="22"/>
        </w:rPr>
        <w:t>This is generally followed by station, fleet and industry peer reviews and “challenge” meetings, each taking an hour with up to six reviewers at each challenge meeting.</w:t>
      </w:r>
    </w:p>
    <w:p w:rsidRPr="004A5373" w:rsidR="00260493" w:rsidP="00BD4B64" w:rsidRDefault="00260493" w14:paraId="796872EE" w14:textId="370E0C1F">
      <w:pPr>
        <w:pStyle w:val="Default"/>
        <w:ind w:left="360"/>
        <w:rPr>
          <w:sz w:val="22"/>
          <w:szCs w:val="22"/>
        </w:rPr>
      </w:pPr>
    </w:p>
    <w:p w:rsidRPr="00CC6526" w:rsidR="00260493" w:rsidP="00BD4B64" w:rsidRDefault="00260493" w14:paraId="30F3DE40" w14:textId="786ABBF1">
      <w:pPr>
        <w:pStyle w:val="Default"/>
        <w:ind w:left="360"/>
        <w:rPr>
          <w:sz w:val="22"/>
          <w:szCs w:val="22"/>
        </w:rPr>
      </w:pPr>
      <w:r w:rsidRPr="004A5373">
        <w:rPr>
          <w:i/>
          <w:sz w:val="22"/>
          <w:szCs w:val="22"/>
        </w:rPr>
        <w:t xml:space="preserve">NRC Staff Response.  </w:t>
      </w:r>
      <w:r w:rsidRPr="004A5373" w:rsidR="00493D46">
        <w:rPr>
          <w:sz w:val="22"/>
          <w:szCs w:val="20"/>
        </w:rPr>
        <w:t xml:space="preserve">The NRC staff acknowledges that </w:t>
      </w:r>
      <w:r w:rsidRPr="004A5373" w:rsidR="00F301AD">
        <w:rPr>
          <w:sz w:val="22"/>
        </w:rPr>
        <w:t>reportability evaluations</w:t>
      </w:r>
      <w:r w:rsidRPr="004A5373" w:rsidR="00493D46">
        <w:rPr>
          <w:sz w:val="22"/>
        </w:rPr>
        <w:t xml:space="preserve"> would require additional effort that would go over the 200 hours burden response.  The commenter </w:t>
      </w:r>
      <w:r w:rsidRPr="004A5373" w:rsidR="00F64689">
        <w:rPr>
          <w:sz w:val="22"/>
        </w:rPr>
        <w:t xml:space="preserve">provided details on additional steps </w:t>
      </w:r>
      <w:r w:rsidRPr="004A5373" w:rsidR="000E6BC5">
        <w:rPr>
          <w:sz w:val="22"/>
        </w:rPr>
        <w:t xml:space="preserve">and meetings </w:t>
      </w:r>
      <w:r w:rsidRPr="004A5373" w:rsidR="00F64689">
        <w:rPr>
          <w:sz w:val="22"/>
        </w:rPr>
        <w:t>re</w:t>
      </w:r>
      <w:r w:rsidRPr="004A5373" w:rsidR="000E6BC5">
        <w:rPr>
          <w:sz w:val="22"/>
        </w:rPr>
        <w:t xml:space="preserve">quired to determine reportability for PIs.  </w:t>
      </w:r>
      <w:r w:rsidRPr="004A5373" w:rsidR="00493D46">
        <w:rPr>
          <w:sz w:val="22"/>
        </w:rPr>
        <w:t xml:space="preserve">  </w:t>
      </w:r>
      <w:r w:rsidRPr="004A5373" w:rsidR="00493D46">
        <w:rPr>
          <w:sz w:val="22"/>
          <w:szCs w:val="20"/>
        </w:rPr>
        <w:t xml:space="preserve">However, not every site </w:t>
      </w:r>
      <w:r w:rsidRPr="004A5373" w:rsidR="000E6BC5">
        <w:rPr>
          <w:sz w:val="22"/>
          <w:szCs w:val="20"/>
        </w:rPr>
        <w:t>follows the</w:t>
      </w:r>
      <w:r w:rsidRPr="004A5373" w:rsidR="004E5230">
        <w:rPr>
          <w:sz w:val="22"/>
          <w:szCs w:val="20"/>
        </w:rPr>
        <w:t xml:space="preserve"> same steps and meetings</w:t>
      </w:r>
      <w:r w:rsidR="009D259E">
        <w:rPr>
          <w:sz w:val="22"/>
          <w:szCs w:val="20"/>
        </w:rPr>
        <w:t xml:space="preserve"> or amount of time</w:t>
      </w:r>
      <w:r w:rsidR="007F66B6">
        <w:rPr>
          <w:sz w:val="22"/>
          <w:szCs w:val="20"/>
        </w:rPr>
        <w:t xml:space="preserve"> to evaluate</w:t>
      </w:r>
      <w:r w:rsidRPr="004A5373" w:rsidR="004E5230">
        <w:rPr>
          <w:sz w:val="22"/>
          <w:szCs w:val="20"/>
        </w:rPr>
        <w:t xml:space="preserve">.  </w:t>
      </w:r>
      <w:r w:rsidRPr="004A5373" w:rsidR="00493D46">
        <w:rPr>
          <w:iCs/>
          <w:sz w:val="22"/>
          <w:szCs w:val="22"/>
        </w:rPr>
        <w:t>Based on this information, the NRC staff decided to slightly adjust the burden per response hours by adding an additional 5 hours per quarter.</w:t>
      </w:r>
    </w:p>
    <w:p w:rsidRPr="004A5373" w:rsidR="004C01A5" w:rsidP="00BD4B64" w:rsidRDefault="004C01A5" w14:paraId="0CF74527" w14:textId="1124E276">
      <w:pPr>
        <w:widowControl w:val="0"/>
        <w:ind w:left="360"/>
        <w:rPr>
          <w:rFonts w:ascii="Arial" w:hAnsi="Arial" w:cs="Arial"/>
          <w:iCs/>
          <w:sz w:val="22"/>
          <w:szCs w:val="22"/>
        </w:rPr>
      </w:pPr>
    </w:p>
    <w:p w:rsidRPr="004A5373" w:rsidR="00DA2D38" w:rsidP="00BD4B64" w:rsidRDefault="003A017F" w14:paraId="18B31D3A" w14:textId="2D95700A">
      <w:pPr>
        <w:pStyle w:val="Default"/>
        <w:ind w:left="360"/>
        <w:rPr>
          <w:sz w:val="22"/>
          <w:szCs w:val="22"/>
        </w:rPr>
      </w:pPr>
      <w:r w:rsidRPr="004A5373">
        <w:rPr>
          <w:i/>
          <w:sz w:val="22"/>
          <w:szCs w:val="22"/>
        </w:rPr>
        <w:t>Comment #4</w:t>
      </w:r>
      <w:r w:rsidRPr="004A5373" w:rsidR="00DA2D38">
        <w:rPr>
          <w:i/>
          <w:sz w:val="22"/>
          <w:szCs w:val="22"/>
        </w:rPr>
        <w:t xml:space="preserve">. </w:t>
      </w:r>
      <w:r w:rsidR="00ED566F">
        <w:rPr>
          <w:i/>
          <w:sz w:val="22"/>
          <w:szCs w:val="22"/>
        </w:rPr>
        <w:t xml:space="preserve"> </w:t>
      </w:r>
      <w:r w:rsidR="00150A38">
        <w:rPr>
          <w:i/>
          <w:sz w:val="22"/>
          <w:szCs w:val="22"/>
        </w:rPr>
        <w:t xml:space="preserve">Quarterly Submittals - </w:t>
      </w:r>
      <w:r w:rsidRPr="00DA2D38" w:rsidR="00DA2D38">
        <w:rPr>
          <w:sz w:val="22"/>
          <w:szCs w:val="22"/>
        </w:rPr>
        <w:t xml:space="preserve">Performance indicator data is submitted to the NRC on a quarterly basis. </w:t>
      </w:r>
      <w:r w:rsidR="00ED566F">
        <w:rPr>
          <w:sz w:val="22"/>
          <w:szCs w:val="22"/>
        </w:rPr>
        <w:t xml:space="preserve"> </w:t>
      </w:r>
      <w:r w:rsidRPr="00DA2D38" w:rsidR="00DA2D38">
        <w:rPr>
          <w:sz w:val="22"/>
          <w:szCs w:val="22"/>
        </w:rPr>
        <w:t xml:space="preserve">The quarterly submittal requires raw data entry, independent review and approval of the entered data, data locking, and tracking the status of reports. </w:t>
      </w:r>
      <w:r w:rsidR="00ED566F">
        <w:rPr>
          <w:sz w:val="22"/>
          <w:szCs w:val="22"/>
        </w:rPr>
        <w:t xml:space="preserve"> </w:t>
      </w:r>
      <w:r w:rsidRPr="00DA2D38" w:rsidR="00DA2D38">
        <w:rPr>
          <w:sz w:val="22"/>
          <w:szCs w:val="22"/>
        </w:rPr>
        <w:t xml:space="preserve">For the current NRC request on the burden of the information collection, NEI surveyed members on the burden associated with this step and found there was a great variance in the burden experienced by NEI members. </w:t>
      </w:r>
      <w:r w:rsidR="00ED566F">
        <w:rPr>
          <w:sz w:val="22"/>
          <w:szCs w:val="22"/>
        </w:rPr>
        <w:t xml:space="preserve"> </w:t>
      </w:r>
      <w:r w:rsidRPr="00DA2D38" w:rsidR="00DA2D38">
        <w:rPr>
          <w:sz w:val="22"/>
          <w:szCs w:val="22"/>
        </w:rPr>
        <w:t xml:space="preserve">As best we can tell, the NRC estimate of 72,712 hours of industry burden noted in 86 FRN 2144 appears to reflect only the burden of the quarterly submittals to NRC. </w:t>
      </w:r>
    </w:p>
    <w:p w:rsidRPr="004A5373" w:rsidR="00414443" w:rsidP="00BD4B64" w:rsidRDefault="00414443" w14:paraId="564C0C50" w14:textId="3E812FD4">
      <w:pPr>
        <w:pStyle w:val="Default"/>
        <w:ind w:left="360"/>
      </w:pPr>
    </w:p>
    <w:p w:rsidRPr="004A5373" w:rsidR="00414443" w:rsidP="00BD4B64" w:rsidRDefault="00414443" w14:paraId="3FA3D9CC" w14:textId="1213DFC7">
      <w:pPr>
        <w:widowControl w:val="0"/>
        <w:ind w:left="360"/>
        <w:rPr>
          <w:rFonts w:ascii="Arial" w:hAnsi="Arial" w:cs="Arial"/>
          <w:iCs/>
          <w:sz w:val="22"/>
          <w:szCs w:val="22"/>
        </w:rPr>
      </w:pPr>
      <w:r w:rsidRPr="004A5373">
        <w:rPr>
          <w:rFonts w:ascii="Arial" w:hAnsi="Arial" w:cs="Arial"/>
          <w:i/>
          <w:sz w:val="22"/>
          <w:szCs w:val="22"/>
        </w:rPr>
        <w:t xml:space="preserve">NRC Staff Response. </w:t>
      </w:r>
      <w:r w:rsidR="00ED566F">
        <w:rPr>
          <w:rFonts w:ascii="Arial" w:hAnsi="Arial" w:cs="Arial"/>
          <w:i/>
          <w:sz w:val="22"/>
          <w:szCs w:val="22"/>
        </w:rPr>
        <w:t xml:space="preserve"> </w:t>
      </w:r>
      <w:r w:rsidRPr="004A5373">
        <w:rPr>
          <w:rFonts w:ascii="Arial" w:hAnsi="Arial" w:cs="Arial"/>
          <w:iCs/>
          <w:sz w:val="22"/>
          <w:szCs w:val="22"/>
        </w:rPr>
        <w:t xml:space="preserve">After discussions with the commenter, it was determined that the proposed burden per response </w:t>
      </w:r>
      <w:r w:rsidR="00904F8D">
        <w:rPr>
          <w:rFonts w:ascii="Arial" w:hAnsi="Arial" w:cs="Arial"/>
          <w:iCs/>
          <w:sz w:val="22"/>
          <w:szCs w:val="22"/>
        </w:rPr>
        <w:t xml:space="preserve">of 200 hours </w:t>
      </w:r>
      <w:r w:rsidRPr="004A5373">
        <w:rPr>
          <w:rFonts w:ascii="Arial" w:hAnsi="Arial" w:cs="Arial"/>
          <w:iCs/>
          <w:sz w:val="22"/>
          <w:szCs w:val="22"/>
        </w:rPr>
        <w:t xml:space="preserve">already established includes hours to cover </w:t>
      </w:r>
      <w:r w:rsidRPr="004A5373" w:rsidR="005E6458">
        <w:rPr>
          <w:rFonts w:ascii="Arial" w:hAnsi="Arial" w:cs="Arial"/>
          <w:iCs/>
          <w:sz w:val="22"/>
          <w:szCs w:val="22"/>
        </w:rPr>
        <w:t>the quarterly submittal activities</w:t>
      </w:r>
      <w:r w:rsidRPr="004A5373">
        <w:rPr>
          <w:rFonts w:ascii="Arial" w:hAnsi="Arial" w:cs="Arial"/>
          <w:iCs/>
          <w:sz w:val="22"/>
          <w:szCs w:val="22"/>
        </w:rPr>
        <w:t xml:space="preserve">. </w:t>
      </w:r>
      <w:r w:rsidRPr="004A5373" w:rsidR="00982F42">
        <w:rPr>
          <w:rFonts w:ascii="Arial" w:hAnsi="Arial" w:cs="Arial"/>
          <w:iCs/>
          <w:sz w:val="22"/>
          <w:szCs w:val="22"/>
        </w:rPr>
        <w:t xml:space="preserve"> Based on this information, the NRC concluded that no burden </w:t>
      </w:r>
      <w:r w:rsidRPr="004A5373" w:rsidR="00982F42">
        <w:rPr>
          <w:rFonts w:ascii="Arial" w:hAnsi="Arial" w:cs="Arial"/>
          <w:iCs/>
          <w:sz w:val="22"/>
          <w:szCs w:val="22"/>
        </w:rPr>
        <w:lastRenderedPageBreak/>
        <w:t xml:space="preserve">per response adjustment was needed. </w:t>
      </w:r>
      <w:r w:rsidRPr="004A5373">
        <w:rPr>
          <w:rFonts w:ascii="Arial" w:hAnsi="Arial" w:cs="Arial"/>
          <w:iCs/>
          <w:sz w:val="22"/>
          <w:szCs w:val="22"/>
        </w:rPr>
        <w:t xml:space="preserve"> </w:t>
      </w:r>
    </w:p>
    <w:p w:rsidRPr="004A5373" w:rsidR="005E6458" w:rsidP="00BD4B64" w:rsidRDefault="005E6458" w14:paraId="0F1FB471" w14:textId="4E5A100B">
      <w:pPr>
        <w:widowControl w:val="0"/>
        <w:ind w:left="360"/>
        <w:rPr>
          <w:rFonts w:ascii="Arial" w:hAnsi="Arial" w:cs="Arial"/>
          <w:iCs/>
          <w:sz w:val="22"/>
          <w:szCs w:val="22"/>
        </w:rPr>
      </w:pPr>
    </w:p>
    <w:p w:rsidRPr="004A5373" w:rsidR="006E33DD" w:rsidP="00BD4B64" w:rsidRDefault="006E33DD" w14:paraId="53200F52" w14:textId="4094459B">
      <w:pPr>
        <w:pStyle w:val="Default"/>
        <w:ind w:left="360"/>
        <w:rPr>
          <w:sz w:val="22"/>
          <w:szCs w:val="22"/>
        </w:rPr>
      </w:pPr>
      <w:r w:rsidRPr="004A5373">
        <w:rPr>
          <w:i/>
          <w:sz w:val="22"/>
          <w:szCs w:val="22"/>
        </w:rPr>
        <w:t>Comment #5.</w:t>
      </w:r>
      <w:r w:rsidR="00486AC6">
        <w:rPr>
          <w:i/>
          <w:sz w:val="22"/>
          <w:szCs w:val="22"/>
        </w:rPr>
        <w:t xml:space="preserve"> </w:t>
      </w:r>
      <w:r w:rsidR="00F66E3E">
        <w:rPr>
          <w:i/>
          <w:sz w:val="22"/>
          <w:szCs w:val="22"/>
        </w:rPr>
        <w:t xml:space="preserve"> </w:t>
      </w:r>
      <w:r w:rsidR="00486AC6">
        <w:rPr>
          <w:i/>
          <w:sz w:val="22"/>
          <w:szCs w:val="22"/>
        </w:rPr>
        <w:t xml:space="preserve">PI Challenge Meetings - </w:t>
      </w:r>
      <w:r w:rsidRPr="00486AC6" w:rsidR="00486AC6">
        <w:rPr>
          <w:iCs/>
          <w:sz w:val="22"/>
          <w:szCs w:val="22"/>
        </w:rPr>
        <w:t>Because</w:t>
      </w:r>
      <w:r w:rsidRPr="006E33DD">
        <w:rPr>
          <w:iCs/>
          <w:sz w:val="22"/>
          <w:szCs w:val="22"/>
        </w:rPr>
        <w:t xml:space="preserve"> </w:t>
      </w:r>
      <w:r w:rsidRPr="006E33DD">
        <w:rPr>
          <w:sz w:val="22"/>
          <w:szCs w:val="22"/>
        </w:rPr>
        <w:t xml:space="preserve">the performance indicator data is subject to NRC requirements for accuracy and completeness (10 CFR 50.9), most stations conduct a performance indicator challenge meeting. </w:t>
      </w:r>
      <w:r w:rsidR="00F66E3E">
        <w:rPr>
          <w:sz w:val="22"/>
          <w:szCs w:val="22"/>
        </w:rPr>
        <w:t xml:space="preserve"> </w:t>
      </w:r>
      <w:r w:rsidRPr="006E33DD">
        <w:rPr>
          <w:sz w:val="22"/>
          <w:szCs w:val="22"/>
        </w:rPr>
        <w:t xml:space="preserve">These meetings typically involve the participation of multiple Data Stewards, their managers, and the site leadership team. </w:t>
      </w:r>
      <w:r w:rsidR="00F66E3E">
        <w:rPr>
          <w:sz w:val="22"/>
          <w:szCs w:val="22"/>
        </w:rPr>
        <w:t xml:space="preserve"> </w:t>
      </w:r>
      <w:r w:rsidRPr="006E33DD">
        <w:rPr>
          <w:sz w:val="22"/>
          <w:szCs w:val="22"/>
        </w:rPr>
        <w:t xml:space="preserve">Preparation for these meetings can take several hours to develop the necessary presentation packages and assure the quality of the planned submittal. </w:t>
      </w:r>
    </w:p>
    <w:p w:rsidRPr="004A5373" w:rsidR="008469FD" w:rsidP="00BD4B64" w:rsidRDefault="008469FD" w14:paraId="48963D61" w14:textId="46BD8350">
      <w:pPr>
        <w:pStyle w:val="Default"/>
        <w:ind w:left="360"/>
        <w:rPr>
          <w:sz w:val="22"/>
          <w:szCs w:val="22"/>
        </w:rPr>
      </w:pPr>
    </w:p>
    <w:p w:rsidRPr="004A5373" w:rsidR="008469FD" w:rsidP="00BD4B64" w:rsidRDefault="008469FD" w14:paraId="2FEBF045" w14:textId="1F7C9343">
      <w:pPr>
        <w:widowControl w:val="0"/>
        <w:ind w:left="360"/>
        <w:rPr>
          <w:rFonts w:ascii="Arial" w:hAnsi="Arial" w:cs="Arial"/>
          <w:iCs/>
          <w:sz w:val="22"/>
          <w:szCs w:val="22"/>
        </w:rPr>
      </w:pPr>
      <w:r w:rsidRPr="004A5373">
        <w:rPr>
          <w:rFonts w:ascii="Arial" w:hAnsi="Arial" w:cs="Arial"/>
          <w:i/>
          <w:sz w:val="22"/>
          <w:szCs w:val="22"/>
        </w:rPr>
        <w:t xml:space="preserve">NRC Staff Response. </w:t>
      </w:r>
      <w:r w:rsidRPr="004A5373">
        <w:rPr>
          <w:rFonts w:ascii="Arial" w:hAnsi="Arial" w:cs="Arial"/>
          <w:iCs/>
          <w:sz w:val="22"/>
          <w:szCs w:val="22"/>
        </w:rPr>
        <w:t xml:space="preserve">After discussions with the commenter, it was determined that the proposed burden per response </w:t>
      </w:r>
      <w:r w:rsidR="00A9157D">
        <w:rPr>
          <w:rFonts w:ascii="Arial" w:hAnsi="Arial" w:cs="Arial"/>
          <w:iCs/>
          <w:sz w:val="22"/>
          <w:szCs w:val="22"/>
        </w:rPr>
        <w:t xml:space="preserve">of 200 hours </w:t>
      </w:r>
      <w:r w:rsidRPr="004A5373">
        <w:rPr>
          <w:rFonts w:ascii="Arial" w:hAnsi="Arial" w:cs="Arial"/>
          <w:iCs/>
          <w:sz w:val="22"/>
          <w:szCs w:val="22"/>
        </w:rPr>
        <w:t xml:space="preserve">already established includes hours to cover the quarterly submittal activities.  Based on this information, the NRC concluded that no burden per response adjustment was needed.  </w:t>
      </w:r>
    </w:p>
    <w:p w:rsidRPr="006E33DD" w:rsidR="008469FD" w:rsidP="00BD4B64" w:rsidRDefault="008469FD" w14:paraId="6F635C11" w14:textId="77777777">
      <w:pPr>
        <w:pStyle w:val="Default"/>
        <w:ind w:left="360"/>
        <w:rPr>
          <w:sz w:val="22"/>
          <w:szCs w:val="22"/>
        </w:rPr>
      </w:pPr>
    </w:p>
    <w:p w:rsidRPr="00C4705C" w:rsidR="00C4705C" w:rsidP="00BD4B64" w:rsidRDefault="00B60404" w14:paraId="18821E6F" w14:textId="4939F7DC">
      <w:pPr>
        <w:pStyle w:val="Default"/>
        <w:ind w:left="360"/>
        <w:rPr>
          <w:iCs/>
        </w:rPr>
      </w:pPr>
      <w:r w:rsidRPr="004A5373">
        <w:rPr>
          <w:i/>
          <w:sz w:val="22"/>
          <w:szCs w:val="22"/>
        </w:rPr>
        <w:t>Comment #6.</w:t>
      </w:r>
      <w:r w:rsidR="00F73E82">
        <w:rPr>
          <w:i/>
          <w:sz w:val="22"/>
          <w:szCs w:val="22"/>
        </w:rPr>
        <w:t xml:space="preserve"> </w:t>
      </w:r>
      <w:r w:rsidRPr="004A5373">
        <w:rPr>
          <w:i/>
          <w:sz w:val="22"/>
          <w:szCs w:val="22"/>
        </w:rPr>
        <w:t xml:space="preserve"> </w:t>
      </w:r>
      <w:r w:rsidR="00E50F47">
        <w:rPr>
          <w:i/>
          <w:sz w:val="22"/>
          <w:szCs w:val="22"/>
        </w:rPr>
        <w:t xml:space="preserve">Data Steward Training - </w:t>
      </w:r>
      <w:r w:rsidRPr="00C4705C" w:rsidR="00C4705C">
        <w:rPr>
          <w:sz w:val="22"/>
          <w:szCs w:val="22"/>
        </w:rPr>
        <w:t xml:space="preserve">Data Stewards are the individuals assigned responsibility for collecting the plant raw data needed for NEI 99-02 reporting. </w:t>
      </w:r>
      <w:r w:rsidR="00F73E82">
        <w:rPr>
          <w:sz w:val="22"/>
          <w:szCs w:val="22"/>
        </w:rPr>
        <w:t xml:space="preserve"> </w:t>
      </w:r>
      <w:r w:rsidRPr="00C4705C" w:rsidR="00C4705C">
        <w:rPr>
          <w:sz w:val="22"/>
          <w:szCs w:val="22"/>
        </w:rPr>
        <w:t xml:space="preserve">These individuals need training on NEI 99-02, approved FAQs, and the station process for collecting information and submitting it to the INPO IRIS system. </w:t>
      </w:r>
      <w:r w:rsidR="00F73E82">
        <w:rPr>
          <w:sz w:val="22"/>
          <w:szCs w:val="22"/>
        </w:rPr>
        <w:t xml:space="preserve"> </w:t>
      </w:r>
      <w:r w:rsidRPr="00C4705C" w:rsidR="00C4705C">
        <w:rPr>
          <w:sz w:val="22"/>
          <w:szCs w:val="22"/>
        </w:rPr>
        <w:t xml:space="preserve">Accuracy of information being submitted is a key part of this training. </w:t>
      </w:r>
      <w:r w:rsidR="00301751">
        <w:rPr>
          <w:sz w:val="22"/>
          <w:szCs w:val="22"/>
        </w:rPr>
        <w:t xml:space="preserve"> </w:t>
      </w:r>
      <w:r w:rsidRPr="00C4705C" w:rsidR="00C4705C">
        <w:rPr>
          <w:sz w:val="22"/>
          <w:szCs w:val="22"/>
        </w:rPr>
        <w:t xml:space="preserve">This training varies and can be as low as a few hours, or up to several days. </w:t>
      </w:r>
      <w:r w:rsidR="00301751">
        <w:rPr>
          <w:sz w:val="22"/>
          <w:szCs w:val="22"/>
        </w:rPr>
        <w:t xml:space="preserve"> </w:t>
      </w:r>
      <w:r w:rsidRPr="00C4705C" w:rsidR="00C4705C">
        <w:rPr>
          <w:sz w:val="22"/>
          <w:szCs w:val="22"/>
        </w:rPr>
        <w:t>Because of high turnover in the Data Steward positions in recent years, most stations are spending more resources in Data Steward training than when the NRC last updated its estimate of the information collection burden.</w:t>
      </w:r>
      <w:r w:rsidRPr="00C4705C" w:rsidR="00C4705C">
        <w:rPr>
          <w:iCs/>
        </w:rPr>
        <w:t xml:space="preserve"> </w:t>
      </w:r>
    </w:p>
    <w:p w:rsidRPr="004A5373" w:rsidR="00414443" w:rsidP="00414443" w:rsidRDefault="00414443" w14:paraId="7D14BEE4" w14:textId="12F2458A">
      <w:pPr>
        <w:pStyle w:val="Default"/>
        <w:ind w:left="360"/>
        <w:rPr>
          <w:iCs/>
        </w:rPr>
      </w:pPr>
    </w:p>
    <w:p w:rsidRPr="004A5373" w:rsidR="00BD4B64" w:rsidP="00414443" w:rsidRDefault="00BD4B64" w14:paraId="73626F75" w14:textId="092A2D23">
      <w:pPr>
        <w:pStyle w:val="Default"/>
        <w:ind w:left="360"/>
        <w:rPr>
          <w:iCs/>
          <w:sz w:val="22"/>
          <w:szCs w:val="22"/>
        </w:rPr>
      </w:pPr>
      <w:r w:rsidRPr="004A5373">
        <w:rPr>
          <w:i/>
          <w:sz w:val="22"/>
          <w:szCs w:val="22"/>
        </w:rPr>
        <w:t xml:space="preserve">NRC Staff Response.  </w:t>
      </w:r>
      <w:r w:rsidRPr="004A5373" w:rsidR="00913B71">
        <w:rPr>
          <w:sz w:val="22"/>
          <w:szCs w:val="20"/>
        </w:rPr>
        <w:t xml:space="preserve">The NRC staff acknowledges that </w:t>
      </w:r>
      <w:r w:rsidRPr="004A5373" w:rsidR="00A31AB8">
        <w:rPr>
          <w:sz w:val="22"/>
        </w:rPr>
        <w:t>data st</w:t>
      </w:r>
      <w:r w:rsidRPr="004A5373" w:rsidR="00A461AE">
        <w:rPr>
          <w:sz w:val="22"/>
        </w:rPr>
        <w:t xml:space="preserve">eward training </w:t>
      </w:r>
      <w:r w:rsidRPr="004A5373" w:rsidR="00913B71">
        <w:rPr>
          <w:sz w:val="22"/>
        </w:rPr>
        <w:t xml:space="preserve">would require additional effort that would go over the 200 hours burden response.  </w:t>
      </w:r>
      <w:r w:rsidRPr="004A5373" w:rsidR="007164EB">
        <w:rPr>
          <w:sz w:val="22"/>
        </w:rPr>
        <w:t xml:space="preserve">The commenter </w:t>
      </w:r>
      <w:r w:rsidRPr="004A5373" w:rsidR="00B20A65">
        <w:rPr>
          <w:sz w:val="22"/>
        </w:rPr>
        <w:t xml:space="preserve">explained to us that this position has a </w:t>
      </w:r>
      <w:r w:rsidRPr="004A5373" w:rsidR="003D3BFC">
        <w:rPr>
          <w:sz w:val="22"/>
        </w:rPr>
        <w:t xml:space="preserve">high turnover </w:t>
      </w:r>
      <w:r w:rsidRPr="004A5373" w:rsidR="00B20A65">
        <w:rPr>
          <w:sz w:val="22"/>
        </w:rPr>
        <w:t xml:space="preserve">rate and </w:t>
      </w:r>
      <w:r w:rsidRPr="004A5373" w:rsidR="005906B9">
        <w:rPr>
          <w:sz w:val="22"/>
        </w:rPr>
        <w:t xml:space="preserve">that in average they would train a new person for the position </w:t>
      </w:r>
      <w:r w:rsidRPr="004A5373" w:rsidR="00FD7A0F">
        <w:rPr>
          <w:sz w:val="22"/>
        </w:rPr>
        <w:t>twice</w:t>
      </w:r>
      <w:r w:rsidRPr="004A5373" w:rsidR="005906B9">
        <w:rPr>
          <w:sz w:val="22"/>
        </w:rPr>
        <w:t xml:space="preserve"> a year.  </w:t>
      </w:r>
      <w:r w:rsidRPr="004A5373" w:rsidR="00913B71">
        <w:rPr>
          <w:sz w:val="22"/>
          <w:szCs w:val="20"/>
        </w:rPr>
        <w:t>However, not every site will have t</w:t>
      </w:r>
      <w:r w:rsidRPr="004A5373" w:rsidR="0029211D">
        <w:rPr>
          <w:sz w:val="22"/>
          <w:szCs w:val="20"/>
        </w:rPr>
        <w:t xml:space="preserve">he same amount of turnover.  </w:t>
      </w:r>
      <w:r w:rsidRPr="004A5373" w:rsidR="00913B71">
        <w:rPr>
          <w:iCs/>
          <w:sz w:val="22"/>
          <w:szCs w:val="22"/>
        </w:rPr>
        <w:t>Based on this information, the NRC staff decided to slightly adjust the burden per response hours by adding an additional 5 hours per quarter.</w:t>
      </w:r>
    </w:p>
    <w:p w:rsidRPr="004A5373" w:rsidR="006C01A5" w:rsidP="00414443" w:rsidRDefault="006C01A5" w14:paraId="0D2FE5F7" w14:textId="26C40B17">
      <w:pPr>
        <w:pStyle w:val="Default"/>
        <w:ind w:left="360"/>
        <w:rPr>
          <w:iCs/>
        </w:rPr>
      </w:pPr>
    </w:p>
    <w:p w:rsidRPr="00E60E69" w:rsidR="00E60E69" w:rsidP="00E60E69" w:rsidRDefault="00380464" w14:paraId="42D51912" w14:textId="1D199615">
      <w:pPr>
        <w:pStyle w:val="Default"/>
        <w:ind w:left="360"/>
        <w:rPr>
          <w:sz w:val="21"/>
          <w:szCs w:val="21"/>
        </w:rPr>
      </w:pPr>
      <w:r w:rsidRPr="004A5373">
        <w:rPr>
          <w:i/>
          <w:sz w:val="22"/>
          <w:szCs w:val="22"/>
        </w:rPr>
        <w:t>Comment #7</w:t>
      </w:r>
      <w:r w:rsidRPr="004A5373" w:rsidR="006C01A5">
        <w:rPr>
          <w:i/>
          <w:sz w:val="22"/>
          <w:szCs w:val="22"/>
        </w:rPr>
        <w:t xml:space="preserve">. </w:t>
      </w:r>
      <w:r w:rsidR="00BC3414">
        <w:rPr>
          <w:i/>
          <w:sz w:val="22"/>
          <w:szCs w:val="22"/>
        </w:rPr>
        <w:t xml:space="preserve"> </w:t>
      </w:r>
      <w:r w:rsidR="00E50F47">
        <w:rPr>
          <w:i/>
          <w:sz w:val="22"/>
          <w:szCs w:val="22"/>
        </w:rPr>
        <w:t xml:space="preserve">FAQ Submittals - </w:t>
      </w:r>
      <w:r w:rsidRPr="00E60E69" w:rsidR="00E60E69">
        <w:rPr>
          <w:sz w:val="22"/>
          <w:szCs w:val="22"/>
        </w:rPr>
        <w:t xml:space="preserve">In recent years, the number of FAQs submitted by licensees has been small. </w:t>
      </w:r>
      <w:r w:rsidR="00BC3414">
        <w:rPr>
          <w:sz w:val="22"/>
          <w:szCs w:val="22"/>
        </w:rPr>
        <w:t xml:space="preserve"> </w:t>
      </w:r>
      <w:r w:rsidRPr="00E60E69" w:rsidR="00E60E69">
        <w:rPr>
          <w:sz w:val="22"/>
          <w:szCs w:val="22"/>
        </w:rPr>
        <w:t xml:space="preserve">Hence, for most licensees submitting an FAQ is an infrequent occurrence. </w:t>
      </w:r>
      <w:r w:rsidR="00BF384C">
        <w:rPr>
          <w:sz w:val="22"/>
          <w:szCs w:val="22"/>
        </w:rPr>
        <w:t xml:space="preserve"> </w:t>
      </w:r>
      <w:r w:rsidRPr="00E60E69" w:rsidR="00E60E69">
        <w:rPr>
          <w:sz w:val="22"/>
          <w:szCs w:val="22"/>
        </w:rPr>
        <w:t xml:space="preserve">When an FAQ submittal is being considered, the licensee will perform research similar to that described above for Reportability Evaluations. </w:t>
      </w:r>
      <w:r w:rsidR="00BF384C">
        <w:rPr>
          <w:sz w:val="22"/>
          <w:szCs w:val="22"/>
        </w:rPr>
        <w:t xml:space="preserve"> </w:t>
      </w:r>
      <w:r w:rsidRPr="00E60E69" w:rsidR="00E60E69">
        <w:rPr>
          <w:sz w:val="22"/>
          <w:szCs w:val="22"/>
        </w:rPr>
        <w:t xml:space="preserve">The review and challenge of a FAQ is similar to the Reportability Evaluations listed above. </w:t>
      </w:r>
      <w:r w:rsidR="00BF384C">
        <w:rPr>
          <w:sz w:val="22"/>
          <w:szCs w:val="22"/>
        </w:rPr>
        <w:t xml:space="preserve"> </w:t>
      </w:r>
      <w:r w:rsidRPr="00E60E69" w:rsidR="00E60E69">
        <w:rPr>
          <w:sz w:val="22"/>
          <w:szCs w:val="22"/>
        </w:rPr>
        <w:t xml:space="preserve">Therefore, the level of effort for an FAQ submittal is also similar to that described above. </w:t>
      </w:r>
      <w:r w:rsidR="00BF384C">
        <w:rPr>
          <w:sz w:val="22"/>
          <w:szCs w:val="22"/>
        </w:rPr>
        <w:t xml:space="preserve"> </w:t>
      </w:r>
      <w:r w:rsidRPr="00E60E69" w:rsidR="00E60E69">
        <w:rPr>
          <w:sz w:val="22"/>
          <w:szCs w:val="22"/>
        </w:rPr>
        <w:t xml:space="preserve">In addition to the burden that falls on the licensee submitting an FAQ, each FAQ creates a burden on the industry’s other licensees who participate in the NEI Reactor Oversight Process Task Force. </w:t>
      </w:r>
      <w:r w:rsidR="00BF384C">
        <w:rPr>
          <w:sz w:val="22"/>
          <w:szCs w:val="22"/>
        </w:rPr>
        <w:t xml:space="preserve"> </w:t>
      </w:r>
      <w:r w:rsidRPr="00E60E69" w:rsidR="00E60E69">
        <w:rPr>
          <w:sz w:val="22"/>
          <w:szCs w:val="22"/>
        </w:rPr>
        <w:t xml:space="preserve">The ROP Task Force serves as the industry’s authority for final review and approval of FAQs submitted to the NRC. </w:t>
      </w:r>
      <w:r w:rsidR="00BF384C">
        <w:rPr>
          <w:sz w:val="22"/>
          <w:szCs w:val="22"/>
        </w:rPr>
        <w:t xml:space="preserve"> </w:t>
      </w:r>
      <w:r w:rsidRPr="00E60E69" w:rsidR="00E60E69">
        <w:rPr>
          <w:sz w:val="22"/>
          <w:szCs w:val="22"/>
        </w:rPr>
        <w:t>The industry representatives who comprise the ROP Task Force typically spend about two days each month reviewing and commenting on materials pertaining to FAQs and monthly interactions with the NRC staff on changes in and issues arising from the ROP.</w:t>
      </w:r>
      <w:r w:rsidRPr="00E60E69" w:rsidR="00E60E69">
        <w:rPr>
          <w:sz w:val="21"/>
          <w:szCs w:val="21"/>
        </w:rPr>
        <w:t xml:space="preserve"> </w:t>
      </w:r>
    </w:p>
    <w:p w:rsidRPr="004A5373" w:rsidR="006C01A5" w:rsidP="00414443" w:rsidRDefault="006C01A5" w14:paraId="49EA36AA" w14:textId="333929AE">
      <w:pPr>
        <w:pStyle w:val="Default"/>
        <w:ind w:left="360"/>
        <w:rPr>
          <w:iCs/>
        </w:rPr>
      </w:pPr>
    </w:p>
    <w:p w:rsidRPr="004A5373" w:rsidR="00493D46" w:rsidP="00493D46" w:rsidRDefault="00E60E69" w14:paraId="1C518817" w14:textId="3212493E">
      <w:pPr>
        <w:widowControl w:val="0"/>
        <w:ind w:left="360"/>
        <w:rPr>
          <w:rFonts w:ascii="Arial" w:hAnsi="Arial" w:cs="Arial"/>
          <w:iCs/>
          <w:sz w:val="22"/>
          <w:szCs w:val="22"/>
        </w:rPr>
      </w:pPr>
      <w:r w:rsidRPr="004A5373">
        <w:rPr>
          <w:rFonts w:ascii="Arial" w:hAnsi="Arial" w:cs="Arial"/>
          <w:i/>
          <w:sz w:val="22"/>
          <w:szCs w:val="22"/>
        </w:rPr>
        <w:t xml:space="preserve">NRC Staff Response.  </w:t>
      </w:r>
      <w:r w:rsidRPr="004A5373" w:rsidR="00493D46">
        <w:rPr>
          <w:rFonts w:ascii="Arial" w:hAnsi="Arial" w:cs="Arial"/>
          <w:iCs/>
          <w:sz w:val="22"/>
          <w:szCs w:val="22"/>
        </w:rPr>
        <w:t xml:space="preserve">After discussions with the commenter, it was determined that the proposed burden per response </w:t>
      </w:r>
      <w:r w:rsidR="00E50F47">
        <w:rPr>
          <w:rFonts w:ascii="Arial" w:hAnsi="Arial" w:cs="Arial"/>
          <w:iCs/>
          <w:sz w:val="22"/>
          <w:szCs w:val="22"/>
        </w:rPr>
        <w:t xml:space="preserve">of </w:t>
      </w:r>
      <w:r w:rsidR="00A9157D">
        <w:rPr>
          <w:rFonts w:ascii="Arial" w:hAnsi="Arial" w:cs="Arial"/>
          <w:iCs/>
          <w:sz w:val="22"/>
          <w:szCs w:val="22"/>
        </w:rPr>
        <w:t>40 hours</w:t>
      </w:r>
      <w:r w:rsidR="00E50F47">
        <w:rPr>
          <w:rFonts w:ascii="Arial" w:hAnsi="Arial" w:cs="Arial"/>
          <w:iCs/>
          <w:sz w:val="22"/>
          <w:szCs w:val="22"/>
        </w:rPr>
        <w:t xml:space="preserve"> </w:t>
      </w:r>
      <w:r w:rsidRPr="004A5373" w:rsidR="00493D46">
        <w:rPr>
          <w:rFonts w:ascii="Arial" w:hAnsi="Arial" w:cs="Arial"/>
          <w:iCs/>
          <w:sz w:val="22"/>
          <w:szCs w:val="22"/>
        </w:rPr>
        <w:t xml:space="preserve">already established includes hours to cover the quarterly submittal activities.  Based on this information, the NRC concluded that no burden per response adjustment was needed.  </w:t>
      </w:r>
    </w:p>
    <w:p w:rsidRPr="004A5373" w:rsidR="00380464" w:rsidP="00493D46" w:rsidRDefault="00380464" w14:paraId="2C6C9F4B" w14:textId="6DD9155D">
      <w:pPr>
        <w:widowControl w:val="0"/>
        <w:ind w:left="360"/>
        <w:rPr>
          <w:rFonts w:ascii="Arial" w:hAnsi="Arial" w:cs="Arial"/>
          <w:iCs/>
          <w:sz w:val="22"/>
          <w:szCs w:val="22"/>
        </w:rPr>
      </w:pPr>
    </w:p>
    <w:p w:rsidRPr="004A5373" w:rsidR="00380464" w:rsidP="00493D46" w:rsidRDefault="00380464" w14:paraId="3C159196" w14:textId="5EC1B14B">
      <w:pPr>
        <w:widowControl w:val="0"/>
        <w:ind w:left="360"/>
        <w:rPr>
          <w:rFonts w:ascii="Arial" w:hAnsi="Arial" w:cs="Arial"/>
          <w:sz w:val="22"/>
          <w:szCs w:val="22"/>
        </w:rPr>
      </w:pPr>
      <w:r w:rsidRPr="004A5373">
        <w:rPr>
          <w:rFonts w:ascii="Arial" w:hAnsi="Arial" w:cs="Arial"/>
          <w:i/>
          <w:sz w:val="22"/>
          <w:szCs w:val="22"/>
        </w:rPr>
        <w:t>Comment #8.</w:t>
      </w:r>
      <w:r w:rsidR="00E86F37">
        <w:rPr>
          <w:rFonts w:ascii="Arial" w:hAnsi="Arial" w:cs="Arial"/>
          <w:i/>
          <w:sz w:val="22"/>
          <w:szCs w:val="22"/>
        </w:rPr>
        <w:t xml:space="preserve"> </w:t>
      </w:r>
      <w:r w:rsidRPr="004A5373">
        <w:rPr>
          <w:rFonts w:ascii="Arial" w:hAnsi="Arial" w:cs="Arial"/>
          <w:i/>
          <w:sz w:val="22"/>
          <w:szCs w:val="22"/>
        </w:rPr>
        <w:t xml:space="preserve">  </w:t>
      </w:r>
      <w:r w:rsidRPr="004A5373" w:rsidR="00927DE0">
        <w:rPr>
          <w:rFonts w:ascii="Arial" w:hAnsi="Arial" w:cs="Arial"/>
          <w:sz w:val="22"/>
          <w:szCs w:val="22"/>
        </w:rPr>
        <w:t xml:space="preserve">NEI encourages the MAP-X team of the NRC’s Embark Venture Studio to include NEI 99-02 reporting in the scope of their efforts to develop web-based solutions to </w:t>
      </w:r>
      <w:r w:rsidRPr="004A5373" w:rsidR="00927DE0">
        <w:rPr>
          <w:rFonts w:ascii="Arial" w:hAnsi="Arial" w:cs="Arial"/>
          <w:sz w:val="22"/>
          <w:szCs w:val="22"/>
        </w:rPr>
        <w:lastRenderedPageBreak/>
        <w:t>streamline industry reporting and to support the NRC’s vision of “big data” being available. Of course, any such developments would have to be coordinated with industry and INPO.</w:t>
      </w:r>
    </w:p>
    <w:p w:rsidRPr="004A5373" w:rsidR="00927DE0" w:rsidP="00493D46" w:rsidRDefault="00927DE0" w14:paraId="05040045" w14:textId="058B01DB">
      <w:pPr>
        <w:widowControl w:val="0"/>
        <w:ind w:left="360"/>
        <w:rPr>
          <w:rFonts w:ascii="Arial" w:hAnsi="Arial" w:cs="Arial"/>
          <w:iCs/>
          <w:sz w:val="22"/>
          <w:szCs w:val="22"/>
        </w:rPr>
      </w:pPr>
    </w:p>
    <w:p w:rsidRPr="004A5373" w:rsidR="00927DE0" w:rsidP="00493D46" w:rsidRDefault="00927DE0" w14:paraId="40D2D72C" w14:textId="2741CAC2">
      <w:pPr>
        <w:widowControl w:val="0"/>
        <w:ind w:left="360"/>
        <w:rPr>
          <w:rFonts w:ascii="Arial" w:hAnsi="Arial" w:cs="Arial"/>
          <w:iCs/>
          <w:sz w:val="22"/>
          <w:szCs w:val="22"/>
        </w:rPr>
      </w:pPr>
      <w:r w:rsidRPr="004A5373">
        <w:rPr>
          <w:rFonts w:ascii="Arial" w:hAnsi="Arial" w:cs="Arial"/>
          <w:i/>
          <w:sz w:val="22"/>
          <w:szCs w:val="22"/>
        </w:rPr>
        <w:t>NRC Staff Response</w:t>
      </w:r>
      <w:r w:rsidRPr="004A5373" w:rsidR="002B2199">
        <w:rPr>
          <w:rFonts w:ascii="Arial" w:hAnsi="Arial" w:cs="Arial"/>
          <w:i/>
          <w:sz w:val="22"/>
          <w:szCs w:val="22"/>
        </w:rPr>
        <w:t>.</w:t>
      </w:r>
      <w:r w:rsidRPr="004A5373">
        <w:rPr>
          <w:rFonts w:ascii="Arial" w:hAnsi="Arial" w:cs="Arial"/>
          <w:i/>
          <w:sz w:val="22"/>
          <w:szCs w:val="22"/>
        </w:rPr>
        <w:t xml:space="preserve">  </w:t>
      </w:r>
      <w:r w:rsidRPr="004A5373" w:rsidR="002B2199">
        <w:rPr>
          <w:rFonts w:ascii="Arial" w:hAnsi="Arial" w:cs="Arial"/>
          <w:iCs/>
          <w:sz w:val="22"/>
          <w:szCs w:val="22"/>
        </w:rPr>
        <w:t xml:space="preserve">The NRC will take this recommendation </w:t>
      </w:r>
      <w:r w:rsidRPr="004A5373" w:rsidR="00196B0F">
        <w:rPr>
          <w:rFonts w:ascii="Arial" w:hAnsi="Arial" w:cs="Arial"/>
          <w:iCs/>
          <w:sz w:val="22"/>
          <w:szCs w:val="22"/>
        </w:rPr>
        <w:t>into</w:t>
      </w:r>
      <w:r w:rsidRPr="004A5373" w:rsidR="002B2199">
        <w:rPr>
          <w:rFonts w:ascii="Arial" w:hAnsi="Arial" w:cs="Arial"/>
          <w:iCs/>
          <w:sz w:val="22"/>
          <w:szCs w:val="22"/>
        </w:rPr>
        <w:t xml:space="preserve"> consideration</w:t>
      </w:r>
      <w:r w:rsidRPr="004A5373" w:rsidR="00196B0F">
        <w:rPr>
          <w:rFonts w:ascii="Arial" w:hAnsi="Arial" w:cs="Arial"/>
          <w:iCs/>
          <w:sz w:val="22"/>
          <w:szCs w:val="22"/>
        </w:rPr>
        <w:t>.</w:t>
      </w:r>
    </w:p>
    <w:p w:rsidRPr="004A5373" w:rsidR="0085522F" w:rsidP="00493D46" w:rsidRDefault="0085522F" w14:paraId="220C4627" w14:textId="4BEBF932">
      <w:pPr>
        <w:widowControl w:val="0"/>
        <w:ind w:left="360"/>
        <w:rPr>
          <w:rFonts w:ascii="Arial" w:hAnsi="Arial" w:cs="Arial"/>
          <w:iCs/>
          <w:sz w:val="22"/>
          <w:szCs w:val="22"/>
        </w:rPr>
      </w:pPr>
    </w:p>
    <w:p w:rsidR="0085522F" w:rsidP="00493D46" w:rsidRDefault="003E6F94" w14:paraId="36C3C164" w14:textId="67A9B41E">
      <w:pPr>
        <w:widowControl w:val="0"/>
        <w:ind w:left="360"/>
        <w:rPr>
          <w:rFonts w:ascii="Arial" w:hAnsi="Arial" w:cs="Arial"/>
          <w:iCs/>
          <w:sz w:val="22"/>
          <w:szCs w:val="22"/>
        </w:rPr>
      </w:pPr>
      <w:r w:rsidRPr="004A5373">
        <w:rPr>
          <w:rFonts w:ascii="Arial" w:hAnsi="Arial" w:cs="Arial"/>
          <w:iCs/>
          <w:sz w:val="22"/>
          <w:szCs w:val="22"/>
        </w:rPr>
        <w:t>In conclusion, based on the comments received</w:t>
      </w:r>
      <w:r w:rsidRPr="004A5373" w:rsidR="00596A19">
        <w:rPr>
          <w:rFonts w:ascii="Arial" w:hAnsi="Arial" w:cs="Arial"/>
          <w:iCs/>
          <w:sz w:val="22"/>
          <w:szCs w:val="22"/>
        </w:rPr>
        <w:t xml:space="preserve"> </w:t>
      </w:r>
      <w:r w:rsidRPr="004A5373" w:rsidR="007F1A56">
        <w:rPr>
          <w:rFonts w:ascii="Arial" w:hAnsi="Arial" w:cs="Arial"/>
          <w:iCs/>
          <w:sz w:val="22"/>
          <w:szCs w:val="22"/>
        </w:rPr>
        <w:t>and discussions with the commenter</w:t>
      </w:r>
      <w:r w:rsidR="00E24071">
        <w:rPr>
          <w:rFonts w:ascii="Arial" w:hAnsi="Arial" w:cs="Arial"/>
          <w:iCs/>
          <w:sz w:val="22"/>
          <w:szCs w:val="22"/>
        </w:rPr>
        <w:t>,</w:t>
      </w:r>
      <w:r w:rsidRPr="004A5373" w:rsidR="007F1A56">
        <w:rPr>
          <w:rFonts w:ascii="Arial" w:hAnsi="Arial" w:cs="Arial"/>
          <w:iCs/>
          <w:sz w:val="22"/>
          <w:szCs w:val="22"/>
        </w:rPr>
        <w:t xml:space="preserve"> </w:t>
      </w:r>
      <w:r w:rsidRPr="004A5373" w:rsidR="00596A19">
        <w:rPr>
          <w:rFonts w:ascii="Arial" w:hAnsi="Arial" w:cs="Arial"/>
          <w:iCs/>
          <w:sz w:val="22"/>
          <w:szCs w:val="22"/>
        </w:rPr>
        <w:t>the NRC staff will increase the burden per response f</w:t>
      </w:r>
      <w:r w:rsidRPr="004A5373" w:rsidR="0092001B">
        <w:rPr>
          <w:rFonts w:ascii="Arial" w:hAnsi="Arial" w:cs="Arial"/>
          <w:iCs/>
          <w:sz w:val="22"/>
          <w:szCs w:val="22"/>
        </w:rPr>
        <w:t>rom 200 hours to 215 hours per quarter.</w:t>
      </w:r>
      <w:r w:rsidR="0092001B">
        <w:rPr>
          <w:rFonts w:ascii="Arial" w:hAnsi="Arial" w:cs="Arial"/>
          <w:iCs/>
          <w:sz w:val="22"/>
          <w:szCs w:val="22"/>
        </w:rPr>
        <w:t xml:space="preserve">  </w:t>
      </w:r>
    </w:p>
    <w:p w:rsidRPr="001F207E" w:rsidR="00C728F7" w:rsidP="00A61C09" w:rsidRDefault="00C728F7" w14:paraId="79956110" w14:textId="77777777">
      <w:pPr>
        <w:widowControl w:val="0"/>
        <w:ind w:left="360"/>
        <w:rPr>
          <w:rFonts w:ascii="Arial" w:hAnsi="Arial" w:cs="Arial"/>
          <w:sz w:val="22"/>
          <w:szCs w:val="22"/>
        </w:rPr>
      </w:pPr>
    </w:p>
    <w:p w:rsidRPr="001F207E" w:rsidR="00431598" w:rsidP="00382D7E" w:rsidRDefault="00431598" w14:paraId="29CEE0D5" w14:textId="77777777">
      <w:pPr>
        <w:widowControl w:val="0"/>
        <w:ind w:left="360" w:hanging="360"/>
        <w:rPr>
          <w:rFonts w:ascii="Arial" w:hAnsi="Arial" w:cs="Arial"/>
          <w:sz w:val="22"/>
          <w:szCs w:val="22"/>
        </w:rPr>
      </w:pPr>
      <w:r w:rsidRPr="001F207E">
        <w:rPr>
          <w:rFonts w:ascii="Arial" w:hAnsi="Arial" w:cs="Arial"/>
          <w:sz w:val="22"/>
          <w:szCs w:val="22"/>
        </w:rPr>
        <w:t>9.</w:t>
      </w:r>
      <w:r w:rsidRPr="001F207E">
        <w:rPr>
          <w:rFonts w:ascii="Arial" w:hAnsi="Arial" w:cs="Arial"/>
          <w:sz w:val="22"/>
          <w:szCs w:val="22"/>
        </w:rPr>
        <w:tab/>
      </w:r>
      <w:r w:rsidRPr="001F207E">
        <w:rPr>
          <w:rFonts w:ascii="Arial" w:hAnsi="Arial" w:cs="Arial"/>
          <w:sz w:val="22"/>
          <w:szCs w:val="22"/>
          <w:u w:val="single"/>
        </w:rPr>
        <w:t>Payment or Gift to Respondents</w:t>
      </w:r>
    </w:p>
    <w:p w:rsidRPr="001F207E" w:rsidR="00431598" w:rsidRDefault="00431598" w14:paraId="00940BAC" w14:textId="77777777">
      <w:pPr>
        <w:widowControl w:val="0"/>
        <w:rPr>
          <w:rFonts w:ascii="Arial" w:hAnsi="Arial" w:cs="Arial"/>
          <w:sz w:val="22"/>
          <w:szCs w:val="22"/>
        </w:rPr>
      </w:pPr>
    </w:p>
    <w:p w:rsidRPr="001F207E" w:rsidR="00431598" w:rsidP="00382D7E" w:rsidRDefault="00431598" w14:paraId="4A90731E" w14:textId="77777777">
      <w:pPr>
        <w:widowControl w:val="0"/>
        <w:tabs>
          <w:tab w:val="left" w:pos="360"/>
        </w:tabs>
        <w:rPr>
          <w:rFonts w:ascii="Arial" w:hAnsi="Arial" w:cs="Arial"/>
          <w:sz w:val="22"/>
          <w:szCs w:val="22"/>
        </w:rPr>
      </w:pPr>
      <w:r w:rsidRPr="001F207E">
        <w:rPr>
          <w:rFonts w:ascii="Arial" w:hAnsi="Arial" w:cs="Arial"/>
          <w:sz w:val="22"/>
          <w:szCs w:val="22"/>
        </w:rPr>
        <w:tab/>
        <w:t>Not applicable.</w:t>
      </w:r>
    </w:p>
    <w:p w:rsidRPr="001F207E" w:rsidR="00431598" w:rsidRDefault="00431598" w14:paraId="229D1121" w14:textId="77777777">
      <w:pPr>
        <w:widowControl w:val="0"/>
        <w:rPr>
          <w:rFonts w:ascii="Arial" w:hAnsi="Arial" w:cs="Arial"/>
          <w:sz w:val="22"/>
          <w:szCs w:val="22"/>
        </w:rPr>
      </w:pPr>
    </w:p>
    <w:p w:rsidRPr="001F207E" w:rsidR="00431598" w:rsidP="00382D7E" w:rsidRDefault="00431598" w14:paraId="7EA6EC03" w14:textId="77777777">
      <w:pPr>
        <w:widowControl w:val="0"/>
        <w:ind w:left="360" w:hanging="360"/>
        <w:rPr>
          <w:rFonts w:ascii="Arial" w:hAnsi="Arial" w:cs="Arial"/>
          <w:sz w:val="22"/>
          <w:szCs w:val="22"/>
        </w:rPr>
      </w:pPr>
      <w:r w:rsidRPr="001F207E">
        <w:rPr>
          <w:rFonts w:ascii="Arial" w:hAnsi="Arial" w:cs="Arial"/>
          <w:sz w:val="22"/>
          <w:szCs w:val="22"/>
        </w:rPr>
        <w:t>10.</w:t>
      </w:r>
      <w:r w:rsidRPr="001F207E">
        <w:rPr>
          <w:rFonts w:ascii="Arial" w:hAnsi="Arial" w:cs="Arial"/>
          <w:sz w:val="22"/>
          <w:szCs w:val="22"/>
        </w:rPr>
        <w:tab/>
      </w:r>
      <w:r w:rsidRPr="001F207E">
        <w:rPr>
          <w:rFonts w:ascii="Arial" w:hAnsi="Arial" w:cs="Arial"/>
          <w:sz w:val="22"/>
          <w:szCs w:val="22"/>
          <w:u w:val="single"/>
        </w:rPr>
        <w:t>Confidentiality of Information</w:t>
      </w:r>
    </w:p>
    <w:p w:rsidRPr="001F207E" w:rsidR="00431598" w:rsidRDefault="00431598" w14:paraId="64B924CD" w14:textId="77777777">
      <w:pPr>
        <w:widowControl w:val="0"/>
        <w:rPr>
          <w:rFonts w:ascii="Arial" w:hAnsi="Arial" w:cs="Arial"/>
          <w:sz w:val="22"/>
          <w:szCs w:val="22"/>
        </w:rPr>
      </w:pPr>
    </w:p>
    <w:p w:rsidRPr="001F207E" w:rsidR="00356DA6" w:rsidP="00750F66" w:rsidRDefault="00431598" w14:paraId="2DC5B41A" w14:textId="77777777">
      <w:pPr>
        <w:widowControl w:val="0"/>
        <w:ind w:left="360"/>
        <w:rPr>
          <w:rFonts w:ascii="Arial" w:hAnsi="Arial" w:cs="Arial"/>
          <w:sz w:val="22"/>
          <w:szCs w:val="22"/>
        </w:rPr>
      </w:pPr>
      <w:r w:rsidRPr="001F207E">
        <w:rPr>
          <w:rFonts w:ascii="Arial" w:hAnsi="Arial" w:cs="Arial"/>
          <w:sz w:val="22"/>
          <w:szCs w:val="22"/>
        </w:rPr>
        <w:t xml:space="preserve">Confidential and proprietary information is protected in accordance with NRC regulations at 10 CFR 9.17(a) and 10 CFR 2.390(b).  However, the NRC does not request information normally considered confidential or proprietary for PI reporting purposes.  </w:t>
      </w:r>
    </w:p>
    <w:p w:rsidRPr="001F207E" w:rsidR="00431598" w:rsidP="00750F66" w:rsidRDefault="00431598" w14:paraId="149B04F1" w14:textId="77777777">
      <w:pPr>
        <w:widowControl w:val="0"/>
        <w:ind w:left="360"/>
        <w:rPr>
          <w:rFonts w:ascii="Arial" w:hAnsi="Arial" w:cs="Arial"/>
          <w:sz w:val="22"/>
          <w:szCs w:val="22"/>
        </w:rPr>
      </w:pPr>
    </w:p>
    <w:p w:rsidRPr="001F207E" w:rsidR="00431598" w:rsidP="00382D7E" w:rsidRDefault="00431598" w14:paraId="1A194D92" w14:textId="77777777">
      <w:pPr>
        <w:widowControl w:val="0"/>
        <w:ind w:left="360" w:hanging="360"/>
        <w:rPr>
          <w:rFonts w:ascii="Arial" w:hAnsi="Arial" w:cs="Arial"/>
          <w:sz w:val="22"/>
          <w:szCs w:val="22"/>
        </w:rPr>
      </w:pPr>
      <w:r w:rsidRPr="001F207E">
        <w:rPr>
          <w:rFonts w:ascii="Arial" w:hAnsi="Arial" w:cs="Arial"/>
          <w:sz w:val="22"/>
          <w:szCs w:val="22"/>
        </w:rPr>
        <w:t>11.</w:t>
      </w:r>
      <w:r w:rsidRPr="001F207E">
        <w:rPr>
          <w:rFonts w:ascii="Arial" w:hAnsi="Arial" w:cs="Arial"/>
          <w:sz w:val="22"/>
          <w:szCs w:val="22"/>
        </w:rPr>
        <w:tab/>
      </w:r>
      <w:r w:rsidRPr="001F207E">
        <w:rPr>
          <w:rFonts w:ascii="Arial" w:hAnsi="Arial" w:cs="Arial"/>
          <w:sz w:val="22"/>
          <w:szCs w:val="22"/>
          <w:u w:val="single"/>
        </w:rPr>
        <w:t>Justification for Sensitive Questions</w:t>
      </w:r>
    </w:p>
    <w:p w:rsidRPr="001F207E" w:rsidR="00431598" w:rsidRDefault="00431598" w14:paraId="57C1A078" w14:textId="77777777">
      <w:pPr>
        <w:widowControl w:val="0"/>
        <w:rPr>
          <w:rFonts w:ascii="Arial" w:hAnsi="Arial" w:cs="Arial"/>
          <w:sz w:val="22"/>
          <w:szCs w:val="22"/>
        </w:rPr>
      </w:pPr>
    </w:p>
    <w:p w:rsidRPr="001F207E" w:rsidR="00431598" w:rsidP="00382D7E" w:rsidRDefault="00431598" w14:paraId="3A3611E8" w14:textId="77777777">
      <w:pPr>
        <w:widowControl w:val="0"/>
        <w:tabs>
          <w:tab w:val="left" w:pos="360"/>
        </w:tabs>
        <w:rPr>
          <w:rFonts w:ascii="Arial" w:hAnsi="Arial" w:cs="Arial"/>
          <w:sz w:val="22"/>
          <w:szCs w:val="22"/>
        </w:rPr>
      </w:pPr>
      <w:r w:rsidRPr="001F207E">
        <w:rPr>
          <w:rFonts w:ascii="Arial" w:hAnsi="Arial" w:cs="Arial"/>
          <w:sz w:val="22"/>
          <w:szCs w:val="22"/>
        </w:rPr>
        <w:tab/>
        <w:t>Not applicable.</w:t>
      </w:r>
    </w:p>
    <w:p w:rsidRPr="001F207E" w:rsidR="002A19F1" w:rsidP="00382D7E" w:rsidRDefault="002A19F1" w14:paraId="4759C3DA" w14:textId="77777777">
      <w:pPr>
        <w:widowControl w:val="0"/>
        <w:ind w:left="360" w:hanging="360"/>
        <w:rPr>
          <w:rFonts w:ascii="Arial" w:hAnsi="Arial" w:cs="Arial"/>
          <w:sz w:val="22"/>
          <w:szCs w:val="22"/>
        </w:rPr>
      </w:pPr>
    </w:p>
    <w:p w:rsidRPr="001F207E" w:rsidR="00431598" w:rsidP="00382D7E" w:rsidRDefault="00431598" w14:paraId="59BB627A" w14:textId="77777777">
      <w:pPr>
        <w:widowControl w:val="0"/>
        <w:ind w:left="360" w:hanging="360"/>
        <w:rPr>
          <w:rFonts w:ascii="Arial" w:hAnsi="Arial" w:cs="Arial"/>
          <w:sz w:val="22"/>
          <w:szCs w:val="22"/>
        </w:rPr>
      </w:pPr>
      <w:r w:rsidRPr="001F207E">
        <w:rPr>
          <w:rFonts w:ascii="Arial" w:hAnsi="Arial" w:cs="Arial"/>
          <w:sz w:val="22"/>
          <w:szCs w:val="22"/>
        </w:rPr>
        <w:t>12.</w:t>
      </w:r>
      <w:r w:rsidRPr="001F207E">
        <w:rPr>
          <w:rFonts w:ascii="Arial" w:hAnsi="Arial" w:cs="Arial"/>
          <w:sz w:val="22"/>
          <w:szCs w:val="22"/>
        </w:rPr>
        <w:tab/>
      </w:r>
      <w:r w:rsidRPr="001F207E">
        <w:rPr>
          <w:rFonts w:ascii="Arial" w:hAnsi="Arial" w:cs="Arial"/>
          <w:sz w:val="22"/>
          <w:szCs w:val="22"/>
          <w:u w:val="single"/>
        </w:rPr>
        <w:t>Estimated Burden and Burden Hour Cost</w:t>
      </w:r>
    </w:p>
    <w:p w:rsidRPr="001F207E" w:rsidR="005A1652" w:rsidRDefault="005A1652" w14:paraId="04BDCBD3" w14:textId="77777777">
      <w:pPr>
        <w:widowControl w:val="0"/>
        <w:rPr>
          <w:rFonts w:ascii="Arial" w:hAnsi="Arial" w:cs="Arial"/>
          <w:sz w:val="22"/>
          <w:szCs w:val="22"/>
        </w:rPr>
      </w:pPr>
    </w:p>
    <w:p w:rsidRPr="001F207E" w:rsidR="00431598" w:rsidP="00382D7E" w:rsidRDefault="00431598" w14:paraId="0041078B" w14:textId="4C4CF3FB">
      <w:pPr>
        <w:widowControl w:val="0"/>
        <w:ind w:left="360"/>
        <w:rPr>
          <w:rFonts w:ascii="Arial" w:hAnsi="Arial" w:cs="Arial"/>
          <w:sz w:val="22"/>
          <w:szCs w:val="22"/>
        </w:rPr>
      </w:pPr>
      <w:r w:rsidRPr="001F207E">
        <w:rPr>
          <w:rFonts w:ascii="Arial" w:hAnsi="Arial" w:cs="Arial"/>
          <w:sz w:val="22"/>
          <w:szCs w:val="22"/>
        </w:rPr>
        <w:t>Table 1 reflects licensee burden to provide PI information</w:t>
      </w:r>
      <w:r w:rsidRPr="001F207E" w:rsidR="00DC29DA">
        <w:rPr>
          <w:rFonts w:ascii="Arial" w:hAnsi="Arial" w:cs="Arial"/>
          <w:sz w:val="22"/>
          <w:szCs w:val="22"/>
        </w:rPr>
        <w:t xml:space="preserve"> (</w:t>
      </w:r>
      <w:r w:rsidRPr="001F207E" w:rsidR="00784D9D">
        <w:rPr>
          <w:rFonts w:ascii="Arial" w:hAnsi="Arial" w:cs="Arial"/>
          <w:sz w:val="22"/>
          <w:szCs w:val="22"/>
        </w:rPr>
        <w:t xml:space="preserve">PI </w:t>
      </w:r>
      <w:r w:rsidRPr="001F207E" w:rsidR="00DC29DA">
        <w:rPr>
          <w:rFonts w:ascii="Arial" w:hAnsi="Arial" w:cs="Arial"/>
          <w:sz w:val="22"/>
          <w:szCs w:val="22"/>
        </w:rPr>
        <w:t xml:space="preserve">quarterly data </w:t>
      </w:r>
      <w:r w:rsidRPr="001F207E" w:rsidR="005669D2">
        <w:rPr>
          <w:rFonts w:ascii="Arial" w:hAnsi="Arial" w:cs="Arial"/>
          <w:sz w:val="22"/>
          <w:szCs w:val="22"/>
        </w:rPr>
        <w:t xml:space="preserve">submittals </w:t>
      </w:r>
      <w:r w:rsidRPr="001F207E" w:rsidR="00DC29DA">
        <w:rPr>
          <w:rFonts w:ascii="Arial" w:hAnsi="Arial" w:cs="Arial"/>
          <w:sz w:val="22"/>
          <w:szCs w:val="22"/>
        </w:rPr>
        <w:t xml:space="preserve">and </w:t>
      </w:r>
      <w:r w:rsidR="004D5B0E">
        <w:rPr>
          <w:rFonts w:ascii="Arial" w:hAnsi="Arial" w:cs="Arial"/>
          <w:sz w:val="22"/>
          <w:szCs w:val="22"/>
        </w:rPr>
        <w:t xml:space="preserve">PI </w:t>
      </w:r>
      <w:r w:rsidRPr="001F207E" w:rsidR="00DC29DA">
        <w:rPr>
          <w:rFonts w:ascii="Arial" w:hAnsi="Arial" w:cs="Arial"/>
          <w:sz w:val="22"/>
          <w:szCs w:val="22"/>
        </w:rPr>
        <w:t>FAQs)</w:t>
      </w:r>
      <w:r w:rsidRPr="001F207E" w:rsidR="00E36259">
        <w:rPr>
          <w:rFonts w:ascii="Arial" w:hAnsi="Arial" w:cs="Arial"/>
          <w:sz w:val="22"/>
          <w:szCs w:val="22"/>
        </w:rPr>
        <w:t xml:space="preserve">.  </w:t>
      </w:r>
      <w:r w:rsidRPr="001F207E">
        <w:rPr>
          <w:rFonts w:ascii="Arial" w:hAnsi="Arial" w:cs="Arial"/>
          <w:sz w:val="22"/>
          <w:szCs w:val="22"/>
        </w:rPr>
        <w:t xml:space="preserve"> </w:t>
      </w:r>
      <w:r w:rsidRPr="001F207E" w:rsidR="00955684">
        <w:rPr>
          <w:rFonts w:ascii="Arial" w:hAnsi="Arial" w:cs="Arial"/>
          <w:sz w:val="22"/>
          <w:szCs w:val="22"/>
        </w:rPr>
        <w:t>The estimates include time for reviewing instructions, searching existing data sources, gathering and maintaining the data needed, and completing and reviewing the information collection; however, t</w:t>
      </w:r>
      <w:r w:rsidRPr="001F207E">
        <w:rPr>
          <w:rFonts w:ascii="Arial" w:hAnsi="Arial" w:cs="Arial"/>
          <w:sz w:val="22"/>
          <w:szCs w:val="22"/>
        </w:rPr>
        <w:t>he estimates include only additional hours needed above those already expended by licensees to report indicators to the Institute of Nuclear Power Operations or to comply with other regulatory requirements, such as the Maintenance Rule or event reporting.</w:t>
      </w:r>
    </w:p>
    <w:p w:rsidRPr="001F207E" w:rsidR="00431598" w:rsidP="00C203C7" w:rsidRDefault="00431598" w14:paraId="59CB0136" w14:textId="77777777">
      <w:pPr>
        <w:widowControl w:val="0"/>
        <w:rPr>
          <w:rFonts w:ascii="Arial" w:hAnsi="Arial" w:cs="Arial"/>
          <w:sz w:val="22"/>
          <w:szCs w:val="22"/>
        </w:rPr>
      </w:pPr>
    </w:p>
    <w:p w:rsidRPr="00735A6D" w:rsidR="00431598" w:rsidP="00735A6D" w:rsidRDefault="001A1EC9" w14:paraId="5BFA6AC7" w14:textId="274CBF43">
      <w:pPr>
        <w:pStyle w:val="ListParagraph"/>
        <w:widowControl w:val="0"/>
        <w:numPr>
          <w:ilvl w:val="0"/>
          <w:numId w:val="26"/>
        </w:numPr>
        <w:rPr>
          <w:rFonts w:ascii="Arial" w:hAnsi="Arial" w:cs="Arial"/>
          <w:sz w:val="22"/>
          <w:szCs w:val="22"/>
        </w:rPr>
      </w:pPr>
      <w:r w:rsidRPr="00735A6D">
        <w:rPr>
          <w:rFonts w:ascii="Arial" w:hAnsi="Arial" w:cs="Arial"/>
          <w:sz w:val="22"/>
          <w:szCs w:val="22"/>
        </w:rPr>
        <w:t>Estimates are based on 8</w:t>
      </w:r>
      <w:r w:rsidRPr="00735A6D" w:rsidR="002F379C">
        <w:rPr>
          <w:rFonts w:ascii="Arial" w:hAnsi="Arial" w:cs="Arial"/>
          <w:sz w:val="22"/>
          <w:szCs w:val="22"/>
        </w:rPr>
        <w:t>9</w:t>
      </w:r>
      <w:r w:rsidRPr="00735A6D" w:rsidR="00737B7A">
        <w:rPr>
          <w:rFonts w:ascii="Arial" w:hAnsi="Arial" w:cs="Arial"/>
          <w:sz w:val="22"/>
          <w:szCs w:val="22"/>
        </w:rPr>
        <w:t xml:space="preserve"> </w:t>
      </w:r>
      <w:r w:rsidRPr="00735A6D" w:rsidR="00431598">
        <w:rPr>
          <w:rFonts w:ascii="Arial" w:hAnsi="Arial" w:cs="Arial"/>
          <w:sz w:val="22"/>
          <w:szCs w:val="22"/>
        </w:rPr>
        <w:t>operating reactors.  The NRC assumes there will be one response per reactor unit on a quarterly basis (4 x </w:t>
      </w:r>
      <w:r w:rsidRPr="00735A6D" w:rsidR="002F379C">
        <w:rPr>
          <w:rFonts w:ascii="Arial" w:hAnsi="Arial" w:cs="Arial"/>
          <w:sz w:val="22"/>
          <w:szCs w:val="22"/>
        </w:rPr>
        <w:t>89 </w:t>
      </w:r>
      <w:r w:rsidRPr="00735A6D" w:rsidR="00431598">
        <w:rPr>
          <w:rFonts w:ascii="Arial" w:hAnsi="Arial" w:cs="Arial"/>
          <w:sz w:val="22"/>
          <w:szCs w:val="22"/>
        </w:rPr>
        <w:t>= </w:t>
      </w:r>
      <w:r w:rsidRPr="00735A6D" w:rsidR="002F379C">
        <w:rPr>
          <w:rFonts w:ascii="Arial" w:hAnsi="Arial" w:cs="Arial"/>
          <w:sz w:val="22"/>
          <w:szCs w:val="22"/>
        </w:rPr>
        <w:t xml:space="preserve">356 </w:t>
      </w:r>
      <w:r w:rsidRPr="00735A6D" w:rsidR="00431598">
        <w:rPr>
          <w:rFonts w:ascii="Arial" w:hAnsi="Arial" w:cs="Arial"/>
          <w:sz w:val="22"/>
          <w:szCs w:val="22"/>
        </w:rPr>
        <w:t>annual responses) and that each response will require 2</w:t>
      </w:r>
      <w:r w:rsidRPr="00735A6D" w:rsidR="008F7D5F">
        <w:rPr>
          <w:rFonts w:ascii="Arial" w:hAnsi="Arial" w:cs="Arial"/>
          <w:sz w:val="22"/>
          <w:szCs w:val="22"/>
        </w:rPr>
        <w:t>15</w:t>
      </w:r>
      <w:r w:rsidRPr="00735A6D" w:rsidR="00431598">
        <w:rPr>
          <w:rFonts w:ascii="Arial" w:hAnsi="Arial" w:cs="Arial"/>
          <w:sz w:val="22"/>
          <w:szCs w:val="22"/>
        </w:rPr>
        <w:t xml:space="preserve"> hours of effort.  Thus, the total reporting burden is </w:t>
      </w:r>
      <w:r w:rsidRPr="00735A6D" w:rsidR="00BF1D40">
        <w:rPr>
          <w:rFonts w:ascii="Arial" w:hAnsi="Arial" w:cs="Arial"/>
          <w:sz w:val="22"/>
          <w:szCs w:val="22"/>
        </w:rPr>
        <w:t>7</w:t>
      </w:r>
      <w:r w:rsidRPr="00735A6D" w:rsidR="008F7D5F">
        <w:rPr>
          <w:rFonts w:ascii="Arial" w:hAnsi="Arial" w:cs="Arial"/>
          <w:sz w:val="22"/>
          <w:szCs w:val="22"/>
        </w:rPr>
        <w:t>6,540</w:t>
      </w:r>
      <w:r w:rsidRPr="00735A6D" w:rsidR="00431598">
        <w:rPr>
          <w:rFonts w:ascii="Arial" w:hAnsi="Arial" w:cs="Arial"/>
          <w:sz w:val="22"/>
          <w:szCs w:val="22"/>
        </w:rPr>
        <w:t> hours (</w:t>
      </w:r>
      <w:r w:rsidRPr="00735A6D" w:rsidR="00BF1D40">
        <w:rPr>
          <w:rFonts w:ascii="Arial" w:hAnsi="Arial" w:cs="Arial"/>
          <w:sz w:val="22"/>
          <w:szCs w:val="22"/>
        </w:rPr>
        <w:t>356 </w:t>
      </w:r>
      <w:r w:rsidRPr="00735A6D" w:rsidR="00431598">
        <w:rPr>
          <w:rFonts w:ascii="Arial" w:hAnsi="Arial" w:cs="Arial"/>
          <w:sz w:val="22"/>
          <w:szCs w:val="22"/>
        </w:rPr>
        <w:t>responses x 2</w:t>
      </w:r>
      <w:r w:rsidRPr="00735A6D" w:rsidR="008F7D5F">
        <w:rPr>
          <w:rFonts w:ascii="Arial" w:hAnsi="Arial" w:cs="Arial"/>
          <w:sz w:val="22"/>
          <w:szCs w:val="22"/>
        </w:rPr>
        <w:t>15</w:t>
      </w:r>
      <w:r w:rsidRPr="00735A6D" w:rsidR="00431598">
        <w:rPr>
          <w:rFonts w:ascii="Arial" w:hAnsi="Arial" w:cs="Arial"/>
          <w:sz w:val="22"/>
          <w:szCs w:val="22"/>
        </w:rPr>
        <w:t> hrs/response), and costs are estimated at $</w:t>
      </w:r>
      <w:r w:rsidRPr="00735A6D" w:rsidR="008F7D5F">
        <w:rPr>
          <w:rFonts w:ascii="Arial" w:hAnsi="Arial" w:cs="Arial"/>
          <w:sz w:val="22"/>
          <w:szCs w:val="22"/>
        </w:rPr>
        <w:t>21,354,660</w:t>
      </w:r>
      <w:r w:rsidRPr="00735A6D" w:rsidR="00885846">
        <w:rPr>
          <w:rFonts w:ascii="Arial" w:hAnsi="Arial" w:cs="Arial"/>
          <w:sz w:val="22"/>
          <w:szCs w:val="22"/>
        </w:rPr>
        <w:t xml:space="preserve"> </w:t>
      </w:r>
      <w:r w:rsidRPr="00735A6D" w:rsidR="00431598">
        <w:rPr>
          <w:rFonts w:ascii="Arial" w:hAnsi="Arial" w:cs="Arial"/>
          <w:sz w:val="22"/>
          <w:szCs w:val="22"/>
        </w:rPr>
        <w:t>(</w:t>
      </w:r>
      <w:r w:rsidRPr="00735A6D" w:rsidR="008F7D5F">
        <w:rPr>
          <w:rFonts w:ascii="Arial" w:hAnsi="Arial" w:cs="Arial"/>
          <w:sz w:val="22"/>
          <w:szCs w:val="22"/>
        </w:rPr>
        <w:t>76,540</w:t>
      </w:r>
      <w:r w:rsidRPr="00735A6D" w:rsidR="00C738F3">
        <w:rPr>
          <w:rFonts w:ascii="Arial" w:hAnsi="Arial" w:cs="Arial"/>
          <w:sz w:val="22"/>
          <w:szCs w:val="22"/>
        </w:rPr>
        <w:t xml:space="preserve"> </w:t>
      </w:r>
      <w:r w:rsidRPr="00735A6D" w:rsidR="00431598">
        <w:rPr>
          <w:rFonts w:ascii="Arial" w:hAnsi="Arial" w:cs="Arial"/>
          <w:sz w:val="22"/>
          <w:szCs w:val="22"/>
        </w:rPr>
        <w:t>hours x </w:t>
      </w:r>
      <w:r w:rsidRPr="00735A6D" w:rsidR="00C31F77">
        <w:rPr>
          <w:rFonts w:ascii="Arial" w:hAnsi="Arial" w:cs="Arial"/>
          <w:sz w:val="22"/>
          <w:szCs w:val="22"/>
        </w:rPr>
        <w:t>$279/h</w:t>
      </w:r>
      <w:r w:rsidRPr="00735A6D" w:rsidR="00222E43">
        <w:rPr>
          <w:rFonts w:ascii="Arial" w:hAnsi="Arial" w:cs="Arial"/>
          <w:sz w:val="22"/>
          <w:szCs w:val="22"/>
        </w:rPr>
        <w:t>ou</w:t>
      </w:r>
      <w:r w:rsidRPr="00735A6D" w:rsidR="00C31F77">
        <w:rPr>
          <w:rFonts w:ascii="Arial" w:hAnsi="Arial" w:cs="Arial"/>
          <w:sz w:val="22"/>
          <w:szCs w:val="22"/>
        </w:rPr>
        <w:t>r</w:t>
      </w:r>
      <w:r w:rsidRPr="00735A6D" w:rsidR="00431598">
        <w:rPr>
          <w:rFonts w:ascii="Arial" w:hAnsi="Arial" w:cs="Arial"/>
          <w:sz w:val="22"/>
          <w:szCs w:val="22"/>
        </w:rPr>
        <w:t>).</w:t>
      </w:r>
    </w:p>
    <w:p w:rsidR="00431598" w:rsidP="00382D7E" w:rsidRDefault="00431598" w14:paraId="30DF4DAE" w14:textId="2CE5EA98">
      <w:pPr>
        <w:widowControl w:val="0"/>
        <w:ind w:left="360"/>
        <w:rPr>
          <w:rFonts w:ascii="Arial" w:hAnsi="Arial" w:cs="Arial"/>
          <w:sz w:val="22"/>
          <w:szCs w:val="22"/>
        </w:rPr>
      </w:pPr>
    </w:p>
    <w:p w:rsidRPr="00735A6D" w:rsidR="006672D3" w:rsidP="00735A6D" w:rsidRDefault="006672D3" w14:paraId="0B65A742" w14:textId="78BD2992">
      <w:pPr>
        <w:pStyle w:val="ListParagraph"/>
        <w:widowControl w:val="0"/>
        <w:numPr>
          <w:ilvl w:val="0"/>
          <w:numId w:val="26"/>
        </w:numPr>
        <w:rPr>
          <w:rFonts w:ascii="Arial" w:hAnsi="Arial" w:cs="Arial"/>
          <w:sz w:val="22"/>
          <w:szCs w:val="22"/>
        </w:rPr>
      </w:pPr>
      <w:r w:rsidRPr="00735A6D">
        <w:rPr>
          <w:rFonts w:ascii="Arial" w:hAnsi="Arial" w:cs="Arial"/>
          <w:sz w:val="22"/>
          <w:szCs w:val="22"/>
        </w:rPr>
        <w:t xml:space="preserve">For the </w:t>
      </w:r>
      <w:r w:rsidRPr="00735A6D" w:rsidR="004D5B0E">
        <w:rPr>
          <w:rFonts w:ascii="Arial" w:hAnsi="Arial" w:cs="Arial"/>
          <w:sz w:val="22"/>
          <w:szCs w:val="22"/>
        </w:rPr>
        <w:t xml:space="preserve">PI </w:t>
      </w:r>
      <w:r w:rsidRPr="00735A6D">
        <w:rPr>
          <w:rFonts w:ascii="Arial" w:hAnsi="Arial" w:cs="Arial"/>
          <w:sz w:val="22"/>
          <w:szCs w:val="22"/>
        </w:rPr>
        <w:t xml:space="preserve">FAQ process, </w:t>
      </w:r>
      <w:r w:rsidRPr="00735A6D" w:rsidR="00885235">
        <w:rPr>
          <w:rFonts w:ascii="Arial" w:hAnsi="Arial" w:cs="Arial"/>
          <w:sz w:val="22"/>
          <w:szCs w:val="22"/>
        </w:rPr>
        <w:t>the NRC</w:t>
      </w:r>
      <w:r w:rsidRPr="00735A6D">
        <w:rPr>
          <w:rFonts w:ascii="Arial" w:hAnsi="Arial" w:cs="Arial"/>
          <w:sz w:val="22"/>
          <w:szCs w:val="22"/>
        </w:rPr>
        <w:t xml:space="preserve"> receive</w:t>
      </w:r>
      <w:r w:rsidRPr="00735A6D" w:rsidR="00885235">
        <w:rPr>
          <w:rFonts w:ascii="Arial" w:hAnsi="Arial" w:cs="Arial"/>
          <w:sz w:val="22"/>
          <w:szCs w:val="22"/>
        </w:rPr>
        <w:t>s</w:t>
      </w:r>
      <w:r w:rsidRPr="00735A6D">
        <w:rPr>
          <w:rFonts w:ascii="Arial" w:hAnsi="Arial" w:cs="Arial"/>
          <w:sz w:val="22"/>
          <w:szCs w:val="22"/>
        </w:rPr>
        <w:t xml:space="preserve"> an average of 3 </w:t>
      </w:r>
      <w:r w:rsidRPr="00735A6D" w:rsidR="004D5B0E">
        <w:rPr>
          <w:rFonts w:ascii="Arial" w:hAnsi="Arial" w:cs="Arial"/>
          <w:sz w:val="22"/>
          <w:szCs w:val="22"/>
        </w:rPr>
        <w:t xml:space="preserve">PI </w:t>
      </w:r>
      <w:r w:rsidRPr="00735A6D">
        <w:rPr>
          <w:rFonts w:ascii="Arial" w:hAnsi="Arial" w:cs="Arial"/>
          <w:sz w:val="22"/>
          <w:szCs w:val="22"/>
        </w:rPr>
        <w:t xml:space="preserve">FAQs each year.  Each </w:t>
      </w:r>
      <w:r w:rsidRPr="00735A6D" w:rsidR="004D5B0E">
        <w:rPr>
          <w:rFonts w:ascii="Arial" w:hAnsi="Arial" w:cs="Arial"/>
          <w:sz w:val="22"/>
          <w:szCs w:val="22"/>
        </w:rPr>
        <w:t xml:space="preserve">PI </w:t>
      </w:r>
      <w:r w:rsidRPr="00735A6D">
        <w:rPr>
          <w:rFonts w:ascii="Arial" w:hAnsi="Arial" w:cs="Arial"/>
          <w:sz w:val="22"/>
          <w:szCs w:val="22"/>
        </w:rPr>
        <w:t xml:space="preserve">FAQ preparation takes an estimated amount of 40 hours of effort.  Thus, the total </w:t>
      </w:r>
      <w:r w:rsidRPr="00735A6D" w:rsidR="0075284F">
        <w:rPr>
          <w:rFonts w:ascii="Arial" w:hAnsi="Arial" w:cs="Arial"/>
          <w:sz w:val="22"/>
          <w:szCs w:val="22"/>
        </w:rPr>
        <w:t xml:space="preserve">estimated </w:t>
      </w:r>
      <w:r w:rsidRPr="00735A6D">
        <w:rPr>
          <w:rFonts w:ascii="Arial" w:hAnsi="Arial" w:cs="Arial"/>
          <w:sz w:val="22"/>
          <w:szCs w:val="22"/>
        </w:rPr>
        <w:t>reporting burden is 120 hours (3 submittals x 40 hrs/response), and costs are estimated at $33,480 (120 hours x $279/hour).</w:t>
      </w:r>
    </w:p>
    <w:p w:rsidRPr="001F207E" w:rsidR="006672D3" w:rsidP="00382D7E" w:rsidRDefault="006672D3" w14:paraId="649BD087" w14:textId="77777777">
      <w:pPr>
        <w:widowControl w:val="0"/>
        <w:ind w:left="360"/>
        <w:rPr>
          <w:rFonts w:ascii="Arial" w:hAnsi="Arial" w:cs="Arial"/>
          <w:sz w:val="22"/>
          <w:szCs w:val="22"/>
        </w:rPr>
      </w:pPr>
    </w:p>
    <w:p w:rsidR="00735A6D" w:rsidP="00382D7E" w:rsidRDefault="00431598" w14:paraId="682A1D3F" w14:textId="77777777">
      <w:pPr>
        <w:widowControl w:val="0"/>
        <w:ind w:left="360"/>
        <w:rPr>
          <w:rFonts w:ascii="Arial" w:hAnsi="Arial" w:cs="Arial"/>
          <w:sz w:val="22"/>
          <w:szCs w:val="22"/>
        </w:rPr>
      </w:pPr>
      <w:r w:rsidRPr="001F207E">
        <w:rPr>
          <w:rFonts w:ascii="Arial" w:hAnsi="Arial" w:cs="Arial"/>
          <w:sz w:val="22"/>
          <w:szCs w:val="22"/>
        </w:rPr>
        <w:t>Table 2 reflects the licensee recordkeeping burden</w:t>
      </w:r>
      <w:r w:rsidRPr="001F207E" w:rsidR="00784D9D">
        <w:rPr>
          <w:rFonts w:ascii="Arial" w:hAnsi="Arial" w:cs="Arial"/>
          <w:sz w:val="22"/>
          <w:szCs w:val="22"/>
        </w:rPr>
        <w:t xml:space="preserve"> for PI quarterly data </w:t>
      </w:r>
      <w:r w:rsidRPr="001F207E" w:rsidR="005669D2">
        <w:rPr>
          <w:rFonts w:ascii="Arial" w:hAnsi="Arial" w:cs="Arial"/>
          <w:sz w:val="22"/>
          <w:szCs w:val="22"/>
        </w:rPr>
        <w:t xml:space="preserve">submittals </w:t>
      </w:r>
      <w:r w:rsidRPr="001F207E" w:rsidR="00784D9D">
        <w:rPr>
          <w:rFonts w:ascii="Arial" w:hAnsi="Arial" w:cs="Arial"/>
          <w:sz w:val="22"/>
          <w:szCs w:val="22"/>
        </w:rPr>
        <w:t xml:space="preserve">and </w:t>
      </w:r>
      <w:r w:rsidR="004D5B0E">
        <w:rPr>
          <w:rFonts w:ascii="Arial" w:hAnsi="Arial" w:cs="Arial"/>
          <w:sz w:val="22"/>
          <w:szCs w:val="22"/>
        </w:rPr>
        <w:t xml:space="preserve">PI </w:t>
      </w:r>
      <w:r w:rsidRPr="001F207E" w:rsidR="00784D9D">
        <w:rPr>
          <w:rFonts w:ascii="Arial" w:hAnsi="Arial" w:cs="Arial"/>
          <w:sz w:val="22"/>
          <w:szCs w:val="22"/>
        </w:rPr>
        <w:t>FAQs</w:t>
      </w:r>
      <w:r w:rsidRPr="001F207E">
        <w:rPr>
          <w:rFonts w:ascii="Arial" w:hAnsi="Arial" w:cs="Arial"/>
          <w:sz w:val="22"/>
          <w:szCs w:val="22"/>
        </w:rPr>
        <w:t>.  The recordkeeping estimate includes time to maintain utility procedures and occasionally refine the PIs and related procedures to incorporate improvements learned from experience.  Procedure development and recordkeeping are performed by each utility or parent company.  Based on the information provided in NUREG-1350, “</w:t>
      </w:r>
      <w:r w:rsidRPr="001F207E" w:rsidR="009E6068">
        <w:rPr>
          <w:rFonts w:ascii="Arial" w:hAnsi="Arial" w:cs="Arial"/>
          <w:sz w:val="22"/>
          <w:szCs w:val="22"/>
        </w:rPr>
        <w:t>20</w:t>
      </w:r>
      <w:r w:rsidR="00413139">
        <w:rPr>
          <w:rFonts w:ascii="Arial" w:hAnsi="Arial" w:cs="Arial"/>
          <w:sz w:val="22"/>
          <w:szCs w:val="22"/>
        </w:rPr>
        <w:t>20</w:t>
      </w:r>
      <w:r w:rsidRPr="001F207E" w:rsidR="008C2C6B">
        <w:rPr>
          <w:rFonts w:ascii="Arial" w:hAnsi="Arial" w:cs="Arial"/>
          <w:sz w:val="22"/>
          <w:szCs w:val="22"/>
        </w:rPr>
        <w:t>-202</w:t>
      </w:r>
      <w:r w:rsidR="00413139">
        <w:rPr>
          <w:rFonts w:ascii="Arial" w:hAnsi="Arial" w:cs="Arial"/>
          <w:sz w:val="22"/>
          <w:szCs w:val="22"/>
        </w:rPr>
        <w:t>1</w:t>
      </w:r>
      <w:r w:rsidRPr="001F207E" w:rsidR="00175145">
        <w:rPr>
          <w:rFonts w:ascii="Arial" w:hAnsi="Arial" w:cs="Arial"/>
          <w:sz w:val="22"/>
          <w:szCs w:val="22"/>
        </w:rPr>
        <w:t xml:space="preserve"> </w:t>
      </w:r>
      <w:r w:rsidRPr="001F207E">
        <w:rPr>
          <w:rFonts w:ascii="Arial" w:hAnsi="Arial" w:cs="Arial"/>
          <w:sz w:val="22"/>
          <w:szCs w:val="22"/>
        </w:rPr>
        <w:t xml:space="preserve">Information Digest,” Volume </w:t>
      </w:r>
      <w:r w:rsidRPr="001F207E" w:rsidR="008C2C6B">
        <w:rPr>
          <w:rFonts w:ascii="Arial" w:hAnsi="Arial" w:cs="Arial"/>
          <w:sz w:val="22"/>
          <w:szCs w:val="22"/>
        </w:rPr>
        <w:t>3</w:t>
      </w:r>
      <w:r w:rsidR="000906CE">
        <w:rPr>
          <w:rFonts w:ascii="Arial" w:hAnsi="Arial" w:cs="Arial"/>
          <w:sz w:val="22"/>
          <w:szCs w:val="22"/>
        </w:rPr>
        <w:t>2</w:t>
      </w:r>
      <w:r w:rsidRPr="001F207E">
        <w:rPr>
          <w:rFonts w:ascii="Arial" w:hAnsi="Arial" w:cs="Arial"/>
          <w:sz w:val="22"/>
          <w:szCs w:val="22"/>
        </w:rPr>
        <w:t xml:space="preserve">, dated </w:t>
      </w:r>
      <w:r w:rsidR="00413139">
        <w:rPr>
          <w:rFonts w:ascii="Arial" w:hAnsi="Arial" w:cs="Arial"/>
          <w:sz w:val="22"/>
          <w:szCs w:val="22"/>
        </w:rPr>
        <w:t>October</w:t>
      </w:r>
      <w:r w:rsidRPr="001F207E" w:rsidR="00413139">
        <w:rPr>
          <w:rFonts w:ascii="Arial" w:hAnsi="Arial" w:cs="Arial"/>
          <w:sz w:val="22"/>
          <w:szCs w:val="22"/>
        </w:rPr>
        <w:t xml:space="preserve"> </w:t>
      </w:r>
      <w:r w:rsidRPr="001F207E" w:rsidR="008C2C6B">
        <w:rPr>
          <w:rFonts w:ascii="Arial" w:hAnsi="Arial" w:cs="Arial"/>
          <w:sz w:val="22"/>
          <w:szCs w:val="22"/>
        </w:rPr>
        <w:t>20</w:t>
      </w:r>
      <w:r w:rsidR="00413139">
        <w:rPr>
          <w:rFonts w:ascii="Arial" w:hAnsi="Arial" w:cs="Arial"/>
          <w:sz w:val="22"/>
          <w:szCs w:val="22"/>
        </w:rPr>
        <w:t>20</w:t>
      </w:r>
      <w:r w:rsidRPr="001F207E">
        <w:rPr>
          <w:rFonts w:ascii="Arial" w:hAnsi="Arial" w:cs="Arial"/>
          <w:sz w:val="22"/>
          <w:szCs w:val="22"/>
        </w:rPr>
        <w:t xml:space="preserve">, </w:t>
      </w:r>
      <w:r w:rsidRPr="001F207E" w:rsidR="008C2C6B">
        <w:rPr>
          <w:rFonts w:ascii="Arial" w:hAnsi="Arial" w:cs="Arial"/>
          <w:sz w:val="22"/>
          <w:szCs w:val="22"/>
        </w:rPr>
        <w:t>2</w:t>
      </w:r>
      <w:r w:rsidR="00413139">
        <w:rPr>
          <w:rFonts w:ascii="Arial" w:hAnsi="Arial" w:cs="Arial"/>
          <w:sz w:val="22"/>
          <w:szCs w:val="22"/>
        </w:rPr>
        <w:t>1</w:t>
      </w:r>
      <w:r w:rsidRPr="001F207E" w:rsidR="008C2C6B">
        <w:rPr>
          <w:rFonts w:ascii="Arial" w:hAnsi="Arial" w:cs="Arial"/>
          <w:sz w:val="22"/>
          <w:szCs w:val="22"/>
        </w:rPr>
        <w:t> </w:t>
      </w:r>
      <w:r w:rsidRPr="001F207E" w:rsidR="00833626">
        <w:rPr>
          <w:rFonts w:ascii="Arial" w:hAnsi="Arial" w:cs="Arial"/>
          <w:sz w:val="22"/>
          <w:szCs w:val="22"/>
        </w:rPr>
        <w:t xml:space="preserve">parent </w:t>
      </w:r>
      <w:r w:rsidRPr="001F207E">
        <w:rPr>
          <w:rFonts w:ascii="Arial" w:hAnsi="Arial" w:cs="Arial"/>
          <w:sz w:val="22"/>
          <w:szCs w:val="22"/>
        </w:rPr>
        <w:t xml:space="preserve">companies exist for operating reactors.  </w:t>
      </w:r>
    </w:p>
    <w:p w:rsidR="00735A6D" w:rsidP="00382D7E" w:rsidRDefault="00735A6D" w14:paraId="462187F2" w14:textId="77777777">
      <w:pPr>
        <w:widowControl w:val="0"/>
        <w:ind w:left="360"/>
        <w:rPr>
          <w:rFonts w:ascii="Arial" w:hAnsi="Arial" w:cs="Arial"/>
          <w:sz w:val="22"/>
          <w:szCs w:val="22"/>
        </w:rPr>
      </w:pPr>
    </w:p>
    <w:p w:rsidRPr="00735A6D" w:rsidR="00431598" w:rsidP="00A127B0" w:rsidRDefault="00431598" w14:paraId="01B3C995" w14:textId="32B0DD2B">
      <w:pPr>
        <w:pStyle w:val="ListParagraph"/>
        <w:widowControl w:val="0"/>
        <w:numPr>
          <w:ilvl w:val="0"/>
          <w:numId w:val="27"/>
        </w:numPr>
        <w:ind w:left="1080"/>
        <w:rPr>
          <w:rFonts w:ascii="Arial" w:hAnsi="Arial" w:cs="Arial"/>
          <w:sz w:val="22"/>
          <w:szCs w:val="22"/>
        </w:rPr>
      </w:pPr>
      <w:r w:rsidRPr="00735A6D">
        <w:rPr>
          <w:rFonts w:ascii="Arial" w:hAnsi="Arial" w:cs="Arial"/>
          <w:sz w:val="22"/>
          <w:szCs w:val="22"/>
        </w:rPr>
        <w:t>The industry estimates 50 hours of annual recordkeeping time per parent company, for a total of 1,</w:t>
      </w:r>
      <w:r w:rsidRPr="00735A6D" w:rsidR="00C86534">
        <w:rPr>
          <w:rFonts w:ascii="Arial" w:hAnsi="Arial" w:cs="Arial"/>
          <w:sz w:val="22"/>
          <w:szCs w:val="22"/>
        </w:rPr>
        <w:t>0</w:t>
      </w:r>
      <w:r w:rsidRPr="00735A6D" w:rsidR="00D47DBB">
        <w:rPr>
          <w:rFonts w:ascii="Arial" w:hAnsi="Arial" w:cs="Arial"/>
          <w:sz w:val="22"/>
          <w:szCs w:val="22"/>
        </w:rPr>
        <w:t>5</w:t>
      </w:r>
      <w:r w:rsidRPr="00735A6D">
        <w:rPr>
          <w:rFonts w:ascii="Arial" w:hAnsi="Arial" w:cs="Arial"/>
          <w:sz w:val="22"/>
          <w:szCs w:val="22"/>
        </w:rPr>
        <w:t>0 hours (</w:t>
      </w:r>
      <w:r w:rsidRPr="00735A6D" w:rsidR="00175145">
        <w:rPr>
          <w:rFonts w:ascii="Arial" w:hAnsi="Arial" w:cs="Arial"/>
          <w:sz w:val="22"/>
          <w:szCs w:val="22"/>
        </w:rPr>
        <w:t>2</w:t>
      </w:r>
      <w:r w:rsidRPr="00735A6D" w:rsidR="00391A82">
        <w:rPr>
          <w:rFonts w:ascii="Arial" w:hAnsi="Arial" w:cs="Arial"/>
          <w:sz w:val="22"/>
          <w:szCs w:val="22"/>
        </w:rPr>
        <w:t>1</w:t>
      </w:r>
      <w:r w:rsidRPr="00735A6D" w:rsidR="00175145">
        <w:rPr>
          <w:rFonts w:ascii="Arial" w:hAnsi="Arial" w:cs="Arial"/>
          <w:sz w:val="22"/>
          <w:szCs w:val="22"/>
        </w:rPr>
        <w:t> </w:t>
      </w:r>
      <w:r w:rsidRPr="00735A6D" w:rsidR="00E80334">
        <w:rPr>
          <w:rFonts w:ascii="Arial" w:hAnsi="Arial" w:cs="Arial"/>
          <w:sz w:val="22"/>
          <w:szCs w:val="22"/>
        </w:rPr>
        <w:t>recordkeep</w:t>
      </w:r>
      <w:r w:rsidRPr="00735A6D">
        <w:rPr>
          <w:rFonts w:ascii="Arial" w:hAnsi="Arial" w:cs="Arial"/>
          <w:sz w:val="22"/>
          <w:szCs w:val="22"/>
        </w:rPr>
        <w:t xml:space="preserve">ers x 50 hours per </w:t>
      </w:r>
      <w:r w:rsidRPr="00735A6D" w:rsidR="00E80334">
        <w:rPr>
          <w:rFonts w:ascii="Arial" w:hAnsi="Arial" w:cs="Arial"/>
          <w:sz w:val="22"/>
          <w:szCs w:val="22"/>
        </w:rPr>
        <w:t>recordkeep</w:t>
      </w:r>
      <w:r w:rsidRPr="00735A6D">
        <w:rPr>
          <w:rFonts w:ascii="Arial" w:hAnsi="Arial" w:cs="Arial"/>
          <w:sz w:val="22"/>
          <w:szCs w:val="22"/>
        </w:rPr>
        <w:t xml:space="preserve">er) and a cost of </w:t>
      </w:r>
      <w:r w:rsidRPr="00735A6D" w:rsidR="003160BF">
        <w:rPr>
          <w:rFonts w:ascii="Arial" w:hAnsi="Arial" w:cs="Arial"/>
          <w:sz w:val="22"/>
          <w:szCs w:val="22"/>
        </w:rPr>
        <w:t>$</w:t>
      </w:r>
      <w:r w:rsidRPr="00735A6D" w:rsidR="00C17889">
        <w:rPr>
          <w:rFonts w:ascii="Arial" w:hAnsi="Arial" w:cs="Arial"/>
          <w:sz w:val="22"/>
          <w:szCs w:val="22"/>
        </w:rPr>
        <w:t>292</w:t>
      </w:r>
      <w:r w:rsidRPr="00735A6D" w:rsidR="003160BF">
        <w:rPr>
          <w:rFonts w:ascii="Arial" w:hAnsi="Arial" w:cs="Arial"/>
          <w:sz w:val="22"/>
          <w:szCs w:val="22"/>
        </w:rPr>
        <w:t>,</w:t>
      </w:r>
      <w:r w:rsidRPr="00735A6D" w:rsidR="00C17889">
        <w:rPr>
          <w:rFonts w:ascii="Arial" w:hAnsi="Arial" w:cs="Arial"/>
          <w:sz w:val="22"/>
          <w:szCs w:val="22"/>
        </w:rPr>
        <w:t>9</w:t>
      </w:r>
      <w:r w:rsidRPr="00735A6D" w:rsidR="003160BF">
        <w:rPr>
          <w:rFonts w:ascii="Arial" w:hAnsi="Arial" w:cs="Arial"/>
          <w:sz w:val="22"/>
          <w:szCs w:val="22"/>
        </w:rPr>
        <w:t xml:space="preserve">50 </w:t>
      </w:r>
      <w:r w:rsidRPr="00735A6D">
        <w:rPr>
          <w:rFonts w:ascii="Arial" w:hAnsi="Arial" w:cs="Arial"/>
          <w:sz w:val="22"/>
          <w:szCs w:val="22"/>
        </w:rPr>
        <w:t>(1,</w:t>
      </w:r>
      <w:r w:rsidRPr="00735A6D" w:rsidR="00AD58B3">
        <w:rPr>
          <w:rFonts w:ascii="Arial" w:hAnsi="Arial" w:cs="Arial"/>
          <w:sz w:val="22"/>
          <w:szCs w:val="22"/>
        </w:rPr>
        <w:t>0</w:t>
      </w:r>
      <w:r w:rsidRPr="00735A6D" w:rsidR="007D5D58">
        <w:rPr>
          <w:rFonts w:ascii="Arial" w:hAnsi="Arial" w:cs="Arial"/>
          <w:sz w:val="22"/>
          <w:szCs w:val="22"/>
        </w:rPr>
        <w:t>50 </w:t>
      </w:r>
      <w:r w:rsidRPr="00735A6D">
        <w:rPr>
          <w:rFonts w:ascii="Arial" w:hAnsi="Arial" w:cs="Arial"/>
          <w:sz w:val="22"/>
          <w:szCs w:val="22"/>
        </w:rPr>
        <w:t>hrs x </w:t>
      </w:r>
      <w:r w:rsidRPr="00735A6D" w:rsidR="00BF7FBA">
        <w:rPr>
          <w:rFonts w:ascii="Arial" w:hAnsi="Arial" w:cs="Arial"/>
          <w:sz w:val="22"/>
          <w:szCs w:val="22"/>
        </w:rPr>
        <w:t>$279/hour</w:t>
      </w:r>
      <w:r w:rsidRPr="00735A6D">
        <w:rPr>
          <w:rFonts w:ascii="Arial" w:hAnsi="Arial" w:cs="Arial"/>
          <w:sz w:val="22"/>
          <w:szCs w:val="22"/>
        </w:rPr>
        <w:t>).</w:t>
      </w:r>
    </w:p>
    <w:p w:rsidRPr="001F207E" w:rsidR="001C5176" w:rsidP="00A127B0" w:rsidRDefault="001C5176" w14:paraId="12952265" w14:textId="77777777">
      <w:pPr>
        <w:ind w:left="1440"/>
        <w:rPr>
          <w:rFonts w:ascii="Arial" w:hAnsi="Arial" w:cs="Arial"/>
          <w:i/>
          <w:sz w:val="22"/>
          <w:szCs w:val="22"/>
        </w:rPr>
      </w:pPr>
    </w:p>
    <w:p w:rsidRPr="00735A6D" w:rsidR="00DF40EA" w:rsidP="00A127B0" w:rsidRDefault="006779FF" w14:paraId="5CCD7EE1" w14:textId="7218951D">
      <w:pPr>
        <w:pStyle w:val="ListParagraph"/>
        <w:numPr>
          <w:ilvl w:val="0"/>
          <w:numId w:val="27"/>
        </w:numPr>
        <w:ind w:left="1080"/>
        <w:rPr>
          <w:rFonts w:ascii="Arial" w:hAnsi="Arial" w:cs="Arial"/>
          <w:sz w:val="22"/>
          <w:szCs w:val="22"/>
        </w:rPr>
      </w:pPr>
      <w:r w:rsidRPr="00735A6D">
        <w:rPr>
          <w:rFonts w:ascii="Arial" w:hAnsi="Arial" w:cs="Arial"/>
          <w:sz w:val="22"/>
          <w:szCs w:val="22"/>
        </w:rPr>
        <w:t xml:space="preserve">The industry estimates </w:t>
      </w:r>
      <w:r w:rsidRPr="00735A6D" w:rsidR="00EC65C7">
        <w:rPr>
          <w:rFonts w:ascii="Arial" w:hAnsi="Arial" w:cs="Arial"/>
          <w:sz w:val="22"/>
          <w:szCs w:val="22"/>
        </w:rPr>
        <w:t>8</w:t>
      </w:r>
      <w:r w:rsidRPr="00735A6D">
        <w:rPr>
          <w:rFonts w:ascii="Arial" w:hAnsi="Arial" w:cs="Arial"/>
          <w:sz w:val="22"/>
          <w:szCs w:val="22"/>
        </w:rPr>
        <w:t xml:space="preserve"> hours of record keeping time per </w:t>
      </w:r>
      <w:r w:rsidRPr="00735A6D" w:rsidR="004D5B0E">
        <w:rPr>
          <w:rFonts w:ascii="Arial" w:hAnsi="Arial" w:cs="Arial"/>
          <w:sz w:val="22"/>
          <w:szCs w:val="22"/>
        </w:rPr>
        <w:t xml:space="preserve">PI </w:t>
      </w:r>
      <w:r w:rsidRPr="00735A6D" w:rsidR="000213F5">
        <w:rPr>
          <w:rFonts w:ascii="Arial" w:hAnsi="Arial" w:cs="Arial"/>
          <w:sz w:val="22"/>
          <w:szCs w:val="22"/>
        </w:rPr>
        <w:t>FAQ</w:t>
      </w:r>
      <w:r w:rsidRPr="00735A6D" w:rsidR="0092397E">
        <w:rPr>
          <w:rFonts w:ascii="Arial" w:hAnsi="Arial" w:cs="Arial"/>
          <w:sz w:val="22"/>
          <w:szCs w:val="22"/>
        </w:rPr>
        <w:t xml:space="preserve">, for a total of </w:t>
      </w:r>
      <w:r w:rsidRPr="00735A6D" w:rsidR="00EC65C7">
        <w:rPr>
          <w:rFonts w:ascii="Arial" w:hAnsi="Arial" w:cs="Arial"/>
          <w:sz w:val="22"/>
          <w:szCs w:val="22"/>
        </w:rPr>
        <w:t>24</w:t>
      </w:r>
      <w:r w:rsidRPr="00735A6D" w:rsidR="0092397E">
        <w:rPr>
          <w:rFonts w:ascii="Arial" w:hAnsi="Arial" w:cs="Arial"/>
          <w:sz w:val="22"/>
          <w:szCs w:val="22"/>
        </w:rPr>
        <w:t xml:space="preserve"> hours </w:t>
      </w:r>
      <w:r w:rsidRPr="00735A6D" w:rsidR="00D24958">
        <w:rPr>
          <w:rFonts w:ascii="Arial" w:hAnsi="Arial" w:cs="Arial"/>
          <w:sz w:val="22"/>
          <w:szCs w:val="22"/>
        </w:rPr>
        <w:t xml:space="preserve">in average per year </w:t>
      </w:r>
      <w:r w:rsidRPr="00735A6D" w:rsidR="0092397E">
        <w:rPr>
          <w:rFonts w:ascii="Arial" w:hAnsi="Arial" w:cs="Arial"/>
          <w:sz w:val="22"/>
          <w:szCs w:val="22"/>
        </w:rPr>
        <w:t xml:space="preserve">(3 recordkeepers x </w:t>
      </w:r>
      <w:r w:rsidRPr="00735A6D" w:rsidR="00EC65C7">
        <w:rPr>
          <w:rFonts w:ascii="Arial" w:hAnsi="Arial" w:cs="Arial"/>
          <w:sz w:val="22"/>
          <w:szCs w:val="22"/>
        </w:rPr>
        <w:t>8</w:t>
      </w:r>
      <w:r w:rsidRPr="00735A6D" w:rsidR="00C24E6D">
        <w:rPr>
          <w:rFonts w:ascii="Arial" w:hAnsi="Arial" w:cs="Arial"/>
          <w:sz w:val="22"/>
          <w:szCs w:val="22"/>
        </w:rPr>
        <w:t xml:space="preserve"> hours per recordkeeper) and a cost of $</w:t>
      </w:r>
      <w:r w:rsidRPr="00735A6D" w:rsidR="00EC65C7">
        <w:rPr>
          <w:rFonts w:ascii="Arial" w:hAnsi="Arial" w:cs="Arial"/>
          <w:sz w:val="22"/>
          <w:szCs w:val="22"/>
        </w:rPr>
        <w:t>6,696</w:t>
      </w:r>
      <w:r w:rsidRPr="00735A6D" w:rsidR="005D19D4">
        <w:rPr>
          <w:rFonts w:ascii="Arial" w:hAnsi="Arial" w:cs="Arial"/>
          <w:sz w:val="22"/>
          <w:szCs w:val="22"/>
        </w:rPr>
        <w:t xml:space="preserve"> (</w:t>
      </w:r>
      <w:r w:rsidRPr="00735A6D" w:rsidR="00EC65C7">
        <w:rPr>
          <w:rFonts w:ascii="Arial" w:hAnsi="Arial" w:cs="Arial"/>
          <w:sz w:val="22"/>
          <w:szCs w:val="22"/>
        </w:rPr>
        <w:t>24</w:t>
      </w:r>
      <w:r w:rsidRPr="00735A6D" w:rsidR="005D19D4">
        <w:rPr>
          <w:rFonts w:ascii="Arial" w:hAnsi="Arial" w:cs="Arial"/>
          <w:sz w:val="22"/>
          <w:szCs w:val="22"/>
        </w:rPr>
        <w:t xml:space="preserve"> hrs x $279/hour).</w:t>
      </w:r>
    </w:p>
    <w:p w:rsidRPr="001F207E" w:rsidR="00784D9D" w:rsidP="001C5176" w:rsidRDefault="00784D9D" w14:paraId="11D092E8" w14:textId="09A0953E">
      <w:pPr>
        <w:ind w:left="360"/>
        <w:rPr>
          <w:rFonts w:ascii="Arial" w:hAnsi="Arial" w:cs="Arial"/>
          <w:sz w:val="22"/>
          <w:szCs w:val="22"/>
        </w:rPr>
      </w:pPr>
    </w:p>
    <w:p w:rsidRPr="001F207E" w:rsidR="00554BE3" w:rsidP="00554BE3" w:rsidRDefault="00554BE3" w14:paraId="22B04FB1" w14:textId="50D2E7D6">
      <w:pPr>
        <w:widowControl w:val="0"/>
        <w:ind w:left="360"/>
        <w:rPr>
          <w:rFonts w:ascii="Arial" w:hAnsi="Arial" w:cs="Arial"/>
          <w:sz w:val="22"/>
          <w:szCs w:val="22"/>
        </w:rPr>
      </w:pPr>
      <w:r w:rsidRPr="001F207E">
        <w:rPr>
          <w:rFonts w:ascii="Arial" w:hAnsi="Arial" w:cs="Arial"/>
          <w:sz w:val="22"/>
          <w:szCs w:val="22"/>
        </w:rPr>
        <w:t xml:space="preserve">The </w:t>
      </w:r>
      <w:r w:rsidRPr="001F207E" w:rsidR="005669D2">
        <w:rPr>
          <w:rFonts w:ascii="Arial" w:hAnsi="Arial" w:cs="Arial"/>
          <w:sz w:val="22"/>
          <w:szCs w:val="22"/>
        </w:rPr>
        <w:t>total</w:t>
      </w:r>
      <w:r w:rsidRPr="001F207E">
        <w:rPr>
          <w:rFonts w:ascii="Arial" w:hAnsi="Arial" w:cs="Arial"/>
          <w:sz w:val="22"/>
          <w:szCs w:val="22"/>
        </w:rPr>
        <w:t xml:space="preserve"> number </w:t>
      </w:r>
      <w:r w:rsidR="00CE772D">
        <w:rPr>
          <w:rFonts w:ascii="Arial" w:hAnsi="Arial" w:cs="Arial"/>
          <w:sz w:val="22"/>
          <w:szCs w:val="22"/>
        </w:rPr>
        <w:t xml:space="preserve">of hours </w:t>
      </w:r>
      <w:r w:rsidRPr="001F207E">
        <w:rPr>
          <w:rFonts w:ascii="Arial" w:hAnsi="Arial" w:cs="Arial"/>
          <w:sz w:val="22"/>
          <w:szCs w:val="22"/>
        </w:rPr>
        <w:t>for the reporting and recordkeeping burden for the PI program (</w:t>
      </w:r>
      <w:r w:rsidRPr="001F207E" w:rsidR="005669D2">
        <w:rPr>
          <w:rFonts w:ascii="Arial" w:hAnsi="Arial" w:cs="Arial"/>
          <w:sz w:val="22"/>
          <w:szCs w:val="22"/>
        </w:rPr>
        <w:t xml:space="preserve">including the </w:t>
      </w:r>
      <w:r w:rsidRPr="001F207E">
        <w:rPr>
          <w:rFonts w:ascii="Arial" w:hAnsi="Arial" w:cs="Arial"/>
          <w:sz w:val="22"/>
          <w:szCs w:val="22"/>
        </w:rPr>
        <w:t xml:space="preserve">PI quarterly data </w:t>
      </w:r>
      <w:r w:rsidRPr="001F207E" w:rsidR="005669D2">
        <w:rPr>
          <w:rFonts w:ascii="Arial" w:hAnsi="Arial" w:cs="Arial"/>
          <w:sz w:val="22"/>
          <w:szCs w:val="22"/>
        </w:rPr>
        <w:t xml:space="preserve">submittals </w:t>
      </w:r>
      <w:r w:rsidRPr="001F207E">
        <w:rPr>
          <w:rFonts w:ascii="Arial" w:hAnsi="Arial" w:cs="Arial"/>
          <w:sz w:val="22"/>
          <w:szCs w:val="22"/>
        </w:rPr>
        <w:t xml:space="preserve">and </w:t>
      </w:r>
      <w:r w:rsidR="004D5B0E">
        <w:rPr>
          <w:rFonts w:ascii="Arial" w:hAnsi="Arial" w:cs="Arial"/>
          <w:sz w:val="22"/>
          <w:szCs w:val="22"/>
        </w:rPr>
        <w:t xml:space="preserve">PI </w:t>
      </w:r>
      <w:r w:rsidRPr="001F207E">
        <w:rPr>
          <w:rFonts w:ascii="Arial" w:hAnsi="Arial" w:cs="Arial"/>
          <w:sz w:val="22"/>
          <w:szCs w:val="22"/>
        </w:rPr>
        <w:t>FAQ</w:t>
      </w:r>
      <w:r w:rsidRPr="001F207E" w:rsidR="00C7319F">
        <w:rPr>
          <w:rFonts w:ascii="Arial" w:hAnsi="Arial" w:cs="Arial"/>
          <w:sz w:val="22"/>
          <w:szCs w:val="22"/>
        </w:rPr>
        <w:t>s</w:t>
      </w:r>
      <w:r w:rsidRPr="001F207E">
        <w:rPr>
          <w:rFonts w:ascii="Arial" w:hAnsi="Arial" w:cs="Arial"/>
          <w:sz w:val="22"/>
          <w:szCs w:val="22"/>
        </w:rPr>
        <w:t xml:space="preserve">) is </w:t>
      </w:r>
      <w:r w:rsidR="008F7D5F">
        <w:rPr>
          <w:rFonts w:ascii="Arial" w:hAnsi="Arial" w:cs="Arial"/>
          <w:sz w:val="22"/>
          <w:szCs w:val="22"/>
        </w:rPr>
        <w:t>77,</w:t>
      </w:r>
      <w:r w:rsidR="00C86534">
        <w:rPr>
          <w:rFonts w:ascii="Arial" w:hAnsi="Arial" w:cs="Arial"/>
          <w:sz w:val="22"/>
          <w:szCs w:val="22"/>
        </w:rPr>
        <w:t>734</w:t>
      </w:r>
      <w:r w:rsidRPr="001A1EC9" w:rsidR="001A1EC9">
        <w:rPr>
          <w:rFonts w:ascii="Arial" w:hAnsi="Arial" w:cs="Arial"/>
          <w:sz w:val="22"/>
          <w:szCs w:val="22"/>
        </w:rPr>
        <w:t xml:space="preserve"> (</w:t>
      </w:r>
      <w:r w:rsidR="008F7D5F">
        <w:rPr>
          <w:rFonts w:ascii="Arial" w:hAnsi="Arial" w:cs="Arial"/>
          <w:sz w:val="22"/>
          <w:szCs w:val="22"/>
        </w:rPr>
        <w:t>76,</w:t>
      </w:r>
      <w:r w:rsidR="00C86534">
        <w:rPr>
          <w:rFonts w:ascii="Arial" w:hAnsi="Arial" w:cs="Arial"/>
          <w:sz w:val="22"/>
          <w:szCs w:val="22"/>
        </w:rPr>
        <w:t>660</w:t>
      </w:r>
      <w:r w:rsidRPr="001A1EC9" w:rsidR="001A1EC9">
        <w:rPr>
          <w:rFonts w:ascii="Arial" w:hAnsi="Arial" w:cs="Arial"/>
          <w:sz w:val="22"/>
          <w:szCs w:val="22"/>
        </w:rPr>
        <w:t xml:space="preserve"> hours </w:t>
      </w:r>
      <w:r w:rsidR="00CE772D">
        <w:rPr>
          <w:rFonts w:ascii="Arial" w:hAnsi="Arial" w:cs="Arial"/>
          <w:sz w:val="22"/>
          <w:szCs w:val="22"/>
        </w:rPr>
        <w:t xml:space="preserve">for </w:t>
      </w:r>
      <w:r w:rsidRPr="001A1EC9" w:rsidR="001A1EC9">
        <w:rPr>
          <w:rFonts w:ascii="Arial" w:hAnsi="Arial" w:cs="Arial"/>
          <w:sz w:val="22"/>
          <w:szCs w:val="22"/>
        </w:rPr>
        <w:t xml:space="preserve">reporting + </w:t>
      </w:r>
      <w:r w:rsidR="00C86534">
        <w:rPr>
          <w:rFonts w:ascii="Arial" w:hAnsi="Arial" w:cs="Arial"/>
          <w:sz w:val="22"/>
          <w:szCs w:val="22"/>
        </w:rPr>
        <w:t>1,074</w:t>
      </w:r>
      <w:r w:rsidRPr="001A1EC9" w:rsidR="001A1EC9">
        <w:rPr>
          <w:rFonts w:ascii="Arial" w:hAnsi="Arial" w:cs="Arial"/>
          <w:sz w:val="22"/>
          <w:szCs w:val="22"/>
        </w:rPr>
        <w:t xml:space="preserve"> hours </w:t>
      </w:r>
      <w:r w:rsidR="00CE772D">
        <w:rPr>
          <w:rFonts w:ascii="Arial" w:hAnsi="Arial" w:cs="Arial"/>
          <w:sz w:val="22"/>
          <w:szCs w:val="22"/>
        </w:rPr>
        <w:t xml:space="preserve">for </w:t>
      </w:r>
      <w:r w:rsidRPr="001A1EC9" w:rsidR="001A1EC9">
        <w:rPr>
          <w:rFonts w:ascii="Arial" w:hAnsi="Arial" w:cs="Arial"/>
          <w:sz w:val="22"/>
          <w:szCs w:val="22"/>
        </w:rPr>
        <w:t>recordkeeping)</w:t>
      </w:r>
      <w:r w:rsidRPr="001F207E">
        <w:rPr>
          <w:rFonts w:ascii="Arial" w:hAnsi="Arial" w:cs="Arial"/>
          <w:sz w:val="22"/>
          <w:szCs w:val="22"/>
        </w:rPr>
        <w:t xml:space="preserve">, and the total cost is </w:t>
      </w:r>
      <w:r w:rsidR="00CE772D">
        <w:rPr>
          <w:rFonts w:ascii="Arial" w:hAnsi="Arial" w:cs="Arial"/>
          <w:sz w:val="22"/>
          <w:szCs w:val="22"/>
        </w:rPr>
        <w:t>$21,687,786</w:t>
      </w:r>
      <w:r w:rsidRPr="001A1EC9" w:rsidR="001A1EC9">
        <w:rPr>
          <w:rFonts w:ascii="Arial" w:hAnsi="Arial" w:cs="Arial"/>
          <w:sz w:val="22"/>
          <w:szCs w:val="22"/>
        </w:rPr>
        <w:t xml:space="preserve"> </w:t>
      </w:r>
      <w:r w:rsidR="000960D8">
        <w:rPr>
          <w:rFonts w:ascii="Arial" w:hAnsi="Arial" w:cs="Arial"/>
          <w:sz w:val="22"/>
          <w:szCs w:val="22"/>
        </w:rPr>
        <w:t>(77,734 hours x $279/hr</w:t>
      </w:r>
      <w:r w:rsidRPr="001A1EC9" w:rsidR="001A1EC9">
        <w:rPr>
          <w:rFonts w:ascii="Arial" w:hAnsi="Arial" w:cs="Arial"/>
          <w:sz w:val="22"/>
          <w:szCs w:val="22"/>
        </w:rPr>
        <w:t>)</w:t>
      </w:r>
      <w:r w:rsidRPr="001F207E">
        <w:rPr>
          <w:rFonts w:ascii="Arial" w:hAnsi="Arial" w:cs="Arial"/>
          <w:sz w:val="22"/>
          <w:szCs w:val="22"/>
        </w:rPr>
        <w:t>.</w:t>
      </w:r>
    </w:p>
    <w:p w:rsidRPr="001F207E" w:rsidR="00DF40EA" w:rsidP="001C5176" w:rsidRDefault="00DF40EA" w14:paraId="7BFCD148" w14:textId="5095ECF5">
      <w:pPr>
        <w:ind w:left="360"/>
        <w:rPr>
          <w:rFonts w:ascii="Arial" w:hAnsi="Arial" w:cs="Arial"/>
          <w:sz w:val="22"/>
          <w:szCs w:val="22"/>
        </w:rPr>
      </w:pPr>
    </w:p>
    <w:p w:rsidRPr="001F207E" w:rsidR="001C5176" w:rsidP="001C5176" w:rsidRDefault="001C5176" w14:paraId="7E552706" w14:textId="52896537">
      <w:pPr>
        <w:ind w:left="360"/>
        <w:rPr>
          <w:rFonts w:ascii="Arial" w:hAnsi="Arial" w:cs="Arial"/>
          <w:sz w:val="22"/>
          <w:szCs w:val="22"/>
        </w:rPr>
      </w:pPr>
      <w:r w:rsidRPr="001F207E">
        <w:rPr>
          <w:rFonts w:ascii="Arial" w:hAnsi="Arial" w:cs="Arial"/>
          <w:sz w:val="22"/>
          <w:szCs w:val="22"/>
        </w:rPr>
        <w:t>The $279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2020 (</w:t>
      </w:r>
      <w:r w:rsidRPr="001F207E">
        <w:rPr>
          <w:rFonts w:ascii="Arial" w:hAnsi="Arial" w:eastAsia="Arial" w:cs="Arial"/>
          <w:color w:val="333333"/>
          <w:sz w:val="22"/>
          <w:szCs w:val="22"/>
        </w:rPr>
        <w:t>85 FR 37250</w:t>
      </w:r>
      <w:r w:rsidRPr="001F207E">
        <w:rPr>
          <w:rFonts w:ascii="Arial" w:hAnsi="Arial" w:cs="Arial"/>
          <w:sz w:val="22"/>
          <w:szCs w:val="22"/>
        </w:rPr>
        <w:t>, June 19, 2020).</w:t>
      </w:r>
    </w:p>
    <w:p w:rsidRPr="001F207E" w:rsidR="001C5176" w:rsidP="00382D7E" w:rsidRDefault="001C5176" w14:paraId="23C70313" w14:textId="77777777">
      <w:pPr>
        <w:widowControl w:val="0"/>
        <w:ind w:left="360"/>
        <w:rPr>
          <w:rFonts w:ascii="Arial" w:hAnsi="Arial" w:cs="Arial"/>
          <w:sz w:val="22"/>
          <w:szCs w:val="22"/>
        </w:rPr>
      </w:pPr>
    </w:p>
    <w:p w:rsidRPr="001F207E" w:rsidR="00431598" w:rsidP="00C203C7" w:rsidRDefault="00431598" w14:paraId="24CDA6FA" w14:textId="77777777">
      <w:pPr>
        <w:widowControl w:val="0"/>
        <w:rPr>
          <w:rFonts w:ascii="Arial" w:hAnsi="Arial" w:cs="Arial"/>
          <w:sz w:val="22"/>
          <w:szCs w:val="22"/>
        </w:rPr>
      </w:pPr>
    </w:p>
    <w:p w:rsidRPr="001F207E" w:rsidR="00431598" w:rsidP="00382D7E" w:rsidRDefault="00431598" w14:paraId="008B8BB5" w14:textId="77777777">
      <w:pPr>
        <w:widowControl w:val="0"/>
        <w:ind w:left="360" w:hanging="360"/>
        <w:rPr>
          <w:rFonts w:ascii="Arial" w:hAnsi="Arial" w:cs="Arial"/>
          <w:sz w:val="22"/>
          <w:szCs w:val="22"/>
        </w:rPr>
      </w:pPr>
      <w:r w:rsidRPr="001F207E">
        <w:rPr>
          <w:rFonts w:ascii="Arial" w:hAnsi="Arial" w:cs="Arial"/>
          <w:sz w:val="22"/>
          <w:szCs w:val="22"/>
        </w:rPr>
        <w:t>13.</w:t>
      </w:r>
      <w:r w:rsidRPr="001F207E">
        <w:rPr>
          <w:rFonts w:ascii="Arial" w:hAnsi="Arial" w:cs="Arial"/>
          <w:sz w:val="22"/>
          <w:szCs w:val="22"/>
        </w:rPr>
        <w:tab/>
      </w:r>
      <w:r w:rsidRPr="001F207E">
        <w:rPr>
          <w:rFonts w:ascii="Arial" w:hAnsi="Arial" w:cs="Arial"/>
          <w:sz w:val="22"/>
          <w:szCs w:val="22"/>
          <w:u w:val="single"/>
        </w:rPr>
        <w:t>Estimate of Other Additional Costs</w:t>
      </w:r>
    </w:p>
    <w:p w:rsidRPr="001F207E" w:rsidR="00431598" w:rsidP="00B014D0" w:rsidRDefault="00972055" w14:paraId="047B4BCA" w14:textId="77777777">
      <w:pPr>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rPr>
      </w:pPr>
      <w:r w:rsidRPr="001F207E">
        <w:rPr>
          <w:rFonts w:ascii="Arial" w:hAnsi="Arial" w:cs="Arial"/>
          <w:sz w:val="22"/>
          <w:szCs w:val="22"/>
        </w:rPr>
        <w:t xml:space="preserve"> </w:t>
      </w:r>
    </w:p>
    <w:p w:rsidRPr="001F207E" w:rsidR="0075787F" w:rsidP="00382D7E" w:rsidRDefault="00431598" w14:paraId="09173E3B" w14:textId="3AFB305B">
      <w:pPr>
        <w:widowControl w:val="0"/>
        <w:ind w:left="360"/>
        <w:rPr>
          <w:rFonts w:ascii="Arial" w:hAnsi="Arial" w:cs="Arial"/>
          <w:sz w:val="22"/>
          <w:szCs w:val="22"/>
        </w:rPr>
      </w:pPr>
      <w:r w:rsidRPr="001F207E">
        <w:rPr>
          <w:rFonts w:ascii="Arial" w:hAnsi="Arial" w:cs="Arial"/>
          <w:sz w:val="22"/>
          <w:szCs w:val="22"/>
        </w:rPr>
        <w:t xml:space="preserve">The NRC has determined that the quantity of records to be maintained is roughly proportional to the </w:t>
      </w:r>
      <w:r w:rsidRPr="001F207E" w:rsidR="00E80334">
        <w:rPr>
          <w:rFonts w:ascii="Arial" w:hAnsi="Arial" w:cs="Arial"/>
          <w:sz w:val="22"/>
          <w:szCs w:val="22"/>
        </w:rPr>
        <w:t>recordkeep</w:t>
      </w:r>
      <w:r w:rsidRPr="001F207E">
        <w:rPr>
          <w:rFonts w:ascii="Arial" w:hAnsi="Arial" w:cs="Arial"/>
          <w:sz w:val="22"/>
          <w:szCs w:val="22"/>
        </w:rPr>
        <w:t xml:space="preserve">ing burden and, therefore, can be used to calculate approximate records storage costs.  Based on the number of pages maintained for a typical clearance, the records storage cost has been determined to be equal to 0.0004 times the </w:t>
      </w:r>
      <w:r w:rsidRPr="001F207E" w:rsidR="00E80334">
        <w:rPr>
          <w:rFonts w:ascii="Arial" w:hAnsi="Arial" w:cs="Arial"/>
          <w:sz w:val="22"/>
          <w:szCs w:val="22"/>
        </w:rPr>
        <w:t>recordkeep</w:t>
      </w:r>
      <w:r w:rsidRPr="001F207E">
        <w:rPr>
          <w:rFonts w:ascii="Arial" w:hAnsi="Arial" w:cs="Arial"/>
          <w:sz w:val="22"/>
          <w:szCs w:val="22"/>
        </w:rPr>
        <w:t xml:space="preserve">ing burden cost.  Because the </w:t>
      </w:r>
      <w:r w:rsidRPr="001F207E" w:rsidR="00E80334">
        <w:rPr>
          <w:rFonts w:ascii="Arial" w:hAnsi="Arial" w:cs="Arial"/>
          <w:sz w:val="22"/>
          <w:szCs w:val="22"/>
        </w:rPr>
        <w:t>recordkeep</w:t>
      </w:r>
      <w:r w:rsidRPr="001F207E">
        <w:rPr>
          <w:rFonts w:ascii="Arial" w:hAnsi="Arial" w:cs="Arial"/>
          <w:sz w:val="22"/>
          <w:szCs w:val="22"/>
        </w:rPr>
        <w:t xml:space="preserve">ing burden is estimated to be </w:t>
      </w:r>
      <w:r w:rsidRPr="001F207E" w:rsidR="004079A2">
        <w:rPr>
          <w:rFonts w:ascii="Arial" w:hAnsi="Arial" w:cs="Arial"/>
          <w:sz w:val="22"/>
          <w:szCs w:val="22"/>
        </w:rPr>
        <w:t>1,</w:t>
      </w:r>
      <w:r w:rsidR="000D404E">
        <w:rPr>
          <w:rFonts w:ascii="Arial" w:hAnsi="Arial" w:cs="Arial"/>
          <w:sz w:val="22"/>
          <w:szCs w:val="22"/>
        </w:rPr>
        <w:t>0</w:t>
      </w:r>
      <w:r w:rsidRPr="001F207E" w:rsidR="004079A2">
        <w:rPr>
          <w:rFonts w:ascii="Arial" w:hAnsi="Arial" w:cs="Arial"/>
          <w:sz w:val="22"/>
          <w:szCs w:val="22"/>
        </w:rPr>
        <w:t>74</w:t>
      </w:r>
      <w:r w:rsidRPr="001F207E">
        <w:rPr>
          <w:rFonts w:ascii="Arial" w:hAnsi="Arial" w:cs="Arial"/>
          <w:sz w:val="22"/>
          <w:szCs w:val="22"/>
        </w:rPr>
        <w:t xml:space="preserve"> hours, the storage cost for this clearance is </w:t>
      </w:r>
      <w:r w:rsidRPr="001F207E" w:rsidR="009C0534">
        <w:rPr>
          <w:rFonts w:ascii="Arial" w:hAnsi="Arial" w:cs="Arial"/>
          <w:sz w:val="22"/>
          <w:szCs w:val="22"/>
        </w:rPr>
        <w:t>$</w:t>
      </w:r>
      <w:r w:rsidRPr="001F207E" w:rsidR="005357F6">
        <w:rPr>
          <w:rFonts w:ascii="Arial" w:hAnsi="Arial" w:cs="Arial"/>
          <w:sz w:val="22"/>
          <w:szCs w:val="22"/>
        </w:rPr>
        <w:t>1</w:t>
      </w:r>
      <w:r w:rsidR="00011DB8">
        <w:rPr>
          <w:rFonts w:ascii="Arial" w:hAnsi="Arial" w:cs="Arial"/>
          <w:sz w:val="22"/>
          <w:szCs w:val="22"/>
        </w:rPr>
        <w:t>20</w:t>
      </w:r>
      <w:r w:rsidRPr="001F207E" w:rsidR="0075787F">
        <w:rPr>
          <w:rFonts w:ascii="Arial" w:hAnsi="Arial" w:cs="Arial"/>
          <w:sz w:val="22"/>
          <w:szCs w:val="22"/>
        </w:rPr>
        <w:t xml:space="preserve"> (</w:t>
      </w:r>
      <w:r w:rsidRPr="001F207E" w:rsidR="004079A2">
        <w:rPr>
          <w:rFonts w:ascii="Arial" w:hAnsi="Arial" w:cs="Arial"/>
          <w:sz w:val="22"/>
          <w:szCs w:val="22"/>
        </w:rPr>
        <w:t>1,</w:t>
      </w:r>
      <w:r w:rsidR="00F3616A">
        <w:rPr>
          <w:rFonts w:ascii="Arial" w:hAnsi="Arial" w:cs="Arial"/>
          <w:sz w:val="22"/>
          <w:szCs w:val="22"/>
        </w:rPr>
        <w:t>074</w:t>
      </w:r>
      <w:r w:rsidRPr="001F207E" w:rsidR="0075787F">
        <w:rPr>
          <w:rFonts w:ascii="Arial" w:hAnsi="Arial" w:cs="Arial"/>
          <w:sz w:val="22"/>
          <w:szCs w:val="22"/>
        </w:rPr>
        <w:t> hours x 0.0004 x</w:t>
      </w:r>
    </w:p>
    <w:p w:rsidRPr="001F207E" w:rsidR="00431598" w:rsidP="00492CBA" w:rsidRDefault="00235A8E" w14:paraId="5BBB2519" w14:textId="57C790F8">
      <w:pPr>
        <w:widowControl w:val="0"/>
        <w:ind w:left="360"/>
        <w:rPr>
          <w:rFonts w:ascii="Arial" w:hAnsi="Arial" w:cs="Arial"/>
          <w:sz w:val="22"/>
          <w:szCs w:val="22"/>
        </w:rPr>
      </w:pPr>
      <w:r w:rsidRPr="001F207E">
        <w:rPr>
          <w:rFonts w:ascii="Arial" w:hAnsi="Arial" w:cs="Arial"/>
          <w:sz w:val="22"/>
          <w:szCs w:val="22"/>
        </w:rPr>
        <w:t>$279/hour</w:t>
      </w:r>
      <w:r w:rsidRPr="001F207E" w:rsidR="0075787F">
        <w:rPr>
          <w:rFonts w:ascii="Arial" w:hAnsi="Arial" w:cs="Arial"/>
          <w:sz w:val="22"/>
          <w:szCs w:val="22"/>
        </w:rPr>
        <w:t>)</w:t>
      </w:r>
      <w:r w:rsidRPr="001F207E" w:rsidR="00431598">
        <w:rPr>
          <w:rFonts w:ascii="Arial" w:hAnsi="Arial" w:cs="Arial"/>
          <w:sz w:val="22"/>
          <w:szCs w:val="22"/>
        </w:rPr>
        <w:t>.</w:t>
      </w:r>
    </w:p>
    <w:p w:rsidRPr="001F207E" w:rsidR="002672BC" w:rsidP="00382D7E" w:rsidRDefault="002672BC" w14:paraId="358B0B7A" w14:textId="77777777">
      <w:pPr>
        <w:widowControl w:val="0"/>
        <w:ind w:left="360" w:hanging="360"/>
        <w:rPr>
          <w:rFonts w:ascii="Arial" w:hAnsi="Arial" w:cs="Arial"/>
          <w:sz w:val="22"/>
          <w:szCs w:val="22"/>
        </w:rPr>
      </w:pPr>
    </w:p>
    <w:p w:rsidRPr="001F207E" w:rsidR="00431598" w:rsidP="00382D7E" w:rsidRDefault="00431598" w14:paraId="324419BE" w14:textId="77777777">
      <w:pPr>
        <w:widowControl w:val="0"/>
        <w:ind w:left="360" w:hanging="360"/>
        <w:rPr>
          <w:rFonts w:ascii="Arial" w:hAnsi="Arial" w:cs="Arial"/>
          <w:sz w:val="22"/>
          <w:szCs w:val="22"/>
        </w:rPr>
      </w:pPr>
      <w:r w:rsidRPr="001F207E">
        <w:rPr>
          <w:rFonts w:ascii="Arial" w:hAnsi="Arial" w:cs="Arial"/>
          <w:sz w:val="22"/>
          <w:szCs w:val="22"/>
        </w:rPr>
        <w:t>14.</w:t>
      </w:r>
      <w:r w:rsidRPr="001F207E">
        <w:rPr>
          <w:rFonts w:ascii="Arial" w:hAnsi="Arial" w:cs="Arial"/>
          <w:sz w:val="22"/>
          <w:szCs w:val="22"/>
        </w:rPr>
        <w:tab/>
      </w:r>
      <w:r w:rsidRPr="001F207E">
        <w:rPr>
          <w:rFonts w:ascii="Arial" w:hAnsi="Arial" w:cs="Arial"/>
          <w:sz w:val="22"/>
          <w:szCs w:val="22"/>
          <w:u w:val="single"/>
        </w:rPr>
        <w:t>Estimated Annualized Cost to the Federal Government</w:t>
      </w:r>
    </w:p>
    <w:p w:rsidRPr="001F207E" w:rsidR="00972055" w:rsidRDefault="00972055" w14:paraId="799C605E" w14:textId="77777777">
      <w:pPr>
        <w:widowControl w:val="0"/>
        <w:rPr>
          <w:rFonts w:ascii="Arial" w:hAnsi="Arial" w:cs="Arial"/>
          <w:sz w:val="22"/>
          <w:szCs w:val="22"/>
        </w:rPr>
      </w:pPr>
    </w:p>
    <w:p w:rsidRPr="001F207E" w:rsidR="00A55E2E" w:rsidP="00A55E2E" w:rsidRDefault="00375128" w14:paraId="7F29E7E3" w14:textId="11E234E0">
      <w:pPr>
        <w:widowControl w:val="0"/>
        <w:ind w:left="360"/>
        <w:rPr>
          <w:rFonts w:ascii="Arial" w:hAnsi="Arial" w:cs="Arial"/>
          <w:sz w:val="22"/>
          <w:szCs w:val="22"/>
        </w:rPr>
      </w:pPr>
      <w:r w:rsidRPr="001F207E">
        <w:rPr>
          <w:rFonts w:ascii="Arial" w:hAnsi="Arial" w:cs="Arial"/>
          <w:sz w:val="22"/>
          <w:szCs w:val="22"/>
        </w:rPr>
        <w:t>For the</w:t>
      </w:r>
      <w:r w:rsidRPr="001F207E" w:rsidR="002E4D47">
        <w:rPr>
          <w:rFonts w:ascii="Arial" w:hAnsi="Arial" w:cs="Arial"/>
          <w:sz w:val="22"/>
          <w:szCs w:val="22"/>
        </w:rPr>
        <w:t xml:space="preserve"> </w:t>
      </w:r>
      <w:r w:rsidRPr="001F207E" w:rsidR="00C359DD">
        <w:rPr>
          <w:rFonts w:ascii="Arial" w:hAnsi="Arial" w:cs="Arial"/>
          <w:sz w:val="22"/>
          <w:szCs w:val="22"/>
        </w:rPr>
        <w:t xml:space="preserve">PI quarterly data submittal </w:t>
      </w:r>
      <w:r w:rsidRPr="001F207E" w:rsidR="00DE5491">
        <w:rPr>
          <w:rFonts w:ascii="Arial" w:hAnsi="Arial" w:cs="Arial"/>
          <w:sz w:val="22"/>
          <w:szCs w:val="22"/>
        </w:rPr>
        <w:t xml:space="preserve">process </w:t>
      </w:r>
      <w:r w:rsidRPr="001F207E" w:rsidR="00C359DD">
        <w:rPr>
          <w:rFonts w:ascii="Arial" w:hAnsi="Arial" w:cs="Arial"/>
          <w:sz w:val="22"/>
          <w:szCs w:val="22"/>
        </w:rPr>
        <w:t xml:space="preserve">the NRC staff </w:t>
      </w:r>
      <w:r w:rsidRPr="001F207E" w:rsidR="00DE5491">
        <w:rPr>
          <w:rFonts w:ascii="Arial" w:hAnsi="Arial" w:cs="Arial"/>
          <w:sz w:val="22"/>
          <w:szCs w:val="22"/>
        </w:rPr>
        <w:t>estimates a burden of</w:t>
      </w:r>
      <w:r w:rsidRPr="001F207E" w:rsidR="00C359DD">
        <w:rPr>
          <w:rFonts w:ascii="Arial" w:hAnsi="Arial" w:cs="Arial"/>
          <w:sz w:val="22"/>
          <w:szCs w:val="22"/>
        </w:rPr>
        <w:t xml:space="preserve"> approximat</w:t>
      </w:r>
      <w:r w:rsidRPr="001F207E" w:rsidR="00094751">
        <w:rPr>
          <w:rFonts w:ascii="Arial" w:hAnsi="Arial" w:cs="Arial"/>
          <w:sz w:val="22"/>
          <w:szCs w:val="22"/>
        </w:rPr>
        <w:t xml:space="preserve">ely 8 hours per quarter receiving and processing the PI data.  Thus, the total reporting </w:t>
      </w:r>
      <w:r w:rsidRPr="001F207E" w:rsidR="00DE5491">
        <w:rPr>
          <w:rFonts w:ascii="Arial" w:hAnsi="Arial" w:cs="Arial"/>
          <w:sz w:val="22"/>
          <w:szCs w:val="22"/>
        </w:rPr>
        <w:t xml:space="preserve">estimated </w:t>
      </w:r>
      <w:r w:rsidRPr="001F207E" w:rsidR="00094751">
        <w:rPr>
          <w:rFonts w:ascii="Arial" w:hAnsi="Arial" w:cs="Arial"/>
          <w:sz w:val="22"/>
          <w:szCs w:val="22"/>
        </w:rPr>
        <w:t>burden is 32 hours (</w:t>
      </w:r>
      <w:r w:rsidRPr="001F207E" w:rsidR="00D17E3B">
        <w:rPr>
          <w:rFonts w:ascii="Arial" w:hAnsi="Arial" w:cs="Arial"/>
          <w:sz w:val="22"/>
          <w:szCs w:val="22"/>
        </w:rPr>
        <w:t xml:space="preserve">8 hours </w:t>
      </w:r>
      <w:r w:rsidRPr="001F207E" w:rsidR="00094751">
        <w:rPr>
          <w:rFonts w:ascii="Arial" w:hAnsi="Arial" w:cs="Arial"/>
          <w:sz w:val="22"/>
          <w:szCs w:val="22"/>
        </w:rPr>
        <w:t>x </w:t>
      </w:r>
      <w:r w:rsidRPr="001F207E" w:rsidR="00D17E3B">
        <w:rPr>
          <w:rFonts w:ascii="Arial" w:hAnsi="Arial" w:cs="Arial"/>
          <w:sz w:val="22"/>
          <w:szCs w:val="22"/>
        </w:rPr>
        <w:t>4 quarters</w:t>
      </w:r>
      <w:r w:rsidRPr="001F207E" w:rsidR="00094751">
        <w:rPr>
          <w:rFonts w:ascii="Arial" w:hAnsi="Arial" w:cs="Arial"/>
          <w:sz w:val="22"/>
          <w:szCs w:val="22"/>
        </w:rPr>
        <w:t>), and costs are estimated at $</w:t>
      </w:r>
      <w:r w:rsidRPr="001F207E" w:rsidR="00B94449">
        <w:rPr>
          <w:rFonts w:ascii="Arial" w:hAnsi="Arial" w:cs="Arial"/>
          <w:sz w:val="22"/>
          <w:szCs w:val="22"/>
        </w:rPr>
        <w:t>8,928</w:t>
      </w:r>
      <w:r w:rsidRPr="001F207E" w:rsidR="00094751">
        <w:rPr>
          <w:rFonts w:ascii="Arial" w:hAnsi="Arial" w:cs="Arial"/>
          <w:sz w:val="22"/>
          <w:szCs w:val="22"/>
        </w:rPr>
        <w:t xml:space="preserve"> (</w:t>
      </w:r>
      <w:r w:rsidRPr="001F207E" w:rsidR="00D17E3B">
        <w:rPr>
          <w:rFonts w:ascii="Arial" w:hAnsi="Arial" w:cs="Arial"/>
          <w:sz w:val="22"/>
          <w:szCs w:val="22"/>
        </w:rPr>
        <w:t>32</w:t>
      </w:r>
      <w:r w:rsidRPr="001F207E" w:rsidR="00094751">
        <w:rPr>
          <w:rFonts w:ascii="Arial" w:hAnsi="Arial" w:cs="Arial"/>
          <w:sz w:val="22"/>
          <w:szCs w:val="22"/>
        </w:rPr>
        <w:t xml:space="preserve"> hours x $279/hour).</w:t>
      </w:r>
      <w:r w:rsidRPr="001F207E" w:rsidR="00B74F2C">
        <w:rPr>
          <w:rFonts w:ascii="Arial" w:hAnsi="Arial" w:cs="Arial"/>
          <w:sz w:val="22"/>
          <w:szCs w:val="22"/>
        </w:rPr>
        <w:t xml:space="preserve">  </w:t>
      </w:r>
      <w:r w:rsidRPr="001F207E">
        <w:rPr>
          <w:rFonts w:ascii="Arial" w:hAnsi="Arial" w:cs="Arial"/>
          <w:sz w:val="22"/>
          <w:szCs w:val="22"/>
        </w:rPr>
        <w:t xml:space="preserve">For the </w:t>
      </w:r>
      <w:r w:rsidR="004D5B0E">
        <w:rPr>
          <w:rFonts w:ascii="Arial" w:hAnsi="Arial" w:cs="Arial"/>
          <w:sz w:val="22"/>
          <w:szCs w:val="22"/>
        </w:rPr>
        <w:t xml:space="preserve">PI </w:t>
      </w:r>
      <w:r w:rsidRPr="001F207E">
        <w:rPr>
          <w:rFonts w:ascii="Arial" w:hAnsi="Arial" w:cs="Arial"/>
          <w:sz w:val="22"/>
          <w:szCs w:val="22"/>
        </w:rPr>
        <w:t>FAQ process</w:t>
      </w:r>
      <w:r w:rsidRPr="001F207E" w:rsidR="004454D7">
        <w:rPr>
          <w:rFonts w:ascii="Arial" w:hAnsi="Arial" w:cs="Arial"/>
          <w:sz w:val="22"/>
          <w:szCs w:val="22"/>
        </w:rPr>
        <w:t xml:space="preserve"> the NRC </w:t>
      </w:r>
      <w:r w:rsidRPr="001F207E" w:rsidR="00F15A1F">
        <w:rPr>
          <w:rFonts w:ascii="Arial" w:hAnsi="Arial" w:cs="Arial"/>
          <w:sz w:val="22"/>
          <w:szCs w:val="22"/>
        </w:rPr>
        <w:t xml:space="preserve">staff </w:t>
      </w:r>
      <w:r w:rsidRPr="001F207E" w:rsidR="004454D7">
        <w:rPr>
          <w:rFonts w:ascii="Arial" w:hAnsi="Arial" w:cs="Arial"/>
          <w:sz w:val="22"/>
          <w:szCs w:val="22"/>
        </w:rPr>
        <w:t xml:space="preserve">estimates a burden of approximately </w:t>
      </w:r>
      <w:r w:rsidRPr="001F207E" w:rsidR="00F15A1F">
        <w:rPr>
          <w:rFonts w:ascii="Arial" w:hAnsi="Arial" w:cs="Arial"/>
          <w:sz w:val="22"/>
          <w:szCs w:val="22"/>
        </w:rPr>
        <w:t>40 hours</w:t>
      </w:r>
      <w:r w:rsidRPr="001F207E" w:rsidR="00EA4489">
        <w:rPr>
          <w:rFonts w:ascii="Arial" w:hAnsi="Arial" w:cs="Arial"/>
          <w:sz w:val="22"/>
          <w:szCs w:val="22"/>
        </w:rPr>
        <w:t xml:space="preserve"> for the review and response proposal process.  Thus, the total reporting estimated burden is </w:t>
      </w:r>
      <w:r w:rsidRPr="001F207E" w:rsidR="00141393">
        <w:rPr>
          <w:rFonts w:ascii="Arial" w:hAnsi="Arial" w:cs="Arial"/>
          <w:sz w:val="22"/>
          <w:szCs w:val="22"/>
        </w:rPr>
        <w:t>120</w:t>
      </w:r>
      <w:r w:rsidRPr="001F207E" w:rsidR="00EA4489">
        <w:rPr>
          <w:rFonts w:ascii="Arial" w:hAnsi="Arial" w:cs="Arial"/>
          <w:sz w:val="22"/>
          <w:szCs w:val="22"/>
        </w:rPr>
        <w:t> hours (</w:t>
      </w:r>
      <w:r w:rsidRPr="001F207E" w:rsidR="00C60A27">
        <w:rPr>
          <w:rFonts w:ascii="Arial" w:hAnsi="Arial" w:cs="Arial"/>
          <w:sz w:val="22"/>
          <w:szCs w:val="22"/>
        </w:rPr>
        <w:t xml:space="preserve">40 hours </w:t>
      </w:r>
      <w:r w:rsidRPr="001F207E" w:rsidR="00EA4489">
        <w:rPr>
          <w:rFonts w:ascii="Arial" w:hAnsi="Arial" w:cs="Arial"/>
          <w:sz w:val="22"/>
          <w:szCs w:val="22"/>
        </w:rPr>
        <w:t>x </w:t>
      </w:r>
      <w:r w:rsidRPr="001F207E" w:rsidR="00C60A27">
        <w:rPr>
          <w:rFonts w:ascii="Arial" w:hAnsi="Arial" w:cs="Arial"/>
          <w:sz w:val="22"/>
          <w:szCs w:val="22"/>
        </w:rPr>
        <w:t xml:space="preserve">3 </w:t>
      </w:r>
      <w:r w:rsidR="004D5B0E">
        <w:rPr>
          <w:rFonts w:ascii="Arial" w:hAnsi="Arial" w:cs="Arial"/>
          <w:sz w:val="22"/>
          <w:szCs w:val="22"/>
        </w:rPr>
        <w:t xml:space="preserve">PI </w:t>
      </w:r>
      <w:r w:rsidRPr="001F207E" w:rsidR="00C60A27">
        <w:rPr>
          <w:rFonts w:ascii="Arial" w:hAnsi="Arial" w:cs="Arial"/>
          <w:sz w:val="22"/>
          <w:szCs w:val="22"/>
        </w:rPr>
        <w:t>FAQs/year</w:t>
      </w:r>
      <w:r w:rsidRPr="001F207E" w:rsidR="00EA4489">
        <w:rPr>
          <w:rFonts w:ascii="Arial" w:hAnsi="Arial" w:cs="Arial"/>
          <w:sz w:val="22"/>
          <w:szCs w:val="22"/>
        </w:rPr>
        <w:t>), and costs are estimated at $</w:t>
      </w:r>
      <w:r w:rsidRPr="001F207E" w:rsidR="00F42A5C">
        <w:rPr>
          <w:rFonts w:ascii="Arial" w:hAnsi="Arial" w:cs="Arial"/>
          <w:sz w:val="22"/>
          <w:szCs w:val="22"/>
        </w:rPr>
        <w:t>33,480</w:t>
      </w:r>
      <w:r w:rsidRPr="001F207E" w:rsidR="00EA4489">
        <w:rPr>
          <w:rFonts w:ascii="Arial" w:hAnsi="Arial" w:cs="Arial"/>
          <w:sz w:val="22"/>
          <w:szCs w:val="22"/>
        </w:rPr>
        <w:t xml:space="preserve"> (</w:t>
      </w:r>
      <w:r w:rsidRPr="001F207E" w:rsidR="00C60A27">
        <w:rPr>
          <w:rFonts w:ascii="Arial" w:hAnsi="Arial" w:cs="Arial"/>
          <w:sz w:val="22"/>
          <w:szCs w:val="22"/>
        </w:rPr>
        <w:t>120</w:t>
      </w:r>
      <w:r w:rsidRPr="001F207E" w:rsidR="00EA4489">
        <w:rPr>
          <w:rFonts w:ascii="Arial" w:hAnsi="Arial" w:cs="Arial"/>
          <w:sz w:val="22"/>
          <w:szCs w:val="22"/>
        </w:rPr>
        <w:t xml:space="preserve"> hours x $279/hour).</w:t>
      </w:r>
      <w:r w:rsidRPr="001F207E" w:rsidR="00431598">
        <w:rPr>
          <w:rFonts w:ascii="Arial" w:hAnsi="Arial" w:cs="Arial"/>
          <w:sz w:val="22"/>
          <w:szCs w:val="22"/>
        </w:rPr>
        <w:t xml:space="preserve">  </w:t>
      </w:r>
      <w:r w:rsidR="00195816">
        <w:rPr>
          <w:rFonts w:ascii="Arial" w:hAnsi="Arial" w:cs="Arial"/>
          <w:sz w:val="22"/>
          <w:szCs w:val="22"/>
        </w:rPr>
        <w:t xml:space="preserve">The total cost is </w:t>
      </w:r>
      <w:r w:rsidR="00D20D24">
        <w:rPr>
          <w:rFonts w:ascii="Arial" w:hAnsi="Arial" w:cs="Arial"/>
          <w:sz w:val="22"/>
          <w:szCs w:val="22"/>
        </w:rPr>
        <w:t xml:space="preserve">estimated at </w:t>
      </w:r>
      <w:r w:rsidR="001375BC">
        <w:rPr>
          <w:rFonts w:ascii="Arial" w:hAnsi="Arial" w:cs="Arial"/>
          <w:sz w:val="22"/>
          <w:szCs w:val="22"/>
        </w:rPr>
        <w:t>$42,408</w:t>
      </w:r>
      <w:r w:rsidR="00D20D24">
        <w:rPr>
          <w:rFonts w:ascii="Arial" w:hAnsi="Arial" w:cs="Arial"/>
          <w:sz w:val="22"/>
          <w:szCs w:val="22"/>
        </w:rPr>
        <w:t>(152 hours x $279/hour).</w:t>
      </w:r>
    </w:p>
    <w:p w:rsidRPr="001F207E" w:rsidR="00A55E2E" w:rsidP="00382D7E" w:rsidRDefault="00A55E2E" w14:paraId="05B1E57B" w14:textId="77777777">
      <w:pPr>
        <w:widowControl w:val="0"/>
        <w:ind w:left="360" w:hanging="360"/>
        <w:rPr>
          <w:rFonts w:ascii="Arial" w:hAnsi="Arial" w:cs="Arial"/>
          <w:sz w:val="22"/>
          <w:szCs w:val="22"/>
        </w:rPr>
      </w:pPr>
    </w:p>
    <w:p w:rsidRPr="00B8670B" w:rsidR="00431598" w:rsidP="00382D7E" w:rsidRDefault="00431598" w14:paraId="14BD5676" w14:textId="77777777">
      <w:pPr>
        <w:widowControl w:val="0"/>
        <w:ind w:left="360" w:hanging="360"/>
        <w:rPr>
          <w:rFonts w:ascii="Arial" w:hAnsi="Arial" w:cs="Arial"/>
          <w:sz w:val="22"/>
          <w:szCs w:val="22"/>
        </w:rPr>
      </w:pPr>
      <w:r w:rsidRPr="001F207E">
        <w:rPr>
          <w:rFonts w:ascii="Arial" w:hAnsi="Arial" w:cs="Arial"/>
          <w:sz w:val="22"/>
          <w:szCs w:val="22"/>
        </w:rPr>
        <w:t>15.</w:t>
      </w:r>
      <w:r w:rsidRPr="001F207E">
        <w:rPr>
          <w:rFonts w:ascii="Arial" w:hAnsi="Arial" w:cs="Arial"/>
          <w:sz w:val="22"/>
          <w:szCs w:val="22"/>
        </w:rPr>
        <w:tab/>
      </w:r>
      <w:r w:rsidRPr="001F207E">
        <w:rPr>
          <w:rFonts w:ascii="Arial" w:hAnsi="Arial" w:cs="Arial"/>
          <w:sz w:val="22"/>
          <w:szCs w:val="22"/>
          <w:u w:val="single"/>
        </w:rPr>
        <w:t xml:space="preserve">Reasons for Change in </w:t>
      </w:r>
      <w:r w:rsidRPr="00B8670B">
        <w:rPr>
          <w:rFonts w:ascii="Arial" w:hAnsi="Arial" w:cs="Arial"/>
          <w:sz w:val="22"/>
          <w:szCs w:val="22"/>
          <w:u w:val="single"/>
        </w:rPr>
        <w:t>Burden or Cost</w:t>
      </w:r>
    </w:p>
    <w:p w:rsidRPr="00B8670B" w:rsidR="00972055" w:rsidP="00C203C7" w:rsidRDefault="00972055" w14:paraId="3EAA97E0" w14:textId="77777777">
      <w:pPr>
        <w:widowControl w:val="0"/>
        <w:rPr>
          <w:rFonts w:ascii="Arial" w:hAnsi="Arial" w:cs="Arial"/>
          <w:sz w:val="22"/>
          <w:szCs w:val="22"/>
        </w:rPr>
      </w:pPr>
    </w:p>
    <w:p w:rsidR="00DA3B68" w:rsidP="00382D7E" w:rsidRDefault="00431598" w14:paraId="2EC0AC53" w14:textId="103C18D4">
      <w:pPr>
        <w:widowControl w:val="0"/>
        <w:ind w:left="360"/>
        <w:rPr>
          <w:rFonts w:ascii="Arial" w:hAnsi="Arial" w:cs="Arial"/>
          <w:sz w:val="22"/>
          <w:szCs w:val="22"/>
        </w:rPr>
      </w:pPr>
      <w:r w:rsidRPr="00B8670B">
        <w:rPr>
          <w:rFonts w:ascii="Arial" w:hAnsi="Arial" w:cs="Arial"/>
          <w:sz w:val="22"/>
          <w:szCs w:val="22"/>
        </w:rPr>
        <w:t xml:space="preserve">The burden is projected to </w:t>
      </w:r>
      <w:r w:rsidRPr="4CBF5F36">
        <w:rPr>
          <w:rFonts w:ascii="Arial" w:hAnsi="Arial" w:cs="Arial"/>
          <w:sz w:val="22"/>
          <w:szCs w:val="22"/>
        </w:rPr>
        <w:t xml:space="preserve">slightly </w:t>
      </w:r>
      <w:r w:rsidR="00D57C16">
        <w:rPr>
          <w:rFonts w:ascii="Arial" w:hAnsi="Arial" w:cs="Arial"/>
          <w:sz w:val="22"/>
          <w:szCs w:val="22"/>
        </w:rPr>
        <w:t xml:space="preserve">increase </w:t>
      </w:r>
      <w:r w:rsidRPr="4CBF5F36">
        <w:rPr>
          <w:rFonts w:ascii="Arial" w:hAnsi="Arial" w:cs="Arial"/>
          <w:sz w:val="22"/>
          <w:szCs w:val="22"/>
        </w:rPr>
        <w:t xml:space="preserve">from </w:t>
      </w:r>
      <w:r w:rsidRPr="4CBF5F36" w:rsidR="00CF5C0E">
        <w:rPr>
          <w:rFonts w:ascii="Arial" w:hAnsi="Arial" w:cs="Arial"/>
          <w:sz w:val="22"/>
          <w:szCs w:val="22"/>
        </w:rPr>
        <w:t>76</w:t>
      </w:r>
      <w:r w:rsidRPr="4CBF5F36" w:rsidR="00D114F0">
        <w:rPr>
          <w:rFonts w:ascii="Arial" w:hAnsi="Arial" w:cs="Arial"/>
          <w:sz w:val="22"/>
          <w:szCs w:val="22"/>
        </w:rPr>
        <w:t>,350</w:t>
      </w:r>
      <w:r w:rsidRPr="4CBF5F36">
        <w:rPr>
          <w:rFonts w:ascii="Arial" w:hAnsi="Arial" w:cs="Arial"/>
          <w:sz w:val="22"/>
          <w:szCs w:val="22"/>
        </w:rPr>
        <w:t xml:space="preserve"> hours for </w:t>
      </w:r>
      <w:r w:rsidRPr="4CBF5F36" w:rsidR="00CF5C0E">
        <w:rPr>
          <w:rFonts w:ascii="Arial" w:hAnsi="Arial" w:cs="Arial"/>
          <w:sz w:val="22"/>
          <w:szCs w:val="22"/>
        </w:rPr>
        <w:t>3</w:t>
      </w:r>
      <w:r w:rsidRPr="4CBF5F36" w:rsidR="00222059">
        <w:rPr>
          <w:rFonts w:ascii="Arial" w:hAnsi="Arial" w:cs="Arial"/>
          <w:sz w:val="22"/>
          <w:szCs w:val="22"/>
        </w:rPr>
        <w:t>99</w:t>
      </w:r>
      <w:r w:rsidRPr="4CBF5F36" w:rsidR="00D114F0">
        <w:rPr>
          <w:rFonts w:ascii="Arial" w:hAnsi="Arial" w:cs="Arial"/>
          <w:sz w:val="22"/>
          <w:szCs w:val="22"/>
        </w:rPr>
        <w:t xml:space="preserve"> </w:t>
      </w:r>
      <w:r w:rsidRPr="4CBF5F36">
        <w:rPr>
          <w:rFonts w:ascii="Arial" w:hAnsi="Arial" w:cs="Arial"/>
          <w:sz w:val="22"/>
          <w:szCs w:val="22"/>
        </w:rPr>
        <w:t>responses</w:t>
      </w:r>
      <w:r w:rsidRPr="4CBF5F36" w:rsidR="004D67F6">
        <w:rPr>
          <w:rFonts w:ascii="Arial" w:hAnsi="Arial" w:cs="Arial"/>
          <w:sz w:val="22"/>
          <w:szCs w:val="22"/>
        </w:rPr>
        <w:t xml:space="preserve"> </w:t>
      </w:r>
      <w:r w:rsidRPr="4CBF5F36" w:rsidR="00792200">
        <w:rPr>
          <w:rFonts w:ascii="Arial" w:hAnsi="Arial" w:cs="Arial"/>
          <w:sz w:val="22"/>
          <w:szCs w:val="22"/>
        </w:rPr>
        <w:t xml:space="preserve">to </w:t>
      </w:r>
      <w:r w:rsidR="00D57C16">
        <w:rPr>
          <w:rFonts w:ascii="Arial" w:hAnsi="Arial" w:cs="Arial"/>
          <w:sz w:val="22"/>
          <w:szCs w:val="22"/>
        </w:rPr>
        <w:t>77,734</w:t>
      </w:r>
      <w:r w:rsidR="00240B3C">
        <w:rPr>
          <w:rFonts w:ascii="Arial" w:hAnsi="Arial" w:cs="Arial"/>
          <w:sz w:val="22"/>
          <w:szCs w:val="22"/>
        </w:rPr>
        <w:t xml:space="preserve"> </w:t>
      </w:r>
      <w:r w:rsidRPr="4CBF5F36" w:rsidR="000D15DE">
        <w:rPr>
          <w:rFonts w:ascii="Arial" w:hAnsi="Arial" w:cs="Arial"/>
          <w:sz w:val="22"/>
          <w:szCs w:val="22"/>
        </w:rPr>
        <w:t>hours for 38</w:t>
      </w:r>
      <w:r w:rsidR="00C431C9">
        <w:rPr>
          <w:rFonts w:ascii="Arial" w:hAnsi="Arial" w:cs="Arial"/>
          <w:sz w:val="22"/>
          <w:szCs w:val="22"/>
        </w:rPr>
        <w:t>0</w:t>
      </w:r>
      <w:r w:rsidRPr="4CBF5F36" w:rsidR="000D15DE">
        <w:rPr>
          <w:rFonts w:ascii="Arial" w:hAnsi="Arial" w:cs="Arial"/>
          <w:sz w:val="22"/>
          <w:szCs w:val="22"/>
        </w:rPr>
        <w:t xml:space="preserve"> responses</w:t>
      </w:r>
      <w:r w:rsidRPr="4CBF5F36">
        <w:rPr>
          <w:rFonts w:ascii="Arial" w:hAnsi="Arial" w:cs="Arial"/>
          <w:sz w:val="22"/>
          <w:szCs w:val="22"/>
        </w:rPr>
        <w:t>, which is a</w:t>
      </w:r>
      <w:r w:rsidR="00D57C16">
        <w:rPr>
          <w:rFonts w:ascii="Arial" w:hAnsi="Arial" w:cs="Arial"/>
          <w:sz w:val="22"/>
          <w:szCs w:val="22"/>
        </w:rPr>
        <w:t>n</w:t>
      </w:r>
      <w:r w:rsidRPr="4CBF5F36">
        <w:rPr>
          <w:rFonts w:ascii="Arial" w:hAnsi="Arial" w:cs="Arial"/>
          <w:sz w:val="22"/>
          <w:szCs w:val="22"/>
        </w:rPr>
        <w:t xml:space="preserve"> </w:t>
      </w:r>
      <w:r w:rsidR="00D57C16">
        <w:rPr>
          <w:rFonts w:ascii="Arial" w:hAnsi="Arial" w:cs="Arial"/>
          <w:sz w:val="22"/>
          <w:szCs w:val="22"/>
        </w:rPr>
        <w:t>increase</w:t>
      </w:r>
      <w:r w:rsidRPr="4CBF5F36" w:rsidR="0038584D">
        <w:rPr>
          <w:rFonts w:ascii="Arial" w:hAnsi="Arial" w:cs="Arial"/>
          <w:sz w:val="22"/>
          <w:szCs w:val="22"/>
        </w:rPr>
        <w:t xml:space="preserve"> of</w:t>
      </w:r>
      <w:r w:rsidRPr="4CBF5F36">
        <w:rPr>
          <w:rFonts w:ascii="Arial" w:hAnsi="Arial" w:cs="Arial"/>
          <w:sz w:val="22"/>
          <w:szCs w:val="22"/>
        </w:rPr>
        <w:t xml:space="preserve"> </w:t>
      </w:r>
      <w:r w:rsidR="00D57C16">
        <w:rPr>
          <w:rFonts w:ascii="Arial" w:hAnsi="Arial" w:cs="Arial"/>
          <w:sz w:val="22"/>
          <w:szCs w:val="22"/>
        </w:rPr>
        <w:t>1,384</w:t>
      </w:r>
      <w:r w:rsidRPr="4CBF5F36" w:rsidR="007D5D58">
        <w:rPr>
          <w:rFonts w:ascii="Arial" w:hAnsi="Arial" w:cs="Arial"/>
          <w:sz w:val="22"/>
          <w:szCs w:val="22"/>
        </w:rPr>
        <w:t xml:space="preserve"> </w:t>
      </w:r>
      <w:r w:rsidRPr="4CBF5F36">
        <w:rPr>
          <w:rFonts w:ascii="Arial" w:hAnsi="Arial" w:cs="Arial"/>
          <w:sz w:val="22"/>
          <w:szCs w:val="22"/>
        </w:rPr>
        <w:t>hours</w:t>
      </w:r>
      <w:r w:rsidR="007668EC">
        <w:rPr>
          <w:rFonts w:ascii="Arial" w:hAnsi="Arial" w:cs="Arial"/>
          <w:sz w:val="22"/>
          <w:szCs w:val="22"/>
        </w:rPr>
        <w:t xml:space="preserve"> and a decrease of </w:t>
      </w:r>
      <w:r w:rsidR="00735C04">
        <w:rPr>
          <w:rFonts w:ascii="Arial" w:hAnsi="Arial" w:cs="Arial"/>
          <w:sz w:val="22"/>
          <w:szCs w:val="22"/>
        </w:rPr>
        <w:t>1</w:t>
      </w:r>
      <w:r w:rsidR="00C431C9">
        <w:rPr>
          <w:rFonts w:ascii="Arial" w:hAnsi="Arial" w:cs="Arial"/>
          <w:sz w:val="22"/>
          <w:szCs w:val="22"/>
        </w:rPr>
        <w:t>9</w:t>
      </w:r>
      <w:r w:rsidR="00735C04">
        <w:rPr>
          <w:rFonts w:ascii="Arial" w:hAnsi="Arial" w:cs="Arial"/>
          <w:sz w:val="22"/>
          <w:szCs w:val="22"/>
        </w:rPr>
        <w:t xml:space="preserve"> </w:t>
      </w:r>
      <w:r w:rsidR="007668EC">
        <w:rPr>
          <w:rFonts w:ascii="Arial" w:hAnsi="Arial" w:cs="Arial"/>
          <w:sz w:val="22"/>
          <w:szCs w:val="22"/>
        </w:rPr>
        <w:t>responses</w:t>
      </w:r>
      <w:r w:rsidRPr="4CBF5F36">
        <w:rPr>
          <w:rFonts w:ascii="Arial" w:hAnsi="Arial" w:cs="Arial"/>
          <w:sz w:val="22"/>
          <w:szCs w:val="22"/>
        </w:rPr>
        <w:t xml:space="preserve">.  The previous burden of </w:t>
      </w:r>
      <w:r w:rsidRPr="4CBF5F36" w:rsidR="00533999">
        <w:rPr>
          <w:rFonts w:ascii="Arial" w:hAnsi="Arial" w:cs="Arial"/>
          <w:sz w:val="22"/>
          <w:szCs w:val="22"/>
        </w:rPr>
        <w:t>76,350</w:t>
      </w:r>
      <w:r w:rsidRPr="4CBF5F36" w:rsidR="00D114F0">
        <w:rPr>
          <w:rFonts w:ascii="Arial" w:hAnsi="Arial" w:cs="Arial"/>
          <w:sz w:val="22"/>
          <w:szCs w:val="22"/>
        </w:rPr>
        <w:t xml:space="preserve"> </w:t>
      </w:r>
      <w:r w:rsidRPr="4CBF5F36">
        <w:rPr>
          <w:rFonts w:ascii="Arial" w:hAnsi="Arial" w:cs="Arial"/>
          <w:sz w:val="22"/>
          <w:szCs w:val="22"/>
        </w:rPr>
        <w:t xml:space="preserve">hours was based on </w:t>
      </w:r>
      <w:r w:rsidRPr="4CBF5F36" w:rsidR="00930E2E">
        <w:rPr>
          <w:rFonts w:ascii="Arial" w:hAnsi="Arial" w:cs="Arial"/>
          <w:sz w:val="22"/>
          <w:szCs w:val="22"/>
        </w:rPr>
        <w:t>94</w:t>
      </w:r>
      <w:r w:rsidR="002811B5">
        <w:rPr>
          <w:rFonts w:ascii="Arial" w:hAnsi="Arial" w:cs="Arial"/>
          <w:sz w:val="22"/>
          <w:szCs w:val="22"/>
        </w:rPr>
        <w:t xml:space="preserve"> </w:t>
      </w:r>
      <w:r w:rsidRPr="4CBF5F36">
        <w:rPr>
          <w:rFonts w:ascii="Arial" w:hAnsi="Arial" w:cs="Arial"/>
          <w:sz w:val="22"/>
          <w:szCs w:val="22"/>
        </w:rPr>
        <w:t>licensees responding quarterly</w:t>
      </w:r>
      <w:r w:rsidR="00735C04">
        <w:rPr>
          <w:rFonts w:ascii="Arial" w:hAnsi="Arial" w:cs="Arial"/>
          <w:sz w:val="22"/>
          <w:szCs w:val="22"/>
        </w:rPr>
        <w:t>.</w:t>
      </w:r>
      <w:r w:rsidR="00936A50">
        <w:rPr>
          <w:rFonts w:ascii="Arial" w:hAnsi="Arial" w:cs="Arial"/>
          <w:sz w:val="22"/>
          <w:szCs w:val="22"/>
        </w:rPr>
        <w:t xml:space="preserve">  </w:t>
      </w:r>
      <w:r w:rsidR="007E533E">
        <w:rPr>
          <w:rFonts w:ascii="Arial" w:hAnsi="Arial" w:cs="Arial"/>
          <w:sz w:val="22"/>
          <w:szCs w:val="22"/>
        </w:rPr>
        <w:t xml:space="preserve">The current burden estimate </w:t>
      </w:r>
      <w:r w:rsidR="00811D39">
        <w:rPr>
          <w:rFonts w:ascii="Arial" w:hAnsi="Arial" w:cs="Arial"/>
          <w:sz w:val="22"/>
          <w:szCs w:val="22"/>
        </w:rPr>
        <w:t xml:space="preserve">of 77,734 hours is based </w:t>
      </w:r>
      <w:r w:rsidR="007E533E">
        <w:rPr>
          <w:rFonts w:ascii="Arial" w:hAnsi="Arial" w:cs="Arial"/>
          <w:sz w:val="22"/>
          <w:szCs w:val="22"/>
        </w:rPr>
        <w:t xml:space="preserve">on </w:t>
      </w:r>
      <w:r w:rsidR="001F0CEA">
        <w:rPr>
          <w:rFonts w:ascii="Arial" w:hAnsi="Arial" w:cs="Arial"/>
          <w:sz w:val="22"/>
          <w:szCs w:val="22"/>
        </w:rPr>
        <w:t xml:space="preserve">89 licensees responding quarterly, due to the permanent cession of operation at </w:t>
      </w:r>
      <w:r w:rsidR="00546C30">
        <w:rPr>
          <w:rFonts w:ascii="Arial" w:hAnsi="Arial" w:cs="Arial"/>
          <w:sz w:val="22"/>
          <w:szCs w:val="22"/>
        </w:rPr>
        <w:t xml:space="preserve">5 plants.  </w:t>
      </w:r>
      <w:r w:rsidRPr="4CBF5F36" w:rsidR="00283FCC">
        <w:rPr>
          <w:rFonts w:ascii="Arial" w:hAnsi="Arial" w:cs="Arial"/>
          <w:sz w:val="22"/>
          <w:szCs w:val="22"/>
        </w:rPr>
        <w:t xml:space="preserve">This burden </w:t>
      </w:r>
      <w:r w:rsidRPr="4CBF5F36" w:rsidR="000D2A53">
        <w:rPr>
          <w:rFonts w:ascii="Arial" w:hAnsi="Arial" w:cs="Arial"/>
          <w:sz w:val="22"/>
          <w:szCs w:val="22"/>
        </w:rPr>
        <w:t>change</w:t>
      </w:r>
      <w:r w:rsidR="00811D39">
        <w:rPr>
          <w:rFonts w:ascii="Arial" w:hAnsi="Arial" w:cs="Arial"/>
          <w:sz w:val="22"/>
          <w:szCs w:val="22"/>
        </w:rPr>
        <w:t xml:space="preserve"> </w:t>
      </w:r>
      <w:r w:rsidRPr="4CBF5F36" w:rsidR="00283FCC">
        <w:rPr>
          <w:rFonts w:ascii="Arial" w:hAnsi="Arial" w:cs="Arial"/>
          <w:sz w:val="22"/>
          <w:szCs w:val="22"/>
        </w:rPr>
        <w:t>include</w:t>
      </w:r>
      <w:r w:rsidR="00811D39">
        <w:rPr>
          <w:rFonts w:ascii="Arial" w:hAnsi="Arial" w:cs="Arial"/>
          <w:sz w:val="22"/>
          <w:szCs w:val="22"/>
        </w:rPr>
        <w:t xml:space="preserve">s an increase </w:t>
      </w:r>
      <w:r w:rsidR="00991B53">
        <w:rPr>
          <w:rFonts w:ascii="Arial" w:hAnsi="Arial" w:cs="Arial"/>
          <w:sz w:val="22"/>
          <w:szCs w:val="22"/>
        </w:rPr>
        <w:t xml:space="preserve">of 15 hours </w:t>
      </w:r>
      <w:r w:rsidR="00811D39">
        <w:rPr>
          <w:rFonts w:ascii="Arial" w:hAnsi="Arial" w:cs="Arial"/>
          <w:sz w:val="22"/>
          <w:szCs w:val="22"/>
        </w:rPr>
        <w:t>in the burden per response from 200 hours to 215 hours.</w:t>
      </w:r>
      <w:r w:rsidRPr="4CBF5F36" w:rsidR="00283FCC">
        <w:rPr>
          <w:rFonts w:ascii="Arial" w:hAnsi="Arial" w:cs="Arial"/>
          <w:sz w:val="22"/>
          <w:szCs w:val="22"/>
        </w:rPr>
        <w:t xml:space="preserve"> </w:t>
      </w:r>
      <w:r w:rsidR="009E31E0">
        <w:rPr>
          <w:rFonts w:ascii="Arial" w:hAnsi="Arial" w:cs="Arial"/>
          <w:sz w:val="22"/>
          <w:szCs w:val="22"/>
        </w:rPr>
        <w:t xml:space="preserve"> </w:t>
      </w:r>
      <w:r w:rsidR="00811D39">
        <w:rPr>
          <w:rFonts w:ascii="Arial" w:hAnsi="Arial" w:cs="Arial"/>
          <w:sz w:val="22"/>
          <w:szCs w:val="22"/>
        </w:rPr>
        <w:t xml:space="preserve">Also, this current burden includes </w:t>
      </w:r>
      <w:r w:rsidRPr="4CBF5F36" w:rsidR="00283FCC">
        <w:rPr>
          <w:rFonts w:ascii="Arial" w:hAnsi="Arial" w:cs="Arial"/>
          <w:sz w:val="22"/>
          <w:szCs w:val="22"/>
        </w:rPr>
        <w:t xml:space="preserve">the added </w:t>
      </w:r>
      <w:r w:rsidR="007A2FB4">
        <w:rPr>
          <w:rFonts w:ascii="Arial" w:hAnsi="Arial" w:cs="Arial"/>
          <w:sz w:val="22"/>
          <w:szCs w:val="22"/>
        </w:rPr>
        <w:t>burden</w:t>
      </w:r>
      <w:r w:rsidRPr="4CBF5F36" w:rsidR="00283FCC">
        <w:rPr>
          <w:rFonts w:ascii="Arial" w:hAnsi="Arial" w:cs="Arial"/>
          <w:sz w:val="22"/>
          <w:szCs w:val="22"/>
        </w:rPr>
        <w:t xml:space="preserve"> of the Performance Indicator </w:t>
      </w:r>
      <w:r w:rsidRPr="4CBF5F36" w:rsidR="00283FCC">
        <w:rPr>
          <w:rFonts w:ascii="Arial" w:hAnsi="Arial" w:cs="Arial"/>
          <w:sz w:val="22"/>
          <w:szCs w:val="22"/>
        </w:rPr>
        <w:lastRenderedPageBreak/>
        <w:t xml:space="preserve">FAQ process.  </w:t>
      </w:r>
      <w:r w:rsidRPr="4CBF5F36" w:rsidR="7110D8C9">
        <w:rPr>
          <w:rFonts w:ascii="Arial" w:hAnsi="Arial" w:cs="Arial"/>
          <w:sz w:val="22"/>
          <w:szCs w:val="22"/>
        </w:rPr>
        <w:t>T</w:t>
      </w:r>
      <w:r w:rsidRPr="4CBF5F36" w:rsidR="00BB6CA8">
        <w:rPr>
          <w:rFonts w:ascii="Arial" w:hAnsi="Arial" w:cs="Arial"/>
          <w:sz w:val="22"/>
          <w:szCs w:val="22"/>
        </w:rPr>
        <w:t xml:space="preserve">he FAQ process added </w:t>
      </w:r>
      <w:r w:rsidRPr="4CBF5F36" w:rsidR="00A757D0">
        <w:rPr>
          <w:rFonts w:ascii="Arial" w:hAnsi="Arial" w:cs="Arial"/>
          <w:sz w:val="22"/>
          <w:szCs w:val="22"/>
        </w:rPr>
        <w:t xml:space="preserve">120 hours per year </w:t>
      </w:r>
      <w:r w:rsidRPr="4CBF5F36" w:rsidR="00833832">
        <w:rPr>
          <w:rFonts w:ascii="Arial" w:hAnsi="Arial" w:cs="Arial"/>
          <w:sz w:val="22"/>
          <w:szCs w:val="22"/>
        </w:rPr>
        <w:t xml:space="preserve">for </w:t>
      </w:r>
      <w:r w:rsidR="00991B53">
        <w:rPr>
          <w:rFonts w:ascii="Arial" w:hAnsi="Arial" w:cs="Arial"/>
          <w:sz w:val="22"/>
          <w:szCs w:val="22"/>
        </w:rPr>
        <w:t xml:space="preserve">an average of </w:t>
      </w:r>
      <w:r w:rsidRPr="4CBF5F36" w:rsidR="00833832">
        <w:rPr>
          <w:rFonts w:ascii="Arial" w:hAnsi="Arial" w:cs="Arial"/>
          <w:sz w:val="22"/>
          <w:szCs w:val="22"/>
        </w:rPr>
        <w:t xml:space="preserve">3 FAQs submitted per year </w:t>
      </w:r>
      <w:r w:rsidRPr="4CBF5F36" w:rsidR="00A757D0">
        <w:rPr>
          <w:rFonts w:ascii="Arial" w:hAnsi="Arial" w:cs="Arial"/>
          <w:sz w:val="22"/>
          <w:szCs w:val="22"/>
        </w:rPr>
        <w:t xml:space="preserve">and </w:t>
      </w:r>
      <w:r w:rsidRPr="4CBF5F36" w:rsidR="00FE71E2">
        <w:rPr>
          <w:rFonts w:ascii="Arial" w:hAnsi="Arial" w:cs="Arial"/>
          <w:sz w:val="22"/>
          <w:szCs w:val="22"/>
        </w:rPr>
        <w:t xml:space="preserve">24 hours for FAQ recordkeeping process.  </w:t>
      </w:r>
    </w:p>
    <w:p w:rsidRPr="001F207E" w:rsidR="008D04A6" w:rsidP="00382D7E" w:rsidRDefault="008D04A6" w14:paraId="1B6C2E62" w14:textId="77777777">
      <w:pPr>
        <w:widowControl w:val="0"/>
        <w:ind w:left="360"/>
        <w:rPr>
          <w:rFonts w:ascii="Arial" w:hAnsi="Arial" w:cs="Arial"/>
          <w:sz w:val="22"/>
          <w:szCs w:val="22"/>
        </w:rPr>
      </w:pPr>
    </w:p>
    <w:p w:rsidR="00F51B2A" w:rsidP="00382D7E" w:rsidRDefault="00DA3B68" w14:paraId="207757F1" w14:textId="77777777">
      <w:pPr>
        <w:widowControl w:val="0"/>
        <w:ind w:left="360"/>
        <w:rPr>
          <w:rFonts w:ascii="Arial" w:hAnsi="Arial" w:cs="Arial"/>
          <w:sz w:val="22"/>
          <w:szCs w:val="22"/>
        </w:rPr>
      </w:pPr>
      <w:r w:rsidRPr="001F207E">
        <w:rPr>
          <w:rFonts w:ascii="Arial" w:hAnsi="Arial" w:cs="Arial"/>
          <w:sz w:val="22"/>
          <w:szCs w:val="22"/>
        </w:rPr>
        <w:t xml:space="preserve">In addition, the hourly cost has </w:t>
      </w:r>
      <w:r w:rsidR="003D0D55">
        <w:rPr>
          <w:rFonts w:ascii="Arial" w:hAnsi="Arial" w:cs="Arial"/>
          <w:sz w:val="22"/>
          <w:szCs w:val="22"/>
        </w:rPr>
        <w:t>increased</w:t>
      </w:r>
      <w:r w:rsidRPr="001F207E" w:rsidR="003D0D55">
        <w:rPr>
          <w:rFonts w:ascii="Arial" w:hAnsi="Arial" w:cs="Arial"/>
          <w:sz w:val="22"/>
          <w:szCs w:val="22"/>
        </w:rPr>
        <w:t xml:space="preserve"> </w:t>
      </w:r>
      <w:r w:rsidRPr="001F207E">
        <w:rPr>
          <w:rFonts w:ascii="Arial" w:hAnsi="Arial" w:cs="Arial"/>
          <w:sz w:val="22"/>
          <w:szCs w:val="22"/>
        </w:rPr>
        <w:t>from $2</w:t>
      </w:r>
      <w:r w:rsidRPr="001F207E" w:rsidR="0028571C">
        <w:rPr>
          <w:rFonts w:ascii="Arial" w:hAnsi="Arial" w:cs="Arial"/>
          <w:sz w:val="22"/>
          <w:szCs w:val="22"/>
        </w:rPr>
        <w:t>63</w:t>
      </w:r>
      <w:r w:rsidRPr="001F207E">
        <w:rPr>
          <w:rFonts w:ascii="Arial" w:hAnsi="Arial" w:cs="Arial"/>
          <w:sz w:val="22"/>
          <w:szCs w:val="22"/>
        </w:rPr>
        <w:t>/hr</w:t>
      </w:r>
      <w:r w:rsidRPr="001F207E" w:rsidR="0029552C">
        <w:rPr>
          <w:rFonts w:ascii="Arial" w:hAnsi="Arial" w:cs="Arial"/>
          <w:sz w:val="22"/>
          <w:szCs w:val="22"/>
        </w:rPr>
        <w:t xml:space="preserve"> to $2</w:t>
      </w:r>
      <w:r w:rsidRPr="001F207E" w:rsidR="0028571C">
        <w:rPr>
          <w:rFonts w:ascii="Arial" w:hAnsi="Arial" w:cs="Arial"/>
          <w:sz w:val="22"/>
          <w:szCs w:val="22"/>
        </w:rPr>
        <w:t>79</w:t>
      </w:r>
      <w:r w:rsidRPr="001F207E" w:rsidR="00175145">
        <w:rPr>
          <w:rFonts w:ascii="Arial" w:hAnsi="Arial" w:cs="Arial"/>
          <w:sz w:val="22"/>
          <w:szCs w:val="22"/>
        </w:rPr>
        <w:t>/hr</w:t>
      </w:r>
      <w:r w:rsidRPr="001F207E">
        <w:rPr>
          <w:rFonts w:ascii="Arial" w:hAnsi="Arial" w:cs="Arial"/>
          <w:sz w:val="22"/>
          <w:szCs w:val="22"/>
        </w:rPr>
        <w:t>.</w:t>
      </w:r>
      <w:r w:rsidR="009E31E0">
        <w:rPr>
          <w:rFonts w:ascii="Arial" w:hAnsi="Arial" w:cs="Arial"/>
          <w:sz w:val="22"/>
          <w:szCs w:val="22"/>
        </w:rPr>
        <w:t xml:space="preserve">  </w:t>
      </w:r>
    </w:p>
    <w:p w:rsidRPr="001F207E" w:rsidR="00DA3B68" w:rsidP="00382D7E" w:rsidRDefault="00DA3B68" w14:paraId="309FB668" w14:textId="6CF5C438">
      <w:pPr>
        <w:widowControl w:val="0"/>
        <w:ind w:left="360"/>
        <w:rPr>
          <w:rFonts w:ascii="Arial" w:hAnsi="Arial" w:cs="Arial"/>
          <w:sz w:val="22"/>
          <w:szCs w:val="22"/>
        </w:rPr>
      </w:pPr>
    </w:p>
    <w:p w:rsidRPr="001F207E" w:rsidR="00431598" w:rsidP="00C203C7" w:rsidRDefault="00431598" w14:paraId="7A258DD8" w14:textId="77777777">
      <w:pPr>
        <w:widowControl w:val="0"/>
        <w:rPr>
          <w:rFonts w:ascii="Arial" w:hAnsi="Arial" w:cs="Arial"/>
          <w:sz w:val="22"/>
          <w:szCs w:val="22"/>
        </w:rPr>
      </w:pPr>
    </w:p>
    <w:p w:rsidRPr="001F207E" w:rsidR="00431598" w:rsidP="00382D7E" w:rsidRDefault="00431598" w14:paraId="0DBF7E0D" w14:textId="77777777">
      <w:pPr>
        <w:widowControl w:val="0"/>
        <w:ind w:left="360" w:hanging="360"/>
        <w:rPr>
          <w:rFonts w:ascii="Arial" w:hAnsi="Arial" w:cs="Arial"/>
          <w:sz w:val="22"/>
          <w:szCs w:val="22"/>
        </w:rPr>
      </w:pPr>
      <w:r w:rsidRPr="001F207E">
        <w:rPr>
          <w:rFonts w:ascii="Arial" w:hAnsi="Arial" w:cs="Arial"/>
          <w:sz w:val="22"/>
          <w:szCs w:val="22"/>
        </w:rPr>
        <w:t>16.</w:t>
      </w:r>
      <w:r w:rsidRPr="001F207E">
        <w:rPr>
          <w:rFonts w:ascii="Arial" w:hAnsi="Arial" w:cs="Arial"/>
          <w:sz w:val="22"/>
          <w:szCs w:val="22"/>
        </w:rPr>
        <w:tab/>
      </w:r>
      <w:r w:rsidRPr="001F207E">
        <w:rPr>
          <w:rFonts w:ascii="Arial" w:hAnsi="Arial" w:cs="Arial"/>
          <w:sz w:val="22"/>
          <w:szCs w:val="22"/>
          <w:u w:val="single"/>
        </w:rPr>
        <w:t>Publication for Statistical Use</w:t>
      </w:r>
    </w:p>
    <w:p w:rsidRPr="001F207E" w:rsidR="00431598" w:rsidRDefault="00431598" w14:paraId="06535F77" w14:textId="77777777">
      <w:pPr>
        <w:widowControl w:val="0"/>
        <w:rPr>
          <w:rFonts w:ascii="Arial" w:hAnsi="Arial" w:cs="Arial"/>
          <w:sz w:val="22"/>
          <w:szCs w:val="22"/>
        </w:rPr>
      </w:pPr>
    </w:p>
    <w:p w:rsidRPr="001F207E" w:rsidR="00431598" w:rsidP="00834AE8" w:rsidRDefault="009826F2" w14:paraId="4782082F" w14:textId="5313ACA7">
      <w:pPr>
        <w:widowControl w:val="0"/>
        <w:tabs>
          <w:tab w:val="left" w:pos="360"/>
        </w:tabs>
        <w:ind w:left="360"/>
        <w:rPr>
          <w:rFonts w:ascii="Arial" w:hAnsi="Arial" w:cs="Arial"/>
          <w:sz w:val="22"/>
          <w:szCs w:val="22"/>
        </w:rPr>
      </w:pPr>
      <w:r>
        <w:rPr>
          <w:rFonts w:ascii="Arial" w:hAnsi="Arial" w:cs="Arial"/>
          <w:sz w:val="22"/>
          <w:szCs w:val="22"/>
        </w:rPr>
        <w:t xml:space="preserve">The agency has developed </w:t>
      </w:r>
      <w:r w:rsidR="0014280B">
        <w:rPr>
          <w:rFonts w:ascii="Arial" w:hAnsi="Arial" w:cs="Arial"/>
          <w:sz w:val="22"/>
          <w:szCs w:val="22"/>
        </w:rPr>
        <w:t xml:space="preserve">a dashboard </w:t>
      </w:r>
      <w:r w:rsidR="00C901E0">
        <w:rPr>
          <w:rFonts w:ascii="Arial" w:hAnsi="Arial" w:cs="Arial"/>
          <w:sz w:val="22"/>
          <w:szCs w:val="22"/>
        </w:rPr>
        <w:t xml:space="preserve">to display ROP data </w:t>
      </w:r>
      <w:r w:rsidR="002D7D59">
        <w:rPr>
          <w:rFonts w:ascii="Arial" w:hAnsi="Arial" w:cs="Arial"/>
          <w:sz w:val="22"/>
          <w:szCs w:val="22"/>
        </w:rPr>
        <w:t xml:space="preserve">on the NRC’s public website </w:t>
      </w:r>
      <w:r w:rsidR="00C901E0">
        <w:rPr>
          <w:rFonts w:ascii="Arial" w:hAnsi="Arial" w:cs="Arial"/>
          <w:sz w:val="22"/>
          <w:szCs w:val="22"/>
        </w:rPr>
        <w:t>in a manner that is far more easily navigated by members of the public</w:t>
      </w:r>
      <w:r w:rsidR="002D7D59">
        <w:rPr>
          <w:rFonts w:ascii="Arial" w:hAnsi="Arial" w:cs="Arial"/>
          <w:sz w:val="22"/>
          <w:szCs w:val="22"/>
        </w:rPr>
        <w:t xml:space="preserve"> than the current display of information</w:t>
      </w:r>
      <w:r w:rsidR="00C901E0">
        <w:rPr>
          <w:rFonts w:ascii="Arial" w:hAnsi="Arial" w:cs="Arial"/>
          <w:sz w:val="22"/>
          <w:szCs w:val="22"/>
        </w:rPr>
        <w:t>.</w:t>
      </w:r>
      <w:r w:rsidR="00B14E2D">
        <w:rPr>
          <w:rFonts w:ascii="Arial" w:hAnsi="Arial" w:cs="Arial"/>
          <w:sz w:val="22"/>
          <w:szCs w:val="22"/>
        </w:rPr>
        <w:t xml:space="preserve">  This dashboard is currently in beta testing but will be available on the NRC’s public website during the </w:t>
      </w:r>
      <w:r w:rsidR="002D7D59">
        <w:rPr>
          <w:rFonts w:ascii="Arial" w:hAnsi="Arial" w:cs="Arial"/>
          <w:sz w:val="22"/>
          <w:szCs w:val="22"/>
        </w:rPr>
        <w:t>time period of this clearance extension.</w:t>
      </w:r>
      <w:r w:rsidR="00761FFE">
        <w:rPr>
          <w:rFonts w:ascii="Arial" w:hAnsi="Arial" w:cs="Arial"/>
          <w:sz w:val="22"/>
          <w:szCs w:val="22"/>
        </w:rPr>
        <w:t xml:space="preserve">  The dashboard will</w:t>
      </w:r>
      <w:r w:rsidR="0041628D">
        <w:rPr>
          <w:rFonts w:ascii="Arial" w:hAnsi="Arial" w:cs="Arial"/>
          <w:sz w:val="22"/>
          <w:szCs w:val="22"/>
        </w:rPr>
        <w:t xml:space="preserve"> use already available data and will not require the collection of any additional information.</w:t>
      </w:r>
    </w:p>
    <w:p w:rsidR="00431598" w:rsidRDefault="00431598" w14:paraId="6280D681" w14:textId="39960F46">
      <w:pPr>
        <w:widowControl w:val="0"/>
        <w:rPr>
          <w:rFonts w:ascii="Arial" w:hAnsi="Arial" w:cs="Arial"/>
          <w:sz w:val="22"/>
          <w:szCs w:val="22"/>
        </w:rPr>
      </w:pPr>
    </w:p>
    <w:p w:rsidRPr="00C87D02" w:rsidR="00C87D02" w:rsidP="00834AE8" w:rsidRDefault="00C87D02" w14:paraId="3E8E0DC5" w14:textId="32CCC672">
      <w:pPr>
        <w:ind w:left="360"/>
        <w:rPr>
          <w:rFonts w:ascii="Arial" w:hAnsi="Arial" w:cs="Arial"/>
          <w:sz w:val="22"/>
          <w:szCs w:val="22"/>
        </w:rPr>
      </w:pPr>
      <w:r w:rsidRPr="00C87D02">
        <w:rPr>
          <w:rFonts w:ascii="Arial" w:hAnsi="Arial" w:cs="Arial"/>
          <w:sz w:val="22"/>
          <w:szCs w:val="22"/>
        </w:rPr>
        <w:t xml:space="preserve">As part of the agency's Open Government Plan, high-value datasets have been identified for public review at </w:t>
      </w:r>
      <w:hyperlink w:tooltip="https://www.nrc.gov/data" w:history="1" r:id="rId12">
        <w:r w:rsidRPr="00C87D02">
          <w:rPr>
            <w:rStyle w:val="Hyperlink"/>
            <w:rFonts w:ascii="Arial" w:hAnsi="Arial" w:cs="Arial"/>
            <w:sz w:val="22"/>
            <w:szCs w:val="22"/>
          </w:rPr>
          <w:t>https://www.nrc.gov/data</w:t>
        </w:r>
      </w:hyperlink>
      <w:r w:rsidRPr="00C87D02">
        <w:rPr>
          <w:rFonts w:ascii="Arial" w:hAnsi="Arial" w:cs="Arial"/>
          <w:sz w:val="22"/>
          <w:szCs w:val="22"/>
        </w:rPr>
        <w:t xml:space="preserve"> and the wider </w:t>
      </w:r>
      <w:hyperlink w:tooltip="https://www.data.gov" w:history="1" r:id="rId13">
        <w:r w:rsidRPr="00C87D02">
          <w:rPr>
            <w:rStyle w:val="Hyperlink"/>
            <w:rFonts w:ascii="Arial" w:hAnsi="Arial" w:cs="Arial"/>
            <w:sz w:val="22"/>
            <w:szCs w:val="22"/>
          </w:rPr>
          <w:t>https://www.data.gov</w:t>
        </w:r>
      </w:hyperlink>
      <w:r w:rsidRPr="00C87D02">
        <w:rPr>
          <w:rFonts w:ascii="Arial" w:hAnsi="Arial" w:cs="Arial"/>
          <w:sz w:val="22"/>
          <w:szCs w:val="22"/>
        </w:rPr>
        <w:t>.  Operating reactor performance indicators are one such dataset.  The raw performance indicator data submitted quarterly is shared to these resources under the Open Government Plan.  This effort only uses already collected performance indicator information and does not involve any additional information collection related to performance indicators.</w:t>
      </w:r>
    </w:p>
    <w:p w:rsidRPr="001F207E" w:rsidR="00C87D02" w:rsidRDefault="00C87D02" w14:paraId="2A115E55" w14:textId="77777777">
      <w:pPr>
        <w:widowControl w:val="0"/>
        <w:rPr>
          <w:rFonts w:ascii="Arial" w:hAnsi="Arial" w:cs="Arial"/>
          <w:sz w:val="22"/>
          <w:szCs w:val="22"/>
        </w:rPr>
      </w:pPr>
    </w:p>
    <w:p w:rsidRPr="001F207E" w:rsidR="00431598" w:rsidP="00FC6895" w:rsidRDefault="00431598" w14:paraId="03B1EE21" w14:textId="77777777">
      <w:pPr>
        <w:widowControl w:val="0"/>
        <w:ind w:left="360" w:hanging="360"/>
        <w:rPr>
          <w:rFonts w:ascii="Arial" w:hAnsi="Arial" w:cs="Arial"/>
          <w:sz w:val="22"/>
          <w:szCs w:val="22"/>
        </w:rPr>
      </w:pPr>
      <w:r w:rsidRPr="001F207E">
        <w:rPr>
          <w:rFonts w:ascii="Arial" w:hAnsi="Arial" w:cs="Arial"/>
          <w:sz w:val="22"/>
          <w:szCs w:val="22"/>
        </w:rPr>
        <w:t>17.</w:t>
      </w:r>
      <w:r w:rsidRPr="001F207E">
        <w:rPr>
          <w:rFonts w:ascii="Arial" w:hAnsi="Arial" w:cs="Arial"/>
          <w:sz w:val="22"/>
          <w:szCs w:val="22"/>
        </w:rPr>
        <w:tab/>
      </w:r>
      <w:r w:rsidRPr="001F207E">
        <w:rPr>
          <w:rFonts w:ascii="Arial" w:hAnsi="Arial" w:cs="Arial"/>
          <w:sz w:val="22"/>
          <w:szCs w:val="22"/>
          <w:u w:val="single"/>
        </w:rPr>
        <w:t>Reason for Not Displaying the Expiration Date</w:t>
      </w:r>
    </w:p>
    <w:p w:rsidRPr="001F207E" w:rsidR="00431598" w:rsidRDefault="00431598" w14:paraId="5C09249B" w14:textId="77777777">
      <w:pPr>
        <w:widowControl w:val="0"/>
        <w:rPr>
          <w:rFonts w:ascii="Arial" w:hAnsi="Arial" w:cs="Arial"/>
          <w:sz w:val="22"/>
          <w:szCs w:val="22"/>
        </w:rPr>
      </w:pPr>
    </w:p>
    <w:p w:rsidRPr="001F207E" w:rsidR="00431598" w:rsidP="00FC6895" w:rsidRDefault="00431598" w14:paraId="65CE261F" w14:textId="77777777">
      <w:pPr>
        <w:widowControl w:val="0"/>
        <w:tabs>
          <w:tab w:val="left" w:pos="360"/>
        </w:tabs>
        <w:rPr>
          <w:rFonts w:ascii="Arial" w:hAnsi="Arial" w:cs="Arial"/>
          <w:sz w:val="22"/>
          <w:szCs w:val="22"/>
        </w:rPr>
      </w:pPr>
      <w:r w:rsidRPr="001F207E">
        <w:rPr>
          <w:rFonts w:ascii="Arial" w:hAnsi="Arial" w:cs="Arial"/>
          <w:sz w:val="22"/>
          <w:szCs w:val="22"/>
        </w:rPr>
        <w:tab/>
        <w:t>The expiration date will be displayed.</w:t>
      </w:r>
    </w:p>
    <w:p w:rsidRPr="001F207E" w:rsidR="00431598" w:rsidRDefault="00431598" w14:paraId="30996EF8" w14:textId="77777777">
      <w:pPr>
        <w:widowControl w:val="0"/>
        <w:rPr>
          <w:rFonts w:ascii="Arial" w:hAnsi="Arial" w:cs="Arial"/>
          <w:sz w:val="22"/>
          <w:szCs w:val="22"/>
        </w:rPr>
      </w:pPr>
    </w:p>
    <w:p w:rsidRPr="001F207E" w:rsidR="00431598" w:rsidP="00FC6895" w:rsidRDefault="00431598" w14:paraId="0942F5AA" w14:textId="77777777">
      <w:pPr>
        <w:widowControl w:val="0"/>
        <w:ind w:left="360" w:hanging="360"/>
        <w:rPr>
          <w:rFonts w:ascii="Arial" w:hAnsi="Arial" w:cs="Arial"/>
          <w:sz w:val="22"/>
          <w:szCs w:val="22"/>
        </w:rPr>
      </w:pPr>
      <w:r w:rsidRPr="001F207E">
        <w:rPr>
          <w:rFonts w:ascii="Arial" w:hAnsi="Arial" w:cs="Arial"/>
          <w:sz w:val="22"/>
          <w:szCs w:val="22"/>
        </w:rPr>
        <w:t>18.</w:t>
      </w:r>
      <w:r w:rsidRPr="001F207E">
        <w:rPr>
          <w:rFonts w:ascii="Arial" w:hAnsi="Arial" w:cs="Arial"/>
          <w:sz w:val="22"/>
          <w:szCs w:val="22"/>
        </w:rPr>
        <w:tab/>
      </w:r>
      <w:r w:rsidRPr="001F207E">
        <w:rPr>
          <w:rFonts w:ascii="Arial" w:hAnsi="Arial" w:cs="Arial"/>
          <w:sz w:val="22"/>
          <w:szCs w:val="22"/>
          <w:u w:val="single"/>
        </w:rPr>
        <w:t>Exceptions to the Certification Statement</w:t>
      </w:r>
    </w:p>
    <w:p w:rsidRPr="001F207E" w:rsidR="00431598" w:rsidRDefault="00431598" w14:paraId="68D73EDE" w14:textId="77777777">
      <w:pPr>
        <w:widowControl w:val="0"/>
        <w:rPr>
          <w:rFonts w:ascii="Arial" w:hAnsi="Arial" w:cs="Arial"/>
          <w:sz w:val="22"/>
          <w:szCs w:val="22"/>
        </w:rPr>
      </w:pPr>
    </w:p>
    <w:p w:rsidRPr="001F207E" w:rsidR="00431598" w:rsidP="00FC6895" w:rsidRDefault="00431598" w14:paraId="2493A8C3" w14:textId="77777777">
      <w:pPr>
        <w:widowControl w:val="0"/>
        <w:tabs>
          <w:tab w:val="left" w:pos="360"/>
        </w:tabs>
        <w:rPr>
          <w:rFonts w:ascii="Arial" w:hAnsi="Arial" w:cs="Arial"/>
          <w:sz w:val="22"/>
          <w:szCs w:val="22"/>
        </w:rPr>
      </w:pPr>
      <w:r w:rsidRPr="001F207E">
        <w:rPr>
          <w:rFonts w:ascii="Arial" w:hAnsi="Arial" w:cs="Arial"/>
          <w:sz w:val="22"/>
          <w:szCs w:val="22"/>
        </w:rPr>
        <w:tab/>
        <w:t>Not applicable.</w:t>
      </w:r>
    </w:p>
    <w:p w:rsidRPr="001F207E" w:rsidR="00431598" w:rsidRDefault="00431598" w14:paraId="4FBDF9B6" w14:textId="77777777">
      <w:pPr>
        <w:widowControl w:val="0"/>
        <w:rPr>
          <w:rFonts w:ascii="Arial" w:hAnsi="Arial" w:cs="Arial"/>
          <w:sz w:val="22"/>
          <w:szCs w:val="22"/>
        </w:rPr>
      </w:pPr>
    </w:p>
    <w:p w:rsidRPr="001F207E" w:rsidR="00431598" w:rsidP="00FC6895" w:rsidRDefault="00431598" w14:paraId="46218FC9" w14:textId="77777777">
      <w:pPr>
        <w:pStyle w:val="Level1"/>
        <w:numPr>
          <w:ilvl w:val="0"/>
          <w:numId w:val="12"/>
        </w:numPr>
        <w:ind w:left="360" w:hanging="360"/>
        <w:rPr>
          <w:rFonts w:ascii="Arial" w:hAnsi="Arial" w:cs="Arial"/>
          <w:sz w:val="22"/>
          <w:szCs w:val="22"/>
        </w:rPr>
      </w:pPr>
      <w:r w:rsidRPr="001F207E">
        <w:rPr>
          <w:rFonts w:ascii="Arial" w:hAnsi="Arial" w:cs="Arial"/>
          <w:sz w:val="22"/>
          <w:szCs w:val="22"/>
        </w:rPr>
        <w:tab/>
        <w:t xml:space="preserve">COLLECTIONS OF INFORMATION EMPLOYING STATISTICAL METHODS </w:t>
      </w:r>
    </w:p>
    <w:p w:rsidRPr="001F207E" w:rsidR="00431598" w:rsidRDefault="00431598" w14:paraId="1095F59A" w14:textId="77777777">
      <w:pPr>
        <w:widowControl w:val="0"/>
        <w:rPr>
          <w:rFonts w:ascii="Arial" w:hAnsi="Arial" w:cs="Arial"/>
          <w:sz w:val="22"/>
          <w:szCs w:val="22"/>
        </w:rPr>
      </w:pPr>
    </w:p>
    <w:p w:rsidRPr="001F207E" w:rsidR="00431598" w:rsidP="00FC6895" w:rsidRDefault="00431598" w14:paraId="63FBD7C8" w14:textId="77777777">
      <w:pPr>
        <w:widowControl w:val="0"/>
        <w:tabs>
          <w:tab w:val="left" w:pos="360"/>
        </w:tabs>
        <w:rPr>
          <w:rFonts w:ascii="Arial" w:hAnsi="Arial" w:cs="Arial"/>
          <w:sz w:val="22"/>
          <w:szCs w:val="22"/>
        </w:rPr>
      </w:pPr>
      <w:r w:rsidRPr="001F207E">
        <w:rPr>
          <w:rFonts w:ascii="Arial" w:hAnsi="Arial" w:cs="Arial"/>
          <w:sz w:val="22"/>
          <w:szCs w:val="22"/>
        </w:rPr>
        <w:tab/>
        <w:t xml:space="preserve">Not applicable.  </w:t>
      </w:r>
      <w:r w:rsidRPr="001F207E">
        <w:rPr>
          <w:rFonts w:ascii="Arial" w:hAnsi="Arial" w:cs="Arial"/>
          <w:sz w:val="22"/>
          <w:szCs w:val="22"/>
        </w:rPr>
        <w:br w:type="page"/>
      </w:r>
    </w:p>
    <w:p w:rsidRPr="001F207E" w:rsidR="00431598" w:rsidP="00397531" w:rsidRDefault="00431598" w14:paraId="4F91EE65" w14:textId="77777777">
      <w:pPr>
        <w:widowControl w:val="0"/>
        <w:jc w:val="center"/>
        <w:rPr>
          <w:rFonts w:ascii="Arial" w:hAnsi="Arial" w:cs="Arial"/>
          <w:sz w:val="22"/>
          <w:szCs w:val="22"/>
        </w:rPr>
      </w:pPr>
      <w:r w:rsidRPr="001F207E">
        <w:rPr>
          <w:rFonts w:ascii="Arial" w:hAnsi="Arial" w:cs="Arial"/>
          <w:sz w:val="22"/>
          <w:szCs w:val="22"/>
        </w:rPr>
        <w:lastRenderedPageBreak/>
        <w:t>TABLE 1</w:t>
      </w:r>
    </w:p>
    <w:p w:rsidRPr="001F207E" w:rsidR="00431598" w:rsidP="00397531" w:rsidRDefault="00431598" w14:paraId="2C737142" w14:textId="77777777">
      <w:pPr>
        <w:widowControl w:val="0"/>
        <w:jc w:val="center"/>
        <w:rPr>
          <w:rFonts w:ascii="Arial" w:hAnsi="Arial" w:cs="Arial"/>
          <w:sz w:val="22"/>
          <w:szCs w:val="22"/>
        </w:rPr>
      </w:pPr>
      <w:r w:rsidRPr="001F207E">
        <w:rPr>
          <w:rFonts w:ascii="Arial" w:hAnsi="Arial" w:cs="Arial"/>
          <w:sz w:val="22"/>
          <w:szCs w:val="22"/>
        </w:rPr>
        <w:t>Annual Reporting Burden</w:t>
      </w:r>
    </w:p>
    <w:p w:rsidRPr="001F207E" w:rsidR="00431598" w:rsidP="00397531" w:rsidRDefault="00431598" w14:paraId="63CCBF46" w14:textId="77777777">
      <w:pPr>
        <w:widowControl w:val="0"/>
        <w:jc w:val="center"/>
        <w:rPr>
          <w:rFonts w:ascii="Arial" w:hAnsi="Arial" w:cs="Arial"/>
          <w:sz w:val="22"/>
          <w:szCs w:val="22"/>
        </w:rPr>
      </w:pPr>
    </w:p>
    <w:tbl>
      <w:tblPr>
        <w:tblW w:w="0" w:type="auto"/>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01" w:type="dxa"/>
          <w:right w:w="101" w:type="dxa"/>
        </w:tblCellMar>
        <w:tblLook w:val="0000" w:firstRow="0" w:lastRow="0" w:firstColumn="0" w:lastColumn="0" w:noHBand="0" w:noVBand="0"/>
      </w:tblPr>
      <w:tblGrid>
        <w:gridCol w:w="1260"/>
        <w:gridCol w:w="1620"/>
        <w:gridCol w:w="1440"/>
        <w:gridCol w:w="1350"/>
        <w:gridCol w:w="1260"/>
        <w:gridCol w:w="990"/>
        <w:gridCol w:w="1530"/>
      </w:tblGrid>
      <w:tr w:rsidRPr="001F207E" w:rsidR="00431598" w:rsidTr="00C64516" w14:paraId="33FF1BBD" w14:textId="77777777">
        <w:trPr>
          <w:cantSplit/>
        </w:trPr>
        <w:tc>
          <w:tcPr>
            <w:tcW w:w="1260" w:type="dxa"/>
            <w:tcMar>
              <w:top w:w="120" w:type="dxa"/>
              <w:left w:w="120" w:type="dxa"/>
              <w:bottom w:w="58" w:type="dxa"/>
              <w:right w:w="120" w:type="dxa"/>
            </w:tcMar>
          </w:tcPr>
          <w:p w:rsidRPr="001F207E" w:rsidR="00431598" w:rsidP="0043285A" w:rsidRDefault="00431598" w14:paraId="40D2D984" w14:textId="77777777">
            <w:pPr>
              <w:widowControl w:val="0"/>
              <w:rPr>
                <w:rFonts w:ascii="Arial" w:hAnsi="Arial" w:cs="Arial"/>
                <w:sz w:val="22"/>
                <w:szCs w:val="22"/>
              </w:rPr>
            </w:pPr>
          </w:p>
        </w:tc>
        <w:tc>
          <w:tcPr>
            <w:tcW w:w="1620" w:type="dxa"/>
            <w:tcMar>
              <w:top w:w="120" w:type="dxa"/>
              <w:left w:w="120" w:type="dxa"/>
              <w:bottom w:w="58" w:type="dxa"/>
              <w:right w:w="120" w:type="dxa"/>
            </w:tcMar>
          </w:tcPr>
          <w:p w:rsidRPr="001F207E" w:rsidR="00431598" w:rsidP="00744EBC" w:rsidRDefault="00431598" w14:paraId="73EF64CE" w14:textId="77777777">
            <w:pPr>
              <w:widowControl w:val="0"/>
              <w:rPr>
                <w:rFonts w:ascii="Arial" w:hAnsi="Arial" w:cs="Arial"/>
                <w:sz w:val="22"/>
                <w:szCs w:val="22"/>
              </w:rPr>
            </w:pPr>
            <w:r w:rsidRPr="001F207E">
              <w:rPr>
                <w:rFonts w:ascii="Arial" w:hAnsi="Arial" w:cs="Arial"/>
                <w:sz w:val="22"/>
                <w:szCs w:val="22"/>
              </w:rPr>
              <w:t>Number of Respondents</w:t>
            </w:r>
          </w:p>
        </w:tc>
        <w:tc>
          <w:tcPr>
            <w:tcW w:w="1440" w:type="dxa"/>
            <w:tcMar>
              <w:top w:w="120" w:type="dxa"/>
              <w:left w:w="120" w:type="dxa"/>
              <w:bottom w:w="58" w:type="dxa"/>
              <w:right w:w="120" w:type="dxa"/>
            </w:tcMar>
          </w:tcPr>
          <w:p w:rsidRPr="001F207E" w:rsidR="00431598" w:rsidP="00C64516" w:rsidRDefault="00431598" w14:paraId="41FB3A75" w14:textId="77777777">
            <w:pPr>
              <w:widowControl w:val="0"/>
              <w:rPr>
                <w:rFonts w:ascii="Arial" w:hAnsi="Arial" w:cs="Arial"/>
                <w:sz w:val="22"/>
                <w:szCs w:val="22"/>
              </w:rPr>
            </w:pPr>
            <w:r w:rsidRPr="001F207E">
              <w:rPr>
                <w:rFonts w:ascii="Arial" w:hAnsi="Arial" w:cs="Arial"/>
                <w:sz w:val="22"/>
                <w:szCs w:val="22"/>
              </w:rPr>
              <w:t>Responses per Respondent</w:t>
            </w:r>
          </w:p>
        </w:tc>
        <w:tc>
          <w:tcPr>
            <w:tcW w:w="1350" w:type="dxa"/>
            <w:tcMar>
              <w:top w:w="120" w:type="dxa"/>
              <w:left w:w="120" w:type="dxa"/>
              <w:bottom w:w="58" w:type="dxa"/>
              <w:right w:w="120" w:type="dxa"/>
            </w:tcMar>
          </w:tcPr>
          <w:p w:rsidRPr="001F207E" w:rsidR="00431598" w:rsidP="0043285A" w:rsidRDefault="00431598" w14:paraId="5DFE6BA6" w14:textId="77777777">
            <w:pPr>
              <w:widowControl w:val="0"/>
              <w:rPr>
                <w:rFonts w:ascii="Arial" w:hAnsi="Arial" w:cs="Arial"/>
                <w:sz w:val="22"/>
                <w:szCs w:val="22"/>
              </w:rPr>
            </w:pPr>
            <w:r w:rsidRPr="001F207E">
              <w:rPr>
                <w:rFonts w:ascii="Arial" w:hAnsi="Arial" w:cs="Arial"/>
                <w:sz w:val="22"/>
                <w:szCs w:val="22"/>
              </w:rPr>
              <w:t>Total Responses</w:t>
            </w:r>
          </w:p>
        </w:tc>
        <w:tc>
          <w:tcPr>
            <w:tcW w:w="1260" w:type="dxa"/>
            <w:tcMar>
              <w:top w:w="120" w:type="dxa"/>
              <w:left w:w="120" w:type="dxa"/>
              <w:bottom w:w="58" w:type="dxa"/>
              <w:right w:w="120" w:type="dxa"/>
            </w:tcMar>
          </w:tcPr>
          <w:p w:rsidRPr="001F207E" w:rsidR="00431598" w:rsidP="0043285A" w:rsidRDefault="00431598" w14:paraId="0474B4A5" w14:textId="77777777">
            <w:pPr>
              <w:widowControl w:val="0"/>
              <w:rPr>
                <w:rFonts w:ascii="Arial" w:hAnsi="Arial" w:cs="Arial"/>
                <w:sz w:val="22"/>
                <w:szCs w:val="22"/>
              </w:rPr>
            </w:pPr>
            <w:r w:rsidRPr="001F207E">
              <w:rPr>
                <w:rFonts w:ascii="Arial" w:hAnsi="Arial" w:cs="Arial"/>
                <w:sz w:val="22"/>
                <w:szCs w:val="22"/>
              </w:rPr>
              <w:t>Burden per Response</w:t>
            </w:r>
          </w:p>
        </w:tc>
        <w:tc>
          <w:tcPr>
            <w:tcW w:w="990" w:type="dxa"/>
            <w:tcMar>
              <w:top w:w="120" w:type="dxa"/>
              <w:left w:w="120" w:type="dxa"/>
              <w:bottom w:w="58" w:type="dxa"/>
              <w:right w:w="120" w:type="dxa"/>
            </w:tcMar>
          </w:tcPr>
          <w:p w:rsidRPr="001F207E" w:rsidR="00431598" w:rsidP="0043285A" w:rsidRDefault="00431598" w14:paraId="0C42E2A7" w14:textId="77777777">
            <w:pPr>
              <w:widowControl w:val="0"/>
              <w:rPr>
                <w:rFonts w:ascii="Arial" w:hAnsi="Arial" w:cs="Arial"/>
                <w:sz w:val="22"/>
                <w:szCs w:val="22"/>
              </w:rPr>
            </w:pPr>
            <w:r w:rsidRPr="001F207E">
              <w:rPr>
                <w:rFonts w:ascii="Arial" w:hAnsi="Arial" w:cs="Arial"/>
                <w:sz w:val="22"/>
                <w:szCs w:val="22"/>
              </w:rPr>
              <w:t>Total Annual Burden Hours</w:t>
            </w:r>
          </w:p>
        </w:tc>
        <w:tc>
          <w:tcPr>
            <w:tcW w:w="1530" w:type="dxa"/>
            <w:tcMar>
              <w:top w:w="120" w:type="dxa"/>
              <w:left w:w="120" w:type="dxa"/>
              <w:bottom w:w="58" w:type="dxa"/>
              <w:right w:w="120" w:type="dxa"/>
            </w:tcMar>
          </w:tcPr>
          <w:p w:rsidRPr="001F207E" w:rsidR="00431598" w:rsidP="00750F66" w:rsidRDefault="00431598" w14:paraId="7CFDE9CB" w14:textId="13EEE909">
            <w:pPr>
              <w:widowControl w:val="0"/>
              <w:rPr>
                <w:rFonts w:ascii="Arial" w:hAnsi="Arial" w:cs="Arial"/>
                <w:sz w:val="22"/>
                <w:szCs w:val="22"/>
              </w:rPr>
            </w:pPr>
            <w:r w:rsidRPr="001F207E">
              <w:rPr>
                <w:rFonts w:ascii="Arial" w:hAnsi="Arial" w:cs="Arial"/>
                <w:sz w:val="22"/>
                <w:szCs w:val="22"/>
              </w:rPr>
              <w:t>Cost at $</w:t>
            </w:r>
            <w:r w:rsidRPr="001F207E" w:rsidR="00750F66">
              <w:rPr>
                <w:rFonts w:ascii="Arial" w:hAnsi="Arial" w:cs="Arial"/>
                <w:sz w:val="22"/>
                <w:szCs w:val="22"/>
              </w:rPr>
              <w:t>2</w:t>
            </w:r>
            <w:r w:rsidRPr="001F207E" w:rsidR="0028571C">
              <w:rPr>
                <w:rFonts w:ascii="Arial" w:hAnsi="Arial" w:cs="Arial"/>
                <w:sz w:val="22"/>
                <w:szCs w:val="22"/>
              </w:rPr>
              <w:t>79</w:t>
            </w:r>
            <w:r w:rsidRPr="001F207E">
              <w:rPr>
                <w:rFonts w:ascii="Arial" w:hAnsi="Arial" w:cs="Arial"/>
                <w:sz w:val="22"/>
                <w:szCs w:val="22"/>
              </w:rPr>
              <w:t>/hour</w:t>
            </w:r>
          </w:p>
        </w:tc>
      </w:tr>
      <w:tr w:rsidRPr="001F207E" w:rsidR="00431598" w:rsidTr="00C64516" w14:paraId="288D6523" w14:textId="77777777">
        <w:trPr>
          <w:cantSplit/>
        </w:trPr>
        <w:tc>
          <w:tcPr>
            <w:tcW w:w="1260" w:type="dxa"/>
            <w:tcMar>
              <w:top w:w="120" w:type="dxa"/>
              <w:left w:w="120" w:type="dxa"/>
              <w:bottom w:w="58" w:type="dxa"/>
              <w:right w:w="120" w:type="dxa"/>
            </w:tcMar>
          </w:tcPr>
          <w:p w:rsidRPr="001F207E" w:rsidR="00431598" w:rsidP="0043285A" w:rsidRDefault="00431598" w14:paraId="5CD7F966" w14:textId="77777777">
            <w:pPr>
              <w:widowControl w:val="0"/>
              <w:rPr>
                <w:rFonts w:ascii="Arial" w:hAnsi="Arial" w:cs="Arial"/>
                <w:sz w:val="22"/>
                <w:szCs w:val="22"/>
              </w:rPr>
            </w:pPr>
            <w:r w:rsidRPr="001F207E">
              <w:rPr>
                <w:rFonts w:ascii="Arial" w:hAnsi="Arial" w:cs="Arial"/>
                <w:sz w:val="22"/>
                <w:szCs w:val="22"/>
              </w:rPr>
              <w:t>PI Reporting</w:t>
            </w:r>
          </w:p>
        </w:tc>
        <w:tc>
          <w:tcPr>
            <w:tcW w:w="1620" w:type="dxa"/>
            <w:tcMar>
              <w:top w:w="120" w:type="dxa"/>
              <w:left w:w="120" w:type="dxa"/>
              <w:bottom w:w="58" w:type="dxa"/>
              <w:right w:w="120" w:type="dxa"/>
            </w:tcMar>
          </w:tcPr>
          <w:p w:rsidRPr="001F207E" w:rsidR="00431598" w:rsidP="0014680F" w:rsidRDefault="00C80F1E" w14:paraId="6487B2CB" w14:textId="4F6EB438">
            <w:pPr>
              <w:widowControl w:val="0"/>
              <w:jc w:val="center"/>
              <w:rPr>
                <w:rFonts w:ascii="Arial" w:hAnsi="Arial" w:cs="Arial"/>
                <w:sz w:val="22"/>
                <w:szCs w:val="22"/>
              </w:rPr>
            </w:pPr>
            <w:r w:rsidRPr="001F207E">
              <w:rPr>
                <w:rFonts w:ascii="Arial" w:hAnsi="Arial" w:cs="Arial"/>
                <w:sz w:val="22"/>
                <w:szCs w:val="22"/>
              </w:rPr>
              <w:t>89</w:t>
            </w:r>
          </w:p>
        </w:tc>
        <w:tc>
          <w:tcPr>
            <w:tcW w:w="1440" w:type="dxa"/>
            <w:tcMar>
              <w:top w:w="120" w:type="dxa"/>
              <w:left w:w="120" w:type="dxa"/>
              <w:bottom w:w="58" w:type="dxa"/>
              <w:right w:w="120" w:type="dxa"/>
            </w:tcMar>
          </w:tcPr>
          <w:p w:rsidRPr="001F207E" w:rsidR="00431598" w:rsidP="0014680F" w:rsidRDefault="00431598" w14:paraId="44E2EF6F" w14:textId="77777777">
            <w:pPr>
              <w:widowControl w:val="0"/>
              <w:jc w:val="center"/>
              <w:rPr>
                <w:rFonts w:ascii="Arial" w:hAnsi="Arial" w:cs="Arial"/>
                <w:sz w:val="22"/>
                <w:szCs w:val="22"/>
              </w:rPr>
            </w:pPr>
            <w:r w:rsidRPr="001F207E">
              <w:rPr>
                <w:rFonts w:ascii="Arial" w:hAnsi="Arial" w:cs="Arial"/>
                <w:sz w:val="22"/>
                <w:szCs w:val="22"/>
              </w:rPr>
              <w:t>4</w:t>
            </w:r>
          </w:p>
        </w:tc>
        <w:tc>
          <w:tcPr>
            <w:tcW w:w="1350" w:type="dxa"/>
            <w:tcMar>
              <w:top w:w="120" w:type="dxa"/>
              <w:left w:w="120" w:type="dxa"/>
              <w:bottom w:w="58" w:type="dxa"/>
              <w:right w:w="120" w:type="dxa"/>
            </w:tcMar>
          </w:tcPr>
          <w:p w:rsidRPr="001F207E" w:rsidR="00431598" w:rsidP="00750F66" w:rsidRDefault="00776513" w14:paraId="51085F6C" w14:textId="650499CA">
            <w:pPr>
              <w:widowControl w:val="0"/>
              <w:jc w:val="center"/>
              <w:rPr>
                <w:rFonts w:ascii="Arial" w:hAnsi="Arial" w:cs="Arial"/>
                <w:sz w:val="22"/>
                <w:szCs w:val="22"/>
              </w:rPr>
            </w:pPr>
            <w:r w:rsidRPr="001F207E">
              <w:rPr>
                <w:rFonts w:ascii="Arial" w:hAnsi="Arial" w:cs="Arial"/>
                <w:sz w:val="22"/>
                <w:szCs w:val="22"/>
              </w:rPr>
              <w:t>356</w:t>
            </w:r>
          </w:p>
        </w:tc>
        <w:tc>
          <w:tcPr>
            <w:tcW w:w="1260" w:type="dxa"/>
            <w:tcMar>
              <w:top w:w="120" w:type="dxa"/>
              <w:left w:w="120" w:type="dxa"/>
              <w:bottom w:w="58" w:type="dxa"/>
              <w:right w:w="120" w:type="dxa"/>
            </w:tcMar>
          </w:tcPr>
          <w:p w:rsidRPr="001F207E" w:rsidR="00431598" w:rsidP="0014680F" w:rsidRDefault="00CE772D" w14:paraId="494193DE" w14:textId="10D395E0">
            <w:pPr>
              <w:widowControl w:val="0"/>
              <w:jc w:val="center"/>
              <w:rPr>
                <w:rFonts w:ascii="Arial" w:hAnsi="Arial" w:cs="Arial"/>
                <w:sz w:val="22"/>
                <w:szCs w:val="22"/>
              </w:rPr>
            </w:pPr>
            <w:r>
              <w:rPr>
                <w:rFonts w:ascii="Arial" w:hAnsi="Arial" w:cs="Arial"/>
                <w:sz w:val="22"/>
                <w:szCs w:val="22"/>
              </w:rPr>
              <w:t>215</w:t>
            </w:r>
          </w:p>
        </w:tc>
        <w:tc>
          <w:tcPr>
            <w:tcW w:w="990" w:type="dxa"/>
            <w:tcMar>
              <w:top w:w="120" w:type="dxa"/>
              <w:left w:w="120" w:type="dxa"/>
              <w:bottom w:w="58" w:type="dxa"/>
              <w:right w:w="120" w:type="dxa"/>
            </w:tcMar>
          </w:tcPr>
          <w:p w:rsidRPr="001F207E" w:rsidR="00431598" w:rsidP="0014680F" w:rsidRDefault="00CE772D" w14:paraId="73D2791F" w14:textId="6FA84C22">
            <w:pPr>
              <w:widowControl w:val="0"/>
              <w:jc w:val="center"/>
              <w:rPr>
                <w:rFonts w:ascii="Arial" w:hAnsi="Arial" w:cs="Arial"/>
                <w:sz w:val="22"/>
                <w:szCs w:val="22"/>
              </w:rPr>
            </w:pPr>
            <w:r>
              <w:rPr>
                <w:rFonts w:ascii="Arial" w:hAnsi="Arial" w:cs="Arial"/>
                <w:sz w:val="22"/>
                <w:szCs w:val="22"/>
              </w:rPr>
              <w:t>76,540</w:t>
            </w:r>
          </w:p>
        </w:tc>
        <w:tc>
          <w:tcPr>
            <w:tcW w:w="1530" w:type="dxa"/>
            <w:tcMar>
              <w:top w:w="120" w:type="dxa"/>
              <w:left w:w="120" w:type="dxa"/>
              <w:bottom w:w="58" w:type="dxa"/>
              <w:right w:w="120" w:type="dxa"/>
            </w:tcMar>
          </w:tcPr>
          <w:p w:rsidRPr="001F207E" w:rsidR="00431598" w:rsidP="00A17191" w:rsidRDefault="00E3266F" w14:paraId="6C7D936B" w14:textId="09C54076">
            <w:pPr>
              <w:widowControl w:val="0"/>
              <w:jc w:val="center"/>
              <w:rPr>
                <w:rFonts w:ascii="Arial" w:hAnsi="Arial" w:cs="Arial"/>
                <w:sz w:val="22"/>
                <w:szCs w:val="22"/>
              </w:rPr>
            </w:pPr>
            <w:r w:rsidRPr="001F207E">
              <w:rPr>
                <w:rFonts w:ascii="Arial" w:hAnsi="Arial" w:cs="Arial"/>
                <w:sz w:val="22"/>
                <w:szCs w:val="22"/>
              </w:rPr>
              <w:t>$</w:t>
            </w:r>
            <w:r w:rsidR="00CE772D">
              <w:rPr>
                <w:rFonts w:ascii="Arial" w:hAnsi="Arial" w:cs="Arial"/>
                <w:sz w:val="22"/>
                <w:szCs w:val="22"/>
              </w:rPr>
              <w:t>21,354,660</w:t>
            </w:r>
          </w:p>
        </w:tc>
      </w:tr>
      <w:tr w:rsidRPr="001F207E" w:rsidR="00C80F1E" w:rsidTr="00C64516" w14:paraId="0AC98D9D" w14:textId="77777777">
        <w:trPr>
          <w:cantSplit/>
        </w:trPr>
        <w:tc>
          <w:tcPr>
            <w:tcW w:w="1260" w:type="dxa"/>
            <w:tcMar>
              <w:top w:w="120" w:type="dxa"/>
              <w:left w:w="120" w:type="dxa"/>
              <w:bottom w:w="58" w:type="dxa"/>
              <w:right w:w="120" w:type="dxa"/>
            </w:tcMar>
          </w:tcPr>
          <w:p w:rsidRPr="001F207E" w:rsidR="00C80F1E" w:rsidP="0043285A" w:rsidRDefault="004D5B0E" w14:paraId="082F10AA" w14:textId="360EEB43">
            <w:pPr>
              <w:widowControl w:val="0"/>
              <w:rPr>
                <w:rFonts w:ascii="Arial" w:hAnsi="Arial" w:cs="Arial"/>
                <w:sz w:val="22"/>
                <w:szCs w:val="22"/>
              </w:rPr>
            </w:pPr>
            <w:r>
              <w:rPr>
                <w:rFonts w:ascii="Arial" w:hAnsi="Arial" w:cs="Arial"/>
                <w:sz w:val="22"/>
                <w:szCs w:val="22"/>
              </w:rPr>
              <w:t xml:space="preserve">PI </w:t>
            </w:r>
            <w:r w:rsidRPr="001F207E" w:rsidR="00C80F1E">
              <w:rPr>
                <w:rFonts w:ascii="Arial" w:hAnsi="Arial" w:cs="Arial"/>
                <w:sz w:val="22"/>
                <w:szCs w:val="22"/>
              </w:rPr>
              <w:t>FAQ</w:t>
            </w:r>
          </w:p>
        </w:tc>
        <w:tc>
          <w:tcPr>
            <w:tcW w:w="1620" w:type="dxa"/>
            <w:tcMar>
              <w:top w:w="120" w:type="dxa"/>
              <w:left w:w="120" w:type="dxa"/>
              <w:bottom w:w="58" w:type="dxa"/>
              <w:right w:w="120" w:type="dxa"/>
            </w:tcMar>
          </w:tcPr>
          <w:p w:rsidRPr="001F207E" w:rsidR="00C80F1E" w:rsidP="0014680F" w:rsidRDefault="00AF632A" w14:paraId="109F0255" w14:textId="54793D82">
            <w:pPr>
              <w:widowControl w:val="0"/>
              <w:jc w:val="center"/>
              <w:rPr>
                <w:rFonts w:ascii="Arial" w:hAnsi="Arial" w:cs="Arial"/>
                <w:sz w:val="22"/>
                <w:szCs w:val="22"/>
              </w:rPr>
            </w:pPr>
            <w:r>
              <w:rPr>
                <w:rFonts w:ascii="Arial" w:hAnsi="Arial" w:cs="Arial"/>
                <w:sz w:val="22"/>
                <w:szCs w:val="22"/>
              </w:rPr>
              <w:t>3</w:t>
            </w:r>
          </w:p>
        </w:tc>
        <w:tc>
          <w:tcPr>
            <w:tcW w:w="1440" w:type="dxa"/>
            <w:tcMar>
              <w:top w:w="120" w:type="dxa"/>
              <w:left w:w="120" w:type="dxa"/>
              <w:bottom w:w="58" w:type="dxa"/>
              <w:right w:w="120" w:type="dxa"/>
            </w:tcMar>
          </w:tcPr>
          <w:p w:rsidRPr="001F207E" w:rsidR="00C80F1E" w:rsidP="0014680F" w:rsidRDefault="00AF632A" w14:paraId="3F292FAD" w14:textId="4A398EC6">
            <w:pPr>
              <w:widowControl w:val="0"/>
              <w:jc w:val="center"/>
              <w:rPr>
                <w:rFonts w:ascii="Arial" w:hAnsi="Arial" w:cs="Arial"/>
                <w:sz w:val="22"/>
                <w:szCs w:val="22"/>
              </w:rPr>
            </w:pPr>
            <w:r>
              <w:rPr>
                <w:rFonts w:ascii="Arial" w:hAnsi="Arial" w:cs="Arial"/>
                <w:sz w:val="22"/>
                <w:szCs w:val="22"/>
              </w:rPr>
              <w:t>1</w:t>
            </w:r>
          </w:p>
        </w:tc>
        <w:tc>
          <w:tcPr>
            <w:tcW w:w="1350" w:type="dxa"/>
            <w:tcMar>
              <w:top w:w="120" w:type="dxa"/>
              <w:left w:w="120" w:type="dxa"/>
              <w:bottom w:w="58" w:type="dxa"/>
              <w:right w:w="120" w:type="dxa"/>
            </w:tcMar>
          </w:tcPr>
          <w:p w:rsidRPr="001F207E" w:rsidR="00C80F1E" w:rsidP="00750F66" w:rsidRDefault="00C7319F" w14:paraId="2A16CD8D" w14:textId="3598704D">
            <w:pPr>
              <w:widowControl w:val="0"/>
              <w:jc w:val="center"/>
              <w:rPr>
                <w:rFonts w:ascii="Arial" w:hAnsi="Arial" w:cs="Arial"/>
                <w:sz w:val="22"/>
                <w:szCs w:val="22"/>
              </w:rPr>
            </w:pPr>
            <w:r w:rsidRPr="001F207E">
              <w:rPr>
                <w:rFonts w:ascii="Arial" w:hAnsi="Arial" w:cs="Arial"/>
                <w:sz w:val="22"/>
                <w:szCs w:val="22"/>
              </w:rPr>
              <w:t>3</w:t>
            </w:r>
          </w:p>
        </w:tc>
        <w:tc>
          <w:tcPr>
            <w:tcW w:w="1260" w:type="dxa"/>
            <w:tcMar>
              <w:top w:w="120" w:type="dxa"/>
              <w:left w:w="120" w:type="dxa"/>
              <w:bottom w:w="58" w:type="dxa"/>
              <w:right w:w="120" w:type="dxa"/>
            </w:tcMar>
          </w:tcPr>
          <w:p w:rsidRPr="001F207E" w:rsidR="00C80F1E" w:rsidP="0014680F" w:rsidRDefault="00CA79EB" w14:paraId="47D85B8F" w14:textId="012AB0EF">
            <w:pPr>
              <w:widowControl w:val="0"/>
              <w:jc w:val="center"/>
              <w:rPr>
                <w:rFonts w:ascii="Arial" w:hAnsi="Arial" w:cs="Arial"/>
                <w:sz w:val="22"/>
                <w:szCs w:val="22"/>
              </w:rPr>
            </w:pPr>
            <w:r w:rsidRPr="001F207E">
              <w:rPr>
                <w:rFonts w:ascii="Arial" w:hAnsi="Arial" w:cs="Arial"/>
                <w:sz w:val="22"/>
                <w:szCs w:val="22"/>
              </w:rPr>
              <w:t>40</w:t>
            </w:r>
          </w:p>
        </w:tc>
        <w:tc>
          <w:tcPr>
            <w:tcW w:w="990" w:type="dxa"/>
            <w:tcMar>
              <w:top w:w="120" w:type="dxa"/>
              <w:left w:w="120" w:type="dxa"/>
              <w:bottom w:w="58" w:type="dxa"/>
              <w:right w:w="120" w:type="dxa"/>
            </w:tcMar>
          </w:tcPr>
          <w:p w:rsidRPr="001F207E" w:rsidR="00C80F1E" w:rsidP="0014680F" w:rsidRDefault="00CA79EB" w14:paraId="523D65C6" w14:textId="2C92E26A">
            <w:pPr>
              <w:widowControl w:val="0"/>
              <w:jc w:val="center"/>
              <w:rPr>
                <w:rFonts w:ascii="Arial" w:hAnsi="Arial" w:cs="Arial"/>
                <w:sz w:val="22"/>
                <w:szCs w:val="22"/>
              </w:rPr>
            </w:pPr>
            <w:r w:rsidRPr="001F207E">
              <w:rPr>
                <w:rFonts w:ascii="Arial" w:hAnsi="Arial" w:cs="Arial"/>
                <w:sz w:val="22"/>
                <w:szCs w:val="22"/>
              </w:rPr>
              <w:t>120</w:t>
            </w:r>
          </w:p>
        </w:tc>
        <w:tc>
          <w:tcPr>
            <w:tcW w:w="1530" w:type="dxa"/>
            <w:tcMar>
              <w:top w:w="120" w:type="dxa"/>
              <w:left w:w="120" w:type="dxa"/>
              <w:bottom w:w="58" w:type="dxa"/>
              <w:right w:w="120" w:type="dxa"/>
            </w:tcMar>
          </w:tcPr>
          <w:p w:rsidRPr="001F207E" w:rsidR="00C80F1E" w:rsidP="00A17191" w:rsidRDefault="00CA79EB" w14:paraId="18763B31" w14:textId="5904478E">
            <w:pPr>
              <w:widowControl w:val="0"/>
              <w:jc w:val="center"/>
              <w:rPr>
                <w:rFonts w:ascii="Arial" w:hAnsi="Arial" w:cs="Arial"/>
                <w:sz w:val="22"/>
                <w:szCs w:val="22"/>
              </w:rPr>
            </w:pPr>
            <w:r w:rsidRPr="001F207E">
              <w:rPr>
                <w:rFonts w:ascii="Arial" w:hAnsi="Arial" w:cs="Arial"/>
                <w:sz w:val="22"/>
                <w:szCs w:val="22"/>
              </w:rPr>
              <w:t>$33,480</w:t>
            </w:r>
          </w:p>
        </w:tc>
      </w:tr>
      <w:tr w:rsidRPr="001F207E" w:rsidR="00265481" w:rsidTr="00C64516" w14:paraId="76916D18" w14:textId="77777777">
        <w:trPr>
          <w:cantSplit/>
        </w:trPr>
        <w:tc>
          <w:tcPr>
            <w:tcW w:w="1260" w:type="dxa"/>
            <w:tcMar>
              <w:top w:w="120" w:type="dxa"/>
              <w:left w:w="120" w:type="dxa"/>
              <w:bottom w:w="58" w:type="dxa"/>
              <w:right w:w="120" w:type="dxa"/>
            </w:tcMar>
          </w:tcPr>
          <w:p w:rsidRPr="001F207E" w:rsidR="00265481" w:rsidP="0043285A" w:rsidRDefault="00265481" w14:paraId="1BD6DAF1" w14:textId="189EF688">
            <w:pPr>
              <w:widowControl w:val="0"/>
              <w:rPr>
                <w:rFonts w:ascii="Arial" w:hAnsi="Arial" w:cs="Arial"/>
                <w:sz w:val="22"/>
                <w:szCs w:val="22"/>
              </w:rPr>
            </w:pPr>
            <w:r w:rsidRPr="001F207E">
              <w:rPr>
                <w:rFonts w:ascii="Arial" w:hAnsi="Arial" w:cs="Arial"/>
                <w:sz w:val="22"/>
                <w:szCs w:val="22"/>
              </w:rPr>
              <w:t>Total</w:t>
            </w:r>
          </w:p>
        </w:tc>
        <w:tc>
          <w:tcPr>
            <w:tcW w:w="1620" w:type="dxa"/>
            <w:tcMar>
              <w:top w:w="120" w:type="dxa"/>
              <w:left w:w="120" w:type="dxa"/>
              <w:bottom w:w="58" w:type="dxa"/>
              <w:right w:w="120" w:type="dxa"/>
            </w:tcMar>
          </w:tcPr>
          <w:p w:rsidRPr="001F207E" w:rsidR="00265481" w:rsidP="0014680F" w:rsidRDefault="00C71966" w14:paraId="1C9A1CF4" w14:textId="039EC19A">
            <w:pPr>
              <w:widowControl w:val="0"/>
              <w:jc w:val="center"/>
              <w:rPr>
                <w:rFonts w:ascii="Arial" w:hAnsi="Arial" w:cs="Arial"/>
                <w:sz w:val="22"/>
                <w:szCs w:val="22"/>
              </w:rPr>
            </w:pPr>
            <w:r>
              <w:rPr>
                <w:rFonts w:ascii="Arial" w:hAnsi="Arial" w:cs="Arial"/>
                <w:sz w:val="22"/>
                <w:szCs w:val="22"/>
              </w:rPr>
              <w:t>89</w:t>
            </w:r>
          </w:p>
        </w:tc>
        <w:tc>
          <w:tcPr>
            <w:tcW w:w="1440" w:type="dxa"/>
            <w:tcMar>
              <w:top w:w="120" w:type="dxa"/>
              <w:left w:w="120" w:type="dxa"/>
              <w:bottom w:w="58" w:type="dxa"/>
              <w:right w:w="120" w:type="dxa"/>
            </w:tcMar>
          </w:tcPr>
          <w:p w:rsidRPr="001F207E" w:rsidR="00265481" w:rsidP="0014680F" w:rsidRDefault="00497196" w14:paraId="5F558877" w14:textId="4D46238F">
            <w:pPr>
              <w:widowControl w:val="0"/>
              <w:jc w:val="center"/>
              <w:rPr>
                <w:rFonts w:ascii="Arial" w:hAnsi="Arial" w:cs="Arial"/>
                <w:sz w:val="22"/>
                <w:szCs w:val="22"/>
              </w:rPr>
            </w:pPr>
            <w:r>
              <w:rPr>
                <w:rFonts w:ascii="Arial" w:hAnsi="Arial" w:cs="Arial"/>
                <w:sz w:val="22"/>
                <w:szCs w:val="22"/>
              </w:rPr>
              <w:t>-</w:t>
            </w:r>
          </w:p>
        </w:tc>
        <w:tc>
          <w:tcPr>
            <w:tcW w:w="1350" w:type="dxa"/>
            <w:tcMar>
              <w:top w:w="120" w:type="dxa"/>
              <w:left w:w="120" w:type="dxa"/>
              <w:bottom w:w="58" w:type="dxa"/>
              <w:right w:w="120" w:type="dxa"/>
            </w:tcMar>
          </w:tcPr>
          <w:p w:rsidRPr="001F207E" w:rsidR="00265481" w:rsidP="00750F66" w:rsidRDefault="00FE2419" w14:paraId="6F613689" w14:textId="16CEF640">
            <w:pPr>
              <w:widowControl w:val="0"/>
              <w:jc w:val="center"/>
              <w:rPr>
                <w:rFonts w:ascii="Arial" w:hAnsi="Arial" w:cs="Arial"/>
                <w:sz w:val="22"/>
                <w:szCs w:val="22"/>
              </w:rPr>
            </w:pPr>
            <w:r>
              <w:rPr>
                <w:rFonts w:ascii="Arial" w:hAnsi="Arial" w:cs="Arial"/>
                <w:sz w:val="22"/>
                <w:szCs w:val="22"/>
              </w:rPr>
              <w:t>3</w:t>
            </w:r>
            <w:r w:rsidR="00BC2642">
              <w:rPr>
                <w:rFonts w:ascii="Arial" w:hAnsi="Arial" w:cs="Arial"/>
                <w:sz w:val="22"/>
                <w:szCs w:val="22"/>
              </w:rPr>
              <w:t>59</w:t>
            </w:r>
          </w:p>
        </w:tc>
        <w:tc>
          <w:tcPr>
            <w:tcW w:w="1260" w:type="dxa"/>
            <w:tcMar>
              <w:top w:w="120" w:type="dxa"/>
              <w:left w:w="120" w:type="dxa"/>
              <w:bottom w:w="58" w:type="dxa"/>
              <w:right w:w="120" w:type="dxa"/>
            </w:tcMar>
          </w:tcPr>
          <w:p w:rsidRPr="001F207E" w:rsidR="00265481" w:rsidP="0014680F" w:rsidRDefault="00497196" w14:paraId="7F7628E4" w14:textId="1252C898">
            <w:pPr>
              <w:widowControl w:val="0"/>
              <w:jc w:val="center"/>
              <w:rPr>
                <w:rFonts w:ascii="Arial" w:hAnsi="Arial" w:cs="Arial"/>
                <w:sz w:val="22"/>
                <w:szCs w:val="22"/>
              </w:rPr>
            </w:pPr>
            <w:r>
              <w:rPr>
                <w:rFonts w:ascii="Arial" w:hAnsi="Arial" w:cs="Arial"/>
                <w:sz w:val="22"/>
                <w:szCs w:val="22"/>
              </w:rPr>
              <w:t>-</w:t>
            </w:r>
          </w:p>
        </w:tc>
        <w:tc>
          <w:tcPr>
            <w:tcW w:w="990" w:type="dxa"/>
            <w:tcMar>
              <w:top w:w="120" w:type="dxa"/>
              <w:left w:w="120" w:type="dxa"/>
              <w:bottom w:w="58" w:type="dxa"/>
              <w:right w:w="120" w:type="dxa"/>
            </w:tcMar>
          </w:tcPr>
          <w:p w:rsidRPr="001F207E" w:rsidR="00265481" w:rsidP="0014680F" w:rsidRDefault="00CE772D" w14:paraId="730BAE3B" w14:textId="35F8FFED">
            <w:pPr>
              <w:widowControl w:val="0"/>
              <w:jc w:val="center"/>
              <w:rPr>
                <w:rFonts w:ascii="Arial" w:hAnsi="Arial" w:cs="Arial"/>
                <w:sz w:val="22"/>
                <w:szCs w:val="22"/>
              </w:rPr>
            </w:pPr>
            <w:r>
              <w:rPr>
                <w:rFonts w:ascii="Arial" w:hAnsi="Arial" w:cs="Arial"/>
                <w:sz w:val="22"/>
                <w:szCs w:val="22"/>
              </w:rPr>
              <w:t>76,660</w:t>
            </w:r>
          </w:p>
        </w:tc>
        <w:tc>
          <w:tcPr>
            <w:tcW w:w="1530" w:type="dxa"/>
            <w:tcMar>
              <w:top w:w="120" w:type="dxa"/>
              <w:left w:w="120" w:type="dxa"/>
              <w:bottom w:w="58" w:type="dxa"/>
              <w:right w:w="120" w:type="dxa"/>
            </w:tcMar>
          </w:tcPr>
          <w:p w:rsidRPr="001F207E" w:rsidR="00265481" w:rsidP="00A17191" w:rsidRDefault="00744C36" w14:paraId="222813EF" w14:textId="71294839">
            <w:pPr>
              <w:widowControl w:val="0"/>
              <w:jc w:val="center"/>
              <w:rPr>
                <w:rFonts w:ascii="Arial" w:hAnsi="Arial" w:cs="Arial"/>
                <w:sz w:val="22"/>
                <w:szCs w:val="22"/>
              </w:rPr>
            </w:pPr>
            <w:r w:rsidRPr="001F207E">
              <w:rPr>
                <w:rFonts w:ascii="Arial" w:hAnsi="Arial" w:cs="Arial"/>
                <w:sz w:val="22"/>
                <w:szCs w:val="22"/>
              </w:rPr>
              <w:t>$</w:t>
            </w:r>
            <w:r w:rsidR="00CE772D">
              <w:rPr>
                <w:rFonts w:ascii="Arial" w:hAnsi="Arial" w:cs="Arial"/>
                <w:sz w:val="22"/>
                <w:szCs w:val="22"/>
              </w:rPr>
              <w:t>21,388,140</w:t>
            </w:r>
          </w:p>
        </w:tc>
      </w:tr>
    </w:tbl>
    <w:p w:rsidRPr="001F207E" w:rsidR="00431598" w:rsidP="00397531" w:rsidRDefault="00431598" w14:paraId="536DAD88" w14:textId="77777777">
      <w:pPr>
        <w:widowControl w:val="0"/>
        <w:rPr>
          <w:rFonts w:ascii="Arial" w:hAnsi="Arial" w:cs="Arial"/>
          <w:sz w:val="22"/>
          <w:szCs w:val="22"/>
        </w:rPr>
      </w:pPr>
    </w:p>
    <w:p w:rsidRPr="001F207E" w:rsidR="00431598" w:rsidP="00397531" w:rsidRDefault="00431598" w14:paraId="31A70EA0" w14:textId="77777777">
      <w:pPr>
        <w:widowControl w:val="0"/>
        <w:rPr>
          <w:rFonts w:ascii="Arial" w:hAnsi="Arial" w:cs="Arial"/>
          <w:sz w:val="22"/>
          <w:szCs w:val="22"/>
        </w:rPr>
      </w:pPr>
    </w:p>
    <w:p w:rsidRPr="001F207E" w:rsidR="00431598" w:rsidP="00397531" w:rsidRDefault="00431598" w14:paraId="70E8F041" w14:textId="77777777">
      <w:pPr>
        <w:widowControl w:val="0"/>
        <w:jc w:val="center"/>
        <w:rPr>
          <w:rFonts w:ascii="Arial" w:hAnsi="Arial" w:cs="Arial"/>
          <w:sz w:val="22"/>
          <w:szCs w:val="22"/>
        </w:rPr>
      </w:pPr>
      <w:r w:rsidRPr="001F207E">
        <w:rPr>
          <w:rFonts w:ascii="Arial" w:hAnsi="Arial" w:cs="Arial"/>
          <w:sz w:val="22"/>
          <w:szCs w:val="22"/>
        </w:rPr>
        <w:t>TABLE 2</w:t>
      </w:r>
    </w:p>
    <w:p w:rsidRPr="001F207E" w:rsidR="00431598" w:rsidP="00397531" w:rsidRDefault="00431598" w14:paraId="3355EF8A" w14:textId="77777777">
      <w:pPr>
        <w:widowControl w:val="0"/>
        <w:jc w:val="center"/>
        <w:rPr>
          <w:rFonts w:ascii="Arial" w:hAnsi="Arial" w:cs="Arial"/>
          <w:sz w:val="22"/>
          <w:szCs w:val="22"/>
        </w:rPr>
      </w:pPr>
      <w:r w:rsidRPr="001F207E">
        <w:rPr>
          <w:rFonts w:ascii="Arial" w:hAnsi="Arial" w:cs="Arial"/>
          <w:sz w:val="22"/>
          <w:szCs w:val="22"/>
        </w:rPr>
        <w:t>Annual Recordkeeping Burden</w:t>
      </w:r>
    </w:p>
    <w:p w:rsidRPr="001F207E" w:rsidR="00431598" w:rsidP="00397531" w:rsidRDefault="00431598" w14:paraId="02D359C7" w14:textId="77777777">
      <w:pPr>
        <w:widowControl w:val="0"/>
        <w:jc w:val="center"/>
        <w:rPr>
          <w:rFonts w:ascii="Arial" w:hAnsi="Arial" w:cs="Arial"/>
          <w:sz w:val="22"/>
          <w:szCs w:val="22"/>
        </w:rPr>
      </w:pPr>
    </w:p>
    <w:tbl>
      <w:tblPr>
        <w:tblW w:w="954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01" w:type="dxa"/>
          <w:right w:w="101" w:type="dxa"/>
        </w:tblCellMar>
        <w:tblLook w:val="0000" w:firstRow="0" w:lastRow="0" w:firstColumn="0" w:lastColumn="0" w:noHBand="0" w:noVBand="0"/>
      </w:tblPr>
      <w:tblGrid>
        <w:gridCol w:w="1800"/>
        <w:gridCol w:w="1800"/>
        <w:gridCol w:w="1710"/>
        <w:gridCol w:w="1710"/>
        <w:gridCol w:w="2520"/>
      </w:tblGrid>
      <w:tr w:rsidRPr="001F207E" w:rsidR="00A048FE" w:rsidTr="009D71DC" w14:paraId="3A020413" w14:textId="77777777">
        <w:trPr>
          <w:cantSplit/>
        </w:trPr>
        <w:tc>
          <w:tcPr>
            <w:tcW w:w="1800" w:type="dxa"/>
            <w:tcMar>
              <w:top w:w="120" w:type="dxa"/>
              <w:left w:w="120" w:type="dxa"/>
              <w:bottom w:w="58" w:type="dxa"/>
              <w:right w:w="120" w:type="dxa"/>
            </w:tcMar>
            <w:vAlign w:val="center"/>
          </w:tcPr>
          <w:p w:rsidRPr="001F207E" w:rsidR="00A048FE" w:rsidP="00A048FE" w:rsidRDefault="00A048FE" w14:paraId="0127D634" w14:textId="43E5FDED">
            <w:pPr>
              <w:widowControl w:val="0"/>
              <w:rPr>
                <w:rFonts w:ascii="Arial" w:hAnsi="Arial" w:cs="Arial"/>
                <w:sz w:val="22"/>
                <w:szCs w:val="22"/>
              </w:rPr>
            </w:pPr>
            <w:r>
              <w:rPr>
                <w:rFonts w:ascii="Arial" w:hAnsi="Arial" w:cs="Arial"/>
                <w:color w:val="000000"/>
                <w:sz w:val="22"/>
                <w:szCs w:val="22"/>
              </w:rPr>
              <w:t> </w:t>
            </w:r>
          </w:p>
        </w:tc>
        <w:tc>
          <w:tcPr>
            <w:tcW w:w="1800" w:type="dxa"/>
            <w:tcMar>
              <w:top w:w="120" w:type="dxa"/>
              <w:left w:w="120" w:type="dxa"/>
              <w:bottom w:w="58" w:type="dxa"/>
              <w:right w:w="120" w:type="dxa"/>
            </w:tcMar>
            <w:vAlign w:val="center"/>
          </w:tcPr>
          <w:p w:rsidRPr="001F207E" w:rsidR="00A048FE" w:rsidP="00A048FE" w:rsidRDefault="00A048FE" w14:paraId="70513120" w14:textId="07CAB86A">
            <w:pPr>
              <w:widowControl w:val="0"/>
              <w:rPr>
                <w:rFonts w:ascii="Arial" w:hAnsi="Arial" w:cs="Arial"/>
                <w:sz w:val="22"/>
                <w:szCs w:val="22"/>
              </w:rPr>
            </w:pPr>
            <w:r>
              <w:rPr>
                <w:rFonts w:ascii="Arial" w:hAnsi="Arial" w:cs="Arial"/>
                <w:color w:val="000000"/>
                <w:sz w:val="22"/>
                <w:szCs w:val="22"/>
              </w:rPr>
              <w:t>Number of Recordkeepers</w:t>
            </w:r>
          </w:p>
        </w:tc>
        <w:tc>
          <w:tcPr>
            <w:tcW w:w="1710" w:type="dxa"/>
            <w:tcMar>
              <w:top w:w="120" w:type="dxa"/>
              <w:left w:w="120" w:type="dxa"/>
              <w:bottom w:w="58" w:type="dxa"/>
              <w:right w:w="120" w:type="dxa"/>
            </w:tcMar>
            <w:vAlign w:val="center"/>
          </w:tcPr>
          <w:p w:rsidRPr="001F207E" w:rsidR="00A048FE" w:rsidP="00A048FE" w:rsidRDefault="00A048FE" w14:paraId="75D69E37" w14:textId="444D5BDB">
            <w:pPr>
              <w:widowControl w:val="0"/>
              <w:rPr>
                <w:rFonts w:ascii="Arial" w:hAnsi="Arial" w:cs="Arial"/>
                <w:sz w:val="22"/>
                <w:szCs w:val="22"/>
              </w:rPr>
            </w:pPr>
            <w:r>
              <w:rPr>
                <w:rFonts w:ascii="Arial" w:hAnsi="Arial" w:cs="Arial"/>
                <w:color w:val="000000"/>
                <w:sz w:val="22"/>
                <w:szCs w:val="22"/>
              </w:rPr>
              <w:t>Hours per Recordkeeper</w:t>
            </w:r>
          </w:p>
        </w:tc>
        <w:tc>
          <w:tcPr>
            <w:tcW w:w="1710" w:type="dxa"/>
            <w:tcMar>
              <w:top w:w="120" w:type="dxa"/>
              <w:left w:w="120" w:type="dxa"/>
              <w:bottom w:w="58" w:type="dxa"/>
              <w:right w:w="120" w:type="dxa"/>
            </w:tcMar>
            <w:vAlign w:val="center"/>
          </w:tcPr>
          <w:p w:rsidRPr="001F207E" w:rsidR="00A048FE" w:rsidP="00A048FE" w:rsidRDefault="00A048FE" w14:paraId="45808BE8" w14:textId="6279BE50">
            <w:pPr>
              <w:widowControl w:val="0"/>
              <w:rPr>
                <w:rFonts w:ascii="Arial" w:hAnsi="Arial" w:cs="Arial"/>
                <w:sz w:val="22"/>
                <w:szCs w:val="22"/>
              </w:rPr>
            </w:pPr>
            <w:r>
              <w:rPr>
                <w:rFonts w:ascii="Arial" w:hAnsi="Arial" w:cs="Arial"/>
                <w:color w:val="000000"/>
                <w:sz w:val="22"/>
                <w:szCs w:val="22"/>
              </w:rPr>
              <w:t>Total Annual Burden Hours</w:t>
            </w:r>
          </w:p>
        </w:tc>
        <w:tc>
          <w:tcPr>
            <w:tcW w:w="2520" w:type="dxa"/>
            <w:tcMar>
              <w:top w:w="120" w:type="dxa"/>
              <w:left w:w="120" w:type="dxa"/>
              <w:bottom w:w="58" w:type="dxa"/>
              <w:right w:w="120" w:type="dxa"/>
            </w:tcMar>
            <w:vAlign w:val="center"/>
          </w:tcPr>
          <w:p w:rsidRPr="001F207E" w:rsidR="00A048FE" w:rsidP="00A048FE" w:rsidRDefault="00A048FE" w14:paraId="6F841AB8" w14:textId="1B44F405">
            <w:pPr>
              <w:widowControl w:val="0"/>
              <w:rPr>
                <w:rFonts w:ascii="Arial" w:hAnsi="Arial" w:cs="Arial"/>
                <w:sz w:val="22"/>
                <w:szCs w:val="22"/>
              </w:rPr>
            </w:pPr>
            <w:r>
              <w:rPr>
                <w:rFonts w:ascii="Arial" w:hAnsi="Arial" w:cs="Arial"/>
                <w:color w:val="000000"/>
                <w:sz w:val="22"/>
                <w:szCs w:val="22"/>
              </w:rPr>
              <w:t>Cost at $279/hour</w:t>
            </w:r>
          </w:p>
        </w:tc>
      </w:tr>
      <w:tr w:rsidRPr="001F207E" w:rsidR="00A048FE" w:rsidTr="009D71DC" w14:paraId="00B86A60" w14:textId="77777777">
        <w:trPr>
          <w:cantSplit/>
        </w:trPr>
        <w:tc>
          <w:tcPr>
            <w:tcW w:w="1800" w:type="dxa"/>
            <w:tcMar>
              <w:top w:w="120" w:type="dxa"/>
              <w:left w:w="120" w:type="dxa"/>
              <w:bottom w:w="58" w:type="dxa"/>
              <w:right w:w="120" w:type="dxa"/>
            </w:tcMar>
            <w:vAlign w:val="center"/>
          </w:tcPr>
          <w:p w:rsidRPr="001F207E" w:rsidR="00A048FE" w:rsidP="00A048FE" w:rsidRDefault="00A048FE" w14:paraId="7A6310DC" w14:textId="4C00E228">
            <w:pPr>
              <w:widowControl w:val="0"/>
              <w:rPr>
                <w:rFonts w:ascii="Arial" w:hAnsi="Arial" w:cs="Arial"/>
                <w:sz w:val="22"/>
                <w:szCs w:val="22"/>
              </w:rPr>
            </w:pPr>
            <w:r>
              <w:rPr>
                <w:rFonts w:ascii="Arial" w:hAnsi="Arial" w:cs="Arial"/>
                <w:color w:val="000000"/>
                <w:sz w:val="22"/>
                <w:szCs w:val="22"/>
              </w:rPr>
              <w:t>PI Recordkeeping</w:t>
            </w:r>
          </w:p>
        </w:tc>
        <w:tc>
          <w:tcPr>
            <w:tcW w:w="1800" w:type="dxa"/>
            <w:tcMar>
              <w:top w:w="120" w:type="dxa"/>
              <w:left w:w="120" w:type="dxa"/>
              <w:bottom w:w="58" w:type="dxa"/>
              <w:right w:w="120" w:type="dxa"/>
            </w:tcMar>
            <w:vAlign w:val="center"/>
          </w:tcPr>
          <w:p w:rsidRPr="001F207E" w:rsidR="00A048FE" w:rsidP="00A048FE" w:rsidRDefault="00A048FE" w14:paraId="458ABE75" w14:textId="31AE143B">
            <w:pPr>
              <w:widowControl w:val="0"/>
              <w:jc w:val="center"/>
              <w:rPr>
                <w:rFonts w:ascii="Arial" w:hAnsi="Arial" w:cs="Arial"/>
                <w:sz w:val="22"/>
                <w:szCs w:val="22"/>
              </w:rPr>
            </w:pPr>
            <w:r>
              <w:rPr>
                <w:rFonts w:ascii="Arial" w:hAnsi="Arial" w:cs="Arial"/>
                <w:color w:val="000000"/>
                <w:sz w:val="22"/>
                <w:szCs w:val="22"/>
              </w:rPr>
              <w:t>21</w:t>
            </w:r>
          </w:p>
        </w:tc>
        <w:tc>
          <w:tcPr>
            <w:tcW w:w="1710" w:type="dxa"/>
            <w:tcMar>
              <w:top w:w="120" w:type="dxa"/>
              <w:left w:w="120" w:type="dxa"/>
              <w:bottom w:w="58" w:type="dxa"/>
              <w:right w:w="120" w:type="dxa"/>
            </w:tcMar>
            <w:vAlign w:val="center"/>
          </w:tcPr>
          <w:p w:rsidRPr="001F207E" w:rsidR="00A048FE" w:rsidP="00A048FE" w:rsidRDefault="00A048FE" w14:paraId="76B97620" w14:textId="1D6847D4">
            <w:pPr>
              <w:widowControl w:val="0"/>
              <w:jc w:val="center"/>
              <w:rPr>
                <w:rFonts w:ascii="Arial" w:hAnsi="Arial" w:cs="Arial"/>
                <w:sz w:val="22"/>
                <w:szCs w:val="22"/>
              </w:rPr>
            </w:pPr>
            <w:r>
              <w:rPr>
                <w:rFonts w:ascii="Arial" w:hAnsi="Arial" w:cs="Arial"/>
                <w:color w:val="000000"/>
                <w:sz w:val="22"/>
                <w:szCs w:val="22"/>
              </w:rPr>
              <w:t>50</w:t>
            </w:r>
          </w:p>
        </w:tc>
        <w:tc>
          <w:tcPr>
            <w:tcW w:w="1710" w:type="dxa"/>
            <w:tcMar>
              <w:top w:w="120" w:type="dxa"/>
              <w:left w:w="120" w:type="dxa"/>
              <w:bottom w:w="58" w:type="dxa"/>
              <w:right w:w="120" w:type="dxa"/>
            </w:tcMar>
            <w:vAlign w:val="center"/>
          </w:tcPr>
          <w:p w:rsidRPr="001F207E" w:rsidR="00A048FE" w:rsidP="00A048FE" w:rsidRDefault="00A048FE" w14:paraId="43F5B1D8" w14:textId="210E82B0">
            <w:pPr>
              <w:widowControl w:val="0"/>
              <w:jc w:val="center"/>
              <w:rPr>
                <w:rFonts w:ascii="Arial" w:hAnsi="Arial" w:cs="Arial"/>
                <w:sz w:val="22"/>
                <w:szCs w:val="22"/>
              </w:rPr>
            </w:pPr>
            <w:r>
              <w:rPr>
                <w:rFonts w:ascii="Arial" w:hAnsi="Arial" w:cs="Arial"/>
                <w:color w:val="000000"/>
                <w:sz w:val="22"/>
                <w:szCs w:val="22"/>
              </w:rPr>
              <w:t>1,050</w:t>
            </w:r>
          </w:p>
        </w:tc>
        <w:tc>
          <w:tcPr>
            <w:tcW w:w="2520" w:type="dxa"/>
            <w:tcMar>
              <w:top w:w="120" w:type="dxa"/>
              <w:left w:w="120" w:type="dxa"/>
              <w:bottom w:w="58" w:type="dxa"/>
              <w:right w:w="120" w:type="dxa"/>
            </w:tcMar>
            <w:vAlign w:val="center"/>
          </w:tcPr>
          <w:p w:rsidRPr="001F207E" w:rsidR="00A048FE" w:rsidP="00A048FE" w:rsidRDefault="00A048FE" w14:paraId="43B48E00" w14:textId="709DC939">
            <w:pPr>
              <w:widowControl w:val="0"/>
              <w:jc w:val="center"/>
              <w:rPr>
                <w:rFonts w:ascii="Arial" w:hAnsi="Arial" w:cs="Arial"/>
                <w:sz w:val="22"/>
                <w:szCs w:val="22"/>
              </w:rPr>
            </w:pPr>
            <w:r>
              <w:rPr>
                <w:rFonts w:ascii="Arial" w:hAnsi="Arial" w:cs="Arial"/>
                <w:color w:val="000000"/>
                <w:sz w:val="22"/>
                <w:szCs w:val="22"/>
              </w:rPr>
              <w:t xml:space="preserve">$292,950 </w:t>
            </w:r>
          </w:p>
        </w:tc>
      </w:tr>
      <w:tr w:rsidRPr="001F207E" w:rsidR="00A048FE" w:rsidTr="009D71DC" w14:paraId="05F15D3E" w14:textId="77777777">
        <w:trPr>
          <w:cantSplit/>
        </w:trPr>
        <w:tc>
          <w:tcPr>
            <w:tcW w:w="1800" w:type="dxa"/>
            <w:tcMar>
              <w:top w:w="120" w:type="dxa"/>
              <w:left w:w="120" w:type="dxa"/>
              <w:bottom w:w="58" w:type="dxa"/>
              <w:right w:w="120" w:type="dxa"/>
            </w:tcMar>
            <w:vAlign w:val="center"/>
          </w:tcPr>
          <w:p w:rsidRPr="001F207E" w:rsidR="00A048FE" w:rsidP="00A048FE" w:rsidRDefault="00A048FE" w14:paraId="643728B7" w14:textId="057EA71E">
            <w:pPr>
              <w:widowControl w:val="0"/>
              <w:rPr>
                <w:rFonts w:ascii="Arial" w:hAnsi="Arial" w:cs="Arial"/>
                <w:sz w:val="22"/>
                <w:szCs w:val="22"/>
              </w:rPr>
            </w:pPr>
            <w:r>
              <w:rPr>
                <w:rFonts w:ascii="Arial" w:hAnsi="Arial" w:cs="Arial"/>
                <w:color w:val="000000"/>
                <w:sz w:val="22"/>
                <w:szCs w:val="22"/>
              </w:rPr>
              <w:t>PI FAQ</w:t>
            </w:r>
          </w:p>
        </w:tc>
        <w:tc>
          <w:tcPr>
            <w:tcW w:w="1800" w:type="dxa"/>
            <w:tcMar>
              <w:top w:w="120" w:type="dxa"/>
              <w:left w:w="120" w:type="dxa"/>
              <w:bottom w:w="58" w:type="dxa"/>
              <w:right w:w="120" w:type="dxa"/>
            </w:tcMar>
            <w:vAlign w:val="center"/>
          </w:tcPr>
          <w:p w:rsidRPr="001F207E" w:rsidR="00A048FE" w:rsidP="00A048FE" w:rsidRDefault="00A048FE" w14:paraId="3321E254" w14:textId="6A3769E3">
            <w:pPr>
              <w:widowControl w:val="0"/>
              <w:jc w:val="center"/>
              <w:rPr>
                <w:rFonts w:ascii="Arial" w:hAnsi="Arial" w:cs="Arial"/>
                <w:sz w:val="22"/>
                <w:szCs w:val="22"/>
              </w:rPr>
            </w:pPr>
            <w:r>
              <w:rPr>
                <w:rFonts w:ascii="Arial" w:hAnsi="Arial" w:cs="Arial"/>
                <w:color w:val="000000"/>
                <w:sz w:val="22"/>
                <w:szCs w:val="22"/>
              </w:rPr>
              <w:t>3</w:t>
            </w:r>
          </w:p>
        </w:tc>
        <w:tc>
          <w:tcPr>
            <w:tcW w:w="1710" w:type="dxa"/>
            <w:tcMar>
              <w:top w:w="120" w:type="dxa"/>
              <w:left w:w="120" w:type="dxa"/>
              <w:bottom w:w="58" w:type="dxa"/>
              <w:right w:w="120" w:type="dxa"/>
            </w:tcMar>
            <w:vAlign w:val="center"/>
          </w:tcPr>
          <w:p w:rsidRPr="001F207E" w:rsidR="00A048FE" w:rsidP="00A048FE" w:rsidRDefault="00A048FE" w14:paraId="35F46EEF" w14:textId="18E52D4C">
            <w:pPr>
              <w:widowControl w:val="0"/>
              <w:jc w:val="center"/>
              <w:rPr>
                <w:rFonts w:ascii="Arial" w:hAnsi="Arial" w:cs="Arial"/>
                <w:sz w:val="22"/>
                <w:szCs w:val="22"/>
              </w:rPr>
            </w:pPr>
            <w:r>
              <w:rPr>
                <w:rFonts w:ascii="Arial" w:hAnsi="Arial" w:cs="Arial"/>
                <w:color w:val="000000"/>
                <w:sz w:val="22"/>
                <w:szCs w:val="22"/>
              </w:rPr>
              <w:t>8</w:t>
            </w:r>
          </w:p>
        </w:tc>
        <w:tc>
          <w:tcPr>
            <w:tcW w:w="1710" w:type="dxa"/>
            <w:tcMar>
              <w:top w:w="120" w:type="dxa"/>
              <w:left w:w="120" w:type="dxa"/>
              <w:bottom w:w="58" w:type="dxa"/>
              <w:right w:w="120" w:type="dxa"/>
            </w:tcMar>
            <w:vAlign w:val="center"/>
          </w:tcPr>
          <w:p w:rsidRPr="001F207E" w:rsidR="00A048FE" w:rsidP="00A048FE" w:rsidRDefault="00A048FE" w14:paraId="7D50860F" w14:textId="5B4C20A8">
            <w:pPr>
              <w:widowControl w:val="0"/>
              <w:jc w:val="center"/>
              <w:rPr>
                <w:rFonts w:ascii="Arial" w:hAnsi="Arial" w:cs="Arial"/>
                <w:sz w:val="22"/>
                <w:szCs w:val="22"/>
              </w:rPr>
            </w:pPr>
            <w:r>
              <w:rPr>
                <w:rFonts w:ascii="Arial" w:hAnsi="Arial" w:cs="Arial"/>
                <w:color w:val="000000"/>
                <w:sz w:val="22"/>
                <w:szCs w:val="22"/>
              </w:rPr>
              <w:t>24</w:t>
            </w:r>
          </w:p>
        </w:tc>
        <w:tc>
          <w:tcPr>
            <w:tcW w:w="2520" w:type="dxa"/>
            <w:tcMar>
              <w:top w:w="120" w:type="dxa"/>
              <w:left w:w="120" w:type="dxa"/>
              <w:bottom w:w="58" w:type="dxa"/>
              <w:right w:w="120" w:type="dxa"/>
            </w:tcMar>
            <w:vAlign w:val="center"/>
          </w:tcPr>
          <w:p w:rsidRPr="001F207E" w:rsidR="00A048FE" w:rsidP="00A048FE" w:rsidRDefault="00A048FE" w14:paraId="1533F958" w14:textId="62C2A297">
            <w:pPr>
              <w:widowControl w:val="0"/>
              <w:jc w:val="center"/>
              <w:rPr>
                <w:rFonts w:ascii="Arial" w:hAnsi="Arial" w:cs="Arial"/>
                <w:sz w:val="22"/>
                <w:szCs w:val="22"/>
              </w:rPr>
            </w:pPr>
            <w:r>
              <w:rPr>
                <w:rFonts w:ascii="Arial" w:hAnsi="Arial" w:cs="Arial"/>
                <w:color w:val="000000"/>
                <w:sz w:val="22"/>
                <w:szCs w:val="22"/>
              </w:rPr>
              <w:t xml:space="preserve">$6,696 </w:t>
            </w:r>
          </w:p>
        </w:tc>
      </w:tr>
      <w:tr w:rsidRPr="001F207E" w:rsidR="00A048FE" w:rsidTr="009D71DC" w14:paraId="521405DF" w14:textId="77777777">
        <w:trPr>
          <w:cantSplit/>
        </w:trPr>
        <w:tc>
          <w:tcPr>
            <w:tcW w:w="1800" w:type="dxa"/>
            <w:tcMar>
              <w:top w:w="120" w:type="dxa"/>
              <w:left w:w="120" w:type="dxa"/>
              <w:bottom w:w="58" w:type="dxa"/>
              <w:right w:w="120" w:type="dxa"/>
            </w:tcMar>
            <w:vAlign w:val="center"/>
          </w:tcPr>
          <w:p w:rsidRPr="001F207E" w:rsidR="00A048FE" w:rsidP="00A048FE" w:rsidRDefault="00A048FE" w14:paraId="68AB5543" w14:textId="5985D4D0">
            <w:pPr>
              <w:widowControl w:val="0"/>
              <w:rPr>
                <w:rFonts w:ascii="Arial" w:hAnsi="Arial" w:cs="Arial"/>
                <w:sz w:val="22"/>
                <w:szCs w:val="22"/>
              </w:rPr>
            </w:pPr>
            <w:r>
              <w:rPr>
                <w:rFonts w:ascii="Arial" w:hAnsi="Arial" w:cs="Arial"/>
                <w:color w:val="000000"/>
                <w:sz w:val="22"/>
                <w:szCs w:val="22"/>
              </w:rPr>
              <w:t>Total</w:t>
            </w:r>
          </w:p>
        </w:tc>
        <w:tc>
          <w:tcPr>
            <w:tcW w:w="1800" w:type="dxa"/>
            <w:tcMar>
              <w:top w:w="120" w:type="dxa"/>
              <w:left w:w="120" w:type="dxa"/>
              <w:bottom w:w="58" w:type="dxa"/>
              <w:right w:w="120" w:type="dxa"/>
            </w:tcMar>
            <w:vAlign w:val="center"/>
          </w:tcPr>
          <w:p w:rsidRPr="001F207E" w:rsidR="00A048FE" w:rsidP="00A048FE" w:rsidRDefault="00F06199" w14:paraId="0FF2D7D7" w14:textId="7C848B8E">
            <w:pPr>
              <w:widowControl w:val="0"/>
              <w:jc w:val="center"/>
              <w:rPr>
                <w:rFonts w:ascii="Arial" w:hAnsi="Arial" w:cs="Arial"/>
                <w:sz w:val="22"/>
                <w:szCs w:val="22"/>
              </w:rPr>
            </w:pPr>
            <w:r>
              <w:rPr>
                <w:rFonts w:ascii="Arial" w:hAnsi="Arial" w:cs="Arial"/>
                <w:sz w:val="22"/>
                <w:szCs w:val="22"/>
              </w:rPr>
              <w:t>21</w:t>
            </w:r>
          </w:p>
        </w:tc>
        <w:tc>
          <w:tcPr>
            <w:tcW w:w="1710" w:type="dxa"/>
            <w:tcMar>
              <w:top w:w="120" w:type="dxa"/>
              <w:left w:w="120" w:type="dxa"/>
              <w:bottom w:w="58" w:type="dxa"/>
              <w:right w:w="120" w:type="dxa"/>
            </w:tcMar>
            <w:vAlign w:val="center"/>
          </w:tcPr>
          <w:p w:rsidRPr="001F207E" w:rsidR="00A048FE" w:rsidP="00A048FE" w:rsidRDefault="00497196" w14:paraId="724F072E" w14:textId="36839663">
            <w:pPr>
              <w:widowControl w:val="0"/>
              <w:jc w:val="center"/>
              <w:rPr>
                <w:rFonts w:ascii="Arial" w:hAnsi="Arial" w:cs="Arial"/>
                <w:sz w:val="22"/>
                <w:szCs w:val="22"/>
              </w:rPr>
            </w:pPr>
            <w:r>
              <w:rPr>
                <w:rFonts w:ascii="Arial" w:hAnsi="Arial" w:cs="Arial"/>
                <w:sz w:val="22"/>
                <w:szCs w:val="22"/>
              </w:rPr>
              <w:t>-</w:t>
            </w:r>
          </w:p>
        </w:tc>
        <w:tc>
          <w:tcPr>
            <w:tcW w:w="1710" w:type="dxa"/>
            <w:tcMar>
              <w:top w:w="120" w:type="dxa"/>
              <w:left w:w="120" w:type="dxa"/>
              <w:bottom w:w="58" w:type="dxa"/>
              <w:right w:w="120" w:type="dxa"/>
            </w:tcMar>
            <w:vAlign w:val="center"/>
          </w:tcPr>
          <w:p w:rsidRPr="001F207E" w:rsidR="00A048FE" w:rsidP="00A048FE" w:rsidRDefault="00CE772D" w14:paraId="5CD352C4" w14:textId="273E50E3">
            <w:pPr>
              <w:widowControl w:val="0"/>
              <w:jc w:val="center"/>
              <w:rPr>
                <w:rFonts w:ascii="Arial" w:hAnsi="Arial" w:cs="Arial"/>
                <w:sz w:val="22"/>
                <w:szCs w:val="22"/>
              </w:rPr>
            </w:pPr>
            <w:r>
              <w:rPr>
                <w:rFonts w:ascii="Arial" w:hAnsi="Arial" w:cs="Arial"/>
                <w:color w:val="000000"/>
                <w:sz w:val="22"/>
                <w:szCs w:val="22"/>
              </w:rPr>
              <w:t>1,074</w:t>
            </w:r>
          </w:p>
        </w:tc>
        <w:tc>
          <w:tcPr>
            <w:tcW w:w="2520" w:type="dxa"/>
            <w:tcMar>
              <w:top w:w="120" w:type="dxa"/>
              <w:left w:w="120" w:type="dxa"/>
              <w:bottom w:w="58" w:type="dxa"/>
              <w:right w:w="120" w:type="dxa"/>
            </w:tcMar>
            <w:vAlign w:val="center"/>
          </w:tcPr>
          <w:p w:rsidRPr="001F207E" w:rsidR="00A048FE" w:rsidP="00A048FE" w:rsidRDefault="00A048FE" w14:paraId="321B0823" w14:textId="5715B4E3">
            <w:pPr>
              <w:widowControl w:val="0"/>
              <w:jc w:val="center"/>
              <w:rPr>
                <w:rFonts w:ascii="Arial" w:hAnsi="Arial" w:cs="Arial"/>
                <w:sz w:val="22"/>
                <w:szCs w:val="22"/>
              </w:rPr>
            </w:pPr>
            <w:r>
              <w:rPr>
                <w:rFonts w:ascii="Arial" w:hAnsi="Arial" w:cs="Arial"/>
                <w:color w:val="000000"/>
                <w:sz w:val="22"/>
                <w:szCs w:val="22"/>
              </w:rPr>
              <w:t>$</w:t>
            </w:r>
            <w:r w:rsidR="00CE772D">
              <w:rPr>
                <w:rFonts w:ascii="Arial" w:hAnsi="Arial" w:cs="Arial"/>
                <w:color w:val="000000"/>
                <w:sz w:val="22"/>
                <w:szCs w:val="22"/>
              </w:rPr>
              <w:t>299,646</w:t>
            </w:r>
          </w:p>
        </w:tc>
      </w:tr>
    </w:tbl>
    <w:p w:rsidRPr="001F207E" w:rsidR="00431598" w:rsidP="00397531" w:rsidRDefault="00431598" w14:paraId="3DD58638" w14:textId="77777777">
      <w:pPr>
        <w:widowControl w:val="0"/>
        <w:ind w:left="-6360" w:firstLine="6360"/>
        <w:rPr>
          <w:rFonts w:ascii="Arial" w:hAnsi="Arial" w:cs="Arial"/>
          <w:sz w:val="22"/>
          <w:szCs w:val="22"/>
        </w:rPr>
      </w:pPr>
    </w:p>
    <w:p w:rsidRPr="001F207E" w:rsidR="00431598" w:rsidP="008E1FFF" w:rsidRDefault="00431598" w14:paraId="438AE5AA" w14:textId="5EDBB73F">
      <w:pPr>
        <w:widowControl w:val="0"/>
        <w:rPr>
          <w:rFonts w:ascii="Arial" w:hAnsi="Arial" w:cs="Arial"/>
          <w:sz w:val="22"/>
          <w:szCs w:val="22"/>
        </w:rPr>
      </w:pPr>
      <w:r w:rsidRPr="001F207E">
        <w:rPr>
          <w:rFonts w:ascii="Arial" w:hAnsi="Arial" w:cs="Arial"/>
          <w:sz w:val="22"/>
          <w:szCs w:val="22"/>
        </w:rPr>
        <w:t>Total Annual Burden:</w:t>
      </w:r>
      <w:r w:rsidRPr="001F207E">
        <w:rPr>
          <w:rFonts w:ascii="Arial" w:hAnsi="Arial" w:cs="Arial"/>
          <w:sz w:val="22"/>
          <w:szCs w:val="22"/>
        </w:rPr>
        <w:tab/>
      </w:r>
      <w:r w:rsidRPr="001F207E">
        <w:rPr>
          <w:rFonts w:ascii="Arial" w:hAnsi="Arial" w:cs="Arial"/>
          <w:sz w:val="22"/>
          <w:szCs w:val="22"/>
        </w:rPr>
        <w:tab/>
      </w:r>
      <w:bookmarkStart w:name="_Hlk68242421" w:id="0"/>
      <w:r w:rsidR="00D57C16">
        <w:rPr>
          <w:rFonts w:ascii="Arial" w:hAnsi="Arial" w:cs="Arial"/>
          <w:sz w:val="22"/>
          <w:szCs w:val="22"/>
        </w:rPr>
        <w:t>77,734</w:t>
      </w:r>
      <w:r w:rsidRPr="00D2376D" w:rsidR="00D2376D">
        <w:rPr>
          <w:rFonts w:ascii="Arial" w:hAnsi="Arial" w:cs="Arial"/>
          <w:sz w:val="22"/>
          <w:szCs w:val="22"/>
        </w:rPr>
        <w:t xml:space="preserve"> </w:t>
      </w:r>
      <w:r w:rsidRPr="001F207E">
        <w:rPr>
          <w:rFonts w:ascii="Arial" w:hAnsi="Arial" w:cs="Arial"/>
          <w:sz w:val="22"/>
          <w:szCs w:val="22"/>
        </w:rPr>
        <w:t>(</w:t>
      </w:r>
      <w:r w:rsidR="00CE772D">
        <w:rPr>
          <w:rFonts w:ascii="Arial" w:hAnsi="Arial" w:cs="Arial"/>
          <w:sz w:val="22"/>
          <w:szCs w:val="22"/>
        </w:rPr>
        <w:t>76,660</w:t>
      </w:r>
      <w:r w:rsidR="008E1FFF">
        <w:rPr>
          <w:rFonts w:ascii="Arial" w:hAnsi="Arial" w:cs="Arial"/>
          <w:sz w:val="22"/>
          <w:szCs w:val="22"/>
        </w:rPr>
        <w:t xml:space="preserve"> hours reporting + 1,</w:t>
      </w:r>
      <w:r w:rsidR="00CE772D">
        <w:rPr>
          <w:rFonts w:ascii="Arial" w:hAnsi="Arial" w:cs="Arial"/>
          <w:sz w:val="22"/>
          <w:szCs w:val="22"/>
        </w:rPr>
        <w:t>074</w:t>
      </w:r>
      <w:r w:rsidR="008E1FFF">
        <w:rPr>
          <w:rFonts w:ascii="Arial" w:hAnsi="Arial" w:cs="Arial"/>
          <w:sz w:val="22"/>
          <w:szCs w:val="22"/>
        </w:rPr>
        <w:t xml:space="preserve"> hour</w:t>
      </w:r>
      <w:r w:rsidR="00A048FE">
        <w:rPr>
          <w:rFonts w:ascii="Arial" w:hAnsi="Arial" w:cs="Arial"/>
          <w:sz w:val="22"/>
          <w:szCs w:val="22"/>
        </w:rPr>
        <w:t>s</w:t>
      </w:r>
      <w:r w:rsidR="008E1FFF">
        <w:rPr>
          <w:rFonts w:ascii="Arial" w:hAnsi="Arial" w:cs="Arial"/>
          <w:sz w:val="22"/>
          <w:szCs w:val="22"/>
        </w:rPr>
        <w:t xml:space="preserve"> recordkeeping)</w:t>
      </w:r>
      <w:bookmarkEnd w:id="0"/>
    </w:p>
    <w:p w:rsidRPr="001F207E" w:rsidR="00431598" w:rsidP="00397531" w:rsidRDefault="00431598" w14:paraId="42998F76" w14:textId="49DB00EE">
      <w:pPr>
        <w:widowControl w:val="0"/>
        <w:ind w:left="-6360" w:firstLine="6360"/>
        <w:rPr>
          <w:rFonts w:ascii="Arial" w:hAnsi="Arial" w:cs="Arial"/>
          <w:sz w:val="22"/>
          <w:szCs w:val="22"/>
        </w:rPr>
      </w:pPr>
      <w:r w:rsidRPr="001F207E">
        <w:rPr>
          <w:rFonts w:ascii="Arial" w:hAnsi="Arial" w:cs="Arial"/>
          <w:sz w:val="22"/>
          <w:szCs w:val="22"/>
        </w:rPr>
        <w:t>Total Burden Hour Cost:</w:t>
      </w:r>
      <w:r w:rsidRPr="001F207E">
        <w:rPr>
          <w:rFonts w:ascii="Arial" w:hAnsi="Arial" w:cs="Arial"/>
          <w:sz w:val="22"/>
          <w:szCs w:val="22"/>
        </w:rPr>
        <w:tab/>
      </w:r>
      <w:r w:rsidRPr="001F207E" w:rsidR="00B3588C">
        <w:rPr>
          <w:rFonts w:ascii="Arial" w:hAnsi="Arial" w:cs="Arial"/>
          <w:sz w:val="22"/>
          <w:szCs w:val="22"/>
        </w:rPr>
        <w:t>$</w:t>
      </w:r>
      <w:r w:rsidR="00D57C16">
        <w:rPr>
          <w:rFonts w:ascii="Arial" w:hAnsi="Arial" w:cs="Arial"/>
          <w:sz w:val="22"/>
          <w:szCs w:val="22"/>
        </w:rPr>
        <w:t>21,687,786</w:t>
      </w:r>
      <w:r w:rsidRPr="0080366A" w:rsidR="0080366A">
        <w:rPr>
          <w:rFonts w:ascii="Arial" w:hAnsi="Arial" w:cs="Arial"/>
          <w:sz w:val="22"/>
          <w:szCs w:val="22"/>
        </w:rPr>
        <w:t xml:space="preserve"> </w:t>
      </w:r>
      <w:r w:rsidRPr="001F207E">
        <w:rPr>
          <w:rFonts w:ascii="Arial" w:hAnsi="Arial" w:cs="Arial"/>
          <w:sz w:val="22"/>
          <w:szCs w:val="22"/>
        </w:rPr>
        <w:t>(</w:t>
      </w:r>
      <w:r w:rsidR="00D57C16">
        <w:rPr>
          <w:rFonts w:ascii="Arial" w:hAnsi="Arial" w:cs="Arial"/>
          <w:sz w:val="22"/>
          <w:szCs w:val="22"/>
        </w:rPr>
        <w:t>77,734</w:t>
      </w:r>
      <w:r w:rsidRPr="001F207E">
        <w:rPr>
          <w:rFonts w:ascii="Arial" w:hAnsi="Arial" w:cs="Arial"/>
          <w:sz w:val="22"/>
          <w:szCs w:val="22"/>
        </w:rPr>
        <w:t> hours x $</w:t>
      </w:r>
      <w:r w:rsidRPr="001F207E" w:rsidR="0028571C">
        <w:rPr>
          <w:rFonts w:ascii="Arial" w:hAnsi="Arial" w:cs="Arial"/>
          <w:sz w:val="22"/>
          <w:szCs w:val="22"/>
        </w:rPr>
        <w:t>279</w:t>
      </w:r>
      <w:r w:rsidRPr="001F207E">
        <w:rPr>
          <w:rFonts w:ascii="Arial" w:hAnsi="Arial" w:cs="Arial"/>
          <w:sz w:val="22"/>
          <w:szCs w:val="22"/>
        </w:rPr>
        <w:t>/hour)</w:t>
      </w:r>
    </w:p>
    <w:p w:rsidRPr="001F207E" w:rsidR="00431598" w:rsidP="00397531" w:rsidRDefault="00431598" w14:paraId="18218081" w14:textId="03EAD434">
      <w:pPr>
        <w:widowControl w:val="0"/>
        <w:rPr>
          <w:rFonts w:ascii="Arial" w:hAnsi="Arial" w:cs="Arial"/>
          <w:sz w:val="22"/>
          <w:szCs w:val="22"/>
        </w:rPr>
      </w:pPr>
      <w:r w:rsidRPr="001F207E">
        <w:rPr>
          <w:rFonts w:ascii="Arial" w:hAnsi="Arial" w:cs="Arial"/>
          <w:sz w:val="22"/>
          <w:szCs w:val="22"/>
        </w:rPr>
        <w:t>Total Responses:</w:t>
      </w:r>
      <w:r w:rsidRPr="001F207E">
        <w:rPr>
          <w:rFonts w:ascii="Arial" w:hAnsi="Arial" w:cs="Arial"/>
          <w:sz w:val="22"/>
          <w:szCs w:val="22"/>
        </w:rPr>
        <w:tab/>
      </w:r>
      <w:r w:rsidRPr="001F207E">
        <w:rPr>
          <w:rFonts w:ascii="Arial" w:hAnsi="Arial" w:cs="Arial"/>
          <w:sz w:val="22"/>
          <w:szCs w:val="22"/>
        </w:rPr>
        <w:tab/>
      </w:r>
      <w:r w:rsidRPr="001F207E" w:rsidR="009202C4">
        <w:rPr>
          <w:rFonts w:ascii="Arial" w:hAnsi="Arial" w:cs="Arial"/>
          <w:sz w:val="22"/>
          <w:szCs w:val="22"/>
        </w:rPr>
        <w:t>38</w:t>
      </w:r>
      <w:r w:rsidR="00936A50">
        <w:rPr>
          <w:rFonts w:ascii="Arial" w:hAnsi="Arial" w:cs="Arial"/>
          <w:sz w:val="22"/>
          <w:szCs w:val="22"/>
        </w:rPr>
        <w:t>0</w:t>
      </w:r>
      <w:r w:rsidRPr="001F207E" w:rsidR="009202C4">
        <w:rPr>
          <w:rFonts w:ascii="Arial" w:hAnsi="Arial" w:cs="Arial"/>
          <w:sz w:val="22"/>
          <w:szCs w:val="22"/>
        </w:rPr>
        <w:t xml:space="preserve"> </w:t>
      </w:r>
      <w:r w:rsidRPr="001F207E">
        <w:rPr>
          <w:rFonts w:ascii="Arial" w:hAnsi="Arial" w:cs="Arial"/>
          <w:sz w:val="22"/>
          <w:szCs w:val="22"/>
        </w:rPr>
        <w:t>(</w:t>
      </w:r>
      <w:r w:rsidRPr="001F207E" w:rsidR="009202C4">
        <w:rPr>
          <w:rFonts w:ascii="Arial" w:hAnsi="Arial" w:cs="Arial"/>
          <w:sz w:val="22"/>
          <w:szCs w:val="22"/>
        </w:rPr>
        <w:t xml:space="preserve">359 </w:t>
      </w:r>
      <w:r w:rsidRPr="001F207E">
        <w:rPr>
          <w:rFonts w:ascii="Arial" w:hAnsi="Arial" w:cs="Arial"/>
          <w:sz w:val="22"/>
          <w:szCs w:val="22"/>
        </w:rPr>
        <w:t xml:space="preserve">responses plus </w:t>
      </w:r>
      <w:r w:rsidRPr="001F207E" w:rsidR="00270293">
        <w:rPr>
          <w:rFonts w:ascii="Arial" w:hAnsi="Arial" w:cs="Arial"/>
          <w:sz w:val="22"/>
          <w:szCs w:val="22"/>
        </w:rPr>
        <w:t>2</w:t>
      </w:r>
      <w:r w:rsidR="00936A50">
        <w:rPr>
          <w:rFonts w:ascii="Arial" w:hAnsi="Arial" w:cs="Arial"/>
          <w:sz w:val="22"/>
          <w:szCs w:val="22"/>
        </w:rPr>
        <w:t>1</w:t>
      </w:r>
      <w:r w:rsidRPr="001F207E" w:rsidR="00270293">
        <w:rPr>
          <w:rFonts w:ascii="Arial" w:hAnsi="Arial" w:cs="Arial"/>
          <w:sz w:val="22"/>
          <w:szCs w:val="22"/>
        </w:rPr>
        <w:t xml:space="preserve"> </w:t>
      </w:r>
      <w:r w:rsidRPr="001F207E">
        <w:rPr>
          <w:rFonts w:ascii="Arial" w:hAnsi="Arial" w:cs="Arial"/>
          <w:sz w:val="22"/>
          <w:szCs w:val="22"/>
        </w:rPr>
        <w:t>recordkeepers)</w:t>
      </w:r>
    </w:p>
    <w:p w:rsidRPr="001F207E" w:rsidR="009A218E" w:rsidP="009A218E" w:rsidRDefault="009A218E" w14:paraId="584B9826" w14:textId="77777777">
      <w:pPr>
        <w:widowControl w:val="0"/>
        <w:tabs>
          <w:tab w:val="center" w:pos="4680"/>
        </w:tabs>
        <w:jc w:val="center"/>
        <w:rPr>
          <w:rFonts w:ascii="Arial" w:hAnsi="Arial" w:cs="Arial"/>
          <w:sz w:val="22"/>
          <w:szCs w:val="22"/>
        </w:rPr>
      </w:pPr>
      <w:r w:rsidRPr="001F207E">
        <w:rPr>
          <w:rFonts w:ascii="Arial" w:hAnsi="Arial" w:cs="Arial"/>
          <w:sz w:val="22"/>
          <w:szCs w:val="22"/>
        </w:rPr>
        <w:br w:type="page"/>
      </w:r>
      <w:r w:rsidRPr="001F207E">
        <w:rPr>
          <w:rFonts w:ascii="Arial" w:hAnsi="Arial" w:cs="Arial"/>
          <w:sz w:val="22"/>
          <w:szCs w:val="22"/>
        </w:rPr>
        <w:lastRenderedPageBreak/>
        <w:t>APPENDIX A</w:t>
      </w:r>
    </w:p>
    <w:p w:rsidRPr="001F207E" w:rsidR="009A218E" w:rsidP="009A218E" w:rsidRDefault="009A218E" w14:paraId="6718C7FD" w14:textId="77777777">
      <w:pPr>
        <w:widowControl w:val="0"/>
        <w:tabs>
          <w:tab w:val="center" w:pos="4680"/>
        </w:tabs>
        <w:jc w:val="center"/>
        <w:rPr>
          <w:rFonts w:ascii="Arial" w:hAnsi="Arial" w:cs="Arial"/>
          <w:sz w:val="22"/>
          <w:szCs w:val="22"/>
        </w:rPr>
      </w:pPr>
      <w:r w:rsidRPr="001F207E">
        <w:rPr>
          <w:rFonts w:ascii="Arial" w:hAnsi="Arial" w:cs="Arial"/>
          <w:sz w:val="22"/>
          <w:szCs w:val="22"/>
        </w:rPr>
        <w:t>DESCRIPTION OF REQUIREMENTS</w:t>
      </w:r>
    </w:p>
    <w:p w:rsidRPr="001F207E" w:rsidR="009A218E" w:rsidP="009A218E" w:rsidRDefault="009A218E" w14:paraId="3CBD1B1D" w14:textId="77777777">
      <w:pPr>
        <w:widowControl w:val="0"/>
        <w:tabs>
          <w:tab w:val="center" w:pos="4680"/>
        </w:tabs>
        <w:jc w:val="center"/>
        <w:rPr>
          <w:rFonts w:ascii="Arial" w:hAnsi="Arial" w:cs="Arial"/>
          <w:sz w:val="22"/>
          <w:szCs w:val="22"/>
        </w:rPr>
      </w:pPr>
      <w:r w:rsidRPr="001F207E">
        <w:rPr>
          <w:rFonts w:ascii="Arial" w:hAnsi="Arial" w:cs="Arial"/>
          <w:sz w:val="22"/>
          <w:szCs w:val="22"/>
        </w:rPr>
        <w:t>PERFORMANCE INDICATORS</w:t>
      </w:r>
    </w:p>
    <w:p w:rsidRPr="001F207E" w:rsidR="009A218E" w:rsidP="009A218E" w:rsidRDefault="009A218E" w14:paraId="3DC5F815" w14:textId="77777777">
      <w:pPr>
        <w:widowControl w:val="0"/>
        <w:tabs>
          <w:tab w:val="center" w:pos="4680"/>
        </w:tabs>
        <w:jc w:val="center"/>
        <w:rPr>
          <w:rFonts w:ascii="Arial" w:hAnsi="Arial" w:cs="Arial"/>
          <w:sz w:val="22"/>
          <w:szCs w:val="22"/>
        </w:rPr>
      </w:pPr>
    </w:p>
    <w:p w:rsidR="009A218E" w:rsidP="00C87D02" w:rsidRDefault="009A218E" w14:paraId="6ECB2195" w14:textId="4FE647FD">
      <w:pPr>
        <w:pStyle w:val="NormalWeb"/>
        <w:spacing w:before="0" w:beforeAutospacing="0" w:after="0" w:afterAutospacing="0"/>
        <w:rPr>
          <w:rFonts w:ascii="Arial" w:hAnsi="Arial" w:cs="Arial"/>
          <w:lang w:val="en"/>
        </w:rPr>
      </w:pPr>
      <w:r w:rsidRPr="001F207E">
        <w:rPr>
          <w:rFonts w:ascii="Arial" w:hAnsi="Arial" w:cs="Arial"/>
          <w:lang w:val="en"/>
        </w:rPr>
        <w:t>There are three PIs in the initiating events cornerstone:</w:t>
      </w:r>
    </w:p>
    <w:p w:rsidRPr="001F207E" w:rsidR="00C87D02" w:rsidP="00C87D02" w:rsidRDefault="00C87D02" w14:paraId="50649CD6" w14:textId="77777777">
      <w:pPr>
        <w:pStyle w:val="NormalWeb"/>
        <w:spacing w:before="0" w:beforeAutospacing="0" w:after="0" w:afterAutospacing="0"/>
        <w:rPr>
          <w:rFonts w:ascii="Arial" w:hAnsi="Arial" w:cs="Arial"/>
          <w:lang w:val="en"/>
        </w:rPr>
      </w:pPr>
    </w:p>
    <w:p w:rsidRPr="001F207E" w:rsidR="009A218E" w:rsidP="00C87D02" w:rsidRDefault="009A218E" w14:paraId="01D436D0" w14:textId="77777777">
      <w:pPr>
        <w:numPr>
          <w:ilvl w:val="0"/>
          <w:numId w:val="19"/>
        </w:numPr>
        <w:rPr>
          <w:rFonts w:ascii="Arial" w:hAnsi="Arial" w:cs="Arial"/>
          <w:sz w:val="22"/>
          <w:szCs w:val="22"/>
          <w:lang w:val="en"/>
        </w:rPr>
      </w:pPr>
      <w:r w:rsidRPr="001F207E">
        <w:rPr>
          <w:rStyle w:val="Strong"/>
          <w:rFonts w:ascii="Arial" w:hAnsi="Arial" w:cs="Arial"/>
          <w:sz w:val="22"/>
          <w:szCs w:val="22"/>
          <w:lang w:val="en"/>
        </w:rPr>
        <w:t>Unplanned Scrams (IE01)</w:t>
      </w:r>
      <w:r w:rsidRPr="001F207E">
        <w:rPr>
          <w:rFonts w:ascii="Arial" w:hAnsi="Arial" w:cs="Arial"/>
          <w:sz w:val="22"/>
          <w:szCs w:val="22"/>
          <w:lang w:val="en"/>
        </w:rPr>
        <w:t xml:space="preserve"> – The number of unplanned scrams during the previous four quarters, both manual and automatic, while critical per 7,000 hours. The scram rate is calculated per 7,000 critical hours because that value is representative of the critical hours of operation in a year for a typical plant.</w:t>
      </w:r>
    </w:p>
    <w:p w:rsidRPr="001F207E" w:rsidR="009A218E" w:rsidP="00C87D02" w:rsidRDefault="009A218E" w14:paraId="45476968" w14:textId="77777777">
      <w:pPr>
        <w:numPr>
          <w:ilvl w:val="0"/>
          <w:numId w:val="19"/>
        </w:numPr>
        <w:rPr>
          <w:rFonts w:ascii="Arial" w:hAnsi="Arial" w:cs="Arial"/>
          <w:sz w:val="22"/>
          <w:szCs w:val="22"/>
          <w:lang w:val="en"/>
        </w:rPr>
      </w:pPr>
      <w:r w:rsidRPr="001F207E">
        <w:rPr>
          <w:rStyle w:val="Strong"/>
          <w:rFonts w:ascii="Arial" w:hAnsi="Arial" w:cs="Arial"/>
          <w:sz w:val="22"/>
          <w:szCs w:val="22"/>
          <w:lang w:val="en"/>
        </w:rPr>
        <w:t>Unplanned Power Changes (IE03)</w:t>
      </w:r>
      <w:r w:rsidRPr="001F207E">
        <w:rPr>
          <w:rFonts w:ascii="Arial" w:hAnsi="Arial" w:cs="Arial"/>
          <w:sz w:val="22"/>
          <w:szCs w:val="22"/>
          <w:lang w:val="en"/>
        </w:rPr>
        <w:t xml:space="preserve"> – The number of unplanned changes in reactor power of greater than 20-percent full-power, per 7,000 hours of critical operation, excluding manual and automatic scrams.</w:t>
      </w:r>
    </w:p>
    <w:p w:rsidRPr="001F207E" w:rsidR="009A218E" w:rsidP="00C87D02" w:rsidRDefault="009A218E" w14:paraId="5FA39C30" w14:textId="77777777">
      <w:pPr>
        <w:numPr>
          <w:ilvl w:val="0"/>
          <w:numId w:val="19"/>
        </w:numPr>
        <w:rPr>
          <w:rFonts w:ascii="Arial" w:hAnsi="Arial" w:cs="Arial"/>
          <w:sz w:val="22"/>
          <w:szCs w:val="22"/>
          <w:lang w:val="en"/>
        </w:rPr>
      </w:pPr>
      <w:r w:rsidRPr="001F207E">
        <w:rPr>
          <w:rStyle w:val="Strong"/>
          <w:rFonts w:ascii="Arial" w:hAnsi="Arial" w:cs="Arial"/>
          <w:sz w:val="22"/>
          <w:szCs w:val="22"/>
          <w:lang w:val="en"/>
        </w:rPr>
        <w:t>Unplanned Scrams with Complications (IE04)</w:t>
      </w:r>
      <w:r w:rsidRPr="001F207E">
        <w:rPr>
          <w:rFonts w:ascii="Arial" w:hAnsi="Arial" w:cs="Arial"/>
          <w:sz w:val="22"/>
          <w:szCs w:val="22"/>
          <w:lang w:val="en"/>
        </w:rPr>
        <w:t xml:space="preserve"> – The number of unplanned scrams while critical, both manual and automatic, during the previous four quarters require additional operator actions as defined by the flowchart in </w:t>
      </w:r>
      <w:hyperlink w:history="1" r:id="rId14">
        <w:r w:rsidRPr="001F207E">
          <w:rPr>
            <w:rStyle w:val="Hyperlink"/>
            <w:rFonts w:ascii="Arial" w:hAnsi="Arial" w:cs="Arial"/>
            <w:sz w:val="22"/>
            <w:szCs w:val="22"/>
            <w:lang w:val="en"/>
          </w:rPr>
          <w:t>NEI 99-02 Rev 7</w:t>
        </w:r>
      </w:hyperlink>
      <w:r w:rsidRPr="001F207E">
        <w:rPr>
          <w:rFonts w:ascii="Arial" w:hAnsi="Arial" w:cs="Arial"/>
          <w:sz w:val="22"/>
          <w:szCs w:val="22"/>
          <w:lang w:val="en"/>
        </w:rPr>
        <w:t xml:space="preserve"> , "Regulatory Assessment Performance Indicator Guideline."</w:t>
      </w:r>
    </w:p>
    <w:p w:rsidR="00C87D02" w:rsidP="00C87D02" w:rsidRDefault="00C87D02" w14:paraId="353BBD9F" w14:textId="77777777">
      <w:pPr>
        <w:pStyle w:val="NormalWeb"/>
        <w:spacing w:before="0" w:beforeAutospacing="0" w:after="0" w:afterAutospacing="0"/>
        <w:rPr>
          <w:rFonts w:ascii="Arial" w:hAnsi="Arial" w:cs="Arial"/>
          <w:lang w:val="en"/>
        </w:rPr>
      </w:pPr>
    </w:p>
    <w:p w:rsidR="009A218E" w:rsidP="00C87D02" w:rsidRDefault="009A218E" w14:paraId="22ABD360" w14:textId="3EE1951C">
      <w:pPr>
        <w:pStyle w:val="NormalWeb"/>
        <w:spacing w:before="0" w:beforeAutospacing="0" w:after="0" w:afterAutospacing="0"/>
        <w:rPr>
          <w:rFonts w:ascii="Arial" w:hAnsi="Arial" w:cs="Arial"/>
          <w:lang w:val="en"/>
        </w:rPr>
      </w:pPr>
      <w:r w:rsidRPr="001F207E">
        <w:rPr>
          <w:rFonts w:ascii="Arial" w:hAnsi="Arial" w:cs="Arial"/>
          <w:lang w:val="en"/>
        </w:rPr>
        <w:t>There are currently six PIs in the mitigating systems cornerstone:</w:t>
      </w:r>
    </w:p>
    <w:p w:rsidRPr="001F207E" w:rsidR="00C87D02" w:rsidP="00C87D02" w:rsidRDefault="00C87D02" w14:paraId="6F222511" w14:textId="77777777">
      <w:pPr>
        <w:pStyle w:val="NormalWeb"/>
        <w:spacing w:before="0" w:beforeAutospacing="0" w:after="0" w:afterAutospacing="0"/>
        <w:rPr>
          <w:rFonts w:ascii="Arial" w:hAnsi="Arial" w:cs="Arial"/>
          <w:lang w:val="en"/>
        </w:rPr>
      </w:pPr>
    </w:p>
    <w:p w:rsidRPr="001F207E" w:rsidR="009A218E" w:rsidP="00C87D02" w:rsidRDefault="009A218E" w14:paraId="34D8DFF8" w14:textId="77777777">
      <w:pPr>
        <w:numPr>
          <w:ilvl w:val="0"/>
          <w:numId w:val="20"/>
        </w:numPr>
        <w:rPr>
          <w:rFonts w:ascii="Arial" w:hAnsi="Arial" w:cs="Arial"/>
          <w:sz w:val="22"/>
          <w:szCs w:val="22"/>
          <w:lang w:val="en"/>
        </w:rPr>
      </w:pPr>
      <w:r w:rsidRPr="001F207E">
        <w:rPr>
          <w:rStyle w:val="Strong"/>
          <w:rFonts w:ascii="Arial" w:hAnsi="Arial" w:cs="Arial"/>
          <w:sz w:val="22"/>
          <w:szCs w:val="22"/>
          <w:lang w:val="en"/>
        </w:rPr>
        <w:t>Safety System Functional Failures (MS05)</w:t>
      </w:r>
      <w:r w:rsidRPr="001F207E">
        <w:rPr>
          <w:rFonts w:ascii="Arial" w:hAnsi="Arial" w:cs="Arial"/>
          <w:sz w:val="22"/>
          <w:szCs w:val="22"/>
          <w:lang w:val="en"/>
        </w:rPr>
        <w:t>—The number of events or conditions that alone prevented, or could have prevented, the fulfillment of the safety function of structures or systems in the previous four quarters.</w:t>
      </w:r>
    </w:p>
    <w:p w:rsidRPr="001F207E" w:rsidR="009A218E" w:rsidP="00C87D02" w:rsidRDefault="009A218E" w14:paraId="7F14FB9D" w14:textId="77777777">
      <w:pPr>
        <w:numPr>
          <w:ilvl w:val="0"/>
          <w:numId w:val="20"/>
        </w:numPr>
        <w:rPr>
          <w:rFonts w:ascii="Arial" w:hAnsi="Arial" w:cs="Arial"/>
          <w:sz w:val="22"/>
          <w:szCs w:val="22"/>
          <w:lang w:val="en"/>
        </w:rPr>
      </w:pPr>
      <w:r w:rsidRPr="001F207E">
        <w:rPr>
          <w:rStyle w:val="Strong"/>
          <w:rFonts w:ascii="Arial" w:hAnsi="Arial" w:cs="Arial"/>
          <w:sz w:val="22"/>
          <w:szCs w:val="22"/>
          <w:lang w:val="en"/>
        </w:rPr>
        <w:t>Emergency AC Power Systems (MS06)</w:t>
      </w:r>
      <w:r w:rsidRPr="001F207E">
        <w:rPr>
          <w:rFonts w:ascii="Arial" w:hAnsi="Arial" w:cs="Arial"/>
          <w:sz w:val="22"/>
          <w:szCs w:val="22"/>
          <w:lang w:val="en"/>
        </w:rPr>
        <w:t>—The sum of the unavailability of the emergency AC power plus the unreliability for the emergency AC power system during the previous 12 quarters.</w:t>
      </w:r>
    </w:p>
    <w:p w:rsidRPr="001F207E" w:rsidR="009A218E" w:rsidP="00C87D02" w:rsidRDefault="009A218E" w14:paraId="6305C406" w14:textId="77777777">
      <w:pPr>
        <w:numPr>
          <w:ilvl w:val="0"/>
          <w:numId w:val="20"/>
        </w:numPr>
        <w:rPr>
          <w:rFonts w:ascii="Arial" w:hAnsi="Arial" w:cs="Arial"/>
          <w:sz w:val="22"/>
          <w:szCs w:val="22"/>
          <w:lang w:val="en"/>
        </w:rPr>
      </w:pPr>
      <w:r w:rsidRPr="001F207E">
        <w:rPr>
          <w:rStyle w:val="Strong"/>
          <w:rFonts w:ascii="Arial" w:hAnsi="Arial" w:cs="Arial"/>
          <w:sz w:val="22"/>
          <w:szCs w:val="22"/>
          <w:lang w:val="en"/>
        </w:rPr>
        <w:t>High Pressure Injection Systems (MS07)</w:t>
      </w:r>
      <w:r w:rsidRPr="001F207E">
        <w:rPr>
          <w:rFonts w:ascii="Arial" w:hAnsi="Arial" w:cs="Arial"/>
          <w:sz w:val="22"/>
          <w:szCs w:val="22"/>
          <w:lang w:val="en"/>
        </w:rPr>
        <w:t>—The sum of the unavailability of the high pressure injection system plus the unreliability for the high pressure injection system during the previous 12 quarters.</w:t>
      </w:r>
    </w:p>
    <w:p w:rsidRPr="001F207E" w:rsidR="009A218E" w:rsidP="00C87D02" w:rsidRDefault="009A218E" w14:paraId="6F3DFC1C" w14:textId="77777777">
      <w:pPr>
        <w:numPr>
          <w:ilvl w:val="0"/>
          <w:numId w:val="20"/>
        </w:numPr>
        <w:rPr>
          <w:rFonts w:ascii="Arial" w:hAnsi="Arial" w:cs="Arial"/>
          <w:sz w:val="22"/>
          <w:szCs w:val="22"/>
          <w:lang w:val="en"/>
        </w:rPr>
      </w:pPr>
      <w:r w:rsidRPr="001F207E">
        <w:rPr>
          <w:rStyle w:val="Strong"/>
          <w:rFonts w:ascii="Arial" w:hAnsi="Arial" w:cs="Arial"/>
          <w:sz w:val="22"/>
          <w:szCs w:val="22"/>
          <w:lang w:val="en"/>
        </w:rPr>
        <w:t>Heat Removal Systems (MS08)</w:t>
      </w:r>
      <w:r w:rsidRPr="001F207E">
        <w:rPr>
          <w:rFonts w:ascii="Arial" w:hAnsi="Arial" w:cs="Arial"/>
          <w:sz w:val="22"/>
          <w:szCs w:val="22"/>
          <w:lang w:val="en"/>
        </w:rPr>
        <w:t>—The sum of the unavailability of the heat removal system plus the unreliability for the heat removal system during the previous 12 quarters.</w:t>
      </w:r>
    </w:p>
    <w:p w:rsidRPr="001F207E" w:rsidR="009A218E" w:rsidP="00C87D02" w:rsidRDefault="009A218E" w14:paraId="37FDA786" w14:textId="77777777">
      <w:pPr>
        <w:numPr>
          <w:ilvl w:val="0"/>
          <w:numId w:val="20"/>
        </w:numPr>
        <w:rPr>
          <w:rFonts w:ascii="Arial" w:hAnsi="Arial" w:cs="Arial"/>
          <w:sz w:val="22"/>
          <w:szCs w:val="22"/>
          <w:lang w:val="en"/>
        </w:rPr>
      </w:pPr>
      <w:r w:rsidRPr="001F207E">
        <w:rPr>
          <w:rStyle w:val="Strong"/>
          <w:rFonts w:ascii="Arial" w:hAnsi="Arial" w:cs="Arial"/>
          <w:sz w:val="22"/>
          <w:szCs w:val="22"/>
          <w:lang w:val="en"/>
        </w:rPr>
        <w:t>Residual Heat Removal Systems (MS09)</w:t>
      </w:r>
      <w:r w:rsidRPr="001F207E">
        <w:rPr>
          <w:rFonts w:ascii="Arial" w:hAnsi="Arial" w:cs="Arial"/>
          <w:sz w:val="22"/>
          <w:szCs w:val="22"/>
          <w:lang w:val="en"/>
        </w:rPr>
        <w:t>—The sum of the unavailability of the residual heat removal system plus the unreliability for the residual heat removal system during the previous 12 quarters.</w:t>
      </w:r>
    </w:p>
    <w:p w:rsidRPr="001F207E" w:rsidR="009A218E" w:rsidP="00C87D02" w:rsidRDefault="009A218E" w14:paraId="19108225" w14:textId="77777777">
      <w:pPr>
        <w:numPr>
          <w:ilvl w:val="0"/>
          <w:numId w:val="20"/>
        </w:numPr>
        <w:rPr>
          <w:rFonts w:ascii="Arial" w:hAnsi="Arial" w:cs="Arial"/>
          <w:sz w:val="22"/>
          <w:szCs w:val="22"/>
          <w:lang w:val="en"/>
        </w:rPr>
      </w:pPr>
      <w:r w:rsidRPr="001F207E">
        <w:rPr>
          <w:rStyle w:val="Strong"/>
          <w:rFonts w:ascii="Arial" w:hAnsi="Arial" w:cs="Arial"/>
          <w:sz w:val="22"/>
          <w:szCs w:val="22"/>
          <w:lang w:val="en"/>
        </w:rPr>
        <w:t xml:space="preserve">Cooling Water Systems (MS10) </w:t>
      </w:r>
      <w:r w:rsidRPr="001F207E">
        <w:rPr>
          <w:rFonts w:ascii="Arial" w:hAnsi="Arial" w:cs="Arial"/>
          <w:sz w:val="22"/>
          <w:szCs w:val="22"/>
          <w:lang w:val="en"/>
        </w:rPr>
        <w:t>—The sum of the unavailability of cooling water systems plus the unreliability for the cooling water systems during the previous 12 quarters.</w:t>
      </w:r>
    </w:p>
    <w:p w:rsidR="00C87D02" w:rsidP="00C87D02" w:rsidRDefault="00C87D02" w14:paraId="4DFA42D2" w14:textId="77777777">
      <w:pPr>
        <w:pStyle w:val="NormalWeb"/>
        <w:spacing w:before="0" w:beforeAutospacing="0" w:after="0" w:afterAutospacing="0"/>
        <w:rPr>
          <w:rFonts w:ascii="Arial" w:hAnsi="Arial" w:cs="Arial"/>
          <w:lang w:val="en"/>
        </w:rPr>
      </w:pPr>
    </w:p>
    <w:p w:rsidR="009A218E" w:rsidP="00C87D02" w:rsidRDefault="009A218E" w14:paraId="295D7D57" w14:textId="14E23F2B">
      <w:pPr>
        <w:pStyle w:val="NormalWeb"/>
        <w:spacing w:before="0" w:beforeAutospacing="0" w:after="0" w:afterAutospacing="0"/>
        <w:rPr>
          <w:rFonts w:ascii="Arial" w:hAnsi="Arial" w:cs="Arial"/>
          <w:lang w:val="en"/>
        </w:rPr>
      </w:pPr>
      <w:r w:rsidRPr="001F207E">
        <w:rPr>
          <w:rFonts w:ascii="Arial" w:hAnsi="Arial" w:cs="Arial"/>
          <w:lang w:val="en"/>
        </w:rPr>
        <w:t>There are two PIs in the barrier integrity cornerstone:</w:t>
      </w:r>
    </w:p>
    <w:p w:rsidRPr="001F207E" w:rsidR="00C87D02" w:rsidP="00C87D02" w:rsidRDefault="00C87D02" w14:paraId="469E1609" w14:textId="77777777">
      <w:pPr>
        <w:pStyle w:val="NormalWeb"/>
        <w:spacing w:before="0" w:beforeAutospacing="0" w:after="0" w:afterAutospacing="0"/>
        <w:rPr>
          <w:rFonts w:ascii="Arial" w:hAnsi="Arial" w:cs="Arial"/>
          <w:lang w:val="en"/>
        </w:rPr>
      </w:pPr>
    </w:p>
    <w:p w:rsidRPr="001F207E" w:rsidR="009A218E" w:rsidP="00C87D02" w:rsidRDefault="009A218E" w14:paraId="029E396B" w14:textId="77777777">
      <w:pPr>
        <w:numPr>
          <w:ilvl w:val="0"/>
          <w:numId w:val="21"/>
        </w:numPr>
        <w:rPr>
          <w:rFonts w:ascii="Arial" w:hAnsi="Arial" w:cs="Arial"/>
          <w:sz w:val="22"/>
          <w:szCs w:val="22"/>
          <w:lang w:val="en"/>
        </w:rPr>
      </w:pPr>
      <w:r w:rsidRPr="001F207E">
        <w:rPr>
          <w:rStyle w:val="Strong"/>
          <w:rFonts w:ascii="Arial" w:hAnsi="Arial" w:cs="Arial"/>
          <w:sz w:val="22"/>
          <w:szCs w:val="22"/>
          <w:lang w:val="en"/>
        </w:rPr>
        <w:t>Reactor Coolant System (RCS) Specific Activity (BI01)</w:t>
      </w:r>
      <w:r w:rsidRPr="001F207E">
        <w:rPr>
          <w:rFonts w:ascii="Arial" w:hAnsi="Arial" w:cs="Arial"/>
          <w:sz w:val="22"/>
          <w:szCs w:val="22"/>
          <w:lang w:val="en"/>
        </w:rPr>
        <w:t xml:space="preserve"> – The maximum monthly RCS activity in microcuries per gram dose equivalent Iodine-131 per the technical specifications, expressed as a percentage of the technical specification limit.</w:t>
      </w:r>
    </w:p>
    <w:p w:rsidR="009A218E" w:rsidP="00C87D02" w:rsidRDefault="009A218E" w14:paraId="0B0D63F0" w14:textId="39C020B3">
      <w:pPr>
        <w:numPr>
          <w:ilvl w:val="0"/>
          <w:numId w:val="21"/>
        </w:numPr>
        <w:rPr>
          <w:rFonts w:ascii="Arial" w:hAnsi="Arial" w:cs="Arial"/>
          <w:sz w:val="22"/>
          <w:szCs w:val="22"/>
          <w:lang w:val="en"/>
        </w:rPr>
      </w:pPr>
      <w:r w:rsidRPr="001F207E">
        <w:rPr>
          <w:rStyle w:val="Strong"/>
          <w:rFonts w:ascii="Arial" w:hAnsi="Arial" w:cs="Arial"/>
          <w:sz w:val="22"/>
          <w:szCs w:val="22"/>
          <w:lang w:val="en"/>
        </w:rPr>
        <w:t>Reactor Coolant System (RCS) Leakage (BI02)</w:t>
      </w:r>
      <w:r w:rsidRPr="001F207E">
        <w:rPr>
          <w:rFonts w:ascii="Arial" w:hAnsi="Arial" w:cs="Arial"/>
          <w:sz w:val="22"/>
          <w:szCs w:val="22"/>
          <w:lang w:val="en"/>
        </w:rPr>
        <w:t xml:space="preserve"> – The maximum RCS identified Leakage in gallons per minute each month as defined in technical specifications, expressed as a percentage of the technical specification limit.</w:t>
      </w:r>
    </w:p>
    <w:p w:rsidR="00C87D02" w:rsidP="00C87D02" w:rsidRDefault="00C87D02" w14:paraId="1AB34D2B" w14:textId="6BA431CD">
      <w:pPr>
        <w:ind w:left="720"/>
        <w:rPr>
          <w:rStyle w:val="Strong"/>
          <w:rFonts w:ascii="Arial" w:hAnsi="Arial" w:cs="Arial"/>
          <w:sz w:val="22"/>
          <w:szCs w:val="22"/>
          <w:lang w:val="en"/>
        </w:rPr>
      </w:pPr>
    </w:p>
    <w:p w:rsidR="00C87D02" w:rsidP="00C87D02" w:rsidRDefault="00C87D02" w14:paraId="151774BE" w14:textId="3FE66CD3">
      <w:pPr>
        <w:ind w:left="720"/>
        <w:rPr>
          <w:rStyle w:val="Strong"/>
          <w:rFonts w:ascii="Arial" w:hAnsi="Arial" w:cs="Arial"/>
          <w:sz w:val="22"/>
          <w:szCs w:val="22"/>
          <w:lang w:val="en"/>
        </w:rPr>
      </w:pPr>
    </w:p>
    <w:p w:rsidR="00C87D02" w:rsidP="00C87D02" w:rsidRDefault="00C87D02" w14:paraId="05E99F4A" w14:textId="6E909C0B">
      <w:pPr>
        <w:ind w:left="720"/>
        <w:rPr>
          <w:rStyle w:val="Strong"/>
          <w:rFonts w:ascii="Arial" w:hAnsi="Arial" w:cs="Arial"/>
          <w:sz w:val="22"/>
          <w:szCs w:val="22"/>
          <w:lang w:val="en"/>
        </w:rPr>
      </w:pPr>
    </w:p>
    <w:p w:rsidRPr="001F207E" w:rsidR="00C87D02" w:rsidP="00C87D02" w:rsidRDefault="00C87D02" w14:paraId="3CBF3ABF" w14:textId="77777777">
      <w:pPr>
        <w:ind w:left="720"/>
        <w:rPr>
          <w:rFonts w:ascii="Arial" w:hAnsi="Arial" w:cs="Arial"/>
          <w:sz w:val="22"/>
          <w:szCs w:val="22"/>
          <w:lang w:val="en"/>
        </w:rPr>
      </w:pPr>
    </w:p>
    <w:p w:rsidR="009A218E" w:rsidP="00C87D02" w:rsidRDefault="009A218E" w14:paraId="1BBFAC28" w14:textId="55BC6B44">
      <w:pPr>
        <w:pStyle w:val="NormalWeb"/>
        <w:spacing w:before="0" w:beforeAutospacing="0" w:after="0" w:afterAutospacing="0"/>
        <w:rPr>
          <w:rFonts w:ascii="Arial" w:hAnsi="Arial" w:cs="Arial"/>
          <w:lang w:val="en"/>
        </w:rPr>
      </w:pPr>
      <w:r w:rsidRPr="001F207E">
        <w:rPr>
          <w:rFonts w:ascii="Arial" w:hAnsi="Arial" w:cs="Arial"/>
          <w:lang w:val="en"/>
        </w:rPr>
        <w:lastRenderedPageBreak/>
        <w:t>There are three PIs in the emergency preparedness cornerstone:</w:t>
      </w:r>
    </w:p>
    <w:p w:rsidRPr="001F207E" w:rsidR="00D12032" w:rsidP="00C87D02" w:rsidRDefault="00D12032" w14:paraId="386BE5DF" w14:textId="77777777">
      <w:pPr>
        <w:pStyle w:val="NormalWeb"/>
        <w:spacing w:before="0" w:beforeAutospacing="0" w:after="0" w:afterAutospacing="0"/>
        <w:rPr>
          <w:rFonts w:ascii="Arial" w:hAnsi="Arial" w:cs="Arial"/>
          <w:lang w:val="en"/>
        </w:rPr>
      </w:pPr>
    </w:p>
    <w:p w:rsidRPr="001F207E" w:rsidR="009A218E" w:rsidP="00C87D02" w:rsidRDefault="009A218E" w14:paraId="233C4D52" w14:textId="77777777">
      <w:pPr>
        <w:numPr>
          <w:ilvl w:val="0"/>
          <w:numId w:val="22"/>
        </w:numPr>
        <w:rPr>
          <w:rFonts w:ascii="Arial" w:hAnsi="Arial" w:cs="Arial"/>
          <w:sz w:val="22"/>
          <w:szCs w:val="22"/>
          <w:lang w:val="en"/>
        </w:rPr>
      </w:pPr>
      <w:r w:rsidRPr="001F207E">
        <w:rPr>
          <w:rStyle w:val="Strong"/>
          <w:rFonts w:ascii="Arial" w:hAnsi="Arial" w:cs="Arial"/>
          <w:sz w:val="22"/>
          <w:szCs w:val="22"/>
          <w:lang w:val="en"/>
        </w:rPr>
        <w:t>Drill/Exercise Performance (EP01)</w:t>
      </w:r>
      <w:r w:rsidRPr="001F207E">
        <w:rPr>
          <w:rFonts w:ascii="Arial" w:hAnsi="Arial" w:cs="Arial"/>
          <w:sz w:val="22"/>
          <w:szCs w:val="22"/>
          <w:lang w:val="en"/>
        </w:rPr>
        <w:t>—The percentage of all drill, exercise, and actual opportunities that were performed timely and accurately during the previous eight quarters.</w:t>
      </w:r>
    </w:p>
    <w:p w:rsidRPr="001F207E" w:rsidR="009A218E" w:rsidP="00C87D02" w:rsidRDefault="009A218E" w14:paraId="5B6F025D" w14:textId="77777777">
      <w:pPr>
        <w:numPr>
          <w:ilvl w:val="0"/>
          <w:numId w:val="22"/>
        </w:numPr>
        <w:rPr>
          <w:rFonts w:ascii="Arial" w:hAnsi="Arial" w:cs="Arial"/>
          <w:sz w:val="22"/>
          <w:szCs w:val="22"/>
          <w:lang w:val="en"/>
        </w:rPr>
      </w:pPr>
      <w:r w:rsidRPr="001F207E">
        <w:rPr>
          <w:rStyle w:val="Strong"/>
          <w:rFonts w:ascii="Arial" w:hAnsi="Arial" w:cs="Arial"/>
          <w:sz w:val="22"/>
          <w:szCs w:val="22"/>
          <w:lang w:val="en"/>
        </w:rPr>
        <w:t>Emergency Response Organization (ERO) Drill Participation (EP02)</w:t>
      </w:r>
      <w:r w:rsidRPr="001F207E">
        <w:rPr>
          <w:rFonts w:ascii="Arial" w:hAnsi="Arial" w:cs="Arial"/>
          <w:sz w:val="22"/>
          <w:szCs w:val="22"/>
          <w:lang w:val="en"/>
        </w:rPr>
        <w:t>—The percentage of key ERO members that have participated in a drill, exercise, or actual event during the previous eight quarters, as measured on the last calendar day of the quarter.</w:t>
      </w:r>
    </w:p>
    <w:p w:rsidR="009A218E" w:rsidP="00C87D02" w:rsidRDefault="009A218E" w14:paraId="4CBA9B7D" w14:textId="0F3D88D5">
      <w:pPr>
        <w:numPr>
          <w:ilvl w:val="0"/>
          <w:numId w:val="22"/>
        </w:numPr>
        <w:rPr>
          <w:rFonts w:ascii="Arial" w:hAnsi="Arial" w:cs="Arial"/>
          <w:sz w:val="22"/>
          <w:szCs w:val="22"/>
          <w:lang w:val="en"/>
        </w:rPr>
      </w:pPr>
      <w:r w:rsidRPr="001F207E">
        <w:rPr>
          <w:rStyle w:val="Strong"/>
          <w:rFonts w:ascii="Arial" w:hAnsi="Arial" w:cs="Arial"/>
          <w:sz w:val="22"/>
          <w:szCs w:val="22"/>
          <w:lang w:val="en"/>
        </w:rPr>
        <w:t>Alert and Notification System Reliability (EP03)</w:t>
      </w:r>
      <w:r w:rsidRPr="001F207E">
        <w:rPr>
          <w:rFonts w:ascii="Arial" w:hAnsi="Arial" w:cs="Arial"/>
          <w:sz w:val="22"/>
          <w:szCs w:val="22"/>
          <w:lang w:val="en"/>
        </w:rPr>
        <w:t>—The percentage of ANS sirens that are capable of performing their function, as measured by periodic siren testing during the previous 12 months. Periodic tests are the regularly scheduled tests that are conducted to actually test the ability of the sirens to perform their function (e.g., silent, growl, siren sound test).</w:t>
      </w:r>
    </w:p>
    <w:p w:rsidRPr="001F207E" w:rsidR="00C87D02" w:rsidP="00C87D02" w:rsidRDefault="00C87D02" w14:paraId="46B705E1" w14:textId="77777777">
      <w:pPr>
        <w:ind w:left="720"/>
        <w:rPr>
          <w:rFonts w:ascii="Arial" w:hAnsi="Arial" w:cs="Arial"/>
          <w:sz w:val="22"/>
          <w:szCs w:val="22"/>
          <w:lang w:val="en"/>
        </w:rPr>
      </w:pPr>
    </w:p>
    <w:p w:rsidR="009A218E" w:rsidP="00C87D02" w:rsidRDefault="009A218E" w14:paraId="2DEBE992" w14:textId="766972E9">
      <w:pPr>
        <w:rPr>
          <w:rFonts w:ascii="Arial" w:hAnsi="Arial" w:cs="Arial"/>
          <w:sz w:val="22"/>
          <w:szCs w:val="22"/>
          <w:lang w:val="en"/>
        </w:rPr>
      </w:pPr>
      <w:r w:rsidRPr="001F207E">
        <w:rPr>
          <w:rFonts w:ascii="Arial" w:hAnsi="Arial" w:cs="Arial"/>
          <w:sz w:val="22"/>
          <w:szCs w:val="22"/>
          <w:lang w:val="en"/>
        </w:rPr>
        <w:t>There is one PI in the public radiation safety cornerstone:</w:t>
      </w:r>
    </w:p>
    <w:p w:rsidRPr="001F207E" w:rsidR="00C87D02" w:rsidP="00C87D02" w:rsidRDefault="00C87D02" w14:paraId="466A3D3F" w14:textId="77777777">
      <w:pPr>
        <w:rPr>
          <w:rFonts w:ascii="Arial" w:hAnsi="Arial" w:eastAsia="Calibri" w:cs="Arial"/>
          <w:sz w:val="22"/>
          <w:szCs w:val="22"/>
          <w:lang w:val="en"/>
        </w:rPr>
      </w:pPr>
    </w:p>
    <w:p w:rsidR="009A218E" w:rsidP="00C87D02" w:rsidRDefault="009A218E" w14:paraId="4E6C53BD" w14:textId="1E5E7182">
      <w:pPr>
        <w:numPr>
          <w:ilvl w:val="0"/>
          <w:numId w:val="23"/>
        </w:numPr>
        <w:rPr>
          <w:rFonts w:ascii="Arial" w:hAnsi="Arial" w:cs="Arial"/>
          <w:sz w:val="22"/>
          <w:szCs w:val="22"/>
          <w:lang w:val="en"/>
        </w:rPr>
      </w:pPr>
      <w:r w:rsidRPr="001F207E">
        <w:rPr>
          <w:rFonts w:ascii="Arial" w:hAnsi="Arial" w:cs="Arial"/>
          <w:b/>
          <w:bCs/>
          <w:sz w:val="22"/>
          <w:szCs w:val="22"/>
          <w:lang w:val="en"/>
        </w:rPr>
        <w:t>Radiological Effluent Technical Specifications/Offsite Dose Calculation Manual (RETSs/ODCM) (PR01)</w:t>
      </w:r>
      <w:r w:rsidRPr="001F207E">
        <w:rPr>
          <w:rFonts w:ascii="Arial" w:hAnsi="Arial" w:cs="Arial"/>
          <w:sz w:val="22"/>
          <w:szCs w:val="22"/>
          <w:lang w:val="en"/>
        </w:rPr>
        <w:t>—Radiological effluent release occurrences per reactor unit that exceed the values listed below:</w:t>
      </w:r>
    </w:p>
    <w:p w:rsidRPr="001F207E" w:rsidR="00D12032" w:rsidP="00D12032" w:rsidRDefault="00D12032" w14:paraId="2835455F" w14:textId="77777777">
      <w:pPr>
        <w:ind w:left="720"/>
        <w:rPr>
          <w:rFonts w:ascii="Arial" w:hAnsi="Arial" w:cs="Arial"/>
          <w:sz w:val="22"/>
          <w:szCs w:val="22"/>
          <w:lang w:val="en"/>
        </w:rPr>
      </w:pPr>
    </w:p>
    <w:p w:rsidRPr="001F207E" w:rsidR="009A218E" w:rsidP="00C87D02" w:rsidRDefault="009A218E" w14:paraId="2CD5615D" w14:textId="77777777">
      <w:pPr>
        <w:numPr>
          <w:ilvl w:val="1"/>
          <w:numId w:val="23"/>
        </w:numPr>
        <w:rPr>
          <w:rFonts w:ascii="Arial" w:hAnsi="Arial" w:cs="Arial"/>
          <w:sz w:val="22"/>
          <w:szCs w:val="22"/>
          <w:lang w:val="en"/>
        </w:rPr>
      </w:pPr>
      <w:r w:rsidRPr="001F207E">
        <w:rPr>
          <w:rFonts w:ascii="Arial" w:hAnsi="Arial" w:cs="Arial"/>
          <w:sz w:val="22"/>
          <w:szCs w:val="22"/>
          <w:lang w:val="en"/>
        </w:rPr>
        <w:t>Liquid Effluents</w:t>
      </w:r>
    </w:p>
    <w:p w:rsidRPr="001F207E" w:rsidR="009A218E" w:rsidP="00C87D02" w:rsidRDefault="009A218E" w14:paraId="1104EF40" w14:textId="77777777">
      <w:pPr>
        <w:numPr>
          <w:ilvl w:val="2"/>
          <w:numId w:val="23"/>
        </w:numPr>
        <w:rPr>
          <w:rFonts w:ascii="Arial" w:hAnsi="Arial" w:cs="Arial"/>
          <w:sz w:val="22"/>
          <w:szCs w:val="22"/>
          <w:lang w:val="en"/>
        </w:rPr>
      </w:pPr>
      <w:r w:rsidRPr="001F207E">
        <w:rPr>
          <w:rFonts w:ascii="Arial" w:hAnsi="Arial" w:cs="Arial"/>
          <w:sz w:val="22"/>
          <w:szCs w:val="22"/>
          <w:lang w:val="en"/>
        </w:rPr>
        <w:t>Whole Body—1.5 millirems per quarter (mrem/qtr)</w:t>
      </w:r>
    </w:p>
    <w:p w:rsidRPr="001F207E" w:rsidR="009A218E" w:rsidP="00C87D02" w:rsidRDefault="009A218E" w14:paraId="055B2227" w14:textId="77777777">
      <w:pPr>
        <w:numPr>
          <w:ilvl w:val="2"/>
          <w:numId w:val="23"/>
        </w:numPr>
        <w:rPr>
          <w:rFonts w:ascii="Arial" w:hAnsi="Arial" w:cs="Arial"/>
          <w:sz w:val="22"/>
          <w:szCs w:val="22"/>
          <w:lang w:val="en"/>
        </w:rPr>
      </w:pPr>
      <w:r w:rsidRPr="001F207E">
        <w:rPr>
          <w:rFonts w:ascii="Arial" w:hAnsi="Arial" w:cs="Arial"/>
          <w:sz w:val="22"/>
          <w:szCs w:val="22"/>
          <w:lang w:val="en"/>
        </w:rPr>
        <w:t>Organ—5 mrem/qtr</w:t>
      </w:r>
    </w:p>
    <w:p w:rsidRPr="001F207E" w:rsidR="009A218E" w:rsidP="00C87D02" w:rsidRDefault="009A218E" w14:paraId="1439D29D" w14:textId="77777777">
      <w:pPr>
        <w:numPr>
          <w:ilvl w:val="1"/>
          <w:numId w:val="23"/>
        </w:numPr>
        <w:rPr>
          <w:rFonts w:ascii="Arial" w:hAnsi="Arial" w:cs="Arial"/>
          <w:sz w:val="22"/>
          <w:szCs w:val="22"/>
          <w:lang w:val="en"/>
        </w:rPr>
      </w:pPr>
      <w:r w:rsidRPr="001F207E">
        <w:rPr>
          <w:rFonts w:ascii="Arial" w:hAnsi="Arial" w:cs="Arial"/>
          <w:sz w:val="22"/>
          <w:szCs w:val="22"/>
          <w:lang w:val="en"/>
        </w:rPr>
        <w:t>Gaseous Effluents</w:t>
      </w:r>
    </w:p>
    <w:p w:rsidRPr="001F207E" w:rsidR="009A218E" w:rsidP="00C87D02" w:rsidRDefault="009A218E" w14:paraId="09519D77" w14:textId="77777777">
      <w:pPr>
        <w:numPr>
          <w:ilvl w:val="2"/>
          <w:numId w:val="23"/>
        </w:numPr>
        <w:rPr>
          <w:rFonts w:ascii="Arial" w:hAnsi="Arial" w:cs="Arial"/>
          <w:sz w:val="22"/>
          <w:szCs w:val="22"/>
          <w:lang w:val="en"/>
        </w:rPr>
      </w:pPr>
      <w:r w:rsidRPr="001F207E">
        <w:rPr>
          <w:rFonts w:ascii="Arial" w:hAnsi="Arial" w:cs="Arial"/>
          <w:sz w:val="22"/>
          <w:szCs w:val="22"/>
          <w:lang w:val="en"/>
        </w:rPr>
        <w:t>Gamma Dose—5 millirads per quarter (mrad/qtr)</w:t>
      </w:r>
    </w:p>
    <w:p w:rsidRPr="001F207E" w:rsidR="009A218E" w:rsidP="00C87D02" w:rsidRDefault="009A218E" w14:paraId="1B129C33" w14:textId="77777777">
      <w:pPr>
        <w:numPr>
          <w:ilvl w:val="2"/>
          <w:numId w:val="23"/>
        </w:numPr>
        <w:rPr>
          <w:rFonts w:ascii="Arial" w:hAnsi="Arial" w:cs="Arial"/>
          <w:sz w:val="22"/>
          <w:szCs w:val="22"/>
          <w:lang w:val="en"/>
        </w:rPr>
      </w:pPr>
      <w:r w:rsidRPr="001F207E">
        <w:rPr>
          <w:rFonts w:ascii="Arial" w:hAnsi="Arial" w:cs="Arial"/>
          <w:sz w:val="22"/>
          <w:szCs w:val="22"/>
          <w:lang w:val="en"/>
        </w:rPr>
        <w:t>Beta Dose—10 mrad/qtr</w:t>
      </w:r>
    </w:p>
    <w:p w:rsidRPr="001F207E" w:rsidR="009A218E" w:rsidP="00C87D02" w:rsidRDefault="009A218E" w14:paraId="33FF0C52" w14:textId="77777777">
      <w:pPr>
        <w:numPr>
          <w:ilvl w:val="2"/>
          <w:numId w:val="23"/>
        </w:numPr>
        <w:rPr>
          <w:rFonts w:ascii="Arial" w:hAnsi="Arial" w:cs="Arial"/>
          <w:sz w:val="22"/>
          <w:szCs w:val="22"/>
          <w:lang w:val="en"/>
        </w:rPr>
      </w:pPr>
      <w:r w:rsidRPr="001F207E">
        <w:rPr>
          <w:rFonts w:ascii="Arial" w:hAnsi="Arial" w:cs="Arial"/>
          <w:sz w:val="22"/>
          <w:szCs w:val="22"/>
          <w:lang w:val="en"/>
        </w:rPr>
        <w:t>Organ Doses from I-131, iodine-133, tritium, &amp; particulates—7.5 mrem/qtr</w:t>
      </w:r>
    </w:p>
    <w:p w:rsidR="00C87D02" w:rsidP="00C87D02" w:rsidRDefault="00C87D02" w14:paraId="7A3814B1" w14:textId="77777777">
      <w:pPr>
        <w:rPr>
          <w:rFonts w:ascii="Arial" w:hAnsi="Arial" w:cs="Arial"/>
          <w:sz w:val="22"/>
          <w:szCs w:val="22"/>
          <w:lang w:val="en"/>
        </w:rPr>
      </w:pPr>
    </w:p>
    <w:p w:rsidR="009A218E" w:rsidP="00C87D02" w:rsidRDefault="009A218E" w14:paraId="5A887DAE" w14:textId="547EBC1E">
      <w:pPr>
        <w:rPr>
          <w:rFonts w:ascii="Arial" w:hAnsi="Arial" w:cs="Arial"/>
          <w:sz w:val="22"/>
          <w:szCs w:val="22"/>
          <w:lang w:val="en"/>
        </w:rPr>
      </w:pPr>
      <w:r w:rsidRPr="001F207E">
        <w:rPr>
          <w:rFonts w:ascii="Arial" w:hAnsi="Arial" w:cs="Arial"/>
          <w:sz w:val="22"/>
          <w:szCs w:val="22"/>
          <w:lang w:val="en"/>
        </w:rPr>
        <w:t>There is one PI in the occupational radiation safety cornerstone:</w:t>
      </w:r>
    </w:p>
    <w:p w:rsidRPr="001F207E" w:rsidR="00C87D02" w:rsidP="00C87D02" w:rsidRDefault="00C87D02" w14:paraId="1D03A171" w14:textId="77777777">
      <w:pPr>
        <w:rPr>
          <w:rFonts w:ascii="Arial" w:hAnsi="Arial" w:eastAsia="Calibri" w:cs="Arial"/>
          <w:sz w:val="22"/>
          <w:szCs w:val="22"/>
          <w:lang w:val="en"/>
        </w:rPr>
      </w:pPr>
    </w:p>
    <w:p w:rsidR="009A218E" w:rsidP="00C87D02" w:rsidRDefault="009A218E" w14:paraId="414A5886" w14:textId="1EB30962">
      <w:pPr>
        <w:numPr>
          <w:ilvl w:val="0"/>
          <w:numId w:val="24"/>
        </w:numPr>
        <w:rPr>
          <w:rFonts w:ascii="Arial" w:hAnsi="Arial" w:cs="Arial"/>
          <w:sz w:val="22"/>
          <w:szCs w:val="22"/>
          <w:lang w:val="en"/>
        </w:rPr>
      </w:pPr>
      <w:r w:rsidRPr="001F207E">
        <w:rPr>
          <w:rFonts w:ascii="Arial" w:hAnsi="Arial" w:cs="Arial"/>
          <w:b/>
          <w:bCs/>
          <w:sz w:val="22"/>
          <w:szCs w:val="22"/>
          <w:lang w:val="en"/>
        </w:rPr>
        <w:t>Occupational Exposure Control Effectiveness (OR01)</w:t>
      </w:r>
      <w:r w:rsidRPr="001F207E">
        <w:rPr>
          <w:rFonts w:ascii="Arial" w:hAnsi="Arial" w:cs="Arial"/>
          <w:sz w:val="22"/>
          <w:szCs w:val="22"/>
          <w:lang w:val="en"/>
        </w:rPr>
        <w:t>—The PI for this cornerstone is the sum of the following:</w:t>
      </w:r>
    </w:p>
    <w:p w:rsidRPr="001F207E" w:rsidR="00D12032" w:rsidP="00D12032" w:rsidRDefault="00D12032" w14:paraId="557BAD19" w14:textId="77777777">
      <w:pPr>
        <w:ind w:left="720"/>
        <w:rPr>
          <w:rFonts w:ascii="Arial" w:hAnsi="Arial" w:cs="Arial"/>
          <w:sz w:val="22"/>
          <w:szCs w:val="22"/>
          <w:lang w:val="en"/>
        </w:rPr>
      </w:pPr>
    </w:p>
    <w:p w:rsidRPr="001F207E" w:rsidR="009A218E" w:rsidP="00C87D02" w:rsidRDefault="009A218E" w14:paraId="5C32DE20" w14:textId="77777777">
      <w:pPr>
        <w:numPr>
          <w:ilvl w:val="1"/>
          <w:numId w:val="24"/>
        </w:numPr>
        <w:rPr>
          <w:rFonts w:ascii="Arial" w:hAnsi="Arial" w:cs="Arial"/>
          <w:sz w:val="22"/>
          <w:szCs w:val="22"/>
          <w:lang w:val="en"/>
        </w:rPr>
      </w:pPr>
      <w:r w:rsidRPr="001F207E">
        <w:rPr>
          <w:rFonts w:ascii="Arial" w:hAnsi="Arial" w:cs="Arial"/>
          <w:sz w:val="22"/>
          <w:szCs w:val="22"/>
          <w:lang w:val="en"/>
        </w:rPr>
        <w:t>Technical specification high radiation area occurrences</w:t>
      </w:r>
    </w:p>
    <w:p w:rsidRPr="001F207E" w:rsidR="009A218E" w:rsidP="00C87D02" w:rsidRDefault="009A218E" w14:paraId="26805C7A" w14:textId="77777777">
      <w:pPr>
        <w:numPr>
          <w:ilvl w:val="1"/>
          <w:numId w:val="24"/>
        </w:numPr>
        <w:rPr>
          <w:rFonts w:ascii="Arial" w:hAnsi="Arial" w:cs="Arial"/>
          <w:sz w:val="22"/>
          <w:szCs w:val="22"/>
          <w:lang w:val="en"/>
        </w:rPr>
      </w:pPr>
      <w:r w:rsidRPr="001F207E">
        <w:rPr>
          <w:rFonts w:ascii="Arial" w:hAnsi="Arial" w:cs="Arial"/>
          <w:sz w:val="22"/>
          <w:szCs w:val="22"/>
          <w:lang w:val="en"/>
        </w:rPr>
        <w:t>Very high radiation area occurrences</w:t>
      </w:r>
    </w:p>
    <w:p w:rsidR="009A218E" w:rsidP="00C87D02" w:rsidRDefault="009A218E" w14:paraId="2568688C" w14:textId="79103FDF">
      <w:pPr>
        <w:numPr>
          <w:ilvl w:val="1"/>
          <w:numId w:val="24"/>
        </w:numPr>
        <w:rPr>
          <w:rFonts w:ascii="Arial" w:hAnsi="Arial" w:cs="Arial"/>
          <w:sz w:val="22"/>
          <w:szCs w:val="22"/>
          <w:lang w:val="en"/>
        </w:rPr>
      </w:pPr>
      <w:r w:rsidRPr="001F207E">
        <w:rPr>
          <w:rFonts w:ascii="Arial" w:hAnsi="Arial" w:cs="Arial"/>
          <w:sz w:val="22"/>
          <w:szCs w:val="22"/>
          <w:lang w:val="en"/>
        </w:rPr>
        <w:t>Unintended exposure occurrences</w:t>
      </w:r>
    </w:p>
    <w:p w:rsidR="008D4C79" w:rsidP="00E87F70" w:rsidRDefault="008D4C79" w14:paraId="7F6F45AB" w14:textId="5C05E9CD">
      <w:pPr>
        <w:rPr>
          <w:rFonts w:ascii="Arial" w:hAnsi="Arial" w:cs="Arial"/>
          <w:sz w:val="22"/>
          <w:szCs w:val="22"/>
          <w:lang w:val="en"/>
        </w:rPr>
      </w:pPr>
    </w:p>
    <w:p w:rsidR="00E87F70" w:rsidP="00E87F70" w:rsidRDefault="00E87F70" w14:paraId="6824B401" w14:textId="302F4EB6">
      <w:pPr>
        <w:rPr>
          <w:rFonts w:ascii="Arial" w:hAnsi="Arial" w:cs="Arial"/>
          <w:sz w:val="22"/>
          <w:szCs w:val="22"/>
          <w:lang w:val="en"/>
        </w:rPr>
      </w:pPr>
      <w:r w:rsidRPr="001F207E">
        <w:rPr>
          <w:rFonts w:ascii="Arial" w:hAnsi="Arial" w:cs="Arial"/>
          <w:sz w:val="22"/>
          <w:szCs w:val="22"/>
          <w:lang w:val="en"/>
        </w:rPr>
        <w:t xml:space="preserve">There is one PI in the </w:t>
      </w:r>
      <w:r w:rsidR="00390666">
        <w:rPr>
          <w:rFonts w:ascii="Arial" w:hAnsi="Arial" w:cs="Arial"/>
          <w:sz w:val="22"/>
          <w:szCs w:val="22"/>
          <w:lang w:val="en"/>
        </w:rPr>
        <w:t>security</w:t>
      </w:r>
      <w:r w:rsidRPr="001F207E">
        <w:rPr>
          <w:rFonts w:ascii="Arial" w:hAnsi="Arial" w:cs="Arial"/>
          <w:sz w:val="22"/>
          <w:szCs w:val="22"/>
          <w:lang w:val="en"/>
        </w:rPr>
        <w:t xml:space="preserve"> cornerstone:</w:t>
      </w:r>
    </w:p>
    <w:p w:rsidR="00E87F70" w:rsidP="00E87F70" w:rsidRDefault="00E87F70" w14:paraId="69E743E6" w14:textId="77777777">
      <w:pPr>
        <w:rPr>
          <w:rFonts w:ascii="Arial" w:hAnsi="Arial" w:cs="Arial"/>
          <w:sz w:val="22"/>
          <w:szCs w:val="22"/>
          <w:lang w:val="en"/>
        </w:rPr>
      </w:pPr>
    </w:p>
    <w:p w:rsidRPr="00E87F70" w:rsidR="00BB3932" w:rsidP="00E87F70" w:rsidRDefault="008D4C79" w14:paraId="2EA9DEA5" w14:textId="5D1CA4A5">
      <w:pPr>
        <w:pStyle w:val="Default"/>
        <w:numPr>
          <w:ilvl w:val="0"/>
          <w:numId w:val="24"/>
        </w:numPr>
        <w:rPr>
          <w:b/>
          <w:bCs/>
          <w:sz w:val="22"/>
          <w:szCs w:val="22"/>
        </w:rPr>
      </w:pPr>
      <w:r w:rsidRPr="00E87F70">
        <w:rPr>
          <w:b/>
          <w:bCs/>
          <w:sz w:val="22"/>
          <w:szCs w:val="22"/>
        </w:rPr>
        <w:t xml:space="preserve">Protected Area Security Equipment </w:t>
      </w:r>
      <w:r w:rsidRPr="00E87F70" w:rsidR="00E87F70">
        <w:rPr>
          <w:b/>
          <w:bCs/>
          <w:sz w:val="22"/>
          <w:szCs w:val="22"/>
        </w:rPr>
        <w:t>(PP01)</w:t>
      </w:r>
    </w:p>
    <w:p w:rsidRPr="001F207E" w:rsidR="00C87D02" w:rsidP="00C87D02" w:rsidRDefault="00C87D02" w14:paraId="74393B14" w14:textId="77777777">
      <w:pPr>
        <w:ind w:left="1440"/>
        <w:rPr>
          <w:rFonts w:ascii="Arial" w:hAnsi="Arial" w:cs="Arial"/>
          <w:sz w:val="22"/>
          <w:szCs w:val="22"/>
          <w:lang w:val="en"/>
        </w:rPr>
      </w:pPr>
    </w:p>
    <w:p w:rsidRPr="001F207E" w:rsidR="009A218E" w:rsidP="0028380F" w:rsidRDefault="009A218E" w14:paraId="317F8D7D" w14:textId="77777777">
      <w:pPr>
        <w:ind w:left="720"/>
        <w:rPr>
          <w:rFonts w:ascii="Arial" w:hAnsi="Arial" w:eastAsia="Calibri" w:cs="Arial"/>
          <w:sz w:val="22"/>
          <w:szCs w:val="22"/>
        </w:rPr>
      </w:pPr>
      <w:r w:rsidRPr="001F207E">
        <w:rPr>
          <w:rFonts w:ascii="Arial" w:hAnsi="Arial" w:cs="Arial"/>
          <w:sz w:val="22"/>
          <w:szCs w:val="22"/>
          <w:lang w:val="en"/>
        </w:rPr>
        <w:t xml:space="preserve">The security cornerstone is an important component of the ROP, which includes various security inspection activities the NRC uses to verify licensee compliance with Commission regulations and thus ensure public health and safety. The Commission determined in the staff requirements memorandum (SRM) for SECY-04-0191, "Withholding Sensitive Unclassified Information Concerning Nuclear Power Reactors from Public Disclosure," dated November 9, 2004, that specific information related to findings and performance indicators associated with the security cornerstone will not be publicly available to ensure that security-related information is not provided to a possible </w:t>
      </w:r>
      <w:r w:rsidRPr="001F207E">
        <w:rPr>
          <w:rFonts w:ascii="Arial" w:hAnsi="Arial" w:cs="Arial"/>
          <w:sz w:val="22"/>
          <w:szCs w:val="22"/>
          <w:lang w:val="en"/>
        </w:rPr>
        <w:lastRenderedPageBreak/>
        <w:t xml:space="preserve">adversary. Security inspection report </w:t>
      </w:r>
      <w:hyperlink w:history="1" r:id="rId15">
        <w:r w:rsidRPr="001F207E">
          <w:rPr>
            <w:rStyle w:val="Hyperlink"/>
            <w:rFonts w:ascii="Arial" w:hAnsi="Arial" w:cs="Arial"/>
            <w:sz w:val="22"/>
            <w:szCs w:val="22"/>
            <w:lang w:val="en"/>
          </w:rPr>
          <w:t>cover letters</w:t>
        </w:r>
      </w:hyperlink>
      <w:r w:rsidRPr="001F207E">
        <w:rPr>
          <w:rFonts w:ascii="Arial" w:hAnsi="Arial" w:cs="Arial"/>
          <w:sz w:val="22"/>
          <w:szCs w:val="22"/>
          <w:lang w:val="en"/>
        </w:rPr>
        <w:t xml:space="preserve"> will be available on the NRC Web site; however, security-related information on the details of inspection finding(s) will not be displayed.</w:t>
      </w:r>
    </w:p>
    <w:p w:rsidRPr="001F207E" w:rsidR="009A218E" w:rsidP="00C87D02" w:rsidRDefault="009A218E" w14:paraId="0563CAF5" w14:textId="77777777">
      <w:pPr>
        <w:widowControl w:val="0"/>
        <w:tabs>
          <w:tab w:val="center" w:pos="4680"/>
        </w:tabs>
        <w:jc w:val="center"/>
        <w:rPr>
          <w:rFonts w:ascii="Arial" w:hAnsi="Arial" w:cs="Arial"/>
          <w:sz w:val="22"/>
          <w:szCs w:val="22"/>
        </w:rPr>
      </w:pPr>
    </w:p>
    <w:p w:rsidRPr="001F207E" w:rsidR="009A218E" w:rsidP="009A218E" w:rsidRDefault="009A218E" w14:paraId="606DC49C" w14:textId="339E7B72">
      <w:pPr>
        <w:widowControl w:val="0"/>
        <w:tabs>
          <w:tab w:val="center" w:pos="4680"/>
        </w:tabs>
        <w:jc w:val="center"/>
        <w:rPr>
          <w:rFonts w:ascii="Arial" w:hAnsi="Arial" w:cs="Arial"/>
          <w:sz w:val="22"/>
          <w:szCs w:val="22"/>
        </w:rPr>
      </w:pPr>
      <w:r w:rsidRPr="001F207E">
        <w:rPr>
          <w:rFonts w:ascii="Arial" w:hAnsi="Arial" w:cs="Arial"/>
          <w:sz w:val="22"/>
          <w:szCs w:val="22"/>
        </w:rPr>
        <w:br w:type="page"/>
      </w:r>
      <w:r w:rsidRPr="001F207E">
        <w:rPr>
          <w:rFonts w:ascii="Arial" w:hAnsi="Arial" w:cs="Arial"/>
          <w:sz w:val="22"/>
          <w:szCs w:val="22"/>
        </w:rPr>
        <w:lastRenderedPageBreak/>
        <w:t>GUIDANCE DOCUMENTS FOR</w:t>
      </w:r>
    </w:p>
    <w:p w:rsidRPr="001F207E" w:rsidR="009A218E" w:rsidP="009A218E" w:rsidRDefault="009A218E" w14:paraId="6E1C89EF" w14:textId="77777777">
      <w:pPr>
        <w:widowControl w:val="0"/>
        <w:tabs>
          <w:tab w:val="center" w:pos="4680"/>
          <w:tab w:val="right" w:pos="9360"/>
        </w:tabs>
        <w:rPr>
          <w:rFonts w:ascii="Arial" w:hAnsi="Arial" w:cs="Arial"/>
          <w:sz w:val="22"/>
          <w:szCs w:val="22"/>
        </w:rPr>
      </w:pPr>
      <w:r w:rsidRPr="001F207E">
        <w:rPr>
          <w:rFonts w:ascii="Arial" w:hAnsi="Arial" w:cs="Arial"/>
          <w:sz w:val="22"/>
          <w:szCs w:val="22"/>
        </w:rPr>
        <w:tab/>
        <w:t>VOLUNTARY REPORTING OF PERFORMANCE INDICATORS</w:t>
      </w:r>
    </w:p>
    <w:p w:rsidRPr="001F207E" w:rsidR="009A218E" w:rsidP="009A218E" w:rsidRDefault="009A218E" w14:paraId="57E479ED" w14:textId="77777777">
      <w:pPr>
        <w:widowControl w:val="0"/>
        <w:tabs>
          <w:tab w:val="center" w:pos="4680"/>
          <w:tab w:val="right" w:pos="9360"/>
        </w:tabs>
        <w:rPr>
          <w:rFonts w:ascii="Arial" w:hAnsi="Arial" w:cs="Arial"/>
          <w:sz w:val="22"/>
          <w:szCs w:val="22"/>
        </w:rPr>
      </w:pPr>
      <w:r w:rsidRPr="001F207E">
        <w:rPr>
          <w:rFonts w:ascii="Arial" w:hAnsi="Arial" w:cs="Arial"/>
          <w:sz w:val="22"/>
          <w:szCs w:val="22"/>
        </w:rPr>
        <w:tab/>
      </w:r>
    </w:p>
    <w:p w:rsidRPr="001F207E" w:rsidR="009A218E" w:rsidP="009A218E" w:rsidRDefault="009A218E" w14:paraId="73266CB6" w14:textId="77777777">
      <w:pPr>
        <w:widowControl w:val="0"/>
        <w:tabs>
          <w:tab w:val="center" w:pos="4680"/>
        </w:tabs>
        <w:jc w:val="center"/>
        <w:rPr>
          <w:rFonts w:ascii="Arial" w:hAnsi="Arial" w:cs="Arial"/>
          <w:sz w:val="22"/>
          <w:szCs w:val="22"/>
        </w:rPr>
      </w:pPr>
      <w:r w:rsidRPr="001F207E">
        <w:rPr>
          <w:rFonts w:ascii="Arial" w:hAnsi="Arial" w:cs="Arial"/>
          <w:sz w:val="22"/>
          <w:szCs w:val="22"/>
        </w:rPr>
        <w:t>3150-0195</w:t>
      </w:r>
    </w:p>
    <w:p w:rsidRPr="001F207E" w:rsidR="009A218E" w:rsidP="009A218E" w:rsidRDefault="009A218E" w14:paraId="24256660" w14:textId="77777777">
      <w:pPr>
        <w:widowControl w:val="0"/>
        <w:tabs>
          <w:tab w:val="center" w:pos="4680"/>
        </w:tabs>
        <w:rPr>
          <w:rFonts w:ascii="Arial" w:hAnsi="Arial" w:cs="Arial"/>
          <w:sz w:val="22"/>
          <w:szCs w:val="22"/>
        </w:rPr>
      </w:pPr>
    </w:p>
    <w:p w:rsidRPr="001F207E" w:rsidR="009A218E" w:rsidP="009A218E" w:rsidRDefault="009A218E" w14:paraId="49D525D9"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1"/>
        <w:gridCol w:w="4679"/>
      </w:tblGrid>
      <w:tr w:rsidRPr="001F207E" w:rsidR="009A218E" w:rsidTr="00D12032" w14:paraId="3BE1856A" w14:textId="77777777">
        <w:tc>
          <w:tcPr>
            <w:tcW w:w="4671" w:type="dxa"/>
            <w:shd w:val="clear" w:color="auto" w:fill="auto"/>
          </w:tcPr>
          <w:p w:rsidRPr="001F207E" w:rsidR="009A218E" w:rsidP="000A47DE" w:rsidRDefault="009A218E" w14:paraId="1119DFC9"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1F207E">
              <w:rPr>
                <w:rFonts w:ascii="Arial" w:hAnsi="Arial" w:cs="Arial"/>
                <w:sz w:val="22"/>
                <w:szCs w:val="22"/>
              </w:rPr>
              <w:t>Title</w:t>
            </w:r>
          </w:p>
        </w:tc>
        <w:tc>
          <w:tcPr>
            <w:tcW w:w="4679" w:type="dxa"/>
            <w:shd w:val="clear" w:color="auto" w:fill="auto"/>
          </w:tcPr>
          <w:p w:rsidRPr="001F207E" w:rsidR="009A218E" w:rsidP="000A47DE" w:rsidRDefault="009A218E" w14:paraId="28AACF5A"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1F207E">
              <w:rPr>
                <w:rFonts w:ascii="Arial" w:hAnsi="Arial" w:cs="Arial"/>
                <w:sz w:val="22"/>
                <w:szCs w:val="22"/>
              </w:rPr>
              <w:t>Accession number</w:t>
            </w:r>
          </w:p>
        </w:tc>
      </w:tr>
      <w:tr w:rsidRPr="001F207E" w:rsidR="009A218E" w:rsidTr="00D12032" w14:paraId="478DB820" w14:textId="77777777">
        <w:tc>
          <w:tcPr>
            <w:tcW w:w="4671" w:type="dxa"/>
            <w:shd w:val="clear" w:color="auto" w:fill="auto"/>
          </w:tcPr>
          <w:p w:rsidRPr="001F207E" w:rsidR="009A218E" w:rsidP="000A47DE" w:rsidRDefault="00903688" w14:paraId="55C8058E" w14:textId="5AB8D85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IMC 0608</w:t>
            </w:r>
            <w:r w:rsidR="00207781">
              <w:rPr>
                <w:rFonts w:ascii="Arial" w:hAnsi="Arial" w:cs="Arial"/>
                <w:sz w:val="22"/>
                <w:szCs w:val="22"/>
              </w:rPr>
              <w:t>:</w:t>
            </w:r>
            <w:r w:rsidR="005435AE">
              <w:rPr>
                <w:rFonts w:ascii="Arial" w:hAnsi="Arial" w:cs="Arial"/>
                <w:sz w:val="22"/>
                <w:szCs w:val="22"/>
              </w:rPr>
              <w:t xml:space="preserve"> Performance Indicator Program</w:t>
            </w:r>
          </w:p>
        </w:tc>
        <w:tc>
          <w:tcPr>
            <w:tcW w:w="4679" w:type="dxa"/>
            <w:shd w:val="clear" w:color="auto" w:fill="auto"/>
          </w:tcPr>
          <w:p w:rsidRPr="001F207E" w:rsidR="009A218E" w:rsidP="000A47DE" w:rsidRDefault="005435AE" w14:paraId="7589EE73" w14:textId="15001798">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ML19025A257</w:t>
            </w:r>
          </w:p>
        </w:tc>
      </w:tr>
      <w:tr w:rsidRPr="001F207E" w:rsidR="009A218E" w:rsidTr="00D12032" w14:paraId="6196E805" w14:textId="77777777">
        <w:tc>
          <w:tcPr>
            <w:tcW w:w="4671" w:type="dxa"/>
            <w:shd w:val="clear" w:color="auto" w:fill="auto"/>
          </w:tcPr>
          <w:p w:rsidRPr="001F207E" w:rsidR="009A218E" w:rsidP="000A47DE" w:rsidRDefault="00903688" w14:paraId="22DD7154" w14:textId="0FCA7F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NEI 99-02</w:t>
            </w:r>
            <w:r w:rsidR="00207781">
              <w:rPr>
                <w:rFonts w:ascii="Arial" w:hAnsi="Arial" w:cs="Arial"/>
                <w:sz w:val="22"/>
                <w:szCs w:val="22"/>
              </w:rPr>
              <w:t>, Rev 7:  Regulatory Assessment Performance Indicator Guideline</w:t>
            </w:r>
          </w:p>
        </w:tc>
        <w:tc>
          <w:tcPr>
            <w:tcW w:w="4679" w:type="dxa"/>
            <w:shd w:val="clear" w:color="auto" w:fill="auto"/>
          </w:tcPr>
          <w:p w:rsidRPr="001F207E" w:rsidR="009A218E" w:rsidP="000A47DE" w:rsidRDefault="00207781" w14:paraId="245164DB" w14:textId="79D9B899">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ML13261A116</w:t>
            </w:r>
          </w:p>
        </w:tc>
      </w:tr>
    </w:tbl>
    <w:p w:rsidRPr="001F207E" w:rsidR="00431598" w:rsidRDefault="00431598" w14:paraId="27D6EFC5" w14:textId="77777777">
      <w:pPr>
        <w:widowControl w:val="0"/>
        <w:rPr>
          <w:rFonts w:ascii="Arial" w:hAnsi="Arial" w:cs="Arial"/>
          <w:sz w:val="22"/>
          <w:szCs w:val="22"/>
        </w:rPr>
      </w:pPr>
    </w:p>
    <w:sectPr w:rsidRPr="001F207E" w:rsidR="00431598" w:rsidSect="00750135">
      <w:headerReference w:type="even" r:id="rId16"/>
      <w:headerReference w:type="default" r:id="rId17"/>
      <w:footerReference w:type="even" r:id="rId18"/>
      <w:footerReference w:type="default" r:id="rId19"/>
      <w:type w:val="continuous"/>
      <w:pgSz w:w="12240" w:h="15840" w:code="1"/>
      <w:pgMar w:top="1440" w:right="1440" w:bottom="1440" w:left="1440" w:header="720" w:footer="720" w:gutter="0"/>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1CCD1" w14:textId="77777777" w:rsidR="0098768D" w:rsidRDefault="0098768D">
      <w:r>
        <w:separator/>
      </w:r>
    </w:p>
  </w:endnote>
  <w:endnote w:type="continuationSeparator" w:id="0">
    <w:p w14:paraId="3CD0A4BE" w14:textId="77777777" w:rsidR="0098768D" w:rsidRDefault="0098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58BDF" w14:textId="77777777" w:rsidR="00BC3B37" w:rsidRDefault="00BC3B3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32A5" w14:textId="77777777" w:rsidR="00BC3B37" w:rsidRDefault="00BC3B37">
    <w:pPr>
      <w:pStyle w:val="Footer"/>
      <w:jc w:val="center"/>
    </w:pPr>
  </w:p>
  <w:p w14:paraId="1140D310" w14:textId="77777777" w:rsidR="00BC3B37" w:rsidRDefault="00BC3B37">
    <w:pPr>
      <w:pStyle w:val="Footer"/>
      <w:jc w:val="center"/>
    </w:pPr>
  </w:p>
  <w:p w14:paraId="7EEDCE99" w14:textId="77777777" w:rsidR="00BC3B37" w:rsidRDefault="00BC3B37">
    <w:pPr>
      <w:widowControl w:val="0"/>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44878" w14:textId="77777777" w:rsidR="0098768D" w:rsidRDefault="0098768D">
      <w:r>
        <w:separator/>
      </w:r>
    </w:p>
  </w:footnote>
  <w:footnote w:type="continuationSeparator" w:id="0">
    <w:p w14:paraId="57F36D8C" w14:textId="77777777" w:rsidR="0098768D" w:rsidRDefault="0098768D">
      <w:r>
        <w:continuationSeparator/>
      </w:r>
    </w:p>
  </w:footnote>
  <w:footnote w:id="1">
    <w:p w14:paraId="79FC83A4" w14:textId="77777777" w:rsidR="00BC3B37" w:rsidRDefault="00BC3B37" w:rsidP="00604EA6">
      <w:pPr>
        <w:pStyle w:val="FootnoteText"/>
      </w:pPr>
      <w:r>
        <w:rPr>
          <w:vertAlign w:val="superscript"/>
        </w:rPr>
        <w:footnoteRef/>
      </w:r>
      <w:r>
        <w:t xml:space="preserve"> NEI is a nuclear industry group</w:t>
      </w:r>
      <w:r w:rsidR="000B5D8B">
        <w:t xml:space="preserve"> that </w:t>
      </w:r>
      <w:r w:rsidR="000B5D8B" w:rsidRPr="000B5D8B">
        <w:t>develops policy on legislative and regulatory issues affecting the industry.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525FF" w14:textId="77777777" w:rsidR="00BC3B37" w:rsidRDefault="00BC3B37">
    <w:pPr>
      <w:framePr w:w="9360" w:h="256" w:hRule="exact" w:wrap="notBeside" w:vAnchor="page" w:hAnchor="text" w:y="1152"/>
      <w:widowControl w:val="0"/>
      <w:spacing w:line="240" w:lineRule="atLeast"/>
      <w:jc w:val="center"/>
      <w:rPr>
        <w:vanish/>
      </w:rPr>
    </w:pPr>
    <w:r>
      <w:rPr>
        <w:rFonts w:ascii="Arial" w:hAnsi="Arial"/>
        <w:sz w:val="22"/>
      </w:rPr>
      <w:t xml:space="preserve">- </w:t>
    </w:r>
    <w:r>
      <w:rPr>
        <w:rFonts w:ascii="Arial" w:hAnsi="Arial"/>
        <w:sz w:val="22"/>
      </w:rPr>
      <w:pgNum/>
    </w:r>
    <w:r>
      <w:rPr>
        <w:rFonts w:ascii="Arial" w:hAnsi="Arial"/>
        <w:sz w:val="22"/>
      </w:rPr>
      <w:t xml:space="preserve"> -</w:t>
    </w:r>
  </w:p>
  <w:p w14:paraId="29DF8B71" w14:textId="77777777" w:rsidR="00BC3B37" w:rsidRDefault="00BC3B37">
    <w:pPr>
      <w:widowControl w:val="0"/>
    </w:pPr>
  </w:p>
  <w:p w14:paraId="7FF545CA" w14:textId="77777777" w:rsidR="00BC3B37" w:rsidRDefault="00BC3B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5BE19" w14:textId="77777777" w:rsidR="00BC3B37" w:rsidRDefault="00BC3B37" w:rsidP="002A19F1">
    <w:pPr>
      <w:pStyle w:val="Header"/>
      <w:jc w:val="center"/>
    </w:pPr>
    <w:r w:rsidRPr="00382D7E">
      <w:rPr>
        <w:rFonts w:ascii="Arial" w:hAnsi="Arial" w:cs="Arial"/>
        <w:sz w:val="22"/>
        <w:szCs w:val="22"/>
      </w:rPr>
      <w:fldChar w:fldCharType="begin"/>
    </w:r>
    <w:r w:rsidRPr="00382D7E">
      <w:rPr>
        <w:rFonts w:ascii="Arial" w:hAnsi="Arial" w:cs="Arial"/>
        <w:sz w:val="22"/>
        <w:szCs w:val="22"/>
      </w:rPr>
      <w:instrText xml:space="preserve"> PAGE   \* MERGEFORMAT </w:instrText>
    </w:r>
    <w:r w:rsidRPr="00382D7E">
      <w:rPr>
        <w:rFonts w:ascii="Arial" w:hAnsi="Arial" w:cs="Arial"/>
        <w:sz w:val="22"/>
        <w:szCs w:val="22"/>
      </w:rPr>
      <w:fldChar w:fldCharType="separate"/>
    </w:r>
    <w:r w:rsidR="009B3659">
      <w:rPr>
        <w:rFonts w:ascii="Arial" w:hAnsi="Arial" w:cs="Arial"/>
        <w:noProof/>
        <w:sz w:val="22"/>
        <w:szCs w:val="22"/>
      </w:rPr>
      <w:t>- 2 -</w:t>
    </w:r>
    <w:r w:rsidRPr="00382D7E">
      <w:rPr>
        <w:rFonts w:ascii="Arial" w:hAnsi="Arial" w:cs="Arial"/>
        <w:sz w:val="22"/>
        <w:szCs w:val="22"/>
      </w:rPr>
      <w:fldChar w:fldCharType="end"/>
    </w:r>
  </w:p>
  <w:p w14:paraId="0ABABD32" w14:textId="77777777" w:rsidR="00BC3B37" w:rsidRDefault="00BC3B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upperLetter"/>
      <w:suff w:val="nothing"/>
      <w:lvlText w:val="%1."/>
      <w:lvlJc w:val="left"/>
      <w:rPr>
        <w:rFonts w:cs="Times New Roman"/>
      </w:rPr>
    </w:lvl>
    <w:lvl w:ilvl="1">
      <w:start w:val="1"/>
      <w:numFmt w:val="upperLetter"/>
      <w:suff w:val="nothing"/>
      <w:lvlText w:val="%2."/>
      <w:lvlJc w:val="left"/>
      <w:rPr>
        <w:rFonts w:cs="Times New Roman"/>
      </w:rPr>
    </w:lvl>
    <w:lvl w:ilvl="2">
      <w:start w:val="1"/>
      <w:numFmt w:val="upperLetter"/>
      <w:suff w:val="nothing"/>
      <w:lvlText w:val="%3."/>
      <w:lvlJc w:val="left"/>
      <w:rPr>
        <w:rFonts w:cs="Times New Roman"/>
      </w:rPr>
    </w:lvl>
    <w:lvl w:ilvl="3">
      <w:start w:val="1"/>
      <w:numFmt w:val="upperLetter"/>
      <w:suff w:val="nothing"/>
      <w:lvlText w:val="%4."/>
      <w:lvlJc w:val="left"/>
      <w:rPr>
        <w:rFonts w:cs="Times New Roman"/>
      </w:rPr>
    </w:lvl>
    <w:lvl w:ilvl="4">
      <w:start w:val="1"/>
      <w:numFmt w:val="upperLetter"/>
      <w:suff w:val="nothing"/>
      <w:lvlText w:val="%5."/>
      <w:lvlJc w:val="left"/>
      <w:rPr>
        <w:rFonts w:cs="Times New Roman"/>
      </w:rPr>
    </w:lvl>
    <w:lvl w:ilvl="5">
      <w:start w:val="1"/>
      <w:numFmt w:val="upperLetter"/>
      <w:suff w:val="nothing"/>
      <w:lvlText w:val="%6."/>
      <w:lvlJc w:val="left"/>
      <w:rPr>
        <w:rFonts w:cs="Times New Roman"/>
      </w:rPr>
    </w:lvl>
    <w:lvl w:ilvl="6">
      <w:start w:val="1"/>
      <w:numFmt w:val="upperLetter"/>
      <w:suff w:val="nothing"/>
      <w:lvlText w:val="%7."/>
      <w:lvlJc w:val="left"/>
      <w:rPr>
        <w:rFonts w:cs="Times New Roman"/>
      </w:rPr>
    </w:lvl>
    <w:lvl w:ilvl="7">
      <w:start w:val="1"/>
      <w:numFmt w:val="upp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 w15:restartNumberingAfterBreak="0">
    <w:nsid w:val="00000002"/>
    <w:multiLevelType w:val="multilevel"/>
    <w:tmpl w:val="00000002"/>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2" w15:restartNumberingAfterBreak="0">
    <w:nsid w:val="00000003"/>
    <w:multiLevelType w:val="multilevel"/>
    <w:tmpl w:val="00000003"/>
    <w:lvl w:ilvl="0">
      <w:start w:val="1"/>
      <w:numFmt w:val="none"/>
      <w:suff w:val="nothing"/>
      <w:lvlText w:val="S"/>
      <w:lvlJc w:val="left"/>
      <w:rPr>
        <w:rFonts w:ascii="WP TypographicSymbols" w:hAnsi="WP TypographicSymbols" w:cs="Times New Roman"/>
      </w:rPr>
    </w:lvl>
    <w:lvl w:ilvl="1">
      <w:start w:val="1"/>
      <w:numFmt w:val="none"/>
      <w:suff w:val="nothing"/>
      <w:lvlText w:val="S"/>
      <w:lvlJc w:val="left"/>
      <w:rPr>
        <w:rFonts w:ascii="WP TypographicSymbols" w:hAnsi="WP TypographicSymbols" w:cs="Times New Roman"/>
      </w:rPr>
    </w:lvl>
    <w:lvl w:ilvl="2">
      <w:start w:val="1"/>
      <w:numFmt w:val="none"/>
      <w:suff w:val="nothing"/>
      <w:lvlText w:val="S"/>
      <w:lvlJc w:val="left"/>
      <w:rPr>
        <w:rFonts w:ascii="WP TypographicSymbols" w:hAnsi="WP TypographicSymbols" w:cs="Times New Roman"/>
      </w:rPr>
    </w:lvl>
    <w:lvl w:ilvl="3">
      <w:start w:val="1"/>
      <w:numFmt w:val="none"/>
      <w:suff w:val="nothing"/>
      <w:lvlText w:val="S"/>
      <w:lvlJc w:val="left"/>
      <w:rPr>
        <w:rFonts w:ascii="WP TypographicSymbols" w:hAnsi="WP TypographicSymbols" w:cs="Times New Roman"/>
      </w:rPr>
    </w:lvl>
    <w:lvl w:ilvl="4">
      <w:start w:val="1"/>
      <w:numFmt w:val="none"/>
      <w:suff w:val="nothing"/>
      <w:lvlText w:val="S"/>
      <w:lvlJc w:val="left"/>
      <w:rPr>
        <w:rFonts w:ascii="WP TypographicSymbols" w:hAnsi="WP TypographicSymbols" w:cs="Times New Roman"/>
      </w:rPr>
    </w:lvl>
    <w:lvl w:ilvl="5">
      <w:start w:val="1"/>
      <w:numFmt w:val="none"/>
      <w:suff w:val="nothing"/>
      <w:lvlText w:val="S"/>
      <w:lvlJc w:val="left"/>
      <w:rPr>
        <w:rFonts w:ascii="WP TypographicSymbols" w:hAnsi="WP TypographicSymbols" w:cs="Times New Roman"/>
      </w:rPr>
    </w:lvl>
    <w:lvl w:ilvl="6">
      <w:start w:val="1"/>
      <w:numFmt w:val="none"/>
      <w:suff w:val="nothing"/>
      <w:lvlText w:val="S"/>
      <w:lvlJc w:val="left"/>
      <w:rPr>
        <w:rFonts w:ascii="WP TypographicSymbols" w:hAnsi="WP TypographicSymbols" w:cs="Times New Roman"/>
      </w:rPr>
    </w:lvl>
    <w:lvl w:ilvl="7">
      <w:start w:val="1"/>
      <w:numFmt w:val="none"/>
      <w:suff w:val="nothing"/>
      <w:lvlText w:val="S"/>
      <w:lvlJc w:val="left"/>
      <w:rPr>
        <w:rFonts w:ascii="WP TypographicSymbols" w:hAnsi="WP TypographicSymbols" w:cs="Times New Roman"/>
      </w:rPr>
    </w:lvl>
    <w:lvl w:ilvl="8">
      <w:start w:val="1"/>
      <w:numFmt w:val="lowerRoman"/>
      <w:suff w:val="nothing"/>
      <w:lvlText w:val="%9)"/>
      <w:lvlJc w:val="left"/>
      <w:rPr>
        <w:rFonts w:cs="Times New Roman"/>
      </w:rPr>
    </w:lvl>
  </w:abstractNum>
  <w:abstractNum w:abstractNumId="3" w15:restartNumberingAfterBreak="0">
    <w:nsid w:val="00000004"/>
    <w:multiLevelType w:val="multilevel"/>
    <w:tmpl w:val="00000004"/>
    <w:lvl w:ilvl="0">
      <w:start w:val="1"/>
      <w:numFmt w:val="none"/>
      <w:suff w:val="nothing"/>
      <w:lvlText w:val="S"/>
      <w:lvlJc w:val="left"/>
      <w:rPr>
        <w:rFonts w:ascii="WP TypographicSymbols" w:hAnsi="WP TypographicSymbols" w:cs="Times New Roman"/>
      </w:rPr>
    </w:lvl>
    <w:lvl w:ilvl="1">
      <w:start w:val="1"/>
      <w:numFmt w:val="none"/>
      <w:suff w:val="nothing"/>
      <w:lvlText w:val="S"/>
      <w:lvlJc w:val="left"/>
      <w:rPr>
        <w:rFonts w:ascii="WP TypographicSymbols" w:hAnsi="WP TypographicSymbols" w:cs="Times New Roman"/>
      </w:rPr>
    </w:lvl>
    <w:lvl w:ilvl="2">
      <w:start w:val="1"/>
      <w:numFmt w:val="none"/>
      <w:suff w:val="nothing"/>
      <w:lvlText w:val="S"/>
      <w:lvlJc w:val="left"/>
      <w:rPr>
        <w:rFonts w:ascii="WP TypographicSymbols" w:hAnsi="WP TypographicSymbols" w:cs="Times New Roman"/>
      </w:rPr>
    </w:lvl>
    <w:lvl w:ilvl="3">
      <w:start w:val="1"/>
      <w:numFmt w:val="none"/>
      <w:suff w:val="nothing"/>
      <w:lvlText w:val="S"/>
      <w:lvlJc w:val="left"/>
      <w:rPr>
        <w:rFonts w:ascii="WP TypographicSymbols" w:hAnsi="WP TypographicSymbols" w:cs="Times New Roman"/>
      </w:rPr>
    </w:lvl>
    <w:lvl w:ilvl="4">
      <w:start w:val="1"/>
      <w:numFmt w:val="none"/>
      <w:suff w:val="nothing"/>
      <w:lvlText w:val="S"/>
      <w:lvlJc w:val="left"/>
      <w:rPr>
        <w:rFonts w:ascii="WP TypographicSymbols" w:hAnsi="WP TypographicSymbols" w:cs="Times New Roman"/>
      </w:rPr>
    </w:lvl>
    <w:lvl w:ilvl="5">
      <w:start w:val="1"/>
      <w:numFmt w:val="none"/>
      <w:suff w:val="nothing"/>
      <w:lvlText w:val="S"/>
      <w:lvlJc w:val="left"/>
      <w:rPr>
        <w:rFonts w:ascii="WP TypographicSymbols" w:hAnsi="WP TypographicSymbols" w:cs="Times New Roman"/>
      </w:rPr>
    </w:lvl>
    <w:lvl w:ilvl="6">
      <w:start w:val="1"/>
      <w:numFmt w:val="none"/>
      <w:suff w:val="nothing"/>
      <w:lvlText w:val="S"/>
      <w:lvlJc w:val="left"/>
      <w:rPr>
        <w:rFonts w:ascii="WP TypographicSymbols" w:hAnsi="WP TypographicSymbols" w:cs="Times New Roman"/>
      </w:rPr>
    </w:lvl>
    <w:lvl w:ilvl="7">
      <w:start w:val="1"/>
      <w:numFmt w:val="none"/>
      <w:suff w:val="nothing"/>
      <w:lvlText w:val="S"/>
      <w:lvlJc w:val="left"/>
      <w:rPr>
        <w:rFonts w:ascii="WP TypographicSymbols" w:hAnsi="WP TypographicSymbols" w:cs="Times New Roman"/>
      </w:rPr>
    </w:lvl>
    <w:lvl w:ilvl="8">
      <w:start w:val="1"/>
      <w:numFmt w:val="lowerRoman"/>
      <w:suff w:val="nothing"/>
      <w:lvlText w:val="%9)"/>
      <w:lvlJc w:val="left"/>
      <w:rPr>
        <w:rFonts w:cs="Times New Roman"/>
      </w:rPr>
    </w:lvl>
  </w:abstractNum>
  <w:abstractNum w:abstractNumId="4" w15:restartNumberingAfterBreak="0">
    <w:nsid w:val="00000005"/>
    <w:multiLevelType w:val="multilevel"/>
    <w:tmpl w:val="00000005"/>
    <w:lvl w:ilvl="0">
      <w:start w:val="1"/>
      <w:numFmt w:val="none"/>
      <w:suff w:val="nothing"/>
      <w:lvlText w:val="S"/>
      <w:lvlJc w:val="left"/>
      <w:rPr>
        <w:rFonts w:ascii="WP TypographicSymbols" w:hAnsi="WP TypographicSymbols" w:cs="Times New Roman"/>
      </w:rPr>
    </w:lvl>
    <w:lvl w:ilvl="1">
      <w:start w:val="1"/>
      <w:numFmt w:val="none"/>
      <w:suff w:val="nothing"/>
      <w:lvlText w:val="S"/>
      <w:lvlJc w:val="left"/>
      <w:rPr>
        <w:rFonts w:ascii="WP TypographicSymbols" w:hAnsi="WP TypographicSymbols" w:cs="Times New Roman"/>
      </w:rPr>
    </w:lvl>
    <w:lvl w:ilvl="2">
      <w:start w:val="1"/>
      <w:numFmt w:val="none"/>
      <w:suff w:val="nothing"/>
      <w:lvlText w:val="S"/>
      <w:lvlJc w:val="left"/>
      <w:rPr>
        <w:rFonts w:ascii="WP TypographicSymbols" w:hAnsi="WP TypographicSymbols" w:cs="Times New Roman"/>
      </w:rPr>
    </w:lvl>
    <w:lvl w:ilvl="3">
      <w:start w:val="1"/>
      <w:numFmt w:val="none"/>
      <w:suff w:val="nothing"/>
      <w:lvlText w:val="S"/>
      <w:lvlJc w:val="left"/>
      <w:rPr>
        <w:rFonts w:ascii="WP TypographicSymbols" w:hAnsi="WP TypographicSymbols" w:cs="Times New Roman"/>
      </w:rPr>
    </w:lvl>
    <w:lvl w:ilvl="4">
      <w:start w:val="1"/>
      <w:numFmt w:val="none"/>
      <w:suff w:val="nothing"/>
      <w:lvlText w:val="S"/>
      <w:lvlJc w:val="left"/>
      <w:rPr>
        <w:rFonts w:ascii="WP TypographicSymbols" w:hAnsi="WP TypographicSymbols" w:cs="Times New Roman"/>
      </w:rPr>
    </w:lvl>
    <w:lvl w:ilvl="5">
      <w:start w:val="1"/>
      <w:numFmt w:val="none"/>
      <w:suff w:val="nothing"/>
      <w:lvlText w:val="S"/>
      <w:lvlJc w:val="left"/>
      <w:rPr>
        <w:rFonts w:ascii="WP TypographicSymbols" w:hAnsi="WP TypographicSymbols" w:cs="Times New Roman"/>
      </w:rPr>
    </w:lvl>
    <w:lvl w:ilvl="6">
      <w:start w:val="1"/>
      <w:numFmt w:val="none"/>
      <w:suff w:val="nothing"/>
      <w:lvlText w:val="S"/>
      <w:lvlJc w:val="left"/>
      <w:rPr>
        <w:rFonts w:ascii="WP TypographicSymbols" w:hAnsi="WP TypographicSymbols" w:cs="Times New Roman"/>
      </w:rPr>
    </w:lvl>
    <w:lvl w:ilvl="7">
      <w:start w:val="1"/>
      <w:numFmt w:val="none"/>
      <w:suff w:val="nothing"/>
      <w:lvlText w:val="S"/>
      <w:lvlJc w:val="left"/>
      <w:rPr>
        <w:rFonts w:ascii="WP TypographicSymbols" w:hAnsi="WP TypographicSymbols" w:cs="Times New Roman"/>
      </w:rPr>
    </w:lvl>
    <w:lvl w:ilvl="8">
      <w:start w:val="1"/>
      <w:numFmt w:val="lowerRoman"/>
      <w:suff w:val="nothing"/>
      <w:lvlText w:val="%9)"/>
      <w:lvlJc w:val="left"/>
      <w:rPr>
        <w:rFonts w:cs="Times New Roman"/>
      </w:rPr>
    </w:lvl>
  </w:abstractNum>
  <w:abstractNum w:abstractNumId="5" w15:restartNumberingAfterBreak="0">
    <w:nsid w:val="00000006"/>
    <w:multiLevelType w:val="multilevel"/>
    <w:tmpl w:val="00000006"/>
    <w:lvl w:ilvl="0">
      <w:start w:val="1"/>
      <w:numFmt w:val="decimal"/>
      <w:suff w:val="nothing"/>
      <w:lvlText w:val="%1."/>
      <w:lvlJc w:val="left"/>
      <w:rPr>
        <w:rFonts w:cs="Times New Roman"/>
      </w:rPr>
    </w:lvl>
    <w:lvl w:ilvl="1">
      <w:start w:val="1"/>
      <w:numFmt w:val="none"/>
      <w:suff w:val="nothing"/>
      <w:lvlText w:val="S"/>
      <w:lvlJc w:val="left"/>
      <w:rPr>
        <w:rFonts w:ascii="WP TypographicSymbols" w:hAnsi="WP TypographicSymbol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6" w15:restartNumberingAfterBreak="0">
    <w:nsid w:val="00000007"/>
    <w:multiLevelType w:val="multilevel"/>
    <w:tmpl w:val="00000007"/>
    <w:lvl w:ilvl="0">
      <w:start w:val="1"/>
      <w:numFmt w:val="none"/>
      <w:suff w:val="nothing"/>
      <w:lvlText w:val="S"/>
      <w:lvlJc w:val="left"/>
      <w:rPr>
        <w:rFonts w:ascii="WP TypographicSymbols" w:hAnsi="WP TypographicSymbols" w:cs="Times New Roman"/>
      </w:rPr>
    </w:lvl>
    <w:lvl w:ilvl="1">
      <w:start w:val="1"/>
      <w:numFmt w:val="none"/>
      <w:suff w:val="nothing"/>
      <w:lvlText w:val="S"/>
      <w:lvlJc w:val="left"/>
      <w:rPr>
        <w:rFonts w:ascii="WP TypographicSymbols" w:hAnsi="WP TypographicSymbols" w:cs="Times New Roman"/>
      </w:rPr>
    </w:lvl>
    <w:lvl w:ilvl="2">
      <w:start w:val="1"/>
      <w:numFmt w:val="none"/>
      <w:suff w:val="nothing"/>
      <w:lvlText w:val="S"/>
      <w:lvlJc w:val="left"/>
      <w:rPr>
        <w:rFonts w:ascii="WP TypographicSymbols" w:hAnsi="WP TypographicSymbols" w:cs="Times New Roman"/>
      </w:rPr>
    </w:lvl>
    <w:lvl w:ilvl="3">
      <w:start w:val="1"/>
      <w:numFmt w:val="none"/>
      <w:suff w:val="nothing"/>
      <w:lvlText w:val="S"/>
      <w:lvlJc w:val="left"/>
      <w:rPr>
        <w:rFonts w:ascii="WP TypographicSymbols" w:hAnsi="WP TypographicSymbols" w:cs="Times New Roman"/>
      </w:rPr>
    </w:lvl>
    <w:lvl w:ilvl="4">
      <w:start w:val="1"/>
      <w:numFmt w:val="none"/>
      <w:suff w:val="nothing"/>
      <w:lvlText w:val="S"/>
      <w:lvlJc w:val="left"/>
      <w:rPr>
        <w:rFonts w:ascii="WP TypographicSymbols" w:hAnsi="WP TypographicSymbols" w:cs="Times New Roman"/>
      </w:rPr>
    </w:lvl>
    <w:lvl w:ilvl="5">
      <w:start w:val="1"/>
      <w:numFmt w:val="none"/>
      <w:suff w:val="nothing"/>
      <w:lvlText w:val="S"/>
      <w:lvlJc w:val="left"/>
      <w:rPr>
        <w:rFonts w:ascii="WP TypographicSymbols" w:hAnsi="WP TypographicSymbols" w:cs="Times New Roman"/>
      </w:rPr>
    </w:lvl>
    <w:lvl w:ilvl="6">
      <w:start w:val="1"/>
      <w:numFmt w:val="none"/>
      <w:suff w:val="nothing"/>
      <w:lvlText w:val="S"/>
      <w:lvlJc w:val="left"/>
      <w:rPr>
        <w:rFonts w:ascii="WP TypographicSymbols" w:hAnsi="WP TypographicSymbols" w:cs="Times New Roman"/>
      </w:rPr>
    </w:lvl>
    <w:lvl w:ilvl="7">
      <w:start w:val="1"/>
      <w:numFmt w:val="none"/>
      <w:suff w:val="nothing"/>
      <w:lvlText w:val="S"/>
      <w:lvlJc w:val="left"/>
      <w:rPr>
        <w:rFonts w:ascii="WP TypographicSymbols" w:hAnsi="WP TypographicSymbols" w:cs="Times New Roman"/>
      </w:rPr>
    </w:lvl>
    <w:lvl w:ilvl="8">
      <w:start w:val="1"/>
      <w:numFmt w:val="lowerRoman"/>
      <w:suff w:val="nothing"/>
      <w:lvlText w:val="%9)"/>
      <w:lvlJc w:val="left"/>
      <w:rPr>
        <w:rFonts w:cs="Times New Roman"/>
      </w:rPr>
    </w:lvl>
  </w:abstractNum>
  <w:abstractNum w:abstractNumId="7" w15:restartNumberingAfterBreak="0">
    <w:nsid w:val="00000008"/>
    <w:multiLevelType w:val="multilevel"/>
    <w:tmpl w:val="00000008"/>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8" w15:restartNumberingAfterBreak="0">
    <w:nsid w:val="00000009"/>
    <w:multiLevelType w:val="multilevel"/>
    <w:tmpl w:val="00000009"/>
    <w:lvl w:ilvl="0">
      <w:start w:val="3"/>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9" w15:restartNumberingAfterBreak="0">
    <w:nsid w:val="0000000A"/>
    <w:multiLevelType w:val="multilevel"/>
    <w:tmpl w:val="0000000A"/>
    <w:lvl w:ilvl="0">
      <w:start w:val="8"/>
      <w:numFmt w:val="decimal"/>
      <w:suff w:val="nothing"/>
      <w:lvlText w:val="%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10" w15:restartNumberingAfterBreak="0">
    <w:nsid w:val="0000000B"/>
    <w:multiLevelType w:val="multilevel"/>
    <w:tmpl w:val="0000000B"/>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11" w15:restartNumberingAfterBreak="0">
    <w:nsid w:val="0000000C"/>
    <w:multiLevelType w:val="multilevel"/>
    <w:tmpl w:val="0000000C"/>
    <w:lvl w:ilvl="0">
      <w:start w:val="2"/>
      <w:numFmt w:val="upperLetter"/>
      <w:suff w:val="nothing"/>
      <w:lvlText w:val="%1."/>
      <w:lvlJc w:val="left"/>
      <w:rPr>
        <w:rFonts w:cs="Times New Roman"/>
      </w:rPr>
    </w:lvl>
    <w:lvl w:ilvl="1">
      <w:start w:val="1"/>
      <w:numFmt w:val="upperLetter"/>
      <w:suff w:val="nothing"/>
      <w:lvlText w:val="%2."/>
      <w:lvlJc w:val="left"/>
      <w:rPr>
        <w:rFonts w:cs="Times New Roman"/>
      </w:rPr>
    </w:lvl>
    <w:lvl w:ilvl="2">
      <w:start w:val="1"/>
      <w:numFmt w:val="upperLetter"/>
      <w:suff w:val="nothing"/>
      <w:lvlText w:val="%3."/>
      <w:lvlJc w:val="left"/>
      <w:rPr>
        <w:rFonts w:cs="Times New Roman"/>
      </w:rPr>
    </w:lvl>
    <w:lvl w:ilvl="3">
      <w:start w:val="1"/>
      <w:numFmt w:val="upperLetter"/>
      <w:suff w:val="nothing"/>
      <w:lvlText w:val="%4."/>
      <w:lvlJc w:val="left"/>
      <w:rPr>
        <w:rFonts w:cs="Times New Roman"/>
      </w:rPr>
    </w:lvl>
    <w:lvl w:ilvl="4">
      <w:start w:val="1"/>
      <w:numFmt w:val="upperLetter"/>
      <w:suff w:val="nothing"/>
      <w:lvlText w:val="%5."/>
      <w:lvlJc w:val="left"/>
      <w:rPr>
        <w:rFonts w:cs="Times New Roman"/>
      </w:rPr>
    </w:lvl>
    <w:lvl w:ilvl="5">
      <w:start w:val="1"/>
      <w:numFmt w:val="upperLetter"/>
      <w:suff w:val="nothing"/>
      <w:lvlText w:val="%6."/>
      <w:lvlJc w:val="left"/>
      <w:rPr>
        <w:rFonts w:cs="Times New Roman"/>
      </w:rPr>
    </w:lvl>
    <w:lvl w:ilvl="6">
      <w:start w:val="1"/>
      <w:numFmt w:val="upperLetter"/>
      <w:suff w:val="nothing"/>
      <w:lvlText w:val="%7."/>
      <w:lvlJc w:val="left"/>
      <w:rPr>
        <w:rFonts w:cs="Times New Roman"/>
      </w:rPr>
    </w:lvl>
    <w:lvl w:ilvl="7">
      <w:start w:val="1"/>
      <w:numFmt w:val="upp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2" w15:restartNumberingAfterBreak="0">
    <w:nsid w:val="00A84B9C"/>
    <w:multiLevelType w:val="multilevel"/>
    <w:tmpl w:val="E424B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837FDF"/>
    <w:multiLevelType w:val="hybridMultilevel"/>
    <w:tmpl w:val="AEE8A35A"/>
    <w:lvl w:ilvl="0" w:tplc="C276D5F8">
      <w:start w:val="1"/>
      <w:numFmt w:val="bullet"/>
      <w:lvlText w:val=""/>
      <w:lvlJc w:val="left"/>
      <w:pPr>
        <w:tabs>
          <w:tab w:val="num" w:pos="720"/>
        </w:tabs>
        <w:ind w:left="720" w:hanging="360"/>
      </w:pPr>
      <w:rPr>
        <w:rFonts w:ascii="Symbol" w:hAnsi="Symbol" w:hint="default"/>
        <w:sz w:val="20"/>
      </w:rPr>
    </w:lvl>
    <w:lvl w:ilvl="1" w:tplc="41C69F6E">
      <w:start w:val="1"/>
      <w:numFmt w:val="bullet"/>
      <w:lvlText w:val="o"/>
      <w:lvlJc w:val="left"/>
      <w:pPr>
        <w:tabs>
          <w:tab w:val="num" w:pos="1440"/>
        </w:tabs>
        <w:ind w:left="1440" w:hanging="360"/>
      </w:pPr>
      <w:rPr>
        <w:rFonts w:ascii="Courier New" w:hAnsi="Courier New" w:cs="Times New Roman" w:hint="default"/>
        <w:sz w:val="20"/>
      </w:rPr>
    </w:lvl>
    <w:lvl w:ilvl="2" w:tplc="DAF0DB72">
      <w:start w:val="1"/>
      <w:numFmt w:val="bullet"/>
      <w:lvlText w:val=""/>
      <w:lvlJc w:val="left"/>
      <w:pPr>
        <w:tabs>
          <w:tab w:val="num" w:pos="2160"/>
        </w:tabs>
        <w:ind w:left="2160" w:hanging="360"/>
      </w:pPr>
      <w:rPr>
        <w:rFonts w:ascii="Wingdings" w:hAnsi="Wingdings" w:hint="default"/>
        <w:sz w:val="20"/>
      </w:rPr>
    </w:lvl>
    <w:lvl w:ilvl="3" w:tplc="4AFAA722">
      <w:start w:val="1"/>
      <w:numFmt w:val="bullet"/>
      <w:lvlText w:val=""/>
      <w:lvlJc w:val="left"/>
      <w:pPr>
        <w:tabs>
          <w:tab w:val="num" w:pos="2880"/>
        </w:tabs>
        <w:ind w:left="2880" w:hanging="360"/>
      </w:pPr>
      <w:rPr>
        <w:rFonts w:ascii="Wingdings" w:hAnsi="Wingdings" w:hint="default"/>
        <w:sz w:val="20"/>
      </w:rPr>
    </w:lvl>
    <w:lvl w:ilvl="4" w:tplc="756AD070">
      <w:start w:val="1"/>
      <w:numFmt w:val="bullet"/>
      <w:lvlText w:val=""/>
      <w:lvlJc w:val="left"/>
      <w:pPr>
        <w:tabs>
          <w:tab w:val="num" w:pos="3600"/>
        </w:tabs>
        <w:ind w:left="3600" w:hanging="360"/>
      </w:pPr>
      <w:rPr>
        <w:rFonts w:ascii="Wingdings" w:hAnsi="Wingdings" w:hint="default"/>
        <w:sz w:val="20"/>
      </w:rPr>
    </w:lvl>
    <w:lvl w:ilvl="5" w:tplc="F92A779A">
      <w:start w:val="1"/>
      <w:numFmt w:val="bullet"/>
      <w:lvlText w:val=""/>
      <w:lvlJc w:val="left"/>
      <w:pPr>
        <w:tabs>
          <w:tab w:val="num" w:pos="4320"/>
        </w:tabs>
        <w:ind w:left="4320" w:hanging="360"/>
      </w:pPr>
      <w:rPr>
        <w:rFonts w:ascii="Wingdings" w:hAnsi="Wingdings" w:hint="default"/>
        <w:sz w:val="20"/>
      </w:rPr>
    </w:lvl>
    <w:lvl w:ilvl="6" w:tplc="B91294B8">
      <w:start w:val="1"/>
      <w:numFmt w:val="bullet"/>
      <w:lvlText w:val=""/>
      <w:lvlJc w:val="left"/>
      <w:pPr>
        <w:tabs>
          <w:tab w:val="num" w:pos="5040"/>
        </w:tabs>
        <w:ind w:left="5040" w:hanging="360"/>
      </w:pPr>
      <w:rPr>
        <w:rFonts w:ascii="Wingdings" w:hAnsi="Wingdings" w:hint="default"/>
        <w:sz w:val="20"/>
      </w:rPr>
    </w:lvl>
    <w:lvl w:ilvl="7" w:tplc="EF3C5F96">
      <w:start w:val="1"/>
      <w:numFmt w:val="bullet"/>
      <w:lvlText w:val=""/>
      <w:lvlJc w:val="left"/>
      <w:pPr>
        <w:tabs>
          <w:tab w:val="num" w:pos="5760"/>
        </w:tabs>
        <w:ind w:left="5760" w:hanging="360"/>
      </w:pPr>
      <w:rPr>
        <w:rFonts w:ascii="Wingdings" w:hAnsi="Wingdings" w:hint="default"/>
        <w:sz w:val="20"/>
      </w:rPr>
    </w:lvl>
    <w:lvl w:ilvl="8" w:tplc="9CBE9E30">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F721AD"/>
    <w:multiLevelType w:val="hybridMultilevel"/>
    <w:tmpl w:val="60FAF1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5582CEA"/>
    <w:multiLevelType w:val="hybridMultilevel"/>
    <w:tmpl w:val="6B447B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071449BC"/>
    <w:multiLevelType w:val="hybridMultilevel"/>
    <w:tmpl w:val="DA161D2A"/>
    <w:lvl w:ilvl="0" w:tplc="1D78CEE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0F6952E7"/>
    <w:multiLevelType w:val="hybridMultilevel"/>
    <w:tmpl w:val="5E94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56371C"/>
    <w:multiLevelType w:val="hybridMultilevel"/>
    <w:tmpl w:val="EF24B78E"/>
    <w:lvl w:ilvl="0" w:tplc="DCFE89FE">
      <w:start w:val="1"/>
      <w:numFmt w:val="bullet"/>
      <w:lvlText w:val=""/>
      <w:lvlJc w:val="left"/>
      <w:pPr>
        <w:tabs>
          <w:tab w:val="num" w:pos="720"/>
        </w:tabs>
        <w:ind w:left="720" w:hanging="360"/>
      </w:pPr>
      <w:rPr>
        <w:rFonts w:ascii="Symbol" w:hAnsi="Symbol" w:hint="default"/>
        <w:sz w:val="20"/>
      </w:rPr>
    </w:lvl>
    <w:lvl w:ilvl="1" w:tplc="4FA84924">
      <w:start w:val="1"/>
      <w:numFmt w:val="bullet"/>
      <w:lvlText w:val="o"/>
      <w:lvlJc w:val="left"/>
      <w:pPr>
        <w:tabs>
          <w:tab w:val="num" w:pos="1440"/>
        </w:tabs>
        <w:ind w:left="1440" w:hanging="360"/>
      </w:pPr>
      <w:rPr>
        <w:rFonts w:ascii="Courier New" w:hAnsi="Courier New" w:cs="Times New Roman" w:hint="default"/>
        <w:sz w:val="20"/>
      </w:rPr>
    </w:lvl>
    <w:lvl w:ilvl="2" w:tplc="5AF83042">
      <w:start w:val="1"/>
      <w:numFmt w:val="bullet"/>
      <w:lvlText w:val=""/>
      <w:lvlJc w:val="left"/>
      <w:pPr>
        <w:tabs>
          <w:tab w:val="num" w:pos="2160"/>
        </w:tabs>
        <w:ind w:left="2160" w:hanging="360"/>
      </w:pPr>
      <w:rPr>
        <w:rFonts w:ascii="Wingdings" w:hAnsi="Wingdings" w:hint="default"/>
        <w:sz w:val="20"/>
      </w:rPr>
    </w:lvl>
    <w:lvl w:ilvl="3" w:tplc="DC4CD30E">
      <w:start w:val="1"/>
      <w:numFmt w:val="bullet"/>
      <w:lvlText w:val=""/>
      <w:lvlJc w:val="left"/>
      <w:pPr>
        <w:tabs>
          <w:tab w:val="num" w:pos="2880"/>
        </w:tabs>
        <w:ind w:left="2880" w:hanging="360"/>
      </w:pPr>
      <w:rPr>
        <w:rFonts w:ascii="Wingdings" w:hAnsi="Wingdings" w:hint="default"/>
        <w:sz w:val="20"/>
      </w:rPr>
    </w:lvl>
    <w:lvl w:ilvl="4" w:tplc="691E3DAE">
      <w:start w:val="1"/>
      <w:numFmt w:val="bullet"/>
      <w:lvlText w:val=""/>
      <w:lvlJc w:val="left"/>
      <w:pPr>
        <w:tabs>
          <w:tab w:val="num" w:pos="3600"/>
        </w:tabs>
        <w:ind w:left="3600" w:hanging="360"/>
      </w:pPr>
      <w:rPr>
        <w:rFonts w:ascii="Wingdings" w:hAnsi="Wingdings" w:hint="default"/>
        <w:sz w:val="20"/>
      </w:rPr>
    </w:lvl>
    <w:lvl w:ilvl="5" w:tplc="AC1A07D4">
      <w:start w:val="1"/>
      <w:numFmt w:val="bullet"/>
      <w:lvlText w:val=""/>
      <w:lvlJc w:val="left"/>
      <w:pPr>
        <w:tabs>
          <w:tab w:val="num" w:pos="4320"/>
        </w:tabs>
        <w:ind w:left="4320" w:hanging="360"/>
      </w:pPr>
      <w:rPr>
        <w:rFonts w:ascii="Wingdings" w:hAnsi="Wingdings" w:hint="default"/>
        <w:sz w:val="20"/>
      </w:rPr>
    </w:lvl>
    <w:lvl w:ilvl="6" w:tplc="9198084A">
      <w:start w:val="1"/>
      <w:numFmt w:val="bullet"/>
      <w:lvlText w:val=""/>
      <w:lvlJc w:val="left"/>
      <w:pPr>
        <w:tabs>
          <w:tab w:val="num" w:pos="5040"/>
        </w:tabs>
        <w:ind w:left="5040" w:hanging="360"/>
      </w:pPr>
      <w:rPr>
        <w:rFonts w:ascii="Wingdings" w:hAnsi="Wingdings" w:hint="default"/>
        <w:sz w:val="20"/>
      </w:rPr>
    </w:lvl>
    <w:lvl w:ilvl="7" w:tplc="829AE1A4">
      <w:start w:val="1"/>
      <w:numFmt w:val="bullet"/>
      <w:lvlText w:val=""/>
      <w:lvlJc w:val="left"/>
      <w:pPr>
        <w:tabs>
          <w:tab w:val="num" w:pos="5760"/>
        </w:tabs>
        <w:ind w:left="5760" w:hanging="360"/>
      </w:pPr>
      <w:rPr>
        <w:rFonts w:ascii="Wingdings" w:hAnsi="Wingdings" w:hint="default"/>
        <w:sz w:val="20"/>
      </w:rPr>
    </w:lvl>
    <w:lvl w:ilvl="8" w:tplc="F948C0E4">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543AF0"/>
    <w:multiLevelType w:val="hybridMultilevel"/>
    <w:tmpl w:val="807CA15A"/>
    <w:lvl w:ilvl="0" w:tplc="BDE6ADB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7A4925"/>
    <w:multiLevelType w:val="hybridMultilevel"/>
    <w:tmpl w:val="AE6A8CC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3C63EDA"/>
    <w:multiLevelType w:val="hybridMultilevel"/>
    <w:tmpl w:val="CDB2E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D895555"/>
    <w:multiLevelType w:val="hybridMultilevel"/>
    <w:tmpl w:val="52FE7254"/>
    <w:lvl w:ilvl="0" w:tplc="0409000F">
      <w:start w:val="1"/>
      <w:numFmt w:val="decimal"/>
      <w:lvlText w:val="%1."/>
      <w:lvlJc w:val="left"/>
      <w:pPr>
        <w:tabs>
          <w:tab w:val="num" w:pos="1440"/>
        </w:tabs>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15:restartNumberingAfterBreak="0">
    <w:nsid w:val="4E5F4B8D"/>
    <w:multiLevelType w:val="hybridMultilevel"/>
    <w:tmpl w:val="48BA97B8"/>
    <w:lvl w:ilvl="0" w:tplc="04090001">
      <w:start w:val="1"/>
      <w:numFmt w:val="bullet"/>
      <w:lvlText w:val=""/>
      <w:lvlJc w:val="left"/>
      <w:pPr>
        <w:tabs>
          <w:tab w:val="num" w:pos="1800"/>
        </w:tabs>
        <w:ind w:left="1800" w:hanging="360"/>
      </w:pPr>
      <w:rPr>
        <w:rFonts w:ascii="Symbol" w:hAnsi="Symbol" w:hint="default"/>
      </w:rPr>
    </w:lvl>
    <w:lvl w:ilvl="1" w:tplc="1D78CEE6">
      <w:start w:val="1"/>
      <w:numFmt w:val="lowerLetter"/>
      <w:lvlText w:val="%2."/>
      <w:lvlJc w:val="left"/>
      <w:pPr>
        <w:tabs>
          <w:tab w:val="num" w:pos="2880"/>
        </w:tabs>
        <w:ind w:left="2880" w:hanging="720"/>
      </w:pPr>
      <w:rPr>
        <w:rFonts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7A7777C"/>
    <w:multiLevelType w:val="hybridMultilevel"/>
    <w:tmpl w:val="347C04EE"/>
    <w:lvl w:ilvl="0" w:tplc="02BC6488">
      <w:start w:val="1"/>
      <w:numFmt w:val="bullet"/>
      <w:lvlText w:val=""/>
      <w:lvlJc w:val="left"/>
      <w:pPr>
        <w:tabs>
          <w:tab w:val="num" w:pos="720"/>
        </w:tabs>
        <w:ind w:left="720" w:hanging="360"/>
      </w:pPr>
      <w:rPr>
        <w:rFonts w:ascii="Symbol" w:hAnsi="Symbol" w:hint="default"/>
        <w:sz w:val="20"/>
      </w:rPr>
    </w:lvl>
    <w:lvl w:ilvl="1" w:tplc="47AE51A8">
      <w:start w:val="1"/>
      <w:numFmt w:val="bullet"/>
      <w:lvlText w:val="o"/>
      <w:lvlJc w:val="left"/>
      <w:pPr>
        <w:tabs>
          <w:tab w:val="num" w:pos="1440"/>
        </w:tabs>
        <w:ind w:left="1440" w:hanging="360"/>
      </w:pPr>
      <w:rPr>
        <w:rFonts w:ascii="Courier New" w:hAnsi="Courier New" w:cs="Times New Roman" w:hint="default"/>
        <w:sz w:val="20"/>
      </w:rPr>
    </w:lvl>
    <w:lvl w:ilvl="2" w:tplc="F5569C9E">
      <w:start w:val="1"/>
      <w:numFmt w:val="bullet"/>
      <w:lvlText w:val=""/>
      <w:lvlJc w:val="left"/>
      <w:pPr>
        <w:tabs>
          <w:tab w:val="num" w:pos="2160"/>
        </w:tabs>
        <w:ind w:left="2160" w:hanging="360"/>
      </w:pPr>
      <w:rPr>
        <w:rFonts w:ascii="Wingdings" w:hAnsi="Wingdings" w:hint="default"/>
        <w:sz w:val="20"/>
      </w:rPr>
    </w:lvl>
    <w:lvl w:ilvl="3" w:tplc="CD42DB22">
      <w:start w:val="1"/>
      <w:numFmt w:val="bullet"/>
      <w:lvlText w:val=""/>
      <w:lvlJc w:val="left"/>
      <w:pPr>
        <w:tabs>
          <w:tab w:val="num" w:pos="2880"/>
        </w:tabs>
        <w:ind w:left="2880" w:hanging="360"/>
      </w:pPr>
      <w:rPr>
        <w:rFonts w:ascii="Wingdings" w:hAnsi="Wingdings" w:hint="default"/>
        <w:sz w:val="20"/>
      </w:rPr>
    </w:lvl>
    <w:lvl w:ilvl="4" w:tplc="2A16F6A6">
      <w:start w:val="1"/>
      <w:numFmt w:val="bullet"/>
      <w:lvlText w:val=""/>
      <w:lvlJc w:val="left"/>
      <w:pPr>
        <w:tabs>
          <w:tab w:val="num" w:pos="3600"/>
        </w:tabs>
        <w:ind w:left="3600" w:hanging="360"/>
      </w:pPr>
      <w:rPr>
        <w:rFonts w:ascii="Wingdings" w:hAnsi="Wingdings" w:hint="default"/>
        <w:sz w:val="20"/>
      </w:rPr>
    </w:lvl>
    <w:lvl w:ilvl="5" w:tplc="09100F2E">
      <w:start w:val="1"/>
      <w:numFmt w:val="bullet"/>
      <w:lvlText w:val=""/>
      <w:lvlJc w:val="left"/>
      <w:pPr>
        <w:tabs>
          <w:tab w:val="num" w:pos="4320"/>
        </w:tabs>
        <w:ind w:left="4320" w:hanging="360"/>
      </w:pPr>
      <w:rPr>
        <w:rFonts w:ascii="Wingdings" w:hAnsi="Wingdings" w:hint="default"/>
        <w:sz w:val="20"/>
      </w:rPr>
    </w:lvl>
    <w:lvl w:ilvl="6" w:tplc="9DC87D84">
      <w:start w:val="1"/>
      <w:numFmt w:val="bullet"/>
      <w:lvlText w:val=""/>
      <w:lvlJc w:val="left"/>
      <w:pPr>
        <w:tabs>
          <w:tab w:val="num" w:pos="5040"/>
        </w:tabs>
        <w:ind w:left="5040" w:hanging="360"/>
      </w:pPr>
      <w:rPr>
        <w:rFonts w:ascii="Wingdings" w:hAnsi="Wingdings" w:hint="default"/>
        <w:sz w:val="20"/>
      </w:rPr>
    </w:lvl>
    <w:lvl w:ilvl="7" w:tplc="9F60906C">
      <w:start w:val="1"/>
      <w:numFmt w:val="bullet"/>
      <w:lvlText w:val=""/>
      <w:lvlJc w:val="left"/>
      <w:pPr>
        <w:tabs>
          <w:tab w:val="num" w:pos="5760"/>
        </w:tabs>
        <w:ind w:left="5760" w:hanging="360"/>
      </w:pPr>
      <w:rPr>
        <w:rFonts w:ascii="Wingdings" w:hAnsi="Wingdings" w:hint="default"/>
        <w:sz w:val="20"/>
      </w:rPr>
    </w:lvl>
    <w:lvl w:ilvl="8" w:tplc="0A524F80">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D92B71"/>
    <w:multiLevelType w:val="hybridMultilevel"/>
    <w:tmpl w:val="EE167E30"/>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880"/>
        </w:tabs>
        <w:ind w:left="2880" w:hanging="360"/>
      </w:pPr>
      <w:rPr>
        <w:rFonts w:cs="Times New Roman"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5CCC4E3E"/>
    <w:multiLevelType w:val="hybridMultilevel"/>
    <w:tmpl w:val="CB622E38"/>
    <w:lvl w:ilvl="0" w:tplc="EDA0D266">
      <w:start w:val="1"/>
      <w:numFmt w:val="bullet"/>
      <w:lvlText w:val=""/>
      <w:lvlJc w:val="left"/>
      <w:pPr>
        <w:tabs>
          <w:tab w:val="num" w:pos="720"/>
        </w:tabs>
        <w:ind w:left="720" w:hanging="360"/>
      </w:pPr>
      <w:rPr>
        <w:rFonts w:ascii="Symbol" w:hAnsi="Symbol" w:hint="default"/>
        <w:sz w:val="20"/>
      </w:rPr>
    </w:lvl>
    <w:lvl w:ilvl="1" w:tplc="5016EC68">
      <w:start w:val="1"/>
      <w:numFmt w:val="bullet"/>
      <w:lvlText w:val="o"/>
      <w:lvlJc w:val="left"/>
      <w:pPr>
        <w:tabs>
          <w:tab w:val="num" w:pos="1440"/>
        </w:tabs>
        <w:ind w:left="1440" w:hanging="360"/>
      </w:pPr>
      <w:rPr>
        <w:rFonts w:ascii="Courier New" w:hAnsi="Courier New" w:cs="Times New Roman" w:hint="default"/>
        <w:sz w:val="20"/>
      </w:rPr>
    </w:lvl>
    <w:lvl w:ilvl="2" w:tplc="F482DE84">
      <w:start w:val="1"/>
      <w:numFmt w:val="bullet"/>
      <w:lvlText w:val=""/>
      <w:lvlJc w:val="left"/>
      <w:pPr>
        <w:tabs>
          <w:tab w:val="num" w:pos="2160"/>
        </w:tabs>
        <w:ind w:left="2160" w:hanging="360"/>
      </w:pPr>
      <w:rPr>
        <w:rFonts w:ascii="Wingdings" w:hAnsi="Wingdings" w:hint="default"/>
        <w:sz w:val="20"/>
      </w:rPr>
    </w:lvl>
    <w:lvl w:ilvl="3" w:tplc="1A0ED2E6">
      <w:start w:val="1"/>
      <w:numFmt w:val="bullet"/>
      <w:lvlText w:val=""/>
      <w:lvlJc w:val="left"/>
      <w:pPr>
        <w:tabs>
          <w:tab w:val="num" w:pos="2880"/>
        </w:tabs>
        <w:ind w:left="2880" w:hanging="360"/>
      </w:pPr>
      <w:rPr>
        <w:rFonts w:ascii="Wingdings" w:hAnsi="Wingdings" w:hint="default"/>
        <w:sz w:val="20"/>
      </w:rPr>
    </w:lvl>
    <w:lvl w:ilvl="4" w:tplc="46C8D666">
      <w:start w:val="1"/>
      <w:numFmt w:val="bullet"/>
      <w:lvlText w:val=""/>
      <w:lvlJc w:val="left"/>
      <w:pPr>
        <w:tabs>
          <w:tab w:val="num" w:pos="3600"/>
        </w:tabs>
        <w:ind w:left="3600" w:hanging="360"/>
      </w:pPr>
      <w:rPr>
        <w:rFonts w:ascii="Wingdings" w:hAnsi="Wingdings" w:hint="default"/>
        <w:sz w:val="20"/>
      </w:rPr>
    </w:lvl>
    <w:lvl w:ilvl="5" w:tplc="C80C24D2">
      <w:start w:val="1"/>
      <w:numFmt w:val="bullet"/>
      <w:lvlText w:val=""/>
      <w:lvlJc w:val="left"/>
      <w:pPr>
        <w:tabs>
          <w:tab w:val="num" w:pos="4320"/>
        </w:tabs>
        <w:ind w:left="4320" w:hanging="360"/>
      </w:pPr>
      <w:rPr>
        <w:rFonts w:ascii="Wingdings" w:hAnsi="Wingdings" w:hint="default"/>
        <w:sz w:val="20"/>
      </w:rPr>
    </w:lvl>
    <w:lvl w:ilvl="6" w:tplc="D4E29768">
      <w:start w:val="1"/>
      <w:numFmt w:val="bullet"/>
      <w:lvlText w:val=""/>
      <w:lvlJc w:val="left"/>
      <w:pPr>
        <w:tabs>
          <w:tab w:val="num" w:pos="5040"/>
        </w:tabs>
        <w:ind w:left="5040" w:hanging="360"/>
      </w:pPr>
      <w:rPr>
        <w:rFonts w:ascii="Wingdings" w:hAnsi="Wingdings" w:hint="default"/>
        <w:sz w:val="20"/>
      </w:rPr>
    </w:lvl>
    <w:lvl w:ilvl="7" w:tplc="EF68F164">
      <w:start w:val="1"/>
      <w:numFmt w:val="bullet"/>
      <w:lvlText w:val=""/>
      <w:lvlJc w:val="left"/>
      <w:pPr>
        <w:tabs>
          <w:tab w:val="num" w:pos="5760"/>
        </w:tabs>
        <w:ind w:left="5760" w:hanging="360"/>
      </w:pPr>
      <w:rPr>
        <w:rFonts w:ascii="Wingdings" w:hAnsi="Wingdings" w:hint="default"/>
        <w:sz w:val="20"/>
      </w:rPr>
    </w:lvl>
    <w:lvl w:ilvl="8" w:tplc="432A1E6A">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967CB"/>
    <w:multiLevelType w:val="hybridMultilevel"/>
    <w:tmpl w:val="4FC48E24"/>
    <w:lvl w:ilvl="0" w:tplc="EA706B62">
      <w:start w:val="1"/>
      <w:numFmt w:val="bullet"/>
      <w:lvlText w:val=""/>
      <w:lvlJc w:val="left"/>
      <w:pPr>
        <w:tabs>
          <w:tab w:val="num" w:pos="720"/>
        </w:tabs>
        <w:ind w:left="720" w:hanging="360"/>
      </w:pPr>
      <w:rPr>
        <w:rFonts w:ascii="Symbol" w:hAnsi="Symbol" w:hint="default"/>
        <w:sz w:val="20"/>
      </w:rPr>
    </w:lvl>
    <w:lvl w:ilvl="1" w:tplc="2E6A0888">
      <w:start w:val="1"/>
      <w:numFmt w:val="bullet"/>
      <w:lvlText w:val="o"/>
      <w:lvlJc w:val="left"/>
      <w:pPr>
        <w:tabs>
          <w:tab w:val="num" w:pos="1440"/>
        </w:tabs>
        <w:ind w:left="1440" w:hanging="360"/>
      </w:pPr>
      <w:rPr>
        <w:rFonts w:ascii="Courier New" w:hAnsi="Courier New" w:cs="Times New Roman" w:hint="default"/>
        <w:sz w:val="20"/>
      </w:rPr>
    </w:lvl>
    <w:lvl w:ilvl="2" w:tplc="9BACC468">
      <w:start w:val="1"/>
      <w:numFmt w:val="bullet"/>
      <w:lvlText w:val=""/>
      <w:lvlJc w:val="left"/>
      <w:pPr>
        <w:tabs>
          <w:tab w:val="num" w:pos="2160"/>
        </w:tabs>
        <w:ind w:left="2160" w:hanging="360"/>
      </w:pPr>
      <w:rPr>
        <w:rFonts w:ascii="Wingdings" w:hAnsi="Wingdings" w:hint="default"/>
        <w:sz w:val="20"/>
      </w:rPr>
    </w:lvl>
    <w:lvl w:ilvl="3" w:tplc="475E3308">
      <w:start w:val="1"/>
      <w:numFmt w:val="bullet"/>
      <w:lvlText w:val=""/>
      <w:lvlJc w:val="left"/>
      <w:pPr>
        <w:tabs>
          <w:tab w:val="num" w:pos="2880"/>
        </w:tabs>
        <w:ind w:left="2880" w:hanging="360"/>
      </w:pPr>
      <w:rPr>
        <w:rFonts w:ascii="Wingdings" w:hAnsi="Wingdings" w:hint="default"/>
        <w:sz w:val="20"/>
      </w:rPr>
    </w:lvl>
    <w:lvl w:ilvl="4" w:tplc="46C09B7E">
      <w:start w:val="1"/>
      <w:numFmt w:val="bullet"/>
      <w:lvlText w:val=""/>
      <w:lvlJc w:val="left"/>
      <w:pPr>
        <w:tabs>
          <w:tab w:val="num" w:pos="3600"/>
        </w:tabs>
        <w:ind w:left="3600" w:hanging="360"/>
      </w:pPr>
      <w:rPr>
        <w:rFonts w:ascii="Wingdings" w:hAnsi="Wingdings" w:hint="default"/>
        <w:sz w:val="20"/>
      </w:rPr>
    </w:lvl>
    <w:lvl w:ilvl="5" w:tplc="DB7CC4CE">
      <w:start w:val="1"/>
      <w:numFmt w:val="bullet"/>
      <w:lvlText w:val=""/>
      <w:lvlJc w:val="left"/>
      <w:pPr>
        <w:tabs>
          <w:tab w:val="num" w:pos="4320"/>
        </w:tabs>
        <w:ind w:left="4320" w:hanging="360"/>
      </w:pPr>
      <w:rPr>
        <w:rFonts w:ascii="Wingdings" w:hAnsi="Wingdings" w:hint="default"/>
        <w:sz w:val="20"/>
      </w:rPr>
    </w:lvl>
    <w:lvl w:ilvl="6" w:tplc="BC94F0FE">
      <w:start w:val="1"/>
      <w:numFmt w:val="bullet"/>
      <w:lvlText w:val=""/>
      <w:lvlJc w:val="left"/>
      <w:pPr>
        <w:tabs>
          <w:tab w:val="num" w:pos="5040"/>
        </w:tabs>
        <w:ind w:left="5040" w:hanging="360"/>
      </w:pPr>
      <w:rPr>
        <w:rFonts w:ascii="Wingdings" w:hAnsi="Wingdings" w:hint="default"/>
        <w:sz w:val="20"/>
      </w:rPr>
    </w:lvl>
    <w:lvl w:ilvl="7" w:tplc="C0680C6A">
      <w:start w:val="1"/>
      <w:numFmt w:val="bullet"/>
      <w:lvlText w:val=""/>
      <w:lvlJc w:val="left"/>
      <w:pPr>
        <w:tabs>
          <w:tab w:val="num" w:pos="5760"/>
        </w:tabs>
        <w:ind w:left="5760" w:hanging="360"/>
      </w:pPr>
      <w:rPr>
        <w:rFonts w:ascii="Wingdings" w:hAnsi="Wingdings" w:hint="default"/>
        <w:sz w:val="20"/>
      </w:rPr>
    </w:lvl>
    <w:lvl w:ilvl="8" w:tplc="BCBABB16">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0"/>
  </w:num>
  <w:num w:numId="14">
    <w:abstractNumId w:val="25"/>
  </w:num>
  <w:num w:numId="15">
    <w:abstractNumId w:val="23"/>
  </w:num>
  <w:num w:numId="16">
    <w:abstractNumId w:val="15"/>
  </w:num>
  <w:num w:numId="17">
    <w:abstractNumId w:val="16"/>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8"/>
  </w:num>
  <w:num w:numId="21">
    <w:abstractNumId w:val="26"/>
  </w:num>
  <w:num w:numId="22">
    <w:abstractNumId w:val="24"/>
  </w:num>
  <w:num w:numId="23">
    <w:abstractNumId w:val="13"/>
  </w:num>
  <w:num w:numId="24">
    <w:abstractNumId w:val="12"/>
  </w:num>
  <w:num w:numId="25">
    <w:abstractNumId w:val="14"/>
  </w:num>
  <w:num w:numId="26">
    <w:abstractNumId w:val="21"/>
  </w:num>
  <w:num w:numId="27">
    <w:abstractNumId w:val="1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4E"/>
    <w:rsid w:val="00002B16"/>
    <w:rsid w:val="0001023C"/>
    <w:rsid w:val="000119E4"/>
    <w:rsid w:val="00011C6B"/>
    <w:rsid w:val="00011DB8"/>
    <w:rsid w:val="000213F5"/>
    <w:rsid w:val="0002254A"/>
    <w:rsid w:val="0002760E"/>
    <w:rsid w:val="000302F0"/>
    <w:rsid w:val="00031627"/>
    <w:rsid w:val="00035CDB"/>
    <w:rsid w:val="00040901"/>
    <w:rsid w:val="00043AFB"/>
    <w:rsid w:val="000540C3"/>
    <w:rsid w:val="000549C5"/>
    <w:rsid w:val="0006022F"/>
    <w:rsid w:val="00062A93"/>
    <w:rsid w:val="00066EE6"/>
    <w:rsid w:val="00067049"/>
    <w:rsid w:val="000670E4"/>
    <w:rsid w:val="00067B83"/>
    <w:rsid w:val="0007110A"/>
    <w:rsid w:val="00075A40"/>
    <w:rsid w:val="00076C1B"/>
    <w:rsid w:val="00077B0F"/>
    <w:rsid w:val="00082103"/>
    <w:rsid w:val="00085C94"/>
    <w:rsid w:val="0008642A"/>
    <w:rsid w:val="00086E4D"/>
    <w:rsid w:val="00086FE3"/>
    <w:rsid w:val="000906CE"/>
    <w:rsid w:val="00091AE3"/>
    <w:rsid w:val="00092C34"/>
    <w:rsid w:val="00094751"/>
    <w:rsid w:val="000960D8"/>
    <w:rsid w:val="00096E8C"/>
    <w:rsid w:val="000A13AA"/>
    <w:rsid w:val="000A21D8"/>
    <w:rsid w:val="000A2EBF"/>
    <w:rsid w:val="000A47DE"/>
    <w:rsid w:val="000B218E"/>
    <w:rsid w:val="000B5054"/>
    <w:rsid w:val="000B5D8B"/>
    <w:rsid w:val="000B6BD5"/>
    <w:rsid w:val="000B7C0E"/>
    <w:rsid w:val="000C728C"/>
    <w:rsid w:val="000D022C"/>
    <w:rsid w:val="000D15DE"/>
    <w:rsid w:val="000D2A53"/>
    <w:rsid w:val="000D404E"/>
    <w:rsid w:val="000D4632"/>
    <w:rsid w:val="000D543B"/>
    <w:rsid w:val="000D56B7"/>
    <w:rsid w:val="000E14C3"/>
    <w:rsid w:val="000E2746"/>
    <w:rsid w:val="000E4AB1"/>
    <w:rsid w:val="000E5921"/>
    <w:rsid w:val="000E6BC5"/>
    <w:rsid w:val="000E768E"/>
    <w:rsid w:val="000F0568"/>
    <w:rsid w:val="000F1F05"/>
    <w:rsid w:val="000F46DC"/>
    <w:rsid w:val="00101297"/>
    <w:rsid w:val="001022D2"/>
    <w:rsid w:val="0010302E"/>
    <w:rsid w:val="00104ABA"/>
    <w:rsid w:val="001148A5"/>
    <w:rsid w:val="00114FE3"/>
    <w:rsid w:val="00120C77"/>
    <w:rsid w:val="00121025"/>
    <w:rsid w:val="00122DD8"/>
    <w:rsid w:val="00131815"/>
    <w:rsid w:val="0013329D"/>
    <w:rsid w:val="00135544"/>
    <w:rsid w:val="001375BC"/>
    <w:rsid w:val="00141393"/>
    <w:rsid w:val="0014280B"/>
    <w:rsid w:val="00142BE9"/>
    <w:rsid w:val="0014680F"/>
    <w:rsid w:val="00150A38"/>
    <w:rsid w:val="001600BD"/>
    <w:rsid w:val="0016017F"/>
    <w:rsid w:val="00161556"/>
    <w:rsid w:val="00164350"/>
    <w:rsid w:val="00166C8A"/>
    <w:rsid w:val="00166CD2"/>
    <w:rsid w:val="00172B27"/>
    <w:rsid w:val="00175145"/>
    <w:rsid w:val="00177772"/>
    <w:rsid w:val="00184F9E"/>
    <w:rsid w:val="00195816"/>
    <w:rsid w:val="00196B0F"/>
    <w:rsid w:val="0019789A"/>
    <w:rsid w:val="001A1EC9"/>
    <w:rsid w:val="001A77DF"/>
    <w:rsid w:val="001C4DFA"/>
    <w:rsid w:val="001C5176"/>
    <w:rsid w:val="001D5AD7"/>
    <w:rsid w:val="001F0CEA"/>
    <w:rsid w:val="001F207E"/>
    <w:rsid w:val="001F733D"/>
    <w:rsid w:val="00207781"/>
    <w:rsid w:val="0021460F"/>
    <w:rsid w:val="0021551E"/>
    <w:rsid w:val="0022030E"/>
    <w:rsid w:val="00222059"/>
    <w:rsid w:val="00222270"/>
    <w:rsid w:val="00222E43"/>
    <w:rsid w:val="00224A48"/>
    <w:rsid w:val="00227F2A"/>
    <w:rsid w:val="00233860"/>
    <w:rsid w:val="00235A8E"/>
    <w:rsid w:val="00240B3C"/>
    <w:rsid w:val="00240F39"/>
    <w:rsid w:val="0024319E"/>
    <w:rsid w:val="00245115"/>
    <w:rsid w:val="0024617D"/>
    <w:rsid w:val="002512A0"/>
    <w:rsid w:val="00253CFF"/>
    <w:rsid w:val="00256A08"/>
    <w:rsid w:val="00257165"/>
    <w:rsid w:val="00260128"/>
    <w:rsid w:val="00260493"/>
    <w:rsid w:val="0026126E"/>
    <w:rsid w:val="00265481"/>
    <w:rsid w:val="00266ABF"/>
    <w:rsid w:val="002672BC"/>
    <w:rsid w:val="00270293"/>
    <w:rsid w:val="00271474"/>
    <w:rsid w:val="00272793"/>
    <w:rsid w:val="00272EBF"/>
    <w:rsid w:val="002765AC"/>
    <w:rsid w:val="00280996"/>
    <w:rsid w:val="002811B5"/>
    <w:rsid w:val="0028285C"/>
    <w:rsid w:val="0028380F"/>
    <w:rsid w:val="00283FCC"/>
    <w:rsid w:val="0028571C"/>
    <w:rsid w:val="00291EEA"/>
    <w:rsid w:val="0029211D"/>
    <w:rsid w:val="0029552C"/>
    <w:rsid w:val="002A19F1"/>
    <w:rsid w:val="002A4A03"/>
    <w:rsid w:val="002A557F"/>
    <w:rsid w:val="002B0068"/>
    <w:rsid w:val="002B2199"/>
    <w:rsid w:val="002B74DC"/>
    <w:rsid w:val="002C4BFF"/>
    <w:rsid w:val="002C67DC"/>
    <w:rsid w:val="002D37CF"/>
    <w:rsid w:val="002D44AE"/>
    <w:rsid w:val="002D7D59"/>
    <w:rsid w:val="002E18AC"/>
    <w:rsid w:val="002E234F"/>
    <w:rsid w:val="002E23D1"/>
    <w:rsid w:val="002E3AAD"/>
    <w:rsid w:val="002E4AEF"/>
    <w:rsid w:val="002E4D47"/>
    <w:rsid w:val="002F379C"/>
    <w:rsid w:val="002F5D13"/>
    <w:rsid w:val="00301751"/>
    <w:rsid w:val="00304396"/>
    <w:rsid w:val="0030476D"/>
    <w:rsid w:val="00304C35"/>
    <w:rsid w:val="003103E4"/>
    <w:rsid w:val="00313D6D"/>
    <w:rsid w:val="003160BF"/>
    <w:rsid w:val="00321170"/>
    <w:rsid w:val="00322D8D"/>
    <w:rsid w:val="00332843"/>
    <w:rsid w:val="0033431C"/>
    <w:rsid w:val="0033507F"/>
    <w:rsid w:val="00335FCB"/>
    <w:rsid w:val="00340134"/>
    <w:rsid w:val="00343249"/>
    <w:rsid w:val="0034457B"/>
    <w:rsid w:val="003447C0"/>
    <w:rsid w:val="00353680"/>
    <w:rsid w:val="003541E7"/>
    <w:rsid w:val="00356DA6"/>
    <w:rsid w:val="003604D9"/>
    <w:rsid w:val="003706DB"/>
    <w:rsid w:val="0037319C"/>
    <w:rsid w:val="00375128"/>
    <w:rsid w:val="00377539"/>
    <w:rsid w:val="00380464"/>
    <w:rsid w:val="00381156"/>
    <w:rsid w:val="00382D7E"/>
    <w:rsid w:val="0038584D"/>
    <w:rsid w:val="00386E51"/>
    <w:rsid w:val="00390666"/>
    <w:rsid w:val="00391612"/>
    <w:rsid w:val="00391A82"/>
    <w:rsid w:val="00393C7D"/>
    <w:rsid w:val="00397531"/>
    <w:rsid w:val="003976C8"/>
    <w:rsid w:val="003A017F"/>
    <w:rsid w:val="003A0688"/>
    <w:rsid w:val="003A3116"/>
    <w:rsid w:val="003A58CA"/>
    <w:rsid w:val="003B2BD4"/>
    <w:rsid w:val="003B3046"/>
    <w:rsid w:val="003B55EE"/>
    <w:rsid w:val="003B6C1E"/>
    <w:rsid w:val="003C3D02"/>
    <w:rsid w:val="003D0D55"/>
    <w:rsid w:val="003D3BFC"/>
    <w:rsid w:val="003D59C5"/>
    <w:rsid w:val="003E0EB7"/>
    <w:rsid w:val="003E1E2D"/>
    <w:rsid w:val="003E6F94"/>
    <w:rsid w:val="003E7259"/>
    <w:rsid w:val="003F1FAD"/>
    <w:rsid w:val="003F561D"/>
    <w:rsid w:val="0040593B"/>
    <w:rsid w:val="00407323"/>
    <w:rsid w:val="004079A2"/>
    <w:rsid w:val="00410DBE"/>
    <w:rsid w:val="00412570"/>
    <w:rsid w:val="00413139"/>
    <w:rsid w:val="00414443"/>
    <w:rsid w:val="0041628D"/>
    <w:rsid w:val="0042395F"/>
    <w:rsid w:val="00431598"/>
    <w:rsid w:val="004324E8"/>
    <w:rsid w:val="0043285A"/>
    <w:rsid w:val="0043519B"/>
    <w:rsid w:val="004372D4"/>
    <w:rsid w:val="00440249"/>
    <w:rsid w:val="004454D7"/>
    <w:rsid w:val="00447031"/>
    <w:rsid w:val="00450628"/>
    <w:rsid w:val="004516AC"/>
    <w:rsid w:val="00452DE6"/>
    <w:rsid w:val="00455DEE"/>
    <w:rsid w:val="00462974"/>
    <w:rsid w:val="0048242A"/>
    <w:rsid w:val="00484935"/>
    <w:rsid w:val="00486AC6"/>
    <w:rsid w:val="00490D07"/>
    <w:rsid w:val="00491E15"/>
    <w:rsid w:val="00492CBA"/>
    <w:rsid w:val="00493D46"/>
    <w:rsid w:val="004953E8"/>
    <w:rsid w:val="004955C6"/>
    <w:rsid w:val="00497196"/>
    <w:rsid w:val="004A1166"/>
    <w:rsid w:val="004A2DAB"/>
    <w:rsid w:val="004A4BA4"/>
    <w:rsid w:val="004A4E2B"/>
    <w:rsid w:val="004A5373"/>
    <w:rsid w:val="004A593F"/>
    <w:rsid w:val="004A59C1"/>
    <w:rsid w:val="004A6CDF"/>
    <w:rsid w:val="004B633D"/>
    <w:rsid w:val="004B6D17"/>
    <w:rsid w:val="004C01A5"/>
    <w:rsid w:val="004C2CF6"/>
    <w:rsid w:val="004C5AB7"/>
    <w:rsid w:val="004D010E"/>
    <w:rsid w:val="004D0111"/>
    <w:rsid w:val="004D5B0E"/>
    <w:rsid w:val="004D67F6"/>
    <w:rsid w:val="004E5230"/>
    <w:rsid w:val="004E6666"/>
    <w:rsid w:val="004F0FE1"/>
    <w:rsid w:val="004F1BDF"/>
    <w:rsid w:val="004F1DB1"/>
    <w:rsid w:val="004F5771"/>
    <w:rsid w:val="004F5953"/>
    <w:rsid w:val="004F5C41"/>
    <w:rsid w:val="00500BA1"/>
    <w:rsid w:val="0050221F"/>
    <w:rsid w:val="0050463F"/>
    <w:rsid w:val="00505774"/>
    <w:rsid w:val="00511306"/>
    <w:rsid w:val="00512293"/>
    <w:rsid w:val="005165B8"/>
    <w:rsid w:val="005205A5"/>
    <w:rsid w:val="00522EA8"/>
    <w:rsid w:val="00526B46"/>
    <w:rsid w:val="00530690"/>
    <w:rsid w:val="00530955"/>
    <w:rsid w:val="00533999"/>
    <w:rsid w:val="005357F6"/>
    <w:rsid w:val="005367E3"/>
    <w:rsid w:val="00537730"/>
    <w:rsid w:val="00537B1E"/>
    <w:rsid w:val="005435AE"/>
    <w:rsid w:val="00545F86"/>
    <w:rsid w:val="00546C30"/>
    <w:rsid w:val="005472D0"/>
    <w:rsid w:val="005517C4"/>
    <w:rsid w:val="0055299D"/>
    <w:rsid w:val="00554BE3"/>
    <w:rsid w:val="0056032C"/>
    <w:rsid w:val="0056306F"/>
    <w:rsid w:val="005669D2"/>
    <w:rsid w:val="00571746"/>
    <w:rsid w:val="0057214C"/>
    <w:rsid w:val="00573842"/>
    <w:rsid w:val="0058116A"/>
    <w:rsid w:val="00583DE8"/>
    <w:rsid w:val="005906B9"/>
    <w:rsid w:val="00591366"/>
    <w:rsid w:val="00592855"/>
    <w:rsid w:val="005938A0"/>
    <w:rsid w:val="005946A1"/>
    <w:rsid w:val="00595505"/>
    <w:rsid w:val="00596A19"/>
    <w:rsid w:val="005A006D"/>
    <w:rsid w:val="005A1652"/>
    <w:rsid w:val="005A3793"/>
    <w:rsid w:val="005B1B86"/>
    <w:rsid w:val="005B1D20"/>
    <w:rsid w:val="005B729D"/>
    <w:rsid w:val="005C2110"/>
    <w:rsid w:val="005C34AB"/>
    <w:rsid w:val="005C4E36"/>
    <w:rsid w:val="005C6CD5"/>
    <w:rsid w:val="005D042A"/>
    <w:rsid w:val="005D19D4"/>
    <w:rsid w:val="005D1D1B"/>
    <w:rsid w:val="005E0D3A"/>
    <w:rsid w:val="005E3BFE"/>
    <w:rsid w:val="005E6458"/>
    <w:rsid w:val="005E7F9D"/>
    <w:rsid w:val="005F2865"/>
    <w:rsid w:val="00604EA6"/>
    <w:rsid w:val="00612F95"/>
    <w:rsid w:val="00616C2D"/>
    <w:rsid w:val="0062415E"/>
    <w:rsid w:val="0063669C"/>
    <w:rsid w:val="006373CF"/>
    <w:rsid w:val="00641C5D"/>
    <w:rsid w:val="00643AEE"/>
    <w:rsid w:val="00644051"/>
    <w:rsid w:val="00650F3F"/>
    <w:rsid w:val="006550B7"/>
    <w:rsid w:val="00665E58"/>
    <w:rsid w:val="006672D3"/>
    <w:rsid w:val="0067036A"/>
    <w:rsid w:val="00671218"/>
    <w:rsid w:val="00671933"/>
    <w:rsid w:val="006754F4"/>
    <w:rsid w:val="006779FF"/>
    <w:rsid w:val="006813C1"/>
    <w:rsid w:val="0068331D"/>
    <w:rsid w:val="00690339"/>
    <w:rsid w:val="0069630A"/>
    <w:rsid w:val="006A3D64"/>
    <w:rsid w:val="006A56AF"/>
    <w:rsid w:val="006B724B"/>
    <w:rsid w:val="006C01A5"/>
    <w:rsid w:val="006C59AE"/>
    <w:rsid w:val="006C6DC6"/>
    <w:rsid w:val="006E0E63"/>
    <w:rsid w:val="006E33DD"/>
    <w:rsid w:val="006E6C19"/>
    <w:rsid w:val="006F179D"/>
    <w:rsid w:val="006F181A"/>
    <w:rsid w:val="006F1E9E"/>
    <w:rsid w:val="006F2F23"/>
    <w:rsid w:val="006F4F51"/>
    <w:rsid w:val="006F79C1"/>
    <w:rsid w:val="00703F08"/>
    <w:rsid w:val="0070408C"/>
    <w:rsid w:val="00704295"/>
    <w:rsid w:val="00706E28"/>
    <w:rsid w:val="00706EF7"/>
    <w:rsid w:val="00707A97"/>
    <w:rsid w:val="007107E1"/>
    <w:rsid w:val="0071211B"/>
    <w:rsid w:val="00713353"/>
    <w:rsid w:val="007164EB"/>
    <w:rsid w:val="00716E89"/>
    <w:rsid w:val="007230AA"/>
    <w:rsid w:val="00725F35"/>
    <w:rsid w:val="00727955"/>
    <w:rsid w:val="00735A6D"/>
    <w:rsid w:val="00735C04"/>
    <w:rsid w:val="00737B7A"/>
    <w:rsid w:val="00737DB3"/>
    <w:rsid w:val="00744C36"/>
    <w:rsid w:val="00744EBC"/>
    <w:rsid w:val="00746F83"/>
    <w:rsid w:val="00750135"/>
    <w:rsid w:val="00750F66"/>
    <w:rsid w:val="0075284F"/>
    <w:rsid w:val="0075787F"/>
    <w:rsid w:val="00761FFE"/>
    <w:rsid w:val="007641F3"/>
    <w:rsid w:val="00766474"/>
    <w:rsid w:val="007668EC"/>
    <w:rsid w:val="00767F5F"/>
    <w:rsid w:val="00770E66"/>
    <w:rsid w:val="00776513"/>
    <w:rsid w:val="00781DC9"/>
    <w:rsid w:val="00781F24"/>
    <w:rsid w:val="00784D9D"/>
    <w:rsid w:val="00787A52"/>
    <w:rsid w:val="00792200"/>
    <w:rsid w:val="00792870"/>
    <w:rsid w:val="00795535"/>
    <w:rsid w:val="007A0607"/>
    <w:rsid w:val="007A0728"/>
    <w:rsid w:val="007A2FB4"/>
    <w:rsid w:val="007A6DEC"/>
    <w:rsid w:val="007B0D73"/>
    <w:rsid w:val="007B0DB3"/>
    <w:rsid w:val="007B5360"/>
    <w:rsid w:val="007B7B34"/>
    <w:rsid w:val="007C1409"/>
    <w:rsid w:val="007C4030"/>
    <w:rsid w:val="007D07BE"/>
    <w:rsid w:val="007D0E79"/>
    <w:rsid w:val="007D3422"/>
    <w:rsid w:val="007D599E"/>
    <w:rsid w:val="007D5D58"/>
    <w:rsid w:val="007D6FEC"/>
    <w:rsid w:val="007E533E"/>
    <w:rsid w:val="007F0A29"/>
    <w:rsid w:val="007F1A56"/>
    <w:rsid w:val="007F4349"/>
    <w:rsid w:val="007F66B6"/>
    <w:rsid w:val="008000C5"/>
    <w:rsid w:val="00802165"/>
    <w:rsid w:val="0080366A"/>
    <w:rsid w:val="008068B6"/>
    <w:rsid w:val="00807A28"/>
    <w:rsid w:val="00811D39"/>
    <w:rsid w:val="00814AD7"/>
    <w:rsid w:val="00815AFE"/>
    <w:rsid w:val="008173C6"/>
    <w:rsid w:val="0082384D"/>
    <w:rsid w:val="00825909"/>
    <w:rsid w:val="00827004"/>
    <w:rsid w:val="00833558"/>
    <w:rsid w:val="00833626"/>
    <w:rsid w:val="00833832"/>
    <w:rsid w:val="008341C5"/>
    <w:rsid w:val="00834432"/>
    <w:rsid w:val="0083464E"/>
    <w:rsid w:val="00834AE8"/>
    <w:rsid w:val="008372C2"/>
    <w:rsid w:val="008415EF"/>
    <w:rsid w:val="00841606"/>
    <w:rsid w:val="008419A1"/>
    <w:rsid w:val="008434B6"/>
    <w:rsid w:val="008469FD"/>
    <w:rsid w:val="00847704"/>
    <w:rsid w:val="0085522F"/>
    <w:rsid w:val="00855B1E"/>
    <w:rsid w:val="00857094"/>
    <w:rsid w:val="00857E88"/>
    <w:rsid w:val="008600BD"/>
    <w:rsid w:val="008611C2"/>
    <w:rsid w:val="008751A4"/>
    <w:rsid w:val="0087554E"/>
    <w:rsid w:val="00883766"/>
    <w:rsid w:val="00885235"/>
    <w:rsid w:val="00885846"/>
    <w:rsid w:val="008879A5"/>
    <w:rsid w:val="00891088"/>
    <w:rsid w:val="00897F93"/>
    <w:rsid w:val="008A111E"/>
    <w:rsid w:val="008A684F"/>
    <w:rsid w:val="008B1517"/>
    <w:rsid w:val="008B1F31"/>
    <w:rsid w:val="008B49FD"/>
    <w:rsid w:val="008B66E4"/>
    <w:rsid w:val="008B67C3"/>
    <w:rsid w:val="008C2C6B"/>
    <w:rsid w:val="008C3081"/>
    <w:rsid w:val="008C445A"/>
    <w:rsid w:val="008D04A6"/>
    <w:rsid w:val="008D053A"/>
    <w:rsid w:val="008D05E4"/>
    <w:rsid w:val="008D0AB6"/>
    <w:rsid w:val="008D28F4"/>
    <w:rsid w:val="008D4C79"/>
    <w:rsid w:val="008D755D"/>
    <w:rsid w:val="008E1FFF"/>
    <w:rsid w:val="008F3E33"/>
    <w:rsid w:val="008F7D5F"/>
    <w:rsid w:val="00903688"/>
    <w:rsid w:val="00903C2E"/>
    <w:rsid w:val="00904F8D"/>
    <w:rsid w:val="009062D4"/>
    <w:rsid w:val="009069A4"/>
    <w:rsid w:val="00913B71"/>
    <w:rsid w:val="0092001B"/>
    <w:rsid w:val="009202C4"/>
    <w:rsid w:val="009224AB"/>
    <w:rsid w:val="0092397E"/>
    <w:rsid w:val="00927DE0"/>
    <w:rsid w:val="00930390"/>
    <w:rsid w:val="00930E2E"/>
    <w:rsid w:val="00932F8C"/>
    <w:rsid w:val="00936A50"/>
    <w:rsid w:val="00937BDC"/>
    <w:rsid w:val="00955684"/>
    <w:rsid w:val="00957A9F"/>
    <w:rsid w:val="00972055"/>
    <w:rsid w:val="00976229"/>
    <w:rsid w:val="00981958"/>
    <w:rsid w:val="009826F2"/>
    <w:rsid w:val="00982F42"/>
    <w:rsid w:val="0098768D"/>
    <w:rsid w:val="00991607"/>
    <w:rsid w:val="00991B53"/>
    <w:rsid w:val="0099320B"/>
    <w:rsid w:val="009950C3"/>
    <w:rsid w:val="009A218E"/>
    <w:rsid w:val="009A305D"/>
    <w:rsid w:val="009A3CAD"/>
    <w:rsid w:val="009A3E1E"/>
    <w:rsid w:val="009A51C1"/>
    <w:rsid w:val="009B3659"/>
    <w:rsid w:val="009B52BD"/>
    <w:rsid w:val="009C0534"/>
    <w:rsid w:val="009C14B7"/>
    <w:rsid w:val="009C4CE5"/>
    <w:rsid w:val="009C7817"/>
    <w:rsid w:val="009D259E"/>
    <w:rsid w:val="009D3028"/>
    <w:rsid w:val="009D3341"/>
    <w:rsid w:val="009D6224"/>
    <w:rsid w:val="009E31E0"/>
    <w:rsid w:val="009E6068"/>
    <w:rsid w:val="009F2176"/>
    <w:rsid w:val="009F2325"/>
    <w:rsid w:val="009F6DC9"/>
    <w:rsid w:val="009F71FF"/>
    <w:rsid w:val="00A01A56"/>
    <w:rsid w:val="00A03A6B"/>
    <w:rsid w:val="00A048FE"/>
    <w:rsid w:val="00A05599"/>
    <w:rsid w:val="00A10A69"/>
    <w:rsid w:val="00A127B0"/>
    <w:rsid w:val="00A153A7"/>
    <w:rsid w:val="00A15950"/>
    <w:rsid w:val="00A17191"/>
    <w:rsid w:val="00A17D72"/>
    <w:rsid w:val="00A31AB8"/>
    <w:rsid w:val="00A33240"/>
    <w:rsid w:val="00A371A9"/>
    <w:rsid w:val="00A461AE"/>
    <w:rsid w:val="00A5590C"/>
    <w:rsid w:val="00A55E2E"/>
    <w:rsid w:val="00A57FE0"/>
    <w:rsid w:val="00A602D7"/>
    <w:rsid w:val="00A61C09"/>
    <w:rsid w:val="00A6301D"/>
    <w:rsid w:val="00A70B99"/>
    <w:rsid w:val="00A75346"/>
    <w:rsid w:val="00A757D0"/>
    <w:rsid w:val="00A75C91"/>
    <w:rsid w:val="00A8772B"/>
    <w:rsid w:val="00A9157D"/>
    <w:rsid w:val="00A91ECB"/>
    <w:rsid w:val="00AA37FD"/>
    <w:rsid w:val="00AA40BF"/>
    <w:rsid w:val="00AA4A4C"/>
    <w:rsid w:val="00AA53CD"/>
    <w:rsid w:val="00AA67BB"/>
    <w:rsid w:val="00AB30B9"/>
    <w:rsid w:val="00AC278A"/>
    <w:rsid w:val="00AD37A5"/>
    <w:rsid w:val="00AD4931"/>
    <w:rsid w:val="00AD58B3"/>
    <w:rsid w:val="00AE3820"/>
    <w:rsid w:val="00AE665A"/>
    <w:rsid w:val="00AF1864"/>
    <w:rsid w:val="00AF2D87"/>
    <w:rsid w:val="00AF632A"/>
    <w:rsid w:val="00AF720E"/>
    <w:rsid w:val="00B014D0"/>
    <w:rsid w:val="00B01522"/>
    <w:rsid w:val="00B0283D"/>
    <w:rsid w:val="00B02FB6"/>
    <w:rsid w:val="00B04124"/>
    <w:rsid w:val="00B0418E"/>
    <w:rsid w:val="00B05F38"/>
    <w:rsid w:val="00B113DD"/>
    <w:rsid w:val="00B1265D"/>
    <w:rsid w:val="00B12670"/>
    <w:rsid w:val="00B13CA7"/>
    <w:rsid w:val="00B14E2D"/>
    <w:rsid w:val="00B20544"/>
    <w:rsid w:val="00B20A65"/>
    <w:rsid w:val="00B27311"/>
    <w:rsid w:val="00B3224E"/>
    <w:rsid w:val="00B3588C"/>
    <w:rsid w:val="00B37B17"/>
    <w:rsid w:val="00B445DD"/>
    <w:rsid w:val="00B4688B"/>
    <w:rsid w:val="00B549EF"/>
    <w:rsid w:val="00B60404"/>
    <w:rsid w:val="00B6132A"/>
    <w:rsid w:val="00B62C90"/>
    <w:rsid w:val="00B62D31"/>
    <w:rsid w:val="00B63972"/>
    <w:rsid w:val="00B64148"/>
    <w:rsid w:val="00B668D4"/>
    <w:rsid w:val="00B678B8"/>
    <w:rsid w:val="00B74F2C"/>
    <w:rsid w:val="00B75530"/>
    <w:rsid w:val="00B8514F"/>
    <w:rsid w:val="00B863EA"/>
    <w:rsid w:val="00B8670B"/>
    <w:rsid w:val="00B87382"/>
    <w:rsid w:val="00B92DD1"/>
    <w:rsid w:val="00B94449"/>
    <w:rsid w:val="00B96A37"/>
    <w:rsid w:val="00B96DC6"/>
    <w:rsid w:val="00BA4893"/>
    <w:rsid w:val="00BA6CD7"/>
    <w:rsid w:val="00BB0146"/>
    <w:rsid w:val="00BB3932"/>
    <w:rsid w:val="00BB3A63"/>
    <w:rsid w:val="00BB3D7B"/>
    <w:rsid w:val="00BB6CA8"/>
    <w:rsid w:val="00BC0211"/>
    <w:rsid w:val="00BC06C1"/>
    <w:rsid w:val="00BC19DF"/>
    <w:rsid w:val="00BC2642"/>
    <w:rsid w:val="00BC2C0A"/>
    <w:rsid w:val="00BC3073"/>
    <w:rsid w:val="00BC3414"/>
    <w:rsid w:val="00BC3B37"/>
    <w:rsid w:val="00BC5B2B"/>
    <w:rsid w:val="00BD0AFB"/>
    <w:rsid w:val="00BD4B64"/>
    <w:rsid w:val="00BE094A"/>
    <w:rsid w:val="00BE5192"/>
    <w:rsid w:val="00BF1D40"/>
    <w:rsid w:val="00BF384C"/>
    <w:rsid w:val="00BF4212"/>
    <w:rsid w:val="00BF49C0"/>
    <w:rsid w:val="00BF5322"/>
    <w:rsid w:val="00BF7222"/>
    <w:rsid w:val="00BF7FBA"/>
    <w:rsid w:val="00C059D5"/>
    <w:rsid w:val="00C05E71"/>
    <w:rsid w:val="00C141F4"/>
    <w:rsid w:val="00C15C31"/>
    <w:rsid w:val="00C1787B"/>
    <w:rsid w:val="00C17889"/>
    <w:rsid w:val="00C17956"/>
    <w:rsid w:val="00C203C7"/>
    <w:rsid w:val="00C219EC"/>
    <w:rsid w:val="00C24E6D"/>
    <w:rsid w:val="00C27691"/>
    <w:rsid w:val="00C27770"/>
    <w:rsid w:val="00C31F77"/>
    <w:rsid w:val="00C32814"/>
    <w:rsid w:val="00C340EA"/>
    <w:rsid w:val="00C34878"/>
    <w:rsid w:val="00C359DD"/>
    <w:rsid w:val="00C35EF7"/>
    <w:rsid w:val="00C41D78"/>
    <w:rsid w:val="00C431C9"/>
    <w:rsid w:val="00C46FA5"/>
    <w:rsid w:val="00C4705C"/>
    <w:rsid w:val="00C542E7"/>
    <w:rsid w:val="00C55711"/>
    <w:rsid w:val="00C60A27"/>
    <w:rsid w:val="00C629BC"/>
    <w:rsid w:val="00C63315"/>
    <w:rsid w:val="00C64516"/>
    <w:rsid w:val="00C70081"/>
    <w:rsid w:val="00C70EE2"/>
    <w:rsid w:val="00C71966"/>
    <w:rsid w:val="00C72521"/>
    <w:rsid w:val="00C728F7"/>
    <w:rsid w:val="00C72BB3"/>
    <w:rsid w:val="00C7319F"/>
    <w:rsid w:val="00C738F3"/>
    <w:rsid w:val="00C74FC6"/>
    <w:rsid w:val="00C7771B"/>
    <w:rsid w:val="00C80F1E"/>
    <w:rsid w:val="00C86534"/>
    <w:rsid w:val="00C87D02"/>
    <w:rsid w:val="00C901E0"/>
    <w:rsid w:val="00C91A4A"/>
    <w:rsid w:val="00C9311B"/>
    <w:rsid w:val="00C93CAD"/>
    <w:rsid w:val="00C95A2E"/>
    <w:rsid w:val="00CA061C"/>
    <w:rsid w:val="00CA2B0E"/>
    <w:rsid w:val="00CA319C"/>
    <w:rsid w:val="00CA6217"/>
    <w:rsid w:val="00CA79EB"/>
    <w:rsid w:val="00CB6BD1"/>
    <w:rsid w:val="00CC6526"/>
    <w:rsid w:val="00CC72EC"/>
    <w:rsid w:val="00CD2B03"/>
    <w:rsid w:val="00CD37FA"/>
    <w:rsid w:val="00CD4A68"/>
    <w:rsid w:val="00CD75AA"/>
    <w:rsid w:val="00CE1603"/>
    <w:rsid w:val="00CE23FB"/>
    <w:rsid w:val="00CE772D"/>
    <w:rsid w:val="00CF1420"/>
    <w:rsid w:val="00CF2621"/>
    <w:rsid w:val="00CF5C0E"/>
    <w:rsid w:val="00CF5ECB"/>
    <w:rsid w:val="00CF79BA"/>
    <w:rsid w:val="00D02DD0"/>
    <w:rsid w:val="00D03A60"/>
    <w:rsid w:val="00D0554B"/>
    <w:rsid w:val="00D076E4"/>
    <w:rsid w:val="00D10DED"/>
    <w:rsid w:val="00D114F0"/>
    <w:rsid w:val="00D12032"/>
    <w:rsid w:val="00D16113"/>
    <w:rsid w:val="00D17E3B"/>
    <w:rsid w:val="00D20D24"/>
    <w:rsid w:val="00D2376D"/>
    <w:rsid w:val="00D24958"/>
    <w:rsid w:val="00D3007E"/>
    <w:rsid w:val="00D32F6C"/>
    <w:rsid w:val="00D33F07"/>
    <w:rsid w:val="00D36C92"/>
    <w:rsid w:val="00D40A93"/>
    <w:rsid w:val="00D42C10"/>
    <w:rsid w:val="00D44559"/>
    <w:rsid w:val="00D44EBC"/>
    <w:rsid w:val="00D47DBB"/>
    <w:rsid w:val="00D56B25"/>
    <w:rsid w:val="00D5709F"/>
    <w:rsid w:val="00D57C16"/>
    <w:rsid w:val="00D57F8E"/>
    <w:rsid w:val="00D678BF"/>
    <w:rsid w:val="00D70132"/>
    <w:rsid w:val="00D70A83"/>
    <w:rsid w:val="00D73639"/>
    <w:rsid w:val="00D849A3"/>
    <w:rsid w:val="00D84FE9"/>
    <w:rsid w:val="00D862CE"/>
    <w:rsid w:val="00D90196"/>
    <w:rsid w:val="00D907D8"/>
    <w:rsid w:val="00D9699B"/>
    <w:rsid w:val="00DA0378"/>
    <w:rsid w:val="00DA2D38"/>
    <w:rsid w:val="00DA3B68"/>
    <w:rsid w:val="00DC1BD4"/>
    <w:rsid w:val="00DC29DA"/>
    <w:rsid w:val="00DC48A7"/>
    <w:rsid w:val="00DC64CE"/>
    <w:rsid w:val="00DC652B"/>
    <w:rsid w:val="00DD0BAF"/>
    <w:rsid w:val="00DD2F4C"/>
    <w:rsid w:val="00DD3686"/>
    <w:rsid w:val="00DD3A34"/>
    <w:rsid w:val="00DE14BE"/>
    <w:rsid w:val="00DE335D"/>
    <w:rsid w:val="00DE3748"/>
    <w:rsid w:val="00DE4677"/>
    <w:rsid w:val="00DE5491"/>
    <w:rsid w:val="00DF0012"/>
    <w:rsid w:val="00DF40EA"/>
    <w:rsid w:val="00DF442B"/>
    <w:rsid w:val="00E010E8"/>
    <w:rsid w:val="00E1331B"/>
    <w:rsid w:val="00E14B18"/>
    <w:rsid w:val="00E156BE"/>
    <w:rsid w:val="00E2199D"/>
    <w:rsid w:val="00E22A2B"/>
    <w:rsid w:val="00E236E1"/>
    <w:rsid w:val="00E24071"/>
    <w:rsid w:val="00E243B2"/>
    <w:rsid w:val="00E3266F"/>
    <w:rsid w:val="00E34BC8"/>
    <w:rsid w:val="00E35813"/>
    <w:rsid w:val="00E36259"/>
    <w:rsid w:val="00E37247"/>
    <w:rsid w:val="00E50F47"/>
    <w:rsid w:val="00E54F0A"/>
    <w:rsid w:val="00E5728D"/>
    <w:rsid w:val="00E57B13"/>
    <w:rsid w:val="00E57BC8"/>
    <w:rsid w:val="00E60E69"/>
    <w:rsid w:val="00E624DD"/>
    <w:rsid w:val="00E70FBF"/>
    <w:rsid w:val="00E72382"/>
    <w:rsid w:val="00E754D5"/>
    <w:rsid w:val="00E7759C"/>
    <w:rsid w:val="00E80334"/>
    <w:rsid w:val="00E81B2B"/>
    <w:rsid w:val="00E821F6"/>
    <w:rsid w:val="00E83F8B"/>
    <w:rsid w:val="00E86F37"/>
    <w:rsid w:val="00E87F70"/>
    <w:rsid w:val="00E943F6"/>
    <w:rsid w:val="00E960EC"/>
    <w:rsid w:val="00E97A44"/>
    <w:rsid w:val="00EA4489"/>
    <w:rsid w:val="00EA5B9B"/>
    <w:rsid w:val="00EB4635"/>
    <w:rsid w:val="00EC1A9D"/>
    <w:rsid w:val="00EC65C7"/>
    <w:rsid w:val="00EC7905"/>
    <w:rsid w:val="00ED12D8"/>
    <w:rsid w:val="00ED566F"/>
    <w:rsid w:val="00EE4603"/>
    <w:rsid w:val="00EF5255"/>
    <w:rsid w:val="00EF5833"/>
    <w:rsid w:val="00F0137D"/>
    <w:rsid w:val="00F013EB"/>
    <w:rsid w:val="00F025CC"/>
    <w:rsid w:val="00F0546A"/>
    <w:rsid w:val="00F05B7F"/>
    <w:rsid w:val="00F06199"/>
    <w:rsid w:val="00F147AB"/>
    <w:rsid w:val="00F152E2"/>
    <w:rsid w:val="00F15A1F"/>
    <w:rsid w:val="00F2772D"/>
    <w:rsid w:val="00F301AD"/>
    <w:rsid w:val="00F351D1"/>
    <w:rsid w:val="00F355BE"/>
    <w:rsid w:val="00F3616A"/>
    <w:rsid w:val="00F42A5C"/>
    <w:rsid w:val="00F45890"/>
    <w:rsid w:val="00F46858"/>
    <w:rsid w:val="00F4733E"/>
    <w:rsid w:val="00F51B2A"/>
    <w:rsid w:val="00F51C9F"/>
    <w:rsid w:val="00F52428"/>
    <w:rsid w:val="00F54331"/>
    <w:rsid w:val="00F54AA1"/>
    <w:rsid w:val="00F57208"/>
    <w:rsid w:val="00F63442"/>
    <w:rsid w:val="00F64689"/>
    <w:rsid w:val="00F65C96"/>
    <w:rsid w:val="00F66E3E"/>
    <w:rsid w:val="00F676B6"/>
    <w:rsid w:val="00F70F30"/>
    <w:rsid w:val="00F73E65"/>
    <w:rsid w:val="00F73E82"/>
    <w:rsid w:val="00F76430"/>
    <w:rsid w:val="00F873D4"/>
    <w:rsid w:val="00F92612"/>
    <w:rsid w:val="00F936AB"/>
    <w:rsid w:val="00F93EA9"/>
    <w:rsid w:val="00F94D79"/>
    <w:rsid w:val="00F971E2"/>
    <w:rsid w:val="00FA3D04"/>
    <w:rsid w:val="00FA4EBB"/>
    <w:rsid w:val="00FA5080"/>
    <w:rsid w:val="00FA674B"/>
    <w:rsid w:val="00FB1B7D"/>
    <w:rsid w:val="00FC4225"/>
    <w:rsid w:val="00FC6895"/>
    <w:rsid w:val="00FD06FD"/>
    <w:rsid w:val="00FD3CC4"/>
    <w:rsid w:val="00FD7A0F"/>
    <w:rsid w:val="00FE2419"/>
    <w:rsid w:val="00FE3B89"/>
    <w:rsid w:val="00FE71E2"/>
    <w:rsid w:val="00FE7412"/>
    <w:rsid w:val="00FF0DF3"/>
    <w:rsid w:val="00FF4C64"/>
    <w:rsid w:val="09F18619"/>
    <w:rsid w:val="1022FBBD"/>
    <w:rsid w:val="30315BB3"/>
    <w:rsid w:val="4CBF5F36"/>
    <w:rsid w:val="6647E4C6"/>
    <w:rsid w:val="7110D8C9"/>
    <w:rsid w:val="732F66C5"/>
    <w:rsid w:val="737FF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6D804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07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684F"/>
    <w:pPr>
      <w:tabs>
        <w:tab w:val="center" w:pos="4320"/>
        <w:tab w:val="right" w:pos="8640"/>
      </w:tabs>
    </w:pPr>
  </w:style>
  <w:style w:type="character" w:customStyle="1" w:styleId="HeaderChar">
    <w:name w:val="Header Char"/>
    <w:link w:val="Header"/>
    <w:uiPriority w:val="99"/>
    <w:locked/>
    <w:rsid w:val="00382D7E"/>
    <w:rPr>
      <w:rFonts w:cs="Times New Roman"/>
      <w:sz w:val="24"/>
    </w:rPr>
  </w:style>
  <w:style w:type="paragraph" w:customStyle="1" w:styleId="Level1">
    <w:name w:val="Level 1"/>
    <w:basedOn w:val="Normal"/>
    <w:rsid w:val="00D3007E"/>
    <w:pPr>
      <w:widowControl w:val="0"/>
    </w:pPr>
  </w:style>
  <w:style w:type="paragraph" w:customStyle="1" w:styleId="Level2">
    <w:name w:val="Level 2"/>
    <w:basedOn w:val="Normal"/>
    <w:rsid w:val="00D3007E"/>
    <w:pPr>
      <w:widowControl w:val="0"/>
    </w:pPr>
  </w:style>
  <w:style w:type="paragraph" w:customStyle="1" w:styleId="Level3">
    <w:name w:val="Level 3"/>
    <w:basedOn w:val="Normal"/>
    <w:rsid w:val="00D3007E"/>
    <w:pPr>
      <w:widowControl w:val="0"/>
    </w:pPr>
  </w:style>
  <w:style w:type="paragraph" w:customStyle="1" w:styleId="Level4">
    <w:name w:val="Level 4"/>
    <w:basedOn w:val="Normal"/>
    <w:rsid w:val="00D3007E"/>
    <w:pPr>
      <w:widowControl w:val="0"/>
    </w:pPr>
  </w:style>
  <w:style w:type="paragraph" w:customStyle="1" w:styleId="Level5">
    <w:name w:val="Level 5"/>
    <w:basedOn w:val="Normal"/>
    <w:rsid w:val="00D3007E"/>
    <w:pPr>
      <w:widowControl w:val="0"/>
    </w:pPr>
  </w:style>
  <w:style w:type="paragraph" w:customStyle="1" w:styleId="Level6">
    <w:name w:val="Level 6"/>
    <w:basedOn w:val="Normal"/>
    <w:rsid w:val="00D3007E"/>
    <w:pPr>
      <w:widowControl w:val="0"/>
    </w:pPr>
  </w:style>
  <w:style w:type="paragraph" w:customStyle="1" w:styleId="Level7">
    <w:name w:val="Level 7"/>
    <w:basedOn w:val="Normal"/>
    <w:rsid w:val="00D3007E"/>
    <w:pPr>
      <w:widowControl w:val="0"/>
    </w:pPr>
  </w:style>
  <w:style w:type="paragraph" w:customStyle="1" w:styleId="Level8">
    <w:name w:val="Level 8"/>
    <w:basedOn w:val="Normal"/>
    <w:rsid w:val="00D3007E"/>
    <w:pPr>
      <w:widowControl w:val="0"/>
    </w:pPr>
  </w:style>
  <w:style w:type="paragraph" w:customStyle="1" w:styleId="Level9">
    <w:name w:val="Level 9"/>
    <w:basedOn w:val="Normal"/>
    <w:rsid w:val="00D3007E"/>
    <w:pPr>
      <w:widowControl w:val="0"/>
    </w:pPr>
    <w:rPr>
      <w:b/>
    </w:rPr>
  </w:style>
  <w:style w:type="paragraph" w:styleId="FootnoteText">
    <w:name w:val="footnote text"/>
    <w:basedOn w:val="Normal"/>
    <w:link w:val="FootnoteTextChar"/>
    <w:uiPriority w:val="99"/>
    <w:semiHidden/>
    <w:rsid w:val="00D3007E"/>
    <w:pPr>
      <w:widowControl w:val="0"/>
      <w:ind w:firstLine="720"/>
    </w:pPr>
    <w:rPr>
      <w:rFonts w:ascii="Arial" w:hAnsi="Arial"/>
      <w:sz w:val="22"/>
    </w:rPr>
  </w:style>
  <w:style w:type="character" w:customStyle="1" w:styleId="FootnoteTextChar">
    <w:name w:val="Footnote Text Char"/>
    <w:basedOn w:val="DefaultParagraphFont"/>
    <w:link w:val="FootnoteText"/>
    <w:uiPriority w:val="99"/>
    <w:semiHidden/>
    <w:rsid w:val="002F6ACA"/>
  </w:style>
  <w:style w:type="character" w:styleId="FootnoteReference">
    <w:name w:val="footnote reference"/>
    <w:uiPriority w:val="99"/>
    <w:semiHidden/>
    <w:rsid w:val="00D3007E"/>
    <w:rPr>
      <w:rFonts w:cs="Times New Roman"/>
      <w:vertAlign w:val="superscript"/>
    </w:rPr>
  </w:style>
  <w:style w:type="paragraph" w:styleId="Footer">
    <w:name w:val="footer"/>
    <w:basedOn w:val="Normal"/>
    <w:link w:val="FooterChar"/>
    <w:uiPriority w:val="99"/>
    <w:rsid w:val="008A684F"/>
    <w:pPr>
      <w:tabs>
        <w:tab w:val="center" w:pos="4320"/>
        <w:tab w:val="right" w:pos="8640"/>
      </w:tabs>
    </w:pPr>
  </w:style>
  <w:style w:type="character" w:customStyle="1" w:styleId="FooterChar">
    <w:name w:val="Footer Char"/>
    <w:link w:val="Footer"/>
    <w:uiPriority w:val="99"/>
    <w:locked/>
    <w:rsid w:val="00B0283D"/>
    <w:rPr>
      <w:rFonts w:cs="Times New Roman"/>
      <w:sz w:val="24"/>
    </w:rPr>
  </w:style>
  <w:style w:type="character" w:styleId="PageNumber">
    <w:name w:val="page number"/>
    <w:uiPriority w:val="99"/>
    <w:rsid w:val="008A684F"/>
    <w:rPr>
      <w:rFonts w:cs="Times New Roman"/>
    </w:rPr>
  </w:style>
  <w:style w:type="character" w:styleId="CommentReference">
    <w:name w:val="annotation reference"/>
    <w:uiPriority w:val="99"/>
    <w:rsid w:val="00B27311"/>
    <w:rPr>
      <w:rFonts w:cs="Times New Roman"/>
      <w:sz w:val="16"/>
      <w:szCs w:val="16"/>
    </w:rPr>
  </w:style>
  <w:style w:type="paragraph" w:styleId="CommentText">
    <w:name w:val="annotation text"/>
    <w:basedOn w:val="Normal"/>
    <w:link w:val="CommentTextChar"/>
    <w:rsid w:val="00B27311"/>
    <w:rPr>
      <w:sz w:val="20"/>
    </w:rPr>
  </w:style>
  <w:style w:type="character" w:customStyle="1" w:styleId="CommentTextChar">
    <w:name w:val="Comment Text Char"/>
    <w:link w:val="CommentText"/>
    <w:locked/>
    <w:rsid w:val="00B27311"/>
    <w:rPr>
      <w:rFonts w:cs="Times New Roman"/>
    </w:rPr>
  </w:style>
  <w:style w:type="paragraph" w:styleId="CommentSubject">
    <w:name w:val="annotation subject"/>
    <w:basedOn w:val="CommentText"/>
    <w:next w:val="CommentText"/>
    <w:link w:val="CommentSubjectChar"/>
    <w:uiPriority w:val="99"/>
    <w:rsid w:val="00B27311"/>
    <w:rPr>
      <w:b/>
      <w:bCs/>
    </w:rPr>
  </w:style>
  <w:style w:type="character" w:customStyle="1" w:styleId="CommentSubjectChar">
    <w:name w:val="Comment Subject Char"/>
    <w:link w:val="CommentSubject"/>
    <w:uiPriority w:val="99"/>
    <w:locked/>
    <w:rsid w:val="00B27311"/>
    <w:rPr>
      <w:rFonts w:cs="Times New Roman"/>
      <w:b/>
      <w:bCs/>
    </w:rPr>
  </w:style>
  <w:style w:type="paragraph" w:styleId="Revision">
    <w:name w:val="Revision"/>
    <w:hidden/>
    <w:uiPriority w:val="99"/>
    <w:semiHidden/>
    <w:rsid w:val="00B27311"/>
    <w:rPr>
      <w:sz w:val="24"/>
    </w:rPr>
  </w:style>
  <w:style w:type="paragraph" w:styleId="BalloonText">
    <w:name w:val="Balloon Text"/>
    <w:basedOn w:val="Normal"/>
    <w:link w:val="BalloonTextChar"/>
    <w:uiPriority w:val="99"/>
    <w:rsid w:val="00B27311"/>
    <w:rPr>
      <w:rFonts w:ascii="Tahoma" w:hAnsi="Tahoma" w:cs="Tahoma"/>
      <w:sz w:val="16"/>
      <w:szCs w:val="16"/>
    </w:rPr>
  </w:style>
  <w:style w:type="character" w:customStyle="1" w:styleId="BalloonTextChar">
    <w:name w:val="Balloon Text Char"/>
    <w:link w:val="BalloonText"/>
    <w:uiPriority w:val="99"/>
    <w:locked/>
    <w:rsid w:val="00B27311"/>
    <w:rPr>
      <w:rFonts w:ascii="Tahoma" w:hAnsi="Tahoma" w:cs="Tahoma"/>
      <w:sz w:val="16"/>
      <w:szCs w:val="16"/>
    </w:rPr>
  </w:style>
  <w:style w:type="character" w:styleId="Hyperlink">
    <w:name w:val="Hyperlink"/>
    <w:uiPriority w:val="99"/>
    <w:unhideWhenUsed/>
    <w:rsid w:val="004F5953"/>
    <w:rPr>
      <w:color w:val="0563C1"/>
      <w:u w:val="single"/>
    </w:rPr>
  </w:style>
  <w:style w:type="paragraph" w:styleId="BodyText">
    <w:name w:val="Body Text"/>
    <w:basedOn w:val="Normal"/>
    <w:link w:val="BodyTextChar"/>
    <w:rsid w:val="003A58CA"/>
    <w:pPr>
      <w:spacing w:after="120"/>
    </w:pPr>
  </w:style>
  <w:style w:type="character" w:customStyle="1" w:styleId="BodyTextChar">
    <w:name w:val="Body Text Char"/>
    <w:link w:val="BodyText"/>
    <w:rsid w:val="003A58CA"/>
    <w:rPr>
      <w:sz w:val="24"/>
    </w:rPr>
  </w:style>
  <w:style w:type="table" w:styleId="TableGrid">
    <w:name w:val="Table Grid"/>
    <w:basedOn w:val="TableNormal"/>
    <w:rsid w:val="009A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218E"/>
    <w:pPr>
      <w:spacing w:before="100" w:beforeAutospacing="1" w:after="100" w:afterAutospacing="1"/>
    </w:pPr>
    <w:rPr>
      <w:rFonts w:ascii="Calibri" w:eastAsia="Calibri" w:hAnsi="Calibri" w:cs="Calibri"/>
      <w:sz w:val="22"/>
      <w:szCs w:val="22"/>
    </w:rPr>
  </w:style>
  <w:style w:type="character" w:styleId="Emphasis">
    <w:name w:val="Emphasis"/>
    <w:uiPriority w:val="20"/>
    <w:qFormat/>
    <w:rsid w:val="009A218E"/>
    <w:rPr>
      <w:i/>
      <w:iCs/>
    </w:rPr>
  </w:style>
  <w:style w:type="character" w:styleId="Strong">
    <w:name w:val="Strong"/>
    <w:uiPriority w:val="22"/>
    <w:qFormat/>
    <w:rsid w:val="009A218E"/>
    <w:rPr>
      <w:b/>
      <w:bCs/>
    </w:rPr>
  </w:style>
  <w:style w:type="paragraph" w:customStyle="1" w:styleId="Default">
    <w:name w:val="Default"/>
    <w:rsid w:val="008D4C7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87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370">
      <w:bodyDiv w:val="1"/>
      <w:marLeft w:val="0"/>
      <w:marRight w:val="0"/>
      <w:marTop w:val="0"/>
      <w:marBottom w:val="0"/>
      <w:divBdr>
        <w:top w:val="none" w:sz="0" w:space="0" w:color="auto"/>
        <w:left w:val="none" w:sz="0" w:space="0" w:color="auto"/>
        <w:bottom w:val="none" w:sz="0" w:space="0" w:color="auto"/>
        <w:right w:val="none" w:sz="0" w:space="0" w:color="auto"/>
      </w:divBdr>
    </w:div>
    <w:div w:id="261836344">
      <w:bodyDiv w:val="1"/>
      <w:marLeft w:val="0"/>
      <w:marRight w:val="0"/>
      <w:marTop w:val="0"/>
      <w:marBottom w:val="0"/>
      <w:divBdr>
        <w:top w:val="none" w:sz="0" w:space="0" w:color="auto"/>
        <w:left w:val="none" w:sz="0" w:space="0" w:color="auto"/>
        <w:bottom w:val="none" w:sz="0" w:space="0" w:color="auto"/>
        <w:right w:val="none" w:sz="0" w:space="0" w:color="auto"/>
      </w:divBdr>
    </w:div>
    <w:div w:id="469902203">
      <w:bodyDiv w:val="1"/>
      <w:marLeft w:val="0"/>
      <w:marRight w:val="0"/>
      <w:marTop w:val="0"/>
      <w:marBottom w:val="0"/>
      <w:divBdr>
        <w:top w:val="none" w:sz="0" w:space="0" w:color="auto"/>
        <w:left w:val="none" w:sz="0" w:space="0" w:color="auto"/>
        <w:bottom w:val="none" w:sz="0" w:space="0" w:color="auto"/>
        <w:right w:val="none" w:sz="0" w:space="0" w:color="auto"/>
      </w:divBdr>
    </w:div>
    <w:div w:id="506097371">
      <w:bodyDiv w:val="1"/>
      <w:marLeft w:val="0"/>
      <w:marRight w:val="0"/>
      <w:marTop w:val="0"/>
      <w:marBottom w:val="0"/>
      <w:divBdr>
        <w:top w:val="none" w:sz="0" w:space="0" w:color="auto"/>
        <w:left w:val="none" w:sz="0" w:space="0" w:color="auto"/>
        <w:bottom w:val="none" w:sz="0" w:space="0" w:color="auto"/>
        <w:right w:val="none" w:sz="0" w:space="0" w:color="auto"/>
      </w:divBdr>
    </w:div>
    <w:div w:id="510292256">
      <w:bodyDiv w:val="1"/>
      <w:marLeft w:val="0"/>
      <w:marRight w:val="0"/>
      <w:marTop w:val="0"/>
      <w:marBottom w:val="0"/>
      <w:divBdr>
        <w:top w:val="none" w:sz="0" w:space="0" w:color="auto"/>
        <w:left w:val="none" w:sz="0" w:space="0" w:color="auto"/>
        <w:bottom w:val="none" w:sz="0" w:space="0" w:color="auto"/>
        <w:right w:val="none" w:sz="0" w:space="0" w:color="auto"/>
      </w:divBdr>
    </w:div>
    <w:div w:id="639000741">
      <w:bodyDiv w:val="1"/>
      <w:marLeft w:val="0"/>
      <w:marRight w:val="0"/>
      <w:marTop w:val="0"/>
      <w:marBottom w:val="0"/>
      <w:divBdr>
        <w:top w:val="none" w:sz="0" w:space="0" w:color="auto"/>
        <w:left w:val="none" w:sz="0" w:space="0" w:color="auto"/>
        <w:bottom w:val="none" w:sz="0" w:space="0" w:color="auto"/>
        <w:right w:val="none" w:sz="0" w:space="0" w:color="auto"/>
      </w:divBdr>
    </w:div>
    <w:div w:id="824781110">
      <w:bodyDiv w:val="1"/>
      <w:marLeft w:val="0"/>
      <w:marRight w:val="0"/>
      <w:marTop w:val="0"/>
      <w:marBottom w:val="0"/>
      <w:divBdr>
        <w:top w:val="none" w:sz="0" w:space="0" w:color="auto"/>
        <w:left w:val="none" w:sz="0" w:space="0" w:color="auto"/>
        <w:bottom w:val="none" w:sz="0" w:space="0" w:color="auto"/>
        <w:right w:val="none" w:sz="0" w:space="0" w:color="auto"/>
      </w:divBdr>
    </w:div>
    <w:div w:id="865405161">
      <w:bodyDiv w:val="1"/>
      <w:marLeft w:val="0"/>
      <w:marRight w:val="0"/>
      <w:marTop w:val="0"/>
      <w:marBottom w:val="0"/>
      <w:divBdr>
        <w:top w:val="none" w:sz="0" w:space="0" w:color="auto"/>
        <w:left w:val="none" w:sz="0" w:space="0" w:color="auto"/>
        <w:bottom w:val="none" w:sz="0" w:space="0" w:color="auto"/>
        <w:right w:val="none" w:sz="0" w:space="0" w:color="auto"/>
      </w:divBdr>
    </w:div>
    <w:div w:id="1272517704">
      <w:bodyDiv w:val="1"/>
      <w:marLeft w:val="0"/>
      <w:marRight w:val="0"/>
      <w:marTop w:val="0"/>
      <w:marBottom w:val="0"/>
      <w:divBdr>
        <w:top w:val="none" w:sz="0" w:space="0" w:color="auto"/>
        <w:left w:val="none" w:sz="0" w:space="0" w:color="auto"/>
        <w:bottom w:val="none" w:sz="0" w:space="0" w:color="auto"/>
        <w:right w:val="none" w:sz="0" w:space="0" w:color="auto"/>
      </w:divBdr>
    </w:div>
    <w:div w:id="1383140557">
      <w:bodyDiv w:val="1"/>
      <w:marLeft w:val="0"/>
      <w:marRight w:val="0"/>
      <w:marTop w:val="0"/>
      <w:marBottom w:val="0"/>
      <w:divBdr>
        <w:top w:val="none" w:sz="0" w:space="0" w:color="auto"/>
        <w:left w:val="none" w:sz="0" w:space="0" w:color="auto"/>
        <w:bottom w:val="none" w:sz="0" w:space="0" w:color="auto"/>
        <w:right w:val="none" w:sz="0" w:space="0" w:color="auto"/>
      </w:divBdr>
      <w:divsChild>
        <w:div w:id="1959408619">
          <w:marLeft w:val="0"/>
          <w:marRight w:val="0"/>
          <w:marTop w:val="0"/>
          <w:marBottom w:val="0"/>
          <w:divBdr>
            <w:top w:val="none" w:sz="0" w:space="0" w:color="auto"/>
            <w:left w:val="none" w:sz="0" w:space="0" w:color="auto"/>
            <w:bottom w:val="none" w:sz="0" w:space="0" w:color="auto"/>
            <w:right w:val="none" w:sz="0" w:space="0" w:color="auto"/>
          </w:divBdr>
          <w:divsChild>
            <w:div w:id="1359357180">
              <w:marLeft w:val="0"/>
              <w:marRight w:val="0"/>
              <w:marTop w:val="0"/>
              <w:marBottom w:val="0"/>
              <w:divBdr>
                <w:top w:val="none" w:sz="0" w:space="0" w:color="auto"/>
                <w:left w:val="none" w:sz="0" w:space="0" w:color="auto"/>
                <w:bottom w:val="none" w:sz="0" w:space="0" w:color="auto"/>
                <w:right w:val="none" w:sz="0" w:space="0" w:color="auto"/>
              </w:divBdr>
              <w:divsChild>
                <w:div w:id="450129396">
                  <w:marLeft w:val="0"/>
                  <w:marRight w:val="0"/>
                  <w:marTop w:val="0"/>
                  <w:marBottom w:val="0"/>
                  <w:divBdr>
                    <w:top w:val="none" w:sz="0" w:space="0" w:color="auto"/>
                    <w:left w:val="none" w:sz="0" w:space="0" w:color="auto"/>
                    <w:bottom w:val="none" w:sz="0" w:space="0" w:color="auto"/>
                    <w:right w:val="none" w:sz="0" w:space="0" w:color="auto"/>
                  </w:divBdr>
                  <w:divsChild>
                    <w:div w:id="241373166">
                      <w:marLeft w:val="0"/>
                      <w:marRight w:val="0"/>
                      <w:marTop w:val="0"/>
                      <w:marBottom w:val="0"/>
                      <w:divBdr>
                        <w:top w:val="none" w:sz="0" w:space="0" w:color="auto"/>
                        <w:left w:val="none" w:sz="0" w:space="0" w:color="auto"/>
                        <w:bottom w:val="none" w:sz="0" w:space="0" w:color="auto"/>
                        <w:right w:val="none" w:sz="0" w:space="0" w:color="auto"/>
                      </w:divBdr>
                      <w:divsChild>
                        <w:div w:id="363410272">
                          <w:marLeft w:val="0"/>
                          <w:marRight w:val="0"/>
                          <w:marTop w:val="0"/>
                          <w:marBottom w:val="0"/>
                          <w:divBdr>
                            <w:top w:val="none" w:sz="0" w:space="0" w:color="auto"/>
                            <w:left w:val="none" w:sz="0" w:space="0" w:color="auto"/>
                            <w:bottom w:val="none" w:sz="0" w:space="0" w:color="auto"/>
                            <w:right w:val="none" w:sz="0" w:space="0" w:color="auto"/>
                          </w:divBdr>
                          <w:divsChild>
                            <w:div w:id="1739208488">
                              <w:marLeft w:val="0"/>
                              <w:marRight w:val="0"/>
                              <w:marTop w:val="0"/>
                              <w:marBottom w:val="0"/>
                              <w:divBdr>
                                <w:top w:val="none" w:sz="0" w:space="0" w:color="auto"/>
                                <w:left w:val="none" w:sz="0" w:space="0" w:color="auto"/>
                                <w:bottom w:val="none" w:sz="0" w:space="0" w:color="auto"/>
                                <w:right w:val="none" w:sz="0" w:space="0" w:color="auto"/>
                              </w:divBdr>
                              <w:divsChild>
                                <w:div w:id="161693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389457">
      <w:bodyDiv w:val="1"/>
      <w:marLeft w:val="0"/>
      <w:marRight w:val="0"/>
      <w:marTop w:val="0"/>
      <w:marBottom w:val="0"/>
      <w:divBdr>
        <w:top w:val="none" w:sz="0" w:space="0" w:color="auto"/>
        <w:left w:val="none" w:sz="0" w:space="0" w:color="auto"/>
        <w:bottom w:val="none" w:sz="0" w:space="0" w:color="auto"/>
        <w:right w:val="none" w:sz="0" w:space="0" w:color="auto"/>
      </w:divBdr>
    </w:div>
    <w:div w:id="1520895700">
      <w:bodyDiv w:val="1"/>
      <w:marLeft w:val="0"/>
      <w:marRight w:val="0"/>
      <w:marTop w:val="0"/>
      <w:marBottom w:val="0"/>
      <w:divBdr>
        <w:top w:val="none" w:sz="0" w:space="0" w:color="auto"/>
        <w:left w:val="none" w:sz="0" w:space="0" w:color="auto"/>
        <w:bottom w:val="none" w:sz="0" w:space="0" w:color="auto"/>
        <w:right w:val="none" w:sz="0" w:space="0" w:color="auto"/>
      </w:divBdr>
    </w:div>
    <w:div w:id="1652711180">
      <w:bodyDiv w:val="1"/>
      <w:marLeft w:val="0"/>
      <w:marRight w:val="0"/>
      <w:marTop w:val="0"/>
      <w:marBottom w:val="0"/>
      <w:divBdr>
        <w:top w:val="none" w:sz="0" w:space="0" w:color="auto"/>
        <w:left w:val="none" w:sz="0" w:space="0" w:color="auto"/>
        <w:bottom w:val="none" w:sz="0" w:space="0" w:color="auto"/>
        <w:right w:val="none" w:sz="0" w:space="0" w:color="auto"/>
      </w:divBdr>
    </w:div>
    <w:div w:id="1780179507">
      <w:bodyDiv w:val="1"/>
      <w:marLeft w:val="0"/>
      <w:marRight w:val="0"/>
      <w:marTop w:val="0"/>
      <w:marBottom w:val="0"/>
      <w:divBdr>
        <w:top w:val="none" w:sz="0" w:space="0" w:color="auto"/>
        <w:left w:val="none" w:sz="0" w:space="0" w:color="auto"/>
        <w:bottom w:val="none" w:sz="0" w:space="0" w:color="auto"/>
        <w:right w:val="none" w:sz="0" w:space="0" w:color="auto"/>
      </w:divBdr>
    </w:div>
    <w:div w:id="1867058312">
      <w:bodyDiv w:val="1"/>
      <w:marLeft w:val="0"/>
      <w:marRight w:val="0"/>
      <w:marTop w:val="0"/>
      <w:marBottom w:val="0"/>
      <w:divBdr>
        <w:top w:val="none" w:sz="0" w:space="0" w:color="auto"/>
        <w:left w:val="none" w:sz="0" w:space="0" w:color="auto"/>
        <w:bottom w:val="none" w:sz="0" w:space="0" w:color="auto"/>
        <w:right w:val="none" w:sz="0" w:space="0" w:color="auto"/>
      </w:divBdr>
    </w:div>
    <w:div w:id="1878276692">
      <w:bodyDiv w:val="1"/>
      <w:marLeft w:val="0"/>
      <w:marRight w:val="0"/>
      <w:marTop w:val="0"/>
      <w:marBottom w:val="0"/>
      <w:divBdr>
        <w:top w:val="none" w:sz="0" w:space="0" w:color="auto"/>
        <w:left w:val="none" w:sz="0" w:space="0" w:color="auto"/>
        <w:bottom w:val="none" w:sz="0" w:space="0" w:color="auto"/>
        <w:right w:val="none" w:sz="0" w:space="0" w:color="auto"/>
      </w:divBdr>
    </w:div>
    <w:div w:id="2019574139">
      <w:bodyDiv w:val="1"/>
      <w:marLeft w:val="0"/>
      <w:marRight w:val="0"/>
      <w:marTop w:val="0"/>
      <w:marBottom w:val="0"/>
      <w:divBdr>
        <w:top w:val="none" w:sz="0" w:space="0" w:color="auto"/>
        <w:left w:val="none" w:sz="0" w:space="0" w:color="auto"/>
        <w:bottom w:val="none" w:sz="0" w:space="0" w:color="auto"/>
        <w:right w:val="none" w:sz="0" w:space="0" w:color="auto"/>
      </w:divBdr>
    </w:div>
    <w:div w:id="21419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t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rc.gov/dat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c.gov/site-help/electronic-sub-ref-mat.html" TargetMode="External"/><Relationship Id="rId5" Type="http://schemas.openxmlformats.org/officeDocument/2006/relationships/numbering" Target="numbering.xml"/><Relationship Id="rId15" Type="http://schemas.openxmlformats.org/officeDocument/2006/relationships/hyperlink" Target="https://www.nrc.gov/reactors/operating/oversight/listofrpts-body-security.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rc.gov/docs/ML1326/ML13261A1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ac45f86ef7e27e42eb433b8c66d27e18">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2321b7cf9ba7f06eafb64f9008a31c2b"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14556-00C9-4BA7-A2EE-3DF03427A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66DF0-E4CD-4964-BD93-44A1A8D6060D}">
  <ds:schemaRefs>
    <ds:schemaRef ds:uri="11fd957d-147f-41f6-a058-03b42122ddb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b0d2465-af00-4b81-a931-20baeeea6c93"/>
    <ds:schemaRef ds:uri="http://purl.org/dc/term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4B2223D0-49E4-4EA5-980C-C17A32A2D6B6}">
  <ds:schemaRefs>
    <ds:schemaRef ds:uri="http://schemas.openxmlformats.org/officeDocument/2006/bibliography"/>
  </ds:schemaRefs>
</ds:datastoreItem>
</file>

<file path=customXml/itemProps4.xml><?xml version="1.0" encoding="utf-8"?>
<ds:datastoreItem xmlns:ds="http://schemas.openxmlformats.org/officeDocument/2006/customXml" ds:itemID="{ACD211C4-DF48-4D9A-BFD1-EA477C0F83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4353</Words>
  <Characters>24944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2021-05-03T14:38:00Z</dcterms:created>
  <dcterms:modified xsi:type="dcterms:W3CDTF">2021-05-10T17:13:00Z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