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31D7" w:rsidR="002D0502" w:rsidP="002D0502" w:rsidRDefault="002D0502" w14:paraId="4AD45637" w14:textId="3A9636A7">
      <w:pPr>
        <w:spacing w:before="1320" w:after="1320" w:line="240" w:lineRule="auto"/>
        <w:jc w:val="center"/>
        <w:rPr>
          <w:rFonts w:ascii="Times New Roman" w:hAnsi="Times New Roman"/>
          <w:b/>
          <w:sz w:val="52"/>
          <w:szCs w:val="52"/>
        </w:rPr>
      </w:pPr>
      <w:bookmarkStart w:name="_Toc29466219" w:id="0"/>
      <w:bookmarkStart w:name="_GoBack" w:id="1"/>
      <w:bookmarkEnd w:id="1"/>
      <w:r w:rsidRPr="008531D7">
        <w:rPr>
          <w:rFonts w:ascii="Times New Roman" w:hAnsi="Times New Roman"/>
          <w:b/>
          <w:sz w:val="52"/>
          <w:szCs w:val="52"/>
        </w:rPr>
        <w:t xml:space="preserve">Appendix </w:t>
      </w:r>
      <w:r w:rsidR="00045A37">
        <w:rPr>
          <w:rFonts w:ascii="Times New Roman" w:hAnsi="Times New Roman"/>
          <w:b/>
          <w:sz w:val="52"/>
          <w:szCs w:val="52"/>
        </w:rPr>
        <w:t>G</w:t>
      </w:r>
      <w:r w:rsidRPr="008531D7">
        <w:rPr>
          <w:rFonts w:ascii="Times New Roman" w:hAnsi="Times New Roman"/>
          <w:b/>
          <w:sz w:val="52"/>
          <w:szCs w:val="52"/>
        </w:rPr>
        <w:t xml:space="preserve">. </w:t>
      </w:r>
      <w:r w:rsidR="00651034">
        <w:rPr>
          <w:rFonts w:ascii="Times New Roman" w:hAnsi="Times New Roman"/>
          <w:b/>
          <w:sz w:val="52"/>
          <w:szCs w:val="52"/>
        </w:rPr>
        <w:t>Pretest revisions</w:t>
      </w:r>
      <w:r>
        <w:rPr>
          <w:rFonts w:ascii="Times New Roman" w:hAnsi="Times New Roman"/>
          <w:b/>
          <w:sz w:val="52"/>
          <w:szCs w:val="52"/>
        </w:rPr>
        <w:t xml:space="preserve"> </w:t>
      </w:r>
    </w:p>
    <w:p w:rsidRPr="008531D7" w:rsidR="002D0502" w:rsidP="002D0502" w:rsidRDefault="002D0502" w14:paraId="4EFC6208" w14:textId="77777777">
      <w:pPr>
        <w:spacing w:after="1320" w:line="240" w:lineRule="auto"/>
        <w:jc w:val="center"/>
        <w:rPr>
          <w:rFonts w:ascii="Times New Roman" w:hAnsi="Times New Roman"/>
          <w:bCs/>
          <w:sz w:val="36"/>
          <w:szCs w:val="52"/>
        </w:rPr>
      </w:pPr>
      <w:r w:rsidRPr="008531D7">
        <w:rPr>
          <w:rFonts w:ascii="Times New Roman" w:hAnsi="Times New Roman"/>
          <w:bCs/>
          <w:sz w:val="36"/>
          <w:szCs w:val="52"/>
        </w:rPr>
        <w:t>OMB No. 0584-[NEW]</w:t>
      </w:r>
    </w:p>
    <w:p w:rsidRPr="008531D7" w:rsidR="002D0502" w:rsidP="002D0502" w:rsidRDefault="002D0502" w14:paraId="4349B5E2" w14:textId="77777777">
      <w:pPr>
        <w:spacing w:after="1320" w:line="240" w:lineRule="auto"/>
        <w:jc w:val="center"/>
        <w:rPr>
          <w:rFonts w:ascii="Times New Roman" w:hAnsi="Times New Roman"/>
          <w:bCs/>
          <w:sz w:val="36"/>
          <w:szCs w:val="52"/>
        </w:rPr>
      </w:pPr>
      <w:r w:rsidRPr="008531D7">
        <w:rPr>
          <w:rFonts w:ascii="Times New Roman" w:hAnsi="Times New Roman"/>
          <w:i/>
          <w:sz w:val="36"/>
          <w:szCs w:val="36"/>
        </w:rPr>
        <w:t>Survey of Supplemental Nutrition Assistance Program (SNAP) Employment and Training (E&amp;T) Case Management</w:t>
      </w:r>
    </w:p>
    <w:p w:rsidRPr="008531D7" w:rsidR="002D0502" w:rsidP="002D0502" w:rsidRDefault="002D0502" w14:paraId="7DD364EE" w14:textId="2FBB6721">
      <w:pPr>
        <w:spacing w:before="1320" w:after="1320" w:line="240" w:lineRule="auto"/>
        <w:jc w:val="center"/>
        <w:rPr>
          <w:rFonts w:ascii="Times New Roman" w:hAnsi="Times New Roman"/>
          <w:szCs w:val="22"/>
        </w:rPr>
      </w:pPr>
      <w:r w:rsidRPr="008531D7">
        <w:rPr>
          <w:rFonts w:ascii="Times New Roman" w:hAnsi="Times New Roman"/>
          <w:szCs w:val="22"/>
        </w:rPr>
        <w:fldChar w:fldCharType="begin"/>
      </w:r>
      <w:r w:rsidRPr="008531D7">
        <w:rPr>
          <w:rFonts w:ascii="Times New Roman" w:hAnsi="Times New Roman"/>
          <w:szCs w:val="22"/>
        </w:rPr>
        <w:instrText xml:space="preserve"> DATE \@ "MMMM d, yyyy" </w:instrText>
      </w:r>
      <w:r w:rsidRPr="008531D7">
        <w:rPr>
          <w:rFonts w:ascii="Times New Roman" w:hAnsi="Times New Roman"/>
          <w:szCs w:val="22"/>
        </w:rPr>
        <w:fldChar w:fldCharType="separate"/>
      </w:r>
      <w:r w:rsidR="005D4788">
        <w:rPr>
          <w:rFonts w:ascii="Times New Roman" w:hAnsi="Times New Roman"/>
          <w:noProof/>
          <w:szCs w:val="22"/>
        </w:rPr>
        <w:t>January 13, 2021</w:t>
      </w:r>
      <w:r w:rsidRPr="008531D7">
        <w:rPr>
          <w:rFonts w:ascii="Times New Roman" w:hAnsi="Times New Roman"/>
          <w:szCs w:val="22"/>
        </w:rPr>
        <w:fldChar w:fldCharType="end"/>
      </w:r>
    </w:p>
    <w:p w:rsidRPr="008531D7" w:rsidR="002D0502" w:rsidP="002D0502" w:rsidRDefault="002D0502" w14:paraId="31D409C1" w14:textId="77777777">
      <w:pPr>
        <w:spacing w:after="120" w:line="240" w:lineRule="auto"/>
        <w:jc w:val="center"/>
        <w:rPr>
          <w:rFonts w:ascii="Times New Roman" w:hAnsi="Times New Roman"/>
          <w:b/>
          <w:szCs w:val="24"/>
        </w:rPr>
      </w:pPr>
      <w:r w:rsidRPr="008531D7">
        <w:rPr>
          <w:rFonts w:ascii="Times New Roman" w:hAnsi="Times New Roman"/>
          <w:b/>
          <w:szCs w:val="24"/>
        </w:rPr>
        <w:t>Project Officer: Kristen Corey</w:t>
      </w:r>
    </w:p>
    <w:p w:rsidRPr="008531D7" w:rsidR="002D0502" w:rsidP="002D0502" w:rsidRDefault="002D0502" w14:paraId="2E86FE5E" w14:textId="77777777">
      <w:pPr>
        <w:spacing w:after="0" w:line="240" w:lineRule="auto"/>
        <w:jc w:val="center"/>
        <w:rPr>
          <w:rFonts w:ascii="Times New Roman" w:hAnsi="Times New Roman"/>
          <w:sz w:val="22"/>
          <w:szCs w:val="24"/>
        </w:rPr>
      </w:pPr>
      <w:r w:rsidRPr="008531D7">
        <w:rPr>
          <w:rFonts w:ascii="Times New Roman" w:hAnsi="Times New Roman"/>
          <w:sz w:val="22"/>
          <w:szCs w:val="24"/>
        </w:rPr>
        <w:t>Office of Policy Support</w:t>
      </w:r>
    </w:p>
    <w:p w:rsidRPr="008531D7" w:rsidR="002D0502" w:rsidP="002D0502" w:rsidRDefault="002D0502" w14:paraId="0BD91A0B" w14:textId="77777777">
      <w:pPr>
        <w:spacing w:after="0" w:line="240" w:lineRule="auto"/>
        <w:jc w:val="center"/>
        <w:rPr>
          <w:rFonts w:ascii="Times New Roman" w:hAnsi="Times New Roman"/>
          <w:sz w:val="22"/>
          <w:szCs w:val="24"/>
        </w:rPr>
      </w:pPr>
      <w:r w:rsidRPr="008531D7">
        <w:rPr>
          <w:rFonts w:ascii="Times New Roman" w:hAnsi="Times New Roman"/>
          <w:sz w:val="22"/>
          <w:szCs w:val="24"/>
        </w:rPr>
        <w:t>Food and Nutrition Service</w:t>
      </w:r>
    </w:p>
    <w:p w:rsidRPr="008531D7" w:rsidR="002D0502" w:rsidP="002D0502" w:rsidRDefault="002D0502" w14:paraId="22C8CCD3" w14:textId="77777777">
      <w:pPr>
        <w:spacing w:after="0" w:line="240" w:lineRule="auto"/>
        <w:jc w:val="center"/>
        <w:rPr>
          <w:rFonts w:ascii="Times New Roman" w:hAnsi="Times New Roman"/>
          <w:sz w:val="22"/>
          <w:szCs w:val="24"/>
        </w:rPr>
      </w:pPr>
      <w:r w:rsidRPr="008531D7">
        <w:rPr>
          <w:rFonts w:ascii="Times New Roman" w:hAnsi="Times New Roman"/>
          <w:sz w:val="22"/>
          <w:szCs w:val="24"/>
        </w:rPr>
        <w:t>U.S. Department of Agriculture</w:t>
      </w:r>
    </w:p>
    <w:p w:rsidRPr="008531D7" w:rsidR="002D0502" w:rsidP="002D0502" w:rsidRDefault="002D0502" w14:paraId="0C66704E" w14:textId="77777777">
      <w:pPr>
        <w:spacing w:after="0" w:line="240" w:lineRule="auto"/>
        <w:jc w:val="center"/>
        <w:rPr>
          <w:rFonts w:ascii="Times New Roman" w:hAnsi="Times New Roman"/>
          <w:sz w:val="22"/>
          <w:szCs w:val="24"/>
        </w:rPr>
      </w:pPr>
      <w:r w:rsidRPr="008531D7">
        <w:rPr>
          <w:rFonts w:ascii="Times New Roman" w:hAnsi="Times New Roman"/>
          <w:sz w:val="22"/>
          <w:szCs w:val="24"/>
        </w:rPr>
        <w:t>1320 Braddock Place</w:t>
      </w:r>
    </w:p>
    <w:p w:rsidRPr="008531D7" w:rsidR="002D0502" w:rsidP="002D0502" w:rsidRDefault="002D0502" w14:paraId="50EF15E9" w14:textId="77777777">
      <w:pPr>
        <w:spacing w:after="0" w:line="240" w:lineRule="auto"/>
        <w:jc w:val="center"/>
        <w:rPr>
          <w:rFonts w:ascii="Times New Roman" w:hAnsi="Times New Roman" w:eastAsia="Calibri"/>
          <w:sz w:val="22"/>
          <w:szCs w:val="22"/>
        </w:rPr>
      </w:pPr>
      <w:r w:rsidRPr="008531D7">
        <w:rPr>
          <w:rFonts w:ascii="Times New Roman" w:hAnsi="Times New Roman"/>
          <w:sz w:val="22"/>
          <w:szCs w:val="24"/>
        </w:rPr>
        <w:t>Alexandria, VA 22314</w:t>
      </w:r>
    </w:p>
    <w:p w:rsidR="002D0502" w:rsidP="00B41FFF" w:rsidRDefault="002D0502" w14:paraId="6DD9F5F3" w14:textId="77777777">
      <w:pPr>
        <w:pStyle w:val="Heading1"/>
        <w:tabs>
          <w:tab w:val="clear" w:pos="432"/>
        </w:tabs>
        <w:ind w:left="0" w:firstLine="0"/>
        <w:jc w:val="center"/>
      </w:pPr>
    </w:p>
    <w:p w:rsidR="002D0502" w:rsidRDefault="002D0502" w14:paraId="478BF6F3" w14:textId="77777777">
      <w:pPr>
        <w:spacing w:line="240" w:lineRule="auto"/>
        <w:rPr>
          <w:rFonts w:asciiTheme="majorHAnsi" w:hAnsiTheme="majorHAnsi"/>
          <w:b/>
          <w:caps/>
          <w:color w:val="046B5C" w:themeColor="text2"/>
          <w:sz w:val="32"/>
        </w:rPr>
      </w:pPr>
      <w:r>
        <w:br w:type="page"/>
      </w:r>
    </w:p>
    <w:p w:rsidR="00AB1A7A" w:rsidP="00B41FFF" w:rsidRDefault="00AB1A7A" w14:paraId="07C966A4" w14:textId="5DBD7059">
      <w:pPr>
        <w:pStyle w:val="Heading1"/>
        <w:tabs>
          <w:tab w:val="clear" w:pos="432"/>
        </w:tabs>
        <w:ind w:left="0" w:firstLine="0"/>
        <w:jc w:val="center"/>
      </w:pPr>
      <w:r w:rsidRPr="00B60FBC">
        <w:lastRenderedPageBreak/>
        <w:t>survey of snap E&amp;T case Management</w:t>
      </w:r>
    </w:p>
    <w:bookmarkEnd w:id="0"/>
    <w:p w:rsidRPr="00917199" w:rsidR="00104DE9" w:rsidP="00B27BE0" w:rsidRDefault="00651034" w14:paraId="06C5D59F" w14:textId="2DDDA080">
      <w:pPr>
        <w:pStyle w:val="H1"/>
        <w:jc w:val="center"/>
      </w:pPr>
      <w:r>
        <w:t>Survey and site visit discussion guide pretest revisions</w:t>
      </w:r>
    </w:p>
    <w:tbl>
      <w:tblPr>
        <w:tblStyle w:val="MathUBaseTable"/>
        <w:tblW w:w="9360" w:type="dxa"/>
        <w:tblLayout w:type="fixed"/>
        <w:tblLook w:val="0620" w:firstRow="1" w:lastRow="0" w:firstColumn="0" w:lastColumn="0" w:noHBand="1" w:noVBand="1"/>
      </w:tblPr>
      <w:tblGrid>
        <w:gridCol w:w="1941"/>
        <w:gridCol w:w="1943"/>
        <w:gridCol w:w="5476"/>
      </w:tblGrid>
      <w:tr w:rsidR="00104DE9" w:rsidTr="00B95F9E" w14:paraId="2F54FCA6" w14:textId="77777777">
        <w:trPr>
          <w:cnfStyle w:val="100000000000" w:firstRow="1" w:lastRow="0" w:firstColumn="0" w:lastColumn="0" w:oddVBand="0" w:evenVBand="0" w:oddHBand="0" w:evenHBand="0" w:firstRowFirstColumn="0" w:firstRowLastColumn="0" w:lastRowFirstColumn="0" w:lastRowLastColumn="0"/>
          <w:tblHeader/>
        </w:trPr>
        <w:tc>
          <w:tcPr>
            <w:tcW w:w="1941" w:type="dxa"/>
          </w:tcPr>
          <w:p w:rsidRPr="00917199" w:rsidR="00104DE9" w:rsidP="00D06797" w:rsidRDefault="00104DE9" w14:paraId="6EA0F63F" w14:textId="00636D7A">
            <w:pPr>
              <w:pStyle w:val="TableHeaderLeft"/>
            </w:pPr>
            <w:r>
              <w:t>Instrument</w:t>
            </w:r>
          </w:p>
        </w:tc>
        <w:tc>
          <w:tcPr>
            <w:tcW w:w="1943" w:type="dxa"/>
          </w:tcPr>
          <w:p w:rsidRPr="00917199" w:rsidR="00104DE9" w:rsidP="00D06797" w:rsidRDefault="00104DE9" w14:paraId="3013C5A6" w14:textId="2C77F38D">
            <w:pPr>
              <w:pStyle w:val="TableHeaderCenter"/>
            </w:pPr>
            <w:r>
              <w:t xml:space="preserve">Section </w:t>
            </w:r>
            <w:r w:rsidR="007879CD">
              <w:t>or</w:t>
            </w:r>
            <w:r>
              <w:t xml:space="preserve"> </w:t>
            </w:r>
            <w:r w:rsidR="004E4311">
              <w:t>q</w:t>
            </w:r>
            <w:r>
              <w:t xml:space="preserve">uestion </w:t>
            </w:r>
          </w:p>
        </w:tc>
        <w:tc>
          <w:tcPr>
            <w:tcW w:w="5476" w:type="dxa"/>
          </w:tcPr>
          <w:p w:rsidRPr="00917199" w:rsidR="00104DE9" w:rsidP="00D06797" w:rsidRDefault="00104DE9" w14:paraId="53062F64" w14:textId="517821E7">
            <w:pPr>
              <w:pStyle w:val="TableHeaderCenter"/>
            </w:pPr>
            <w:r>
              <w:t>Revision</w:t>
            </w:r>
          </w:p>
        </w:tc>
      </w:tr>
      <w:tr w:rsidR="00104DE9" w:rsidTr="00996EC3" w14:paraId="30FAE5C1" w14:textId="77777777">
        <w:tc>
          <w:tcPr>
            <w:tcW w:w="1941" w:type="dxa"/>
          </w:tcPr>
          <w:p w:rsidRPr="00917199" w:rsidR="00104DE9" w:rsidP="00D06797" w:rsidRDefault="00104DE9" w14:paraId="6A6D46AA" w14:textId="39A3E00A">
            <w:pPr>
              <w:pStyle w:val="TableTextLeft"/>
            </w:pPr>
            <w:r>
              <w:t>Survey</w:t>
            </w:r>
          </w:p>
        </w:tc>
        <w:tc>
          <w:tcPr>
            <w:tcW w:w="1943" w:type="dxa"/>
          </w:tcPr>
          <w:p w:rsidRPr="00917199" w:rsidR="00104DE9" w:rsidP="00D06797" w:rsidRDefault="004E4311" w14:paraId="7D3CEA34" w14:textId="5AF4F433">
            <w:pPr>
              <w:pStyle w:val="TableTextLeft"/>
            </w:pPr>
            <w:r>
              <w:t>All sections</w:t>
            </w:r>
            <w:r w:rsidR="006D50F6">
              <w:t xml:space="preserve"> and multiple questions</w:t>
            </w:r>
          </w:p>
        </w:tc>
        <w:tc>
          <w:tcPr>
            <w:tcW w:w="5476" w:type="dxa"/>
          </w:tcPr>
          <w:p w:rsidRPr="004E4311" w:rsidR="00104DE9" w:rsidP="00D06797" w:rsidRDefault="004E4311" w14:paraId="7849597C" w14:textId="57C4BAB9">
            <w:pPr>
              <w:pStyle w:val="TableTextLeft"/>
              <w:rPr>
                <w:rFonts w:cstheme="majorHAnsi"/>
              </w:rPr>
            </w:pPr>
            <w:r w:rsidRPr="004E4311">
              <w:rPr>
                <w:rFonts w:cstheme="majorHAnsi"/>
                <w:color w:val="000000" w:themeColor="text1"/>
              </w:rPr>
              <w:t xml:space="preserve">Revised the introductory language in each section of the survey to emphasize that </w:t>
            </w:r>
            <w:r w:rsidR="00DF27C6">
              <w:rPr>
                <w:rFonts w:cstheme="majorHAnsi"/>
                <w:color w:val="000000" w:themeColor="text1"/>
              </w:rPr>
              <w:t>the study team is</w:t>
            </w:r>
            <w:r w:rsidRPr="004E4311">
              <w:rPr>
                <w:rFonts w:cstheme="majorHAnsi"/>
                <w:color w:val="000000" w:themeColor="text1"/>
              </w:rPr>
              <w:t xml:space="preserve"> mainly interested in capturing what the State policy and guidance indicate and </w:t>
            </w:r>
            <w:r w:rsidR="006D50F6">
              <w:rPr>
                <w:rFonts w:cstheme="majorHAnsi"/>
                <w:color w:val="000000" w:themeColor="text1"/>
              </w:rPr>
              <w:t xml:space="preserve">the </w:t>
            </w:r>
            <w:r w:rsidR="00DF27C6">
              <w:rPr>
                <w:rFonts w:cstheme="majorHAnsi"/>
                <w:color w:val="000000" w:themeColor="text1"/>
              </w:rPr>
              <w:t>study team does</w:t>
            </w:r>
            <w:r w:rsidRPr="004E4311">
              <w:rPr>
                <w:rFonts w:cstheme="majorHAnsi"/>
                <w:color w:val="000000" w:themeColor="text1"/>
              </w:rPr>
              <w:t xml:space="preserve"> not expect that the survey will fully capture variation within States at the local level.</w:t>
            </w:r>
            <w:r w:rsidR="00DF27C6">
              <w:rPr>
                <w:rFonts w:cstheme="majorHAnsi"/>
                <w:color w:val="000000" w:themeColor="text1"/>
              </w:rPr>
              <w:t xml:space="preserve"> R</w:t>
            </w:r>
            <w:r w:rsidRPr="004E4311">
              <w:rPr>
                <w:rFonts w:cstheme="majorHAnsi"/>
                <w:color w:val="000000" w:themeColor="text1"/>
              </w:rPr>
              <w:t>efram</w:t>
            </w:r>
            <w:r w:rsidR="00DF27C6">
              <w:rPr>
                <w:rFonts w:cstheme="majorHAnsi"/>
                <w:color w:val="000000" w:themeColor="text1"/>
              </w:rPr>
              <w:t>ed</w:t>
            </w:r>
            <w:r w:rsidRPr="004E4311">
              <w:rPr>
                <w:rFonts w:cstheme="majorHAnsi"/>
                <w:color w:val="000000" w:themeColor="text1"/>
              </w:rPr>
              <w:t xml:space="preserve"> questions that ask about how policies are generally implemented in practice to clarify that State agencies should respond to the best of their understanding.</w:t>
            </w:r>
          </w:p>
        </w:tc>
      </w:tr>
      <w:tr w:rsidR="00152733" w:rsidTr="00EE6F6A" w14:paraId="75712235" w14:textId="77777777">
        <w:tc>
          <w:tcPr>
            <w:tcW w:w="1941" w:type="dxa"/>
          </w:tcPr>
          <w:p w:rsidRPr="00917199" w:rsidR="00152733" w:rsidRDefault="00152733" w14:paraId="244CF2C2" w14:textId="4A7B9027">
            <w:pPr>
              <w:pStyle w:val="TableTextLeft"/>
            </w:pPr>
            <w:r>
              <w:t>Survey</w:t>
            </w:r>
          </w:p>
        </w:tc>
        <w:tc>
          <w:tcPr>
            <w:tcW w:w="1943" w:type="dxa"/>
          </w:tcPr>
          <w:p w:rsidRPr="00917199" w:rsidR="00152733" w:rsidRDefault="00152733" w14:paraId="3709C78E" w14:textId="6C212E65">
            <w:pPr>
              <w:pStyle w:val="TableTextLeft"/>
            </w:pPr>
            <w:r>
              <w:t>Multiple questions</w:t>
            </w:r>
          </w:p>
        </w:tc>
        <w:tc>
          <w:tcPr>
            <w:tcW w:w="5476" w:type="dxa"/>
          </w:tcPr>
          <w:p w:rsidRPr="00917199" w:rsidR="00152733" w:rsidRDefault="00152733" w14:paraId="7FD6FB3C" w14:textId="24CEF5C3">
            <w:pPr>
              <w:pStyle w:val="TableTextLeft"/>
            </w:pPr>
            <w:r>
              <w:t>S</w:t>
            </w:r>
            <w:r w:rsidRPr="00152733">
              <w:t>implif</w:t>
            </w:r>
            <w:r>
              <w:t>ied</w:t>
            </w:r>
            <w:r w:rsidRPr="00152733">
              <w:t xml:space="preserve"> the question text and response options related to policy and guidance by collapsing “written guidance only” and “oral guidance only” into a single response option. </w:t>
            </w:r>
            <w:r>
              <w:t>Dr</w:t>
            </w:r>
            <w:r w:rsidRPr="00152733">
              <w:t>opp</w:t>
            </w:r>
            <w:r>
              <w:t>ed</w:t>
            </w:r>
            <w:r w:rsidRPr="00152733">
              <w:t xml:space="preserve"> the descriptors of “written” and “oral” from the question text and response options to reduce the cognitive burden on respondents. The consolidated response option for guidance would change to “yes, guidance only.” </w:t>
            </w:r>
            <w:r w:rsidR="00B5198C">
              <w:t>Revised</w:t>
            </w:r>
            <w:r w:rsidRPr="00152733">
              <w:t xml:space="preserve"> questions that ask about policy and guidance to read, for example, “Does your agency provide policy or guidance on how frequently case managers must communicate with SNAP E&amp;T participants?” </w:t>
            </w:r>
            <w:r w:rsidR="00B5198C">
              <w:t>Revised t</w:t>
            </w:r>
            <w:r w:rsidRPr="00152733">
              <w:t xml:space="preserve">he consolidated response option for guidance to “yes, guidance only.” </w:t>
            </w:r>
          </w:p>
        </w:tc>
      </w:tr>
      <w:tr w:rsidR="00F3280E" w:rsidTr="00AD1E4E" w14:paraId="0CCB7148" w14:textId="77777777">
        <w:tc>
          <w:tcPr>
            <w:tcW w:w="1941" w:type="dxa"/>
          </w:tcPr>
          <w:p w:rsidRPr="00917199" w:rsidR="00F3280E" w:rsidRDefault="00F3280E" w14:paraId="103A3D5F" w14:textId="2F878B38">
            <w:pPr>
              <w:pStyle w:val="TableTextLeft"/>
            </w:pPr>
            <w:r>
              <w:t>Survey</w:t>
            </w:r>
          </w:p>
        </w:tc>
        <w:tc>
          <w:tcPr>
            <w:tcW w:w="1943" w:type="dxa"/>
          </w:tcPr>
          <w:p w:rsidRPr="00917199" w:rsidR="00F3280E" w:rsidRDefault="00F3280E" w14:paraId="25513191" w14:textId="2DAC2C8C">
            <w:pPr>
              <w:pStyle w:val="TableTextLeft"/>
            </w:pPr>
            <w:r>
              <w:t>Multiple questions</w:t>
            </w:r>
          </w:p>
        </w:tc>
        <w:tc>
          <w:tcPr>
            <w:tcW w:w="5476" w:type="dxa"/>
          </w:tcPr>
          <w:p w:rsidRPr="00917199" w:rsidR="00F3280E" w:rsidRDefault="00F3280E" w14:paraId="1A96230D" w14:textId="32B70272">
            <w:pPr>
              <w:pStyle w:val="TableTextLeft"/>
            </w:pPr>
            <w:r>
              <w:t xml:space="preserve">Revised response options </w:t>
            </w:r>
            <w:r>
              <w:rPr>
                <w:color w:val="000000" w:themeColor="text1"/>
              </w:rPr>
              <w:t>for questions that ask respondents to identify the proportion of local SNAP offices or E&amp;T providers that perform a specific activity or service (like use specific assessment tools) to be “</w:t>
            </w:r>
            <w:r w:rsidR="005F26C4">
              <w:rPr>
                <w:color w:val="000000" w:themeColor="text1"/>
              </w:rPr>
              <w:t>1-</w:t>
            </w:r>
            <w:r>
              <w:rPr>
                <w:color w:val="000000" w:themeColor="text1"/>
              </w:rPr>
              <w:t>2</w:t>
            </w:r>
            <w:r w:rsidR="005F26C4">
              <w:rPr>
                <w:color w:val="000000" w:themeColor="text1"/>
              </w:rPr>
              <w:t>4</w:t>
            </w:r>
            <w:r>
              <w:rPr>
                <w:color w:val="000000" w:themeColor="text1"/>
              </w:rPr>
              <w:t>%”, “2</w:t>
            </w:r>
            <w:r w:rsidR="005F26C4">
              <w:rPr>
                <w:color w:val="000000" w:themeColor="text1"/>
              </w:rPr>
              <w:t>5</w:t>
            </w:r>
            <w:r>
              <w:rPr>
                <w:color w:val="000000" w:themeColor="text1"/>
              </w:rPr>
              <w:t>-</w:t>
            </w:r>
            <w:r w:rsidR="005F26C4">
              <w:rPr>
                <w:color w:val="000000" w:themeColor="text1"/>
              </w:rPr>
              <w:t>49</w:t>
            </w:r>
            <w:r>
              <w:rPr>
                <w:color w:val="000000" w:themeColor="text1"/>
              </w:rPr>
              <w:t>%</w:t>
            </w:r>
            <w:r w:rsidR="00B5198C">
              <w:rPr>
                <w:color w:val="000000" w:themeColor="text1"/>
              </w:rPr>
              <w:t>,</w:t>
            </w:r>
            <w:r>
              <w:rPr>
                <w:color w:val="000000" w:themeColor="text1"/>
              </w:rPr>
              <w:t>” “5</w:t>
            </w:r>
            <w:r w:rsidR="005F26C4">
              <w:rPr>
                <w:color w:val="000000" w:themeColor="text1"/>
              </w:rPr>
              <w:t>0</w:t>
            </w:r>
            <w:r>
              <w:rPr>
                <w:color w:val="000000" w:themeColor="text1"/>
              </w:rPr>
              <w:t>-7</w:t>
            </w:r>
            <w:r w:rsidR="005F26C4">
              <w:rPr>
                <w:color w:val="000000" w:themeColor="text1"/>
              </w:rPr>
              <w:t>4</w:t>
            </w:r>
            <w:r>
              <w:rPr>
                <w:color w:val="000000" w:themeColor="text1"/>
              </w:rPr>
              <w:t>%,” and “7</w:t>
            </w:r>
            <w:r w:rsidR="005F26C4">
              <w:rPr>
                <w:color w:val="000000" w:themeColor="text1"/>
              </w:rPr>
              <w:t>5</w:t>
            </w:r>
            <w:r>
              <w:rPr>
                <w:color w:val="000000" w:themeColor="text1"/>
              </w:rPr>
              <w:t xml:space="preserve">-100%” </w:t>
            </w:r>
            <w:r w:rsidRPr="005F26C4">
              <w:rPr>
                <w:color w:val="000000" w:themeColor="text1"/>
              </w:rPr>
              <w:t xml:space="preserve">instead of </w:t>
            </w:r>
            <w:r w:rsidR="005F26C4">
              <w:rPr>
                <w:color w:val="000000" w:themeColor="text1"/>
              </w:rPr>
              <w:t>“Offered by just a small number of local SNAP offices or providers,” “Offered by some but not most local SNAP offices or providers,” “Offered by most or all local SNAP offices or providers.”</w:t>
            </w:r>
          </w:p>
        </w:tc>
      </w:tr>
      <w:tr w:rsidR="00F3280E" w:rsidTr="00801D02" w14:paraId="3F4DB890" w14:textId="77777777">
        <w:tc>
          <w:tcPr>
            <w:tcW w:w="1941" w:type="dxa"/>
          </w:tcPr>
          <w:p w:rsidRPr="00917199" w:rsidR="00F3280E" w:rsidRDefault="00F3280E" w14:paraId="31AA696C" w14:textId="4C730EC2">
            <w:pPr>
              <w:pStyle w:val="TableTextLeft"/>
            </w:pPr>
            <w:r>
              <w:t>Survey</w:t>
            </w:r>
          </w:p>
        </w:tc>
        <w:tc>
          <w:tcPr>
            <w:tcW w:w="1943" w:type="dxa"/>
          </w:tcPr>
          <w:p w:rsidRPr="00917199" w:rsidR="00F3280E" w:rsidRDefault="00F3280E" w14:paraId="719B10EC" w14:textId="5D2CA8BD">
            <w:pPr>
              <w:pStyle w:val="TableTextLeft"/>
            </w:pPr>
            <w:r>
              <w:t>Multiple questions</w:t>
            </w:r>
          </w:p>
        </w:tc>
        <w:tc>
          <w:tcPr>
            <w:tcW w:w="5476" w:type="dxa"/>
          </w:tcPr>
          <w:p w:rsidRPr="00917199" w:rsidR="00F3280E" w:rsidRDefault="00F3280E" w14:paraId="24E9FAF8" w14:textId="3FA105F8">
            <w:pPr>
              <w:pStyle w:val="TableTextLeft"/>
            </w:pPr>
            <w:r>
              <w:t xml:space="preserve">Revised questions that ask </w:t>
            </w:r>
            <w:r>
              <w:rPr>
                <w:color w:val="000000" w:themeColor="text1"/>
              </w:rPr>
              <w:t>how the respondent’s program is implemented in practice</w:t>
            </w:r>
            <w:r w:rsidR="007879CD">
              <w:rPr>
                <w:color w:val="000000" w:themeColor="text1"/>
              </w:rPr>
              <w:t xml:space="preserve"> to begin with </w:t>
            </w:r>
            <w:r w:rsidR="007879CD">
              <w:t>“To the best of your understanding, i</w:t>
            </w:r>
            <w:r w:rsidRPr="00D26412" w:rsidR="007879CD">
              <w:t xml:space="preserve">n practice, </w:t>
            </w:r>
            <w:r w:rsidR="007879CD">
              <w:t xml:space="preserve">roughly </w:t>
            </w:r>
            <w:r w:rsidRPr="00D26412" w:rsidR="007879CD">
              <w:t>what share of</w:t>
            </w:r>
            <w:r w:rsidR="007879CD">
              <w:t>…”</w:t>
            </w:r>
          </w:p>
        </w:tc>
      </w:tr>
      <w:tr w:rsidR="007879CD" w:rsidTr="00422508" w14:paraId="764DC838" w14:textId="77777777">
        <w:tc>
          <w:tcPr>
            <w:tcW w:w="1941" w:type="dxa"/>
          </w:tcPr>
          <w:p w:rsidRPr="00917199" w:rsidR="007879CD" w:rsidRDefault="007879CD" w14:paraId="6E8A9EC0" w14:textId="48F13D96">
            <w:pPr>
              <w:pStyle w:val="TableTextLeft"/>
            </w:pPr>
            <w:r>
              <w:t>Survey</w:t>
            </w:r>
          </w:p>
        </w:tc>
        <w:tc>
          <w:tcPr>
            <w:tcW w:w="1943" w:type="dxa"/>
          </w:tcPr>
          <w:p w:rsidRPr="00917199" w:rsidR="007879CD" w:rsidRDefault="007879CD" w14:paraId="56F92E34" w14:textId="453E1A52">
            <w:pPr>
              <w:pStyle w:val="TableTextLeft"/>
            </w:pPr>
            <w:r>
              <w:t>Multiple questions</w:t>
            </w:r>
          </w:p>
        </w:tc>
        <w:tc>
          <w:tcPr>
            <w:tcW w:w="5476" w:type="dxa"/>
          </w:tcPr>
          <w:p w:rsidRPr="00917199" w:rsidR="007879CD" w:rsidRDefault="007879CD" w14:paraId="7EE019E1" w14:textId="44FA7F5D">
            <w:pPr>
              <w:pStyle w:val="TableTextLeft"/>
            </w:pPr>
            <w:r>
              <w:t>Revised references to the E&amp;T component “job search” to “supervised job search</w:t>
            </w:r>
            <w:r w:rsidR="00B5198C">
              <w:t>.</w:t>
            </w:r>
            <w:r>
              <w:t>”</w:t>
            </w:r>
          </w:p>
        </w:tc>
      </w:tr>
      <w:tr w:rsidR="007879CD" w:rsidTr="009D5B65" w14:paraId="320F8878" w14:textId="77777777">
        <w:tc>
          <w:tcPr>
            <w:tcW w:w="1941" w:type="dxa"/>
          </w:tcPr>
          <w:p w:rsidRPr="00917199" w:rsidR="007879CD" w:rsidRDefault="007879CD" w14:paraId="30CB592C" w14:textId="65CD6C84">
            <w:pPr>
              <w:pStyle w:val="TableTextLeft"/>
            </w:pPr>
            <w:r>
              <w:t>Survey</w:t>
            </w:r>
          </w:p>
        </w:tc>
        <w:tc>
          <w:tcPr>
            <w:tcW w:w="1943" w:type="dxa"/>
          </w:tcPr>
          <w:p w:rsidRPr="00917199" w:rsidR="007879CD" w:rsidRDefault="007879CD" w14:paraId="0428A915" w14:textId="1BE69102">
            <w:pPr>
              <w:pStyle w:val="TableTextLeft"/>
            </w:pPr>
            <w:r>
              <w:t>Question i1</w:t>
            </w:r>
          </w:p>
        </w:tc>
        <w:tc>
          <w:tcPr>
            <w:tcW w:w="5476" w:type="dxa"/>
          </w:tcPr>
          <w:p w:rsidRPr="00917199" w:rsidR="007879CD" w:rsidRDefault="007879CD" w14:paraId="6CDE9538" w14:textId="7F6EF3CD">
            <w:pPr>
              <w:pStyle w:val="TableTextLeft"/>
            </w:pPr>
            <w:r>
              <w:t xml:space="preserve">Revised the </w:t>
            </w:r>
            <w:r>
              <w:rPr>
                <w:color w:val="000000" w:themeColor="text1"/>
              </w:rPr>
              <w:t>response options from “SNAP E&amp;T program targets this population State or territory-wide” to “targeted State- or territory-wide;” from “SNAP E&amp;T program targets this population in some counties or providers” to “targeted in some counties or providers;” from “SNAP E&amp;T program serves this population, but it is not a specific target” to “served but not targeted;” and from “SNAP E&amp;T program does not serve this population” to “not served</w:t>
            </w:r>
            <w:r w:rsidR="0035061A">
              <w:rPr>
                <w:color w:val="000000" w:themeColor="text1"/>
              </w:rPr>
              <w:t>.</w:t>
            </w:r>
            <w:r>
              <w:rPr>
                <w:color w:val="000000" w:themeColor="text1"/>
              </w:rPr>
              <w:t xml:space="preserve">”  </w:t>
            </w:r>
          </w:p>
        </w:tc>
      </w:tr>
      <w:tr w:rsidR="001F24CE" w:rsidTr="0086070E" w14:paraId="505D8CB7" w14:textId="77777777">
        <w:tc>
          <w:tcPr>
            <w:tcW w:w="1941" w:type="dxa"/>
          </w:tcPr>
          <w:p w:rsidRPr="00917199" w:rsidR="001F24CE" w:rsidRDefault="001F24CE" w14:paraId="68D43F4C" w14:textId="1793D067">
            <w:pPr>
              <w:pStyle w:val="TableTextLeft"/>
            </w:pPr>
            <w:r>
              <w:lastRenderedPageBreak/>
              <w:t>Survey</w:t>
            </w:r>
          </w:p>
        </w:tc>
        <w:tc>
          <w:tcPr>
            <w:tcW w:w="1943" w:type="dxa"/>
          </w:tcPr>
          <w:p w:rsidRPr="00917199" w:rsidR="001F24CE" w:rsidRDefault="001F24CE" w14:paraId="318D265F" w14:textId="5BFE51D4">
            <w:pPr>
              <w:pStyle w:val="TableTextLeft"/>
            </w:pPr>
            <w:r>
              <w:t>Questions i4a and i4c</w:t>
            </w:r>
          </w:p>
        </w:tc>
        <w:tc>
          <w:tcPr>
            <w:tcW w:w="5476" w:type="dxa"/>
          </w:tcPr>
          <w:p w:rsidRPr="00917199" w:rsidR="001F24CE" w:rsidRDefault="001F24CE" w14:paraId="1CADBDF8" w14:textId="24E73279">
            <w:pPr>
              <w:pStyle w:val="TableTextLeft"/>
            </w:pPr>
            <w:r>
              <w:t>R</w:t>
            </w:r>
            <w:r w:rsidRPr="001F24CE">
              <w:t>evis</w:t>
            </w:r>
            <w:r>
              <w:t>ed</w:t>
            </w:r>
            <w:r w:rsidRPr="001F24CE">
              <w:t xml:space="preserve"> the text describing the topics covered in Sections 1 and 3 </w:t>
            </w:r>
            <w:r>
              <w:t>to clarify that respondents w</w:t>
            </w:r>
            <w:r w:rsidR="0035061A">
              <w:t>ill</w:t>
            </w:r>
            <w:r>
              <w:t xml:space="preserve"> be asked to report data on caseload size and the total amount paid in participant reimbursements</w:t>
            </w:r>
            <w:r w:rsidRPr="001F24CE">
              <w:t xml:space="preserve">. </w:t>
            </w:r>
          </w:p>
        </w:tc>
      </w:tr>
      <w:tr w:rsidR="009102A8" w:rsidTr="003A620F" w14:paraId="45D36225" w14:textId="77777777">
        <w:tc>
          <w:tcPr>
            <w:tcW w:w="1941" w:type="dxa"/>
          </w:tcPr>
          <w:p w:rsidRPr="00917199" w:rsidR="009102A8" w:rsidRDefault="009102A8" w14:paraId="1D75EC5C" w14:textId="699098DD">
            <w:pPr>
              <w:pStyle w:val="TableTextLeft"/>
            </w:pPr>
            <w:r>
              <w:t>Survey</w:t>
            </w:r>
          </w:p>
        </w:tc>
        <w:tc>
          <w:tcPr>
            <w:tcW w:w="1943" w:type="dxa"/>
          </w:tcPr>
          <w:p w:rsidRPr="00917199" w:rsidR="009102A8" w:rsidRDefault="009102A8" w14:paraId="4FF952D2" w14:textId="6D094671">
            <w:pPr>
              <w:pStyle w:val="TableTextLeft"/>
            </w:pPr>
            <w:r>
              <w:t>Question A7</w:t>
            </w:r>
          </w:p>
        </w:tc>
        <w:tc>
          <w:tcPr>
            <w:tcW w:w="5476" w:type="dxa"/>
          </w:tcPr>
          <w:p w:rsidRPr="00917199" w:rsidR="009102A8" w:rsidRDefault="009102A8" w14:paraId="3D356E40" w14:textId="59065F48">
            <w:pPr>
              <w:pStyle w:val="TableTextLeft"/>
            </w:pPr>
            <w:r>
              <w:t>Changed response options from “currently offered in some areas of the State or territory” and “currently offered State- or territory-wide” to “currently offered by some providers” and “currently offered by all providers.”</w:t>
            </w:r>
          </w:p>
        </w:tc>
      </w:tr>
      <w:tr w:rsidR="009102A8" w:rsidTr="00447DB6" w14:paraId="7505F088" w14:textId="77777777">
        <w:tc>
          <w:tcPr>
            <w:tcW w:w="1941" w:type="dxa"/>
          </w:tcPr>
          <w:p w:rsidRPr="00917199" w:rsidR="009102A8" w:rsidRDefault="009102A8" w14:paraId="3EFA6882" w14:textId="244A6DB6">
            <w:pPr>
              <w:pStyle w:val="TableTextLeft"/>
            </w:pPr>
            <w:r>
              <w:t>Survey</w:t>
            </w:r>
          </w:p>
        </w:tc>
        <w:tc>
          <w:tcPr>
            <w:tcW w:w="1943" w:type="dxa"/>
          </w:tcPr>
          <w:p w:rsidRPr="00917199" w:rsidR="009102A8" w:rsidRDefault="009102A8" w14:paraId="2788175F" w14:textId="575F173D">
            <w:pPr>
              <w:pStyle w:val="TableTextLeft"/>
            </w:pPr>
            <w:r>
              <w:t>Question A9a</w:t>
            </w:r>
          </w:p>
        </w:tc>
        <w:tc>
          <w:tcPr>
            <w:tcW w:w="5476" w:type="dxa"/>
          </w:tcPr>
          <w:p w:rsidRPr="00917199" w:rsidR="009102A8" w:rsidRDefault="009102A8" w14:paraId="38E64586" w14:textId="64886BD9">
            <w:pPr>
              <w:pStyle w:val="TableTextLeft"/>
            </w:pPr>
            <w:r>
              <w:t xml:space="preserve">Revised the question from “What SNAP E&amp;T case management services and activities are specifically allowed by policy or guidance?” to “What SNAP E&amp;T case management services and activities does your policy or guidance include?” </w:t>
            </w:r>
          </w:p>
        </w:tc>
      </w:tr>
      <w:tr w:rsidR="009102A8" w:rsidTr="00523571" w14:paraId="3770935D" w14:textId="77777777">
        <w:tc>
          <w:tcPr>
            <w:tcW w:w="1941" w:type="dxa"/>
          </w:tcPr>
          <w:p w:rsidRPr="00917199" w:rsidR="009102A8" w:rsidRDefault="009102A8" w14:paraId="243FC115" w14:textId="29653EE5">
            <w:pPr>
              <w:pStyle w:val="TableTextLeft"/>
            </w:pPr>
            <w:r>
              <w:t>Survey</w:t>
            </w:r>
          </w:p>
        </w:tc>
        <w:tc>
          <w:tcPr>
            <w:tcW w:w="1943" w:type="dxa"/>
          </w:tcPr>
          <w:p w:rsidRPr="00917199" w:rsidR="009102A8" w:rsidRDefault="009102A8" w14:paraId="3CDF16EC" w14:textId="4AAE2369">
            <w:pPr>
              <w:pStyle w:val="TableTextLeft"/>
            </w:pPr>
            <w:r>
              <w:t>Question A11a</w:t>
            </w:r>
          </w:p>
        </w:tc>
        <w:tc>
          <w:tcPr>
            <w:tcW w:w="5476" w:type="dxa"/>
          </w:tcPr>
          <w:p w:rsidRPr="00917199" w:rsidR="009102A8" w:rsidRDefault="009102A8" w14:paraId="779F5AF0" w14:textId="4B7B6E8E">
            <w:pPr>
              <w:pStyle w:val="TableTextLeft"/>
            </w:pPr>
            <w:r>
              <w:t>Revised question from “What SNAP E&amp;T case management approaches or techniques are specified by policy or guidance?” to “What SNAP E&amp;T case management approaches or techniques does your policy or guidance include?”</w:t>
            </w:r>
          </w:p>
        </w:tc>
      </w:tr>
      <w:tr w:rsidR="009102A8" w:rsidTr="00082E98" w14:paraId="79B1B4E2" w14:textId="77777777">
        <w:tc>
          <w:tcPr>
            <w:tcW w:w="1941" w:type="dxa"/>
          </w:tcPr>
          <w:p w:rsidRPr="00917199" w:rsidR="009102A8" w:rsidRDefault="009102A8" w14:paraId="4E8F38F1" w14:textId="6D79093F">
            <w:pPr>
              <w:pStyle w:val="TableTextLeft"/>
            </w:pPr>
            <w:r>
              <w:t>Survey</w:t>
            </w:r>
          </w:p>
        </w:tc>
        <w:tc>
          <w:tcPr>
            <w:tcW w:w="1943" w:type="dxa"/>
          </w:tcPr>
          <w:p w:rsidRPr="00917199" w:rsidR="009102A8" w:rsidRDefault="00C15799" w14:paraId="678843C6" w14:textId="770468A4">
            <w:pPr>
              <w:pStyle w:val="TableTextLeft"/>
            </w:pPr>
            <w:r>
              <w:t xml:space="preserve">Question </w:t>
            </w:r>
            <w:r w:rsidR="009102A8">
              <w:t>A15</w:t>
            </w:r>
          </w:p>
        </w:tc>
        <w:tc>
          <w:tcPr>
            <w:tcW w:w="5476" w:type="dxa"/>
          </w:tcPr>
          <w:p w:rsidRPr="00917199" w:rsidR="009102A8" w:rsidRDefault="009102A8" w14:paraId="7A145945" w14:textId="6C0FF992">
            <w:pPr>
              <w:pStyle w:val="TableTextLeft"/>
            </w:pPr>
            <w:r>
              <w:t xml:space="preserve">Revised question from </w:t>
            </w:r>
            <w:r w:rsidR="005F26C4">
              <w:t>“What, if any, additional resources has your State</w:t>
            </w:r>
            <w:r w:rsidR="00142F85">
              <w:t xml:space="preserve"> or territory already invested—or plans to invest—in case management for SNAP E&amp;T participants in response to the</w:t>
            </w:r>
            <w:r w:rsidRPr="00722796" w:rsidR="00142F85">
              <w:rPr>
                <w:bCs/>
              </w:rPr>
              <w:t xml:space="preserve"> Agricultural Improvement Act of 2018 (2018 Farm Bill) case management requirement</w:t>
            </w:r>
            <w:r w:rsidR="00142F85">
              <w:rPr>
                <w:bCs/>
              </w:rPr>
              <w:t>”</w:t>
            </w:r>
            <w:r>
              <w:t xml:space="preserve"> to “In response to the </w:t>
            </w:r>
            <w:r w:rsidRPr="00722796">
              <w:rPr>
                <w:bCs/>
              </w:rPr>
              <w:t>Agricultural Improvement Act of 2018 (2018 Farm Bill) case management requirement</w:t>
            </w:r>
            <w:r w:rsidRPr="00722796">
              <w:t xml:space="preserve">, what, if any, additional resources has your State or territory already invested—or </w:t>
            </w:r>
            <w:r>
              <w:t xml:space="preserve">does it </w:t>
            </w:r>
            <w:r w:rsidRPr="00722796">
              <w:t>plan to invest—in case management for SNAP E&amp;T participants?”</w:t>
            </w:r>
            <w:r>
              <w:t xml:space="preserve"> Revised response option </w:t>
            </w:r>
            <w:r w:rsidR="007E72AA">
              <w:t xml:space="preserve">“no investment made or planned in response to the requirement” </w:t>
            </w:r>
            <w:r>
              <w:t xml:space="preserve">to </w:t>
            </w:r>
            <w:r w:rsidR="007E72AA">
              <w:t>“no additional or new investment made or planned.”</w:t>
            </w:r>
          </w:p>
        </w:tc>
      </w:tr>
      <w:tr w:rsidR="007E72AA" w:rsidTr="00C22491" w14:paraId="2BA6A583" w14:textId="77777777">
        <w:tc>
          <w:tcPr>
            <w:tcW w:w="1941" w:type="dxa"/>
          </w:tcPr>
          <w:p w:rsidRPr="00917199" w:rsidR="007E72AA" w:rsidRDefault="007E72AA" w14:paraId="2995E138" w14:textId="7104B86D">
            <w:pPr>
              <w:pStyle w:val="TableTextLeft"/>
            </w:pPr>
            <w:r>
              <w:t>Survey</w:t>
            </w:r>
          </w:p>
        </w:tc>
        <w:tc>
          <w:tcPr>
            <w:tcW w:w="1943" w:type="dxa"/>
          </w:tcPr>
          <w:p w:rsidRPr="00917199" w:rsidR="007E72AA" w:rsidRDefault="00C15799" w14:paraId="75EDE321" w14:textId="573FB50F">
            <w:pPr>
              <w:pStyle w:val="TableTextLeft"/>
            </w:pPr>
            <w:r>
              <w:t xml:space="preserve">Question </w:t>
            </w:r>
            <w:r w:rsidR="007E72AA">
              <w:t>B2a</w:t>
            </w:r>
          </w:p>
        </w:tc>
        <w:tc>
          <w:tcPr>
            <w:tcW w:w="5476" w:type="dxa"/>
          </w:tcPr>
          <w:p w:rsidRPr="00917199" w:rsidR="007E72AA" w:rsidRDefault="007E72AA" w14:paraId="291F2A4D" w14:textId="353C1276">
            <w:pPr>
              <w:pStyle w:val="TableTextLeft"/>
            </w:pPr>
            <w:r>
              <w:t xml:space="preserve">Revised first two response options from </w:t>
            </w:r>
            <w:r w:rsidR="00142F85">
              <w:t>“Participant background assessment tool developed by or for the State or territory” and “Needs and barrier assessment tool developed by or for the State or territory”</w:t>
            </w:r>
            <w:r>
              <w:t xml:space="preserve"> to “</w:t>
            </w:r>
            <w:r w:rsidRPr="00D43818">
              <w:t>Participant background assessment tool developed by or for the State, territory, or provider</w:t>
            </w:r>
            <w:r>
              <w:t>” and “</w:t>
            </w:r>
            <w:r w:rsidRPr="00D43818">
              <w:t>Needs and barrier assessment tool developed by or for the State, territory, or provider</w:t>
            </w:r>
            <w:r w:rsidR="00C32924">
              <w:t>.”</w:t>
            </w:r>
            <w:r>
              <w:t xml:space="preserve"> Added question</w:t>
            </w:r>
            <w:r w:rsidR="00C32924">
              <w:t>s</w:t>
            </w:r>
            <w:r>
              <w:t xml:space="preserve"> to ask respondents who select response options 1 or 2 to specify the name of the assessments.</w:t>
            </w:r>
          </w:p>
        </w:tc>
      </w:tr>
      <w:tr w:rsidR="007E72AA" w:rsidTr="00FE6CC2" w14:paraId="570CD370" w14:textId="77777777">
        <w:tc>
          <w:tcPr>
            <w:tcW w:w="1941" w:type="dxa"/>
          </w:tcPr>
          <w:p w:rsidRPr="00917199" w:rsidR="007E72AA" w:rsidRDefault="007E72AA" w14:paraId="0B719D51" w14:textId="6CC87C54">
            <w:pPr>
              <w:pStyle w:val="TableTextLeft"/>
            </w:pPr>
            <w:r>
              <w:t>Survey</w:t>
            </w:r>
          </w:p>
        </w:tc>
        <w:tc>
          <w:tcPr>
            <w:tcW w:w="1943" w:type="dxa"/>
          </w:tcPr>
          <w:p w:rsidRPr="00917199" w:rsidR="007E72AA" w:rsidRDefault="00C15799" w14:paraId="20ACF3D6" w14:textId="447F7D12">
            <w:pPr>
              <w:pStyle w:val="TableTextLeft"/>
            </w:pPr>
            <w:r>
              <w:t xml:space="preserve">Question </w:t>
            </w:r>
            <w:r w:rsidR="007E72AA">
              <w:t>B8c</w:t>
            </w:r>
          </w:p>
        </w:tc>
        <w:tc>
          <w:tcPr>
            <w:tcW w:w="5476" w:type="dxa"/>
          </w:tcPr>
          <w:p w:rsidRPr="00917199" w:rsidR="007E72AA" w:rsidRDefault="007E72AA" w14:paraId="552A690C" w14:textId="189F1248">
            <w:pPr>
              <w:pStyle w:val="TableTextLeft"/>
            </w:pPr>
            <w:r>
              <w:t>Added a question to ask respondents who select response options 1 or 2 to specify the name of the assessments.</w:t>
            </w:r>
          </w:p>
        </w:tc>
      </w:tr>
      <w:tr w:rsidR="007E72AA" w:rsidTr="009C125F" w14:paraId="1E2927B4" w14:textId="77777777">
        <w:tc>
          <w:tcPr>
            <w:tcW w:w="1941" w:type="dxa"/>
          </w:tcPr>
          <w:p w:rsidRPr="00917199" w:rsidR="007E72AA" w:rsidRDefault="007E72AA" w14:paraId="3985AE2F" w14:textId="25767279">
            <w:pPr>
              <w:pStyle w:val="TableTextLeft"/>
            </w:pPr>
            <w:r>
              <w:t>Survey</w:t>
            </w:r>
          </w:p>
        </w:tc>
        <w:tc>
          <w:tcPr>
            <w:tcW w:w="1943" w:type="dxa"/>
          </w:tcPr>
          <w:p w:rsidRPr="00917199" w:rsidR="007E72AA" w:rsidRDefault="00C15799" w14:paraId="587808A1" w14:textId="0CE1F735">
            <w:pPr>
              <w:pStyle w:val="TableTextLeft"/>
            </w:pPr>
            <w:r>
              <w:t xml:space="preserve">Question </w:t>
            </w:r>
            <w:r w:rsidR="007E72AA">
              <w:t>B15a</w:t>
            </w:r>
          </w:p>
        </w:tc>
        <w:tc>
          <w:tcPr>
            <w:tcW w:w="5476" w:type="dxa"/>
          </w:tcPr>
          <w:p w:rsidRPr="00917199" w:rsidR="007E72AA" w:rsidRDefault="007E72AA" w14:paraId="67AE20B1" w14:textId="3EE446B5">
            <w:pPr>
              <w:pStyle w:val="TableTextLeft"/>
            </w:pPr>
            <w:r>
              <w:t xml:space="preserve">Dropped the question </w:t>
            </w:r>
            <w:r w:rsidR="00C32924">
              <w:t xml:space="preserve">“Please write the name of the specific assessment or assessments that policy or guidance specifies SNAP E&amp;T participants complete or pass before beginning the following E&amp;T components.” </w:t>
            </w:r>
          </w:p>
        </w:tc>
      </w:tr>
      <w:tr w:rsidR="007B310D" w:rsidTr="00A20268" w14:paraId="7206B6DE" w14:textId="77777777">
        <w:tc>
          <w:tcPr>
            <w:tcW w:w="1941" w:type="dxa"/>
          </w:tcPr>
          <w:p w:rsidRPr="00917199" w:rsidR="007B310D" w:rsidRDefault="007B310D" w14:paraId="6B053F60" w14:textId="22867B40">
            <w:pPr>
              <w:pStyle w:val="TableTextLeft"/>
            </w:pPr>
            <w:r>
              <w:t>Survey</w:t>
            </w:r>
          </w:p>
        </w:tc>
        <w:tc>
          <w:tcPr>
            <w:tcW w:w="1943" w:type="dxa"/>
          </w:tcPr>
          <w:p w:rsidRPr="00917199" w:rsidR="007B310D" w:rsidRDefault="007B310D" w14:paraId="435D251C" w14:textId="4DEDFAE0">
            <w:pPr>
              <w:pStyle w:val="TableTextLeft"/>
            </w:pPr>
            <w:r>
              <w:t>Instructions for submitting assessment tool</w:t>
            </w:r>
          </w:p>
        </w:tc>
        <w:tc>
          <w:tcPr>
            <w:tcW w:w="5476" w:type="dxa"/>
          </w:tcPr>
          <w:p w:rsidRPr="00917199" w:rsidR="007B310D" w:rsidRDefault="007B310D" w14:paraId="7B57CAA9" w14:textId="548816F6">
            <w:pPr>
              <w:pStyle w:val="TableTextLeft"/>
            </w:pPr>
            <w:r>
              <w:t>Revised instructions to emphasize that only one tool is needed</w:t>
            </w:r>
            <w:r w:rsidR="0035061A">
              <w:t>.</w:t>
            </w:r>
          </w:p>
        </w:tc>
      </w:tr>
      <w:tr w:rsidR="007B310D" w:rsidTr="00AB543D" w14:paraId="61F9756E" w14:textId="77777777">
        <w:tc>
          <w:tcPr>
            <w:tcW w:w="1941" w:type="dxa"/>
          </w:tcPr>
          <w:p w:rsidRPr="00917199" w:rsidR="007B310D" w:rsidRDefault="007B310D" w14:paraId="5CD52D0B" w14:textId="7C6EA8E4">
            <w:pPr>
              <w:pStyle w:val="TableTextLeft"/>
            </w:pPr>
            <w:r>
              <w:lastRenderedPageBreak/>
              <w:t>Survey</w:t>
            </w:r>
          </w:p>
        </w:tc>
        <w:tc>
          <w:tcPr>
            <w:tcW w:w="1943" w:type="dxa"/>
          </w:tcPr>
          <w:p w:rsidRPr="00917199" w:rsidR="007B310D" w:rsidRDefault="007B310D" w14:paraId="792DF109" w14:textId="2528E142">
            <w:pPr>
              <w:pStyle w:val="TableTextLeft"/>
            </w:pPr>
            <w:r>
              <w:t xml:space="preserve">Section </w:t>
            </w:r>
            <w:r w:rsidR="00C15799">
              <w:t>C</w:t>
            </w:r>
          </w:p>
        </w:tc>
        <w:tc>
          <w:tcPr>
            <w:tcW w:w="5476" w:type="dxa"/>
          </w:tcPr>
          <w:p w:rsidRPr="00917199" w:rsidR="007B310D" w:rsidRDefault="007B310D" w14:paraId="6F27B937" w14:textId="03E5AE64">
            <w:pPr>
              <w:pStyle w:val="TableTextLeft"/>
            </w:pPr>
            <w:r>
              <w:t xml:space="preserve">Added a question before question C7 </w:t>
            </w:r>
            <w:r w:rsidRPr="007B310D">
              <w:t>to ask whether agencies set any one-time caps on the value of participant reimbursements, followed by a question asking respondents to indicate the amount of one-time caps.</w:t>
            </w:r>
          </w:p>
        </w:tc>
      </w:tr>
      <w:tr w:rsidR="00C15799" w:rsidTr="00AB543D" w14:paraId="0D1D5DF9" w14:textId="77777777">
        <w:tc>
          <w:tcPr>
            <w:tcW w:w="1941" w:type="dxa"/>
          </w:tcPr>
          <w:p w:rsidR="00C15799" w:rsidP="00C15799" w:rsidRDefault="00C15799" w14:paraId="4F91B776" w14:textId="4FA041F2">
            <w:pPr>
              <w:pStyle w:val="TableTextLeft"/>
            </w:pPr>
            <w:r>
              <w:t>Survey</w:t>
            </w:r>
          </w:p>
        </w:tc>
        <w:tc>
          <w:tcPr>
            <w:tcW w:w="1943" w:type="dxa"/>
          </w:tcPr>
          <w:p w:rsidR="00C15799" w:rsidP="00C15799" w:rsidRDefault="00C15799" w14:paraId="24380309" w14:textId="520EBD13">
            <w:pPr>
              <w:pStyle w:val="TableTextLeft"/>
            </w:pPr>
            <w:r>
              <w:t>Question C1</w:t>
            </w:r>
          </w:p>
        </w:tc>
        <w:tc>
          <w:tcPr>
            <w:tcW w:w="5476" w:type="dxa"/>
          </w:tcPr>
          <w:p w:rsidR="00C15799" w:rsidP="00C15799" w:rsidRDefault="00BF43AE" w14:paraId="13D92998" w14:textId="4FD7D021">
            <w:pPr>
              <w:pStyle w:val="TableTextLeft"/>
            </w:pPr>
            <w:r>
              <w:t xml:space="preserve">Revised response option from “available to NO participants” to “not available.” </w:t>
            </w:r>
          </w:p>
        </w:tc>
      </w:tr>
      <w:tr w:rsidR="00C15799" w:rsidTr="00AB543D" w14:paraId="012CFEDC" w14:textId="77777777">
        <w:tc>
          <w:tcPr>
            <w:tcW w:w="1941" w:type="dxa"/>
          </w:tcPr>
          <w:p w:rsidR="00C15799" w:rsidP="00C15799" w:rsidRDefault="00C15799" w14:paraId="299881B4" w14:textId="33DD9638">
            <w:pPr>
              <w:pStyle w:val="TableTextLeft"/>
            </w:pPr>
            <w:r>
              <w:t>Survey</w:t>
            </w:r>
          </w:p>
        </w:tc>
        <w:tc>
          <w:tcPr>
            <w:tcW w:w="1943" w:type="dxa"/>
          </w:tcPr>
          <w:p w:rsidR="00C15799" w:rsidP="00C15799" w:rsidRDefault="00C15799" w14:paraId="5AB4AFC7" w14:textId="56D8A4CE">
            <w:pPr>
              <w:pStyle w:val="TableTextLeft"/>
            </w:pPr>
            <w:r>
              <w:t>Question C3</w:t>
            </w:r>
          </w:p>
        </w:tc>
        <w:tc>
          <w:tcPr>
            <w:tcW w:w="5476" w:type="dxa"/>
          </w:tcPr>
          <w:p w:rsidR="00C15799" w:rsidP="00C15799" w:rsidRDefault="00C15799" w14:paraId="60C859E1" w14:textId="1D5FEFB2">
            <w:pPr>
              <w:pStyle w:val="TableTextLeft"/>
            </w:pPr>
            <w:r>
              <w:t>Added the definition of policy and guidance to the text of the question</w:t>
            </w:r>
            <w:r w:rsidR="0035061A">
              <w:t>.</w:t>
            </w:r>
          </w:p>
        </w:tc>
      </w:tr>
      <w:tr w:rsidR="00E63CEC" w:rsidTr="00AB543D" w14:paraId="3E647FA5" w14:textId="77777777">
        <w:tc>
          <w:tcPr>
            <w:tcW w:w="1941" w:type="dxa"/>
          </w:tcPr>
          <w:p w:rsidR="00E63CEC" w:rsidP="00C15799" w:rsidRDefault="00E63CEC" w14:paraId="365F5E98" w14:textId="05EFF0A0">
            <w:pPr>
              <w:pStyle w:val="TableTextLeft"/>
            </w:pPr>
            <w:r>
              <w:t>Survey</w:t>
            </w:r>
          </w:p>
        </w:tc>
        <w:tc>
          <w:tcPr>
            <w:tcW w:w="1943" w:type="dxa"/>
          </w:tcPr>
          <w:p w:rsidR="00E63CEC" w:rsidP="00C15799" w:rsidRDefault="00E63CEC" w14:paraId="03BCB8AD" w14:textId="5934F487">
            <w:pPr>
              <w:pStyle w:val="TableTextLeft"/>
            </w:pPr>
            <w:r>
              <w:t>Questions C3a, C4, C16</w:t>
            </w:r>
          </w:p>
        </w:tc>
        <w:tc>
          <w:tcPr>
            <w:tcW w:w="5476" w:type="dxa"/>
          </w:tcPr>
          <w:p w:rsidR="00E63CEC" w:rsidP="00C15799" w:rsidRDefault="00E63CEC" w14:paraId="7A0574F3" w14:textId="45A01B91">
            <w:pPr>
              <w:pStyle w:val="TableTextLeft"/>
            </w:pPr>
            <w:r>
              <w:t xml:space="preserve">Split combined questions into two separate questions to </w:t>
            </w:r>
            <w:r w:rsidR="00465967">
              <w:t xml:space="preserve">first </w:t>
            </w:r>
            <w:r>
              <w:t>ask respondents which staff inform SNAP E&amp;T participants about available participant reimbursements and then</w:t>
            </w:r>
            <w:r w:rsidR="00465967">
              <w:t xml:space="preserve"> to ask</w:t>
            </w:r>
            <w:r>
              <w:t xml:space="preserve"> at what point staff inform participants of available reimbursements.</w:t>
            </w:r>
            <w:r w:rsidR="00465967">
              <w:t xml:space="preserve"> Revised to include response options in a matrix instead of a list of combined responses. </w:t>
            </w:r>
          </w:p>
        </w:tc>
      </w:tr>
      <w:tr w:rsidR="00465967" w:rsidTr="00AB543D" w14:paraId="5A367532" w14:textId="77777777">
        <w:tc>
          <w:tcPr>
            <w:tcW w:w="1941" w:type="dxa"/>
          </w:tcPr>
          <w:p w:rsidR="00465967" w:rsidP="00C15799" w:rsidRDefault="00465967" w14:paraId="75D83D5B" w14:textId="27509F45">
            <w:pPr>
              <w:pStyle w:val="TableTextLeft"/>
            </w:pPr>
            <w:r>
              <w:t>Survey</w:t>
            </w:r>
          </w:p>
        </w:tc>
        <w:tc>
          <w:tcPr>
            <w:tcW w:w="1943" w:type="dxa"/>
          </w:tcPr>
          <w:p w:rsidR="00465967" w:rsidP="00C15799" w:rsidRDefault="00465967" w14:paraId="03B6D3E8" w14:textId="291B5493">
            <w:pPr>
              <w:pStyle w:val="TableTextLeft"/>
            </w:pPr>
            <w:r>
              <w:t>Question C7</w:t>
            </w:r>
          </w:p>
        </w:tc>
        <w:tc>
          <w:tcPr>
            <w:tcW w:w="5476" w:type="dxa"/>
          </w:tcPr>
          <w:p w:rsidR="00465967" w:rsidP="00C15799" w:rsidRDefault="00465967" w14:paraId="17EC2AE6" w14:textId="77A0EDBF">
            <w:pPr>
              <w:pStyle w:val="TableTextLeft"/>
            </w:pPr>
            <w:r>
              <w:t>R</w:t>
            </w:r>
            <w:r w:rsidRPr="00465967">
              <w:t>evis</w:t>
            </w:r>
            <w:r>
              <w:t>ed</w:t>
            </w:r>
            <w:r w:rsidRPr="00465967">
              <w:t xml:space="preserve"> question to include the following definition “A cap is the maximum value of a reimbursement a participant can receive within a certain time frame or by type of service.”</w:t>
            </w:r>
          </w:p>
        </w:tc>
      </w:tr>
      <w:tr w:rsidR="00C15799" w:rsidTr="004D6D7E" w14:paraId="3621B3A5" w14:textId="77777777">
        <w:tc>
          <w:tcPr>
            <w:tcW w:w="1941" w:type="dxa"/>
          </w:tcPr>
          <w:p w:rsidRPr="00917199" w:rsidR="00C15799" w:rsidP="00C15799" w:rsidRDefault="00C15799" w14:paraId="4042487B" w14:textId="40B6EBCF">
            <w:pPr>
              <w:pStyle w:val="TableTextLeft"/>
            </w:pPr>
            <w:r>
              <w:t>Survey</w:t>
            </w:r>
          </w:p>
        </w:tc>
        <w:tc>
          <w:tcPr>
            <w:tcW w:w="1943" w:type="dxa"/>
          </w:tcPr>
          <w:p w:rsidRPr="00917199" w:rsidR="00C15799" w:rsidP="00C15799" w:rsidRDefault="00C15799" w14:paraId="49E35EC4" w14:textId="4A14E6F4">
            <w:pPr>
              <w:pStyle w:val="TableTextLeft"/>
            </w:pPr>
            <w:r w:rsidRPr="006D50F6">
              <w:t>Questions C7 and C8</w:t>
            </w:r>
          </w:p>
        </w:tc>
        <w:tc>
          <w:tcPr>
            <w:tcW w:w="5476" w:type="dxa"/>
          </w:tcPr>
          <w:p w:rsidRPr="00917199" w:rsidR="00C15799" w:rsidP="00C15799" w:rsidRDefault="00C15799" w14:paraId="7052DE29" w14:textId="1937E771">
            <w:pPr>
              <w:pStyle w:val="TableTextLeft"/>
            </w:pPr>
            <w:r>
              <w:t>Revised question format from “</w:t>
            </w:r>
            <w:r w:rsidR="00C32924">
              <w:t>Does your agency set any monthly/annual caps on the values of participant reimbursements each SNAP E&amp;T participant can receive</w:t>
            </w:r>
            <w:r>
              <w:t>” to “Does your agency set a</w:t>
            </w:r>
            <w:r w:rsidR="00C32924">
              <w:t xml:space="preserve"> </w:t>
            </w:r>
            <w:r w:rsidR="006D50F6">
              <w:t xml:space="preserve">monthly/annual </w:t>
            </w:r>
            <w:r>
              <w:t>cap on the value of any participant reimbursement each SNAP E&amp;T participant can receive.”</w:t>
            </w:r>
          </w:p>
        </w:tc>
      </w:tr>
      <w:tr w:rsidR="00BC3ABC" w:rsidTr="004D6D7E" w14:paraId="3D5E34AC" w14:textId="77777777">
        <w:tc>
          <w:tcPr>
            <w:tcW w:w="1941" w:type="dxa"/>
          </w:tcPr>
          <w:p w:rsidR="00BC3ABC" w:rsidP="00BC3ABC" w:rsidRDefault="00BC3ABC" w14:paraId="6FA5B9F7" w14:textId="4217092F">
            <w:pPr>
              <w:pStyle w:val="TableTextLeft"/>
            </w:pPr>
            <w:r>
              <w:t>Master discussion guide</w:t>
            </w:r>
          </w:p>
        </w:tc>
        <w:tc>
          <w:tcPr>
            <w:tcW w:w="1943" w:type="dxa"/>
          </w:tcPr>
          <w:p w:rsidR="00BC3ABC" w:rsidP="00BC3ABC" w:rsidRDefault="00BC3ABC" w14:paraId="43DC3F01" w14:textId="08C81C94">
            <w:pPr>
              <w:pStyle w:val="TableTextLeft"/>
            </w:pPr>
            <w:r>
              <w:t>Section C</w:t>
            </w:r>
          </w:p>
        </w:tc>
        <w:tc>
          <w:tcPr>
            <w:tcW w:w="5476" w:type="dxa"/>
          </w:tcPr>
          <w:p w:rsidR="00BC3ABC" w:rsidP="00BC3ABC" w:rsidRDefault="00BC3ABC" w14:paraId="7FFD1EB2" w14:textId="77777777">
            <w:pPr>
              <w:pStyle w:val="TableTextLeft"/>
            </w:pPr>
            <w:r>
              <w:t>Added the following probes:</w:t>
            </w:r>
          </w:p>
          <w:p w:rsidR="00BC3ABC" w:rsidP="00BC3ABC" w:rsidRDefault="00BC3ABC" w14:paraId="2C8F9710" w14:textId="77777777">
            <w:pPr>
              <w:pStyle w:val="TableTextLeft"/>
              <w:numPr>
                <w:ilvl w:val="0"/>
                <w:numId w:val="49"/>
              </w:numPr>
            </w:pPr>
            <w:r>
              <w:t>“</w:t>
            </w:r>
            <w:r w:rsidRPr="00581F7A">
              <w:t>How do you define case management in your SNAP E&amp;T program? What does case management include or encompass at your organization?</w:t>
            </w:r>
            <w:r>
              <w:t xml:space="preserve">” </w:t>
            </w:r>
            <w:r w:rsidRPr="00581F7A">
              <w:t xml:space="preserve"> </w:t>
            </w:r>
          </w:p>
          <w:p w:rsidR="00BC3ABC" w:rsidP="00BC3ABC" w:rsidRDefault="00BC3ABC" w14:paraId="1BA31928" w14:textId="77777777">
            <w:pPr>
              <w:pStyle w:val="TableTextLeft"/>
              <w:numPr>
                <w:ilvl w:val="0"/>
                <w:numId w:val="49"/>
              </w:numPr>
            </w:pPr>
            <w:r>
              <w:t xml:space="preserve">“What is the goal or goals of your case management approach? Does the goal or goals depend on the individual participant? If so, how?  Probe for the following: </w:t>
            </w:r>
          </w:p>
          <w:p w:rsidR="00BC3ABC" w:rsidP="00BC3ABC" w:rsidRDefault="00BC3ABC" w14:paraId="5B08CCED" w14:textId="77777777">
            <w:pPr>
              <w:pStyle w:val="TableTextLeft"/>
              <w:numPr>
                <w:ilvl w:val="1"/>
                <w:numId w:val="49"/>
              </w:numPr>
            </w:pPr>
            <w:r>
              <w:t>Helping the participant get a job?</w:t>
            </w:r>
          </w:p>
          <w:p w:rsidR="00BC3ABC" w:rsidP="00BC3ABC" w:rsidRDefault="00BC3ABC" w14:paraId="7BAA7F2E" w14:textId="77777777">
            <w:pPr>
              <w:pStyle w:val="TableTextLeft"/>
              <w:numPr>
                <w:ilvl w:val="1"/>
                <w:numId w:val="49"/>
              </w:numPr>
            </w:pPr>
            <w:r>
              <w:t>Making sure the participant fulfills SNAP requirements?</w:t>
            </w:r>
          </w:p>
          <w:p w:rsidR="00BC3ABC" w:rsidP="00BC3ABC" w:rsidRDefault="00BC3ABC" w14:paraId="0A597B81" w14:textId="77777777">
            <w:pPr>
              <w:pStyle w:val="TableTextLeft"/>
              <w:numPr>
                <w:ilvl w:val="1"/>
                <w:numId w:val="49"/>
              </w:numPr>
            </w:pPr>
            <w:r>
              <w:t xml:space="preserve">Teaching the participant new skills? </w:t>
            </w:r>
          </w:p>
          <w:p w:rsidR="00BC3ABC" w:rsidP="00BC3ABC" w:rsidRDefault="00BC3ABC" w14:paraId="7369D005" w14:textId="63A9F644">
            <w:pPr>
              <w:pStyle w:val="TableTextLeft"/>
              <w:numPr>
                <w:ilvl w:val="1"/>
                <w:numId w:val="49"/>
              </w:numPr>
            </w:pPr>
            <w:r>
              <w:t xml:space="preserve">Other goals?” </w:t>
            </w:r>
          </w:p>
        </w:tc>
      </w:tr>
      <w:tr w:rsidR="00BC3ABC" w:rsidTr="004D6D7E" w14:paraId="17C09935" w14:textId="77777777">
        <w:tc>
          <w:tcPr>
            <w:tcW w:w="1941" w:type="dxa"/>
          </w:tcPr>
          <w:p w:rsidR="00BC3ABC" w:rsidP="00BC3ABC" w:rsidRDefault="00BC3ABC" w14:paraId="6CA9E713" w14:textId="17730B7C">
            <w:pPr>
              <w:pStyle w:val="TableTextLeft"/>
            </w:pPr>
            <w:r>
              <w:t>Master discussion guide</w:t>
            </w:r>
          </w:p>
        </w:tc>
        <w:tc>
          <w:tcPr>
            <w:tcW w:w="1943" w:type="dxa"/>
          </w:tcPr>
          <w:p w:rsidR="00BC3ABC" w:rsidP="00BC3ABC" w:rsidRDefault="00BC3ABC" w14:paraId="4D12B232" w14:textId="338C4F77">
            <w:pPr>
              <w:pStyle w:val="TableTextLeft"/>
            </w:pPr>
            <w:r>
              <w:t>Section C</w:t>
            </w:r>
          </w:p>
        </w:tc>
        <w:tc>
          <w:tcPr>
            <w:tcW w:w="5476" w:type="dxa"/>
          </w:tcPr>
          <w:p w:rsidR="00BC3ABC" w:rsidP="00BC3ABC" w:rsidRDefault="00BC3ABC" w14:paraId="614B1063" w14:textId="28D163A5">
            <w:pPr>
              <w:pStyle w:val="TableTextLeft"/>
            </w:pPr>
            <w:r>
              <w:t>Added the following definition of initial assessment “</w:t>
            </w:r>
            <w:r w:rsidRPr="0022193B">
              <w:t>By initial assessment, we mean an assessment of SNAP E&amp;T participants who have already been determined to be eligible or required to participate in the E&amp;T program. Initial assessments may include assessments of participants’ needs, barriers, and work readiness.</w:t>
            </w:r>
            <w:r>
              <w:t>”</w:t>
            </w:r>
          </w:p>
        </w:tc>
      </w:tr>
      <w:tr w:rsidR="00C15799" w:rsidTr="004D6D7E" w14:paraId="16710CD8" w14:textId="77777777">
        <w:tc>
          <w:tcPr>
            <w:tcW w:w="1941" w:type="dxa"/>
          </w:tcPr>
          <w:p w:rsidR="00C15799" w:rsidP="00C15799" w:rsidRDefault="00465967" w14:paraId="6A327147" w14:textId="38135826">
            <w:pPr>
              <w:pStyle w:val="TableTextLeft"/>
            </w:pPr>
            <w:r>
              <w:lastRenderedPageBreak/>
              <w:t>Master discussion guide</w:t>
            </w:r>
          </w:p>
        </w:tc>
        <w:tc>
          <w:tcPr>
            <w:tcW w:w="1943" w:type="dxa"/>
          </w:tcPr>
          <w:p w:rsidR="00C15799" w:rsidP="00C15799" w:rsidRDefault="00581F7A" w14:paraId="2C3093B3" w14:textId="1A8585F9">
            <w:pPr>
              <w:pStyle w:val="TableTextLeft"/>
            </w:pPr>
            <w:r>
              <w:t xml:space="preserve">Section </w:t>
            </w:r>
            <w:r w:rsidR="00C10785">
              <w:t>D</w:t>
            </w:r>
          </w:p>
        </w:tc>
        <w:tc>
          <w:tcPr>
            <w:tcW w:w="5476" w:type="dxa"/>
          </w:tcPr>
          <w:p w:rsidR="00C15799" w:rsidP="00C15799" w:rsidRDefault="00465967" w14:paraId="5E9F0AE0" w14:textId="7B6E38CC">
            <w:pPr>
              <w:pStyle w:val="TableTextLeft"/>
            </w:pPr>
            <w:r>
              <w:t>Added the following question “</w:t>
            </w:r>
            <w:r w:rsidRPr="00465967">
              <w:t>Does [State agency] have policy or guidance about how case management should be aligned or coordinated across programs, such as those funded by WIOA? If yes, describe.</w:t>
            </w:r>
            <w:r>
              <w:t>”</w:t>
            </w:r>
          </w:p>
        </w:tc>
      </w:tr>
      <w:tr w:rsidR="00C15799" w:rsidTr="004D6D7E" w14:paraId="19CC6DDB" w14:textId="77777777">
        <w:tc>
          <w:tcPr>
            <w:tcW w:w="1941" w:type="dxa"/>
          </w:tcPr>
          <w:p w:rsidR="00C15799" w:rsidP="00C15799" w:rsidRDefault="00465967" w14:paraId="611B96C5" w14:textId="29DCD4E8">
            <w:pPr>
              <w:pStyle w:val="TableTextLeft"/>
            </w:pPr>
            <w:r>
              <w:t>Master discussion guide</w:t>
            </w:r>
          </w:p>
        </w:tc>
        <w:tc>
          <w:tcPr>
            <w:tcW w:w="1943" w:type="dxa"/>
          </w:tcPr>
          <w:p w:rsidR="00C15799" w:rsidP="00C15799" w:rsidRDefault="00581F7A" w14:paraId="7A73F5E7" w14:textId="278BDDCC">
            <w:pPr>
              <w:pStyle w:val="TableTextLeft"/>
            </w:pPr>
            <w:r>
              <w:t xml:space="preserve">Section </w:t>
            </w:r>
            <w:r w:rsidR="00C10785">
              <w:t>D</w:t>
            </w:r>
          </w:p>
        </w:tc>
        <w:tc>
          <w:tcPr>
            <w:tcW w:w="5476" w:type="dxa"/>
          </w:tcPr>
          <w:p w:rsidR="00C15799" w:rsidP="00C15799" w:rsidRDefault="00465967" w14:paraId="4DADA62A" w14:textId="10B6ABF3">
            <w:pPr>
              <w:pStyle w:val="TableTextLeft"/>
            </w:pPr>
            <w:r>
              <w:t>Added the following question “</w:t>
            </w:r>
            <w:r w:rsidRPr="00465967">
              <w:t>What current federal SNAP policies, if any, are influencing how you are implementing the case management requirement? How have your policies for case management, assessments, and participant reimbursements changed because of these policies, if at all?</w:t>
            </w:r>
            <w:r w:rsidR="00581F7A">
              <w:t>”</w:t>
            </w:r>
          </w:p>
        </w:tc>
      </w:tr>
      <w:tr w:rsidR="00C15799" w:rsidTr="004D6D7E" w14:paraId="5F2BCEA2" w14:textId="77777777">
        <w:tc>
          <w:tcPr>
            <w:tcW w:w="1941" w:type="dxa"/>
          </w:tcPr>
          <w:p w:rsidR="00C15799" w:rsidP="00C15799" w:rsidRDefault="00465967" w14:paraId="0A33C813" w14:textId="17E092D6">
            <w:pPr>
              <w:pStyle w:val="TableTextLeft"/>
            </w:pPr>
            <w:r>
              <w:t>Master discussion guide</w:t>
            </w:r>
          </w:p>
        </w:tc>
        <w:tc>
          <w:tcPr>
            <w:tcW w:w="1943" w:type="dxa"/>
          </w:tcPr>
          <w:p w:rsidR="00C15799" w:rsidP="00C15799" w:rsidRDefault="00581F7A" w14:paraId="7F8F4469" w14:textId="0C29005A">
            <w:pPr>
              <w:pStyle w:val="TableTextLeft"/>
            </w:pPr>
            <w:r>
              <w:t xml:space="preserve">Section </w:t>
            </w:r>
            <w:r w:rsidR="00C10785">
              <w:t>D</w:t>
            </w:r>
          </w:p>
        </w:tc>
        <w:tc>
          <w:tcPr>
            <w:tcW w:w="5476" w:type="dxa"/>
          </w:tcPr>
          <w:p w:rsidR="00C15799" w:rsidP="00581F7A" w:rsidRDefault="00581F7A" w14:paraId="3640633C" w14:textId="4A73E7F8">
            <w:pPr>
              <w:pStyle w:val="TableTextLeft"/>
            </w:pPr>
            <w:r>
              <w:t>Added the following questions and probes “Has FNS provided you any specific guidance or technical assistance about implementing the E&amp;T case management requirement? What about for providing assessments or participant reimbursements? If so, describe the guidance or technical assistance you received. How helpful has this support been? How has it influenced your policy or guidance? What additional guidance or technical assistance would be useful?”</w:t>
            </w:r>
          </w:p>
        </w:tc>
      </w:tr>
      <w:tr w:rsidR="00BC3ABC" w:rsidTr="004D6D7E" w14:paraId="01896B3B" w14:textId="77777777">
        <w:tc>
          <w:tcPr>
            <w:tcW w:w="1941" w:type="dxa"/>
          </w:tcPr>
          <w:p w:rsidR="00BC3ABC" w:rsidP="00BC3ABC" w:rsidRDefault="00BC3ABC" w14:paraId="78376D88" w14:textId="480AE227">
            <w:pPr>
              <w:pStyle w:val="TableTextLeft"/>
            </w:pPr>
            <w:r>
              <w:t>Master discussion guide</w:t>
            </w:r>
          </w:p>
        </w:tc>
        <w:tc>
          <w:tcPr>
            <w:tcW w:w="1943" w:type="dxa"/>
          </w:tcPr>
          <w:p w:rsidR="00BC3ABC" w:rsidP="00BC3ABC" w:rsidRDefault="00BC3ABC" w14:paraId="0171F106" w14:textId="6492D752">
            <w:pPr>
              <w:pStyle w:val="TableTextLeft"/>
            </w:pPr>
            <w:r w:rsidRPr="00BC3ABC">
              <w:t>Section G</w:t>
            </w:r>
          </w:p>
        </w:tc>
        <w:tc>
          <w:tcPr>
            <w:tcW w:w="5476" w:type="dxa"/>
          </w:tcPr>
          <w:p w:rsidR="00BC3ABC" w:rsidP="00BC3ABC" w:rsidRDefault="00BC3ABC" w14:paraId="0B3814FA" w14:textId="0F215DD0">
            <w:pPr>
              <w:pStyle w:val="TableTextLeft"/>
            </w:pPr>
            <w:r>
              <w:t>Revised question from “On average, how many cases do you maintain currently?” to “About how many cases do you maintain currently.</w:t>
            </w:r>
            <w:r w:rsidR="00B27BE0">
              <w:t>”</w:t>
            </w:r>
            <w:r>
              <w:t xml:space="preserve"> Deleted probe “Does this number vary depending on the case manager or the time of year. Describe.” </w:t>
            </w:r>
          </w:p>
        </w:tc>
      </w:tr>
      <w:tr w:rsidR="00C15799" w:rsidTr="00B27BE0" w14:paraId="2FCD4508" w14:textId="77777777">
        <w:trPr>
          <w:trHeight w:val="4508"/>
        </w:trPr>
        <w:tc>
          <w:tcPr>
            <w:tcW w:w="1941" w:type="dxa"/>
          </w:tcPr>
          <w:p w:rsidR="00C15799" w:rsidP="00C15799" w:rsidRDefault="00465967" w14:paraId="342DEB59" w14:textId="1D6DEB52">
            <w:pPr>
              <w:pStyle w:val="TableTextLeft"/>
            </w:pPr>
            <w:r>
              <w:t>Master discussion guide</w:t>
            </w:r>
          </w:p>
        </w:tc>
        <w:tc>
          <w:tcPr>
            <w:tcW w:w="1943" w:type="dxa"/>
          </w:tcPr>
          <w:p w:rsidR="00C15799" w:rsidP="00C15799" w:rsidRDefault="00581F7A" w14:paraId="60AA917E" w14:textId="2760D57D">
            <w:pPr>
              <w:pStyle w:val="TableTextLeft"/>
            </w:pPr>
            <w:r>
              <w:t>Section J</w:t>
            </w:r>
          </w:p>
        </w:tc>
        <w:tc>
          <w:tcPr>
            <w:tcW w:w="5476" w:type="dxa"/>
          </w:tcPr>
          <w:p w:rsidR="00581F7A" w:rsidP="00581F7A" w:rsidRDefault="00581F7A" w14:paraId="6D3B8052" w14:textId="77777777">
            <w:pPr>
              <w:pStyle w:val="TableTextLeft"/>
            </w:pPr>
            <w:r>
              <w:t>Added the following questions and probes:</w:t>
            </w:r>
          </w:p>
          <w:p w:rsidR="00581F7A" w:rsidP="00581F7A" w:rsidRDefault="00581F7A" w14:paraId="7E3CB658" w14:textId="08B0445E">
            <w:pPr>
              <w:pStyle w:val="TableTextLeft"/>
            </w:pPr>
            <w:r>
              <w:t>“[If not previously discussed:] What successes have you experienced implementing E&amp;T case management in the past two years?  To what do you attribute these successes?</w:t>
            </w:r>
          </w:p>
          <w:p w:rsidR="00581F7A" w:rsidP="00581F7A" w:rsidRDefault="00581F7A" w14:paraId="7A2C3943" w14:textId="619033B6">
            <w:pPr>
              <w:pStyle w:val="TableTextLeft"/>
              <w:numPr>
                <w:ilvl w:val="0"/>
                <w:numId w:val="47"/>
              </w:numPr>
            </w:pPr>
            <w:r>
              <w:t xml:space="preserve">Have you experienced successes specific to implementing assessments? </w:t>
            </w:r>
          </w:p>
          <w:p w:rsidR="00581F7A" w:rsidP="00B27BE0" w:rsidRDefault="00581F7A" w14:paraId="0D9DC3BE" w14:textId="0C9C5B64">
            <w:pPr>
              <w:pStyle w:val="TableTextLeft"/>
              <w:numPr>
                <w:ilvl w:val="0"/>
                <w:numId w:val="47"/>
              </w:numPr>
              <w:ind w:left="735" w:hanging="375"/>
            </w:pPr>
            <w:r>
              <w:t>Have you experienced successes specific to implementing participant reimbursements or support services?</w:t>
            </w:r>
          </w:p>
          <w:p w:rsidR="00581F7A" w:rsidP="00581F7A" w:rsidRDefault="00581F7A" w14:paraId="786B01FF" w14:textId="77777777">
            <w:pPr>
              <w:pStyle w:val="TableTextLeft"/>
            </w:pPr>
            <w:r>
              <w:t>[If not previously discussed:] What challenges have you experienced implementing E&amp;T case management in the past two years? What have you done/been doing to overcome these challenges?</w:t>
            </w:r>
          </w:p>
          <w:p w:rsidR="00581F7A" w:rsidP="00581F7A" w:rsidRDefault="00581F7A" w14:paraId="3C3899C2" w14:textId="2DBD878A">
            <w:pPr>
              <w:pStyle w:val="TableTextLeft"/>
              <w:numPr>
                <w:ilvl w:val="0"/>
                <w:numId w:val="48"/>
              </w:numPr>
            </w:pPr>
            <w:r>
              <w:t xml:space="preserve">Have you experienced challenges specific to implementing assessments? </w:t>
            </w:r>
          </w:p>
          <w:p w:rsidR="00C15799" w:rsidP="00581F7A" w:rsidRDefault="00581F7A" w14:paraId="0A9C78A7" w14:textId="30AFA4AD">
            <w:pPr>
              <w:pStyle w:val="TableTextLeft"/>
              <w:numPr>
                <w:ilvl w:val="0"/>
                <w:numId w:val="48"/>
              </w:numPr>
            </w:pPr>
            <w:r>
              <w:t>Have you experienced challenges specific to implementing participant reimbursements or support services?”</w:t>
            </w:r>
          </w:p>
        </w:tc>
      </w:tr>
    </w:tbl>
    <w:p w:rsidR="00104DE9" w:rsidP="00B27BE0" w:rsidRDefault="00104DE9" w14:paraId="40609745" w14:textId="77777777">
      <w:pPr>
        <w:pStyle w:val="H1"/>
        <w:ind w:left="0" w:firstLine="0"/>
      </w:pPr>
    </w:p>
    <w:sectPr w:rsidR="00104DE9" w:rsidSect="00271B8D">
      <w:headerReference w:type="default" r:id="rId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514C2" w14:textId="77777777" w:rsidR="00224E7A" w:rsidRPr="00D37B98" w:rsidRDefault="00224E7A" w:rsidP="00820339">
      <w:r w:rsidRPr="00D37B98">
        <w:t>Endnotes</w:t>
      </w:r>
    </w:p>
  </w:endnote>
  <w:endnote w:type="continuationSeparator" w:id="0">
    <w:p w14:paraId="7AB4F65A" w14:textId="77777777" w:rsidR="00224E7A" w:rsidRPr="00D37B98" w:rsidRDefault="00224E7A" w:rsidP="00BF08C3">
      <w:pPr>
        <w:pStyle w:val="FootnoteSep"/>
      </w:pPr>
    </w:p>
  </w:endnote>
  <w:endnote w:type="continuationNotice" w:id="1">
    <w:p w14:paraId="5B659845" w14:textId="77777777" w:rsidR="00224E7A" w:rsidRPr="00D37B98" w:rsidRDefault="00224E7A"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A683F" w14:textId="77777777" w:rsidR="00224E7A" w:rsidRPr="00D37B98" w:rsidRDefault="00224E7A" w:rsidP="00CC0E68">
      <w:pPr>
        <w:pStyle w:val="FootnoteSep"/>
      </w:pPr>
      <w:r w:rsidRPr="00D37B98">
        <w:separator/>
      </w:r>
    </w:p>
  </w:footnote>
  <w:footnote w:type="continuationSeparator" w:id="0">
    <w:p w14:paraId="7FC8A607" w14:textId="77777777" w:rsidR="00224E7A" w:rsidRPr="00D37B98" w:rsidRDefault="00224E7A" w:rsidP="007F094C">
      <w:pPr>
        <w:pStyle w:val="FootnoteSep"/>
      </w:pPr>
    </w:p>
    <w:p w14:paraId="4F966922" w14:textId="77777777" w:rsidR="00224E7A" w:rsidRPr="00D37B98" w:rsidRDefault="00224E7A" w:rsidP="007F094C">
      <w:pPr>
        <w:pStyle w:val="FootnoteText"/>
      </w:pPr>
      <w:r w:rsidRPr="00D37B98">
        <w:t>(continued)</w:t>
      </w:r>
    </w:p>
  </w:footnote>
  <w:footnote w:type="continuationNotice" w:id="1">
    <w:p w14:paraId="78341AB7" w14:textId="77777777" w:rsidR="00224E7A" w:rsidRPr="00D37B98" w:rsidRDefault="00224E7A"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C5AB" w14:textId="77777777" w:rsidR="002D0502" w:rsidRDefault="000D777D" w:rsidP="002D0502">
    <w:pPr>
      <w:pStyle w:val="Header"/>
    </w:pPr>
    <w:r>
      <w:t>Survey of SNAP E&amp;T Case Management</w:t>
    </w:r>
    <w:r w:rsidRPr="00592360">
      <w:tab/>
    </w:r>
    <w:r w:rsidR="002D0502">
      <w:t>OMB Number: 0584-XXXX</w:t>
    </w:r>
  </w:p>
  <w:p w14:paraId="10C60539" w14:textId="575FE39B" w:rsidR="00344358" w:rsidRPr="003E5EFE" w:rsidRDefault="002D0502" w:rsidP="002D0502">
    <w:pPr>
      <w:pStyle w:val="Header"/>
    </w:pPr>
    <w:r>
      <w:tab/>
      <w:t>Expiration Date: XX/XX/XXXX</w:t>
    </w:r>
    <w:r w:rsidR="000D777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357CF6"/>
    <w:multiLevelType w:val="hybridMultilevel"/>
    <w:tmpl w:val="93E64B4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040068"/>
    <w:multiLevelType w:val="hybridMultilevel"/>
    <w:tmpl w:val="8048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9"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656A4D03"/>
    <w:multiLevelType w:val="hybridMultilevel"/>
    <w:tmpl w:val="51B8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A31F9"/>
    <w:multiLevelType w:val="singleLevel"/>
    <w:tmpl w:val="ABC2D4F2"/>
    <w:lvl w:ilvl="0">
      <w:start w:val="1"/>
      <w:numFmt w:val="decimal"/>
      <w:lvlText w:val="%1."/>
      <w:lvlJc w:val="left"/>
      <w:pPr>
        <w:tabs>
          <w:tab w:val="num" w:pos="576"/>
        </w:tabs>
        <w:ind w:left="576" w:hanging="288"/>
      </w:pPr>
      <w:rPr>
        <w:rFonts w:hint="default"/>
        <w:color w:val="5B6771" w:themeColor="accent3"/>
      </w:rPr>
    </w:lvl>
  </w:abstractNum>
  <w:abstractNum w:abstractNumId="43"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27"/>
  </w:num>
  <w:num w:numId="4">
    <w:abstractNumId w:val="28"/>
  </w:num>
  <w:num w:numId="5">
    <w:abstractNumId w:val="47"/>
  </w:num>
  <w:num w:numId="6">
    <w:abstractNumId w:val="46"/>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5"/>
  </w:num>
  <w:num w:numId="15">
    <w:abstractNumId w:val="13"/>
  </w:num>
  <w:num w:numId="16">
    <w:abstractNumId w:val="9"/>
  </w:num>
  <w:num w:numId="17">
    <w:abstractNumId w:val="32"/>
  </w:num>
  <w:num w:numId="18">
    <w:abstractNumId w:val="30"/>
  </w:num>
  <w:num w:numId="19">
    <w:abstractNumId w:val="45"/>
  </w:num>
  <w:num w:numId="20">
    <w:abstractNumId w:val="24"/>
  </w:num>
  <w:num w:numId="21">
    <w:abstractNumId w:val="37"/>
  </w:num>
  <w:num w:numId="22">
    <w:abstractNumId w:val="38"/>
  </w:num>
  <w:num w:numId="23">
    <w:abstractNumId w:val="34"/>
  </w:num>
  <w:num w:numId="24">
    <w:abstractNumId w:val="44"/>
  </w:num>
  <w:num w:numId="25">
    <w:abstractNumId w:val="8"/>
  </w:num>
  <w:num w:numId="26">
    <w:abstractNumId w:val="17"/>
  </w:num>
  <w:num w:numId="27">
    <w:abstractNumId w:val="20"/>
  </w:num>
  <w:num w:numId="28">
    <w:abstractNumId w:val="19"/>
  </w:num>
  <w:num w:numId="29">
    <w:abstractNumId w:val="29"/>
  </w:num>
  <w:num w:numId="30">
    <w:abstractNumId w:val="25"/>
  </w:num>
  <w:num w:numId="31">
    <w:abstractNumId w:val="43"/>
  </w:num>
  <w:num w:numId="32">
    <w:abstractNumId w:val="11"/>
  </w:num>
  <w:num w:numId="33">
    <w:abstractNumId w:val="16"/>
  </w:num>
  <w:num w:numId="34">
    <w:abstractNumId w:val="1"/>
  </w:num>
  <w:num w:numId="35">
    <w:abstractNumId w:val="0"/>
  </w:num>
  <w:num w:numId="36">
    <w:abstractNumId w:val="31"/>
  </w:num>
  <w:num w:numId="37">
    <w:abstractNumId w:val="21"/>
  </w:num>
  <w:num w:numId="38">
    <w:abstractNumId w:val="18"/>
  </w:num>
  <w:num w:numId="39">
    <w:abstractNumId w:val="39"/>
  </w:num>
  <w:num w:numId="40">
    <w:abstractNumId w:val="23"/>
  </w:num>
  <w:num w:numId="41">
    <w:abstractNumId w:val="14"/>
  </w:num>
  <w:num w:numId="42">
    <w:abstractNumId w:val="33"/>
  </w:num>
  <w:num w:numId="43">
    <w:abstractNumId w:val="10"/>
  </w:num>
  <w:num w:numId="44">
    <w:abstractNumId w:val="12"/>
  </w:num>
  <w:num w:numId="45">
    <w:abstractNumId w:val="42"/>
  </w:num>
  <w:num w:numId="46">
    <w:abstractNumId w:val="42"/>
    <w:lvlOverride w:ilvl="0">
      <w:startOverride w:val="1"/>
    </w:lvlOverride>
  </w:num>
  <w:num w:numId="47">
    <w:abstractNumId w:val="41"/>
  </w:num>
  <w:num w:numId="48">
    <w:abstractNumId w:val="36"/>
  </w:num>
  <w:num w:numId="4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5A3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D777D"/>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4DE9"/>
    <w:rsid w:val="00105A6F"/>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2F85"/>
    <w:rsid w:val="00144A6C"/>
    <w:rsid w:val="0014646C"/>
    <w:rsid w:val="0014674C"/>
    <w:rsid w:val="00146CE3"/>
    <w:rsid w:val="00147515"/>
    <w:rsid w:val="00147A74"/>
    <w:rsid w:val="001526E2"/>
    <w:rsid w:val="00152733"/>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24CE"/>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193B"/>
    <w:rsid w:val="00222316"/>
    <w:rsid w:val="00224D9D"/>
    <w:rsid w:val="00224E7A"/>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B8D"/>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0502"/>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483"/>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422"/>
    <w:rsid w:val="00346E5F"/>
    <w:rsid w:val="00346F07"/>
    <w:rsid w:val="00347636"/>
    <w:rsid w:val="003478DB"/>
    <w:rsid w:val="00347977"/>
    <w:rsid w:val="003502D0"/>
    <w:rsid w:val="0035061A"/>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53C4"/>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967"/>
    <w:rsid w:val="00465EAD"/>
    <w:rsid w:val="004662C5"/>
    <w:rsid w:val="00467686"/>
    <w:rsid w:val="00467CCE"/>
    <w:rsid w:val="004711A0"/>
    <w:rsid w:val="00471EE5"/>
    <w:rsid w:val="00472A53"/>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4311"/>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3E1A"/>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1F7A"/>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187"/>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9C7"/>
    <w:rsid w:val="005C7AA5"/>
    <w:rsid w:val="005D019B"/>
    <w:rsid w:val="005D15BA"/>
    <w:rsid w:val="005D1BB8"/>
    <w:rsid w:val="005D1DEB"/>
    <w:rsid w:val="005D267D"/>
    <w:rsid w:val="005D3846"/>
    <w:rsid w:val="005D469E"/>
    <w:rsid w:val="005D4788"/>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6C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1ADA"/>
    <w:rsid w:val="00642C43"/>
    <w:rsid w:val="00643C16"/>
    <w:rsid w:val="00645B8E"/>
    <w:rsid w:val="00645DD6"/>
    <w:rsid w:val="00651034"/>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49A0"/>
    <w:rsid w:val="006952EC"/>
    <w:rsid w:val="00696805"/>
    <w:rsid w:val="0069799C"/>
    <w:rsid w:val="00697E5B"/>
    <w:rsid w:val="006A01E7"/>
    <w:rsid w:val="006A05B3"/>
    <w:rsid w:val="006A0BB4"/>
    <w:rsid w:val="006A465C"/>
    <w:rsid w:val="006A4FFC"/>
    <w:rsid w:val="006A5436"/>
    <w:rsid w:val="006A5866"/>
    <w:rsid w:val="006A6D7D"/>
    <w:rsid w:val="006A73F8"/>
    <w:rsid w:val="006B04D6"/>
    <w:rsid w:val="006B06A0"/>
    <w:rsid w:val="006B1180"/>
    <w:rsid w:val="006B2425"/>
    <w:rsid w:val="006B2483"/>
    <w:rsid w:val="006B24FB"/>
    <w:rsid w:val="006B4E3F"/>
    <w:rsid w:val="006B566C"/>
    <w:rsid w:val="006B5D27"/>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50F6"/>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9CD"/>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310D"/>
    <w:rsid w:val="007B45CA"/>
    <w:rsid w:val="007B4944"/>
    <w:rsid w:val="007B55E8"/>
    <w:rsid w:val="007B6BC1"/>
    <w:rsid w:val="007B717C"/>
    <w:rsid w:val="007C0174"/>
    <w:rsid w:val="007C01E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E72AA"/>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61E"/>
    <w:rsid w:val="008F7DA8"/>
    <w:rsid w:val="00900ECE"/>
    <w:rsid w:val="00901CA4"/>
    <w:rsid w:val="00903834"/>
    <w:rsid w:val="00903B17"/>
    <w:rsid w:val="00903DBF"/>
    <w:rsid w:val="00903E62"/>
    <w:rsid w:val="009059B9"/>
    <w:rsid w:val="00905EF1"/>
    <w:rsid w:val="009102A8"/>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2FF0"/>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41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27B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198C"/>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3ABC"/>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43AE"/>
    <w:rsid w:val="00BF5B09"/>
    <w:rsid w:val="00BF7326"/>
    <w:rsid w:val="00BF7690"/>
    <w:rsid w:val="00C0117E"/>
    <w:rsid w:val="00C01B00"/>
    <w:rsid w:val="00C03960"/>
    <w:rsid w:val="00C040E8"/>
    <w:rsid w:val="00C04E3E"/>
    <w:rsid w:val="00C071D5"/>
    <w:rsid w:val="00C07B34"/>
    <w:rsid w:val="00C10785"/>
    <w:rsid w:val="00C1333C"/>
    <w:rsid w:val="00C13383"/>
    <w:rsid w:val="00C138B9"/>
    <w:rsid w:val="00C139DD"/>
    <w:rsid w:val="00C14871"/>
    <w:rsid w:val="00C15799"/>
    <w:rsid w:val="00C1763C"/>
    <w:rsid w:val="00C1792F"/>
    <w:rsid w:val="00C2165E"/>
    <w:rsid w:val="00C22C89"/>
    <w:rsid w:val="00C24491"/>
    <w:rsid w:val="00C247F2"/>
    <w:rsid w:val="00C24D6A"/>
    <w:rsid w:val="00C2583C"/>
    <w:rsid w:val="00C2798C"/>
    <w:rsid w:val="00C3200A"/>
    <w:rsid w:val="00C32924"/>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77BB7"/>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24BB"/>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6E3B"/>
    <w:rsid w:val="00DE770B"/>
    <w:rsid w:val="00DF27C6"/>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3CEC"/>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280E"/>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uiPriority w:val="1"/>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 w:type="table" w:customStyle="1" w:styleId="MathUBaseTable">
    <w:name w:val="MathU Base Table"/>
    <w:basedOn w:val="TableNormal"/>
    <w:uiPriority w:val="99"/>
    <w:rsid w:val="00104DE9"/>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itleRule">
    <w:name w:val="Title Rule"/>
    <w:basedOn w:val="Normal"/>
    <w:qFormat/>
    <w:rsid w:val="00104DE9"/>
    <w:pPr>
      <w:keepNext/>
      <w:spacing w:before="240" w:after="80"/>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C14E2-82D0-44F8-964B-C6EAD7BA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3</cp:revision>
  <cp:lastPrinted>2019-04-11T17:18:00Z</cp:lastPrinted>
  <dcterms:created xsi:type="dcterms:W3CDTF">2021-01-13T20:00:00Z</dcterms:created>
  <dcterms:modified xsi:type="dcterms:W3CDTF">2021-01-13T20:00:00Z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