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BF1" w:rsidRDefault="00A11D4D">
      <w:pPr>
        <w:pStyle w:val="Heading1"/>
        <w:ind w:left="0"/>
        <w:jc w:val="center"/>
      </w:pPr>
      <w:r>
        <w:t>SUPPORTING STATEMENT</w:t>
      </w:r>
    </w:p>
    <w:p w:rsidR="008E7BF1" w:rsidRDefault="00A11D4D">
      <w:pPr>
        <w:spacing w:before="22" w:line="259" w:lineRule="auto"/>
        <w:ind w:firstLine="14"/>
        <w:jc w:val="center"/>
        <w:rPr>
          <w:b/>
        </w:rPr>
      </w:pPr>
      <w:r>
        <w:rPr>
          <w:b/>
        </w:rPr>
        <w:t>U.S. Department of Commerce</w:t>
      </w:r>
    </w:p>
    <w:p w:rsidR="008E7BF1" w:rsidRDefault="00A11D4D">
      <w:pPr>
        <w:spacing w:before="22" w:line="259" w:lineRule="auto"/>
        <w:ind w:firstLine="14"/>
        <w:jc w:val="center"/>
        <w:rPr>
          <w:b/>
        </w:rPr>
      </w:pPr>
      <w:r>
        <w:rPr>
          <w:b/>
        </w:rPr>
        <w:t>National Oceanic &amp; Atmospheric Administration</w:t>
      </w:r>
    </w:p>
    <w:p w:rsidR="008E7BF1" w:rsidRDefault="00A11D4D">
      <w:pPr>
        <w:spacing w:line="259" w:lineRule="auto"/>
        <w:ind w:hanging="6"/>
        <w:jc w:val="center"/>
        <w:rPr>
          <w:b/>
        </w:rPr>
      </w:pPr>
      <w:r>
        <w:rPr>
          <w:b/>
        </w:rPr>
        <w:t>Coral Reef Conservation Program</w:t>
      </w:r>
    </w:p>
    <w:p w:rsidR="008E7BF1" w:rsidRDefault="00A11D4D">
      <w:pPr>
        <w:spacing w:line="259" w:lineRule="auto"/>
        <w:ind w:hanging="6"/>
        <w:jc w:val="center"/>
        <w:rPr>
          <w:b/>
        </w:rPr>
      </w:pPr>
      <w:r>
        <w:rPr>
          <w:b/>
        </w:rPr>
        <w:t>OMB Control No. 0648-0448</w:t>
      </w:r>
    </w:p>
    <w:p w:rsidR="008E7BF1" w:rsidRDefault="008E7BF1">
      <w:pPr>
        <w:pBdr>
          <w:top w:val="nil"/>
          <w:left w:val="nil"/>
          <w:bottom w:val="nil"/>
          <w:right w:val="nil"/>
          <w:between w:val="nil"/>
        </w:pBdr>
        <w:spacing w:before="1"/>
        <w:jc w:val="center"/>
        <w:rPr>
          <w:b/>
          <w:color w:val="000000"/>
        </w:rPr>
      </w:pPr>
    </w:p>
    <w:p w:rsidR="008E7BF1" w:rsidRDefault="00A11D4D">
      <w:pPr>
        <w:pStyle w:val="Heading1"/>
        <w:spacing w:before="199"/>
        <w:ind w:left="0"/>
      </w:pPr>
      <w:r>
        <w:t>Abstract</w:t>
      </w:r>
    </w:p>
    <w:p w:rsidR="008E7BF1" w:rsidP="00510ACC" w:rsidRDefault="00A11D4D">
      <w:pPr>
        <w:widowControl/>
        <w:spacing w:before="240"/>
        <w:ind w:firstLine="720"/>
      </w:pPr>
      <w:r>
        <w:t xml:space="preserve">This request is for extension of a currently approved information collection.  </w:t>
      </w:r>
    </w:p>
    <w:p w:rsidR="008E7BF1" w:rsidP="00510ACC" w:rsidRDefault="00A11D4D">
      <w:pPr>
        <w:pStyle w:val="Heading1"/>
        <w:spacing w:before="360"/>
        <w:ind w:left="0"/>
      </w:pPr>
      <w:r>
        <w:t>Justification</w:t>
      </w:r>
    </w:p>
    <w:p w:rsidR="008E7BF1" w:rsidRDefault="00A11D4D">
      <w:pPr>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E7BF1" w:rsidP="00510ACC" w:rsidRDefault="00A11D4D">
      <w:pPr>
        <w:widowControl/>
        <w:spacing w:before="240"/>
        <w:ind w:firstLine="720"/>
      </w:pPr>
      <w:r>
        <w:t xml:space="preserve">The Coral Reef Conservation Act of 2000 (16 U.S.C. 6401 et seq.) was enacted on December 14, 2000, to preserve, sustain and restore the condition of coral reef ecosystems; to promote the wise management and sustainable use of coral reef ecosystems to benefit local communities and the Nation; to develop sound scientific information on the condition of coral reef ecosystems and the threats to such ecosystems; to assist in the preservation of coral reefs by supporting conservation programs, including projects that involve affected local communities and non-governmental organizations; to provide financial resources for those programs and projects; and to establish a formal mechanism for the collecting and allocating of monetary donations from the private sector to be used for coral reef conservation projects. Under section 6403 of the Act, the Secretary is authorized to provide matching grants of financial assistance for coral reef conservation projects. Section 408(c) of the Act authorizes at least $8,000,000 annually for financial assistance projects under the Program. </w:t>
      </w:r>
    </w:p>
    <w:p w:rsidR="008E7BF1" w:rsidRDefault="008E7BF1">
      <w:pPr>
        <w:pBdr>
          <w:top w:val="nil"/>
          <w:left w:val="nil"/>
          <w:bottom w:val="nil"/>
          <w:right w:val="nil"/>
          <w:between w:val="nil"/>
        </w:pBdr>
        <w:spacing w:before="159" w:line="259" w:lineRule="auto"/>
        <w:rPr>
          <w:color w:val="2F5496"/>
        </w:rPr>
      </w:pPr>
    </w:p>
    <w:p w:rsidR="008E7BF1" w:rsidRDefault="00A11D4D">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8E7BF1" w:rsidP="00510ACC" w:rsidRDefault="00A11D4D">
      <w:pPr>
        <w:widowControl/>
        <w:spacing w:before="240"/>
        <w:ind w:firstLine="720"/>
      </w:pPr>
      <w:r>
        <w:t xml:space="preserve">Collection activities for this program are outlined below and include: 1. Applicant creation and submission of requests for waivers of the non-Federal matching funds requirement; </w:t>
      </w:r>
      <w:r w:rsidR="00545C8E">
        <w:t xml:space="preserve">and </w:t>
      </w:r>
      <w:r>
        <w:t>2. Review of project proposals by Federal Agencies and non-Federal entities with jurisdiction or management authority over coral reef ecosystems in the area where the project is to be conducted</w:t>
      </w:r>
      <w:r w:rsidR="00545C8E">
        <w:t>.</w:t>
      </w:r>
    </w:p>
    <w:p w:rsidR="008E7BF1" w:rsidRDefault="008E7BF1">
      <w:pPr>
        <w:widowControl/>
        <w:ind w:firstLine="720"/>
      </w:pPr>
    </w:p>
    <w:p w:rsidR="008E7BF1" w:rsidRDefault="00A11D4D">
      <w:pPr>
        <w:widowControl/>
        <w:ind w:firstLine="720"/>
      </w:pPr>
      <w:r>
        <w:t>As per section 6403(b) of the Act, NOAA will require that Federal funds for any coral conservation financial assistance project may not exceed 50 percent of the total cost. However, the Administrator may waive all or part of the matching requirement if the Administrator determines that no reasonable means are available through which an applicant can meet the matching requirement and the probable benefit of the project outweighs the public interest in the matching requirement. The suitability for a waiver is determined after the applicant has submitted a written request with the application package and provided the proper justification.</w:t>
      </w:r>
    </w:p>
    <w:p w:rsidR="008E7BF1" w:rsidRDefault="008E7BF1">
      <w:pPr>
        <w:widowControl/>
        <w:ind w:firstLine="720"/>
      </w:pPr>
    </w:p>
    <w:p w:rsidR="008E7BF1" w:rsidRDefault="00A11D4D">
      <w:pPr>
        <w:widowControl/>
        <w:ind w:firstLine="720"/>
      </w:pPr>
      <w:r>
        <w:t xml:space="preserve">As per section 6403(f) of the Act, NOAA will review eligible coral reef conservation proposals using an external governmental review and merit-based peer review. As part of this review, NOAA will request and consider written comments on the proposal from each Federal agency, state government, or </w:t>
      </w:r>
      <w:r>
        <w:lastRenderedPageBreak/>
        <w:t>other government jurisdiction, including the relevant regional Fishery Management Councils established under the Magnuson-Stevens Fishery Conservation and Management Act (16 U.S.C. 1801 et seq.), or any National Marine Sanctuary, with jurisdiction or management authority over coral reef ecosystems in the area where the project is to be conducted. Pursuant to this requirement of the Act, NOAA will apply the following standard in requesting comments: (A) Proposals for projects in state or territorial waters, including Federal marine protected areas in such waters (e.g., National Marine Sanctuaries), will be submitted to that state or territorial government’s designated U.S. Coral Reef Task Force point of contact for comment; (B) proposals for projects in Federal waters will be submitted to the relevant Fishery Management Council for comment; (C) proposals for projects which require Federal permits will be submitted to the Federal agency which issued the permit for comment; (D) proposals for projects in Federal marine protected areas managed by Federal agencies (e.g., National Wildlife Refuges, National Parks, National Marine Sanctuaries, etc.) will be submitted to the respective Federal management authority for comment; and (E) NOAA will seek comments from other government entities, authorities, and/or jurisdictions, including international entities for projects proposed outside of U.S. waters, as necessary based on the nature and scope of the proposed project.</w:t>
      </w:r>
    </w:p>
    <w:p w:rsidR="008E7BF1" w:rsidRDefault="008E7BF1">
      <w:pPr>
        <w:widowControl/>
        <w:ind w:firstLine="720"/>
      </w:pPr>
    </w:p>
    <w:p w:rsidR="008E7BF1" w:rsidRDefault="00A11D4D">
      <w:pPr>
        <w:tabs>
          <w:tab w:val="left" w:pos="360"/>
        </w:tabs>
      </w:pPr>
      <w:r>
        <w:rPr>
          <w:i/>
        </w:rPr>
        <w:t>Match Waivers Requests</w:t>
      </w:r>
      <w:r>
        <w:t>. A request for a full or partial waiver to the required 1:1 non-federal matching funds is made by an applicant when there are no reasonable means available to meet the requirement and the probable benefit of the proposed project outweighs the public interest in such matching requirement, as stated in the Coral Reef Conservation Act of 2000. The request letter is only used for the purpose of determining whether or not a waiver should be granted and is attached to the official award file for future reference. There are no other uses for these request letters.</w:t>
      </w:r>
    </w:p>
    <w:p w:rsidR="008E7BF1" w:rsidRDefault="008E7BF1">
      <w:pPr>
        <w:tabs>
          <w:tab w:val="left" w:pos="360"/>
        </w:tabs>
      </w:pPr>
    </w:p>
    <w:p w:rsidR="008E7BF1" w:rsidRDefault="00A11D4D">
      <w:pPr>
        <w:tabs>
          <w:tab w:val="left" w:pos="360"/>
        </w:tabs>
      </w:pPr>
      <w:r>
        <w:rPr>
          <w:i/>
        </w:rPr>
        <w:t>Application Reviews</w:t>
      </w:r>
      <w:r>
        <w:t>. The Coral Reef Conservation Act of 2000 states that not later than 6 months after receiving a project proposal, the proposal must be shared with the relevant Federal agencies, State governments, or other government jurisdiction with jurisdiction or management authority over coral reef ecosystems in the area where the project is to be conducted for written comment to be considered. These reviews and comments are for internal use only and are not shared publicly. The review is not mandatory and selections will be made based on the selection criteria identified in the Notice of Funding Opportunity.</w:t>
      </w:r>
    </w:p>
    <w:p w:rsidR="008E7BF1" w:rsidRDefault="008E7BF1">
      <w:pPr>
        <w:tabs>
          <w:tab w:val="left" w:pos="360"/>
        </w:tabs>
      </w:pPr>
    </w:p>
    <w:p w:rsidR="008E7BF1" w:rsidRDefault="00A11D4D">
      <w:pPr>
        <w:numPr>
          <w:ilvl w:val="0"/>
          <w:numId w:val="1"/>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E7BF1" w:rsidP="00510ACC" w:rsidRDefault="00A11D4D">
      <w:pPr>
        <w:widowControl/>
        <w:spacing w:before="240"/>
        <w:ind w:firstLine="720"/>
      </w:pPr>
      <w:r>
        <w:t>Information will be collected electronically via the Department of Commerce Grants Online system.  In the event that electronic submission is not available, paper submissions may be allowable pursuant to the Notice of Funding Opportunity.</w:t>
      </w:r>
    </w:p>
    <w:p w:rsidR="008E7BF1" w:rsidRDefault="008E7BF1">
      <w:pPr>
        <w:widowControl/>
      </w:pPr>
    </w:p>
    <w:p w:rsidR="008E7BF1" w:rsidRDefault="00A11D4D">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8E7BF1" w:rsidRDefault="00A11D4D">
      <w:pPr>
        <w:pBdr>
          <w:top w:val="nil"/>
          <w:left w:val="nil"/>
          <w:bottom w:val="nil"/>
          <w:right w:val="nil"/>
          <w:between w:val="nil"/>
        </w:pBdr>
        <w:spacing w:before="161"/>
        <w:ind w:firstLine="720"/>
      </w:pPr>
      <w:r>
        <w:t>Information collected is specific to the Coral Reef Conservation Program and is not expected to be duplicated.  The applicant/recipient would not make this information publicly available, so there is no other source from which this information could be obtained.</w:t>
      </w:r>
    </w:p>
    <w:p w:rsidR="008E7BF1" w:rsidRDefault="008E7BF1">
      <w:pPr>
        <w:pBdr>
          <w:top w:val="nil"/>
          <w:left w:val="nil"/>
          <w:bottom w:val="nil"/>
          <w:right w:val="nil"/>
          <w:between w:val="nil"/>
        </w:pBdr>
        <w:spacing w:before="161"/>
      </w:pPr>
    </w:p>
    <w:p w:rsidR="008E7BF1" w:rsidRDefault="00A11D4D">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If the collection of information impacts small businesses or other small entities, describe any </w:t>
      </w:r>
      <w:r>
        <w:rPr>
          <w:b/>
          <w:color w:val="000000"/>
        </w:rPr>
        <w:lastRenderedPageBreak/>
        <w:t>methods used to minimize burden.</w:t>
      </w:r>
    </w:p>
    <w:p w:rsidR="008E7BF1" w:rsidRDefault="00A11D4D">
      <w:pPr>
        <w:pBdr>
          <w:top w:val="nil"/>
          <w:left w:val="nil"/>
          <w:bottom w:val="nil"/>
          <w:right w:val="nil"/>
          <w:between w:val="nil"/>
        </w:pBdr>
        <w:spacing w:before="160"/>
        <w:ind w:firstLine="720"/>
      </w:pPr>
      <w:r>
        <w:t>Small businesses are eligible applicants and instructions are written to require a minimal burden of all applicant types.</w:t>
      </w:r>
    </w:p>
    <w:p w:rsidR="008E7BF1" w:rsidRDefault="008E7BF1">
      <w:pPr>
        <w:pBdr>
          <w:top w:val="nil"/>
          <w:left w:val="nil"/>
          <w:bottom w:val="nil"/>
          <w:right w:val="nil"/>
          <w:between w:val="nil"/>
        </w:pBdr>
        <w:spacing w:before="160"/>
      </w:pPr>
    </w:p>
    <w:p w:rsidR="008E7BF1" w:rsidRDefault="00A11D4D">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8E7BF1" w:rsidRDefault="00A11D4D">
      <w:pPr>
        <w:pBdr>
          <w:top w:val="nil"/>
          <w:left w:val="nil"/>
          <w:bottom w:val="nil"/>
          <w:right w:val="nil"/>
          <w:between w:val="nil"/>
        </w:pBdr>
        <w:spacing w:before="115"/>
        <w:ind w:firstLine="720"/>
      </w:pPr>
      <w:r>
        <w:t xml:space="preserve">In order to maintain the grant program meet all legal requirements mentioned above, the collection may not be collected less frequently than annually, however, individual competitions are set to occur at different lengths so that individual applicants may not be required to submit collections annually. </w:t>
      </w:r>
    </w:p>
    <w:p w:rsidR="008E7BF1" w:rsidRDefault="008E7BF1">
      <w:pPr>
        <w:pBdr>
          <w:top w:val="nil"/>
          <w:left w:val="nil"/>
          <w:bottom w:val="nil"/>
          <w:right w:val="nil"/>
          <w:between w:val="nil"/>
        </w:pBdr>
        <w:spacing w:before="115"/>
        <w:ind w:firstLine="720"/>
      </w:pPr>
    </w:p>
    <w:p w:rsidR="008E7BF1" w:rsidRDefault="00A11D4D">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8E7BF1" w:rsidP="00510ACC" w:rsidRDefault="00A11D4D">
      <w:pPr>
        <w:pBdr>
          <w:top w:val="nil"/>
          <w:left w:val="nil"/>
          <w:bottom w:val="nil"/>
          <w:right w:val="nil"/>
          <w:between w:val="nil"/>
        </w:pBdr>
        <w:spacing w:before="240"/>
        <w:ind w:firstLine="720"/>
      </w:pPr>
      <w:r>
        <w:t>There are currently no known circumstances that would cause an information collection to be conducted in a manner inconsistent with OMB guidelines.</w:t>
      </w:r>
    </w:p>
    <w:p w:rsidR="008E7BF1" w:rsidRDefault="008E7BF1">
      <w:pPr>
        <w:pBdr>
          <w:top w:val="nil"/>
          <w:left w:val="nil"/>
          <w:bottom w:val="nil"/>
          <w:right w:val="nil"/>
          <w:between w:val="nil"/>
        </w:pBdr>
        <w:spacing w:before="80"/>
      </w:pPr>
    </w:p>
    <w:p w:rsidR="008E7BF1" w:rsidRDefault="00A11D4D">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E7BF1" w:rsidP="00510ACC" w:rsidRDefault="00A11D4D">
      <w:pPr>
        <w:pBdr>
          <w:top w:val="nil"/>
          <w:left w:val="nil"/>
          <w:bottom w:val="nil"/>
          <w:right w:val="nil"/>
          <w:between w:val="nil"/>
        </w:pBdr>
        <w:tabs>
          <w:tab w:val="left" w:pos="360"/>
        </w:tabs>
        <w:spacing w:before="240"/>
        <w:ind w:firstLine="720"/>
      </w:pPr>
      <w:r>
        <w:t xml:space="preserve">A notice was published in the Federal Register on March 22, 2021 (86 FR 15204). </w:t>
      </w:r>
      <w:r w:rsidR="00510ACC">
        <w:t>No comments were received.</w:t>
      </w:r>
    </w:p>
    <w:p w:rsidR="008E7BF1" w:rsidRDefault="00A11D4D">
      <w:pPr>
        <w:spacing w:before="161"/>
        <w:ind w:firstLine="720"/>
      </w:pPr>
      <w:r>
        <w:t>NOAA reached out to 8 of individuals outside the agency to obtain their views on the availability of data, frequency of collection, the clarity of instructions and recordkeeping, disclosure, or reporting format (if any), and on the data elements to be recorded, disclosed, or reported. No comments were received.</w:t>
      </w:r>
    </w:p>
    <w:p w:rsidR="008E7BF1" w:rsidRDefault="008E7BF1">
      <w:pPr>
        <w:pBdr>
          <w:top w:val="nil"/>
          <w:left w:val="nil"/>
          <w:bottom w:val="nil"/>
          <w:right w:val="nil"/>
          <w:between w:val="nil"/>
        </w:pBdr>
        <w:spacing w:before="159"/>
        <w:rPr>
          <w:color w:val="FF0000"/>
        </w:rPr>
      </w:pPr>
    </w:p>
    <w:p w:rsidR="008E7BF1" w:rsidRDefault="00A11D4D">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8E7BF1" w:rsidP="00510ACC" w:rsidRDefault="00A11D4D">
      <w:pPr>
        <w:pBdr>
          <w:top w:val="nil"/>
          <w:left w:val="nil"/>
          <w:bottom w:val="nil"/>
          <w:right w:val="nil"/>
          <w:between w:val="nil"/>
        </w:pBdr>
        <w:spacing w:before="240"/>
        <w:ind w:firstLine="720"/>
      </w:pPr>
      <w:r>
        <w:t>The agency does not plan to provide a payment or gift to respondents.</w:t>
      </w:r>
    </w:p>
    <w:p w:rsidR="008E7BF1" w:rsidRDefault="008E7BF1">
      <w:pPr>
        <w:pBdr>
          <w:top w:val="nil"/>
          <w:left w:val="nil"/>
          <w:bottom w:val="nil"/>
          <w:right w:val="nil"/>
          <w:between w:val="nil"/>
        </w:pBdr>
        <w:spacing w:before="158"/>
      </w:pPr>
    </w:p>
    <w:p w:rsidR="008E7BF1" w:rsidRDefault="00A11D4D">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8E7BF1" w:rsidRDefault="00A11D4D">
      <w:pPr>
        <w:pBdr>
          <w:top w:val="nil"/>
          <w:left w:val="nil"/>
          <w:bottom w:val="nil"/>
          <w:right w:val="nil"/>
          <w:between w:val="nil"/>
        </w:pBdr>
        <w:spacing w:before="158"/>
        <w:ind w:firstLine="720"/>
      </w:pPr>
      <w:r>
        <w:t xml:space="preserve">In order to maintain confidentiality of Personal Identifiable Information (PII) (i.e., SSNs) and Business Identifiable Information (BII), all submissions are sent to the agency through a secured system, Grants Online (DOC) via grants.gov (Federal). Applicants may also submit confidential information through certified mail or another secure service of their choice. NOAA shares applications for review through either the Grants Online system or Accellion Kiteworks (secured). </w:t>
      </w:r>
    </w:p>
    <w:p w:rsidR="008E7BF1" w:rsidRDefault="00A11D4D">
      <w:pPr>
        <w:pBdr>
          <w:top w:val="nil"/>
          <w:left w:val="nil"/>
          <w:bottom w:val="nil"/>
          <w:right w:val="nil"/>
          <w:between w:val="nil"/>
        </w:pBdr>
        <w:spacing w:before="158"/>
        <w:ind w:firstLine="720"/>
      </w:pPr>
      <w:r>
        <w:lastRenderedPageBreak/>
        <w:t>Grants Online is hosted within the boundary of NOAA system of record 1101 and a current PIA is on file.</w:t>
      </w:r>
    </w:p>
    <w:p w:rsidR="008E7BF1" w:rsidRDefault="008E7BF1">
      <w:pPr>
        <w:pBdr>
          <w:top w:val="nil"/>
          <w:left w:val="nil"/>
          <w:bottom w:val="nil"/>
          <w:right w:val="nil"/>
          <w:between w:val="nil"/>
        </w:pBdr>
        <w:spacing w:before="158"/>
        <w:rPr>
          <w:color w:val="2F5496"/>
        </w:rPr>
      </w:pPr>
    </w:p>
    <w:p w:rsidR="008E7BF1" w:rsidRDefault="00A11D4D">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7BF1" w:rsidP="00510ACC" w:rsidRDefault="00A11D4D">
      <w:pPr>
        <w:pBdr>
          <w:top w:val="nil"/>
          <w:left w:val="nil"/>
          <w:bottom w:val="nil"/>
          <w:right w:val="nil"/>
          <w:between w:val="nil"/>
        </w:pBdr>
        <w:tabs>
          <w:tab w:val="left" w:pos="360"/>
        </w:tabs>
        <w:spacing w:before="240"/>
        <w:ind w:firstLine="720"/>
        <w:rPr>
          <w:color w:val="2F5496"/>
        </w:rPr>
        <w:sectPr w:rsidR="008E7BF1">
          <w:footerReference w:type="default" r:id="rId8"/>
          <w:pgSz w:w="12240" w:h="15840"/>
          <w:pgMar w:top="640" w:right="1080" w:bottom="1200" w:left="1080" w:header="0" w:footer="714" w:gutter="0"/>
          <w:pgNumType w:start="1"/>
          <w:cols w:space="720"/>
        </w:sectPr>
      </w:pPr>
      <w:r>
        <w:t xml:space="preserve">The agency does not find these types of questions necessary and does not ask them. </w:t>
      </w:r>
    </w:p>
    <w:p w:rsidR="008E7BF1" w:rsidRDefault="008E7BF1">
      <w:pPr>
        <w:spacing w:line="259" w:lineRule="auto"/>
      </w:pPr>
    </w:p>
    <w:p w:rsidR="008E7BF1" w:rsidRDefault="00A11D4D">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8E7BF1" w:rsidRDefault="008E7BF1">
      <w:pPr>
        <w:spacing w:line="259" w:lineRule="auto"/>
        <w:ind w:hanging="43"/>
        <w:jc w:val="center"/>
        <w:rPr>
          <w:b/>
          <w:color w:val="FF0000"/>
        </w:rPr>
      </w:pPr>
    </w:p>
    <w:tbl>
      <w:tblPr>
        <w:tblStyle w:val="a6"/>
        <w:tblW w:w="14419" w:type="dxa"/>
        <w:tblInd w:w="-25" w:type="dxa"/>
        <w:tblLayout w:type="fixed"/>
        <w:tblLook w:val="0400" w:firstRow="0" w:lastRow="0" w:firstColumn="0" w:lastColumn="0" w:noHBand="0" w:noVBand="1"/>
      </w:tblPr>
      <w:tblGrid>
        <w:gridCol w:w="3560"/>
        <w:gridCol w:w="1920"/>
        <w:gridCol w:w="1470"/>
        <w:gridCol w:w="1349"/>
        <w:gridCol w:w="1170"/>
        <w:gridCol w:w="1080"/>
        <w:gridCol w:w="1137"/>
        <w:gridCol w:w="1066"/>
        <w:gridCol w:w="1667"/>
      </w:tblGrid>
      <w:tr w:rsidR="008E7BF1">
        <w:trPr>
          <w:trHeight w:val="1365"/>
        </w:trPr>
        <w:tc>
          <w:tcPr>
            <w:tcW w:w="356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920" w:type="dxa"/>
            <w:tcBorders>
              <w:top w:val="single" w:color="000000" w:sz="8" w:space="0"/>
              <w:left w:val="nil"/>
              <w:bottom w:val="single" w:color="000000" w:sz="8" w:space="0"/>
              <w:right w:val="single" w:color="000000" w:sz="8" w:space="0"/>
            </w:tcBorders>
            <w:shd w:val="clear" w:color="auto" w:fill="BDD7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470" w:type="dxa"/>
            <w:tcBorders>
              <w:top w:val="single" w:color="000000" w:sz="8" w:space="0"/>
              <w:left w:val="nil"/>
              <w:bottom w:val="single" w:color="000000" w:sz="8" w:space="0"/>
              <w:right w:val="single" w:color="000000" w:sz="8" w:space="0"/>
            </w:tcBorders>
            <w:shd w:val="clear" w:color="auto" w:fill="BDD7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349" w:type="dxa"/>
            <w:tcBorders>
              <w:top w:val="single" w:color="000000" w:sz="8" w:space="0"/>
              <w:left w:val="nil"/>
              <w:bottom w:val="single" w:color="000000" w:sz="8" w:space="0"/>
              <w:right w:val="single" w:color="000000" w:sz="8" w:space="0"/>
            </w:tcBorders>
            <w:shd w:val="clear" w:color="auto" w:fill="BDD7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Hrs / Response</w:t>
            </w:r>
            <w:r>
              <w:rPr>
                <w:rFonts w:ascii="Calibri" w:hAnsi="Calibri" w:eastAsia="Calibri" w:cs="Calibri"/>
                <w:b/>
                <w:color w:val="000000"/>
                <w:sz w:val="16"/>
                <w:szCs w:val="16"/>
              </w:rPr>
              <w:br/>
              <w:t>(d)</w:t>
            </w:r>
          </w:p>
        </w:tc>
        <w:tc>
          <w:tcPr>
            <w:tcW w:w="1137" w:type="dxa"/>
            <w:tcBorders>
              <w:top w:val="single" w:color="000000" w:sz="8" w:space="0"/>
              <w:left w:val="nil"/>
              <w:bottom w:val="single" w:color="000000" w:sz="8" w:space="0"/>
              <w:right w:val="single" w:color="000000" w:sz="8" w:space="0"/>
            </w:tcBorders>
            <w:shd w:val="clear" w:color="auto" w:fill="BDD7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Burden Hrs</w:t>
            </w:r>
            <w:r>
              <w:rPr>
                <w:rFonts w:ascii="Calibri" w:hAnsi="Calibri" w:eastAsia="Calibri" w:cs="Calibri"/>
                <w:b/>
                <w:color w:val="000000"/>
                <w:sz w:val="16"/>
                <w:szCs w:val="16"/>
              </w:rPr>
              <w:br/>
              <w:t>(e)  = (c) x (d)</w:t>
            </w:r>
          </w:p>
        </w:tc>
        <w:tc>
          <w:tcPr>
            <w:tcW w:w="1066" w:type="dxa"/>
            <w:tcBorders>
              <w:top w:val="single" w:color="000000" w:sz="8" w:space="0"/>
              <w:left w:val="nil"/>
              <w:bottom w:val="single" w:color="000000" w:sz="8" w:space="0"/>
              <w:right w:val="single" w:color="000000" w:sz="8" w:space="0"/>
            </w:tcBorders>
            <w:shd w:val="clear" w:color="auto" w:fill="BDD7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667" w:type="dxa"/>
            <w:tcBorders>
              <w:top w:val="single" w:color="000000" w:sz="8" w:space="0"/>
              <w:left w:val="nil"/>
              <w:bottom w:val="single" w:color="000000" w:sz="8" w:space="0"/>
              <w:right w:val="single" w:color="000000" w:sz="8" w:space="0"/>
            </w:tcBorders>
            <w:shd w:val="clear" w:color="auto" w:fill="BDD7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8E7BF1">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C</w:t>
            </w:r>
            <w:r>
              <w:rPr>
                <w:rFonts w:ascii="Calibri" w:hAnsi="Calibri" w:eastAsia="Calibri" w:cs="Calibri"/>
                <w:sz w:val="16"/>
                <w:szCs w:val="16"/>
              </w:rPr>
              <w:t>RCP Administration Matching Funds Waiver Request</w:t>
            </w:r>
          </w:p>
        </w:tc>
        <w:tc>
          <w:tcPr>
            <w:tcW w:w="1920"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sz w:val="16"/>
                <w:szCs w:val="16"/>
              </w:rPr>
              <w:t>General and Operations Manager</w:t>
            </w:r>
          </w:p>
        </w:tc>
        <w:tc>
          <w:tcPr>
            <w:tcW w:w="1470" w:type="dxa"/>
            <w:tcBorders>
              <w:top w:val="nil"/>
              <w:left w:val="nil"/>
              <w:bottom w:val="single" w:color="000000" w:sz="4" w:space="0"/>
              <w:right w:val="single" w:color="000000" w:sz="4" w:space="0"/>
            </w:tcBorders>
            <w:shd w:val="clear" w:color="auto" w:fill="auto"/>
            <w:vAlign w:val="bottom"/>
          </w:tcPr>
          <w:p w:rsidR="008E7BF1" w:rsidP="00F97079"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5</w:t>
            </w:r>
          </w:p>
        </w:tc>
        <w:tc>
          <w:tcPr>
            <w:tcW w:w="1349" w:type="dxa"/>
            <w:tcBorders>
              <w:top w:val="nil"/>
              <w:left w:val="nil"/>
              <w:bottom w:val="single" w:color="000000" w:sz="4" w:space="0"/>
              <w:right w:val="single" w:color="000000" w:sz="4" w:space="0"/>
            </w:tcBorders>
            <w:shd w:val="clear" w:color="auto" w:fill="auto"/>
            <w:vAlign w:val="bottom"/>
          </w:tcPr>
          <w:p w:rsidR="008E7BF1" w:rsidP="00F97079"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8E7BF1" w:rsidP="00F97079"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5</w:t>
            </w:r>
          </w:p>
        </w:tc>
        <w:tc>
          <w:tcPr>
            <w:tcW w:w="1080" w:type="dxa"/>
            <w:tcBorders>
              <w:top w:val="nil"/>
              <w:left w:val="nil"/>
              <w:bottom w:val="single" w:color="000000" w:sz="4" w:space="0"/>
              <w:right w:val="single" w:color="000000" w:sz="4" w:space="0"/>
            </w:tcBorders>
            <w:shd w:val="clear" w:color="auto" w:fill="auto"/>
            <w:vAlign w:val="bottom"/>
          </w:tcPr>
          <w:p w:rsidR="008E7BF1" w:rsidRDefault="00A11D4D">
            <w:pPr>
              <w:widowControl/>
              <w:jc w:val="right"/>
              <w:rPr>
                <w:rFonts w:ascii="Calibri" w:hAnsi="Calibri" w:eastAsia="Calibri" w:cs="Calibri"/>
                <w:color w:val="000000"/>
                <w:sz w:val="16"/>
                <w:szCs w:val="16"/>
              </w:rPr>
            </w:pPr>
            <w:r>
              <w:rPr>
                <w:rFonts w:ascii="Calibri" w:hAnsi="Calibri" w:eastAsia="Calibri" w:cs="Calibri"/>
                <w:sz w:val="16"/>
                <w:szCs w:val="16"/>
              </w:rPr>
              <w:t>2.1</w:t>
            </w:r>
            <w:r>
              <w:rPr>
                <w:rFonts w:ascii="Calibri" w:hAnsi="Calibri" w:eastAsia="Calibri" w:cs="Calibri"/>
                <w:color w:val="000000"/>
                <w:sz w:val="16"/>
                <w:szCs w:val="16"/>
              </w:rPr>
              <w:t> </w:t>
            </w:r>
          </w:p>
        </w:tc>
        <w:tc>
          <w:tcPr>
            <w:tcW w:w="1137" w:type="dxa"/>
            <w:tcBorders>
              <w:top w:val="nil"/>
              <w:left w:val="nil"/>
              <w:bottom w:val="single" w:color="000000" w:sz="4" w:space="0"/>
              <w:right w:val="single" w:color="000000" w:sz="4" w:space="0"/>
            </w:tcBorders>
            <w:shd w:val="clear" w:color="auto" w:fill="auto"/>
            <w:vAlign w:val="bottom"/>
          </w:tcPr>
          <w:p w:rsidR="008E7BF1" w:rsidRDefault="00A11D4D">
            <w:pPr>
              <w:widowControl/>
              <w:jc w:val="right"/>
              <w:rPr>
                <w:rFonts w:ascii="Calibri" w:hAnsi="Calibri" w:eastAsia="Calibri" w:cs="Calibri"/>
                <w:color w:val="000000"/>
                <w:sz w:val="16"/>
                <w:szCs w:val="16"/>
              </w:rPr>
            </w:pPr>
            <w:r>
              <w:rPr>
                <w:rFonts w:ascii="Calibri" w:hAnsi="Calibri" w:eastAsia="Calibri" w:cs="Calibri"/>
                <w:sz w:val="16"/>
                <w:szCs w:val="16"/>
              </w:rPr>
              <w:t>10.5</w:t>
            </w:r>
            <w:r>
              <w:rPr>
                <w:rFonts w:ascii="Calibri" w:hAnsi="Calibri" w:eastAsia="Calibri" w:cs="Calibri"/>
                <w:color w:val="000000"/>
                <w:sz w:val="16"/>
                <w:szCs w:val="16"/>
              </w:rPr>
              <w:t> </w:t>
            </w:r>
          </w:p>
        </w:tc>
        <w:tc>
          <w:tcPr>
            <w:tcW w:w="1066" w:type="dxa"/>
            <w:tcBorders>
              <w:top w:val="nil"/>
              <w:left w:val="nil"/>
              <w:bottom w:val="single" w:color="000000" w:sz="4" w:space="0"/>
              <w:right w:val="single" w:color="000000" w:sz="4" w:space="0"/>
            </w:tcBorders>
            <w:shd w:val="clear" w:color="auto" w:fill="auto"/>
            <w:vAlign w:val="bottom"/>
          </w:tcPr>
          <w:p w:rsidR="008E7BF1" w:rsidRDefault="00A11D4D">
            <w:pPr>
              <w:widowControl/>
              <w:jc w:val="right"/>
              <w:rPr>
                <w:rFonts w:ascii="Calibri" w:hAnsi="Calibri" w:eastAsia="Calibri" w:cs="Calibri"/>
                <w:color w:val="000000"/>
                <w:sz w:val="16"/>
                <w:szCs w:val="16"/>
              </w:rPr>
            </w:pPr>
            <w:r>
              <w:rPr>
                <w:rFonts w:ascii="Calibri" w:hAnsi="Calibri" w:eastAsia="Calibri" w:cs="Calibri"/>
                <w:sz w:val="16"/>
                <w:szCs w:val="16"/>
              </w:rPr>
              <w:t>$60.45</w:t>
            </w:r>
            <w:r>
              <w:rPr>
                <w:rFonts w:ascii="Calibri" w:hAnsi="Calibri" w:eastAsia="Calibri" w:cs="Calibri"/>
                <w:color w:val="000000"/>
                <w:sz w:val="16"/>
                <w:szCs w:val="16"/>
              </w:rPr>
              <w:t> </w:t>
            </w:r>
          </w:p>
        </w:tc>
        <w:tc>
          <w:tcPr>
            <w:tcW w:w="1667" w:type="dxa"/>
            <w:tcBorders>
              <w:top w:val="nil"/>
              <w:left w:val="nil"/>
              <w:bottom w:val="single" w:color="000000" w:sz="4" w:space="0"/>
              <w:right w:val="single" w:color="000000" w:sz="8" w:space="0"/>
            </w:tcBorders>
            <w:shd w:val="clear" w:color="auto" w:fill="auto"/>
            <w:vAlign w:val="bottom"/>
          </w:tcPr>
          <w:p w:rsidR="008E7BF1" w:rsidP="008079B4" w:rsidRDefault="00A11D4D">
            <w:pPr>
              <w:widowControl/>
              <w:jc w:val="right"/>
              <w:rPr>
                <w:rFonts w:ascii="Calibri" w:hAnsi="Calibri" w:eastAsia="Calibri" w:cs="Calibri"/>
                <w:color w:val="000000"/>
                <w:sz w:val="16"/>
                <w:szCs w:val="16"/>
              </w:rPr>
            </w:pPr>
            <w:r>
              <w:rPr>
                <w:rFonts w:ascii="Calibri" w:hAnsi="Calibri" w:eastAsia="Calibri" w:cs="Calibri"/>
                <w:sz w:val="16"/>
                <w:szCs w:val="16"/>
              </w:rPr>
              <w:t>$634.73</w:t>
            </w:r>
          </w:p>
        </w:tc>
      </w:tr>
      <w:tr w:rsidR="008E7BF1">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CRCP Reviewer Comments</w:t>
            </w:r>
          </w:p>
        </w:tc>
        <w:tc>
          <w:tcPr>
            <w:tcW w:w="1920"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sz w:val="16"/>
                <w:szCs w:val="16"/>
              </w:rPr>
              <w:t>General and Operations Manager</w:t>
            </w:r>
          </w:p>
        </w:tc>
        <w:tc>
          <w:tcPr>
            <w:tcW w:w="1470" w:type="dxa"/>
            <w:tcBorders>
              <w:top w:val="nil"/>
              <w:left w:val="nil"/>
              <w:bottom w:val="single" w:color="000000" w:sz="4" w:space="0"/>
              <w:right w:val="single" w:color="000000" w:sz="4" w:space="0"/>
            </w:tcBorders>
            <w:shd w:val="clear" w:color="auto" w:fill="auto"/>
            <w:vAlign w:val="bottom"/>
          </w:tcPr>
          <w:p w:rsidR="008E7BF1" w:rsidP="00F97079"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7</w:t>
            </w:r>
          </w:p>
        </w:tc>
        <w:tc>
          <w:tcPr>
            <w:tcW w:w="1349" w:type="dxa"/>
            <w:tcBorders>
              <w:top w:val="nil"/>
              <w:left w:val="nil"/>
              <w:bottom w:val="single" w:color="000000" w:sz="4" w:space="0"/>
              <w:right w:val="single" w:color="000000" w:sz="4" w:space="0"/>
            </w:tcBorders>
            <w:shd w:val="clear" w:color="auto" w:fill="auto"/>
            <w:vAlign w:val="bottom"/>
          </w:tcPr>
          <w:p w:rsidR="008E7BF1" w:rsidP="00F97079"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6</w:t>
            </w:r>
          </w:p>
        </w:tc>
        <w:tc>
          <w:tcPr>
            <w:tcW w:w="1170" w:type="dxa"/>
            <w:tcBorders>
              <w:top w:val="nil"/>
              <w:left w:val="nil"/>
              <w:bottom w:val="single" w:color="000000" w:sz="4" w:space="0"/>
              <w:right w:val="single" w:color="000000" w:sz="4" w:space="0"/>
            </w:tcBorders>
            <w:shd w:val="clear" w:color="auto" w:fill="auto"/>
            <w:vAlign w:val="bottom"/>
          </w:tcPr>
          <w:p w:rsidR="008E7BF1" w:rsidP="00F97079"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42</w:t>
            </w:r>
          </w:p>
        </w:tc>
        <w:tc>
          <w:tcPr>
            <w:tcW w:w="1080" w:type="dxa"/>
            <w:tcBorders>
              <w:top w:val="nil"/>
              <w:left w:val="nil"/>
              <w:bottom w:val="single" w:color="000000" w:sz="4" w:space="0"/>
              <w:right w:val="single" w:color="000000" w:sz="4" w:space="0"/>
            </w:tcBorders>
            <w:shd w:val="clear" w:color="auto" w:fill="auto"/>
            <w:vAlign w:val="bottom"/>
          </w:tcPr>
          <w:p w:rsidR="008E7BF1" w:rsidRDefault="00A11D4D">
            <w:pPr>
              <w:widowControl/>
              <w:jc w:val="right"/>
              <w:rPr>
                <w:rFonts w:ascii="Calibri" w:hAnsi="Calibri" w:eastAsia="Calibri" w:cs="Calibri"/>
                <w:color w:val="000000"/>
                <w:sz w:val="16"/>
                <w:szCs w:val="16"/>
              </w:rPr>
            </w:pPr>
            <w:r>
              <w:rPr>
                <w:rFonts w:ascii="Calibri" w:hAnsi="Calibri" w:eastAsia="Calibri" w:cs="Calibri"/>
                <w:sz w:val="16"/>
                <w:szCs w:val="16"/>
              </w:rPr>
              <w:t>3</w:t>
            </w:r>
          </w:p>
        </w:tc>
        <w:tc>
          <w:tcPr>
            <w:tcW w:w="1137" w:type="dxa"/>
            <w:tcBorders>
              <w:top w:val="nil"/>
              <w:left w:val="nil"/>
              <w:bottom w:val="single" w:color="000000" w:sz="4" w:space="0"/>
              <w:right w:val="single" w:color="000000" w:sz="4" w:space="0"/>
            </w:tcBorders>
            <w:shd w:val="clear" w:color="auto" w:fill="auto"/>
            <w:vAlign w:val="bottom"/>
          </w:tcPr>
          <w:p w:rsidR="008E7BF1" w:rsidRDefault="00A11D4D">
            <w:pPr>
              <w:widowControl/>
              <w:jc w:val="right"/>
              <w:rPr>
                <w:rFonts w:ascii="Calibri" w:hAnsi="Calibri" w:eastAsia="Calibri" w:cs="Calibri"/>
                <w:color w:val="000000"/>
                <w:sz w:val="16"/>
                <w:szCs w:val="16"/>
              </w:rPr>
            </w:pPr>
            <w:r>
              <w:rPr>
                <w:rFonts w:ascii="Calibri" w:hAnsi="Calibri" w:eastAsia="Calibri" w:cs="Calibri"/>
                <w:sz w:val="16"/>
                <w:szCs w:val="16"/>
              </w:rPr>
              <w:t>126</w:t>
            </w:r>
          </w:p>
        </w:tc>
        <w:tc>
          <w:tcPr>
            <w:tcW w:w="1066" w:type="dxa"/>
            <w:tcBorders>
              <w:top w:val="nil"/>
              <w:left w:val="nil"/>
              <w:bottom w:val="single" w:color="000000" w:sz="4" w:space="0"/>
              <w:right w:val="single" w:color="000000" w:sz="4" w:space="0"/>
            </w:tcBorders>
            <w:shd w:val="clear" w:color="auto" w:fill="auto"/>
            <w:vAlign w:val="bottom"/>
          </w:tcPr>
          <w:p w:rsidR="008E7BF1" w:rsidRDefault="00A11D4D">
            <w:pPr>
              <w:widowControl/>
              <w:jc w:val="right"/>
              <w:rPr>
                <w:rFonts w:ascii="Calibri" w:hAnsi="Calibri" w:eastAsia="Calibri" w:cs="Calibri"/>
                <w:color w:val="000000"/>
                <w:sz w:val="16"/>
                <w:szCs w:val="16"/>
              </w:rPr>
            </w:pPr>
            <w:r>
              <w:rPr>
                <w:rFonts w:ascii="Calibri" w:hAnsi="Calibri" w:eastAsia="Calibri" w:cs="Calibri"/>
                <w:sz w:val="16"/>
                <w:szCs w:val="16"/>
              </w:rPr>
              <w:t>$60.45</w:t>
            </w:r>
          </w:p>
        </w:tc>
        <w:tc>
          <w:tcPr>
            <w:tcW w:w="1667" w:type="dxa"/>
            <w:tcBorders>
              <w:top w:val="nil"/>
              <w:left w:val="nil"/>
              <w:bottom w:val="single" w:color="000000" w:sz="4" w:space="0"/>
              <w:right w:val="single" w:color="000000" w:sz="8" w:space="0"/>
            </w:tcBorders>
            <w:shd w:val="clear" w:color="auto" w:fill="auto"/>
            <w:vAlign w:val="bottom"/>
          </w:tcPr>
          <w:p w:rsidR="008E7BF1" w:rsidRDefault="00A11D4D">
            <w:pPr>
              <w:widowControl/>
              <w:jc w:val="right"/>
              <w:rPr>
                <w:rFonts w:ascii="Calibri" w:hAnsi="Calibri" w:eastAsia="Calibri" w:cs="Calibri"/>
                <w:color w:val="000000"/>
                <w:sz w:val="16"/>
                <w:szCs w:val="16"/>
              </w:rPr>
            </w:pPr>
            <w:r>
              <w:rPr>
                <w:rFonts w:ascii="Calibri" w:hAnsi="Calibri" w:eastAsia="Calibri" w:cs="Calibri"/>
                <w:sz w:val="16"/>
                <w:szCs w:val="16"/>
              </w:rPr>
              <w:t>$7,616.70</w:t>
            </w:r>
          </w:p>
        </w:tc>
      </w:tr>
      <w:tr w:rsidR="008E7BF1">
        <w:trPr>
          <w:trHeight w:val="615"/>
        </w:trPr>
        <w:tc>
          <w:tcPr>
            <w:tcW w:w="3560" w:type="dxa"/>
            <w:tcBorders>
              <w:top w:val="nil"/>
              <w:left w:val="single" w:color="000000" w:sz="8" w:space="0"/>
              <w:bottom w:val="single" w:color="000000" w:sz="8" w:space="0"/>
              <w:right w:val="single" w:color="000000" w:sz="8" w:space="0"/>
            </w:tcBorders>
            <w:shd w:val="clear" w:color="auto" w:fill="DDEBF7"/>
            <w:vAlign w:val="bottom"/>
          </w:tcPr>
          <w:p w:rsidR="008E7BF1" w:rsidRDefault="00A11D4D">
            <w:pPr>
              <w:widowControl/>
              <w:rPr>
                <w:rFonts w:ascii="Calibri" w:hAnsi="Calibri" w:eastAsia="Calibri" w:cs="Calibri"/>
                <w:b/>
                <w:color w:val="000000"/>
              </w:rPr>
            </w:pPr>
            <w:r>
              <w:rPr>
                <w:rFonts w:ascii="Calibri" w:hAnsi="Calibri" w:eastAsia="Calibri" w:cs="Calibri"/>
                <w:b/>
                <w:color w:val="000000"/>
              </w:rPr>
              <w:t>Totals</w:t>
            </w:r>
          </w:p>
        </w:tc>
        <w:tc>
          <w:tcPr>
            <w:tcW w:w="1920" w:type="dxa"/>
            <w:tcBorders>
              <w:top w:val="nil"/>
              <w:left w:val="nil"/>
              <w:bottom w:val="single" w:color="000000" w:sz="8" w:space="0"/>
              <w:right w:val="single" w:color="000000" w:sz="8" w:space="0"/>
            </w:tcBorders>
            <w:shd w:val="clear" w:color="auto" w:fill="000000"/>
            <w:vAlign w:val="bottom"/>
          </w:tcPr>
          <w:p w:rsidR="008E7BF1" w:rsidRDefault="00A11D4D">
            <w:pPr>
              <w:widowControl/>
              <w:rPr>
                <w:rFonts w:ascii="Calibri" w:hAnsi="Calibri" w:eastAsia="Calibri" w:cs="Calibri"/>
                <w:b/>
                <w:color w:val="000000"/>
              </w:rPr>
            </w:pPr>
            <w:r>
              <w:rPr>
                <w:rFonts w:ascii="Calibri" w:hAnsi="Calibri" w:eastAsia="Calibri" w:cs="Calibri"/>
                <w:b/>
              </w:rPr>
              <w:t>En</w:t>
            </w:r>
            <w:r>
              <w:rPr>
                <w:rFonts w:ascii="Calibri" w:hAnsi="Calibri" w:eastAsia="Calibri" w:cs="Calibri"/>
                <w:b/>
                <w:color w:val="000000"/>
              </w:rPr>
              <w:t> </w:t>
            </w:r>
          </w:p>
        </w:tc>
        <w:tc>
          <w:tcPr>
            <w:tcW w:w="1470" w:type="dxa"/>
            <w:tcBorders>
              <w:top w:val="nil"/>
              <w:left w:val="nil"/>
              <w:bottom w:val="single" w:color="000000" w:sz="8" w:space="0"/>
              <w:right w:val="single" w:color="000000" w:sz="8" w:space="0"/>
            </w:tcBorders>
            <w:shd w:val="clear" w:color="auto" w:fill="000000"/>
            <w:vAlign w:val="bottom"/>
          </w:tcPr>
          <w:p w:rsidR="008E7BF1" w:rsidRDefault="00A11D4D">
            <w:pPr>
              <w:widowControl/>
              <w:rPr>
                <w:rFonts w:ascii="Calibri" w:hAnsi="Calibri" w:eastAsia="Calibri" w:cs="Calibri"/>
                <w:b/>
                <w:color w:val="000000"/>
              </w:rPr>
            </w:pPr>
            <w:r>
              <w:rPr>
                <w:rFonts w:ascii="Calibri" w:hAnsi="Calibri" w:eastAsia="Calibri" w:cs="Calibri"/>
                <w:b/>
                <w:color w:val="000000"/>
              </w:rPr>
              <w:t> </w:t>
            </w:r>
          </w:p>
        </w:tc>
        <w:tc>
          <w:tcPr>
            <w:tcW w:w="1349" w:type="dxa"/>
            <w:tcBorders>
              <w:top w:val="nil"/>
              <w:left w:val="nil"/>
              <w:bottom w:val="single" w:color="000000" w:sz="8" w:space="0"/>
              <w:right w:val="single" w:color="000000" w:sz="8" w:space="0"/>
            </w:tcBorders>
            <w:shd w:val="clear" w:color="auto" w:fill="000000"/>
            <w:vAlign w:val="bottom"/>
          </w:tcPr>
          <w:p w:rsidR="008E7BF1" w:rsidRDefault="00A11D4D">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bottom"/>
          </w:tcPr>
          <w:p w:rsidR="008E7BF1" w:rsidP="00A11D4D" w:rsidRDefault="00545C8E">
            <w:pPr>
              <w:widowControl/>
              <w:jc w:val="center"/>
              <w:rPr>
                <w:rFonts w:ascii="Calibri" w:hAnsi="Calibri" w:eastAsia="Calibri" w:cs="Calibri"/>
                <w:b/>
                <w:color w:val="000000"/>
              </w:rPr>
            </w:pPr>
            <w:r>
              <w:rPr>
                <w:rFonts w:ascii="Calibri" w:hAnsi="Calibri" w:eastAsia="Calibri" w:cs="Calibri"/>
                <w:b/>
                <w:color w:val="000000"/>
              </w:rPr>
              <w:t>47</w:t>
            </w:r>
          </w:p>
        </w:tc>
        <w:tc>
          <w:tcPr>
            <w:tcW w:w="1080" w:type="dxa"/>
            <w:tcBorders>
              <w:top w:val="nil"/>
              <w:left w:val="nil"/>
              <w:bottom w:val="single" w:color="000000" w:sz="8" w:space="0"/>
              <w:right w:val="single" w:color="000000" w:sz="8" w:space="0"/>
            </w:tcBorders>
            <w:shd w:val="clear" w:color="auto" w:fill="000000"/>
            <w:vAlign w:val="bottom"/>
          </w:tcPr>
          <w:p w:rsidR="008E7BF1" w:rsidRDefault="00A11D4D">
            <w:pPr>
              <w:widowControl/>
              <w:jc w:val="center"/>
              <w:rPr>
                <w:rFonts w:ascii="Calibri" w:hAnsi="Calibri" w:eastAsia="Calibri" w:cs="Calibri"/>
                <w:b/>
                <w:color w:val="000000"/>
              </w:rPr>
            </w:pPr>
            <w:r>
              <w:rPr>
                <w:rFonts w:ascii="Calibri" w:hAnsi="Calibri" w:eastAsia="Calibri" w:cs="Calibri"/>
                <w:b/>
                <w:color w:val="000000"/>
              </w:rPr>
              <w:t> </w:t>
            </w:r>
          </w:p>
        </w:tc>
        <w:tc>
          <w:tcPr>
            <w:tcW w:w="1137" w:type="dxa"/>
            <w:tcBorders>
              <w:top w:val="nil"/>
              <w:left w:val="nil"/>
              <w:bottom w:val="single" w:color="000000" w:sz="8" w:space="0"/>
              <w:right w:val="single" w:color="000000" w:sz="8" w:space="0"/>
            </w:tcBorders>
            <w:shd w:val="clear" w:color="auto" w:fill="DDEBF7"/>
            <w:vAlign w:val="bottom"/>
          </w:tcPr>
          <w:p w:rsidR="008E7BF1" w:rsidRDefault="00545C8E">
            <w:pPr>
              <w:widowControl/>
              <w:jc w:val="center"/>
              <w:rPr>
                <w:rFonts w:ascii="Calibri" w:hAnsi="Calibri" w:eastAsia="Calibri" w:cs="Calibri"/>
                <w:b/>
                <w:color w:val="000000"/>
              </w:rPr>
            </w:pPr>
            <w:r>
              <w:rPr>
                <w:rFonts w:ascii="Calibri" w:hAnsi="Calibri" w:eastAsia="Calibri" w:cs="Calibri"/>
                <w:b/>
              </w:rPr>
              <w:t>136.5</w:t>
            </w:r>
          </w:p>
        </w:tc>
        <w:tc>
          <w:tcPr>
            <w:tcW w:w="1066" w:type="dxa"/>
            <w:tcBorders>
              <w:top w:val="nil"/>
              <w:left w:val="nil"/>
              <w:bottom w:val="single" w:color="000000" w:sz="8" w:space="0"/>
              <w:right w:val="single" w:color="000000" w:sz="8" w:space="0"/>
            </w:tcBorders>
            <w:shd w:val="clear" w:color="auto" w:fill="000000"/>
            <w:vAlign w:val="bottom"/>
          </w:tcPr>
          <w:p w:rsidR="008E7BF1" w:rsidRDefault="00A11D4D">
            <w:pPr>
              <w:widowControl/>
              <w:jc w:val="center"/>
              <w:rPr>
                <w:rFonts w:ascii="Calibri" w:hAnsi="Calibri" w:eastAsia="Calibri" w:cs="Calibri"/>
                <w:b/>
                <w:color w:val="000000"/>
              </w:rPr>
            </w:pPr>
            <w:r>
              <w:rPr>
                <w:rFonts w:ascii="Calibri" w:hAnsi="Calibri" w:eastAsia="Calibri" w:cs="Calibri"/>
                <w:b/>
                <w:color w:val="000000"/>
              </w:rPr>
              <w:t> </w:t>
            </w:r>
          </w:p>
        </w:tc>
        <w:tc>
          <w:tcPr>
            <w:tcW w:w="1667" w:type="dxa"/>
            <w:tcBorders>
              <w:top w:val="nil"/>
              <w:left w:val="nil"/>
              <w:bottom w:val="single" w:color="000000" w:sz="8" w:space="0"/>
              <w:right w:val="single" w:color="000000" w:sz="8" w:space="0"/>
            </w:tcBorders>
            <w:shd w:val="clear" w:color="auto" w:fill="DDEBF7"/>
            <w:vAlign w:val="bottom"/>
          </w:tcPr>
          <w:p w:rsidR="008E7BF1" w:rsidP="00545C8E" w:rsidRDefault="00A11D4D">
            <w:pPr>
              <w:widowControl/>
              <w:jc w:val="center"/>
              <w:rPr>
                <w:rFonts w:ascii="Calibri" w:hAnsi="Calibri" w:eastAsia="Calibri" w:cs="Calibri"/>
                <w:b/>
                <w:color w:val="000000"/>
              </w:rPr>
            </w:pPr>
            <w:r>
              <w:rPr>
                <w:rFonts w:ascii="Calibri" w:hAnsi="Calibri" w:eastAsia="Calibri" w:cs="Calibri"/>
                <w:b/>
              </w:rPr>
              <w:t>$</w:t>
            </w:r>
            <w:r w:rsidR="00545C8E">
              <w:rPr>
                <w:rFonts w:ascii="Calibri" w:hAnsi="Calibri" w:eastAsia="Calibri" w:cs="Calibri"/>
                <w:b/>
              </w:rPr>
              <w:t>8,251.43</w:t>
            </w:r>
          </w:p>
        </w:tc>
      </w:tr>
    </w:tbl>
    <w:p w:rsidR="008E7BF1" w:rsidRDefault="008E7BF1">
      <w:pPr>
        <w:spacing w:line="259" w:lineRule="auto"/>
        <w:rPr>
          <w:b/>
          <w:color w:val="FF0000"/>
        </w:rPr>
      </w:pPr>
    </w:p>
    <w:p w:rsidRPr="00510ACC" w:rsidR="008E7BF1" w:rsidP="00510ACC" w:rsidRDefault="00510ACC">
      <w:pPr>
        <w:spacing w:line="259" w:lineRule="auto"/>
        <w:ind w:hanging="43"/>
      </w:pPr>
      <w:r>
        <w:t xml:space="preserve"> The </w:t>
      </w:r>
      <w:r w:rsidR="00A11D4D">
        <w:t xml:space="preserve">BLS’s </w:t>
      </w:r>
      <w:r w:rsidR="00A11D4D">
        <w:rPr>
          <w:i/>
        </w:rPr>
        <w:t xml:space="preserve">Occupational Outlook Handbook </w:t>
      </w:r>
      <w:r w:rsidR="00A11D4D">
        <w:t xml:space="preserve">- </w:t>
      </w:r>
      <w:hyperlink r:id="rId9">
        <w:r w:rsidR="00A11D4D">
          <w:rPr>
            <w:color w:val="0563C1"/>
            <w:u w:val="single"/>
          </w:rPr>
          <w:t>https://www.bls.</w:t>
        </w:r>
      </w:hyperlink>
      <w:hyperlink r:id="rId10">
        <w:r w:rsidR="00A11D4D">
          <w:rPr>
            <w:color w:val="0563C1"/>
            <w:u w:val="single"/>
          </w:rPr>
          <w:t>gov</w:t>
        </w:r>
      </w:hyperlink>
      <w:hyperlink r:id="rId11">
        <w:r w:rsidR="00A11D4D">
          <w:rPr>
            <w:color w:val="0563C1"/>
            <w:u w:val="single"/>
          </w:rPr>
          <w:t>/bls/blswage.htm</w:t>
        </w:r>
      </w:hyperlink>
      <w:r>
        <w:rPr>
          <w:color w:val="0563C1"/>
          <w:u w:val="single"/>
        </w:rPr>
        <w:t xml:space="preserve"> </w:t>
      </w:r>
      <w:r w:rsidRPr="00510ACC">
        <w:t>was used to determine hourly wage rates.</w:t>
      </w:r>
    </w:p>
    <w:p w:rsidR="008E7BF1" w:rsidP="008E4052" w:rsidRDefault="00A11D4D">
      <w:pPr>
        <w:spacing w:line="259" w:lineRule="auto"/>
        <w:ind w:hanging="43"/>
        <w:sectPr w:rsidR="008E7BF1">
          <w:pgSz w:w="15840" w:h="12240" w:orient="landscape"/>
          <w:pgMar w:top="1080" w:right="1200" w:bottom="1080" w:left="640" w:header="0" w:footer="1014" w:gutter="0"/>
          <w:cols w:space="720"/>
        </w:sectPr>
      </w:pPr>
      <w:r>
        <w:t>.</w:t>
      </w:r>
    </w:p>
    <w:p w:rsidR="008E7BF1" w:rsidRDefault="00A11D4D">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008E7BF1" w:rsidP="00510ACC" w:rsidRDefault="00A11D4D">
      <w:pPr>
        <w:pBdr>
          <w:top w:val="nil"/>
          <w:left w:val="nil"/>
          <w:bottom w:val="nil"/>
          <w:right w:val="nil"/>
          <w:between w:val="nil"/>
        </w:pBdr>
        <w:spacing w:before="240"/>
        <w:ind w:firstLine="720"/>
      </w:pPr>
      <w:r>
        <w:t xml:space="preserve">Record keeping is done </w:t>
      </w:r>
      <w:r w:rsidR="00510ACC">
        <w:t xml:space="preserve">electronically </w:t>
      </w:r>
      <w:r>
        <w:t>by the Grants Online system</w:t>
      </w:r>
      <w:r w:rsidR="00510ACC">
        <w:t>.  T</w:t>
      </w:r>
      <w:r>
        <w:t>here is no measurable cost associated with this activity. There are no capital costs or operating and maintenance costs associated with this information collection.</w:t>
      </w:r>
    </w:p>
    <w:p w:rsidR="008E7BF1" w:rsidRDefault="008E7BF1">
      <w:pPr>
        <w:pBdr>
          <w:top w:val="nil"/>
          <w:left w:val="nil"/>
          <w:bottom w:val="nil"/>
          <w:right w:val="nil"/>
          <w:between w:val="nil"/>
        </w:pBdr>
        <w:spacing w:before="1"/>
        <w:rPr>
          <w:b/>
          <w:color w:val="000000"/>
        </w:rPr>
      </w:pPr>
    </w:p>
    <w:p w:rsidR="008E7BF1" w:rsidRDefault="00A11D4D">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E7BF1" w:rsidRDefault="008E7BF1">
      <w:pPr>
        <w:pBdr>
          <w:top w:val="nil"/>
          <w:left w:val="nil"/>
          <w:bottom w:val="nil"/>
          <w:right w:val="nil"/>
          <w:between w:val="nil"/>
        </w:pBdr>
        <w:spacing w:before="9" w:after="1"/>
        <w:rPr>
          <w:b/>
          <w:color w:val="000000"/>
        </w:rPr>
      </w:pPr>
    </w:p>
    <w:tbl>
      <w:tblPr>
        <w:tblStyle w:val="a7"/>
        <w:tblW w:w="8245" w:type="dxa"/>
        <w:tblInd w:w="-25" w:type="dxa"/>
        <w:tblLayout w:type="fixed"/>
        <w:tblLook w:val="0400" w:firstRow="0" w:lastRow="0" w:firstColumn="0" w:lastColumn="0" w:noHBand="0" w:noVBand="1"/>
      </w:tblPr>
      <w:tblGrid>
        <w:gridCol w:w="2280"/>
        <w:gridCol w:w="1120"/>
        <w:gridCol w:w="1200"/>
        <w:gridCol w:w="1065"/>
        <w:gridCol w:w="1280"/>
        <w:gridCol w:w="1300"/>
      </w:tblGrid>
      <w:tr w:rsidR="008E7BF1">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200" w:type="dxa"/>
            <w:tcBorders>
              <w:top w:val="single" w:color="000000" w:sz="8" w:space="0"/>
              <w:left w:val="nil"/>
              <w:bottom w:val="nil"/>
              <w:right w:val="single" w:color="000000" w:sz="8" w:space="0"/>
            </w:tcBorders>
            <w:shd w:val="clear" w:color="auto" w:fill="BDD7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065" w:type="dxa"/>
            <w:tcBorders>
              <w:top w:val="single" w:color="000000" w:sz="8" w:space="0"/>
              <w:left w:val="nil"/>
              <w:bottom w:val="nil"/>
              <w:right w:val="single" w:color="000000" w:sz="8" w:space="0"/>
            </w:tcBorders>
            <w:shd w:val="clear" w:color="auto" w:fill="BDD7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8E7BF1">
        <w:trPr>
          <w:trHeight w:val="480"/>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Federal Oversight </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GS-13/5  (x 1)</w:t>
            </w:r>
          </w:p>
        </w:tc>
        <w:tc>
          <w:tcPr>
            <w:tcW w:w="1200" w:type="dxa"/>
            <w:tcBorders>
              <w:top w:val="single" w:color="000000" w:sz="4" w:space="0"/>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$117,516</w:t>
            </w:r>
          </w:p>
        </w:tc>
        <w:tc>
          <w:tcPr>
            <w:tcW w:w="1065" w:type="dxa"/>
            <w:tcBorders>
              <w:top w:val="single" w:color="000000" w:sz="4" w:space="0"/>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10</w:t>
            </w:r>
            <w:r>
              <w:rPr>
                <w:rFonts w:ascii="Calibri" w:hAnsi="Calibri" w:eastAsia="Calibri" w:cs="Calibri"/>
                <w:color w:val="000000"/>
                <w:sz w:val="16"/>
                <w:szCs w:val="16"/>
              </w:rPr>
              <w:t>%</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11,752</w:t>
            </w:r>
          </w:p>
        </w:tc>
      </w:tr>
      <w:tr w:rsidR="008E7BF1">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xml:space="preserve">Other Federal Positions </w:t>
            </w:r>
          </w:p>
        </w:tc>
        <w:tc>
          <w:tcPr>
            <w:tcW w:w="1120"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GS-12</w:t>
            </w:r>
            <w:r>
              <w:rPr>
                <w:rFonts w:ascii="Calibri" w:hAnsi="Calibri" w:eastAsia="Calibri" w:cs="Calibri"/>
                <w:sz w:val="16"/>
                <w:szCs w:val="16"/>
              </w:rPr>
              <w:t>/8 ( x 3)</w:t>
            </w:r>
          </w:p>
        </w:tc>
        <w:tc>
          <w:tcPr>
            <w:tcW w:w="1200"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$107,548</w:t>
            </w:r>
          </w:p>
        </w:tc>
        <w:tc>
          <w:tcPr>
            <w:tcW w:w="1065" w:type="dxa"/>
            <w:tcBorders>
              <w:top w:val="single" w:color="000000" w:sz="4" w:space="0"/>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sz w:val="16"/>
                <w:szCs w:val="16"/>
              </w:rPr>
            </w:pPr>
            <w:r>
              <w:rPr>
                <w:rFonts w:ascii="Calibri" w:hAnsi="Calibri" w:eastAsia="Calibri" w:cs="Calibri"/>
                <w:sz w:val="16"/>
                <w:szCs w:val="16"/>
              </w:rPr>
              <w:t> 10%</w:t>
            </w:r>
          </w:p>
        </w:tc>
        <w:tc>
          <w:tcPr>
            <w:tcW w:w="1280" w:type="dxa"/>
            <w:tcBorders>
              <w:top w:val="nil"/>
              <w:left w:val="nil"/>
              <w:bottom w:val="single" w:color="000000" w:sz="4" w:space="0"/>
              <w:right w:val="single" w:color="000000" w:sz="4" w:space="0"/>
            </w:tcBorders>
            <w:shd w:val="clear" w:color="auto" w:fill="808080"/>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32,264</w:t>
            </w:r>
          </w:p>
        </w:tc>
      </w:tr>
      <w:tr w:rsidR="008E7BF1">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00"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065"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8E7BF1">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00"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065"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8E7BF1">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 (x 7)</w:t>
            </w:r>
          </w:p>
        </w:tc>
        <w:tc>
          <w:tcPr>
            <w:tcW w:w="1120" w:type="dxa"/>
            <w:tcBorders>
              <w:top w:val="nil"/>
              <w:left w:val="nil"/>
              <w:bottom w:val="single" w:color="000000" w:sz="4" w:space="0"/>
              <w:right w:val="single" w:color="000000" w:sz="4" w:space="0"/>
            </w:tcBorders>
            <w:shd w:val="clear" w:color="auto" w:fill="808080"/>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00"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$7</w:t>
            </w:r>
            <w:r>
              <w:rPr>
                <w:rFonts w:ascii="Calibri" w:hAnsi="Calibri" w:eastAsia="Calibri" w:cs="Calibri"/>
                <w:sz w:val="16"/>
                <w:szCs w:val="16"/>
              </w:rPr>
              <w:t>0,000</w:t>
            </w:r>
          </w:p>
        </w:tc>
        <w:tc>
          <w:tcPr>
            <w:tcW w:w="1065" w:type="dxa"/>
            <w:tcBorders>
              <w:top w:val="single" w:color="000000" w:sz="4" w:space="0"/>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sz w:val="16"/>
                <w:szCs w:val="16"/>
              </w:rPr>
            </w:pPr>
            <w:r>
              <w:rPr>
                <w:rFonts w:ascii="Calibri" w:hAnsi="Calibri" w:eastAsia="Calibri" w:cs="Calibri"/>
                <w:sz w:val="16"/>
                <w:szCs w:val="16"/>
              </w:rPr>
              <w:t> 5%</w:t>
            </w:r>
          </w:p>
        </w:tc>
        <w:tc>
          <w:tcPr>
            <w:tcW w:w="1280"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n/a</w:t>
            </w:r>
          </w:p>
        </w:tc>
        <w:tc>
          <w:tcPr>
            <w:tcW w:w="1300" w:type="dxa"/>
            <w:tcBorders>
              <w:top w:val="nil"/>
              <w:left w:val="nil"/>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$24,500</w:t>
            </w:r>
          </w:p>
        </w:tc>
      </w:tr>
      <w:tr w:rsidR="008E7BF1">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00"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065"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8E7BF1">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00"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065"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8E7BF1">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00" w:type="dxa"/>
            <w:tcBorders>
              <w:top w:val="nil"/>
              <w:left w:val="nil"/>
              <w:bottom w:val="single" w:color="000000" w:sz="4" w:space="0"/>
              <w:right w:val="single" w:color="000000" w:sz="4" w:space="0"/>
            </w:tcBorders>
            <w:shd w:val="clear" w:color="auto" w:fill="808080"/>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065" w:type="dxa"/>
            <w:tcBorders>
              <w:top w:val="nil"/>
              <w:left w:val="nil"/>
              <w:bottom w:val="single" w:color="000000" w:sz="4" w:space="0"/>
              <w:right w:val="single" w:color="000000" w:sz="4" w:space="0"/>
            </w:tcBorders>
            <w:shd w:val="clear" w:color="auto" w:fill="808080"/>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8E7BF1">
        <w:trPr>
          <w:trHeight w:val="525"/>
        </w:trPr>
        <w:tc>
          <w:tcPr>
            <w:tcW w:w="2280" w:type="dxa"/>
            <w:tcBorders>
              <w:top w:val="nil"/>
              <w:left w:val="single" w:color="000000" w:sz="8" w:space="0"/>
              <w:bottom w:val="nil"/>
              <w:right w:val="single" w:color="000000" w:sz="8" w:space="0"/>
            </w:tcBorders>
            <w:shd w:val="clear" w:color="auto" w:fill="auto"/>
            <w:vAlign w:val="center"/>
          </w:tcPr>
          <w:p w:rsidR="008E7BF1" w:rsidRDefault="00A11D4D">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00" w:type="dxa"/>
            <w:tcBorders>
              <w:top w:val="nil"/>
              <w:left w:val="nil"/>
              <w:bottom w:val="single" w:color="000000" w:sz="4" w:space="0"/>
              <w:right w:val="single" w:color="000000" w:sz="4" w:space="0"/>
            </w:tcBorders>
            <w:shd w:val="clear" w:color="auto" w:fill="808080"/>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065" w:type="dxa"/>
            <w:tcBorders>
              <w:top w:val="nil"/>
              <w:left w:val="nil"/>
              <w:bottom w:val="single" w:color="000000" w:sz="4" w:space="0"/>
              <w:right w:val="single" w:color="000000" w:sz="4" w:space="0"/>
            </w:tcBorders>
            <w:shd w:val="clear" w:color="auto" w:fill="808080"/>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8E7BF1">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8E7BF1" w:rsidRDefault="00A11D4D">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00" w:type="dxa"/>
            <w:tcBorders>
              <w:top w:val="single" w:color="000000" w:sz="8" w:space="0"/>
              <w:left w:val="nil"/>
              <w:bottom w:val="single" w:color="000000" w:sz="8" w:space="0"/>
              <w:right w:val="single" w:color="000000" w:sz="8" w:space="0"/>
            </w:tcBorders>
            <w:shd w:val="clear" w:color="auto" w:fill="808080"/>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065" w:type="dxa"/>
            <w:tcBorders>
              <w:top w:val="single" w:color="000000" w:sz="8" w:space="0"/>
              <w:left w:val="nil"/>
              <w:bottom w:val="single" w:color="000000" w:sz="8" w:space="0"/>
              <w:right w:val="single" w:color="000000" w:sz="8" w:space="0"/>
            </w:tcBorders>
            <w:shd w:val="clear" w:color="auto" w:fill="757171"/>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n/a</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Pr="00510ACC" w:rsidR="008E7BF1" w:rsidRDefault="00A11D4D">
            <w:pPr>
              <w:widowControl/>
              <w:rPr>
                <w:rFonts w:ascii="Calibri" w:hAnsi="Calibri" w:eastAsia="Calibri" w:cs="Calibri"/>
                <w:b/>
                <w:color w:val="000000"/>
                <w:sz w:val="16"/>
                <w:szCs w:val="16"/>
              </w:rPr>
            </w:pPr>
            <w:r>
              <w:rPr>
                <w:rFonts w:ascii="Calibri" w:hAnsi="Calibri" w:eastAsia="Calibri" w:cs="Calibri"/>
                <w:color w:val="000000"/>
                <w:sz w:val="16"/>
                <w:szCs w:val="16"/>
              </w:rPr>
              <w:t> </w:t>
            </w:r>
            <w:r w:rsidRPr="00510ACC">
              <w:rPr>
                <w:rFonts w:ascii="Calibri" w:hAnsi="Calibri" w:eastAsia="Calibri" w:cs="Calibri"/>
                <w:b/>
                <w:color w:val="000000"/>
                <w:sz w:val="16"/>
                <w:szCs w:val="16"/>
              </w:rPr>
              <w:t>$</w:t>
            </w:r>
            <w:r w:rsidRPr="00510ACC">
              <w:rPr>
                <w:rFonts w:ascii="Calibri" w:hAnsi="Calibri" w:eastAsia="Calibri" w:cs="Calibri"/>
                <w:b/>
                <w:sz w:val="16"/>
                <w:szCs w:val="16"/>
              </w:rPr>
              <w:t>68,516</w:t>
            </w:r>
          </w:p>
        </w:tc>
      </w:tr>
    </w:tbl>
    <w:p w:rsidR="008E7BF1" w:rsidRDefault="008E7BF1">
      <w:pPr>
        <w:pBdr>
          <w:top w:val="nil"/>
          <w:left w:val="nil"/>
          <w:bottom w:val="nil"/>
          <w:right w:val="nil"/>
          <w:between w:val="nil"/>
        </w:pBdr>
        <w:spacing w:before="9" w:after="1"/>
        <w:rPr>
          <w:b/>
          <w:color w:val="000000"/>
        </w:rPr>
        <w:sectPr w:rsidR="008E7BF1">
          <w:pgSz w:w="12240" w:h="15840"/>
          <w:pgMar w:top="640" w:right="1080" w:bottom="1200" w:left="1080" w:header="0" w:footer="1014" w:gutter="0"/>
          <w:cols w:space="720"/>
        </w:sectPr>
      </w:pPr>
    </w:p>
    <w:p w:rsidR="008E7BF1" w:rsidRDefault="008E7BF1">
      <w:pPr>
        <w:pBdr>
          <w:top w:val="nil"/>
          <w:left w:val="nil"/>
          <w:bottom w:val="nil"/>
          <w:right w:val="nil"/>
          <w:between w:val="nil"/>
        </w:pBdr>
        <w:spacing w:before="9" w:after="1"/>
        <w:rPr>
          <w:b/>
          <w:color w:val="000000"/>
        </w:rPr>
      </w:pPr>
    </w:p>
    <w:p w:rsidR="008E7BF1" w:rsidRDefault="00A11D4D">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8E7BF1" w:rsidRDefault="00544B10">
      <w:pPr>
        <w:spacing w:before="161"/>
        <w:ind w:firstLine="720"/>
      </w:pPr>
      <w:bookmarkStart w:name="_GoBack" w:id="0"/>
      <w:bookmarkEnd w:id="0"/>
      <w:r>
        <w:t xml:space="preserve">The number of respondents, responses, and time </w:t>
      </w:r>
      <w:r w:rsidR="00A11D4D">
        <w:t>bur</w:t>
      </w:r>
      <w:r w:rsidR="00E44E5B">
        <w:t xml:space="preserve">den has been updated to correct the </w:t>
      </w:r>
      <w:r w:rsidR="00A11D4D">
        <w:t>methodology</w:t>
      </w:r>
      <w:r w:rsidR="00E44E5B">
        <w:t xml:space="preserve"> used to calculate those numbers</w:t>
      </w:r>
      <w:r w:rsidR="00A11D4D">
        <w:t xml:space="preserve">. Previously, all merit reviewers’ time was included. This was an inaccurate estimate as it did not separate Federal and contract staff from the public and counted all merit reviews for each application instead of just review of relevant Federal agencies, State governments, or other government jurisdiction with jurisdiction or management authority over coral reef ecosystems in the area where the project is to be conducted as required by the Coral Reef Conservation Act of 2000. </w:t>
      </w:r>
      <w:r w:rsidR="00E44E5B">
        <w:t>The NOAA federal and contractor staff information has been removed from the estimates below, resulting in a decrease in burden for those areas.</w:t>
      </w:r>
    </w:p>
    <w:p w:rsidR="008D5F00" w:rsidRDefault="008D5F00">
      <w:pPr>
        <w:spacing w:before="161"/>
        <w:ind w:firstLine="720"/>
      </w:pPr>
      <w:r>
        <w:t>The annual cost to the federal government was also recalculated in this revision to more accurately reflect the time and effort of the government spent on this collection.  The previous government cost was cited as $4,458.</w:t>
      </w:r>
    </w:p>
    <w:p w:rsidR="008E7BF1" w:rsidRDefault="008E7BF1">
      <w:pPr>
        <w:pBdr>
          <w:top w:val="nil"/>
          <w:left w:val="nil"/>
          <w:bottom w:val="nil"/>
          <w:right w:val="nil"/>
          <w:between w:val="nil"/>
        </w:pBdr>
        <w:spacing w:before="7"/>
        <w:rPr>
          <w:b/>
          <w:color w:val="000000"/>
        </w:rPr>
      </w:pPr>
    </w:p>
    <w:tbl>
      <w:tblPr>
        <w:tblStyle w:val="a8"/>
        <w:tblW w:w="11195" w:type="dxa"/>
        <w:tblInd w:w="-4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70"/>
        <w:gridCol w:w="900"/>
        <w:gridCol w:w="900"/>
        <w:gridCol w:w="900"/>
        <w:gridCol w:w="900"/>
        <w:gridCol w:w="900"/>
        <w:gridCol w:w="915"/>
        <w:gridCol w:w="2510"/>
      </w:tblGrid>
      <w:tr w:rsidR="008E7BF1" w:rsidTr="008E4052">
        <w:trPr>
          <w:trHeight w:val="315"/>
        </w:trPr>
        <w:tc>
          <w:tcPr>
            <w:tcW w:w="3270" w:type="dxa"/>
            <w:vMerge w:val="restart"/>
            <w:tcBorders>
              <w:top w:val="single" w:color="000000" w:sz="4" w:space="0"/>
              <w:left w:val="single" w:color="000000" w:sz="4" w:space="0"/>
              <w:bottom w:val="single" w:color="000000" w:sz="4" w:space="0"/>
              <w:right w:val="single" w:color="000000" w:sz="4" w:space="0"/>
            </w:tcBorders>
            <w:shd w:val="clear" w:color="auto" w:fill="5B9BD5"/>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5B9BD5"/>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5B9BD5"/>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5B9BD5"/>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2510" w:type="dxa"/>
            <w:vMerge w:val="restart"/>
            <w:tcBorders>
              <w:top w:val="single" w:color="000000" w:sz="4" w:space="0"/>
              <w:left w:val="single" w:color="000000" w:sz="4" w:space="0"/>
              <w:bottom w:val="single" w:color="000000" w:sz="4" w:space="0"/>
              <w:right w:val="single" w:color="000000" w:sz="4" w:space="0"/>
            </w:tcBorders>
            <w:shd w:val="clear" w:color="auto" w:fill="5B9BD5"/>
            <w:vAlign w:val="center"/>
          </w:tcPr>
          <w:p w:rsidR="008E7BF1" w:rsidRDefault="00A11D4D">
            <w:pPr>
              <w:widowControl/>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8E7BF1" w:rsidTr="008E4052">
        <w:trPr>
          <w:trHeight w:val="690"/>
        </w:trPr>
        <w:tc>
          <w:tcPr>
            <w:tcW w:w="3270" w:type="dxa"/>
            <w:vMerge/>
            <w:tcBorders>
              <w:top w:val="single" w:color="000000" w:sz="4" w:space="0"/>
              <w:left w:val="single" w:color="000000" w:sz="4" w:space="0"/>
              <w:bottom w:val="single" w:color="000000" w:sz="4" w:space="0"/>
              <w:right w:val="single" w:color="000000" w:sz="4" w:space="0"/>
            </w:tcBorders>
            <w:shd w:val="clear" w:color="auto" w:fill="5B9BD5"/>
            <w:vAlign w:val="center"/>
          </w:tcPr>
          <w:p w:rsidR="008E7BF1" w:rsidRDefault="008E7BF1">
            <w:pPr>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single" w:color="000000" w:sz="4" w:space="0"/>
              <w:left w:val="single" w:color="000000" w:sz="4" w:space="0"/>
              <w:bottom w:val="single" w:color="000000" w:sz="4" w:space="0"/>
              <w:right w:val="dashed" w:color="000000" w:sz="4" w:space="0"/>
            </w:tcBorders>
            <w:shd w:val="clear" w:color="auto" w:fill="FBE4D5"/>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single" w:color="000000" w:sz="4" w:space="0"/>
              <w:left w:val="single" w:color="000000" w:sz="4" w:space="0"/>
              <w:bottom w:val="single" w:color="000000" w:sz="4" w:space="0"/>
              <w:right w:val="single" w:color="000000" w:sz="4" w:space="0"/>
            </w:tcBorders>
            <w:shd w:val="clear" w:color="auto" w:fill="FBE4D5"/>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single" w:color="000000" w:sz="4" w:space="0"/>
              <w:left w:val="single" w:color="000000" w:sz="4" w:space="0"/>
              <w:bottom w:val="single" w:color="000000" w:sz="4" w:space="0"/>
              <w:right w:val="dashed" w:color="000000" w:sz="4" w:space="0"/>
            </w:tcBorders>
            <w:shd w:val="clear" w:color="auto" w:fill="FBE4D5"/>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single" w:color="000000" w:sz="4" w:space="0"/>
              <w:left w:val="single" w:color="000000" w:sz="4" w:space="0"/>
              <w:bottom w:val="single" w:color="000000" w:sz="4" w:space="0"/>
              <w:right w:val="single" w:color="000000" w:sz="4" w:space="0"/>
            </w:tcBorders>
            <w:shd w:val="clear" w:color="auto" w:fill="FBE4D5"/>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single" w:color="000000" w:sz="4" w:space="0"/>
              <w:left w:val="single" w:color="000000" w:sz="4" w:space="0"/>
              <w:bottom w:val="single" w:color="000000" w:sz="4" w:space="0"/>
              <w:right w:val="dashed" w:color="000000" w:sz="4" w:space="0"/>
            </w:tcBorders>
            <w:shd w:val="clear" w:color="auto" w:fill="FBE4D5"/>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15" w:type="dxa"/>
            <w:tcBorders>
              <w:top w:val="single" w:color="000000" w:sz="4" w:space="0"/>
              <w:left w:val="single" w:color="000000" w:sz="4" w:space="0"/>
              <w:bottom w:val="single" w:color="000000" w:sz="4" w:space="0"/>
              <w:right w:val="single" w:color="000000" w:sz="4" w:space="0"/>
            </w:tcBorders>
            <w:shd w:val="clear" w:color="auto" w:fill="FBE4D5"/>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2510" w:type="dxa"/>
            <w:vMerge/>
            <w:tcBorders>
              <w:top w:val="single" w:color="000000" w:sz="4" w:space="0"/>
              <w:left w:val="single" w:color="000000" w:sz="4" w:space="0"/>
              <w:bottom w:val="single" w:color="000000" w:sz="4" w:space="0"/>
              <w:right w:val="single" w:color="000000" w:sz="4" w:space="0"/>
            </w:tcBorders>
            <w:shd w:val="clear" w:color="auto" w:fill="5B9BD5"/>
            <w:vAlign w:val="center"/>
          </w:tcPr>
          <w:p w:rsidR="008E7BF1" w:rsidRDefault="008E7BF1">
            <w:pPr>
              <w:pBdr>
                <w:top w:val="nil"/>
                <w:left w:val="nil"/>
                <w:bottom w:val="nil"/>
                <w:right w:val="nil"/>
                <w:between w:val="nil"/>
              </w:pBdr>
              <w:spacing w:line="276" w:lineRule="auto"/>
              <w:rPr>
                <w:rFonts w:ascii="Calibri" w:hAnsi="Calibri" w:eastAsia="Calibri" w:cs="Calibri"/>
                <w:color w:val="000000"/>
                <w:sz w:val="16"/>
                <w:szCs w:val="16"/>
              </w:rPr>
            </w:pPr>
          </w:p>
        </w:tc>
      </w:tr>
      <w:tr w:rsidR="008E7BF1" w:rsidTr="008E4052">
        <w:trPr>
          <w:trHeight w:val="315"/>
        </w:trPr>
        <w:tc>
          <w:tcPr>
            <w:tcW w:w="3270" w:type="dxa"/>
            <w:tcBorders>
              <w:top w:val="single" w:color="000000" w:sz="4" w:space="0"/>
              <w:left w:val="single" w:color="000000" w:sz="4" w:space="0"/>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sz w:val="16"/>
                <w:szCs w:val="16"/>
              </w:rPr>
            </w:pPr>
            <w:r>
              <w:rPr>
                <w:rFonts w:ascii="Calibri" w:hAnsi="Calibri" w:eastAsia="Calibri" w:cs="Calibri"/>
                <w:sz w:val="16"/>
                <w:szCs w:val="16"/>
              </w:rPr>
              <w:t> CRCP Administration Matching Funds Waiver Request</w:t>
            </w:r>
          </w:p>
        </w:tc>
        <w:tc>
          <w:tcPr>
            <w:tcW w:w="900" w:type="dxa"/>
            <w:tcBorders>
              <w:top w:val="single" w:color="000000" w:sz="4" w:space="0"/>
              <w:left w:val="single" w:color="000000" w:sz="4" w:space="0"/>
              <w:bottom w:val="dotted" w:color="000000" w:sz="4" w:space="0"/>
              <w:right w:val="dashed" w:color="000000" w:sz="4"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 5</w:t>
            </w:r>
          </w:p>
        </w:tc>
        <w:tc>
          <w:tcPr>
            <w:tcW w:w="900" w:type="dxa"/>
            <w:tcBorders>
              <w:top w:val="single" w:color="000000" w:sz="4" w:space="0"/>
              <w:left w:val="single" w:color="000000" w:sz="4" w:space="0"/>
              <w:bottom w:val="dotted" w:color="000000" w:sz="4" w:space="0"/>
              <w:right w:val="single" w:color="000000" w:sz="4"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11</w:t>
            </w:r>
            <w:r>
              <w:rPr>
                <w:rFonts w:ascii="Calibri" w:hAnsi="Calibri" w:eastAsia="Calibri" w:cs="Calibri"/>
                <w:color w:val="000000"/>
                <w:sz w:val="16"/>
                <w:szCs w:val="16"/>
              </w:rPr>
              <w:t> </w:t>
            </w:r>
          </w:p>
        </w:tc>
        <w:tc>
          <w:tcPr>
            <w:tcW w:w="900" w:type="dxa"/>
            <w:tcBorders>
              <w:top w:val="single" w:color="000000" w:sz="4" w:space="0"/>
              <w:left w:val="single" w:color="000000" w:sz="4" w:space="0"/>
              <w:bottom w:val="dotted" w:color="000000" w:sz="4" w:space="0"/>
              <w:right w:val="dashed" w:color="000000" w:sz="4"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5</w:t>
            </w:r>
            <w:r>
              <w:rPr>
                <w:rFonts w:ascii="Calibri" w:hAnsi="Calibri" w:eastAsia="Calibri" w:cs="Calibri"/>
                <w:color w:val="000000"/>
                <w:sz w:val="16"/>
                <w:szCs w:val="16"/>
              </w:rPr>
              <w:t> </w:t>
            </w:r>
          </w:p>
        </w:tc>
        <w:tc>
          <w:tcPr>
            <w:tcW w:w="900" w:type="dxa"/>
            <w:tcBorders>
              <w:top w:val="single" w:color="000000" w:sz="4" w:space="0"/>
              <w:left w:val="single" w:color="000000" w:sz="4" w:space="0"/>
              <w:bottom w:val="dotted" w:color="000000" w:sz="4" w:space="0"/>
              <w:right w:val="single" w:color="000000" w:sz="4"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11</w:t>
            </w:r>
            <w:r>
              <w:rPr>
                <w:rFonts w:ascii="Calibri" w:hAnsi="Calibri" w:eastAsia="Calibri" w:cs="Calibri"/>
                <w:color w:val="000000"/>
                <w:sz w:val="16"/>
                <w:szCs w:val="16"/>
              </w:rPr>
              <w:t> </w:t>
            </w:r>
          </w:p>
        </w:tc>
        <w:tc>
          <w:tcPr>
            <w:tcW w:w="900" w:type="dxa"/>
            <w:tcBorders>
              <w:top w:val="single" w:color="000000" w:sz="4" w:space="0"/>
              <w:left w:val="single" w:color="000000" w:sz="4" w:space="0"/>
              <w:bottom w:val="dotted" w:color="000000" w:sz="4" w:space="0"/>
              <w:right w:val="dashed" w:color="000000" w:sz="4"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10.5</w:t>
            </w:r>
            <w:r>
              <w:rPr>
                <w:rFonts w:ascii="Calibri" w:hAnsi="Calibri" w:eastAsia="Calibri" w:cs="Calibri"/>
                <w:color w:val="000000"/>
                <w:sz w:val="16"/>
                <w:szCs w:val="16"/>
              </w:rPr>
              <w:t> </w:t>
            </w:r>
          </w:p>
        </w:tc>
        <w:tc>
          <w:tcPr>
            <w:tcW w:w="915" w:type="dxa"/>
            <w:tcBorders>
              <w:top w:val="single" w:color="000000" w:sz="4" w:space="0"/>
              <w:left w:val="single" w:color="000000" w:sz="4" w:space="0"/>
              <w:bottom w:val="dotted" w:color="000000" w:sz="4" w:space="0"/>
              <w:right w:val="single" w:color="000000" w:sz="4"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17</w:t>
            </w:r>
            <w:r>
              <w:rPr>
                <w:rFonts w:ascii="Calibri" w:hAnsi="Calibri" w:eastAsia="Calibri" w:cs="Calibri"/>
                <w:color w:val="000000"/>
                <w:sz w:val="16"/>
                <w:szCs w:val="16"/>
              </w:rPr>
              <w:t> </w:t>
            </w:r>
          </w:p>
        </w:tc>
        <w:tc>
          <w:tcPr>
            <w:tcW w:w="2510" w:type="dxa"/>
            <w:tcBorders>
              <w:top w:val="single" w:color="000000" w:sz="4" w:space="0"/>
              <w:left w:val="single" w:color="000000" w:sz="4" w:space="0"/>
              <w:bottom w:val="dotted" w:color="000000" w:sz="4" w:space="0"/>
              <w:right w:val="single" w:color="000000" w:sz="4" w:space="0"/>
            </w:tcBorders>
            <w:shd w:val="clear" w:color="auto" w:fill="auto"/>
            <w:vAlign w:val="center"/>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8E7BF1" w:rsidTr="008E4052">
        <w:trPr>
          <w:trHeight w:val="315"/>
        </w:trPr>
        <w:tc>
          <w:tcPr>
            <w:tcW w:w="3270" w:type="dxa"/>
            <w:tcBorders>
              <w:top w:val="single" w:color="000000" w:sz="4" w:space="0"/>
              <w:left w:val="single" w:color="000000" w:sz="4" w:space="0"/>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sz w:val="16"/>
                <w:szCs w:val="16"/>
              </w:rPr>
            </w:pPr>
            <w:r>
              <w:rPr>
                <w:rFonts w:ascii="Calibri" w:hAnsi="Calibri" w:eastAsia="Calibri" w:cs="Calibri"/>
                <w:sz w:val="16"/>
                <w:szCs w:val="16"/>
              </w:rPr>
              <w:t> CRCP Reviewer Comments</w:t>
            </w:r>
          </w:p>
        </w:tc>
        <w:tc>
          <w:tcPr>
            <w:tcW w:w="900" w:type="dxa"/>
            <w:tcBorders>
              <w:top w:val="single" w:color="000000" w:sz="4" w:space="0"/>
              <w:left w:val="single" w:color="000000" w:sz="4" w:space="0"/>
              <w:bottom w:val="dotted" w:color="000000" w:sz="4" w:space="0"/>
              <w:right w:val="dashed" w:color="000000" w:sz="4"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 7</w:t>
            </w:r>
          </w:p>
        </w:tc>
        <w:tc>
          <w:tcPr>
            <w:tcW w:w="900" w:type="dxa"/>
            <w:tcBorders>
              <w:top w:val="single" w:color="000000" w:sz="4" w:space="0"/>
              <w:left w:val="single" w:color="000000" w:sz="4" w:space="0"/>
              <w:bottom w:val="dotted" w:color="000000" w:sz="4" w:space="0"/>
              <w:right w:val="single" w:color="000000" w:sz="4"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 78</w:t>
            </w:r>
          </w:p>
        </w:tc>
        <w:tc>
          <w:tcPr>
            <w:tcW w:w="900" w:type="dxa"/>
            <w:tcBorders>
              <w:top w:val="single" w:color="000000" w:sz="4" w:space="0"/>
              <w:left w:val="single" w:color="000000" w:sz="4" w:space="0"/>
              <w:bottom w:val="dotted" w:color="000000" w:sz="4" w:space="0"/>
              <w:right w:val="dashed" w:color="000000" w:sz="4" w:space="0"/>
            </w:tcBorders>
            <w:shd w:val="clear" w:color="auto" w:fill="auto"/>
            <w:vAlign w:val="center"/>
          </w:tcPr>
          <w:p w:rsidR="008E7BF1" w:rsidP="00A11D4D"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 42</w:t>
            </w:r>
          </w:p>
        </w:tc>
        <w:tc>
          <w:tcPr>
            <w:tcW w:w="900" w:type="dxa"/>
            <w:tcBorders>
              <w:top w:val="single" w:color="000000" w:sz="4" w:space="0"/>
              <w:left w:val="single" w:color="000000" w:sz="4" w:space="0"/>
              <w:bottom w:val="dotted" w:color="000000" w:sz="4" w:space="0"/>
              <w:right w:val="single" w:color="000000" w:sz="4"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140</w:t>
            </w:r>
          </w:p>
        </w:tc>
        <w:tc>
          <w:tcPr>
            <w:tcW w:w="900" w:type="dxa"/>
            <w:tcBorders>
              <w:top w:val="single" w:color="000000" w:sz="4" w:space="0"/>
              <w:left w:val="single" w:color="000000" w:sz="4" w:space="0"/>
              <w:bottom w:val="dotted" w:color="000000" w:sz="4" w:space="0"/>
              <w:right w:val="dashed" w:color="000000" w:sz="4"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126</w:t>
            </w:r>
            <w:r>
              <w:rPr>
                <w:rFonts w:ascii="Calibri" w:hAnsi="Calibri" w:eastAsia="Calibri" w:cs="Calibri"/>
                <w:color w:val="000000"/>
                <w:sz w:val="16"/>
                <w:szCs w:val="16"/>
              </w:rPr>
              <w:t> </w:t>
            </w:r>
          </w:p>
        </w:tc>
        <w:tc>
          <w:tcPr>
            <w:tcW w:w="915" w:type="dxa"/>
            <w:tcBorders>
              <w:top w:val="single" w:color="000000" w:sz="4" w:space="0"/>
              <w:left w:val="single" w:color="000000" w:sz="4" w:space="0"/>
              <w:bottom w:val="dotted" w:color="000000" w:sz="4" w:space="0"/>
              <w:right w:val="single" w:color="000000" w:sz="4"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280</w:t>
            </w:r>
          </w:p>
        </w:tc>
        <w:tc>
          <w:tcPr>
            <w:tcW w:w="2510" w:type="dxa"/>
            <w:tcBorders>
              <w:top w:val="single" w:color="000000" w:sz="4" w:space="0"/>
              <w:left w:val="single" w:color="000000" w:sz="4" w:space="0"/>
              <w:bottom w:val="dotted" w:color="000000" w:sz="4" w:space="0"/>
              <w:right w:val="single" w:color="000000" w:sz="4" w:space="0"/>
            </w:tcBorders>
            <w:shd w:val="clear" w:color="auto" w:fill="auto"/>
            <w:vAlign w:val="center"/>
          </w:tcPr>
          <w:p w:rsidR="008E7BF1" w:rsidP="00544B10"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w:t>
            </w:r>
          </w:p>
        </w:tc>
      </w:tr>
      <w:tr w:rsidR="008E7BF1" w:rsidTr="008E4052">
        <w:trPr>
          <w:trHeight w:val="465"/>
        </w:trPr>
        <w:tc>
          <w:tcPr>
            <w:tcW w:w="3270" w:type="dxa"/>
            <w:tcBorders>
              <w:top w:val="single" w:color="000000" w:sz="4" w:space="0"/>
              <w:left w:val="single" w:color="000000" w:sz="4" w:space="0"/>
              <w:bottom w:val="single" w:color="000000" w:sz="4" w:space="0"/>
              <w:right w:val="single" w:color="000000" w:sz="4" w:space="0"/>
            </w:tcBorders>
            <w:shd w:val="clear" w:color="auto" w:fill="BDD6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00" w:type="dxa"/>
            <w:tcBorders>
              <w:top w:val="single" w:color="000000" w:sz="4" w:space="0"/>
              <w:left w:val="single" w:color="000000" w:sz="4" w:space="0"/>
              <w:bottom w:val="single" w:color="000000" w:sz="4" w:space="0"/>
              <w:right w:val="dashed" w:color="000000" w:sz="4" w:space="0"/>
            </w:tcBorders>
            <w:shd w:val="clear" w:color="auto" w:fill="BDD6EE"/>
            <w:vAlign w:val="center"/>
          </w:tcPr>
          <w:p w:rsidR="008E7BF1" w:rsidRDefault="0034293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BDD6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89</w:t>
            </w:r>
          </w:p>
        </w:tc>
        <w:tc>
          <w:tcPr>
            <w:tcW w:w="900" w:type="dxa"/>
            <w:tcBorders>
              <w:top w:val="single" w:color="000000" w:sz="4" w:space="0"/>
              <w:left w:val="single" w:color="000000" w:sz="4" w:space="0"/>
              <w:bottom w:val="single" w:color="000000" w:sz="4" w:space="0"/>
              <w:right w:val="dashed" w:color="000000" w:sz="4" w:space="0"/>
            </w:tcBorders>
            <w:shd w:val="clear" w:color="auto" w:fill="BDD6EE"/>
            <w:vAlign w:val="center"/>
          </w:tcPr>
          <w:p w:rsidR="008E7BF1" w:rsidP="00342936"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r w:rsidR="00342936">
              <w:rPr>
                <w:rFonts w:ascii="Calibri" w:hAnsi="Calibri" w:eastAsia="Calibri" w:cs="Calibri"/>
                <w:b/>
                <w:color w:val="000000"/>
                <w:sz w:val="16"/>
                <w:szCs w:val="16"/>
              </w:rPr>
              <w:t>4</w:t>
            </w:r>
            <w:r>
              <w:rPr>
                <w:rFonts w:ascii="Calibri" w:hAnsi="Calibri" w:eastAsia="Calibri" w:cs="Calibri"/>
                <w:b/>
                <w:sz w:val="16"/>
                <w:szCs w:val="16"/>
              </w:rPr>
              <w:t>7</w:t>
            </w:r>
          </w:p>
        </w:tc>
        <w:tc>
          <w:tcPr>
            <w:tcW w:w="900" w:type="dxa"/>
            <w:tcBorders>
              <w:top w:val="single" w:color="000000" w:sz="4" w:space="0"/>
              <w:left w:val="single" w:color="000000" w:sz="4" w:space="0"/>
              <w:bottom w:val="single" w:color="000000" w:sz="4" w:space="0"/>
              <w:right w:val="single" w:color="000000" w:sz="4" w:space="0"/>
            </w:tcBorders>
            <w:shd w:val="clear" w:color="auto" w:fill="BDD6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sz w:val="16"/>
                <w:szCs w:val="16"/>
              </w:rPr>
              <w:t>151</w:t>
            </w:r>
            <w:r>
              <w:rPr>
                <w:rFonts w:ascii="Calibri" w:hAnsi="Calibri" w:eastAsia="Calibri" w:cs="Calibri"/>
                <w:b/>
                <w:color w:val="000000"/>
                <w:sz w:val="16"/>
                <w:szCs w:val="16"/>
              </w:rPr>
              <w:t> </w:t>
            </w:r>
          </w:p>
        </w:tc>
        <w:tc>
          <w:tcPr>
            <w:tcW w:w="900" w:type="dxa"/>
            <w:tcBorders>
              <w:top w:val="single" w:color="000000" w:sz="4" w:space="0"/>
              <w:left w:val="single" w:color="000000" w:sz="4" w:space="0"/>
              <w:bottom w:val="single" w:color="000000" w:sz="4" w:space="0"/>
              <w:right w:val="dashed" w:color="000000" w:sz="4" w:space="0"/>
            </w:tcBorders>
            <w:shd w:val="clear" w:color="auto" w:fill="BDD6EE"/>
            <w:vAlign w:val="center"/>
          </w:tcPr>
          <w:p w:rsidR="008E7BF1" w:rsidRDefault="00342936">
            <w:pPr>
              <w:widowControl/>
              <w:jc w:val="center"/>
              <w:rPr>
                <w:rFonts w:ascii="Calibri" w:hAnsi="Calibri" w:eastAsia="Calibri" w:cs="Calibri"/>
                <w:b/>
                <w:color w:val="000000"/>
                <w:sz w:val="16"/>
                <w:szCs w:val="16"/>
              </w:rPr>
            </w:pPr>
            <w:r>
              <w:rPr>
                <w:rFonts w:ascii="Calibri" w:hAnsi="Calibri" w:eastAsia="Calibri" w:cs="Calibri"/>
                <w:b/>
                <w:sz w:val="16"/>
                <w:szCs w:val="16"/>
              </w:rPr>
              <w:t>136.5</w:t>
            </w:r>
            <w:r w:rsidR="00A11D4D">
              <w:rPr>
                <w:rFonts w:ascii="Calibri" w:hAnsi="Calibri" w:eastAsia="Calibri" w:cs="Calibri"/>
                <w:b/>
                <w:color w:val="000000"/>
                <w:sz w:val="16"/>
                <w:szCs w:val="16"/>
              </w:rPr>
              <w:t> </w:t>
            </w:r>
          </w:p>
        </w:tc>
        <w:tc>
          <w:tcPr>
            <w:tcW w:w="915" w:type="dxa"/>
            <w:tcBorders>
              <w:top w:val="single" w:color="000000" w:sz="4" w:space="0"/>
              <w:left w:val="single" w:color="000000" w:sz="4" w:space="0"/>
              <w:bottom w:val="single" w:color="000000" w:sz="4" w:space="0"/>
              <w:right w:val="single" w:color="000000" w:sz="4" w:space="0"/>
            </w:tcBorders>
            <w:shd w:val="clear" w:color="auto" w:fill="BDD6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sz w:val="16"/>
                <w:szCs w:val="16"/>
              </w:rPr>
              <w:t>297</w:t>
            </w:r>
            <w:r>
              <w:rPr>
                <w:rFonts w:ascii="Calibri" w:hAnsi="Calibri" w:eastAsia="Calibri" w:cs="Calibri"/>
                <w:b/>
                <w:color w:val="000000"/>
                <w:sz w:val="16"/>
                <w:szCs w:val="16"/>
              </w:rPr>
              <w:t> </w:t>
            </w:r>
          </w:p>
        </w:tc>
        <w:tc>
          <w:tcPr>
            <w:tcW w:w="2510" w:type="dxa"/>
            <w:tcBorders>
              <w:top w:val="single" w:color="000000" w:sz="4" w:space="0"/>
              <w:left w:val="single" w:color="000000" w:sz="4" w:space="0"/>
              <w:bottom w:val="single" w:color="000000" w:sz="4" w:space="0"/>
              <w:right w:val="single" w:color="000000" w:sz="4" w:space="0"/>
            </w:tcBorders>
            <w:shd w:val="clear" w:color="auto" w:fill="000000"/>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8E7BF1" w:rsidTr="008E4052">
        <w:trPr>
          <w:trHeight w:val="285"/>
        </w:trPr>
        <w:tc>
          <w:tcPr>
            <w:tcW w:w="3270" w:type="dxa"/>
            <w:tcBorders>
              <w:top w:val="single" w:color="000000" w:sz="4" w:space="0"/>
              <w:left w:val="single" w:color="000000" w:sz="4" w:space="0"/>
              <w:bottom w:val="single" w:color="000000" w:sz="4" w:space="0"/>
              <w:right w:val="single" w:color="000000" w:sz="4" w:space="0"/>
            </w:tcBorders>
            <w:shd w:val="clear" w:color="auto" w:fill="FCE4D6"/>
            <w:vAlign w:val="bottom"/>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CE4D6"/>
            <w:vAlign w:val="bottom"/>
          </w:tcPr>
          <w:p w:rsidR="008E7BF1" w:rsidP="00342936" w:rsidRDefault="00A11D4D">
            <w:pPr>
              <w:widowControl/>
              <w:jc w:val="center"/>
              <w:rPr>
                <w:rFonts w:ascii="Calibri" w:hAnsi="Calibri" w:eastAsia="Calibri" w:cs="Calibri"/>
                <w:color w:val="000000"/>
              </w:rPr>
            </w:pPr>
            <w:r>
              <w:rPr>
                <w:rFonts w:ascii="Calibri" w:hAnsi="Calibri" w:eastAsia="Calibri" w:cs="Calibri"/>
                <w:color w:val="000000"/>
              </w:rPr>
              <w:t> -</w:t>
            </w:r>
            <w:r w:rsidR="00342936">
              <w:rPr>
                <w:rFonts w:ascii="Calibri" w:hAnsi="Calibri" w:eastAsia="Calibri" w:cs="Calibri"/>
                <w:color w:val="000000"/>
              </w:rPr>
              <w:t>77</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CE4D6"/>
            <w:vAlign w:val="bottom"/>
          </w:tcPr>
          <w:p w:rsidR="008E7BF1" w:rsidP="00A11D4D" w:rsidRDefault="00342936">
            <w:pPr>
              <w:widowControl/>
              <w:jc w:val="center"/>
              <w:rPr>
                <w:rFonts w:ascii="Calibri" w:hAnsi="Calibri" w:eastAsia="Calibri" w:cs="Calibri"/>
              </w:rPr>
            </w:pPr>
            <w:r>
              <w:rPr>
                <w:rFonts w:ascii="Calibri" w:hAnsi="Calibri" w:eastAsia="Calibri" w:cs="Calibri"/>
              </w:rPr>
              <w:t>-104</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CE4D6"/>
            <w:vAlign w:val="bottom"/>
          </w:tcPr>
          <w:p w:rsidR="008E7BF1" w:rsidP="00F97079" w:rsidRDefault="00342936">
            <w:pPr>
              <w:widowControl/>
              <w:jc w:val="center"/>
              <w:rPr>
                <w:rFonts w:ascii="Calibri" w:hAnsi="Calibri" w:eastAsia="Calibri" w:cs="Calibri"/>
                <w:color w:val="000000"/>
              </w:rPr>
            </w:pPr>
            <w:r>
              <w:rPr>
                <w:rFonts w:ascii="Calibri" w:hAnsi="Calibri" w:eastAsia="Calibri" w:cs="Calibri"/>
              </w:rPr>
              <w:t>-160.5</w:t>
            </w:r>
          </w:p>
        </w:tc>
        <w:tc>
          <w:tcPr>
            <w:tcW w:w="2510" w:type="dxa"/>
            <w:tcBorders>
              <w:top w:val="single" w:color="000000" w:sz="4" w:space="0"/>
              <w:left w:val="single" w:color="000000" w:sz="4" w:space="0"/>
              <w:bottom w:val="single" w:color="000000" w:sz="4" w:space="0"/>
              <w:right w:val="single" w:color="000000" w:sz="4" w:space="0"/>
            </w:tcBorders>
            <w:shd w:val="clear" w:color="auto" w:fill="000000"/>
            <w:vAlign w:val="bottom"/>
          </w:tcPr>
          <w:p w:rsidR="008E7BF1" w:rsidRDefault="00A11D4D">
            <w:pPr>
              <w:widowControl/>
              <w:rPr>
                <w:rFonts w:ascii="Calibri" w:hAnsi="Calibri" w:eastAsia="Calibri" w:cs="Calibri"/>
                <w:color w:val="000000"/>
              </w:rPr>
            </w:pPr>
            <w:r>
              <w:rPr>
                <w:rFonts w:ascii="Calibri" w:hAnsi="Calibri" w:eastAsia="Calibri" w:cs="Calibri"/>
                <w:color w:val="000000"/>
              </w:rPr>
              <w:t> </w:t>
            </w:r>
          </w:p>
        </w:tc>
      </w:tr>
    </w:tbl>
    <w:p w:rsidR="008E7BF1" w:rsidRDefault="008E7BF1">
      <w:pPr>
        <w:pBdr>
          <w:top w:val="nil"/>
          <w:left w:val="nil"/>
          <w:bottom w:val="nil"/>
          <w:right w:val="nil"/>
          <w:between w:val="nil"/>
        </w:pBdr>
        <w:spacing w:before="7"/>
        <w:rPr>
          <w:b/>
          <w:color w:val="000000"/>
        </w:rPr>
      </w:pPr>
    </w:p>
    <w:p w:rsidR="008E7BF1" w:rsidRDefault="008E7BF1">
      <w:pPr>
        <w:pBdr>
          <w:top w:val="nil"/>
          <w:left w:val="nil"/>
          <w:bottom w:val="nil"/>
          <w:right w:val="nil"/>
          <w:between w:val="nil"/>
        </w:pBdr>
        <w:spacing w:before="7"/>
        <w:rPr>
          <w:b/>
          <w:color w:val="000000"/>
        </w:rPr>
      </w:pPr>
    </w:p>
    <w:tbl>
      <w:tblPr>
        <w:tblStyle w:val="a9"/>
        <w:tblW w:w="10635" w:type="dxa"/>
        <w:tblInd w:w="-25" w:type="dxa"/>
        <w:tblLayout w:type="fixed"/>
        <w:tblLook w:val="0400" w:firstRow="0" w:lastRow="0" w:firstColumn="0" w:lastColumn="0" w:noHBand="0" w:noVBand="1"/>
      </w:tblPr>
      <w:tblGrid>
        <w:gridCol w:w="2985"/>
        <w:gridCol w:w="900"/>
        <w:gridCol w:w="990"/>
        <w:gridCol w:w="900"/>
        <w:gridCol w:w="860"/>
        <w:gridCol w:w="4000"/>
      </w:tblGrid>
      <w:tr w:rsidR="008E7BF1" w:rsidTr="008E4052">
        <w:trPr>
          <w:trHeight w:val="315"/>
        </w:trPr>
        <w:tc>
          <w:tcPr>
            <w:tcW w:w="298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1760" w:type="dxa"/>
            <w:gridSpan w:val="2"/>
            <w:tcBorders>
              <w:top w:val="single" w:color="000000" w:sz="8" w:space="0"/>
              <w:left w:val="nil"/>
              <w:bottom w:val="single" w:color="000000" w:sz="8" w:space="0"/>
              <w:right w:val="single" w:color="000000" w:sz="8" w:space="0"/>
            </w:tcBorders>
            <w:shd w:val="clear" w:color="auto" w:fill="5B9BD5"/>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400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8E7BF1" w:rsidP="00544B10"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8E7BF1" w:rsidTr="008E4052">
        <w:trPr>
          <w:trHeight w:val="690"/>
        </w:trPr>
        <w:tc>
          <w:tcPr>
            <w:tcW w:w="298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8E7BF1" w:rsidRDefault="008E7BF1">
            <w:pPr>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90" w:type="dxa"/>
            <w:tcBorders>
              <w:top w:val="nil"/>
              <w:left w:val="nil"/>
              <w:bottom w:val="single" w:color="000000" w:sz="8" w:space="0"/>
              <w:right w:val="single" w:color="000000" w:sz="8" w:space="0"/>
            </w:tcBorders>
            <w:shd w:val="clear" w:color="auto" w:fill="FBE4D5"/>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900" w:type="dxa"/>
            <w:tcBorders>
              <w:top w:val="nil"/>
              <w:left w:val="nil"/>
              <w:bottom w:val="single" w:color="000000" w:sz="8" w:space="0"/>
              <w:right w:val="dashed" w:color="000000" w:sz="8" w:space="0"/>
            </w:tcBorders>
            <w:shd w:val="clear" w:color="auto" w:fill="FBE4D5"/>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860" w:type="dxa"/>
            <w:tcBorders>
              <w:top w:val="nil"/>
              <w:left w:val="nil"/>
              <w:bottom w:val="single" w:color="000000" w:sz="8" w:space="0"/>
              <w:right w:val="single" w:color="000000" w:sz="8" w:space="0"/>
            </w:tcBorders>
            <w:shd w:val="clear" w:color="auto" w:fill="FBE4D5"/>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400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8E7BF1" w:rsidRDefault="008E7BF1">
            <w:pPr>
              <w:pBdr>
                <w:top w:val="nil"/>
                <w:left w:val="nil"/>
                <w:bottom w:val="nil"/>
                <w:right w:val="nil"/>
                <w:between w:val="nil"/>
              </w:pBdr>
              <w:spacing w:line="276" w:lineRule="auto"/>
              <w:rPr>
                <w:rFonts w:ascii="Calibri" w:hAnsi="Calibri" w:eastAsia="Calibri" w:cs="Calibri"/>
                <w:color w:val="000000"/>
                <w:sz w:val="16"/>
                <w:szCs w:val="16"/>
              </w:rPr>
            </w:pPr>
          </w:p>
        </w:tc>
      </w:tr>
      <w:tr w:rsidR="008E7BF1" w:rsidTr="008E4052">
        <w:trPr>
          <w:trHeight w:val="315"/>
        </w:trPr>
        <w:tc>
          <w:tcPr>
            <w:tcW w:w="2985" w:type="dxa"/>
            <w:tcBorders>
              <w:top w:val="nil"/>
              <w:left w:val="single" w:color="000000" w:sz="8" w:space="0"/>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sz w:val="16"/>
                <w:szCs w:val="16"/>
              </w:rPr>
            </w:pPr>
            <w:r>
              <w:rPr>
                <w:rFonts w:ascii="Calibri" w:hAnsi="Calibri" w:eastAsia="Calibri" w:cs="Calibri"/>
                <w:sz w:val="16"/>
                <w:szCs w:val="16"/>
              </w:rPr>
              <w:t> CRCP Administration Matching Funds Waiver Request</w:t>
            </w:r>
          </w:p>
        </w:tc>
        <w:tc>
          <w:tcPr>
            <w:tcW w:w="900" w:type="dxa"/>
            <w:tcBorders>
              <w:top w:val="nil"/>
              <w:left w:val="nil"/>
              <w:bottom w:val="dotted" w:color="000000" w:sz="4" w:space="0"/>
              <w:right w:val="dashed" w:color="000000" w:sz="8" w:space="0"/>
            </w:tcBorders>
            <w:shd w:val="clear" w:color="auto" w:fill="auto"/>
            <w:vAlign w:val="center"/>
          </w:tcPr>
          <w:p w:rsidR="008E7BF1" w:rsidRDefault="00A11D4D">
            <w:pPr>
              <w:widowControl/>
              <w:jc w:val="right"/>
              <w:rPr>
                <w:rFonts w:ascii="Calibri" w:hAnsi="Calibri" w:eastAsia="Calibri" w:cs="Calibri"/>
                <w:color w:val="000000"/>
                <w:sz w:val="16"/>
                <w:szCs w:val="16"/>
              </w:rPr>
            </w:pPr>
            <w:r>
              <w:rPr>
                <w:rFonts w:ascii="Calibri" w:hAnsi="Calibri" w:eastAsia="Calibri" w:cs="Calibri"/>
                <w:sz w:val="16"/>
                <w:szCs w:val="16"/>
              </w:rPr>
              <w:t>$634.73</w:t>
            </w:r>
          </w:p>
        </w:tc>
        <w:tc>
          <w:tcPr>
            <w:tcW w:w="990" w:type="dxa"/>
            <w:tcBorders>
              <w:top w:val="nil"/>
              <w:left w:val="nil"/>
              <w:bottom w:val="dotted" w:color="000000" w:sz="4" w:space="0"/>
              <w:right w:val="single" w:color="000000" w:sz="8"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Not previously calculated</w:t>
            </w: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 $0</w:t>
            </w:r>
          </w:p>
        </w:tc>
        <w:tc>
          <w:tcPr>
            <w:tcW w:w="860" w:type="dxa"/>
            <w:tcBorders>
              <w:top w:val="nil"/>
              <w:left w:val="nil"/>
              <w:bottom w:val="dotted" w:color="000000" w:sz="4" w:space="0"/>
              <w:right w:val="single" w:color="000000" w:sz="8"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$0</w:t>
            </w:r>
            <w:r>
              <w:rPr>
                <w:rFonts w:ascii="Calibri" w:hAnsi="Calibri" w:eastAsia="Calibri" w:cs="Calibri"/>
                <w:color w:val="000000"/>
                <w:sz w:val="16"/>
                <w:szCs w:val="16"/>
              </w:rPr>
              <w:t> </w:t>
            </w:r>
          </w:p>
        </w:tc>
        <w:tc>
          <w:tcPr>
            <w:tcW w:w="4000" w:type="dxa"/>
            <w:tcBorders>
              <w:top w:val="nil"/>
              <w:left w:val="nil"/>
              <w:bottom w:val="dotted" w:color="000000" w:sz="4" w:space="0"/>
              <w:right w:val="single" w:color="000000" w:sz="8" w:space="0"/>
            </w:tcBorders>
            <w:shd w:val="clear" w:color="auto" w:fill="auto"/>
            <w:vAlign w:val="center"/>
          </w:tcPr>
          <w:p w:rsidR="008E7BF1" w:rsidRDefault="00A11D4D">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8E7BF1" w:rsidTr="008E4052">
        <w:trPr>
          <w:trHeight w:val="315"/>
        </w:trPr>
        <w:tc>
          <w:tcPr>
            <w:tcW w:w="2985" w:type="dxa"/>
            <w:tcBorders>
              <w:top w:val="nil"/>
              <w:left w:val="single" w:color="000000" w:sz="8" w:space="0"/>
              <w:bottom w:val="single" w:color="000000" w:sz="4" w:space="0"/>
              <w:right w:val="single" w:color="000000" w:sz="4" w:space="0"/>
            </w:tcBorders>
            <w:shd w:val="clear" w:color="auto" w:fill="auto"/>
            <w:vAlign w:val="bottom"/>
          </w:tcPr>
          <w:p w:rsidR="008E7BF1" w:rsidRDefault="00A11D4D">
            <w:pPr>
              <w:widowControl/>
              <w:rPr>
                <w:rFonts w:ascii="Calibri" w:hAnsi="Calibri" w:eastAsia="Calibri" w:cs="Calibri"/>
                <w:sz w:val="16"/>
                <w:szCs w:val="16"/>
              </w:rPr>
            </w:pPr>
            <w:r>
              <w:rPr>
                <w:rFonts w:ascii="Calibri" w:hAnsi="Calibri" w:eastAsia="Calibri" w:cs="Calibri"/>
                <w:sz w:val="16"/>
                <w:szCs w:val="16"/>
              </w:rPr>
              <w:t> CRCP Reviewer Comments</w:t>
            </w:r>
          </w:p>
        </w:tc>
        <w:tc>
          <w:tcPr>
            <w:tcW w:w="900" w:type="dxa"/>
            <w:tcBorders>
              <w:top w:val="nil"/>
              <w:left w:val="nil"/>
              <w:bottom w:val="dotted" w:color="000000" w:sz="4" w:space="0"/>
              <w:right w:val="dashed" w:color="000000" w:sz="8"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$7,616.70</w:t>
            </w:r>
          </w:p>
        </w:tc>
        <w:tc>
          <w:tcPr>
            <w:tcW w:w="990" w:type="dxa"/>
            <w:tcBorders>
              <w:top w:val="nil"/>
              <w:left w:val="nil"/>
              <w:bottom w:val="dotted" w:color="000000" w:sz="4" w:space="0"/>
              <w:right w:val="single" w:color="000000" w:sz="8"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Not previously calculated </w:t>
            </w: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860" w:type="dxa"/>
            <w:tcBorders>
              <w:top w:val="nil"/>
              <w:left w:val="nil"/>
              <w:bottom w:val="dotted" w:color="000000" w:sz="4" w:space="0"/>
              <w:right w:val="single" w:color="000000" w:sz="8" w:space="0"/>
            </w:tcBorders>
            <w:shd w:val="clear" w:color="auto" w:fill="auto"/>
            <w:vAlign w:val="center"/>
          </w:tcPr>
          <w:p w:rsidR="008E7BF1" w:rsidRDefault="00A11D4D">
            <w:pPr>
              <w:widowControl/>
              <w:jc w:val="center"/>
              <w:rPr>
                <w:rFonts w:ascii="Calibri" w:hAnsi="Calibri" w:eastAsia="Calibri" w:cs="Calibri"/>
                <w:color w:val="000000"/>
                <w:sz w:val="16"/>
                <w:szCs w:val="16"/>
              </w:rPr>
            </w:pPr>
            <w:r>
              <w:rPr>
                <w:rFonts w:ascii="Calibri" w:hAnsi="Calibri" w:eastAsia="Calibri" w:cs="Calibri"/>
                <w:sz w:val="16"/>
                <w:szCs w:val="16"/>
              </w:rPr>
              <w:t>$35</w:t>
            </w:r>
            <w:r>
              <w:rPr>
                <w:rFonts w:ascii="Calibri" w:hAnsi="Calibri" w:eastAsia="Calibri" w:cs="Calibri"/>
                <w:color w:val="000000"/>
                <w:sz w:val="16"/>
                <w:szCs w:val="16"/>
              </w:rPr>
              <w:t> </w:t>
            </w:r>
          </w:p>
        </w:tc>
        <w:tc>
          <w:tcPr>
            <w:tcW w:w="4000" w:type="dxa"/>
            <w:tcBorders>
              <w:top w:val="nil"/>
              <w:left w:val="nil"/>
              <w:bottom w:val="dotted" w:color="000000" w:sz="4" w:space="0"/>
              <w:right w:val="single" w:color="000000" w:sz="8" w:space="0"/>
            </w:tcBorders>
            <w:shd w:val="clear" w:color="auto" w:fill="auto"/>
            <w:vAlign w:val="center"/>
          </w:tcPr>
          <w:p w:rsidR="008E7BF1" w:rsidRDefault="00A11D4D">
            <w:pPr>
              <w:widowControl/>
              <w:rPr>
                <w:rFonts w:ascii="Calibri" w:hAnsi="Calibri" w:eastAsia="Calibri" w:cs="Calibri"/>
                <w:sz w:val="16"/>
                <w:szCs w:val="16"/>
              </w:rPr>
            </w:pPr>
            <w:r>
              <w:rPr>
                <w:rFonts w:ascii="Calibri" w:hAnsi="Calibri" w:eastAsia="Calibri" w:cs="Calibri"/>
                <w:sz w:val="16"/>
                <w:szCs w:val="16"/>
              </w:rPr>
              <w:t> All submissions are electronic, so there are no longer misc. costs to the respondent.</w:t>
            </w:r>
          </w:p>
        </w:tc>
      </w:tr>
      <w:tr w:rsidR="008E7BF1" w:rsidTr="008E4052">
        <w:trPr>
          <w:trHeight w:val="465"/>
        </w:trPr>
        <w:tc>
          <w:tcPr>
            <w:tcW w:w="2985" w:type="dxa"/>
            <w:tcBorders>
              <w:top w:val="nil"/>
              <w:left w:val="single" w:color="000000" w:sz="8" w:space="0"/>
              <w:bottom w:val="nil"/>
              <w:right w:val="single" w:color="000000" w:sz="8" w:space="0"/>
            </w:tcBorders>
            <w:shd w:val="clear" w:color="auto" w:fill="BDD6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00" w:type="dxa"/>
            <w:tcBorders>
              <w:top w:val="nil"/>
              <w:left w:val="nil"/>
              <w:bottom w:val="nil"/>
              <w:right w:val="dashed" w:color="000000" w:sz="8" w:space="0"/>
            </w:tcBorders>
            <w:shd w:val="clear" w:color="auto" w:fill="BDD6EE"/>
            <w:vAlign w:val="center"/>
          </w:tcPr>
          <w:p w:rsidRPr="00342936" w:rsidR="008E7BF1" w:rsidRDefault="00F97079">
            <w:pPr>
              <w:widowControl/>
              <w:jc w:val="center"/>
              <w:rPr>
                <w:rFonts w:ascii="Calibri" w:hAnsi="Calibri" w:eastAsia="Calibri" w:cs="Calibri"/>
                <w:b/>
                <w:color w:val="000000"/>
                <w:sz w:val="18"/>
                <w:szCs w:val="18"/>
              </w:rPr>
            </w:pPr>
            <w:r w:rsidRPr="00342936">
              <w:rPr>
                <w:rFonts w:ascii="Calibri" w:hAnsi="Calibri" w:eastAsia="Calibri" w:cs="Calibri"/>
                <w:b/>
                <w:sz w:val="18"/>
                <w:szCs w:val="18"/>
              </w:rPr>
              <w:t>$</w:t>
            </w:r>
            <w:r w:rsidRPr="00342936" w:rsidR="00342936">
              <w:rPr>
                <w:rFonts w:ascii="Calibri" w:hAnsi="Calibri" w:eastAsia="Calibri" w:cs="Calibri"/>
                <w:b/>
                <w:sz w:val="18"/>
                <w:szCs w:val="18"/>
              </w:rPr>
              <w:t>8,251.43</w:t>
            </w:r>
          </w:p>
        </w:tc>
        <w:tc>
          <w:tcPr>
            <w:tcW w:w="990" w:type="dxa"/>
            <w:tcBorders>
              <w:top w:val="nil"/>
              <w:left w:val="nil"/>
              <w:bottom w:val="nil"/>
              <w:right w:val="single" w:color="000000" w:sz="8" w:space="0"/>
            </w:tcBorders>
            <w:shd w:val="clear" w:color="auto" w:fill="BDD6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sz w:val="16"/>
                <w:szCs w:val="16"/>
              </w:rPr>
              <w:t>N/A</w:t>
            </w:r>
            <w:r>
              <w:rPr>
                <w:rFonts w:ascii="Calibri" w:hAnsi="Calibri" w:eastAsia="Calibri" w:cs="Calibri"/>
                <w:b/>
                <w:color w:val="000000"/>
                <w:sz w:val="16"/>
                <w:szCs w:val="16"/>
              </w:rPr>
              <w:t> </w:t>
            </w:r>
          </w:p>
        </w:tc>
        <w:tc>
          <w:tcPr>
            <w:tcW w:w="900" w:type="dxa"/>
            <w:tcBorders>
              <w:top w:val="nil"/>
              <w:left w:val="nil"/>
              <w:bottom w:val="nil"/>
              <w:right w:val="dashed" w:color="000000" w:sz="8" w:space="0"/>
            </w:tcBorders>
            <w:shd w:val="clear" w:color="auto" w:fill="BDD6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sz w:val="16"/>
                <w:szCs w:val="16"/>
              </w:rPr>
              <w:t>$0</w:t>
            </w:r>
          </w:p>
        </w:tc>
        <w:tc>
          <w:tcPr>
            <w:tcW w:w="860" w:type="dxa"/>
            <w:tcBorders>
              <w:top w:val="nil"/>
              <w:left w:val="nil"/>
              <w:bottom w:val="nil"/>
              <w:right w:val="single" w:color="000000" w:sz="8" w:space="0"/>
            </w:tcBorders>
            <w:shd w:val="clear" w:color="auto" w:fill="BDD6EE"/>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sz w:val="16"/>
                <w:szCs w:val="16"/>
              </w:rPr>
              <w:t>$35</w:t>
            </w:r>
            <w:r>
              <w:rPr>
                <w:rFonts w:ascii="Calibri" w:hAnsi="Calibri" w:eastAsia="Calibri" w:cs="Calibri"/>
                <w:b/>
                <w:color w:val="000000"/>
                <w:sz w:val="16"/>
                <w:szCs w:val="16"/>
              </w:rPr>
              <w:t> </w:t>
            </w:r>
          </w:p>
        </w:tc>
        <w:tc>
          <w:tcPr>
            <w:tcW w:w="4000" w:type="dxa"/>
            <w:tcBorders>
              <w:top w:val="nil"/>
              <w:left w:val="nil"/>
              <w:bottom w:val="nil"/>
              <w:right w:val="single" w:color="000000" w:sz="8" w:space="0"/>
            </w:tcBorders>
            <w:shd w:val="clear" w:color="auto" w:fill="000000"/>
            <w:vAlign w:val="center"/>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sz w:val="16"/>
                <w:szCs w:val="16"/>
              </w:rPr>
              <w:t>f</w:t>
            </w:r>
          </w:p>
        </w:tc>
      </w:tr>
      <w:tr w:rsidR="008E7BF1" w:rsidTr="008E4052">
        <w:trPr>
          <w:trHeight w:val="315"/>
        </w:trPr>
        <w:tc>
          <w:tcPr>
            <w:tcW w:w="2985" w:type="dxa"/>
            <w:tcBorders>
              <w:top w:val="single" w:color="000000" w:sz="8" w:space="0"/>
              <w:left w:val="single" w:color="000000" w:sz="8" w:space="0"/>
              <w:bottom w:val="single" w:color="000000" w:sz="8" w:space="0"/>
              <w:right w:val="nil"/>
            </w:tcBorders>
            <w:shd w:val="clear" w:color="auto" w:fill="FCE4D6"/>
            <w:vAlign w:val="bottom"/>
          </w:tcPr>
          <w:p w:rsidR="008E7BF1" w:rsidRDefault="00A11D4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8E7BF1" w:rsidP="00F97079" w:rsidRDefault="00342936">
            <w:pPr>
              <w:widowControl/>
              <w:jc w:val="center"/>
              <w:rPr>
                <w:rFonts w:ascii="Calibri" w:hAnsi="Calibri" w:eastAsia="Calibri" w:cs="Calibri"/>
                <w:color w:val="000000"/>
              </w:rPr>
            </w:pPr>
            <w:r>
              <w:rPr>
                <w:rFonts w:ascii="Calibri" w:hAnsi="Calibri" w:eastAsia="Calibri" w:cs="Calibri"/>
                <w:color w:val="000000"/>
              </w:rPr>
              <w:t>+</w:t>
            </w:r>
            <w:r w:rsidR="00A11D4D">
              <w:rPr>
                <w:rFonts w:ascii="Calibri" w:hAnsi="Calibri" w:eastAsia="Calibri" w:cs="Calibri"/>
                <w:color w:val="000000"/>
              </w:rPr>
              <w:t> </w:t>
            </w:r>
            <w:r>
              <w:rPr>
                <w:rFonts w:ascii="Calibri" w:hAnsi="Calibri" w:eastAsia="Calibri" w:cs="Calibri"/>
                <w:b/>
              </w:rPr>
              <w:t>8,251.43</w:t>
            </w:r>
          </w:p>
        </w:tc>
        <w:tc>
          <w:tcPr>
            <w:tcW w:w="1760" w:type="dxa"/>
            <w:gridSpan w:val="2"/>
            <w:tcBorders>
              <w:top w:val="single" w:color="000000" w:sz="8" w:space="0"/>
              <w:left w:val="nil"/>
              <w:bottom w:val="single" w:color="000000" w:sz="8" w:space="0"/>
              <w:right w:val="single" w:color="000000" w:sz="4" w:space="0"/>
            </w:tcBorders>
            <w:shd w:val="clear" w:color="auto" w:fill="FCE4D6"/>
            <w:vAlign w:val="bottom"/>
          </w:tcPr>
          <w:p w:rsidR="008E7BF1" w:rsidRDefault="00A11D4D">
            <w:pPr>
              <w:widowControl/>
              <w:jc w:val="center"/>
              <w:rPr>
                <w:rFonts w:ascii="Calibri" w:hAnsi="Calibri" w:eastAsia="Calibri" w:cs="Calibri"/>
                <w:color w:val="000000"/>
              </w:rPr>
            </w:pPr>
            <w:r>
              <w:rPr>
                <w:rFonts w:ascii="Calibri" w:hAnsi="Calibri" w:eastAsia="Calibri" w:cs="Calibri"/>
              </w:rPr>
              <w:t>-$35</w:t>
            </w:r>
          </w:p>
        </w:tc>
        <w:tc>
          <w:tcPr>
            <w:tcW w:w="4000" w:type="dxa"/>
            <w:tcBorders>
              <w:top w:val="single" w:color="000000" w:sz="8" w:space="0"/>
              <w:left w:val="nil"/>
              <w:bottom w:val="single" w:color="000000" w:sz="8" w:space="0"/>
              <w:right w:val="single" w:color="000000" w:sz="8" w:space="0"/>
            </w:tcBorders>
            <w:shd w:val="clear" w:color="auto" w:fill="000000"/>
            <w:vAlign w:val="bottom"/>
          </w:tcPr>
          <w:p w:rsidR="008E7BF1" w:rsidRDefault="00A11D4D">
            <w:pPr>
              <w:widowControl/>
              <w:rPr>
                <w:rFonts w:ascii="Calibri" w:hAnsi="Calibri" w:eastAsia="Calibri" w:cs="Calibri"/>
                <w:color w:val="000000"/>
              </w:rPr>
            </w:pPr>
            <w:r>
              <w:rPr>
                <w:rFonts w:ascii="Calibri" w:hAnsi="Calibri" w:eastAsia="Calibri" w:cs="Calibri"/>
                <w:color w:val="000000"/>
              </w:rPr>
              <w:t> </w:t>
            </w:r>
          </w:p>
        </w:tc>
      </w:tr>
    </w:tbl>
    <w:p w:rsidR="008E7BF1" w:rsidRDefault="008E7BF1">
      <w:pPr>
        <w:pBdr>
          <w:top w:val="nil"/>
          <w:left w:val="nil"/>
          <w:bottom w:val="nil"/>
          <w:right w:val="nil"/>
          <w:between w:val="nil"/>
        </w:pBdr>
        <w:spacing w:before="7"/>
        <w:rPr>
          <w:b/>
          <w:color w:val="000000"/>
        </w:rPr>
        <w:sectPr w:rsidR="008E7BF1" w:rsidSect="008E4052">
          <w:pgSz w:w="12240" w:h="15840"/>
          <w:pgMar w:top="1080" w:right="1620" w:bottom="1080" w:left="1200" w:header="0" w:footer="1014" w:gutter="0"/>
          <w:cols w:space="720"/>
        </w:sectPr>
      </w:pPr>
    </w:p>
    <w:p w:rsidR="008E7BF1" w:rsidRDefault="008E7BF1">
      <w:pPr>
        <w:pBdr>
          <w:top w:val="nil"/>
          <w:left w:val="nil"/>
          <w:bottom w:val="nil"/>
          <w:right w:val="nil"/>
          <w:between w:val="nil"/>
        </w:pBdr>
        <w:spacing w:before="7"/>
        <w:rPr>
          <w:b/>
          <w:color w:val="000000"/>
        </w:rPr>
      </w:pPr>
    </w:p>
    <w:p w:rsidR="008E7BF1" w:rsidRDefault="00A11D4D">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E7BF1" w:rsidP="00510ACC" w:rsidRDefault="00A11D4D">
      <w:pPr>
        <w:pBdr>
          <w:top w:val="nil"/>
          <w:left w:val="nil"/>
          <w:bottom w:val="nil"/>
          <w:right w:val="nil"/>
          <w:between w:val="nil"/>
        </w:pBdr>
        <w:spacing w:before="240"/>
        <w:ind w:firstLine="720"/>
      </w:pPr>
      <w:r>
        <w:t>This information is not published or made publicly available.</w:t>
      </w:r>
    </w:p>
    <w:p w:rsidR="008E7BF1" w:rsidRDefault="008E7BF1">
      <w:pPr>
        <w:pBdr>
          <w:top w:val="nil"/>
          <w:left w:val="nil"/>
          <w:bottom w:val="nil"/>
          <w:right w:val="nil"/>
          <w:between w:val="nil"/>
        </w:pBdr>
        <w:spacing w:before="160"/>
        <w:ind w:firstLine="720"/>
      </w:pPr>
    </w:p>
    <w:p w:rsidR="008E7BF1" w:rsidRDefault="00A11D4D">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8E7BF1" w:rsidP="00510ACC" w:rsidRDefault="00A11D4D">
      <w:pPr>
        <w:spacing w:before="240"/>
        <w:ind w:firstLine="720"/>
      </w:pPr>
      <w:r>
        <w:t>The agency plans to display the expiration date for OMB approval of the information collection on all instruments.</w:t>
      </w:r>
    </w:p>
    <w:p w:rsidR="008E7BF1" w:rsidRDefault="008E7BF1">
      <w:pPr>
        <w:spacing w:before="161"/>
        <w:rPr>
          <w:i/>
        </w:rPr>
      </w:pPr>
    </w:p>
    <w:p w:rsidR="008E7BF1" w:rsidRDefault="00A11D4D">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8E7BF1" w:rsidP="00510ACC" w:rsidRDefault="00A11D4D">
      <w:pPr>
        <w:spacing w:before="240" w:line="259" w:lineRule="auto"/>
        <w:ind w:firstLine="720"/>
      </w:pPr>
      <w:r>
        <w:t xml:space="preserve">The agency certifies compliance with </w:t>
      </w:r>
      <w:hyperlink r:id="rId12">
        <w:r>
          <w:rPr>
            <w:color w:val="0563C1"/>
            <w:u w:val="single"/>
          </w:rPr>
          <w:t>5 CFR 1320.9</w:t>
        </w:r>
      </w:hyperlink>
      <w:hyperlink r:id="rId13">
        <w:r>
          <w:rPr>
            <w:color w:val="0563C1"/>
          </w:rPr>
          <w:t xml:space="preserve"> </w:t>
        </w:r>
      </w:hyperlink>
      <w:r>
        <w:t xml:space="preserve">and the related provisions of </w:t>
      </w:r>
      <w:hyperlink r:id="rId14">
        <w:r>
          <w:rPr>
            <w:color w:val="0563C1"/>
            <w:u w:val="single"/>
          </w:rPr>
          <w:t>5 CFR</w:t>
        </w:r>
      </w:hyperlink>
      <w:r>
        <w:rPr>
          <w:color w:val="0563C1"/>
        </w:rPr>
        <w:t xml:space="preserve"> </w:t>
      </w:r>
      <w:hyperlink r:id="rId15">
        <w:r>
          <w:rPr>
            <w:color w:val="0563C1"/>
            <w:u w:val="single"/>
          </w:rPr>
          <w:t>1320.8(b)(3)</w:t>
        </w:r>
      </w:hyperlink>
      <w:r>
        <w:t>.</w:t>
      </w:r>
    </w:p>
    <w:p w:rsidR="008E7BF1" w:rsidRDefault="008E7BF1">
      <w:pPr>
        <w:spacing w:before="221" w:line="259" w:lineRule="auto"/>
        <w:jc w:val="both"/>
        <w:rPr>
          <w:color w:val="FF0000"/>
        </w:rPr>
      </w:pPr>
      <w:bookmarkStart w:name="_heading=h.gjdgxs" w:colFirst="0" w:colLast="0" w:id="1"/>
      <w:bookmarkEnd w:id="1"/>
    </w:p>
    <w:sectPr w:rsidR="008E7BF1">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C1A" w:rsidRDefault="00A11D4D">
      <w:r>
        <w:separator/>
      </w:r>
    </w:p>
  </w:endnote>
  <w:endnote w:type="continuationSeparator" w:id="0">
    <w:p w:rsidR="00C21C1A" w:rsidRDefault="00A1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F1" w:rsidRDefault="00A11D4D">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0" locked="0" layoutInCell="1" hidden="0" allowOverlap="1">
              <wp:simplePos x="0" y="0"/>
              <wp:positionH relativeFrom="column">
                <wp:posOffset>-354965</wp:posOffset>
              </wp:positionH>
              <wp:positionV relativeFrom="paragraph">
                <wp:posOffset>66675</wp:posOffset>
              </wp:positionV>
              <wp:extent cx="809625" cy="247650"/>
              <wp:effectExtent l="0" t="0" r="9525" b="0"/>
              <wp:wrapSquare wrapText="bothSides" distT="0" distB="0" distL="0" distR="0"/>
              <wp:docPr id="4" name=""/>
              <wp:cNvGraphicFramePr/>
              <a:graphic xmlns:a="http://schemas.openxmlformats.org/drawingml/2006/main">
                <a:graphicData uri="http://schemas.microsoft.com/office/word/2010/wordprocessingShape">
                  <wps:wsp>
                    <wps:cNvSpPr/>
                    <wps:spPr>
                      <a:xfrm>
                        <a:off x="0" y="0"/>
                        <a:ext cx="809625" cy="247650"/>
                      </a:xfrm>
                      <a:prstGeom prst="rect">
                        <a:avLst/>
                      </a:prstGeom>
                      <a:noFill/>
                      <a:ln>
                        <a:noFill/>
                      </a:ln>
                    </wps:spPr>
                    <wps:txbx>
                      <w:txbxContent>
                        <w:p w:rsidR="008E7BF1" w:rsidRDefault="00A11D4D">
                          <w:pPr>
                            <w:spacing w:line="245" w:lineRule="auto"/>
                            <w:ind w:left="20" w:firstLine="40"/>
                            <w:textDirection w:val="btLr"/>
                          </w:pPr>
                          <w:r>
                            <w:rPr>
                              <w:rFonts w:ascii="Calibri" w:eastAsia="Calibri" w:hAnsi="Calibri" w:cs="Calibri"/>
                              <w:b/>
                              <w:color w:val="000000"/>
                            </w:rPr>
                            <w:t xml:space="preserve">Page | </w:t>
                          </w:r>
                          <w:r w:rsidR="00510ACC" w:rsidRPr="00510ACC">
                            <w:rPr>
                              <w:rFonts w:ascii="Calibri" w:eastAsia="Calibri" w:hAnsi="Calibri" w:cs="Calibri"/>
                              <w:b/>
                              <w:color w:val="000000"/>
                            </w:rPr>
                            <w:fldChar w:fldCharType="begin"/>
                          </w:r>
                          <w:r w:rsidR="00510ACC" w:rsidRPr="00510ACC">
                            <w:rPr>
                              <w:rFonts w:ascii="Calibri" w:eastAsia="Calibri" w:hAnsi="Calibri" w:cs="Calibri"/>
                              <w:b/>
                              <w:color w:val="000000"/>
                            </w:rPr>
                            <w:instrText xml:space="preserve"> PAGE   \* MERGEFORMAT </w:instrText>
                          </w:r>
                          <w:r w:rsidR="00510ACC" w:rsidRPr="00510ACC">
                            <w:rPr>
                              <w:rFonts w:ascii="Calibri" w:eastAsia="Calibri" w:hAnsi="Calibri" w:cs="Calibri"/>
                              <w:b/>
                              <w:color w:val="000000"/>
                            </w:rPr>
                            <w:fldChar w:fldCharType="separate"/>
                          </w:r>
                          <w:r w:rsidR="00C65444">
                            <w:rPr>
                              <w:rFonts w:ascii="Calibri" w:eastAsia="Calibri" w:hAnsi="Calibri" w:cs="Calibri"/>
                              <w:b/>
                              <w:noProof/>
                              <w:color w:val="000000"/>
                            </w:rPr>
                            <w:t>7</w:t>
                          </w:r>
                          <w:r w:rsidR="00510ACC" w:rsidRPr="00510ACC">
                            <w:rPr>
                              <w:rFonts w:ascii="Calibri" w:eastAsia="Calibri" w:hAnsi="Calibri" w:cs="Calibri"/>
                              <w:b/>
                              <w:noProof/>
                              <w:color w:val="000000"/>
                            </w:rPr>
                            <w:fldChar w:fldCharType="end"/>
                          </w:r>
                          <w:r>
                            <w:rPr>
                              <w:rFonts w:ascii="Calibri" w:eastAsia="Calibri" w:hAnsi="Calibri" w:cs="Calibri"/>
                              <w:b/>
                              <w:color w:val="000000"/>
                            </w:rPr>
                            <w:t xml:space="preserve"> </w:t>
                          </w:r>
                          <w:r w:rsidR="00510ACC" w:rsidRPr="00510ACC">
                            <w:rPr>
                              <w:rFonts w:ascii="Calibri" w:eastAsia="Calibri" w:hAnsi="Calibri" w:cs="Calibri"/>
                              <w:b/>
                              <w:color w:val="000000"/>
                            </w:rPr>
                            <w:t xml:space="preserve">Page | </w:t>
                          </w:r>
                          <w:r w:rsidR="00510ACC" w:rsidRPr="00510ACC">
                            <w:rPr>
                              <w:rFonts w:ascii="Calibri" w:eastAsia="Calibri" w:hAnsi="Calibri" w:cs="Calibri"/>
                              <w:b/>
                              <w:color w:val="000000"/>
                            </w:rPr>
                            <w:fldChar w:fldCharType="begin"/>
                          </w:r>
                          <w:r w:rsidR="00510ACC" w:rsidRPr="00510ACC">
                            <w:rPr>
                              <w:rFonts w:ascii="Calibri" w:eastAsia="Calibri" w:hAnsi="Calibri" w:cs="Calibri"/>
                              <w:b/>
                              <w:color w:val="000000"/>
                            </w:rPr>
                            <w:instrText xml:space="preserve"> PAGE   \* MERGEFORMAT </w:instrText>
                          </w:r>
                          <w:r w:rsidR="00510ACC" w:rsidRPr="00510ACC">
                            <w:rPr>
                              <w:rFonts w:ascii="Calibri" w:eastAsia="Calibri" w:hAnsi="Calibri" w:cs="Calibri"/>
                              <w:b/>
                              <w:color w:val="000000"/>
                            </w:rPr>
                            <w:fldChar w:fldCharType="separate"/>
                          </w:r>
                          <w:r w:rsidR="00C65444">
                            <w:rPr>
                              <w:rFonts w:ascii="Calibri" w:eastAsia="Calibri" w:hAnsi="Calibri" w:cs="Calibri"/>
                              <w:b/>
                              <w:noProof/>
                              <w:color w:val="000000"/>
                            </w:rPr>
                            <w:t>7</w:t>
                          </w:r>
                          <w:r w:rsidR="00510ACC" w:rsidRPr="00510ACC">
                            <w:rPr>
                              <w:rFonts w:ascii="Calibri" w:eastAsia="Calibri" w:hAnsi="Calibri" w:cs="Calibri"/>
                              <w:b/>
                              <w:noProof/>
                              <w:color w:val="000000"/>
                            </w:rPr>
                            <w:fldChar w:fldCharType="end"/>
                          </w:r>
                          <w:r>
                            <w:rPr>
                              <w:rFonts w:ascii="Calibri" w:eastAsia="Calibri" w:hAnsi="Calibri" w:cs="Calibri"/>
                              <w:b/>
                              <w:color w:val="000000"/>
                            </w:rPr>
                            <w:t>PAGE 14</w:t>
                          </w:r>
                        </w:p>
                      </w:txbxContent>
                    </wps:txbx>
                    <wps:bodyPr spcFirstLastPara="1" wrap="square" lIns="0" tIns="0" rIns="0" bIns="0" anchor="t" anchorCtr="0">
                      <a:noAutofit/>
                    </wps:bodyPr>
                  </wps:wsp>
                </a:graphicData>
              </a:graphic>
            </wp:anchor>
          </w:drawing>
        </mc:Choice>
        <mc:Fallback>
          <w:pict>
            <v:rect id="_x0000_s1026" style="position:absolute;margin-left:-27.95pt;margin-top:5.25pt;width:63.75pt;height:1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" filled="f" stroked="f">
              <v:textbox inset="0,0,0,0">
                <w:txbxContent>
                  <w:p w:rsidR="008E7BF1" w:rsidRDefault="00A11D4D">
                    <w:pPr>
                      <w:spacing w:line="245" w:lineRule="auto"/>
                      <w:ind w:left="20" w:firstLine="40"/>
                      <w:textDirection w:val="btLr"/>
                    </w:pPr>
                    <w:r>
                      <w:rPr>
                        <w:rFonts w:ascii="Calibri" w:eastAsia="Calibri" w:hAnsi="Calibri" w:cs="Calibri"/>
                        <w:b/>
                        <w:color w:val="000000"/>
                      </w:rPr>
                      <w:t xml:space="preserve">Page | </w:t>
                    </w:r>
                    <w:r w:rsidR="00510ACC" w:rsidRPr="00510ACC">
                      <w:rPr>
                        <w:rFonts w:ascii="Calibri" w:eastAsia="Calibri" w:hAnsi="Calibri" w:cs="Calibri"/>
                        <w:b/>
                        <w:color w:val="000000"/>
                      </w:rPr>
                      <w:fldChar w:fldCharType="begin"/>
                    </w:r>
                    <w:r w:rsidR="00510ACC" w:rsidRPr="00510ACC">
                      <w:rPr>
                        <w:rFonts w:ascii="Calibri" w:eastAsia="Calibri" w:hAnsi="Calibri" w:cs="Calibri"/>
                        <w:b/>
                        <w:color w:val="000000"/>
                      </w:rPr>
                      <w:instrText xml:space="preserve"> PAGE   \* MERGEFORMAT </w:instrText>
                    </w:r>
                    <w:r w:rsidR="00510ACC" w:rsidRPr="00510ACC">
                      <w:rPr>
                        <w:rFonts w:ascii="Calibri" w:eastAsia="Calibri" w:hAnsi="Calibri" w:cs="Calibri"/>
                        <w:b/>
                        <w:color w:val="000000"/>
                      </w:rPr>
                      <w:fldChar w:fldCharType="separate"/>
                    </w:r>
                    <w:r w:rsidR="00C65444">
                      <w:rPr>
                        <w:rFonts w:ascii="Calibri" w:eastAsia="Calibri" w:hAnsi="Calibri" w:cs="Calibri"/>
                        <w:b/>
                        <w:noProof/>
                        <w:color w:val="000000"/>
                      </w:rPr>
                      <w:t>7</w:t>
                    </w:r>
                    <w:r w:rsidR="00510ACC" w:rsidRPr="00510ACC">
                      <w:rPr>
                        <w:rFonts w:ascii="Calibri" w:eastAsia="Calibri" w:hAnsi="Calibri" w:cs="Calibri"/>
                        <w:b/>
                        <w:noProof/>
                        <w:color w:val="000000"/>
                      </w:rPr>
                      <w:fldChar w:fldCharType="end"/>
                    </w:r>
                    <w:r>
                      <w:rPr>
                        <w:rFonts w:ascii="Calibri" w:eastAsia="Calibri" w:hAnsi="Calibri" w:cs="Calibri"/>
                        <w:b/>
                        <w:color w:val="000000"/>
                      </w:rPr>
                      <w:t xml:space="preserve"> </w:t>
                    </w:r>
                    <w:r w:rsidR="00510ACC" w:rsidRPr="00510ACC">
                      <w:rPr>
                        <w:rFonts w:ascii="Calibri" w:eastAsia="Calibri" w:hAnsi="Calibri" w:cs="Calibri"/>
                        <w:b/>
                        <w:color w:val="000000"/>
                      </w:rPr>
                      <w:t xml:space="preserve">Page | </w:t>
                    </w:r>
                    <w:r w:rsidR="00510ACC" w:rsidRPr="00510ACC">
                      <w:rPr>
                        <w:rFonts w:ascii="Calibri" w:eastAsia="Calibri" w:hAnsi="Calibri" w:cs="Calibri"/>
                        <w:b/>
                        <w:color w:val="000000"/>
                      </w:rPr>
                      <w:fldChar w:fldCharType="begin"/>
                    </w:r>
                    <w:r w:rsidR="00510ACC" w:rsidRPr="00510ACC">
                      <w:rPr>
                        <w:rFonts w:ascii="Calibri" w:eastAsia="Calibri" w:hAnsi="Calibri" w:cs="Calibri"/>
                        <w:b/>
                        <w:color w:val="000000"/>
                      </w:rPr>
                      <w:instrText xml:space="preserve"> PAGE   \* MERGEFORMAT </w:instrText>
                    </w:r>
                    <w:r w:rsidR="00510ACC" w:rsidRPr="00510ACC">
                      <w:rPr>
                        <w:rFonts w:ascii="Calibri" w:eastAsia="Calibri" w:hAnsi="Calibri" w:cs="Calibri"/>
                        <w:b/>
                        <w:color w:val="000000"/>
                      </w:rPr>
                      <w:fldChar w:fldCharType="separate"/>
                    </w:r>
                    <w:r w:rsidR="00C65444">
                      <w:rPr>
                        <w:rFonts w:ascii="Calibri" w:eastAsia="Calibri" w:hAnsi="Calibri" w:cs="Calibri"/>
                        <w:b/>
                        <w:noProof/>
                        <w:color w:val="000000"/>
                      </w:rPr>
                      <w:t>7</w:t>
                    </w:r>
                    <w:r w:rsidR="00510ACC" w:rsidRPr="00510ACC">
                      <w:rPr>
                        <w:rFonts w:ascii="Calibri" w:eastAsia="Calibri" w:hAnsi="Calibri" w:cs="Calibri"/>
                        <w:b/>
                        <w:noProof/>
                        <w:color w:val="000000"/>
                      </w:rPr>
                      <w:fldChar w:fldCharType="end"/>
                    </w:r>
                    <w:r>
                      <w:rPr>
                        <w:rFonts w:ascii="Calibri" w:eastAsia="Calibri" w:hAnsi="Calibri" w:cs="Calibri"/>
                        <w:b/>
                        <w:color w:val="000000"/>
                      </w:rPr>
                      <w:t>PAGE 14</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C1A" w:rsidRDefault="00A11D4D">
      <w:r>
        <w:separator/>
      </w:r>
    </w:p>
  </w:footnote>
  <w:footnote w:type="continuationSeparator" w:id="0">
    <w:p w:rsidR="00C21C1A" w:rsidRDefault="00A1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71C11"/>
    <w:multiLevelType w:val="multilevel"/>
    <w:tmpl w:val="D570BB3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BF1"/>
    <w:rsid w:val="000879B6"/>
    <w:rsid w:val="00342936"/>
    <w:rsid w:val="00510ACC"/>
    <w:rsid w:val="00544B10"/>
    <w:rsid w:val="00545C8E"/>
    <w:rsid w:val="008079B4"/>
    <w:rsid w:val="008D5F00"/>
    <w:rsid w:val="008E4052"/>
    <w:rsid w:val="008E7BF1"/>
    <w:rsid w:val="00A11D4D"/>
    <w:rsid w:val="00C21C1A"/>
    <w:rsid w:val="00C65444"/>
    <w:rsid w:val="00E44E5B"/>
    <w:rsid w:val="00E50F80"/>
    <w:rsid w:val="00F9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867019"/>
  <w15:docId w15:val="{A7A5B979-E0B0-4A60-843E-90E74923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po.gov/fdsys/pkg/CFR-2014-title5-vol3/pdf/CFR-2014-title5-vol3-sec1320-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bls/blswage.htm"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s://www.bls.gov/bls/blswage.htm" TargetMode="External"/><Relationship Id="rId4" Type="http://schemas.openxmlformats.org/officeDocument/2006/relationships/settings" Target="settings.xml"/><Relationship Id="rId9" Type="http://schemas.openxmlformats.org/officeDocument/2006/relationships/hyperlink" Target="https://www.bls.gov/bls/blswage.htm"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RYqO2hwWoo2VEpSLHqjkWb8mTw==">AMUW2mVzM/TwK0wt8vYhKviw7TFw8DnnHc+MfC3hyQiaNmadjUUn8J1v8ZqoZneDHG6LtWpUuvXckUHzL3zJR4zMOqcow1Fy6zYITOGKvgItYx5t7argBk/zkR/vF94gAvuzAajh4lWfSQXciPa4oWKvX97TRt+3mwrZfnvtyX935oRNDt/+GCnb3xljhuwc1Z3Wfzv6NZmT6pKt6WzBE3zNV4tJ/+76DOmrfBqSlWRxwTp7IMjQoUfS1rtRpcj9eIRoJdfOTxfkbBf//I2lPvdwQL5vQAeYlknof9wyoIikN5b5mSM14yGfPhX5SxnMhnPBHGbx12X4mlipS/v9kZZTFSPeedCMw+MgR+n3TE58v5q/RUJtZ3lcj4juXb9p5zZZrvqmx5+Lfmi2bmVw7v/u9Pc8EUuT+ieovoP3YqvzaDt6ovLHloyupLMpe2mw6M6DzBjNQ7U8wcd6KD1l90ivt8GnPybp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2522</Words>
  <Characters>13445</Characters>
  <Application>Microsoft Office Word</Application>
  <DocSecurity>0</DocSecurity>
  <Lines>216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5</cp:revision>
  <dcterms:created xsi:type="dcterms:W3CDTF">2021-07-02T16:48:00Z</dcterms:created>
  <dcterms:modified xsi:type="dcterms:W3CDTF">2021-07-02T16:54:00Z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