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11F4" w:rsidR="000812E5" w:rsidP="008B7A62" w:rsidRDefault="00FB3130" w14:paraId="710DFB2D" w14:textId="77777777">
      <w:pPr>
        <w:spacing w:after="0"/>
        <w:jc w:val="center"/>
        <w:rPr>
          <w:rFonts w:ascii="Times New Roman" w:hAnsi="Times New Roman"/>
          <w:b/>
          <w:sz w:val="24"/>
          <w:szCs w:val="24"/>
        </w:rPr>
      </w:pPr>
      <w:r w:rsidRPr="002411F4">
        <w:rPr>
          <w:rFonts w:ascii="Times New Roman" w:hAnsi="Times New Roman"/>
          <w:b/>
          <w:sz w:val="24"/>
          <w:szCs w:val="24"/>
        </w:rPr>
        <w:t xml:space="preserve"> </w:t>
      </w:r>
      <w:r w:rsidRPr="002411F4" w:rsidR="000812E5">
        <w:rPr>
          <w:rFonts w:ascii="Times New Roman" w:hAnsi="Times New Roman"/>
          <w:b/>
          <w:sz w:val="24"/>
          <w:szCs w:val="24"/>
        </w:rPr>
        <w:t>SUPPORTING STATEMENT</w:t>
      </w:r>
    </w:p>
    <w:p w:rsidRPr="002411F4" w:rsidR="000812E5" w:rsidP="008B7A62" w:rsidRDefault="000812E5" w14:paraId="4069DDF7" w14:textId="77777777">
      <w:pPr>
        <w:spacing w:after="0"/>
        <w:jc w:val="center"/>
        <w:rPr>
          <w:rFonts w:ascii="Times New Roman" w:hAnsi="Times New Roman"/>
          <w:b/>
          <w:sz w:val="24"/>
          <w:szCs w:val="24"/>
        </w:rPr>
      </w:pPr>
      <w:r w:rsidRPr="002411F4">
        <w:rPr>
          <w:rFonts w:ascii="Times New Roman" w:hAnsi="Times New Roman"/>
          <w:b/>
          <w:sz w:val="24"/>
          <w:szCs w:val="24"/>
        </w:rPr>
        <w:t xml:space="preserve">U.S. Department of </w:t>
      </w:r>
      <w:r w:rsidR="008B447B">
        <w:rPr>
          <w:rFonts w:ascii="Times New Roman" w:hAnsi="Times New Roman"/>
          <w:b/>
          <w:sz w:val="24"/>
          <w:szCs w:val="24"/>
        </w:rPr>
        <w:t>Commerce</w:t>
      </w:r>
    </w:p>
    <w:p w:rsidRPr="002411F4" w:rsidR="000812E5" w:rsidP="008B7A62" w:rsidRDefault="008B447B" w14:paraId="387526DF" w14:textId="77777777">
      <w:pPr>
        <w:spacing w:after="0"/>
        <w:jc w:val="center"/>
        <w:rPr>
          <w:rFonts w:ascii="Times New Roman" w:hAnsi="Times New Roman"/>
          <w:b/>
          <w:sz w:val="24"/>
          <w:szCs w:val="24"/>
        </w:rPr>
      </w:pPr>
      <w:r>
        <w:rPr>
          <w:rFonts w:ascii="Times New Roman" w:hAnsi="Times New Roman"/>
          <w:b/>
          <w:sz w:val="24"/>
          <w:szCs w:val="24"/>
        </w:rPr>
        <w:t>National Telecommunications and Information Administration</w:t>
      </w:r>
    </w:p>
    <w:p w:rsidRPr="002411F4" w:rsidR="000812E5" w:rsidP="008B7A62" w:rsidRDefault="002D3497" w14:paraId="01610033" w14:textId="7F96A61E">
      <w:pPr>
        <w:spacing w:after="0"/>
        <w:jc w:val="center"/>
        <w:rPr>
          <w:rFonts w:ascii="Times New Roman" w:hAnsi="Times New Roman"/>
          <w:b/>
          <w:sz w:val="24"/>
          <w:szCs w:val="24"/>
        </w:rPr>
      </w:pPr>
      <w:r w:rsidRPr="008B447B">
        <w:rPr>
          <w:rFonts w:ascii="Times New Roman" w:hAnsi="Times New Roman"/>
          <w:b/>
          <w:sz w:val="24"/>
          <w:szCs w:val="24"/>
        </w:rPr>
        <w:t>911 Grant Program</w:t>
      </w:r>
      <w:r w:rsidR="00224339">
        <w:rPr>
          <w:rFonts w:ascii="Times New Roman" w:hAnsi="Times New Roman"/>
          <w:b/>
          <w:sz w:val="24"/>
          <w:szCs w:val="24"/>
        </w:rPr>
        <w:t xml:space="preserve"> Performance Closeout Report</w:t>
      </w:r>
    </w:p>
    <w:p w:rsidRPr="002411F4" w:rsidR="00D853E0" w:rsidP="008B7A62" w:rsidRDefault="00D853E0" w14:paraId="01514713" w14:textId="1C3B96E0">
      <w:pPr>
        <w:spacing w:after="0"/>
        <w:jc w:val="center"/>
        <w:rPr>
          <w:rFonts w:ascii="Times New Roman" w:hAnsi="Times New Roman"/>
          <w:b/>
          <w:sz w:val="24"/>
          <w:szCs w:val="24"/>
        </w:rPr>
      </w:pPr>
      <w:r w:rsidRPr="002411F4">
        <w:rPr>
          <w:rFonts w:ascii="Times New Roman" w:hAnsi="Times New Roman"/>
          <w:b/>
          <w:sz w:val="24"/>
          <w:szCs w:val="24"/>
        </w:rPr>
        <w:t xml:space="preserve">OMB Control No. </w:t>
      </w:r>
      <w:r w:rsidR="000D5614">
        <w:rPr>
          <w:rFonts w:ascii="Times New Roman" w:hAnsi="Times New Roman"/>
          <w:b/>
          <w:sz w:val="24"/>
          <w:szCs w:val="24"/>
        </w:rPr>
        <w:t>________</w:t>
      </w:r>
    </w:p>
    <w:p w:rsidR="00067E1B" w:rsidP="00067E1B" w:rsidRDefault="00067E1B" w14:paraId="04029DD4" w14:textId="0496ACAE">
      <w:pPr>
        <w:pStyle w:val="ColorfulList-Accent11"/>
        <w:spacing w:after="0"/>
        <w:ind w:left="0"/>
        <w:rPr>
          <w:rFonts w:ascii="Times New Roman" w:hAnsi="Times New Roman"/>
          <w:b/>
          <w:sz w:val="24"/>
          <w:szCs w:val="24"/>
        </w:rPr>
      </w:pPr>
      <w:r>
        <w:rPr>
          <w:rFonts w:ascii="Times New Roman" w:hAnsi="Times New Roman"/>
          <w:b/>
          <w:sz w:val="24"/>
          <w:szCs w:val="24"/>
        </w:rPr>
        <w:t>ABS</w:t>
      </w:r>
      <w:r w:rsidR="00797BAB">
        <w:rPr>
          <w:rFonts w:ascii="Times New Roman" w:hAnsi="Times New Roman"/>
          <w:b/>
          <w:sz w:val="24"/>
          <w:szCs w:val="24"/>
        </w:rPr>
        <w:t>T</w:t>
      </w:r>
      <w:r>
        <w:rPr>
          <w:rFonts w:ascii="Times New Roman" w:hAnsi="Times New Roman"/>
          <w:b/>
          <w:sz w:val="24"/>
          <w:szCs w:val="24"/>
        </w:rPr>
        <w:t>RACT</w:t>
      </w:r>
    </w:p>
    <w:p w:rsidRPr="00887541" w:rsidR="00101E89" w:rsidP="00101E89" w:rsidRDefault="00101E89" w14:paraId="45A82973" w14:textId="4671B248">
      <w:pPr>
        <w:pStyle w:val="ColorfulList-Accent11"/>
        <w:spacing w:after="0" w:line="240" w:lineRule="auto"/>
        <w:ind w:left="0"/>
        <w:rPr>
          <w:rFonts w:ascii="Times New Roman" w:hAnsi="Times New Roman"/>
          <w:b/>
          <w:sz w:val="24"/>
          <w:szCs w:val="24"/>
        </w:rPr>
      </w:pPr>
      <w:r w:rsidRPr="00887541">
        <w:rPr>
          <w:rFonts w:ascii="Times New Roman" w:hAnsi="Times New Roman"/>
          <w:color w:val="000000"/>
          <w:sz w:val="24"/>
          <w:szCs w:val="24"/>
        </w:rPr>
        <w:t xml:space="preserve">In order to meet the objectives of the </w:t>
      </w:r>
      <w:r>
        <w:rPr>
          <w:rFonts w:ascii="Times New Roman" w:hAnsi="Times New Roman"/>
          <w:color w:val="000000"/>
          <w:sz w:val="24"/>
          <w:szCs w:val="24"/>
        </w:rPr>
        <w:t>911 Grant Program</w:t>
      </w:r>
      <w:r w:rsidRPr="00887541">
        <w:rPr>
          <w:rFonts w:ascii="Times New Roman" w:hAnsi="Times New Roman"/>
          <w:color w:val="000000"/>
          <w:sz w:val="24"/>
          <w:szCs w:val="24"/>
        </w:rPr>
        <w:t>, the U.S. Department of Commerce (DOC), National Telecommunications and Information Administration (NTIA)</w:t>
      </w:r>
      <w:r w:rsidR="00797BAB">
        <w:rPr>
          <w:rFonts w:ascii="Times New Roman" w:hAnsi="Times New Roman"/>
          <w:color w:val="000000"/>
          <w:sz w:val="24"/>
          <w:szCs w:val="24"/>
        </w:rPr>
        <w:t>,</w:t>
      </w:r>
      <w:r w:rsidRPr="00887541">
        <w:rPr>
          <w:rFonts w:ascii="Times New Roman" w:hAnsi="Times New Roman"/>
          <w:color w:val="000000"/>
          <w:sz w:val="24"/>
          <w:szCs w:val="24"/>
        </w:rPr>
        <w:t xml:space="preserve"> requests approval for the </w:t>
      </w:r>
      <w:r>
        <w:rPr>
          <w:rFonts w:ascii="Times New Roman" w:hAnsi="Times New Roman"/>
          <w:color w:val="000000"/>
          <w:sz w:val="24"/>
          <w:szCs w:val="24"/>
        </w:rPr>
        <w:t>911 Grant Program</w:t>
      </w:r>
      <w:r w:rsidRPr="00887541">
        <w:rPr>
          <w:rFonts w:ascii="Times New Roman" w:hAnsi="Times New Roman"/>
          <w:color w:val="000000"/>
          <w:sz w:val="24"/>
          <w:szCs w:val="24"/>
        </w:rPr>
        <w:t xml:space="preserve"> </w:t>
      </w:r>
      <w:r>
        <w:rPr>
          <w:rFonts w:ascii="Times New Roman" w:hAnsi="Times New Roman"/>
          <w:color w:val="000000"/>
          <w:sz w:val="24"/>
          <w:szCs w:val="24"/>
        </w:rPr>
        <w:t>Closeout Performance Report</w:t>
      </w:r>
      <w:r w:rsidRPr="00887541">
        <w:rPr>
          <w:rFonts w:ascii="Times New Roman" w:hAnsi="Times New Roman"/>
          <w:color w:val="000000"/>
          <w:sz w:val="24"/>
          <w:szCs w:val="24"/>
        </w:rPr>
        <w:t xml:space="preserve"> from the Office of Management and Budget (OMB).  </w:t>
      </w:r>
      <w:r>
        <w:rPr>
          <w:rFonts w:ascii="Times New Roman" w:hAnsi="Times New Roman"/>
          <w:color w:val="000000"/>
          <w:sz w:val="24"/>
          <w:szCs w:val="24"/>
        </w:rPr>
        <w:t>This form is for the 911 Grant Program which is jointly administered by NTIA and the U.S. Department of Trans</w:t>
      </w:r>
      <w:r w:rsidR="00797BAB">
        <w:rPr>
          <w:rFonts w:ascii="Times New Roman" w:hAnsi="Times New Roman"/>
          <w:color w:val="000000"/>
          <w:sz w:val="24"/>
          <w:szCs w:val="24"/>
        </w:rPr>
        <w:t xml:space="preserve">portation, National Highway </w:t>
      </w:r>
      <w:r>
        <w:rPr>
          <w:rFonts w:ascii="Times New Roman" w:hAnsi="Times New Roman"/>
          <w:color w:val="000000"/>
          <w:sz w:val="24"/>
          <w:szCs w:val="24"/>
        </w:rPr>
        <w:t>Traffic Safety Administration (NHTSA).</w:t>
      </w:r>
    </w:p>
    <w:p w:rsidR="00067E1B" w:rsidP="00067E1B" w:rsidRDefault="00067E1B" w14:paraId="03BAF86D" w14:textId="77777777">
      <w:pPr>
        <w:pStyle w:val="ColorfulList-Accent11"/>
        <w:spacing w:after="0"/>
        <w:ind w:left="0"/>
        <w:rPr>
          <w:rFonts w:ascii="Times New Roman" w:hAnsi="Times New Roman"/>
          <w:b/>
          <w:sz w:val="24"/>
          <w:szCs w:val="24"/>
        </w:rPr>
      </w:pPr>
    </w:p>
    <w:p w:rsidR="000812E5" w:rsidP="00067E1B" w:rsidRDefault="00067E1B" w14:paraId="16B212F1" w14:textId="4B1BC756">
      <w:pPr>
        <w:pStyle w:val="ColorfulList-Accent11"/>
        <w:spacing w:after="0"/>
        <w:ind w:left="0"/>
        <w:rPr>
          <w:rFonts w:ascii="Times New Roman" w:hAnsi="Times New Roman"/>
          <w:b/>
          <w:sz w:val="24"/>
          <w:szCs w:val="24"/>
        </w:rPr>
      </w:pPr>
      <w:r>
        <w:rPr>
          <w:rFonts w:ascii="Times New Roman" w:hAnsi="Times New Roman"/>
          <w:b/>
          <w:sz w:val="24"/>
          <w:szCs w:val="24"/>
        </w:rPr>
        <w:t>J</w:t>
      </w:r>
      <w:r w:rsidRPr="002411F4" w:rsidR="000812E5">
        <w:rPr>
          <w:rFonts w:ascii="Times New Roman" w:hAnsi="Times New Roman"/>
          <w:b/>
          <w:sz w:val="24"/>
          <w:szCs w:val="24"/>
        </w:rPr>
        <w:t>USTIFICATION</w:t>
      </w:r>
    </w:p>
    <w:p w:rsidRPr="002411F4" w:rsidR="000D5614" w:rsidP="000D5614" w:rsidRDefault="000D5614" w14:paraId="390C832A" w14:textId="77777777">
      <w:pPr>
        <w:pStyle w:val="ColorfulList-Accent11"/>
        <w:spacing w:after="0"/>
        <w:ind w:left="0"/>
        <w:rPr>
          <w:rFonts w:ascii="Times New Roman" w:hAnsi="Times New Roman"/>
          <w:b/>
          <w:sz w:val="24"/>
          <w:szCs w:val="24"/>
        </w:rPr>
      </w:pPr>
    </w:p>
    <w:p w:rsidRPr="005720DA" w:rsidR="000812E5" w:rsidP="00182D89" w:rsidRDefault="000812E5" w14:paraId="7584A3B3" w14:textId="2594F439">
      <w:pPr>
        <w:pStyle w:val="Default"/>
        <w:numPr>
          <w:ilvl w:val="0"/>
          <w:numId w:val="2"/>
        </w:numPr>
        <w:rPr>
          <w:rFonts w:ascii="Times New Roman" w:hAnsi="Times New Roman"/>
          <w:b/>
          <w:u w:val="single"/>
        </w:rPr>
      </w:pPr>
      <w:r w:rsidRPr="005720DA">
        <w:rPr>
          <w:rFonts w:ascii="Times New Roman" w:hAnsi="Times New Roman"/>
          <w:b/>
          <w:u w:val="single"/>
        </w:rPr>
        <w:t>Explain the circumstances that make the collection of information necessary</w:t>
      </w:r>
      <w:r w:rsidRPr="005720DA">
        <w:rPr>
          <w:rFonts w:ascii="Times New Roman" w:hAnsi="Times New Roman"/>
          <w:b/>
        </w:rPr>
        <w:t>.</w:t>
      </w:r>
      <w:r w:rsidRPr="005720DA" w:rsidR="005720DA">
        <w:rPr>
          <w:rFonts w:ascii="Times New Roman" w:hAnsi="Times New Roman"/>
          <w:b/>
        </w:rPr>
        <w:t xml:space="preserve">  </w:t>
      </w:r>
      <w:r w:rsidRPr="009C2F08" w:rsidR="005720DA">
        <w:rPr>
          <w:rFonts w:ascii="Times New Roman" w:hAnsi="Times New Roman"/>
          <w:b/>
          <w:u w:val="single"/>
        </w:rPr>
        <w:t>Identify any legal or administrative requirements that necessitate the collection. Attach a copy of the appropriate section of each statute and regulation mandating or authorizing the collection of information.</w:t>
      </w:r>
    </w:p>
    <w:p w:rsidRPr="002411F4" w:rsidR="00611172" w:rsidP="00611172" w:rsidRDefault="00611172" w14:paraId="7C88F745" w14:textId="77777777">
      <w:pPr>
        <w:pStyle w:val="ColorfulList-Accent11"/>
        <w:spacing w:after="0"/>
        <w:ind w:left="360"/>
        <w:rPr>
          <w:rFonts w:ascii="Times New Roman" w:hAnsi="Times New Roman"/>
          <w:b/>
          <w:sz w:val="24"/>
          <w:szCs w:val="24"/>
          <w:u w:val="single"/>
        </w:rPr>
      </w:pPr>
    </w:p>
    <w:p w:rsidRPr="002411F4" w:rsidR="005C0E02" w:rsidP="008B7A62" w:rsidRDefault="00283E0F" w14:paraId="2D830BFA" w14:textId="3CACDE75">
      <w:pPr>
        <w:rPr>
          <w:rFonts w:ascii="Times New Roman" w:hAnsi="Times New Roman"/>
          <w:sz w:val="24"/>
          <w:szCs w:val="24"/>
        </w:rPr>
      </w:pPr>
      <w:r w:rsidRPr="002411F4">
        <w:rPr>
          <w:rFonts w:ascii="Times New Roman" w:hAnsi="Times New Roman"/>
          <w:sz w:val="24"/>
          <w:szCs w:val="24"/>
        </w:rPr>
        <w:t xml:space="preserve">In 2012, the </w:t>
      </w:r>
      <w:r w:rsidR="00940778">
        <w:rPr>
          <w:rFonts w:ascii="Times New Roman" w:hAnsi="Times New Roman"/>
          <w:sz w:val="24"/>
          <w:szCs w:val="24"/>
        </w:rPr>
        <w:t>Next Generation 911 (</w:t>
      </w:r>
      <w:r w:rsidRPr="002411F4">
        <w:rPr>
          <w:rFonts w:ascii="Times New Roman" w:hAnsi="Times New Roman"/>
          <w:sz w:val="24"/>
          <w:szCs w:val="24"/>
        </w:rPr>
        <w:t>N</w:t>
      </w:r>
      <w:r w:rsidR="00470379">
        <w:rPr>
          <w:rFonts w:ascii="Times New Roman" w:hAnsi="Times New Roman"/>
          <w:sz w:val="24"/>
          <w:szCs w:val="24"/>
        </w:rPr>
        <w:t>G</w:t>
      </w:r>
      <w:r w:rsidRPr="002411F4">
        <w:rPr>
          <w:rFonts w:ascii="Times New Roman" w:hAnsi="Times New Roman"/>
          <w:sz w:val="24"/>
          <w:szCs w:val="24"/>
        </w:rPr>
        <w:t>911</w:t>
      </w:r>
      <w:r w:rsidR="00940778">
        <w:rPr>
          <w:rFonts w:ascii="Times New Roman" w:hAnsi="Times New Roman"/>
          <w:sz w:val="24"/>
          <w:szCs w:val="24"/>
        </w:rPr>
        <w:t>)</w:t>
      </w:r>
      <w:r w:rsidRPr="002411F4">
        <w:rPr>
          <w:rFonts w:ascii="Times New Roman" w:hAnsi="Times New Roman"/>
          <w:sz w:val="24"/>
          <w:szCs w:val="24"/>
        </w:rPr>
        <w:t xml:space="preserve"> Advancement Act of 2012 (</w:t>
      </w:r>
      <w:r w:rsidRPr="002411F4" w:rsidR="00253438">
        <w:rPr>
          <w:rFonts w:ascii="Times New Roman" w:hAnsi="Times New Roman"/>
          <w:sz w:val="24"/>
          <w:szCs w:val="24"/>
        </w:rPr>
        <w:t>Middle Class Tax Relief and Job Creation Act of 2012</w:t>
      </w:r>
      <w:r w:rsidRPr="002411F4" w:rsidR="005C0E02">
        <w:rPr>
          <w:rFonts w:ascii="Times New Roman" w:hAnsi="Times New Roman"/>
          <w:sz w:val="24"/>
          <w:szCs w:val="24"/>
        </w:rPr>
        <w:t>, Pub. L. 1</w:t>
      </w:r>
      <w:r w:rsidRPr="002411F4" w:rsidR="008B7A62">
        <w:rPr>
          <w:rFonts w:ascii="Times New Roman" w:hAnsi="Times New Roman"/>
          <w:sz w:val="24"/>
          <w:szCs w:val="24"/>
        </w:rPr>
        <w:t>12-96</w:t>
      </w:r>
      <w:r w:rsidRPr="002411F4" w:rsidR="005C0E02">
        <w:rPr>
          <w:rFonts w:ascii="Times New Roman" w:hAnsi="Times New Roman"/>
          <w:sz w:val="24"/>
          <w:szCs w:val="24"/>
        </w:rPr>
        <w:t xml:space="preserve">, </w:t>
      </w:r>
      <w:r w:rsidRPr="002411F4">
        <w:rPr>
          <w:rFonts w:ascii="Times New Roman" w:hAnsi="Times New Roman"/>
          <w:sz w:val="24"/>
          <w:szCs w:val="24"/>
        </w:rPr>
        <w:t xml:space="preserve">Title VI, Subtitle E (codified at 47 U.S.C. </w:t>
      </w:r>
      <w:r w:rsidR="00A817DC">
        <w:rPr>
          <w:rFonts w:ascii="Times New Roman" w:hAnsi="Times New Roman"/>
          <w:sz w:val="24"/>
          <w:szCs w:val="24"/>
        </w:rPr>
        <w:t xml:space="preserve">§ </w:t>
      </w:r>
      <w:r w:rsidRPr="002411F4">
        <w:rPr>
          <w:rFonts w:ascii="Times New Roman" w:hAnsi="Times New Roman"/>
          <w:sz w:val="24"/>
          <w:szCs w:val="24"/>
        </w:rPr>
        <w:t>942)</w:t>
      </w:r>
      <w:r w:rsidR="004679CE">
        <w:rPr>
          <w:rFonts w:ascii="Times New Roman" w:hAnsi="Times New Roman"/>
          <w:sz w:val="24"/>
          <w:szCs w:val="24"/>
        </w:rPr>
        <w:t xml:space="preserve"> (the Act)</w:t>
      </w:r>
      <w:r w:rsidRPr="002411F4">
        <w:rPr>
          <w:rFonts w:ascii="Times New Roman" w:hAnsi="Times New Roman"/>
          <w:sz w:val="24"/>
          <w:szCs w:val="24"/>
        </w:rPr>
        <w:t>)</w:t>
      </w:r>
      <w:r w:rsidRPr="002411F4" w:rsidR="00077AF1">
        <w:rPr>
          <w:rFonts w:ascii="Times New Roman" w:hAnsi="Times New Roman"/>
          <w:sz w:val="24"/>
          <w:szCs w:val="24"/>
        </w:rPr>
        <w:t xml:space="preserve"> enacted changes to the </w:t>
      </w:r>
      <w:r w:rsidR="00A4546F">
        <w:rPr>
          <w:rFonts w:ascii="Times New Roman" w:hAnsi="Times New Roman"/>
          <w:sz w:val="24"/>
          <w:szCs w:val="24"/>
        </w:rPr>
        <w:t>911 Grant P</w:t>
      </w:r>
      <w:r w:rsidRPr="002411F4" w:rsidR="00077AF1">
        <w:rPr>
          <w:rFonts w:ascii="Times New Roman" w:hAnsi="Times New Roman"/>
          <w:sz w:val="24"/>
          <w:szCs w:val="24"/>
        </w:rPr>
        <w:t xml:space="preserve">rogram.  </w:t>
      </w:r>
      <w:r w:rsidR="009C2F08">
        <w:rPr>
          <w:rFonts w:ascii="Times New Roman" w:hAnsi="Times New Roman"/>
          <w:sz w:val="24"/>
          <w:szCs w:val="24"/>
        </w:rPr>
        <w:t xml:space="preserve">(Please see attached Subtitle E). </w:t>
      </w:r>
      <w:r w:rsidR="00797BAB">
        <w:rPr>
          <w:rFonts w:ascii="Times New Roman" w:hAnsi="Times New Roman"/>
          <w:sz w:val="24"/>
          <w:szCs w:val="24"/>
        </w:rPr>
        <w:t xml:space="preserve"> </w:t>
      </w:r>
      <w:r w:rsidR="004F08B9">
        <w:rPr>
          <w:rFonts w:ascii="Times New Roman" w:hAnsi="Times New Roman"/>
          <w:sz w:val="24"/>
          <w:szCs w:val="24"/>
        </w:rPr>
        <w:t xml:space="preserve">The </w:t>
      </w:r>
      <w:r w:rsidR="004679CE">
        <w:rPr>
          <w:rFonts w:ascii="Times New Roman" w:hAnsi="Times New Roman"/>
          <w:sz w:val="24"/>
          <w:szCs w:val="24"/>
        </w:rPr>
        <w:t>Act</w:t>
      </w:r>
      <w:r w:rsidRPr="002411F4" w:rsidR="004679CE">
        <w:rPr>
          <w:rFonts w:ascii="Times New Roman" w:hAnsi="Times New Roman"/>
          <w:sz w:val="24"/>
          <w:szCs w:val="24"/>
        </w:rPr>
        <w:t xml:space="preserve"> </w:t>
      </w:r>
      <w:r w:rsidRPr="002411F4" w:rsidR="008B7A62">
        <w:rPr>
          <w:rFonts w:ascii="Times New Roman" w:hAnsi="Times New Roman"/>
          <w:sz w:val="24"/>
          <w:szCs w:val="24"/>
        </w:rPr>
        <w:t>reauthorize</w:t>
      </w:r>
      <w:r w:rsidR="00331AE8">
        <w:rPr>
          <w:rFonts w:ascii="Times New Roman" w:hAnsi="Times New Roman"/>
          <w:sz w:val="24"/>
          <w:szCs w:val="24"/>
        </w:rPr>
        <w:t>d</w:t>
      </w:r>
      <w:r w:rsidRPr="002411F4" w:rsidR="008B7A62">
        <w:rPr>
          <w:rFonts w:ascii="Times New Roman" w:hAnsi="Times New Roman"/>
          <w:sz w:val="24"/>
          <w:szCs w:val="24"/>
        </w:rPr>
        <w:t xml:space="preserve"> the </w:t>
      </w:r>
      <w:r w:rsidRPr="002411F4" w:rsidR="005C0E02">
        <w:rPr>
          <w:rFonts w:ascii="Times New Roman" w:hAnsi="Times New Roman"/>
          <w:sz w:val="24"/>
          <w:szCs w:val="24"/>
        </w:rPr>
        <w:t>911 Implementation Coordination Office (ICO), a joint effort between NHTSA and NTIA</w:t>
      </w:r>
      <w:r w:rsidR="004F08B9">
        <w:rPr>
          <w:rFonts w:ascii="Times New Roman" w:hAnsi="Times New Roman"/>
          <w:sz w:val="24"/>
          <w:szCs w:val="24"/>
        </w:rPr>
        <w:t xml:space="preserve"> (Agencies)</w:t>
      </w:r>
      <w:r w:rsidRPr="002411F4" w:rsidR="005C0E02">
        <w:rPr>
          <w:rFonts w:ascii="Times New Roman" w:hAnsi="Times New Roman"/>
          <w:sz w:val="24"/>
          <w:szCs w:val="24"/>
        </w:rPr>
        <w:t>.  It delineate</w:t>
      </w:r>
      <w:r w:rsidR="00331AE8">
        <w:rPr>
          <w:rFonts w:ascii="Times New Roman" w:hAnsi="Times New Roman"/>
          <w:sz w:val="24"/>
          <w:szCs w:val="24"/>
        </w:rPr>
        <w:t>d</w:t>
      </w:r>
      <w:r w:rsidRPr="002411F4" w:rsidR="005C0E02">
        <w:rPr>
          <w:rFonts w:ascii="Times New Roman" w:hAnsi="Times New Roman"/>
          <w:sz w:val="24"/>
          <w:szCs w:val="24"/>
        </w:rPr>
        <w:t xml:space="preserve"> the responsibilities of the </w:t>
      </w:r>
      <w:r w:rsidRPr="002411F4" w:rsidR="00077AF1">
        <w:rPr>
          <w:rFonts w:ascii="Times New Roman" w:hAnsi="Times New Roman"/>
          <w:sz w:val="24"/>
          <w:szCs w:val="24"/>
        </w:rPr>
        <w:t>ICO</w:t>
      </w:r>
      <w:r w:rsidRPr="002411F4" w:rsidR="005C0E02">
        <w:rPr>
          <w:rFonts w:ascii="Times New Roman" w:hAnsi="Times New Roman"/>
          <w:sz w:val="24"/>
          <w:szCs w:val="24"/>
        </w:rPr>
        <w:t xml:space="preserve"> to include a joint program to </w:t>
      </w:r>
      <w:r w:rsidRPr="002411F4" w:rsidR="008B7A62">
        <w:rPr>
          <w:rFonts w:ascii="Times New Roman" w:hAnsi="Times New Roman"/>
          <w:sz w:val="24"/>
          <w:szCs w:val="24"/>
        </w:rPr>
        <w:t xml:space="preserve">establish and </w:t>
      </w:r>
      <w:r w:rsidRPr="002411F4" w:rsidR="005C0E02">
        <w:rPr>
          <w:rFonts w:ascii="Times New Roman" w:hAnsi="Times New Roman"/>
          <w:sz w:val="24"/>
          <w:szCs w:val="24"/>
        </w:rPr>
        <w:t xml:space="preserve">facilitate coordination and communication between </w:t>
      </w:r>
      <w:r w:rsidR="00191697">
        <w:rPr>
          <w:rFonts w:ascii="Times New Roman" w:hAnsi="Times New Roman"/>
          <w:sz w:val="24"/>
          <w:szCs w:val="24"/>
        </w:rPr>
        <w:t>f</w:t>
      </w:r>
      <w:r w:rsidRPr="002411F4" w:rsidR="005C0E02">
        <w:rPr>
          <w:rFonts w:ascii="Times New Roman" w:hAnsi="Times New Roman"/>
          <w:sz w:val="24"/>
          <w:szCs w:val="24"/>
        </w:rPr>
        <w:t xml:space="preserve">ederal, </w:t>
      </w:r>
      <w:r w:rsidR="00191697">
        <w:rPr>
          <w:rFonts w:ascii="Times New Roman" w:hAnsi="Times New Roman"/>
          <w:sz w:val="24"/>
          <w:szCs w:val="24"/>
        </w:rPr>
        <w:t>s</w:t>
      </w:r>
      <w:r w:rsidRPr="002411F4" w:rsidR="005C0E02">
        <w:rPr>
          <w:rFonts w:ascii="Times New Roman" w:hAnsi="Times New Roman"/>
          <w:sz w:val="24"/>
          <w:szCs w:val="24"/>
        </w:rPr>
        <w:t xml:space="preserve">tate, and local emergency communications systems, emergency personnel, public safety organizations, telecommunications carriers, and telecommunications equipment manufacturers and vendors involved in the implementation of </w:t>
      </w:r>
      <w:r w:rsidRPr="002411F4" w:rsidR="008B7A62">
        <w:rPr>
          <w:rFonts w:ascii="Times New Roman" w:hAnsi="Times New Roman"/>
          <w:sz w:val="24"/>
          <w:szCs w:val="24"/>
        </w:rPr>
        <w:t xml:space="preserve">911 </w:t>
      </w:r>
      <w:r w:rsidRPr="002411F4" w:rsidR="005C0E02">
        <w:rPr>
          <w:rFonts w:ascii="Times New Roman" w:hAnsi="Times New Roman"/>
          <w:sz w:val="24"/>
          <w:szCs w:val="24"/>
        </w:rPr>
        <w:t xml:space="preserve">services.  </w:t>
      </w:r>
    </w:p>
    <w:p w:rsidR="0084202C" w:rsidP="00A838D5" w:rsidRDefault="005C0E02" w14:paraId="176F3DAE" w14:textId="13923674">
      <w:pPr>
        <w:rPr>
          <w:rFonts w:ascii="Times New Roman" w:hAnsi="Times New Roman"/>
          <w:sz w:val="24"/>
          <w:szCs w:val="24"/>
        </w:rPr>
      </w:pPr>
      <w:r w:rsidRPr="002411F4">
        <w:rPr>
          <w:rFonts w:ascii="Times New Roman" w:hAnsi="Times New Roman"/>
          <w:sz w:val="24"/>
          <w:szCs w:val="24"/>
        </w:rPr>
        <w:t xml:space="preserve">The </w:t>
      </w:r>
      <w:r w:rsidRPr="002411F4" w:rsidR="00077AF1">
        <w:rPr>
          <w:rFonts w:ascii="Times New Roman" w:hAnsi="Times New Roman"/>
          <w:sz w:val="24"/>
          <w:szCs w:val="24"/>
        </w:rPr>
        <w:t>NG911 Advancement Act</w:t>
      </w:r>
      <w:r w:rsidR="00A4546F">
        <w:rPr>
          <w:rFonts w:ascii="Times New Roman" w:hAnsi="Times New Roman"/>
          <w:sz w:val="24"/>
          <w:szCs w:val="24"/>
        </w:rPr>
        <w:t xml:space="preserve"> also</w:t>
      </w:r>
      <w:r w:rsidRPr="002411F4" w:rsidR="00077AF1">
        <w:rPr>
          <w:rFonts w:ascii="Times New Roman" w:hAnsi="Times New Roman"/>
          <w:sz w:val="24"/>
          <w:szCs w:val="24"/>
        </w:rPr>
        <w:t xml:space="preserve"> provide</w:t>
      </w:r>
      <w:r w:rsidR="00331AE8">
        <w:rPr>
          <w:rFonts w:ascii="Times New Roman" w:hAnsi="Times New Roman"/>
          <w:sz w:val="24"/>
          <w:szCs w:val="24"/>
        </w:rPr>
        <w:t>d</w:t>
      </w:r>
      <w:r w:rsidRPr="002411F4" w:rsidR="00077AF1">
        <w:rPr>
          <w:rFonts w:ascii="Times New Roman" w:hAnsi="Times New Roman"/>
          <w:sz w:val="24"/>
          <w:szCs w:val="24"/>
        </w:rPr>
        <w:t xml:space="preserve"> </w:t>
      </w:r>
      <w:r w:rsidR="003045DA">
        <w:rPr>
          <w:rFonts w:ascii="Times New Roman" w:hAnsi="Times New Roman"/>
          <w:sz w:val="24"/>
          <w:szCs w:val="24"/>
        </w:rPr>
        <w:t>f</w:t>
      </w:r>
      <w:r w:rsidRPr="002411F4" w:rsidR="00077AF1">
        <w:rPr>
          <w:rFonts w:ascii="Times New Roman" w:hAnsi="Times New Roman"/>
          <w:sz w:val="24"/>
          <w:szCs w:val="24"/>
        </w:rPr>
        <w:t>unding for</w:t>
      </w:r>
      <w:r w:rsidRPr="002411F4">
        <w:rPr>
          <w:rFonts w:ascii="Times New Roman" w:hAnsi="Times New Roman"/>
          <w:sz w:val="24"/>
          <w:szCs w:val="24"/>
        </w:rPr>
        <w:t xml:space="preserve"> grants </w:t>
      </w:r>
      <w:r w:rsidR="00810B1D">
        <w:rPr>
          <w:rFonts w:ascii="Times New Roman" w:hAnsi="Times New Roman"/>
          <w:sz w:val="24"/>
          <w:szCs w:val="24"/>
        </w:rPr>
        <w:t>that support</w:t>
      </w:r>
      <w:r w:rsidRPr="002411F4">
        <w:rPr>
          <w:rFonts w:ascii="Times New Roman" w:hAnsi="Times New Roman"/>
          <w:sz w:val="24"/>
          <w:szCs w:val="24"/>
        </w:rPr>
        <w:t xml:space="preserve"> the implementation </w:t>
      </w:r>
      <w:r w:rsidRPr="002411F4" w:rsidR="008B7A62">
        <w:rPr>
          <w:rFonts w:ascii="Times New Roman" w:hAnsi="Times New Roman" w:eastAsia="Calibri"/>
          <w:sz w:val="24"/>
          <w:szCs w:val="24"/>
        </w:rPr>
        <w:t xml:space="preserve">and operation of 911 services, E911 services, migration to an IP-enabled emergency network, and adoption and operation of </w:t>
      </w:r>
      <w:r w:rsidR="00940778">
        <w:rPr>
          <w:rFonts w:ascii="Times New Roman" w:hAnsi="Times New Roman" w:eastAsia="Calibri"/>
          <w:sz w:val="24"/>
          <w:szCs w:val="24"/>
        </w:rPr>
        <w:t>NG</w:t>
      </w:r>
      <w:r w:rsidRPr="002411F4" w:rsidR="008B7A62">
        <w:rPr>
          <w:rFonts w:ascii="Times New Roman" w:hAnsi="Times New Roman" w:eastAsia="Calibri"/>
          <w:sz w:val="24"/>
          <w:szCs w:val="24"/>
        </w:rPr>
        <w:t>911 services and applications</w:t>
      </w:r>
      <w:r w:rsidR="00862A4A">
        <w:rPr>
          <w:rFonts w:ascii="Times New Roman" w:hAnsi="Times New Roman" w:eastAsia="Calibri"/>
          <w:sz w:val="24"/>
          <w:szCs w:val="24"/>
        </w:rPr>
        <w:t xml:space="preserve">. </w:t>
      </w:r>
      <w:r w:rsidR="00A817DC">
        <w:rPr>
          <w:rFonts w:ascii="Times New Roman" w:hAnsi="Times New Roman" w:eastAsia="Calibri"/>
          <w:sz w:val="24"/>
          <w:szCs w:val="24"/>
        </w:rPr>
        <w:t xml:space="preserve"> </w:t>
      </w:r>
      <w:r w:rsidR="00862A4A">
        <w:rPr>
          <w:rFonts w:ascii="Times New Roman" w:hAnsi="Times New Roman" w:eastAsia="Calibri"/>
          <w:sz w:val="24"/>
          <w:szCs w:val="24"/>
        </w:rPr>
        <w:t>These grants fund</w:t>
      </w:r>
      <w:r w:rsidR="00810B1D">
        <w:rPr>
          <w:rFonts w:ascii="Times New Roman" w:hAnsi="Times New Roman" w:eastAsia="Calibri"/>
          <w:sz w:val="24"/>
          <w:szCs w:val="24"/>
        </w:rPr>
        <w:t xml:space="preserve">: </w:t>
      </w:r>
      <w:r w:rsidRPr="002411F4" w:rsidR="008B7A62">
        <w:rPr>
          <w:rFonts w:ascii="Times New Roman" w:hAnsi="Times New Roman" w:eastAsia="Calibri"/>
          <w:sz w:val="24"/>
          <w:szCs w:val="24"/>
        </w:rPr>
        <w:t xml:space="preserve">the implementation of IP-enabled emergency services and applications enabled by </w:t>
      </w:r>
      <w:r w:rsidR="00940778">
        <w:rPr>
          <w:rFonts w:ascii="Times New Roman" w:hAnsi="Times New Roman" w:eastAsia="Calibri"/>
          <w:sz w:val="24"/>
          <w:szCs w:val="24"/>
        </w:rPr>
        <w:t>NG</w:t>
      </w:r>
      <w:r w:rsidRPr="002411F4" w:rsidR="008B7A62">
        <w:rPr>
          <w:rFonts w:ascii="Times New Roman" w:hAnsi="Times New Roman" w:eastAsia="Calibri"/>
          <w:sz w:val="24"/>
          <w:szCs w:val="24"/>
        </w:rPr>
        <w:t>911 services, including the establishment of IP backbone networks and the application layer software infrastructure needed to interconnect the multitude of emergency response organizations</w:t>
      </w:r>
      <w:r w:rsidR="00810B1D">
        <w:rPr>
          <w:rFonts w:ascii="Times New Roman" w:hAnsi="Times New Roman" w:eastAsia="Calibri"/>
          <w:sz w:val="24"/>
          <w:szCs w:val="24"/>
        </w:rPr>
        <w:t>;</w:t>
      </w:r>
      <w:r w:rsidRPr="002411F4" w:rsidR="008B7A62">
        <w:rPr>
          <w:rFonts w:ascii="Times New Roman" w:hAnsi="Times New Roman" w:eastAsia="Calibri"/>
          <w:sz w:val="24"/>
          <w:szCs w:val="24"/>
        </w:rPr>
        <w:t xml:space="preserve"> and training public safety personnel, including call</w:t>
      </w:r>
      <w:r w:rsidRPr="002411F4" w:rsidR="00077AF1">
        <w:rPr>
          <w:rFonts w:ascii="Times New Roman" w:hAnsi="Times New Roman" w:eastAsia="Calibri"/>
          <w:sz w:val="24"/>
          <w:szCs w:val="24"/>
        </w:rPr>
        <w:t>-</w:t>
      </w:r>
      <w:r w:rsidRPr="002411F4" w:rsidR="008B7A62">
        <w:rPr>
          <w:rFonts w:ascii="Times New Roman" w:hAnsi="Times New Roman" w:eastAsia="Calibri"/>
          <w:sz w:val="24"/>
          <w:szCs w:val="24"/>
        </w:rPr>
        <w:t>takers, first responders, and other individuals and organizations who are part of the emergency response chain in 911 services.</w:t>
      </w:r>
      <w:r w:rsidRPr="002411F4" w:rsidR="00077AF1">
        <w:rPr>
          <w:rFonts w:ascii="Times New Roman" w:hAnsi="Times New Roman" w:eastAsia="Calibri"/>
          <w:sz w:val="24"/>
          <w:szCs w:val="24"/>
        </w:rPr>
        <w:t xml:space="preserve">  In 2016, </w:t>
      </w:r>
      <w:r w:rsidR="007E224A">
        <w:rPr>
          <w:rFonts w:ascii="Times New Roman" w:hAnsi="Times New Roman" w:eastAsia="Calibri"/>
          <w:sz w:val="24"/>
          <w:szCs w:val="24"/>
        </w:rPr>
        <w:t>approximately</w:t>
      </w:r>
      <w:r w:rsidRPr="002411F4" w:rsidR="00077AF1">
        <w:rPr>
          <w:rFonts w:ascii="Times New Roman" w:hAnsi="Times New Roman" w:eastAsia="Calibri"/>
          <w:sz w:val="24"/>
          <w:szCs w:val="24"/>
        </w:rPr>
        <w:t xml:space="preserve"> $115 million from spectrum auction proceeds were deposited into the Public Safety Trust Fund and made available for the 911 Grant Program.</w:t>
      </w:r>
      <w:r w:rsidR="00A4546F">
        <w:rPr>
          <w:rFonts w:ascii="Times New Roman" w:hAnsi="Times New Roman" w:eastAsia="Calibri"/>
          <w:sz w:val="24"/>
          <w:szCs w:val="24"/>
        </w:rPr>
        <w:t xml:space="preserve"> </w:t>
      </w:r>
      <w:r w:rsidR="00797BAB">
        <w:rPr>
          <w:rFonts w:ascii="Times New Roman" w:hAnsi="Times New Roman" w:eastAsia="Calibri"/>
          <w:sz w:val="24"/>
          <w:szCs w:val="24"/>
        </w:rPr>
        <w:t xml:space="preserve"> </w:t>
      </w:r>
      <w:r w:rsidR="00A4546F">
        <w:rPr>
          <w:rFonts w:ascii="Times New Roman" w:hAnsi="Times New Roman" w:eastAsia="Calibri"/>
          <w:sz w:val="24"/>
          <w:szCs w:val="24"/>
        </w:rPr>
        <w:t xml:space="preserve">After publishing the final rules for the grant program, </w:t>
      </w:r>
      <w:r w:rsidR="00810B1D">
        <w:rPr>
          <w:rFonts w:ascii="Times New Roman" w:hAnsi="Times New Roman" w:eastAsia="Calibri"/>
          <w:sz w:val="24"/>
          <w:szCs w:val="24"/>
        </w:rPr>
        <w:t xml:space="preserve">the ICO made </w:t>
      </w:r>
      <w:r w:rsidR="0006634A">
        <w:rPr>
          <w:rFonts w:ascii="Times New Roman" w:hAnsi="Times New Roman" w:eastAsia="Calibri"/>
          <w:sz w:val="24"/>
          <w:szCs w:val="24"/>
        </w:rPr>
        <w:t xml:space="preserve">36 </w:t>
      </w:r>
      <w:r w:rsidR="00810B1D">
        <w:rPr>
          <w:rFonts w:ascii="Times New Roman" w:hAnsi="Times New Roman" w:eastAsia="Calibri"/>
          <w:sz w:val="24"/>
          <w:szCs w:val="24"/>
        </w:rPr>
        <w:t xml:space="preserve">grant awards on </w:t>
      </w:r>
      <w:r w:rsidR="00A4546F">
        <w:rPr>
          <w:rFonts w:ascii="Times New Roman" w:hAnsi="Times New Roman" w:eastAsia="Calibri"/>
          <w:sz w:val="24"/>
          <w:szCs w:val="24"/>
        </w:rPr>
        <w:t>August 9, 2019</w:t>
      </w:r>
      <w:r w:rsidR="0006634A">
        <w:rPr>
          <w:rFonts w:ascii="Times New Roman" w:hAnsi="Times New Roman" w:eastAsia="Calibri"/>
          <w:sz w:val="24"/>
          <w:szCs w:val="24"/>
        </w:rPr>
        <w:t>, totaling $109,250,000.</w:t>
      </w:r>
      <w:r w:rsidR="00A838D5">
        <w:rPr>
          <w:rFonts w:ascii="Times New Roman" w:hAnsi="Times New Roman" w:eastAsia="Calibri"/>
          <w:sz w:val="24"/>
          <w:szCs w:val="24"/>
        </w:rPr>
        <w:t xml:space="preserve"> </w:t>
      </w:r>
      <w:r w:rsidR="00A817DC">
        <w:rPr>
          <w:rFonts w:ascii="Times New Roman" w:hAnsi="Times New Roman" w:eastAsia="Calibri"/>
          <w:sz w:val="24"/>
          <w:szCs w:val="24"/>
        </w:rPr>
        <w:t xml:space="preserve"> </w:t>
      </w:r>
    </w:p>
    <w:p w:rsidR="005C0E02" w:rsidP="008B7A62" w:rsidRDefault="009B76AE" w14:paraId="219DF71B" w14:textId="71028271">
      <w:pPr>
        <w:rPr>
          <w:rFonts w:ascii="Times New Roman" w:hAnsi="Times New Roman"/>
          <w:sz w:val="24"/>
          <w:szCs w:val="24"/>
        </w:rPr>
      </w:pPr>
      <w:r>
        <w:rPr>
          <w:rFonts w:ascii="Times New Roman" w:hAnsi="Times New Roman"/>
          <w:sz w:val="24"/>
          <w:szCs w:val="24"/>
        </w:rPr>
        <w:lastRenderedPageBreak/>
        <w:t>After the pe</w:t>
      </w:r>
      <w:r w:rsidR="002B7415">
        <w:rPr>
          <w:rFonts w:ascii="Times New Roman" w:hAnsi="Times New Roman"/>
          <w:sz w:val="24"/>
          <w:szCs w:val="24"/>
        </w:rPr>
        <w:t>riod of performance for the 911 Grant Program</w:t>
      </w:r>
      <w:r>
        <w:rPr>
          <w:rFonts w:ascii="Times New Roman" w:hAnsi="Times New Roman"/>
          <w:sz w:val="24"/>
          <w:szCs w:val="24"/>
        </w:rPr>
        <w:t xml:space="preserve"> ends on </w:t>
      </w:r>
      <w:r w:rsidR="000968EF">
        <w:rPr>
          <w:rFonts w:ascii="Times New Roman" w:hAnsi="Times New Roman"/>
          <w:sz w:val="24"/>
          <w:szCs w:val="24"/>
        </w:rPr>
        <w:t>March 31</w:t>
      </w:r>
      <w:r w:rsidR="00191697">
        <w:rPr>
          <w:rFonts w:ascii="Times New Roman" w:hAnsi="Times New Roman"/>
          <w:sz w:val="24"/>
          <w:szCs w:val="24"/>
        </w:rPr>
        <w:t>,</w:t>
      </w:r>
      <w:r w:rsidR="000968EF">
        <w:rPr>
          <w:rFonts w:ascii="Times New Roman" w:hAnsi="Times New Roman"/>
          <w:sz w:val="24"/>
          <w:szCs w:val="24"/>
        </w:rPr>
        <w:t xml:space="preserve"> 2022, </w:t>
      </w:r>
      <w:r w:rsidR="00191697">
        <w:rPr>
          <w:rFonts w:ascii="Times New Roman" w:hAnsi="Times New Roman"/>
          <w:sz w:val="24"/>
          <w:szCs w:val="24"/>
        </w:rPr>
        <w:t>s</w:t>
      </w:r>
      <w:r w:rsidRPr="002411F4" w:rsidR="005C0E02">
        <w:rPr>
          <w:rFonts w:ascii="Times New Roman" w:hAnsi="Times New Roman"/>
          <w:sz w:val="24"/>
          <w:szCs w:val="24"/>
        </w:rPr>
        <w:t>tate</w:t>
      </w:r>
      <w:r w:rsidR="004E4E43">
        <w:rPr>
          <w:rFonts w:ascii="Times New Roman" w:hAnsi="Times New Roman"/>
          <w:sz w:val="24"/>
          <w:szCs w:val="24"/>
        </w:rPr>
        <w:t xml:space="preserve"> and</w:t>
      </w:r>
      <w:r w:rsidR="00191697">
        <w:rPr>
          <w:rFonts w:ascii="Times New Roman" w:hAnsi="Times New Roman"/>
          <w:sz w:val="24"/>
          <w:szCs w:val="24"/>
        </w:rPr>
        <w:t xml:space="preserve"> tribal o</w:t>
      </w:r>
      <w:r w:rsidRPr="002411F4" w:rsidR="004A05B4">
        <w:rPr>
          <w:rFonts w:ascii="Times New Roman" w:hAnsi="Times New Roman"/>
          <w:sz w:val="24"/>
          <w:szCs w:val="24"/>
        </w:rPr>
        <w:t>rganization</w:t>
      </w:r>
      <w:r w:rsidR="00AB1660">
        <w:rPr>
          <w:rFonts w:ascii="Times New Roman" w:hAnsi="Times New Roman"/>
          <w:sz w:val="24"/>
          <w:szCs w:val="24"/>
        </w:rPr>
        <w:t xml:space="preserve"> grant recipient</w:t>
      </w:r>
      <w:r w:rsidRPr="002411F4" w:rsidR="004A05B4">
        <w:rPr>
          <w:rFonts w:ascii="Times New Roman" w:hAnsi="Times New Roman"/>
          <w:sz w:val="24"/>
          <w:szCs w:val="24"/>
        </w:rPr>
        <w:t xml:space="preserve">s </w:t>
      </w:r>
      <w:r w:rsidRPr="002411F4" w:rsidR="005C0E02">
        <w:rPr>
          <w:rFonts w:ascii="Times New Roman" w:hAnsi="Times New Roman"/>
          <w:sz w:val="24"/>
          <w:szCs w:val="24"/>
        </w:rPr>
        <w:t xml:space="preserve">will </w:t>
      </w:r>
      <w:r w:rsidR="002B7415">
        <w:rPr>
          <w:rFonts w:ascii="Times New Roman" w:hAnsi="Times New Roman"/>
          <w:sz w:val="24"/>
          <w:szCs w:val="24"/>
        </w:rPr>
        <w:t xml:space="preserve">be required to </w:t>
      </w:r>
      <w:r w:rsidRPr="002411F4" w:rsidR="005C0E02">
        <w:rPr>
          <w:rFonts w:ascii="Times New Roman" w:hAnsi="Times New Roman"/>
          <w:sz w:val="24"/>
          <w:szCs w:val="24"/>
        </w:rPr>
        <w:t xml:space="preserve">submit </w:t>
      </w:r>
      <w:r>
        <w:rPr>
          <w:rFonts w:ascii="Times New Roman" w:hAnsi="Times New Roman"/>
          <w:sz w:val="24"/>
          <w:szCs w:val="24"/>
        </w:rPr>
        <w:t>a closeout report</w:t>
      </w:r>
      <w:r w:rsidRPr="002411F4" w:rsidR="005C0E02">
        <w:rPr>
          <w:rFonts w:ascii="Times New Roman" w:hAnsi="Times New Roman"/>
          <w:sz w:val="24"/>
          <w:szCs w:val="24"/>
        </w:rPr>
        <w:t xml:space="preserve"> in accordance with </w:t>
      </w:r>
      <w:r w:rsidRPr="000D6411" w:rsidR="005E726A">
        <w:rPr>
          <w:rFonts w:ascii="Times New Roman" w:hAnsi="Times New Roman"/>
          <w:sz w:val="24"/>
          <w:szCs w:val="24"/>
        </w:rPr>
        <w:t>2</w:t>
      </w:r>
      <w:r w:rsidRPr="000D6411" w:rsidR="005C0E02">
        <w:rPr>
          <w:rFonts w:ascii="Times New Roman" w:hAnsi="Times New Roman"/>
          <w:sz w:val="24"/>
          <w:szCs w:val="24"/>
        </w:rPr>
        <w:t xml:space="preserve"> C</w:t>
      </w:r>
      <w:r w:rsidR="00700EEC">
        <w:rPr>
          <w:rFonts w:ascii="Times New Roman" w:hAnsi="Times New Roman"/>
          <w:sz w:val="24"/>
          <w:szCs w:val="24"/>
        </w:rPr>
        <w:t>.</w:t>
      </w:r>
      <w:r w:rsidRPr="000D6411" w:rsidR="005C0E02">
        <w:rPr>
          <w:rFonts w:ascii="Times New Roman" w:hAnsi="Times New Roman"/>
          <w:sz w:val="24"/>
          <w:szCs w:val="24"/>
        </w:rPr>
        <w:t>F</w:t>
      </w:r>
      <w:r w:rsidR="00700EEC">
        <w:rPr>
          <w:rFonts w:ascii="Times New Roman" w:hAnsi="Times New Roman"/>
          <w:sz w:val="24"/>
          <w:szCs w:val="24"/>
        </w:rPr>
        <w:t>.</w:t>
      </w:r>
      <w:r w:rsidRPr="000D6411" w:rsidR="005C0E02">
        <w:rPr>
          <w:rFonts w:ascii="Times New Roman" w:hAnsi="Times New Roman"/>
          <w:sz w:val="24"/>
          <w:szCs w:val="24"/>
        </w:rPr>
        <w:t>R</w:t>
      </w:r>
      <w:r w:rsidR="00700EEC">
        <w:rPr>
          <w:rFonts w:ascii="Times New Roman" w:hAnsi="Times New Roman"/>
          <w:sz w:val="24"/>
          <w:szCs w:val="24"/>
        </w:rPr>
        <w:t>.</w:t>
      </w:r>
      <w:r w:rsidRPr="000D6411" w:rsidR="005C0E02">
        <w:rPr>
          <w:rFonts w:ascii="Times New Roman" w:hAnsi="Times New Roman"/>
          <w:sz w:val="24"/>
          <w:szCs w:val="24"/>
        </w:rPr>
        <w:t xml:space="preserve"> </w:t>
      </w:r>
      <w:r w:rsidR="00A817DC">
        <w:rPr>
          <w:rFonts w:ascii="Times New Roman" w:hAnsi="Times New Roman"/>
          <w:sz w:val="24"/>
          <w:szCs w:val="24"/>
        </w:rPr>
        <w:t xml:space="preserve">§ </w:t>
      </w:r>
      <w:r w:rsidRPr="000D6411" w:rsidR="005E726A">
        <w:rPr>
          <w:rFonts w:ascii="Times New Roman" w:hAnsi="Times New Roman"/>
          <w:sz w:val="24"/>
          <w:szCs w:val="24"/>
        </w:rPr>
        <w:t>200</w:t>
      </w:r>
      <w:r w:rsidR="00AB1660">
        <w:rPr>
          <w:rFonts w:ascii="Times New Roman" w:hAnsi="Times New Roman"/>
          <w:sz w:val="24"/>
          <w:szCs w:val="24"/>
        </w:rPr>
        <w:t>.</w:t>
      </w:r>
      <w:r w:rsidR="004679CE">
        <w:rPr>
          <w:rFonts w:ascii="Times New Roman" w:hAnsi="Times New Roman"/>
          <w:sz w:val="24"/>
          <w:szCs w:val="24"/>
        </w:rPr>
        <w:t>344</w:t>
      </w:r>
      <w:r w:rsidRPr="000D6411" w:rsidR="005C0E02">
        <w:rPr>
          <w:rFonts w:ascii="Times New Roman" w:hAnsi="Times New Roman"/>
          <w:sz w:val="24"/>
          <w:szCs w:val="24"/>
        </w:rPr>
        <w:t xml:space="preserve">, the </w:t>
      </w:r>
      <w:r w:rsidRPr="000D6411" w:rsidR="005E726A">
        <w:rPr>
          <w:rFonts w:ascii="Times New Roman" w:hAnsi="Times New Roman"/>
          <w:sz w:val="24"/>
          <w:szCs w:val="24"/>
        </w:rPr>
        <w:t>Uniform Administrative Requirements, Cost Principles, and Audit Requirements for Federal Awards</w:t>
      </w:r>
      <w:r w:rsidRPr="000D6411" w:rsidR="00C910FE">
        <w:rPr>
          <w:rFonts w:ascii="Times New Roman" w:hAnsi="Times New Roman"/>
          <w:sz w:val="24"/>
          <w:szCs w:val="24"/>
        </w:rPr>
        <w:t xml:space="preserve"> (OMB Uniform Guidance)</w:t>
      </w:r>
      <w:r w:rsidRPr="000D6411" w:rsidR="005C0E02">
        <w:rPr>
          <w:rFonts w:ascii="Times New Roman" w:hAnsi="Times New Roman"/>
          <w:sz w:val="24"/>
          <w:szCs w:val="24"/>
        </w:rPr>
        <w:t>.</w:t>
      </w:r>
      <w:r w:rsidRPr="002411F4" w:rsidR="005C0E02">
        <w:rPr>
          <w:rFonts w:ascii="Times New Roman" w:hAnsi="Times New Roman"/>
          <w:sz w:val="24"/>
          <w:szCs w:val="24"/>
        </w:rPr>
        <w:t xml:space="preserve"> </w:t>
      </w:r>
      <w:r w:rsidR="00AB1660">
        <w:rPr>
          <w:rFonts w:ascii="Times New Roman" w:hAnsi="Times New Roman"/>
          <w:sz w:val="24"/>
          <w:szCs w:val="24"/>
        </w:rPr>
        <w:t xml:space="preserve"> </w:t>
      </w:r>
      <w:r w:rsidR="000968EF">
        <w:rPr>
          <w:rFonts w:ascii="Times New Roman" w:hAnsi="Times New Roman"/>
          <w:sz w:val="24"/>
          <w:szCs w:val="24"/>
        </w:rPr>
        <w:t xml:space="preserve">The </w:t>
      </w:r>
      <w:r>
        <w:rPr>
          <w:rFonts w:ascii="Times New Roman" w:hAnsi="Times New Roman"/>
          <w:sz w:val="24"/>
          <w:szCs w:val="24"/>
        </w:rPr>
        <w:t xml:space="preserve">Closeout </w:t>
      </w:r>
      <w:r w:rsidR="000968EF">
        <w:rPr>
          <w:rFonts w:ascii="Times New Roman" w:hAnsi="Times New Roman"/>
          <w:sz w:val="24"/>
          <w:szCs w:val="24"/>
        </w:rPr>
        <w:t xml:space="preserve">Performance Report </w:t>
      </w:r>
      <w:r w:rsidRPr="00A4379A" w:rsidR="00AB1660">
        <w:rPr>
          <w:rFonts w:ascii="Times New Roman" w:hAnsi="Times New Roman"/>
          <w:sz w:val="24"/>
          <w:szCs w:val="24"/>
        </w:rPr>
        <w:t>ask</w:t>
      </w:r>
      <w:r w:rsidR="000968EF">
        <w:rPr>
          <w:rFonts w:ascii="Times New Roman" w:hAnsi="Times New Roman"/>
          <w:sz w:val="24"/>
          <w:szCs w:val="24"/>
        </w:rPr>
        <w:t>s</w:t>
      </w:r>
      <w:r w:rsidRPr="00A4379A" w:rsidR="00AB1660">
        <w:rPr>
          <w:rFonts w:ascii="Times New Roman" w:hAnsi="Times New Roman"/>
          <w:sz w:val="24"/>
          <w:szCs w:val="24"/>
        </w:rPr>
        <w:t xml:space="preserve"> grant recipients</w:t>
      </w:r>
      <w:r w:rsidRPr="00A4379A" w:rsidR="00CA2FB5">
        <w:rPr>
          <w:rFonts w:ascii="Times New Roman" w:hAnsi="Times New Roman"/>
          <w:sz w:val="24"/>
          <w:szCs w:val="24"/>
        </w:rPr>
        <w:t xml:space="preserve"> </w:t>
      </w:r>
      <w:r>
        <w:rPr>
          <w:rFonts w:ascii="Times New Roman" w:hAnsi="Times New Roman"/>
          <w:sz w:val="24"/>
          <w:szCs w:val="24"/>
        </w:rPr>
        <w:t xml:space="preserve">to describe their project goals, </w:t>
      </w:r>
      <w:r w:rsidRPr="00A4379A" w:rsidR="00CA6D52">
        <w:rPr>
          <w:rFonts w:ascii="Times New Roman" w:hAnsi="Times New Roman"/>
          <w:sz w:val="24"/>
          <w:szCs w:val="24"/>
        </w:rPr>
        <w:t xml:space="preserve">activities </w:t>
      </w:r>
      <w:r w:rsidR="00517154">
        <w:rPr>
          <w:rFonts w:ascii="Times New Roman" w:hAnsi="Times New Roman"/>
          <w:sz w:val="24"/>
          <w:szCs w:val="24"/>
        </w:rPr>
        <w:t>and</w:t>
      </w:r>
      <w:r w:rsidRPr="00A4379A" w:rsidR="00CA6D52">
        <w:rPr>
          <w:rFonts w:ascii="Times New Roman" w:hAnsi="Times New Roman"/>
          <w:sz w:val="24"/>
          <w:szCs w:val="24"/>
        </w:rPr>
        <w:t xml:space="preserve"> </w:t>
      </w:r>
      <w:r>
        <w:rPr>
          <w:rFonts w:ascii="Times New Roman" w:hAnsi="Times New Roman"/>
          <w:sz w:val="24"/>
          <w:szCs w:val="24"/>
        </w:rPr>
        <w:t xml:space="preserve">accomplishments </w:t>
      </w:r>
      <w:r w:rsidRPr="00A4379A" w:rsidR="00CA6D52">
        <w:rPr>
          <w:rFonts w:ascii="Times New Roman" w:hAnsi="Times New Roman"/>
          <w:sz w:val="24"/>
          <w:szCs w:val="24"/>
        </w:rPr>
        <w:t xml:space="preserve">made during the </w:t>
      </w:r>
      <w:r>
        <w:rPr>
          <w:rFonts w:ascii="Times New Roman" w:hAnsi="Times New Roman"/>
          <w:sz w:val="24"/>
          <w:szCs w:val="24"/>
        </w:rPr>
        <w:t>grant period of performance</w:t>
      </w:r>
      <w:r w:rsidRPr="00A4379A" w:rsidR="00CA6D52">
        <w:rPr>
          <w:rFonts w:ascii="Times New Roman" w:hAnsi="Times New Roman"/>
          <w:sz w:val="24"/>
          <w:szCs w:val="24"/>
        </w:rPr>
        <w:t xml:space="preserve">, including a description of key milestones, </w:t>
      </w:r>
      <w:r w:rsidRPr="00A4379A" w:rsidR="00576370">
        <w:rPr>
          <w:rFonts w:ascii="Times New Roman" w:hAnsi="Times New Roman"/>
          <w:sz w:val="24"/>
          <w:szCs w:val="24"/>
        </w:rPr>
        <w:t xml:space="preserve">significant project accomplishments, any delays or challenges, and </w:t>
      </w:r>
      <w:r>
        <w:rPr>
          <w:rFonts w:ascii="Times New Roman" w:hAnsi="Times New Roman"/>
          <w:sz w:val="24"/>
          <w:szCs w:val="24"/>
        </w:rPr>
        <w:t>data for</w:t>
      </w:r>
      <w:r w:rsidRPr="00A4379A" w:rsidR="00576370">
        <w:rPr>
          <w:rFonts w:ascii="Times New Roman" w:hAnsi="Times New Roman"/>
          <w:sz w:val="24"/>
          <w:szCs w:val="24"/>
        </w:rPr>
        <w:t xml:space="preserve"> established </w:t>
      </w:r>
      <w:r>
        <w:rPr>
          <w:rFonts w:ascii="Times New Roman" w:hAnsi="Times New Roman"/>
          <w:sz w:val="24"/>
          <w:szCs w:val="24"/>
        </w:rPr>
        <w:t xml:space="preserve">metrics. </w:t>
      </w:r>
      <w:r w:rsidR="00797BAB">
        <w:rPr>
          <w:rFonts w:ascii="Times New Roman" w:hAnsi="Times New Roman"/>
          <w:sz w:val="24"/>
          <w:szCs w:val="24"/>
        </w:rPr>
        <w:t xml:space="preserve"> </w:t>
      </w:r>
      <w:r w:rsidR="00191697">
        <w:rPr>
          <w:rFonts w:ascii="Times New Roman" w:hAnsi="Times New Roman"/>
          <w:sz w:val="24"/>
          <w:szCs w:val="24"/>
        </w:rPr>
        <w:t>State and tribal o</w:t>
      </w:r>
      <w:r w:rsidR="004E4E43">
        <w:rPr>
          <w:rFonts w:ascii="Times New Roman" w:hAnsi="Times New Roman"/>
          <w:sz w:val="24"/>
          <w:szCs w:val="24"/>
        </w:rPr>
        <w:t xml:space="preserve">rganization grant recipients will submit the </w:t>
      </w:r>
      <w:r>
        <w:rPr>
          <w:rFonts w:ascii="Times New Roman" w:hAnsi="Times New Roman"/>
          <w:sz w:val="24"/>
          <w:szCs w:val="24"/>
        </w:rPr>
        <w:t>Closeout Performance Report</w:t>
      </w:r>
      <w:r w:rsidR="004E4E43">
        <w:rPr>
          <w:rFonts w:ascii="Times New Roman" w:hAnsi="Times New Roman"/>
          <w:sz w:val="24"/>
          <w:szCs w:val="24"/>
        </w:rPr>
        <w:t xml:space="preserve"> </w:t>
      </w:r>
      <w:r>
        <w:rPr>
          <w:rFonts w:ascii="Times New Roman" w:hAnsi="Times New Roman"/>
          <w:sz w:val="24"/>
          <w:szCs w:val="24"/>
        </w:rPr>
        <w:t>within 90 days after the March 31, 2022 grant end date</w:t>
      </w:r>
      <w:r w:rsidR="00B37C6A">
        <w:rPr>
          <w:rFonts w:ascii="Times New Roman" w:hAnsi="Times New Roman"/>
          <w:sz w:val="24"/>
          <w:szCs w:val="24"/>
        </w:rPr>
        <w:t>, no later than June 29, 2022.</w:t>
      </w:r>
      <w:r w:rsidR="00797BAB">
        <w:rPr>
          <w:rFonts w:ascii="Times New Roman" w:hAnsi="Times New Roman"/>
          <w:sz w:val="24"/>
          <w:szCs w:val="24"/>
        </w:rPr>
        <w:t xml:space="preserve"> </w:t>
      </w:r>
      <w:r w:rsidRPr="002411F4" w:rsidR="005C0E02">
        <w:rPr>
          <w:rFonts w:ascii="Times New Roman" w:hAnsi="Times New Roman"/>
          <w:sz w:val="24"/>
          <w:szCs w:val="24"/>
        </w:rPr>
        <w:t xml:space="preserve"> It is important for the Agencies to have this</w:t>
      </w:r>
      <w:r w:rsidR="004E4E43">
        <w:rPr>
          <w:rFonts w:ascii="Times New Roman" w:hAnsi="Times New Roman"/>
          <w:sz w:val="24"/>
          <w:szCs w:val="24"/>
        </w:rPr>
        <w:t xml:space="preserve"> performance reporting</w:t>
      </w:r>
      <w:r w:rsidRPr="002411F4" w:rsidR="005C0E02">
        <w:rPr>
          <w:rFonts w:ascii="Times New Roman" w:hAnsi="Times New Roman"/>
          <w:sz w:val="24"/>
          <w:szCs w:val="24"/>
        </w:rPr>
        <w:t xml:space="preserve"> information so that they can effectively </w:t>
      </w:r>
      <w:r>
        <w:rPr>
          <w:rFonts w:ascii="Times New Roman" w:hAnsi="Times New Roman"/>
          <w:sz w:val="24"/>
          <w:szCs w:val="24"/>
        </w:rPr>
        <w:t xml:space="preserve">account for the programmatic activity completed with the grant funds. </w:t>
      </w:r>
    </w:p>
    <w:p w:rsidR="00D03587" w:rsidP="008B7A62" w:rsidRDefault="00191697" w14:paraId="441D97CE" w14:textId="6CE70C93">
      <w:pPr>
        <w:rPr>
          <w:rFonts w:ascii="Times New Roman" w:hAnsi="Times New Roman"/>
          <w:sz w:val="24"/>
          <w:szCs w:val="24"/>
        </w:rPr>
      </w:pPr>
      <w:r>
        <w:rPr>
          <w:rFonts w:ascii="Times New Roman" w:hAnsi="Times New Roman"/>
          <w:sz w:val="24"/>
          <w:szCs w:val="24"/>
        </w:rPr>
        <w:t>Lastly, state and tribal o</w:t>
      </w:r>
      <w:r w:rsidR="00D03587">
        <w:rPr>
          <w:rFonts w:ascii="Times New Roman" w:hAnsi="Times New Roman"/>
          <w:sz w:val="24"/>
          <w:szCs w:val="24"/>
        </w:rPr>
        <w:t>rg</w:t>
      </w:r>
      <w:r w:rsidR="00517154">
        <w:rPr>
          <w:rFonts w:ascii="Times New Roman" w:hAnsi="Times New Roman"/>
          <w:sz w:val="24"/>
          <w:szCs w:val="24"/>
        </w:rPr>
        <w:t>anization grant recipients will</w:t>
      </w:r>
      <w:r w:rsidR="000968EF">
        <w:rPr>
          <w:rFonts w:ascii="Times New Roman" w:hAnsi="Times New Roman"/>
          <w:sz w:val="24"/>
          <w:szCs w:val="24"/>
        </w:rPr>
        <w:t xml:space="preserve"> </w:t>
      </w:r>
      <w:r w:rsidR="00D03587">
        <w:rPr>
          <w:rFonts w:ascii="Times New Roman" w:hAnsi="Times New Roman"/>
          <w:sz w:val="24"/>
          <w:szCs w:val="24"/>
        </w:rPr>
        <w:t>submit</w:t>
      </w:r>
      <w:r w:rsidR="00517154">
        <w:rPr>
          <w:rFonts w:ascii="Times New Roman" w:hAnsi="Times New Roman"/>
          <w:sz w:val="24"/>
          <w:szCs w:val="24"/>
        </w:rPr>
        <w:t xml:space="preserve"> a final</w:t>
      </w:r>
      <w:r w:rsidR="00D03587">
        <w:rPr>
          <w:rFonts w:ascii="Times New Roman" w:hAnsi="Times New Roman"/>
          <w:sz w:val="24"/>
          <w:szCs w:val="24"/>
        </w:rPr>
        <w:t xml:space="preserve"> financial </w:t>
      </w:r>
      <w:r w:rsidR="00517154">
        <w:rPr>
          <w:rFonts w:ascii="Times New Roman" w:hAnsi="Times New Roman"/>
          <w:sz w:val="24"/>
          <w:szCs w:val="24"/>
        </w:rPr>
        <w:t>report in</w:t>
      </w:r>
      <w:r w:rsidR="000A2A52">
        <w:rPr>
          <w:rFonts w:ascii="Times New Roman" w:hAnsi="Times New Roman"/>
          <w:sz w:val="24"/>
          <w:szCs w:val="24"/>
        </w:rPr>
        <w:t xml:space="preserve"> accordance with 2 C</w:t>
      </w:r>
      <w:r w:rsidR="00A817DC">
        <w:rPr>
          <w:rFonts w:ascii="Times New Roman" w:hAnsi="Times New Roman"/>
          <w:sz w:val="24"/>
          <w:szCs w:val="24"/>
        </w:rPr>
        <w:t>.</w:t>
      </w:r>
      <w:r w:rsidR="000A2A52">
        <w:rPr>
          <w:rFonts w:ascii="Times New Roman" w:hAnsi="Times New Roman"/>
          <w:sz w:val="24"/>
          <w:szCs w:val="24"/>
        </w:rPr>
        <w:t>F</w:t>
      </w:r>
      <w:r w:rsidR="00A817DC">
        <w:rPr>
          <w:rFonts w:ascii="Times New Roman" w:hAnsi="Times New Roman"/>
          <w:sz w:val="24"/>
          <w:szCs w:val="24"/>
        </w:rPr>
        <w:t>.</w:t>
      </w:r>
      <w:r w:rsidR="000A2A52">
        <w:rPr>
          <w:rFonts w:ascii="Times New Roman" w:hAnsi="Times New Roman"/>
          <w:sz w:val="24"/>
          <w:szCs w:val="24"/>
        </w:rPr>
        <w:t>R</w:t>
      </w:r>
      <w:r w:rsidR="00A817DC">
        <w:rPr>
          <w:rFonts w:ascii="Times New Roman" w:hAnsi="Times New Roman"/>
          <w:sz w:val="24"/>
          <w:szCs w:val="24"/>
        </w:rPr>
        <w:t>.</w:t>
      </w:r>
      <w:r w:rsidR="000A2A52">
        <w:rPr>
          <w:rFonts w:ascii="Times New Roman" w:hAnsi="Times New Roman"/>
          <w:sz w:val="24"/>
          <w:szCs w:val="24"/>
        </w:rPr>
        <w:t xml:space="preserve"> </w:t>
      </w:r>
      <w:r w:rsidR="00A817DC">
        <w:rPr>
          <w:rFonts w:ascii="Times New Roman" w:hAnsi="Times New Roman"/>
          <w:sz w:val="24"/>
          <w:szCs w:val="24"/>
        </w:rPr>
        <w:t xml:space="preserve">§ </w:t>
      </w:r>
      <w:r w:rsidR="000A2A52">
        <w:rPr>
          <w:rFonts w:ascii="Times New Roman" w:hAnsi="Times New Roman"/>
          <w:sz w:val="24"/>
          <w:szCs w:val="24"/>
        </w:rPr>
        <w:t>200.</w:t>
      </w:r>
      <w:r w:rsidR="004679CE">
        <w:rPr>
          <w:rFonts w:ascii="Times New Roman" w:hAnsi="Times New Roman"/>
          <w:sz w:val="24"/>
          <w:szCs w:val="24"/>
        </w:rPr>
        <w:t>328</w:t>
      </w:r>
      <w:r w:rsidR="00D03587">
        <w:rPr>
          <w:rFonts w:ascii="Times New Roman" w:hAnsi="Times New Roman"/>
          <w:sz w:val="24"/>
          <w:szCs w:val="24"/>
        </w:rPr>
        <w:t xml:space="preserve">.  </w:t>
      </w:r>
      <w:r w:rsidRPr="000A2A52" w:rsidR="000A2A52">
        <w:rPr>
          <w:rFonts w:ascii="Times New Roman" w:hAnsi="Times New Roman"/>
          <w:sz w:val="24"/>
          <w:szCs w:val="24"/>
        </w:rPr>
        <w:t xml:space="preserve">The Agencies </w:t>
      </w:r>
      <w:r w:rsidR="000968EF">
        <w:rPr>
          <w:rFonts w:ascii="Times New Roman" w:hAnsi="Times New Roman"/>
          <w:sz w:val="24"/>
          <w:szCs w:val="24"/>
        </w:rPr>
        <w:t>su</w:t>
      </w:r>
      <w:r w:rsidRPr="000A2A52" w:rsidR="000A2A52">
        <w:rPr>
          <w:rFonts w:ascii="Times New Roman" w:hAnsi="Times New Roman"/>
          <w:sz w:val="24"/>
          <w:szCs w:val="24"/>
        </w:rPr>
        <w:t>bmit</w:t>
      </w:r>
      <w:r w:rsidR="000968EF">
        <w:rPr>
          <w:rFonts w:ascii="Times New Roman" w:hAnsi="Times New Roman"/>
          <w:sz w:val="24"/>
          <w:szCs w:val="24"/>
        </w:rPr>
        <w:t>ted</w:t>
      </w:r>
      <w:r w:rsidRPr="000A2A52" w:rsidR="000A2A52">
        <w:rPr>
          <w:rFonts w:ascii="Times New Roman" w:hAnsi="Times New Roman"/>
          <w:sz w:val="24"/>
          <w:szCs w:val="24"/>
        </w:rPr>
        <w:t xml:space="preserve"> a Request for Common Form in ROCIS to use the previously approved in</w:t>
      </w:r>
      <w:r w:rsidR="000A2A52">
        <w:rPr>
          <w:rFonts w:ascii="Times New Roman" w:hAnsi="Times New Roman"/>
          <w:sz w:val="24"/>
          <w:szCs w:val="24"/>
        </w:rPr>
        <w:t>formation collection instrument SF-425 Federal Financial Report (OMB Control No. 4040-0014)</w:t>
      </w:r>
      <w:r w:rsidRPr="000A2A52" w:rsidR="000A2A52">
        <w:rPr>
          <w:rFonts w:ascii="Times New Roman" w:hAnsi="Times New Roman"/>
          <w:sz w:val="24"/>
          <w:szCs w:val="24"/>
        </w:rPr>
        <w:t xml:space="preserve">, on which the Agencies will calculate and </w:t>
      </w:r>
      <w:r w:rsidR="00C6314B">
        <w:rPr>
          <w:rFonts w:ascii="Times New Roman" w:hAnsi="Times New Roman"/>
          <w:sz w:val="24"/>
          <w:szCs w:val="24"/>
        </w:rPr>
        <w:t xml:space="preserve">report the </w:t>
      </w:r>
      <w:r w:rsidRPr="000A2A52" w:rsidR="000A2A52">
        <w:rPr>
          <w:rFonts w:ascii="Times New Roman" w:hAnsi="Times New Roman"/>
          <w:sz w:val="24"/>
          <w:szCs w:val="24"/>
        </w:rPr>
        <w:t>burden hours.</w:t>
      </w:r>
      <w:r w:rsidR="000A2A52">
        <w:rPr>
          <w:rFonts w:ascii="Times New Roman" w:hAnsi="Times New Roman"/>
          <w:sz w:val="24"/>
          <w:szCs w:val="24"/>
        </w:rPr>
        <w:t xml:space="preserve">  </w:t>
      </w:r>
      <w:r w:rsidR="00D03587">
        <w:rPr>
          <w:rFonts w:ascii="Times New Roman" w:hAnsi="Times New Roman"/>
          <w:sz w:val="24"/>
          <w:szCs w:val="24"/>
        </w:rPr>
        <w:t>The Federal</w:t>
      </w:r>
      <w:r w:rsidR="00FC67E8">
        <w:rPr>
          <w:rFonts w:ascii="Times New Roman" w:hAnsi="Times New Roman"/>
          <w:sz w:val="24"/>
          <w:szCs w:val="24"/>
        </w:rPr>
        <w:t xml:space="preserve"> Financial Report (SF-425) include</w:t>
      </w:r>
      <w:r w:rsidR="00797BAB">
        <w:rPr>
          <w:rFonts w:ascii="Times New Roman" w:hAnsi="Times New Roman"/>
          <w:sz w:val="24"/>
          <w:szCs w:val="24"/>
        </w:rPr>
        <w:t>s</w:t>
      </w:r>
      <w:r w:rsidR="00FC67E8">
        <w:rPr>
          <w:rFonts w:ascii="Times New Roman" w:hAnsi="Times New Roman"/>
          <w:sz w:val="24"/>
          <w:szCs w:val="24"/>
        </w:rPr>
        <w:t xml:space="preserve"> fields to capture </w:t>
      </w:r>
      <w:r w:rsidR="00D03587">
        <w:rPr>
          <w:rFonts w:ascii="Times New Roman" w:hAnsi="Times New Roman"/>
          <w:sz w:val="24"/>
          <w:szCs w:val="24"/>
        </w:rPr>
        <w:t>cash management and fina</w:t>
      </w:r>
      <w:r>
        <w:rPr>
          <w:rFonts w:ascii="Times New Roman" w:hAnsi="Times New Roman"/>
          <w:sz w:val="24"/>
          <w:szCs w:val="24"/>
        </w:rPr>
        <w:t>ncial status information.  The state and t</w:t>
      </w:r>
      <w:r w:rsidR="00D03587">
        <w:rPr>
          <w:rFonts w:ascii="Times New Roman" w:hAnsi="Times New Roman"/>
          <w:sz w:val="24"/>
          <w:szCs w:val="24"/>
        </w:rPr>
        <w:t xml:space="preserve">ribal </w:t>
      </w:r>
      <w:r w:rsidR="00FC67E8">
        <w:rPr>
          <w:rFonts w:ascii="Times New Roman" w:hAnsi="Times New Roman"/>
          <w:sz w:val="24"/>
          <w:szCs w:val="24"/>
        </w:rPr>
        <w:t>grant</w:t>
      </w:r>
      <w:r w:rsidR="00D03587">
        <w:rPr>
          <w:rFonts w:ascii="Times New Roman" w:hAnsi="Times New Roman"/>
          <w:sz w:val="24"/>
          <w:szCs w:val="24"/>
        </w:rPr>
        <w:t xml:space="preserve"> recipients will subm</w:t>
      </w:r>
      <w:r w:rsidR="00797BAB">
        <w:rPr>
          <w:rFonts w:ascii="Times New Roman" w:hAnsi="Times New Roman"/>
          <w:sz w:val="24"/>
          <w:szCs w:val="24"/>
        </w:rPr>
        <w:t>it the Federal Financial Report</w:t>
      </w:r>
      <w:r w:rsidR="00D03587">
        <w:rPr>
          <w:rFonts w:ascii="Times New Roman" w:hAnsi="Times New Roman"/>
          <w:sz w:val="24"/>
          <w:szCs w:val="24"/>
        </w:rPr>
        <w:t xml:space="preserve"> (SF-425) </w:t>
      </w:r>
      <w:r w:rsidR="00517154">
        <w:rPr>
          <w:rFonts w:ascii="Times New Roman" w:hAnsi="Times New Roman"/>
          <w:sz w:val="24"/>
          <w:szCs w:val="24"/>
        </w:rPr>
        <w:t>as part of the closeout package.</w:t>
      </w:r>
      <w:r w:rsidR="00D03587">
        <w:rPr>
          <w:rFonts w:ascii="Times New Roman" w:hAnsi="Times New Roman"/>
          <w:sz w:val="24"/>
          <w:szCs w:val="24"/>
        </w:rPr>
        <w:t xml:space="preserve">  </w:t>
      </w:r>
      <w:r w:rsidR="000A2A52">
        <w:rPr>
          <w:rFonts w:ascii="Times New Roman" w:hAnsi="Times New Roman"/>
          <w:sz w:val="24"/>
          <w:szCs w:val="24"/>
        </w:rPr>
        <w:t>The SF-425 Federal Financial Report is necessary for the effective</w:t>
      </w:r>
      <w:r w:rsidR="00517154">
        <w:rPr>
          <w:rFonts w:ascii="Times New Roman" w:hAnsi="Times New Roman"/>
          <w:sz w:val="24"/>
          <w:szCs w:val="24"/>
        </w:rPr>
        <w:t xml:space="preserve"> financial</w:t>
      </w:r>
      <w:r w:rsidR="000A2A52">
        <w:rPr>
          <w:rFonts w:ascii="Times New Roman" w:hAnsi="Times New Roman"/>
          <w:sz w:val="24"/>
          <w:szCs w:val="24"/>
        </w:rPr>
        <w:t xml:space="preserve"> </w:t>
      </w:r>
      <w:r w:rsidR="00517154">
        <w:rPr>
          <w:rFonts w:ascii="Times New Roman" w:hAnsi="Times New Roman"/>
          <w:sz w:val="24"/>
          <w:szCs w:val="24"/>
        </w:rPr>
        <w:t xml:space="preserve">accounting </w:t>
      </w:r>
      <w:r w:rsidR="00797BAB">
        <w:rPr>
          <w:rFonts w:ascii="Times New Roman" w:hAnsi="Times New Roman"/>
          <w:sz w:val="24"/>
          <w:szCs w:val="24"/>
        </w:rPr>
        <w:t>of the f</w:t>
      </w:r>
      <w:r w:rsidR="000A2A52">
        <w:rPr>
          <w:rFonts w:ascii="Times New Roman" w:hAnsi="Times New Roman"/>
          <w:sz w:val="24"/>
          <w:szCs w:val="24"/>
        </w:rPr>
        <w:t>ederal grant award.</w:t>
      </w:r>
    </w:p>
    <w:p w:rsidRPr="00114395" w:rsidR="00C6314B" w:rsidP="008B7A62" w:rsidRDefault="00C6314B" w14:paraId="6986A272" w14:textId="1A0CC92F">
      <w:pPr>
        <w:rPr>
          <w:rFonts w:ascii="Times New Roman" w:hAnsi="Times New Roman"/>
          <w:sz w:val="24"/>
          <w:szCs w:val="24"/>
        </w:rPr>
      </w:pPr>
      <w:r w:rsidRPr="00114395">
        <w:rPr>
          <w:rFonts w:ascii="Times New Roman" w:hAnsi="Times New Roman"/>
          <w:sz w:val="24"/>
          <w:szCs w:val="24"/>
        </w:rPr>
        <w:t xml:space="preserve">Under the 911 Grant Program, recipients may purchase equipment </w:t>
      </w:r>
      <w:r w:rsidR="000E4BEC">
        <w:rPr>
          <w:rFonts w:ascii="Times New Roman" w:hAnsi="Times New Roman" w:eastAsia="Calibri"/>
          <w:sz w:val="24"/>
          <w:szCs w:val="24"/>
        </w:rPr>
        <w:t>that supports the i</w:t>
      </w:r>
      <w:r w:rsidRPr="00114395">
        <w:rPr>
          <w:rFonts w:ascii="Times New Roman" w:hAnsi="Times New Roman" w:eastAsia="Calibri"/>
          <w:sz w:val="24"/>
          <w:szCs w:val="24"/>
        </w:rPr>
        <w:t>mplementation of IP-enabled emergency services and applications enabled by NG911 services, including the establishment of IP backbone networks.</w:t>
      </w:r>
      <w:r w:rsidRPr="00114395" w:rsidR="00114395">
        <w:rPr>
          <w:rFonts w:ascii="Times New Roman" w:hAnsi="Times New Roman" w:eastAsia="Calibri"/>
          <w:sz w:val="24"/>
          <w:szCs w:val="24"/>
        </w:rPr>
        <w:t xml:space="preserve"> </w:t>
      </w:r>
      <w:r w:rsidR="00797BAB">
        <w:rPr>
          <w:rFonts w:ascii="Times New Roman" w:hAnsi="Times New Roman" w:eastAsia="Calibri"/>
          <w:sz w:val="24"/>
          <w:szCs w:val="24"/>
        </w:rPr>
        <w:t xml:space="preserve"> </w:t>
      </w:r>
      <w:r w:rsidR="000E4BEC">
        <w:rPr>
          <w:rFonts w:ascii="Times New Roman" w:hAnsi="Times New Roman" w:eastAsia="Calibri"/>
          <w:sz w:val="24"/>
          <w:szCs w:val="24"/>
        </w:rPr>
        <w:t xml:space="preserve">To account for any equipment purchases, grantees will be required to submit the previously approved information collection instruments, </w:t>
      </w:r>
      <w:r w:rsidRPr="00114395" w:rsidR="00114395">
        <w:rPr>
          <w:rFonts w:ascii="Times New Roman" w:hAnsi="Times New Roman"/>
          <w:sz w:val="24"/>
          <w:szCs w:val="24"/>
        </w:rPr>
        <w:t xml:space="preserve">SF-428 </w:t>
      </w:r>
      <w:r w:rsidR="000E4BEC">
        <w:rPr>
          <w:rFonts w:ascii="Times New Roman" w:hAnsi="Times New Roman"/>
          <w:sz w:val="24"/>
          <w:szCs w:val="24"/>
        </w:rPr>
        <w:t>and SF-428B,</w:t>
      </w:r>
      <w:r w:rsidRPr="00114395" w:rsidR="00114395">
        <w:rPr>
          <w:rFonts w:ascii="Times New Roman" w:hAnsi="Times New Roman"/>
          <w:sz w:val="24"/>
          <w:szCs w:val="24"/>
        </w:rPr>
        <w:t xml:space="preserve"> Tangible Personal Property Report</w:t>
      </w:r>
      <w:r w:rsidR="000E4BEC">
        <w:rPr>
          <w:rFonts w:ascii="Times New Roman" w:hAnsi="Times New Roman"/>
          <w:sz w:val="24"/>
          <w:szCs w:val="24"/>
        </w:rPr>
        <w:t>.</w:t>
      </w:r>
      <w:r w:rsidRPr="000E4BEC" w:rsidR="000E4BEC">
        <w:rPr>
          <w:rFonts w:ascii="Times New Roman" w:hAnsi="Times New Roman"/>
          <w:sz w:val="24"/>
          <w:szCs w:val="24"/>
        </w:rPr>
        <w:t xml:space="preserve"> </w:t>
      </w:r>
      <w:r w:rsidR="00797BAB">
        <w:rPr>
          <w:rFonts w:ascii="Times New Roman" w:hAnsi="Times New Roman"/>
          <w:sz w:val="24"/>
          <w:szCs w:val="24"/>
        </w:rPr>
        <w:t xml:space="preserve"> </w:t>
      </w:r>
      <w:r w:rsidRPr="000A2A52" w:rsidR="000E4BEC">
        <w:rPr>
          <w:rFonts w:ascii="Times New Roman" w:hAnsi="Times New Roman"/>
          <w:sz w:val="24"/>
          <w:szCs w:val="24"/>
        </w:rPr>
        <w:t xml:space="preserve">The Agencies </w:t>
      </w:r>
      <w:r w:rsidR="00AF4DAC">
        <w:rPr>
          <w:rFonts w:ascii="Times New Roman" w:hAnsi="Times New Roman"/>
          <w:sz w:val="24"/>
          <w:szCs w:val="24"/>
        </w:rPr>
        <w:t xml:space="preserve">will </w:t>
      </w:r>
      <w:r w:rsidR="000E4BEC">
        <w:rPr>
          <w:rFonts w:ascii="Times New Roman" w:hAnsi="Times New Roman"/>
          <w:sz w:val="24"/>
          <w:szCs w:val="24"/>
        </w:rPr>
        <w:t>su</w:t>
      </w:r>
      <w:r w:rsidRPr="000A2A52" w:rsidR="000E4BEC">
        <w:rPr>
          <w:rFonts w:ascii="Times New Roman" w:hAnsi="Times New Roman"/>
          <w:sz w:val="24"/>
          <w:szCs w:val="24"/>
        </w:rPr>
        <w:t>bmit a Request for Common Form in ROCIS to use the previously approved in</w:t>
      </w:r>
      <w:r w:rsidR="000E4BEC">
        <w:rPr>
          <w:rFonts w:ascii="Times New Roman" w:hAnsi="Times New Roman"/>
          <w:sz w:val="24"/>
          <w:szCs w:val="24"/>
        </w:rPr>
        <w:t>formation collection instrument.</w:t>
      </w:r>
    </w:p>
    <w:p w:rsidRPr="002B7415" w:rsidR="002B7415" w:rsidP="002B7415" w:rsidRDefault="00517154" w14:paraId="3E55A13D" w14:textId="54FD13C6">
      <w:pPr>
        <w:spacing w:after="0"/>
        <w:rPr>
          <w:rFonts w:ascii="Times New Roman" w:hAnsi="Times New Roman"/>
          <w:sz w:val="24"/>
          <w:szCs w:val="24"/>
        </w:rPr>
      </w:pPr>
      <w:r>
        <w:rPr>
          <w:rFonts w:ascii="Times New Roman" w:hAnsi="Times New Roman"/>
          <w:sz w:val="24"/>
          <w:szCs w:val="24"/>
        </w:rPr>
        <w:t>The</w:t>
      </w:r>
      <w:r w:rsidRPr="002B7415" w:rsidR="002B7415">
        <w:rPr>
          <w:rFonts w:ascii="Times New Roman" w:hAnsi="Times New Roman"/>
          <w:sz w:val="24"/>
          <w:szCs w:val="24"/>
        </w:rPr>
        <w:t xml:space="preserve"> Agencies are seeking OMB approval to collect </w:t>
      </w:r>
      <w:r>
        <w:rPr>
          <w:rFonts w:ascii="Times New Roman" w:hAnsi="Times New Roman"/>
          <w:sz w:val="24"/>
          <w:szCs w:val="24"/>
        </w:rPr>
        <w:t xml:space="preserve">programmatic closeout </w:t>
      </w:r>
      <w:r w:rsidR="002B7415">
        <w:rPr>
          <w:rFonts w:ascii="Times New Roman" w:hAnsi="Times New Roman"/>
          <w:sz w:val="24"/>
          <w:szCs w:val="24"/>
        </w:rPr>
        <w:t xml:space="preserve">performance </w:t>
      </w:r>
      <w:r w:rsidRPr="002B7415" w:rsidR="002B7415">
        <w:rPr>
          <w:rFonts w:ascii="Times New Roman" w:hAnsi="Times New Roman"/>
          <w:sz w:val="24"/>
          <w:szCs w:val="24"/>
        </w:rPr>
        <w:t xml:space="preserve">information </w:t>
      </w:r>
      <w:r w:rsidR="002B7415">
        <w:rPr>
          <w:rFonts w:ascii="Times New Roman" w:hAnsi="Times New Roman"/>
          <w:sz w:val="24"/>
          <w:szCs w:val="24"/>
        </w:rPr>
        <w:t xml:space="preserve">from grantees, </w:t>
      </w:r>
      <w:r w:rsidRPr="002B7415" w:rsidR="002B7415">
        <w:rPr>
          <w:rFonts w:ascii="Times New Roman" w:hAnsi="Times New Roman"/>
          <w:sz w:val="24"/>
          <w:szCs w:val="24"/>
        </w:rPr>
        <w:t xml:space="preserve">using </w:t>
      </w:r>
      <w:r w:rsidR="002B7415">
        <w:rPr>
          <w:rFonts w:ascii="Times New Roman" w:hAnsi="Times New Roman"/>
          <w:sz w:val="24"/>
          <w:szCs w:val="24"/>
        </w:rPr>
        <w:t xml:space="preserve">the </w:t>
      </w:r>
      <w:r>
        <w:rPr>
          <w:rFonts w:ascii="Times New Roman" w:hAnsi="Times New Roman"/>
          <w:sz w:val="24"/>
          <w:szCs w:val="24"/>
        </w:rPr>
        <w:t>proposed Closeout Perfor</w:t>
      </w:r>
      <w:r w:rsidR="000E4BEC">
        <w:rPr>
          <w:rFonts w:ascii="Times New Roman" w:hAnsi="Times New Roman"/>
          <w:sz w:val="24"/>
          <w:szCs w:val="24"/>
        </w:rPr>
        <w:t>mance R</w:t>
      </w:r>
      <w:r>
        <w:rPr>
          <w:rFonts w:ascii="Times New Roman" w:hAnsi="Times New Roman"/>
          <w:sz w:val="24"/>
          <w:szCs w:val="24"/>
        </w:rPr>
        <w:t>eport</w:t>
      </w:r>
      <w:r w:rsidR="002B7415">
        <w:rPr>
          <w:rFonts w:ascii="Times New Roman" w:hAnsi="Times New Roman"/>
          <w:sz w:val="24"/>
          <w:szCs w:val="24"/>
        </w:rPr>
        <w:t xml:space="preserve"> instrument</w:t>
      </w:r>
      <w:r w:rsidR="00CC7C37">
        <w:rPr>
          <w:rFonts w:ascii="Times New Roman" w:hAnsi="Times New Roman"/>
          <w:sz w:val="24"/>
          <w:szCs w:val="24"/>
        </w:rPr>
        <w:t xml:space="preserve"> as well as the previously approved information collection instrument</w:t>
      </w:r>
      <w:r w:rsidR="0048649E">
        <w:rPr>
          <w:rFonts w:ascii="Times New Roman" w:hAnsi="Times New Roman"/>
          <w:sz w:val="24"/>
          <w:szCs w:val="24"/>
        </w:rPr>
        <w:t xml:space="preserve">, </w:t>
      </w:r>
      <w:r w:rsidR="00216750">
        <w:rPr>
          <w:rFonts w:ascii="Times New Roman" w:hAnsi="Times New Roman"/>
          <w:sz w:val="24"/>
          <w:szCs w:val="24"/>
        </w:rPr>
        <w:t xml:space="preserve">the </w:t>
      </w:r>
      <w:r w:rsidR="0048649E">
        <w:rPr>
          <w:rFonts w:ascii="Times New Roman" w:hAnsi="Times New Roman"/>
          <w:sz w:val="24"/>
          <w:szCs w:val="24"/>
        </w:rPr>
        <w:t>Tangible Personal Property Report</w:t>
      </w:r>
      <w:r w:rsidR="00CC7C37">
        <w:rPr>
          <w:rFonts w:ascii="Times New Roman" w:hAnsi="Times New Roman"/>
          <w:sz w:val="24"/>
          <w:szCs w:val="24"/>
        </w:rPr>
        <w:t xml:space="preserve"> for property reporting.</w:t>
      </w:r>
      <w:r w:rsidRPr="002B7415" w:rsidR="002B7415">
        <w:rPr>
          <w:rFonts w:ascii="Times New Roman" w:hAnsi="Times New Roman"/>
          <w:sz w:val="24"/>
          <w:szCs w:val="24"/>
        </w:rPr>
        <w:t xml:space="preserve">  The Agencies will use the standard forms and the collections of information to ensure that grant recipients </w:t>
      </w:r>
      <w:r>
        <w:rPr>
          <w:rFonts w:ascii="Times New Roman" w:hAnsi="Times New Roman"/>
          <w:sz w:val="24"/>
          <w:szCs w:val="24"/>
        </w:rPr>
        <w:t xml:space="preserve">effectively report programmatic and financial activity for the </w:t>
      </w:r>
      <w:r w:rsidRPr="002B7415" w:rsidR="002B7415">
        <w:rPr>
          <w:rFonts w:ascii="Times New Roman" w:hAnsi="Times New Roman"/>
          <w:sz w:val="24"/>
          <w:szCs w:val="24"/>
        </w:rPr>
        <w:t>911 Grant Program.</w:t>
      </w:r>
    </w:p>
    <w:p w:rsidRPr="002411F4" w:rsidR="00737188" w:rsidP="008B7A62" w:rsidRDefault="00737188" w14:paraId="76176E1C" w14:textId="77777777">
      <w:pPr>
        <w:spacing w:after="0"/>
        <w:rPr>
          <w:rFonts w:ascii="Times New Roman" w:hAnsi="Times New Roman"/>
          <w:sz w:val="24"/>
          <w:szCs w:val="24"/>
        </w:rPr>
      </w:pPr>
    </w:p>
    <w:p w:rsidRPr="00355A01" w:rsidR="00A74977" w:rsidP="00355A01" w:rsidRDefault="00355A01" w14:paraId="11C3FAD5" w14:textId="2707A7A6">
      <w:pPr>
        <w:pStyle w:val="ColorfulList-Accent11"/>
        <w:numPr>
          <w:ilvl w:val="0"/>
          <w:numId w:val="2"/>
        </w:numPr>
        <w:spacing w:after="0"/>
        <w:rPr>
          <w:rFonts w:ascii="Times New Roman" w:hAnsi="Times New Roman" w:eastAsia="Calibri" w:cs="Joanna MT Std"/>
          <w:b/>
          <w:color w:val="000000"/>
          <w:sz w:val="24"/>
          <w:szCs w:val="24"/>
          <w:u w:val="single"/>
        </w:rPr>
      </w:pPr>
      <w:r w:rsidRPr="00355A01">
        <w:rPr>
          <w:rFonts w:ascii="Times New Roman" w:hAnsi="Times New Roman" w:eastAsia="Calibri" w:cs="Joanna MT Std"/>
          <w:b/>
          <w:color w:val="000000"/>
          <w:sz w:val="24"/>
          <w:szCs w:val="24"/>
          <w:u w:val="single"/>
        </w:rPr>
        <w:t>Indicate how, by whom, and for what purpose the information is to be used. Except for a new collection, indicate the actual use the agency has made of the information received from the current collection.</w:t>
      </w:r>
    </w:p>
    <w:p w:rsidRPr="002411F4" w:rsidR="00D8741E" w:rsidP="00F81C9D" w:rsidRDefault="00D8741E" w14:paraId="267A7F8B" w14:textId="77777777">
      <w:pPr>
        <w:pStyle w:val="ColorfulList-Accent11"/>
        <w:spacing w:after="0"/>
        <w:ind w:left="0"/>
        <w:rPr>
          <w:rFonts w:ascii="Times New Roman" w:hAnsi="Times New Roman"/>
          <w:b/>
          <w:sz w:val="24"/>
          <w:szCs w:val="24"/>
          <w:u w:val="single"/>
        </w:rPr>
      </w:pPr>
    </w:p>
    <w:p w:rsidR="005C0E02" w:rsidP="008B7A62" w:rsidRDefault="00C01ECD" w14:paraId="447BB9E2" w14:textId="3B1BE049">
      <w:pPr>
        <w:rPr>
          <w:rFonts w:ascii="Times New Roman" w:hAnsi="Times New Roman"/>
          <w:sz w:val="24"/>
          <w:szCs w:val="24"/>
        </w:rPr>
      </w:pPr>
      <w:r>
        <w:rPr>
          <w:rFonts w:ascii="Times New Roman" w:hAnsi="Times New Roman"/>
          <w:sz w:val="24"/>
          <w:szCs w:val="24"/>
        </w:rPr>
        <w:t xml:space="preserve">The 36 </w:t>
      </w:r>
      <w:r w:rsidR="00191697">
        <w:rPr>
          <w:rFonts w:ascii="Times New Roman" w:hAnsi="Times New Roman"/>
          <w:sz w:val="24"/>
          <w:szCs w:val="24"/>
        </w:rPr>
        <w:t>s</w:t>
      </w:r>
      <w:r w:rsidRPr="002411F4" w:rsidR="005C0E02">
        <w:rPr>
          <w:rFonts w:ascii="Times New Roman" w:hAnsi="Times New Roman"/>
          <w:sz w:val="24"/>
          <w:szCs w:val="24"/>
        </w:rPr>
        <w:t xml:space="preserve">tates, </w:t>
      </w:r>
      <w:r w:rsidR="00191697">
        <w:rPr>
          <w:rFonts w:ascii="Times New Roman" w:hAnsi="Times New Roman"/>
          <w:sz w:val="24"/>
          <w:szCs w:val="24"/>
        </w:rPr>
        <w:t>t</w:t>
      </w:r>
      <w:r w:rsidRPr="002411F4" w:rsidR="005C0E02">
        <w:rPr>
          <w:rFonts w:ascii="Times New Roman" w:hAnsi="Times New Roman"/>
          <w:sz w:val="24"/>
          <w:szCs w:val="24"/>
        </w:rPr>
        <w:t xml:space="preserve">erritories, and </w:t>
      </w:r>
      <w:r w:rsidR="00191697">
        <w:rPr>
          <w:rFonts w:ascii="Times New Roman" w:hAnsi="Times New Roman"/>
          <w:sz w:val="24"/>
          <w:szCs w:val="24"/>
        </w:rPr>
        <w:t>t</w:t>
      </w:r>
      <w:r w:rsidRPr="002411F4" w:rsidR="005C0E02">
        <w:rPr>
          <w:rFonts w:ascii="Times New Roman" w:hAnsi="Times New Roman"/>
          <w:sz w:val="24"/>
          <w:szCs w:val="24"/>
        </w:rPr>
        <w:t xml:space="preserve">ribal </w:t>
      </w:r>
      <w:r w:rsidR="00191697">
        <w:rPr>
          <w:rFonts w:ascii="Times New Roman" w:hAnsi="Times New Roman"/>
          <w:sz w:val="24"/>
          <w:szCs w:val="24"/>
        </w:rPr>
        <w:t>o</w:t>
      </w:r>
      <w:r w:rsidRPr="002411F4" w:rsidR="004A05B4">
        <w:rPr>
          <w:rFonts w:ascii="Times New Roman" w:hAnsi="Times New Roman"/>
          <w:sz w:val="24"/>
          <w:szCs w:val="24"/>
        </w:rPr>
        <w:t>rganizations</w:t>
      </w:r>
      <w:r>
        <w:rPr>
          <w:rFonts w:ascii="Times New Roman" w:hAnsi="Times New Roman"/>
          <w:sz w:val="24"/>
          <w:szCs w:val="24"/>
        </w:rPr>
        <w:t xml:space="preserve"> that comprise the grantees for the 911 Grant Program</w:t>
      </w:r>
      <w:r w:rsidRPr="002411F4" w:rsidR="005C0E02">
        <w:rPr>
          <w:rFonts w:ascii="Times New Roman" w:hAnsi="Times New Roman"/>
          <w:sz w:val="24"/>
          <w:szCs w:val="24"/>
        </w:rPr>
        <w:t xml:space="preserve"> will submit </w:t>
      </w:r>
      <w:r w:rsidR="00CC7C37">
        <w:rPr>
          <w:rFonts w:ascii="Times New Roman" w:hAnsi="Times New Roman"/>
          <w:sz w:val="24"/>
          <w:szCs w:val="24"/>
        </w:rPr>
        <w:t xml:space="preserve">the Closeout Performance Report </w:t>
      </w:r>
      <w:r w:rsidRPr="002411F4" w:rsidR="005C0E02">
        <w:rPr>
          <w:rFonts w:ascii="Times New Roman" w:hAnsi="Times New Roman"/>
          <w:sz w:val="24"/>
          <w:szCs w:val="24"/>
        </w:rPr>
        <w:t xml:space="preserve"> electronically</w:t>
      </w:r>
      <w:r w:rsidR="00CC7C37">
        <w:rPr>
          <w:rFonts w:ascii="Times New Roman" w:hAnsi="Times New Roman"/>
          <w:sz w:val="24"/>
          <w:szCs w:val="24"/>
        </w:rPr>
        <w:t xml:space="preserve"> and the</w:t>
      </w:r>
      <w:r w:rsidRPr="002411F4" w:rsidR="005C0E02">
        <w:rPr>
          <w:rFonts w:ascii="Times New Roman" w:hAnsi="Times New Roman"/>
          <w:sz w:val="24"/>
          <w:szCs w:val="24"/>
        </w:rPr>
        <w:t xml:space="preserve"> Agencies’ staff </w:t>
      </w:r>
      <w:r w:rsidRPr="002411F4" w:rsidR="005C0E02">
        <w:rPr>
          <w:rFonts w:ascii="Times New Roman" w:hAnsi="Times New Roman"/>
          <w:sz w:val="24"/>
          <w:szCs w:val="24"/>
        </w:rPr>
        <w:lastRenderedPageBreak/>
        <w:t>will use the information to review the activities accomplished by the grant recipients and ensur</w:t>
      </w:r>
      <w:r w:rsidRPr="002411F4" w:rsidR="00F97AD3">
        <w:rPr>
          <w:rFonts w:ascii="Times New Roman" w:hAnsi="Times New Roman"/>
          <w:sz w:val="24"/>
          <w:szCs w:val="24"/>
        </w:rPr>
        <w:t>e</w:t>
      </w:r>
      <w:r w:rsidRPr="002411F4" w:rsidR="005C0E02">
        <w:rPr>
          <w:rFonts w:ascii="Times New Roman" w:hAnsi="Times New Roman"/>
          <w:sz w:val="24"/>
          <w:szCs w:val="24"/>
        </w:rPr>
        <w:t xml:space="preserve"> that </w:t>
      </w:r>
      <w:r w:rsidR="00A817DC">
        <w:rPr>
          <w:rFonts w:ascii="Times New Roman" w:hAnsi="Times New Roman"/>
          <w:sz w:val="24"/>
          <w:szCs w:val="24"/>
        </w:rPr>
        <w:t xml:space="preserve">these recipients </w:t>
      </w:r>
      <w:r w:rsidR="00CC7C37">
        <w:rPr>
          <w:rFonts w:ascii="Times New Roman" w:hAnsi="Times New Roman"/>
          <w:sz w:val="24"/>
          <w:szCs w:val="24"/>
        </w:rPr>
        <w:t xml:space="preserve">met the 911 Grant Program requirements. </w:t>
      </w:r>
    </w:p>
    <w:p w:rsidR="005C0E02" w:rsidP="00A4379A" w:rsidRDefault="00D60261" w14:paraId="5996EA64" w14:textId="04660A65">
      <w:pPr>
        <w:rPr>
          <w:rFonts w:ascii="Times New Roman" w:hAnsi="Times New Roman"/>
          <w:sz w:val="24"/>
          <w:szCs w:val="24"/>
        </w:rPr>
      </w:pPr>
      <w:r>
        <w:rPr>
          <w:rFonts w:ascii="Times New Roman" w:hAnsi="Times New Roman"/>
          <w:sz w:val="24"/>
          <w:szCs w:val="24"/>
        </w:rPr>
        <w:t xml:space="preserve">The Agencies </w:t>
      </w:r>
      <w:r w:rsidR="00CC7C37">
        <w:rPr>
          <w:rFonts w:ascii="Times New Roman" w:hAnsi="Times New Roman"/>
          <w:sz w:val="24"/>
          <w:szCs w:val="24"/>
        </w:rPr>
        <w:t xml:space="preserve">will use this information to produce a </w:t>
      </w:r>
      <w:r w:rsidR="004679CE">
        <w:rPr>
          <w:rFonts w:ascii="Times New Roman" w:hAnsi="Times New Roman"/>
          <w:sz w:val="24"/>
          <w:szCs w:val="24"/>
        </w:rPr>
        <w:t xml:space="preserve">publicly-available </w:t>
      </w:r>
      <w:r w:rsidR="00CC7C37">
        <w:rPr>
          <w:rFonts w:ascii="Times New Roman" w:hAnsi="Times New Roman"/>
          <w:sz w:val="24"/>
          <w:szCs w:val="24"/>
        </w:rPr>
        <w:t xml:space="preserve">report that will </w:t>
      </w:r>
      <w:r w:rsidR="004679CE">
        <w:rPr>
          <w:rFonts w:ascii="Times New Roman" w:hAnsi="Times New Roman"/>
          <w:sz w:val="24"/>
          <w:szCs w:val="24"/>
        </w:rPr>
        <w:t xml:space="preserve">describe </w:t>
      </w:r>
      <w:r w:rsidR="00CC7C37">
        <w:rPr>
          <w:rFonts w:ascii="Times New Roman" w:hAnsi="Times New Roman"/>
          <w:sz w:val="24"/>
          <w:szCs w:val="24"/>
        </w:rPr>
        <w:t>the accomplishments of the program.</w:t>
      </w:r>
    </w:p>
    <w:p w:rsidR="00F81C9D" w:rsidP="00355A01" w:rsidRDefault="00355A01" w14:paraId="71B772D0" w14:textId="12D44DE1">
      <w:pPr>
        <w:pStyle w:val="ColorfulList-Accent11"/>
        <w:numPr>
          <w:ilvl w:val="0"/>
          <w:numId w:val="2"/>
        </w:numPr>
        <w:spacing w:after="0"/>
        <w:rPr>
          <w:rFonts w:ascii="Times New Roman" w:hAnsi="Times New Roman"/>
          <w:b/>
          <w:sz w:val="24"/>
          <w:szCs w:val="24"/>
          <w:u w:val="single"/>
        </w:rPr>
      </w:pPr>
      <w:r w:rsidRPr="00355A01">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2411F4" w:rsidR="00D8741E" w:rsidP="00F81C9D" w:rsidRDefault="00D8741E" w14:paraId="25BC7D6A" w14:textId="77777777">
      <w:pPr>
        <w:pStyle w:val="ColorfulList-Accent11"/>
        <w:spacing w:after="0"/>
        <w:ind w:left="0"/>
        <w:rPr>
          <w:rFonts w:ascii="Times New Roman" w:hAnsi="Times New Roman"/>
          <w:b/>
          <w:sz w:val="24"/>
          <w:szCs w:val="24"/>
          <w:u w:val="single"/>
        </w:rPr>
      </w:pPr>
    </w:p>
    <w:p w:rsidRPr="002411F4" w:rsidR="00253438" w:rsidP="00F81C9D" w:rsidRDefault="00253438" w14:paraId="4B241C0E" w14:textId="57375BE7">
      <w:pPr>
        <w:pStyle w:val="ColorfulList-Accent11"/>
        <w:spacing w:after="0"/>
        <w:ind w:left="0"/>
        <w:rPr>
          <w:rFonts w:ascii="Times New Roman" w:hAnsi="Times New Roman"/>
          <w:sz w:val="24"/>
          <w:szCs w:val="24"/>
        </w:rPr>
      </w:pPr>
      <w:r w:rsidRPr="002411F4">
        <w:rPr>
          <w:rFonts w:ascii="Times New Roman" w:hAnsi="Times New Roman"/>
          <w:sz w:val="24"/>
          <w:szCs w:val="24"/>
        </w:rPr>
        <w:t xml:space="preserve">Collection of all information will be accomplished through electronic submissions. </w:t>
      </w:r>
      <w:r w:rsidR="00A817DC">
        <w:rPr>
          <w:rFonts w:ascii="Times New Roman" w:hAnsi="Times New Roman"/>
          <w:sz w:val="24"/>
          <w:szCs w:val="24"/>
        </w:rPr>
        <w:t xml:space="preserve"> </w:t>
      </w:r>
      <w:r w:rsidR="00355A01">
        <w:rPr>
          <w:rFonts w:ascii="Times New Roman" w:hAnsi="Times New Roman"/>
          <w:sz w:val="24"/>
          <w:szCs w:val="24"/>
        </w:rPr>
        <w:t xml:space="preserve">Grantees are currently submitting grant related reports via email, and the program will continue to accept the closeout report in this way. </w:t>
      </w:r>
      <w:r w:rsidR="00797BAB">
        <w:rPr>
          <w:rFonts w:ascii="Times New Roman" w:hAnsi="Times New Roman"/>
          <w:sz w:val="24"/>
          <w:szCs w:val="24"/>
        </w:rPr>
        <w:t xml:space="preserve"> </w:t>
      </w:r>
      <w:r w:rsidRPr="002411F4">
        <w:rPr>
          <w:rFonts w:ascii="Times New Roman" w:hAnsi="Times New Roman"/>
          <w:sz w:val="24"/>
          <w:szCs w:val="24"/>
        </w:rPr>
        <w:t>Analysis and aggregation of information w</w:t>
      </w:r>
      <w:r w:rsidR="009E6156">
        <w:rPr>
          <w:rFonts w:ascii="Times New Roman" w:hAnsi="Times New Roman"/>
          <w:sz w:val="24"/>
          <w:szCs w:val="24"/>
        </w:rPr>
        <w:t>ill</w:t>
      </w:r>
      <w:r w:rsidRPr="002411F4">
        <w:rPr>
          <w:rFonts w:ascii="Times New Roman" w:hAnsi="Times New Roman"/>
          <w:sz w:val="24"/>
          <w:szCs w:val="24"/>
        </w:rPr>
        <w:t xml:space="preserve"> not be done using technological a</w:t>
      </w:r>
      <w:r w:rsidR="00D8741E">
        <w:rPr>
          <w:rFonts w:ascii="Times New Roman" w:hAnsi="Times New Roman"/>
          <w:sz w:val="24"/>
          <w:szCs w:val="24"/>
        </w:rPr>
        <w:t xml:space="preserve">nalysis techniques. </w:t>
      </w:r>
      <w:r w:rsidR="00797BAB">
        <w:rPr>
          <w:rFonts w:ascii="Times New Roman" w:hAnsi="Times New Roman"/>
          <w:sz w:val="24"/>
          <w:szCs w:val="24"/>
        </w:rPr>
        <w:t xml:space="preserve"> </w:t>
      </w:r>
      <w:r w:rsidR="006C6CAC">
        <w:rPr>
          <w:rFonts w:ascii="Times New Roman" w:hAnsi="Times New Roman"/>
          <w:sz w:val="24"/>
          <w:szCs w:val="24"/>
        </w:rPr>
        <w:t xml:space="preserve">The Agencies will analyze all submissions </w:t>
      </w:r>
      <w:r w:rsidRPr="002411F4">
        <w:rPr>
          <w:rFonts w:ascii="Times New Roman" w:hAnsi="Times New Roman"/>
          <w:sz w:val="24"/>
          <w:szCs w:val="24"/>
        </w:rPr>
        <w:t>individually.</w:t>
      </w:r>
    </w:p>
    <w:p w:rsidRPr="002411F4" w:rsidR="00FB3130" w:rsidP="008B7A62" w:rsidRDefault="000812E5" w14:paraId="4355290A" w14:textId="77777777">
      <w:pPr>
        <w:spacing w:after="0"/>
        <w:rPr>
          <w:rFonts w:ascii="Times New Roman" w:hAnsi="Times New Roman"/>
          <w:sz w:val="24"/>
          <w:szCs w:val="24"/>
        </w:rPr>
      </w:pPr>
      <w:r w:rsidRPr="002411F4">
        <w:rPr>
          <w:rFonts w:ascii="Times New Roman" w:hAnsi="Times New Roman"/>
          <w:sz w:val="24"/>
          <w:szCs w:val="24"/>
        </w:rPr>
        <w:t xml:space="preserve">  </w:t>
      </w:r>
    </w:p>
    <w:p w:rsidR="000812E5" w:rsidP="008B7A62" w:rsidRDefault="000812E5" w14:paraId="35144A50" w14:textId="723DB1AA">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Describe efforts to identify duplication.</w:t>
      </w:r>
      <w:r w:rsidR="00355A01">
        <w:rPr>
          <w:rFonts w:ascii="Times New Roman" w:hAnsi="Times New Roman"/>
          <w:b/>
          <w:sz w:val="24"/>
          <w:szCs w:val="24"/>
          <w:u w:val="single"/>
        </w:rPr>
        <w:t xml:space="preserve"> </w:t>
      </w:r>
      <w:r w:rsidRPr="00355A01" w:rsidR="00355A01">
        <w:rPr>
          <w:rFonts w:ascii="Times New Roman" w:hAnsi="Times New Roman"/>
          <w:b/>
          <w:sz w:val="24"/>
          <w:szCs w:val="24"/>
          <w:u w:val="single"/>
        </w:rPr>
        <w:t>Show specifically why any similar information already available cannot be used or modified for use for the purposes described in Question 2</w:t>
      </w:r>
    </w:p>
    <w:p w:rsidRPr="002411F4" w:rsidR="00876A0C" w:rsidP="00876A0C" w:rsidRDefault="00876A0C" w14:paraId="6673A532" w14:textId="77777777">
      <w:pPr>
        <w:pStyle w:val="ColorfulList-Accent11"/>
        <w:spacing w:after="0"/>
        <w:ind w:left="360"/>
        <w:rPr>
          <w:rFonts w:ascii="Times New Roman" w:hAnsi="Times New Roman"/>
          <w:b/>
          <w:sz w:val="24"/>
          <w:szCs w:val="24"/>
          <w:u w:val="single"/>
        </w:rPr>
      </w:pPr>
    </w:p>
    <w:p w:rsidRPr="002411F4" w:rsidR="00737188" w:rsidP="008B7A62" w:rsidRDefault="0083294D" w14:paraId="7D954999" w14:textId="4D2549B9">
      <w:pPr>
        <w:rPr>
          <w:rFonts w:ascii="Times New Roman" w:hAnsi="Times New Roman"/>
          <w:sz w:val="24"/>
          <w:szCs w:val="24"/>
        </w:rPr>
      </w:pPr>
      <w:r>
        <w:rPr>
          <w:rFonts w:ascii="Times New Roman" w:hAnsi="Times New Roman"/>
          <w:sz w:val="24"/>
          <w:szCs w:val="24"/>
        </w:rPr>
        <w:t>The</w:t>
      </w:r>
      <w:r w:rsidR="005D36B5">
        <w:rPr>
          <w:rFonts w:ascii="Times New Roman" w:hAnsi="Times New Roman"/>
          <w:sz w:val="24"/>
          <w:szCs w:val="24"/>
        </w:rPr>
        <w:t xml:space="preserve"> </w:t>
      </w:r>
      <w:r w:rsidR="00CC7C37">
        <w:rPr>
          <w:rFonts w:ascii="Times New Roman" w:hAnsi="Times New Roman"/>
          <w:sz w:val="24"/>
          <w:szCs w:val="24"/>
        </w:rPr>
        <w:t xml:space="preserve">Closeout </w:t>
      </w:r>
      <w:r w:rsidR="00C74644">
        <w:rPr>
          <w:rFonts w:ascii="Times New Roman" w:hAnsi="Times New Roman"/>
          <w:sz w:val="24"/>
          <w:szCs w:val="24"/>
        </w:rPr>
        <w:t>Performance Report</w:t>
      </w:r>
      <w:r w:rsidR="00CC7C37">
        <w:rPr>
          <w:rFonts w:ascii="Times New Roman" w:hAnsi="Times New Roman"/>
          <w:sz w:val="24"/>
          <w:szCs w:val="24"/>
        </w:rPr>
        <w:t xml:space="preserve"> is </w:t>
      </w:r>
      <w:r w:rsidR="00737188">
        <w:rPr>
          <w:rFonts w:ascii="Times New Roman" w:hAnsi="Times New Roman"/>
          <w:sz w:val="24"/>
          <w:szCs w:val="24"/>
        </w:rPr>
        <w:t>unique to this program.  The information collected is not general</w:t>
      </w:r>
      <w:r w:rsidR="00355A01">
        <w:rPr>
          <w:rFonts w:ascii="Times New Roman" w:hAnsi="Times New Roman"/>
          <w:sz w:val="24"/>
          <w:szCs w:val="24"/>
        </w:rPr>
        <w:t>ly available from other sources and therefore there is not an opportunity to duplicate information.</w:t>
      </w:r>
    </w:p>
    <w:p w:rsidRPr="002411F4" w:rsidR="00726C24" w:rsidP="008B7A62" w:rsidRDefault="000812E5" w14:paraId="63357C00" w14:textId="77777777">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If the collection of information involves small busi</w:t>
      </w:r>
      <w:r w:rsidRPr="002411F4" w:rsidR="00726C24">
        <w:rPr>
          <w:rFonts w:ascii="Times New Roman" w:hAnsi="Times New Roman"/>
          <w:b/>
          <w:sz w:val="24"/>
          <w:szCs w:val="24"/>
          <w:u w:val="single"/>
        </w:rPr>
        <w:t>nesses or other small entities,</w:t>
      </w:r>
    </w:p>
    <w:p w:rsidRPr="002411F4" w:rsidR="000812E5" w:rsidP="00285D4E" w:rsidRDefault="000812E5" w14:paraId="15E2EAF0" w14:textId="77777777">
      <w:pPr>
        <w:pStyle w:val="ColorfulList-Accent11"/>
        <w:spacing w:after="0"/>
        <w:ind w:left="0" w:firstLine="540"/>
        <w:rPr>
          <w:rFonts w:ascii="Times New Roman" w:hAnsi="Times New Roman"/>
          <w:b/>
          <w:sz w:val="24"/>
          <w:szCs w:val="24"/>
          <w:u w:val="single"/>
        </w:rPr>
      </w:pPr>
      <w:r w:rsidRPr="002411F4">
        <w:rPr>
          <w:rFonts w:ascii="Times New Roman" w:hAnsi="Times New Roman"/>
          <w:b/>
          <w:sz w:val="24"/>
          <w:szCs w:val="24"/>
          <w:u w:val="single"/>
        </w:rPr>
        <w:t>describe the metho</w:t>
      </w:r>
      <w:r w:rsidRPr="002411F4" w:rsidR="00253438">
        <w:rPr>
          <w:rFonts w:ascii="Times New Roman" w:hAnsi="Times New Roman"/>
          <w:b/>
          <w:sz w:val="24"/>
          <w:szCs w:val="24"/>
          <w:u w:val="single"/>
        </w:rPr>
        <w:t>ds used to minimize the burden.</w:t>
      </w:r>
    </w:p>
    <w:p w:rsidR="004679CE" w:rsidP="00285D4E" w:rsidRDefault="004679CE" w14:paraId="402BD7A3" w14:textId="77777777">
      <w:pPr>
        <w:spacing w:after="0" w:line="240" w:lineRule="auto"/>
        <w:rPr>
          <w:rFonts w:ascii="Times New Roman" w:hAnsi="Times New Roman"/>
          <w:sz w:val="24"/>
          <w:szCs w:val="24"/>
        </w:rPr>
      </w:pPr>
    </w:p>
    <w:p w:rsidRPr="002411F4" w:rsidR="00253438" w:rsidP="008B7A62" w:rsidRDefault="00253438" w14:paraId="3D5BB1FC" w14:textId="3DF37713">
      <w:pPr>
        <w:rPr>
          <w:rFonts w:ascii="Times New Roman" w:hAnsi="Times New Roman"/>
          <w:sz w:val="24"/>
          <w:szCs w:val="24"/>
        </w:rPr>
      </w:pPr>
      <w:r w:rsidRPr="002411F4">
        <w:rPr>
          <w:rFonts w:ascii="Times New Roman" w:hAnsi="Times New Roman"/>
          <w:sz w:val="24"/>
          <w:szCs w:val="24"/>
        </w:rPr>
        <w:t xml:space="preserve">This item does not apply.  States, </w:t>
      </w:r>
      <w:r w:rsidR="00191697">
        <w:rPr>
          <w:rFonts w:ascii="Times New Roman" w:hAnsi="Times New Roman"/>
          <w:sz w:val="24"/>
          <w:szCs w:val="24"/>
        </w:rPr>
        <w:t>t</w:t>
      </w:r>
      <w:r w:rsidRPr="002411F4">
        <w:rPr>
          <w:rFonts w:ascii="Times New Roman" w:hAnsi="Times New Roman"/>
          <w:sz w:val="24"/>
          <w:szCs w:val="24"/>
        </w:rPr>
        <w:t xml:space="preserve">erritories, and </w:t>
      </w:r>
      <w:r w:rsidR="00191697">
        <w:rPr>
          <w:rFonts w:ascii="Times New Roman" w:hAnsi="Times New Roman"/>
          <w:sz w:val="24"/>
          <w:szCs w:val="24"/>
        </w:rPr>
        <w:t>t</w:t>
      </w:r>
      <w:r w:rsidRPr="002411F4">
        <w:rPr>
          <w:rFonts w:ascii="Times New Roman" w:hAnsi="Times New Roman"/>
          <w:sz w:val="24"/>
          <w:szCs w:val="24"/>
        </w:rPr>
        <w:t xml:space="preserve">ribal </w:t>
      </w:r>
      <w:r w:rsidR="00191697">
        <w:rPr>
          <w:rFonts w:ascii="Times New Roman" w:hAnsi="Times New Roman"/>
          <w:sz w:val="24"/>
          <w:szCs w:val="24"/>
        </w:rPr>
        <w:t>o</w:t>
      </w:r>
      <w:r w:rsidRPr="002411F4" w:rsidR="004A05B4">
        <w:rPr>
          <w:rFonts w:ascii="Times New Roman" w:hAnsi="Times New Roman"/>
          <w:sz w:val="24"/>
          <w:szCs w:val="24"/>
        </w:rPr>
        <w:t>rganizations</w:t>
      </w:r>
      <w:r w:rsidRPr="002411F4">
        <w:rPr>
          <w:rFonts w:ascii="Times New Roman" w:hAnsi="Times New Roman"/>
          <w:sz w:val="24"/>
          <w:szCs w:val="24"/>
        </w:rPr>
        <w:t xml:space="preserve"> are the only eligible recipients for this grant program</w:t>
      </w:r>
      <w:r w:rsidRPr="002411F4" w:rsidR="00F97AD3">
        <w:rPr>
          <w:rFonts w:ascii="Times New Roman" w:hAnsi="Times New Roman"/>
          <w:sz w:val="24"/>
          <w:szCs w:val="24"/>
        </w:rPr>
        <w:t xml:space="preserve"> and it does not involve small businesses or other small entities</w:t>
      </w:r>
      <w:r w:rsidRPr="002411F4">
        <w:rPr>
          <w:rFonts w:ascii="Times New Roman" w:hAnsi="Times New Roman"/>
          <w:sz w:val="24"/>
          <w:szCs w:val="24"/>
        </w:rPr>
        <w:t>.</w:t>
      </w:r>
    </w:p>
    <w:p w:rsidRPr="00D26209" w:rsidR="006226D0" w:rsidP="00D26209" w:rsidRDefault="000812E5" w14:paraId="5A24A951" w14:textId="72ACCC6E">
      <w:pPr>
        <w:pStyle w:val="ColorfulList-Accent11"/>
        <w:numPr>
          <w:ilvl w:val="0"/>
          <w:numId w:val="2"/>
        </w:numPr>
        <w:spacing w:after="0"/>
        <w:rPr>
          <w:rFonts w:ascii="Times New Roman" w:hAnsi="Times New Roman"/>
          <w:b/>
          <w:sz w:val="24"/>
          <w:szCs w:val="24"/>
          <w:u w:val="single"/>
        </w:rPr>
      </w:pPr>
      <w:r w:rsidRPr="00D26209">
        <w:rPr>
          <w:rFonts w:ascii="Times New Roman" w:hAnsi="Times New Roman"/>
          <w:b/>
          <w:sz w:val="24"/>
          <w:szCs w:val="24"/>
          <w:u w:val="single"/>
        </w:rPr>
        <w:t xml:space="preserve">Describe the consequences to the Federal program or policy </w:t>
      </w:r>
      <w:r w:rsidRPr="00D26209" w:rsidR="00940944">
        <w:rPr>
          <w:rFonts w:ascii="Times New Roman" w:hAnsi="Times New Roman"/>
          <w:b/>
          <w:sz w:val="24"/>
          <w:szCs w:val="24"/>
          <w:u w:val="single"/>
        </w:rPr>
        <w:t>activities if the collection is</w:t>
      </w:r>
      <w:r w:rsidRPr="00D26209" w:rsidR="00D26209">
        <w:rPr>
          <w:rFonts w:ascii="Times New Roman" w:hAnsi="Times New Roman"/>
          <w:b/>
          <w:sz w:val="24"/>
          <w:szCs w:val="24"/>
          <w:u w:val="single"/>
        </w:rPr>
        <w:t xml:space="preserve"> </w:t>
      </w:r>
      <w:r w:rsidRPr="00D26209">
        <w:rPr>
          <w:rFonts w:ascii="Times New Roman" w:hAnsi="Times New Roman"/>
          <w:b/>
          <w:sz w:val="24"/>
          <w:szCs w:val="24"/>
          <w:u w:val="single"/>
        </w:rPr>
        <w:t>not conducted or is conducted less frequently</w:t>
      </w:r>
      <w:r w:rsidRPr="00D26209" w:rsidR="00355A01">
        <w:rPr>
          <w:b/>
          <w:bCs/>
          <w:sz w:val="23"/>
          <w:szCs w:val="23"/>
        </w:rPr>
        <w:t xml:space="preserve">, </w:t>
      </w:r>
      <w:r w:rsidRPr="00D26209" w:rsidR="00355A01">
        <w:rPr>
          <w:rFonts w:ascii="Times New Roman" w:hAnsi="Times New Roman"/>
          <w:b/>
          <w:sz w:val="24"/>
          <w:szCs w:val="24"/>
          <w:u w:val="single"/>
        </w:rPr>
        <w:t>as well as any technical or legal obstacles to reducing burden.</w:t>
      </w:r>
    </w:p>
    <w:p w:rsidR="00D26209" w:rsidP="00285D4E" w:rsidRDefault="00D26209" w14:paraId="5D7872AA" w14:textId="77777777">
      <w:pPr>
        <w:spacing w:after="0" w:line="240" w:lineRule="auto"/>
        <w:rPr>
          <w:rFonts w:ascii="Times New Roman" w:hAnsi="Times New Roman"/>
          <w:sz w:val="24"/>
          <w:szCs w:val="24"/>
        </w:rPr>
      </w:pPr>
    </w:p>
    <w:p w:rsidRPr="002411F4" w:rsidR="00CA2FB5" w:rsidP="008B7A62" w:rsidRDefault="006226D0" w14:paraId="4B807DB0" w14:textId="0FED529E">
      <w:pPr>
        <w:rPr>
          <w:rFonts w:ascii="Times New Roman" w:hAnsi="Times New Roman"/>
          <w:sz w:val="24"/>
          <w:szCs w:val="24"/>
        </w:rPr>
      </w:pPr>
      <w:r>
        <w:rPr>
          <w:rFonts w:ascii="Times New Roman" w:hAnsi="Times New Roman"/>
          <w:sz w:val="24"/>
          <w:szCs w:val="24"/>
        </w:rPr>
        <w:t>W</w:t>
      </w:r>
      <w:r w:rsidR="00CA2FB5">
        <w:rPr>
          <w:rFonts w:ascii="Times New Roman" w:hAnsi="Times New Roman"/>
          <w:sz w:val="24"/>
          <w:szCs w:val="24"/>
        </w:rPr>
        <w:t xml:space="preserve">ithout the information requested on the </w:t>
      </w:r>
      <w:r w:rsidR="00CC7C37">
        <w:rPr>
          <w:rFonts w:ascii="Times New Roman" w:hAnsi="Times New Roman"/>
          <w:sz w:val="24"/>
          <w:szCs w:val="24"/>
        </w:rPr>
        <w:t xml:space="preserve">Closeout </w:t>
      </w:r>
      <w:r w:rsidR="00C74644">
        <w:rPr>
          <w:rFonts w:ascii="Times New Roman" w:hAnsi="Times New Roman"/>
          <w:sz w:val="24"/>
          <w:szCs w:val="24"/>
        </w:rPr>
        <w:t>Pe</w:t>
      </w:r>
      <w:r w:rsidR="000938A0">
        <w:rPr>
          <w:rFonts w:ascii="Times New Roman" w:hAnsi="Times New Roman"/>
          <w:sz w:val="24"/>
          <w:szCs w:val="24"/>
        </w:rPr>
        <w:t>r</w:t>
      </w:r>
      <w:r w:rsidR="00C74644">
        <w:rPr>
          <w:rFonts w:ascii="Times New Roman" w:hAnsi="Times New Roman"/>
          <w:sz w:val="24"/>
          <w:szCs w:val="24"/>
        </w:rPr>
        <w:t>formance</w:t>
      </w:r>
      <w:r w:rsidR="00CC7C37">
        <w:rPr>
          <w:rFonts w:ascii="Times New Roman" w:hAnsi="Times New Roman"/>
          <w:sz w:val="24"/>
          <w:szCs w:val="24"/>
        </w:rPr>
        <w:t xml:space="preserve"> Re</w:t>
      </w:r>
      <w:r w:rsidR="00CA2FB5">
        <w:rPr>
          <w:rFonts w:ascii="Times New Roman" w:hAnsi="Times New Roman"/>
          <w:sz w:val="24"/>
          <w:szCs w:val="24"/>
        </w:rPr>
        <w:t xml:space="preserve">port, the Agencies </w:t>
      </w:r>
      <w:r w:rsidR="00CC7C37">
        <w:rPr>
          <w:rFonts w:ascii="Times New Roman" w:hAnsi="Times New Roman"/>
          <w:sz w:val="24"/>
          <w:szCs w:val="24"/>
        </w:rPr>
        <w:t>will experience difficulties in ensuring</w:t>
      </w:r>
      <w:r w:rsidR="00CA2FB5">
        <w:rPr>
          <w:rFonts w:ascii="Times New Roman" w:hAnsi="Times New Roman"/>
          <w:sz w:val="24"/>
          <w:szCs w:val="24"/>
        </w:rPr>
        <w:t xml:space="preserve"> that grant recipients </w:t>
      </w:r>
      <w:r w:rsidR="00CC7C37">
        <w:rPr>
          <w:rFonts w:ascii="Times New Roman" w:hAnsi="Times New Roman"/>
          <w:sz w:val="24"/>
          <w:szCs w:val="24"/>
        </w:rPr>
        <w:t>spent</w:t>
      </w:r>
      <w:r w:rsidR="00CA2FB5">
        <w:rPr>
          <w:rFonts w:ascii="Times New Roman" w:hAnsi="Times New Roman"/>
          <w:sz w:val="24"/>
          <w:szCs w:val="24"/>
        </w:rPr>
        <w:t xml:space="preserve"> their grant dollars in a way that is consistent with the purposes of the Act.  Together with the SF-425 Federal Financial Report</w:t>
      </w:r>
      <w:r w:rsidR="00C74644">
        <w:rPr>
          <w:rFonts w:ascii="Times New Roman" w:hAnsi="Times New Roman"/>
          <w:sz w:val="24"/>
          <w:szCs w:val="24"/>
        </w:rPr>
        <w:t xml:space="preserve"> and</w:t>
      </w:r>
      <w:r w:rsidR="00CA2FB5">
        <w:rPr>
          <w:rFonts w:ascii="Times New Roman" w:hAnsi="Times New Roman"/>
          <w:sz w:val="24"/>
          <w:szCs w:val="24"/>
        </w:rPr>
        <w:t xml:space="preserve"> </w:t>
      </w:r>
      <w:r w:rsidR="00C74644">
        <w:rPr>
          <w:rFonts w:ascii="Times New Roman" w:hAnsi="Times New Roman"/>
          <w:sz w:val="24"/>
          <w:szCs w:val="24"/>
        </w:rPr>
        <w:t>the Tangible Personal Property Report,</w:t>
      </w:r>
      <w:r w:rsidR="00CC7C37">
        <w:rPr>
          <w:rFonts w:ascii="Times New Roman" w:hAnsi="Times New Roman"/>
          <w:sz w:val="24"/>
          <w:szCs w:val="24"/>
        </w:rPr>
        <w:t xml:space="preserve"> </w:t>
      </w:r>
      <w:r w:rsidR="00CA2FB5">
        <w:rPr>
          <w:rFonts w:ascii="Times New Roman" w:hAnsi="Times New Roman"/>
          <w:sz w:val="24"/>
          <w:szCs w:val="24"/>
        </w:rPr>
        <w:t xml:space="preserve">the </w:t>
      </w:r>
      <w:r w:rsidR="00CC7C37">
        <w:rPr>
          <w:rFonts w:ascii="Times New Roman" w:hAnsi="Times New Roman"/>
          <w:sz w:val="24"/>
          <w:szCs w:val="24"/>
        </w:rPr>
        <w:t xml:space="preserve">Closeout </w:t>
      </w:r>
      <w:r w:rsidR="00C74644">
        <w:rPr>
          <w:rFonts w:ascii="Times New Roman" w:hAnsi="Times New Roman"/>
          <w:sz w:val="24"/>
          <w:szCs w:val="24"/>
        </w:rPr>
        <w:t>Performance</w:t>
      </w:r>
      <w:r w:rsidR="00CC7C37">
        <w:rPr>
          <w:rFonts w:ascii="Times New Roman" w:hAnsi="Times New Roman"/>
          <w:sz w:val="24"/>
          <w:szCs w:val="24"/>
        </w:rPr>
        <w:t xml:space="preserve"> Report </w:t>
      </w:r>
      <w:r w:rsidR="00CA2FB5">
        <w:rPr>
          <w:rFonts w:ascii="Times New Roman" w:hAnsi="Times New Roman"/>
          <w:sz w:val="24"/>
          <w:szCs w:val="24"/>
        </w:rPr>
        <w:t>will enable the Agencies to</w:t>
      </w:r>
      <w:r w:rsidR="00CC7C37">
        <w:rPr>
          <w:rFonts w:ascii="Times New Roman" w:hAnsi="Times New Roman"/>
          <w:sz w:val="24"/>
          <w:szCs w:val="24"/>
        </w:rPr>
        <w:t xml:space="preserve"> effectively closeout the program with the necessary information on</w:t>
      </w:r>
      <w:r w:rsidR="00CA2FB5">
        <w:rPr>
          <w:rFonts w:ascii="Times New Roman" w:hAnsi="Times New Roman"/>
          <w:sz w:val="24"/>
          <w:szCs w:val="24"/>
        </w:rPr>
        <w:t xml:space="preserve"> the grant recipients’ </w:t>
      </w:r>
      <w:r w:rsidR="00C74644">
        <w:rPr>
          <w:rFonts w:ascii="Times New Roman" w:hAnsi="Times New Roman"/>
          <w:sz w:val="24"/>
          <w:szCs w:val="24"/>
        </w:rPr>
        <w:t>expenditures</w:t>
      </w:r>
      <w:r w:rsidR="00CA2FB5">
        <w:rPr>
          <w:rFonts w:ascii="Times New Roman" w:hAnsi="Times New Roman"/>
          <w:sz w:val="24"/>
          <w:szCs w:val="24"/>
        </w:rPr>
        <w:t xml:space="preserve"> and activities.  In the absence of collecting the information on the </w:t>
      </w:r>
      <w:r w:rsidR="00CC7C37">
        <w:rPr>
          <w:rFonts w:ascii="Times New Roman" w:hAnsi="Times New Roman"/>
          <w:sz w:val="24"/>
          <w:szCs w:val="24"/>
        </w:rPr>
        <w:t xml:space="preserve">Closeout </w:t>
      </w:r>
      <w:r w:rsidR="00C74644">
        <w:rPr>
          <w:rFonts w:ascii="Times New Roman" w:hAnsi="Times New Roman"/>
          <w:sz w:val="24"/>
          <w:szCs w:val="24"/>
        </w:rPr>
        <w:t>Performance</w:t>
      </w:r>
      <w:r w:rsidR="00CC7C37">
        <w:rPr>
          <w:rFonts w:ascii="Times New Roman" w:hAnsi="Times New Roman"/>
          <w:sz w:val="24"/>
          <w:szCs w:val="24"/>
        </w:rPr>
        <w:t xml:space="preserve"> Report</w:t>
      </w:r>
      <w:r w:rsidR="00CA2FB5">
        <w:rPr>
          <w:rFonts w:ascii="Times New Roman" w:hAnsi="Times New Roman"/>
          <w:sz w:val="24"/>
          <w:szCs w:val="24"/>
        </w:rPr>
        <w:t xml:space="preserve">, the Agencies would fail to </w:t>
      </w:r>
      <w:r w:rsidR="00CC7C37">
        <w:rPr>
          <w:rFonts w:ascii="Times New Roman" w:hAnsi="Times New Roman"/>
          <w:sz w:val="24"/>
          <w:szCs w:val="24"/>
        </w:rPr>
        <w:t xml:space="preserve">fully </w:t>
      </w:r>
      <w:r w:rsidR="00CA2FB5">
        <w:rPr>
          <w:rFonts w:ascii="Times New Roman" w:hAnsi="Times New Roman"/>
          <w:sz w:val="24"/>
          <w:szCs w:val="24"/>
        </w:rPr>
        <w:t xml:space="preserve">evaluate the grant recipients’ </w:t>
      </w:r>
      <w:r w:rsidR="00CA2FB5">
        <w:rPr>
          <w:rFonts w:ascii="Times New Roman" w:hAnsi="Times New Roman"/>
          <w:sz w:val="24"/>
          <w:szCs w:val="24"/>
        </w:rPr>
        <w:lastRenderedPageBreak/>
        <w:t xml:space="preserve">progress </w:t>
      </w:r>
      <w:r w:rsidR="00CC7C37">
        <w:rPr>
          <w:rFonts w:ascii="Times New Roman" w:hAnsi="Times New Roman"/>
          <w:sz w:val="24"/>
          <w:szCs w:val="24"/>
        </w:rPr>
        <w:t>achieved in implementing</w:t>
      </w:r>
      <w:r w:rsidR="00CA2FB5">
        <w:rPr>
          <w:rFonts w:ascii="Times New Roman" w:hAnsi="Times New Roman"/>
          <w:sz w:val="24"/>
          <w:szCs w:val="24"/>
        </w:rPr>
        <w:t xml:space="preserve"> the grant program </w:t>
      </w:r>
      <w:r w:rsidR="00CC7C37">
        <w:rPr>
          <w:rFonts w:ascii="Times New Roman" w:hAnsi="Times New Roman"/>
          <w:sz w:val="24"/>
          <w:szCs w:val="24"/>
        </w:rPr>
        <w:t>purpose</w:t>
      </w:r>
      <w:r w:rsidR="00CA2FB5">
        <w:rPr>
          <w:rFonts w:ascii="Times New Roman" w:hAnsi="Times New Roman"/>
          <w:sz w:val="24"/>
          <w:szCs w:val="24"/>
        </w:rPr>
        <w:t xml:space="preserve"> and program goals</w:t>
      </w:r>
      <w:r w:rsidR="00355A01">
        <w:rPr>
          <w:rFonts w:ascii="Times New Roman" w:hAnsi="Times New Roman"/>
          <w:sz w:val="24"/>
          <w:szCs w:val="24"/>
        </w:rPr>
        <w:t xml:space="preserve"> and performance objectives as required by the </w:t>
      </w:r>
      <w:r w:rsidRPr="00355A01" w:rsidR="00355A01">
        <w:rPr>
          <w:rFonts w:ascii="Times New Roman" w:hAnsi="Times New Roman"/>
          <w:sz w:val="24"/>
          <w:szCs w:val="24"/>
        </w:rPr>
        <w:t>Government Performance and Results Act (GPRA)</w:t>
      </w:r>
      <w:r w:rsidR="00355A01">
        <w:rPr>
          <w:rFonts w:ascii="Times New Roman" w:hAnsi="Times New Roman"/>
          <w:sz w:val="24"/>
          <w:szCs w:val="24"/>
        </w:rPr>
        <w:t>.</w:t>
      </w:r>
      <w:r w:rsidRPr="00355A01" w:rsidR="00355A01">
        <w:rPr>
          <w:rFonts w:ascii="Times New Roman" w:hAnsi="Times New Roman"/>
          <w:sz w:val="24"/>
          <w:szCs w:val="24"/>
        </w:rPr>
        <w:t xml:space="preserve"> </w:t>
      </w:r>
      <w:r w:rsidR="00797BAB">
        <w:rPr>
          <w:rFonts w:ascii="Times New Roman" w:hAnsi="Times New Roman"/>
          <w:sz w:val="24"/>
          <w:szCs w:val="24"/>
        </w:rPr>
        <w:t xml:space="preserve"> </w:t>
      </w:r>
      <w:r w:rsidR="00CA2FB5">
        <w:rPr>
          <w:rFonts w:ascii="Times New Roman" w:hAnsi="Times New Roman"/>
          <w:sz w:val="24"/>
          <w:szCs w:val="24"/>
        </w:rPr>
        <w:t xml:space="preserve">Moreover, without the </w:t>
      </w:r>
      <w:r w:rsidR="00CC7C37">
        <w:rPr>
          <w:rFonts w:ascii="Times New Roman" w:hAnsi="Times New Roman"/>
          <w:sz w:val="24"/>
          <w:szCs w:val="24"/>
        </w:rPr>
        <w:t xml:space="preserve">Closeout </w:t>
      </w:r>
      <w:r w:rsidR="00C74644">
        <w:rPr>
          <w:rFonts w:ascii="Times New Roman" w:hAnsi="Times New Roman"/>
          <w:sz w:val="24"/>
          <w:szCs w:val="24"/>
        </w:rPr>
        <w:t>Performance</w:t>
      </w:r>
      <w:r w:rsidR="00CC7C37">
        <w:rPr>
          <w:rFonts w:ascii="Times New Roman" w:hAnsi="Times New Roman"/>
          <w:sz w:val="24"/>
          <w:szCs w:val="24"/>
        </w:rPr>
        <w:t xml:space="preserve"> Report</w:t>
      </w:r>
      <w:r w:rsidR="00CA2FB5">
        <w:rPr>
          <w:rFonts w:ascii="Times New Roman" w:hAnsi="Times New Roman"/>
          <w:sz w:val="24"/>
          <w:szCs w:val="24"/>
        </w:rPr>
        <w:t xml:space="preserve">, the grants could be the subject of waste, fraud, </w:t>
      </w:r>
      <w:r w:rsidR="00797BAB">
        <w:rPr>
          <w:rFonts w:ascii="Times New Roman" w:hAnsi="Times New Roman"/>
          <w:sz w:val="24"/>
          <w:szCs w:val="24"/>
        </w:rPr>
        <w:t>and abuse of f</w:t>
      </w:r>
      <w:r w:rsidR="00CA2FB5">
        <w:rPr>
          <w:rFonts w:ascii="Times New Roman" w:hAnsi="Times New Roman"/>
          <w:sz w:val="24"/>
          <w:szCs w:val="24"/>
        </w:rPr>
        <w:t xml:space="preserve">ederal funds.  </w:t>
      </w:r>
      <w:r w:rsidR="00CC7C37">
        <w:rPr>
          <w:rFonts w:ascii="Times New Roman" w:hAnsi="Times New Roman"/>
          <w:sz w:val="24"/>
          <w:szCs w:val="24"/>
        </w:rPr>
        <w:t xml:space="preserve">All federal funds and associated activities must be accounted for before the grants are closed. </w:t>
      </w:r>
      <w:r w:rsidR="00CA2FB5">
        <w:rPr>
          <w:rFonts w:ascii="Times New Roman" w:hAnsi="Times New Roman"/>
          <w:sz w:val="24"/>
          <w:szCs w:val="24"/>
        </w:rPr>
        <w:t xml:space="preserve">Therefore, it is necessary for the Agencies to collect information using the </w:t>
      </w:r>
      <w:r w:rsidR="00CC7C37">
        <w:rPr>
          <w:rFonts w:ascii="Times New Roman" w:hAnsi="Times New Roman"/>
          <w:sz w:val="24"/>
          <w:szCs w:val="24"/>
        </w:rPr>
        <w:t xml:space="preserve">Closeout </w:t>
      </w:r>
      <w:r w:rsidR="00C74644">
        <w:rPr>
          <w:rFonts w:ascii="Times New Roman" w:hAnsi="Times New Roman"/>
          <w:sz w:val="24"/>
          <w:szCs w:val="24"/>
        </w:rPr>
        <w:t>Performance</w:t>
      </w:r>
      <w:r w:rsidR="00CC7C37">
        <w:rPr>
          <w:rFonts w:ascii="Times New Roman" w:hAnsi="Times New Roman"/>
          <w:sz w:val="24"/>
          <w:szCs w:val="24"/>
        </w:rPr>
        <w:t xml:space="preserve"> Report</w:t>
      </w:r>
      <w:r w:rsidR="00CA2FB5">
        <w:rPr>
          <w:rFonts w:ascii="Times New Roman" w:hAnsi="Times New Roman"/>
          <w:sz w:val="24"/>
          <w:szCs w:val="24"/>
        </w:rPr>
        <w:t>.</w:t>
      </w:r>
    </w:p>
    <w:p w:rsidR="000812E5" w:rsidP="00D26209" w:rsidRDefault="004B1151" w14:paraId="33954C40" w14:textId="4A3A8735">
      <w:pPr>
        <w:pStyle w:val="ColorfulList-Accent11"/>
        <w:numPr>
          <w:ilvl w:val="0"/>
          <w:numId w:val="2"/>
        </w:numPr>
        <w:spacing w:after="0"/>
        <w:rPr>
          <w:rFonts w:ascii="Times New Roman" w:hAnsi="Times New Roman"/>
          <w:b/>
          <w:sz w:val="24"/>
          <w:szCs w:val="24"/>
          <w:u w:val="single"/>
        </w:rPr>
      </w:pPr>
      <w:r w:rsidRPr="004B1151">
        <w:rPr>
          <w:rFonts w:ascii="Times New Roman" w:hAnsi="Times New Roman"/>
          <w:b/>
          <w:sz w:val="24"/>
          <w:szCs w:val="24"/>
          <w:u w:val="single"/>
        </w:rPr>
        <w:t>Explain any special circumstances that would cause an information collection to be conducted in a manner:</w:t>
      </w:r>
    </w:p>
    <w:p w:rsidRPr="00355A01" w:rsidR="00355A01" w:rsidP="00355A01" w:rsidRDefault="00355A01" w14:paraId="1B4CBF38" w14:textId="77777777">
      <w:pPr>
        <w:autoSpaceDE w:val="0"/>
        <w:autoSpaceDN w:val="0"/>
        <w:adjustRightInd w:val="0"/>
        <w:spacing w:after="0" w:line="240" w:lineRule="auto"/>
        <w:rPr>
          <w:rFonts w:ascii="Arial" w:hAnsi="Arial" w:eastAsia="Calibri" w:cs="Arial"/>
          <w:color w:val="000000"/>
          <w:sz w:val="24"/>
          <w:szCs w:val="24"/>
        </w:rPr>
      </w:pPr>
    </w:p>
    <w:p w:rsidRPr="00355A01" w:rsidR="00355A01" w:rsidP="00355A01" w:rsidRDefault="004B1151" w14:paraId="6A508DA0" w14:textId="358469E6">
      <w:pPr>
        <w:autoSpaceDE w:val="0"/>
        <w:autoSpaceDN w:val="0"/>
        <w:adjustRightInd w:val="0"/>
        <w:spacing w:after="79" w:line="240" w:lineRule="auto"/>
        <w:rPr>
          <w:rFonts w:ascii="Times New Roman" w:hAnsi="Times New Roman"/>
          <w:b/>
          <w:sz w:val="24"/>
          <w:szCs w:val="24"/>
        </w:rPr>
      </w:pPr>
      <w:r w:rsidRPr="00A44C53">
        <w:rPr>
          <w:rFonts w:ascii="Times New Roman" w:hAnsi="Times New Roman"/>
          <w:b/>
          <w:sz w:val="24"/>
          <w:szCs w:val="24"/>
        </w:rPr>
        <w:t xml:space="preserve">• </w:t>
      </w:r>
      <w:r w:rsidRPr="00355A01" w:rsidR="00355A01">
        <w:rPr>
          <w:rFonts w:ascii="Times New Roman" w:hAnsi="Times New Roman"/>
          <w:b/>
          <w:sz w:val="24"/>
          <w:szCs w:val="24"/>
        </w:rPr>
        <w:t xml:space="preserve">requiring respondents to report information to the agency more often than quarterly; </w:t>
      </w:r>
    </w:p>
    <w:p w:rsidRPr="00355A01" w:rsidR="00355A01" w:rsidP="00355A01" w:rsidRDefault="00355A01" w14:paraId="2F561B80" w14:textId="77777777">
      <w:pPr>
        <w:autoSpaceDE w:val="0"/>
        <w:autoSpaceDN w:val="0"/>
        <w:adjustRightInd w:val="0"/>
        <w:spacing w:after="79" w:line="240" w:lineRule="auto"/>
        <w:rPr>
          <w:rFonts w:ascii="Times New Roman" w:hAnsi="Times New Roman"/>
          <w:b/>
          <w:sz w:val="24"/>
          <w:szCs w:val="24"/>
        </w:rPr>
      </w:pPr>
      <w:r w:rsidRPr="00355A01">
        <w:rPr>
          <w:rFonts w:ascii="Times New Roman" w:hAnsi="Times New Roman"/>
          <w:b/>
          <w:sz w:val="24"/>
          <w:szCs w:val="24"/>
        </w:rPr>
        <w:t xml:space="preserve">• requiring respondents to prepare a written response to a collection of information in fewer than 30 days after receipt of it; </w:t>
      </w:r>
    </w:p>
    <w:p w:rsidRPr="00355A01" w:rsidR="00355A01" w:rsidP="00355A01" w:rsidRDefault="00355A01" w14:paraId="1569D851" w14:textId="77777777">
      <w:pPr>
        <w:autoSpaceDE w:val="0"/>
        <w:autoSpaceDN w:val="0"/>
        <w:adjustRightInd w:val="0"/>
        <w:spacing w:after="79" w:line="240" w:lineRule="auto"/>
        <w:rPr>
          <w:rFonts w:ascii="Times New Roman" w:hAnsi="Times New Roman"/>
          <w:b/>
          <w:sz w:val="24"/>
          <w:szCs w:val="24"/>
        </w:rPr>
      </w:pPr>
      <w:r w:rsidRPr="00355A01">
        <w:rPr>
          <w:rFonts w:ascii="Times New Roman" w:hAnsi="Times New Roman"/>
          <w:b/>
          <w:sz w:val="24"/>
          <w:szCs w:val="24"/>
        </w:rPr>
        <w:t xml:space="preserve">• requiring respondents to submit more than an original and two copies of any document; </w:t>
      </w:r>
    </w:p>
    <w:p w:rsidRPr="00355A01" w:rsidR="00355A01" w:rsidP="00355A01" w:rsidRDefault="00355A01" w14:paraId="189C5499" w14:textId="77777777">
      <w:pPr>
        <w:autoSpaceDE w:val="0"/>
        <w:autoSpaceDN w:val="0"/>
        <w:adjustRightInd w:val="0"/>
        <w:spacing w:after="79" w:line="240" w:lineRule="auto"/>
        <w:rPr>
          <w:rFonts w:ascii="Times New Roman" w:hAnsi="Times New Roman"/>
          <w:b/>
          <w:sz w:val="24"/>
          <w:szCs w:val="24"/>
        </w:rPr>
      </w:pPr>
      <w:r w:rsidRPr="00355A01">
        <w:rPr>
          <w:rFonts w:ascii="Times New Roman" w:hAnsi="Times New Roman"/>
          <w:b/>
          <w:sz w:val="24"/>
          <w:szCs w:val="24"/>
        </w:rPr>
        <w:t xml:space="preserve">• requiring respondents to retain records, other than health, medical, government contract, grant-in-aid, or tax records for more than three years; </w:t>
      </w:r>
    </w:p>
    <w:p w:rsidRPr="00355A01" w:rsidR="00355A01" w:rsidP="00355A01" w:rsidRDefault="00355A01" w14:paraId="40663BC3" w14:textId="77777777">
      <w:pPr>
        <w:autoSpaceDE w:val="0"/>
        <w:autoSpaceDN w:val="0"/>
        <w:adjustRightInd w:val="0"/>
        <w:spacing w:after="79" w:line="240" w:lineRule="auto"/>
        <w:rPr>
          <w:rFonts w:ascii="Times New Roman" w:hAnsi="Times New Roman"/>
          <w:b/>
          <w:sz w:val="24"/>
          <w:szCs w:val="24"/>
        </w:rPr>
      </w:pPr>
      <w:r w:rsidRPr="00355A01">
        <w:rPr>
          <w:rFonts w:ascii="Times New Roman" w:hAnsi="Times New Roman"/>
          <w:b/>
          <w:sz w:val="24"/>
          <w:szCs w:val="24"/>
        </w:rPr>
        <w:t xml:space="preserve">• in connection with a statistical survey, that is not designed to produce valid and reliable results that can be generalized to the universe of study; </w:t>
      </w:r>
    </w:p>
    <w:p w:rsidRPr="00355A01" w:rsidR="00355A01" w:rsidP="00355A01" w:rsidRDefault="00355A01" w14:paraId="2D0F7AF0" w14:textId="77777777">
      <w:pPr>
        <w:autoSpaceDE w:val="0"/>
        <w:autoSpaceDN w:val="0"/>
        <w:adjustRightInd w:val="0"/>
        <w:spacing w:after="79" w:line="240" w:lineRule="auto"/>
        <w:rPr>
          <w:rFonts w:ascii="Times New Roman" w:hAnsi="Times New Roman"/>
          <w:b/>
          <w:sz w:val="24"/>
          <w:szCs w:val="24"/>
        </w:rPr>
      </w:pPr>
      <w:r w:rsidRPr="00355A01">
        <w:rPr>
          <w:rFonts w:ascii="Times New Roman" w:hAnsi="Times New Roman"/>
          <w:b/>
          <w:sz w:val="24"/>
          <w:szCs w:val="24"/>
        </w:rPr>
        <w:t xml:space="preserve">• requiring the use of a statistical data classification that has not been reviewed and approved by OMB; </w:t>
      </w:r>
    </w:p>
    <w:p w:rsidRPr="00355A01" w:rsidR="00355A01" w:rsidP="00355A01" w:rsidRDefault="00355A01" w14:paraId="45EC0D86" w14:textId="77777777">
      <w:pPr>
        <w:autoSpaceDE w:val="0"/>
        <w:autoSpaceDN w:val="0"/>
        <w:adjustRightInd w:val="0"/>
        <w:spacing w:after="79" w:line="240" w:lineRule="auto"/>
        <w:rPr>
          <w:rFonts w:ascii="Times New Roman" w:hAnsi="Times New Roman"/>
          <w:b/>
          <w:sz w:val="24"/>
          <w:szCs w:val="24"/>
        </w:rPr>
      </w:pPr>
      <w:r w:rsidRPr="00355A01">
        <w:rPr>
          <w:rFonts w:ascii="Times New Roman" w:hAnsi="Times New Roman"/>
          <w:b/>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355A01" w:rsidR="00355A01" w:rsidP="00355A01" w:rsidRDefault="00355A01" w14:paraId="0BCF9A56" w14:textId="77777777">
      <w:pPr>
        <w:autoSpaceDE w:val="0"/>
        <w:autoSpaceDN w:val="0"/>
        <w:adjustRightInd w:val="0"/>
        <w:spacing w:after="0" w:line="240" w:lineRule="auto"/>
        <w:rPr>
          <w:rFonts w:ascii="Times New Roman" w:hAnsi="Times New Roman"/>
          <w:b/>
          <w:sz w:val="24"/>
          <w:szCs w:val="24"/>
        </w:rPr>
      </w:pPr>
      <w:r w:rsidRPr="00355A01">
        <w:rPr>
          <w:rFonts w:ascii="Times New Roman" w:hAnsi="Times New Roman"/>
          <w:b/>
          <w:sz w:val="24"/>
          <w:szCs w:val="24"/>
        </w:rPr>
        <w:t>• requiring respondents to submit proprietary trade secret, or other confidential information unless the agency can demonstrate that it has instituted procedures to protect the information's confidentiality to the extent permitted by law.</w:t>
      </w:r>
    </w:p>
    <w:p w:rsidR="00CB1E61" w:rsidP="004B1151" w:rsidRDefault="00CB1E61" w14:paraId="002AAC02" w14:textId="77777777">
      <w:pPr>
        <w:autoSpaceDE w:val="0"/>
        <w:autoSpaceDN w:val="0"/>
        <w:adjustRightInd w:val="0"/>
        <w:spacing w:after="79" w:line="240" w:lineRule="auto"/>
        <w:rPr>
          <w:rFonts w:ascii="Times New Roman" w:hAnsi="Times New Roman"/>
          <w:b/>
          <w:sz w:val="24"/>
          <w:szCs w:val="24"/>
        </w:rPr>
      </w:pPr>
    </w:p>
    <w:p w:rsidRPr="00CB1E61" w:rsidR="0018097B" w:rsidP="004B1151" w:rsidRDefault="00CB1E61" w14:paraId="7F30DD77" w14:textId="5318F98E">
      <w:pPr>
        <w:autoSpaceDE w:val="0"/>
        <w:autoSpaceDN w:val="0"/>
        <w:adjustRightInd w:val="0"/>
        <w:spacing w:after="79" w:line="240" w:lineRule="auto"/>
        <w:rPr>
          <w:rFonts w:ascii="Times New Roman" w:hAnsi="Times New Roman"/>
          <w:b/>
          <w:sz w:val="24"/>
          <w:szCs w:val="24"/>
        </w:rPr>
      </w:pPr>
      <w:r w:rsidRPr="00CB1E61">
        <w:rPr>
          <w:rFonts w:ascii="Times New Roman" w:hAnsi="Times New Roman"/>
          <w:b/>
          <w:sz w:val="24"/>
          <w:szCs w:val="24"/>
        </w:rPr>
        <w:t>The response to this question should include an answer for each of the eight subparts. Please do not indicate "N/A" for any response. Rather, answer appropriately in a full sentence. If the answer to any subpart is "yes", then a full explanation of the circumstances surrounding the collection should be provided.</w:t>
      </w:r>
    </w:p>
    <w:p w:rsidR="00CB1E61" w:rsidP="004B1151" w:rsidRDefault="00CB1E61" w14:paraId="69669D80" w14:textId="77777777">
      <w:pPr>
        <w:autoSpaceDE w:val="0"/>
        <w:autoSpaceDN w:val="0"/>
        <w:adjustRightInd w:val="0"/>
        <w:spacing w:after="79" w:line="240" w:lineRule="auto"/>
        <w:rPr>
          <w:rFonts w:ascii="Times New Roman" w:hAnsi="Times New Roman"/>
          <w:sz w:val="24"/>
          <w:szCs w:val="24"/>
        </w:rPr>
      </w:pPr>
    </w:p>
    <w:p w:rsidRPr="00355A01" w:rsidR="004B1151" w:rsidP="00797BAB" w:rsidRDefault="00253438" w14:paraId="0B031183" w14:textId="256E5ED6">
      <w:pPr>
        <w:autoSpaceDE w:val="0"/>
        <w:autoSpaceDN w:val="0"/>
        <w:adjustRightInd w:val="0"/>
        <w:spacing w:after="79" w:line="240" w:lineRule="auto"/>
        <w:rPr>
          <w:rFonts w:ascii="Times New Roman" w:hAnsi="Times New Roman"/>
          <w:sz w:val="24"/>
          <w:szCs w:val="24"/>
        </w:rPr>
      </w:pPr>
      <w:r w:rsidRPr="002411F4">
        <w:rPr>
          <w:rFonts w:ascii="Times New Roman" w:hAnsi="Times New Roman"/>
          <w:sz w:val="24"/>
          <w:szCs w:val="24"/>
        </w:rPr>
        <w:t xml:space="preserve">No special circumstances require the collection of information to be conducted in a manner inconsistent with </w:t>
      </w:r>
      <w:r w:rsidRPr="002411F4" w:rsidR="00F97AD3">
        <w:rPr>
          <w:rFonts w:ascii="Times New Roman" w:hAnsi="Times New Roman"/>
          <w:sz w:val="24"/>
          <w:szCs w:val="24"/>
        </w:rPr>
        <w:t xml:space="preserve">OMB </w:t>
      </w:r>
      <w:r w:rsidRPr="002411F4">
        <w:rPr>
          <w:rFonts w:ascii="Times New Roman" w:hAnsi="Times New Roman"/>
          <w:sz w:val="24"/>
          <w:szCs w:val="24"/>
        </w:rPr>
        <w:t>guidelines</w:t>
      </w:r>
      <w:r w:rsidR="004B1151">
        <w:rPr>
          <w:rFonts w:ascii="Times New Roman" w:hAnsi="Times New Roman"/>
          <w:sz w:val="24"/>
          <w:szCs w:val="24"/>
        </w:rPr>
        <w:t xml:space="preserve"> as listed above.</w:t>
      </w:r>
      <w:r w:rsidR="00291A5B">
        <w:rPr>
          <w:rFonts w:ascii="Times New Roman" w:hAnsi="Times New Roman"/>
          <w:sz w:val="24"/>
          <w:szCs w:val="24"/>
        </w:rPr>
        <w:t xml:space="preserve">  This information collection is</w:t>
      </w:r>
      <w:r w:rsidR="004B1151">
        <w:rPr>
          <w:rFonts w:ascii="Times New Roman" w:hAnsi="Times New Roman"/>
          <w:sz w:val="24"/>
          <w:szCs w:val="24"/>
        </w:rPr>
        <w:t xml:space="preserve"> consistent with OMB guidelines and will be conducted one time, at the close-out of the grant. Grantees have the 90 day closeout period to complete the report, and therefore it will not be completed in fewer than 30 days from receipt. </w:t>
      </w:r>
      <w:r w:rsidR="00CB1E61">
        <w:rPr>
          <w:rFonts w:ascii="Times New Roman" w:hAnsi="Times New Roman"/>
          <w:sz w:val="24"/>
          <w:szCs w:val="24"/>
        </w:rPr>
        <w:t>The report does not require</w:t>
      </w:r>
      <w:r w:rsidRPr="00355A01" w:rsidR="00CB1E61">
        <w:rPr>
          <w:rFonts w:ascii="Times New Roman" w:hAnsi="Times New Roman"/>
          <w:sz w:val="24"/>
          <w:szCs w:val="24"/>
        </w:rPr>
        <w:t xml:space="preserve"> respondents to submit more than an original and two copies of any document; </w:t>
      </w:r>
      <w:r w:rsidR="00CB1E61">
        <w:rPr>
          <w:rFonts w:ascii="Times New Roman" w:hAnsi="Times New Roman"/>
          <w:sz w:val="24"/>
          <w:szCs w:val="24"/>
        </w:rPr>
        <w:t>to retain</w:t>
      </w:r>
      <w:r w:rsidRPr="00355A01" w:rsidR="00CB1E61">
        <w:rPr>
          <w:rFonts w:ascii="Times New Roman" w:hAnsi="Times New Roman"/>
          <w:sz w:val="24"/>
          <w:szCs w:val="24"/>
        </w:rPr>
        <w:t xml:space="preserve"> records, other than health, medical, government contract, grant-in-aid, or tax records for more than three years; </w:t>
      </w:r>
      <w:r w:rsidR="00CB1E61">
        <w:rPr>
          <w:rFonts w:ascii="Times New Roman" w:hAnsi="Times New Roman"/>
          <w:sz w:val="24"/>
          <w:szCs w:val="24"/>
        </w:rPr>
        <w:t xml:space="preserve">and is </w:t>
      </w:r>
      <w:r w:rsidRPr="00355A01" w:rsidR="00CB1E61">
        <w:rPr>
          <w:rFonts w:ascii="Times New Roman" w:hAnsi="Times New Roman"/>
          <w:sz w:val="24"/>
          <w:szCs w:val="24"/>
        </w:rPr>
        <w:t>designed to produce valid and reliable results that can be generalized to the universe of study</w:t>
      </w:r>
      <w:r w:rsidR="00CB1E61">
        <w:rPr>
          <w:rFonts w:ascii="Times New Roman" w:hAnsi="Times New Roman"/>
          <w:sz w:val="24"/>
          <w:szCs w:val="24"/>
        </w:rPr>
        <w:t xml:space="preserve">. The report </w:t>
      </w:r>
      <w:r w:rsidRPr="00CB1E61" w:rsidR="00CB1E61">
        <w:rPr>
          <w:rFonts w:ascii="Times New Roman" w:hAnsi="Times New Roman"/>
          <w:sz w:val="24"/>
          <w:szCs w:val="24"/>
        </w:rPr>
        <w:t>does not include</w:t>
      </w:r>
      <w:r w:rsidRPr="00355A01" w:rsidR="00CB1E61">
        <w:rPr>
          <w:rFonts w:ascii="Times New Roman" w:hAnsi="Times New Roman"/>
          <w:sz w:val="24"/>
          <w:szCs w:val="24"/>
        </w:rPr>
        <w:t xml:space="preserve"> a pledge of confidentiality that is not supported by authority established in </w:t>
      </w:r>
      <w:r w:rsidRPr="00355A01" w:rsidR="00CB1E61">
        <w:rPr>
          <w:rFonts w:ascii="Times New Roman" w:hAnsi="Times New Roman"/>
          <w:sz w:val="24"/>
          <w:szCs w:val="24"/>
        </w:rPr>
        <w:lastRenderedPageBreak/>
        <w:t>statute or regulation</w:t>
      </w:r>
      <w:r w:rsidRPr="00CB1E61" w:rsidR="00CB1E61">
        <w:rPr>
          <w:rFonts w:ascii="Times New Roman" w:hAnsi="Times New Roman"/>
          <w:sz w:val="24"/>
          <w:szCs w:val="24"/>
        </w:rPr>
        <w:t xml:space="preserve">. </w:t>
      </w:r>
      <w:r w:rsidRPr="00355A01" w:rsidR="00CB1E61">
        <w:rPr>
          <w:rFonts w:ascii="Times New Roman" w:hAnsi="Times New Roman"/>
          <w:sz w:val="24"/>
          <w:szCs w:val="24"/>
        </w:rPr>
        <w:t xml:space="preserve"> </w:t>
      </w:r>
      <w:r w:rsidR="004B1151">
        <w:rPr>
          <w:rFonts w:ascii="Times New Roman" w:hAnsi="Times New Roman"/>
          <w:sz w:val="24"/>
          <w:szCs w:val="24"/>
        </w:rPr>
        <w:t xml:space="preserve">The report does not require the </w:t>
      </w:r>
      <w:r w:rsidRPr="00355A01" w:rsidR="004B1151">
        <w:rPr>
          <w:rFonts w:ascii="Times New Roman" w:hAnsi="Times New Roman"/>
          <w:sz w:val="24"/>
          <w:szCs w:val="24"/>
        </w:rPr>
        <w:t>use of a statistical data classification that has not bee</w:t>
      </w:r>
      <w:r w:rsidR="004B1151">
        <w:rPr>
          <w:rFonts w:ascii="Times New Roman" w:hAnsi="Times New Roman"/>
          <w:sz w:val="24"/>
          <w:szCs w:val="24"/>
        </w:rPr>
        <w:t>n reviewed and approved by OMB, nor the submittal of propriety trade secrets.</w:t>
      </w:r>
    </w:p>
    <w:p w:rsidRPr="00E1686D" w:rsidR="00253438" w:rsidP="008B7A62" w:rsidRDefault="00253438" w14:paraId="3021CD44" w14:textId="6E436E6D">
      <w:pPr>
        <w:rPr>
          <w:b/>
          <w:bCs/>
          <w:sz w:val="24"/>
          <w:szCs w:val="24"/>
        </w:rPr>
      </w:pPr>
    </w:p>
    <w:p w:rsidRPr="004B1E30" w:rsidR="00FB22E1" w:rsidP="00535818" w:rsidRDefault="00E1686D" w14:paraId="606055B2" w14:textId="7C8BAB9F">
      <w:pPr>
        <w:pStyle w:val="ListParagraph"/>
        <w:numPr>
          <w:ilvl w:val="0"/>
          <w:numId w:val="2"/>
        </w:numPr>
        <w:jc w:val="both"/>
        <w:rPr>
          <w:rFonts w:ascii="Times New Roman" w:hAnsi="Times New Roman"/>
          <w:b/>
          <w:sz w:val="24"/>
          <w:szCs w:val="24"/>
          <w:u w:val="single"/>
        </w:rPr>
      </w:pPr>
      <w:r w:rsidRPr="004B1E30">
        <w:rPr>
          <w:rFonts w:ascii="Times New Roman" w:hAnsi="Times New Roman"/>
          <w:b/>
          <w:sz w:val="24"/>
          <w:szCs w:val="24"/>
          <w:u w:val="single"/>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Pr="004B1E30" w:rsidR="00FB22E1">
        <w:rPr>
          <w:rFonts w:ascii="Times New Roman" w:hAnsi="Times New Roman"/>
          <w:b/>
          <w:sz w:val="24"/>
          <w:szCs w:val="24"/>
          <w:u w:val="single"/>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2411F4" w:rsidR="003904BB" w:rsidP="008B7A62" w:rsidRDefault="003904BB" w14:paraId="165EF96A" w14:textId="77777777">
      <w:pPr>
        <w:pStyle w:val="ColorfulList-Accent11"/>
        <w:spacing w:after="0"/>
        <w:ind w:left="0"/>
        <w:rPr>
          <w:rFonts w:ascii="Times New Roman" w:hAnsi="Times New Roman"/>
          <w:b/>
          <w:sz w:val="24"/>
          <w:szCs w:val="24"/>
          <w:u w:val="single"/>
        </w:rPr>
      </w:pPr>
    </w:p>
    <w:p w:rsidR="00461017" w:rsidP="00C422D8" w:rsidRDefault="0059157A" w14:paraId="2BB46A98" w14:textId="77777777">
      <w:pPr>
        <w:pStyle w:val="CommentText"/>
        <w:rPr>
          <w:rFonts w:ascii="Times New Roman" w:hAnsi="Times New Roman"/>
          <w:sz w:val="24"/>
          <w:szCs w:val="24"/>
        </w:rPr>
      </w:pPr>
      <w:r w:rsidRPr="00D5323C">
        <w:rPr>
          <w:rFonts w:ascii="Times New Roman" w:hAnsi="Times New Roman"/>
          <w:sz w:val="24"/>
          <w:szCs w:val="24"/>
        </w:rPr>
        <w:t>The Agencies provided the 60-day notice in the Federal Register and did not receive any comments from the public</w:t>
      </w:r>
      <w:r w:rsidR="00461017">
        <w:rPr>
          <w:rFonts w:ascii="Times New Roman" w:hAnsi="Times New Roman"/>
          <w:sz w:val="24"/>
          <w:szCs w:val="24"/>
        </w:rPr>
        <w:t xml:space="preserve"> on cost and hour burden. </w:t>
      </w:r>
      <w:r w:rsidRPr="00D5323C">
        <w:rPr>
          <w:rFonts w:ascii="Times New Roman" w:hAnsi="Times New Roman"/>
          <w:sz w:val="24"/>
          <w:szCs w:val="24"/>
        </w:rPr>
        <w:t xml:space="preserve"> </w:t>
      </w:r>
      <w:r w:rsidRPr="00D5323C" w:rsidR="00291537">
        <w:rPr>
          <w:rFonts w:ascii="Times New Roman" w:hAnsi="Times New Roman"/>
          <w:sz w:val="24"/>
          <w:szCs w:val="24"/>
        </w:rPr>
        <w:t>The</w:t>
      </w:r>
      <w:r w:rsidR="00461017">
        <w:rPr>
          <w:rFonts w:ascii="Times New Roman" w:hAnsi="Times New Roman"/>
          <w:sz w:val="24"/>
          <w:szCs w:val="24"/>
        </w:rPr>
        <w:t xml:space="preserve"> 60-day notice </w:t>
      </w:r>
      <w:r w:rsidR="00FB22E1">
        <w:rPr>
          <w:rFonts w:ascii="Times New Roman" w:hAnsi="Times New Roman"/>
          <w:sz w:val="24"/>
          <w:szCs w:val="24"/>
        </w:rPr>
        <w:t>can be found at</w:t>
      </w:r>
      <w:r w:rsidRPr="00D5323C" w:rsidR="00D5323C">
        <w:rPr>
          <w:rFonts w:ascii="Times New Roman" w:hAnsi="Times New Roman"/>
          <w:sz w:val="24"/>
          <w:szCs w:val="24"/>
        </w:rPr>
        <w:t xml:space="preserve">:  </w:t>
      </w:r>
      <w:hyperlink w:history="1" r:id="rId9">
        <w:r w:rsidRPr="008079A1" w:rsidR="00461017">
          <w:rPr>
            <w:rStyle w:val="Hyperlink"/>
            <w:rFonts w:ascii="Times New Roman" w:hAnsi="Times New Roman"/>
            <w:sz w:val="24"/>
            <w:szCs w:val="24"/>
          </w:rPr>
          <w:t>https://www.federalregister.gov/d/2021-06769</w:t>
        </w:r>
      </w:hyperlink>
      <w:r w:rsidRPr="00D5323C" w:rsidR="00D5323C">
        <w:rPr>
          <w:rFonts w:ascii="Times New Roman" w:hAnsi="Times New Roman"/>
          <w:sz w:val="24"/>
          <w:szCs w:val="24"/>
        </w:rPr>
        <w:t>.</w:t>
      </w:r>
      <w:r w:rsidR="00461017">
        <w:rPr>
          <w:rFonts w:ascii="Times New Roman" w:hAnsi="Times New Roman"/>
          <w:sz w:val="24"/>
          <w:szCs w:val="24"/>
        </w:rPr>
        <w:t xml:space="preserve">  </w:t>
      </w:r>
    </w:p>
    <w:p w:rsidRPr="00D5323C" w:rsidR="00C422D8" w:rsidP="00C422D8" w:rsidRDefault="00461017" w14:paraId="49816193" w14:textId="7408E64E">
      <w:pPr>
        <w:pStyle w:val="CommentText"/>
        <w:rPr>
          <w:rFonts w:ascii="Times New Roman" w:hAnsi="Times New Roman"/>
          <w:i/>
          <w:sz w:val="24"/>
          <w:szCs w:val="24"/>
        </w:rPr>
      </w:pPr>
      <w:r>
        <w:rPr>
          <w:rFonts w:ascii="Times New Roman" w:hAnsi="Times New Roman"/>
          <w:sz w:val="24"/>
          <w:szCs w:val="24"/>
        </w:rPr>
        <w:t>As part of NTIA’s monitoring efforts, NTIA discussed the grant performanc</w:t>
      </w:r>
      <w:r w:rsidR="00A44C53">
        <w:rPr>
          <w:rFonts w:ascii="Times New Roman" w:hAnsi="Times New Roman"/>
          <w:sz w:val="24"/>
          <w:szCs w:val="24"/>
        </w:rPr>
        <w:t>e metrics with grantees on the annua</w:t>
      </w:r>
      <w:r>
        <w:rPr>
          <w:rFonts w:ascii="Times New Roman" w:hAnsi="Times New Roman"/>
          <w:sz w:val="24"/>
          <w:szCs w:val="24"/>
        </w:rPr>
        <w:t>l grantee calls and during desk reviews. This feedback allowed NTIA to understand the availability of the data elements to be reported in the closeout instrument. In addition, the closeout report was included in the 60-day notice, and was an opportunity to receive additional feedback on the collection of information. NTIA did not receive any comments on the closeout programmatic report, or other documents included in the notice.</w:t>
      </w:r>
    </w:p>
    <w:p w:rsidRPr="002411F4" w:rsidR="00940944" w:rsidP="00D26209" w:rsidRDefault="000812E5" w14:paraId="07012BB3" w14:textId="3FB21E28">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any decisions to provide payments or g</w:t>
      </w:r>
      <w:r w:rsidRPr="002411F4" w:rsidR="00940944">
        <w:rPr>
          <w:rFonts w:ascii="Times New Roman" w:hAnsi="Times New Roman"/>
          <w:b/>
          <w:sz w:val="24"/>
          <w:szCs w:val="24"/>
          <w:u w:val="single"/>
        </w:rPr>
        <w:t>ifts to respondents, other than</w:t>
      </w:r>
    </w:p>
    <w:p w:rsidR="00253438" w:rsidP="008B7A62" w:rsidRDefault="000812E5" w14:paraId="52F637C9" w14:textId="77777777">
      <w:pPr>
        <w:pStyle w:val="ColorfulList-Accent11"/>
        <w:spacing w:after="0"/>
        <w:ind w:left="0"/>
        <w:rPr>
          <w:rFonts w:ascii="Times New Roman" w:hAnsi="Times New Roman"/>
          <w:b/>
          <w:sz w:val="24"/>
          <w:szCs w:val="24"/>
          <w:u w:val="single"/>
        </w:rPr>
      </w:pPr>
      <w:r w:rsidRPr="002411F4">
        <w:rPr>
          <w:rFonts w:ascii="Times New Roman" w:hAnsi="Times New Roman"/>
          <w:b/>
          <w:sz w:val="24"/>
          <w:szCs w:val="24"/>
          <w:u w:val="single"/>
        </w:rPr>
        <w:t>remuneration of contractors or grantees.</w:t>
      </w:r>
    </w:p>
    <w:p w:rsidRPr="002411F4" w:rsidR="006907A7" w:rsidP="008B7A62" w:rsidRDefault="006907A7" w14:paraId="4AC6F7FB" w14:textId="77777777">
      <w:pPr>
        <w:pStyle w:val="ColorfulList-Accent11"/>
        <w:spacing w:after="0"/>
        <w:ind w:left="0"/>
        <w:rPr>
          <w:rFonts w:ascii="Times New Roman" w:hAnsi="Times New Roman"/>
          <w:b/>
          <w:sz w:val="24"/>
          <w:szCs w:val="24"/>
          <w:u w:val="single"/>
        </w:rPr>
      </w:pPr>
    </w:p>
    <w:p w:rsidR="00B02C84" w:rsidP="00B02C84" w:rsidRDefault="00253438" w14:paraId="7C8A9CF7" w14:textId="77777777">
      <w:pPr>
        <w:rPr>
          <w:rFonts w:ascii="Times New Roman" w:hAnsi="Times New Roman"/>
          <w:sz w:val="24"/>
          <w:szCs w:val="24"/>
        </w:rPr>
      </w:pPr>
      <w:r w:rsidRPr="002411F4">
        <w:rPr>
          <w:rFonts w:ascii="Times New Roman" w:hAnsi="Times New Roman"/>
          <w:sz w:val="24"/>
          <w:szCs w:val="24"/>
        </w:rPr>
        <w:t>No payment or gifts wil</w:t>
      </w:r>
      <w:r w:rsidR="00B02C84">
        <w:rPr>
          <w:rFonts w:ascii="Times New Roman" w:hAnsi="Times New Roman"/>
          <w:sz w:val="24"/>
          <w:szCs w:val="24"/>
        </w:rPr>
        <w:t>l be offered to the respondents.</w:t>
      </w:r>
    </w:p>
    <w:p w:rsidR="000812E5" w:rsidP="00D26209" w:rsidRDefault="00345A4C" w14:paraId="3E4D1A0D" w14:textId="64821D29">
      <w:pPr>
        <w:pStyle w:val="ColorfulList-Accent11"/>
        <w:numPr>
          <w:ilvl w:val="0"/>
          <w:numId w:val="2"/>
        </w:numPr>
        <w:spacing w:after="0"/>
        <w:rPr>
          <w:rFonts w:ascii="Times New Roman" w:hAnsi="Times New Roman"/>
          <w:b/>
          <w:sz w:val="24"/>
          <w:szCs w:val="24"/>
          <w:u w:val="single"/>
        </w:rPr>
      </w:pPr>
      <w:r w:rsidRPr="00345A4C">
        <w:rPr>
          <w:rFonts w:ascii="Times New Roman" w:hAnsi="Times New Roman"/>
          <w:b/>
          <w:sz w:val="24"/>
          <w:szCs w:val="24"/>
          <w:u w:val="single"/>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2411F4" w:rsidR="00170358" w:rsidP="008B7A62" w:rsidRDefault="00170358" w14:paraId="2EED2E9A" w14:textId="77777777">
      <w:pPr>
        <w:pStyle w:val="ColorfulList-Accent11"/>
        <w:spacing w:after="0"/>
        <w:ind w:left="0"/>
        <w:rPr>
          <w:rFonts w:ascii="Times New Roman" w:hAnsi="Times New Roman"/>
          <w:b/>
          <w:sz w:val="24"/>
          <w:szCs w:val="24"/>
          <w:u w:val="single"/>
        </w:rPr>
      </w:pPr>
    </w:p>
    <w:p w:rsidR="00253438" w:rsidP="008B7A62" w:rsidRDefault="00253438" w14:paraId="5C21A788" w14:textId="77777777">
      <w:pPr>
        <w:rPr>
          <w:rFonts w:ascii="Times New Roman" w:hAnsi="Times New Roman"/>
          <w:sz w:val="24"/>
          <w:szCs w:val="24"/>
        </w:rPr>
      </w:pPr>
      <w:r w:rsidRPr="002411F4">
        <w:rPr>
          <w:rFonts w:ascii="Times New Roman" w:hAnsi="Times New Roman"/>
          <w:sz w:val="24"/>
          <w:szCs w:val="24"/>
        </w:rPr>
        <w:lastRenderedPageBreak/>
        <w:t xml:space="preserve">No assurance of confidentiality is given by the Agencies.  There is no requirement that information be sent to the Agencies.  All information submitted by respondents is done so on </w:t>
      </w:r>
      <w:r w:rsidR="00A71CA8">
        <w:rPr>
          <w:rFonts w:ascii="Times New Roman" w:hAnsi="Times New Roman"/>
          <w:sz w:val="24"/>
          <w:szCs w:val="24"/>
        </w:rPr>
        <w:t xml:space="preserve">the </w:t>
      </w:r>
      <w:r w:rsidRPr="002411F4">
        <w:rPr>
          <w:rFonts w:ascii="Times New Roman" w:hAnsi="Times New Roman"/>
          <w:sz w:val="24"/>
          <w:szCs w:val="24"/>
        </w:rPr>
        <w:t>basis</w:t>
      </w:r>
      <w:r w:rsidR="00A71CA8">
        <w:rPr>
          <w:rFonts w:ascii="Times New Roman" w:hAnsi="Times New Roman"/>
          <w:sz w:val="24"/>
          <w:szCs w:val="24"/>
        </w:rPr>
        <w:t xml:space="preserve"> that it is required to obtain or retain benefits</w:t>
      </w:r>
      <w:r w:rsidRPr="002411F4">
        <w:rPr>
          <w:rFonts w:ascii="Times New Roman" w:hAnsi="Times New Roman"/>
          <w:sz w:val="24"/>
          <w:szCs w:val="24"/>
        </w:rPr>
        <w:t>.</w:t>
      </w:r>
    </w:p>
    <w:p w:rsidRPr="002411F4" w:rsidR="00291A5B" w:rsidP="008B7A62" w:rsidRDefault="0083294D" w14:paraId="1224E13A" w14:textId="1ED4B789">
      <w:pPr>
        <w:rPr>
          <w:rFonts w:ascii="Times New Roman" w:hAnsi="Times New Roman"/>
          <w:sz w:val="24"/>
          <w:szCs w:val="24"/>
        </w:rPr>
      </w:pPr>
      <w:r>
        <w:rPr>
          <w:rFonts w:ascii="Times New Roman" w:hAnsi="Times New Roman"/>
          <w:sz w:val="24"/>
          <w:szCs w:val="24"/>
        </w:rPr>
        <w:t>The Agencies</w:t>
      </w:r>
      <w:r w:rsidRPr="00291A5B" w:rsidR="00291A5B">
        <w:rPr>
          <w:rFonts w:ascii="Times New Roman" w:hAnsi="Times New Roman"/>
          <w:sz w:val="24"/>
          <w:szCs w:val="24"/>
        </w:rPr>
        <w:t xml:space="preserve"> will protect confidential and proprietary information from public disclosure to the fullest extent authorized by applicable law, including the Freedom of Information Act, as amended (5 U.S.C. </w:t>
      </w:r>
      <w:r w:rsidR="00A817DC">
        <w:rPr>
          <w:rFonts w:ascii="Times New Roman" w:hAnsi="Times New Roman"/>
          <w:sz w:val="24"/>
          <w:szCs w:val="24"/>
        </w:rPr>
        <w:t xml:space="preserve">§ </w:t>
      </w:r>
      <w:r w:rsidRPr="00291A5B" w:rsidR="00291A5B">
        <w:rPr>
          <w:rFonts w:ascii="Times New Roman" w:hAnsi="Times New Roman"/>
          <w:sz w:val="24"/>
          <w:szCs w:val="24"/>
        </w:rPr>
        <w:t xml:space="preserve">552 </w:t>
      </w:r>
      <w:r w:rsidRPr="00FA2BF8" w:rsidR="00291A5B">
        <w:rPr>
          <w:rFonts w:ascii="Times New Roman" w:hAnsi="Times New Roman"/>
          <w:i/>
          <w:sz w:val="24"/>
          <w:szCs w:val="24"/>
        </w:rPr>
        <w:t>et seq.</w:t>
      </w:r>
      <w:r w:rsidRPr="00291A5B" w:rsidR="00291A5B">
        <w:rPr>
          <w:rFonts w:ascii="Times New Roman" w:hAnsi="Times New Roman"/>
          <w:sz w:val="24"/>
          <w:szCs w:val="24"/>
        </w:rPr>
        <w:t xml:space="preserve">), the Trade Secrets Act, as amended (18 U.S.C. </w:t>
      </w:r>
      <w:r w:rsidR="00A817DC">
        <w:rPr>
          <w:rFonts w:ascii="Times New Roman" w:hAnsi="Times New Roman"/>
          <w:sz w:val="24"/>
          <w:szCs w:val="24"/>
        </w:rPr>
        <w:t xml:space="preserve">§ </w:t>
      </w:r>
      <w:r w:rsidRPr="00291A5B" w:rsidR="00291A5B">
        <w:rPr>
          <w:rFonts w:ascii="Times New Roman" w:hAnsi="Times New Roman"/>
          <w:sz w:val="24"/>
          <w:szCs w:val="24"/>
        </w:rPr>
        <w:t xml:space="preserve">1905 </w:t>
      </w:r>
      <w:r w:rsidRPr="00FA2BF8" w:rsidR="00291A5B">
        <w:rPr>
          <w:rFonts w:ascii="Times New Roman" w:hAnsi="Times New Roman"/>
          <w:i/>
          <w:sz w:val="24"/>
          <w:szCs w:val="24"/>
        </w:rPr>
        <w:t>et seq.</w:t>
      </w:r>
      <w:r w:rsidRPr="00291A5B" w:rsidR="00291A5B">
        <w:rPr>
          <w:rFonts w:ascii="Times New Roman" w:hAnsi="Times New Roman"/>
          <w:sz w:val="24"/>
          <w:szCs w:val="24"/>
        </w:rPr>
        <w:t xml:space="preserve">), and the Economic Espionage Act of 1996, as amended (18 U.S.C. </w:t>
      </w:r>
      <w:r w:rsidR="004679CE">
        <w:rPr>
          <w:rFonts w:ascii="Times New Roman" w:hAnsi="Times New Roman"/>
          <w:sz w:val="24"/>
          <w:szCs w:val="24"/>
        </w:rPr>
        <w:t xml:space="preserve">§ </w:t>
      </w:r>
      <w:r w:rsidRPr="00291A5B" w:rsidR="00291A5B">
        <w:rPr>
          <w:rFonts w:ascii="Times New Roman" w:hAnsi="Times New Roman"/>
          <w:sz w:val="24"/>
          <w:szCs w:val="24"/>
        </w:rPr>
        <w:t xml:space="preserve">1831 </w:t>
      </w:r>
      <w:r w:rsidRPr="00FA2BF8" w:rsidR="00291A5B">
        <w:rPr>
          <w:rFonts w:ascii="Times New Roman" w:hAnsi="Times New Roman"/>
          <w:i/>
          <w:sz w:val="24"/>
          <w:szCs w:val="24"/>
        </w:rPr>
        <w:t>et seq.</w:t>
      </w:r>
      <w:r w:rsidRPr="00291A5B" w:rsidR="00291A5B">
        <w:rPr>
          <w:rFonts w:ascii="Times New Roman" w:hAnsi="Times New Roman"/>
          <w:sz w:val="24"/>
          <w:szCs w:val="24"/>
        </w:rPr>
        <w:t xml:space="preserve">).  </w:t>
      </w:r>
    </w:p>
    <w:p w:rsidR="000812E5" w:rsidP="00D26209" w:rsidRDefault="003D07AA" w14:paraId="7A5D20A9" w14:textId="2C3C4001">
      <w:pPr>
        <w:pStyle w:val="ColorfulList-Accent11"/>
        <w:numPr>
          <w:ilvl w:val="0"/>
          <w:numId w:val="2"/>
        </w:numPr>
        <w:spacing w:after="0"/>
        <w:rPr>
          <w:rFonts w:ascii="Times New Roman" w:hAnsi="Times New Roman"/>
          <w:b/>
          <w:sz w:val="24"/>
          <w:szCs w:val="24"/>
          <w:u w:val="single"/>
        </w:rPr>
      </w:pPr>
      <w:r w:rsidRPr="003D07AA">
        <w:rPr>
          <w:rFonts w:ascii="Times New Roman" w:hAnsi="Times New Roman"/>
          <w:b/>
          <w:sz w:val="24"/>
          <w:szCs w:val="24"/>
          <w:u w:val="single"/>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411F4" w:rsidR="00170358" w:rsidP="008B7A62" w:rsidRDefault="00170358" w14:paraId="61BAF53E" w14:textId="77777777">
      <w:pPr>
        <w:pStyle w:val="ColorfulList-Accent11"/>
        <w:spacing w:after="0"/>
        <w:ind w:left="0"/>
        <w:rPr>
          <w:rFonts w:ascii="Times New Roman" w:hAnsi="Times New Roman"/>
          <w:b/>
          <w:sz w:val="24"/>
          <w:szCs w:val="24"/>
          <w:u w:val="single"/>
        </w:rPr>
      </w:pPr>
    </w:p>
    <w:p w:rsidRPr="002411F4" w:rsidR="00253438" w:rsidP="008B7A62" w:rsidRDefault="00253438" w14:paraId="5C5F437B" w14:textId="3C610FD7">
      <w:pPr>
        <w:rPr>
          <w:rFonts w:ascii="Times New Roman" w:hAnsi="Times New Roman"/>
          <w:sz w:val="24"/>
          <w:szCs w:val="24"/>
        </w:rPr>
      </w:pPr>
      <w:r w:rsidRPr="002411F4">
        <w:rPr>
          <w:rFonts w:ascii="Times New Roman" w:hAnsi="Times New Roman"/>
          <w:sz w:val="24"/>
          <w:szCs w:val="24"/>
        </w:rPr>
        <w:t xml:space="preserve">The process </w:t>
      </w:r>
      <w:r w:rsidR="00170358">
        <w:rPr>
          <w:rFonts w:ascii="Times New Roman" w:hAnsi="Times New Roman"/>
          <w:sz w:val="24"/>
          <w:szCs w:val="24"/>
        </w:rPr>
        <w:t xml:space="preserve">of submitting </w:t>
      </w:r>
      <w:r w:rsidR="00B02C84">
        <w:rPr>
          <w:rFonts w:ascii="Times New Roman" w:hAnsi="Times New Roman"/>
          <w:sz w:val="24"/>
          <w:szCs w:val="24"/>
        </w:rPr>
        <w:t xml:space="preserve">the Closeout </w:t>
      </w:r>
      <w:r w:rsidR="00C74644">
        <w:rPr>
          <w:rFonts w:ascii="Times New Roman" w:hAnsi="Times New Roman"/>
          <w:sz w:val="24"/>
          <w:szCs w:val="24"/>
        </w:rPr>
        <w:t>Performance</w:t>
      </w:r>
      <w:r w:rsidR="00B02C84">
        <w:rPr>
          <w:rFonts w:ascii="Times New Roman" w:hAnsi="Times New Roman"/>
          <w:sz w:val="24"/>
          <w:szCs w:val="24"/>
        </w:rPr>
        <w:t xml:space="preserve"> Report</w:t>
      </w:r>
      <w:r w:rsidR="00170358">
        <w:rPr>
          <w:rFonts w:ascii="Times New Roman" w:hAnsi="Times New Roman"/>
          <w:sz w:val="24"/>
          <w:szCs w:val="24"/>
        </w:rPr>
        <w:t xml:space="preserve"> </w:t>
      </w:r>
      <w:r w:rsidRPr="002411F4">
        <w:rPr>
          <w:rFonts w:ascii="Times New Roman" w:hAnsi="Times New Roman"/>
          <w:sz w:val="24"/>
          <w:szCs w:val="24"/>
        </w:rPr>
        <w:t>will not contain any questions related to matters that are commonly considered sensitive or private.</w:t>
      </w:r>
    </w:p>
    <w:p w:rsidR="000812E5" w:rsidP="00D26209" w:rsidRDefault="000812E5" w14:paraId="4DACBE78" w14:textId="155E638A">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Provide an estimate in hours of the burden of the collection of information.</w:t>
      </w:r>
    </w:p>
    <w:p w:rsidRPr="002411F4" w:rsidR="00170358" w:rsidP="00170358" w:rsidRDefault="00170358" w14:paraId="7713D3F0" w14:textId="77777777">
      <w:pPr>
        <w:pStyle w:val="ColorfulList-Accent11"/>
        <w:spacing w:after="0"/>
        <w:ind w:left="0"/>
        <w:rPr>
          <w:rFonts w:ascii="Times New Roman" w:hAnsi="Times New Roman"/>
          <w:b/>
          <w:sz w:val="24"/>
          <w:szCs w:val="24"/>
          <w:u w:val="single"/>
        </w:rPr>
      </w:pPr>
    </w:p>
    <w:p w:rsidR="00285D4E" w:rsidP="00285D4E" w:rsidRDefault="00285D4E" w14:paraId="28365642" w14:textId="49932CD8">
      <w:pPr>
        <w:spacing w:after="240"/>
        <w:rPr>
          <w:rFonts w:ascii="Times New Roman" w:hAnsi="Times New Roman"/>
          <w:sz w:val="24"/>
          <w:szCs w:val="24"/>
        </w:rPr>
      </w:pPr>
      <w:r w:rsidRPr="00285D4E">
        <w:rPr>
          <w:rFonts w:ascii="Times New Roman" w:hAnsi="Times New Roman"/>
          <w:sz w:val="24"/>
          <w:szCs w:val="24"/>
        </w:rPr>
        <w:t xml:space="preserve">The </w:t>
      </w:r>
      <w:r>
        <w:rPr>
          <w:rFonts w:ascii="Times New Roman" w:hAnsi="Times New Roman"/>
          <w:sz w:val="24"/>
          <w:szCs w:val="24"/>
        </w:rPr>
        <w:t xml:space="preserve">Agencies estimate </w:t>
      </w:r>
      <w:r w:rsidRPr="00285D4E">
        <w:rPr>
          <w:rFonts w:ascii="Times New Roman" w:hAnsi="Times New Roman"/>
          <w:sz w:val="24"/>
          <w:szCs w:val="24"/>
        </w:rPr>
        <w:t xml:space="preserve">that the total annual respondent burden </w:t>
      </w:r>
      <w:r>
        <w:rPr>
          <w:rFonts w:ascii="Times New Roman" w:hAnsi="Times New Roman"/>
          <w:sz w:val="24"/>
          <w:szCs w:val="24"/>
        </w:rPr>
        <w:t>for the Closeout Performance Report</w:t>
      </w:r>
      <w:r w:rsidRPr="00285D4E">
        <w:rPr>
          <w:rFonts w:ascii="Times New Roman" w:hAnsi="Times New Roman"/>
          <w:sz w:val="24"/>
          <w:szCs w:val="24"/>
        </w:rPr>
        <w:t xml:space="preserve"> is </w:t>
      </w:r>
      <w:r>
        <w:rPr>
          <w:rFonts w:ascii="Times New Roman" w:hAnsi="Times New Roman"/>
          <w:sz w:val="24"/>
          <w:szCs w:val="24"/>
        </w:rPr>
        <w:t>2,160 hours</w:t>
      </w:r>
      <w:r w:rsidRPr="00285D4E">
        <w:rPr>
          <w:rFonts w:ascii="Times New Roman" w:hAnsi="Times New Roman"/>
          <w:sz w:val="24"/>
          <w:szCs w:val="24"/>
        </w:rPr>
        <w:t xml:space="preserve"> (</w:t>
      </w:r>
      <w:r>
        <w:rPr>
          <w:rFonts w:ascii="Times New Roman" w:hAnsi="Times New Roman"/>
          <w:sz w:val="24"/>
          <w:szCs w:val="24"/>
        </w:rPr>
        <w:t>60 hours per grantee for a total of 36 grantees</w:t>
      </w:r>
      <w:r w:rsidRPr="00285D4E">
        <w:rPr>
          <w:rFonts w:ascii="Times New Roman" w:hAnsi="Times New Roman"/>
          <w:sz w:val="24"/>
          <w:szCs w:val="24"/>
        </w:rPr>
        <w:t xml:space="preserve">). </w:t>
      </w:r>
    </w:p>
    <w:p w:rsidR="00285D4E" w:rsidP="00285D4E" w:rsidRDefault="00285D4E" w14:paraId="4797F91E" w14:textId="77777777">
      <w:pPr>
        <w:jc w:val="center"/>
        <w:rPr>
          <w:rFonts w:ascii="Arial" w:hAnsi="Arial" w:cs="Arial"/>
          <w:b/>
          <w:bCs/>
        </w:rPr>
      </w:pPr>
      <w:r>
        <w:rPr>
          <w:rFonts w:ascii="Arial" w:hAnsi="Arial" w:cs="Arial"/>
          <w:b/>
          <w:bCs/>
        </w:rPr>
        <w:t>Estimated Annualized Respondent Burden Hours</w:t>
      </w:r>
    </w:p>
    <w:tbl>
      <w:tblPr>
        <w:tblW w:w="5000" w:type="pct"/>
        <w:tblCellMar>
          <w:left w:w="0" w:type="dxa"/>
          <w:right w:w="0" w:type="dxa"/>
        </w:tblCellMar>
        <w:tblLook w:val="04A0" w:firstRow="1" w:lastRow="0" w:firstColumn="1" w:lastColumn="0" w:noHBand="0" w:noVBand="1"/>
      </w:tblPr>
      <w:tblGrid>
        <w:gridCol w:w="1375"/>
        <w:gridCol w:w="1639"/>
        <w:gridCol w:w="1404"/>
        <w:gridCol w:w="1328"/>
        <w:gridCol w:w="1180"/>
        <w:gridCol w:w="1243"/>
        <w:gridCol w:w="1171"/>
      </w:tblGrid>
      <w:tr w:rsidR="00285D4E" w:rsidTr="00285D4E" w14:paraId="5CD5A606" w14:textId="77777777">
        <w:trPr>
          <w:trHeight w:val="736"/>
        </w:trPr>
        <w:tc>
          <w:tcPr>
            <w:tcW w:w="625" w:type="pct"/>
            <w:tcBorders>
              <w:top w:val="single" w:color="auto" w:sz="8" w:space="0"/>
              <w:left w:val="single" w:color="auto" w:sz="8" w:space="0"/>
              <w:bottom w:val="single" w:color="auto" w:sz="8" w:space="0"/>
              <w:right w:val="single" w:color="000000" w:sz="8" w:space="0"/>
            </w:tcBorders>
            <w:shd w:val="clear" w:color="auto" w:fill="BDD7EE"/>
            <w:tcMar>
              <w:top w:w="0" w:type="dxa"/>
              <w:left w:w="108" w:type="dxa"/>
              <w:bottom w:w="0" w:type="dxa"/>
              <w:right w:w="108" w:type="dxa"/>
            </w:tcMar>
            <w:vAlign w:val="center"/>
            <w:hideMark/>
          </w:tcPr>
          <w:p w:rsidR="00285D4E" w:rsidRDefault="00285D4E" w14:paraId="2C3CD741" w14:textId="1B214930">
            <w:pPr>
              <w:jc w:val="center"/>
              <w:rPr>
                <w:rFonts w:ascii="Times New Roman" w:hAnsi="Times New Roman"/>
                <w:b/>
                <w:bCs/>
                <w:color w:val="000000"/>
              </w:rPr>
            </w:pPr>
            <w:r>
              <w:rPr>
                <w:b/>
                <w:bCs/>
                <w:color w:val="000000"/>
              </w:rPr>
              <w:t>Information Collection Instrument</w:t>
            </w:r>
            <w:r w:rsidR="00C721C1">
              <w:rPr>
                <w:b/>
                <w:bCs/>
                <w:color w:val="000000"/>
              </w:rPr>
              <w:t xml:space="preserve"> and OMB Number</w:t>
            </w:r>
          </w:p>
        </w:tc>
        <w:tc>
          <w:tcPr>
            <w:tcW w:w="917" w:type="pct"/>
            <w:tcBorders>
              <w:top w:val="single" w:color="auto" w:sz="8" w:space="0"/>
              <w:left w:val="nil"/>
              <w:bottom w:val="single" w:color="auto" w:sz="8" w:space="0"/>
              <w:right w:val="single" w:color="000000" w:sz="8" w:space="0"/>
            </w:tcBorders>
            <w:shd w:val="clear" w:color="auto" w:fill="BDD7EE"/>
            <w:tcMar>
              <w:top w:w="0" w:type="dxa"/>
              <w:left w:w="108" w:type="dxa"/>
              <w:bottom w:w="0" w:type="dxa"/>
              <w:right w:w="108" w:type="dxa"/>
            </w:tcMar>
            <w:vAlign w:val="center"/>
            <w:hideMark/>
          </w:tcPr>
          <w:p w:rsidR="00285D4E" w:rsidRDefault="00285D4E" w14:paraId="351AACE9" w14:textId="77777777">
            <w:pPr>
              <w:jc w:val="center"/>
              <w:rPr>
                <w:rFonts w:cs="Calibri"/>
                <w:b/>
                <w:bCs/>
                <w:color w:val="000000"/>
              </w:rPr>
            </w:pPr>
            <w:r>
              <w:rPr>
                <w:b/>
                <w:bCs/>
                <w:color w:val="000000"/>
              </w:rPr>
              <w:t>Type of Respondent (e.g., Occupational Title)</w:t>
            </w:r>
          </w:p>
        </w:tc>
        <w:tc>
          <w:tcPr>
            <w:tcW w:w="667" w:type="pct"/>
            <w:tcBorders>
              <w:top w:val="single" w:color="auto" w:sz="8" w:space="0"/>
              <w:left w:val="nil"/>
              <w:bottom w:val="single" w:color="auto" w:sz="8" w:space="0"/>
              <w:right w:val="single" w:color="000000" w:sz="8" w:space="0"/>
            </w:tcBorders>
            <w:shd w:val="clear" w:color="auto" w:fill="BDD7EE"/>
            <w:tcMar>
              <w:top w:w="0" w:type="dxa"/>
              <w:left w:w="108" w:type="dxa"/>
              <w:bottom w:w="0" w:type="dxa"/>
              <w:right w:w="108" w:type="dxa"/>
            </w:tcMar>
            <w:vAlign w:val="center"/>
            <w:hideMark/>
          </w:tcPr>
          <w:p w:rsidR="00285D4E" w:rsidRDefault="00285D4E" w14:paraId="5B682762" w14:textId="77777777">
            <w:pPr>
              <w:jc w:val="center"/>
              <w:rPr>
                <w:b/>
                <w:bCs/>
                <w:color w:val="000000"/>
              </w:rPr>
            </w:pPr>
            <w:r>
              <w:rPr>
                <w:b/>
                <w:bCs/>
                <w:color w:val="000000"/>
              </w:rPr>
              <w:t># of Respondents (a)</w:t>
            </w:r>
          </w:p>
        </w:tc>
        <w:tc>
          <w:tcPr>
            <w:tcW w:w="750" w:type="pct"/>
            <w:tcBorders>
              <w:top w:val="single" w:color="auto" w:sz="8" w:space="0"/>
              <w:left w:val="nil"/>
              <w:bottom w:val="single" w:color="auto" w:sz="8" w:space="0"/>
              <w:right w:val="single" w:color="auto" w:sz="8" w:space="0"/>
            </w:tcBorders>
            <w:shd w:val="clear" w:color="auto" w:fill="BDD7EE"/>
            <w:tcMar>
              <w:top w:w="0" w:type="dxa"/>
              <w:left w:w="108" w:type="dxa"/>
              <w:bottom w:w="0" w:type="dxa"/>
              <w:right w:w="108" w:type="dxa"/>
            </w:tcMar>
            <w:vAlign w:val="center"/>
            <w:hideMark/>
          </w:tcPr>
          <w:p w:rsidR="00285D4E" w:rsidRDefault="00285D4E" w14:paraId="45BBB20B" w14:textId="77777777">
            <w:pPr>
              <w:jc w:val="center"/>
              <w:rPr>
                <w:b/>
                <w:bCs/>
                <w:color w:val="000000"/>
              </w:rPr>
            </w:pPr>
            <w:r>
              <w:rPr>
                <w:b/>
                <w:bCs/>
                <w:color w:val="000000"/>
              </w:rPr>
              <w:t>Annual # of Responses/ Respondent (b)</w:t>
            </w:r>
          </w:p>
        </w:tc>
        <w:tc>
          <w:tcPr>
            <w:tcW w:w="667" w:type="pct"/>
            <w:tcBorders>
              <w:top w:val="single" w:color="auto" w:sz="8" w:space="0"/>
              <w:left w:val="nil"/>
              <w:bottom w:val="single" w:color="auto" w:sz="8" w:space="0"/>
              <w:right w:val="single" w:color="auto" w:sz="8" w:space="0"/>
            </w:tcBorders>
            <w:shd w:val="clear" w:color="auto" w:fill="BDD7EE"/>
            <w:tcMar>
              <w:top w:w="0" w:type="dxa"/>
              <w:left w:w="108" w:type="dxa"/>
              <w:bottom w:w="0" w:type="dxa"/>
              <w:right w:w="108" w:type="dxa"/>
            </w:tcMar>
            <w:vAlign w:val="center"/>
            <w:hideMark/>
          </w:tcPr>
          <w:p w:rsidR="00285D4E" w:rsidRDefault="00285D4E" w14:paraId="4CAA28DC" w14:textId="77777777">
            <w:pPr>
              <w:jc w:val="center"/>
              <w:rPr>
                <w:b/>
                <w:bCs/>
                <w:color w:val="000000"/>
              </w:rPr>
            </w:pPr>
            <w:r>
              <w:rPr>
                <w:b/>
                <w:bCs/>
                <w:color w:val="000000"/>
              </w:rPr>
              <w:t xml:space="preserve">Total # of Annual Responses </w:t>
            </w:r>
          </w:p>
          <w:p w:rsidR="00285D4E" w:rsidRDefault="00285D4E" w14:paraId="36EE6A19" w14:textId="77777777">
            <w:pPr>
              <w:jc w:val="center"/>
              <w:rPr>
                <w:b/>
                <w:bCs/>
                <w:color w:val="000000"/>
              </w:rPr>
            </w:pPr>
            <w:r>
              <w:rPr>
                <w:b/>
                <w:bCs/>
                <w:color w:val="000000"/>
              </w:rPr>
              <w:t>(c) = (a) x (b)</w:t>
            </w:r>
          </w:p>
        </w:tc>
        <w:tc>
          <w:tcPr>
            <w:tcW w:w="708" w:type="pct"/>
            <w:tcBorders>
              <w:top w:val="single" w:color="auto" w:sz="8" w:space="0"/>
              <w:left w:val="nil"/>
              <w:bottom w:val="single" w:color="auto" w:sz="8" w:space="0"/>
              <w:right w:val="single" w:color="auto" w:sz="8" w:space="0"/>
            </w:tcBorders>
            <w:shd w:val="clear" w:color="auto" w:fill="BDD7EE"/>
            <w:tcMar>
              <w:top w:w="0" w:type="dxa"/>
              <w:left w:w="108" w:type="dxa"/>
              <w:bottom w:w="0" w:type="dxa"/>
              <w:right w:w="108" w:type="dxa"/>
            </w:tcMar>
            <w:vAlign w:val="center"/>
            <w:hideMark/>
          </w:tcPr>
          <w:p w:rsidR="00285D4E" w:rsidRDefault="00285D4E" w14:paraId="73690351" w14:textId="77777777">
            <w:pPr>
              <w:jc w:val="center"/>
              <w:rPr>
                <w:b/>
                <w:bCs/>
                <w:color w:val="000000"/>
              </w:rPr>
            </w:pPr>
            <w:r>
              <w:rPr>
                <w:b/>
                <w:bCs/>
                <w:color w:val="000000"/>
              </w:rPr>
              <w:t>Burden Hours/</w:t>
            </w:r>
          </w:p>
          <w:p w:rsidR="00285D4E" w:rsidRDefault="00285D4E" w14:paraId="1EB12A25" w14:textId="77777777">
            <w:pPr>
              <w:jc w:val="center"/>
              <w:rPr>
                <w:b/>
                <w:bCs/>
                <w:color w:val="000000"/>
              </w:rPr>
            </w:pPr>
            <w:r>
              <w:rPr>
                <w:b/>
                <w:bCs/>
                <w:color w:val="000000"/>
              </w:rPr>
              <w:t>Response (d)</w:t>
            </w:r>
          </w:p>
        </w:tc>
        <w:tc>
          <w:tcPr>
            <w:tcW w:w="667" w:type="pct"/>
            <w:tcBorders>
              <w:top w:val="single" w:color="auto" w:sz="8" w:space="0"/>
              <w:left w:val="nil"/>
              <w:bottom w:val="single" w:color="auto" w:sz="8" w:space="0"/>
              <w:right w:val="single" w:color="auto" w:sz="8" w:space="0"/>
            </w:tcBorders>
            <w:shd w:val="clear" w:color="auto" w:fill="BDD7EE"/>
            <w:tcMar>
              <w:top w:w="0" w:type="dxa"/>
              <w:left w:w="108" w:type="dxa"/>
              <w:bottom w:w="0" w:type="dxa"/>
              <w:right w:w="108" w:type="dxa"/>
            </w:tcMar>
            <w:vAlign w:val="center"/>
            <w:hideMark/>
          </w:tcPr>
          <w:p w:rsidR="00285D4E" w:rsidRDefault="00285D4E" w14:paraId="0DAAA0B1" w14:textId="77777777">
            <w:pPr>
              <w:jc w:val="center"/>
              <w:rPr>
                <w:b/>
                <w:bCs/>
                <w:color w:val="000000"/>
              </w:rPr>
            </w:pPr>
            <w:r>
              <w:rPr>
                <w:b/>
                <w:bCs/>
                <w:color w:val="000000"/>
              </w:rPr>
              <w:t>Total Annual Burden Hours</w:t>
            </w:r>
          </w:p>
          <w:p w:rsidR="00285D4E" w:rsidRDefault="00285D4E" w14:paraId="65E35235" w14:textId="77777777">
            <w:pPr>
              <w:jc w:val="center"/>
              <w:rPr>
                <w:b/>
                <w:bCs/>
                <w:color w:val="000000"/>
              </w:rPr>
            </w:pPr>
            <w:r>
              <w:rPr>
                <w:b/>
                <w:bCs/>
                <w:color w:val="000000"/>
              </w:rPr>
              <w:t>(e) = (c) x (d)</w:t>
            </w:r>
          </w:p>
        </w:tc>
      </w:tr>
      <w:tr w:rsidR="00285D4E" w:rsidTr="00285D4E" w14:paraId="5612B13B" w14:textId="77777777">
        <w:trPr>
          <w:trHeight w:val="289"/>
        </w:trPr>
        <w:tc>
          <w:tcPr>
            <w:tcW w:w="625"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85D4E" w:rsidRDefault="00C721C1" w14:paraId="0B4F2E2B" w14:textId="6B199733">
            <w:pPr>
              <w:jc w:val="center"/>
              <w:rPr>
                <w:color w:val="000000"/>
              </w:rPr>
            </w:pPr>
            <w:r>
              <w:t>Closeout Performance Report</w:t>
            </w:r>
          </w:p>
        </w:tc>
        <w:tc>
          <w:tcPr>
            <w:tcW w:w="917" w:type="pct"/>
            <w:tcBorders>
              <w:top w:val="nil"/>
              <w:left w:val="nil"/>
              <w:bottom w:val="single" w:color="auto" w:sz="8" w:space="0"/>
              <w:right w:val="single" w:color="auto" w:sz="8" w:space="0"/>
            </w:tcBorders>
            <w:tcMar>
              <w:top w:w="0" w:type="dxa"/>
              <w:left w:w="108" w:type="dxa"/>
              <w:bottom w:w="0" w:type="dxa"/>
              <w:right w:w="108" w:type="dxa"/>
            </w:tcMar>
            <w:hideMark/>
          </w:tcPr>
          <w:p w:rsidR="00285D4E" w:rsidRDefault="00285D4E" w14:paraId="77AAD001" w14:textId="5A278AF0">
            <w:pPr>
              <w:jc w:val="center"/>
              <w:rPr>
                <w:color w:val="000000"/>
              </w:rPr>
            </w:pPr>
            <w:r>
              <w:t>Administrative Services Manager</w:t>
            </w:r>
          </w:p>
        </w:tc>
        <w:tc>
          <w:tcPr>
            <w:tcW w:w="667" w:type="pct"/>
            <w:tcBorders>
              <w:top w:val="nil"/>
              <w:left w:val="nil"/>
              <w:bottom w:val="single" w:color="auto" w:sz="8" w:space="0"/>
              <w:right w:val="single" w:color="auto" w:sz="8" w:space="0"/>
            </w:tcBorders>
            <w:tcMar>
              <w:top w:w="0" w:type="dxa"/>
              <w:left w:w="108" w:type="dxa"/>
              <w:bottom w:w="0" w:type="dxa"/>
              <w:right w:w="108" w:type="dxa"/>
            </w:tcMar>
            <w:hideMark/>
          </w:tcPr>
          <w:p w:rsidR="00285D4E" w:rsidRDefault="00285D4E" w14:paraId="6EFAB2E4" w14:textId="79B48A22">
            <w:pPr>
              <w:jc w:val="center"/>
              <w:rPr>
                <w:color w:val="000000"/>
              </w:rPr>
            </w:pPr>
            <w:r>
              <w:t>36</w:t>
            </w:r>
          </w:p>
        </w:tc>
        <w:tc>
          <w:tcPr>
            <w:tcW w:w="750" w:type="pct"/>
            <w:tcBorders>
              <w:top w:val="nil"/>
              <w:left w:val="nil"/>
              <w:bottom w:val="single" w:color="auto" w:sz="8" w:space="0"/>
              <w:right w:val="single" w:color="auto" w:sz="8" w:space="0"/>
            </w:tcBorders>
            <w:tcMar>
              <w:top w:w="0" w:type="dxa"/>
              <w:left w:w="108" w:type="dxa"/>
              <w:bottom w:w="0" w:type="dxa"/>
              <w:right w:w="108" w:type="dxa"/>
            </w:tcMar>
            <w:hideMark/>
          </w:tcPr>
          <w:p w:rsidR="00285D4E" w:rsidRDefault="00285D4E" w14:paraId="22ADD0D6" w14:textId="77777777">
            <w:pPr>
              <w:jc w:val="center"/>
              <w:rPr>
                <w:color w:val="000000"/>
              </w:rPr>
            </w:pPr>
            <w:r>
              <w:t>1</w:t>
            </w:r>
          </w:p>
        </w:tc>
        <w:tc>
          <w:tcPr>
            <w:tcW w:w="667" w:type="pct"/>
            <w:tcBorders>
              <w:top w:val="nil"/>
              <w:left w:val="nil"/>
              <w:bottom w:val="single" w:color="auto" w:sz="8" w:space="0"/>
              <w:right w:val="single" w:color="auto" w:sz="8" w:space="0"/>
            </w:tcBorders>
            <w:tcMar>
              <w:top w:w="0" w:type="dxa"/>
              <w:left w:w="108" w:type="dxa"/>
              <w:bottom w:w="0" w:type="dxa"/>
              <w:right w:w="108" w:type="dxa"/>
            </w:tcMar>
            <w:hideMark/>
          </w:tcPr>
          <w:p w:rsidR="00285D4E" w:rsidRDefault="00285D4E" w14:paraId="01316CE6" w14:textId="79E4CEB9">
            <w:pPr>
              <w:jc w:val="center"/>
              <w:rPr>
                <w:color w:val="000000"/>
              </w:rPr>
            </w:pPr>
            <w:r>
              <w:t>36</w:t>
            </w:r>
          </w:p>
        </w:tc>
        <w:tc>
          <w:tcPr>
            <w:tcW w:w="708" w:type="pct"/>
            <w:tcBorders>
              <w:top w:val="nil"/>
              <w:left w:val="nil"/>
              <w:bottom w:val="single" w:color="auto" w:sz="8" w:space="0"/>
              <w:right w:val="single" w:color="auto" w:sz="8" w:space="0"/>
            </w:tcBorders>
            <w:tcMar>
              <w:top w:w="0" w:type="dxa"/>
              <w:left w:w="108" w:type="dxa"/>
              <w:bottom w:w="0" w:type="dxa"/>
              <w:right w:w="108" w:type="dxa"/>
            </w:tcMar>
            <w:hideMark/>
          </w:tcPr>
          <w:p w:rsidR="00285D4E" w:rsidRDefault="00285D4E" w14:paraId="602B6E26" w14:textId="7C23DAE8">
            <w:pPr>
              <w:jc w:val="center"/>
              <w:rPr>
                <w:color w:val="000000"/>
              </w:rPr>
            </w:pPr>
            <w:r>
              <w:t>60</w:t>
            </w:r>
          </w:p>
        </w:tc>
        <w:tc>
          <w:tcPr>
            <w:tcW w:w="667" w:type="pct"/>
            <w:tcBorders>
              <w:top w:val="nil"/>
              <w:left w:val="nil"/>
              <w:bottom w:val="single" w:color="auto" w:sz="8" w:space="0"/>
              <w:right w:val="single" w:color="auto" w:sz="8" w:space="0"/>
            </w:tcBorders>
            <w:tcMar>
              <w:top w:w="0" w:type="dxa"/>
              <w:left w:w="108" w:type="dxa"/>
              <w:bottom w:w="0" w:type="dxa"/>
              <w:right w:w="108" w:type="dxa"/>
            </w:tcMar>
            <w:hideMark/>
          </w:tcPr>
          <w:p w:rsidR="00285D4E" w:rsidRDefault="00285D4E" w14:paraId="7D2D834A" w14:textId="31D61C99">
            <w:pPr>
              <w:jc w:val="center"/>
              <w:rPr>
                <w:color w:val="000000"/>
              </w:rPr>
            </w:pPr>
            <w:r>
              <w:t>2,160</w:t>
            </w:r>
          </w:p>
        </w:tc>
      </w:tr>
    </w:tbl>
    <w:p w:rsidR="00285D4E" w:rsidP="00285D4E" w:rsidRDefault="00285D4E" w14:paraId="26260E4F" w14:textId="77777777">
      <w:pPr>
        <w:rPr>
          <w:rFonts w:cs="Calibri" w:eastAsiaTheme="minorHAnsi"/>
          <w:color w:val="000000"/>
        </w:rPr>
      </w:pPr>
    </w:p>
    <w:p w:rsidRPr="002411F4" w:rsidR="00F81C9D" w:rsidP="00170358" w:rsidRDefault="00F81C9D" w14:paraId="4EB68FEE" w14:textId="622B356A">
      <w:pPr>
        <w:rPr>
          <w:rFonts w:ascii="Times New Roman" w:hAnsi="Times New Roman"/>
          <w:sz w:val="24"/>
          <w:szCs w:val="24"/>
        </w:rPr>
      </w:pPr>
      <w:r w:rsidRPr="002411F4">
        <w:rPr>
          <w:rFonts w:ascii="Times New Roman" w:hAnsi="Times New Roman"/>
          <w:sz w:val="24"/>
          <w:szCs w:val="24"/>
        </w:rPr>
        <w:t xml:space="preserve">The Agencies estimate that responses to the questions included in the proposed regulations would require an average of </w:t>
      </w:r>
      <w:r w:rsidR="00DF58ED">
        <w:rPr>
          <w:rFonts w:ascii="Times New Roman" w:hAnsi="Times New Roman"/>
          <w:sz w:val="24"/>
          <w:szCs w:val="24"/>
        </w:rPr>
        <w:t>6</w:t>
      </w:r>
      <w:r w:rsidR="00170358">
        <w:rPr>
          <w:rFonts w:ascii="Times New Roman" w:hAnsi="Times New Roman"/>
          <w:sz w:val="24"/>
          <w:szCs w:val="24"/>
        </w:rPr>
        <w:t>0</w:t>
      </w:r>
      <w:r w:rsidRPr="002411F4">
        <w:rPr>
          <w:rFonts w:ascii="Times New Roman" w:hAnsi="Times New Roman"/>
          <w:sz w:val="24"/>
          <w:szCs w:val="24"/>
        </w:rPr>
        <w:t xml:space="preserve"> hours to complete</w:t>
      </w:r>
      <w:r w:rsidR="00470379">
        <w:rPr>
          <w:rFonts w:ascii="Times New Roman" w:hAnsi="Times New Roman"/>
          <w:sz w:val="24"/>
          <w:szCs w:val="24"/>
        </w:rPr>
        <w:t xml:space="preserve"> (</w:t>
      </w:r>
      <w:r w:rsidR="00B02C84">
        <w:rPr>
          <w:rFonts w:ascii="Times New Roman" w:hAnsi="Times New Roman"/>
          <w:sz w:val="24"/>
          <w:szCs w:val="24"/>
        </w:rPr>
        <w:t xml:space="preserve">Closeout </w:t>
      </w:r>
      <w:r w:rsidR="00C74644">
        <w:rPr>
          <w:rFonts w:ascii="Times New Roman" w:hAnsi="Times New Roman"/>
          <w:sz w:val="24"/>
          <w:szCs w:val="24"/>
        </w:rPr>
        <w:t>Performance</w:t>
      </w:r>
      <w:r w:rsidR="00B02C84">
        <w:rPr>
          <w:rFonts w:ascii="Times New Roman" w:hAnsi="Times New Roman"/>
          <w:sz w:val="24"/>
          <w:szCs w:val="24"/>
        </w:rPr>
        <w:t xml:space="preserve"> Report </w:t>
      </w:r>
      <w:r w:rsidR="00470379">
        <w:rPr>
          <w:rFonts w:ascii="Times New Roman" w:hAnsi="Times New Roman"/>
          <w:sz w:val="24"/>
          <w:szCs w:val="24"/>
        </w:rPr>
        <w:t>-</w:t>
      </w:r>
      <w:r w:rsidR="00DB5521">
        <w:rPr>
          <w:rFonts w:ascii="Times New Roman" w:hAnsi="Times New Roman"/>
          <w:sz w:val="24"/>
          <w:szCs w:val="24"/>
        </w:rPr>
        <w:t xml:space="preserve"> </w:t>
      </w:r>
      <w:r w:rsidR="00DF58ED">
        <w:rPr>
          <w:rFonts w:ascii="Times New Roman" w:hAnsi="Times New Roman"/>
          <w:sz w:val="24"/>
          <w:szCs w:val="24"/>
        </w:rPr>
        <w:t>6</w:t>
      </w:r>
      <w:r w:rsidR="00470379">
        <w:rPr>
          <w:rFonts w:ascii="Times New Roman" w:hAnsi="Times New Roman"/>
          <w:sz w:val="24"/>
          <w:szCs w:val="24"/>
        </w:rPr>
        <w:t xml:space="preserve">0 hours).  </w:t>
      </w:r>
      <w:r w:rsidRPr="002411F4">
        <w:rPr>
          <w:rFonts w:ascii="Times New Roman" w:hAnsi="Times New Roman"/>
          <w:sz w:val="24"/>
          <w:szCs w:val="24"/>
        </w:rPr>
        <w:t xml:space="preserve">Estimating the maximum number of respondents at </w:t>
      </w:r>
      <w:r w:rsidR="00170358">
        <w:rPr>
          <w:rFonts w:ascii="Times New Roman" w:hAnsi="Times New Roman"/>
          <w:sz w:val="24"/>
          <w:szCs w:val="24"/>
        </w:rPr>
        <w:t>36</w:t>
      </w:r>
      <w:r w:rsidRPr="002411F4">
        <w:rPr>
          <w:rFonts w:ascii="Times New Roman" w:hAnsi="Times New Roman"/>
          <w:sz w:val="24"/>
          <w:szCs w:val="24"/>
        </w:rPr>
        <w:t xml:space="preserve">, this would result in a total burden of </w:t>
      </w:r>
      <w:r w:rsidR="00B02C84">
        <w:rPr>
          <w:rFonts w:ascii="Times New Roman" w:hAnsi="Times New Roman"/>
          <w:sz w:val="24"/>
          <w:szCs w:val="24"/>
        </w:rPr>
        <w:t>2,</w:t>
      </w:r>
      <w:r w:rsidR="00DF58ED">
        <w:rPr>
          <w:rFonts w:ascii="Times New Roman" w:hAnsi="Times New Roman"/>
          <w:sz w:val="24"/>
          <w:szCs w:val="24"/>
        </w:rPr>
        <w:t xml:space="preserve">160 </w:t>
      </w:r>
      <w:r w:rsidRPr="002411F4">
        <w:rPr>
          <w:rFonts w:ascii="Times New Roman" w:hAnsi="Times New Roman"/>
          <w:sz w:val="24"/>
          <w:szCs w:val="24"/>
        </w:rPr>
        <w:t>hours.</w:t>
      </w:r>
    </w:p>
    <w:p w:rsidRPr="002411F4" w:rsidR="00D21698" w:rsidP="00D21698" w:rsidRDefault="00F81C9D" w14:paraId="4CBC6D1C" w14:textId="77777777">
      <w:pPr>
        <w:ind w:left="360"/>
        <w:rPr>
          <w:rFonts w:ascii="Times New Roman" w:hAnsi="Times New Roman"/>
          <w:sz w:val="24"/>
          <w:szCs w:val="24"/>
        </w:rPr>
      </w:pPr>
      <w:r w:rsidRPr="002411F4">
        <w:rPr>
          <w:rFonts w:ascii="Times New Roman" w:hAnsi="Times New Roman"/>
          <w:sz w:val="24"/>
          <w:szCs w:val="24"/>
        </w:rPr>
        <w:lastRenderedPageBreak/>
        <w:t>The total estimated costs to respondents or record-keepers are based on the following:</w:t>
      </w:r>
    </w:p>
    <w:p w:rsidRPr="002411F4" w:rsidR="00D21698" w:rsidP="00D21698" w:rsidRDefault="00F81C9D" w14:paraId="73B2A83B" w14:textId="2E70B43D">
      <w:pPr>
        <w:numPr>
          <w:ilvl w:val="0"/>
          <w:numId w:val="13"/>
        </w:numPr>
        <w:rPr>
          <w:rFonts w:ascii="Times New Roman" w:hAnsi="Times New Roman"/>
          <w:sz w:val="24"/>
          <w:szCs w:val="24"/>
        </w:rPr>
      </w:pPr>
      <w:r w:rsidRPr="002411F4">
        <w:rPr>
          <w:rFonts w:ascii="Times New Roman" w:hAnsi="Times New Roman"/>
          <w:sz w:val="24"/>
          <w:szCs w:val="24"/>
        </w:rPr>
        <w:t xml:space="preserve">The total hour burden of the collection of information equaling </w:t>
      </w:r>
      <w:r w:rsidR="00DF58ED">
        <w:rPr>
          <w:rFonts w:ascii="Times New Roman" w:hAnsi="Times New Roman"/>
          <w:sz w:val="24"/>
          <w:szCs w:val="24"/>
        </w:rPr>
        <w:t>2,160</w:t>
      </w:r>
      <w:r w:rsidRPr="002411F4" w:rsidR="00B02C84">
        <w:rPr>
          <w:rFonts w:ascii="Times New Roman" w:hAnsi="Times New Roman"/>
          <w:sz w:val="24"/>
          <w:szCs w:val="24"/>
        </w:rPr>
        <w:t xml:space="preserve"> </w:t>
      </w:r>
      <w:r w:rsidRPr="002411F4">
        <w:rPr>
          <w:rFonts w:ascii="Times New Roman" w:hAnsi="Times New Roman"/>
          <w:sz w:val="24"/>
          <w:szCs w:val="24"/>
        </w:rPr>
        <w:t>hours</w:t>
      </w:r>
      <w:r w:rsidR="002D1BD0">
        <w:rPr>
          <w:rFonts w:ascii="Times New Roman" w:hAnsi="Times New Roman"/>
          <w:sz w:val="24"/>
          <w:szCs w:val="24"/>
        </w:rPr>
        <w:t>.</w:t>
      </w:r>
      <w:r w:rsidR="00DB5521">
        <w:rPr>
          <w:rFonts w:ascii="Times New Roman" w:hAnsi="Times New Roman"/>
          <w:sz w:val="24"/>
          <w:szCs w:val="24"/>
        </w:rPr>
        <w:t xml:space="preserve"> </w:t>
      </w:r>
    </w:p>
    <w:p w:rsidRPr="005A7882" w:rsidR="00D21698" w:rsidP="00D21698" w:rsidRDefault="00F81C9D" w14:paraId="27ECD034" w14:textId="1FEA7502">
      <w:pPr>
        <w:numPr>
          <w:ilvl w:val="0"/>
          <w:numId w:val="13"/>
        </w:numPr>
        <w:rPr>
          <w:rFonts w:ascii="Times New Roman" w:hAnsi="Times New Roman"/>
          <w:sz w:val="24"/>
          <w:szCs w:val="24"/>
        </w:rPr>
      </w:pPr>
      <w:r w:rsidRPr="002411F4">
        <w:rPr>
          <w:rFonts w:ascii="Times New Roman" w:hAnsi="Times New Roman"/>
          <w:sz w:val="24"/>
          <w:szCs w:val="24"/>
        </w:rPr>
        <w:t>Respondents will be State</w:t>
      </w:r>
      <w:r w:rsidRPr="002411F4" w:rsidR="00D21698">
        <w:rPr>
          <w:rFonts w:ascii="Times New Roman" w:hAnsi="Times New Roman"/>
          <w:sz w:val="24"/>
          <w:szCs w:val="24"/>
        </w:rPr>
        <w:t>, territor</w:t>
      </w:r>
      <w:r w:rsidRPr="002411F4" w:rsidR="00E55F69">
        <w:rPr>
          <w:rFonts w:ascii="Times New Roman" w:hAnsi="Times New Roman"/>
          <w:sz w:val="24"/>
          <w:szCs w:val="24"/>
        </w:rPr>
        <w:t>y</w:t>
      </w:r>
      <w:r w:rsidRPr="002411F4" w:rsidR="00D21698">
        <w:rPr>
          <w:rFonts w:ascii="Times New Roman" w:hAnsi="Times New Roman"/>
          <w:sz w:val="24"/>
          <w:szCs w:val="24"/>
        </w:rPr>
        <w:t>, and tribal government management person</w:t>
      </w:r>
      <w:r w:rsidRPr="002411F4" w:rsidR="00211FA9">
        <w:rPr>
          <w:rFonts w:ascii="Times New Roman" w:hAnsi="Times New Roman"/>
          <w:sz w:val="24"/>
          <w:szCs w:val="24"/>
        </w:rPr>
        <w:t>n</w:t>
      </w:r>
      <w:r w:rsidRPr="002411F4" w:rsidR="00D21698">
        <w:rPr>
          <w:rFonts w:ascii="Times New Roman" w:hAnsi="Times New Roman"/>
          <w:sz w:val="24"/>
          <w:szCs w:val="24"/>
        </w:rPr>
        <w:t>el</w:t>
      </w:r>
      <w:r w:rsidRPr="002411F4" w:rsidR="00211FA9">
        <w:rPr>
          <w:rFonts w:ascii="Times New Roman" w:hAnsi="Times New Roman"/>
          <w:sz w:val="24"/>
          <w:szCs w:val="24"/>
        </w:rPr>
        <w:t xml:space="preserve">. </w:t>
      </w:r>
      <w:r w:rsidR="00A817DC">
        <w:rPr>
          <w:rFonts w:ascii="Times New Roman" w:hAnsi="Times New Roman"/>
          <w:sz w:val="24"/>
          <w:szCs w:val="24"/>
        </w:rPr>
        <w:t xml:space="preserve"> </w:t>
      </w:r>
      <w:r w:rsidRPr="002411F4" w:rsidR="00E55F69">
        <w:rPr>
          <w:rFonts w:ascii="Times New Roman" w:hAnsi="Times New Roman"/>
          <w:sz w:val="24"/>
          <w:szCs w:val="24"/>
        </w:rPr>
        <w:t>To estimate reasonable staff expenses to respond to this information collection, the Agencies reviewed the Bureau of Labor Statistics (BLS) Occupational Outlook Handbook and determined that the Administrative Services Manager description closely aligns with the positions of recipient staff responsible for completing this request</w:t>
      </w:r>
      <w:r w:rsidRPr="005A7882" w:rsidR="00E55F69">
        <w:rPr>
          <w:rFonts w:ascii="Times New Roman" w:hAnsi="Times New Roman"/>
          <w:sz w:val="24"/>
          <w:szCs w:val="24"/>
        </w:rPr>
        <w:t xml:space="preserve">. </w:t>
      </w:r>
      <w:r w:rsidRPr="005A7882" w:rsidR="00A817DC">
        <w:rPr>
          <w:rFonts w:ascii="Times New Roman" w:hAnsi="Times New Roman"/>
          <w:sz w:val="24"/>
          <w:szCs w:val="24"/>
        </w:rPr>
        <w:t xml:space="preserve"> </w:t>
      </w:r>
      <w:r w:rsidRPr="005A7882" w:rsidR="00E55F69">
        <w:rPr>
          <w:rFonts w:ascii="Times New Roman" w:hAnsi="Times New Roman"/>
          <w:sz w:val="24"/>
          <w:szCs w:val="24"/>
        </w:rPr>
        <w:t>BLS lists a median salary of $</w:t>
      </w:r>
      <w:r w:rsidRPr="005A7882" w:rsidR="00864029">
        <w:rPr>
          <w:rFonts w:ascii="Times New Roman" w:hAnsi="Times New Roman"/>
          <w:sz w:val="24"/>
          <w:szCs w:val="24"/>
        </w:rPr>
        <w:t>96,</w:t>
      </w:r>
      <w:r w:rsidRPr="005A7882" w:rsidR="00E36070">
        <w:rPr>
          <w:rFonts w:ascii="Times New Roman" w:hAnsi="Times New Roman"/>
          <w:sz w:val="24"/>
          <w:szCs w:val="24"/>
        </w:rPr>
        <w:t>940</w:t>
      </w:r>
      <w:r w:rsidRPr="005A7882" w:rsidR="00E55F69">
        <w:rPr>
          <w:rFonts w:ascii="Times New Roman" w:hAnsi="Times New Roman"/>
          <w:sz w:val="24"/>
          <w:szCs w:val="24"/>
        </w:rPr>
        <w:t xml:space="preserve"> annually, amounting to $</w:t>
      </w:r>
      <w:r w:rsidRPr="005A7882" w:rsidR="00864029">
        <w:rPr>
          <w:rFonts w:ascii="Times New Roman" w:hAnsi="Times New Roman"/>
          <w:sz w:val="24"/>
          <w:szCs w:val="24"/>
        </w:rPr>
        <w:t>46.</w:t>
      </w:r>
      <w:r w:rsidRPr="005A7882" w:rsidR="00E36070">
        <w:rPr>
          <w:rFonts w:ascii="Times New Roman" w:hAnsi="Times New Roman"/>
          <w:sz w:val="24"/>
          <w:szCs w:val="24"/>
        </w:rPr>
        <w:t>61</w:t>
      </w:r>
      <w:r w:rsidRPr="005A7882" w:rsidR="000C2410">
        <w:rPr>
          <w:rFonts w:ascii="Times New Roman" w:hAnsi="Times New Roman"/>
          <w:sz w:val="24"/>
          <w:szCs w:val="24"/>
        </w:rPr>
        <w:t xml:space="preserve"> </w:t>
      </w:r>
      <w:r w:rsidRPr="005A7882" w:rsidR="00E55F69">
        <w:rPr>
          <w:rFonts w:ascii="Times New Roman" w:hAnsi="Times New Roman"/>
          <w:sz w:val="24"/>
          <w:szCs w:val="24"/>
        </w:rPr>
        <w:t>per hour.</w:t>
      </w:r>
      <w:r w:rsidRPr="005A7882" w:rsidR="00864029">
        <w:rPr>
          <w:rFonts w:ascii="Times New Roman" w:hAnsi="Times New Roman"/>
          <w:sz w:val="24"/>
          <w:szCs w:val="24"/>
        </w:rPr>
        <w:t xml:space="preserve"> </w:t>
      </w:r>
      <w:r w:rsidRPr="005A7882" w:rsidR="00940778">
        <w:rPr>
          <w:rFonts w:ascii="Times New Roman" w:hAnsi="Times New Roman"/>
          <w:sz w:val="24"/>
          <w:szCs w:val="24"/>
        </w:rPr>
        <w:t xml:space="preserve"> </w:t>
      </w:r>
      <w:hyperlink w:history="1" r:id="rId10">
        <w:r w:rsidRPr="005A7882" w:rsidR="00864029">
          <w:rPr>
            <w:rStyle w:val="Hyperlink"/>
            <w:rFonts w:ascii="Times New Roman" w:hAnsi="Times New Roman"/>
            <w:sz w:val="24"/>
            <w:szCs w:val="24"/>
          </w:rPr>
          <w:t>https://www.bls.gov/ooh/management/administrative-services-managers.htm</w:t>
        </w:r>
      </w:hyperlink>
    </w:p>
    <w:p w:rsidRPr="002411F4" w:rsidR="00F81C9D" w:rsidP="00D72942" w:rsidRDefault="00F81C9D" w14:paraId="42FC1C9A" w14:textId="47B1CD4D">
      <w:pPr>
        <w:numPr>
          <w:ilvl w:val="0"/>
          <w:numId w:val="13"/>
        </w:numPr>
        <w:rPr>
          <w:rFonts w:ascii="Times New Roman" w:hAnsi="Times New Roman"/>
          <w:sz w:val="24"/>
          <w:szCs w:val="24"/>
        </w:rPr>
      </w:pPr>
      <w:r w:rsidRPr="005A7882">
        <w:rPr>
          <w:rFonts w:ascii="Times New Roman" w:hAnsi="Times New Roman"/>
          <w:sz w:val="24"/>
          <w:szCs w:val="24"/>
        </w:rPr>
        <w:t xml:space="preserve">Total cost based on </w:t>
      </w:r>
      <w:r w:rsidRPr="005A7882" w:rsidR="00191697">
        <w:rPr>
          <w:rFonts w:ascii="Times New Roman" w:hAnsi="Times New Roman"/>
          <w:sz w:val="24"/>
          <w:szCs w:val="24"/>
        </w:rPr>
        <w:t xml:space="preserve">an </w:t>
      </w:r>
      <w:r w:rsidRPr="005A7882">
        <w:rPr>
          <w:rFonts w:ascii="Times New Roman" w:hAnsi="Times New Roman"/>
          <w:sz w:val="24"/>
          <w:szCs w:val="24"/>
        </w:rPr>
        <w:t xml:space="preserve">hour’s burden equals </w:t>
      </w:r>
      <w:r w:rsidRPr="005A7882" w:rsidR="00EA3106">
        <w:rPr>
          <w:rFonts w:ascii="Times New Roman" w:hAnsi="Times New Roman"/>
          <w:sz w:val="24"/>
          <w:szCs w:val="24"/>
        </w:rPr>
        <w:t>$</w:t>
      </w:r>
      <w:r w:rsidRPr="005A7882" w:rsidR="005A7882">
        <w:rPr>
          <w:rFonts w:ascii="Times New Roman" w:hAnsi="Times New Roman"/>
          <w:sz w:val="24"/>
          <w:szCs w:val="24"/>
        </w:rPr>
        <w:t>100,677.60</w:t>
      </w:r>
      <w:r w:rsidRPr="005A7882" w:rsidR="00EA3106">
        <w:rPr>
          <w:rFonts w:ascii="Times New Roman" w:hAnsi="Times New Roman"/>
          <w:sz w:val="24"/>
          <w:szCs w:val="24"/>
        </w:rPr>
        <w:t xml:space="preserve"> for the </w:t>
      </w:r>
      <w:r w:rsidR="00313355">
        <w:rPr>
          <w:rFonts w:ascii="Times New Roman" w:hAnsi="Times New Roman"/>
          <w:sz w:val="24"/>
          <w:szCs w:val="24"/>
        </w:rPr>
        <w:t>P</w:t>
      </w:r>
      <w:r w:rsidR="005B0A5A">
        <w:rPr>
          <w:rFonts w:ascii="Times New Roman" w:hAnsi="Times New Roman"/>
          <w:sz w:val="24"/>
          <w:szCs w:val="24"/>
        </w:rPr>
        <w:t xml:space="preserve">erformance </w:t>
      </w:r>
      <w:r w:rsidR="00C76D08">
        <w:rPr>
          <w:rFonts w:ascii="Times New Roman" w:hAnsi="Times New Roman"/>
          <w:sz w:val="24"/>
          <w:szCs w:val="24"/>
        </w:rPr>
        <w:t xml:space="preserve">Closeout </w:t>
      </w:r>
      <w:r w:rsidR="00313355">
        <w:rPr>
          <w:rFonts w:ascii="Times New Roman" w:hAnsi="Times New Roman"/>
          <w:sz w:val="24"/>
          <w:szCs w:val="24"/>
        </w:rPr>
        <w:t>R</w:t>
      </w:r>
      <w:r w:rsidR="00170358">
        <w:rPr>
          <w:rFonts w:ascii="Times New Roman" w:hAnsi="Times New Roman"/>
          <w:sz w:val="24"/>
          <w:szCs w:val="24"/>
        </w:rPr>
        <w:t>eport</w:t>
      </w:r>
      <w:r w:rsidRPr="002411F4" w:rsidR="00455F19">
        <w:rPr>
          <w:rFonts w:ascii="Times New Roman" w:hAnsi="Times New Roman"/>
          <w:sz w:val="24"/>
          <w:szCs w:val="24"/>
        </w:rPr>
        <w:t>.</w:t>
      </w:r>
    </w:p>
    <w:p w:rsidR="00A74977" w:rsidP="008B7A62" w:rsidRDefault="00A71CA8" w14:paraId="5CE2253F" w14:textId="77777777">
      <w:pPr>
        <w:pStyle w:val="ColorfulList-Accent11"/>
        <w:spacing w:after="0"/>
        <w:ind w:left="0"/>
        <w:rPr>
          <w:rFonts w:ascii="Times New Roman" w:hAnsi="Times New Roman"/>
          <w:sz w:val="24"/>
          <w:szCs w:val="24"/>
        </w:rPr>
      </w:pPr>
      <w:r>
        <w:rPr>
          <w:rFonts w:ascii="Times New Roman" w:hAnsi="Times New Roman"/>
          <w:sz w:val="24"/>
          <w:szCs w:val="24"/>
        </w:rPr>
        <w:t>The estimate in hours of the burden of the collection of information does not include the hours for the Standard Forms associated with this grant program.  The burden hour estimates for the Standard Forms will be included o</w:t>
      </w:r>
      <w:r w:rsidR="00F56E6C">
        <w:rPr>
          <w:rFonts w:ascii="Times New Roman" w:hAnsi="Times New Roman"/>
          <w:sz w:val="24"/>
          <w:szCs w:val="24"/>
        </w:rPr>
        <w:t>n the</w:t>
      </w:r>
      <w:r w:rsidR="00DB5521">
        <w:rPr>
          <w:rFonts w:ascii="Times New Roman" w:hAnsi="Times New Roman"/>
          <w:sz w:val="24"/>
          <w:szCs w:val="24"/>
        </w:rPr>
        <w:t xml:space="preserve"> Agencies’</w:t>
      </w:r>
      <w:r w:rsidR="00F56E6C">
        <w:rPr>
          <w:rFonts w:ascii="Times New Roman" w:hAnsi="Times New Roman"/>
          <w:sz w:val="24"/>
          <w:szCs w:val="24"/>
        </w:rPr>
        <w:t xml:space="preserve"> Request for Common Form to use the previously approved OMB information collection instruments.</w:t>
      </w:r>
    </w:p>
    <w:p w:rsidRPr="002411F4" w:rsidR="00A71CA8" w:rsidP="008B7A62" w:rsidRDefault="00A71CA8" w14:paraId="6ABBD1E7" w14:textId="77777777">
      <w:pPr>
        <w:pStyle w:val="ColorfulList-Accent11"/>
        <w:spacing w:after="0"/>
        <w:ind w:left="0"/>
        <w:rPr>
          <w:rFonts w:ascii="Times New Roman" w:hAnsi="Times New Roman"/>
          <w:sz w:val="24"/>
          <w:szCs w:val="24"/>
        </w:rPr>
      </w:pPr>
    </w:p>
    <w:p w:rsidRPr="003D07AA" w:rsidR="000812E5" w:rsidP="00D26209" w:rsidRDefault="000812E5" w14:paraId="7003B38C" w14:textId="35CA768A">
      <w:pPr>
        <w:pStyle w:val="ColorfulList-Accent11"/>
        <w:numPr>
          <w:ilvl w:val="0"/>
          <w:numId w:val="2"/>
        </w:numPr>
        <w:spacing w:after="0"/>
        <w:rPr>
          <w:rFonts w:ascii="Times New Roman" w:hAnsi="Times New Roman"/>
          <w:b/>
          <w:sz w:val="24"/>
          <w:szCs w:val="24"/>
          <w:u w:val="single"/>
        </w:rPr>
      </w:pPr>
      <w:r w:rsidRPr="003D07AA">
        <w:rPr>
          <w:rFonts w:ascii="Times New Roman" w:hAnsi="Times New Roman"/>
          <w:b/>
          <w:sz w:val="24"/>
          <w:szCs w:val="24"/>
          <w:u w:val="single"/>
        </w:rPr>
        <w:t>Provide an estimate of the total annual cost burden to t</w:t>
      </w:r>
      <w:r w:rsidRPr="003D07AA" w:rsidR="00940944">
        <w:rPr>
          <w:rFonts w:ascii="Times New Roman" w:hAnsi="Times New Roman"/>
          <w:b/>
          <w:sz w:val="24"/>
          <w:szCs w:val="24"/>
          <w:u w:val="single"/>
        </w:rPr>
        <w:t>he respondents or recordkeepers</w:t>
      </w:r>
      <w:r w:rsidRPr="003D07AA" w:rsidR="003D07AA">
        <w:rPr>
          <w:rFonts w:ascii="Times New Roman" w:hAnsi="Times New Roman"/>
          <w:b/>
          <w:sz w:val="24"/>
          <w:szCs w:val="24"/>
          <w:u w:val="single"/>
        </w:rPr>
        <w:t xml:space="preserve"> </w:t>
      </w:r>
      <w:r w:rsidRPr="003D07AA">
        <w:rPr>
          <w:rFonts w:ascii="Times New Roman" w:hAnsi="Times New Roman"/>
          <w:b/>
          <w:sz w:val="24"/>
          <w:szCs w:val="24"/>
          <w:u w:val="single"/>
        </w:rPr>
        <w:t xml:space="preserve">resulting from the collection (excluding the value of the burden hours in </w:t>
      </w:r>
      <w:r w:rsidRPr="003D07AA" w:rsidR="00940944">
        <w:rPr>
          <w:rFonts w:ascii="Times New Roman" w:hAnsi="Times New Roman"/>
          <w:b/>
          <w:sz w:val="24"/>
          <w:szCs w:val="24"/>
          <w:u w:val="single"/>
        </w:rPr>
        <w:t xml:space="preserve">Question </w:t>
      </w:r>
      <w:r w:rsidRPr="003D07AA">
        <w:rPr>
          <w:rFonts w:ascii="Times New Roman" w:hAnsi="Times New Roman"/>
          <w:b/>
          <w:sz w:val="24"/>
          <w:szCs w:val="24"/>
          <w:u w:val="single"/>
        </w:rPr>
        <w:t>12 above).</w:t>
      </w:r>
    </w:p>
    <w:p w:rsidRPr="002411F4" w:rsidR="00170358" w:rsidP="008B7A62" w:rsidRDefault="00170358" w14:paraId="590BF240" w14:textId="77777777">
      <w:pPr>
        <w:pStyle w:val="ColorfulList-Accent11"/>
        <w:spacing w:after="0"/>
        <w:ind w:left="0"/>
        <w:rPr>
          <w:rFonts w:ascii="Times New Roman" w:hAnsi="Times New Roman"/>
          <w:b/>
          <w:sz w:val="24"/>
          <w:szCs w:val="24"/>
          <w:u w:val="single"/>
        </w:rPr>
      </w:pPr>
    </w:p>
    <w:p w:rsidRPr="002411F4" w:rsidR="00253438" w:rsidP="008B7A62" w:rsidRDefault="00253438" w14:paraId="3A596CC6" w14:textId="77777777">
      <w:pPr>
        <w:rPr>
          <w:rFonts w:ascii="Times New Roman" w:hAnsi="Times New Roman"/>
          <w:sz w:val="24"/>
          <w:szCs w:val="24"/>
        </w:rPr>
      </w:pPr>
      <w:r w:rsidRPr="002411F4">
        <w:rPr>
          <w:rFonts w:ascii="Times New Roman" w:hAnsi="Times New Roman"/>
          <w:sz w:val="24"/>
          <w:szCs w:val="24"/>
        </w:rPr>
        <w:t>Not applicable.  There are no capital, start-up, or annual operation and maintenance costs involved in the collection of information</w:t>
      </w:r>
      <w:r w:rsidR="00EA3106">
        <w:rPr>
          <w:rFonts w:ascii="Times New Roman" w:hAnsi="Times New Roman"/>
          <w:sz w:val="24"/>
          <w:szCs w:val="24"/>
        </w:rPr>
        <w:t xml:space="preserve"> outside of the value of the burden hours in Question 12</w:t>
      </w:r>
      <w:r w:rsidRPr="002411F4">
        <w:rPr>
          <w:rFonts w:ascii="Times New Roman" w:hAnsi="Times New Roman"/>
          <w:sz w:val="24"/>
          <w:szCs w:val="24"/>
        </w:rPr>
        <w:t>.</w:t>
      </w:r>
    </w:p>
    <w:p w:rsidR="000812E5" w:rsidP="00D26209" w:rsidRDefault="003D07AA" w14:paraId="13AEB482" w14:textId="1D0C6F45">
      <w:pPr>
        <w:pStyle w:val="ColorfulList-Accent11"/>
        <w:numPr>
          <w:ilvl w:val="0"/>
          <w:numId w:val="2"/>
        </w:numPr>
        <w:spacing w:after="0"/>
        <w:rPr>
          <w:rFonts w:ascii="Times New Roman" w:hAnsi="Times New Roman"/>
          <w:b/>
          <w:sz w:val="24"/>
          <w:szCs w:val="24"/>
          <w:u w:val="single"/>
        </w:rPr>
      </w:pPr>
      <w:r w:rsidRPr="003D07AA">
        <w:rPr>
          <w:rFonts w:ascii="Times New Roman" w:hAnsi="Times New Roman"/>
          <w:b/>
          <w:sz w:val="24"/>
          <w:szCs w:val="24"/>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2411F4" w:rsidR="00AA741B" w:rsidP="00AA741B" w:rsidRDefault="00AA741B" w14:paraId="304FAB21" w14:textId="77777777">
      <w:pPr>
        <w:pStyle w:val="ColorfulList-Accent11"/>
        <w:spacing w:after="0"/>
        <w:ind w:left="0"/>
        <w:rPr>
          <w:rFonts w:ascii="Times New Roman" w:hAnsi="Times New Roman"/>
          <w:b/>
          <w:sz w:val="24"/>
          <w:szCs w:val="24"/>
          <w:u w:val="single"/>
        </w:rPr>
      </w:pPr>
    </w:p>
    <w:p w:rsidR="00E12628" w:rsidP="00E12628" w:rsidRDefault="00E12628" w14:paraId="0FF1B1C7" w14:textId="77777777">
      <w:pPr>
        <w:jc w:val="center"/>
        <w:rPr>
          <w:rFonts w:ascii="Arial" w:hAnsi="Arial" w:cs="Arial"/>
          <w:b/>
          <w:bCs/>
        </w:rPr>
      </w:pPr>
      <w:r>
        <w:rPr>
          <w:rFonts w:ascii="Arial" w:hAnsi="Arial" w:cs="Arial"/>
          <w:b/>
          <w:bCs/>
        </w:rPr>
        <w:t>Annualized Costs to the Federal Government</w:t>
      </w:r>
    </w:p>
    <w:tbl>
      <w:tblPr>
        <w:tblW w:w="9340" w:type="dxa"/>
        <w:tblCellMar>
          <w:left w:w="0" w:type="dxa"/>
          <w:right w:w="0" w:type="dxa"/>
        </w:tblCellMar>
        <w:tblLook w:val="04A0" w:firstRow="1" w:lastRow="0" w:firstColumn="1" w:lastColumn="0" w:noHBand="0" w:noVBand="1"/>
      </w:tblPr>
      <w:tblGrid>
        <w:gridCol w:w="2870"/>
        <w:gridCol w:w="910"/>
        <w:gridCol w:w="938"/>
        <w:gridCol w:w="1358"/>
        <w:gridCol w:w="1231"/>
        <w:gridCol w:w="2033"/>
      </w:tblGrid>
      <w:tr w:rsidR="00E12628" w:rsidTr="00325DA7" w14:paraId="3AD8A193" w14:textId="77777777">
        <w:trPr>
          <w:trHeight w:val="160"/>
        </w:trPr>
        <w:tc>
          <w:tcPr>
            <w:tcW w:w="2870" w:type="dxa"/>
            <w:tcBorders>
              <w:top w:val="single" w:color="auto" w:sz="8" w:space="0"/>
              <w:left w:val="single" w:color="auto" w:sz="8" w:space="0"/>
              <w:bottom w:val="single" w:color="auto" w:sz="8" w:space="0"/>
              <w:right w:val="single" w:color="auto" w:sz="8" w:space="0"/>
            </w:tcBorders>
            <w:shd w:val="clear" w:color="auto" w:fill="B4C6E7"/>
            <w:noWrap/>
            <w:tcMar>
              <w:top w:w="0" w:type="dxa"/>
              <w:left w:w="108" w:type="dxa"/>
              <w:bottom w:w="0" w:type="dxa"/>
              <w:right w:w="108" w:type="dxa"/>
            </w:tcMar>
            <w:vAlign w:val="center"/>
            <w:hideMark/>
          </w:tcPr>
          <w:p w:rsidRPr="002D1BD0" w:rsidR="00E12628" w:rsidRDefault="00E12628" w14:paraId="463DC5F5" w14:textId="77777777">
            <w:pPr>
              <w:jc w:val="center"/>
              <w:rPr>
                <w:rFonts w:ascii="Arial" w:hAnsi="Arial" w:cs="Arial"/>
                <w:b/>
                <w:bCs/>
                <w:sz w:val="20"/>
                <w:szCs w:val="20"/>
              </w:rPr>
            </w:pPr>
            <w:r w:rsidRPr="002D1BD0">
              <w:rPr>
                <w:rFonts w:ascii="Arial" w:hAnsi="Arial" w:cs="Arial"/>
                <w:b/>
                <w:bCs/>
                <w:sz w:val="20"/>
                <w:szCs w:val="20"/>
              </w:rPr>
              <w:t>Staff</w:t>
            </w:r>
          </w:p>
        </w:tc>
        <w:tc>
          <w:tcPr>
            <w:tcW w:w="1090" w:type="dxa"/>
            <w:tcBorders>
              <w:top w:val="single" w:color="auto" w:sz="8" w:space="0"/>
              <w:left w:val="nil"/>
              <w:bottom w:val="single" w:color="auto" w:sz="8" w:space="0"/>
              <w:right w:val="single" w:color="auto" w:sz="8" w:space="0"/>
            </w:tcBorders>
            <w:shd w:val="clear" w:color="auto" w:fill="B4C6E7"/>
            <w:vAlign w:val="center"/>
          </w:tcPr>
          <w:p w:rsidRPr="002D1BD0" w:rsidR="00F57EBB" w:rsidRDefault="00E12628" w14:paraId="3589BC06" w14:textId="77777777">
            <w:pPr>
              <w:jc w:val="center"/>
              <w:rPr>
                <w:rFonts w:ascii="Arial" w:hAnsi="Arial" w:cs="Arial"/>
                <w:b/>
                <w:bCs/>
                <w:sz w:val="20"/>
                <w:szCs w:val="20"/>
              </w:rPr>
            </w:pPr>
            <w:r w:rsidRPr="002D1BD0">
              <w:rPr>
                <w:rFonts w:ascii="Arial" w:hAnsi="Arial" w:cs="Arial"/>
                <w:b/>
                <w:bCs/>
                <w:sz w:val="20"/>
                <w:szCs w:val="20"/>
              </w:rPr>
              <w:t>Grade/</w:t>
            </w:r>
          </w:p>
          <w:p w:rsidRPr="002D1BD0" w:rsidR="00E12628" w:rsidRDefault="00E12628" w14:paraId="4AE0175A" w14:textId="14F9283F">
            <w:pPr>
              <w:jc w:val="center"/>
              <w:rPr>
                <w:rFonts w:ascii="Arial" w:hAnsi="Arial" w:cs="Arial"/>
                <w:b/>
                <w:bCs/>
                <w:sz w:val="20"/>
                <w:szCs w:val="20"/>
              </w:rPr>
            </w:pPr>
            <w:r w:rsidRPr="002D1BD0">
              <w:rPr>
                <w:rFonts w:ascii="Arial" w:hAnsi="Arial" w:cs="Arial"/>
                <w:b/>
                <w:bCs/>
                <w:sz w:val="20"/>
                <w:szCs w:val="20"/>
              </w:rPr>
              <w:t>Step</w:t>
            </w:r>
          </w:p>
          <w:p w:rsidRPr="002D1BD0" w:rsidR="00E12628" w:rsidRDefault="00E12628" w14:paraId="11ECBF40" w14:textId="77777777">
            <w:pPr>
              <w:jc w:val="center"/>
              <w:rPr>
                <w:rFonts w:ascii="Arial" w:hAnsi="Arial" w:cs="Arial"/>
                <w:b/>
                <w:bCs/>
                <w:sz w:val="20"/>
                <w:szCs w:val="20"/>
              </w:rPr>
            </w:pPr>
          </w:p>
        </w:tc>
        <w:tc>
          <w:tcPr>
            <w:tcW w:w="938" w:type="dxa"/>
            <w:tcBorders>
              <w:top w:val="single" w:color="auto" w:sz="8" w:space="0"/>
              <w:left w:val="nil"/>
              <w:bottom w:val="single" w:color="auto" w:sz="8" w:space="0"/>
              <w:right w:val="single" w:color="auto" w:sz="8" w:space="0"/>
            </w:tcBorders>
            <w:shd w:val="clear" w:color="auto" w:fill="B4C6E7"/>
            <w:tcMar>
              <w:top w:w="0" w:type="dxa"/>
              <w:left w:w="108" w:type="dxa"/>
              <w:bottom w:w="0" w:type="dxa"/>
              <w:right w:w="108" w:type="dxa"/>
            </w:tcMar>
            <w:vAlign w:val="center"/>
            <w:hideMark/>
          </w:tcPr>
          <w:p w:rsidRPr="002D1BD0" w:rsidR="00E12628" w:rsidRDefault="00E12628" w14:paraId="4271AEC6" w14:textId="77777777">
            <w:pPr>
              <w:jc w:val="center"/>
              <w:rPr>
                <w:rFonts w:ascii="Arial" w:hAnsi="Arial" w:cs="Arial"/>
                <w:b/>
                <w:bCs/>
                <w:sz w:val="20"/>
                <w:szCs w:val="20"/>
              </w:rPr>
            </w:pPr>
            <w:r w:rsidRPr="002D1BD0">
              <w:rPr>
                <w:rFonts w:ascii="Arial" w:hAnsi="Arial" w:cs="Arial"/>
                <w:b/>
                <w:bCs/>
                <w:sz w:val="20"/>
                <w:szCs w:val="20"/>
              </w:rPr>
              <w:t>Salary</w:t>
            </w:r>
          </w:p>
        </w:tc>
        <w:tc>
          <w:tcPr>
            <w:tcW w:w="1358" w:type="dxa"/>
            <w:tcBorders>
              <w:top w:val="single" w:color="auto" w:sz="8" w:space="0"/>
              <w:left w:val="nil"/>
              <w:bottom w:val="single" w:color="auto" w:sz="8" w:space="0"/>
              <w:right w:val="single" w:color="auto" w:sz="8" w:space="0"/>
            </w:tcBorders>
            <w:shd w:val="clear" w:color="auto" w:fill="B4C6E7"/>
            <w:tcMar>
              <w:top w:w="0" w:type="dxa"/>
              <w:left w:w="108" w:type="dxa"/>
              <w:bottom w:w="0" w:type="dxa"/>
              <w:right w:w="108" w:type="dxa"/>
            </w:tcMar>
            <w:vAlign w:val="center"/>
            <w:hideMark/>
          </w:tcPr>
          <w:p w:rsidR="002D1BD0" w:rsidRDefault="00E12628" w14:paraId="5034DD10" w14:textId="77777777">
            <w:pPr>
              <w:jc w:val="center"/>
              <w:rPr>
                <w:rFonts w:ascii="Arial" w:hAnsi="Arial" w:cs="Arial"/>
                <w:b/>
                <w:bCs/>
                <w:sz w:val="20"/>
                <w:szCs w:val="20"/>
              </w:rPr>
            </w:pPr>
            <w:r w:rsidRPr="002D1BD0">
              <w:rPr>
                <w:rFonts w:ascii="Arial" w:hAnsi="Arial" w:cs="Arial"/>
                <w:b/>
                <w:bCs/>
                <w:sz w:val="20"/>
                <w:szCs w:val="20"/>
              </w:rPr>
              <w:t xml:space="preserve">Fringe </w:t>
            </w:r>
          </w:p>
          <w:p w:rsidRPr="002D1BD0" w:rsidR="00E12628" w:rsidRDefault="00E12628" w14:paraId="1E4AC86F" w14:textId="4F537824">
            <w:pPr>
              <w:jc w:val="center"/>
              <w:rPr>
                <w:rFonts w:ascii="Arial" w:hAnsi="Arial" w:cs="Arial"/>
                <w:b/>
                <w:bCs/>
                <w:sz w:val="20"/>
                <w:szCs w:val="20"/>
              </w:rPr>
            </w:pPr>
            <w:r w:rsidRPr="002D1BD0">
              <w:rPr>
                <w:rFonts w:ascii="Arial" w:hAnsi="Arial" w:cs="Arial"/>
                <w:b/>
                <w:bCs/>
                <w:sz w:val="20"/>
                <w:szCs w:val="20"/>
              </w:rPr>
              <w:t>(if applicable</w:t>
            </w:r>
          </w:p>
        </w:tc>
        <w:tc>
          <w:tcPr>
            <w:tcW w:w="1163" w:type="dxa"/>
            <w:tcBorders>
              <w:top w:val="single" w:color="auto" w:sz="8" w:space="0"/>
              <w:left w:val="nil"/>
              <w:bottom w:val="single" w:color="auto" w:sz="8" w:space="0"/>
              <w:right w:val="single" w:color="auto" w:sz="8" w:space="0"/>
            </w:tcBorders>
            <w:shd w:val="clear" w:color="auto" w:fill="B4C6E7"/>
            <w:vAlign w:val="center"/>
          </w:tcPr>
          <w:p w:rsidRPr="002D1BD0" w:rsidR="00E12628" w:rsidRDefault="00E12628" w14:paraId="35F81062" w14:textId="77777777">
            <w:pPr>
              <w:jc w:val="center"/>
              <w:rPr>
                <w:rFonts w:ascii="Arial" w:hAnsi="Arial" w:cs="Arial"/>
                <w:b/>
                <w:bCs/>
                <w:sz w:val="20"/>
                <w:szCs w:val="20"/>
              </w:rPr>
            </w:pPr>
          </w:p>
          <w:p w:rsidRPr="002D1BD0" w:rsidR="00E12628" w:rsidRDefault="00E12628" w14:paraId="08995313" w14:textId="77777777">
            <w:pPr>
              <w:jc w:val="center"/>
              <w:rPr>
                <w:rFonts w:ascii="Arial" w:hAnsi="Arial" w:cs="Arial"/>
                <w:b/>
                <w:bCs/>
                <w:sz w:val="20"/>
                <w:szCs w:val="20"/>
              </w:rPr>
            </w:pPr>
            <w:r w:rsidRPr="002D1BD0">
              <w:rPr>
                <w:rFonts w:ascii="Arial" w:hAnsi="Arial" w:cs="Arial"/>
                <w:b/>
                <w:bCs/>
                <w:sz w:val="20"/>
                <w:szCs w:val="20"/>
              </w:rPr>
              <w:t>% of Effort</w:t>
            </w:r>
          </w:p>
        </w:tc>
        <w:tc>
          <w:tcPr>
            <w:tcW w:w="1921" w:type="dxa"/>
            <w:tcBorders>
              <w:top w:val="single" w:color="auto" w:sz="8" w:space="0"/>
              <w:left w:val="nil"/>
              <w:bottom w:val="single" w:color="auto" w:sz="8" w:space="0"/>
              <w:right w:val="single" w:color="auto" w:sz="8" w:space="0"/>
            </w:tcBorders>
            <w:shd w:val="clear" w:color="auto" w:fill="B4C6E7"/>
            <w:vAlign w:val="center"/>
          </w:tcPr>
          <w:p w:rsidRPr="002D1BD0" w:rsidR="00E12628" w:rsidRDefault="00E12628" w14:paraId="7D14C0B6" w14:textId="77777777">
            <w:pPr>
              <w:jc w:val="center"/>
              <w:rPr>
                <w:rFonts w:ascii="Arial" w:hAnsi="Arial" w:cs="Arial"/>
                <w:b/>
                <w:bCs/>
                <w:sz w:val="20"/>
                <w:szCs w:val="20"/>
              </w:rPr>
            </w:pPr>
          </w:p>
          <w:p w:rsidRPr="002D1BD0" w:rsidR="00E12628" w:rsidRDefault="00E12628" w14:paraId="20320AE4" w14:textId="77777777">
            <w:pPr>
              <w:jc w:val="center"/>
              <w:rPr>
                <w:rFonts w:ascii="Arial" w:hAnsi="Arial" w:cs="Arial"/>
                <w:b/>
                <w:bCs/>
                <w:sz w:val="20"/>
                <w:szCs w:val="20"/>
              </w:rPr>
            </w:pPr>
            <w:r w:rsidRPr="002D1BD0">
              <w:rPr>
                <w:rFonts w:ascii="Arial" w:hAnsi="Arial" w:cs="Arial"/>
                <w:b/>
                <w:bCs/>
                <w:sz w:val="20"/>
                <w:szCs w:val="20"/>
              </w:rPr>
              <w:t>Total Annualized Cost to Gov’t</w:t>
            </w:r>
          </w:p>
        </w:tc>
      </w:tr>
      <w:tr w:rsidR="00E12628" w:rsidTr="00F57EBB" w14:paraId="517AAFA9" w14:textId="77777777">
        <w:trPr>
          <w:trHeight w:val="300"/>
        </w:trPr>
        <w:tc>
          <w:tcPr>
            <w:tcW w:w="2870" w:type="dxa"/>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E12628" w:rsidP="002D1BD0" w:rsidRDefault="00E12628" w14:paraId="23BB4897" w14:textId="6EB3503D">
            <w:pPr>
              <w:jc w:val="center"/>
              <w:rPr>
                <w:rFonts w:ascii="Arial" w:hAnsi="Arial" w:cs="Arial"/>
                <w:b/>
                <w:bCs/>
              </w:rPr>
            </w:pPr>
            <w:r>
              <w:rPr>
                <w:rFonts w:ascii="Arial" w:hAnsi="Arial" w:cs="Arial"/>
                <w:b/>
                <w:bCs/>
              </w:rPr>
              <w:lastRenderedPageBreak/>
              <w:t>NHTSA and NTIA Program Staff</w:t>
            </w:r>
          </w:p>
        </w:tc>
        <w:tc>
          <w:tcPr>
            <w:tcW w:w="1090" w:type="dxa"/>
            <w:tcBorders>
              <w:top w:val="nil"/>
              <w:left w:val="nil"/>
              <w:bottom w:val="single" w:color="auto" w:sz="8" w:space="0"/>
              <w:right w:val="single" w:color="auto" w:sz="8" w:space="0"/>
            </w:tcBorders>
            <w:shd w:val="clear" w:color="auto" w:fill="BFBFBF"/>
          </w:tcPr>
          <w:p w:rsidR="00E12628" w:rsidP="002D1BD0" w:rsidRDefault="00E12628" w14:paraId="62DC8792" w14:textId="5AAB26BB">
            <w:pPr>
              <w:jc w:val="center"/>
              <w:rPr>
                <w:rFonts w:ascii="Arial" w:hAnsi="Arial" w:cs="Arial"/>
              </w:rPr>
            </w:pPr>
            <w:r>
              <w:rPr>
                <w:rFonts w:ascii="Arial" w:hAnsi="Arial" w:cs="Arial"/>
              </w:rPr>
              <w:t>15</w:t>
            </w:r>
          </w:p>
        </w:tc>
        <w:tc>
          <w:tcPr>
            <w:tcW w:w="93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tcPr>
          <w:p w:rsidR="00E12628" w:rsidP="002D1BD0" w:rsidRDefault="00E12628" w14:paraId="4149C727" w14:textId="6E7EEC30">
            <w:pPr>
              <w:jc w:val="center"/>
              <w:rPr>
                <w:rFonts w:ascii="Arial" w:hAnsi="Arial" w:cs="Arial"/>
              </w:rPr>
            </w:pPr>
            <w:r>
              <w:rPr>
                <w:rFonts w:ascii="Arial" w:hAnsi="Arial" w:cs="Arial"/>
              </w:rPr>
              <w:t>$50 per hour</w:t>
            </w:r>
          </w:p>
        </w:tc>
        <w:tc>
          <w:tcPr>
            <w:tcW w:w="135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tcPr>
          <w:p w:rsidR="00E12628" w:rsidP="002D1BD0" w:rsidRDefault="00E12628" w14:paraId="4669F836" w14:textId="5FFA3D69">
            <w:pPr>
              <w:jc w:val="center"/>
              <w:rPr>
                <w:rFonts w:ascii="Arial" w:hAnsi="Arial" w:cs="Arial"/>
              </w:rPr>
            </w:pPr>
            <w:r>
              <w:rPr>
                <w:rFonts w:ascii="Arial" w:hAnsi="Arial" w:cs="Arial"/>
              </w:rPr>
              <w:t>Included in hourly estimate</w:t>
            </w:r>
          </w:p>
        </w:tc>
        <w:tc>
          <w:tcPr>
            <w:tcW w:w="1163" w:type="dxa"/>
            <w:tcBorders>
              <w:top w:val="nil"/>
              <w:left w:val="nil"/>
              <w:bottom w:val="single" w:color="auto" w:sz="8" w:space="0"/>
              <w:right w:val="single" w:color="auto" w:sz="8" w:space="0"/>
            </w:tcBorders>
            <w:shd w:val="clear" w:color="auto" w:fill="BFBFBF"/>
          </w:tcPr>
          <w:p w:rsidR="00E12628" w:rsidP="002D1BD0" w:rsidRDefault="00E12628" w14:paraId="6A640FAC" w14:textId="128C53DE">
            <w:pPr>
              <w:jc w:val="center"/>
              <w:rPr>
                <w:rFonts w:ascii="Arial" w:hAnsi="Arial" w:cs="Arial"/>
              </w:rPr>
            </w:pPr>
            <w:r>
              <w:rPr>
                <w:rFonts w:ascii="Arial" w:hAnsi="Arial" w:cs="Arial"/>
              </w:rPr>
              <w:t>5 hours per respondent, 36 respondents</w:t>
            </w:r>
          </w:p>
        </w:tc>
        <w:tc>
          <w:tcPr>
            <w:tcW w:w="1921" w:type="dxa"/>
            <w:tcBorders>
              <w:top w:val="nil"/>
              <w:left w:val="nil"/>
              <w:bottom w:val="single" w:color="auto" w:sz="8" w:space="0"/>
              <w:right w:val="single" w:color="auto" w:sz="8" w:space="0"/>
            </w:tcBorders>
            <w:shd w:val="clear" w:color="auto" w:fill="BFBFBF"/>
          </w:tcPr>
          <w:p w:rsidR="00E12628" w:rsidP="002D1BD0" w:rsidRDefault="00E12628" w14:paraId="1BBA3472" w14:textId="1106997A">
            <w:pPr>
              <w:jc w:val="center"/>
              <w:rPr>
                <w:rFonts w:ascii="Arial" w:hAnsi="Arial" w:cs="Arial"/>
              </w:rPr>
            </w:pPr>
            <w:r>
              <w:rPr>
                <w:rFonts w:ascii="Arial" w:hAnsi="Arial" w:cs="Arial"/>
              </w:rPr>
              <w:t>$50 * 5 hours * 36 respondents=$9,000</w:t>
            </w:r>
          </w:p>
        </w:tc>
      </w:tr>
      <w:tr w:rsidR="00E12628" w:rsidTr="00F57EBB" w14:paraId="1E14417F" w14:textId="77777777">
        <w:trPr>
          <w:trHeight w:val="300"/>
        </w:trPr>
        <w:tc>
          <w:tcPr>
            <w:tcW w:w="2870" w:type="dxa"/>
            <w:tcBorders>
              <w:top w:val="nil"/>
              <w:left w:val="single" w:color="auto" w:sz="8" w:space="0"/>
              <w:bottom w:val="nil"/>
              <w:right w:val="single" w:color="auto" w:sz="8" w:space="0"/>
            </w:tcBorders>
            <w:noWrap/>
            <w:tcMar>
              <w:top w:w="0" w:type="dxa"/>
              <w:left w:w="108" w:type="dxa"/>
              <w:bottom w:w="0" w:type="dxa"/>
              <w:right w:w="108" w:type="dxa"/>
            </w:tcMar>
            <w:vAlign w:val="bottom"/>
            <w:hideMark/>
          </w:tcPr>
          <w:p w:rsidR="00E12628" w:rsidRDefault="00E12628" w14:paraId="593CAD98" w14:textId="77777777">
            <w:pPr>
              <w:rPr>
                <w:rFonts w:ascii="Arial" w:hAnsi="Arial" w:cs="Arial"/>
                <w:b/>
                <w:bCs/>
              </w:rPr>
            </w:pPr>
            <w:r>
              <w:rPr>
                <w:rFonts w:ascii="Arial" w:hAnsi="Arial" w:cs="Arial"/>
                <w:b/>
                <w:bCs/>
              </w:rPr>
              <w:t>Total Cost to the Government</w:t>
            </w:r>
          </w:p>
        </w:tc>
        <w:tc>
          <w:tcPr>
            <w:tcW w:w="1090" w:type="dxa"/>
            <w:tcBorders>
              <w:top w:val="nil"/>
              <w:left w:val="nil"/>
              <w:bottom w:val="nil"/>
              <w:right w:val="single" w:color="auto" w:sz="8" w:space="0"/>
            </w:tcBorders>
          </w:tcPr>
          <w:p w:rsidR="00E12628" w:rsidRDefault="00E12628" w14:paraId="07DC7D95" w14:textId="77777777">
            <w:pPr>
              <w:rPr>
                <w:rFonts w:ascii="Arial" w:hAnsi="Arial" w:cs="Arial"/>
              </w:rPr>
            </w:pPr>
          </w:p>
        </w:tc>
        <w:tc>
          <w:tcPr>
            <w:tcW w:w="938" w:type="dxa"/>
            <w:tcBorders>
              <w:top w:val="nil"/>
              <w:left w:val="nil"/>
              <w:bottom w:val="nil"/>
              <w:right w:val="single" w:color="auto" w:sz="8" w:space="0"/>
            </w:tcBorders>
            <w:noWrap/>
            <w:tcMar>
              <w:top w:w="0" w:type="dxa"/>
              <w:left w:w="108" w:type="dxa"/>
              <w:bottom w:w="0" w:type="dxa"/>
              <w:right w:w="108" w:type="dxa"/>
            </w:tcMar>
            <w:vAlign w:val="bottom"/>
            <w:hideMark/>
          </w:tcPr>
          <w:p w:rsidR="00E12628" w:rsidRDefault="00E12628" w14:paraId="30CA7D0B" w14:textId="77777777">
            <w:pPr>
              <w:rPr>
                <w:rFonts w:ascii="Arial" w:hAnsi="Arial" w:cs="Arial"/>
              </w:rPr>
            </w:pPr>
          </w:p>
        </w:tc>
        <w:tc>
          <w:tcPr>
            <w:tcW w:w="1358" w:type="dxa"/>
            <w:tcBorders>
              <w:top w:val="nil"/>
              <w:left w:val="nil"/>
              <w:bottom w:val="nil"/>
              <w:right w:val="single" w:color="auto" w:sz="8" w:space="0"/>
            </w:tcBorders>
            <w:noWrap/>
            <w:tcMar>
              <w:top w:w="0" w:type="dxa"/>
              <w:left w:w="108" w:type="dxa"/>
              <w:bottom w:w="0" w:type="dxa"/>
              <w:right w:w="108" w:type="dxa"/>
            </w:tcMar>
            <w:vAlign w:val="bottom"/>
            <w:hideMark/>
          </w:tcPr>
          <w:p w:rsidR="00E12628" w:rsidRDefault="00E12628" w14:paraId="632BE683" w14:textId="77777777">
            <w:pPr>
              <w:rPr>
                <w:rFonts w:ascii="Times New Roman" w:hAnsi="Times New Roman"/>
                <w:sz w:val="20"/>
                <w:szCs w:val="20"/>
              </w:rPr>
            </w:pPr>
          </w:p>
        </w:tc>
        <w:tc>
          <w:tcPr>
            <w:tcW w:w="1163" w:type="dxa"/>
            <w:tcBorders>
              <w:top w:val="nil"/>
              <w:left w:val="nil"/>
              <w:bottom w:val="nil"/>
              <w:right w:val="single" w:color="auto" w:sz="8" w:space="0"/>
            </w:tcBorders>
          </w:tcPr>
          <w:p w:rsidR="00E12628" w:rsidRDefault="00E12628" w14:paraId="26370F6D" w14:textId="77777777">
            <w:pPr>
              <w:rPr>
                <w:rFonts w:ascii="Arial" w:hAnsi="Arial" w:cs="Arial" w:eastAsiaTheme="minorHAnsi"/>
                <w:sz w:val="24"/>
                <w:szCs w:val="24"/>
              </w:rPr>
            </w:pPr>
          </w:p>
        </w:tc>
        <w:tc>
          <w:tcPr>
            <w:tcW w:w="1921" w:type="dxa"/>
            <w:tcBorders>
              <w:top w:val="nil"/>
              <w:left w:val="nil"/>
              <w:bottom w:val="nil"/>
              <w:right w:val="single" w:color="auto" w:sz="8" w:space="0"/>
            </w:tcBorders>
            <w:hideMark/>
          </w:tcPr>
          <w:p w:rsidR="00E12628" w:rsidP="00E12628" w:rsidRDefault="00E12628" w14:paraId="2957884A" w14:textId="2A3707C7">
            <w:pPr>
              <w:jc w:val="center"/>
              <w:rPr>
                <w:rFonts w:ascii="Arial" w:hAnsi="Arial" w:cs="Arial"/>
              </w:rPr>
            </w:pPr>
            <w:r>
              <w:rPr>
                <w:rFonts w:ascii="Arial" w:hAnsi="Arial" w:cs="Arial"/>
              </w:rPr>
              <w:t>$9,000</w:t>
            </w:r>
          </w:p>
        </w:tc>
      </w:tr>
      <w:tr w:rsidR="00E12628" w:rsidTr="00F57EBB" w14:paraId="24A1A7EC" w14:textId="77777777">
        <w:trPr>
          <w:trHeight w:val="300"/>
        </w:trPr>
        <w:tc>
          <w:tcPr>
            <w:tcW w:w="287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00E12628" w:rsidRDefault="00E12628" w14:paraId="76F017BC" w14:textId="77777777">
            <w:pPr>
              <w:rPr>
                <w:rFonts w:ascii="Arial" w:hAnsi="Arial" w:cs="Arial"/>
                <w:b/>
                <w:bCs/>
              </w:rPr>
            </w:pPr>
          </w:p>
        </w:tc>
        <w:tc>
          <w:tcPr>
            <w:tcW w:w="1090" w:type="dxa"/>
            <w:tcBorders>
              <w:top w:val="nil"/>
              <w:left w:val="nil"/>
              <w:bottom w:val="single" w:color="auto" w:sz="8" w:space="0"/>
              <w:right w:val="single" w:color="auto" w:sz="8" w:space="0"/>
            </w:tcBorders>
          </w:tcPr>
          <w:p w:rsidR="00E12628" w:rsidRDefault="00E12628" w14:paraId="73CB8C84" w14:textId="77777777">
            <w:pPr>
              <w:rPr>
                <w:rFonts w:ascii="Arial" w:hAnsi="Arial" w:cs="Arial"/>
              </w:rPr>
            </w:pPr>
          </w:p>
        </w:tc>
        <w:tc>
          <w:tcPr>
            <w:tcW w:w="93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12628" w:rsidRDefault="00E12628" w14:paraId="62DAA2A8" w14:textId="77777777">
            <w:pPr>
              <w:rPr>
                <w:rFonts w:ascii="Arial" w:hAnsi="Arial" w:cs="Arial"/>
              </w:rPr>
            </w:pPr>
          </w:p>
        </w:tc>
        <w:tc>
          <w:tcPr>
            <w:tcW w:w="135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E12628" w:rsidRDefault="00E12628" w14:paraId="789EE6DD" w14:textId="77777777">
            <w:pPr>
              <w:rPr>
                <w:rFonts w:ascii="Times New Roman" w:hAnsi="Times New Roman"/>
                <w:sz w:val="20"/>
                <w:szCs w:val="20"/>
              </w:rPr>
            </w:pPr>
          </w:p>
        </w:tc>
        <w:tc>
          <w:tcPr>
            <w:tcW w:w="1163" w:type="dxa"/>
            <w:tcBorders>
              <w:top w:val="nil"/>
              <w:left w:val="nil"/>
              <w:bottom w:val="single" w:color="auto" w:sz="8" w:space="0"/>
              <w:right w:val="single" w:color="auto" w:sz="8" w:space="0"/>
            </w:tcBorders>
          </w:tcPr>
          <w:p w:rsidR="00E12628" w:rsidRDefault="00E12628" w14:paraId="030B9257" w14:textId="77777777">
            <w:pPr>
              <w:rPr>
                <w:rFonts w:ascii="Arial" w:hAnsi="Arial" w:cs="Arial" w:eastAsiaTheme="minorHAnsi"/>
                <w:sz w:val="24"/>
                <w:szCs w:val="24"/>
              </w:rPr>
            </w:pPr>
          </w:p>
        </w:tc>
        <w:tc>
          <w:tcPr>
            <w:tcW w:w="1921" w:type="dxa"/>
            <w:tcBorders>
              <w:top w:val="nil"/>
              <w:left w:val="nil"/>
              <w:bottom w:val="single" w:color="auto" w:sz="8" w:space="0"/>
              <w:right w:val="single" w:color="auto" w:sz="8" w:space="0"/>
            </w:tcBorders>
          </w:tcPr>
          <w:p w:rsidR="00E12628" w:rsidRDefault="00E12628" w14:paraId="6DF9D65D" w14:textId="77777777">
            <w:pPr>
              <w:jc w:val="center"/>
              <w:rPr>
                <w:rFonts w:ascii="Arial" w:hAnsi="Arial" w:cs="Arial"/>
              </w:rPr>
            </w:pPr>
          </w:p>
        </w:tc>
      </w:tr>
    </w:tbl>
    <w:p w:rsidR="00E12628" w:rsidP="0035249C" w:rsidRDefault="00E12628" w14:paraId="000E98B5" w14:textId="77777777">
      <w:pPr>
        <w:pStyle w:val="ColorfulList-Accent11"/>
        <w:spacing w:after="0"/>
        <w:ind w:left="0"/>
        <w:rPr>
          <w:rFonts w:ascii="Times New Roman" w:hAnsi="Times New Roman"/>
          <w:sz w:val="24"/>
          <w:szCs w:val="24"/>
        </w:rPr>
      </w:pPr>
    </w:p>
    <w:p w:rsidR="0035249C" w:rsidP="0035249C" w:rsidRDefault="00253438" w14:paraId="5B9CF2F0" w14:textId="1D8F9E3D">
      <w:pPr>
        <w:pStyle w:val="ColorfulList-Accent11"/>
        <w:spacing w:after="0"/>
        <w:ind w:left="0"/>
        <w:rPr>
          <w:rFonts w:ascii="Times New Roman" w:hAnsi="Times New Roman"/>
          <w:sz w:val="24"/>
          <w:szCs w:val="24"/>
        </w:rPr>
      </w:pPr>
      <w:r w:rsidRPr="002411F4">
        <w:rPr>
          <w:rFonts w:ascii="Times New Roman" w:hAnsi="Times New Roman"/>
          <w:sz w:val="24"/>
          <w:szCs w:val="24"/>
        </w:rPr>
        <w:t xml:space="preserve">The estimated </w:t>
      </w:r>
      <w:r w:rsidR="006E5842">
        <w:rPr>
          <w:rFonts w:ascii="Times New Roman" w:hAnsi="Times New Roman"/>
          <w:sz w:val="24"/>
          <w:szCs w:val="24"/>
        </w:rPr>
        <w:t xml:space="preserve">one-time </w:t>
      </w:r>
      <w:r w:rsidRPr="002411F4">
        <w:rPr>
          <w:rFonts w:ascii="Times New Roman" w:hAnsi="Times New Roman"/>
          <w:sz w:val="24"/>
          <w:szCs w:val="24"/>
        </w:rPr>
        <w:t>a</w:t>
      </w:r>
      <w:r w:rsidR="006E5842">
        <w:rPr>
          <w:rFonts w:ascii="Times New Roman" w:hAnsi="Times New Roman"/>
          <w:sz w:val="24"/>
          <w:szCs w:val="24"/>
        </w:rPr>
        <w:t>nnualized cost</w:t>
      </w:r>
      <w:r w:rsidR="00191697">
        <w:rPr>
          <w:rFonts w:ascii="Times New Roman" w:hAnsi="Times New Roman"/>
          <w:sz w:val="24"/>
          <w:szCs w:val="24"/>
        </w:rPr>
        <w:t xml:space="preserve"> to the Federal g</w:t>
      </w:r>
      <w:r w:rsidRPr="002411F4">
        <w:rPr>
          <w:rFonts w:ascii="Times New Roman" w:hAnsi="Times New Roman"/>
          <w:sz w:val="24"/>
          <w:szCs w:val="24"/>
        </w:rPr>
        <w:t xml:space="preserve">overnment </w:t>
      </w:r>
      <w:r w:rsidR="002D1BD0">
        <w:rPr>
          <w:rFonts w:ascii="Times New Roman" w:hAnsi="Times New Roman"/>
          <w:sz w:val="24"/>
          <w:szCs w:val="24"/>
        </w:rPr>
        <w:t>is</w:t>
      </w:r>
      <w:r w:rsidRPr="002411F4">
        <w:rPr>
          <w:rFonts w:ascii="Times New Roman" w:hAnsi="Times New Roman"/>
          <w:sz w:val="24"/>
          <w:szCs w:val="24"/>
        </w:rPr>
        <w:t xml:space="preserve"> based on the amount of time spent on review by program staff </w:t>
      </w:r>
      <w:r w:rsidRPr="002411F4" w:rsidR="0044666A">
        <w:rPr>
          <w:rFonts w:ascii="Times New Roman" w:hAnsi="Times New Roman"/>
          <w:sz w:val="24"/>
          <w:szCs w:val="24"/>
        </w:rPr>
        <w:t>within NHTSA and NTIA.</w:t>
      </w:r>
      <w:r w:rsidRPr="002411F4">
        <w:rPr>
          <w:rFonts w:ascii="Times New Roman" w:hAnsi="Times New Roman"/>
          <w:sz w:val="24"/>
          <w:szCs w:val="24"/>
        </w:rPr>
        <w:t xml:space="preserve"> </w:t>
      </w:r>
      <w:r w:rsidR="00940778">
        <w:rPr>
          <w:rFonts w:ascii="Times New Roman" w:hAnsi="Times New Roman"/>
          <w:sz w:val="24"/>
          <w:szCs w:val="24"/>
        </w:rPr>
        <w:t xml:space="preserve"> </w:t>
      </w:r>
      <w:r w:rsidRPr="002411F4">
        <w:rPr>
          <w:rFonts w:ascii="Times New Roman" w:hAnsi="Times New Roman"/>
          <w:sz w:val="24"/>
          <w:szCs w:val="24"/>
        </w:rPr>
        <w:t xml:space="preserve">The Agencies estimate that at an average cost of </w:t>
      </w:r>
      <w:r w:rsidRPr="002411F4" w:rsidR="0044666A">
        <w:rPr>
          <w:rFonts w:ascii="Times New Roman" w:hAnsi="Times New Roman"/>
          <w:sz w:val="24"/>
          <w:szCs w:val="24"/>
        </w:rPr>
        <w:t>$5</w:t>
      </w:r>
      <w:r w:rsidRPr="002411F4">
        <w:rPr>
          <w:rFonts w:ascii="Times New Roman" w:hAnsi="Times New Roman"/>
          <w:sz w:val="24"/>
          <w:szCs w:val="24"/>
        </w:rPr>
        <w:t xml:space="preserve">0 per </w:t>
      </w:r>
      <w:r w:rsidR="00AA741B">
        <w:rPr>
          <w:rFonts w:ascii="Times New Roman" w:hAnsi="Times New Roman"/>
          <w:sz w:val="24"/>
          <w:szCs w:val="24"/>
        </w:rPr>
        <w:t xml:space="preserve">hour and an estimated level of 5 </w:t>
      </w:r>
      <w:r w:rsidRPr="002411F4">
        <w:rPr>
          <w:rFonts w:ascii="Times New Roman" w:hAnsi="Times New Roman"/>
          <w:sz w:val="24"/>
          <w:szCs w:val="24"/>
        </w:rPr>
        <w:t>hours per respondent</w:t>
      </w:r>
      <w:r w:rsidR="00501F7C">
        <w:rPr>
          <w:rFonts w:ascii="Times New Roman" w:hAnsi="Times New Roman"/>
          <w:sz w:val="24"/>
          <w:szCs w:val="24"/>
        </w:rPr>
        <w:t xml:space="preserve"> </w:t>
      </w:r>
      <w:r w:rsidR="00AA741B">
        <w:rPr>
          <w:rFonts w:ascii="Times New Roman" w:hAnsi="Times New Roman"/>
          <w:sz w:val="24"/>
          <w:szCs w:val="24"/>
        </w:rPr>
        <w:t>(</w:t>
      </w:r>
      <w:r w:rsidR="00501F7C">
        <w:rPr>
          <w:rFonts w:ascii="Times New Roman" w:hAnsi="Times New Roman"/>
          <w:sz w:val="24"/>
          <w:szCs w:val="24"/>
        </w:rPr>
        <w:t xml:space="preserve">5 hours review of the </w:t>
      </w:r>
      <w:r w:rsidR="00B02C84">
        <w:rPr>
          <w:rFonts w:ascii="Times New Roman" w:hAnsi="Times New Roman"/>
          <w:sz w:val="24"/>
          <w:szCs w:val="24"/>
        </w:rPr>
        <w:t>Closeout P</w:t>
      </w:r>
      <w:r w:rsidR="00C74644">
        <w:rPr>
          <w:rFonts w:ascii="Times New Roman" w:hAnsi="Times New Roman"/>
          <w:sz w:val="24"/>
          <w:szCs w:val="24"/>
        </w:rPr>
        <w:t>erformance</w:t>
      </w:r>
      <w:r w:rsidR="00B02C84">
        <w:rPr>
          <w:rFonts w:ascii="Times New Roman" w:hAnsi="Times New Roman"/>
          <w:sz w:val="24"/>
          <w:szCs w:val="24"/>
        </w:rPr>
        <w:t xml:space="preserve"> Report</w:t>
      </w:r>
      <w:r w:rsidR="00501F7C">
        <w:rPr>
          <w:rFonts w:ascii="Times New Roman" w:hAnsi="Times New Roman"/>
          <w:sz w:val="24"/>
          <w:szCs w:val="24"/>
        </w:rPr>
        <w:t>)</w:t>
      </w:r>
      <w:r w:rsidRPr="002411F4">
        <w:rPr>
          <w:rFonts w:ascii="Times New Roman" w:hAnsi="Times New Roman"/>
          <w:sz w:val="24"/>
          <w:szCs w:val="24"/>
        </w:rPr>
        <w:t xml:space="preserve">, the total </w:t>
      </w:r>
      <w:r w:rsidR="006F0B94">
        <w:rPr>
          <w:rFonts w:ascii="Times New Roman" w:hAnsi="Times New Roman"/>
          <w:sz w:val="24"/>
          <w:szCs w:val="24"/>
        </w:rPr>
        <w:t xml:space="preserve">annual </w:t>
      </w:r>
      <w:r w:rsidRPr="002411F4">
        <w:rPr>
          <w:rFonts w:ascii="Times New Roman" w:hAnsi="Times New Roman"/>
          <w:sz w:val="24"/>
          <w:szCs w:val="24"/>
        </w:rPr>
        <w:t xml:space="preserve">cost would be </w:t>
      </w:r>
      <w:r w:rsidR="00AA741B">
        <w:rPr>
          <w:rFonts w:ascii="Times New Roman" w:hAnsi="Times New Roman"/>
          <w:sz w:val="24"/>
          <w:szCs w:val="24"/>
        </w:rPr>
        <w:t>$</w:t>
      </w:r>
      <w:r w:rsidR="006F0B94">
        <w:rPr>
          <w:rFonts w:ascii="Times New Roman" w:hAnsi="Times New Roman"/>
          <w:sz w:val="24"/>
          <w:szCs w:val="24"/>
        </w:rPr>
        <w:t>9,0</w:t>
      </w:r>
      <w:r w:rsidR="00501F7C">
        <w:rPr>
          <w:rFonts w:ascii="Times New Roman" w:hAnsi="Times New Roman"/>
          <w:sz w:val="24"/>
          <w:szCs w:val="24"/>
        </w:rPr>
        <w:t xml:space="preserve">00 for the </w:t>
      </w:r>
      <w:r w:rsidR="00B02C84">
        <w:rPr>
          <w:rFonts w:ascii="Times New Roman" w:hAnsi="Times New Roman"/>
          <w:sz w:val="24"/>
          <w:szCs w:val="24"/>
        </w:rPr>
        <w:t xml:space="preserve">Closeout </w:t>
      </w:r>
      <w:r w:rsidR="00C74644">
        <w:rPr>
          <w:rFonts w:ascii="Times New Roman" w:hAnsi="Times New Roman"/>
          <w:sz w:val="24"/>
          <w:szCs w:val="24"/>
        </w:rPr>
        <w:t xml:space="preserve">Performance </w:t>
      </w:r>
      <w:r w:rsidR="00B02C84">
        <w:rPr>
          <w:rFonts w:ascii="Times New Roman" w:hAnsi="Times New Roman"/>
          <w:sz w:val="24"/>
          <w:szCs w:val="24"/>
        </w:rPr>
        <w:t>Report</w:t>
      </w:r>
      <w:r w:rsidR="00501F7C">
        <w:rPr>
          <w:rFonts w:ascii="Times New Roman" w:hAnsi="Times New Roman"/>
          <w:sz w:val="24"/>
          <w:szCs w:val="24"/>
        </w:rPr>
        <w:t>).  This estimate presumes that</w:t>
      </w:r>
      <w:r w:rsidR="00D60261">
        <w:rPr>
          <w:rFonts w:ascii="Times New Roman" w:hAnsi="Times New Roman"/>
          <w:sz w:val="24"/>
          <w:szCs w:val="24"/>
        </w:rPr>
        <w:t xml:space="preserve"> </w:t>
      </w:r>
      <w:r w:rsidR="00AA741B">
        <w:rPr>
          <w:rFonts w:ascii="Times New Roman" w:hAnsi="Times New Roman"/>
          <w:sz w:val="24"/>
          <w:szCs w:val="24"/>
        </w:rPr>
        <w:t>36</w:t>
      </w:r>
      <w:r w:rsidR="00D60261">
        <w:rPr>
          <w:rFonts w:ascii="Times New Roman" w:hAnsi="Times New Roman"/>
          <w:sz w:val="24"/>
          <w:szCs w:val="24"/>
        </w:rPr>
        <w:t xml:space="preserve"> </w:t>
      </w:r>
      <w:r w:rsidR="00191697">
        <w:rPr>
          <w:rFonts w:ascii="Times New Roman" w:hAnsi="Times New Roman"/>
          <w:sz w:val="24"/>
          <w:szCs w:val="24"/>
        </w:rPr>
        <w:t>s</w:t>
      </w:r>
      <w:r w:rsidRPr="002411F4">
        <w:rPr>
          <w:rFonts w:ascii="Times New Roman" w:hAnsi="Times New Roman"/>
          <w:sz w:val="24"/>
          <w:szCs w:val="24"/>
        </w:rPr>
        <w:t>tate</w:t>
      </w:r>
      <w:r w:rsidR="00D60261">
        <w:rPr>
          <w:rFonts w:ascii="Times New Roman" w:hAnsi="Times New Roman"/>
          <w:sz w:val="24"/>
          <w:szCs w:val="24"/>
        </w:rPr>
        <w:t>s,</w:t>
      </w:r>
      <w:r w:rsidR="00191697">
        <w:rPr>
          <w:rFonts w:ascii="Times New Roman" w:hAnsi="Times New Roman"/>
          <w:sz w:val="24"/>
          <w:szCs w:val="24"/>
        </w:rPr>
        <w:t xml:space="preserve"> t</w:t>
      </w:r>
      <w:r w:rsidRPr="002411F4">
        <w:rPr>
          <w:rFonts w:ascii="Times New Roman" w:hAnsi="Times New Roman"/>
          <w:sz w:val="24"/>
          <w:szCs w:val="24"/>
        </w:rPr>
        <w:t>erritor</w:t>
      </w:r>
      <w:r w:rsidR="00191697">
        <w:rPr>
          <w:rFonts w:ascii="Times New Roman" w:hAnsi="Times New Roman"/>
          <w:sz w:val="24"/>
          <w:szCs w:val="24"/>
        </w:rPr>
        <w:t>ies, and tribal o</w:t>
      </w:r>
      <w:r w:rsidR="00D60261">
        <w:rPr>
          <w:rFonts w:ascii="Times New Roman" w:hAnsi="Times New Roman"/>
          <w:sz w:val="24"/>
          <w:szCs w:val="24"/>
        </w:rPr>
        <w:t>rganizations</w:t>
      </w:r>
      <w:r w:rsidR="009E594B">
        <w:rPr>
          <w:rFonts w:ascii="Times New Roman" w:hAnsi="Times New Roman"/>
          <w:sz w:val="24"/>
          <w:szCs w:val="24"/>
        </w:rPr>
        <w:t xml:space="preserve"> will</w:t>
      </w:r>
      <w:r w:rsidR="00D60261">
        <w:rPr>
          <w:rFonts w:ascii="Times New Roman" w:hAnsi="Times New Roman"/>
          <w:sz w:val="24"/>
          <w:szCs w:val="24"/>
        </w:rPr>
        <w:t xml:space="preserve"> </w:t>
      </w:r>
      <w:r w:rsidR="00AA741B">
        <w:rPr>
          <w:rFonts w:ascii="Times New Roman" w:hAnsi="Times New Roman"/>
          <w:sz w:val="24"/>
          <w:szCs w:val="24"/>
        </w:rPr>
        <w:t>s</w:t>
      </w:r>
      <w:r w:rsidR="00501F7C">
        <w:rPr>
          <w:rFonts w:ascii="Times New Roman" w:hAnsi="Times New Roman"/>
          <w:sz w:val="24"/>
          <w:szCs w:val="24"/>
        </w:rPr>
        <w:t xml:space="preserve">ubmit </w:t>
      </w:r>
      <w:r w:rsidR="006E5842">
        <w:rPr>
          <w:rFonts w:ascii="Times New Roman" w:hAnsi="Times New Roman"/>
          <w:sz w:val="24"/>
          <w:szCs w:val="24"/>
        </w:rPr>
        <w:t>the Closeout Performance Report</w:t>
      </w:r>
      <w:r w:rsidRPr="002411F4">
        <w:rPr>
          <w:rFonts w:ascii="Times New Roman" w:hAnsi="Times New Roman"/>
          <w:sz w:val="24"/>
          <w:szCs w:val="24"/>
        </w:rPr>
        <w:t>.</w:t>
      </w:r>
      <w:r w:rsidR="005B0A5A">
        <w:rPr>
          <w:rFonts w:ascii="Times New Roman" w:hAnsi="Times New Roman"/>
          <w:sz w:val="24"/>
          <w:szCs w:val="24"/>
        </w:rPr>
        <w:t xml:space="preserve">  </w:t>
      </w:r>
      <w:r w:rsidR="00DB5521">
        <w:rPr>
          <w:rFonts w:ascii="Times New Roman" w:hAnsi="Times New Roman"/>
          <w:sz w:val="24"/>
          <w:szCs w:val="24"/>
        </w:rPr>
        <w:t>The estimate of the annualized cost to the Federal government does not include the hours for the Agencies’ review of the Standard Forms associated with</w:t>
      </w:r>
      <w:r w:rsidR="006E5842">
        <w:rPr>
          <w:rFonts w:ascii="Times New Roman" w:hAnsi="Times New Roman"/>
          <w:sz w:val="24"/>
          <w:szCs w:val="24"/>
        </w:rPr>
        <w:t xml:space="preserve"> the closeout of </w:t>
      </w:r>
      <w:r w:rsidR="00DB5521">
        <w:rPr>
          <w:rFonts w:ascii="Times New Roman" w:hAnsi="Times New Roman"/>
          <w:sz w:val="24"/>
          <w:szCs w:val="24"/>
        </w:rPr>
        <w:t xml:space="preserve">this grant program.  </w:t>
      </w:r>
      <w:r w:rsidRPr="00F51E8B" w:rsidR="00F51E8B">
        <w:rPr>
          <w:rFonts w:ascii="Times New Roman" w:hAnsi="Times New Roman"/>
          <w:sz w:val="24"/>
          <w:szCs w:val="24"/>
        </w:rPr>
        <w:t>The estimates for the Standard Forms will be included in the Agencies’ Request for Common Form to use the previo</w:t>
      </w:r>
      <w:bookmarkStart w:name="_GoBack" w:id="0"/>
      <w:bookmarkEnd w:id="0"/>
      <w:r w:rsidRPr="00F51E8B" w:rsidR="00F51E8B">
        <w:rPr>
          <w:rFonts w:ascii="Times New Roman" w:hAnsi="Times New Roman"/>
          <w:sz w:val="24"/>
          <w:szCs w:val="24"/>
        </w:rPr>
        <w:t>usly approved OMB information collection instruments.</w:t>
      </w:r>
    </w:p>
    <w:p w:rsidR="0035249C" w:rsidP="0035249C" w:rsidRDefault="0035249C" w14:paraId="6A359DA2" w14:textId="77777777">
      <w:pPr>
        <w:pStyle w:val="ColorfulList-Accent11"/>
        <w:spacing w:after="0"/>
        <w:ind w:left="540"/>
        <w:rPr>
          <w:rFonts w:ascii="Times New Roman" w:hAnsi="Times New Roman"/>
          <w:sz w:val="24"/>
          <w:szCs w:val="24"/>
        </w:rPr>
      </w:pPr>
    </w:p>
    <w:p w:rsidR="000812E5" w:rsidP="0035249C" w:rsidRDefault="000812E5" w14:paraId="6994788E" w14:textId="77233F5D">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t>Explain the reasons for any pr</w:t>
      </w:r>
      <w:r w:rsidRPr="002411F4" w:rsidR="00991F63">
        <w:rPr>
          <w:rFonts w:ascii="Times New Roman" w:hAnsi="Times New Roman"/>
          <w:b/>
          <w:sz w:val="24"/>
          <w:szCs w:val="24"/>
          <w:u w:val="single"/>
        </w:rPr>
        <w:t>ogram changes or adjustments</w:t>
      </w:r>
      <w:r w:rsidR="003D07AA">
        <w:rPr>
          <w:rFonts w:ascii="Times New Roman" w:hAnsi="Times New Roman"/>
          <w:b/>
          <w:sz w:val="24"/>
          <w:szCs w:val="24"/>
          <w:u w:val="single"/>
        </w:rPr>
        <w:t xml:space="preserve"> reported in ROCIS</w:t>
      </w:r>
      <w:r w:rsidRPr="002411F4" w:rsidR="00991F63">
        <w:rPr>
          <w:rFonts w:ascii="Times New Roman" w:hAnsi="Times New Roman"/>
          <w:b/>
          <w:sz w:val="24"/>
          <w:szCs w:val="24"/>
          <w:u w:val="single"/>
        </w:rPr>
        <w:t>.</w:t>
      </w:r>
    </w:p>
    <w:p w:rsidRPr="002411F4" w:rsidR="00AA741B" w:rsidP="00AA741B" w:rsidRDefault="00AA741B" w14:paraId="7FE1DB4A" w14:textId="77777777">
      <w:pPr>
        <w:pStyle w:val="ColorfulList-Accent11"/>
        <w:spacing w:after="0"/>
        <w:ind w:left="360"/>
        <w:rPr>
          <w:rFonts w:ascii="Times New Roman" w:hAnsi="Times New Roman"/>
          <w:b/>
          <w:sz w:val="24"/>
          <w:szCs w:val="24"/>
          <w:u w:val="single"/>
        </w:rPr>
      </w:pPr>
    </w:p>
    <w:p w:rsidRPr="002411F4" w:rsidR="00253438" w:rsidP="0035727F" w:rsidRDefault="00B02C84" w14:paraId="16A6A1D1" w14:textId="7EC2390A">
      <w:pPr>
        <w:spacing w:after="0"/>
        <w:rPr>
          <w:rFonts w:ascii="Times New Roman" w:hAnsi="Times New Roman"/>
          <w:sz w:val="24"/>
          <w:szCs w:val="24"/>
        </w:rPr>
      </w:pPr>
      <w:r>
        <w:rPr>
          <w:rFonts w:ascii="Times New Roman" w:hAnsi="Times New Roman"/>
          <w:sz w:val="24"/>
          <w:szCs w:val="24"/>
        </w:rPr>
        <w:t>The Agencies are asking for</w:t>
      </w:r>
      <w:r w:rsidRPr="002411F4" w:rsidR="00456B19">
        <w:rPr>
          <w:rFonts w:ascii="Times New Roman" w:hAnsi="Times New Roman"/>
          <w:sz w:val="24"/>
          <w:szCs w:val="24"/>
        </w:rPr>
        <w:t xml:space="preserve"> </w:t>
      </w:r>
      <w:r>
        <w:rPr>
          <w:rFonts w:ascii="Times New Roman" w:hAnsi="Times New Roman"/>
          <w:sz w:val="24"/>
          <w:szCs w:val="24"/>
        </w:rPr>
        <w:t>approval</w:t>
      </w:r>
      <w:r w:rsidR="00AF4DAC">
        <w:rPr>
          <w:rFonts w:ascii="Times New Roman" w:hAnsi="Times New Roman"/>
          <w:sz w:val="24"/>
          <w:szCs w:val="24"/>
        </w:rPr>
        <w:t xml:space="preserve"> of a new collection instrument</w:t>
      </w:r>
      <w:r>
        <w:rPr>
          <w:rFonts w:ascii="Times New Roman" w:hAnsi="Times New Roman"/>
          <w:sz w:val="24"/>
          <w:szCs w:val="24"/>
        </w:rPr>
        <w:t>.</w:t>
      </w:r>
    </w:p>
    <w:p w:rsidRPr="002411F4" w:rsidR="00F81C9D" w:rsidP="008B7A62" w:rsidRDefault="00F81C9D" w14:paraId="119A9330" w14:textId="77777777">
      <w:pPr>
        <w:spacing w:after="0"/>
        <w:rPr>
          <w:rFonts w:ascii="Times New Roman" w:hAnsi="Times New Roman"/>
          <w:sz w:val="24"/>
          <w:szCs w:val="24"/>
        </w:rPr>
      </w:pPr>
    </w:p>
    <w:p w:rsidR="000812E5" w:rsidP="00D26209" w:rsidRDefault="003D07AA" w14:paraId="05E0A242" w14:textId="0852A2D8">
      <w:pPr>
        <w:pStyle w:val="ColorfulList-Accent11"/>
        <w:numPr>
          <w:ilvl w:val="0"/>
          <w:numId w:val="2"/>
        </w:numPr>
        <w:spacing w:after="0"/>
        <w:rPr>
          <w:rFonts w:ascii="Times New Roman" w:hAnsi="Times New Roman"/>
          <w:b/>
          <w:sz w:val="24"/>
          <w:szCs w:val="24"/>
          <w:u w:val="single"/>
        </w:rPr>
      </w:pPr>
      <w:r w:rsidRPr="003D07AA">
        <w:rPr>
          <w:rFonts w:ascii="Times New Roman" w:hAnsi="Times New Roman"/>
          <w:b/>
          <w:sz w:val="24"/>
          <w:szCs w:val="24"/>
          <w:u w:val="singl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D1BD0" w:rsidP="002D1BD0" w:rsidRDefault="002D1BD0" w14:paraId="653DE5CC" w14:textId="77777777">
      <w:pPr>
        <w:pStyle w:val="ColorfulList-Accent11"/>
        <w:spacing w:after="0"/>
        <w:ind w:left="540"/>
        <w:rPr>
          <w:rFonts w:ascii="Times New Roman" w:hAnsi="Times New Roman"/>
          <w:b/>
          <w:sz w:val="24"/>
          <w:szCs w:val="24"/>
          <w:u w:val="single"/>
        </w:rPr>
      </w:pPr>
    </w:p>
    <w:p w:rsidRPr="002D1BD0" w:rsidR="002D1BD0" w:rsidP="002D1BD0" w:rsidRDefault="002D1BD0" w14:paraId="4D82C9AA" w14:textId="6BFAB137">
      <w:pPr>
        <w:ind w:left="180"/>
        <w:rPr>
          <w:rFonts w:ascii="Times New Roman" w:hAnsi="Times New Roman"/>
          <w:sz w:val="24"/>
          <w:szCs w:val="24"/>
        </w:rPr>
      </w:pPr>
      <w:r w:rsidRPr="002D1BD0">
        <w:rPr>
          <w:rFonts w:ascii="Times New Roman" w:hAnsi="Times New Roman"/>
          <w:sz w:val="24"/>
          <w:szCs w:val="24"/>
        </w:rPr>
        <w:t>The information collected will not require complex analytical techniques and will be provided in an ex</w:t>
      </w:r>
      <w:r>
        <w:rPr>
          <w:rFonts w:ascii="Times New Roman" w:hAnsi="Times New Roman"/>
          <w:sz w:val="24"/>
          <w:szCs w:val="24"/>
        </w:rPr>
        <w:t>t</w:t>
      </w:r>
      <w:r w:rsidRPr="002D1BD0">
        <w:rPr>
          <w:rFonts w:ascii="Times New Roman" w:hAnsi="Times New Roman"/>
          <w:sz w:val="24"/>
          <w:szCs w:val="24"/>
        </w:rPr>
        <w:t>ernal report on the NHTSA website.</w:t>
      </w:r>
    </w:p>
    <w:p w:rsidRPr="00D26209" w:rsidR="00940944" w:rsidP="00D26209" w:rsidRDefault="000812E5" w14:paraId="31ED474B" w14:textId="2499EC76">
      <w:pPr>
        <w:pStyle w:val="ListParagraph"/>
        <w:numPr>
          <w:ilvl w:val="0"/>
          <w:numId w:val="2"/>
        </w:numPr>
        <w:spacing w:after="0"/>
        <w:rPr>
          <w:rFonts w:ascii="Times New Roman" w:hAnsi="Times New Roman"/>
          <w:b/>
          <w:sz w:val="24"/>
          <w:szCs w:val="24"/>
          <w:u w:val="single"/>
        </w:rPr>
      </w:pPr>
      <w:r w:rsidRPr="00D26209">
        <w:rPr>
          <w:rFonts w:ascii="Times New Roman" w:hAnsi="Times New Roman"/>
          <w:b/>
          <w:sz w:val="24"/>
          <w:szCs w:val="24"/>
          <w:u w:val="single"/>
        </w:rPr>
        <w:t>If seeking approval to not display the expirati</w:t>
      </w:r>
      <w:r w:rsidRPr="00D26209" w:rsidR="00940944">
        <w:rPr>
          <w:rFonts w:ascii="Times New Roman" w:hAnsi="Times New Roman"/>
          <w:b/>
          <w:sz w:val="24"/>
          <w:szCs w:val="24"/>
          <w:u w:val="single"/>
        </w:rPr>
        <w:t>on date for OMB approval of the</w:t>
      </w:r>
    </w:p>
    <w:p w:rsidR="000812E5" w:rsidP="00D26209" w:rsidRDefault="000812E5" w14:paraId="76D4E71A" w14:textId="77777777">
      <w:pPr>
        <w:pStyle w:val="ColorfulList-Accent11"/>
        <w:spacing w:after="0"/>
        <w:ind w:left="0" w:firstLine="540"/>
        <w:rPr>
          <w:rFonts w:ascii="Times New Roman" w:hAnsi="Times New Roman"/>
          <w:b/>
          <w:sz w:val="24"/>
          <w:szCs w:val="24"/>
          <w:u w:val="single"/>
        </w:rPr>
      </w:pPr>
      <w:r w:rsidRPr="002411F4">
        <w:rPr>
          <w:rFonts w:ascii="Times New Roman" w:hAnsi="Times New Roman"/>
          <w:b/>
          <w:sz w:val="24"/>
          <w:szCs w:val="24"/>
          <w:u w:val="single"/>
        </w:rPr>
        <w:t>information collection, explain the reasons why display would be inappropriate.</w:t>
      </w:r>
    </w:p>
    <w:p w:rsidRPr="002411F4" w:rsidR="00AA741B" w:rsidP="008B7A62" w:rsidRDefault="00AA741B" w14:paraId="60B2CEFF" w14:textId="77777777">
      <w:pPr>
        <w:pStyle w:val="ColorfulList-Accent11"/>
        <w:spacing w:after="0"/>
        <w:ind w:left="0"/>
        <w:rPr>
          <w:rFonts w:ascii="Times New Roman" w:hAnsi="Times New Roman"/>
          <w:b/>
          <w:sz w:val="24"/>
          <w:szCs w:val="24"/>
          <w:u w:val="single"/>
        </w:rPr>
      </w:pPr>
    </w:p>
    <w:p w:rsidRPr="002411F4" w:rsidR="00253438" w:rsidP="008B7A62" w:rsidRDefault="004679CE" w14:paraId="46BC04E6" w14:textId="728059A9">
      <w:pPr>
        <w:rPr>
          <w:rFonts w:ascii="Times New Roman" w:hAnsi="Times New Roman"/>
          <w:sz w:val="24"/>
          <w:szCs w:val="24"/>
        </w:rPr>
      </w:pPr>
      <w:r>
        <w:rPr>
          <w:rFonts w:ascii="Times New Roman" w:hAnsi="Times New Roman"/>
          <w:sz w:val="24"/>
          <w:szCs w:val="24"/>
        </w:rPr>
        <w:t xml:space="preserve">The Agencies are not seeking </w:t>
      </w:r>
      <w:r w:rsidR="00C76D08">
        <w:rPr>
          <w:rFonts w:ascii="Times New Roman" w:hAnsi="Times New Roman"/>
          <w:sz w:val="24"/>
          <w:szCs w:val="24"/>
        </w:rPr>
        <w:t>approval to not display the OMB expiration date on the form associated with this information collection</w:t>
      </w:r>
      <w:r>
        <w:rPr>
          <w:rFonts w:ascii="Times New Roman" w:hAnsi="Times New Roman"/>
          <w:sz w:val="24"/>
          <w:szCs w:val="24"/>
        </w:rPr>
        <w:t xml:space="preserve">.  </w:t>
      </w:r>
      <w:r w:rsidR="00E12320">
        <w:rPr>
          <w:rFonts w:ascii="Times New Roman" w:hAnsi="Times New Roman"/>
          <w:sz w:val="24"/>
          <w:szCs w:val="24"/>
        </w:rPr>
        <w:t xml:space="preserve">The standard PRA information will be displayed on </w:t>
      </w:r>
      <w:r w:rsidR="00B02C84">
        <w:rPr>
          <w:rFonts w:ascii="Times New Roman" w:hAnsi="Times New Roman"/>
          <w:sz w:val="24"/>
          <w:szCs w:val="24"/>
        </w:rPr>
        <w:t xml:space="preserve">the Closeout </w:t>
      </w:r>
      <w:r w:rsidR="00C74644">
        <w:rPr>
          <w:rFonts w:ascii="Times New Roman" w:hAnsi="Times New Roman"/>
          <w:sz w:val="24"/>
          <w:szCs w:val="24"/>
        </w:rPr>
        <w:t>P</w:t>
      </w:r>
      <w:r w:rsidR="00DF58ED">
        <w:rPr>
          <w:rFonts w:ascii="Times New Roman" w:hAnsi="Times New Roman"/>
          <w:sz w:val="24"/>
          <w:szCs w:val="24"/>
        </w:rPr>
        <w:t xml:space="preserve">erformance </w:t>
      </w:r>
      <w:r w:rsidR="00B02C84">
        <w:rPr>
          <w:rFonts w:ascii="Times New Roman" w:hAnsi="Times New Roman"/>
          <w:sz w:val="24"/>
          <w:szCs w:val="24"/>
        </w:rPr>
        <w:t>Report</w:t>
      </w:r>
      <w:r w:rsidR="00101FD5">
        <w:rPr>
          <w:rFonts w:ascii="Times New Roman" w:hAnsi="Times New Roman"/>
          <w:sz w:val="24"/>
          <w:szCs w:val="24"/>
        </w:rPr>
        <w:t>.</w:t>
      </w:r>
    </w:p>
    <w:p w:rsidR="000812E5" w:rsidP="00D26209" w:rsidRDefault="000812E5" w14:paraId="3614B37D" w14:textId="074BDBD0">
      <w:pPr>
        <w:pStyle w:val="ColorfulList-Accent11"/>
        <w:numPr>
          <w:ilvl w:val="0"/>
          <w:numId w:val="2"/>
        </w:numPr>
        <w:spacing w:after="0"/>
        <w:rPr>
          <w:rFonts w:ascii="Times New Roman" w:hAnsi="Times New Roman"/>
          <w:b/>
          <w:sz w:val="24"/>
          <w:szCs w:val="24"/>
          <w:u w:val="single"/>
        </w:rPr>
      </w:pPr>
      <w:r w:rsidRPr="002411F4">
        <w:rPr>
          <w:rFonts w:ascii="Times New Roman" w:hAnsi="Times New Roman"/>
          <w:b/>
          <w:sz w:val="24"/>
          <w:szCs w:val="24"/>
          <w:u w:val="single"/>
        </w:rPr>
        <w:lastRenderedPageBreak/>
        <w:t>Explain each exception to the certification statement.</w:t>
      </w:r>
    </w:p>
    <w:p w:rsidRPr="002411F4" w:rsidR="00AA741B" w:rsidP="00AA741B" w:rsidRDefault="00AA741B" w14:paraId="53368445" w14:textId="77777777">
      <w:pPr>
        <w:pStyle w:val="ColorfulList-Accent11"/>
        <w:spacing w:after="0"/>
        <w:ind w:left="360"/>
        <w:rPr>
          <w:rFonts w:ascii="Times New Roman" w:hAnsi="Times New Roman"/>
          <w:b/>
          <w:sz w:val="24"/>
          <w:szCs w:val="24"/>
          <w:u w:val="single"/>
        </w:rPr>
      </w:pPr>
    </w:p>
    <w:p w:rsidR="00253438" w:rsidP="008B7A62" w:rsidRDefault="003D07AA" w14:paraId="78CC1E1C" w14:textId="00616843">
      <w:pPr>
        <w:spacing w:after="0"/>
        <w:rPr>
          <w:rFonts w:ascii="Times New Roman" w:hAnsi="Times New Roman"/>
          <w:sz w:val="24"/>
          <w:szCs w:val="24"/>
        </w:rPr>
      </w:pPr>
      <w:r w:rsidRPr="003D07AA">
        <w:rPr>
          <w:rFonts w:ascii="Times New Roman" w:hAnsi="Times New Roman"/>
          <w:sz w:val="24"/>
          <w:szCs w:val="24"/>
        </w:rPr>
        <w:t>The agency certifies compliance with 5 C</w:t>
      </w:r>
      <w:r w:rsidR="004679CE">
        <w:rPr>
          <w:rFonts w:ascii="Times New Roman" w:hAnsi="Times New Roman"/>
          <w:sz w:val="24"/>
          <w:szCs w:val="24"/>
        </w:rPr>
        <w:t>.</w:t>
      </w:r>
      <w:r w:rsidRPr="003D07AA">
        <w:rPr>
          <w:rFonts w:ascii="Times New Roman" w:hAnsi="Times New Roman"/>
          <w:sz w:val="24"/>
          <w:szCs w:val="24"/>
        </w:rPr>
        <w:t>F</w:t>
      </w:r>
      <w:r w:rsidR="004679CE">
        <w:rPr>
          <w:rFonts w:ascii="Times New Roman" w:hAnsi="Times New Roman"/>
          <w:sz w:val="24"/>
          <w:szCs w:val="24"/>
        </w:rPr>
        <w:t>.</w:t>
      </w:r>
      <w:r w:rsidRPr="003D07AA">
        <w:rPr>
          <w:rFonts w:ascii="Times New Roman" w:hAnsi="Times New Roman"/>
          <w:sz w:val="24"/>
          <w:szCs w:val="24"/>
        </w:rPr>
        <w:t>R</w:t>
      </w:r>
      <w:r w:rsidR="004679CE">
        <w:rPr>
          <w:rFonts w:ascii="Times New Roman" w:hAnsi="Times New Roman"/>
          <w:sz w:val="24"/>
          <w:szCs w:val="24"/>
        </w:rPr>
        <w:t>.</w:t>
      </w:r>
      <w:r w:rsidRPr="003D07AA">
        <w:rPr>
          <w:rFonts w:ascii="Times New Roman" w:hAnsi="Times New Roman"/>
          <w:sz w:val="24"/>
          <w:szCs w:val="24"/>
        </w:rPr>
        <w:t xml:space="preserve"> </w:t>
      </w:r>
      <w:r w:rsidR="004679CE">
        <w:rPr>
          <w:rFonts w:ascii="Times New Roman" w:hAnsi="Times New Roman"/>
          <w:sz w:val="24"/>
          <w:szCs w:val="24"/>
        </w:rPr>
        <w:t xml:space="preserve">§ </w:t>
      </w:r>
      <w:r w:rsidRPr="003D07AA">
        <w:rPr>
          <w:rFonts w:ascii="Times New Roman" w:hAnsi="Times New Roman"/>
          <w:sz w:val="24"/>
          <w:szCs w:val="24"/>
        </w:rPr>
        <w:t>1320.9 and the related provisions of 5 C</w:t>
      </w:r>
      <w:r w:rsidR="004679CE">
        <w:rPr>
          <w:rFonts w:ascii="Times New Roman" w:hAnsi="Times New Roman"/>
          <w:sz w:val="24"/>
          <w:szCs w:val="24"/>
        </w:rPr>
        <w:t>.</w:t>
      </w:r>
      <w:r w:rsidRPr="003D07AA">
        <w:rPr>
          <w:rFonts w:ascii="Times New Roman" w:hAnsi="Times New Roman"/>
          <w:sz w:val="24"/>
          <w:szCs w:val="24"/>
        </w:rPr>
        <w:t>F</w:t>
      </w:r>
      <w:r w:rsidR="004679CE">
        <w:rPr>
          <w:rFonts w:ascii="Times New Roman" w:hAnsi="Times New Roman"/>
          <w:sz w:val="24"/>
          <w:szCs w:val="24"/>
        </w:rPr>
        <w:t>.</w:t>
      </w:r>
      <w:r w:rsidRPr="003D07AA">
        <w:rPr>
          <w:rFonts w:ascii="Times New Roman" w:hAnsi="Times New Roman"/>
          <w:sz w:val="24"/>
          <w:szCs w:val="24"/>
        </w:rPr>
        <w:t>R</w:t>
      </w:r>
      <w:r w:rsidR="004679CE">
        <w:rPr>
          <w:rFonts w:ascii="Times New Roman" w:hAnsi="Times New Roman"/>
          <w:sz w:val="24"/>
          <w:szCs w:val="24"/>
        </w:rPr>
        <w:t>.</w:t>
      </w:r>
      <w:r w:rsidRPr="003D07AA">
        <w:rPr>
          <w:rFonts w:ascii="Times New Roman" w:hAnsi="Times New Roman"/>
          <w:sz w:val="24"/>
          <w:szCs w:val="24"/>
        </w:rPr>
        <w:t xml:space="preserve"> </w:t>
      </w:r>
      <w:r w:rsidR="004679CE">
        <w:rPr>
          <w:rFonts w:ascii="Times New Roman" w:hAnsi="Times New Roman"/>
          <w:sz w:val="24"/>
          <w:szCs w:val="24"/>
        </w:rPr>
        <w:t>§ </w:t>
      </w:r>
      <w:r w:rsidRPr="003D07AA">
        <w:rPr>
          <w:rFonts w:ascii="Times New Roman" w:hAnsi="Times New Roman"/>
          <w:sz w:val="24"/>
          <w:szCs w:val="24"/>
        </w:rPr>
        <w:t>1320.8(b)(3)</w:t>
      </w:r>
      <w:r>
        <w:rPr>
          <w:rFonts w:ascii="Times New Roman" w:hAnsi="Times New Roman"/>
          <w:sz w:val="24"/>
          <w:szCs w:val="24"/>
        </w:rPr>
        <w:t>.</w:t>
      </w:r>
    </w:p>
    <w:p w:rsidRPr="002411F4" w:rsidR="003D07AA" w:rsidP="008B7A62" w:rsidRDefault="003D07AA" w14:paraId="0EF76CDE" w14:textId="77777777">
      <w:pPr>
        <w:spacing w:after="0"/>
        <w:rPr>
          <w:rFonts w:ascii="Times New Roman" w:hAnsi="Times New Roman"/>
          <w:sz w:val="24"/>
          <w:szCs w:val="24"/>
        </w:rPr>
      </w:pPr>
    </w:p>
    <w:p w:rsidRPr="00BA1503" w:rsidR="000812E5" w:rsidP="00D26209" w:rsidRDefault="000812E5" w14:paraId="49AC080A" w14:textId="5A829482">
      <w:pPr>
        <w:pStyle w:val="ColorfulList-Accent11"/>
        <w:spacing w:after="0"/>
        <w:ind w:left="0"/>
        <w:rPr>
          <w:rFonts w:ascii="Times New Roman" w:hAnsi="Times New Roman"/>
          <w:sz w:val="24"/>
          <w:szCs w:val="24"/>
        </w:rPr>
      </w:pPr>
      <w:r w:rsidRPr="002411F4">
        <w:rPr>
          <w:rFonts w:ascii="Times New Roman" w:hAnsi="Times New Roman"/>
          <w:b/>
          <w:sz w:val="24"/>
          <w:szCs w:val="24"/>
        </w:rPr>
        <w:t>COLLECTIONS OF INFORMATION EMPLOYING STATISTICAL METHODS</w:t>
      </w:r>
    </w:p>
    <w:p w:rsidRPr="002411F4" w:rsidR="00BA1503" w:rsidP="00BA1503" w:rsidRDefault="00BA1503" w14:paraId="67BD48D0" w14:textId="77777777">
      <w:pPr>
        <w:pStyle w:val="ColorfulList-Accent11"/>
        <w:spacing w:after="0"/>
        <w:ind w:left="360"/>
        <w:rPr>
          <w:rFonts w:ascii="Times New Roman" w:hAnsi="Times New Roman"/>
          <w:sz w:val="24"/>
          <w:szCs w:val="24"/>
        </w:rPr>
      </w:pPr>
    </w:p>
    <w:p w:rsidRPr="002411F4" w:rsidR="00253438" w:rsidP="008B7A62" w:rsidRDefault="00253438" w14:paraId="639F43F4" w14:textId="77777777">
      <w:pPr>
        <w:rPr>
          <w:rFonts w:ascii="Times New Roman" w:hAnsi="Times New Roman"/>
          <w:sz w:val="24"/>
          <w:szCs w:val="24"/>
        </w:rPr>
      </w:pPr>
      <w:r w:rsidRPr="002411F4">
        <w:rPr>
          <w:rFonts w:ascii="Times New Roman" w:hAnsi="Times New Roman"/>
          <w:sz w:val="24"/>
          <w:szCs w:val="24"/>
        </w:rPr>
        <w:t>The proposed regulation will not employ statistical methods to analyze the information collected from respondents.</w:t>
      </w:r>
    </w:p>
    <w:p w:rsidRPr="002411F4" w:rsidR="00455F19" w:rsidP="0035249C" w:rsidRDefault="00455F19" w14:paraId="1DF7BED6" w14:textId="0DC634F1">
      <w:pPr>
        <w:contextualSpacing/>
        <w:rPr>
          <w:rFonts w:ascii="Times New Roman" w:hAnsi="Times New Roman"/>
          <w:sz w:val="24"/>
          <w:szCs w:val="24"/>
        </w:rPr>
      </w:pPr>
      <w:r w:rsidRPr="002411F4">
        <w:rPr>
          <w:rFonts w:ascii="Times New Roman" w:hAnsi="Times New Roman"/>
          <w:sz w:val="24"/>
          <w:szCs w:val="24"/>
        </w:rPr>
        <w:t>Attachments</w:t>
      </w:r>
      <w:r w:rsidR="0035249C">
        <w:rPr>
          <w:rFonts w:ascii="Times New Roman" w:hAnsi="Times New Roman"/>
          <w:sz w:val="24"/>
          <w:szCs w:val="24"/>
        </w:rPr>
        <w:t xml:space="preserve"> -</w:t>
      </w:r>
      <w:r w:rsidR="004679CE">
        <w:rPr>
          <w:rFonts w:ascii="Times New Roman" w:hAnsi="Times New Roman"/>
          <w:sz w:val="24"/>
          <w:szCs w:val="24"/>
        </w:rPr>
        <w:t xml:space="preserve"> </w:t>
      </w:r>
      <w:r w:rsidRPr="00D26209" w:rsidR="00940778">
        <w:rPr>
          <w:rFonts w:ascii="Times New Roman" w:hAnsi="Times New Roman"/>
          <w:sz w:val="24"/>
          <w:szCs w:val="24"/>
        </w:rPr>
        <w:t>NG</w:t>
      </w:r>
      <w:r w:rsidRPr="00D26209">
        <w:rPr>
          <w:rFonts w:ascii="Times New Roman" w:hAnsi="Times New Roman"/>
          <w:sz w:val="24"/>
          <w:szCs w:val="24"/>
        </w:rPr>
        <w:t xml:space="preserve">911 Advancement Act of 2012 (Pub. L. 112-96, Title VI, Subtitle E) </w:t>
      </w:r>
    </w:p>
    <w:sectPr w:rsidRPr="002411F4" w:rsidR="00455F19" w:rsidSect="00FB3130">
      <w:headerReference w:type="default" r:id="rId11"/>
      <w:footerReference w:type="default" r:id="rId12"/>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6868B" w14:textId="77777777" w:rsidR="003D548B" w:rsidRDefault="003D548B" w:rsidP="007C4276">
      <w:pPr>
        <w:spacing w:after="0" w:line="240" w:lineRule="auto"/>
      </w:pPr>
      <w:r>
        <w:separator/>
      </w:r>
    </w:p>
  </w:endnote>
  <w:endnote w:type="continuationSeparator" w:id="0">
    <w:p w14:paraId="1589CAE0" w14:textId="77777777" w:rsidR="003D548B" w:rsidRDefault="003D548B" w:rsidP="007C4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JLFH H+ Helvetica">
    <w:altName w:val="Arial"/>
    <w:panose1 w:val="00000000000000000000"/>
    <w:charset w:val="00"/>
    <w:family w:val="swiss"/>
    <w:notTrueType/>
    <w:pitch w:val="default"/>
    <w:sig w:usb0="00000003" w:usb1="00000000" w:usb2="00000000" w:usb3="00000000" w:csb0="00000001" w:csb1="00000000"/>
  </w:font>
  <w:font w:name="Joanna MT Std">
    <w:altName w:val="Cambria"/>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114077"/>
      <w:docPartObj>
        <w:docPartGallery w:val="Page Numbers (Bottom of Page)"/>
        <w:docPartUnique/>
      </w:docPartObj>
    </w:sdtPr>
    <w:sdtEndPr>
      <w:rPr>
        <w:rFonts w:ascii="Times New Roman" w:hAnsi="Times New Roman"/>
        <w:noProof/>
        <w:sz w:val="24"/>
        <w:szCs w:val="24"/>
      </w:rPr>
    </w:sdtEndPr>
    <w:sdtContent>
      <w:p w14:paraId="65F78592" w14:textId="4A074C01" w:rsidR="00501F7C" w:rsidRPr="00501F7C" w:rsidRDefault="00501F7C">
        <w:pPr>
          <w:pStyle w:val="Footer"/>
          <w:jc w:val="center"/>
          <w:rPr>
            <w:rFonts w:ascii="Times New Roman" w:hAnsi="Times New Roman"/>
            <w:sz w:val="24"/>
            <w:szCs w:val="24"/>
          </w:rPr>
        </w:pPr>
        <w:r w:rsidRPr="00501F7C">
          <w:rPr>
            <w:rFonts w:ascii="Times New Roman" w:hAnsi="Times New Roman"/>
            <w:sz w:val="24"/>
            <w:szCs w:val="24"/>
          </w:rPr>
          <w:fldChar w:fldCharType="begin"/>
        </w:r>
        <w:r w:rsidRPr="00501F7C">
          <w:rPr>
            <w:rFonts w:ascii="Times New Roman" w:hAnsi="Times New Roman"/>
            <w:sz w:val="24"/>
            <w:szCs w:val="24"/>
          </w:rPr>
          <w:instrText xml:space="preserve"> PAGE   \* MERGEFORMAT </w:instrText>
        </w:r>
        <w:r w:rsidRPr="00501F7C">
          <w:rPr>
            <w:rFonts w:ascii="Times New Roman" w:hAnsi="Times New Roman"/>
            <w:sz w:val="24"/>
            <w:szCs w:val="24"/>
          </w:rPr>
          <w:fldChar w:fldCharType="separate"/>
        </w:r>
        <w:r w:rsidR="00F51E8B">
          <w:rPr>
            <w:rFonts w:ascii="Times New Roman" w:hAnsi="Times New Roman"/>
            <w:noProof/>
            <w:sz w:val="24"/>
            <w:szCs w:val="24"/>
          </w:rPr>
          <w:t>7</w:t>
        </w:r>
        <w:r w:rsidRPr="00501F7C">
          <w:rPr>
            <w:rFonts w:ascii="Times New Roman" w:hAnsi="Times New Roman"/>
            <w:noProof/>
            <w:sz w:val="24"/>
            <w:szCs w:val="24"/>
          </w:rPr>
          <w:fldChar w:fldCharType="end"/>
        </w:r>
      </w:p>
    </w:sdtContent>
  </w:sdt>
  <w:p w14:paraId="63CC1FF5" w14:textId="77777777" w:rsidR="00501F7C" w:rsidRDefault="00501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6BB79" w14:textId="77777777" w:rsidR="003D548B" w:rsidRDefault="003D548B" w:rsidP="007C4276">
      <w:pPr>
        <w:spacing w:after="0" w:line="240" w:lineRule="auto"/>
      </w:pPr>
      <w:r>
        <w:separator/>
      </w:r>
    </w:p>
  </w:footnote>
  <w:footnote w:type="continuationSeparator" w:id="0">
    <w:p w14:paraId="43ABBFD9" w14:textId="77777777" w:rsidR="003D548B" w:rsidRDefault="003D548B" w:rsidP="007C4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877B3" w14:textId="26D0C3AD" w:rsidR="00A75F7C" w:rsidRDefault="00A75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6561E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95F56"/>
    <w:multiLevelType w:val="multilevel"/>
    <w:tmpl w:val="0409001D"/>
    <w:styleLink w:val="Style3"/>
    <w:lvl w:ilvl="0">
      <w:start w:val="1"/>
      <w:numFmt w:val="decimal"/>
      <w:lvlText w:val="%1)"/>
      <w:lvlJc w:val="left"/>
      <w:pPr>
        <w:ind w:left="360" w:hanging="360"/>
      </w:pPr>
      <w:rPr>
        <w:rFonts w:cs="Times New Roman"/>
        <w:b/>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15:restartNumberingAfterBreak="0">
    <w:nsid w:val="0C235108"/>
    <w:multiLevelType w:val="hybridMultilevel"/>
    <w:tmpl w:val="C8F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95EB7"/>
    <w:multiLevelType w:val="hybridMultilevel"/>
    <w:tmpl w:val="B6DEF754"/>
    <w:lvl w:ilvl="0" w:tplc="FFFFFFFF">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1552FF3"/>
    <w:multiLevelType w:val="hybridMultilevel"/>
    <w:tmpl w:val="5CD26D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7205B13"/>
    <w:multiLevelType w:val="hybridMultilevel"/>
    <w:tmpl w:val="037E71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13502C"/>
    <w:multiLevelType w:val="hybridMultilevel"/>
    <w:tmpl w:val="7B62CE40"/>
    <w:lvl w:ilvl="0" w:tplc="F5A6780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96AD4"/>
    <w:multiLevelType w:val="multilevel"/>
    <w:tmpl w:val="9A46DA14"/>
    <w:styleLink w:val="Style1"/>
    <w:lvl w:ilvl="0">
      <w:start w:val="1"/>
      <w:numFmt w:val="decimal"/>
      <w:lvlText w:val="%1."/>
      <w:lvlJc w:val="left"/>
      <w:pPr>
        <w:ind w:left="360" w:hanging="360"/>
      </w:pPr>
      <w:rPr>
        <w:rFonts w:ascii="Times New Roman" w:hAnsi="Times New Roman" w:cs="Times New Roman" w:hint="default"/>
        <w:b/>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15:restartNumberingAfterBreak="0">
    <w:nsid w:val="39177393"/>
    <w:multiLevelType w:val="hybridMultilevel"/>
    <w:tmpl w:val="2A88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854E6"/>
    <w:multiLevelType w:val="multilevel"/>
    <w:tmpl w:val="3858D7EC"/>
    <w:numStyleLink w:val="Style2"/>
  </w:abstractNum>
  <w:abstractNum w:abstractNumId="10" w15:restartNumberingAfterBreak="0">
    <w:nsid w:val="4C285ABF"/>
    <w:multiLevelType w:val="multilevel"/>
    <w:tmpl w:val="3858D7EC"/>
    <w:styleLink w:val="Style2"/>
    <w:lvl w:ilvl="0">
      <w:start w:val="1"/>
      <w:numFmt w:val="upperLetter"/>
      <w:lvlText w:val="%1."/>
      <w:lvlJc w:val="left"/>
      <w:pPr>
        <w:ind w:left="360" w:hanging="360"/>
      </w:pPr>
      <w:rPr>
        <w:rFonts w:ascii="Times New Roman" w:hAnsi="Times New Roman" w:cs="Times New Roman" w:hint="default"/>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5C5A3582"/>
    <w:multiLevelType w:val="multilevel"/>
    <w:tmpl w:val="0409001D"/>
    <w:styleLink w:val="Style4"/>
    <w:lvl w:ilvl="0">
      <w:start w:val="1"/>
      <w:numFmt w:val="decimal"/>
      <w:lvlText w:val="%1)"/>
      <w:lvlJc w:val="left"/>
      <w:pPr>
        <w:ind w:left="360" w:hanging="360"/>
      </w:pPr>
      <w:rPr>
        <w:rFonts w:ascii="Times New Roman" w:hAnsi="Times New Roman" w:cs="Times New Roman"/>
        <w:b/>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699F3C1E"/>
    <w:multiLevelType w:val="hybridMultilevel"/>
    <w:tmpl w:val="7256CBBE"/>
    <w:lvl w:ilvl="0" w:tplc="04090001">
      <w:start w:val="200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32E7B"/>
    <w:multiLevelType w:val="multilevel"/>
    <w:tmpl w:val="9A46DA14"/>
    <w:numStyleLink w:val="Style1"/>
  </w:abstractNum>
  <w:abstractNum w:abstractNumId="14" w15:restartNumberingAfterBreak="0">
    <w:nsid w:val="7976645A"/>
    <w:multiLevelType w:val="hybridMultilevel"/>
    <w:tmpl w:val="5240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0A09C1"/>
    <w:multiLevelType w:val="hybridMultilevel"/>
    <w:tmpl w:val="5FD4DBA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lvlOverride w:ilvl="0">
      <w:lvl w:ilvl="0">
        <w:start w:val="1"/>
        <w:numFmt w:val="decimal"/>
        <w:lvlText w:val="%1."/>
        <w:lvlJc w:val="left"/>
        <w:pPr>
          <w:ind w:left="540" w:hanging="360"/>
        </w:pPr>
        <w:rPr>
          <w:rFonts w:ascii="Times New Roman" w:hAnsi="Times New Roman" w:cs="Times New Roman" w:hint="default"/>
          <w:b/>
          <w:sz w:val="24"/>
        </w:rPr>
      </w:lvl>
    </w:lvlOverride>
  </w:num>
  <w:num w:numId="3">
    <w:abstractNumId w:val="7"/>
  </w:num>
  <w:num w:numId="4">
    <w:abstractNumId w:val="10"/>
  </w:num>
  <w:num w:numId="5">
    <w:abstractNumId w:val="1"/>
  </w:num>
  <w:num w:numId="6">
    <w:abstractNumId w:val="11"/>
  </w:num>
  <w:num w:numId="7">
    <w:abstractNumId w:val="5"/>
  </w:num>
  <w:num w:numId="8">
    <w:abstractNumId w:val="14"/>
  </w:num>
  <w:num w:numId="9">
    <w:abstractNumId w:val="4"/>
  </w:num>
  <w:num w:numId="10">
    <w:abstractNumId w:val="3"/>
  </w:num>
  <w:num w:numId="11">
    <w:abstractNumId w:val="0"/>
  </w:num>
  <w:num w:numId="12">
    <w:abstractNumId w:val="8"/>
  </w:num>
  <w:num w:numId="13">
    <w:abstractNumId w:val="12"/>
  </w:num>
  <w:num w:numId="14">
    <w:abstractNumId w:val="2"/>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D0"/>
    <w:rsid w:val="00001B5C"/>
    <w:rsid w:val="00001EBF"/>
    <w:rsid w:val="0000654A"/>
    <w:rsid w:val="00006F03"/>
    <w:rsid w:val="000110E2"/>
    <w:rsid w:val="00012378"/>
    <w:rsid w:val="00013AF3"/>
    <w:rsid w:val="000170A0"/>
    <w:rsid w:val="00017B2B"/>
    <w:rsid w:val="0002071F"/>
    <w:rsid w:val="000226CA"/>
    <w:rsid w:val="000226E8"/>
    <w:rsid w:val="00022A54"/>
    <w:rsid w:val="00022BAA"/>
    <w:rsid w:val="00022D29"/>
    <w:rsid w:val="000238AF"/>
    <w:rsid w:val="000268C7"/>
    <w:rsid w:val="00031FD4"/>
    <w:rsid w:val="000331DA"/>
    <w:rsid w:val="00034AD7"/>
    <w:rsid w:val="000352B0"/>
    <w:rsid w:val="00036C78"/>
    <w:rsid w:val="000400CD"/>
    <w:rsid w:val="000411BC"/>
    <w:rsid w:val="000458AF"/>
    <w:rsid w:val="00046195"/>
    <w:rsid w:val="000479C3"/>
    <w:rsid w:val="00051E5A"/>
    <w:rsid w:val="00052891"/>
    <w:rsid w:val="00052ED0"/>
    <w:rsid w:val="00053EAF"/>
    <w:rsid w:val="000574F0"/>
    <w:rsid w:val="0005751B"/>
    <w:rsid w:val="00057A63"/>
    <w:rsid w:val="000618EA"/>
    <w:rsid w:val="00061BFB"/>
    <w:rsid w:val="00062410"/>
    <w:rsid w:val="000648FC"/>
    <w:rsid w:val="00064929"/>
    <w:rsid w:val="0006498B"/>
    <w:rsid w:val="0006535F"/>
    <w:rsid w:val="00065659"/>
    <w:rsid w:val="0006634A"/>
    <w:rsid w:val="00067E1B"/>
    <w:rsid w:val="000701A0"/>
    <w:rsid w:val="00071365"/>
    <w:rsid w:val="000721FB"/>
    <w:rsid w:val="000732F4"/>
    <w:rsid w:val="00074A66"/>
    <w:rsid w:val="00076081"/>
    <w:rsid w:val="00077AF1"/>
    <w:rsid w:val="000804C8"/>
    <w:rsid w:val="00080A2F"/>
    <w:rsid w:val="000812E5"/>
    <w:rsid w:val="00081EAD"/>
    <w:rsid w:val="00084913"/>
    <w:rsid w:val="00085465"/>
    <w:rsid w:val="00085A67"/>
    <w:rsid w:val="0009108E"/>
    <w:rsid w:val="00092A0F"/>
    <w:rsid w:val="000938A0"/>
    <w:rsid w:val="00093F07"/>
    <w:rsid w:val="000953DA"/>
    <w:rsid w:val="00095B77"/>
    <w:rsid w:val="000968EF"/>
    <w:rsid w:val="00096B2E"/>
    <w:rsid w:val="000A0B1B"/>
    <w:rsid w:val="000A2A52"/>
    <w:rsid w:val="000B1550"/>
    <w:rsid w:val="000B17E6"/>
    <w:rsid w:val="000B1EA0"/>
    <w:rsid w:val="000B60E4"/>
    <w:rsid w:val="000B77C9"/>
    <w:rsid w:val="000C08A5"/>
    <w:rsid w:val="000C1C72"/>
    <w:rsid w:val="000C2410"/>
    <w:rsid w:val="000C276B"/>
    <w:rsid w:val="000C49B8"/>
    <w:rsid w:val="000C508F"/>
    <w:rsid w:val="000C53B0"/>
    <w:rsid w:val="000C6590"/>
    <w:rsid w:val="000C65FA"/>
    <w:rsid w:val="000C695C"/>
    <w:rsid w:val="000C74AC"/>
    <w:rsid w:val="000D40E9"/>
    <w:rsid w:val="000D4FB0"/>
    <w:rsid w:val="000D5614"/>
    <w:rsid w:val="000D63E3"/>
    <w:rsid w:val="000D6411"/>
    <w:rsid w:val="000E1619"/>
    <w:rsid w:val="000E2C86"/>
    <w:rsid w:val="000E3148"/>
    <w:rsid w:val="000E4BEC"/>
    <w:rsid w:val="000E536D"/>
    <w:rsid w:val="000E70FB"/>
    <w:rsid w:val="000E715A"/>
    <w:rsid w:val="000E7482"/>
    <w:rsid w:val="000F2413"/>
    <w:rsid w:val="000F3958"/>
    <w:rsid w:val="000F6EA1"/>
    <w:rsid w:val="00100066"/>
    <w:rsid w:val="00101E89"/>
    <w:rsid w:val="00101FD5"/>
    <w:rsid w:val="001020F5"/>
    <w:rsid w:val="0010260C"/>
    <w:rsid w:val="001045B4"/>
    <w:rsid w:val="00110C29"/>
    <w:rsid w:val="00111018"/>
    <w:rsid w:val="001132E5"/>
    <w:rsid w:val="00114261"/>
    <w:rsid w:val="00114395"/>
    <w:rsid w:val="001147B0"/>
    <w:rsid w:val="001156AC"/>
    <w:rsid w:val="001164A4"/>
    <w:rsid w:val="00121208"/>
    <w:rsid w:val="00121DE5"/>
    <w:rsid w:val="00127591"/>
    <w:rsid w:val="001319F2"/>
    <w:rsid w:val="001329EC"/>
    <w:rsid w:val="00133121"/>
    <w:rsid w:val="001343E8"/>
    <w:rsid w:val="001351DA"/>
    <w:rsid w:val="001374B3"/>
    <w:rsid w:val="00140CBA"/>
    <w:rsid w:val="00140DB2"/>
    <w:rsid w:val="00143A08"/>
    <w:rsid w:val="00144F58"/>
    <w:rsid w:val="00146129"/>
    <w:rsid w:val="00146BC7"/>
    <w:rsid w:val="00147089"/>
    <w:rsid w:val="001512B4"/>
    <w:rsid w:val="0015187B"/>
    <w:rsid w:val="001519BE"/>
    <w:rsid w:val="00151FD0"/>
    <w:rsid w:val="00154F5D"/>
    <w:rsid w:val="00155BD0"/>
    <w:rsid w:val="00156F35"/>
    <w:rsid w:val="0015769A"/>
    <w:rsid w:val="00161715"/>
    <w:rsid w:val="00161EB9"/>
    <w:rsid w:val="00162126"/>
    <w:rsid w:val="0016218E"/>
    <w:rsid w:val="00165023"/>
    <w:rsid w:val="00165529"/>
    <w:rsid w:val="00167168"/>
    <w:rsid w:val="00170358"/>
    <w:rsid w:val="001703B4"/>
    <w:rsid w:val="0017190E"/>
    <w:rsid w:val="00173B42"/>
    <w:rsid w:val="00173E07"/>
    <w:rsid w:val="001749D7"/>
    <w:rsid w:val="0018097B"/>
    <w:rsid w:val="00180B98"/>
    <w:rsid w:val="0018295D"/>
    <w:rsid w:val="00183CF1"/>
    <w:rsid w:val="001871A7"/>
    <w:rsid w:val="00187220"/>
    <w:rsid w:val="00190734"/>
    <w:rsid w:val="00191663"/>
    <w:rsid w:val="00191697"/>
    <w:rsid w:val="00191CCC"/>
    <w:rsid w:val="0019576E"/>
    <w:rsid w:val="00197F2F"/>
    <w:rsid w:val="001A02CA"/>
    <w:rsid w:val="001A281D"/>
    <w:rsid w:val="001A6F1A"/>
    <w:rsid w:val="001B0BDF"/>
    <w:rsid w:val="001B1D96"/>
    <w:rsid w:val="001B331C"/>
    <w:rsid w:val="001B58CE"/>
    <w:rsid w:val="001B6207"/>
    <w:rsid w:val="001C0D6E"/>
    <w:rsid w:val="001C35DF"/>
    <w:rsid w:val="001C4059"/>
    <w:rsid w:val="001D17F5"/>
    <w:rsid w:val="001D2744"/>
    <w:rsid w:val="001D2A8D"/>
    <w:rsid w:val="001D4639"/>
    <w:rsid w:val="001D7DC3"/>
    <w:rsid w:val="001E2286"/>
    <w:rsid w:val="001E29FC"/>
    <w:rsid w:val="001E2A51"/>
    <w:rsid w:val="001F244F"/>
    <w:rsid w:val="001F4A4C"/>
    <w:rsid w:val="001F5353"/>
    <w:rsid w:val="001F71BC"/>
    <w:rsid w:val="001F7397"/>
    <w:rsid w:val="001F7EB6"/>
    <w:rsid w:val="00202113"/>
    <w:rsid w:val="002051E3"/>
    <w:rsid w:val="002059C5"/>
    <w:rsid w:val="00211BBA"/>
    <w:rsid w:val="00211F3B"/>
    <w:rsid w:val="00211FA9"/>
    <w:rsid w:val="00216750"/>
    <w:rsid w:val="00217BDD"/>
    <w:rsid w:val="00222A8E"/>
    <w:rsid w:val="00222CCC"/>
    <w:rsid w:val="0022378D"/>
    <w:rsid w:val="00224339"/>
    <w:rsid w:val="00224BC5"/>
    <w:rsid w:val="00226515"/>
    <w:rsid w:val="002354D2"/>
    <w:rsid w:val="002411F4"/>
    <w:rsid w:val="002418D0"/>
    <w:rsid w:val="002432D7"/>
    <w:rsid w:val="00243EE3"/>
    <w:rsid w:val="0024432A"/>
    <w:rsid w:val="00247366"/>
    <w:rsid w:val="002522C6"/>
    <w:rsid w:val="00252504"/>
    <w:rsid w:val="002526CF"/>
    <w:rsid w:val="00253438"/>
    <w:rsid w:val="002545BF"/>
    <w:rsid w:val="002554E8"/>
    <w:rsid w:val="00255902"/>
    <w:rsid w:val="00255C9E"/>
    <w:rsid w:val="00256DAD"/>
    <w:rsid w:val="00260F30"/>
    <w:rsid w:val="0026425C"/>
    <w:rsid w:val="002646F7"/>
    <w:rsid w:val="0026529C"/>
    <w:rsid w:val="002665CA"/>
    <w:rsid w:val="002665D1"/>
    <w:rsid w:val="00270B99"/>
    <w:rsid w:val="002718D1"/>
    <w:rsid w:val="00271A21"/>
    <w:rsid w:val="00273F31"/>
    <w:rsid w:val="002767BD"/>
    <w:rsid w:val="00276996"/>
    <w:rsid w:val="002801B0"/>
    <w:rsid w:val="00280EAB"/>
    <w:rsid w:val="002825D8"/>
    <w:rsid w:val="00282BFC"/>
    <w:rsid w:val="00283E0F"/>
    <w:rsid w:val="00285255"/>
    <w:rsid w:val="00285BE7"/>
    <w:rsid w:val="00285C7C"/>
    <w:rsid w:val="00285D4E"/>
    <w:rsid w:val="002864BC"/>
    <w:rsid w:val="00286782"/>
    <w:rsid w:val="00291537"/>
    <w:rsid w:val="00291A5B"/>
    <w:rsid w:val="002A3122"/>
    <w:rsid w:val="002A322E"/>
    <w:rsid w:val="002A331B"/>
    <w:rsid w:val="002A3C20"/>
    <w:rsid w:val="002A5315"/>
    <w:rsid w:val="002A6826"/>
    <w:rsid w:val="002A7013"/>
    <w:rsid w:val="002B1317"/>
    <w:rsid w:val="002B158A"/>
    <w:rsid w:val="002B1D25"/>
    <w:rsid w:val="002B219B"/>
    <w:rsid w:val="002B4A06"/>
    <w:rsid w:val="002B7415"/>
    <w:rsid w:val="002B7C2B"/>
    <w:rsid w:val="002C1A13"/>
    <w:rsid w:val="002C43B9"/>
    <w:rsid w:val="002C531D"/>
    <w:rsid w:val="002C7315"/>
    <w:rsid w:val="002C79C5"/>
    <w:rsid w:val="002D1598"/>
    <w:rsid w:val="002D1BD0"/>
    <w:rsid w:val="002D3497"/>
    <w:rsid w:val="002D3FF4"/>
    <w:rsid w:val="002E0445"/>
    <w:rsid w:val="002E0511"/>
    <w:rsid w:val="002E5822"/>
    <w:rsid w:val="002E5B4F"/>
    <w:rsid w:val="002E766C"/>
    <w:rsid w:val="002E769A"/>
    <w:rsid w:val="002F3D63"/>
    <w:rsid w:val="002F57EB"/>
    <w:rsid w:val="002F6888"/>
    <w:rsid w:val="002F6E55"/>
    <w:rsid w:val="002F723F"/>
    <w:rsid w:val="002F7F80"/>
    <w:rsid w:val="0030229E"/>
    <w:rsid w:val="00303D60"/>
    <w:rsid w:val="00303E0A"/>
    <w:rsid w:val="003040C9"/>
    <w:rsid w:val="003045DA"/>
    <w:rsid w:val="00312360"/>
    <w:rsid w:val="003131EA"/>
    <w:rsid w:val="00313355"/>
    <w:rsid w:val="00313C16"/>
    <w:rsid w:val="00316241"/>
    <w:rsid w:val="00317133"/>
    <w:rsid w:val="00317DD8"/>
    <w:rsid w:val="003219C9"/>
    <w:rsid w:val="003248BC"/>
    <w:rsid w:val="00325DA7"/>
    <w:rsid w:val="00330315"/>
    <w:rsid w:val="00330F05"/>
    <w:rsid w:val="00331AE8"/>
    <w:rsid w:val="003331F2"/>
    <w:rsid w:val="00333537"/>
    <w:rsid w:val="003335FF"/>
    <w:rsid w:val="0033366F"/>
    <w:rsid w:val="00334289"/>
    <w:rsid w:val="00334367"/>
    <w:rsid w:val="0033497D"/>
    <w:rsid w:val="00336A9F"/>
    <w:rsid w:val="00337F12"/>
    <w:rsid w:val="00344A6C"/>
    <w:rsid w:val="00344FB5"/>
    <w:rsid w:val="003451E5"/>
    <w:rsid w:val="00345A4C"/>
    <w:rsid w:val="00346AF6"/>
    <w:rsid w:val="00347B44"/>
    <w:rsid w:val="00351159"/>
    <w:rsid w:val="0035249C"/>
    <w:rsid w:val="00352A54"/>
    <w:rsid w:val="00354CBF"/>
    <w:rsid w:val="00355A01"/>
    <w:rsid w:val="00356F21"/>
    <w:rsid w:val="0035727F"/>
    <w:rsid w:val="00357C62"/>
    <w:rsid w:val="00360081"/>
    <w:rsid w:val="00360B1B"/>
    <w:rsid w:val="00361BC9"/>
    <w:rsid w:val="00362CBE"/>
    <w:rsid w:val="00364B76"/>
    <w:rsid w:val="0036584F"/>
    <w:rsid w:val="003676EC"/>
    <w:rsid w:val="00373647"/>
    <w:rsid w:val="00375C65"/>
    <w:rsid w:val="00376C05"/>
    <w:rsid w:val="003776AC"/>
    <w:rsid w:val="00383688"/>
    <w:rsid w:val="00385868"/>
    <w:rsid w:val="003861D4"/>
    <w:rsid w:val="003904BB"/>
    <w:rsid w:val="00390AF7"/>
    <w:rsid w:val="00391823"/>
    <w:rsid w:val="003919A8"/>
    <w:rsid w:val="003930EF"/>
    <w:rsid w:val="0039318D"/>
    <w:rsid w:val="003948FE"/>
    <w:rsid w:val="003A0B5C"/>
    <w:rsid w:val="003A3688"/>
    <w:rsid w:val="003B1E31"/>
    <w:rsid w:val="003B35F1"/>
    <w:rsid w:val="003B6D71"/>
    <w:rsid w:val="003C00BC"/>
    <w:rsid w:val="003C39E6"/>
    <w:rsid w:val="003C3CBF"/>
    <w:rsid w:val="003C4E3C"/>
    <w:rsid w:val="003D07AA"/>
    <w:rsid w:val="003D272D"/>
    <w:rsid w:val="003D3A92"/>
    <w:rsid w:val="003D3EF9"/>
    <w:rsid w:val="003D47B9"/>
    <w:rsid w:val="003D4ABF"/>
    <w:rsid w:val="003D548B"/>
    <w:rsid w:val="003D6CF7"/>
    <w:rsid w:val="003E3787"/>
    <w:rsid w:val="003E4891"/>
    <w:rsid w:val="003E5574"/>
    <w:rsid w:val="003E60D6"/>
    <w:rsid w:val="003E7EBE"/>
    <w:rsid w:val="003F01EB"/>
    <w:rsid w:val="003F15E1"/>
    <w:rsid w:val="003F3436"/>
    <w:rsid w:val="003F4B45"/>
    <w:rsid w:val="003F5CF6"/>
    <w:rsid w:val="0040034E"/>
    <w:rsid w:val="0040348B"/>
    <w:rsid w:val="00411444"/>
    <w:rsid w:val="00412605"/>
    <w:rsid w:val="00413FC1"/>
    <w:rsid w:val="00416C32"/>
    <w:rsid w:val="00417673"/>
    <w:rsid w:val="0041792D"/>
    <w:rsid w:val="004209A5"/>
    <w:rsid w:val="0042107B"/>
    <w:rsid w:val="004245C2"/>
    <w:rsid w:val="00425FAB"/>
    <w:rsid w:val="004272EA"/>
    <w:rsid w:val="00427440"/>
    <w:rsid w:val="004308CE"/>
    <w:rsid w:val="004308E9"/>
    <w:rsid w:val="00431CF4"/>
    <w:rsid w:val="004337C1"/>
    <w:rsid w:val="00433C8B"/>
    <w:rsid w:val="0043504B"/>
    <w:rsid w:val="0044107C"/>
    <w:rsid w:val="004448BE"/>
    <w:rsid w:val="0044666A"/>
    <w:rsid w:val="004479E5"/>
    <w:rsid w:val="004507E3"/>
    <w:rsid w:val="00450985"/>
    <w:rsid w:val="00450F0B"/>
    <w:rsid w:val="0045204A"/>
    <w:rsid w:val="00454107"/>
    <w:rsid w:val="00455969"/>
    <w:rsid w:val="00455F19"/>
    <w:rsid w:val="00456B19"/>
    <w:rsid w:val="00457A9C"/>
    <w:rsid w:val="004604D5"/>
    <w:rsid w:val="00461017"/>
    <w:rsid w:val="00461770"/>
    <w:rsid w:val="00462741"/>
    <w:rsid w:val="00463503"/>
    <w:rsid w:val="0046364F"/>
    <w:rsid w:val="0046445A"/>
    <w:rsid w:val="00465156"/>
    <w:rsid w:val="004663F0"/>
    <w:rsid w:val="0046653D"/>
    <w:rsid w:val="00466AE9"/>
    <w:rsid w:val="004679CE"/>
    <w:rsid w:val="004700D7"/>
    <w:rsid w:val="00470379"/>
    <w:rsid w:val="00471320"/>
    <w:rsid w:val="0047166F"/>
    <w:rsid w:val="00473A29"/>
    <w:rsid w:val="00474314"/>
    <w:rsid w:val="00475E80"/>
    <w:rsid w:val="00476AFB"/>
    <w:rsid w:val="0048074D"/>
    <w:rsid w:val="00482ADF"/>
    <w:rsid w:val="00483618"/>
    <w:rsid w:val="0048649E"/>
    <w:rsid w:val="00492AD4"/>
    <w:rsid w:val="00494094"/>
    <w:rsid w:val="004A05B4"/>
    <w:rsid w:val="004A1500"/>
    <w:rsid w:val="004A2526"/>
    <w:rsid w:val="004A4A88"/>
    <w:rsid w:val="004A5CA2"/>
    <w:rsid w:val="004B1151"/>
    <w:rsid w:val="004B1E30"/>
    <w:rsid w:val="004B2413"/>
    <w:rsid w:val="004B3C14"/>
    <w:rsid w:val="004B4714"/>
    <w:rsid w:val="004B479A"/>
    <w:rsid w:val="004B7BD1"/>
    <w:rsid w:val="004B7E90"/>
    <w:rsid w:val="004C0DE4"/>
    <w:rsid w:val="004C105D"/>
    <w:rsid w:val="004C4201"/>
    <w:rsid w:val="004C45EC"/>
    <w:rsid w:val="004C4AED"/>
    <w:rsid w:val="004C5F01"/>
    <w:rsid w:val="004C6773"/>
    <w:rsid w:val="004D1B5A"/>
    <w:rsid w:val="004D73B4"/>
    <w:rsid w:val="004E044C"/>
    <w:rsid w:val="004E0C08"/>
    <w:rsid w:val="004E2293"/>
    <w:rsid w:val="004E4306"/>
    <w:rsid w:val="004E4E43"/>
    <w:rsid w:val="004E6F73"/>
    <w:rsid w:val="004F0356"/>
    <w:rsid w:val="004F08B9"/>
    <w:rsid w:val="004F14BC"/>
    <w:rsid w:val="004F6787"/>
    <w:rsid w:val="00501F7C"/>
    <w:rsid w:val="00502CC8"/>
    <w:rsid w:val="00502E26"/>
    <w:rsid w:val="00503C9B"/>
    <w:rsid w:val="005107F1"/>
    <w:rsid w:val="005113DB"/>
    <w:rsid w:val="00514069"/>
    <w:rsid w:val="005158E4"/>
    <w:rsid w:val="005158F9"/>
    <w:rsid w:val="00517154"/>
    <w:rsid w:val="00520929"/>
    <w:rsid w:val="00522F03"/>
    <w:rsid w:val="00527772"/>
    <w:rsid w:val="005433EF"/>
    <w:rsid w:val="005434D4"/>
    <w:rsid w:val="00543CC6"/>
    <w:rsid w:val="00544245"/>
    <w:rsid w:val="00545C60"/>
    <w:rsid w:val="005465EB"/>
    <w:rsid w:val="00547883"/>
    <w:rsid w:val="00547E6C"/>
    <w:rsid w:val="00551BCF"/>
    <w:rsid w:val="00553184"/>
    <w:rsid w:val="005535D7"/>
    <w:rsid w:val="005559A6"/>
    <w:rsid w:val="005572EE"/>
    <w:rsid w:val="00557F51"/>
    <w:rsid w:val="005631C0"/>
    <w:rsid w:val="00563B18"/>
    <w:rsid w:val="00570892"/>
    <w:rsid w:val="00571ECC"/>
    <w:rsid w:val="005720DA"/>
    <w:rsid w:val="0057223C"/>
    <w:rsid w:val="00573109"/>
    <w:rsid w:val="005746A4"/>
    <w:rsid w:val="00576370"/>
    <w:rsid w:val="005767DF"/>
    <w:rsid w:val="00577699"/>
    <w:rsid w:val="0059157A"/>
    <w:rsid w:val="005923CC"/>
    <w:rsid w:val="00594A4F"/>
    <w:rsid w:val="005960EA"/>
    <w:rsid w:val="005A0467"/>
    <w:rsid w:val="005A48C9"/>
    <w:rsid w:val="005A5DC7"/>
    <w:rsid w:val="005A730C"/>
    <w:rsid w:val="005A73C9"/>
    <w:rsid w:val="005A7882"/>
    <w:rsid w:val="005B0A5A"/>
    <w:rsid w:val="005B3C95"/>
    <w:rsid w:val="005B4D3E"/>
    <w:rsid w:val="005B7216"/>
    <w:rsid w:val="005B73FF"/>
    <w:rsid w:val="005B75A5"/>
    <w:rsid w:val="005C059E"/>
    <w:rsid w:val="005C071E"/>
    <w:rsid w:val="005C0E02"/>
    <w:rsid w:val="005C1B98"/>
    <w:rsid w:val="005C3438"/>
    <w:rsid w:val="005C4220"/>
    <w:rsid w:val="005C6BC7"/>
    <w:rsid w:val="005C7DD9"/>
    <w:rsid w:val="005D1AFF"/>
    <w:rsid w:val="005D1CFB"/>
    <w:rsid w:val="005D2A8A"/>
    <w:rsid w:val="005D36B5"/>
    <w:rsid w:val="005D6500"/>
    <w:rsid w:val="005D7A8B"/>
    <w:rsid w:val="005E0F8B"/>
    <w:rsid w:val="005E425A"/>
    <w:rsid w:val="005E4269"/>
    <w:rsid w:val="005E60B1"/>
    <w:rsid w:val="005E679F"/>
    <w:rsid w:val="005E726A"/>
    <w:rsid w:val="005F0773"/>
    <w:rsid w:val="005F2DB5"/>
    <w:rsid w:val="005F4BA1"/>
    <w:rsid w:val="005F70F9"/>
    <w:rsid w:val="006027C5"/>
    <w:rsid w:val="00602FE5"/>
    <w:rsid w:val="0060696F"/>
    <w:rsid w:val="00607AD8"/>
    <w:rsid w:val="00611172"/>
    <w:rsid w:val="00615668"/>
    <w:rsid w:val="00616168"/>
    <w:rsid w:val="00617138"/>
    <w:rsid w:val="00621244"/>
    <w:rsid w:val="00621C4D"/>
    <w:rsid w:val="006226D0"/>
    <w:rsid w:val="00624579"/>
    <w:rsid w:val="00627E14"/>
    <w:rsid w:val="00630E45"/>
    <w:rsid w:val="006326CB"/>
    <w:rsid w:val="00635BAE"/>
    <w:rsid w:val="00640F78"/>
    <w:rsid w:val="006431BB"/>
    <w:rsid w:val="00643E1D"/>
    <w:rsid w:val="00644900"/>
    <w:rsid w:val="00644F49"/>
    <w:rsid w:val="00646DC9"/>
    <w:rsid w:val="006470BB"/>
    <w:rsid w:val="00647758"/>
    <w:rsid w:val="00654C35"/>
    <w:rsid w:val="0065786D"/>
    <w:rsid w:val="00661A21"/>
    <w:rsid w:val="00663A06"/>
    <w:rsid w:val="00665BED"/>
    <w:rsid w:val="006662DF"/>
    <w:rsid w:val="00671931"/>
    <w:rsid w:val="0067357D"/>
    <w:rsid w:val="00675678"/>
    <w:rsid w:val="00677736"/>
    <w:rsid w:val="006778AE"/>
    <w:rsid w:val="006807C8"/>
    <w:rsid w:val="00686518"/>
    <w:rsid w:val="006907A7"/>
    <w:rsid w:val="00692076"/>
    <w:rsid w:val="00692A7F"/>
    <w:rsid w:val="00692BF5"/>
    <w:rsid w:val="00692E2C"/>
    <w:rsid w:val="006936BD"/>
    <w:rsid w:val="006939F3"/>
    <w:rsid w:val="00693C76"/>
    <w:rsid w:val="006A0254"/>
    <w:rsid w:val="006A11AA"/>
    <w:rsid w:val="006A38C4"/>
    <w:rsid w:val="006A65BC"/>
    <w:rsid w:val="006A72EB"/>
    <w:rsid w:val="006B0D64"/>
    <w:rsid w:val="006B0DBB"/>
    <w:rsid w:val="006B1E57"/>
    <w:rsid w:val="006B2283"/>
    <w:rsid w:val="006B2A79"/>
    <w:rsid w:val="006C2BAB"/>
    <w:rsid w:val="006C54EF"/>
    <w:rsid w:val="006C6CAC"/>
    <w:rsid w:val="006C726F"/>
    <w:rsid w:val="006D1890"/>
    <w:rsid w:val="006D257F"/>
    <w:rsid w:val="006D387E"/>
    <w:rsid w:val="006D4121"/>
    <w:rsid w:val="006D4BD1"/>
    <w:rsid w:val="006D5481"/>
    <w:rsid w:val="006D7CF1"/>
    <w:rsid w:val="006E1F66"/>
    <w:rsid w:val="006E4890"/>
    <w:rsid w:val="006E5670"/>
    <w:rsid w:val="006E5842"/>
    <w:rsid w:val="006E59EF"/>
    <w:rsid w:val="006E7ADE"/>
    <w:rsid w:val="006F0B94"/>
    <w:rsid w:val="006F21F4"/>
    <w:rsid w:val="006F62E3"/>
    <w:rsid w:val="006F6ECA"/>
    <w:rsid w:val="00700DDF"/>
    <w:rsid w:val="00700EEC"/>
    <w:rsid w:val="007014C5"/>
    <w:rsid w:val="00702F11"/>
    <w:rsid w:val="0070333B"/>
    <w:rsid w:val="0070348E"/>
    <w:rsid w:val="007074CB"/>
    <w:rsid w:val="00710E1F"/>
    <w:rsid w:val="007115EC"/>
    <w:rsid w:val="007147AE"/>
    <w:rsid w:val="00715EFF"/>
    <w:rsid w:val="00717721"/>
    <w:rsid w:val="007208FB"/>
    <w:rsid w:val="00720B74"/>
    <w:rsid w:val="00721C68"/>
    <w:rsid w:val="00722EDA"/>
    <w:rsid w:val="007246A0"/>
    <w:rsid w:val="00724AEB"/>
    <w:rsid w:val="007259CE"/>
    <w:rsid w:val="007261DC"/>
    <w:rsid w:val="00726C24"/>
    <w:rsid w:val="007332C2"/>
    <w:rsid w:val="007346F7"/>
    <w:rsid w:val="0073480C"/>
    <w:rsid w:val="00737188"/>
    <w:rsid w:val="00742791"/>
    <w:rsid w:val="00742CE9"/>
    <w:rsid w:val="007431A7"/>
    <w:rsid w:val="007432D2"/>
    <w:rsid w:val="00743354"/>
    <w:rsid w:val="00745720"/>
    <w:rsid w:val="0074579A"/>
    <w:rsid w:val="00756DD9"/>
    <w:rsid w:val="00756E8C"/>
    <w:rsid w:val="0076098A"/>
    <w:rsid w:val="00763F6C"/>
    <w:rsid w:val="00764FEC"/>
    <w:rsid w:val="007655A8"/>
    <w:rsid w:val="00766487"/>
    <w:rsid w:val="0077123A"/>
    <w:rsid w:val="00771559"/>
    <w:rsid w:val="00772088"/>
    <w:rsid w:val="0077273B"/>
    <w:rsid w:val="0077414F"/>
    <w:rsid w:val="007743E6"/>
    <w:rsid w:val="00774F83"/>
    <w:rsid w:val="007760A4"/>
    <w:rsid w:val="007767E6"/>
    <w:rsid w:val="007775DF"/>
    <w:rsid w:val="00777818"/>
    <w:rsid w:val="0078092E"/>
    <w:rsid w:val="0078295F"/>
    <w:rsid w:val="007835D4"/>
    <w:rsid w:val="00791701"/>
    <w:rsid w:val="00792634"/>
    <w:rsid w:val="00794A14"/>
    <w:rsid w:val="00794A87"/>
    <w:rsid w:val="007956C3"/>
    <w:rsid w:val="007971BA"/>
    <w:rsid w:val="00797BAB"/>
    <w:rsid w:val="007A4EF1"/>
    <w:rsid w:val="007A519F"/>
    <w:rsid w:val="007A627F"/>
    <w:rsid w:val="007A6C7A"/>
    <w:rsid w:val="007B1DF8"/>
    <w:rsid w:val="007B3768"/>
    <w:rsid w:val="007B6179"/>
    <w:rsid w:val="007B617A"/>
    <w:rsid w:val="007B6DAC"/>
    <w:rsid w:val="007B70F7"/>
    <w:rsid w:val="007C0768"/>
    <w:rsid w:val="007C1BB0"/>
    <w:rsid w:val="007C4276"/>
    <w:rsid w:val="007C675F"/>
    <w:rsid w:val="007C79F1"/>
    <w:rsid w:val="007C7BCA"/>
    <w:rsid w:val="007D27F0"/>
    <w:rsid w:val="007D2B8C"/>
    <w:rsid w:val="007D2C1C"/>
    <w:rsid w:val="007D37EB"/>
    <w:rsid w:val="007D4AFF"/>
    <w:rsid w:val="007E1730"/>
    <w:rsid w:val="007E224A"/>
    <w:rsid w:val="007E3285"/>
    <w:rsid w:val="007E3426"/>
    <w:rsid w:val="007E39AC"/>
    <w:rsid w:val="007E44F1"/>
    <w:rsid w:val="007E4BF7"/>
    <w:rsid w:val="007E5284"/>
    <w:rsid w:val="007F1C53"/>
    <w:rsid w:val="007F22F5"/>
    <w:rsid w:val="007F2907"/>
    <w:rsid w:val="007F3635"/>
    <w:rsid w:val="007F3F61"/>
    <w:rsid w:val="007F68DC"/>
    <w:rsid w:val="007F7027"/>
    <w:rsid w:val="007F783C"/>
    <w:rsid w:val="007F7958"/>
    <w:rsid w:val="007F7D04"/>
    <w:rsid w:val="008011FF"/>
    <w:rsid w:val="00802E9A"/>
    <w:rsid w:val="00806CCA"/>
    <w:rsid w:val="008108A0"/>
    <w:rsid w:val="00810B1D"/>
    <w:rsid w:val="00811794"/>
    <w:rsid w:val="00812E5A"/>
    <w:rsid w:val="00813790"/>
    <w:rsid w:val="00814671"/>
    <w:rsid w:val="00817C95"/>
    <w:rsid w:val="008229EF"/>
    <w:rsid w:val="00824220"/>
    <w:rsid w:val="00825D74"/>
    <w:rsid w:val="008316ED"/>
    <w:rsid w:val="0083294D"/>
    <w:rsid w:val="00833C8D"/>
    <w:rsid w:val="00834377"/>
    <w:rsid w:val="0083798C"/>
    <w:rsid w:val="00840CE1"/>
    <w:rsid w:val="0084202C"/>
    <w:rsid w:val="00843550"/>
    <w:rsid w:val="00843568"/>
    <w:rsid w:val="00853079"/>
    <w:rsid w:val="00853189"/>
    <w:rsid w:val="00856A3F"/>
    <w:rsid w:val="00857878"/>
    <w:rsid w:val="00860F10"/>
    <w:rsid w:val="0086178C"/>
    <w:rsid w:val="00862A4A"/>
    <w:rsid w:val="00863444"/>
    <w:rsid w:val="00863C7B"/>
    <w:rsid w:val="00864029"/>
    <w:rsid w:val="00865054"/>
    <w:rsid w:val="0086782C"/>
    <w:rsid w:val="0087013C"/>
    <w:rsid w:val="008719D6"/>
    <w:rsid w:val="00876A0C"/>
    <w:rsid w:val="00881478"/>
    <w:rsid w:val="00882241"/>
    <w:rsid w:val="00883C68"/>
    <w:rsid w:val="008851B7"/>
    <w:rsid w:val="0088551C"/>
    <w:rsid w:val="0088614B"/>
    <w:rsid w:val="00886CEE"/>
    <w:rsid w:val="00890094"/>
    <w:rsid w:val="0089276A"/>
    <w:rsid w:val="008A4B65"/>
    <w:rsid w:val="008A50CE"/>
    <w:rsid w:val="008A57D8"/>
    <w:rsid w:val="008A752C"/>
    <w:rsid w:val="008A7BCF"/>
    <w:rsid w:val="008B0BE6"/>
    <w:rsid w:val="008B1E0B"/>
    <w:rsid w:val="008B2270"/>
    <w:rsid w:val="008B2FFD"/>
    <w:rsid w:val="008B3B58"/>
    <w:rsid w:val="008B3F81"/>
    <w:rsid w:val="008B447B"/>
    <w:rsid w:val="008B4499"/>
    <w:rsid w:val="008B7A62"/>
    <w:rsid w:val="008B7A67"/>
    <w:rsid w:val="008B7D76"/>
    <w:rsid w:val="008C0E84"/>
    <w:rsid w:val="008C5593"/>
    <w:rsid w:val="008C6182"/>
    <w:rsid w:val="008C6B61"/>
    <w:rsid w:val="008D0E88"/>
    <w:rsid w:val="008D187C"/>
    <w:rsid w:val="008D1AF8"/>
    <w:rsid w:val="008D1B81"/>
    <w:rsid w:val="008D25A8"/>
    <w:rsid w:val="008D377C"/>
    <w:rsid w:val="008D474F"/>
    <w:rsid w:val="008D4AB0"/>
    <w:rsid w:val="008D53A0"/>
    <w:rsid w:val="008D5536"/>
    <w:rsid w:val="008D6CF5"/>
    <w:rsid w:val="008D7F09"/>
    <w:rsid w:val="008E06E2"/>
    <w:rsid w:val="008E117D"/>
    <w:rsid w:val="008E1337"/>
    <w:rsid w:val="008E1F0F"/>
    <w:rsid w:val="008E2438"/>
    <w:rsid w:val="008E2896"/>
    <w:rsid w:val="008E7B6D"/>
    <w:rsid w:val="008F2D88"/>
    <w:rsid w:val="008F3218"/>
    <w:rsid w:val="008F5828"/>
    <w:rsid w:val="008F752E"/>
    <w:rsid w:val="00900859"/>
    <w:rsid w:val="009030E7"/>
    <w:rsid w:val="00910F2E"/>
    <w:rsid w:val="00913609"/>
    <w:rsid w:val="0091408F"/>
    <w:rsid w:val="00914D46"/>
    <w:rsid w:val="009214B6"/>
    <w:rsid w:val="00922F78"/>
    <w:rsid w:val="009244CB"/>
    <w:rsid w:val="00924810"/>
    <w:rsid w:val="00924B4C"/>
    <w:rsid w:val="009258FB"/>
    <w:rsid w:val="00926510"/>
    <w:rsid w:val="0092733B"/>
    <w:rsid w:val="00927B9F"/>
    <w:rsid w:val="00930330"/>
    <w:rsid w:val="009307E3"/>
    <w:rsid w:val="00931716"/>
    <w:rsid w:val="009317D1"/>
    <w:rsid w:val="00931A18"/>
    <w:rsid w:val="009326D1"/>
    <w:rsid w:val="00933D24"/>
    <w:rsid w:val="00934180"/>
    <w:rsid w:val="009378FF"/>
    <w:rsid w:val="00940778"/>
    <w:rsid w:val="00940944"/>
    <w:rsid w:val="00942897"/>
    <w:rsid w:val="00945AF8"/>
    <w:rsid w:val="0094668D"/>
    <w:rsid w:val="00947E26"/>
    <w:rsid w:val="00950B85"/>
    <w:rsid w:val="00950CE6"/>
    <w:rsid w:val="00952EB9"/>
    <w:rsid w:val="00953131"/>
    <w:rsid w:val="009534C9"/>
    <w:rsid w:val="009539BA"/>
    <w:rsid w:val="009566BF"/>
    <w:rsid w:val="009604F8"/>
    <w:rsid w:val="00960DAE"/>
    <w:rsid w:val="00962A78"/>
    <w:rsid w:val="00964350"/>
    <w:rsid w:val="00966613"/>
    <w:rsid w:val="00966C9D"/>
    <w:rsid w:val="00966E3F"/>
    <w:rsid w:val="00967B76"/>
    <w:rsid w:val="00970860"/>
    <w:rsid w:val="00974040"/>
    <w:rsid w:val="00976493"/>
    <w:rsid w:val="00980268"/>
    <w:rsid w:val="00981F1B"/>
    <w:rsid w:val="00983173"/>
    <w:rsid w:val="009845E8"/>
    <w:rsid w:val="00985BC7"/>
    <w:rsid w:val="00991DEE"/>
    <w:rsid w:val="00991F63"/>
    <w:rsid w:val="00992927"/>
    <w:rsid w:val="0099612C"/>
    <w:rsid w:val="0099676D"/>
    <w:rsid w:val="009A002D"/>
    <w:rsid w:val="009A0AEF"/>
    <w:rsid w:val="009A0B7F"/>
    <w:rsid w:val="009A2B09"/>
    <w:rsid w:val="009A6969"/>
    <w:rsid w:val="009B492F"/>
    <w:rsid w:val="009B6245"/>
    <w:rsid w:val="009B6458"/>
    <w:rsid w:val="009B76AE"/>
    <w:rsid w:val="009C080B"/>
    <w:rsid w:val="009C14D7"/>
    <w:rsid w:val="009C2F08"/>
    <w:rsid w:val="009C56C1"/>
    <w:rsid w:val="009C58FE"/>
    <w:rsid w:val="009C5CB0"/>
    <w:rsid w:val="009C5D62"/>
    <w:rsid w:val="009C6737"/>
    <w:rsid w:val="009D44B0"/>
    <w:rsid w:val="009E1E42"/>
    <w:rsid w:val="009E21FC"/>
    <w:rsid w:val="009E2714"/>
    <w:rsid w:val="009E27B3"/>
    <w:rsid w:val="009E594B"/>
    <w:rsid w:val="009E6156"/>
    <w:rsid w:val="009E735F"/>
    <w:rsid w:val="009E757B"/>
    <w:rsid w:val="009E77BA"/>
    <w:rsid w:val="009F1C8C"/>
    <w:rsid w:val="009F4539"/>
    <w:rsid w:val="009F4879"/>
    <w:rsid w:val="009F512E"/>
    <w:rsid w:val="009F6214"/>
    <w:rsid w:val="009F6E55"/>
    <w:rsid w:val="009F7329"/>
    <w:rsid w:val="00A00555"/>
    <w:rsid w:val="00A00A20"/>
    <w:rsid w:val="00A023A2"/>
    <w:rsid w:val="00A030AA"/>
    <w:rsid w:val="00A062F0"/>
    <w:rsid w:val="00A06842"/>
    <w:rsid w:val="00A1304A"/>
    <w:rsid w:val="00A149D2"/>
    <w:rsid w:val="00A14E0C"/>
    <w:rsid w:val="00A154F7"/>
    <w:rsid w:val="00A16F92"/>
    <w:rsid w:val="00A1792A"/>
    <w:rsid w:val="00A22137"/>
    <w:rsid w:val="00A245DB"/>
    <w:rsid w:val="00A25E0F"/>
    <w:rsid w:val="00A26750"/>
    <w:rsid w:val="00A277FB"/>
    <w:rsid w:val="00A27FC1"/>
    <w:rsid w:val="00A30063"/>
    <w:rsid w:val="00A309B6"/>
    <w:rsid w:val="00A31331"/>
    <w:rsid w:val="00A33AC2"/>
    <w:rsid w:val="00A343D5"/>
    <w:rsid w:val="00A407E7"/>
    <w:rsid w:val="00A40904"/>
    <w:rsid w:val="00A42F8E"/>
    <w:rsid w:val="00A4379A"/>
    <w:rsid w:val="00A43CC8"/>
    <w:rsid w:val="00A44C53"/>
    <w:rsid w:val="00A4546F"/>
    <w:rsid w:val="00A46410"/>
    <w:rsid w:val="00A506A5"/>
    <w:rsid w:val="00A50F45"/>
    <w:rsid w:val="00A52542"/>
    <w:rsid w:val="00A535E9"/>
    <w:rsid w:val="00A53798"/>
    <w:rsid w:val="00A54A89"/>
    <w:rsid w:val="00A55FA7"/>
    <w:rsid w:val="00A56AC0"/>
    <w:rsid w:val="00A56F90"/>
    <w:rsid w:val="00A57F37"/>
    <w:rsid w:val="00A608B6"/>
    <w:rsid w:val="00A62126"/>
    <w:rsid w:val="00A65234"/>
    <w:rsid w:val="00A65451"/>
    <w:rsid w:val="00A66C6D"/>
    <w:rsid w:val="00A70D6A"/>
    <w:rsid w:val="00A71CA8"/>
    <w:rsid w:val="00A74977"/>
    <w:rsid w:val="00A74B48"/>
    <w:rsid w:val="00A75F7C"/>
    <w:rsid w:val="00A772B7"/>
    <w:rsid w:val="00A773AC"/>
    <w:rsid w:val="00A81045"/>
    <w:rsid w:val="00A817DC"/>
    <w:rsid w:val="00A838D5"/>
    <w:rsid w:val="00A90897"/>
    <w:rsid w:val="00A94208"/>
    <w:rsid w:val="00A957FB"/>
    <w:rsid w:val="00A967EC"/>
    <w:rsid w:val="00AA10D9"/>
    <w:rsid w:val="00AA1318"/>
    <w:rsid w:val="00AA1983"/>
    <w:rsid w:val="00AA57F6"/>
    <w:rsid w:val="00AA5C65"/>
    <w:rsid w:val="00AA7032"/>
    <w:rsid w:val="00AA741B"/>
    <w:rsid w:val="00AB053C"/>
    <w:rsid w:val="00AB1660"/>
    <w:rsid w:val="00AB197C"/>
    <w:rsid w:val="00AB4274"/>
    <w:rsid w:val="00AB7B6C"/>
    <w:rsid w:val="00AC275E"/>
    <w:rsid w:val="00AC4AF5"/>
    <w:rsid w:val="00AC5C49"/>
    <w:rsid w:val="00AC6922"/>
    <w:rsid w:val="00AC6F3F"/>
    <w:rsid w:val="00AD025D"/>
    <w:rsid w:val="00AD1DE5"/>
    <w:rsid w:val="00AD3BB9"/>
    <w:rsid w:val="00AD6567"/>
    <w:rsid w:val="00AD6A5D"/>
    <w:rsid w:val="00AD7ED1"/>
    <w:rsid w:val="00AE4414"/>
    <w:rsid w:val="00AE4461"/>
    <w:rsid w:val="00AE4544"/>
    <w:rsid w:val="00AE4C86"/>
    <w:rsid w:val="00AF0759"/>
    <w:rsid w:val="00AF29F7"/>
    <w:rsid w:val="00AF3DD4"/>
    <w:rsid w:val="00AF4DAC"/>
    <w:rsid w:val="00AF768B"/>
    <w:rsid w:val="00AF7F5E"/>
    <w:rsid w:val="00B02C84"/>
    <w:rsid w:val="00B02DBE"/>
    <w:rsid w:val="00B036BD"/>
    <w:rsid w:val="00B12C98"/>
    <w:rsid w:val="00B12E7A"/>
    <w:rsid w:val="00B13DD7"/>
    <w:rsid w:val="00B22CFC"/>
    <w:rsid w:val="00B24164"/>
    <w:rsid w:val="00B313FF"/>
    <w:rsid w:val="00B31F72"/>
    <w:rsid w:val="00B325CA"/>
    <w:rsid w:val="00B3316B"/>
    <w:rsid w:val="00B33EFA"/>
    <w:rsid w:val="00B37330"/>
    <w:rsid w:val="00B37C6A"/>
    <w:rsid w:val="00B37DA1"/>
    <w:rsid w:val="00B4096A"/>
    <w:rsid w:val="00B4381E"/>
    <w:rsid w:val="00B509DE"/>
    <w:rsid w:val="00B50A87"/>
    <w:rsid w:val="00B560A9"/>
    <w:rsid w:val="00B56E79"/>
    <w:rsid w:val="00B65F0B"/>
    <w:rsid w:val="00B71176"/>
    <w:rsid w:val="00B71E11"/>
    <w:rsid w:val="00B73632"/>
    <w:rsid w:val="00B77836"/>
    <w:rsid w:val="00B77B6D"/>
    <w:rsid w:val="00B85D5D"/>
    <w:rsid w:val="00B91B5B"/>
    <w:rsid w:val="00B930C2"/>
    <w:rsid w:val="00B93663"/>
    <w:rsid w:val="00B95F65"/>
    <w:rsid w:val="00B9656F"/>
    <w:rsid w:val="00B96719"/>
    <w:rsid w:val="00BA067C"/>
    <w:rsid w:val="00BA074F"/>
    <w:rsid w:val="00BA1012"/>
    <w:rsid w:val="00BA1503"/>
    <w:rsid w:val="00BA22DF"/>
    <w:rsid w:val="00BA369E"/>
    <w:rsid w:val="00BA6256"/>
    <w:rsid w:val="00BA6B4F"/>
    <w:rsid w:val="00BB147F"/>
    <w:rsid w:val="00BB611E"/>
    <w:rsid w:val="00BB66AE"/>
    <w:rsid w:val="00BC0857"/>
    <w:rsid w:val="00BC3347"/>
    <w:rsid w:val="00BC4100"/>
    <w:rsid w:val="00BC45C2"/>
    <w:rsid w:val="00BC71E5"/>
    <w:rsid w:val="00BC7FC1"/>
    <w:rsid w:val="00BD1496"/>
    <w:rsid w:val="00BD22BC"/>
    <w:rsid w:val="00BD4B4B"/>
    <w:rsid w:val="00BE0DC1"/>
    <w:rsid w:val="00BE2EEC"/>
    <w:rsid w:val="00BE31B3"/>
    <w:rsid w:val="00BE3841"/>
    <w:rsid w:val="00BE55F7"/>
    <w:rsid w:val="00BE58CD"/>
    <w:rsid w:val="00BE7880"/>
    <w:rsid w:val="00BE7CE0"/>
    <w:rsid w:val="00BF17BA"/>
    <w:rsid w:val="00BF3E9E"/>
    <w:rsid w:val="00BF4FF9"/>
    <w:rsid w:val="00BF7537"/>
    <w:rsid w:val="00C00F0A"/>
    <w:rsid w:val="00C01ECD"/>
    <w:rsid w:val="00C064BE"/>
    <w:rsid w:val="00C10036"/>
    <w:rsid w:val="00C13885"/>
    <w:rsid w:val="00C174D6"/>
    <w:rsid w:val="00C20938"/>
    <w:rsid w:val="00C21080"/>
    <w:rsid w:val="00C2140B"/>
    <w:rsid w:val="00C2479E"/>
    <w:rsid w:val="00C256B2"/>
    <w:rsid w:val="00C264F0"/>
    <w:rsid w:val="00C26C0C"/>
    <w:rsid w:val="00C27021"/>
    <w:rsid w:val="00C30C03"/>
    <w:rsid w:val="00C320FE"/>
    <w:rsid w:val="00C34E2D"/>
    <w:rsid w:val="00C36122"/>
    <w:rsid w:val="00C40EA1"/>
    <w:rsid w:val="00C422D8"/>
    <w:rsid w:val="00C46735"/>
    <w:rsid w:val="00C468BE"/>
    <w:rsid w:val="00C5024E"/>
    <w:rsid w:val="00C528D9"/>
    <w:rsid w:val="00C55E3C"/>
    <w:rsid w:val="00C60090"/>
    <w:rsid w:val="00C60B48"/>
    <w:rsid w:val="00C613DC"/>
    <w:rsid w:val="00C6314B"/>
    <w:rsid w:val="00C63C76"/>
    <w:rsid w:val="00C66B79"/>
    <w:rsid w:val="00C67CFE"/>
    <w:rsid w:val="00C71146"/>
    <w:rsid w:val="00C72147"/>
    <w:rsid w:val="00C721C1"/>
    <w:rsid w:val="00C7378C"/>
    <w:rsid w:val="00C74644"/>
    <w:rsid w:val="00C75609"/>
    <w:rsid w:val="00C75BA2"/>
    <w:rsid w:val="00C768CF"/>
    <w:rsid w:val="00C76D08"/>
    <w:rsid w:val="00C77512"/>
    <w:rsid w:val="00C8064B"/>
    <w:rsid w:val="00C844EF"/>
    <w:rsid w:val="00C84D73"/>
    <w:rsid w:val="00C87DCE"/>
    <w:rsid w:val="00C910FE"/>
    <w:rsid w:val="00C9324B"/>
    <w:rsid w:val="00C94DC0"/>
    <w:rsid w:val="00C975BA"/>
    <w:rsid w:val="00CA15D4"/>
    <w:rsid w:val="00CA2FB5"/>
    <w:rsid w:val="00CA3900"/>
    <w:rsid w:val="00CA5169"/>
    <w:rsid w:val="00CA581C"/>
    <w:rsid w:val="00CA5934"/>
    <w:rsid w:val="00CA6D52"/>
    <w:rsid w:val="00CA71E1"/>
    <w:rsid w:val="00CB1944"/>
    <w:rsid w:val="00CB1E61"/>
    <w:rsid w:val="00CB3AB2"/>
    <w:rsid w:val="00CB5B94"/>
    <w:rsid w:val="00CB6244"/>
    <w:rsid w:val="00CB6C05"/>
    <w:rsid w:val="00CB7007"/>
    <w:rsid w:val="00CC122F"/>
    <w:rsid w:val="00CC23BC"/>
    <w:rsid w:val="00CC3498"/>
    <w:rsid w:val="00CC56A6"/>
    <w:rsid w:val="00CC7792"/>
    <w:rsid w:val="00CC7C37"/>
    <w:rsid w:val="00CD05C6"/>
    <w:rsid w:val="00CD3673"/>
    <w:rsid w:val="00CD38F8"/>
    <w:rsid w:val="00CD3F8A"/>
    <w:rsid w:val="00CE0E6D"/>
    <w:rsid w:val="00CE4A60"/>
    <w:rsid w:val="00CE4CFD"/>
    <w:rsid w:val="00CE504C"/>
    <w:rsid w:val="00CE5319"/>
    <w:rsid w:val="00CE7071"/>
    <w:rsid w:val="00CE7D6D"/>
    <w:rsid w:val="00CF1076"/>
    <w:rsid w:val="00CF1A4E"/>
    <w:rsid w:val="00CF40B1"/>
    <w:rsid w:val="00CF48FD"/>
    <w:rsid w:val="00CF569A"/>
    <w:rsid w:val="00CF5A45"/>
    <w:rsid w:val="00CF6D25"/>
    <w:rsid w:val="00CF7F80"/>
    <w:rsid w:val="00D03587"/>
    <w:rsid w:val="00D03C85"/>
    <w:rsid w:val="00D03F3D"/>
    <w:rsid w:val="00D1442D"/>
    <w:rsid w:val="00D21476"/>
    <w:rsid w:val="00D21698"/>
    <w:rsid w:val="00D240C3"/>
    <w:rsid w:val="00D26209"/>
    <w:rsid w:val="00D2722E"/>
    <w:rsid w:val="00D30280"/>
    <w:rsid w:val="00D3236F"/>
    <w:rsid w:val="00D356A4"/>
    <w:rsid w:val="00D358FB"/>
    <w:rsid w:val="00D36DCD"/>
    <w:rsid w:val="00D37777"/>
    <w:rsid w:val="00D37E72"/>
    <w:rsid w:val="00D40A2F"/>
    <w:rsid w:val="00D40E14"/>
    <w:rsid w:val="00D41699"/>
    <w:rsid w:val="00D41781"/>
    <w:rsid w:val="00D41D3B"/>
    <w:rsid w:val="00D42224"/>
    <w:rsid w:val="00D4316A"/>
    <w:rsid w:val="00D4552C"/>
    <w:rsid w:val="00D466CB"/>
    <w:rsid w:val="00D52149"/>
    <w:rsid w:val="00D5323C"/>
    <w:rsid w:val="00D5459A"/>
    <w:rsid w:val="00D54E10"/>
    <w:rsid w:val="00D552CD"/>
    <w:rsid w:val="00D55669"/>
    <w:rsid w:val="00D60261"/>
    <w:rsid w:val="00D6303C"/>
    <w:rsid w:val="00D642D4"/>
    <w:rsid w:val="00D66068"/>
    <w:rsid w:val="00D674F8"/>
    <w:rsid w:val="00D67B12"/>
    <w:rsid w:val="00D67ED2"/>
    <w:rsid w:val="00D709E3"/>
    <w:rsid w:val="00D72942"/>
    <w:rsid w:val="00D75E11"/>
    <w:rsid w:val="00D76C25"/>
    <w:rsid w:val="00D81227"/>
    <w:rsid w:val="00D826B2"/>
    <w:rsid w:val="00D8439A"/>
    <w:rsid w:val="00D853E0"/>
    <w:rsid w:val="00D8741E"/>
    <w:rsid w:val="00D87691"/>
    <w:rsid w:val="00D876D2"/>
    <w:rsid w:val="00D9103A"/>
    <w:rsid w:val="00D91EBC"/>
    <w:rsid w:val="00D92D46"/>
    <w:rsid w:val="00D931E0"/>
    <w:rsid w:val="00D97602"/>
    <w:rsid w:val="00DA03E5"/>
    <w:rsid w:val="00DA3F40"/>
    <w:rsid w:val="00DA44AB"/>
    <w:rsid w:val="00DA47C2"/>
    <w:rsid w:val="00DA4E38"/>
    <w:rsid w:val="00DA4E85"/>
    <w:rsid w:val="00DA6279"/>
    <w:rsid w:val="00DA7952"/>
    <w:rsid w:val="00DB13F1"/>
    <w:rsid w:val="00DB1BFA"/>
    <w:rsid w:val="00DB1D8F"/>
    <w:rsid w:val="00DB2F46"/>
    <w:rsid w:val="00DB5521"/>
    <w:rsid w:val="00DB647B"/>
    <w:rsid w:val="00DC142D"/>
    <w:rsid w:val="00DC2253"/>
    <w:rsid w:val="00DC28E9"/>
    <w:rsid w:val="00DD16A1"/>
    <w:rsid w:val="00DD1B9A"/>
    <w:rsid w:val="00DD2E7D"/>
    <w:rsid w:val="00DD474B"/>
    <w:rsid w:val="00DD7B88"/>
    <w:rsid w:val="00DE1267"/>
    <w:rsid w:val="00DE15BB"/>
    <w:rsid w:val="00DE1EE2"/>
    <w:rsid w:val="00DE3ECE"/>
    <w:rsid w:val="00DE465E"/>
    <w:rsid w:val="00DE5192"/>
    <w:rsid w:val="00DF456A"/>
    <w:rsid w:val="00DF54CB"/>
    <w:rsid w:val="00DF5572"/>
    <w:rsid w:val="00DF56E4"/>
    <w:rsid w:val="00DF58ED"/>
    <w:rsid w:val="00DF5D70"/>
    <w:rsid w:val="00DF6369"/>
    <w:rsid w:val="00DF74AA"/>
    <w:rsid w:val="00E0092A"/>
    <w:rsid w:val="00E01713"/>
    <w:rsid w:val="00E03885"/>
    <w:rsid w:val="00E03B75"/>
    <w:rsid w:val="00E0576C"/>
    <w:rsid w:val="00E0756F"/>
    <w:rsid w:val="00E10650"/>
    <w:rsid w:val="00E113B1"/>
    <w:rsid w:val="00E119B4"/>
    <w:rsid w:val="00E12320"/>
    <w:rsid w:val="00E12628"/>
    <w:rsid w:val="00E1686D"/>
    <w:rsid w:val="00E20BEE"/>
    <w:rsid w:val="00E27B79"/>
    <w:rsid w:val="00E303F6"/>
    <w:rsid w:val="00E346B8"/>
    <w:rsid w:val="00E36070"/>
    <w:rsid w:val="00E37621"/>
    <w:rsid w:val="00E41409"/>
    <w:rsid w:val="00E41C6A"/>
    <w:rsid w:val="00E423DB"/>
    <w:rsid w:val="00E425C1"/>
    <w:rsid w:val="00E42758"/>
    <w:rsid w:val="00E42AAF"/>
    <w:rsid w:val="00E52A54"/>
    <w:rsid w:val="00E52B47"/>
    <w:rsid w:val="00E54A53"/>
    <w:rsid w:val="00E55D5F"/>
    <w:rsid w:val="00E55F69"/>
    <w:rsid w:val="00E56916"/>
    <w:rsid w:val="00E61BC0"/>
    <w:rsid w:val="00E63378"/>
    <w:rsid w:val="00E66C08"/>
    <w:rsid w:val="00E67AA1"/>
    <w:rsid w:val="00E7330B"/>
    <w:rsid w:val="00E7600D"/>
    <w:rsid w:val="00E81FAE"/>
    <w:rsid w:val="00E82154"/>
    <w:rsid w:val="00E831A0"/>
    <w:rsid w:val="00E85E0D"/>
    <w:rsid w:val="00E86004"/>
    <w:rsid w:val="00E93710"/>
    <w:rsid w:val="00E948BD"/>
    <w:rsid w:val="00EA0FFA"/>
    <w:rsid w:val="00EA1669"/>
    <w:rsid w:val="00EA1807"/>
    <w:rsid w:val="00EA1A85"/>
    <w:rsid w:val="00EA3106"/>
    <w:rsid w:val="00EA3A6D"/>
    <w:rsid w:val="00EA3F7A"/>
    <w:rsid w:val="00EA4E45"/>
    <w:rsid w:val="00EA6A67"/>
    <w:rsid w:val="00EB22F0"/>
    <w:rsid w:val="00EB2714"/>
    <w:rsid w:val="00EB43C6"/>
    <w:rsid w:val="00EB4B52"/>
    <w:rsid w:val="00EB5157"/>
    <w:rsid w:val="00EB6346"/>
    <w:rsid w:val="00EC0824"/>
    <w:rsid w:val="00EC1FBA"/>
    <w:rsid w:val="00EC2D12"/>
    <w:rsid w:val="00EC3494"/>
    <w:rsid w:val="00EC5DC8"/>
    <w:rsid w:val="00EC6AF9"/>
    <w:rsid w:val="00ED04A8"/>
    <w:rsid w:val="00ED0EE3"/>
    <w:rsid w:val="00ED2F79"/>
    <w:rsid w:val="00ED4E1C"/>
    <w:rsid w:val="00ED6192"/>
    <w:rsid w:val="00ED734B"/>
    <w:rsid w:val="00EE0826"/>
    <w:rsid w:val="00EE0BDB"/>
    <w:rsid w:val="00EE1083"/>
    <w:rsid w:val="00EE452B"/>
    <w:rsid w:val="00EE606D"/>
    <w:rsid w:val="00EE70AD"/>
    <w:rsid w:val="00EF2FF9"/>
    <w:rsid w:val="00EF405C"/>
    <w:rsid w:val="00F00CE7"/>
    <w:rsid w:val="00F0188F"/>
    <w:rsid w:val="00F04162"/>
    <w:rsid w:val="00F04C1C"/>
    <w:rsid w:val="00F05BA6"/>
    <w:rsid w:val="00F05F29"/>
    <w:rsid w:val="00F07489"/>
    <w:rsid w:val="00F1126A"/>
    <w:rsid w:val="00F136CA"/>
    <w:rsid w:val="00F13F93"/>
    <w:rsid w:val="00F16F3A"/>
    <w:rsid w:val="00F172CD"/>
    <w:rsid w:val="00F17720"/>
    <w:rsid w:val="00F202C8"/>
    <w:rsid w:val="00F20CC5"/>
    <w:rsid w:val="00F2446B"/>
    <w:rsid w:val="00F24D1D"/>
    <w:rsid w:val="00F262A6"/>
    <w:rsid w:val="00F31D19"/>
    <w:rsid w:val="00F34D49"/>
    <w:rsid w:val="00F370B8"/>
    <w:rsid w:val="00F374AC"/>
    <w:rsid w:val="00F3784C"/>
    <w:rsid w:val="00F4001F"/>
    <w:rsid w:val="00F401D7"/>
    <w:rsid w:val="00F4107E"/>
    <w:rsid w:val="00F42139"/>
    <w:rsid w:val="00F4718F"/>
    <w:rsid w:val="00F50416"/>
    <w:rsid w:val="00F5109F"/>
    <w:rsid w:val="00F51B86"/>
    <w:rsid w:val="00F51E8B"/>
    <w:rsid w:val="00F562D5"/>
    <w:rsid w:val="00F5639C"/>
    <w:rsid w:val="00F56E6C"/>
    <w:rsid w:val="00F5710C"/>
    <w:rsid w:val="00F57597"/>
    <w:rsid w:val="00F57E6B"/>
    <w:rsid w:val="00F57EBB"/>
    <w:rsid w:val="00F65056"/>
    <w:rsid w:val="00F7086B"/>
    <w:rsid w:val="00F71349"/>
    <w:rsid w:val="00F715A1"/>
    <w:rsid w:val="00F72013"/>
    <w:rsid w:val="00F73F7D"/>
    <w:rsid w:val="00F740E8"/>
    <w:rsid w:val="00F741BA"/>
    <w:rsid w:val="00F7527B"/>
    <w:rsid w:val="00F75936"/>
    <w:rsid w:val="00F75BA7"/>
    <w:rsid w:val="00F776BB"/>
    <w:rsid w:val="00F81C81"/>
    <w:rsid w:val="00F81C9D"/>
    <w:rsid w:val="00F832D4"/>
    <w:rsid w:val="00F851E5"/>
    <w:rsid w:val="00F97717"/>
    <w:rsid w:val="00F97AD3"/>
    <w:rsid w:val="00FA1935"/>
    <w:rsid w:val="00FA2BF8"/>
    <w:rsid w:val="00FA3316"/>
    <w:rsid w:val="00FA3882"/>
    <w:rsid w:val="00FA3FE1"/>
    <w:rsid w:val="00FA45C6"/>
    <w:rsid w:val="00FA4BDC"/>
    <w:rsid w:val="00FA607E"/>
    <w:rsid w:val="00FA7907"/>
    <w:rsid w:val="00FB032C"/>
    <w:rsid w:val="00FB1A16"/>
    <w:rsid w:val="00FB22E1"/>
    <w:rsid w:val="00FB3130"/>
    <w:rsid w:val="00FB3D4A"/>
    <w:rsid w:val="00FB426C"/>
    <w:rsid w:val="00FB488D"/>
    <w:rsid w:val="00FB4B35"/>
    <w:rsid w:val="00FB4EE1"/>
    <w:rsid w:val="00FB5E9B"/>
    <w:rsid w:val="00FB6CB7"/>
    <w:rsid w:val="00FB71A7"/>
    <w:rsid w:val="00FC0D2C"/>
    <w:rsid w:val="00FC2935"/>
    <w:rsid w:val="00FC4BB3"/>
    <w:rsid w:val="00FC57B9"/>
    <w:rsid w:val="00FC67E8"/>
    <w:rsid w:val="00FD1DD2"/>
    <w:rsid w:val="00FD35AC"/>
    <w:rsid w:val="00FD58D9"/>
    <w:rsid w:val="00FD64BE"/>
    <w:rsid w:val="00FE133D"/>
    <w:rsid w:val="00FE2B92"/>
    <w:rsid w:val="00FE2C47"/>
    <w:rsid w:val="00FE2F0A"/>
    <w:rsid w:val="00FE6D40"/>
    <w:rsid w:val="00FE6ECF"/>
    <w:rsid w:val="00FE7236"/>
    <w:rsid w:val="00FF0543"/>
    <w:rsid w:val="00FF093F"/>
    <w:rsid w:val="00FF202D"/>
    <w:rsid w:val="00FF2AF2"/>
    <w:rsid w:val="00FF4001"/>
    <w:rsid w:val="00FF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7B2FF48"/>
  <w15:docId w15:val="{77DCDFA8-F134-456E-B407-FB6449A94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C5"/>
    <w:pPr>
      <w:spacing w:after="200" w:line="276" w:lineRule="auto"/>
    </w:pPr>
    <w:rPr>
      <w:rFonts w:eastAsia="Times New Roman"/>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52ED0"/>
    <w:pPr>
      <w:ind w:left="720"/>
      <w:contextualSpacing/>
    </w:pPr>
  </w:style>
  <w:style w:type="character" w:styleId="Hyperlink">
    <w:name w:val="Hyperlink"/>
    <w:rsid w:val="00EA3F7A"/>
    <w:rPr>
      <w:rFonts w:cs="Times New Roman"/>
      <w:color w:val="0000FF"/>
      <w:u w:val="single"/>
    </w:rPr>
  </w:style>
  <w:style w:type="paragraph" w:styleId="FootnoteText">
    <w:name w:val="footnote text"/>
    <w:basedOn w:val="Normal"/>
    <w:link w:val="FootnoteTextChar"/>
    <w:rsid w:val="007C4276"/>
    <w:pPr>
      <w:spacing w:after="0" w:line="240" w:lineRule="auto"/>
    </w:pPr>
    <w:rPr>
      <w:sz w:val="20"/>
      <w:szCs w:val="20"/>
    </w:rPr>
  </w:style>
  <w:style w:type="character" w:customStyle="1" w:styleId="FootnoteTextChar">
    <w:name w:val="Footnote Text Char"/>
    <w:link w:val="FootnoteText"/>
    <w:locked/>
    <w:rsid w:val="007C4276"/>
    <w:rPr>
      <w:rFonts w:cs="Times New Roman"/>
      <w:sz w:val="20"/>
      <w:szCs w:val="20"/>
    </w:rPr>
  </w:style>
  <w:style w:type="character" w:styleId="FootnoteReference">
    <w:name w:val="footnote reference"/>
    <w:semiHidden/>
    <w:rsid w:val="007C4276"/>
    <w:rPr>
      <w:rFonts w:cs="Times New Roman"/>
      <w:vertAlign w:val="superscript"/>
    </w:rPr>
  </w:style>
  <w:style w:type="character" w:styleId="FollowedHyperlink">
    <w:name w:val="FollowedHyperlink"/>
    <w:semiHidden/>
    <w:rsid w:val="009534C9"/>
    <w:rPr>
      <w:rFonts w:cs="Times New Roman"/>
      <w:color w:val="800080"/>
      <w:u w:val="single"/>
    </w:rPr>
  </w:style>
  <w:style w:type="paragraph" w:styleId="BalloonText">
    <w:name w:val="Balloon Text"/>
    <w:basedOn w:val="Normal"/>
    <w:link w:val="BalloonTextChar"/>
    <w:semiHidden/>
    <w:rsid w:val="007A519F"/>
    <w:rPr>
      <w:rFonts w:ascii="Tahoma" w:hAnsi="Tahoma" w:cs="Tahoma"/>
      <w:sz w:val="16"/>
      <w:szCs w:val="16"/>
    </w:rPr>
  </w:style>
  <w:style w:type="character" w:customStyle="1" w:styleId="BalloonTextChar">
    <w:name w:val="Balloon Text Char"/>
    <w:link w:val="BalloonText"/>
    <w:semiHidden/>
    <w:locked/>
    <w:rsid w:val="001D4639"/>
    <w:rPr>
      <w:rFonts w:ascii="Times New Roman" w:hAnsi="Times New Roman" w:cs="Times New Roman"/>
      <w:sz w:val="2"/>
    </w:rPr>
  </w:style>
  <w:style w:type="numbering" w:customStyle="1" w:styleId="Style3">
    <w:name w:val="Style3"/>
    <w:rsid w:val="00D2779D"/>
    <w:pPr>
      <w:numPr>
        <w:numId w:val="5"/>
      </w:numPr>
    </w:pPr>
  </w:style>
  <w:style w:type="numbering" w:customStyle="1" w:styleId="Style1">
    <w:name w:val="Style1"/>
    <w:rsid w:val="00D2779D"/>
    <w:pPr>
      <w:numPr>
        <w:numId w:val="3"/>
      </w:numPr>
    </w:pPr>
  </w:style>
  <w:style w:type="numbering" w:customStyle="1" w:styleId="Style2">
    <w:name w:val="Style2"/>
    <w:rsid w:val="00D2779D"/>
    <w:pPr>
      <w:numPr>
        <w:numId w:val="4"/>
      </w:numPr>
    </w:pPr>
  </w:style>
  <w:style w:type="numbering" w:customStyle="1" w:styleId="Style4">
    <w:name w:val="Style4"/>
    <w:rsid w:val="00D2779D"/>
    <w:pPr>
      <w:numPr>
        <w:numId w:val="6"/>
      </w:numPr>
    </w:pPr>
  </w:style>
  <w:style w:type="character" w:customStyle="1" w:styleId="DeltaViewInsertion">
    <w:name w:val="DeltaView Insertion"/>
    <w:uiPriority w:val="99"/>
    <w:rsid w:val="00DA7952"/>
    <w:rPr>
      <w:color w:val="0000FF"/>
      <w:u w:val="double"/>
    </w:rPr>
  </w:style>
  <w:style w:type="character" w:customStyle="1" w:styleId="DeltaViewMoveDestination">
    <w:name w:val="DeltaView Move Destination"/>
    <w:uiPriority w:val="99"/>
    <w:rsid w:val="00DA7952"/>
    <w:rPr>
      <w:color w:val="00C000"/>
      <w:u w:val="double"/>
    </w:rPr>
  </w:style>
  <w:style w:type="paragraph" w:customStyle="1" w:styleId="CM17">
    <w:name w:val="CM17"/>
    <w:basedOn w:val="Normal"/>
    <w:next w:val="Normal"/>
    <w:uiPriority w:val="99"/>
    <w:rsid w:val="00953131"/>
    <w:pPr>
      <w:widowControl w:val="0"/>
      <w:autoSpaceDE w:val="0"/>
      <w:autoSpaceDN w:val="0"/>
      <w:adjustRightInd w:val="0"/>
      <w:spacing w:after="0" w:line="240" w:lineRule="auto"/>
    </w:pPr>
    <w:rPr>
      <w:rFonts w:ascii="GJLFH H+ Helvetica" w:hAnsi="GJLFH H+ Helvetica"/>
      <w:sz w:val="24"/>
      <w:szCs w:val="24"/>
    </w:rPr>
  </w:style>
  <w:style w:type="character" w:styleId="CommentReference">
    <w:name w:val="annotation reference"/>
    <w:rsid w:val="00AB4274"/>
    <w:rPr>
      <w:sz w:val="16"/>
      <w:szCs w:val="16"/>
    </w:rPr>
  </w:style>
  <w:style w:type="paragraph" w:styleId="CommentText">
    <w:name w:val="annotation text"/>
    <w:basedOn w:val="Normal"/>
    <w:link w:val="CommentTextChar"/>
    <w:rsid w:val="00AB4274"/>
    <w:rPr>
      <w:sz w:val="20"/>
      <w:szCs w:val="20"/>
    </w:rPr>
  </w:style>
  <w:style w:type="character" w:customStyle="1" w:styleId="CommentTextChar">
    <w:name w:val="Comment Text Char"/>
    <w:link w:val="CommentText"/>
    <w:rsid w:val="00AB4274"/>
    <w:rPr>
      <w:rFonts w:eastAsia="Times New Roman"/>
    </w:rPr>
  </w:style>
  <w:style w:type="paragraph" w:styleId="CommentSubject">
    <w:name w:val="annotation subject"/>
    <w:basedOn w:val="CommentText"/>
    <w:next w:val="CommentText"/>
    <w:link w:val="CommentSubjectChar"/>
    <w:rsid w:val="00AB4274"/>
    <w:rPr>
      <w:b/>
      <w:bCs/>
    </w:rPr>
  </w:style>
  <w:style w:type="character" w:customStyle="1" w:styleId="CommentSubjectChar">
    <w:name w:val="Comment Subject Char"/>
    <w:link w:val="CommentSubject"/>
    <w:rsid w:val="00AB4274"/>
    <w:rPr>
      <w:rFonts w:eastAsia="Times New Roman"/>
      <w:b/>
      <w:bCs/>
    </w:rPr>
  </w:style>
  <w:style w:type="paragraph" w:styleId="Header">
    <w:name w:val="header"/>
    <w:basedOn w:val="Normal"/>
    <w:link w:val="HeaderChar"/>
    <w:rsid w:val="00161EB9"/>
    <w:pPr>
      <w:tabs>
        <w:tab w:val="center" w:pos="4680"/>
        <w:tab w:val="right" w:pos="9360"/>
      </w:tabs>
    </w:pPr>
  </w:style>
  <w:style w:type="character" w:customStyle="1" w:styleId="HeaderChar">
    <w:name w:val="Header Char"/>
    <w:link w:val="Header"/>
    <w:rsid w:val="00161EB9"/>
    <w:rPr>
      <w:rFonts w:eastAsia="Times New Roman"/>
      <w:sz w:val="22"/>
      <w:szCs w:val="22"/>
    </w:rPr>
  </w:style>
  <w:style w:type="paragraph" w:styleId="Footer">
    <w:name w:val="footer"/>
    <w:basedOn w:val="Normal"/>
    <w:link w:val="FooterChar"/>
    <w:uiPriority w:val="99"/>
    <w:rsid w:val="00161EB9"/>
    <w:pPr>
      <w:tabs>
        <w:tab w:val="center" w:pos="4680"/>
        <w:tab w:val="right" w:pos="9360"/>
      </w:tabs>
    </w:pPr>
  </w:style>
  <w:style w:type="character" w:customStyle="1" w:styleId="FooterChar">
    <w:name w:val="Footer Char"/>
    <w:link w:val="Footer"/>
    <w:uiPriority w:val="99"/>
    <w:rsid w:val="00161EB9"/>
    <w:rPr>
      <w:rFonts w:eastAsia="Times New Roman"/>
      <w:sz w:val="22"/>
      <w:szCs w:val="22"/>
    </w:rPr>
  </w:style>
  <w:style w:type="paragraph" w:customStyle="1" w:styleId="Default">
    <w:name w:val="Default"/>
    <w:rsid w:val="0076098A"/>
    <w:pPr>
      <w:autoSpaceDE w:val="0"/>
      <w:autoSpaceDN w:val="0"/>
      <w:adjustRightInd w:val="0"/>
    </w:pPr>
    <w:rPr>
      <w:rFonts w:ascii="Joanna MT Std" w:hAnsi="Joanna MT Std" w:cs="Joanna MT Std"/>
      <w:color w:val="000000"/>
      <w:sz w:val="24"/>
      <w:szCs w:val="24"/>
    </w:rPr>
  </w:style>
  <w:style w:type="paragraph" w:customStyle="1" w:styleId="ColorfulShading-Accent11">
    <w:name w:val="Colorful Shading - Accent 11"/>
    <w:hidden/>
    <w:uiPriority w:val="71"/>
    <w:rsid w:val="00F57E6B"/>
    <w:rPr>
      <w:rFonts w:eastAsia="Times New Roman"/>
      <w:sz w:val="22"/>
      <w:szCs w:val="22"/>
    </w:rPr>
  </w:style>
  <w:style w:type="paragraph" w:styleId="NormalWeb">
    <w:name w:val="Normal (Web)"/>
    <w:basedOn w:val="Normal"/>
    <w:uiPriority w:val="99"/>
    <w:unhideWhenUsed/>
    <w:rsid w:val="002059C5"/>
    <w:pPr>
      <w:spacing w:after="240" w:line="332" w:lineRule="atLeast"/>
    </w:pPr>
    <w:rPr>
      <w:rFonts w:ascii="Arial" w:hAnsi="Arial" w:cs="Arial"/>
      <w:color w:val="434343"/>
      <w:spacing w:val="2"/>
      <w:sz w:val="24"/>
      <w:szCs w:val="24"/>
    </w:rPr>
  </w:style>
  <w:style w:type="character" w:customStyle="1" w:styleId="selectable">
    <w:name w:val="selectable"/>
    <w:rsid w:val="00700DDF"/>
  </w:style>
  <w:style w:type="character" w:customStyle="1" w:styleId="tgc">
    <w:name w:val="_tgc"/>
    <w:rsid w:val="00AF7F5E"/>
  </w:style>
  <w:style w:type="paragraph" w:styleId="Revision">
    <w:name w:val="Revision"/>
    <w:hidden/>
    <w:uiPriority w:val="99"/>
    <w:semiHidden/>
    <w:rsid w:val="002411F4"/>
    <w:rPr>
      <w:rFonts w:eastAsia="Times New Roman"/>
      <w:sz w:val="22"/>
      <w:szCs w:val="22"/>
    </w:rPr>
  </w:style>
  <w:style w:type="paragraph" w:styleId="ListParagraph">
    <w:name w:val="List Paragraph"/>
    <w:basedOn w:val="Normal"/>
    <w:uiPriority w:val="34"/>
    <w:qFormat/>
    <w:rsid w:val="006E5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8135">
      <w:bodyDiv w:val="1"/>
      <w:marLeft w:val="0"/>
      <w:marRight w:val="0"/>
      <w:marTop w:val="0"/>
      <w:marBottom w:val="0"/>
      <w:divBdr>
        <w:top w:val="none" w:sz="0" w:space="0" w:color="auto"/>
        <w:left w:val="none" w:sz="0" w:space="0" w:color="auto"/>
        <w:bottom w:val="none" w:sz="0" w:space="0" w:color="auto"/>
        <w:right w:val="none" w:sz="0" w:space="0" w:color="auto"/>
      </w:divBdr>
    </w:div>
    <w:div w:id="155078325">
      <w:bodyDiv w:val="1"/>
      <w:marLeft w:val="0"/>
      <w:marRight w:val="0"/>
      <w:marTop w:val="0"/>
      <w:marBottom w:val="0"/>
      <w:divBdr>
        <w:top w:val="none" w:sz="0" w:space="0" w:color="auto"/>
        <w:left w:val="none" w:sz="0" w:space="0" w:color="auto"/>
        <w:bottom w:val="none" w:sz="0" w:space="0" w:color="auto"/>
        <w:right w:val="none" w:sz="0" w:space="0" w:color="auto"/>
      </w:divBdr>
    </w:div>
    <w:div w:id="253249852">
      <w:bodyDiv w:val="1"/>
      <w:marLeft w:val="0"/>
      <w:marRight w:val="0"/>
      <w:marTop w:val="0"/>
      <w:marBottom w:val="0"/>
      <w:divBdr>
        <w:top w:val="none" w:sz="0" w:space="0" w:color="auto"/>
        <w:left w:val="none" w:sz="0" w:space="0" w:color="auto"/>
        <w:bottom w:val="none" w:sz="0" w:space="0" w:color="auto"/>
        <w:right w:val="none" w:sz="0" w:space="0" w:color="auto"/>
      </w:divBdr>
    </w:div>
    <w:div w:id="689070618">
      <w:bodyDiv w:val="1"/>
      <w:marLeft w:val="0"/>
      <w:marRight w:val="0"/>
      <w:marTop w:val="0"/>
      <w:marBottom w:val="0"/>
      <w:divBdr>
        <w:top w:val="none" w:sz="0" w:space="0" w:color="auto"/>
        <w:left w:val="none" w:sz="0" w:space="0" w:color="auto"/>
        <w:bottom w:val="none" w:sz="0" w:space="0" w:color="auto"/>
        <w:right w:val="none" w:sz="0" w:space="0" w:color="auto"/>
      </w:divBdr>
    </w:div>
    <w:div w:id="957371169">
      <w:bodyDiv w:val="1"/>
      <w:marLeft w:val="0"/>
      <w:marRight w:val="0"/>
      <w:marTop w:val="0"/>
      <w:marBottom w:val="0"/>
      <w:divBdr>
        <w:top w:val="none" w:sz="0" w:space="0" w:color="auto"/>
        <w:left w:val="none" w:sz="0" w:space="0" w:color="auto"/>
        <w:bottom w:val="none" w:sz="0" w:space="0" w:color="auto"/>
        <w:right w:val="none" w:sz="0" w:space="0" w:color="auto"/>
      </w:divBdr>
    </w:div>
    <w:div w:id="1122073650">
      <w:bodyDiv w:val="1"/>
      <w:marLeft w:val="0"/>
      <w:marRight w:val="0"/>
      <w:marTop w:val="0"/>
      <w:marBottom w:val="0"/>
      <w:divBdr>
        <w:top w:val="none" w:sz="0" w:space="0" w:color="auto"/>
        <w:left w:val="none" w:sz="0" w:space="0" w:color="auto"/>
        <w:bottom w:val="none" w:sz="0" w:space="0" w:color="auto"/>
        <w:right w:val="none" w:sz="0" w:space="0" w:color="auto"/>
      </w:divBdr>
    </w:div>
    <w:div w:id="1409110614">
      <w:bodyDiv w:val="1"/>
      <w:marLeft w:val="0"/>
      <w:marRight w:val="0"/>
      <w:marTop w:val="0"/>
      <w:marBottom w:val="0"/>
      <w:divBdr>
        <w:top w:val="none" w:sz="0" w:space="0" w:color="auto"/>
        <w:left w:val="none" w:sz="0" w:space="0" w:color="auto"/>
        <w:bottom w:val="none" w:sz="0" w:space="0" w:color="auto"/>
        <w:right w:val="none" w:sz="0" w:space="0" w:color="auto"/>
      </w:divBdr>
    </w:div>
    <w:div w:id="1654213106">
      <w:bodyDiv w:val="1"/>
      <w:marLeft w:val="0"/>
      <w:marRight w:val="0"/>
      <w:marTop w:val="0"/>
      <w:marBottom w:val="0"/>
      <w:divBdr>
        <w:top w:val="none" w:sz="0" w:space="0" w:color="auto"/>
        <w:left w:val="none" w:sz="0" w:space="0" w:color="auto"/>
        <w:bottom w:val="none" w:sz="0" w:space="0" w:color="auto"/>
        <w:right w:val="none" w:sz="0" w:space="0" w:color="auto"/>
      </w:divBdr>
      <w:divsChild>
        <w:div w:id="525757066">
          <w:marLeft w:val="0"/>
          <w:marRight w:val="0"/>
          <w:marTop w:val="225"/>
          <w:marBottom w:val="150"/>
          <w:divBdr>
            <w:top w:val="none" w:sz="0" w:space="0" w:color="auto"/>
            <w:left w:val="none" w:sz="0" w:space="0" w:color="auto"/>
            <w:bottom w:val="none" w:sz="0" w:space="0" w:color="auto"/>
            <w:right w:val="none" w:sz="0" w:space="0" w:color="auto"/>
          </w:divBdr>
          <w:divsChild>
            <w:div w:id="1316497108">
              <w:marLeft w:val="0"/>
              <w:marRight w:val="0"/>
              <w:marTop w:val="0"/>
              <w:marBottom w:val="0"/>
              <w:divBdr>
                <w:top w:val="none" w:sz="0" w:space="0" w:color="auto"/>
                <w:left w:val="none" w:sz="0" w:space="0" w:color="auto"/>
                <w:bottom w:val="none" w:sz="0" w:space="0" w:color="auto"/>
                <w:right w:val="none" w:sz="0" w:space="0" w:color="auto"/>
              </w:divBdr>
              <w:divsChild>
                <w:div w:id="604579868">
                  <w:marLeft w:val="0"/>
                  <w:marRight w:val="0"/>
                  <w:marTop w:val="0"/>
                  <w:marBottom w:val="0"/>
                  <w:divBdr>
                    <w:top w:val="none" w:sz="0" w:space="0" w:color="auto"/>
                    <w:left w:val="none" w:sz="0" w:space="0" w:color="auto"/>
                    <w:bottom w:val="none" w:sz="0" w:space="0" w:color="auto"/>
                    <w:right w:val="none" w:sz="0" w:space="0" w:color="auto"/>
                  </w:divBdr>
                  <w:divsChild>
                    <w:div w:id="487863541">
                      <w:marLeft w:val="0"/>
                      <w:marRight w:val="0"/>
                      <w:marTop w:val="0"/>
                      <w:marBottom w:val="0"/>
                      <w:divBdr>
                        <w:top w:val="none" w:sz="0" w:space="0" w:color="auto"/>
                        <w:left w:val="none" w:sz="0" w:space="0" w:color="auto"/>
                        <w:bottom w:val="none" w:sz="0" w:space="0" w:color="auto"/>
                        <w:right w:val="none" w:sz="0" w:space="0" w:color="auto"/>
                      </w:divBdr>
                      <w:divsChild>
                        <w:div w:id="1087339900">
                          <w:marLeft w:val="0"/>
                          <w:marRight w:val="0"/>
                          <w:marTop w:val="0"/>
                          <w:marBottom w:val="0"/>
                          <w:divBdr>
                            <w:top w:val="none" w:sz="0" w:space="0" w:color="auto"/>
                            <w:left w:val="none" w:sz="0" w:space="0" w:color="auto"/>
                            <w:bottom w:val="none" w:sz="0" w:space="0" w:color="auto"/>
                            <w:right w:val="none" w:sz="0" w:space="0" w:color="auto"/>
                          </w:divBdr>
                          <w:divsChild>
                            <w:div w:id="953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95304">
      <w:bodyDiv w:val="1"/>
      <w:marLeft w:val="0"/>
      <w:marRight w:val="0"/>
      <w:marTop w:val="0"/>
      <w:marBottom w:val="0"/>
      <w:divBdr>
        <w:top w:val="none" w:sz="0" w:space="0" w:color="auto"/>
        <w:left w:val="none" w:sz="0" w:space="0" w:color="auto"/>
        <w:bottom w:val="none" w:sz="0" w:space="0" w:color="auto"/>
        <w:right w:val="none" w:sz="0" w:space="0" w:color="auto"/>
      </w:divBdr>
    </w:div>
    <w:div w:id="170670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oh/management/administrative-services-managers.htm" TargetMode="External"/><Relationship Id="rId4" Type="http://schemas.openxmlformats.org/officeDocument/2006/relationships/styles" Target="styles.xml"/><Relationship Id="rId9" Type="http://schemas.openxmlformats.org/officeDocument/2006/relationships/hyperlink" Target="https://www.federalregister.gov/d/2021-067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F80B6-EE5E-4B25-B89E-75B998C6105C}">
  <ds:schemaRefs>
    <ds:schemaRef ds:uri="http://schemas.openxmlformats.org/officeDocument/2006/bibliography"/>
  </ds:schemaRefs>
</ds:datastoreItem>
</file>

<file path=customXml/itemProps2.xml><?xml version="1.0" encoding="utf-8"?>
<ds:datastoreItem xmlns:ds="http://schemas.openxmlformats.org/officeDocument/2006/customXml" ds:itemID="{CEB0B8EE-D641-4E16-A8EB-09C8DFE9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3110</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NTIA</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Katherine Marie Scott</dc:creator>
  <cp:lastModifiedBy>Moreno, Diana</cp:lastModifiedBy>
  <cp:revision>3</cp:revision>
  <cp:lastPrinted>2020-02-11T15:19:00Z</cp:lastPrinted>
  <dcterms:created xsi:type="dcterms:W3CDTF">2021-06-10T14:03:00Z</dcterms:created>
  <dcterms:modified xsi:type="dcterms:W3CDTF">2021-06-10T14:06:00Z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gAAAdya76B99d4hLGUR1rQ+8TxTv0GGEPdix</vt:lpwstr>
  </property>
</Properties>
</file>