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1A8F" w:rsidP="004049CF" w:rsidRDefault="004049CF" w14:paraId="144DA9AF" w14:textId="70C49BAF">
      <w:pPr>
        <w:pStyle w:val="Default"/>
        <w:ind w:firstLine="720"/>
        <w:jc w:val="center"/>
      </w:pPr>
      <w:r>
        <w:t xml:space="preserve">UNITED STATES </w:t>
      </w:r>
      <w:r w:rsidRPr="004049CF" w:rsidR="00D11A8F">
        <w:t>FOOD &amp; DRUG ADMINISTRATION</w:t>
      </w:r>
    </w:p>
    <w:p w:rsidRPr="004049CF" w:rsidR="004049CF" w:rsidP="004049CF" w:rsidRDefault="004049CF" w14:paraId="41956C01" w14:textId="77777777">
      <w:pPr>
        <w:pStyle w:val="Default"/>
        <w:ind w:firstLine="720"/>
        <w:jc w:val="center"/>
      </w:pPr>
    </w:p>
    <w:p w:rsidRPr="004049CF" w:rsidR="00D11A8F" w:rsidP="004049CF" w:rsidRDefault="00D11A8F" w14:paraId="1E53208F" w14:textId="20E7F9CE">
      <w:pPr>
        <w:spacing w:after="0" w:line="240" w:lineRule="auto"/>
        <w:jc w:val="center"/>
        <w:rPr>
          <w:rFonts w:ascii="Times New Roman" w:hAnsi="Times New Roman" w:eastAsia="Times New Roman"/>
          <w:sz w:val="24"/>
          <w:szCs w:val="24"/>
        </w:rPr>
      </w:pPr>
      <w:r w:rsidRPr="004049CF">
        <w:rPr>
          <w:rFonts w:ascii="Times New Roman" w:hAnsi="Times New Roman" w:eastAsia="Times New Roman"/>
          <w:sz w:val="24"/>
          <w:szCs w:val="24"/>
        </w:rPr>
        <w:t>Individual Patient Expanded Access Applications</w:t>
      </w:r>
    </w:p>
    <w:p w:rsidRPr="004049CF" w:rsidR="00D11A8F" w:rsidP="004049CF" w:rsidRDefault="00D11A8F" w14:paraId="7614D462" w14:textId="77777777">
      <w:pPr>
        <w:spacing w:after="0" w:line="240" w:lineRule="auto"/>
        <w:jc w:val="center"/>
        <w:rPr>
          <w:rFonts w:ascii="Times New Roman" w:hAnsi="Times New Roman" w:eastAsia="Times New Roman"/>
          <w:sz w:val="24"/>
          <w:szCs w:val="24"/>
        </w:rPr>
      </w:pPr>
    </w:p>
    <w:p w:rsidRPr="004049CF" w:rsidR="00D11A8F" w:rsidP="004049CF" w:rsidRDefault="00D11A8F" w14:paraId="18249A8E" w14:textId="77777777">
      <w:pPr>
        <w:pStyle w:val="Default"/>
        <w:ind w:firstLine="720"/>
        <w:jc w:val="center"/>
        <w:rPr>
          <w:rFonts w:eastAsia="Times New Roman"/>
          <w:color w:val="auto"/>
          <w:u w:val="single"/>
        </w:rPr>
      </w:pPr>
      <w:r w:rsidRPr="004049CF">
        <w:rPr>
          <w:rFonts w:eastAsia="Times New Roman"/>
          <w:color w:val="auto"/>
          <w:u w:val="single"/>
        </w:rPr>
        <w:t>OMB Control No. 0910-0814</w:t>
      </w:r>
    </w:p>
    <w:p w:rsidR="00D11A8F" w:rsidP="004049CF" w:rsidRDefault="00D11A8F" w14:paraId="4F4A033D" w14:textId="77777777">
      <w:pPr>
        <w:pStyle w:val="Default"/>
        <w:ind w:firstLine="720"/>
        <w:jc w:val="center"/>
        <w:rPr>
          <w:rFonts w:eastAsia="Times New Roman"/>
          <w:color w:val="auto"/>
        </w:rPr>
      </w:pPr>
    </w:p>
    <w:p w:rsidR="00D11A8F" w:rsidP="004049CF" w:rsidRDefault="00305CDE" w14:paraId="5B3EEE12" w14:textId="3196B597">
      <w:pPr>
        <w:pStyle w:val="Default"/>
        <w:rPr>
          <w:b/>
        </w:rPr>
      </w:pPr>
      <w:r>
        <w:rPr>
          <w:rFonts w:eastAsia="Times New Roman"/>
          <w:color w:val="auto"/>
        </w:rPr>
        <w:t>N</w:t>
      </w:r>
      <w:r w:rsidRPr="00305CDE">
        <w:rPr>
          <w:rFonts w:eastAsia="Times New Roman"/>
          <w:color w:val="auto"/>
        </w:rPr>
        <w:t xml:space="preserve">on-substantive </w:t>
      </w:r>
      <w:r w:rsidR="00D11A8F">
        <w:rPr>
          <w:rFonts w:eastAsia="Times New Roman"/>
          <w:color w:val="auto"/>
        </w:rPr>
        <w:t>Change Request</w:t>
      </w:r>
      <w:r w:rsidRPr="00E07864" w:rsidR="00D11A8F">
        <w:rPr>
          <w:color w:val="auto"/>
        </w:rPr>
        <w:t xml:space="preserve"> to</w:t>
      </w:r>
      <w:r w:rsidRPr="00305CDE">
        <w:rPr>
          <w:rFonts w:eastAsia="Times New Roman"/>
          <w:color w:val="auto"/>
        </w:rPr>
        <w:t xml:space="preserve"> an existing information collection</w:t>
      </w:r>
      <w:r>
        <w:rPr>
          <w:rFonts w:eastAsia="Times New Roman"/>
          <w:color w:val="auto"/>
        </w:rPr>
        <w:t>:</w:t>
      </w:r>
      <w:r w:rsidRPr="00E07864" w:rsidR="00D11A8F">
        <w:rPr>
          <w:color w:val="auto"/>
        </w:rPr>
        <w:t xml:space="preserve"> </w:t>
      </w:r>
    </w:p>
    <w:p w:rsidR="00D11A8F" w:rsidP="004049CF" w:rsidRDefault="00D11A8F" w14:paraId="184018EF" w14:textId="77777777">
      <w:pPr>
        <w:pStyle w:val="Default"/>
        <w:ind w:firstLine="720"/>
        <w:jc w:val="center"/>
        <w:rPr>
          <w:b/>
        </w:rPr>
      </w:pPr>
    </w:p>
    <w:p w:rsidR="00D11A8F" w:rsidP="004049CF" w:rsidRDefault="00D11A8F" w14:paraId="6E094DFB" w14:textId="77777777">
      <w:pPr>
        <w:pStyle w:val="Default"/>
      </w:pPr>
      <w:r>
        <w:rPr>
          <w:b/>
        </w:rPr>
        <w:t xml:space="preserve">I.  </w:t>
      </w:r>
      <w:r w:rsidRPr="00E25290">
        <w:rPr>
          <w:b/>
        </w:rPr>
        <w:t>Background</w:t>
      </w:r>
      <w:r>
        <w:rPr>
          <w:b/>
        </w:rPr>
        <w:t>:</w:t>
      </w:r>
      <w:r>
        <w:t xml:space="preserve">  </w:t>
      </w:r>
    </w:p>
    <w:p w:rsidR="004049CF" w:rsidP="004049CF" w:rsidRDefault="004049CF" w14:paraId="46D32C39" w14:textId="77777777">
      <w:pPr>
        <w:pStyle w:val="Default"/>
        <w:spacing w:after="240"/>
        <w:ind w:firstLine="720"/>
      </w:pPr>
    </w:p>
    <w:p w:rsidR="00050607" w:rsidP="004049CF" w:rsidRDefault="22CB3BF5" w14:paraId="0E17C34D" w14:textId="610D7D1F">
      <w:pPr>
        <w:pStyle w:val="Default"/>
        <w:spacing w:after="240"/>
        <w:ind w:firstLine="720"/>
      </w:pPr>
      <w:r>
        <w:t>This information collection supports FDA</w:t>
      </w:r>
      <w:r w:rsidR="435B8E69">
        <w:t xml:space="preserve"> regulations as well as </w:t>
      </w:r>
      <w:r w:rsidR="2B51BC74">
        <w:t>A</w:t>
      </w:r>
      <w:r w:rsidR="063CF8F9">
        <w:t>gency</w:t>
      </w:r>
      <w:r w:rsidR="435B8E69">
        <w:t xml:space="preserve"> forms and associated</w:t>
      </w:r>
      <w:r w:rsidR="795737F4">
        <w:t xml:space="preserve"> </w:t>
      </w:r>
      <w:r>
        <w:t>guidance</w:t>
      </w:r>
      <w:r w:rsidR="76362853">
        <w:t xml:space="preserve">. </w:t>
      </w:r>
      <w:r>
        <w:t xml:space="preserve"> </w:t>
      </w:r>
      <w:r w:rsidR="4E046D3D">
        <w:t>Provisions in section 561 of the Federal Food, Drug, and Cosmetic Act (as codified in 21 U.S.C. 360bbb) set forth general requirements relating to expanded access to unapproved therapies and diagnostics.</w:t>
      </w:r>
      <w:r w:rsidR="004049CF">
        <w:t xml:space="preserve">  </w:t>
      </w:r>
      <w:r w:rsidR="4E046D3D">
        <w:t>Sometimes called “</w:t>
      </w:r>
      <w:r w:rsidRPr="004049CF" w:rsidR="4E046D3D">
        <w:rPr>
          <w:i/>
        </w:rPr>
        <w:t>compassionate use,</w:t>
      </w:r>
      <w:r w:rsidR="4E046D3D">
        <w:t>” expanded access is a potential pathway for a patient with a</w:t>
      </w:r>
      <w:r w:rsidR="315F074D">
        <w:t xml:space="preserve"> serious or</w:t>
      </w:r>
      <w:r w:rsidR="4E046D3D">
        <w:t xml:space="preserve"> immediately life-threatening </w:t>
      </w:r>
      <w:r w:rsidR="3AF09E38">
        <w:t xml:space="preserve">disease or </w:t>
      </w:r>
      <w:r w:rsidR="4E046D3D">
        <w:t xml:space="preserve">condition to gain access to an investigational medical product (drug, biologic, or medical device) for treatment outside of clinical trials when no comparable or satisfactory alternative therapy options are available.  To facilitate expanded access to investigational drugs by patients, regulations in 21 CFR part 312; subpart I (Expanded Access to Investigational Drugs for Treatment Use) establish submission requirements that include demonstrating certain criteria have been met, and that content and format requirements have been satisfied.  </w:t>
      </w:r>
      <w:r w:rsidRPr="002B253A">
        <w:t xml:space="preserve">Because of FDA’s long history of facilitating expanded access to investigational drugs for treatment use for patients with serious or immediately life-threatening diseases or conditions, our efforts in this regard are ongoing. </w:t>
      </w:r>
      <w:r w:rsidRPr="00700EE1" w:rsidR="00573763">
        <w:t>Form FDA 3926</w:t>
      </w:r>
      <w:r w:rsidR="00700EE1">
        <w:t>, entitled, “</w:t>
      </w:r>
      <w:r w:rsidR="00700EE1">
        <w:rPr>
          <w:i/>
        </w:rPr>
        <w:t>Individual Patient Expanded Access – Investigational New Drug Application (IND</w:t>
      </w:r>
      <w:r w:rsidRPr="639F6D12" w:rsidR="00700EE1">
        <w:rPr>
          <w:i/>
          <w:iCs/>
        </w:rPr>
        <w:t>)</w:t>
      </w:r>
      <w:r w:rsidRPr="00751247" w:rsidR="44F607F6">
        <w:t>”</w:t>
      </w:r>
      <w:r w:rsidR="00700EE1">
        <w:t xml:space="preserve"> was developed to assist respondents to the information collection.  Form FDA 3926 requires the completion of data fields that enable us to uniformly collect the minimum information necessary from licensed physicians who want to request expanded access as prescribed in the applicable regulations.  To supplement the form instructions, we issued guidance</w:t>
      </w:r>
      <w:r w:rsidR="530F1F74">
        <w:t>, most recently updated</w:t>
      </w:r>
      <w:r w:rsidR="00700EE1">
        <w:t xml:space="preserve"> in October of 2017</w:t>
      </w:r>
      <w:r w:rsidR="713C4CDA">
        <w:t>,</w:t>
      </w:r>
      <w:r w:rsidR="00700EE1">
        <w:t xml:space="preserve"> entitled, “</w:t>
      </w:r>
      <w:r w:rsidR="00700EE1">
        <w:rPr>
          <w:i/>
        </w:rPr>
        <w:t>Individual Patient Expanded Access Applications: Form FDA 3926,”</w:t>
      </w:r>
      <w:r w:rsidR="00700EE1">
        <w:t xml:space="preserve"> available at –</w:t>
      </w:r>
      <w:r w:rsidRPr="00700EE1" w:rsidR="00700EE1">
        <w:t xml:space="preserve"> </w:t>
      </w:r>
      <w:hyperlink r:id="rId7">
        <w:r w:rsidR="74C43AE3">
          <w:t>https://www.fda.gov/regulatory-information/search-fda-guidance-documents/individual-patient-expanded-access-applications-form-fda-3926</w:t>
        </w:r>
      </w:hyperlink>
      <w:r w:rsidR="34AA24F9">
        <w:t>.</w:t>
      </w:r>
      <w:r w:rsidR="00B94E68">
        <w:t xml:space="preserve">  As discussed in the guidance, 21 </w:t>
      </w:r>
      <w:r w:rsidR="74C43AE3">
        <w:t>CF</w:t>
      </w:r>
      <w:r w:rsidR="2A0382F3">
        <w:t>R</w:t>
      </w:r>
      <w:r w:rsidR="00B94E68">
        <w:t xml:space="preserve"> 312.310(b) contains additional submission requirements for individual patient expanded access requests. </w:t>
      </w:r>
      <w:r w:rsidR="00852481">
        <w:t xml:space="preserve">  </w:t>
      </w:r>
    </w:p>
    <w:p w:rsidR="00700EE1" w:rsidP="004049CF" w:rsidRDefault="008C7056" w14:paraId="40AC0C82" w14:textId="7E1DC4EF">
      <w:pPr>
        <w:spacing w:line="240" w:lineRule="auto"/>
        <w:ind w:firstLine="720"/>
        <w:rPr>
          <w:rFonts w:ascii="Times New Roman" w:hAnsi="Times New Roman"/>
          <w:sz w:val="24"/>
        </w:rPr>
      </w:pPr>
      <w:r>
        <w:rPr>
          <w:rFonts w:ascii="Times New Roman" w:hAnsi="Times New Roman"/>
          <w:sz w:val="24"/>
        </w:rPr>
        <w:t>Form FDA 3926 is available as a fillable PDF document</w:t>
      </w:r>
      <w:r w:rsidR="00C948F9">
        <w:rPr>
          <w:rFonts w:ascii="Times New Roman" w:hAnsi="Times New Roman"/>
          <w:sz w:val="24"/>
        </w:rPr>
        <w:t xml:space="preserve"> on FDA’s website</w:t>
      </w:r>
      <w:r>
        <w:rPr>
          <w:rFonts w:ascii="Times New Roman" w:hAnsi="Times New Roman"/>
          <w:sz w:val="24"/>
        </w:rPr>
        <w:t xml:space="preserve">.  Form FDA 3926 and accompanying instructions may be found at FDA’s website at </w:t>
      </w:r>
      <w:hyperlink w:history="1" r:id="rId8">
        <w:r w:rsidRPr="00B44272">
          <w:rPr>
            <w:rStyle w:val="Hyperlink"/>
            <w:rFonts w:ascii="Times New Roman" w:hAnsi="Times New Roman"/>
            <w:sz w:val="24"/>
          </w:rPr>
          <w:t>https://www.fda.gov/about-fda/reports-manuals-forms/forms</w:t>
        </w:r>
      </w:hyperlink>
      <w:r>
        <w:rPr>
          <w:rFonts w:ascii="Times New Roman" w:hAnsi="Times New Roman"/>
          <w:sz w:val="24"/>
        </w:rPr>
        <w:t>.</w:t>
      </w:r>
      <w:r w:rsidR="006B3AA3">
        <w:rPr>
          <w:rFonts w:ascii="Times New Roman" w:hAnsi="Times New Roman"/>
          <w:sz w:val="24"/>
        </w:rPr>
        <w:t xml:space="preserve">  </w:t>
      </w:r>
      <w:r w:rsidR="00C948F9">
        <w:rPr>
          <w:rFonts w:ascii="Times New Roman" w:hAnsi="Times New Roman"/>
          <w:sz w:val="24"/>
        </w:rPr>
        <w:t>Once it is fill</w:t>
      </w:r>
      <w:r w:rsidR="00767CDA">
        <w:rPr>
          <w:rFonts w:ascii="Times New Roman" w:hAnsi="Times New Roman"/>
          <w:sz w:val="24"/>
        </w:rPr>
        <w:t>ed</w:t>
      </w:r>
      <w:r w:rsidR="00C948F9">
        <w:rPr>
          <w:rFonts w:ascii="Times New Roman" w:hAnsi="Times New Roman"/>
          <w:sz w:val="24"/>
        </w:rPr>
        <w:t xml:space="preserve"> out, </w:t>
      </w:r>
      <w:r w:rsidRPr="00852481" w:rsidR="00852481">
        <w:rPr>
          <w:rFonts w:ascii="Times New Roman" w:hAnsi="Times New Roman"/>
          <w:sz w:val="24"/>
        </w:rPr>
        <w:t xml:space="preserve">FDA </w:t>
      </w:r>
      <w:r w:rsidR="00852481">
        <w:rPr>
          <w:rFonts w:ascii="Times New Roman" w:hAnsi="Times New Roman"/>
          <w:sz w:val="24"/>
        </w:rPr>
        <w:t>c</w:t>
      </w:r>
      <w:r w:rsidRPr="00852481" w:rsidR="00852481">
        <w:rPr>
          <w:rFonts w:ascii="Times New Roman" w:hAnsi="Times New Roman"/>
          <w:sz w:val="24"/>
        </w:rPr>
        <w:t xml:space="preserve">urrently requires </w:t>
      </w:r>
      <w:r w:rsidR="00852481">
        <w:rPr>
          <w:rFonts w:ascii="Times New Roman" w:hAnsi="Times New Roman"/>
          <w:sz w:val="24"/>
        </w:rPr>
        <w:t>F</w:t>
      </w:r>
      <w:r w:rsidRPr="00852481" w:rsidR="00852481">
        <w:rPr>
          <w:rFonts w:ascii="Times New Roman" w:hAnsi="Times New Roman"/>
          <w:sz w:val="24"/>
        </w:rPr>
        <w:t>orm</w:t>
      </w:r>
      <w:r w:rsidR="00852481">
        <w:rPr>
          <w:rFonts w:ascii="Times New Roman" w:hAnsi="Times New Roman"/>
          <w:sz w:val="24"/>
        </w:rPr>
        <w:t xml:space="preserve"> FDA 3926</w:t>
      </w:r>
      <w:r w:rsidRPr="00852481" w:rsidR="00852481">
        <w:rPr>
          <w:rFonts w:ascii="Times New Roman" w:hAnsi="Times New Roman"/>
          <w:sz w:val="24"/>
        </w:rPr>
        <w:t xml:space="preserve"> to be mailed, emailed, or faxed</w:t>
      </w:r>
      <w:r w:rsidR="00852481">
        <w:rPr>
          <w:rFonts w:ascii="Times New Roman" w:hAnsi="Times New Roman"/>
          <w:sz w:val="24"/>
        </w:rPr>
        <w:t xml:space="preserve"> by the physician to the Agency</w:t>
      </w:r>
      <w:r w:rsidR="00C948F9">
        <w:rPr>
          <w:rFonts w:ascii="Times New Roman" w:hAnsi="Times New Roman"/>
          <w:sz w:val="24"/>
        </w:rPr>
        <w:t xml:space="preserve"> together with a letter of authorization and any other relevant information the clinician submits in support of the expanded access application</w:t>
      </w:r>
      <w:r w:rsidR="008F54BF">
        <w:rPr>
          <w:rFonts w:ascii="Times New Roman" w:hAnsi="Times New Roman"/>
          <w:sz w:val="24"/>
        </w:rPr>
        <w:t>.</w:t>
      </w:r>
    </w:p>
    <w:p w:rsidR="00B94E68" w:rsidP="004049CF" w:rsidRDefault="00B94E68" w14:paraId="23689F29" w14:textId="77777777">
      <w:pPr>
        <w:spacing w:line="240" w:lineRule="auto"/>
        <w:rPr>
          <w:rFonts w:ascii="Times New Roman" w:hAnsi="Times New Roman"/>
          <w:b/>
          <w:sz w:val="24"/>
        </w:rPr>
      </w:pPr>
      <w:r w:rsidRPr="00B94E68">
        <w:rPr>
          <w:rFonts w:ascii="Times New Roman" w:hAnsi="Times New Roman"/>
          <w:b/>
          <w:sz w:val="24"/>
        </w:rPr>
        <w:t>II. Proposed change</w:t>
      </w:r>
      <w:r>
        <w:rPr>
          <w:rFonts w:ascii="Times New Roman" w:hAnsi="Times New Roman"/>
          <w:b/>
          <w:sz w:val="24"/>
        </w:rPr>
        <w:t>:</w:t>
      </w:r>
    </w:p>
    <w:p w:rsidRPr="00852481" w:rsidR="00852481" w:rsidP="004049CF" w:rsidRDefault="62B1D524" w14:paraId="7FAEA9C1" w14:textId="37238C85">
      <w:pPr>
        <w:spacing w:line="240" w:lineRule="auto"/>
        <w:ind w:firstLine="720"/>
        <w:rPr>
          <w:rFonts w:ascii="Times New Roman" w:hAnsi="Times New Roman"/>
          <w:sz w:val="24"/>
          <w:szCs w:val="24"/>
        </w:rPr>
      </w:pPr>
      <w:r w:rsidRPr="1D9F8250">
        <w:rPr>
          <w:rFonts w:ascii="Times New Roman" w:hAnsi="Times New Roman"/>
          <w:sz w:val="24"/>
          <w:szCs w:val="24"/>
        </w:rPr>
        <w:t xml:space="preserve">FDA is seeking to revise </w:t>
      </w:r>
      <w:r w:rsidRPr="1D9F8250" w:rsidR="1290E812">
        <w:rPr>
          <w:rFonts w:ascii="Times New Roman" w:hAnsi="Times New Roman"/>
          <w:sz w:val="24"/>
          <w:szCs w:val="24"/>
        </w:rPr>
        <w:t>a</w:t>
      </w:r>
      <w:r w:rsidRPr="1D9F8250">
        <w:rPr>
          <w:rFonts w:ascii="Times New Roman" w:hAnsi="Times New Roman"/>
          <w:sz w:val="24"/>
          <w:szCs w:val="24"/>
        </w:rPr>
        <w:t xml:space="preserve"> method used in collecting Form FDA 3926</w:t>
      </w:r>
      <w:r w:rsidRPr="1D9F8250" w:rsidR="7CFE3734">
        <w:rPr>
          <w:rFonts w:ascii="Times New Roman" w:hAnsi="Times New Roman"/>
          <w:sz w:val="24"/>
          <w:szCs w:val="24"/>
        </w:rPr>
        <w:t xml:space="preserve"> and does not intend to change any of the information collected under the already approved ICR</w:t>
      </w:r>
      <w:r w:rsidRPr="1D9F8250" w:rsidR="11839FBB">
        <w:rPr>
          <w:rFonts w:ascii="Times New Roman" w:hAnsi="Times New Roman"/>
          <w:sz w:val="24"/>
          <w:szCs w:val="24"/>
        </w:rPr>
        <w:t xml:space="preserve">.  </w:t>
      </w:r>
      <w:r w:rsidRPr="1D9F8250" w:rsidR="11839FBB">
        <w:rPr>
          <w:rFonts w:ascii="Times New Roman" w:hAnsi="Times New Roman"/>
          <w:sz w:val="24"/>
          <w:szCs w:val="24"/>
          <w:lang w:val="en"/>
        </w:rPr>
        <w:t xml:space="preserve">The </w:t>
      </w:r>
      <w:r w:rsidRPr="1D9F8250" w:rsidR="11839FBB">
        <w:rPr>
          <w:rFonts w:ascii="Times New Roman" w:hAnsi="Times New Roman"/>
          <w:sz w:val="24"/>
          <w:szCs w:val="24"/>
        </w:rPr>
        <w:t xml:space="preserve">Reagan-Udall Foundation for the Food and Drug Administration (RUF) is an independent 501(c)(3) </w:t>
      </w:r>
      <w:r w:rsidRPr="1D9F8250" w:rsidR="11839FBB">
        <w:rPr>
          <w:rFonts w:ascii="Times New Roman" w:hAnsi="Times New Roman"/>
          <w:sz w:val="24"/>
          <w:szCs w:val="24"/>
        </w:rPr>
        <w:lastRenderedPageBreak/>
        <w:t>organization created by Congress “</w:t>
      </w:r>
      <w:r w:rsidRPr="004049CF" w:rsidR="11839FBB">
        <w:rPr>
          <w:rFonts w:ascii="Times New Roman" w:hAnsi="Times New Roman"/>
          <w:i/>
          <w:sz w:val="24"/>
          <w:szCs w:val="24"/>
        </w:rPr>
        <w:t>to advance the mission of the FDA to modernize medical, veterinary, food, food ingredient, and cosmetic product development, accelerate innovation, and enhance product safety</w:t>
      </w:r>
      <w:r w:rsidRPr="1D9F8250" w:rsidR="11839FBB">
        <w:rPr>
          <w:rFonts w:ascii="Times New Roman" w:hAnsi="Times New Roman"/>
          <w:sz w:val="24"/>
          <w:szCs w:val="24"/>
        </w:rPr>
        <w:t xml:space="preserve">.”  RUF is independent of the FDA, but FDA and RUF staff often work together, particularly with respect to </w:t>
      </w:r>
      <w:r w:rsidRPr="1D9F8250" w:rsidR="303B0F9B">
        <w:rPr>
          <w:rFonts w:ascii="Times New Roman" w:hAnsi="Times New Roman"/>
          <w:sz w:val="24"/>
          <w:szCs w:val="24"/>
        </w:rPr>
        <w:t xml:space="preserve">the </w:t>
      </w:r>
      <w:r w:rsidRPr="1D9F8250" w:rsidR="71CE1098">
        <w:rPr>
          <w:rFonts w:ascii="Times New Roman" w:hAnsi="Times New Roman"/>
          <w:sz w:val="24"/>
          <w:szCs w:val="24"/>
        </w:rPr>
        <w:t>e</w:t>
      </w:r>
      <w:r w:rsidRPr="1D9F8250" w:rsidR="11839FBB">
        <w:rPr>
          <w:rFonts w:ascii="Times New Roman" w:hAnsi="Times New Roman"/>
          <w:sz w:val="24"/>
          <w:szCs w:val="24"/>
        </w:rPr>
        <w:t xml:space="preserve">xpanded </w:t>
      </w:r>
      <w:r w:rsidRPr="1D9F8250" w:rsidR="66C2FE60">
        <w:rPr>
          <w:rFonts w:ascii="Times New Roman" w:hAnsi="Times New Roman"/>
          <w:sz w:val="24"/>
          <w:szCs w:val="24"/>
        </w:rPr>
        <w:t>a</w:t>
      </w:r>
      <w:r w:rsidRPr="1D9F8250" w:rsidR="11839FBB">
        <w:rPr>
          <w:rFonts w:ascii="Times New Roman" w:hAnsi="Times New Roman"/>
          <w:sz w:val="24"/>
          <w:szCs w:val="24"/>
        </w:rPr>
        <w:t xml:space="preserve">ccess program.  A new </w:t>
      </w:r>
      <w:r w:rsidRPr="1D9F8250" w:rsidR="4CD44F56">
        <w:rPr>
          <w:rFonts w:ascii="Times New Roman" w:hAnsi="Times New Roman"/>
          <w:sz w:val="24"/>
          <w:szCs w:val="24"/>
        </w:rPr>
        <w:t>web-based interface that is available on a mobile device or desktop will be hosted by RUF on their website to</w:t>
      </w:r>
      <w:r w:rsidRPr="1D9F8250" w:rsidR="11839FBB">
        <w:rPr>
          <w:rFonts w:ascii="Times New Roman" w:hAnsi="Times New Roman"/>
          <w:sz w:val="24"/>
          <w:szCs w:val="24"/>
        </w:rPr>
        <w:t xml:space="preserve"> guide physicians seeking </w:t>
      </w:r>
      <w:r w:rsidRPr="1D9F8250" w:rsidR="169B113A">
        <w:rPr>
          <w:rFonts w:ascii="Times New Roman" w:hAnsi="Times New Roman"/>
          <w:sz w:val="24"/>
          <w:szCs w:val="24"/>
        </w:rPr>
        <w:t xml:space="preserve">authorization of </w:t>
      </w:r>
      <w:r w:rsidRPr="1D9F8250" w:rsidR="0E83739B">
        <w:rPr>
          <w:rFonts w:ascii="Times New Roman" w:hAnsi="Times New Roman"/>
          <w:sz w:val="24"/>
          <w:szCs w:val="24"/>
        </w:rPr>
        <w:t>e</w:t>
      </w:r>
      <w:r w:rsidRPr="1D9F8250" w:rsidR="11839FBB">
        <w:rPr>
          <w:rFonts w:ascii="Times New Roman" w:hAnsi="Times New Roman"/>
          <w:sz w:val="24"/>
          <w:szCs w:val="24"/>
        </w:rPr>
        <w:t xml:space="preserve">xpanded </w:t>
      </w:r>
      <w:r w:rsidRPr="1D9F8250" w:rsidR="0E83739B">
        <w:rPr>
          <w:rFonts w:ascii="Times New Roman" w:hAnsi="Times New Roman"/>
          <w:sz w:val="24"/>
          <w:szCs w:val="24"/>
        </w:rPr>
        <w:t>a</w:t>
      </w:r>
      <w:r w:rsidRPr="1D9F8250" w:rsidR="11839FBB">
        <w:rPr>
          <w:rFonts w:ascii="Times New Roman" w:hAnsi="Times New Roman"/>
          <w:sz w:val="24"/>
          <w:szCs w:val="24"/>
        </w:rPr>
        <w:t xml:space="preserve">ccess </w:t>
      </w:r>
      <w:r w:rsidRPr="1D9F8250" w:rsidR="5DDDA508">
        <w:rPr>
          <w:rFonts w:ascii="Times New Roman" w:hAnsi="Times New Roman"/>
          <w:sz w:val="24"/>
          <w:szCs w:val="24"/>
        </w:rPr>
        <w:t>use</w:t>
      </w:r>
      <w:r w:rsidRPr="1D9F8250" w:rsidR="11839FBB">
        <w:rPr>
          <w:rFonts w:ascii="Times New Roman" w:hAnsi="Times New Roman"/>
          <w:sz w:val="24"/>
          <w:szCs w:val="24"/>
        </w:rPr>
        <w:t xml:space="preserve"> on behalf of patient</w:t>
      </w:r>
      <w:r w:rsidRPr="1D9F8250" w:rsidR="0E83739B">
        <w:rPr>
          <w:rFonts w:ascii="Times New Roman" w:hAnsi="Times New Roman"/>
          <w:sz w:val="24"/>
          <w:szCs w:val="24"/>
        </w:rPr>
        <w:t>s</w:t>
      </w:r>
      <w:r w:rsidRPr="1D9F8250" w:rsidR="11839FBB">
        <w:rPr>
          <w:rFonts w:ascii="Times New Roman" w:hAnsi="Times New Roman"/>
          <w:sz w:val="24"/>
          <w:szCs w:val="24"/>
        </w:rPr>
        <w:t xml:space="preserve"> through a series of webpages to fill out FDA Form 3926</w:t>
      </w:r>
      <w:r w:rsidRPr="1D9F8250" w:rsidR="4CD44F56">
        <w:rPr>
          <w:rFonts w:ascii="Times New Roman" w:hAnsi="Times New Roman"/>
          <w:sz w:val="24"/>
          <w:szCs w:val="24"/>
        </w:rPr>
        <w:t xml:space="preserve">.  The system will also allow them to </w:t>
      </w:r>
      <w:r w:rsidRPr="1D9F8250" w:rsidR="11839FBB">
        <w:rPr>
          <w:rFonts w:ascii="Times New Roman" w:hAnsi="Times New Roman"/>
          <w:sz w:val="24"/>
          <w:szCs w:val="24"/>
        </w:rPr>
        <w:t xml:space="preserve">upload their letter of authorization </w:t>
      </w:r>
      <w:r w:rsidRPr="1D9F8250" w:rsidR="4CD44F56">
        <w:rPr>
          <w:rFonts w:ascii="Times New Roman" w:hAnsi="Times New Roman"/>
          <w:sz w:val="24"/>
          <w:szCs w:val="24"/>
        </w:rPr>
        <w:t xml:space="preserve">and any other information that they believe will support their application </w:t>
      </w:r>
      <w:r w:rsidRPr="1D9F8250" w:rsidR="11839FBB">
        <w:rPr>
          <w:rFonts w:ascii="Times New Roman" w:hAnsi="Times New Roman"/>
          <w:sz w:val="24"/>
          <w:szCs w:val="24"/>
        </w:rPr>
        <w:t>and then either:</w:t>
      </w:r>
    </w:p>
    <w:p w:rsidRPr="00852481" w:rsidR="00852481" w:rsidP="004049CF" w:rsidRDefault="11839FBB" w14:paraId="6AB3445A" w14:textId="77777777">
      <w:pPr>
        <w:numPr>
          <w:ilvl w:val="2"/>
          <w:numId w:val="3"/>
        </w:numPr>
        <w:spacing w:line="240" w:lineRule="auto"/>
        <w:rPr>
          <w:rFonts w:ascii="Times New Roman" w:hAnsi="Times New Roman"/>
          <w:sz w:val="24"/>
          <w:szCs w:val="24"/>
        </w:rPr>
      </w:pPr>
      <w:r w:rsidRPr="1D9F8250">
        <w:rPr>
          <w:rFonts w:ascii="Times New Roman" w:hAnsi="Times New Roman"/>
          <w:sz w:val="24"/>
          <w:szCs w:val="24"/>
        </w:rPr>
        <w:t>eSubmit</w:t>
      </w:r>
      <w:bookmarkStart w:name="_GoBack" w:id="0"/>
      <w:bookmarkEnd w:id="0"/>
      <w:r w:rsidRPr="1D9F8250">
        <w:rPr>
          <w:rFonts w:ascii="Times New Roman" w:hAnsi="Times New Roman"/>
          <w:sz w:val="24"/>
          <w:szCs w:val="24"/>
        </w:rPr>
        <w:t xml:space="preserve"> the form (the portal generates a secure email to FDA); </w:t>
      </w:r>
      <w:r w:rsidRPr="1D9F8250">
        <w:rPr>
          <w:rFonts w:ascii="Times New Roman" w:hAnsi="Times New Roman"/>
          <w:i/>
          <w:iCs/>
          <w:sz w:val="24"/>
          <w:szCs w:val="24"/>
        </w:rPr>
        <w:t>or</w:t>
      </w:r>
    </w:p>
    <w:p w:rsidR="00B94E68" w:rsidP="004049CF" w:rsidRDefault="00852481" w14:paraId="7A52189E" w14:textId="77777777">
      <w:pPr>
        <w:numPr>
          <w:ilvl w:val="2"/>
          <w:numId w:val="3"/>
        </w:numPr>
        <w:spacing w:line="240" w:lineRule="auto"/>
        <w:rPr>
          <w:rFonts w:ascii="Times New Roman" w:hAnsi="Times New Roman"/>
          <w:sz w:val="24"/>
        </w:rPr>
      </w:pPr>
      <w:r w:rsidRPr="00852481">
        <w:rPr>
          <w:rFonts w:ascii="Times New Roman" w:hAnsi="Times New Roman"/>
          <w:sz w:val="24"/>
        </w:rPr>
        <w:t xml:space="preserve">Download the now completed PDF form and submit it to FDA </w:t>
      </w:r>
      <w:r w:rsidR="002861B9">
        <w:rPr>
          <w:rFonts w:ascii="Times New Roman" w:hAnsi="Times New Roman"/>
          <w:sz w:val="24"/>
        </w:rPr>
        <w:t xml:space="preserve">through </w:t>
      </w:r>
      <w:r w:rsidRPr="00852481" w:rsidR="002861B9">
        <w:rPr>
          <w:rFonts w:ascii="Times New Roman" w:hAnsi="Times New Roman"/>
          <w:sz w:val="24"/>
        </w:rPr>
        <w:t>mail, email, or fax</w:t>
      </w:r>
      <w:r w:rsidR="002861B9">
        <w:rPr>
          <w:rFonts w:ascii="Times New Roman" w:hAnsi="Times New Roman"/>
          <w:sz w:val="24"/>
        </w:rPr>
        <w:t>.</w:t>
      </w:r>
    </w:p>
    <w:p w:rsidRPr="00637CF2" w:rsidR="002861B9" w:rsidP="00637CF2" w:rsidRDefault="149F2164" w14:paraId="27D704DA" w14:textId="5D44A053">
      <w:pPr>
        <w:spacing w:line="240" w:lineRule="auto"/>
        <w:ind w:firstLine="720"/>
        <w:rPr>
          <w:rFonts w:ascii="Times New Roman" w:hAnsi="Times New Roman"/>
          <w:sz w:val="24"/>
          <w:szCs w:val="24"/>
        </w:rPr>
      </w:pPr>
      <w:r w:rsidRPr="0B865F4D">
        <w:rPr>
          <w:rFonts w:ascii="Times New Roman" w:hAnsi="Times New Roman"/>
          <w:sz w:val="24"/>
          <w:szCs w:val="24"/>
        </w:rPr>
        <w:t xml:space="preserve">RUF does not retain any of the </w:t>
      </w:r>
      <w:r w:rsidRPr="0B865F4D" w:rsidR="5F13492A">
        <w:rPr>
          <w:rFonts w:ascii="Times New Roman" w:hAnsi="Times New Roman"/>
          <w:sz w:val="24"/>
          <w:szCs w:val="24"/>
        </w:rPr>
        <w:t>e</w:t>
      </w:r>
      <w:r w:rsidRPr="0B865F4D">
        <w:rPr>
          <w:rFonts w:ascii="Times New Roman" w:hAnsi="Times New Roman"/>
          <w:sz w:val="24"/>
          <w:szCs w:val="24"/>
        </w:rPr>
        <w:t xml:space="preserve">xpanded </w:t>
      </w:r>
      <w:r w:rsidRPr="0B865F4D" w:rsidR="5F13492A">
        <w:rPr>
          <w:rFonts w:ascii="Times New Roman" w:hAnsi="Times New Roman"/>
          <w:sz w:val="24"/>
          <w:szCs w:val="24"/>
        </w:rPr>
        <w:t>a</w:t>
      </w:r>
      <w:r w:rsidRPr="0B865F4D">
        <w:rPr>
          <w:rFonts w:ascii="Times New Roman" w:hAnsi="Times New Roman"/>
          <w:sz w:val="24"/>
          <w:szCs w:val="24"/>
        </w:rPr>
        <w:t xml:space="preserve">ccess IND information that is submitted through the </w:t>
      </w:r>
      <w:r w:rsidRPr="0B865F4D" w:rsidR="4CD44F56">
        <w:rPr>
          <w:rFonts w:ascii="Times New Roman" w:hAnsi="Times New Roman"/>
          <w:sz w:val="24"/>
          <w:szCs w:val="24"/>
        </w:rPr>
        <w:t>web-based program</w:t>
      </w:r>
      <w:r w:rsidRPr="0B865F4D">
        <w:rPr>
          <w:rFonts w:ascii="Times New Roman" w:hAnsi="Times New Roman"/>
          <w:sz w:val="24"/>
          <w:szCs w:val="24"/>
        </w:rPr>
        <w:t xml:space="preserve">.  RUF </w:t>
      </w:r>
      <w:r w:rsidRPr="0B865F4D" w:rsidR="4CD44F56">
        <w:rPr>
          <w:rFonts w:ascii="Times New Roman" w:hAnsi="Times New Roman"/>
          <w:sz w:val="24"/>
          <w:szCs w:val="24"/>
        </w:rPr>
        <w:t xml:space="preserve">hosts the software on their website that enables simplification of </w:t>
      </w:r>
      <w:r w:rsidRPr="0B865F4D">
        <w:rPr>
          <w:rFonts w:ascii="Times New Roman" w:hAnsi="Times New Roman"/>
          <w:sz w:val="24"/>
          <w:szCs w:val="24"/>
        </w:rPr>
        <w:t>the process</w:t>
      </w:r>
      <w:r w:rsidRPr="0B865F4D" w:rsidR="4CD44F56">
        <w:rPr>
          <w:rFonts w:ascii="Times New Roman" w:hAnsi="Times New Roman"/>
          <w:sz w:val="24"/>
          <w:szCs w:val="24"/>
        </w:rPr>
        <w:t xml:space="preserve">.  Only the </w:t>
      </w:r>
      <w:r w:rsidRPr="0B865F4D">
        <w:rPr>
          <w:rFonts w:ascii="Times New Roman" w:hAnsi="Times New Roman"/>
          <w:sz w:val="24"/>
          <w:szCs w:val="24"/>
        </w:rPr>
        <w:t>same information as previously approved by OMB</w:t>
      </w:r>
      <w:r w:rsidRPr="0B865F4D" w:rsidR="4CD44F56">
        <w:rPr>
          <w:rFonts w:ascii="Times New Roman" w:hAnsi="Times New Roman"/>
          <w:sz w:val="24"/>
          <w:szCs w:val="24"/>
        </w:rPr>
        <w:t xml:space="preserve"> is collected</w:t>
      </w:r>
      <w:r w:rsidRPr="0B865F4D">
        <w:rPr>
          <w:rFonts w:ascii="Times New Roman" w:hAnsi="Times New Roman"/>
          <w:sz w:val="24"/>
          <w:szCs w:val="24"/>
        </w:rPr>
        <w:t xml:space="preserve">, and </w:t>
      </w:r>
      <w:r w:rsidRPr="0B865F4D" w:rsidR="6810326E">
        <w:rPr>
          <w:rFonts w:ascii="Times New Roman" w:hAnsi="Times New Roman"/>
          <w:sz w:val="24"/>
          <w:szCs w:val="24"/>
        </w:rPr>
        <w:t xml:space="preserve">the submission of that information to the Agency </w:t>
      </w:r>
      <w:r w:rsidRPr="0B865F4D" w:rsidR="763FE5EB">
        <w:rPr>
          <w:rFonts w:ascii="Times New Roman" w:hAnsi="Times New Roman"/>
          <w:sz w:val="24"/>
          <w:szCs w:val="24"/>
        </w:rPr>
        <w:t xml:space="preserve">is </w:t>
      </w:r>
      <w:r w:rsidRPr="0B865F4D" w:rsidR="6810326E">
        <w:rPr>
          <w:rFonts w:ascii="Times New Roman" w:hAnsi="Times New Roman"/>
          <w:sz w:val="24"/>
          <w:szCs w:val="24"/>
        </w:rPr>
        <w:t>via</w:t>
      </w:r>
      <w:r w:rsidRPr="0B865F4D">
        <w:rPr>
          <w:rFonts w:ascii="Times New Roman" w:hAnsi="Times New Roman"/>
          <w:sz w:val="24"/>
          <w:szCs w:val="24"/>
        </w:rPr>
        <w:t xml:space="preserve"> a secure email.  </w:t>
      </w:r>
      <w:r w:rsidRPr="0B865F4D" w:rsidR="4CD44F56">
        <w:rPr>
          <w:rFonts w:ascii="Times New Roman" w:hAnsi="Times New Roman"/>
          <w:sz w:val="24"/>
          <w:szCs w:val="24"/>
        </w:rPr>
        <w:t xml:space="preserve">Use of this </w:t>
      </w:r>
      <w:r w:rsidRPr="0B865F4D" w:rsidR="1418B9F4">
        <w:rPr>
          <w:rFonts w:ascii="Times New Roman" w:hAnsi="Times New Roman"/>
          <w:sz w:val="24"/>
          <w:szCs w:val="24"/>
        </w:rPr>
        <w:t xml:space="preserve">web-based </w:t>
      </w:r>
      <w:r w:rsidRPr="0B865F4D" w:rsidR="1290E812">
        <w:rPr>
          <w:rFonts w:ascii="Times New Roman" w:hAnsi="Times New Roman"/>
          <w:sz w:val="24"/>
          <w:szCs w:val="24"/>
        </w:rPr>
        <w:t>method</w:t>
      </w:r>
      <w:r w:rsidRPr="0B865F4D" w:rsidR="4CD44F56">
        <w:rPr>
          <w:rFonts w:ascii="Times New Roman" w:hAnsi="Times New Roman"/>
          <w:sz w:val="24"/>
          <w:szCs w:val="24"/>
        </w:rPr>
        <w:t xml:space="preserve"> is voluntary</w:t>
      </w:r>
      <w:r w:rsidRPr="0B865F4D" w:rsidR="123F8407">
        <w:rPr>
          <w:rFonts w:ascii="Times New Roman" w:hAnsi="Times New Roman"/>
          <w:sz w:val="24"/>
          <w:szCs w:val="24"/>
        </w:rPr>
        <w:t xml:space="preserve">, and physicians wishing to initiate an </w:t>
      </w:r>
      <w:r w:rsidRPr="0B865F4D" w:rsidR="7D7062B9">
        <w:rPr>
          <w:rFonts w:ascii="Times New Roman" w:hAnsi="Times New Roman"/>
          <w:sz w:val="24"/>
          <w:szCs w:val="24"/>
        </w:rPr>
        <w:t>e</w:t>
      </w:r>
      <w:r w:rsidRPr="0B865F4D" w:rsidR="123F8407">
        <w:rPr>
          <w:rFonts w:ascii="Times New Roman" w:hAnsi="Times New Roman"/>
          <w:sz w:val="24"/>
          <w:szCs w:val="24"/>
        </w:rPr>
        <w:t xml:space="preserve">xpanded </w:t>
      </w:r>
      <w:r w:rsidRPr="0B865F4D" w:rsidR="3B62131B">
        <w:rPr>
          <w:rFonts w:ascii="Times New Roman" w:hAnsi="Times New Roman"/>
          <w:sz w:val="24"/>
          <w:szCs w:val="24"/>
        </w:rPr>
        <w:t>a</w:t>
      </w:r>
      <w:r w:rsidRPr="0B865F4D" w:rsidR="123F8407">
        <w:rPr>
          <w:rFonts w:ascii="Times New Roman" w:hAnsi="Times New Roman"/>
          <w:sz w:val="24"/>
          <w:szCs w:val="24"/>
        </w:rPr>
        <w:t>ccess IND request have the option of using the fillable PDF version of form FDA 3926 and then submitting that form to the Agency via mail, email, or fax rather than using the RUF web application</w:t>
      </w:r>
      <w:r w:rsidRPr="0B865F4D" w:rsidR="4CD44F56">
        <w:rPr>
          <w:rFonts w:ascii="Times New Roman" w:hAnsi="Times New Roman"/>
          <w:sz w:val="24"/>
          <w:szCs w:val="24"/>
        </w:rPr>
        <w:t xml:space="preserve">.  </w:t>
      </w:r>
      <w:r w:rsidRPr="0B865F4D">
        <w:rPr>
          <w:rFonts w:ascii="Times New Roman" w:hAnsi="Times New Roman"/>
          <w:sz w:val="24"/>
          <w:szCs w:val="24"/>
        </w:rPr>
        <w:t>No changes or alterations</w:t>
      </w:r>
      <w:r w:rsidRPr="0B865F4D" w:rsidR="7372D189">
        <w:rPr>
          <w:rFonts w:ascii="Times New Roman" w:hAnsi="Times New Roman"/>
          <w:sz w:val="24"/>
          <w:szCs w:val="24"/>
        </w:rPr>
        <w:t xml:space="preserve"> have been</w:t>
      </w:r>
      <w:r w:rsidRPr="0B865F4D">
        <w:rPr>
          <w:rFonts w:ascii="Times New Roman" w:hAnsi="Times New Roman"/>
          <w:sz w:val="24"/>
          <w:szCs w:val="24"/>
        </w:rPr>
        <w:t xml:space="preserve"> made to Form FDA 3926 in the process</w:t>
      </w:r>
      <w:r w:rsidRPr="0B865F4D" w:rsidR="7372D189">
        <w:rPr>
          <w:rFonts w:ascii="Times New Roman" w:hAnsi="Times New Roman"/>
          <w:sz w:val="24"/>
          <w:szCs w:val="24"/>
        </w:rPr>
        <w:t xml:space="preserve"> of developing the RUF web application</w:t>
      </w:r>
      <w:r w:rsidRPr="0B865F4D">
        <w:rPr>
          <w:rFonts w:ascii="Times New Roman" w:hAnsi="Times New Roman"/>
          <w:sz w:val="24"/>
          <w:szCs w:val="24"/>
        </w:rPr>
        <w:t xml:space="preserve">.  This </w:t>
      </w:r>
      <w:r w:rsidRPr="0B865F4D" w:rsidR="1E20B872">
        <w:rPr>
          <w:rFonts w:ascii="Times New Roman" w:hAnsi="Times New Roman"/>
          <w:sz w:val="24"/>
          <w:szCs w:val="24"/>
        </w:rPr>
        <w:t xml:space="preserve">web-based </w:t>
      </w:r>
      <w:r w:rsidRPr="0B865F4D">
        <w:rPr>
          <w:rFonts w:ascii="Times New Roman" w:hAnsi="Times New Roman"/>
          <w:sz w:val="24"/>
          <w:szCs w:val="24"/>
        </w:rPr>
        <w:t>method removes barriers to physicians seeking to file</w:t>
      </w:r>
      <w:r w:rsidRPr="0B865F4D" w:rsidR="527BE5F4">
        <w:rPr>
          <w:rFonts w:ascii="Times New Roman" w:hAnsi="Times New Roman"/>
          <w:sz w:val="24"/>
          <w:szCs w:val="24"/>
        </w:rPr>
        <w:t xml:space="preserve"> e</w:t>
      </w:r>
      <w:r w:rsidRPr="0B865F4D">
        <w:rPr>
          <w:rFonts w:ascii="Times New Roman" w:hAnsi="Times New Roman"/>
          <w:sz w:val="24"/>
          <w:szCs w:val="24"/>
        </w:rPr>
        <w:t xml:space="preserve">xpanded </w:t>
      </w:r>
      <w:r w:rsidRPr="0B865F4D" w:rsidR="527BE5F4">
        <w:rPr>
          <w:rFonts w:ascii="Times New Roman" w:hAnsi="Times New Roman"/>
          <w:sz w:val="24"/>
          <w:szCs w:val="24"/>
        </w:rPr>
        <w:t>a</w:t>
      </w:r>
      <w:r w:rsidRPr="0B865F4D">
        <w:rPr>
          <w:rFonts w:ascii="Times New Roman" w:hAnsi="Times New Roman"/>
          <w:sz w:val="24"/>
          <w:szCs w:val="24"/>
        </w:rPr>
        <w:t>ccess requests on behalf of their patients</w:t>
      </w:r>
      <w:r w:rsidRPr="0B865F4D" w:rsidR="53270DB4">
        <w:rPr>
          <w:rFonts w:ascii="Times New Roman" w:hAnsi="Times New Roman"/>
          <w:sz w:val="24"/>
          <w:szCs w:val="24"/>
        </w:rPr>
        <w:t xml:space="preserve"> by streamlining the </w:t>
      </w:r>
      <w:r w:rsidRPr="0B865F4D" w:rsidR="369DEE43">
        <w:rPr>
          <w:rFonts w:ascii="Times New Roman" w:hAnsi="Times New Roman"/>
          <w:sz w:val="24"/>
          <w:szCs w:val="24"/>
        </w:rPr>
        <w:t xml:space="preserve">completion and </w:t>
      </w:r>
      <w:r w:rsidRPr="0B865F4D" w:rsidR="53270DB4">
        <w:rPr>
          <w:rFonts w:ascii="Times New Roman" w:hAnsi="Times New Roman"/>
          <w:sz w:val="24"/>
          <w:szCs w:val="24"/>
        </w:rPr>
        <w:t xml:space="preserve">submission </w:t>
      </w:r>
      <w:r w:rsidRPr="0B865F4D" w:rsidR="512F0BDF">
        <w:rPr>
          <w:rFonts w:ascii="Times New Roman" w:hAnsi="Times New Roman"/>
          <w:sz w:val="24"/>
          <w:szCs w:val="24"/>
        </w:rPr>
        <w:t>of the form</w:t>
      </w:r>
      <w:r w:rsidRPr="0B865F4D" w:rsidR="53270DB4">
        <w:rPr>
          <w:rFonts w:ascii="Times New Roman" w:hAnsi="Times New Roman"/>
          <w:sz w:val="24"/>
          <w:szCs w:val="24"/>
        </w:rPr>
        <w:t xml:space="preserve"> in a convenient web application that can be easily accessed by medical providers</w:t>
      </w:r>
      <w:r w:rsidRPr="0B865F4D">
        <w:rPr>
          <w:rFonts w:ascii="Times New Roman" w:hAnsi="Times New Roman"/>
          <w:sz w:val="24"/>
          <w:szCs w:val="24"/>
        </w:rPr>
        <w:t>.</w:t>
      </w:r>
      <w:r w:rsidR="00637CF2">
        <w:rPr>
          <w:rFonts w:ascii="Times New Roman" w:hAnsi="Times New Roman"/>
          <w:sz w:val="24"/>
          <w:szCs w:val="24"/>
        </w:rPr>
        <w:t xml:space="preserve">  While we hope this submission mechanism will help to increase efficiency and reduce burden, we currently are making no change in our estimate.</w:t>
      </w:r>
    </w:p>
    <w:sectPr w:rsidRPr="00637CF2" w:rsidR="002861B9" w:rsidSect="00637CF2">
      <w:footerReference w:type="default" r:id="rId9"/>
      <w:pgSz w:w="12240" w:h="15840"/>
      <w:pgMar w:top="1440" w:right="1440" w:bottom="1440" w:left="1440"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73C4C2C" w16cex:dateUtc="2020-09-03T14:39:00Z"/>
  <w16cex:commentExtensible w16cex:durableId="22FB466C" w16cex:dateUtc="2020-09-03T14:39:00Z"/>
  <w16cex:commentExtensible w16cex:durableId="6085F3A6" w16cex:dateUtc="2020-09-03T14: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65E39" w14:textId="77777777" w:rsidR="006C5E4B" w:rsidRDefault="006C5E4B" w:rsidP="00305CDE">
      <w:pPr>
        <w:spacing w:after="0" w:line="240" w:lineRule="auto"/>
      </w:pPr>
      <w:r>
        <w:separator/>
      </w:r>
    </w:p>
  </w:endnote>
  <w:endnote w:type="continuationSeparator" w:id="0">
    <w:p w14:paraId="13189580" w14:textId="77777777" w:rsidR="006C5E4B" w:rsidRDefault="006C5E4B" w:rsidP="00305CDE">
      <w:pPr>
        <w:spacing w:after="0" w:line="240" w:lineRule="auto"/>
      </w:pPr>
      <w:r>
        <w:continuationSeparator/>
      </w:r>
    </w:p>
  </w:endnote>
  <w:endnote w:type="continuationNotice" w:id="1">
    <w:p w14:paraId="040479C2" w14:textId="77777777" w:rsidR="006C5E4B" w:rsidRDefault="006C5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DFF2F" w14:textId="1A437B1D" w:rsidR="00305CDE" w:rsidRDefault="00305CDE">
    <w:pPr>
      <w:pStyle w:val="Footer"/>
      <w:jc w:val="center"/>
    </w:pPr>
  </w:p>
  <w:p w14:paraId="2053757C" w14:textId="77777777" w:rsidR="00305CDE" w:rsidRDefault="00305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FDEB3" w14:textId="77777777" w:rsidR="006C5E4B" w:rsidRDefault="006C5E4B" w:rsidP="00305CDE">
      <w:pPr>
        <w:spacing w:after="0" w:line="240" w:lineRule="auto"/>
      </w:pPr>
      <w:r>
        <w:separator/>
      </w:r>
    </w:p>
  </w:footnote>
  <w:footnote w:type="continuationSeparator" w:id="0">
    <w:p w14:paraId="0DDF4C09" w14:textId="77777777" w:rsidR="006C5E4B" w:rsidRDefault="006C5E4B" w:rsidP="00305CDE">
      <w:pPr>
        <w:spacing w:after="0" w:line="240" w:lineRule="auto"/>
      </w:pPr>
      <w:r>
        <w:continuationSeparator/>
      </w:r>
    </w:p>
  </w:footnote>
  <w:footnote w:type="continuationNotice" w:id="1">
    <w:p w14:paraId="7A2F6566" w14:textId="77777777" w:rsidR="006C5E4B" w:rsidRDefault="006C5E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947F41"/>
    <w:multiLevelType w:val="hybridMultilevel"/>
    <w:tmpl w:val="85A8136C"/>
    <w:lvl w:ilvl="0" w:tplc="9BE06B86">
      <w:start w:val="1"/>
      <w:numFmt w:val="bullet"/>
      <w:lvlText w:val=""/>
      <w:lvlJc w:val="left"/>
      <w:pPr>
        <w:ind w:left="720" w:hanging="360"/>
      </w:pPr>
      <w:rPr>
        <w:rFonts w:ascii="Symbol" w:hAnsi="Symbol" w:hint="default"/>
      </w:rPr>
    </w:lvl>
    <w:lvl w:ilvl="1" w:tplc="8716F308">
      <w:start w:val="1"/>
      <w:numFmt w:val="bullet"/>
      <w:lvlText w:val="o"/>
      <w:lvlJc w:val="left"/>
      <w:pPr>
        <w:ind w:left="1440" w:hanging="360"/>
      </w:pPr>
      <w:rPr>
        <w:rFonts w:ascii="Courier New" w:hAnsi="Courier New" w:hint="default"/>
      </w:rPr>
    </w:lvl>
    <w:lvl w:ilvl="2" w:tplc="1A14B5EE">
      <w:start w:val="1"/>
      <w:numFmt w:val="bullet"/>
      <w:lvlText w:val=""/>
      <w:lvlJc w:val="left"/>
      <w:pPr>
        <w:ind w:left="2160" w:hanging="360"/>
      </w:pPr>
      <w:rPr>
        <w:rFonts w:ascii="Wingdings" w:hAnsi="Wingdings" w:hint="default"/>
      </w:rPr>
    </w:lvl>
    <w:lvl w:ilvl="3" w:tplc="E09A187A">
      <w:start w:val="1"/>
      <w:numFmt w:val="bullet"/>
      <w:lvlText w:val=""/>
      <w:lvlJc w:val="left"/>
      <w:pPr>
        <w:ind w:left="2880" w:hanging="360"/>
      </w:pPr>
      <w:rPr>
        <w:rFonts w:ascii="Symbol" w:hAnsi="Symbol" w:hint="default"/>
      </w:rPr>
    </w:lvl>
    <w:lvl w:ilvl="4" w:tplc="45925486">
      <w:start w:val="1"/>
      <w:numFmt w:val="bullet"/>
      <w:lvlText w:val="o"/>
      <w:lvlJc w:val="left"/>
      <w:pPr>
        <w:ind w:left="3600" w:hanging="360"/>
      </w:pPr>
      <w:rPr>
        <w:rFonts w:ascii="Courier New" w:hAnsi="Courier New" w:hint="default"/>
      </w:rPr>
    </w:lvl>
    <w:lvl w:ilvl="5" w:tplc="01601A0E">
      <w:start w:val="1"/>
      <w:numFmt w:val="bullet"/>
      <w:lvlText w:val=""/>
      <w:lvlJc w:val="left"/>
      <w:pPr>
        <w:ind w:left="4320" w:hanging="360"/>
      </w:pPr>
      <w:rPr>
        <w:rFonts w:ascii="Wingdings" w:hAnsi="Wingdings" w:hint="default"/>
      </w:rPr>
    </w:lvl>
    <w:lvl w:ilvl="6" w:tplc="FB245354">
      <w:start w:val="1"/>
      <w:numFmt w:val="bullet"/>
      <w:lvlText w:val=""/>
      <w:lvlJc w:val="left"/>
      <w:pPr>
        <w:ind w:left="5040" w:hanging="360"/>
      </w:pPr>
      <w:rPr>
        <w:rFonts w:ascii="Symbol" w:hAnsi="Symbol" w:hint="default"/>
      </w:rPr>
    </w:lvl>
    <w:lvl w:ilvl="7" w:tplc="117C0DB2">
      <w:start w:val="1"/>
      <w:numFmt w:val="bullet"/>
      <w:lvlText w:val="o"/>
      <w:lvlJc w:val="left"/>
      <w:pPr>
        <w:ind w:left="5760" w:hanging="360"/>
      </w:pPr>
      <w:rPr>
        <w:rFonts w:ascii="Courier New" w:hAnsi="Courier New" w:hint="default"/>
      </w:rPr>
    </w:lvl>
    <w:lvl w:ilvl="8" w:tplc="A71EBB16">
      <w:start w:val="1"/>
      <w:numFmt w:val="bullet"/>
      <w:lvlText w:val=""/>
      <w:lvlJc w:val="left"/>
      <w:pPr>
        <w:ind w:left="6480" w:hanging="360"/>
      </w:pPr>
      <w:rPr>
        <w:rFonts w:ascii="Wingdings" w:hAnsi="Wingdings" w:hint="default"/>
      </w:rPr>
    </w:lvl>
  </w:abstractNum>
  <w:abstractNum w:abstractNumId="1" w15:restartNumberingAfterBreak="0">
    <w:nsid w:val="5CB312EB"/>
    <w:multiLevelType w:val="hybridMultilevel"/>
    <w:tmpl w:val="032C13BA"/>
    <w:lvl w:ilvl="0" w:tplc="0B92397A">
      <w:start w:val="1"/>
      <w:numFmt w:val="bullet"/>
      <w:lvlText w:val=""/>
      <w:lvlJc w:val="left"/>
      <w:pPr>
        <w:ind w:left="720" w:hanging="360"/>
      </w:pPr>
      <w:rPr>
        <w:rFonts w:ascii="Symbol" w:hAnsi="Symbol" w:hint="default"/>
      </w:rPr>
    </w:lvl>
    <w:lvl w:ilvl="1" w:tplc="77AEC498">
      <w:start w:val="1"/>
      <w:numFmt w:val="bullet"/>
      <w:lvlText w:val="o"/>
      <w:lvlJc w:val="left"/>
      <w:pPr>
        <w:ind w:left="1440" w:hanging="360"/>
      </w:pPr>
      <w:rPr>
        <w:rFonts w:ascii="Courier New" w:hAnsi="Courier New" w:hint="default"/>
      </w:rPr>
    </w:lvl>
    <w:lvl w:ilvl="2" w:tplc="A12EFB1A">
      <w:start w:val="1"/>
      <w:numFmt w:val="bullet"/>
      <w:lvlText w:val=""/>
      <w:lvlJc w:val="left"/>
      <w:pPr>
        <w:ind w:left="2160" w:hanging="360"/>
      </w:pPr>
      <w:rPr>
        <w:rFonts w:ascii="Wingdings" w:hAnsi="Wingdings" w:hint="default"/>
      </w:rPr>
    </w:lvl>
    <w:lvl w:ilvl="3" w:tplc="CD362688">
      <w:start w:val="1"/>
      <w:numFmt w:val="bullet"/>
      <w:lvlText w:val=""/>
      <w:lvlJc w:val="left"/>
      <w:pPr>
        <w:ind w:left="2880" w:hanging="360"/>
      </w:pPr>
      <w:rPr>
        <w:rFonts w:ascii="Symbol" w:hAnsi="Symbol" w:hint="default"/>
      </w:rPr>
    </w:lvl>
    <w:lvl w:ilvl="4" w:tplc="B6E28C64">
      <w:start w:val="1"/>
      <w:numFmt w:val="bullet"/>
      <w:lvlText w:val="o"/>
      <w:lvlJc w:val="left"/>
      <w:pPr>
        <w:ind w:left="3600" w:hanging="360"/>
      </w:pPr>
      <w:rPr>
        <w:rFonts w:ascii="Courier New" w:hAnsi="Courier New" w:hint="default"/>
      </w:rPr>
    </w:lvl>
    <w:lvl w:ilvl="5" w:tplc="6DB09512">
      <w:start w:val="1"/>
      <w:numFmt w:val="bullet"/>
      <w:lvlText w:val=""/>
      <w:lvlJc w:val="left"/>
      <w:pPr>
        <w:ind w:left="4320" w:hanging="360"/>
      </w:pPr>
      <w:rPr>
        <w:rFonts w:ascii="Wingdings" w:hAnsi="Wingdings" w:hint="default"/>
      </w:rPr>
    </w:lvl>
    <w:lvl w:ilvl="6" w:tplc="3A1A55BC">
      <w:start w:val="1"/>
      <w:numFmt w:val="bullet"/>
      <w:lvlText w:val=""/>
      <w:lvlJc w:val="left"/>
      <w:pPr>
        <w:ind w:left="5040" w:hanging="360"/>
      </w:pPr>
      <w:rPr>
        <w:rFonts w:ascii="Symbol" w:hAnsi="Symbol" w:hint="default"/>
      </w:rPr>
    </w:lvl>
    <w:lvl w:ilvl="7" w:tplc="6898EC26">
      <w:start w:val="1"/>
      <w:numFmt w:val="bullet"/>
      <w:lvlText w:val="o"/>
      <w:lvlJc w:val="left"/>
      <w:pPr>
        <w:ind w:left="5760" w:hanging="360"/>
      </w:pPr>
      <w:rPr>
        <w:rFonts w:ascii="Courier New" w:hAnsi="Courier New" w:hint="default"/>
      </w:rPr>
    </w:lvl>
    <w:lvl w:ilvl="8" w:tplc="FC2CC7D2">
      <w:start w:val="1"/>
      <w:numFmt w:val="bullet"/>
      <w:lvlText w:val=""/>
      <w:lvlJc w:val="left"/>
      <w:pPr>
        <w:ind w:left="6480" w:hanging="360"/>
      </w:pPr>
      <w:rPr>
        <w:rFonts w:ascii="Wingdings" w:hAnsi="Wingdings" w:hint="default"/>
      </w:rPr>
    </w:lvl>
  </w:abstractNum>
  <w:abstractNum w:abstractNumId="2" w15:restartNumberingAfterBreak="0">
    <w:nsid w:val="63FD3035"/>
    <w:multiLevelType w:val="hybridMultilevel"/>
    <w:tmpl w:val="1C788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A8F"/>
    <w:rsid w:val="00050607"/>
    <w:rsid w:val="00097DF8"/>
    <w:rsid w:val="00112C32"/>
    <w:rsid w:val="0013636E"/>
    <w:rsid w:val="00137492"/>
    <w:rsid w:val="001418C8"/>
    <w:rsid w:val="00190DE3"/>
    <w:rsid w:val="001A35F9"/>
    <w:rsid w:val="001C2043"/>
    <w:rsid w:val="00230255"/>
    <w:rsid w:val="00235DF5"/>
    <w:rsid w:val="002861B9"/>
    <w:rsid w:val="002F6D4D"/>
    <w:rsid w:val="00305CDE"/>
    <w:rsid w:val="00327325"/>
    <w:rsid w:val="00394EA4"/>
    <w:rsid w:val="003A15C3"/>
    <w:rsid w:val="003B6AFB"/>
    <w:rsid w:val="003E0BF8"/>
    <w:rsid w:val="003E22FC"/>
    <w:rsid w:val="003E7F05"/>
    <w:rsid w:val="004049CF"/>
    <w:rsid w:val="004100D9"/>
    <w:rsid w:val="00430758"/>
    <w:rsid w:val="00443CF5"/>
    <w:rsid w:val="00486851"/>
    <w:rsid w:val="004B39A1"/>
    <w:rsid w:val="00520F4E"/>
    <w:rsid w:val="005445BC"/>
    <w:rsid w:val="00573763"/>
    <w:rsid w:val="005957B6"/>
    <w:rsid w:val="005E294C"/>
    <w:rsid w:val="006102CA"/>
    <w:rsid w:val="00637CF2"/>
    <w:rsid w:val="006B3AA3"/>
    <w:rsid w:val="006C5E4B"/>
    <w:rsid w:val="006F70E5"/>
    <w:rsid w:val="00700EE1"/>
    <w:rsid w:val="00751247"/>
    <w:rsid w:val="00767CDA"/>
    <w:rsid w:val="00768F8E"/>
    <w:rsid w:val="00795FA4"/>
    <w:rsid w:val="007B637B"/>
    <w:rsid w:val="007C22AD"/>
    <w:rsid w:val="00821696"/>
    <w:rsid w:val="0082757B"/>
    <w:rsid w:val="00852481"/>
    <w:rsid w:val="00872C79"/>
    <w:rsid w:val="008C7056"/>
    <w:rsid w:val="008F54BF"/>
    <w:rsid w:val="009066A0"/>
    <w:rsid w:val="009228E3"/>
    <w:rsid w:val="00933562"/>
    <w:rsid w:val="00975B71"/>
    <w:rsid w:val="00986926"/>
    <w:rsid w:val="009F46B1"/>
    <w:rsid w:val="00A36A8E"/>
    <w:rsid w:val="00A56E7A"/>
    <w:rsid w:val="00AA4118"/>
    <w:rsid w:val="00B1697D"/>
    <w:rsid w:val="00B2058E"/>
    <w:rsid w:val="00B26139"/>
    <w:rsid w:val="00B5359C"/>
    <w:rsid w:val="00B55AB0"/>
    <w:rsid w:val="00B94E68"/>
    <w:rsid w:val="00C07726"/>
    <w:rsid w:val="00C13048"/>
    <w:rsid w:val="00C247A5"/>
    <w:rsid w:val="00C62D1A"/>
    <w:rsid w:val="00C634A6"/>
    <w:rsid w:val="00C948F9"/>
    <w:rsid w:val="00C972EF"/>
    <w:rsid w:val="00CB08C8"/>
    <w:rsid w:val="00CB3545"/>
    <w:rsid w:val="00CD7BAA"/>
    <w:rsid w:val="00D11A8F"/>
    <w:rsid w:val="00D17F0F"/>
    <w:rsid w:val="00D34DCE"/>
    <w:rsid w:val="00D34E21"/>
    <w:rsid w:val="00D444A6"/>
    <w:rsid w:val="00D60F51"/>
    <w:rsid w:val="00D95CD4"/>
    <w:rsid w:val="00DB4CFD"/>
    <w:rsid w:val="00DE7C05"/>
    <w:rsid w:val="00DF5F0F"/>
    <w:rsid w:val="00E11C2E"/>
    <w:rsid w:val="00E31EE3"/>
    <w:rsid w:val="00F01F0D"/>
    <w:rsid w:val="00F34B9A"/>
    <w:rsid w:val="00F354B3"/>
    <w:rsid w:val="00FF1D54"/>
    <w:rsid w:val="00FF4CC7"/>
    <w:rsid w:val="01590EEA"/>
    <w:rsid w:val="02107939"/>
    <w:rsid w:val="021603C7"/>
    <w:rsid w:val="03327EAB"/>
    <w:rsid w:val="035F9C46"/>
    <w:rsid w:val="039C0B87"/>
    <w:rsid w:val="056F4ECE"/>
    <w:rsid w:val="063678D5"/>
    <w:rsid w:val="063CF8F9"/>
    <w:rsid w:val="07F53645"/>
    <w:rsid w:val="0A6C40F5"/>
    <w:rsid w:val="0AED3C0F"/>
    <w:rsid w:val="0B865F4D"/>
    <w:rsid w:val="0E83739B"/>
    <w:rsid w:val="0EA07051"/>
    <w:rsid w:val="0EE26CC3"/>
    <w:rsid w:val="0EE40FAC"/>
    <w:rsid w:val="11839FBB"/>
    <w:rsid w:val="123F8407"/>
    <w:rsid w:val="1290E812"/>
    <w:rsid w:val="12BFC88C"/>
    <w:rsid w:val="13326116"/>
    <w:rsid w:val="13B2F310"/>
    <w:rsid w:val="1418B9F4"/>
    <w:rsid w:val="149F2164"/>
    <w:rsid w:val="1556A58A"/>
    <w:rsid w:val="169B113A"/>
    <w:rsid w:val="17027700"/>
    <w:rsid w:val="17CB6357"/>
    <w:rsid w:val="1883DBC5"/>
    <w:rsid w:val="1903A0EA"/>
    <w:rsid w:val="1A04AC4E"/>
    <w:rsid w:val="1AF76F05"/>
    <w:rsid w:val="1B069563"/>
    <w:rsid w:val="1D2E04ED"/>
    <w:rsid w:val="1D46A29C"/>
    <w:rsid w:val="1D9F8250"/>
    <w:rsid w:val="1E20B872"/>
    <w:rsid w:val="20F8D8D1"/>
    <w:rsid w:val="2294A932"/>
    <w:rsid w:val="22CB3BF5"/>
    <w:rsid w:val="23129CFA"/>
    <w:rsid w:val="242530F3"/>
    <w:rsid w:val="25037E70"/>
    <w:rsid w:val="25AD0F56"/>
    <w:rsid w:val="26724D32"/>
    <w:rsid w:val="27075541"/>
    <w:rsid w:val="2A0382F3"/>
    <w:rsid w:val="2A5E5EE4"/>
    <w:rsid w:val="2A724B19"/>
    <w:rsid w:val="2ACCD75A"/>
    <w:rsid w:val="2AD5F993"/>
    <w:rsid w:val="2B17B0E4"/>
    <w:rsid w:val="2B51BC74"/>
    <w:rsid w:val="2C0BBEC0"/>
    <w:rsid w:val="2C849E5A"/>
    <w:rsid w:val="2DD456FA"/>
    <w:rsid w:val="2E3EA356"/>
    <w:rsid w:val="2EA68C92"/>
    <w:rsid w:val="2F0D3D22"/>
    <w:rsid w:val="303B0F9B"/>
    <w:rsid w:val="310F8D15"/>
    <w:rsid w:val="315F074D"/>
    <w:rsid w:val="32135490"/>
    <w:rsid w:val="32BEF495"/>
    <w:rsid w:val="34AA24F9"/>
    <w:rsid w:val="353A65E1"/>
    <w:rsid w:val="3659C79A"/>
    <w:rsid w:val="369DEE43"/>
    <w:rsid w:val="36BC44EF"/>
    <w:rsid w:val="381F52D5"/>
    <w:rsid w:val="3992996C"/>
    <w:rsid w:val="3AF09E38"/>
    <w:rsid w:val="3AF111D4"/>
    <w:rsid w:val="3B62131B"/>
    <w:rsid w:val="3CED450A"/>
    <w:rsid w:val="41D6C974"/>
    <w:rsid w:val="41F99E3A"/>
    <w:rsid w:val="4269938D"/>
    <w:rsid w:val="435B8E69"/>
    <w:rsid w:val="44EFABD8"/>
    <w:rsid w:val="44F607F6"/>
    <w:rsid w:val="45EF5DEB"/>
    <w:rsid w:val="460E1D3B"/>
    <w:rsid w:val="4877E44F"/>
    <w:rsid w:val="48AAA1A4"/>
    <w:rsid w:val="4A0E8D8E"/>
    <w:rsid w:val="4A6AE7C2"/>
    <w:rsid w:val="4ACA621E"/>
    <w:rsid w:val="4CD44F56"/>
    <w:rsid w:val="4E046D3D"/>
    <w:rsid w:val="4E8A5501"/>
    <w:rsid w:val="5073F8DC"/>
    <w:rsid w:val="512F0BDF"/>
    <w:rsid w:val="518FF418"/>
    <w:rsid w:val="5275D506"/>
    <w:rsid w:val="527BE5F4"/>
    <w:rsid w:val="530F1F74"/>
    <w:rsid w:val="53270DB4"/>
    <w:rsid w:val="53FBBB02"/>
    <w:rsid w:val="55890CED"/>
    <w:rsid w:val="5839718A"/>
    <w:rsid w:val="58AB2BF0"/>
    <w:rsid w:val="59B67BFC"/>
    <w:rsid w:val="5A00772D"/>
    <w:rsid w:val="5B822B0E"/>
    <w:rsid w:val="5BC758D5"/>
    <w:rsid w:val="5C54C268"/>
    <w:rsid w:val="5DDDA508"/>
    <w:rsid w:val="5E19E572"/>
    <w:rsid w:val="5F13492A"/>
    <w:rsid w:val="604DA24B"/>
    <w:rsid w:val="622DFBBE"/>
    <w:rsid w:val="628E4A5B"/>
    <w:rsid w:val="62B1D524"/>
    <w:rsid w:val="62D8073F"/>
    <w:rsid w:val="639F6D12"/>
    <w:rsid w:val="63B3B86B"/>
    <w:rsid w:val="659AA44C"/>
    <w:rsid w:val="65E119E0"/>
    <w:rsid w:val="66C2FE60"/>
    <w:rsid w:val="66C33E1E"/>
    <w:rsid w:val="6810326E"/>
    <w:rsid w:val="6934DE49"/>
    <w:rsid w:val="69D351FF"/>
    <w:rsid w:val="69D5D4EA"/>
    <w:rsid w:val="6BA01C1C"/>
    <w:rsid w:val="6C624950"/>
    <w:rsid w:val="6CD75677"/>
    <w:rsid w:val="6DB69F44"/>
    <w:rsid w:val="6F00831C"/>
    <w:rsid w:val="713C4CDA"/>
    <w:rsid w:val="71CE1098"/>
    <w:rsid w:val="7372D189"/>
    <w:rsid w:val="74C43AE3"/>
    <w:rsid w:val="75DC2083"/>
    <w:rsid w:val="75E0277C"/>
    <w:rsid w:val="76362853"/>
    <w:rsid w:val="763FE5EB"/>
    <w:rsid w:val="76874C12"/>
    <w:rsid w:val="76C58038"/>
    <w:rsid w:val="77827233"/>
    <w:rsid w:val="795737F4"/>
    <w:rsid w:val="7B48A12B"/>
    <w:rsid w:val="7B540AFB"/>
    <w:rsid w:val="7C162AB2"/>
    <w:rsid w:val="7CFE3734"/>
    <w:rsid w:val="7D7062B9"/>
    <w:rsid w:val="7FAAF5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EDF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1A8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1A8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700EE1"/>
    <w:rPr>
      <w:color w:val="0563C1" w:themeColor="hyperlink"/>
      <w:u w:val="single"/>
    </w:rPr>
  </w:style>
  <w:style w:type="character" w:styleId="UnresolvedMention">
    <w:name w:val="Unresolved Mention"/>
    <w:basedOn w:val="DefaultParagraphFont"/>
    <w:uiPriority w:val="99"/>
    <w:semiHidden/>
    <w:unhideWhenUsed/>
    <w:rsid w:val="00700EE1"/>
    <w:rPr>
      <w:color w:val="605E5C"/>
      <w:shd w:val="clear" w:color="auto" w:fill="E1DFDD"/>
    </w:rPr>
  </w:style>
  <w:style w:type="paragraph" w:styleId="Header">
    <w:name w:val="header"/>
    <w:basedOn w:val="Normal"/>
    <w:link w:val="HeaderChar"/>
    <w:uiPriority w:val="99"/>
    <w:unhideWhenUsed/>
    <w:rsid w:val="00305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CDE"/>
    <w:rPr>
      <w:rFonts w:ascii="Calibri" w:eastAsia="Calibri" w:hAnsi="Calibri" w:cs="Times New Roman"/>
    </w:rPr>
  </w:style>
  <w:style w:type="paragraph" w:styleId="Footer">
    <w:name w:val="footer"/>
    <w:basedOn w:val="Normal"/>
    <w:link w:val="FooterChar"/>
    <w:uiPriority w:val="99"/>
    <w:unhideWhenUsed/>
    <w:rsid w:val="00305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CDE"/>
    <w:rPr>
      <w:rFonts w:ascii="Calibri" w:eastAsia="Calibri" w:hAnsi="Calibri" w:cs="Times New Roman"/>
    </w:rPr>
  </w:style>
  <w:style w:type="character" w:styleId="CommentReference">
    <w:name w:val="annotation reference"/>
    <w:basedOn w:val="DefaultParagraphFont"/>
    <w:uiPriority w:val="99"/>
    <w:semiHidden/>
    <w:unhideWhenUsed/>
    <w:rsid w:val="00C948F9"/>
    <w:rPr>
      <w:sz w:val="16"/>
      <w:szCs w:val="16"/>
    </w:rPr>
  </w:style>
  <w:style w:type="paragraph" w:styleId="CommentText">
    <w:name w:val="annotation text"/>
    <w:basedOn w:val="Normal"/>
    <w:link w:val="CommentTextChar"/>
    <w:uiPriority w:val="99"/>
    <w:semiHidden/>
    <w:unhideWhenUsed/>
    <w:rsid w:val="00C948F9"/>
    <w:pPr>
      <w:spacing w:line="240" w:lineRule="auto"/>
    </w:pPr>
    <w:rPr>
      <w:sz w:val="20"/>
      <w:szCs w:val="20"/>
    </w:rPr>
  </w:style>
  <w:style w:type="character" w:customStyle="1" w:styleId="CommentTextChar">
    <w:name w:val="Comment Text Char"/>
    <w:basedOn w:val="DefaultParagraphFont"/>
    <w:link w:val="CommentText"/>
    <w:uiPriority w:val="99"/>
    <w:semiHidden/>
    <w:rsid w:val="00C948F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48F9"/>
    <w:rPr>
      <w:b/>
      <w:bCs/>
    </w:rPr>
  </w:style>
  <w:style w:type="character" w:customStyle="1" w:styleId="CommentSubjectChar">
    <w:name w:val="Comment Subject Char"/>
    <w:basedOn w:val="CommentTextChar"/>
    <w:link w:val="CommentSubject"/>
    <w:uiPriority w:val="99"/>
    <w:semiHidden/>
    <w:rsid w:val="00C948F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948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8F9"/>
    <w:rPr>
      <w:rFonts w:ascii="Segoe UI" w:eastAsia="Calibri" w:hAnsi="Segoe UI" w:cs="Segoe UI"/>
      <w:sz w:val="18"/>
      <w:szCs w:val="18"/>
    </w:rPr>
  </w:style>
  <w:style w:type="paragraph" w:styleId="Revision">
    <w:name w:val="Revision"/>
    <w:hidden/>
    <w:uiPriority w:val="99"/>
    <w:semiHidden/>
    <w:rsid w:val="007B637B"/>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B55A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4132">
      <w:bodyDiv w:val="1"/>
      <w:marLeft w:val="0"/>
      <w:marRight w:val="0"/>
      <w:marTop w:val="0"/>
      <w:marBottom w:val="0"/>
      <w:divBdr>
        <w:top w:val="none" w:sz="0" w:space="0" w:color="auto"/>
        <w:left w:val="none" w:sz="0" w:space="0" w:color="auto"/>
        <w:bottom w:val="none" w:sz="0" w:space="0" w:color="auto"/>
        <w:right w:val="none" w:sz="0" w:space="0" w:color="auto"/>
      </w:divBdr>
    </w:div>
    <w:div w:id="104664748">
      <w:bodyDiv w:val="1"/>
      <w:marLeft w:val="0"/>
      <w:marRight w:val="0"/>
      <w:marTop w:val="0"/>
      <w:marBottom w:val="0"/>
      <w:divBdr>
        <w:top w:val="none" w:sz="0" w:space="0" w:color="auto"/>
        <w:left w:val="none" w:sz="0" w:space="0" w:color="auto"/>
        <w:bottom w:val="none" w:sz="0" w:space="0" w:color="auto"/>
        <w:right w:val="none" w:sz="0" w:space="0" w:color="auto"/>
      </w:divBdr>
    </w:div>
    <w:div w:id="173351480">
      <w:bodyDiv w:val="1"/>
      <w:marLeft w:val="0"/>
      <w:marRight w:val="0"/>
      <w:marTop w:val="0"/>
      <w:marBottom w:val="0"/>
      <w:divBdr>
        <w:top w:val="none" w:sz="0" w:space="0" w:color="auto"/>
        <w:left w:val="none" w:sz="0" w:space="0" w:color="auto"/>
        <w:bottom w:val="none" w:sz="0" w:space="0" w:color="auto"/>
        <w:right w:val="none" w:sz="0" w:space="0" w:color="auto"/>
      </w:divBdr>
    </w:div>
    <w:div w:id="435446414">
      <w:bodyDiv w:val="1"/>
      <w:marLeft w:val="0"/>
      <w:marRight w:val="0"/>
      <w:marTop w:val="0"/>
      <w:marBottom w:val="0"/>
      <w:divBdr>
        <w:top w:val="none" w:sz="0" w:space="0" w:color="auto"/>
        <w:left w:val="none" w:sz="0" w:space="0" w:color="auto"/>
        <w:bottom w:val="none" w:sz="0" w:space="0" w:color="auto"/>
        <w:right w:val="none" w:sz="0" w:space="0" w:color="auto"/>
      </w:divBdr>
    </w:div>
    <w:div w:id="495800466">
      <w:bodyDiv w:val="1"/>
      <w:marLeft w:val="0"/>
      <w:marRight w:val="0"/>
      <w:marTop w:val="0"/>
      <w:marBottom w:val="0"/>
      <w:divBdr>
        <w:top w:val="none" w:sz="0" w:space="0" w:color="auto"/>
        <w:left w:val="none" w:sz="0" w:space="0" w:color="auto"/>
        <w:bottom w:val="none" w:sz="0" w:space="0" w:color="auto"/>
        <w:right w:val="none" w:sz="0" w:space="0" w:color="auto"/>
      </w:divBdr>
    </w:div>
    <w:div w:id="1273515990">
      <w:bodyDiv w:val="1"/>
      <w:marLeft w:val="0"/>
      <w:marRight w:val="0"/>
      <w:marTop w:val="0"/>
      <w:marBottom w:val="0"/>
      <w:divBdr>
        <w:top w:val="none" w:sz="0" w:space="0" w:color="auto"/>
        <w:left w:val="none" w:sz="0" w:space="0" w:color="auto"/>
        <w:bottom w:val="none" w:sz="0" w:space="0" w:color="auto"/>
        <w:right w:val="none" w:sz="0" w:space="0" w:color="auto"/>
      </w:divBdr>
    </w:div>
    <w:div w:id="135280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about-fda/reports-manuals-forms/forms" TargetMode="External"/><Relationship Id="rId3" Type="http://schemas.openxmlformats.org/officeDocument/2006/relationships/settings" Target="settings.xml"/><Relationship Id="rId7" Type="http://schemas.openxmlformats.org/officeDocument/2006/relationships/hyperlink" Target="https://www.fda.gov/regulatory-information/search-fda-guidance-documents/individual-patient-expanded-access-applications-form-fda-39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2020-09-09T10:42:00Z</dcterms:created>
  <dcterms:modified xsi:type="dcterms:W3CDTF">2020-09-09T10:42:00Z</dcterms:modified>
</cp:coreProperties>
</file>