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1BEE" w:rsidR="00BC12C2" w:rsidP="006E4735" w:rsidRDefault="00E6509E">
      <w:pPr>
        <w:pStyle w:val="Title"/>
        <w:rPr>
          <w:b/>
          <w:bCs/>
          <w:sz w:val="32"/>
          <w:szCs w:val="32"/>
        </w:rPr>
      </w:pPr>
      <w:r w:rsidRPr="008B1BEE">
        <w:rPr>
          <w:b/>
          <w:bCs/>
        </w:rPr>
        <w:tab/>
        <w:t xml:space="preserve"> </w:t>
      </w:r>
      <w:bookmarkStart w:name="_GoBack" w:id="0"/>
      <w:bookmarkEnd w:id="0"/>
      <w:r w:rsidRPr="008B1BEE" w:rsidR="00BC12C2">
        <w:rPr>
          <w:b/>
          <w:bCs/>
          <w:sz w:val="32"/>
          <w:szCs w:val="32"/>
        </w:rPr>
        <w:t>Supporting Statement B</w:t>
      </w:r>
    </w:p>
    <w:p w:rsidRPr="008B1BEE" w:rsidR="00BC12C2" w:rsidP="008B1BEE" w:rsidRDefault="00BC12C2">
      <w:pPr>
        <w:tabs>
          <w:tab w:val="center" w:pos="4680"/>
        </w:tabs>
        <w:jc w:val="center"/>
        <w:rPr>
          <w:b/>
          <w:bCs/>
          <w:sz w:val="32"/>
          <w:szCs w:val="32"/>
        </w:rPr>
      </w:pPr>
    </w:p>
    <w:p w:rsidRPr="008B1BEE" w:rsidR="00BC12C2" w:rsidP="008B1BEE" w:rsidRDefault="00BC12C2">
      <w:pPr>
        <w:jc w:val="center"/>
        <w:rPr>
          <w:b/>
          <w:sz w:val="32"/>
        </w:rPr>
      </w:pPr>
      <w:r w:rsidRPr="008B1BEE">
        <w:rPr>
          <w:b/>
          <w:sz w:val="32"/>
        </w:rPr>
        <w:t>National Survey of Organ Donation Attitudes and Practices</w:t>
      </w:r>
    </w:p>
    <w:p w:rsidRPr="008B1BEE" w:rsidR="00BC12C2" w:rsidP="008B1BEE" w:rsidRDefault="00BC12C2">
      <w:pPr>
        <w:tabs>
          <w:tab w:val="center" w:pos="4680"/>
        </w:tabs>
        <w:jc w:val="center"/>
        <w:rPr>
          <w:b/>
          <w:bCs/>
          <w:sz w:val="32"/>
          <w:szCs w:val="32"/>
        </w:rPr>
      </w:pPr>
    </w:p>
    <w:p w:rsidRPr="008B1BEE" w:rsidR="00BC12C2" w:rsidP="008B1BEE" w:rsidRDefault="00BC12C2">
      <w:pPr>
        <w:tabs>
          <w:tab w:val="center" w:pos="4680"/>
        </w:tabs>
        <w:jc w:val="center"/>
        <w:rPr>
          <w:b/>
          <w:bCs/>
          <w:sz w:val="32"/>
          <w:szCs w:val="32"/>
        </w:rPr>
      </w:pPr>
      <w:r w:rsidRPr="008B1BEE">
        <w:rPr>
          <w:b/>
          <w:bCs/>
          <w:sz w:val="32"/>
          <w:szCs w:val="32"/>
        </w:rPr>
        <w:t>OMB Control No. 0915-0290</w:t>
      </w:r>
    </w:p>
    <w:p w:rsidRPr="008B1BEE" w:rsidR="00B4249C" w:rsidP="008B1BEE" w:rsidRDefault="00B4249C">
      <w:pPr>
        <w:tabs>
          <w:tab w:val="center" w:pos="4680"/>
        </w:tabs>
        <w:jc w:val="center"/>
        <w:rPr>
          <w:b/>
          <w:bCs/>
          <w:sz w:val="32"/>
          <w:szCs w:val="32"/>
        </w:rPr>
      </w:pPr>
    </w:p>
    <w:p w:rsidRPr="008B1BEE" w:rsidR="00BC12C2" w:rsidP="008B1BEE" w:rsidRDefault="00BC12C2">
      <w:pPr>
        <w:tabs>
          <w:tab w:val="center" w:pos="4680"/>
        </w:tabs>
        <w:rPr>
          <w:b/>
          <w:bCs/>
          <w:sz w:val="32"/>
          <w:szCs w:val="32"/>
        </w:rPr>
      </w:pPr>
    </w:p>
    <w:p w:rsidRPr="008B1BEE" w:rsidR="00E6509E" w:rsidP="008B1BEE" w:rsidRDefault="00B4249C">
      <w:pPr>
        <w:tabs>
          <w:tab w:val="center" w:pos="4680"/>
        </w:tabs>
        <w:rPr>
          <w:b/>
        </w:rPr>
      </w:pPr>
      <w:r w:rsidRPr="008B1BEE">
        <w:rPr>
          <w:b/>
        </w:rPr>
        <w:t xml:space="preserve">B. </w:t>
      </w:r>
      <w:r w:rsidRPr="008B1BEE" w:rsidR="00B70E4B">
        <w:rPr>
          <w:b/>
        </w:rPr>
        <w:t xml:space="preserve">Collection of Information Employing </w:t>
      </w:r>
      <w:r w:rsidRPr="008B1BEE" w:rsidR="00E6509E">
        <w:rPr>
          <w:b/>
        </w:rPr>
        <w:t>Statistical Methods</w:t>
      </w:r>
    </w:p>
    <w:p w:rsidRPr="008B1BEE" w:rsidR="00E6509E" w:rsidP="008B1BEE" w:rsidRDefault="00E6509E"/>
    <w:p w:rsidRPr="008B1BEE" w:rsidR="00E6509E" w:rsidP="008B1BEE" w:rsidRDefault="00E6509E">
      <w:pPr>
        <w:numPr>
          <w:ilvl w:val="0"/>
          <w:numId w:val="25"/>
        </w:numPr>
        <w:rPr>
          <w:b/>
        </w:rPr>
      </w:pPr>
      <w:r w:rsidRPr="008B1BEE">
        <w:rPr>
          <w:b/>
        </w:rPr>
        <w:t>Respondent Universe and Sampling Methods</w:t>
      </w:r>
    </w:p>
    <w:p w:rsidRPr="008B1BEE" w:rsidR="007C7F97" w:rsidP="008B1BEE" w:rsidRDefault="007C7F97">
      <w:pPr>
        <w:pStyle w:val="BodyText"/>
        <w:widowControl/>
        <w:numPr>
          <w:ilvl w:val="12"/>
          <w:numId w:val="0"/>
        </w:numPr>
        <w:rPr>
          <w:sz w:val="24"/>
          <w:szCs w:val="24"/>
          <w:lang w:eastAsia="zh-CN"/>
        </w:rPr>
      </w:pPr>
    </w:p>
    <w:p w:rsidRPr="008B1BEE" w:rsidR="007C7F97" w:rsidP="008B1BEE" w:rsidRDefault="00DC2B8B">
      <w:pPr>
        <w:pStyle w:val="BodyText"/>
        <w:widowControl/>
        <w:numPr>
          <w:ilvl w:val="12"/>
          <w:numId w:val="0"/>
        </w:numPr>
        <w:rPr>
          <w:sz w:val="24"/>
          <w:szCs w:val="24"/>
          <w:lang w:eastAsia="zh-CN"/>
        </w:rPr>
      </w:pPr>
      <w:r>
        <w:rPr>
          <w:sz w:val="24"/>
          <w:szCs w:val="24"/>
          <w:lang w:eastAsia="zh-CN"/>
        </w:rPr>
        <w:t xml:space="preserve">HRSA is maintaining the same approach as in the 2019 National Survey. </w:t>
      </w:r>
      <w:r w:rsidRPr="008B1BEE" w:rsidR="007C7F97">
        <w:rPr>
          <w:sz w:val="24"/>
          <w:szCs w:val="24"/>
          <w:lang w:eastAsia="zh-CN"/>
        </w:rPr>
        <w:t xml:space="preserve">The National Survey of Organ Donation Attitudes and Practices </w:t>
      </w:r>
      <w:r w:rsidRPr="008B1BEE" w:rsidR="00383878">
        <w:rPr>
          <w:sz w:val="24"/>
          <w:szCs w:val="24"/>
          <w:lang w:eastAsia="zh-CN"/>
        </w:rPr>
        <w:t xml:space="preserve">(NSODAP) </w:t>
      </w:r>
      <w:r w:rsidRPr="008B1BEE" w:rsidR="007C7F97">
        <w:rPr>
          <w:sz w:val="24"/>
          <w:szCs w:val="24"/>
          <w:lang w:eastAsia="zh-CN"/>
        </w:rPr>
        <w:t>use</w:t>
      </w:r>
      <w:r w:rsidR="009112FB">
        <w:rPr>
          <w:sz w:val="24"/>
          <w:szCs w:val="24"/>
          <w:lang w:eastAsia="zh-CN"/>
        </w:rPr>
        <w:t>s</w:t>
      </w:r>
      <w:r w:rsidRPr="008B1BEE" w:rsidR="007C7F97">
        <w:rPr>
          <w:sz w:val="24"/>
          <w:szCs w:val="24"/>
          <w:lang w:eastAsia="zh-CN"/>
        </w:rPr>
        <w:t xml:space="preserve"> two survey modes with two distinct sampling frames. </w:t>
      </w:r>
      <w:r w:rsidRPr="008B1BEE" w:rsidR="00A959A5">
        <w:rPr>
          <w:sz w:val="24"/>
          <w:szCs w:val="24"/>
          <w:lang w:eastAsia="zh-CN"/>
        </w:rPr>
        <w:t xml:space="preserve"> </w:t>
      </w:r>
      <w:r w:rsidRPr="008B1BEE" w:rsidR="007C7F97">
        <w:rPr>
          <w:sz w:val="24"/>
          <w:szCs w:val="24"/>
          <w:lang w:eastAsia="zh-CN"/>
        </w:rPr>
        <w:t>One is a telephone-based sample using address-based sampling (ABS) that includes both landlines and cell phones (ABS N = 2</w:t>
      </w:r>
      <w:r w:rsidRPr="008B1BEE" w:rsidR="00A959A5">
        <w:rPr>
          <w:sz w:val="24"/>
          <w:szCs w:val="24"/>
          <w:lang w:eastAsia="zh-CN"/>
        </w:rPr>
        <w:t>,</w:t>
      </w:r>
      <w:r w:rsidRPr="008B1BEE" w:rsidR="007C7F97">
        <w:rPr>
          <w:sz w:val="24"/>
          <w:szCs w:val="24"/>
          <w:lang w:eastAsia="zh-CN"/>
        </w:rPr>
        <w:t>000).</w:t>
      </w:r>
      <w:r w:rsidRPr="008B1BEE" w:rsidR="00A959A5">
        <w:rPr>
          <w:sz w:val="24"/>
          <w:szCs w:val="24"/>
          <w:lang w:eastAsia="zh-CN"/>
        </w:rPr>
        <w:t xml:space="preserve"> </w:t>
      </w:r>
      <w:r w:rsidRPr="008B1BEE" w:rsidR="007C7F97">
        <w:rPr>
          <w:sz w:val="24"/>
          <w:szCs w:val="24"/>
          <w:lang w:eastAsia="zh-CN"/>
        </w:rPr>
        <w:t xml:space="preserve"> The other mode is a stratified </w:t>
      </w:r>
      <w:r w:rsidR="00EA52B1">
        <w:rPr>
          <w:sz w:val="24"/>
          <w:szCs w:val="24"/>
          <w:lang w:eastAsia="zh-CN"/>
        </w:rPr>
        <w:t xml:space="preserve">demographically balanced </w:t>
      </w:r>
      <w:r w:rsidRPr="008B1BEE" w:rsidR="007C7F97">
        <w:rPr>
          <w:sz w:val="24"/>
          <w:szCs w:val="24"/>
          <w:lang w:eastAsia="zh-CN"/>
        </w:rPr>
        <w:t>web-based survey panel (Web N = 8</w:t>
      </w:r>
      <w:r w:rsidRPr="008B1BEE" w:rsidR="00A959A5">
        <w:rPr>
          <w:sz w:val="24"/>
          <w:szCs w:val="24"/>
          <w:lang w:eastAsia="zh-CN"/>
        </w:rPr>
        <w:t>,</w:t>
      </w:r>
      <w:r w:rsidRPr="008B1BEE" w:rsidR="007C7F97">
        <w:rPr>
          <w:sz w:val="24"/>
          <w:szCs w:val="24"/>
          <w:lang w:eastAsia="zh-CN"/>
        </w:rPr>
        <w:t>000).</w:t>
      </w:r>
      <w:r w:rsidRPr="008B1BEE" w:rsidR="003C33BD">
        <w:rPr>
          <w:sz w:val="24"/>
          <w:szCs w:val="24"/>
          <w:lang w:eastAsia="zh-CN"/>
        </w:rPr>
        <w:t xml:space="preserve"> </w:t>
      </w:r>
      <w:r w:rsidRPr="008B1BEE" w:rsidR="00A959A5">
        <w:rPr>
          <w:sz w:val="24"/>
          <w:szCs w:val="24"/>
          <w:lang w:eastAsia="zh-CN"/>
        </w:rPr>
        <w:t xml:space="preserve"> </w:t>
      </w:r>
      <w:r w:rsidRPr="008B1BEE" w:rsidR="003C33BD">
        <w:rPr>
          <w:sz w:val="24"/>
          <w:szCs w:val="24"/>
          <w:lang w:eastAsia="zh-CN"/>
        </w:rPr>
        <w:t>For both modes, the respondent universe will consist of U</w:t>
      </w:r>
      <w:r w:rsidRPr="008B1BEE" w:rsidR="00A959A5">
        <w:rPr>
          <w:sz w:val="24"/>
          <w:szCs w:val="24"/>
          <w:lang w:eastAsia="zh-CN"/>
        </w:rPr>
        <w:t>.</w:t>
      </w:r>
      <w:r w:rsidRPr="008B1BEE" w:rsidR="003C33BD">
        <w:rPr>
          <w:sz w:val="24"/>
          <w:szCs w:val="24"/>
          <w:lang w:eastAsia="zh-CN"/>
        </w:rPr>
        <w:t>S</w:t>
      </w:r>
      <w:r w:rsidRPr="008B1BEE" w:rsidR="00A959A5">
        <w:rPr>
          <w:sz w:val="24"/>
          <w:szCs w:val="24"/>
          <w:lang w:eastAsia="zh-CN"/>
        </w:rPr>
        <w:t>.</w:t>
      </w:r>
      <w:r w:rsidRPr="008B1BEE" w:rsidR="003C33BD">
        <w:rPr>
          <w:sz w:val="24"/>
          <w:szCs w:val="24"/>
          <w:lang w:eastAsia="zh-CN"/>
        </w:rPr>
        <w:t xml:space="preserve"> adults ages 18 years or older. </w:t>
      </w:r>
      <w:r w:rsidRPr="008B1BEE" w:rsidR="00A959A5">
        <w:rPr>
          <w:sz w:val="24"/>
          <w:szCs w:val="24"/>
          <w:lang w:eastAsia="zh-CN"/>
        </w:rPr>
        <w:t xml:space="preserve"> </w:t>
      </w:r>
      <w:r w:rsidRPr="008B1BEE" w:rsidR="003C33BD">
        <w:rPr>
          <w:sz w:val="24"/>
          <w:szCs w:val="24"/>
          <w:lang w:eastAsia="zh-CN"/>
        </w:rPr>
        <w:t>The goal for this sample is to allow oversampling of minority groups, including African American</w:t>
      </w:r>
      <w:r w:rsidR="003C407B">
        <w:rPr>
          <w:sz w:val="24"/>
          <w:szCs w:val="24"/>
          <w:lang w:eastAsia="zh-CN"/>
        </w:rPr>
        <w:t>s</w:t>
      </w:r>
      <w:r w:rsidRPr="008B1BEE" w:rsidR="003C33BD">
        <w:rPr>
          <w:sz w:val="24"/>
          <w:szCs w:val="24"/>
          <w:lang w:eastAsia="zh-CN"/>
        </w:rPr>
        <w:t xml:space="preserve">, Asians, Hispanics, and Native Americans. </w:t>
      </w:r>
      <w:r w:rsidRPr="008B1BEE" w:rsidR="00A959A5">
        <w:rPr>
          <w:sz w:val="24"/>
          <w:szCs w:val="24"/>
          <w:lang w:eastAsia="zh-CN"/>
        </w:rPr>
        <w:t xml:space="preserve"> </w:t>
      </w:r>
      <w:r w:rsidRPr="008B1BEE" w:rsidR="003C33BD">
        <w:rPr>
          <w:sz w:val="24"/>
          <w:szCs w:val="24"/>
          <w:lang w:eastAsia="zh-CN"/>
        </w:rPr>
        <w:t>This sample will provide sufficient statistical power to support drill down analyses of several target subgroups, representing age, gender, education level, income, and racial/ethnic groups.</w:t>
      </w:r>
    </w:p>
    <w:p w:rsidRPr="008B1BEE" w:rsidR="007C7F97" w:rsidP="008B1BEE" w:rsidRDefault="007C7F97">
      <w:pPr>
        <w:pStyle w:val="BodyText"/>
        <w:widowControl/>
        <w:numPr>
          <w:ilvl w:val="12"/>
          <w:numId w:val="0"/>
        </w:numPr>
        <w:rPr>
          <w:sz w:val="24"/>
          <w:szCs w:val="24"/>
          <w:lang w:eastAsia="zh-CN"/>
        </w:rPr>
      </w:pPr>
    </w:p>
    <w:p w:rsidRPr="008B1BEE" w:rsidR="0016750E" w:rsidP="008B1BEE" w:rsidRDefault="003C33BD">
      <w:pPr>
        <w:pStyle w:val="BodyText"/>
        <w:widowControl/>
        <w:numPr>
          <w:ilvl w:val="12"/>
          <w:numId w:val="0"/>
        </w:numPr>
        <w:rPr>
          <w:sz w:val="24"/>
          <w:szCs w:val="24"/>
          <w:lang w:eastAsia="zh-CN"/>
        </w:rPr>
      </w:pPr>
      <w:r w:rsidRPr="008B1BEE">
        <w:rPr>
          <w:sz w:val="24"/>
          <w:szCs w:val="24"/>
          <w:lang w:eastAsia="zh-CN"/>
        </w:rPr>
        <w:t xml:space="preserve">The address-based sample will </w:t>
      </w:r>
      <w:r w:rsidRPr="008B1BEE" w:rsidR="0009311B">
        <w:rPr>
          <w:sz w:val="24"/>
          <w:szCs w:val="24"/>
          <w:lang w:eastAsia="zh-CN"/>
        </w:rPr>
        <w:t xml:space="preserve">collect complete cases for </w:t>
      </w:r>
      <w:r w:rsidRPr="008B1BEE">
        <w:rPr>
          <w:sz w:val="24"/>
          <w:szCs w:val="24"/>
          <w:lang w:eastAsia="zh-CN"/>
        </w:rPr>
        <w:t>1</w:t>
      </w:r>
      <w:r w:rsidRPr="008B1BEE" w:rsidR="00A959A5">
        <w:rPr>
          <w:sz w:val="24"/>
          <w:szCs w:val="24"/>
          <w:lang w:eastAsia="zh-CN"/>
        </w:rPr>
        <w:t>,</w:t>
      </w:r>
      <w:r w:rsidRPr="008B1BEE">
        <w:rPr>
          <w:sz w:val="24"/>
          <w:szCs w:val="24"/>
          <w:lang w:eastAsia="zh-CN"/>
        </w:rPr>
        <w:t>000 randomly selected residential addresses and 1</w:t>
      </w:r>
      <w:r w:rsidRPr="008B1BEE" w:rsidR="00A959A5">
        <w:rPr>
          <w:sz w:val="24"/>
          <w:szCs w:val="24"/>
          <w:lang w:eastAsia="zh-CN"/>
        </w:rPr>
        <w:t>,</w:t>
      </w:r>
      <w:r w:rsidRPr="008B1BEE">
        <w:rPr>
          <w:sz w:val="24"/>
          <w:szCs w:val="24"/>
          <w:lang w:eastAsia="zh-CN"/>
        </w:rPr>
        <w:t xml:space="preserve">000 addresses selected for </w:t>
      </w:r>
      <w:r w:rsidRPr="008B1BEE" w:rsidR="00072CDD">
        <w:rPr>
          <w:sz w:val="24"/>
          <w:szCs w:val="24"/>
          <w:lang w:eastAsia="zh-CN"/>
        </w:rPr>
        <w:t>ZIP</w:t>
      </w:r>
      <w:r w:rsidRPr="008B1BEE">
        <w:rPr>
          <w:sz w:val="24"/>
          <w:szCs w:val="24"/>
          <w:lang w:eastAsia="zh-CN"/>
        </w:rPr>
        <w:t xml:space="preserve"> codes with a high prevalence of minority residents. </w:t>
      </w:r>
      <w:r w:rsidRPr="008B1BEE" w:rsidR="00A959A5">
        <w:rPr>
          <w:sz w:val="24"/>
          <w:szCs w:val="24"/>
          <w:lang w:eastAsia="zh-CN"/>
        </w:rPr>
        <w:t xml:space="preserve"> </w:t>
      </w:r>
      <w:r w:rsidRPr="008B1BEE">
        <w:rPr>
          <w:sz w:val="24"/>
          <w:szCs w:val="24"/>
          <w:lang w:eastAsia="zh-CN"/>
        </w:rPr>
        <w:t>Only primary residences are eligible</w:t>
      </w:r>
      <w:r w:rsidRPr="008B1BEE" w:rsidR="00964472">
        <w:rPr>
          <w:sz w:val="24"/>
          <w:szCs w:val="24"/>
          <w:lang w:eastAsia="zh-CN"/>
        </w:rPr>
        <w:t xml:space="preserve"> for selection, excluding secondary residences, P</w:t>
      </w:r>
      <w:r w:rsidRPr="008B1BEE" w:rsidR="00A959A5">
        <w:rPr>
          <w:sz w:val="24"/>
          <w:szCs w:val="24"/>
          <w:lang w:eastAsia="zh-CN"/>
        </w:rPr>
        <w:t>.</w:t>
      </w:r>
      <w:r w:rsidRPr="008B1BEE" w:rsidR="00964472">
        <w:rPr>
          <w:sz w:val="24"/>
          <w:szCs w:val="24"/>
          <w:lang w:eastAsia="zh-CN"/>
        </w:rPr>
        <w:t>O</w:t>
      </w:r>
      <w:r w:rsidRPr="008B1BEE" w:rsidR="00A959A5">
        <w:rPr>
          <w:sz w:val="24"/>
          <w:szCs w:val="24"/>
          <w:lang w:eastAsia="zh-CN"/>
        </w:rPr>
        <w:t>.</w:t>
      </w:r>
      <w:r w:rsidRPr="008B1BEE" w:rsidR="00964472">
        <w:rPr>
          <w:sz w:val="24"/>
          <w:szCs w:val="24"/>
          <w:lang w:eastAsia="zh-CN"/>
        </w:rPr>
        <w:t xml:space="preserve"> Boxes, and business addresses</w:t>
      </w:r>
      <w:r w:rsidRPr="008B1BEE">
        <w:rPr>
          <w:sz w:val="24"/>
          <w:szCs w:val="24"/>
          <w:lang w:eastAsia="zh-CN"/>
        </w:rPr>
        <w:t xml:space="preserve">. </w:t>
      </w:r>
      <w:r w:rsidRPr="008B1BEE" w:rsidR="00A959A5">
        <w:rPr>
          <w:sz w:val="24"/>
          <w:szCs w:val="24"/>
          <w:lang w:eastAsia="zh-CN"/>
        </w:rPr>
        <w:t xml:space="preserve"> </w:t>
      </w:r>
      <w:r w:rsidRPr="008B1BEE" w:rsidR="00964472">
        <w:rPr>
          <w:sz w:val="24"/>
          <w:szCs w:val="24"/>
          <w:lang w:eastAsia="zh-CN"/>
        </w:rPr>
        <w:t>Each sampled address is associated with a landline and/or cell phone.</w:t>
      </w:r>
      <w:r w:rsidRPr="008B1BEE" w:rsidR="00A959A5">
        <w:rPr>
          <w:sz w:val="24"/>
          <w:szCs w:val="24"/>
          <w:lang w:eastAsia="zh-CN"/>
        </w:rPr>
        <w:t xml:space="preserve"> </w:t>
      </w:r>
      <w:r w:rsidRPr="008B1BEE" w:rsidR="00964472">
        <w:rPr>
          <w:sz w:val="24"/>
          <w:szCs w:val="24"/>
          <w:lang w:eastAsia="zh-CN"/>
        </w:rPr>
        <w:t xml:space="preserve"> </w:t>
      </w:r>
      <w:r w:rsidRPr="008B1BEE">
        <w:rPr>
          <w:sz w:val="24"/>
          <w:szCs w:val="24"/>
          <w:lang w:eastAsia="zh-CN"/>
        </w:rPr>
        <w:t>The samp</w:t>
      </w:r>
      <w:r w:rsidRPr="008B1BEE" w:rsidR="00964472">
        <w:rPr>
          <w:sz w:val="24"/>
          <w:szCs w:val="24"/>
          <w:lang w:eastAsia="zh-CN"/>
        </w:rPr>
        <w:t>ling frame</w:t>
      </w:r>
      <w:r w:rsidRPr="008B1BEE" w:rsidR="00B13070">
        <w:rPr>
          <w:sz w:val="24"/>
          <w:szCs w:val="24"/>
          <w:lang w:eastAsia="zh-CN"/>
        </w:rPr>
        <w:t xml:space="preserve"> will be</w:t>
      </w:r>
      <w:r w:rsidRPr="008B1BEE" w:rsidR="00964472">
        <w:rPr>
          <w:sz w:val="24"/>
          <w:szCs w:val="24"/>
          <w:lang w:eastAsia="zh-CN"/>
        </w:rPr>
        <w:t xml:space="preserve"> drawn by </w:t>
      </w:r>
      <w:r w:rsidRPr="008B1BEE" w:rsidR="00B13070">
        <w:rPr>
          <w:sz w:val="24"/>
          <w:szCs w:val="24"/>
          <w:lang w:eastAsia="zh-CN"/>
        </w:rPr>
        <w:t xml:space="preserve">Survey </w:t>
      </w:r>
      <w:r w:rsidRPr="008B1BEE" w:rsidR="00964472">
        <w:rPr>
          <w:sz w:val="24"/>
          <w:szCs w:val="24"/>
          <w:lang w:eastAsia="zh-CN"/>
        </w:rPr>
        <w:t>SSI</w:t>
      </w:r>
      <w:r w:rsidRPr="008B1BEE" w:rsidR="00B13070">
        <w:rPr>
          <w:sz w:val="24"/>
          <w:szCs w:val="24"/>
          <w:lang w:eastAsia="zh-CN"/>
        </w:rPr>
        <w:t xml:space="preserve"> </w:t>
      </w:r>
      <w:r w:rsidRPr="008B1BEE" w:rsidR="00964472">
        <w:rPr>
          <w:sz w:val="24"/>
          <w:szCs w:val="24"/>
          <w:lang w:eastAsia="zh-CN"/>
        </w:rPr>
        <w:t>Research Now.</w:t>
      </w:r>
      <w:r w:rsidRPr="008B1BEE" w:rsidR="00A959A5">
        <w:rPr>
          <w:sz w:val="24"/>
          <w:szCs w:val="24"/>
          <w:lang w:eastAsia="zh-CN"/>
        </w:rPr>
        <w:t xml:space="preserve"> </w:t>
      </w:r>
      <w:r w:rsidRPr="008B1BEE" w:rsidR="00964472">
        <w:rPr>
          <w:sz w:val="24"/>
          <w:szCs w:val="24"/>
          <w:lang w:eastAsia="zh-CN"/>
        </w:rPr>
        <w:t xml:space="preserve"> Zip codes selected for oversampling will include a high prevalence of African American, Asian, Hispanic, or Native American residents.</w:t>
      </w:r>
    </w:p>
    <w:p w:rsidRPr="008B1BEE" w:rsidR="0009311B" w:rsidP="008B1BEE" w:rsidRDefault="0009311B">
      <w:pPr>
        <w:pStyle w:val="BodyText"/>
        <w:widowControl/>
        <w:numPr>
          <w:ilvl w:val="12"/>
          <w:numId w:val="0"/>
        </w:numPr>
        <w:rPr>
          <w:sz w:val="24"/>
          <w:szCs w:val="24"/>
          <w:lang w:eastAsia="zh-CN"/>
        </w:rPr>
      </w:pPr>
    </w:p>
    <w:p w:rsidRPr="008B1BEE" w:rsidR="0016750E" w:rsidP="008B1BEE" w:rsidRDefault="0009311B">
      <w:pPr>
        <w:pStyle w:val="BodyText"/>
        <w:widowControl/>
        <w:numPr>
          <w:ilvl w:val="12"/>
          <w:numId w:val="0"/>
        </w:numPr>
        <w:rPr>
          <w:sz w:val="24"/>
          <w:szCs w:val="24"/>
          <w:lang w:eastAsia="zh-CN"/>
        </w:rPr>
      </w:pPr>
      <w:r w:rsidRPr="008B1BEE">
        <w:rPr>
          <w:sz w:val="24"/>
          <w:szCs w:val="24"/>
          <w:lang w:eastAsia="zh-CN"/>
        </w:rPr>
        <w:t>The web panel will include 8</w:t>
      </w:r>
      <w:r w:rsidRPr="008B1BEE" w:rsidR="00A959A5">
        <w:rPr>
          <w:sz w:val="24"/>
          <w:szCs w:val="24"/>
          <w:lang w:eastAsia="zh-CN"/>
        </w:rPr>
        <w:t>,</w:t>
      </w:r>
      <w:r w:rsidRPr="008B1BEE">
        <w:rPr>
          <w:sz w:val="24"/>
          <w:szCs w:val="24"/>
          <w:lang w:eastAsia="zh-CN"/>
        </w:rPr>
        <w:t xml:space="preserve">000 complete cases drawn from the SSI Research Now web panel. </w:t>
      </w:r>
      <w:r w:rsidRPr="008B1BEE" w:rsidR="00A959A5">
        <w:rPr>
          <w:sz w:val="24"/>
          <w:szCs w:val="24"/>
          <w:lang w:eastAsia="zh-CN"/>
        </w:rPr>
        <w:t xml:space="preserve"> </w:t>
      </w:r>
      <w:r w:rsidRPr="008B1BEE">
        <w:rPr>
          <w:sz w:val="24"/>
          <w:szCs w:val="24"/>
          <w:lang w:eastAsia="zh-CN"/>
        </w:rPr>
        <w:t xml:space="preserve">This sample will be stratified to include oversamples of racial/ethnic groups (African American, Asian, Hispanic, and Native American), education levels, and those over the age of 65. </w:t>
      </w:r>
      <w:r w:rsidRPr="008B1BEE" w:rsidR="00A959A5">
        <w:rPr>
          <w:sz w:val="24"/>
          <w:szCs w:val="24"/>
          <w:lang w:eastAsia="zh-CN"/>
        </w:rPr>
        <w:t xml:space="preserve"> </w:t>
      </w:r>
      <w:r w:rsidRPr="008B1BEE">
        <w:rPr>
          <w:sz w:val="24"/>
          <w:szCs w:val="24"/>
          <w:lang w:eastAsia="zh-CN"/>
        </w:rPr>
        <w:t xml:space="preserve">Because demographic information is already known for panelists, sub-groups of participants can be targeted precisely and directly. </w:t>
      </w:r>
      <w:r w:rsidRPr="008B1BEE" w:rsidR="00A959A5">
        <w:rPr>
          <w:sz w:val="24"/>
          <w:szCs w:val="24"/>
          <w:lang w:eastAsia="zh-CN"/>
        </w:rPr>
        <w:t xml:space="preserve"> </w:t>
      </w:r>
      <w:r w:rsidRPr="008B1BEE">
        <w:rPr>
          <w:sz w:val="24"/>
          <w:szCs w:val="24"/>
          <w:lang w:eastAsia="zh-CN"/>
        </w:rPr>
        <w:t>The use of a panel to target participant sub-groups is similar to the approach used for the 2012 survey, which used the Gallup Panel to oversample African Americans.</w:t>
      </w:r>
      <w:r w:rsidRPr="008B1BEE" w:rsidR="00A959A5">
        <w:rPr>
          <w:sz w:val="24"/>
          <w:szCs w:val="24"/>
          <w:lang w:eastAsia="zh-CN"/>
        </w:rPr>
        <w:t xml:space="preserve"> </w:t>
      </w:r>
      <w:r w:rsidRPr="008B1BEE">
        <w:rPr>
          <w:sz w:val="24"/>
          <w:szCs w:val="24"/>
          <w:lang w:eastAsia="zh-CN"/>
        </w:rPr>
        <w:t xml:space="preserve"> In this case, we will use a larger total sample to target several demographically distinct participant groups. </w:t>
      </w:r>
    </w:p>
    <w:p w:rsidRPr="008B1BEE" w:rsidR="00CC6F8E" w:rsidP="008B1BEE" w:rsidRDefault="00CC6F8E">
      <w:pPr>
        <w:pStyle w:val="BodyText"/>
        <w:widowControl/>
        <w:numPr>
          <w:ilvl w:val="12"/>
          <w:numId w:val="0"/>
        </w:numPr>
        <w:rPr>
          <w:sz w:val="24"/>
          <w:szCs w:val="24"/>
          <w:lang w:eastAsia="zh-CN"/>
        </w:rPr>
      </w:pPr>
    </w:p>
    <w:p w:rsidR="008B1BEE" w:rsidP="008B1BEE" w:rsidRDefault="008B1BEE">
      <w:pPr>
        <w:pStyle w:val="BodyText"/>
        <w:widowControl/>
        <w:numPr>
          <w:ilvl w:val="12"/>
          <w:numId w:val="0"/>
        </w:numPr>
        <w:rPr>
          <w:sz w:val="24"/>
          <w:szCs w:val="24"/>
          <w:lang w:eastAsia="zh-CN"/>
        </w:rPr>
      </w:pPr>
    </w:p>
    <w:p w:rsidR="008B1BEE" w:rsidP="008B1BEE" w:rsidRDefault="008B1BEE">
      <w:pPr>
        <w:pStyle w:val="BodyText"/>
        <w:widowControl/>
        <w:numPr>
          <w:ilvl w:val="12"/>
          <w:numId w:val="0"/>
        </w:numPr>
        <w:rPr>
          <w:sz w:val="24"/>
          <w:szCs w:val="24"/>
          <w:lang w:eastAsia="zh-CN"/>
        </w:rPr>
      </w:pPr>
    </w:p>
    <w:p w:rsidR="008B1BEE" w:rsidP="008B1BEE" w:rsidRDefault="008B1BEE">
      <w:pPr>
        <w:pStyle w:val="BodyText"/>
        <w:widowControl/>
        <w:numPr>
          <w:ilvl w:val="12"/>
          <w:numId w:val="0"/>
        </w:numPr>
        <w:rPr>
          <w:b/>
          <w:sz w:val="24"/>
          <w:szCs w:val="24"/>
          <w:lang w:eastAsia="zh-CN"/>
        </w:rPr>
      </w:pPr>
    </w:p>
    <w:p w:rsidR="0009311B" w:rsidP="008B1BEE" w:rsidRDefault="00EC5061">
      <w:pPr>
        <w:pStyle w:val="BodyText"/>
        <w:widowControl/>
        <w:numPr>
          <w:ilvl w:val="12"/>
          <w:numId w:val="0"/>
        </w:numPr>
        <w:rPr>
          <w:b/>
          <w:sz w:val="24"/>
          <w:szCs w:val="24"/>
          <w:lang w:eastAsia="zh-CN"/>
        </w:rPr>
      </w:pPr>
      <w:r w:rsidRPr="008B1BEE">
        <w:rPr>
          <w:b/>
          <w:sz w:val="24"/>
          <w:szCs w:val="24"/>
          <w:lang w:eastAsia="zh-CN"/>
        </w:rPr>
        <w:t>Exhibit 1</w:t>
      </w:r>
      <w:r w:rsidRPr="008B1BEE" w:rsidR="008B37D7">
        <w:rPr>
          <w:b/>
          <w:sz w:val="24"/>
          <w:szCs w:val="24"/>
          <w:lang w:eastAsia="zh-CN"/>
        </w:rPr>
        <w:t>:</w:t>
      </w:r>
      <w:r w:rsidRPr="008B1BEE">
        <w:rPr>
          <w:b/>
          <w:sz w:val="24"/>
          <w:szCs w:val="24"/>
          <w:lang w:eastAsia="zh-CN"/>
        </w:rPr>
        <w:t xml:space="preserve"> Table of sample source cell counts and expected precision of estimates</w:t>
      </w:r>
    </w:p>
    <w:p w:rsidRPr="008B1BEE" w:rsidR="008B1BEE" w:rsidP="008B1BEE" w:rsidRDefault="008B1BEE">
      <w:pPr>
        <w:pStyle w:val="BodyText"/>
        <w:widowControl/>
        <w:numPr>
          <w:ilvl w:val="12"/>
          <w:numId w:val="0"/>
        </w:numPr>
        <w:rPr>
          <w:b/>
          <w:sz w:val="24"/>
          <w:szCs w:val="24"/>
          <w:lang w:eastAsia="zh-CN"/>
        </w:rPr>
      </w:pPr>
    </w:p>
    <w:tbl>
      <w:tblPr>
        <w:tblW w:w="0" w:type="auto"/>
        <w:tblBorders>
          <w:top w:val="single" w:color="auto" w:sz="4" w:space="0"/>
          <w:bottom w:val="single" w:color="auto" w:sz="4" w:space="0"/>
        </w:tblBorders>
        <w:tblLook w:val="04A0" w:firstRow="1" w:lastRow="0" w:firstColumn="1" w:lastColumn="0" w:noHBand="0" w:noVBand="1"/>
      </w:tblPr>
      <w:tblGrid>
        <w:gridCol w:w="1271"/>
        <w:gridCol w:w="1337"/>
        <w:gridCol w:w="1477"/>
        <w:gridCol w:w="1456"/>
        <w:gridCol w:w="957"/>
        <w:gridCol w:w="867"/>
        <w:gridCol w:w="965"/>
        <w:gridCol w:w="1030"/>
      </w:tblGrid>
      <w:tr w:rsidRPr="008B1BEE" w:rsidR="008720EE" w:rsidTr="00B13070">
        <w:tc>
          <w:tcPr>
            <w:tcW w:w="1338" w:type="dxa"/>
            <w:tcBorders>
              <w:bottom w:val="single" w:color="auto" w:sz="4" w:space="0"/>
            </w:tcBorders>
            <w:shd w:val="clear" w:color="auto" w:fill="auto"/>
          </w:tcPr>
          <w:p w:rsidRPr="008B1BEE" w:rsidR="00EB7322" w:rsidP="008B1BEE" w:rsidRDefault="00EB7322">
            <w:pPr>
              <w:pStyle w:val="BodyText"/>
              <w:widowControl/>
              <w:numPr>
                <w:ilvl w:val="12"/>
                <w:numId w:val="0"/>
              </w:numPr>
              <w:rPr>
                <w:b/>
                <w:sz w:val="24"/>
                <w:szCs w:val="24"/>
                <w:lang w:eastAsia="zh-CN"/>
              </w:rPr>
            </w:pPr>
            <w:r w:rsidRPr="008B1BEE">
              <w:rPr>
                <w:b/>
                <w:sz w:val="24"/>
                <w:szCs w:val="24"/>
                <w:lang w:eastAsia="zh-CN"/>
              </w:rPr>
              <w:lastRenderedPageBreak/>
              <w:t>Sub Group</w:t>
            </w:r>
          </w:p>
        </w:tc>
        <w:tc>
          <w:tcPr>
            <w:tcW w:w="1269"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Population Prevalence</w:t>
            </w:r>
          </w:p>
        </w:tc>
        <w:tc>
          <w:tcPr>
            <w:tcW w:w="1581"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ABS CATI EPSEM</w:t>
            </w:r>
            <w:r w:rsidRPr="008B1BEE" w:rsidR="00B13070">
              <w:rPr>
                <w:b/>
                <w:sz w:val="24"/>
                <w:szCs w:val="24"/>
                <w:lang w:eastAsia="zh-CN"/>
              </w:rPr>
              <w:t>*</w:t>
            </w:r>
          </w:p>
        </w:tc>
        <w:tc>
          <w:tcPr>
            <w:tcW w:w="1376"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ABS CATI Oversample</w:t>
            </w:r>
          </w:p>
        </w:tc>
        <w:tc>
          <w:tcPr>
            <w:tcW w:w="1003"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CATI Total</w:t>
            </w:r>
          </w:p>
        </w:tc>
        <w:tc>
          <w:tcPr>
            <w:tcW w:w="893"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Web Panel</w:t>
            </w:r>
          </w:p>
        </w:tc>
        <w:tc>
          <w:tcPr>
            <w:tcW w:w="995"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Total Cases</w:t>
            </w:r>
          </w:p>
        </w:tc>
        <w:tc>
          <w:tcPr>
            <w:tcW w:w="1121" w:type="dxa"/>
            <w:tcBorders>
              <w:bottom w:val="single" w:color="auto" w:sz="4" w:space="0"/>
            </w:tcBorders>
            <w:shd w:val="clear" w:color="auto" w:fill="auto"/>
          </w:tcPr>
          <w:p w:rsidRPr="008B1BEE" w:rsidR="00EB7322" w:rsidP="008B1BEE" w:rsidRDefault="008720EE">
            <w:pPr>
              <w:pStyle w:val="BodyText"/>
              <w:widowControl/>
              <w:numPr>
                <w:ilvl w:val="12"/>
                <w:numId w:val="0"/>
              </w:numPr>
              <w:jc w:val="right"/>
              <w:rPr>
                <w:b/>
                <w:sz w:val="24"/>
                <w:szCs w:val="24"/>
                <w:lang w:eastAsia="zh-CN"/>
              </w:rPr>
            </w:pPr>
            <w:r w:rsidRPr="008B1BEE">
              <w:rPr>
                <w:b/>
                <w:sz w:val="24"/>
                <w:szCs w:val="24"/>
                <w:lang w:eastAsia="zh-CN"/>
              </w:rPr>
              <w:t>95% CI</w:t>
            </w:r>
          </w:p>
        </w:tc>
      </w:tr>
      <w:tr w:rsidRPr="008B1BEE" w:rsidR="008720EE" w:rsidTr="00B13070">
        <w:tc>
          <w:tcPr>
            <w:tcW w:w="1338" w:type="dxa"/>
            <w:tcBorders>
              <w:top w:val="single" w:color="auto" w:sz="4" w:space="0"/>
              <w:bottom w:val="single" w:color="auto" w:sz="4" w:space="0"/>
            </w:tcBorders>
            <w:shd w:val="clear" w:color="auto" w:fill="auto"/>
          </w:tcPr>
          <w:p w:rsidRPr="008B1BEE" w:rsidR="00EB7322" w:rsidP="008B1BEE" w:rsidRDefault="00383878">
            <w:pPr>
              <w:pStyle w:val="BodyText"/>
              <w:widowControl/>
              <w:numPr>
                <w:ilvl w:val="12"/>
                <w:numId w:val="0"/>
              </w:numPr>
              <w:rPr>
                <w:b/>
                <w:sz w:val="24"/>
                <w:szCs w:val="24"/>
                <w:lang w:eastAsia="zh-CN"/>
              </w:rPr>
            </w:pPr>
            <w:r w:rsidRPr="008B1BEE">
              <w:rPr>
                <w:b/>
                <w:sz w:val="24"/>
                <w:szCs w:val="24"/>
                <w:lang w:eastAsia="zh-CN"/>
              </w:rPr>
              <w:t>Total</w:t>
            </w:r>
          </w:p>
        </w:tc>
        <w:tc>
          <w:tcPr>
            <w:tcW w:w="1269"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p>
        </w:tc>
        <w:tc>
          <w:tcPr>
            <w:tcW w:w="1581"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1</w:t>
            </w:r>
            <w:r w:rsidRPr="008B1BEE" w:rsidR="00A959A5">
              <w:rPr>
                <w:b/>
                <w:sz w:val="24"/>
                <w:szCs w:val="24"/>
                <w:lang w:eastAsia="zh-CN"/>
              </w:rPr>
              <w:t>,</w:t>
            </w:r>
            <w:r w:rsidRPr="008B1BEE">
              <w:rPr>
                <w:b/>
                <w:sz w:val="24"/>
                <w:szCs w:val="24"/>
                <w:lang w:eastAsia="zh-CN"/>
              </w:rPr>
              <w:t>000</w:t>
            </w:r>
          </w:p>
        </w:tc>
        <w:tc>
          <w:tcPr>
            <w:tcW w:w="1376"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1</w:t>
            </w:r>
            <w:r w:rsidRPr="008B1BEE" w:rsidR="00A959A5">
              <w:rPr>
                <w:b/>
                <w:sz w:val="24"/>
                <w:szCs w:val="24"/>
                <w:lang w:eastAsia="zh-CN"/>
              </w:rPr>
              <w:t>,</w:t>
            </w:r>
            <w:r w:rsidRPr="008B1BEE">
              <w:rPr>
                <w:b/>
                <w:sz w:val="24"/>
                <w:szCs w:val="24"/>
                <w:lang w:eastAsia="zh-CN"/>
              </w:rPr>
              <w:t>000</w:t>
            </w:r>
          </w:p>
        </w:tc>
        <w:tc>
          <w:tcPr>
            <w:tcW w:w="1003"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2</w:t>
            </w:r>
            <w:r w:rsidRPr="008B1BEE" w:rsidR="00A959A5">
              <w:rPr>
                <w:b/>
                <w:sz w:val="24"/>
                <w:szCs w:val="24"/>
                <w:lang w:eastAsia="zh-CN"/>
              </w:rPr>
              <w:t>,</w:t>
            </w:r>
            <w:r w:rsidRPr="008B1BEE">
              <w:rPr>
                <w:b/>
                <w:sz w:val="24"/>
                <w:szCs w:val="24"/>
                <w:lang w:eastAsia="zh-CN"/>
              </w:rPr>
              <w:t>000</w:t>
            </w:r>
          </w:p>
        </w:tc>
        <w:tc>
          <w:tcPr>
            <w:tcW w:w="893"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8</w:t>
            </w:r>
            <w:r w:rsidRPr="008B1BEE" w:rsidR="00A959A5">
              <w:rPr>
                <w:b/>
                <w:sz w:val="24"/>
                <w:szCs w:val="24"/>
                <w:lang w:eastAsia="zh-CN"/>
              </w:rPr>
              <w:t>,</w:t>
            </w:r>
            <w:r w:rsidRPr="008B1BEE">
              <w:rPr>
                <w:b/>
                <w:sz w:val="24"/>
                <w:szCs w:val="24"/>
                <w:lang w:eastAsia="zh-CN"/>
              </w:rPr>
              <w:t>000</w:t>
            </w:r>
          </w:p>
        </w:tc>
        <w:tc>
          <w:tcPr>
            <w:tcW w:w="995"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b/>
                <w:sz w:val="24"/>
                <w:szCs w:val="24"/>
                <w:lang w:eastAsia="zh-CN"/>
              </w:rPr>
            </w:pPr>
            <w:r w:rsidRPr="008B1BEE">
              <w:rPr>
                <w:b/>
                <w:sz w:val="24"/>
                <w:szCs w:val="24"/>
                <w:lang w:eastAsia="zh-CN"/>
              </w:rPr>
              <w:t>10,000</w:t>
            </w:r>
          </w:p>
        </w:tc>
        <w:tc>
          <w:tcPr>
            <w:tcW w:w="1121" w:type="dxa"/>
            <w:tcBorders>
              <w:top w:val="single" w:color="auto" w:sz="4" w:space="0"/>
              <w:bottom w:val="single" w:color="auto" w:sz="4" w:space="0"/>
            </w:tcBorders>
            <w:shd w:val="clear" w:color="auto" w:fill="auto"/>
          </w:tcPr>
          <w:p w:rsidRPr="008B1BEE" w:rsidR="00EB7322" w:rsidP="008B1BEE" w:rsidRDefault="008720EE">
            <w:pPr>
              <w:pStyle w:val="BodyText"/>
              <w:widowControl/>
              <w:numPr>
                <w:ilvl w:val="12"/>
                <w:numId w:val="0"/>
              </w:numPr>
              <w:jc w:val="right"/>
              <w:rPr>
                <w:b/>
                <w:sz w:val="24"/>
                <w:szCs w:val="24"/>
                <w:lang w:eastAsia="zh-CN"/>
              </w:rPr>
            </w:pPr>
            <w:r w:rsidRPr="008B1BEE">
              <w:rPr>
                <w:b/>
                <w:sz w:val="24"/>
                <w:szCs w:val="24"/>
                <w:lang w:eastAsia="zh-CN"/>
              </w:rPr>
              <w:t>+/-1.0%</w:t>
            </w:r>
          </w:p>
        </w:tc>
      </w:tr>
      <w:tr w:rsidRPr="008B1BEE" w:rsidR="008720EE" w:rsidTr="00B13070">
        <w:tc>
          <w:tcPr>
            <w:tcW w:w="1338" w:type="dxa"/>
            <w:tcBorders>
              <w:top w:val="single" w:color="auto" w:sz="4" w:space="0"/>
            </w:tcBorders>
            <w:shd w:val="clear" w:color="auto" w:fill="auto"/>
          </w:tcPr>
          <w:p w:rsidRPr="008B1BEE" w:rsidR="00EB7322" w:rsidP="008B1BEE" w:rsidRDefault="00EB7322">
            <w:pPr>
              <w:pStyle w:val="BodyText"/>
              <w:widowControl/>
              <w:numPr>
                <w:ilvl w:val="12"/>
                <w:numId w:val="0"/>
              </w:numPr>
              <w:rPr>
                <w:sz w:val="24"/>
                <w:szCs w:val="24"/>
                <w:lang w:eastAsia="zh-CN"/>
              </w:rPr>
            </w:pPr>
            <w:r w:rsidRPr="008B1BEE">
              <w:rPr>
                <w:sz w:val="24"/>
                <w:szCs w:val="24"/>
                <w:lang w:eastAsia="zh-CN"/>
              </w:rPr>
              <w:t>White</w:t>
            </w:r>
          </w:p>
        </w:tc>
        <w:tc>
          <w:tcPr>
            <w:tcW w:w="1269" w:type="dxa"/>
            <w:tcBorders>
              <w:top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61.3%</w:t>
            </w:r>
          </w:p>
        </w:tc>
        <w:tc>
          <w:tcPr>
            <w:tcW w:w="1581" w:type="dxa"/>
            <w:tcBorders>
              <w:top w:val="single" w:color="auto" w:sz="4" w:space="0"/>
            </w:tcBorders>
            <w:shd w:val="clear" w:color="auto" w:fill="auto"/>
          </w:tcPr>
          <w:p w:rsidRPr="008B1BEE" w:rsidR="00EB7322" w:rsidP="008B1BEE" w:rsidRDefault="00BD13E9">
            <w:pPr>
              <w:pStyle w:val="BodyText"/>
              <w:widowControl/>
              <w:numPr>
                <w:ilvl w:val="12"/>
                <w:numId w:val="0"/>
              </w:numPr>
              <w:jc w:val="right"/>
              <w:rPr>
                <w:sz w:val="24"/>
                <w:szCs w:val="24"/>
                <w:lang w:eastAsia="zh-CN"/>
              </w:rPr>
            </w:pPr>
            <w:r w:rsidRPr="008B1BEE">
              <w:rPr>
                <w:sz w:val="24"/>
                <w:szCs w:val="24"/>
                <w:lang w:eastAsia="zh-CN"/>
              </w:rPr>
              <w:t>61</w:t>
            </w:r>
            <w:r w:rsidRPr="008B1BEE" w:rsidR="002E6006">
              <w:rPr>
                <w:sz w:val="24"/>
                <w:szCs w:val="24"/>
                <w:lang w:eastAsia="zh-CN"/>
              </w:rPr>
              <w:t>7</w:t>
            </w:r>
          </w:p>
        </w:tc>
        <w:tc>
          <w:tcPr>
            <w:tcW w:w="1376" w:type="dxa"/>
            <w:tcBorders>
              <w:top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18</w:t>
            </w:r>
            <w:r w:rsidRPr="008B1BEE" w:rsidR="002E6006">
              <w:rPr>
                <w:sz w:val="24"/>
                <w:szCs w:val="24"/>
                <w:lang w:eastAsia="zh-CN"/>
              </w:rPr>
              <w:t>1</w:t>
            </w:r>
          </w:p>
        </w:tc>
        <w:tc>
          <w:tcPr>
            <w:tcW w:w="1003" w:type="dxa"/>
            <w:tcBorders>
              <w:top w:val="single" w:color="auto" w:sz="4" w:space="0"/>
            </w:tcBorders>
            <w:shd w:val="clear" w:color="auto" w:fill="auto"/>
          </w:tcPr>
          <w:p w:rsidRPr="008B1BEE" w:rsidR="00EB7322" w:rsidP="008B1BEE" w:rsidRDefault="00BD13E9">
            <w:pPr>
              <w:pStyle w:val="BodyText"/>
              <w:widowControl/>
              <w:numPr>
                <w:ilvl w:val="12"/>
                <w:numId w:val="0"/>
              </w:numPr>
              <w:jc w:val="right"/>
              <w:rPr>
                <w:sz w:val="24"/>
                <w:szCs w:val="24"/>
                <w:lang w:eastAsia="zh-CN"/>
              </w:rPr>
            </w:pPr>
            <w:r w:rsidRPr="008B1BEE">
              <w:rPr>
                <w:sz w:val="24"/>
                <w:szCs w:val="24"/>
                <w:lang w:eastAsia="zh-CN"/>
              </w:rPr>
              <w:t>79</w:t>
            </w:r>
            <w:r w:rsidRPr="008B1BEE" w:rsidR="002E6006">
              <w:rPr>
                <w:sz w:val="24"/>
                <w:szCs w:val="24"/>
                <w:lang w:eastAsia="zh-CN"/>
              </w:rPr>
              <w:t>8</w:t>
            </w:r>
          </w:p>
        </w:tc>
        <w:tc>
          <w:tcPr>
            <w:tcW w:w="893" w:type="dxa"/>
            <w:tcBorders>
              <w:top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5</w:t>
            </w:r>
            <w:r w:rsidRPr="008B1BEE" w:rsidR="00A959A5">
              <w:rPr>
                <w:sz w:val="24"/>
                <w:szCs w:val="24"/>
                <w:lang w:eastAsia="zh-CN"/>
              </w:rPr>
              <w:t>,</w:t>
            </w:r>
            <w:r w:rsidRPr="008B1BEE">
              <w:rPr>
                <w:sz w:val="24"/>
                <w:szCs w:val="24"/>
                <w:lang w:eastAsia="zh-CN"/>
              </w:rPr>
              <w:t>20</w:t>
            </w:r>
            <w:r w:rsidRPr="008B1BEE" w:rsidR="002E6006">
              <w:rPr>
                <w:sz w:val="24"/>
                <w:szCs w:val="24"/>
                <w:lang w:eastAsia="zh-CN"/>
              </w:rPr>
              <w:t>2</w:t>
            </w:r>
          </w:p>
        </w:tc>
        <w:tc>
          <w:tcPr>
            <w:tcW w:w="995" w:type="dxa"/>
            <w:tcBorders>
              <w:top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6</w:t>
            </w:r>
            <w:r w:rsidRPr="008B1BEE" w:rsidR="00A959A5">
              <w:rPr>
                <w:sz w:val="24"/>
                <w:szCs w:val="24"/>
                <w:lang w:eastAsia="zh-CN"/>
              </w:rPr>
              <w:t>,</w:t>
            </w:r>
            <w:r w:rsidRPr="008B1BEE">
              <w:rPr>
                <w:sz w:val="24"/>
                <w:szCs w:val="24"/>
                <w:lang w:eastAsia="zh-CN"/>
              </w:rPr>
              <w:t>000</w:t>
            </w:r>
          </w:p>
        </w:tc>
        <w:tc>
          <w:tcPr>
            <w:tcW w:w="1121" w:type="dxa"/>
            <w:tcBorders>
              <w:top w:val="single" w:color="auto" w:sz="4" w:space="0"/>
            </w:tcBorders>
            <w:shd w:val="clear" w:color="auto" w:fill="auto"/>
          </w:tcPr>
          <w:p w:rsidRPr="008B1BEE" w:rsidR="00EB7322" w:rsidP="008B1BEE" w:rsidRDefault="008720EE">
            <w:pPr>
              <w:pStyle w:val="BodyText"/>
              <w:widowControl/>
              <w:numPr>
                <w:ilvl w:val="12"/>
                <w:numId w:val="0"/>
              </w:numPr>
              <w:jc w:val="right"/>
              <w:rPr>
                <w:sz w:val="24"/>
                <w:szCs w:val="24"/>
                <w:lang w:eastAsia="zh-CN"/>
              </w:rPr>
            </w:pPr>
            <w:r w:rsidRPr="008B1BEE">
              <w:rPr>
                <w:sz w:val="24"/>
                <w:szCs w:val="24"/>
                <w:lang w:eastAsia="zh-CN"/>
              </w:rPr>
              <w:t>+/-1.3%</w:t>
            </w:r>
          </w:p>
        </w:tc>
      </w:tr>
      <w:tr w:rsidRPr="008B1BEE" w:rsidR="008720EE" w:rsidTr="00B13070">
        <w:tc>
          <w:tcPr>
            <w:tcW w:w="1338" w:type="dxa"/>
            <w:shd w:val="clear" w:color="auto" w:fill="auto"/>
          </w:tcPr>
          <w:p w:rsidRPr="008B1BEE" w:rsidR="00EB7322" w:rsidP="008B1BEE" w:rsidRDefault="00EB7322">
            <w:pPr>
              <w:pStyle w:val="BodyText"/>
              <w:widowControl/>
              <w:numPr>
                <w:ilvl w:val="12"/>
                <w:numId w:val="0"/>
              </w:numPr>
              <w:rPr>
                <w:sz w:val="24"/>
                <w:szCs w:val="24"/>
                <w:lang w:eastAsia="zh-CN"/>
              </w:rPr>
            </w:pPr>
            <w:r w:rsidRPr="008B1BEE">
              <w:rPr>
                <w:sz w:val="24"/>
                <w:szCs w:val="24"/>
                <w:lang w:eastAsia="zh-CN"/>
              </w:rPr>
              <w:t>Black</w:t>
            </w:r>
          </w:p>
        </w:tc>
        <w:tc>
          <w:tcPr>
            <w:tcW w:w="1269"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13.3%</w:t>
            </w:r>
          </w:p>
        </w:tc>
        <w:tc>
          <w:tcPr>
            <w:tcW w:w="1581"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133</w:t>
            </w:r>
          </w:p>
        </w:tc>
        <w:tc>
          <w:tcPr>
            <w:tcW w:w="1376"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200</w:t>
            </w:r>
          </w:p>
        </w:tc>
        <w:tc>
          <w:tcPr>
            <w:tcW w:w="1003"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333</w:t>
            </w:r>
          </w:p>
        </w:tc>
        <w:tc>
          <w:tcPr>
            <w:tcW w:w="893"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667</w:t>
            </w:r>
          </w:p>
        </w:tc>
        <w:tc>
          <w:tcPr>
            <w:tcW w:w="995"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w:t>
            </w:r>
            <w:r w:rsidRPr="008B1BEE" w:rsidR="00A959A5">
              <w:rPr>
                <w:sz w:val="24"/>
                <w:szCs w:val="24"/>
                <w:lang w:eastAsia="zh-CN"/>
              </w:rPr>
              <w:t>,</w:t>
            </w:r>
            <w:r w:rsidRPr="008B1BEE">
              <w:rPr>
                <w:sz w:val="24"/>
                <w:szCs w:val="24"/>
                <w:lang w:eastAsia="zh-CN"/>
              </w:rPr>
              <w:t>000</w:t>
            </w:r>
          </w:p>
        </w:tc>
        <w:tc>
          <w:tcPr>
            <w:tcW w:w="1121" w:type="dxa"/>
            <w:shd w:val="clear" w:color="auto" w:fill="auto"/>
          </w:tcPr>
          <w:p w:rsidRPr="008B1BEE" w:rsidR="00EB7322" w:rsidP="008B1BEE" w:rsidRDefault="008720EE">
            <w:pPr>
              <w:pStyle w:val="BodyText"/>
              <w:widowControl/>
              <w:numPr>
                <w:ilvl w:val="12"/>
                <w:numId w:val="0"/>
              </w:numPr>
              <w:jc w:val="right"/>
              <w:rPr>
                <w:sz w:val="24"/>
                <w:szCs w:val="24"/>
                <w:lang w:eastAsia="zh-CN"/>
              </w:rPr>
            </w:pPr>
            <w:r w:rsidRPr="008B1BEE">
              <w:rPr>
                <w:sz w:val="24"/>
                <w:szCs w:val="24"/>
                <w:lang w:eastAsia="zh-CN"/>
              </w:rPr>
              <w:t>+/-3.1%</w:t>
            </w:r>
          </w:p>
        </w:tc>
      </w:tr>
      <w:tr w:rsidRPr="008B1BEE" w:rsidR="008720EE" w:rsidTr="00B13070">
        <w:tc>
          <w:tcPr>
            <w:tcW w:w="1338" w:type="dxa"/>
            <w:shd w:val="clear" w:color="auto" w:fill="auto"/>
          </w:tcPr>
          <w:p w:rsidRPr="008B1BEE" w:rsidR="00EB7322" w:rsidP="008B1BEE" w:rsidRDefault="00EB7322">
            <w:pPr>
              <w:pStyle w:val="BodyText"/>
              <w:widowControl/>
              <w:numPr>
                <w:ilvl w:val="12"/>
                <w:numId w:val="0"/>
              </w:numPr>
              <w:rPr>
                <w:sz w:val="24"/>
                <w:szCs w:val="24"/>
                <w:lang w:eastAsia="zh-CN"/>
              </w:rPr>
            </w:pPr>
            <w:r w:rsidRPr="008B1BEE">
              <w:rPr>
                <w:sz w:val="24"/>
                <w:szCs w:val="24"/>
                <w:lang w:eastAsia="zh-CN"/>
              </w:rPr>
              <w:t>Hispanic</w:t>
            </w:r>
          </w:p>
        </w:tc>
        <w:tc>
          <w:tcPr>
            <w:tcW w:w="1269"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17.8%</w:t>
            </w:r>
          </w:p>
        </w:tc>
        <w:tc>
          <w:tcPr>
            <w:tcW w:w="1581" w:type="dxa"/>
            <w:shd w:val="clear" w:color="auto" w:fill="auto"/>
          </w:tcPr>
          <w:p w:rsidRPr="008B1BEE" w:rsidR="00EB7322" w:rsidP="008B1BEE" w:rsidRDefault="00BD13E9">
            <w:pPr>
              <w:pStyle w:val="BodyText"/>
              <w:widowControl/>
              <w:numPr>
                <w:ilvl w:val="12"/>
                <w:numId w:val="0"/>
              </w:numPr>
              <w:jc w:val="right"/>
              <w:rPr>
                <w:sz w:val="24"/>
                <w:szCs w:val="24"/>
                <w:lang w:eastAsia="zh-CN"/>
              </w:rPr>
            </w:pPr>
            <w:r w:rsidRPr="008B1BEE">
              <w:rPr>
                <w:sz w:val="24"/>
                <w:szCs w:val="24"/>
                <w:lang w:eastAsia="zh-CN"/>
              </w:rPr>
              <w:t>179</w:t>
            </w:r>
          </w:p>
        </w:tc>
        <w:tc>
          <w:tcPr>
            <w:tcW w:w="1376"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178</w:t>
            </w:r>
          </w:p>
        </w:tc>
        <w:tc>
          <w:tcPr>
            <w:tcW w:w="1003"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357</w:t>
            </w:r>
          </w:p>
        </w:tc>
        <w:tc>
          <w:tcPr>
            <w:tcW w:w="893"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643</w:t>
            </w:r>
          </w:p>
        </w:tc>
        <w:tc>
          <w:tcPr>
            <w:tcW w:w="995"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w:t>
            </w:r>
            <w:r w:rsidRPr="008B1BEE" w:rsidR="00A959A5">
              <w:rPr>
                <w:sz w:val="24"/>
                <w:szCs w:val="24"/>
                <w:lang w:eastAsia="zh-CN"/>
              </w:rPr>
              <w:t>,</w:t>
            </w:r>
            <w:r w:rsidRPr="008B1BEE">
              <w:rPr>
                <w:sz w:val="24"/>
                <w:szCs w:val="24"/>
                <w:lang w:eastAsia="zh-CN"/>
              </w:rPr>
              <w:t>000</w:t>
            </w:r>
          </w:p>
        </w:tc>
        <w:tc>
          <w:tcPr>
            <w:tcW w:w="1121" w:type="dxa"/>
            <w:shd w:val="clear" w:color="auto" w:fill="auto"/>
          </w:tcPr>
          <w:p w:rsidRPr="008B1BEE" w:rsidR="00EB7322" w:rsidP="008B1BEE" w:rsidRDefault="008720EE">
            <w:pPr>
              <w:pStyle w:val="BodyText"/>
              <w:widowControl/>
              <w:numPr>
                <w:ilvl w:val="12"/>
                <w:numId w:val="0"/>
              </w:numPr>
              <w:jc w:val="right"/>
              <w:rPr>
                <w:sz w:val="24"/>
                <w:szCs w:val="24"/>
                <w:lang w:eastAsia="zh-CN"/>
              </w:rPr>
            </w:pPr>
            <w:r w:rsidRPr="008B1BEE">
              <w:rPr>
                <w:sz w:val="24"/>
                <w:szCs w:val="24"/>
                <w:lang w:eastAsia="zh-CN"/>
              </w:rPr>
              <w:t>+/-3.1%</w:t>
            </w:r>
          </w:p>
        </w:tc>
      </w:tr>
      <w:tr w:rsidRPr="008B1BEE" w:rsidR="008720EE" w:rsidTr="00B13070">
        <w:tc>
          <w:tcPr>
            <w:tcW w:w="1338" w:type="dxa"/>
            <w:shd w:val="clear" w:color="auto" w:fill="auto"/>
          </w:tcPr>
          <w:p w:rsidRPr="008B1BEE" w:rsidR="00EB7322" w:rsidP="008B1BEE" w:rsidRDefault="00EB7322">
            <w:pPr>
              <w:pStyle w:val="BodyText"/>
              <w:widowControl/>
              <w:numPr>
                <w:ilvl w:val="12"/>
                <w:numId w:val="0"/>
              </w:numPr>
              <w:rPr>
                <w:sz w:val="24"/>
                <w:szCs w:val="24"/>
                <w:lang w:eastAsia="zh-CN"/>
              </w:rPr>
            </w:pPr>
            <w:r w:rsidRPr="008B1BEE">
              <w:rPr>
                <w:sz w:val="24"/>
                <w:szCs w:val="24"/>
                <w:lang w:eastAsia="zh-CN"/>
              </w:rPr>
              <w:t>Asian</w:t>
            </w:r>
          </w:p>
        </w:tc>
        <w:tc>
          <w:tcPr>
            <w:tcW w:w="1269"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5.7%</w:t>
            </w:r>
          </w:p>
        </w:tc>
        <w:tc>
          <w:tcPr>
            <w:tcW w:w="1581"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58</w:t>
            </w:r>
          </w:p>
        </w:tc>
        <w:tc>
          <w:tcPr>
            <w:tcW w:w="1376"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285</w:t>
            </w:r>
          </w:p>
        </w:tc>
        <w:tc>
          <w:tcPr>
            <w:tcW w:w="1003"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343</w:t>
            </w:r>
          </w:p>
        </w:tc>
        <w:tc>
          <w:tcPr>
            <w:tcW w:w="893" w:type="dxa"/>
            <w:shd w:val="clear" w:color="auto" w:fill="auto"/>
          </w:tcPr>
          <w:p w:rsidRPr="008B1BEE" w:rsidR="00EB7322" w:rsidP="008B1BEE" w:rsidRDefault="002E6006">
            <w:pPr>
              <w:pStyle w:val="BodyText"/>
              <w:widowControl/>
              <w:numPr>
                <w:ilvl w:val="12"/>
                <w:numId w:val="0"/>
              </w:numPr>
              <w:jc w:val="right"/>
              <w:rPr>
                <w:sz w:val="24"/>
                <w:szCs w:val="24"/>
                <w:lang w:eastAsia="zh-CN"/>
              </w:rPr>
            </w:pPr>
            <w:r w:rsidRPr="008B1BEE">
              <w:rPr>
                <w:sz w:val="24"/>
                <w:szCs w:val="24"/>
                <w:lang w:eastAsia="zh-CN"/>
              </w:rPr>
              <w:t>657</w:t>
            </w:r>
          </w:p>
        </w:tc>
        <w:tc>
          <w:tcPr>
            <w:tcW w:w="995" w:type="dxa"/>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w:t>
            </w:r>
            <w:r w:rsidRPr="008B1BEE" w:rsidR="00A959A5">
              <w:rPr>
                <w:sz w:val="24"/>
                <w:szCs w:val="24"/>
                <w:lang w:eastAsia="zh-CN"/>
              </w:rPr>
              <w:t>,</w:t>
            </w:r>
            <w:r w:rsidRPr="008B1BEE">
              <w:rPr>
                <w:sz w:val="24"/>
                <w:szCs w:val="24"/>
                <w:lang w:eastAsia="zh-CN"/>
              </w:rPr>
              <w:t>000</w:t>
            </w:r>
          </w:p>
        </w:tc>
        <w:tc>
          <w:tcPr>
            <w:tcW w:w="1121" w:type="dxa"/>
            <w:shd w:val="clear" w:color="auto" w:fill="auto"/>
          </w:tcPr>
          <w:p w:rsidRPr="008B1BEE" w:rsidR="00EB7322" w:rsidP="008B1BEE" w:rsidRDefault="008720EE">
            <w:pPr>
              <w:pStyle w:val="BodyText"/>
              <w:widowControl/>
              <w:numPr>
                <w:ilvl w:val="12"/>
                <w:numId w:val="0"/>
              </w:numPr>
              <w:jc w:val="right"/>
              <w:rPr>
                <w:sz w:val="24"/>
                <w:szCs w:val="24"/>
                <w:lang w:eastAsia="zh-CN"/>
              </w:rPr>
            </w:pPr>
            <w:r w:rsidRPr="008B1BEE">
              <w:rPr>
                <w:sz w:val="24"/>
                <w:szCs w:val="24"/>
                <w:lang w:eastAsia="zh-CN"/>
              </w:rPr>
              <w:t>+/-3.1%</w:t>
            </w:r>
          </w:p>
        </w:tc>
      </w:tr>
      <w:tr w:rsidRPr="008B1BEE" w:rsidR="008720EE" w:rsidTr="00B13070">
        <w:tc>
          <w:tcPr>
            <w:tcW w:w="1338" w:type="dxa"/>
            <w:tcBorders>
              <w:bottom w:val="single" w:color="auto" w:sz="4" w:space="0"/>
            </w:tcBorders>
            <w:shd w:val="clear" w:color="auto" w:fill="auto"/>
          </w:tcPr>
          <w:p w:rsidRPr="008B1BEE" w:rsidR="00EB7322" w:rsidP="008B1BEE" w:rsidRDefault="00EB7322">
            <w:pPr>
              <w:pStyle w:val="BodyText"/>
              <w:widowControl/>
              <w:numPr>
                <w:ilvl w:val="12"/>
                <w:numId w:val="0"/>
              </w:numPr>
              <w:rPr>
                <w:sz w:val="24"/>
                <w:szCs w:val="24"/>
                <w:lang w:eastAsia="zh-CN"/>
              </w:rPr>
            </w:pPr>
            <w:r w:rsidRPr="008B1BEE">
              <w:rPr>
                <w:sz w:val="24"/>
                <w:szCs w:val="24"/>
                <w:lang w:eastAsia="zh-CN"/>
              </w:rPr>
              <w:t>Nat. Amer.</w:t>
            </w:r>
          </w:p>
        </w:tc>
        <w:tc>
          <w:tcPr>
            <w:tcW w:w="1269"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1.3%</w:t>
            </w:r>
          </w:p>
        </w:tc>
        <w:tc>
          <w:tcPr>
            <w:tcW w:w="1581"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13</w:t>
            </w:r>
          </w:p>
        </w:tc>
        <w:tc>
          <w:tcPr>
            <w:tcW w:w="1376"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156</w:t>
            </w:r>
          </w:p>
        </w:tc>
        <w:tc>
          <w:tcPr>
            <w:tcW w:w="1003"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169</w:t>
            </w:r>
          </w:p>
        </w:tc>
        <w:tc>
          <w:tcPr>
            <w:tcW w:w="893"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831</w:t>
            </w:r>
          </w:p>
        </w:tc>
        <w:tc>
          <w:tcPr>
            <w:tcW w:w="995" w:type="dxa"/>
            <w:tcBorders>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w:t>
            </w:r>
            <w:r w:rsidRPr="008B1BEE" w:rsidR="00A959A5">
              <w:rPr>
                <w:sz w:val="24"/>
                <w:szCs w:val="24"/>
                <w:lang w:eastAsia="zh-CN"/>
              </w:rPr>
              <w:t>,</w:t>
            </w:r>
            <w:r w:rsidRPr="008B1BEE">
              <w:rPr>
                <w:sz w:val="24"/>
                <w:szCs w:val="24"/>
                <w:lang w:eastAsia="zh-CN"/>
              </w:rPr>
              <w:t>000</w:t>
            </w:r>
          </w:p>
        </w:tc>
        <w:tc>
          <w:tcPr>
            <w:tcW w:w="1121" w:type="dxa"/>
            <w:tcBorders>
              <w:bottom w:val="single" w:color="auto" w:sz="4" w:space="0"/>
            </w:tcBorders>
            <w:shd w:val="clear" w:color="auto" w:fill="auto"/>
          </w:tcPr>
          <w:p w:rsidRPr="008B1BEE" w:rsidR="00EB7322" w:rsidP="008B1BEE" w:rsidRDefault="008720EE">
            <w:pPr>
              <w:pStyle w:val="BodyText"/>
              <w:widowControl/>
              <w:numPr>
                <w:ilvl w:val="12"/>
                <w:numId w:val="0"/>
              </w:numPr>
              <w:jc w:val="right"/>
              <w:rPr>
                <w:sz w:val="24"/>
                <w:szCs w:val="24"/>
                <w:lang w:eastAsia="zh-CN"/>
              </w:rPr>
            </w:pPr>
            <w:r w:rsidRPr="008B1BEE">
              <w:rPr>
                <w:sz w:val="24"/>
                <w:szCs w:val="24"/>
                <w:lang w:eastAsia="zh-CN"/>
              </w:rPr>
              <w:t>+/-3.1%</w:t>
            </w:r>
          </w:p>
        </w:tc>
      </w:tr>
      <w:tr w:rsidRPr="008B1BEE" w:rsidR="008720EE" w:rsidTr="00B13070">
        <w:tc>
          <w:tcPr>
            <w:tcW w:w="1338"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rPr>
                <w:sz w:val="24"/>
                <w:szCs w:val="24"/>
                <w:lang w:eastAsia="zh-CN"/>
              </w:rPr>
            </w:pPr>
            <w:r w:rsidRPr="008B1BEE">
              <w:rPr>
                <w:sz w:val="24"/>
                <w:szCs w:val="24"/>
                <w:lang w:eastAsia="zh-CN"/>
              </w:rPr>
              <w:t>Age 65+</w:t>
            </w:r>
          </w:p>
        </w:tc>
        <w:tc>
          <w:tcPr>
            <w:tcW w:w="1269"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15.2%</w:t>
            </w:r>
          </w:p>
        </w:tc>
        <w:tc>
          <w:tcPr>
            <w:tcW w:w="1581"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152</w:t>
            </w:r>
          </w:p>
        </w:tc>
        <w:tc>
          <w:tcPr>
            <w:tcW w:w="1376"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152</w:t>
            </w:r>
          </w:p>
        </w:tc>
        <w:tc>
          <w:tcPr>
            <w:tcW w:w="1003"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304</w:t>
            </w:r>
          </w:p>
        </w:tc>
        <w:tc>
          <w:tcPr>
            <w:tcW w:w="893"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w:t>
            </w:r>
            <w:r w:rsidRPr="008B1BEE" w:rsidR="00A959A5">
              <w:rPr>
                <w:sz w:val="24"/>
                <w:szCs w:val="24"/>
                <w:lang w:eastAsia="zh-CN"/>
              </w:rPr>
              <w:t>,</w:t>
            </w:r>
            <w:r w:rsidRPr="008B1BEE">
              <w:rPr>
                <w:sz w:val="24"/>
                <w:szCs w:val="24"/>
                <w:lang w:eastAsia="zh-CN"/>
              </w:rPr>
              <w:t>216</w:t>
            </w:r>
          </w:p>
        </w:tc>
        <w:tc>
          <w:tcPr>
            <w:tcW w:w="995" w:type="dxa"/>
            <w:tcBorders>
              <w:top w:val="single" w:color="auto" w:sz="4" w:space="0"/>
              <w:bottom w:val="single" w:color="auto" w:sz="4" w:space="0"/>
            </w:tcBorders>
            <w:shd w:val="clear" w:color="auto" w:fill="auto"/>
          </w:tcPr>
          <w:p w:rsidRPr="008B1BEE" w:rsidR="00EB7322" w:rsidP="008B1BEE" w:rsidRDefault="00EB7322">
            <w:pPr>
              <w:pStyle w:val="BodyText"/>
              <w:widowControl/>
              <w:numPr>
                <w:ilvl w:val="12"/>
                <w:numId w:val="0"/>
              </w:numPr>
              <w:jc w:val="right"/>
              <w:rPr>
                <w:sz w:val="24"/>
                <w:szCs w:val="24"/>
                <w:lang w:eastAsia="zh-CN"/>
              </w:rPr>
            </w:pPr>
            <w:r w:rsidRPr="008B1BEE">
              <w:rPr>
                <w:sz w:val="24"/>
                <w:szCs w:val="24"/>
                <w:lang w:eastAsia="zh-CN"/>
              </w:rPr>
              <w:t>1</w:t>
            </w:r>
            <w:r w:rsidRPr="008B1BEE" w:rsidR="00A959A5">
              <w:rPr>
                <w:sz w:val="24"/>
                <w:szCs w:val="24"/>
                <w:lang w:eastAsia="zh-CN"/>
              </w:rPr>
              <w:t>,</w:t>
            </w:r>
            <w:r w:rsidRPr="008B1BEE">
              <w:rPr>
                <w:sz w:val="24"/>
                <w:szCs w:val="24"/>
                <w:lang w:eastAsia="zh-CN"/>
              </w:rPr>
              <w:t>520</w:t>
            </w:r>
          </w:p>
        </w:tc>
        <w:tc>
          <w:tcPr>
            <w:tcW w:w="1121" w:type="dxa"/>
            <w:tcBorders>
              <w:top w:val="single" w:color="auto" w:sz="4" w:space="0"/>
              <w:bottom w:val="single" w:color="auto" w:sz="4" w:space="0"/>
            </w:tcBorders>
            <w:shd w:val="clear" w:color="auto" w:fill="auto"/>
          </w:tcPr>
          <w:p w:rsidRPr="008B1BEE" w:rsidR="00EB7322" w:rsidP="008B1BEE" w:rsidRDefault="008720EE">
            <w:pPr>
              <w:pStyle w:val="BodyText"/>
              <w:widowControl/>
              <w:numPr>
                <w:ilvl w:val="12"/>
                <w:numId w:val="0"/>
              </w:numPr>
              <w:jc w:val="right"/>
              <w:rPr>
                <w:sz w:val="24"/>
                <w:szCs w:val="24"/>
                <w:lang w:eastAsia="zh-CN"/>
              </w:rPr>
            </w:pPr>
            <w:r w:rsidRPr="008B1BEE">
              <w:rPr>
                <w:sz w:val="24"/>
                <w:szCs w:val="24"/>
                <w:lang w:eastAsia="zh-CN"/>
              </w:rPr>
              <w:t>+/-2.5%</w:t>
            </w:r>
          </w:p>
        </w:tc>
      </w:tr>
      <w:tr w:rsidRPr="008B1BEE" w:rsidR="00B13070" w:rsidTr="005E1004">
        <w:tc>
          <w:tcPr>
            <w:tcW w:w="9576" w:type="dxa"/>
            <w:gridSpan w:val="8"/>
            <w:tcBorders>
              <w:top w:val="single" w:color="auto" w:sz="4" w:space="0"/>
              <w:bottom w:val="single" w:color="auto" w:sz="4" w:space="0"/>
            </w:tcBorders>
            <w:shd w:val="clear" w:color="auto" w:fill="auto"/>
          </w:tcPr>
          <w:p w:rsidRPr="008B1BEE" w:rsidR="00B13070" w:rsidP="008B1BEE" w:rsidRDefault="00B13070">
            <w:pPr>
              <w:pStyle w:val="BodyText"/>
              <w:widowControl/>
              <w:numPr>
                <w:ilvl w:val="12"/>
                <w:numId w:val="0"/>
              </w:numPr>
              <w:rPr>
                <w:sz w:val="24"/>
                <w:szCs w:val="24"/>
                <w:lang w:eastAsia="zh-CN"/>
              </w:rPr>
            </w:pPr>
            <w:r w:rsidRPr="008B1BEE">
              <w:rPr>
                <w:sz w:val="24"/>
                <w:szCs w:val="24"/>
                <w:lang w:eastAsia="zh-CN"/>
              </w:rPr>
              <w:t>*Computer Assisted Telephone Interview, Equal Probability Selection Method</w:t>
            </w:r>
          </w:p>
        </w:tc>
      </w:tr>
    </w:tbl>
    <w:p w:rsidRPr="008B1BEE" w:rsidR="0016750E" w:rsidP="008B1BEE" w:rsidRDefault="0016750E">
      <w:pPr>
        <w:pStyle w:val="BodyText"/>
        <w:widowControl/>
        <w:numPr>
          <w:ilvl w:val="12"/>
          <w:numId w:val="0"/>
        </w:numPr>
        <w:rPr>
          <w:sz w:val="24"/>
        </w:rPr>
      </w:pPr>
    </w:p>
    <w:p w:rsidRPr="008B1BEE" w:rsidR="00E6509E" w:rsidP="008B1BEE" w:rsidRDefault="00EC5061">
      <w:pPr>
        <w:pStyle w:val="NormalWeb"/>
        <w:numPr>
          <w:ilvl w:val="12"/>
          <w:numId w:val="0"/>
        </w:numPr>
        <w:tabs>
          <w:tab w:val="left" w:pos="180"/>
          <w:tab w:val="left" w:pos="540"/>
        </w:tabs>
        <w:spacing w:before="0" w:after="0"/>
        <w:rPr>
          <w:rFonts w:ascii="Times New Roman" w:eastAsia="SimSun"/>
          <w:b/>
          <w:u w:val="single"/>
          <w:lang w:eastAsia="zh-CN"/>
        </w:rPr>
      </w:pPr>
      <w:r w:rsidRPr="008B1BEE">
        <w:rPr>
          <w:rFonts w:ascii="Times New Roman" w:eastAsia="SimSun"/>
          <w:b/>
          <w:u w:val="single"/>
          <w:lang w:eastAsia="zh-CN"/>
        </w:rPr>
        <w:t>A</w:t>
      </w:r>
      <w:r w:rsidRPr="008B1BEE" w:rsidR="00383878">
        <w:rPr>
          <w:rFonts w:ascii="Times New Roman" w:eastAsia="SimSun"/>
          <w:b/>
          <w:u w:val="single"/>
          <w:lang w:eastAsia="zh-CN"/>
        </w:rPr>
        <w:t>ddress-</w:t>
      </w:r>
      <w:r w:rsidRPr="008B1BEE">
        <w:rPr>
          <w:rFonts w:ascii="Times New Roman" w:eastAsia="SimSun"/>
          <w:b/>
          <w:u w:val="single"/>
          <w:lang w:eastAsia="zh-CN"/>
        </w:rPr>
        <w:t>B</w:t>
      </w:r>
      <w:r w:rsidRPr="008B1BEE" w:rsidR="00383878">
        <w:rPr>
          <w:rFonts w:ascii="Times New Roman" w:eastAsia="SimSun"/>
          <w:b/>
          <w:u w:val="single"/>
          <w:lang w:eastAsia="zh-CN"/>
        </w:rPr>
        <w:t xml:space="preserve">ased </w:t>
      </w:r>
      <w:r w:rsidRPr="008B1BEE">
        <w:rPr>
          <w:rFonts w:ascii="Times New Roman" w:eastAsia="SimSun"/>
          <w:b/>
          <w:u w:val="single"/>
          <w:lang w:eastAsia="zh-CN"/>
        </w:rPr>
        <w:t>Sample Design</w:t>
      </w:r>
    </w:p>
    <w:p w:rsidRPr="008B1BEE" w:rsidR="0042394E" w:rsidP="008B1BEE" w:rsidRDefault="0042394E">
      <w:pPr>
        <w:pStyle w:val="NormalWeb"/>
        <w:numPr>
          <w:ilvl w:val="12"/>
          <w:numId w:val="0"/>
        </w:numPr>
        <w:tabs>
          <w:tab w:val="left" w:pos="180"/>
          <w:tab w:val="left" w:pos="540"/>
        </w:tabs>
        <w:spacing w:before="0" w:after="0"/>
        <w:rPr>
          <w:rFonts w:ascii="Times New Roman" w:eastAsia="SimSun"/>
          <w:lang w:eastAsia="zh-CN"/>
        </w:rPr>
      </w:pPr>
    </w:p>
    <w:p w:rsidRPr="008B1BEE" w:rsidR="00EC5061" w:rsidP="008B1BEE" w:rsidRDefault="0042394E">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ABS is a technique that has been enabled by improved geographic information systems and extensive demographic data resources</w:t>
      </w:r>
      <w:r w:rsidRPr="008B1BEE" w:rsidR="00383878">
        <w:rPr>
          <w:rFonts w:ascii="Times New Roman" w:eastAsia="SimSun"/>
          <w:lang w:eastAsia="zh-CN"/>
        </w:rPr>
        <w:t xml:space="preserve"> (AAPOR, 2016)</w:t>
      </w:r>
      <w:r w:rsidRPr="008B1BEE">
        <w:rPr>
          <w:rFonts w:ascii="Times New Roman" w:eastAsia="SimSun"/>
          <w:lang w:eastAsia="zh-CN"/>
        </w:rPr>
        <w:t xml:space="preserve">. </w:t>
      </w:r>
      <w:r w:rsidRPr="008B1BEE" w:rsidR="00A959A5">
        <w:rPr>
          <w:rFonts w:ascii="Times New Roman" w:eastAsia="SimSun"/>
          <w:lang w:eastAsia="zh-CN"/>
        </w:rPr>
        <w:t xml:space="preserve"> </w:t>
      </w:r>
      <w:r w:rsidRPr="008B1BEE">
        <w:rPr>
          <w:rFonts w:ascii="Times New Roman" w:eastAsia="SimSun"/>
          <w:lang w:eastAsia="zh-CN"/>
        </w:rPr>
        <w:t>ABS can provide survey samples that are nationally representative or enriched for efficient oversamples by ethnicity and similar stratifiers.</w:t>
      </w:r>
      <w:r w:rsidRPr="008B1BEE" w:rsidR="00A959A5">
        <w:rPr>
          <w:rFonts w:ascii="Times New Roman" w:eastAsia="SimSun"/>
          <w:lang w:eastAsia="zh-CN"/>
        </w:rPr>
        <w:t xml:space="preserve"> </w:t>
      </w:r>
      <w:r w:rsidRPr="008B1BEE">
        <w:rPr>
          <w:rFonts w:ascii="Times New Roman" w:eastAsia="SimSun"/>
          <w:lang w:eastAsia="zh-CN"/>
        </w:rPr>
        <w:t xml:space="preserve"> </w:t>
      </w:r>
      <w:r w:rsidRPr="008B1BEE" w:rsidR="00C64A8E">
        <w:rPr>
          <w:rFonts w:ascii="Times New Roman" w:eastAsia="SimSun"/>
          <w:lang w:eastAsia="zh-CN"/>
        </w:rPr>
        <w:t xml:space="preserve">We can enhance the </w:t>
      </w:r>
      <w:r w:rsidRPr="008B1BEE">
        <w:rPr>
          <w:rFonts w:ascii="Times New Roman" w:eastAsia="SimSun"/>
          <w:lang w:eastAsia="zh-CN"/>
        </w:rPr>
        <w:t xml:space="preserve">ABS lists to provide household composition, telephone numbers, and other auxiliary data variables. </w:t>
      </w:r>
      <w:r w:rsidRPr="008B1BEE" w:rsidR="00A959A5">
        <w:rPr>
          <w:rFonts w:ascii="Times New Roman" w:eastAsia="SimSun"/>
          <w:lang w:eastAsia="zh-CN"/>
        </w:rPr>
        <w:t xml:space="preserve"> </w:t>
      </w:r>
      <w:r w:rsidRPr="008B1BEE">
        <w:rPr>
          <w:rFonts w:ascii="Times New Roman" w:eastAsia="SimSun"/>
          <w:lang w:eastAsia="zh-CN"/>
        </w:rPr>
        <w:t xml:space="preserve">We propose using an ABS split-sample frame for our </w:t>
      </w:r>
      <w:r w:rsidRPr="008B1BEE" w:rsidR="00146044">
        <w:rPr>
          <w:rFonts w:ascii="Times New Roman" w:eastAsia="SimSun"/>
          <w:lang w:eastAsia="zh-CN"/>
        </w:rPr>
        <w:t xml:space="preserve">Computer Assisted Telephone Interviewing </w:t>
      </w:r>
      <w:r w:rsidRPr="008B1BEE" w:rsidR="008B37D7">
        <w:rPr>
          <w:rFonts w:ascii="Times New Roman" w:eastAsia="SimSun"/>
          <w:lang w:eastAsia="zh-CN"/>
        </w:rPr>
        <w:t>(</w:t>
      </w:r>
      <w:r w:rsidRPr="008B1BEE">
        <w:rPr>
          <w:rFonts w:ascii="Times New Roman" w:eastAsia="SimSun"/>
          <w:lang w:eastAsia="zh-CN"/>
        </w:rPr>
        <w:t>CATI</w:t>
      </w:r>
      <w:r w:rsidRPr="008B1BEE" w:rsidR="008B37D7">
        <w:rPr>
          <w:rFonts w:ascii="Times New Roman" w:eastAsia="SimSun"/>
          <w:lang w:eastAsia="zh-CN"/>
        </w:rPr>
        <w:t>)</w:t>
      </w:r>
      <w:r w:rsidRPr="008B1BEE">
        <w:rPr>
          <w:rFonts w:ascii="Times New Roman" w:eastAsia="SimSun"/>
          <w:lang w:eastAsia="zh-CN"/>
        </w:rPr>
        <w:t xml:space="preserve">. </w:t>
      </w:r>
      <w:r w:rsidRPr="008B1BEE" w:rsidR="00A959A5">
        <w:rPr>
          <w:rFonts w:ascii="Times New Roman" w:eastAsia="SimSun"/>
          <w:lang w:eastAsia="zh-CN"/>
        </w:rPr>
        <w:t xml:space="preserve"> </w:t>
      </w:r>
      <w:r w:rsidRPr="008B1BEE">
        <w:rPr>
          <w:rFonts w:ascii="Times New Roman" w:eastAsia="SimSun"/>
          <w:lang w:eastAsia="zh-CN"/>
        </w:rPr>
        <w:t>Half of this sample will be an equal probability of selection method (EPSEM), while the other half will be an ethnic oversample.</w:t>
      </w: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u w:val="single"/>
          <w:lang w:eastAsia="zh-CN"/>
        </w:rPr>
      </w:pPr>
    </w:p>
    <w:p w:rsidRPr="008B1BEE" w:rsidR="0042394E" w:rsidP="008B1BEE" w:rsidRDefault="00C64A8E">
      <w:pPr>
        <w:rPr>
          <w:color w:val="000000"/>
        </w:rPr>
      </w:pPr>
      <w:r w:rsidRPr="008B1BEE">
        <w:rPr>
          <w:color w:val="000000"/>
        </w:rPr>
        <w:t xml:space="preserve">We will draw the </w:t>
      </w:r>
      <w:r w:rsidRPr="008B1BEE" w:rsidR="0042394E">
        <w:rPr>
          <w:color w:val="000000"/>
        </w:rPr>
        <w:t xml:space="preserve">ABS sampling frame from all residential addresses across the nation. </w:t>
      </w:r>
      <w:r w:rsidRPr="008B1BEE" w:rsidR="00072CDD">
        <w:rPr>
          <w:color w:val="000000"/>
        </w:rPr>
        <w:t xml:space="preserve"> </w:t>
      </w:r>
      <w:r w:rsidRPr="008B1BEE" w:rsidR="0042394E">
        <w:rPr>
          <w:color w:val="000000"/>
        </w:rPr>
        <w:t>This will exclude P</w:t>
      </w:r>
      <w:r w:rsidRPr="008B1BEE" w:rsidR="00072CDD">
        <w:rPr>
          <w:color w:val="000000"/>
        </w:rPr>
        <w:t>.</w:t>
      </w:r>
      <w:r w:rsidRPr="008B1BEE" w:rsidR="0042394E">
        <w:rPr>
          <w:color w:val="000000"/>
        </w:rPr>
        <w:t>O</w:t>
      </w:r>
      <w:r w:rsidRPr="008B1BEE" w:rsidR="00072CDD">
        <w:rPr>
          <w:color w:val="000000"/>
        </w:rPr>
        <w:t>.</w:t>
      </w:r>
      <w:r w:rsidRPr="008B1BEE" w:rsidR="0042394E">
        <w:rPr>
          <w:color w:val="000000"/>
        </w:rPr>
        <w:t xml:space="preserve"> Boxes, business or organizational addresses, and vacant/seasonal residencies. </w:t>
      </w:r>
      <w:r w:rsidRPr="008B1BEE" w:rsidR="00072CDD">
        <w:rPr>
          <w:color w:val="000000"/>
        </w:rPr>
        <w:t xml:space="preserve"> </w:t>
      </w:r>
      <w:r w:rsidRPr="008B1BEE" w:rsidR="0042394E">
        <w:rPr>
          <w:color w:val="000000"/>
        </w:rPr>
        <w:t>The ABS sampling frame will include 10,000 addresses with appended phone numbers</w:t>
      </w:r>
      <w:r w:rsidRPr="008B1BEE" w:rsidR="00383878">
        <w:rPr>
          <w:color w:val="000000"/>
        </w:rPr>
        <w:t xml:space="preserve"> procured through SSI Research Now</w:t>
      </w:r>
      <w:r w:rsidRPr="008B1BEE" w:rsidR="0042394E">
        <w:rPr>
          <w:color w:val="000000"/>
        </w:rPr>
        <w:t xml:space="preserve">. </w:t>
      </w:r>
      <w:r w:rsidRPr="008B1BEE" w:rsidR="00072CDD">
        <w:rPr>
          <w:color w:val="000000"/>
        </w:rPr>
        <w:t xml:space="preserve"> </w:t>
      </w:r>
      <w:r w:rsidRPr="008B1BEE" w:rsidR="0042394E">
        <w:rPr>
          <w:color w:val="000000"/>
        </w:rPr>
        <w:t>Within this frame, 5</w:t>
      </w:r>
      <w:r w:rsidRPr="008B1BEE" w:rsidR="00A959A5">
        <w:rPr>
          <w:color w:val="000000"/>
        </w:rPr>
        <w:t>,</w:t>
      </w:r>
      <w:r w:rsidRPr="008B1BEE" w:rsidR="0042394E">
        <w:rPr>
          <w:color w:val="000000"/>
        </w:rPr>
        <w:t>000 will be representative of the U</w:t>
      </w:r>
      <w:r w:rsidRPr="008B1BEE" w:rsidR="00072CDD">
        <w:rPr>
          <w:color w:val="000000"/>
        </w:rPr>
        <w:t>.</w:t>
      </w:r>
      <w:r w:rsidRPr="008B1BEE" w:rsidR="0042394E">
        <w:rPr>
          <w:color w:val="000000"/>
        </w:rPr>
        <w:t>S</w:t>
      </w:r>
      <w:r w:rsidRPr="008B1BEE" w:rsidR="00072CDD">
        <w:rPr>
          <w:color w:val="000000"/>
        </w:rPr>
        <w:t>.</w:t>
      </w:r>
      <w:r w:rsidRPr="008B1BEE" w:rsidR="0042394E">
        <w:rPr>
          <w:color w:val="000000"/>
        </w:rPr>
        <w:t xml:space="preserve"> population (EPSEM). </w:t>
      </w:r>
      <w:r w:rsidRPr="008B1BEE" w:rsidR="00072CDD">
        <w:rPr>
          <w:color w:val="000000"/>
        </w:rPr>
        <w:t xml:space="preserve"> </w:t>
      </w:r>
      <w:r w:rsidRPr="008B1BEE" w:rsidR="0042394E">
        <w:rPr>
          <w:color w:val="000000"/>
        </w:rPr>
        <w:t>An oversample of an additional 5</w:t>
      </w:r>
      <w:r w:rsidRPr="008B1BEE" w:rsidR="00A959A5">
        <w:rPr>
          <w:color w:val="000000"/>
        </w:rPr>
        <w:t>,</w:t>
      </w:r>
      <w:r w:rsidRPr="008B1BEE" w:rsidR="0042394E">
        <w:rPr>
          <w:color w:val="000000"/>
        </w:rPr>
        <w:t xml:space="preserve">000 will specifically target minorities as shown in Exhibit 1. </w:t>
      </w:r>
      <w:r w:rsidRPr="008B1BEE" w:rsidR="00072CDD">
        <w:rPr>
          <w:color w:val="000000"/>
        </w:rPr>
        <w:t xml:space="preserve"> </w:t>
      </w:r>
      <w:r w:rsidRPr="008B1BEE" w:rsidR="006907F1">
        <w:rPr>
          <w:color w:val="000000"/>
        </w:rPr>
        <w:t>We will target m</w:t>
      </w:r>
      <w:r w:rsidRPr="008B1BEE" w:rsidR="0042394E">
        <w:rPr>
          <w:color w:val="000000"/>
        </w:rPr>
        <w:t xml:space="preserve">inority respondents by sampling </w:t>
      </w:r>
      <w:r w:rsidRPr="008B1BEE" w:rsidR="00072CDD">
        <w:rPr>
          <w:color w:val="000000"/>
        </w:rPr>
        <w:t>ZIP</w:t>
      </w:r>
      <w:r w:rsidRPr="008B1BEE" w:rsidR="0042394E">
        <w:rPr>
          <w:color w:val="000000"/>
        </w:rPr>
        <w:t xml:space="preserve"> codes with higher proportions of minority residents. </w:t>
      </w:r>
      <w:r w:rsidRPr="008B1BEE" w:rsidR="00072CDD">
        <w:rPr>
          <w:color w:val="000000"/>
        </w:rPr>
        <w:t xml:space="preserve"> </w:t>
      </w:r>
      <w:r w:rsidRPr="008B1BEE" w:rsidR="0042394E">
        <w:rPr>
          <w:color w:val="000000"/>
        </w:rPr>
        <w:t>All U</w:t>
      </w:r>
      <w:r w:rsidRPr="008B1BEE" w:rsidR="00072CDD">
        <w:rPr>
          <w:color w:val="000000"/>
        </w:rPr>
        <w:t>.</w:t>
      </w:r>
      <w:r w:rsidRPr="008B1BEE" w:rsidR="0042394E">
        <w:rPr>
          <w:color w:val="000000"/>
        </w:rPr>
        <w:t>S</w:t>
      </w:r>
      <w:r w:rsidRPr="008B1BEE" w:rsidR="00072CDD">
        <w:rPr>
          <w:color w:val="000000"/>
        </w:rPr>
        <w:t>.</w:t>
      </w:r>
      <w:r w:rsidRPr="008B1BEE" w:rsidR="0042394E">
        <w:rPr>
          <w:color w:val="000000"/>
        </w:rPr>
        <w:t xml:space="preserve"> residences with an associated phone number, including both landline and cell phone, will be eligible.</w:t>
      </w:r>
    </w:p>
    <w:p w:rsidRPr="008B1BEE" w:rsidR="0042394E" w:rsidP="008B1BEE" w:rsidRDefault="0042394E">
      <w:pPr>
        <w:pStyle w:val="NormalWeb"/>
        <w:numPr>
          <w:ilvl w:val="12"/>
          <w:numId w:val="0"/>
        </w:numPr>
        <w:tabs>
          <w:tab w:val="left" w:pos="180"/>
          <w:tab w:val="left" w:pos="540"/>
        </w:tabs>
        <w:spacing w:before="0" w:after="0"/>
        <w:rPr>
          <w:rFonts w:ascii="Times New Roman" w:eastAsia="SimSun"/>
          <w:b/>
          <w:u w:val="single"/>
          <w:lang w:eastAsia="zh-CN"/>
        </w:rPr>
      </w:pPr>
    </w:p>
    <w:p w:rsidRPr="008B1BEE" w:rsidR="0042394E" w:rsidP="008B1BEE" w:rsidRDefault="0042394E">
      <w:pPr>
        <w:rPr>
          <w:color w:val="000000"/>
        </w:rPr>
      </w:pPr>
      <w:r w:rsidRPr="008B1BEE">
        <w:rPr>
          <w:color w:val="000000"/>
        </w:rPr>
        <w:t xml:space="preserve">Before any further processing of the ABS list, we will update all addresses through the National Change of Address database. </w:t>
      </w:r>
      <w:r w:rsidRPr="008B1BEE" w:rsidR="00072CDD">
        <w:rPr>
          <w:color w:val="000000"/>
        </w:rPr>
        <w:t xml:space="preserve"> </w:t>
      </w:r>
      <w:r w:rsidRPr="008B1BEE">
        <w:rPr>
          <w:color w:val="000000"/>
        </w:rPr>
        <w:t xml:space="preserve">After address updates, we will profile the new geographic distribution to ensure that any household shifts are </w:t>
      </w:r>
      <w:r w:rsidRPr="008B1BEE" w:rsidR="00B13070">
        <w:rPr>
          <w:color w:val="000000"/>
        </w:rPr>
        <w:t>randomized</w:t>
      </w:r>
      <w:r w:rsidRPr="008B1BEE">
        <w:rPr>
          <w:color w:val="000000"/>
        </w:rPr>
        <w:t>.</w:t>
      </w:r>
      <w:r w:rsidRPr="008B1BEE" w:rsidR="00072CDD">
        <w:rPr>
          <w:color w:val="000000"/>
        </w:rPr>
        <w:t xml:space="preserve"> </w:t>
      </w:r>
      <w:r w:rsidRPr="008B1BEE">
        <w:rPr>
          <w:color w:val="000000"/>
        </w:rPr>
        <w:t xml:space="preserve"> Each ABS record contains auxiliary data variables including the </w:t>
      </w:r>
      <w:r w:rsidRPr="008B1BEE" w:rsidR="00072CDD">
        <w:rPr>
          <w:color w:val="000000"/>
        </w:rPr>
        <w:t>ZIP</w:t>
      </w:r>
      <w:r w:rsidRPr="008B1BEE">
        <w:rPr>
          <w:color w:val="000000"/>
        </w:rPr>
        <w:t xml:space="preserve"> code-specific percent of varying ethnic groups.</w:t>
      </w:r>
      <w:r w:rsidRPr="008B1BEE" w:rsidR="00072CDD">
        <w:rPr>
          <w:color w:val="000000"/>
        </w:rPr>
        <w:t xml:space="preserve"> </w:t>
      </w:r>
      <w:r w:rsidRPr="008B1BEE">
        <w:rPr>
          <w:color w:val="000000"/>
        </w:rPr>
        <w:t xml:space="preserve"> Using expected ethnic prevalence in the population, we will draw on the pool of 10,000 records to organize an initial sample replicate (i.e., Replicate 01) of 5,000 records that is proportional to our target goals for each ethnic group. </w:t>
      </w:r>
      <w:r w:rsidRPr="008B1BEE" w:rsidR="00072CDD">
        <w:rPr>
          <w:color w:val="000000"/>
        </w:rPr>
        <w:t xml:space="preserve"> </w:t>
      </w:r>
      <w:r w:rsidRPr="008B1BEE">
        <w:rPr>
          <w:color w:val="000000"/>
        </w:rPr>
        <w:t xml:space="preserve">This initial replicate will receive a postal pre-notification mailing about one week before the initial CATI field start. </w:t>
      </w:r>
      <w:r w:rsidRPr="008B1BEE" w:rsidR="00072CDD">
        <w:rPr>
          <w:color w:val="000000"/>
        </w:rPr>
        <w:t xml:space="preserve"> </w:t>
      </w:r>
      <w:r w:rsidRPr="008B1BEE">
        <w:rPr>
          <w:color w:val="000000"/>
        </w:rPr>
        <w:t>During the initial days of the Replicate 01 field period, our sampling statisticians will closely monitor progress towards goals and ensure that the</w:t>
      </w:r>
      <w:r w:rsidRPr="008B1BEE" w:rsidR="00AD63C4">
        <w:rPr>
          <w:color w:val="000000"/>
        </w:rPr>
        <w:t xml:space="preserve"> staff conduct</w:t>
      </w:r>
      <w:r w:rsidR="003C407B">
        <w:rPr>
          <w:color w:val="000000"/>
        </w:rPr>
        <w:t>s</w:t>
      </w:r>
      <w:r w:rsidRPr="008B1BEE">
        <w:rPr>
          <w:color w:val="000000"/>
        </w:rPr>
        <w:t xml:space="preserve"> </w:t>
      </w:r>
      <w:r w:rsidR="003C407B">
        <w:rPr>
          <w:color w:val="000000"/>
        </w:rPr>
        <w:t xml:space="preserve">a </w:t>
      </w:r>
      <w:r w:rsidRPr="008B1BEE">
        <w:rPr>
          <w:color w:val="000000"/>
        </w:rPr>
        <w:t xml:space="preserve">full calling protocol of ten call attempts on each sample record. </w:t>
      </w:r>
    </w:p>
    <w:p w:rsidRPr="008B1BEE" w:rsidR="0042394E" w:rsidP="008B1BEE" w:rsidRDefault="0042394E">
      <w:pPr>
        <w:pStyle w:val="NormalWeb"/>
        <w:numPr>
          <w:ilvl w:val="12"/>
          <w:numId w:val="0"/>
        </w:numPr>
        <w:tabs>
          <w:tab w:val="left" w:pos="180"/>
          <w:tab w:val="left" w:pos="540"/>
        </w:tabs>
        <w:spacing w:before="0" w:after="0"/>
        <w:rPr>
          <w:rFonts w:ascii="Times New Roman" w:eastAsia="SimSun"/>
          <w:b/>
          <w:u w:val="single"/>
          <w:lang w:eastAsia="zh-CN"/>
        </w:rPr>
      </w:pPr>
    </w:p>
    <w:p w:rsidRPr="008B1BEE" w:rsidR="00383878" w:rsidP="008B1BEE" w:rsidRDefault="00383878">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Once </w:t>
      </w:r>
      <w:r w:rsidRPr="008B1BEE" w:rsidR="00AD63C4">
        <w:rPr>
          <w:rFonts w:ascii="Times New Roman" w:eastAsia="SimSun"/>
          <w:lang w:eastAsia="zh-CN"/>
        </w:rPr>
        <w:t xml:space="preserve">we select </w:t>
      </w:r>
      <w:r w:rsidRPr="008B1BEE">
        <w:rPr>
          <w:rFonts w:ascii="Times New Roman" w:eastAsia="SimSun"/>
          <w:lang w:eastAsia="zh-CN"/>
        </w:rPr>
        <w:t xml:space="preserve">a household, </w:t>
      </w:r>
      <w:r w:rsidRPr="008B1BEE" w:rsidR="00AD63C4">
        <w:rPr>
          <w:rFonts w:ascii="Times New Roman" w:eastAsia="SimSun"/>
          <w:lang w:eastAsia="zh-CN"/>
        </w:rPr>
        <w:t>we will randomly ch</w:t>
      </w:r>
      <w:r w:rsidR="003C407B">
        <w:rPr>
          <w:rFonts w:ascii="Times New Roman" w:eastAsia="SimSun"/>
          <w:lang w:eastAsia="zh-CN"/>
        </w:rPr>
        <w:t>o</w:t>
      </w:r>
      <w:r w:rsidRPr="008B1BEE" w:rsidR="00AD63C4">
        <w:rPr>
          <w:rFonts w:ascii="Times New Roman" w:eastAsia="SimSun"/>
          <w:lang w:eastAsia="zh-CN"/>
        </w:rPr>
        <w:t xml:space="preserve">ose </w:t>
      </w:r>
      <w:r w:rsidRPr="008B1BEE">
        <w:rPr>
          <w:rFonts w:ascii="Times New Roman" w:eastAsia="SimSun"/>
          <w:lang w:eastAsia="zh-CN"/>
        </w:rPr>
        <w:t>one adult from all adults living in the selected household using the “most recent birthday” method (O’Rourke, D. &amp; Blair, J. (1983)).</w:t>
      </w:r>
      <w:r w:rsidRPr="008B1BEE" w:rsidR="00072CDD">
        <w:rPr>
          <w:rFonts w:ascii="Times New Roman" w:eastAsia="SimSun"/>
          <w:lang w:eastAsia="zh-CN"/>
        </w:rPr>
        <w:t xml:space="preserve"> </w:t>
      </w:r>
      <w:r w:rsidRPr="008B1BEE">
        <w:rPr>
          <w:rFonts w:ascii="Times New Roman" w:eastAsia="SimSun"/>
          <w:lang w:eastAsia="zh-CN"/>
        </w:rPr>
        <w:t xml:space="preserve"> </w:t>
      </w:r>
      <w:r w:rsidRPr="008B1BEE">
        <w:rPr>
          <w:rFonts w:ascii="Times New Roman" w:eastAsia="SimSun"/>
          <w:lang w:eastAsia="zh-CN"/>
        </w:rPr>
        <w:lastRenderedPageBreak/>
        <w:t xml:space="preserve">The “most recent birthday” method asks for the eligible person (18 years of age or older) within the sampled household who, at the time of respondent selection, has the most recent (last) birthday. </w:t>
      </w:r>
      <w:r w:rsidRPr="008B1BEE" w:rsidR="00072CDD">
        <w:rPr>
          <w:rFonts w:ascii="Times New Roman" w:eastAsia="SimSun"/>
          <w:lang w:eastAsia="zh-CN"/>
        </w:rPr>
        <w:t xml:space="preserve"> </w:t>
      </w:r>
      <w:r w:rsidRPr="008B1BEE">
        <w:rPr>
          <w:rFonts w:ascii="Times New Roman" w:eastAsia="SimSun"/>
          <w:lang w:eastAsia="zh-CN"/>
        </w:rPr>
        <w:t>The “most recent birthday” method represents a random selection of eligible household members</w:t>
      </w:r>
      <w:r w:rsidRPr="008B1BEE" w:rsidR="00B42A4C">
        <w:rPr>
          <w:rFonts w:ascii="Times New Roman" w:eastAsia="SimSun"/>
          <w:lang w:eastAsia="zh-CN"/>
        </w:rPr>
        <w:t>.</w:t>
      </w:r>
      <w:r w:rsidRPr="008B1BEE" w:rsidR="00072CDD">
        <w:rPr>
          <w:rFonts w:ascii="Times New Roman" w:eastAsia="SimSun"/>
          <w:lang w:eastAsia="zh-CN"/>
        </w:rPr>
        <w:t xml:space="preserve"> </w:t>
      </w:r>
      <w:r w:rsidRPr="008B1BEE">
        <w:rPr>
          <w:rFonts w:ascii="Times New Roman" w:eastAsia="SimSun"/>
          <w:lang w:eastAsia="zh-CN"/>
        </w:rPr>
        <w:t xml:space="preserve"> </w:t>
      </w:r>
      <w:r w:rsidRPr="008B1BEE" w:rsidR="00B42A4C">
        <w:rPr>
          <w:rFonts w:ascii="Times New Roman" w:eastAsia="SimSun"/>
          <w:lang w:eastAsia="zh-CN"/>
        </w:rPr>
        <w:t>This method is considered to be</w:t>
      </w:r>
      <w:r w:rsidRPr="008B1BEE">
        <w:rPr>
          <w:rFonts w:ascii="Times New Roman" w:eastAsia="SimSun"/>
          <w:lang w:eastAsia="zh-CN"/>
        </w:rPr>
        <w:t xml:space="preserve"> much less intrusive than the purely random selection method or grid selection that requires </w:t>
      </w:r>
      <w:r w:rsidR="003C407B">
        <w:rPr>
          <w:rFonts w:ascii="Times New Roman" w:eastAsia="SimSun"/>
          <w:lang w:eastAsia="zh-CN"/>
        </w:rPr>
        <w:t xml:space="preserve">the </w:t>
      </w:r>
      <w:r w:rsidRPr="008B1BEE">
        <w:rPr>
          <w:rFonts w:ascii="Times New Roman" w:eastAsia="SimSun"/>
          <w:lang w:eastAsia="zh-CN"/>
        </w:rPr>
        <w:t xml:space="preserve">enumeration of all household members to make a respondent selection. </w:t>
      </w:r>
      <w:r w:rsidRPr="008B1BEE" w:rsidR="00072CDD">
        <w:rPr>
          <w:rFonts w:ascii="Times New Roman" w:eastAsia="SimSun"/>
          <w:lang w:eastAsia="zh-CN"/>
        </w:rPr>
        <w:t xml:space="preserve"> </w:t>
      </w:r>
      <w:r w:rsidRPr="008B1BEE">
        <w:rPr>
          <w:rFonts w:ascii="Times New Roman" w:eastAsia="SimSun"/>
          <w:lang w:eastAsia="zh-CN"/>
        </w:rPr>
        <w:t>This is the same method used in prior versions of the NSODAP survey.</w:t>
      </w:r>
    </w:p>
    <w:p w:rsidRPr="008B1BEE" w:rsidR="00383878" w:rsidP="008B1BEE" w:rsidRDefault="00383878">
      <w:pPr>
        <w:pStyle w:val="NormalWeb"/>
        <w:numPr>
          <w:ilvl w:val="12"/>
          <w:numId w:val="0"/>
        </w:numPr>
        <w:tabs>
          <w:tab w:val="left" w:pos="180"/>
          <w:tab w:val="left" w:pos="540"/>
        </w:tabs>
        <w:spacing w:before="0" w:after="0"/>
        <w:rPr>
          <w:rFonts w:ascii="Times New Roman" w:eastAsia="SimSun"/>
          <w:b/>
          <w:u w:val="single"/>
          <w:lang w:eastAsia="zh-CN"/>
        </w:rPr>
      </w:pPr>
    </w:p>
    <w:p w:rsidRPr="008B1BEE" w:rsidR="00383878" w:rsidP="008B1BEE" w:rsidRDefault="00383878">
      <w:pPr>
        <w:rPr>
          <w:color w:val="000000"/>
        </w:rPr>
      </w:pPr>
      <w:r w:rsidRPr="008B1BEE">
        <w:rPr>
          <w:color w:val="000000"/>
        </w:rPr>
        <w:t xml:space="preserve">Good survey practice requires that </w:t>
      </w:r>
      <w:r w:rsidRPr="008B1BEE" w:rsidR="00B42A4C">
        <w:rPr>
          <w:color w:val="000000"/>
        </w:rPr>
        <w:t xml:space="preserve">we execute </w:t>
      </w:r>
      <w:r w:rsidR="003C407B">
        <w:rPr>
          <w:color w:val="000000"/>
        </w:rPr>
        <w:t xml:space="preserve">a </w:t>
      </w:r>
      <w:r w:rsidRPr="008B1BEE">
        <w:rPr>
          <w:color w:val="000000"/>
        </w:rPr>
        <w:t xml:space="preserve">full calling protocol for each sample record, once released, so replicates should be no larger than necessary to achieve target goals. </w:t>
      </w:r>
      <w:r w:rsidRPr="008B1BEE" w:rsidR="00072CDD">
        <w:rPr>
          <w:color w:val="000000"/>
        </w:rPr>
        <w:t xml:space="preserve"> </w:t>
      </w:r>
      <w:r w:rsidRPr="008B1BEE">
        <w:rPr>
          <w:color w:val="000000"/>
        </w:rPr>
        <w:t xml:space="preserve">Our provisional field calendar provides for a total of three replicate releases, although this can be adjusted up or down, as actual field experience indicates. </w:t>
      </w:r>
      <w:r w:rsidRPr="008B1BEE" w:rsidR="00072CDD">
        <w:rPr>
          <w:color w:val="000000"/>
        </w:rPr>
        <w:t xml:space="preserve"> </w:t>
      </w:r>
      <w:r w:rsidRPr="008B1BEE">
        <w:rPr>
          <w:color w:val="000000"/>
        </w:rPr>
        <w:t xml:space="preserve">Should Replicate 01 be insufficient to produce the target quotas, we will assemble a Replicate 02 from the residual ABS list, and we will construct it with reference to observed response rates by ethnicity and by the observed shortfall in </w:t>
      </w:r>
      <w:r w:rsidRPr="008B1BEE" w:rsidR="00F5366F">
        <w:rPr>
          <w:color w:val="000000"/>
        </w:rPr>
        <w:t xml:space="preserve">demographic </w:t>
      </w:r>
      <w:r w:rsidRPr="008B1BEE">
        <w:rPr>
          <w:color w:val="000000"/>
        </w:rPr>
        <w:t xml:space="preserve">quotas. </w:t>
      </w:r>
      <w:r w:rsidRPr="008B1BEE" w:rsidR="00072CDD">
        <w:rPr>
          <w:color w:val="000000"/>
        </w:rPr>
        <w:t xml:space="preserve"> </w:t>
      </w:r>
      <w:r w:rsidRPr="008B1BEE">
        <w:rPr>
          <w:color w:val="000000"/>
        </w:rPr>
        <w:t xml:space="preserve">In constructing this sample, we will append the basic sampling weight to each record to inform post-field weighting.  Prior to constructing replicates beyond the first, we will observe the actual prevalence and adjust replicate construction based on field experience. </w:t>
      </w:r>
      <w:r w:rsidRPr="008B1BEE" w:rsidR="00072CDD">
        <w:rPr>
          <w:color w:val="000000"/>
        </w:rPr>
        <w:t xml:space="preserve"> </w:t>
      </w:r>
      <w:r w:rsidRPr="008B1BEE">
        <w:rPr>
          <w:color w:val="000000"/>
        </w:rPr>
        <w:t>Thus, we will converge to our target quotas while optimizing for efficiency and response rate.</w:t>
      </w:r>
    </w:p>
    <w:p w:rsidRPr="008B1BEE" w:rsidR="00383878" w:rsidP="008B1BEE" w:rsidRDefault="00383878">
      <w:pPr>
        <w:pStyle w:val="NormalWeb"/>
        <w:numPr>
          <w:ilvl w:val="12"/>
          <w:numId w:val="0"/>
        </w:numPr>
        <w:tabs>
          <w:tab w:val="left" w:pos="180"/>
          <w:tab w:val="left" w:pos="540"/>
        </w:tabs>
        <w:spacing w:before="0" w:after="0"/>
        <w:rPr>
          <w:rFonts w:ascii="Times New Roman" w:eastAsia="SimSun"/>
          <w:b/>
          <w:u w:val="single"/>
          <w:lang w:eastAsia="zh-CN"/>
        </w:rPr>
      </w:pPr>
    </w:p>
    <w:p w:rsidRPr="008B1BEE" w:rsidR="00383878" w:rsidP="008B1BEE" w:rsidRDefault="003C407B">
      <w:pPr>
        <w:rPr>
          <w:color w:val="000000"/>
        </w:rPr>
      </w:pPr>
      <w:r>
        <w:rPr>
          <w:color w:val="000000"/>
        </w:rPr>
        <w:t>The f</w:t>
      </w:r>
      <w:r w:rsidRPr="008B1BEE">
        <w:rPr>
          <w:color w:val="000000"/>
        </w:rPr>
        <w:t xml:space="preserve">inal </w:t>
      </w:r>
      <w:r w:rsidRPr="008B1BEE" w:rsidR="00383878">
        <w:rPr>
          <w:color w:val="000000"/>
        </w:rPr>
        <w:t>calculation of weights will require a post-stratification analysis and an Iterative Proportional Fitting process.</w:t>
      </w:r>
      <w:r w:rsidRPr="008B1BEE" w:rsidR="00072CDD">
        <w:rPr>
          <w:color w:val="000000"/>
        </w:rPr>
        <w:t xml:space="preserve"> </w:t>
      </w:r>
      <w:r w:rsidRPr="008B1BEE" w:rsidR="00383878">
        <w:rPr>
          <w:i/>
          <w:color w:val="000000"/>
        </w:rPr>
        <w:t xml:space="preserve"> </w:t>
      </w:r>
      <w:r w:rsidRPr="008B1BEE" w:rsidR="00383878">
        <w:rPr>
          <w:color w:val="000000"/>
        </w:rPr>
        <w:t xml:space="preserve">If necessary, </w:t>
      </w:r>
      <w:r w:rsidRPr="008B1BEE" w:rsidR="00B42A4C">
        <w:rPr>
          <w:color w:val="000000"/>
        </w:rPr>
        <w:t xml:space="preserve">we will repeat </w:t>
      </w:r>
      <w:r w:rsidRPr="008B1BEE" w:rsidR="00383878">
        <w:rPr>
          <w:color w:val="000000"/>
        </w:rPr>
        <w:t xml:space="preserve">this process for Replicates 03 and 04, with continuous monitoring of field status. </w:t>
      </w:r>
      <w:r w:rsidRPr="008B1BEE" w:rsidR="00072CDD">
        <w:rPr>
          <w:color w:val="000000"/>
        </w:rPr>
        <w:t xml:space="preserve"> </w:t>
      </w:r>
      <w:r w:rsidRPr="008B1BEE" w:rsidR="00383878">
        <w:rPr>
          <w:color w:val="000000"/>
        </w:rPr>
        <w:t xml:space="preserve">Each new replicate will have an associated pre-notification mailing so that potential respondents receive the mailing shortly before initial calls. </w:t>
      </w:r>
      <w:r w:rsidRPr="008B1BEE" w:rsidR="00072CDD">
        <w:rPr>
          <w:color w:val="000000"/>
        </w:rPr>
        <w:t xml:space="preserve"> </w:t>
      </w:r>
      <w:r w:rsidRPr="008B1BEE" w:rsidR="00383878">
        <w:rPr>
          <w:color w:val="000000"/>
        </w:rPr>
        <w:t>Each replicate will receive approximately a 12</w:t>
      </w:r>
      <w:r w:rsidRPr="008B1BEE" w:rsidR="00B42A4C">
        <w:rPr>
          <w:color w:val="000000"/>
        </w:rPr>
        <w:t>-</w:t>
      </w:r>
      <w:r w:rsidRPr="008B1BEE" w:rsidR="00383878">
        <w:rPr>
          <w:color w:val="000000"/>
        </w:rPr>
        <w:t xml:space="preserve">week field period to provide adequate time to execute the entire calling protocol. </w:t>
      </w:r>
      <w:r w:rsidRPr="008B1BEE" w:rsidR="00072CDD">
        <w:rPr>
          <w:color w:val="000000"/>
        </w:rPr>
        <w:t xml:space="preserve"> </w:t>
      </w:r>
      <w:r w:rsidRPr="008B1BEE" w:rsidR="00383878">
        <w:rPr>
          <w:color w:val="000000"/>
        </w:rPr>
        <w:t xml:space="preserve">At the end of all replicate field cycles, we will have a final push to resolve all open calling dispositions and maximize </w:t>
      </w:r>
      <w:r>
        <w:rPr>
          <w:color w:val="000000"/>
        </w:rPr>
        <w:t xml:space="preserve">the </w:t>
      </w:r>
      <w:r w:rsidRPr="008B1BEE" w:rsidR="00383878">
        <w:rPr>
          <w:color w:val="000000"/>
        </w:rPr>
        <w:t xml:space="preserve">response rate. </w:t>
      </w:r>
    </w:p>
    <w:p w:rsidRPr="008B1BEE" w:rsidR="0042394E" w:rsidP="008B1BEE" w:rsidRDefault="0042394E">
      <w:pPr>
        <w:pStyle w:val="NormalWeb"/>
        <w:numPr>
          <w:ilvl w:val="12"/>
          <w:numId w:val="0"/>
        </w:numPr>
        <w:tabs>
          <w:tab w:val="left" w:pos="180"/>
          <w:tab w:val="left" w:pos="540"/>
        </w:tabs>
        <w:spacing w:before="0" w:after="0"/>
        <w:rPr>
          <w:rFonts w:ascii="Times New Roman" w:eastAsia="SimSun"/>
          <w:b/>
          <w:u w:val="single"/>
          <w:lang w:eastAsia="zh-CN"/>
        </w:rPr>
      </w:pP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u w:val="single"/>
          <w:lang w:eastAsia="zh-CN"/>
        </w:rPr>
      </w:pPr>
      <w:r w:rsidRPr="008B1BEE">
        <w:rPr>
          <w:rFonts w:ascii="Times New Roman" w:eastAsia="SimSun"/>
          <w:b/>
          <w:u w:val="single"/>
          <w:lang w:eastAsia="zh-CN"/>
        </w:rPr>
        <w:t>Web Panel Sample Design</w:t>
      </w:r>
    </w:p>
    <w:p w:rsidRPr="008B1BEE" w:rsidR="00613BA3" w:rsidP="008B1BEE" w:rsidRDefault="00613BA3">
      <w:pPr>
        <w:pStyle w:val="NormalWeb"/>
        <w:numPr>
          <w:ilvl w:val="12"/>
          <w:numId w:val="0"/>
        </w:numPr>
        <w:tabs>
          <w:tab w:val="left" w:pos="180"/>
          <w:tab w:val="left" w:pos="540"/>
        </w:tabs>
        <w:spacing w:before="0" w:after="0"/>
        <w:rPr>
          <w:rFonts w:ascii="Times New Roman" w:eastAsia="SimSun"/>
          <w:b/>
          <w:u w:val="single"/>
          <w:lang w:eastAsia="zh-CN"/>
        </w:rPr>
      </w:pPr>
    </w:p>
    <w:p w:rsidRPr="008B1BEE" w:rsidR="00E6509E" w:rsidP="008B1BEE" w:rsidRDefault="00CA40D3">
      <w:pPr>
        <w:pStyle w:val="NormalWeb"/>
        <w:numPr>
          <w:ilvl w:val="12"/>
          <w:numId w:val="0"/>
        </w:numPr>
        <w:tabs>
          <w:tab w:val="left" w:pos="180"/>
          <w:tab w:val="left" w:pos="540"/>
        </w:tabs>
        <w:spacing w:before="0" w:after="0"/>
        <w:rPr>
          <w:rFonts w:ascii="Times New Roman" w:eastAsia="SimSun"/>
          <w:lang w:eastAsia="zh-CN"/>
        </w:rPr>
      </w:pPr>
      <w:r>
        <w:rPr>
          <w:rFonts w:ascii="Times New Roman" w:eastAsia="SimSun"/>
          <w:lang w:eastAsia="zh-CN"/>
        </w:rPr>
        <w:t>The Web panel survey will include</w:t>
      </w:r>
      <w:r w:rsidRPr="008B1BEE" w:rsidR="00613BA3">
        <w:rPr>
          <w:rFonts w:ascii="Times New Roman" w:eastAsia="SimSun"/>
          <w:lang w:eastAsia="zh-CN"/>
        </w:rPr>
        <w:t xml:space="preserve"> 8</w:t>
      </w:r>
      <w:r w:rsidRPr="008B1BEE" w:rsidR="00A959A5">
        <w:rPr>
          <w:rFonts w:ascii="Times New Roman" w:eastAsia="SimSun"/>
          <w:lang w:eastAsia="zh-CN"/>
        </w:rPr>
        <w:t>,</w:t>
      </w:r>
      <w:r w:rsidRPr="008B1BEE" w:rsidR="00613BA3">
        <w:rPr>
          <w:rFonts w:ascii="Times New Roman" w:eastAsia="SimSun"/>
          <w:lang w:eastAsia="zh-CN"/>
        </w:rPr>
        <w:t xml:space="preserve">000 </w:t>
      </w:r>
      <w:r>
        <w:rPr>
          <w:rFonts w:ascii="Times New Roman" w:eastAsia="SimSun"/>
          <w:lang w:eastAsia="zh-CN"/>
        </w:rPr>
        <w:t>samples</w:t>
      </w:r>
      <w:r w:rsidRPr="008B1BEE" w:rsidR="00613BA3">
        <w:rPr>
          <w:rFonts w:ascii="Times New Roman" w:eastAsia="SimSun"/>
          <w:lang w:eastAsia="zh-CN"/>
        </w:rPr>
        <w:t xml:space="preserve"> from SSI Research Now. </w:t>
      </w:r>
      <w:r w:rsidRPr="008B1BEE" w:rsidR="00072CDD">
        <w:rPr>
          <w:rFonts w:ascii="Times New Roman" w:eastAsia="SimSun"/>
          <w:lang w:eastAsia="zh-CN"/>
        </w:rPr>
        <w:t xml:space="preserve"> </w:t>
      </w:r>
      <w:r w:rsidRPr="008B1BEE" w:rsidR="00613BA3">
        <w:rPr>
          <w:rFonts w:ascii="Times New Roman" w:eastAsia="SimSun"/>
          <w:lang w:eastAsia="zh-CN"/>
        </w:rPr>
        <w:t xml:space="preserve">SSI Research Now maintains the nation’s largest census-balanced representative web panel. </w:t>
      </w:r>
      <w:r w:rsidRPr="008B1BEE" w:rsidR="00072CDD">
        <w:rPr>
          <w:rFonts w:ascii="Times New Roman" w:eastAsia="SimSun"/>
          <w:lang w:eastAsia="zh-CN"/>
        </w:rPr>
        <w:t xml:space="preserve"> </w:t>
      </w:r>
      <w:r w:rsidRPr="008B1BEE" w:rsidR="00D047D6">
        <w:rPr>
          <w:rFonts w:ascii="Times New Roman" w:eastAsia="SimSun"/>
          <w:lang w:eastAsia="zh-CN"/>
        </w:rPr>
        <w:t xml:space="preserve">The purpose of the large web panel is to allow sufficiently large numbers of respondents for key demographic groups, including all races/ethnicities, age groups, income levels, and education levels. </w:t>
      </w:r>
      <w:r w:rsidRPr="008B1BEE" w:rsidR="00072CDD">
        <w:rPr>
          <w:rFonts w:ascii="Times New Roman" w:eastAsia="SimSun"/>
          <w:lang w:eastAsia="zh-CN"/>
        </w:rPr>
        <w:t xml:space="preserve"> </w:t>
      </w:r>
      <w:r w:rsidRPr="008B1BEE" w:rsidR="00613BA3">
        <w:rPr>
          <w:rFonts w:ascii="Times New Roman" w:eastAsia="SimSun"/>
          <w:lang w:eastAsia="zh-CN"/>
        </w:rPr>
        <w:t xml:space="preserve">SSI </w:t>
      </w:r>
      <w:r w:rsidRPr="008B1BEE" w:rsidR="00D047D6">
        <w:rPr>
          <w:rFonts w:ascii="Times New Roman" w:eastAsia="SimSun"/>
          <w:lang w:eastAsia="zh-CN"/>
        </w:rPr>
        <w:t>Research Now will contact panel members and perform</w:t>
      </w:r>
      <w:r w:rsidRPr="008B1BEE" w:rsidR="00613BA3">
        <w:rPr>
          <w:rFonts w:ascii="Times New Roman" w:eastAsia="SimSun"/>
          <w:lang w:eastAsia="zh-CN"/>
        </w:rPr>
        <w:t xml:space="preserve"> the initial screening on their internal systems. </w:t>
      </w:r>
      <w:r w:rsidRPr="008B1BEE" w:rsidR="00072CDD">
        <w:rPr>
          <w:rFonts w:ascii="Times New Roman" w:eastAsia="SimSun"/>
          <w:lang w:eastAsia="zh-CN"/>
        </w:rPr>
        <w:t xml:space="preserve"> </w:t>
      </w:r>
      <w:r w:rsidRPr="008B1BEE" w:rsidR="00613BA3">
        <w:rPr>
          <w:rFonts w:ascii="Times New Roman" w:eastAsia="SimSun"/>
          <w:lang w:eastAsia="zh-CN"/>
        </w:rPr>
        <w:t xml:space="preserve">Eligible respondents identified from the web panel receive an invitation to complete the </w:t>
      </w:r>
      <w:r w:rsidRPr="008B1BEE" w:rsidR="00D047D6">
        <w:rPr>
          <w:rFonts w:ascii="Times New Roman" w:eastAsia="SimSun"/>
          <w:lang w:eastAsia="zh-CN"/>
        </w:rPr>
        <w:t xml:space="preserve">NSODAP </w:t>
      </w:r>
      <w:r w:rsidRPr="008B1BEE" w:rsidR="00613BA3">
        <w:rPr>
          <w:rFonts w:ascii="Times New Roman" w:eastAsia="SimSun"/>
          <w:lang w:eastAsia="zh-CN"/>
        </w:rPr>
        <w:t>survey</w:t>
      </w:r>
      <w:r w:rsidRPr="008B1BEE" w:rsidR="00B42A4C">
        <w:rPr>
          <w:rFonts w:ascii="Times New Roman" w:eastAsia="SimSun"/>
          <w:lang w:eastAsia="zh-CN"/>
        </w:rPr>
        <w:t>. The Voxco system</w:t>
      </w:r>
      <w:r w:rsidRPr="008B1BEE" w:rsidR="00B13070">
        <w:rPr>
          <w:rFonts w:ascii="Times New Roman" w:eastAsia="SimSun"/>
          <w:lang w:eastAsia="zh-CN"/>
        </w:rPr>
        <w:t>, a commercially</w:t>
      </w:r>
      <w:r w:rsidR="003C407B">
        <w:rPr>
          <w:rFonts w:ascii="Times New Roman" w:eastAsia="SimSun"/>
          <w:lang w:eastAsia="zh-CN"/>
        </w:rPr>
        <w:t xml:space="preserve"> </w:t>
      </w:r>
      <w:r w:rsidRPr="008B1BEE" w:rsidR="00B13070">
        <w:rPr>
          <w:rFonts w:ascii="Times New Roman" w:eastAsia="SimSun"/>
          <w:lang w:eastAsia="zh-CN"/>
        </w:rPr>
        <w:t>available web survey software system,</w:t>
      </w:r>
      <w:r w:rsidRPr="008B1BEE" w:rsidR="00B42A4C">
        <w:rPr>
          <w:rFonts w:ascii="Times New Roman" w:eastAsia="SimSun"/>
          <w:lang w:eastAsia="zh-CN"/>
        </w:rPr>
        <w:t xml:space="preserve"> will host this survey. </w:t>
      </w: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lang w:eastAsia="zh-CN"/>
        </w:rPr>
      </w:pPr>
    </w:p>
    <w:p w:rsidRPr="008B1BEE" w:rsidR="00CA40D3" w:rsidP="008B1BEE" w:rsidRDefault="00CA40D3">
      <w:pPr>
        <w:rPr>
          <w:color w:val="000000"/>
        </w:rPr>
      </w:pP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Precision of Estimates</w:t>
      </w:r>
    </w:p>
    <w:p w:rsidRPr="008B1BEE" w:rsidR="002225BC" w:rsidP="008B1BEE" w:rsidRDefault="002225BC">
      <w:pPr>
        <w:pStyle w:val="NormalWeb"/>
        <w:numPr>
          <w:ilvl w:val="12"/>
          <w:numId w:val="0"/>
        </w:numPr>
        <w:tabs>
          <w:tab w:val="left" w:pos="180"/>
          <w:tab w:val="left" w:pos="540"/>
        </w:tabs>
        <w:spacing w:before="0" w:after="0"/>
        <w:rPr>
          <w:rFonts w:ascii="Times New Roman" w:eastAsia="SimSun"/>
          <w:b/>
          <w:lang w:eastAsia="zh-CN"/>
        </w:rPr>
      </w:pPr>
    </w:p>
    <w:p w:rsidRPr="008B1BEE" w:rsidR="002225BC" w:rsidP="008B1BEE" w:rsidRDefault="00CA40D3">
      <w:pPr>
        <w:pStyle w:val="NormalWeb"/>
        <w:numPr>
          <w:ilvl w:val="12"/>
          <w:numId w:val="0"/>
        </w:numPr>
        <w:tabs>
          <w:tab w:val="left" w:pos="180"/>
          <w:tab w:val="left" w:pos="540"/>
        </w:tabs>
        <w:spacing w:before="0" w:after="0"/>
        <w:rPr>
          <w:rFonts w:ascii="Times New Roman" w:eastAsia="SimSun"/>
          <w:lang w:eastAsia="zh-CN"/>
        </w:rPr>
      </w:pPr>
      <w:r>
        <w:rPr>
          <w:rFonts w:ascii="Times New Roman" w:eastAsia="SimSun"/>
          <w:lang w:eastAsia="zh-CN"/>
        </w:rPr>
        <w:t>The</w:t>
      </w:r>
      <w:r w:rsidRPr="008B1BEE" w:rsidR="002225BC">
        <w:rPr>
          <w:rFonts w:ascii="Times New Roman" w:eastAsia="SimSun"/>
          <w:lang w:eastAsia="zh-CN"/>
        </w:rPr>
        <w:t xml:space="preserve"> sampling plan calls for a target of 2</w:t>
      </w:r>
      <w:r w:rsidRPr="008B1BEE" w:rsidR="00A959A5">
        <w:rPr>
          <w:rFonts w:ascii="Times New Roman" w:eastAsia="SimSun"/>
          <w:lang w:eastAsia="zh-CN"/>
        </w:rPr>
        <w:t>,</w:t>
      </w:r>
      <w:r w:rsidRPr="008B1BEE" w:rsidR="002225BC">
        <w:rPr>
          <w:rFonts w:ascii="Times New Roman" w:eastAsia="SimSun"/>
          <w:lang w:eastAsia="zh-CN"/>
        </w:rPr>
        <w:t>000 CATI cases and 8</w:t>
      </w:r>
      <w:r w:rsidRPr="008B1BEE" w:rsidR="00A959A5">
        <w:rPr>
          <w:rFonts w:ascii="Times New Roman" w:eastAsia="SimSun"/>
          <w:lang w:eastAsia="zh-CN"/>
        </w:rPr>
        <w:t>,</w:t>
      </w:r>
      <w:r w:rsidRPr="008B1BEE" w:rsidR="002225BC">
        <w:rPr>
          <w:rFonts w:ascii="Times New Roman" w:eastAsia="SimSun"/>
          <w:lang w:eastAsia="zh-CN"/>
        </w:rPr>
        <w:t xml:space="preserve">000 web cases. </w:t>
      </w:r>
      <w:r w:rsidRPr="008B1BEE" w:rsidR="00072CDD">
        <w:rPr>
          <w:rFonts w:ascii="Times New Roman" w:eastAsia="SimSun"/>
          <w:lang w:eastAsia="zh-CN"/>
        </w:rPr>
        <w:t xml:space="preserve"> </w:t>
      </w:r>
      <w:r w:rsidRPr="008B1BEE" w:rsidR="002225BC">
        <w:rPr>
          <w:rFonts w:ascii="Times New Roman" w:eastAsia="SimSun"/>
          <w:lang w:eastAsia="zh-CN"/>
        </w:rPr>
        <w:t>These CATI cases are split between a sample of 1</w:t>
      </w:r>
      <w:r w:rsidRPr="008B1BEE" w:rsidR="00A959A5">
        <w:rPr>
          <w:rFonts w:ascii="Times New Roman" w:eastAsia="SimSun"/>
          <w:lang w:eastAsia="zh-CN"/>
        </w:rPr>
        <w:t>,</w:t>
      </w:r>
      <w:r w:rsidRPr="008B1BEE" w:rsidR="002225BC">
        <w:rPr>
          <w:rFonts w:ascii="Times New Roman" w:eastAsia="SimSun"/>
          <w:lang w:eastAsia="zh-CN"/>
        </w:rPr>
        <w:t>000 EPSEM and 1</w:t>
      </w:r>
      <w:r w:rsidRPr="008B1BEE" w:rsidR="00A959A5">
        <w:rPr>
          <w:rFonts w:ascii="Times New Roman" w:eastAsia="SimSun"/>
          <w:lang w:eastAsia="zh-CN"/>
        </w:rPr>
        <w:t>,</w:t>
      </w:r>
      <w:r w:rsidRPr="008B1BEE" w:rsidR="002225BC">
        <w:rPr>
          <w:rFonts w:ascii="Times New Roman" w:eastAsia="SimSun"/>
          <w:lang w:eastAsia="zh-CN"/>
        </w:rPr>
        <w:t xml:space="preserve">000 with a racial/ethnic oversample. </w:t>
      </w:r>
      <w:r w:rsidRPr="008B1BEE" w:rsidR="00146044">
        <w:rPr>
          <w:rFonts w:ascii="Times New Roman" w:eastAsia="SimSun"/>
          <w:lang w:eastAsia="zh-CN"/>
        </w:rPr>
        <w:t xml:space="preserve"> </w:t>
      </w:r>
      <w:r w:rsidRPr="008B1BEE" w:rsidR="002225BC">
        <w:rPr>
          <w:rFonts w:ascii="Times New Roman" w:eastAsia="SimSun"/>
          <w:lang w:eastAsia="zh-CN"/>
        </w:rPr>
        <w:t>The 8</w:t>
      </w:r>
      <w:r w:rsidRPr="008B1BEE" w:rsidR="00A959A5">
        <w:rPr>
          <w:rFonts w:ascii="Times New Roman" w:eastAsia="SimSun"/>
          <w:lang w:eastAsia="zh-CN"/>
        </w:rPr>
        <w:t>,</w:t>
      </w:r>
      <w:r w:rsidRPr="008B1BEE" w:rsidR="002225BC">
        <w:rPr>
          <w:rFonts w:ascii="Times New Roman" w:eastAsia="SimSun"/>
          <w:lang w:eastAsia="zh-CN"/>
        </w:rPr>
        <w:t>000 web cases will expand the total sample size and all levels of key demographic variables.</w:t>
      </w:r>
      <w:r w:rsidRPr="008B1BEE" w:rsidR="000E05B4">
        <w:rPr>
          <w:rFonts w:ascii="Times New Roman" w:eastAsia="SimSun"/>
          <w:lang w:eastAsia="zh-CN"/>
        </w:rPr>
        <w:t xml:space="preserve"> </w:t>
      </w:r>
      <w:r w:rsidRPr="008B1BEE" w:rsidR="00146044">
        <w:rPr>
          <w:rFonts w:ascii="Times New Roman" w:eastAsia="SimSun"/>
          <w:lang w:eastAsia="zh-CN"/>
        </w:rPr>
        <w:t xml:space="preserve"> </w:t>
      </w:r>
      <w:r w:rsidRPr="008B1BEE" w:rsidR="000E05B4">
        <w:rPr>
          <w:rFonts w:ascii="Times New Roman" w:eastAsia="SimSun"/>
          <w:lang w:eastAsia="zh-CN"/>
        </w:rPr>
        <w:t>We expect 1</w:t>
      </w:r>
      <w:r w:rsidRPr="008B1BEE" w:rsidR="00A959A5">
        <w:rPr>
          <w:rFonts w:ascii="Times New Roman" w:eastAsia="SimSun"/>
          <w:lang w:eastAsia="zh-CN"/>
        </w:rPr>
        <w:t>,</w:t>
      </w:r>
      <w:r w:rsidRPr="008B1BEE" w:rsidR="000E05B4">
        <w:rPr>
          <w:rFonts w:ascii="Times New Roman" w:eastAsia="SimSun"/>
          <w:lang w:eastAsia="zh-CN"/>
        </w:rPr>
        <w:t xml:space="preserve">000 cases for each minority racial/ethnic group (Black, Hispanic, Asian, </w:t>
      </w:r>
      <w:r w:rsidRPr="008B1BEE" w:rsidR="000E05B4">
        <w:rPr>
          <w:rFonts w:ascii="Times New Roman" w:eastAsia="SimSun"/>
          <w:lang w:eastAsia="zh-CN"/>
        </w:rPr>
        <w:lastRenderedPageBreak/>
        <w:t xml:space="preserve">Native American), giving each group a 95% CI of +/- 3.1%. </w:t>
      </w:r>
      <w:r w:rsidRPr="008B1BEE" w:rsidR="00146044">
        <w:rPr>
          <w:rFonts w:ascii="Times New Roman" w:eastAsia="SimSun"/>
          <w:lang w:eastAsia="zh-CN"/>
        </w:rPr>
        <w:t xml:space="preserve"> </w:t>
      </w:r>
      <w:r w:rsidRPr="008B1BEE" w:rsidR="000E05B4">
        <w:rPr>
          <w:rFonts w:ascii="Times New Roman" w:eastAsia="SimSun"/>
          <w:lang w:eastAsia="zh-CN"/>
        </w:rPr>
        <w:t>For those over 65, we expect 1</w:t>
      </w:r>
      <w:r w:rsidRPr="008B1BEE" w:rsidR="00A959A5">
        <w:rPr>
          <w:rFonts w:ascii="Times New Roman" w:eastAsia="SimSun"/>
          <w:lang w:eastAsia="zh-CN"/>
        </w:rPr>
        <w:t>,</w:t>
      </w:r>
      <w:r w:rsidRPr="008B1BEE" w:rsidR="000E05B4">
        <w:rPr>
          <w:rFonts w:ascii="Times New Roman" w:eastAsia="SimSun"/>
          <w:lang w:eastAsia="zh-CN"/>
        </w:rPr>
        <w:t>520 cases, yielding a 95% CI of +/- 2.5%.</w:t>
      </w:r>
      <w:r w:rsidRPr="008B1BEE" w:rsidR="002225BC">
        <w:rPr>
          <w:rFonts w:ascii="Times New Roman" w:eastAsia="SimSun"/>
          <w:lang w:eastAsia="zh-CN"/>
        </w:rPr>
        <w:t xml:space="preserve"> </w:t>
      </w:r>
      <w:r w:rsidRPr="008B1BEE" w:rsidR="00146044">
        <w:rPr>
          <w:rFonts w:ascii="Times New Roman" w:eastAsia="SimSun"/>
          <w:lang w:eastAsia="zh-CN"/>
        </w:rPr>
        <w:t xml:space="preserve"> </w:t>
      </w:r>
      <w:r w:rsidRPr="008B1BEE" w:rsidR="002225BC">
        <w:rPr>
          <w:rFonts w:ascii="Times New Roman" w:eastAsia="SimSun"/>
          <w:lang w:eastAsia="zh-CN"/>
        </w:rPr>
        <w:t xml:space="preserve">Using a 95% confidence interval, we expect </w:t>
      </w:r>
      <w:r w:rsidR="003C407B">
        <w:rPr>
          <w:rFonts w:ascii="Times New Roman" w:eastAsia="SimSun"/>
          <w:lang w:eastAsia="zh-CN"/>
        </w:rPr>
        <w:t xml:space="preserve">the </w:t>
      </w:r>
      <w:r w:rsidRPr="008B1BEE" w:rsidR="002225BC">
        <w:rPr>
          <w:rFonts w:ascii="Times New Roman" w:eastAsia="SimSun"/>
          <w:lang w:eastAsia="zh-CN"/>
        </w:rPr>
        <w:t>precision of estimates based on Exhibit 2 below.</w:t>
      </w:r>
      <w:r w:rsidRPr="008B1BEE" w:rsidR="00490632">
        <w:rPr>
          <w:rFonts w:ascii="Times New Roman" w:eastAsia="SimSun"/>
          <w:lang w:eastAsia="zh-CN"/>
        </w:rPr>
        <w:t xml:space="preserve"> </w:t>
      </w:r>
      <w:r w:rsidRPr="008B1BEE" w:rsidR="00146044">
        <w:rPr>
          <w:rFonts w:ascii="Times New Roman" w:eastAsia="SimSun"/>
          <w:lang w:eastAsia="zh-CN"/>
        </w:rPr>
        <w:t xml:space="preserve"> </w:t>
      </w:r>
      <w:r w:rsidRPr="008B1BEE" w:rsidR="00787CB8">
        <w:rPr>
          <w:rFonts w:ascii="Times New Roman" w:eastAsia="SimSun"/>
          <w:lang w:eastAsia="zh-CN"/>
        </w:rPr>
        <w:t>Our</w:t>
      </w:r>
      <w:r w:rsidRPr="008B1BEE" w:rsidR="00490632">
        <w:rPr>
          <w:rFonts w:ascii="Times New Roman" w:eastAsia="SimSun"/>
          <w:lang w:eastAsia="zh-CN"/>
        </w:rPr>
        <w:t xml:space="preserve"> 95% CIs</w:t>
      </w:r>
      <w:r w:rsidRPr="008B1BEE" w:rsidR="00787CB8">
        <w:rPr>
          <w:rFonts w:ascii="Times New Roman" w:eastAsia="SimSun"/>
          <w:lang w:eastAsia="zh-CN"/>
        </w:rPr>
        <w:t xml:space="preserve"> assume response proportions of 0.5, which is the most conservative estimate. </w:t>
      </w:r>
      <w:r w:rsidRPr="008B1BEE" w:rsidR="00146044">
        <w:rPr>
          <w:rFonts w:ascii="Times New Roman" w:eastAsia="SimSun"/>
          <w:lang w:eastAsia="zh-CN"/>
        </w:rPr>
        <w:t xml:space="preserve"> </w:t>
      </w:r>
      <w:r w:rsidRPr="008B1BEE" w:rsidR="00787CB8">
        <w:rPr>
          <w:rFonts w:ascii="Times New Roman" w:eastAsia="SimSun"/>
          <w:lang w:eastAsia="zh-CN"/>
        </w:rPr>
        <w:t xml:space="preserve">As responses </w:t>
      </w:r>
      <w:r w:rsidRPr="008B1BEE" w:rsidR="00F5366F">
        <w:rPr>
          <w:rFonts w:ascii="Times New Roman" w:eastAsia="SimSun"/>
          <w:lang w:eastAsia="zh-CN"/>
        </w:rPr>
        <w:t>diverge</w:t>
      </w:r>
      <w:r w:rsidRPr="008B1BEE" w:rsidR="00787CB8">
        <w:rPr>
          <w:rFonts w:ascii="Times New Roman" w:eastAsia="SimSun"/>
          <w:lang w:eastAsia="zh-CN"/>
        </w:rPr>
        <w:t xml:space="preserve"> from 0.5, CIs will become more precise.</w:t>
      </w:r>
    </w:p>
    <w:p w:rsidRPr="008B1BEE" w:rsidR="000E05B4" w:rsidP="008B1BEE" w:rsidRDefault="000E05B4">
      <w:pPr>
        <w:pStyle w:val="NormalWeb"/>
        <w:numPr>
          <w:ilvl w:val="12"/>
          <w:numId w:val="0"/>
        </w:numPr>
        <w:tabs>
          <w:tab w:val="left" w:pos="180"/>
          <w:tab w:val="left" w:pos="540"/>
        </w:tabs>
        <w:spacing w:before="0" w:after="0"/>
        <w:rPr>
          <w:rFonts w:ascii="Times New Roman" w:eastAsia="SimSun"/>
          <w:lang w:eastAsia="zh-CN"/>
        </w:rPr>
      </w:pPr>
    </w:p>
    <w:p w:rsidRPr="008B1BEE" w:rsidR="002225BC" w:rsidP="008B1BEE" w:rsidRDefault="00787CB8">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Exhibit 2</w:t>
      </w:r>
      <w:r w:rsidRPr="008B1BEE" w:rsidR="008B37D7">
        <w:rPr>
          <w:rFonts w:ascii="Times New Roman" w:eastAsia="SimSun"/>
          <w:b/>
          <w:lang w:eastAsia="zh-CN"/>
        </w:rPr>
        <w:t>:</w:t>
      </w:r>
      <w:r w:rsidRPr="008B1BEE">
        <w:rPr>
          <w:rFonts w:ascii="Times New Roman" w:eastAsia="SimSun"/>
          <w:b/>
          <w:lang w:eastAsia="zh-CN"/>
        </w:rPr>
        <w:t xml:space="preserve"> Target Completed Cases and 95% CI Estimates</w:t>
      </w:r>
    </w:p>
    <w:p w:rsidRPr="008B1BEE" w:rsidR="002225BC" w:rsidP="008B1BEE" w:rsidRDefault="002225BC">
      <w:pPr>
        <w:pStyle w:val="NormalWeb"/>
        <w:numPr>
          <w:ilvl w:val="12"/>
          <w:numId w:val="0"/>
        </w:numPr>
        <w:tabs>
          <w:tab w:val="left" w:pos="180"/>
          <w:tab w:val="left" w:pos="540"/>
        </w:tabs>
        <w:spacing w:before="0" w:after="0"/>
        <w:rPr>
          <w:rFonts w:ascii="Times New Roman" w:eastAsia="SimSun"/>
          <w:lang w:eastAsia="zh-CN"/>
        </w:rPr>
      </w:pPr>
    </w:p>
    <w:tbl>
      <w:tblPr>
        <w:tblW w:w="0" w:type="auto"/>
        <w:tblLook w:val="04A0" w:firstRow="1" w:lastRow="0" w:firstColumn="1" w:lastColumn="0" w:noHBand="0" w:noVBand="1"/>
      </w:tblPr>
      <w:tblGrid>
        <w:gridCol w:w="3131"/>
        <w:gridCol w:w="3119"/>
        <w:gridCol w:w="3110"/>
      </w:tblGrid>
      <w:tr w:rsidRPr="008B1BEE" w:rsidR="002225BC" w:rsidTr="00764FFB">
        <w:tc>
          <w:tcPr>
            <w:tcW w:w="3192" w:type="dxa"/>
            <w:tcBorders>
              <w:bottom w:val="single" w:color="auto" w:sz="4" w:space="0"/>
            </w:tcBorders>
            <w:shd w:val="clear" w:color="auto" w:fill="auto"/>
          </w:tcPr>
          <w:p w:rsidRPr="008B1BEE" w:rsidR="002225BC" w:rsidP="008B1BEE" w:rsidRDefault="002225BC">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Grouping</w:t>
            </w:r>
          </w:p>
        </w:tc>
        <w:tc>
          <w:tcPr>
            <w:tcW w:w="3192" w:type="dxa"/>
            <w:tcBorders>
              <w:bottom w:val="single" w:color="auto" w:sz="4" w:space="0"/>
            </w:tcBorders>
            <w:shd w:val="clear" w:color="auto" w:fill="auto"/>
          </w:tcPr>
          <w:p w:rsidRPr="008B1BEE" w:rsidR="002225BC" w:rsidP="008B1BEE" w:rsidRDefault="002225BC">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Target Completed Cases</w:t>
            </w:r>
          </w:p>
        </w:tc>
        <w:tc>
          <w:tcPr>
            <w:tcW w:w="3192" w:type="dxa"/>
            <w:tcBorders>
              <w:bottom w:val="single" w:color="auto" w:sz="4" w:space="0"/>
            </w:tcBorders>
            <w:shd w:val="clear" w:color="auto" w:fill="auto"/>
          </w:tcPr>
          <w:p w:rsidRPr="008B1BEE" w:rsidR="002225BC" w:rsidP="008B1BEE" w:rsidRDefault="002225BC">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95% CI Estimate</w:t>
            </w:r>
          </w:p>
        </w:tc>
      </w:tr>
      <w:tr w:rsidRPr="008B1BEE" w:rsidR="002225BC" w:rsidTr="00764FFB">
        <w:tc>
          <w:tcPr>
            <w:tcW w:w="3192" w:type="dxa"/>
            <w:tcBorders>
              <w:top w:val="single" w:color="auto" w:sz="4" w:space="0"/>
              <w:bottom w:val="single" w:color="auto" w:sz="4" w:space="0"/>
            </w:tcBorders>
            <w:shd w:val="clear" w:color="auto" w:fill="auto"/>
          </w:tcPr>
          <w:p w:rsidRPr="008B1BEE" w:rsidR="002225BC" w:rsidP="008B1BEE" w:rsidRDefault="002225BC">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Total (all modes)</w:t>
            </w:r>
          </w:p>
        </w:tc>
        <w:tc>
          <w:tcPr>
            <w:tcW w:w="3192" w:type="dxa"/>
            <w:tcBorders>
              <w:top w:val="single" w:color="auto" w:sz="4" w:space="0"/>
              <w:bottom w:val="single" w:color="auto" w:sz="4" w:space="0"/>
            </w:tcBorders>
            <w:shd w:val="clear" w:color="auto" w:fill="auto"/>
          </w:tcPr>
          <w:p w:rsidRPr="008B1BEE" w:rsidR="002225BC" w:rsidP="008B1BEE" w:rsidRDefault="002225BC">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10,000</w:t>
            </w:r>
          </w:p>
        </w:tc>
        <w:tc>
          <w:tcPr>
            <w:tcW w:w="3192" w:type="dxa"/>
            <w:tcBorders>
              <w:top w:val="single" w:color="auto" w:sz="4" w:space="0"/>
              <w:bottom w:val="single" w:color="auto" w:sz="4" w:space="0"/>
            </w:tcBorders>
            <w:shd w:val="clear" w:color="auto" w:fill="auto"/>
          </w:tcPr>
          <w:p w:rsidRPr="008B1BEE" w:rsidR="002225BC" w:rsidP="008B1BEE" w:rsidRDefault="00490632">
            <w:pPr>
              <w:pStyle w:val="NormalWeb"/>
              <w:numPr>
                <w:ilvl w:val="12"/>
                <w:numId w:val="0"/>
              </w:numPr>
              <w:tabs>
                <w:tab w:val="left" w:pos="180"/>
                <w:tab w:val="left" w:pos="540"/>
              </w:tabs>
              <w:spacing w:before="0" w:after="0"/>
              <w:jc w:val="right"/>
              <w:rPr>
                <w:rFonts w:ascii="Times New Roman" w:eastAsia="SimSun"/>
                <w:b/>
                <w:lang w:eastAsia="zh-CN"/>
              </w:rPr>
            </w:pPr>
            <w:r w:rsidRPr="008B1BEE">
              <w:rPr>
                <w:rFonts w:ascii="Times New Roman" w:eastAsia="SimSun"/>
                <w:b/>
                <w:lang w:eastAsia="zh-CN"/>
              </w:rPr>
              <w:t>+/-1.0%</w:t>
            </w:r>
          </w:p>
        </w:tc>
      </w:tr>
      <w:tr w:rsidRPr="008B1BEE" w:rsidR="00F5366F" w:rsidTr="00764FFB">
        <w:tc>
          <w:tcPr>
            <w:tcW w:w="3192" w:type="dxa"/>
            <w:tcBorders>
              <w:top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CATI Total</w:t>
            </w:r>
          </w:p>
        </w:tc>
        <w:tc>
          <w:tcPr>
            <w:tcW w:w="3192" w:type="dxa"/>
            <w:tcBorders>
              <w:top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w:t>
            </w:r>
            <w:r w:rsidRPr="008B1BEE" w:rsidR="00A959A5">
              <w:rPr>
                <w:rFonts w:ascii="Times New Roman" w:eastAsia="SimSun"/>
                <w:lang w:eastAsia="zh-CN"/>
              </w:rPr>
              <w:t>,</w:t>
            </w:r>
            <w:r w:rsidRPr="008B1BEE">
              <w:rPr>
                <w:rFonts w:ascii="Times New Roman" w:eastAsia="SimSun"/>
                <w:lang w:eastAsia="zh-CN"/>
              </w:rPr>
              <w:t>000</w:t>
            </w:r>
          </w:p>
        </w:tc>
        <w:tc>
          <w:tcPr>
            <w:tcW w:w="3192" w:type="dxa"/>
            <w:tcBorders>
              <w:top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+/-2.2%</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CATI Oversample</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CATI EPSEM</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rsidRPr="008B1BEE" w:rsidR="00F5366F" w:rsidTr="00764FFB">
        <w:tc>
          <w:tcPr>
            <w:tcW w:w="3192" w:type="dxa"/>
            <w:tcBorders>
              <w:bottom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Web Panel Total</w:t>
            </w:r>
          </w:p>
        </w:tc>
        <w:tc>
          <w:tcPr>
            <w:tcW w:w="3192" w:type="dxa"/>
            <w:tcBorders>
              <w:bottom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8</w:t>
            </w:r>
            <w:r w:rsidRPr="008B1BEE" w:rsidR="00A959A5">
              <w:rPr>
                <w:rFonts w:ascii="Times New Roman" w:eastAsia="SimSun"/>
                <w:lang w:eastAsia="zh-CN"/>
              </w:rPr>
              <w:t>,</w:t>
            </w:r>
            <w:r w:rsidRPr="008B1BEE">
              <w:rPr>
                <w:rFonts w:ascii="Times New Roman" w:eastAsia="SimSun"/>
                <w:lang w:eastAsia="zh-CN"/>
              </w:rPr>
              <w:t>000</w:t>
            </w:r>
          </w:p>
        </w:tc>
        <w:tc>
          <w:tcPr>
            <w:tcW w:w="3192" w:type="dxa"/>
            <w:tcBorders>
              <w:bottom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+/-1.1%</w:t>
            </w:r>
          </w:p>
        </w:tc>
      </w:tr>
      <w:tr w:rsidRPr="008B1BEE" w:rsidR="00F5366F" w:rsidTr="00764FFB">
        <w:tc>
          <w:tcPr>
            <w:tcW w:w="3192" w:type="dxa"/>
            <w:tcBorders>
              <w:top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Race/Ethnicity</w:t>
            </w:r>
          </w:p>
        </w:tc>
        <w:tc>
          <w:tcPr>
            <w:tcW w:w="3192" w:type="dxa"/>
            <w:tcBorders>
              <w:top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tcBorders>
              <w:top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White</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6</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+/-1.3%</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Black</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Hispanic</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Asian</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Native American</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+/-3.1%</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Age Group</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18-34</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w:t>
            </w:r>
            <w:r w:rsidRPr="008B1BEE" w:rsidR="00A959A5">
              <w:rPr>
                <w:rFonts w:ascii="Times New Roman" w:eastAsia="SimSun"/>
                <w:lang w:eastAsia="zh-CN"/>
              </w:rPr>
              <w:t>,</w:t>
            </w:r>
            <w:r w:rsidRPr="008B1BEE">
              <w:rPr>
                <w:rFonts w:ascii="Times New Roman" w:eastAsia="SimSun"/>
                <w:lang w:eastAsia="zh-CN"/>
              </w:rPr>
              <w:t>840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35-54</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w:t>
            </w:r>
            <w:r w:rsidRPr="008B1BEE" w:rsidR="00A959A5">
              <w:rPr>
                <w:rFonts w:ascii="Times New Roman" w:eastAsia="SimSun"/>
                <w:lang w:eastAsia="zh-CN"/>
              </w:rPr>
              <w:t>,</w:t>
            </w:r>
            <w:r w:rsidRPr="008B1BEE">
              <w:rPr>
                <w:rFonts w:ascii="Times New Roman" w:eastAsia="SimSun"/>
                <w:lang w:eastAsia="zh-CN"/>
              </w:rPr>
              <w:t>290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+/-1.7%</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55-64</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w:t>
            </w:r>
            <w:r w:rsidRPr="008B1BEE" w:rsidR="00A959A5">
              <w:rPr>
                <w:rFonts w:ascii="Times New Roman" w:eastAsia="SimSun"/>
                <w:lang w:eastAsia="zh-CN"/>
              </w:rPr>
              <w:t>,</w:t>
            </w:r>
            <w:r w:rsidRPr="008B1BEE">
              <w:rPr>
                <w:rFonts w:ascii="Times New Roman" w:eastAsia="SimSun"/>
                <w:lang w:eastAsia="zh-CN"/>
              </w:rPr>
              <w:t>350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+/-2.0%</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65 and over</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w:t>
            </w:r>
            <w:r w:rsidRPr="008B1BEE" w:rsidR="00A959A5">
              <w:rPr>
                <w:rFonts w:ascii="Times New Roman" w:eastAsia="SimSun"/>
                <w:lang w:eastAsia="zh-CN"/>
              </w:rPr>
              <w:t>,</w:t>
            </w:r>
            <w:r w:rsidRPr="008B1BEE">
              <w:rPr>
                <w:rFonts w:ascii="Times New Roman" w:eastAsia="SimSun"/>
                <w:lang w:eastAsia="zh-CN"/>
              </w:rPr>
              <w:t>520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+/-2.5%</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Education*</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High School</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w:t>
            </w:r>
            <w:r w:rsidRPr="008B1BEE" w:rsidR="00A959A5">
              <w:rPr>
                <w:rFonts w:ascii="Times New Roman" w:eastAsia="SimSun"/>
                <w:lang w:eastAsia="zh-CN"/>
              </w:rPr>
              <w:t>,</w:t>
            </w:r>
            <w:r w:rsidRPr="008B1BEE">
              <w:rPr>
                <w:rFonts w:ascii="Times New Roman" w:eastAsia="SimSun"/>
                <w:lang w:eastAsia="zh-CN"/>
              </w:rPr>
              <w:t>500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+/-1.7%</w:t>
            </w:r>
          </w:p>
        </w:tc>
      </w:tr>
      <w:tr w:rsidRPr="008B1BEE" w:rsidR="00F5366F" w:rsidTr="00764FFB">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Some College</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w:t>
            </w:r>
            <w:r w:rsidRPr="008B1BEE" w:rsidR="00A959A5">
              <w:rPr>
                <w:rFonts w:ascii="Times New Roman" w:eastAsia="SimSun"/>
                <w:lang w:eastAsia="zh-CN"/>
              </w:rPr>
              <w:t>,</w:t>
            </w:r>
            <w:r w:rsidRPr="008B1BEE">
              <w:rPr>
                <w:rFonts w:ascii="Times New Roman" w:eastAsia="SimSun"/>
                <w:lang w:eastAsia="zh-CN"/>
              </w:rPr>
              <w:t>000</w:t>
            </w:r>
          </w:p>
        </w:tc>
        <w:tc>
          <w:tcPr>
            <w:tcW w:w="3192" w:type="dxa"/>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r w:rsidRPr="008B1BEE" w:rsidR="00F5366F" w:rsidTr="00764FFB">
        <w:tc>
          <w:tcPr>
            <w:tcW w:w="3192" w:type="dxa"/>
            <w:tcBorders>
              <w:bottom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  College Graduate</w:t>
            </w:r>
          </w:p>
        </w:tc>
        <w:tc>
          <w:tcPr>
            <w:tcW w:w="3192" w:type="dxa"/>
            <w:tcBorders>
              <w:bottom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3</w:t>
            </w:r>
            <w:r w:rsidRPr="008B1BEE" w:rsidR="00A959A5">
              <w:rPr>
                <w:rFonts w:ascii="Times New Roman" w:eastAsia="SimSun"/>
                <w:lang w:eastAsia="zh-CN"/>
              </w:rPr>
              <w:t>,</w:t>
            </w:r>
            <w:r w:rsidRPr="008B1BEE">
              <w:rPr>
                <w:rFonts w:ascii="Times New Roman" w:eastAsia="SimSun"/>
                <w:lang w:eastAsia="zh-CN"/>
              </w:rPr>
              <w:t>000</w:t>
            </w:r>
          </w:p>
        </w:tc>
        <w:tc>
          <w:tcPr>
            <w:tcW w:w="3192" w:type="dxa"/>
            <w:tcBorders>
              <w:bottom w:val="single" w:color="auto" w:sz="4" w:space="0"/>
            </w:tcBorders>
            <w:shd w:val="clear" w:color="auto" w:fill="auto"/>
          </w:tcPr>
          <w:p w:rsidRPr="008B1BEE" w:rsidR="00F5366F" w:rsidP="008B1BEE" w:rsidRDefault="00F5366F">
            <w:pPr>
              <w:pStyle w:val="NormalWeb"/>
              <w:numPr>
                <w:ilvl w:val="12"/>
                <w:numId w:val="0"/>
              </w:numPr>
              <w:tabs>
                <w:tab w:val="left" w:pos="180"/>
                <w:tab w:val="left" w:pos="540"/>
              </w:tabs>
              <w:spacing w:before="0" w:after="0"/>
              <w:jc w:val="right"/>
              <w:rPr>
                <w:rFonts w:ascii="Times New Roman" w:eastAsia="SimSun"/>
                <w:lang w:eastAsia="zh-CN"/>
              </w:rPr>
            </w:pPr>
            <w:r w:rsidRPr="008B1BEE">
              <w:rPr>
                <w:rFonts w:ascii="Times New Roman" w:eastAsia="SimSun"/>
                <w:lang w:eastAsia="zh-CN"/>
              </w:rPr>
              <w:t>+/-1.8%</w:t>
            </w:r>
          </w:p>
        </w:tc>
      </w:tr>
    </w:tbl>
    <w:p w:rsidRPr="008B1BEE" w:rsidR="002225BC" w:rsidP="008B1BEE" w:rsidRDefault="00787CB8">
      <w:pPr>
        <w:pStyle w:val="NormalWeb"/>
        <w:tabs>
          <w:tab w:val="left" w:pos="180"/>
          <w:tab w:val="left" w:pos="540"/>
        </w:tabs>
        <w:spacing w:before="0" w:after="0"/>
        <w:rPr>
          <w:rFonts w:ascii="Times New Roman" w:eastAsia="SimSun"/>
          <w:sz w:val="22"/>
          <w:lang w:eastAsia="zh-CN"/>
        </w:rPr>
      </w:pPr>
      <w:r w:rsidRPr="008B1BEE">
        <w:rPr>
          <w:rFonts w:ascii="Times New Roman" w:eastAsia="SimSun"/>
          <w:sz w:val="22"/>
          <w:lang w:eastAsia="zh-CN"/>
        </w:rPr>
        <w:t xml:space="preserve"> * Sum of education does not add to 10</w:t>
      </w:r>
      <w:r w:rsidRPr="008B1BEE" w:rsidR="00A959A5">
        <w:rPr>
          <w:rFonts w:ascii="Times New Roman" w:eastAsia="SimSun"/>
          <w:sz w:val="22"/>
          <w:lang w:eastAsia="zh-CN"/>
        </w:rPr>
        <w:t>,</w:t>
      </w:r>
      <w:r w:rsidRPr="008B1BEE">
        <w:rPr>
          <w:rFonts w:ascii="Times New Roman" w:eastAsia="SimSun"/>
          <w:sz w:val="22"/>
          <w:lang w:eastAsia="zh-CN"/>
        </w:rPr>
        <w:t xml:space="preserve">000 because not all educational statuses are represented in </w:t>
      </w:r>
      <w:r w:rsidR="003C407B">
        <w:rPr>
          <w:rFonts w:ascii="Times New Roman" w:eastAsia="SimSun"/>
          <w:sz w:val="22"/>
          <w:lang w:eastAsia="zh-CN"/>
        </w:rPr>
        <w:t xml:space="preserve">the </w:t>
      </w:r>
      <w:r w:rsidRPr="008B1BEE">
        <w:rPr>
          <w:rFonts w:ascii="Times New Roman" w:eastAsia="SimSun"/>
          <w:sz w:val="22"/>
          <w:lang w:eastAsia="zh-CN"/>
        </w:rPr>
        <w:t>table.</w:t>
      </w: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lang w:eastAsia="zh-CN"/>
        </w:rPr>
      </w:pP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Weighting of Sample Data</w:t>
      </w: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lang w:eastAsia="zh-CN"/>
        </w:rPr>
      </w:pPr>
    </w:p>
    <w:p w:rsidRPr="008B1BEE" w:rsidR="00383878" w:rsidP="008B1BEE" w:rsidRDefault="00383878">
      <w:pPr>
        <w:rPr>
          <w:color w:val="000000"/>
        </w:rPr>
      </w:pPr>
      <w:r w:rsidRPr="008B1BEE">
        <w:rPr>
          <w:color w:val="000000"/>
        </w:rPr>
        <w:t xml:space="preserve">The complex sample design represented within this study </w:t>
      </w:r>
      <w:r w:rsidRPr="008B1BEE" w:rsidR="00812F38">
        <w:rPr>
          <w:color w:val="000000"/>
        </w:rPr>
        <w:t>will</w:t>
      </w:r>
      <w:r w:rsidRPr="008B1BEE">
        <w:rPr>
          <w:color w:val="000000"/>
        </w:rPr>
        <w:t xml:space="preserve"> require a </w:t>
      </w:r>
      <w:r w:rsidRPr="008B1BEE" w:rsidR="003C407B">
        <w:rPr>
          <w:color w:val="000000"/>
        </w:rPr>
        <w:t>four</w:t>
      </w:r>
      <w:r w:rsidR="003C407B">
        <w:rPr>
          <w:color w:val="000000"/>
        </w:rPr>
        <w:t>-</w:t>
      </w:r>
      <w:r w:rsidRPr="008B1BEE">
        <w:rPr>
          <w:color w:val="000000"/>
        </w:rPr>
        <w:t>stage weighting design: 1) base weights; 2) propensity score adjusted non-response weights; 3) weight trimming, smoothing, and adjustment; and 4) final weights equal to the product of the base weights times the inverse of the propensity score, trimmed and redistributed where excessive and problematic weights are encountered.</w:t>
      </w:r>
    </w:p>
    <w:p w:rsidRPr="008B1BEE" w:rsidR="00383878" w:rsidP="008B1BEE" w:rsidRDefault="00383878">
      <w:pPr>
        <w:rPr>
          <w:color w:val="000000"/>
        </w:rPr>
      </w:pPr>
    </w:p>
    <w:p w:rsidRPr="008B1BEE" w:rsidR="00383878" w:rsidP="008B1BEE" w:rsidRDefault="00383878">
      <w:pPr>
        <w:ind w:left="180" w:hanging="270"/>
        <w:rPr>
          <w:color w:val="000000"/>
        </w:rPr>
      </w:pPr>
      <w:r w:rsidRPr="008B1BEE">
        <w:rPr>
          <w:color w:val="000000"/>
        </w:rPr>
        <w:t xml:space="preserve">1. </w:t>
      </w:r>
      <w:r w:rsidRPr="008B1BEE">
        <w:rPr>
          <w:i/>
          <w:color w:val="000000"/>
        </w:rPr>
        <w:t>Base weights.</w:t>
      </w:r>
      <w:r w:rsidRPr="008B1BEE">
        <w:rPr>
          <w:i/>
        </w:rPr>
        <w:t xml:space="preserve"> </w:t>
      </w:r>
      <w:r w:rsidRPr="008B1BEE">
        <w:rPr>
          <w:color w:val="000000"/>
        </w:rPr>
        <w:t xml:space="preserve"> Base weights are the initial weights assigned to a given potential respondent in the sample. </w:t>
      </w:r>
      <w:r w:rsidRPr="008B1BEE" w:rsidR="00146044">
        <w:rPr>
          <w:color w:val="000000"/>
        </w:rPr>
        <w:t xml:space="preserve"> </w:t>
      </w:r>
      <w:r w:rsidRPr="008B1BEE">
        <w:rPr>
          <w:color w:val="000000"/>
        </w:rPr>
        <w:t xml:space="preserve">These weights are calculated as the inverse of the probability of selection for a given individual from within the population, by strata. </w:t>
      </w:r>
      <w:r w:rsidRPr="008B1BEE" w:rsidR="00146044">
        <w:rPr>
          <w:color w:val="000000"/>
        </w:rPr>
        <w:t xml:space="preserve"> </w:t>
      </w:r>
      <w:r w:rsidRPr="008B1BEE">
        <w:rPr>
          <w:color w:val="000000"/>
        </w:rPr>
        <w:t xml:space="preserve">Base weights essentially represent the number of people that a given person within the sample initially represents. </w:t>
      </w:r>
      <w:r w:rsidRPr="008B1BEE" w:rsidR="00146044">
        <w:rPr>
          <w:color w:val="000000"/>
        </w:rPr>
        <w:t xml:space="preserve"> </w:t>
      </w:r>
      <w:r w:rsidRPr="008B1BEE">
        <w:rPr>
          <w:color w:val="000000"/>
        </w:rPr>
        <w:t xml:space="preserve">Given a random draw of individuals, the sample population is representative of the population as a whole once </w:t>
      </w:r>
      <w:r w:rsidRPr="008B1BEE" w:rsidR="00B42A4C">
        <w:rPr>
          <w:color w:val="000000"/>
        </w:rPr>
        <w:t xml:space="preserve">we apply the </w:t>
      </w:r>
      <w:r w:rsidRPr="008B1BEE">
        <w:rPr>
          <w:color w:val="000000"/>
        </w:rPr>
        <w:t xml:space="preserve">weights with the base weights summing to strata and population totals. </w:t>
      </w:r>
    </w:p>
    <w:p w:rsidRPr="008B1BEE" w:rsidR="00383878" w:rsidP="008B1BEE" w:rsidRDefault="00383878">
      <w:pPr>
        <w:ind w:left="180" w:hanging="270"/>
        <w:rPr>
          <w:color w:val="000000"/>
        </w:rPr>
      </w:pPr>
    </w:p>
    <w:p w:rsidRPr="008B1BEE" w:rsidR="00383878" w:rsidP="008B1BEE" w:rsidRDefault="00383878">
      <w:pPr>
        <w:ind w:left="180" w:hanging="270"/>
        <w:rPr>
          <w:color w:val="000000"/>
        </w:rPr>
      </w:pPr>
      <w:r w:rsidRPr="008B1BEE">
        <w:rPr>
          <w:color w:val="000000"/>
        </w:rPr>
        <w:lastRenderedPageBreak/>
        <w:t xml:space="preserve">2. </w:t>
      </w:r>
      <w:r w:rsidRPr="008B1BEE">
        <w:rPr>
          <w:i/>
          <w:color w:val="000000"/>
        </w:rPr>
        <w:t>Propensity Score adjusted Non-response weights.</w:t>
      </w:r>
      <w:r w:rsidRPr="008B1BEE">
        <w:rPr>
          <w:i/>
        </w:rPr>
        <w:t xml:space="preserve"> </w:t>
      </w:r>
      <w:r w:rsidRPr="008B1BEE">
        <w:rPr>
          <w:color w:val="000000"/>
        </w:rPr>
        <w:t xml:space="preserve"> Although the base sample weight adjusts for varying probabilities of selection, all studies experience differential non-response across strata. </w:t>
      </w:r>
      <w:r w:rsidRPr="008B1BEE" w:rsidR="00146044">
        <w:rPr>
          <w:color w:val="000000"/>
        </w:rPr>
        <w:t xml:space="preserve"> </w:t>
      </w:r>
      <w:r w:rsidRPr="008B1BEE">
        <w:rPr>
          <w:color w:val="000000"/>
        </w:rPr>
        <w:t xml:space="preserve">To minimize potential bias in results, this differential response requires a post-field non-response weight to be calculated, to bring the final collected sample back to representing the original population. </w:t>
      </w:r>
      <w:r w:rsidRPr="008B1BEE" w:rsidR="00146044">
        <w:rPr>
          <w:color w:val="000000"/>
        </w:rPr>
        <w:t xml:space="preserve"> The </w:t>
      </w:r>
      <w:r w:rsidRPr="008B1BEE" w:rsidR="005C5C85">
        <w:rPr>
          <w:color w:val="000000"/>
        </w:rPr>
        <w:t xml:space="preserve">design and analysis </w:t>
      </w:r>
      <w:r w:rsidRPr="008B1BEE">
        <w:rPr>
          <w:color w:val="000000"/>
        </w:rPr>
        <w:t xml:space="preserve">will </w:t>
      </w:r>
      <w:r w:rsidRPr="008B1BEE" w:rsidR="005C5C85">
        <w:rPr>
          <w:color w:val="000000"/>
        </w:rPr>
        <w:t xml:space="preserve">be based on </w:t>
      </w:r>
      <w:r w:rsidRPr="008B1BEE">
        <w:rPr>
          <w:color w:val="000000"/>
        </w:rPr>
        <w:t xml:space="preserve">the generally accepted statistical practice of logistic regression to estimate propensity scores for respondents controlling for known factors among both the respondents and non-respondents. </w:t>
      </w:r>
      <w:r w:rsidRPr="008B1BEE" w:rsidR="00146044">
        <w:rPr>
          <w:color w:val="000000"/>
        </w:rPr>
        <w:t xml:space="preserve"> </w:t>
      </w:r>
      <w:r w:rsidRPr="008B1BEE">
        <w:rPr>
          <w:color w:val="000000"/>
        </w:rPr>
        <w:t>The propensity scores represent the probability of a given person to respond to the survey controlling for known socio-demographic characteristics.</w:t>
      </w:r>
    </w:p>
    <w:p w:rsidRPr="008B1BEE" w:rsidR="00383878" w:rsidP="008B1BEE" w:rsidRDefault="00383878">
      <w:pPr>
        <w:ind w:left="180" w:hanging="270"/>
        <w:rPr>
          <w:color w:val="000000"/>
        </w:rPr>
      </w:pPr>
    </w:p>
    <w:p w:rsidRPr="008B1BEE" w:rsidR="00383878" w:rsidP="008B1BEE" w:rsidRDefault="00383878">
      <w:pPr>
        <w:ind w:left="180"/>
        <w:rPr>
          <w:color w:val="000000"/>
        </w:rPr>
      </w:pPr>
      <w:r w:rsidRPr="008B1BEE">
        <w:rPr>
          <w:color w:val="000000"/>
        </w:rPr>
        <w:t xml:space="preserve">The inverse of the propensity scores will be multiplied by the corresponding base weights to bring the respondents in line and be representative of the national population. </w:t>
      </w:r>
      <w:r w:rsidRPr="008B1BEE" w:rsidR="00146044">
        <w:rPr>
          <w:color w:val="000000"/>
        </w:rPr>
        <w:t xml:space="preserve"> </w:t>
      </w:r>
      <w:r w:rsidRPr="008B1BEE">
        <w:rPr>
          <w:color w:val="000000"/>
        </w:rPr>
        <w:t xml:space="preserve">The inclusion of propensity score adjusted weights results in reducing bias within survey results and analyses. </w:t>
      </w:r>
      <w:r w:rsidRPr="008B1BEE" w:rsidR="00146044">
        <w:rPr>
          <w:color w:val="000000"/>
        </w:rPr>
        <w:t xml:space="preserve"> </w:t>
      </w:r>
      <w:r w:rsidRPr="008B1BEE" w:rsidR="00B42A4C">
        <w:rPr>
          <w:color w:val="000000"/>
        </w:rPr>
        <w:t xml:space="preserve">We will employ logistic </w:t>
      </w:r>
      <w:r w:rsidRPr="008B1BEE">
        <w:rPr>
          <w:color w:val="000000"/>
        </w:rPr>
        <w:t xml:space="preserve">regression such as contained in Stata or SUDAAN’s WTADJUST procedure. </w:t>
      </w:r>
      <w:r w:rsidRPr="008B1BEE" w:rsidR="00146044">
        <w:rPr>
          <w:color w:val="000000"/>
        </w:rPr>
        <w:t xml:space="preserve"> </w:t>
      </w:r>
      <w:r w:rsidRPr="008B1BEE">
        <w:rPr>
          <w:color w:val="000000"/>
        </w:rPr>
        <w:t xml:space="preserve">A dichotomous dependent variable is created using respondents and non-respondents (1=responded, 0=non-response) and logistic regression is conducted using variable measures known for both respondents and non-respondents to assess which factors influence differential response rates. </w:t>
      </w:r>
    </w:p>
    <w:p w:rsidRPr="008B1BEE" w:rsidR="00383878" w:rsidP="008B1BEE" w:rsidRDefault="00383878">
      <w:pPr>
        <w:ind w:left="180"/>
        <w:rPr>
          <w:color w:val="000000"/>
        </w:rPr>
      </w:pPr>
    </w:p>
    <w:p w:rsidRPr="008B1BEE" w:rsidR="00383878" w:rsidP="008B1BEE" w:rsidRDefault="00383878">
      <w:pPr>
        <w:ind w:left="180" w:hanging="270"/>
        <w:rPr>
          <w:color w:val="000000"/>
        </w:rPr>
      </w:pPr>
      <w:r w:rsidRPr="008B1BEE">
        <w:rPr>
          <w:color w:val="000000"/>
        </w:rPr>
        <w:t xml:space="preserve">3. </w:t>
      </w:r>
      <w:r w:rsidRPr="008B1BEE">
        <w:rPr>
          <w:i/>
          <w:color w:val="000000"/>
        </w:rPr>
        <w:t>Weight Trimming and Re-distribution.</w:t>
      </w:r>
      <w:r w:rsidRPr="008B1BEE">
        <w:rPr>
          <w:i/>
        </w:rPr>
        <w:t xml:space="preserve"> </w:t>
      </w:r>
      <w:r w:rsidRPr="008B1BEE">
        <w:rPr>
          <w:color w:val="000000"/>
        </w:rPr>
        <w:t xml:space="preserve"> The application of propensity score adjusted non-response weights can lead to a misalignment of populations with some potentially excessive weights which skew the respondent population data. </w:t>
      </w:r>
      <w:r w:rsidRPr="008B1BEE" w:rsidR="00146044">
        <w:rPr>
          <w:color w:val="000000"/>
        </w:rPr>
        <w:t xml:space="preserve"> </w:t>
      </w:r>
      <w:r w:rsidRPr="008B1BEE">
        <w:rPr>
          <w:color w:val="000000"/>
        </w:rPr>
        <w:t xml:space="preserve">To control for this as well as to adjust the weights to ensure they best reflect the populations to which they are to measure, our statisticians will review propensity score adjusted weights to identify excessive outlier weights due to non-sufficient overlap between respondents and non-respondents, small cell size issues, or other factors. </w:t>
      </w:r>
      <w:r w:rsidRPr="008B1BEE" w:rsidR="00146044">
        <w:rPr>
          <w:color w:val="000000"/>
        </w:rPr>
        <w:t xml:space="preserve"> </w:t>
      </w:r>
      <w:r w:rsidRPr="008B1BEE">
        <w:rPr>
          <w:color w:val="000000"/>
        </w:rPr>
        <w:t xml:space="preserve">Boundary weight levels will be set. </w:t>
      </w:r>
      <w:r w:rsidRPr="008B1BEE" w:rsidR="00146044">
        <w:rPr>
          <w:color w:val="000000"/>
        </w:rPr>
        <w:t xml:space="preserve"> </w:t>
      </w:r>
      <w:r w:rsidRPr="008B1BEE">
        <w:rPr>
          <w:color w:val="000000"/>
        </w:rPr>
        <w:t xml:space="preserve">Weights exceeding boundary levels will be reset to boundary level with the difference (amount subtracted from </w:t>
      </w:r>
      <w:r w:rsidR="003C407B">
        <w:rPr>
          <w:color w:val="000000"/>
        </w:rPr>
        <w:t xml:space="preserve">the </w:t>
      </w:r>
      <w:r w:rsidRPr="008B1BEE">
        <w:rPr>
          <w:color w:val="000000"/>
        </w:rPr>
        <w:t>weight) being redistributed among the given strata or across strata cohorts represented by the observation(s) with excessive weights, as appropriate.</w:t>
      </w:r>
    </w:p>
    <w:p w:rsidRPr="008B1BEE" w:rsidR="00383878" w:rsidP="008B1BEE" w:rsidRDefault="00383878">
      <w:pPr>
        <w:ind w:left="180" w:hanging="270"/>
        <w:rPr>
          <w:color w:val="000000"/>
        </w:rPr>
      </w:pPr>
    </w:p>
    <w:p w:rsidRPr="008B1BEE" w:rsidR="00383878" w:rsidP="008B1BEE" w:rsidRDefault="00383878">
      <w:pPr>
        <w:ind w:left="180" w:hanging="270"/>
      </w:pPr>
      <w:r w:rsidRPr="008B1BEE">
        <w:rPr>
          <w:color w:val="000000"/>
        </w:rPr>
        <w:t xml:space="preserve">4. </w:t>
      </w:r>
      <w:r w:rsidRPr="008B1BEE">
        <w:rPr>
          <w:i/>
          <w:color w:val="000000"/>
        </w:rPr>
        <w:t>Final weights.</w:t>
      </w:r>
      <w:r w:rsidRPr="008B1BEE">
        <w:rPr>
          <w:i/>
        </w:rPr>
        <w:t xml:space="preserve"> </w:t>
      </w:r>
      <w:r w:rsidRPr="008B1BEE">
        <w:rPr>
          <w:color w:val="000000"/>
        </w:rPr>
        <w:t xml:space="preserve"> Final weights for each respondent will be calculated as the product of Base weight * inverse of propensity score based non-response weight, trimmed and redistributed, effectively integrating each of the preceding three steps associated with weight generation. </w:t>
      </w:r>
      <w:r w:rsidRPr="008B1BEE" w:rsidR="00146044">
        <w:rPr>
          <w:color w:val="000000"/>
        </w:rPr>
        <w:t xml:space="preserve"> </w:t>
      </w:r>
      <w:r w:rsidRPr="008B1BEE">
        <w:rPr>
          <w:color w:val="000000"/>
        </w:rPr>
        <w:t xml:space="preserve">Once final weights are calculated and applied to the data, survey specific analytical techniques and methods must and will be applied. </w:t>
      </w:r>
      <w:r w:rsidRPr="008B1BEE" w:rsidR="00146044">
        <w:rPr>
          <w:color w:val="000000"/>
        </w:rPr>
        <w:t xml:space="preserve"> </w:t>
      </w:r>
      <w:r w:rsidRPr="008B1BEE">
        <w:rPr>
          <w:color w:val="000000"/>
        </w:rPr>
        <w:t xml:space="preserve">The survey specific techniques help minimize potential bias, account for within strata correlation, and reduce </w:t>
      </w:r>
      <w:r w:rsidR="003C407B">
        <w:rPr>
          <w:color w:val="000000"/>
        </w:rPr>
        <w:t xml:space="preserve">the </w:t>
      </w:r>
      <w:r w:rsidRPr="008B1BEE">
        <w:rPr>
          <w:color w:val="000000"/>
        </w:rPr>
        <w:t xml:space="preserve">likelihood of overstating </w:t>
      </w:r>
      <w:r w:rsidR="003C407B">
        <w:rPr>
          <w:color w:val="000000"/>
        </w:rPr>
        <w:t xml:space="preserve">the </w:t>
      </w:r>
      <w:r w:rsidRPr="008B1BEE">
        <w:rPr>
          <w:color w:val="000000"/>
        </w:rPr>
        <w:t xml:space="preserve">significance of results. </w:t>
      </w:r>
      <w:r w:rsidRPr="008B1BEE" w:rsidR="00146044">
        <w:rPr>
          <w:color w:val="000000"/>
        </w:rPr>
        <w:t xml:space="preserve"> </w:t>
      </w:r>
      <w:r w:rsidRPr="008B1BEE">
        <w:rPr>
          <w:color w:val="000000"/>
        </w:rPr>
        <w:t xml:space="preserve">The survey specific analysis techniques incorporate the complex survey design and weighting scheme contained within the NSODAP survey design. </w:t>
      </w:r>
    </w:p>
    <w:p w:rsidRPr="008B1BEE" w:rsidR="00383878" w:rsidP="008B1BEE" w:rsidRDefault="00383878">
      <w:pPr>
        <w:pStyle w:val="NormalWeb"/>
        <w:numPr>
          <w:ilvl w:val="12"/>
          <w:numId w:val="0"/>
        </w:numPr>
        <w:tabs>
          <w:tab w:val="left" w:pos="180"/>
          <w:tab w:val="left" w:pos="540"/>
        </w:tabs>
        <w:spacing w:before="0" w:after="0"/>
        <w:rPr>
          <w:rFonts w:ascii="Times New Roman" w:eastAsia="SimSun"/>
          <w:b/>
          <w:lang w:eastAsia="zh-CN"/>
        </w:rPr>
      </w:pPr>
    </w:p>
    <w:p w:rsidR="008B1BEE" w:rsidP="008B1BEE" w:rsidRDefault="008B1BEE">
      <w:pPr>
        <w:pStyle w:val="NormalWeb"/>
        <w:numPr>
          <w:ilvl w:val="12"/>
          <w:numId w:val="0"/>
        </w:numPr>
        <w:tabs>
          <w:tab w:val="left" w:pos="180"/>
          <w:tab w:val="left" w:pos="540"/>
        </w:tabs>
        <w:spacing w:before="0" w:after="0"/>
        <w:rPr>
          <w:rFonts w:ascii="Times New Roman" w:eastAsia="SimSun"/>
          <w:b/>
          <w:lang w:eastAsia="zh-CN"/>
        </w:rPr>
      </w:pPr>
    </w:p>
    <w:p w:rsidR="008B1BEE" w:rsidP="008B1BEE" w:rsidRDefault="008B1BEE">
      <w:pPr>
        <w:pStyle w:val="NormalWeb"/>
        <w:numPr>
          <w:ilvl w:val="12"/>
          <w:numId w:val="0"/>
        </w:numPr>
        <w:tabs>
          <w:tab w:val="left" w:pos="180"/>
          <w:tab w:val="left" w:pos="540"/>
        </w:tabs>
        <w:spacing w:before="0" w:after="0"/>
        <w:rPr>
          <w:rFonts w:ascii="Times New Roman" w:eastAsia="SimSun"/>
          <w:b/>
          <w:lang w:eastAsia="zh-CN"/>
        </w:rPr>
      </w:pP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lang w:eastAsia="zh-CN"/>
        </w:rPr>
      </w:pPr>
      <w:r w:rsidRPr="008B1BEE">
        <w:rPr>
          <w:rFonts w:ascii="Times New Roman" w:eastAsia="SimSun"/>
          <w:b/>
          <w:lang w:eastAsia="zh-CN"/>
        </w:rPr>
        <w:t>Non-Response and Mode Analysis</w:t>
      </w:r>
    </w:p>
    <w:p w:rsidRPr="008B1BEE" w:rsidR="00EC5061" w:rsidP="008B1BEE" w:rsidRDefault="00EC5061">
      <w:pPr>
        <w:pStyle w:val="NormalWeb"/>
        <w:numPr>
          <w:ilvl w:val="12"/>
          <w:numId w:val="0"/>
        </w:numPr>
        <w:tabs>
          <w:tab w:val="left" w:pos="180"/>
          <w:tab w:val="left" w:pos="540"/>
        </w:tabs>
        <w:spacing w:before="0" w:after="0"/>
        <w:rPr>
          <w:rFonts w:ascii="Times New Roman" w:eastAsia="SimSun"/>
          <w:b/>
          <w:lang w:eastAsia="zh-CN"/>
        </w:rPr>
      </w:pPr>
    </w:p>
    <w:p w:rsidRPr="008B1BEE" w:rsidR="00EC5061" w:rsidP="008B1BEE" w:rsidRDefault="00CA40D3">
      <w:pPr>
        <w:pStyle w:val="NormalWeb"/>
        <w:numPr>
          <w:ilvl w:val="12"/>
          <w:numId w:val="0"/>
        </w:numPr>
        <w:tabs>
          <w:tab w:val="left" w:pos="180"/>
          <w:tab w:val="left" w:pos="540"/>
        </w:tabs>
        <w:spacing w:before="0" w:after="0"/>
        <w:rPr>
          <w:rFonts w:ascii="Times New Roman" w:eastAsia="SimSun"/>
          <w:lang w:eastAsia="zh-CN"/>
        </w:rPr>
      </w:pPr>
      <w:r>
        <w:rPr>
          <w:rFonts w:ascii="Times New Roman" w:eastAsia="SimSun"/>
          <w:lang w:eastAsia="zh-CN"/>
        </w:rPr>
        <w:t>HRSA uses s</w:t>
      </w:r>
      <w:r w:rsidRPr="008B1BEE" w:rsidR="00383878">
        <w:rPr>
          <w:rFonts w:ascii="Times New Roman" w:eastAsia="SimSun"/>
          <w:lang w:eastAsia="zh-CN"/>
        </w:rPr>
        <w:t>urvey based estimates for this study to minimize any potential bias that may be associated with</w:t>
      </w:r>
      <w:r w:rsidR="003C407B">
        <w:rPr>
          <w:rFonts w:ascii="Times New Roman" w:eastAsia="SimSun"/>
          <w:lang w:eastAsia="zh-CN"/>
        </w:rPr>
        <w:t xml:space="preserve"> a</w:t>
      </w:r>
      <w:r w:rsidRPr="008B1BEE" w:rsidR="00383878">
        <w:rPr>
          <w:rFonts w:ascii="Times New Roman" w:eastAsia="SimSun"/>
          <w:lang w:eastAsia="zh-CN"/>
        </w:rPr>
        <w:t xml:space="preserve"> unit level non-response. </w:t>
      </w:r>
      <w:r w:rsidRPr="008B1BEE" w:rsidR="00146044">
        <w:rPr>
          <w:rFonts w:ascii="Times New Roman" w:eastAsia="SimSun"/>
          <w:lang w:eastAsia="zh-CN"/>
        </w:rPr>
        <w:t xml:space="preserve"> </w:t>
      </w:r>
      <w:r w:rsidRPr="008B1BEE" w:rsidR="00383878">
        <w:rPr>
          <w:rFonts w:ascii="Times New Roman" w:eastAsia="SimSun"/>
          <w:lang w:eastAsia="zh-CN"/>
        </w:rPr>
        <w:t>For the ABS survey, high-level demographic information is often associated with the address.</w:t>
      </w:r>
      <w:r w:rsidRPr="008B1BEE" w:rsidR="00146044">
        <w:rPr>
          <w:rFonts w:ascii="Times New Roman" w:eastAsia="SimSun"/>
          <w:lang w:eastAsia="zh-CN"/>
        </w:rPr>
        <w:t xml:space="preserve"> </w:t>
      </w:r>
      <w:r w:rsidRPr="008B1BEE" w:rsidR="00383878">
        <w:rPr>
          <w:rFonts w:ascii="Times New Roman" w:eastAsia="SimSun"/>
          <w:lang w:eastAsia="zh-CN"/>
        </w:rPr>
        <w:t xml:space="preserve"> In all cases, demographic information is known </w:t>
      </w:r>
      <w:r w:rsidRPr="008B1BEE" w:rsidR="00383878">
        <w:rPr>
          <w:rFonts w:ascii="Times New Roman" w:eastAsia="SimSun"/>
          <w:lang w:eastAsia="zh-CN"/>
        </w:rPr>
        <w:lastRenderedPageBreak/>
        <w:t xml:space="preserve">about the </w:t>
      </w:r>
      <w:r w:rsidRPr="008B1BEE" w:rsidR="00072CDD">
        <w:rPr>
          <w:rFonts w:ascii="Times New Roman" w:eastAsia="SimSun"/>
          <w:lang w:eastAsia="zh-CN"/>
        </w:rPr>
        <w:t>ZIP</w:t>
      </w:r>
      <w:r w:rsidRPr="008B1BEE" w:rsidR="00383878">
        <w:rPr>
          <w:rFonts w:ascii="Times New Roman" w:eastAsia="SimSun"/>
          <w:lang w:eastAsia="zh-CN"/>
        </w:rPr>
        <w:t xml:space="preserve"> code. </w:t>
      </w:r>
      <w:r w:rsidRPr="008B1BEE" w:rsidR="00146044">
        <w:rPr>
          <w:rFonts w:ascii="Times New Roman" w:eastAsia="SimSun"/>
          <w:lang w:eastAsia="zh-CN"/>
        </w:rPr>
        <w:t xml:space="preserve">  </w:t>
      </w:r>
      <w:r w:rsidRPr="008B1BEE" w:rsidR="00383878">
        <w:rPr>
          <w:rFonts w:ascii="Times New Roman" w:eastAsia="SimSun"/>
          <w:lang w:eastAsia="zh-CN"/>
        </w:rPr>
        <w:t xml:space="preserve">Those demographic variables can be used for post-stratification weighting if they are not already included. </w:t>
      </w:r>
      <w:r w:rsidRPr="008B1BEE" w:rsidR="00146044">
        <w:rPr>
          <w:rFonts w:ascii="Times New Roman" w:eastAsia="SimSun"/>
          <w:lang w:eastAsia="zh-CN"/>
        </w:rPr>
        <w:t xml:space="preserve"> </w:t>
      </w:r>
      <w:r w:rsidRPr="008B1BEE" w:rsidR="00383878">
        <w:rPr>
          <w:rFonts w:ascii="Times New Roman" w:eastAsia="SimSun"/>
          <w:lang w:eastAsia="zh-CN"/>
        </w:rPr>
        <w:t xml:space="preserve">In addition, the respondents to the ABS survey may be split into two groups: (i) early or ‘easy to reach’ and (ii) late or ‘difficult to reach’ respondents. </w:t>
      </w:r>
      <w:r w:rsidRPr="008B1BEE" w:rsidR="00146044">
        <w:rPr>
          <w:rFonts w:ascii="Times New Roman" w:eastAsia="SimSun"/>
          <w:lang w:eastAsia="zh-CN"/>
        </w:rPr>
        <w:t xml:space="preserve"> </w:t>
      </w:r>
      <w:r w:rsidRPr="008B1BEE" w:rsidR="00383878">
        <w:rPr>
          <w:rFonts w:ascii="Times New Roman" w:eastAsia="SimSun"/>
          <w:lang w:eastAsia="zh-CN"/>
        </w:rPr>
        <w:t xml:space="preserve">The total number of calls required to complete an interview will be used to identify these groups. </w:t>
      </w:r>
      <w:r w:rsidRPr="008B1BEE" w:rsidR="00146044">
        <w:rPr>
          <w:rFonts w:ascii="Times New Roman" w:eastAsia="SimSun"/>
          <w:lang w:eastAsia="zh-CN"/>
        </w:rPr>
        <w:t xml:space="preserve"> </w:t>
      </w:r>
      <w:r w:rsidRPr="008B1BEE" w:rsidR="00383878">
        <w:rPr>
          <w:rFonts w:ascii="Times New Roman" w:eastAsia="SimSun"/>
          <w:lang w:eastAsia="zh-CN"/>
        </w:rPr>
        <w:t xml:space="preserve">These two groups will be compared based on their responses to selected survey questions. </w:t>
      </w:r>
      <w:r w:rsidRPr="008B1BEE" w:rsidR="00146044">
        <w:rPr>
          <w:rFonts w:ascii="Times New Roman" w:eastAsia="SimSun"/>
          <w:lang w:eastAsia="zh-CN"/>
        </w:rPr>
        <w:t xml:space="preserve"> </w:t>
      </w:r>
      <w:r w:rsidRPr="008B1BEE" w:rsidR="00383878">
        <w:rPr>
          <w:rFonts w:ascii="Times New Roman" w:eastAsia="SimSun"/>
          <w:lang w:eastAsia="zh-CN"/>
        </w:rPr>
        <w:t xml:space="preserve">This comparison will also be based on the assumption that the latter group may in some ways resemble the population of non-respondents. </w:t>
      </w:r>
      <w:r w:rsidRPr="008B1BEE" w:rsidR="00146044">
        <w:rPr>
          <w:rFonts w:ascii="Times New Roman" w:eastAsia="SimSun"/>
          <w:lang w:eastAsia="zh-CN"/>
        </w:rPr>
        <w:t xml:space="preserve"> </w:t>
      </w:r>
      <w:r w:rsidRPr="008B1BEE" w:rsidR="00383878">
        <w:rPr>
          <w:rFonts w:ascii="Times New Roman" w:eastAsia="SimSun"/>
          <w:lang w:eastAsia="zh-CN"/>
        </w:rPr>
        <w:t>The goal of the analysis plan is to assess the nature of the non-response pattern in the survey.</w:t>
      </w:r>
    </w:p>
    <w:p w:rsidRPr="008B1BEE" w:rsidR="00383878" w:rsidP="008B1BEE" w:rsidRDefault="00383878">
      <w:pPr>
        <w:pStyle w:val="NormalWeb"/>
        <w:numPr>
          <w:ilvl w:val="12"/>
          <w:numId w:val="0"/>
        </w:numPr>
        <w:tabs>
          <w:tab w:val="left" w:pos="180"/>
          <w:tab w:val="left" w:pos="540"/>
        </w:tabs>
        <w:spacing w:before="0" w:after="0"/>
        <w:rPr>
          <w:rFonts w:ascii="Times New Roman" w:eastAsia="SimSun"/>
          <w:lang w:eastAsia="zh-CN"/>
        </w:rPr>
      </w:pPr>
    </w:p>
    <w:p w:rsidR="00D047D6" w:rsidP="008B1BEE" w:rsidRDefault="00383878">
      <w:pPr>
        <w:pStyle w:val="NormalWeb"/>
        <w:numPr>
          <w:ilvl w:val="12"/>
          <w:numId w:val="0"/>
        </w:numPr>
        <w:tabs>
          <w:tab w:val="left" w:pos="180"/>
          <w:tab w:val="left" w:pos="540"/>
        </w:tabs>
        <w:spacing w:before="0" w:after="0"/>
        <w:rPr>
          <w:rFonts w:ascii="Times New Roman" w:eastAsia="SimSun"/>
          <w:lang w:eastAsia="zh-CN"/>
        </w:rPr>
      </w:pPr>
      <w:r w:rsidRPr="008B1BEE">
        <w:rPr>
          <w:rFonts w:ascii="Times New Roman" w:eastAsia="SimSun"/>
          <w:lang w:eastAsia="zh-CN"/>
        </w:rPr>
        <w:t xml:space="preserve">Similar to the non-response analysis, </w:t>
      </w:r>
      <w:r w:rsidR="003C407B">
        <w:rPr>
          <w:rFonts w:ascii="Times New Roman" w:eastAsia="SimSun"/>
          <w:lang w:eastAsia="zh-CN"/>
        </w:rPr>
        <w:t xml:space="preserve">a </w:t>
      </w:r>
      <w:r w:rsidR="00CA40D3">
        <w:rPr>
          <w:rFonts w:ascii="Times New Roman" w:eastAsia="SimSun"/>
          <w:lang w:eastAsia="zh-CN"/>
        </w:rPr>
        <w:t xml:space="preserve">cross-mode analysis will be used </w:t>
      </w:r>
      <w:r w:rsidRPr="008B1BEE">
        <w:rPr>
          <w:rFonts w:ascii="Times New Roman" w:eastAsia="SimSun"/>
          <w:lang w:eastAsia="zh-CN"/>
        </w:rPr>
        <w:t xml:space="preserve">to identify potential differences between the ABS phone and web surveys. </w:t>
      </w:r>
      <w:r w:rsidRPr="008B1BEE" w:rsidR="00146044">
        <w:rPr>
          <w:rFonts w:ascii="Times New Roman" w:eastAsia="SimSun"/>
          <w:lang w:eastAsia="zh-CN"/>
        </w:rPr>
        <w:t xml:space="preserve"> </w:t>
      </w:r>
      <w:r w:rsidRPr="008B1BEE">
        <w:rPr>
          <w:rFonts w:ascii="Times New Roman" w:eastAsia="SimSun"/>
          <w:lang w:eastAsia="zh-CN"/>
        </w:rPr>
        <w:t xml:space="preserve">In these cases, scores for key survey outcomes </w:t>
      </w:r>
      <w:r w:rsidR="00CA40D3">
        <w:rPr>
          <w:rFonts w:ascii="Times New Roman" w:eastAsia="SimSun"/>
          <w:lang w:eastAsia="zh-CN"/>
        </w:rPr>
        <w:t>are</w:t>
      </w:r>
      <w:r w:rsidRPr="008B1BEE">
        <w:rPr>
          <w:rFonts w:ascii="Times New Roman" w:eastAsia="SimSun"/>
          <w:lang w:eastAsia="zh-CN"/>
        </w:rPr>
        <w:t xml:space="preserve"> compared across </w:t>
      </w:r>
      <w:r w:rsidRPr="008B1BEE" w:rsidR="00613BA3">
        <w:rPr>
          <w:rFonts w:ascii="Times New Roman" w:eastAsia="SimSun"/>
          <w:lang w:eastAsia="zh-CN"/>
        </w:rPr>
        <w:t>mode</w:t>
      </w:r>
      <w:r w:rsidR="003C407B">
        <w:rPr>
          <w:rFonts w:ascii="Times New Roman" w:eastAsia="SimSun"/>
          <w:lang w:eastAsia="zh-CN"/>
        </w:rPr>
        <w:t>s</w:t>
      </w:r>
      <w:r w:rsidRPr="008B1BEE" w:rsidR="00613BA3">
        <w:rPr>
          <w:rFonts w:ascii="Times New Roman" w:eastAsia="SimSun"/>
          <w:lang w:eastAsia="zh-CN"/>
        </w:rPr>
        <w:t xml:space="preserve"> by </w:t>
      </w:r>
      <w:r w:rsidRPr="008B1BEE">
        <w:rPr>
          <w:rFonts w:ascii="Times New Roman" w:eastAsia="SimSun"/>
          <w:lang w:eastAsia="zh-CN"/>
        </w:rPr>
        <w:t>every key demographic variable, including race</w:t>
      </w:r>
      <w:r w:rsidRPr="008B1BEE" w:rsidR="00613BA3">
        <w:rPr>
          <w:rFonts w:ascii="Times New Roman" w:eastAsia="SimSun"/>
          <w:lang w:eastAsia="zh-CN"/>
        </w:rPr>
        <w:t>/ethnicity</w:t>
      </w:r>
      <w:r w:rsidRPr="008B1BEE">
        <w:rPr>
          <w:rFonts w:ascii="Times New Roman" w:eastAsia="SimSun"/>
          <w:lang w:eastAsia="zh-CN"/>
        </w:rPr>
        <w:t xml:space="preserve">, gender, </w:t>
      </w:r>
      <w:r w:rsidRPr="008B1BEE" w:rsidR="00613BA3">
        <w:rPr>
          <w:rFonts w:ascii="Times New Roman" w:eastAsia="SimSun"/>
          <w:lang w:eastAsia="zh-CN"/>
        </w:rPr>
        <w:t xml:space="preserve">age group, income level, and education level. </w:t>
      </w:r>
      <w:r w:rsidRPr="008B1BEE" w:rsidR="00146044">
        <w:rPr>
          <w:rFonts w:ascii="Times New Roman" w:eastAsia="SimSun"/>
          <w:lang w:eastAsia="zh-CN"/>
        </w:rPr>
        <w:t xml:space="preserve"> </w:t>
      </w:r>
      <w:r w:rsidRPr="008B1BEE" w:rsidR="00613BA3">
        <w:rPr>
          <w:rFonts w:ascii="Times New Roman" w:eastAsia="SimSun"/>
          <w:lang w:eastAsia="zh-CN"/>
        </w:rPr>
        <w:t xml:space="preserve">In any cases where a significant difference is found, the difference will be noted. </w:t>
      </w:r>
      <w:r w:rsidRPr="008B1BEE" w:rsidR="00146044">
        <w:rPr>
          <w:rFonts w:ascii="Times New Roman" w:eastAsia="SimSun"/>
          <w:lang w:eastAsia="zh-CN"/>
        </w:rPr>
        <w:t xml:space="preserve"> </w:t>
      </w:r>
      <w:r w:rsidRPr="008B1BEE" w:rsidR="00613BA3">
        <w:rPr>
          <w:rFonts w:ascii="Times New Roman" w:eastAsia="SimSun"/>
          <w:lang w:eastAsia="zh-CN"/>
        </w:rPr>
        <w:t>This will allow the calculation of a “corrected” score to make phone and web samples equivalent, preserving comparability with prior versions of the survey.</w:t>
      </w:r>
    </w:p>
    <w:p w:rsidRPr="008B1BEE" w:rsidR="008B1BEE" w:rsidP="008B1BEE" w:rsidRDefault="008B1BEE">
      <w:pPr>
        <w:pStyle w:val="NormalWeb"/>
        <w:numPr>
          <w:ilvl w:val="12"/>
          <w:numId w:val="0"/>
        </w:numPr>
        <w:tabs>
          <w:tab w:val="left" w:pos="180"/>
          <w:tab w:val="left" w:pos="540"/>
        </w:tabs>
        <w:spacing w:before="0" w:after="0"/>
        <w:rPr>
          <w:rFonts w:ascii="Times New Roman" w:eastAsia="SimSun"/>
          <w:lang w:eastAsia="zh-CN"/>
        </w:rPr>
      </w:pPr>
    </w:p>
    <w:p w:rsidRPr="008B1BEE" w:rsidR="00B4249C" w:rsidP="008B1BEE" w:rsidRDefault="00B4249C">
      <w:pPr>
        <w:rPr>
          <w:b/>
          <w:bCs/>
        </w:rPr>
      </w:pPr>
      <w:r w:rsidRPr="008B1BEE">
        <w:rPr>
          <w:b/>
          <w:bCs/>
        </w:rPr>
        <w:t>2. Procedures for the Collection of Information</w:t>
      </w:r>
    </w:p>
    <w:p w:rsidRPr="008B1BEE" w:rsidR="00E6509E" w:rsidP="008B1BEE" w:rsidRDefault="00E6509E"/>
    <w:p w:rsidRPr="008B1BEE" w:rsidR="00E6509E" w:rsidP="008B1BEE" w:rsidRDefault="00E6509E">
      <w:pPr>
        <w:rPr>
          <w:rFonts w:eastAsia="Times New Roman"/>
          <w:lang w:eastAsia="en-US"/>
        </w:rPr>
      </w:pPr>
      <w:r w:rsidRPr="008B1BEE">
        <w:t>The mode of data collection will be telephone based on a CATI system</w:t>
      </w:r>
      <w:r w:rsidRPr="008B1BEE" w:rsidR="00D047D6">
        <w:t xml:space="preserve"> and web panel</w:t>
      </w:r>
      <w:r w:rsidRPr="008B1BEE">
        <w:t xml:space="preserve">. </w:t>
      </w:r>
      <w:r w:rsidRPr="008B1BEE" w:rsidR="008B37D7">
        <w:t xml:space="preserve"> </w:t>
      </w:r>
      <w:r w:rsidR="00CA40D3">
        <w:t xml:space="preserve">The plan is to </w:t>
      </w:r>
      <w:r w:rsidRPr="008B1BEE" w:rsidR="00B42A4C">
        <w:t xml:space="preserve">conduct phone </w:t>
      </w:r>
      <w:r w:rsidRPr="008B1BEE" w:rsidR="00D047D6">
        <w:t>i</w:t>
      </w:r>
      <w:r w:rsidRPr="008B1BEE">
        <w:rPr>
          <w:rFonts w:eastAsia="Times New Roman"/>
          <w:lang w:eastAsia="en-US"/>
        </w:rPr>
        <w:t>nterviewing during weekday evenings and on weekends to increase the likelihood of finding respondents at home.</w:t>
      </w:r>
      <w:r w:rsidRPr="008B1BEE" w:rsidR="008B37D7">
        <w:rPr>
          <w:rFonts w:eastAsia="Times New Roman"/>
          <w:lang w:eastAsia="en-US"/>
        </w:rPr>
        <w:t xml:space="preserve"> </w:t>
      </w:r>
      <w:r w:rsidRPr="008B1BEE">
        <w:rPr>
          <w:rFonts w:eastAsia="Times New Roman"/>
          <w:lang w:eastAsia="en-US"/>
        </w:rPr>
        <w:t xml:space="preserve"> A 5 plus 5 call design (up to five calls to establish human contact and then a maximum of five calls to complete the interview with the selected respondent) will be employed. </w:t>
      </w:r>
      <w:r w:rsidRPr="008B1BEE" w:rsidR="008B37D7">
        <w:rPr>
          <w:rFonts w:eastAsia="Times New Roman"/>
          <w:lang w:eastAsia="en-US"/>
        </w:rPr>
        <w:t xml:space="preserve"> </w:t>
      </w:r>
      <w:r w:rsidR="00CA40D3">
        <w:rPr>
          <w:rFonts w:eastAsia="Times New Roman"/>
          <w:lang w:eastAsia="en-US"/>
        </w:rPr>
        <w:t xml:space="preserve">The plan is to </w:t>
      </w:r>
      <w:r w:rsidRPr="008B1BEE" w:rsidR="00B42A4C">
        <w:rPr>
          <w:rFonts w:eastAsia="Times New Roman"/>
          <w:lang w:eastAsia="en-US"/>
        </w:rPr>
        <w:t xml:space="preserve">call back respondents </w:t>
      </w:r>
      <w:r w:rsidRPr="008B1BEE">
        <w:rPr>
          <w:rFonts w:eastAsia="Times New Roman"/>
          <w:lang w:eastAsia="en-US"/>
        </w:rPr>
        <w:t xml:space="preserve">who decline to be interviewed (“soft refusals”) on a different day and </w:t>
      </w:r>
      <w:r w:rsidRPr="008B1BEE" w:rsidR="00361F15">
        <w:rPr>
          <w:rFonts w:eastAsia="Times New Roman"/>
          <w:lang w:eastAsia="en-US"/>
        </w:rPr>
        <w:t>ask again for their participation</w:t>
      </w:r>
      <w:r w:rsidRPr="008B1BEE">
        <w:rPr>
          <w:rFonts w:eastAsia="Times New Roman"/>
          <w:lang w:eastAsia="en-US"/>
        </w:rPr>
        <w:t xml:space="preserve">. </w:t>
      </w:r>
      <w:r w:rsidRPr="008B1BEE" w:rsidR="008B37D7">
        <w:rPr>
          <w:rFonts w:eastAsia="Times New Roman"/>
          <w:lang w:eastAsia="en-US"/>
        </w:rPr>
        <w:t xml:space="preserve"> </w:t>
      </w:r>
      <w:r w:rsidR="00CA40D3">
        <w:rPr>
          <w:rFonts w:eastAsia="Times New Roman"/>
          <w:lang w:eastAsia="en-US"/>
        </w:rPr>
        <w:t>HRSA will</w:t>
      </w:r>
      <w:r w:rsidRPr="008B1BEE" w:rsidR="00B42A4C">
        <w:rPr>
          <w:rFonts w:eastAsia="Times New Roman"/>
          <w:lang w:eastAsia="en-US"/>
        </w:rPr>
        <w:t xml:space="preserve"> conduct the </w:t>
      </w:r>
      <w:r w:rsidRPr="008B1BEE">
        <w:rPr>
          <w:rFonts w:eastAsia="Times New Roman"/>
          <w:lang w:eastAsia="en-US"/>
        </w:rPr>
        <w:t>interviews in English and Spanish.</w:t>
      </w:r>
    </w:p>
    <w:p w:rsidRPr="008B1BEE" w:rsidR="00E6509E" w:rsidP="008B1BEE" w:rsidRDefault="00E6509E">
      <w:pPr>
        <w:rPr>
          <w:rFonts w:eastAsia="Times New Roman"/>
          <w:lang w:eastAsia="en-US"/>
        </w:rPr>
      </w:pPr>
    </w:p>
    <w:p w:rsidR="008B1BEE" w:rsidP="008B1BEE" w:rsidRDefault="008B1BEE">
      <w:pPr>
        <w:ind w:left="360"/>
        <w:rPr>
          <w:b/>
        </w:rPr>
      </w:pPr>
    </w:p>
    <w:p w:rsidRPr="008B1BEE" w:rsidR="00E6509E" w:rsidP="008B1BEE" w:rsidRDefault="00E6509E">
      <w:pPr>
        <w:numPr>
          <w:ilvl w:val="0"/>
          <w:numId w:val="26"/>
        </w:numPr>
        <w:rPr>
          <w:b/>
        </w:rPr>
      </w:pPr>
      <w:r w:rsidRPr="008B1BEE">
        <w:rPr>
          <w:b/>
        </w:rPr>
        <w:t>Methods to Maximize Response Rates</w:t>
      </w:r>
    </w:p>
    <w:p w:rsidRPr="008B1BEE" w:rsidR="00E6509E" w:rsidP="008B1BEE" w:rsidRDefault="00E6509E">
      <w:pPr>
        <w:rPr>
          <w:u w:val="single"/>
        </w:rPr>
      </w:pPr>
    </w:p>
    <w:p w:rsidRPr="008B1BEE" w:rsidR="00E6509E" w:rsidP="008B1BEE" w:rsidRDefault="00E6509E">
      <w:r w:rsidRPr="008B1BEE">
        <w:t xml:space="preserve">To maximize the response rate to the survey, the </w:t>
      </w:r>
      <w:r w:rsidR="00CA40D3">
        <w:t>data collection methodology</w:t>
      </w:r>
      <w:r w:rsidRPr="008B1BEE">
        <w:t xml:space="preserve"> include</w:t>
      </w:r>
      <w:r w:rsidR="00CA40D3">
        <w:t>s</w:t>
      </w:r>
      <w:r w:rsidRPr="008B1BEE">
        <w:t xml:space="preserve"> the following:</w:t>
      </w:r>
    </w:p>
    <w:p w:rsidRPr="008B1BEE" w:rsidR="00E6509E" w:rsidP="008B1BEE" w:rsidRDefault="00E6509E"/>
    <w:p w:rsidRPr="008B1BEE" w:rsidR="00E6509E" w:rsidP="008B1BEE" w:rsidRDefault="00E6509E">
      <w:pPr>
        <w:pStyle w:val="Level1"/>
        <w:numPr>
          <w:ilvl w:val="0"/>
          <w:numId w:val="3"/>
        </w:numPr>
        <w:tabs>
          <w:tab w:val="left" w:pos="-1440"/>
        </w:tabs>
        <w:outlineLvl w:val="9"/>
      </w:pPr>
      <w:r w:rsidRPr="008B1BEE">
        <w:t>Calling up to 10 times to reach a household and complete the interview.</w:t>
      </w:r>
    </w:p>
    <w:p w:rsidRPr="008B1BEE" w:rsidR="00E6509E" w:rsidP="008B1BEE" w:rsidRDefault="00E6509E">
      <w:pPr>
        <w:pStyle w:val="Level1"/>
        <w:numPr>
          <w:ilvl w:val="0"/>
          <w:numId w:val="3"/>
        </w:numPr>
        <w:tabs>
          <w:tab w:val="left" w:pos="-1440"/>
        </w:tabs>
        <w:outlineLvl w:val="9"/>
      </w:pPr>
      <w:r w:rsidRPr="008B1BEE">
        <w:t>Calling at alternate times of the day and on weekends to reach all respondents.</w:t>
      </w:r>
    </w:p>
    <w:p w:rsidRPr="008B1BEE" w:rsidR="00E6509E" w:rsidP="008B1BEE" w:rsidRDefault="00E6509E">
      <w:pPr>
        <w:pStyle w:val="Level1"/>
        <w:numPr>
          <w:ilvl w:val="0"/>
          <w:numId w:val="3"/>
        </w:numPr>
        <w:tabs>
          <w:tab w:val="left" w:pos="-1440"/>
        </w:tabs>
        <w:outlineLvl w:val="9"/>
      </w:pPr>
      <w:r w:rsidRPr="008B1BEE">
        <w:t>Having a carefully designed introduction and promise of confidentiality to increase trust and salience.</w:t>
      </w:r>
    </w:p>
    <w:p w:rsidRPr="008B1BEE" w:rsidR="00E6509E" w:rsidP="008B1BEE" w:rsidRDefault="00E6509E">
      <w:pPr>
        <w:pStyle w:val="Level1"/>
        <w:numPr>
          <w:ilvl w:val="0"/>
          <w:numId w:val="3"/>
        </w:numPr>
        <w:tabs>
          <w:tab w:val="left" w:pos="-1440"/>
        </w:tabs>
        <w:outlineLvl w:val="9"/>
      </w:pPr>
      <w:r w:rsidRPr="008B1BEE">
        <w:t>Having a questionnaire designed to increase completion and minimize item non</w:t>
      </w:r>
      <w:r w:rsidRPr="008B1BEE" w:rsidR="00400632">
        <w:t>-</w:t>
      </w:r>
      <w:r w:rsidRPr="008B1BEE">
        <w:t>response.</w:t>
      </w:r>
    </w:p>
    <w:p w:rsidRPr="008B1BEE" w:rsidR="00E6509E" w:rsidP="008B1BEE" w:rsidRDefault="00E6509E">
      <w:pPr>
        <w:pStyle w:val="Level1"/>
        <w:numPr>
          <w:ilvl w:val="0"/>
          <w:numId w:val="0"/>
        </w:numPr>
        <w:tabs>
          <w:tab w:val="left" w:pos="-1440"/>
        </w:tabs>
        <w:ind w:left="720" w:hanging="720"/>
        <w:outlineLvl w:val="9"/>
      </w:pPr>
    </w:p>
    <w:p w:rsidRPr="008B1BEE" w:rsidR="00B4249C" w:rsidP="008B1BEE" w:rsidRDefault="00B4249C">
      <w:pPr>
        <w:numPr>
          <w:ilvl w:val="0"/>
          <w:numId w:val="26"/>
        </w:numPr>
        <w:rPr>
          <w:b/>
          <w:bCs/>
        </w:rPr>
      </w:pPr>
      <w:r w:rsidRPr="008B1BEE">
        <w:rPr>
          <w:b/>
          <w:bCs/>
        </w:rPr>
        <w:t>Tests of Procedures or Methods to be Undertaken</w:t>
      </w:r>
    </w:p>
    <w:p w:rsidRPr="008B1BEE" w:rsidR="00E6509E" w:rsidP="008B1BEE" w:rsidRDefault="00E6509E"/>
    <w:p w:rsidR="009A40DD" w:rsidP="008B1BEE" w:rsidRDefault="003D273E">
      <w:r w:rsidRPr="008B1BEE">
        <w:t xml:space="preserve">The </w:t>
      </w:r>
      <w:r w:rsidR="00D657CE">
        <w:t xml:space="preserve">next iteration of the national survey will be in line with the 2019 survey.  </w:t>
      </w:r>
      <w:r w:rsidRPr="008B1BEE" w:rsidR="006E4D3F">
        <w:t xml:space="preserve"> </w:t>
      </w:r>
      <w:r w:rsidR="00D657CE">
        <w:t>All the</w:t>
      </w:r>
      <w:r w:rsidRPr="008B1BEE" w:rsidR="006E4D3F">
        <w:t xml:space="preserve"> items </w:t>
      </w:r>
      <w:r w:rsidR="00D657CE">
        <w:t>that will be</w:t>
      </w:r>
      <w:r w:rsidRPr="008B1BEE" w:rsidR="006E4D3F">
        <w:t xml:space="preserve"> included in the </w:t>
      </w:r>
      <w:r w:rsidR="00D657CE">
        <w:t xml:space="preserve">next survey </w:t>
      </w:r>
      <w:r w:rsidRPr="008B1BEE">
        <w:t xml:space="preserve">were included in the </w:t>
      </w:r>
      <w:r w:rsidR="00D657CE">
        <w:t>2019</w:t>
      </w:r>
      <w:r w:rsidRPr="008B1BEE" w:rsidR="00B42A4C">
        <w:t xml:space="preserve"> </w:t>
      </w:r>
      <w:r w:rsidRPr="008B1BEE" w:rsidR="006E4D3F">
        <w:t>survey</w:t>
      </w:r>
      <w:r w:rsidRPr="008B1BEE" w:rsidR="00263866">
        <w:t xml:space="preserve">. </w:t>
      </w:r>
      <w:r w:rsidRPr="008B1BEE" w:rsidR="006E4D3F">
        <w:t xml:space="preserve">  </w:t>
      </w:r>
      <w:r w:rsidRPr="008B1BEE" w:rsidR="008B37D7">
        <w:t xml:space="preserve"> </w:t>
      </w:r>
    </w:p>
    <w:p w:rsidRPr="008B1BEE" w:rsidR="00D657CE" w:rsidP="008B1BEE" w:rsidRDefault="00D657CE"/>
    <w:p w:rsidRPr="008B1BEE" w:rsidR="00E6509E" w:rsidP="008B1BEE" w:rsidRDefault="00B4249C">
      <w:pPr>
        <w:numPr>
          <w:ilvl w:val="0"/>
          <w:numId w:val="26"/>
        </w:numPr>
      </w:pPr>
      <w:r w:rsidRPr="008B1BEE">
        <w:rPr>
          <w:b/>
          <w:bCs/>
        </w:rPr>
        <w:t>Individuals Consulted on Statistical Aspects and Individuals Collecting and/or Analyzing Data</w:t>
      </w:r>
    </w:p>
    <w:p w:rsidRPr="008B1BEE" w:rsidR="00E6509E" w:rsidP="008B1BEE" w:rsidRDefault="00E6509E"/>
    <w:p w:rsidRPr="008B1BEE" w:rsidR="00E6509E" w:rsidP="008B1BEE" w:rsidRDefault="005C5C85">
      <w:r w:rsidRPr="008B1BEE">
        <w:t>HRSA conduct</w:t>
      </w:r>
      <w:r w:rsidR="00103CC5">
        <w:t xml:space="preserve">ed the previous survey </w:t>
      </w:r>
      <w:r w:rsidRPr="008B1BEE">
        <w:t xml:space="preserve">through a contract with </w:t>
      </w:r>
      <w:r w:rsidR="003C407B">
        <w:t xml:space="preserve">the </w:t>
      </w:r>
      <w:r w:rsidRPr="008B1BEE">
        <w:t xml:space="preserve">American Directions Research Group (ADRG). </w:t>
      </w:r>
      <w:r w:rsidRPr="008B1BEE" w:rsidR="00456450">
        <w:t>ADRG</w:t>
      </w:r>
      <w:r w:rsidRPr="008B1BEE" w:rsidR="003D273E">
        <w:t xml:space="preserve"> and their subcontractor Altarum Institute</w:t>
      </w:r>
      <w:r w:rsidRPr="008B1BEE" w:rsidR="008B37D7">
        <w:t xml:space="preserve"> </w:t>
      </w:r>
      <w:r w:rsidRPr="008B1BEE" w:rsidR="003D273E">
        <w:t>have</w:t>
      </w:r>
      <w:r w:rsidRPr="008B1BEE" w:rsidR="00E6509E">
        <w:t xml:space="preserve"> expertise in developing sampling designs for telephone surveys</w:t>
      </w:r>
      <w:r w:rsidRPr="008B1BEE" w:rsidR="003D273E">
        <w:t xml:space="preserve"> and web panels</w:t>
      </w:r>
      <w:r w:rsidRPr="008B1BEE" w:rsidR="00E6509E">
        <w:t xml:space="preserve">, including the kinds of minority and ethnic group oversamples required by the current study. </w:t>
      </w:r>
      <w:r w:rsidRPr="008B1BEE" w:rsidR="008B37D7">
        <w:t xml:space="preserve"> </w:t>
      </w:r>
      <w:r w:rsidRPr="008B1BEE" w:rsidR="003D273E">
        <w:t xml:space="preserve">American Directions and Altarum </w:t>
      </w:r>
      <w:r w:rsidRPr="008B1BEE" w:rsidR="00E6509E">
        <w:t>perform</w:t>
      </w:r>
      <w:r w:rsidR="00103CC5">
        <w:t>ed</w:t>
      </w:r>
      <w:r w:rsidRPr="008B1BEE" w:rsidR="00E6509E">
        <w:t xml:space="preserve"> sample selection, data collection, analysis of the results, and writing of the report for public distribution.</w:t>
      </w:r>
    </w:p>
    <w:p w:rsidRPr="008B1BEE" w:rsidR="006E4D3F" w:rsidP="008B1BEE" w:rsidRDefault="006E4D3F"/>
    <w:p w:rsidRPr="008B1BEE" w:rsidR="006E4D3F" w:rsidP="008B1BEE" w:rsidRDefault="008B37D7">
      <w:r w:rsidRPr="008B1BEE">
        <w:t>T</w:t>
      </w:r>
      <w:r w:rsidRPr="008B1BEE" w:rsidR="006E4D3F">
        <w:t xml:space="preserve">able </w:t>
      </w:r>
      <w:r w:rsidRPr="008B1BEE">
        <w:t xml:space="preserve">1 </w:t>
      </w:r>
      <w:r w:rsidRPr="008B1BEE" w:rsidR="006E4D3F">
        <w:t xml:space="preserve">below provides the names, telephone numbers, and email addresses of personnel who developed the statistical aspects of the design finalized </w:t>
      </w:r>
      <w:r w:rsidRPr="008B1BEE" w:rsidR="00263866">
        <w:t xml:space="preserve">the </w:t>
      </w:r>
      <w:r w:rsidRPr="008B1BEE" w:rsidR="006E4D3F">
        <w:t>data collection</w:t>
      </w:r>
      <w:r w:rsidR="00D657CE">
        <w:t xml:space="preserve">.  </w:t>
      </w:r>
      <w:r w:rsidRPr="008B1BEE" w:rsidR="006E4D3F">
        <w:t>It also includes the name, telephone number</w:t>
      </w:r>
      <w:r w:rsidR="003C407B">
        <w:t>,</w:t>
      </w:r>
      <w:r w:rsidRPr="008B1BEE" w:rsidR="006E4D3F">
        <w:t xml:space="preserve"> and email address of </w:t>
      </w:r>
      <w:r w:rsidRPr="008B1BEE" w:rsidR="00263866">
        <w:t>the HRSA</w:t>
      </w:r>
      <w:r w:rsidRPr="008B1BEE" w:rsidR="006E4D3F">
        <w:t xml:space="preserve"> </w:t>
      </w:r>
      <w:r w:rsidR="00D657CE">
        <w:t>contact for this data collection.</w:t>
      </w:r>
    </w:p>
    <w:p w:rsidR="00400632" w:rsidP="008B1BEE" w:rsidRDefault="00400632"/>
    <w:p w:rsidR="008B1BEE" w:rsidP="008B1BEE" w:rsidRDefault="008B1BEE"/>
    <w:p w:rsidR="008B1BEE" w:rsidP="008B1BEE" w:rsidRDefault="008B1BEE"/>
    <w:p w:rsidR="008B1BEE" w:rsidP="008B1BEE" w:rsidRDefault="008B1BEE"/>
    <w:p w:rsidR="008B1BEE" w:rsidP="008B1BEE" w:rsidRDefault="008B1BEE"/>
    <w:p w:rsidRPr="008B1BEE" w:rsidR="008B1BEE" w:rsidP="008B1BEE" w:rsidRDefault="008B1BEE"/>
    <w:p w:rsidRPr="008B1BEE" w:rsidR="00400632" w:rsidP="008B1BEE" w:rsidRDefault="008B37D7">
      <w:pPr>
        <w:rPr>
          <w:b/>
        </w:rPr>
      </w:pPr>
      <w:r w:rsidRPr="008B1BEE">
        <w:rPr>
          <w:b/>
        </w:rPr>
        <w:t>Table 1:  Contact Information for Survey Personnel</w:t>
      </w:r>
    </w:p>
    <w:p w:rsidRPr="008B1BEE" w:rsidR="008B37D7" w:rsidP="008B1BEE" w:rsidRDefault="008B37D7"/>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30"/>
        <w:gridCol w:w="1980"/>
        <w:gridCol w:w="1800"/>
        <w:gridCol w:w="3690"/>
      </w:tblGrid>
      <w:tr w:rsidRPr="008B1BEE" w:rsidR="006E4D3F" w:rsidTr="00CA42EB">
        <w:tc>
          <w:tcPr>
            <w:tcW w:w="2430" w:type="dxa"/>
          </w:tcPr>
          <w:p w:rsidRPr="008B1BEE" w:rsidR="006E4D3F" w:rsidP="008B1BEE" w:rsidRDefault="00400632">
            <w:pPr>
              <w:jc w:val="center"/>
              <w:rPr>
                <w:u w:val="single"/>
              </w:rPr>
            </w:pPr>
            <w:r w:rsidRPr="008B1BEE">
              <w:rPr>
                <w:u w:val="single"/>
              </w:rPr>
              <w:t>N</w:t>
            </w:r>
            <w:r w:rsidRPr="008B1BEE" w:rsidR="006E4D3F">
              <w:rPr>
                <w:u w:val="single"/>
              </w:rPr>
              <w:t>ame</w:t>
            </w:r>
          </w:p>
        </w:tc>
        <w:tc>
          <w:tcPr>
            <w:tcW w:w="1980" w:type="dxa"/>
          </w:tcPr>
          <w:p w:rsidRPr="008B1BEE" w:rsidR="006E4D3F" w:rsidP="008B1BEE" w:rsidRDefault="006E4D3F">
            <w:pPr>
              <w:jc w:val="center"/>
              <w:rPr>
                <w:u w:val="single"/>
              </w:rPr>
            </w:pPr>
            <w:r w:rsidRPr="008B1BEE">
              <w:rPr>
                <w:u w:val="single"/>
              </w:rPr>
              <w:t>Agency/Company/Organization</w:t>
            </w:r>
          </w:p>
        </w:tc>
        <w:tc>
          <w:tcPr>
            <w:tcW w:w="1800" w:type="dxa"/>
          </w:tcPr>
          <w:p w:rsidRPr="008B1BEE" w:rsidR="006E4D3F" w:rsidP="008B1BEE" w:rsidRDefault="006E4D3F">
            <w:pPr>
              <w:jc w:val="center"/>
              <w:rPr>
                <w:u w:val="single"/>
              </w:rPr>
            </w:pPr>
            <w:r w:rsidRPr="008B1BEE">
              <w:rPr>
                <w:u w:val="single"/>
              </w:rPr>
              <w:t>Telephone</w:t>
            </w:r>
          </w:p>
        </w:tc>
        <w:tc>
          <w:tcPr>
            <w:tcW w:w="3690" w:type="dxa"/>
          </w:tcPr>
          <w:p w:rsidRPr="008B1BEE" w:rsidR="006E4D3F" w:rsidP="008B1BEE" w:rsidRDefault="006E4D3F">
            <w:pPr>
              <w:jc w:val="center"/>
              <w:rPr>
                <w:u w:val="single"/>
              </w:rPr>
            </w:pPr>
            <w:r w:rsidRPr="008B1BEE">
              <w:rPr>
                <w:u w:val="single"/>
              </w:rPr>
              <w:t>Email</w:t>
            </w:r>
          </w:p>
        </w:tc>
      </w:tr>
      <w:tr w:rsidRPr="008B1BEE" w:rsidR="006E4D3F" w:rsidTr="00CA42EB">
        <w:trPr>
          <w:trHeight w:val="881"/>
        </w:trPr>
        <w:tc>
          <w:tcPr>
            <w:tcW w:w="2430" w:type="dxa"/>
          </w:tcPr>
          <w:p w:rsidRPr="00DE71DF" w:rsidR="006E4D3F" w:rsidP="008B1BEE" w:rsidRDefault="004321E9">
            <w:r w:rsidRPr="00DE71DF">
              <w:t>Adriana Martinez</w:t>
            </w:r>
          </w:p>
        </w:tc>
        <w:tc>
          <w:tcPr>
            <w:tcW w:w="1980" w:type="dxa"/>
          </w:tcPr>
          <w:p w:rsidRPr="00DE71DF" w:rsidR="006E4D3F" w:rsidP="008B1BEE" w:rsidRDefault="004321E9">
            <w:pPr>
              <w:jc w:val="center"/>
            </w:pPr>
            <w:r w:rsidRPr="00DE71DF">
              <w:t>HRSA/DoT</w:t>
            </w:r>
          </w:p>
        </w:tc>
        <w:tc>
          <w:tcPr>
            <w:tcW w:w="1800" w:type="dxa"/>
          </w:tcPr>
          <w:p w:rsidRPr="00DE71DF" w:rsidR="004321E9" w:rsidP="008B1BEE" w:rsidRDefault="004321E9">
            <w:r w:rsidRPr="00DE71DF">
              <w:t>301-443-</w:t>
            </w:r>
            <w:r w:rsidRPr="004321E9">
              <w:t>94</w:t>
            </w:r>
            <w:r w:rsidRPr="00DE71DF">
              <w:t>69</w:t>
            </w:r>
          </w:p>
        </w:tc>
        <w:tc>
          <w:tcPr>
            <w:tcW w:w="3690" w:type="dxa"/>
          </w:tcPr>
          <w:p w:rsidRPr="00D657CE" w:rsidR="006E4D3F" w:rsidP="008B1BEE" w:rsidRDefault="004321E9">
            <w:pPr>
              <w:rPr>
                <w:strike/>
              </w:rPr>
            </w:pPr>
            <w:hyperlink w:history="1" r:id="rId14">
              <w:r w:rsidRPr="00864CE1">
                <w:rPr>
                  <w:rStyle w:val="Hyperlink"/>
                </w:rPr>
                <w:t>AMartinez@hrsa.gov</w:t>
              </w:r>
            </w:hyperlink>
            <w:r>
              <w:rPr>
                <w:rStyle w:val="Hyperlink"/>
              </w:rPr>
              <w:t xml:space="preserve"> </w:t>
            </w:r>
          </w:p>
        </w:tc>
      </w:tr>
      <w:tr w:rsidRPr="008B1BEE" w:rsidR="006E4D3F" w:rsidTr="00CA42EB">
        <w:tc>
          <w:tcPr>
            <w:tcW w:w="2430" w:type="dxa"/>
          </w:tcPr>
          <w:p w:rsidRPr="008B1BEE" w:rsidR="006E4D3F" w:rsidP="008B1BEE" w:rsidRDefault="003D273E">
            <w:r w:rsidRPr="008B1BEE">
              <w:t>Dr. Chris Duke</w:t>
            </w:r>
          </w:p>
        </w:tc>
        <w:tc>
          <w:tcPr>
            <w:tcW w:w="1980" w:type="dxa"/>
          </w:tcPr>
          <w:p w:rsidRPr="008B1BEE" w:rsidR="006E4D3F" w:rsidP="008B1BEE" w:rsidRDefault="003D273E">
            <w:pPr>
              <w:jc w:val="center"/>
            </w:pPr>
            <w:r w:rsidRPr="008B1BEE">
              <w:t>Altarum</w:t>
            </w:r>
          </w:p>
        </w:tc>
        <w:tc>
          <w:tcPr>
            <w:tcW w:w="1800" w:type="dxa"/>
          </w:tcPr>
          <w:p w:rsidRPr="008B1BEE" w:rsidR="006E4D3F" w:rsidP="008B1BEE" w:rsidRDefault="002A2FD4">
            <w:r w:rsidRPr="008B1BEE">
              <w:t>734-302-4642</w:t>
            </w:r>
          </w:p>
        </w:tc>
        <w:tc>
          <w:tcPr>
            <w:tcW w:w="3690" w:type="dxa"/>
          </w:tcPr>
          <w:p w:rsidRPr="008B1BEE" w:rsidR="003D273E" w:rsidP="008B1BEE" w:rsidRDefault="003D273E">
            <w:hyperlink w:history="1" r:id="rId15">
              <w:r w:rsidRPr="008B1BEE">
                <w:rPr>
                  <w:rStyle w:val="Hyperlink"/>
                </w:rPr>
                <w:t>chris.duke@altarum.org</w:t>
              </w:r>
            </w:hyperlink>
          </w:p>
        </w:tc>
      </w:tr>
      <w:tr w:rsidRPr="008B1BEE" w:rsidR="006E4D3F" w:rsidTr="00CA42EB">
        <w:tc>
          <w:tcPr>
            <w:tcW w:w="2430" w:type="dxa"/>
          </w:tcPr>
          <w:p w:rsidRPr="008B1BEE" w:rsidR="006E4D3F" w:rsidP="008B1BEE" w:rsidRDefault="003D273E">
            <w:r w:rsidRPr="008B1BEE">
              <w:t>Tom Wilkinson</w:t>
            </w:r>
          </w:p>
        </w:tc>
        <w:tc>
          <w:tcPr>
            <w:tcW w:w="1980" w:type="dxa"/>
          </w:tcPr>
          <w:p w:rsidRPr="008B1BEE" w:rsidR="006E4D3F" w:rsidP="008B1BEE" w:rsidRDefault="003D273E">
            <w:pPr>
              <w:jc w:val="center"/>
            </w:pPr>
            <w:r w:rsidRPr="008B1BEE">
              <w:t>Altarum</w:t>
            </w:r>
          </w:p>
        </w:tc>
        <w:tc>
          <w:tcPr>
            <w:tcW w:w="1800" w:type="dxa"/>
          </w:tcPr>
          <w:p w:rsidRPr="008B1BEE" w:rsidR="006E4D3F" w:rsidP="008B1BEE" w:rsidRDefault="002A2FD4">
            <w:r w:rsidRPr="008B1BEE">
              <w:t>734-302-5692</w:t>
            </w:r>
          </w:p>
        </w:tc>
        <w:tc>
          <w:tcPr>
            <w:tcW w:w="3690" w:type="dxa"/>
          </w:tcPr>
          <w:p w:rsidRPr="008B1BEE" w:rsidR="006E4D3F" w:rsidP="008B1BEE" w:rsidRDefault="003D273E">
            <w:hyperlink w:history="1" r:id="rId16">
              <w:r w:rsidRPr="008B1BEE">
                <w:rPr>
                  <w:rStyle w:val="Hyperlink"/>
                </w:rPr>
                <w:t>tom.wilkinson@altarum.org</w:t>
              </w:r>
            </w:hyperlink>
          </w:p>
        </w:tc>
      </w:tr>
      <w:tr w:rsidRPr="008B1BEE" w:rsidR="006E4D3F" w:rsidTr="00CA42EB">
        <w:tc>
          <w:tcPr>
            <w:tcW w:w="2430" w:type="dxa"/>
          </w:tcPr>
          <w:p w:rsidRPr="008B1BEE" w:rsidR="006E4D3F" w:rsidP="008B1BEE" w:rsidRDefault="003D273E">
            <w:r w:rsidRPr="008B1BEE">
              <w:t>Jerry Karson</w:t>
            </w:r>
          </w:p>
        </w:tc>
        <w:tc>
          <w:tcPr>
            <w:tcW w:w="1980" w:type="dxa"/>
          </w:tcPr>
          <w:p w:rsidRPr="008B1BEE" w:rsidR="006E4D3F" w:rsidP="008B1BEE" w:rsidRDefault="003D273E">
            <w:pPr>
              <w:jc w:val="center"/>
            </w:pPr>
            <w:r w:rsidRPr="008B1BEE">
              <w:t>ADRG</w:t>
            </w:r>
          </w:p>
        </w:tc>
        <w:tc>
          <w:tcPr>
            <w:tcW w:w="1800" w:type="dxa"/>
          </w:tcPr>
          <w:p w:rsidRPr="008B1BEE" w:rsidR="006E4D3F" w:rsidP="008B1BEE" w:rsidRDefault="002A2FD4">
            <w:r w:rsidRPr="008B1BEE">
              <w:t>202-596-7966</w:t>
            </w:r>
          </w:p>
        </w:tc>
        <w:tc>
          <w:tcPr>
            <w:tcW w:w="3690" w:type="dxa"/>
          </w:tcPr>
          <w:p w:rsidRPr="008B1BEE" w:rsidR="006E4D3F" w:rsidP="008B1BEE" w:rsidRDefault="002A2FD4">
            <w:hyperlink w:history="1" r:id="rId17">
              <w:r w:rsidRPr="008B1BEE">
                <w:rPr>
                  <w:rStyle w:val="Hyperlink"/>
                </w:rPr>
                <w:t>jerryk@americandirections.com</w:t>
              </w:r>
            </w:hyperlink>
            <w:r w:rsidRPr="008B1BEE">
              <w:t xml:space="preserve">  </w:t>
            </w:r>
          </w:p>
        </w:tc>
      </w:tr>
    </w:tbl>
    <w:p w:rsidRPr="008B1BEE" w:rsidR="00383878" w:rsidP="008B1BEE" w:rsidRDefault="00383878">
      <w:pPr>
        <w:rPr>
          <w:b/>
        </w:rPr>
      </w:pPr>
    </w:p>
    <w:p w:rsidRPr="008B1BEE" w:rsidR="00E6509E" w:rsidP="008B1BEE" w:rsidRDefault="00E6509E">
      <w:pPr>
        <w:rPr>
          <w:b/>
        </w:rPr>
      </w:pPr>
      <w:r w:rsidRPr="008B1BEE">
        <w:rPr>
          <w:b/>
        </w:rPr>
        <w:t>Reference</w:t>
      </w:r>
      <w:r w:rsidRPr="008B1BEE" w:rsidR="00787CB8">
        <w:rPr>
          <w:b/>
        </w:rPr>
        <w:t>s</w:t>
      </w:r>
    </w:p>
    <w:p w:rsidRPr="008B1BEE" w:rsidR="00383878" w:rsidP="008B1BEE" w:rsidRDefault="00383878"/>
    <w:p w:rsidRPr="008B1BEE" w:rsidR="00383878" w:rsidP="008B1BEE" w:rsidRDefault="00787CB8">
      <w:r w:rsidRPr="008B1BEE">
        <w:t>AAPOR (1016). Address Based Sampling.  [</w:t>
      </w:r>
      <w:r w:rsidRPr="008B1BEE" w:rsidR="00383878">
        <w:t>https://www.aapor.org/Education-Resources/Reports/Address-based-Sampling.aspx</w:t>
      </w:r>
      <w:r w:rsidRPr="008B1BEE">
        <w:t>]</w:t>
      </w:r>
    </w:p>
    <w:p w:rsidRPr="008B1BEE" w:rsidR="00787CB8" w:rsidP="008B1BEE" w:rsidRDefault="00787CB8"/>
    <w:p w:rsidRPr="008B1BEE" w:rsidR="006E4D3F" w:rsidP="008B1BEE" w:rsidRDefault="006E4D3F">
      <w:r w:rsidRPr="008B1BEE">
        <w:t xml:space="preserve">O’Rourke, D. &amp; Blair, J. (1983): Improving </w:t>
      </w:r>
      <w:r w:rsidRPr="008B1BEE" w:rsidR="00B04111">
        <w:t>R</w:t>
      </w:r>
      <w:r w:rsidRPr="008B1BEE">
        <w:t xml:space="preserve">andom </w:t>
      </w:r>
      <w:r w:rsidRPr="008B1BEE" w:rsidR="00B04111">
        <w:t>R</w:t>
      </w:r>
      <w:r w:rsidRPr="008B1BEE">
        <w:t xml:space="preserve">espondent </w:t>
      </w:r>
      <w:r w:rsidRPr="008B1BEE" w:rsidR="00B04111">
        <w:t>S</w:t>
      </w:r>
      <w:r w:rsidRPr="008B1BEE">
        <w:t>election in</w:t>
      </w:r>
      <w:r w:rsidRPr="008B1BEE" w:rsidR="00B04111">
        <w:t xml:space="preserve"> Telephone S</w:t>
      </w:r>
      <w:r w:rsidRPr="008B1BEE">
        <w:t xml:space="preserve">urveys. </w:t>
      </w:r>
      <w:r w:rsidRPr="008B1BEE">
        <w:rPr>
          <w:i/>
        </w:rPr>
        <w:t>Journal of Marketing Research</w:t>
      </w:r>
      <w:r w:rsidRPr="008B1BEE">
        <w:t>, 20, 428-432.</w:t>
      </w:r>
    </w:p>
    <w:p w:rsidRPr="008B1BEE" w:rsidR="00E6509E" w:rsidP="008B1BEE" w:rsidRDefault="00E6509E">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jc w:val="both"/>
      </w:pPr>
    </w:p>
    <w:sectPr w:rsidRPr="008B1BEE" w:rsidR="00E6509E" w:rsidSect="008702EF">
      <w:headerReference w:type="default" r:id="rId18"/>
      <w:footerReference w:type="even" r:id="rId19"/>
      <w:footerReference w:type="default" r:id="rId2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791" w:rsidRDefault="00A44791" w:rsidP="002D66DB">
      <w:r>
        <w:separator/>
      </w:r>
    </w:p>
  </w:endnote>
  <w:endnote w:type="continuationSeparator" w:id="0">
    <w:p w:rsidR="00A44791" w:rsidRDefault="00A44791" w:rsidP="002D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pperplate Std 33 BC">
    <w:altName w:val="Copperplate Std 33 B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BC" w:rsidRDefault="00222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25BC" w:rsidRDefault="002225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BEE" w:rsidRDefault="008B1BEE">
    <w:pPr>
      <w:pStyle w:val="Footer"/>
      <w:jc w:val="center"/>
    </w:pPr>
    <w:r>
      <w:fldChar w:fldCharType="begin"/>
    </w:r>
    <w:r>
      <w:instrText xml:space="preserve"> PAGE   \* MERGEFORMAT </w:instrText>
    </w:r>
    <w:r>
      <w:fldChar w:fldCharType="separate"/>
    </w:r>
    <w:r w:rsidR="006E4735">
      <w:rPr>
        <w:noProof/>
      </w:rPr>
      <w:t>7</w:t>
    </w:r>
    <w:r>
      <w:rPr>
        <w:noProof/>
      </w:rPr>
      <w:fldChar w:fldCharType="end"/>
    </w:r>
  </w:p>
  <w:p w:rsidR="002225BC" w:rsidRDefault="002225BC" w:rsidP="00A959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791" w:rsidRDefault="00A44791" w:rsidP="002D66DB">
      <w:r>
        <w:separator/>
      </w:r>
    </w:p>
  </w:footnote>
  <w:footnote w:type="continuationSeparator" w:id="0">
    <w:p w:rsidR="00A44791" w:rsidRDefault="00A44791" w:rsidP="002D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5BC" w:rsidRDefault="002225BC">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line="240" w:lineRule="atLeast"/>
      <w:jc w:val="both"/>
      <w:rPr>
        <w:sz w:val="20"/>
      </w:rPr>
    </w:pPr>
  </w:p>
  <w:p w:rsidR="002225BC" w:rsidRDefault="002225BC">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15:restartNumberingAfterBreak="0">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15:restartNumberingAfterBreak="0">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15:restartNumberingAfterBreak="0">
    <w:nsid w:val="08777A81"/>
    <w:multiLevelType w:val="hybridMultilevel"/>
    <w:tmpl w:val="A5AA0E04"/>
    <w:lvl w:ilvl="0" w:tplc="DBDE6282">
      <w:start w:val="7"/>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5B4A3A"/>
    <w:multiLevelType w:val="hybridMultilevel"/>
    <w:tmpl w:val="4204058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EE3A14"/>
    <w:multiLevelType w:val="hybridMultilevel"/>
    <w:tmpl w:val="306C2542"/>
    <w:lvl w:ilvl="0" w:tplc="FE9415B6">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477EE6"/>
    <w:multiLevelType w:val="hybridMultilevel"/>
    <w:tmpl w:val="1E72643C"/>
    <w:lvl w:ilvl="0" w:tplc="D0A83B3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A544E5"/>
    <w:multiLevelType w:val="hybridMultilevel"/>
    <w:tmpl w:val="33F0F9E8"/>
    <w:lvl w:ilvl="0" w:tplc="DFFC412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8E3D36"/>
    <w:multiLevelType w:val="hybridMultilevel"/>
    <w:tmpl w:val="4B20775A"/>
    <w:lvl w:ilvl="0" w:tplc="A14C682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FD35E4"/>
    <w:multiLevelType w:val="hybridMultilevel"/>
    <w:tmpl w:val="F11A2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8212DD"/>
    <w:multiLevelType w:val="hybridMultilevel"/>
    <w:tmpl w:val="9850C124"/>
    <w:lvl w:ilvl="0" w:tplc="22184A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91DB3"/>
    <w:multiLevelType w:val="hybridMultilevel"/>
    <w:tmpl w:val="68146678"/>
    <w:lvl w:ilvl="0" w:tplc="0E58B326">
      <w:start w:val="1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E55582"/>
    <w:multiLevelType w:val="hybridMultilevel"/>
    <w:tmpl w:val="D1CE541E"/>
    <w:lvl w:ilvl="0" w:tplc="A5E865F4">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526892"/>
    <w:multiLevelType w:val="hybridMultilevel"/>
    <w:tmpl w:val="538CB310"/>
    <w:lvl w:ilvl="0" w:tplc="B50868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F567CB"/>
    <w:multiLevelType w:val="hybridMultilevel"/>
    <w:tmpl w:val="138065FC"/>
    <w:lvl w:ilvl="0" w:tplc="E0E06CEC">
      <w:start w:val="3"/>
      <w:numFmt w:val="decimalZero"/>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50405D"/>
    <w:multiLevelType w:val="hybridMultilevel"/>
    <w:tmpl w:val="5B1A7E9A"/>
    <w:lvl w:ilvl="0" w:tplc="3C6671C0">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7C218F"/>
    <w:multiLevelType w:val="hybridMultilevel"/>
    <w:tmpl w:val="299ED640"/>
    <w:lvl w:ilvl="0" w:tplc="99E6A0A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A052C1"/>
    <w:multiLevelType w:val="hybridMultilevel"/>
    <w:tmpl w:val="55C0FBB6"/>
    <w:lvl w:ilvl="0" w:tplc="E3F84C9E">
      <w:start w:val="1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0755332"/>
    <w:multiLevelType w:val="hybridMultilevel"/>
    <w:tmpl w:val="6D84C9D6"/>
    <w:lvl w:ilvl="0" w:tplc="F3209292">
      <w:start w:val="6"/>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B14BBE"/>
    <w:multiLevelType w:val="hybridMultilevel"/>
    <w:tmpl w:val="778C9312"/>
    <w:lvl w:ilvl="0" w:tplc="FFFFFFFF">
      <w:start w:val="18"/>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0E52DD1"/>
    <w:multiLevelType w:val="hybridMultilevel"/>
    <w:tmpl w:val="0E3EB688"/>
    <w:lvl w:ilvl="0" w:tplc="A4E699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1C1112B"/>
    <w:multiLevelType w:val="hybridMultilevel"/>
    <w:tmpl w:val="3D2045E0"/>
    <w:lvl w:ilvl="0" w:tplc="33B86C1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6B1D0F"/>
    <w:multiLevelType w:val="hybridMultilevel"/>
    <w:tmpl w:val="E3F61A60"/>
    <w:lvl w:ilvl="0" w:tplc="22184A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B41FD3"/>
    <w:multiLevelType w:val="hybridMultilevel"/>
    <w:tmpl w:val="3D92850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26F003F"/>
    <w:multiLevelType w:val="hybridMultilevel"/>
    <w:tmpl w:val="09A8C860"/>
    <w:lvl w:ilvl="0" w:tplc="4EF0B764">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15B2B"/>
    <w:multiLevelType w:val="hybridMultilevel"/>
    <w:tmpl w:val="00622CAA"/>
    <w:lvl w:ilvl="0" w:tplc="C74A1F00">
      <w:start w:val="1"/>
      <w:numFmt w:val="decimal"/>
      <w:lvlText w:val="%1."/>
      <w:lvlJc w:val="left"/>
      <w:pPr>
        <w:tabs>
          <w:tab w:val="num" w:pos="1080"/>
        </w:tabs>
        <w:ind w:left="1080" w:hanging="360"/>
      </w:pPr>
      <w:rPr>
        <w:rFonts w:hint="default"/>
      </w:rPr>
    </w:lvl>
    <w:lvl w:ilvl="1" w:tplc="F9C4887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58240B"/>
    <w:multiLevelType w:val="hybridMultilevel"/>
    <w:tmpl w:val="52143A04"/>
    <w:lvl w:ilvl="0" w:tplc="0E7AAE6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B1D4F46"/>
    <w:multiLevelType w:val="hybridMultilevel"/>
    <w:tmpl w:val="1304D45A"/>
    <w:lvl w:ilvl="0" w:tplc="5DCCE41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3"/>
  </w:num>
  <w:num w:numId="3">
    <w:abstractNumId w:val="11"/>
  </w:num>
  <w:num w:numId="4">
    <w:abstractNumId w:val="21"/>
  </w:num>
  <w:num w:numId="5">
    <w:abstractNumId w:val="6"/>
  </w:num>
  <w:num w:numId="6">
    <w:abstractNumId w:val="22"/>
  </w:num>
  <w:num w:numId="7">
    <w:abstractNumId w:val="28"/>
  </w:num>
  <w:num w:numId="8">
    <w:abstractNumId w:val="15"/>
  </w:num>
  <w:num w:numId="9">
    <w:abstractNumId w:val="27"/>
  </w:num>
  <w:num w:numId="10">
    <w:abstractNumId w:val="9"/>
  </w:num>
  <w:num w:numId="11">
    <w:abstractNumId w:val="4"/>
  </w:num>
  <w:num w:numId="12">
    <w:abstractNumId w:val="13"/>
  </w:num>
  <w:num w:numId="13">
    <w:abstractNumId w:val="16"/>
  </w:num>
  <w:num w:numId="14">
    <w:abstractNumId w:val="12"/>
  </w:num>
  <w:num w:numId="15">
    <w:abstractNumId w:val="14"/>
  </w:num>
  <w:num w:numId="16">
    <w:abstractNumId w:val="26"/>
  </w:num>
  <w:num w:numId="17">
    <w:abstractNumId w:val="5"/>
  </w:num>
  <w:num w:numId="18">
    <w:abstractNumId w:val="17"/>
  </w:num>
  <w:num w:numId="19">
    <w:abstractNumId w:val="20"/>
  </w:num>
  <w:num w:numId="20">
    <w:abstractNumId w:val="24"/>
  </w:num>
  <w:num w:numId="21">
    <w:abstractNumId w:val="18"/>
  </w:num>
  <w:num w:numId="22">
    <w:abstractNumId w:val="19"/>
  </w:num>
  <w:num w:numId="23">
    <w:abstractNumId w:val="8"/>
  </w:num>
  <w:num w:numId="24">
    <w:abstractNumId w:val="25"/>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NzQyNbUwtLAwMDRQ0lEKTi0uzszPAykwqgUA6p1RECwAAAA="/>
  </w:docVars>
  <w:rsids>
    <w:rsidRoot w:val="00E26FD7"/>
    <w:rsid w:val="00004297"/>
    <w:rsid w:val="00006862"/>
    <w:rsid w:val="00010869"/>
    <w:rsid w:val="00025FA6"/>
    <w:rsid w:val="00030E19"/>
    <w:rsid w:val="00031D13"/>
    <w:rsid w:val="00034E2E"/>
    <w:rsid w:val="00047A65"/>
    <w:rsid w:val="000505DE"/>
    <w:rsid w:val="000641D1"/>
    <w:rsid w:val="000646DD"/>
    <w:rsid w:val="000653DF"/>
    <w:rsid w:val="00065F5A"/>
    <w:rsid w:val="00071A93"/>
    <w:rsid w:val="00072CDD"/>
    <w:rsid w:val="00080DEC"/>
    <w:rsid w:val="0008394E"/>
    <w:rsid w:val="00086439"/>
    <w:rsid w:val="0009311B"/>
    <w:rsid w:val="000B34EA"/>
    <w:rsid w:val="000C20E8"/>
    <w:rsid w:val="000D0ED1"/>
    <w:rsid w:val="000D17FD"/>
    <w:rsid w:val="000D308D"/>
    <w:rsid w:val="000E0234"/>
    <w:rsid w:val="000E05B4"/>
    <w:rsid w:val="000E6F02"/>
    <w:rsid w:val="000F2C14"/>
    <w:rsid w:val="000F6BCC"/>
    <w:rsid w:val="000F6D7C"/>
    <w:rsid w:val="00103CC5"/>
    <w:rsid w:val="00124010"/>
    <w:rsid w:val="001261B2"/>
    <w:rsid w:val="00126EF1"/>
    <w:rsid w:val="001400E9"/>
    <w:rsid w:val="00142F5C"/>
    <w:rsid w:val="00146044"/>
    <w:rsid w:val="00155FB1"/>
    <w:rsid w:val="001565E3"/>
    <w:rsid w:val="00161423"/>
    <w:rsid w:val="00161A0F"/>
    <w:rsid w:val="001644E6"/>
    <w:rsid w:val="0016750E"/>
    <w:rsid w:val="00176502"/>
    <w:rsid w:val="001A3BC7"/>
    <w:rsid w:val="001A73AD"/>
    <w:rsid w:val="001A7507"/>
    <w:rsid w:val="001C0E3C"/>
    <w:rsid w:val="001C4038"/>
    <w:rsid w:val="001D0013"/>
    <w:rsid w:val="001D0D93"/>
    <w:rsid w:val="001D5821"/>
    <w:rsid w:val="001D7CDD"/>
    <w:rsid w:val="001E0930"/>
    <w:rsid w:val="001E14A2"/>
    <w:rsid w:val="001E1815"/>
    <w:rsid w:val="001E3499"/>
    <w:rsid w:val="001F79E0"/>
    <w:rsid w:val="00206986"/>
    <w:rsid w:val="00211D58"/>
    <w:rsid w:val="0021356D"/>
    <w:rsid w:val="00213637"/>
    <w:rsid w:val="00221A54"/>
    <w:rsid w:val="002225BC"/>
    <w:rsid w:val="00237A7E"/>
    <w:rsid w:val="002466FB"/>
    <w:rsid w:val="00247CCC"/>
    <w:rsid w:val="002536FA"/>
    <w:rsid w:val="00263866"/>
    <w:rsid w:val="00266782"/>
    <w:rsid w:val="002811BD"/>
    <w:rsid w:val="00281FF1"/>
    <w:rsid w:val="002954A5"/>
    <w:rsid w:val="00295DBD"/>
    <w:rsid w:val="002A2D53"/>
    <w:rsid w:val="002A2FD4"/>
    <w:rsid w:val="002A6392"/>
    <w:rsid w:val="002B4563"/>
    <w:rsid w:val="002B65C0"/>
    <w:rsid w:val="002C0BB6"/>
    <w:rsid w:val="002D13A5"/>
    <w:rsid w:val="002D66DB"/>
    <w:rsid w:val="002E0D4C"/>
    <w:rsid w:val="002E2148"/>
    <w:rsid w:val="002E22C5"/>
    <w:rsid w:val="002E6006"/>
    <w:rsid w:val="002E7F62"/>
    <w:rsid w:val="002F2ACC"/>
    <w:rsid w:val="003127A2"/>
    <w:rsid w:val="003200D2"/>
    <w:rsid w:val="0032521A"/>
    <w:rsid w:val="00340499"/>
    <w:rsid w:val="00346FAC"/>
    <w:rsid w:val="003539CA"/>
    <w:rsid w:val="00353C45"/>
    <w:rsid w:val="00360A12"/>
    <w:rsid w:val="00361F15"/>
    <w:rsid w:val="00364A7A"/>
    <w:rsid w:val="00365A58"/>
    <w:rsid w:val="00371D3F"/>
    <w:rsid w:val="00376EBC"/>
    <w:rsid w:val="00383878"/>
    <w:rsid w:val="003875B2"/>
    <w:rsid w:val="00387636"/>
    <w:rsid w:val="00393926"/>
    <w:rsid w:val="003B70C1"/>
    <w:rsid w:val="003C33BD"/>
    <w:rsid w:val="003C3705"/>
    <w:rsid w:val="003C407B"/>
    <w:rsid w:val="003C46EA"/>
    <w:rsid w:val="003C4D5F"/>
    <w:rsid w:val="003C6129"/>
    <w:rsid w:val="003D273E"/>
    <w:rsid w:val="003E103C"/>
    <w:rsid w:val="003E4552"/>
    <w:rsid w:val="003F5E31"/>
    <w:rsid w:val="00400632"/>
    <w:rsid w:val="004120C4"/>
    <w:rsid w:val="00422181"/>
    <w:rsid w:val="0042394E"/>
    <w:rsid w:val="00426882"/>
    <w:rsid w:val="00427C33"/>
    <w:rsid w:val="00430706"/>
    <w:rsid w:val="004321E9"/>
    <w:rsid w:val="00432429"/>
    <w:rsid w:val="00440DDB"/>
    <w:rsid w:val="00440E44"/>
    <w:rsid w:val="00441713"/>
    <w:rsid w:val="00441ECB"/>
    <w:rsid w:val="00450F85"/>
    <w:rsid w:val="004526A5"/>
    <w:rsid w:val="00456450"/>
    <w:rsid w:val="00472027"/>
    <w:rsid w:val="004771B8"/>
    <w:rsid w:val="00480515"/>
    <w:rsid w:val="004806A7"/>
    <w:rsid w:val="00487742"/>
    <w:rsid w:val="00490632"/>
    <w:rsid w:val="004B059A"/>
    <w:rsid w:val="004B24EF"/>
    <w:rsid w:val="004B73B6"/>
    <w:rsid w:val="004B7F4A"/>
    <w:rsid w:val="004C16EF"/>
    <w:rsid w:val="004C23E7"/>
    <w:rsid w:val="004C4084"/>
    <w:rsid w:val="004D7378"/>
    <w:rsid w:val="004E1EBE"/>
    <w:rsid w:val="004E5718"/>
    <w:rsid w:val="004F7ECC"/>
    <w:rsid w:val="00520E96"/>
    <w:rsid w:val="0052343D"/>
    <w:rsid w:val="00525774"/>
    <w:rsid w:val="00533705"/>
    <w:rsid w:val="005411D0"/>
    <w:rsid w:val="005527C3"/>
    <w:rsid w:val="00561632"/>
    <w:rsid w:val="00562D9B"/>
    <w:rsid w:val="00567F18"/>
    <w:rsid w:val="0059319B"/>
    <w:rsid w:val="00597EFF"/>
    <w:rsid w:val="005A05FA"/>
    <w:rsid w:val="005A09B1"/>
    <w:rsid w:val="005A29C9"/>
    <w:rsid w:val="005B03D5"/>
    <w:rsid w:val="005B2D5D"/>
    <w:rsid w:val="005B3A2F"/>
    <w:rsid w:val="005B64F8"/>
    <w:rsid w:val="005B65B4"/>
    <w:rsid w:val="005C5C85"/>
    <w:rsid w:val="005E1004"/>
    <w:rsid w:val="005E3C1E"/>
    <w:rsid w:val="005E5452"/>
    <w:rsid w:val="005F430B"/>
    <w:rsid w:val="005F5297"/>
    <w:rsid w:val="00606647"/>
    <w:rsid w:val="00606C91"/>
    <w:rsid w:val="00612E6A"/>
    <w:rsid w:val="00613BA3"/>
    <w:rsid w:val="006140D2"/>
    <w:rsid w:val="00615194"/>
    <w:rsid w:val="00617650"/>
    <w:rsid w:val="0062362B"/>
    <w:rsid w:val="00624A3C"/>
    <w:rsid w:val="0063024B"/>
    <w:rsid w:val="00630A79"/>
    <w:rsid w:val="006313A5"/>
    <w:rsid w:val="00633DA8"/>
    <w:rsid w:val="00643824"/>
    <w:rsid w:val="006459B4"/>
    <w:rsid w:val="006526B4"/>
    <w:rsid w:val="006554F5"/>
    <w:rsid w:val="00656494"/>
    <w:rsid w:val="006637FD"/>
    <w:rsid w:val="00674307"/>
    <w:rsid w:val="0068182C"/>
    <w:rsid w:val="006907F1"/>
    <w:rsid w:val="006915EE"/>
    <w:rsid w:val="00697768"/>
    <w:rsid w:val="006B595C"/>
    <w:rsid w:val="006B6A79"/>
    <w:rsid w:val="006C7036"/>
    <w:rsid w:val="006C7C72"/>
    <w:rsid w:val="006D16E1"/>
    <w:rsid w:val="006D2180"/>
    <w:rsid w:val="006E234C"/>
    <w:rsid w:val="006E4735"/>
    <w:rsid w:val="006E4D3F"/>
    <w:rsid w:val="00706EAA"/>
    <w:rsid w:val="007123FA"/>
    <w:rsid w:val="00715641"/>
    <w:rsid w:val="00724557"/>
    <w:rsid w:val="00725B37"/>
    <w:rsid w:val="00727079"/>
    <w:rsid w:val="0073083D"/>
    <w:rsid w:val="007333CC"/>
    <w:rsid w:val="00747706"/>
    <w:rsid w:val="00764FFB"/>
    <w:rsid w:val="0077698A"/>
    <w:rsid w:val="00781976"/>
    <w:rsid w:val="00784EFC"/>
    <w:rsid w:val="00785466"/>
    <w:rsid w:val="00787CB8"/>
    <w:rsid w:val="00794A8F"/>
    <w:rsid w:val="007A4F3A"/>
    <w:rsid w:val="007B7C24"/>
    <w:rsid w:val="007C7F97"/>
    <w:rsid w:val="007D6A5B"/>
    <w:rsid w:val="007E03A3"/>
    <w:rsid w:val="007E318C"/>
    <w:rsid w:val="007E49A9"/>
    <w:rsid w:val="007E6289"/>
    <w:rsid w:val="007F0F60"/>
    <w:rsid w:val="007F5E46"/>
    <w:rsid w:val="00800709"/>
    <w:rsid w:val="00806C99"/>
    <w:rsid w:val="008076B5"/>
    <w:rsid w:val="00812F38"/>
    <w:rsid w:val="008150E8"/>
    <w:rsid w:val="0082223E"/>
    <w:rsid w:val="008329B6"/>
    <w:rsid w:val="00846E86"/>
    <w:rsid w:val="00855EA7"/>
    <w:rsid w:val="00860705"/>
    <w:rsid w:val="0086146B"/>
    <w:rsid w:val="00862250"/>
    <w:rsid w:val="008702EF"/>
    <w:rsid w:val="008720EE"/>
    <w:rsid w:val="00872941"/>
    <w:rsid w:val="00875F00"/>
    <w:rsid w:val="00883EA8"/>
    <w:rsid w:val="008874AD"/>
    <w:rsid w:val="00887BCA"/>
    <w:rsid w:val="00897031"/>
    <w:rsid w:val="008A1B0A"/>
    <w:rsid w:val="008A64C0"/>
    <w:rsid w:val="008B1BEE"/>
    <w:rsid w:val="008B37D7"/>
    <w:rsid w:val="008B4706"/>
    <w:rsid w:val="008B5083"/>
    <w:rsid w:val="008C0B89"/>
    <w:rsid w:val="008C4317"/>
    <w:rsid w:val="008D1A4E"/>
    <w:rsid w:val="008E5A0B"/>
    <w:rsid w:val="009005CB"/>
    <w:rsid w:val="00903C82"/>
    <w:rsid w:val="00910F3F"/>
    <w:rsid w:val="009112FB"/>
    <w:rsid w:val="00914167"/>
    <w:rsid w:val="00926F50"/>
    <w:rsid w:val="00946BF8"/>
    <w:rsid w:val="009635A9"/>
    <w:rsid w:val="00964472"/>
    <w:rsid w:val="009656CF"/>
    <w:rsid w:val="009771F2"/>
    <w:rsid w:val="00985AD7"/>
    <w:rsid w:val="00985CC6"/>
    <w:rsid w:val="00991DC5"/>
    <w:rsid w:val="0099286A"/>
    <w:rsid w:val="009A38BD"/>
    <w:rsid w:val="009A40DD"/>
    <w:rsid w:val="009B6811"/>
    <w:rsid w:val="009C5538"/>
    <w:rsid w:val="009D5D12"/>
    <w:rsid w:val="009E235E"/>
    <w:rsid w:val="009E3BE3"/>
    <w:rsid w:val="009E5A88"/>
    <w:rsid w:val="009F3BFC"/>
    <w:rsid w:val="00A10345"/>
    <w:rsid w:val="00A1087B"/>
    <w:rsid w:val="00A13F9A"/>
    <w:rsid w:val="00A1424B"/>
    <w:rsid w:val="00A25F2F"/>
    <w:rsid w:val="00A33CCA"/>
    <w:rsid w:val="00A44791"/>
    <w:rsid w:val="00A467C4"/>
    <w:rsid w:val="00A51C75"/>
    <w:rsid w:val="00A53481"/>
    <w:rsid w:val="00A537F6"/>
    <w:rsid w:val="00A53CF6"/>
    <w:rsid w:val="00A63AE6"/>
    <w:rsid w:val="00A65071"/>
    <w:rsid w:val="00A74E32"/>
    <w:rsid w:val="00A83934"/>
    <w:rsid w:val="00A939A5"/>
    <w:rsid w:val="00A959A5"/>
    <w:rsid w:val="00A97DF9"/>
    <w:rsid w:val="00AA6D7C"/>
    <w:rsid w:val="00AB01FC"/>
    <w:rsid w:val="00AB156B"/>
    <w:rsid w:val="00AC1D99"/>
    <w:rsid w:val="00AD083A"/>
    <w:rsid w:val="00AD457B"/>
    <w:rsid w:val="00AD63C4"/>
    <w:rsid w:val="00AE11A1"/>
    <w:rsid w:val="00AE2608"/>
    <w:rsid w:val="00AE59BB"/>
    <w:rsid w:val="00AF1EF5"/>
    <w:rsid w:val="00AF6F24"/>
    <w:rsid w:val="00B038FB"/>
    <w:rsid w:val="00B04111"/>
    <w:rsid w:val="00B11B34"/>
    <w:rsid w:val="00B13070"/>
    <w:rsid w:val="00B176E5"/>
    <w:rsid w:val="00B26043"/>
    <w:rsid w:val="00B313EE"/>
    <w:rsid w:val="00B344FB"/>
    <w:rsid w:val="00B4249C"/>
    <w:rsid w:val="00B42A4C"/>
    <w:rsid w:val="00B4711C"/>
    <w:rsid w:val="00B5644B"/>
    <w:rsid w:val="00B607BC"/>
    <w:rsid w:val="00B63790"/>
    <w:rsid w:val="00B64983"/>
    <w:rsid w:val="00B70E4B"/>
    <w:rsid w:val="00B728A6"/>
    <w:rsid w:val="00B743B8"/>
    <w:rsid w:val="00B848B4"/>
    <w:rsid w:val="00B84D06"/>
    <w:rsid w:val="00B85D4B"/>
    <w:rsid w:val="00B8771A"/>
    <w:rsid w:val="00B96D34"/>
    <w:rsid w:val="00BA6072"/>
    <w:rsid w:val="00BB2D4D"/>
    <w:rsid w:val="00BB61D9"/>
    <w:rsid w:val="00BC09ED"/>
    <w:rsid w:val="00BC0C4C"/>
    <w:rsid w:val="00BC12C2"/>
    <w:rsid w:val="00BC3E6D"/>
    <w:rsid w:val="00BD0A4B"/>
    <w:rsid w:val="00BD1294"/>
    <w:rsid w:val="00BD13E9"/>
    <w:rsid w:val="00BE1297"/>
    <w:rsid w:val="00BE3076"/>
    <w:rsid w:val="00BF5FA3"/>
    <w:rsid w:val="00C01746"/>
    <w:rsid w:val="00C20120"/>
    <w:rsid w:val="00C2474C"/>
    <w:rsid w:val="00C404E1"/>
    <w:rsid w:val="00C42C23"/>
    <w:rsid w:val="00C4603C"/>
    <w:rsid w:val="00C46ACC"/>
    <w:rsid w:val="00C56C67"/>
    <w:rsid w:val="00C6121C"/>
    <w:rsid w:val="00C618E3"/>
    <w:rsid w:val="00C64A8E"/>
    <w:rsid w:val="00C70143"/>
    <w:rsid w:val="00C755A7"/>
    <w:rsid w:val="00C76469"/>
    <w:rsid w:val="00C7656C"/>
    <w:rsid w:val="00C80156"/>
    <w:rsid w:val="00C81815"/>
    <w:rsid w:val="00C83B69"/>
    <w:rsid w:val="00C91EA4"/>
    <w:rsid w:val="00CA40D3"/>
    <w:rsid w:val="00CA42EB"/>
    <w:rsid w:val="00CB52E1"/>
    <w:rsid w:val="00CB5BDD"/>
    <w:rsid w:val="00CC6F8E"/>
    <w:rsid w:val="00CD3064"/>
    <w:rsid w:val="00CD4E12"/>
    <w:rsid w:val="00CD5605"/>
    <w:rsid w:val="00CD6BD7"/>
    <w:rsid w:val="00CE4D2A"/>
    <w:rsid w:val="00CF0B8F"/>
    <w:rsid w:val="00D047D6"/>
    <w:rsid w:val="00D05176"/>
    <w:rsid w:val="00D120B3"/>
    <w:rsid w:val="00D1503F"/>
    <w:rsid w:val="00D16DBC"/>
    <w:rsid w:val="00D20260"/>
    <w:rsid w:val="00D258D6"/>
    <w:rsid w:val="00D353F4"/>
    <w:rsid w:val="00D40F44"/>
    <w:rsid w:val="00D56C62"/>
    <w:rsid w:val="00D657CE"/>
    <w:rsid w:val="00D70914"/>
    <w:rsid w:val="00D713F7"/>
    <w:rsid w:val="00D72083"/>
    <w:rsid w:val="00D737FD"/>
    <w:rsid w:val="00D763F6"/>
    <w:rsid w:val="00D901B3"/>
    <w:rsid w:val="00DA1761"/>
    <w:rsid w:val="00DA39C7"/>
    <w:rsid w:val="00DA3FFB"/>
    <w:rsid w:val="00DA40F5"/>
    <w:rsid w:val="00DC0F0F"/>
    <w:rsid w:val="00DC15E8"/>
    <w:rsid w:val="00DC2B8B"/>
    <w:rsid w:val="00DC332D"/>
    <w:rsid w:val="00DC33CC"/>
    <w:rsid w:val="00DD3C7B"/>
    <w:rsid w:val="00DD3E98"/>
    <w:rsid w:val="00DE1B90"/>
    <w:rsid w:val="00DE559B"/>
    <w:rsid w:val="00DE61BA"/>
    <w:rsid w:val="00DE71DF"/>
    <w:rsid w:val="00E1343A"/>
    <w:rsid w:val="00E17890"/>
    <w:rsid w:val="00E26FD7"/>
    <w:rsid w:val="00E303BE"/>
    <w:rsid w:val="00E41837"/>
    <w:rsid w:val="00E46502"/>
    <w:rsid w:val="00E47FF3"/>
    <w:rsid w:val="00E56207"/>
    <w:rsid w:val="00E6509E"/>
    <w:rsid w:val="00E97352"/>
    <w:rsid w:val="00EA119D"/>
    <w:rsid w:val="00EA52B1"/>
    <w:rsid w:val="00EB388C"/>
    <w:rsid w:val="00EB3ECA"/>
    <w:rsid w:val="00EB6E33"/>
    <w:rsid w:val="00EB7322"/>
    <w:rsid w:val="00EC5061"/>
    <w:rsid w:val="00ED02C6"/>
    <w:rsid w:val="00ED40B5"/>
    <w:rsid w:val="00EE469C"/>
    <w:rsid w:val="00EE4A2E"/>
    <w:rsid w:val="00F25656"/>
    <w:rsid w:val="00F302B3"/>
    <w:rsid w:val="00F36774"/>
    <w:rsid w:val="00F51A92"/>
    <w:rsid w:val="00F5366F"/>
    <w:rsid w:val="00F53F54"/>
    <w:rsid w:val="00F62BC9"/>
    <w:rsid w:val="00F71A0E"/>
    <w:rsid w:val="00F73352"/>
    <w:rsid w:val="00F90210"/>
    <w:rsid w:val="00FA365E"/>
    <w:rsid w:val="00FA39E8"/>
    <w:rsid w:val="00FA5B65"/>
    <w:rsid w:val="00FB711C"/>
    <w:rsid w:val="00FB73CF"/>
    <w:rsid w:val="00FC53FD"/>
    <w:rsid w:val="00FD52A1"/>
    <w:rsid w:val="00FD7970"/>
    <w:rsid w:val="00FE10FF"/>
    <w:rsid w:val="00FF29A5"/>
    <w:rsid w:val="00FF6F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3CF441E-6CA3-44ED-AF93-5B647170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EF"/>
    <w:pPr>
      <w:widowControl w:val="0"/>
      <w:autoSpaceDE w:val="0"/>
      <w:autoSpaceDN w:val="0"/>
      <w:adjustRightInd w:val="0"/>
    </w:pPr>
    <w:rPr>
      <w:sz w:val="24"/>
      <w:szCs w:val="24"/>
      <w:lang w:eastAsia="zh-CN"/>
    </w:rPr>
  </w:style>
  <w:style w:type="paragraph" w:styleId="Heading1">
    <w:name w:val="heading 1"/>
    <w:aliases w:val="1 ghost,g,ghost,Ghost,h1,Chapter Number,Divider Page Text,1ghost,Ghost +,og,Graphic"/>
    <w:basedOn w:val="Normal"/>
    <w:next w:val="Normal"/>
    <w:link w:val="Heading1Char"/>
    <w:uiPriority w:val="99"/>
    <w:qFormat/>
    <w:rsid w:val="008702EF"/>
    <w:pPr>
      <w:keepNext/>
      <w:overflowPunct w:val="0"/>
      <w:textAlignment w:val="baseline"/>
      <w:outlineLvl w:val="0"/>
    </w:pPr>
    <w:rPr>
      <w:b/>
      <w:sz w:val="22"/>
      <w:szCs w:val="20"/>
      <w:lang w:eastAsia="en-US"/>
    </w:rPr>
  </w:style>
  <w:style w:type="paragraph" w:styleId="Heading2">
    <w:name w:val="heading 2"/>
    <w:basedOn w:val="Normal"/>
    <w:next w:val="Normal"/>
    <w:link w:val="Heading2Char"/>
    <w:uiPriority w:val="99"/>
    <w:qFormat/>
    <w:rsid w:val="008702EF"/>
    <w:pPr>
      <w:keepNext/>
      <w:tabs>
        <w:tab w:val="center" w:pos="4680"/>
      </w:tabs>
      <w:jc w:val="center"/>
      <w:outlineLvl w:val="1"/>
    </w:pPr>
    <w:rPr>
      <w:b/>
      <w:bCs/>
    </w:rPr>
  </w:style>
  <w:style w:type="paragraph" w:styleId="Heading3">
    <w:name w:val="heading 3"/>
    <w:aliases w:val="3 bullet,b,2,Second,SECOND,Bullet,bullet,BLANK2,4 bullet,h3,second,3bullet,bul,Bullet 1,B1,b1,blank1,3 dd,3 dbullet,ob,bbullet,3 cb,dot,3 gbullet,Bulle,bdullet"/>
    <w:basedOn w:val="Normal"/>
    <w:link w:val="Heading3Char"/>
    <w:uiPriority w:val="99"/>
    <w:qFormat/>
    <w:rsid w:val="008702EF"/>
    <w:pPr>
      <w:widowControl/>
      <w:overflowPunct w:val="0"/>
      <w:spacing w:line="360" w:lineRule="atLeast"/>
      <w:ind w:left="1094" w:right="547" w:hanging="547"/>
      <w:textAlignment w:val="baseline"/>
      <w:outlineLvl w:val="2"/>
    </w:pPr>
    <w:rPr>
      <w:rFonts w:ascii="Arial" w:hAnsi="Arial"/>
      <w:sz w:val="28"/>
      <w:szCs w:val="20"/>
      <w:lang w:eastAsia="en-US"/>
    </w:rPr>
  </w:style>
  <w:style w:type="paragraph" w:styleId="Heading4">
    <w:name w:val="heading 4"/>
    <w:basedOn w:val="Normal"/>
    <w:next w:val="Normal"/>
    <w:link w:val="Heading4Char"/>
    <w:uiPriority w:val="99"/>
    <w:qFormat/>
    <w:rsid w:val="008702EF"/>
    <w:pPr>
      <w:keepNext/>
      <w:widowControl/>
      <w:autoSpaceDE/>
      <w:autoSpaceDN/>
      <w:adjustRightInd/>
      <w:jc w:val="center"/>
      <w:outlineLvl w:val="3"/>
    </w:pPr>
    <w:rPr>
      <w:i/>
      <w:iCs/>
      <w:sz w:val="36"/>
      <w:szCs w:val="36"/>
      <w:lang w:eastAsia="en-US"/>
    </w:rPr>
  </w:style>
  <w:style w:type="paragraph" w:styleId="Heading5">
    <w:name w:val="heading 5"/>
    <w:basedOn w:val="Normal"/>
    <w:next w:val="Normal"/>
    <w:link w:val="Heading5Char"/>
    <w:uiPriority w:val="99"/>
    <w:qFormat/>
    <w:rsid w:val="008702EF"/>
    <w:pPr>
      <w:keepNext/>
      <w:jc w:val="center"/>
      <w:outlineLvl w:val="4"/>
    </w:pPr>
    <w:rPr>
      <w:i/>
      <w:iCs/>
      <w:sz w:val="28"/>
    </w:rPr>
  </w:style>
  <w:style w:type="paragraph" w:styleId="Heading6">
    <w:name w:val="heading 6"/>
    <w:basedOn w:val="Normal"/>
    <w:next w:val="Normal"/>
    <w:link w:val="Heading6Char"/>
    <w:uiPriority w:val="99"/>
    <w:qFormat/>
    <w:rsid w:val="00D120B3"/>
    <w:pPr>
      <w:keepNext/>
      <w:keepLines/>
      <w:spacing w:before="200"/>
      <w:outlineLvl w:val="5"/>
    </w:pPr>
    <w:rPr>
      <w:rFonts w:ascii="Cambria"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ghost Char,Ghost Char,h1 Char,Chapter Number Char,Divider Page Text Char,1ghost Char,Ghost + Char,og Char,Graphic Char"/>
    <w:link w:val="Heading1"/>
    <w:uiPriority w:val="9"/>
    <w:rsid w:val="00F96BDB"/>
    <w:rPr>
      <w:rFonts w:ascii="Calibri" w:eastAsia="Times New Roman" w:hAnsi="Calibri" w:cs="Times New Roman"/>
      <w:b/>
      <w:bCs/>
      <w:kern w:val="32"/>
      <w:sz w:val="32"/>
      <w:szCs w:val="32"/>
      <w:lang w:eastAsia="zh-CN"/>
    </w:rPr>
  </w:style>
  <w:style w:type="character" w:customStyle="1" w:styleId="Heading2Char">
    <w:name w:val="Heading 2 Char"/>
    <w:link w:val="Heading2"/>
    <w:uiPriority w:val="9"/>
    <w:semiHidden/>
    <w:rsid w:val="00F96BDB"/>
    <w:rPr>
      <w:rFonts w:ascii="Calibri" w:eastAsia="Times New Roman" w:hAnsi="Calibri" w:cs="Times New Roman"/>
      <w:b/>
      <w:bCs/>
      <w:i/>
      <w:iCs/>
      <w:sz w:val="28"/>
      <w:szCs w:val="28"/>
      <w:lang w:eastAsia="zh-CN"/>
    </w:rPr>
  </w:style>
  <w:style w:type="character" w:customStyle="1" w:styleId="Heading3Char">
    <w:name w:val="Heading 3 Char"/>
    <w:aliases w:val="3 bullet Char,b Char,2 Char,Second Char,SECOND Char,Bullet Char,bullet Char,BLANK2 Char,4 bullet Char,h3 Char,second Char,3bullet Char,bul Char,Bullet 1 Char,B1 Char,b1 Char,blank1 Char,3 dd Char,3 dbullet Char,ob Char,bbullet Char"/>
    <w:link w:val="Heading3"/>
    <w:uiPriority w:val="9"/>
    <w:semiHidden/>
    <w:rsid w:val="00F96BDB"/>
    <w:rPr>
      <w:rFonts w:ascii="Calibri" w:eastAsia="Times New Roman" w:hAnsi="Calibri" w:cs="Times New Roman"/>
      <w:b/>
      <w:bCs/>
      <w:sz w:val="26"/>
      <w:szCs w:val="26"/>
      <w:lang w:eastAsia="zh-CN"/>
    </w:rPr>
  </w:style>
  <w:style w:type="character" w:customStyle="1" w:styleId="Heading4Char">
    <w:name w:val="Heading 4 Char"/>
    <w:link w:val="Heading4"/>
    <w:uiPriority w:val="9"/>
    <w:semiHidden/>
    <w:rsid w:val="00F96BDB"/>
    <w:rPr>
      <w:rFonts w:ascii="Cambria" w:eastAsia="Times New Roman" w:hAnsi="Cambria" w:cs="Times New Roman"/>
      <w:b/>
      <w:bCs/>
      <w:sz w:val="28"/>
      <w:szCs w:val="28"/>
      <w:lang w:eastAsia="zh-CN"/>
    </w:rPr>
  </w:style>
  <w:style w:type="character" w:customStyle="1" w:styleId="Heading5Char">
    <w:name w:val="Heading 5 Char"/>
    <w:link w:val="Heading5"/>
    <w:uiPriority w:val="9"/>
    <w:semiHidden/>
    <w:rsid w:val="00F96BDB"/>
    <w:rPr>
      <w:rFonts w:ascii="Cambria" w:eastAsia="Times New Roman" w:hAnsi="Cambria" w:cs="Times New Roman"/>
      <w:b/>
      <w:bCs/>
      <w:i/>
      <w:iCs/>
      <w:sz w:val="26"/>
      <w:szCs w:val="26"/>
      <w:lang w:eastAsia="zh-CN"/>
    </w:rPr>
  </w:style>
  <w:style w:type="character" w:customStyle="1" w:styleId="Heading6Char">
    <w:name w:val="Heading 6 Char"/>
    <w:link w:val="Heading6"/>
    <w:uiPriority w:val="99"/>
    <w:semiHidden/>
    <w:rsid w:val="00D120B3"/>
    <w:rPr>
      <w:rFonts w:ascii="Cambria" w:hAnsi="Cambria"/>
      <w:i/>
      <w:color w:val="243F60"/>
      <w:sz w:val="24"/>
      <w:lang w:eastAsia="zh-CN"/>
    </w:rPr>
  </w:style>
  <w:style w:type="character" w:styleId="FootnoteReference">
    <w:name w:val="footnote reference"/>
    <w:uiPriority w:val="99"/>
    <w:semiHidden/>
    <w:rsid w:val="008702EF"/>
    <w:rPr>
      <w:rFonts w:cs="Times New Roman"/>
    </w:rPr>
  </w:style>
  <w:style w:type="paragraph" w:customStyle="1" w:styleId="Level1">
    <w:name w:val="Level 1"/>
    <w:basedOn w:val="Normal"/>
    <w:uiPriority w:val="99"/>
    <w:rsid w:val="008702EF"/>
    <w:pPr>
      <w:numPr>
        <w:numId w:val="1"/>
      </w:numPr>
      <w:ind w:left="720" w:hanging="720"/>
      <w:outlineLvl w:val="0"/>
    </w:pPr>
  </w:style>
  <w:style w:type="paragraph" w:styleId="BodyTextIndent">
    <w:name w:val="Body Text Indent"/>
    <w:basedOn w:val="Normal"/>
    <w:link w:val="BodyTextIndentChar"/>
    <w:uiPriority w:val="99"/>
    <w:semiHidden/>
    <w:rsid w:val="008702EF"/>
    <w:pPr>
      <w:ind w:left="-90"/>
    </w:pPr>
    <w:rPr>
      <w:lang w:eastAsia="en-US"/>
    </w:rPr>
  </w:style>
  <w:style w:type="character" w:customStyle="1" w:styleId="BodyTextIndentChar">
    <w:name w:val="Body Text Indent Char"/>
    <w:link w:val="BodyTextIndent"/>
    <w:uiPriority w:val="99"/>
    <w:semiHidden/>
    <w:rsid w:val="00F96BDB"/>
    <w:rPr>
      <w:sz w:val="24"/>
      <w:szCs w:val="24"/>
      <w:lang w:eastAsia="zh-CN"/>
    </w:rPr>
  </w:style>
  <w:style w:type="paragraph" w:styleId="BodyText">
    <w:name w:val="Body Text"/>
    <w:basedOn w:val="Normal"/>
    <w:link w:val="BodyTextChar"/>
    <w:uiPriority w:val="99"/>
    <w:semiHidden/>
    <w:rsid w:val="008702EF"/>
    <w:pPr>
      <w:overflowPunct w:val="0"/>
      <w:textAlignment w:val="baseline"/>
    </w:pPr>
    <w:rPr>
      <w:sz w:val="22"/>
      <w:szCs w:val="20"/>
      <w:lang w:eastAsia="en-US"/>
    </w:rPr>
  </w:style>
  <w:style w:type="character" w:customStyle="1" w:styleId="BodyTextChar">
    <w:name w:val="Body Text Char"/>
    <w:link w:val="BodyText"/>
    <w:uiPriority w:val="99"/>
    <w:semiHidden/>
    <w:rsid w:val="000D308D"/>
    <w:rPr>
      <w:rFonts w:eastAsia="Times New Roman"/>
      <w:sz w:val="22"/>
    </w:rPr>
  </w:style>
  <w:style w:type="paragraph" w:styleId="NormalWeb">
    <w:name w:val="Normal (Web)"/>
    <w:basedOn w:val="Normal"/>
    <w:uiPriority w:val="99"/>
    <w:rsid w:val="008702EF"/>
    <w:pPr>
      <w:widowControl/>
      <w:overflowPunct w:val="0"/>
      <w:spacing w:before="100" w:after="100"/>
      <w:textAlignment w:val="baseline"/>
    </w:pPr>
    <w:rPr>
      <w:rFonts w:ascii="Arial Unicode MS" w:eastAsia="Times New Roman"/>
      <w:szCs w:val="20"/>
      <w:lang w:eastAsia="en-US"/>
    </w:rPr>
  </w:style>
  <w:style w:type="paragraph" w:styleId="FootnoteText">
    <w:name w:val="footnote text"/>
    <w:basedOn w:val="Normal"/>
    <w:link w:val="FootnoteTextChar"/>
    <w:uiPriority w:val="99"/>
    <w:semiHidden/>
    <w:rsid w:val="008702EF"/>
    <w:pPr>
      <w:widowControl/>
      <w:overflowPunct w:val="0"/>
      <w:textAlignment w:val="baseline"/>
    </w:pPr>
    <w:rPr>
      <w:sz w:val="20"/>
      <w:szCs w:val="20"/>
      <w:lang w:eastAsia="en-US"/>
    </w:rPr>
  </w:style>
  <w:style w:type="character" w:customStyle="1" w:styleId="FootnoteTextChar">
    <w:name w:val="Footnote Text Char"/>
    <w:link w:val="FootnoteText"/>
    <w:uiPriority w:val="99"/>
    <w:semiHidden/>
    <w:rsid w:val="00D120B3"/>
    <w:rPr>
      <w:rFonts w:eastAsia="Times New Roman"/>
    </w:rPr>
  </w:style>
  <w:style w:type="paragraph" w:styleId="BodyTextIndent2">
    <w:name w:val="Body Text Indent 2"/>
    <w:basedOn w:val="Normal"/>
    <w:link w:val="BodyTextIndent2Char"/>
    <w:uiPriority w:val="99"/>
    <w:semiHidden/>
    <w:rsid w:val="008702EF"/>
    <w:pPr>
      <w:tabs>
        <w:tab w:val="left" w:pos="180"/>
      </w:tabs>
      <w:ind w:left="540" w:hanging="180"/>
    </w:pPr>
    <w:rPr>
      <w:sz w:val="20"/>
    </w:rPr>
  </w:style>
  <w:style w:type="character" w:customStyle="1" w:styleId="BodyTextIndent2Char">
    <w:name w:val="Body Text Indent 2 Char"/>
    <w:link w:val="BodyTextIndent2"/>
    <w:uiPriority w:val="99"/>
    <w:semiHidden/>
    <w:rsid w:val="00F96BDB"/>
    <w:rPr>
      <w:sz w:val="24"/>
      <w:szCs w:val="24"/>
      <w:lang w:eastAsia="zh-CN"/>
    </w:rPr>
  </w:style>
  <w:style w:type="paragraph" w:styleId="Header">
    <w:name w:val="header"/>
    <w:basedOn w:val="Normal"/>
    <w:link w:val="HeaderChar"/>
    <w:uiPriority w:val="99"/>
    <w:semiHidden/>
    <w:rsid w:val="008702EF"/>
    <w:pPr>
      <w:widowControl/>
      <w:tabs>
        <w:tab w:val="center" w:pos="6480"/>
        <w:tab w:val="right" w:pos="12960"/>
      </w:tabs>
      <w:overflowPunct w:val="0"/>
      <w:textAlignment w:val="baseline"/>
    </w:pPr>
    <w:rPr>
      <w:rFonts w:ascii="Arial" w:hAnsi="Arial"/>
      <w:szCs w:val="20"/>
      <w:lang w:eastAsia="en-US"/>
    </w:rPr>
  </w:style>
  <w:style w:type="character" w:customStyle="1" w:styleId="HeaderChar">
    <w:name w:val="Header Char"/>
    <w:link w:val="Header"/>
    <w:uiPriority w:val="99"/>
    <w:semiHidden/>
    <w:rsid w:val="00F96BDB"/>
    <w:rPr>
      <w:sz w:val="24"/>
      <w:szCs w:val="24"/>
      <w:lang w:eastAsia="zh-CN"/>
    </w:rPr>
  </w:style>
  <w:style w:type="paragraph" w:styleId="Footer">
    <w:name w:val="footer"/>
    <w:basedOn w:val="Normal"/>
    <w:link w:val="FooterChar"/>
    <w:uiPriority w:val="99"/>
    <w:rsid w:val="008702EF"/>
    <w:pPr>
      <w:tabs>
        <w:tab w:val="center" w:pos="4320"/>
        <w:tab w:val="right" w:pos="8640"/>
      </w:tabs>
    </w:pPr>
  </w:style>
  <w:style w:type="character" w:customStyle="1" w:styleId="FooterChar">
    <w:name w:val="Footer Char"/>
    <w:link w:val="Footer"/>
    <w:uiPriority w:val="99"/>
    <w:rsid w:val="00F96BDB"/>
    <w:rPr>
      <w:sz w:val="24"/>
      <w:szCs w:val="24"/>
      <w:lang w:eastAsia="zh-CN"/>
    </w:rPr>
  </w:style>
  <w:style w:type="paragraph" w:styleId="Title">
    <w:name w:val="Title"/>
    <w:basedOn w:val="Normal"/>
    <w:link w:val="TitleChar"/>
    <w:uiPriority w:val="99"/>
    <w:qFormat/>
    <w:rsid w:val="008702EF"/>
    <w:pPr>
      <w:widowControl/>
      <w:overflowPunct w:val="0"/>
      <w:jc w:val="center"/>
      <w:textAlignment w:val="baseline"/>
    </w:pPr>
    <w:rPr>
      <w:sz w:val="28"/>
      <w:szCs w:val="20"/>
      <w:lang w:eastAsia="en-US"/>
    </w:rPr>
  </w:style>
  <w:style w:type="character" w:customStyle="1" w:styleId="TitleChar">
    <w:name w:val="Title Char"/>
    <w:link w:val="Title"/>
    <w:uiPriority w:val="10"/>
    <w:rsid w:val="00F96BDB"/>
    <w:rPr>
      <w:rFonts w:ascii="Calibri" w:eastAsia="Times New Roman" w:hAnsi="Calibri" w:cs="Times New Roman"/>
      <w:b/>
      <w:bCs/>
      <w:kern w:val="28"/>
      <w:sz w:val="32"/>
      <w:szCs w:val="32"/>
      <w:lang w:eastAsia="zh-CN"/>
    </w:rPr>
  </w:style>
  <w:style w:type="paragraph" w:customStyle="1" w:styleId="ChartFigureBig">
    <w:name w:val="Chart/Figure Big"/>
    <w:basedOn w:val="Normal"/>
    <w:next w:val="Normal"/>
    <w:uiPriority w:val="99"/>
    <w:rsid w:val="008702EF"/>
    <w:pPr>
      <w:overflowPunct w:val="0"/>
      <w:jc w:val="center"/>
      <w:textAlignment w:val="baseline"/>
    </w:pPr>
    <w:rPr>
      <w:kern w:val="22"/>
      <w:sz w:val="22"/>
      <w:szCs w:val="22"/>
      <w:lang w:eastAsia="en-US"/>
    </w:rPr>
  </w:style>
  <w:style w:type="paragraph" w:customStyle="1" w:styleId="HeaderProjectName">
    <w:name w:val="Header/Project Name"/>
    <w:basedOn w:val="Header"/>
    <w:uiPriority w:val="99"/>
    <w:rsid w:val="008702EF"/>
    <w:pPr>
      <w:tabs>
        <w:tab w:val="clear" w:pos="6480"/>
        <w:tab w:val="clear" w:pos="12960"/>
        <w:tab w:val="right" w:pos="9000"/>
      </w:tabs>
      <w:overflowPunct/>
      <w:autoSpaceDE/>
      <w:autoSpaceDN/>
      <w:adjustRightInd/>
      <w:spacing w:line="260" w:lineRule="exact"/>
      <w:textAlignment w:val="auto"/>
    </w:pPr>
    <w:rPr>
      <w:rFonts w:ascii="Arial Narrow" w:hAnsi="Arial Narrow"/>
      <w:i/>
      <w:smallCaps/>
      <w:kern w:val="16"/>
      <w:sz w:val="16"/>
    </w:rPr>
  </w:style>
  <w:style w:type="character" w:styleId="PageNumber">
    <w:name w:val="page number"/>
    <w:uiPriority w:val="99"/>
    <w:semiHidden/>
    <w:rsid w:val="008702EF"/>
    <w:rPr>
      <w:rFonts w:cs="Times New Roman"/>
    </w:rPr>
  </w:style>
  <w:style w:type="paragraph" w:styleId="BlockText">
    <w:name w:val="Block Text"/>
    <w:basedOn w:val="Normal"/>
    <w:uiPriority w:val="99"/>
    <w:semiHidden/>
    <w:rsid w:val="008702EF"/>
    <w:pPr>
      <w:widowControl/>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ind w:left="3600" w:right="2160" w:hanging="3600"/>
      <w:jc w:val="both"/>
    </w:pPr>
    <w:rPr>
      <w:spacing w:val="-3"/>
      <w:lang w:eastAsia="en-US"/>
    </w:rPr>
  </w:style>
  <w:style w:type="paragraph" w:styleId="PlainText">
    <w:name w:val="Plain Text"/>
    <w:basedOn w:val="Normal"/>
    <w:link w:val="PlainTextChar"/>
    <w:uiPriority w:val="99"/>
    <w:semiHidden/>
    <w:rsid w:val="008702EF"/>
    <w:pPr>
      <w:widowControl/>
      <w:autoSpaceDE/>
      <w:autoSpaceDN/>
      <w:adjustRightInd/>
    </w:pPr>
    <w:rPr>
      <w:rFonts w:ascii="Courier New" w:hAnsi="Courier New" w:cs="Courier New"/>
      <w:sz w:val="20"/>
      <w:szCs w:val="20"/>
      <w:lang w:eastAsia="en-US"/>
    </w:rPr>
  </w:style>
  <w:style w:type="character" w:customStyle="1" w:styleId="PlainTextChar">
    <w:name w:val="Plain Text Char"/>
    <w:link w:val="PlainText"/>
    <w:uiPriority w:val="99"/>
    <w:semiHidden/>
    <w:rsid w:val="00F96BDB"/>
    <w:rPr>
      <w:rFonts w:ascii="Courier" w:hAnsi="Courier"/>
      <w:lang w:eastAsia="zh-CN"/>
    </w:rPr>
  </w:style>
  <w:style w:type="paragraph" w:styleId="BodyText2">
    <w:name w:val="Body Text 2"/>
    <w:basedOn w:val="Normal"/>
    <w:link w:val="BodyText2Char"/>
    <w:uiPriority w:val="99"/>
    <w:semiHidden/>
    <w:rsid w:val="008702EF"/>
    <w:pPr>
      <w:widowControl/>
      <w:tabs>
        <w:tab w:val="left" w:pos="-720"/>
        <w:tab w:val="left" w:pos="0"/>
        <w:tab w:val="left" w:pos="720"/>
        <w:tab w:val="left" w:pos="1440"/>
        <w:tab w:val="left" w:pos="270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jc w:val="both"/>
    </w:pPr>
    <w:rPr>
      <w:spacing w:val="-3"/>
      <w:lang w:eastAsia="en-US"/>
    </w:rPr>
  </w:style>
  <w:style w:type="character" w:customStyle="1" w:styleId="BodyText2Char">
    <w:name w:val="Body Text 2 Char"/>
    <w:link w:val="BodyText2"/>
    <w:uiPriority w:val="99"/>
    <w:semiHidden/>
    <w:rsid w:val="00F96BDB"/>
    <w:rPr>
      <w:sz w:val="24"/>
      <w:szCs w:val="24"/>
      <w:lang w:eastAsia="zh-CN"/>
    </w:rPr>
  </w:style>
  <w:style w:type="paragraph" w:customStyle="1" w:styleId="BasicParagraph">
    <w:name w:val="[Basic Paragraph]"/>
    <w:basedOn w:val="Normal"/>
    <w:uiPriority w:val="99"/>
    <w:rsid w:val="00E26FD7"/>
    <w:pPr>
      <w:widowControl/>
      <w:spacing w:line="288" w:lineRule="auto"/>
      <w:textAlignment w:val="center"/>
    </w:pPr>
    <w:rPr>
      <w:color w:val="000000"/>
      <w:lang w:eastAsia="en-US"/>
    </w:rPr>
  </w:style>
  <w:style w:type="character" w:styleId="Hyperlink">
    <w:name w:val="Hyperlink"/>
    <w:uiPriority w:val="99"/>
    <w:rsid w:val="0059319B"/>
    <w:rPr>
      <w:rFonts w:cs="Times New Roman"/>
      <w:color w:val="0000FF"/>
      <w:u w:val="single"/>
    </w:rPr>
  </w:style>
  <w:style w:type="paragraph" w:styleId="EndnoteText">
    <w:name w:val="endnote text"/>
    <w:basedOn w:val="Normal"/>
    <w:link w:val="EndnoteTextChar"/>
    <w:uiPriority w:val="99"/>
    <w:semiHidden/>
    <w:rsid w:val="00E56207"/>
    <w:rPr>
      <w:sz w:val="20"/>
      <w:szCs w:val="20"/>
    </w:rPr>
  </w:style>
  <w:style w:type="character" w:customStyle="1" w:styleId="EndnoteTextChar">
    <w:name w:val="Endnote Text Char"/>
    <w:link w:val="EndnoteText"/>
    <w:uiPriority w:val="99"/>
    <w:semiHidden/>
    <w:rsid w:val="00E56207"/>
    <w:rPr>
      <w:lang w:eastAsia="zh-CN"/>
    </w:rPr>
  </w:style>
  <w:style w:type="character" w:styleId="EndnoteReference">
    <w:name w:val="endnote reference"/>
    <w:uiPriority w:val="99"/>
    <w:semiHidden/>
    <w:rsid w:val="00E56207"/>
    <w:rPr>
      <w:rFonts w:cs="Times New Roman"/>
      <w:vertAlign w:val="superscript"/>
    </w:rPr>
  </w:style>
  <w:style w:type="paragraph" w:customStyle="1" w:styleId="Pa4">
    <w:name w:val="Pa4"/>
    <w:basedOn w:val="Normal"/>
    <w:next w:val="Normal"/>
    <w:uiPriority w:val="99"/>
    <w:rsid w:val="000505DE"/>
    <w:pPr>
      <w:widowControl/>
      <w:spacing w:line="221" w:lineRule="atLeast"/>
    </w:pPr>
    <w:rPr>
      <w:rFonts w:ascii="Copperplate Std 33 BC" w:hAnsi="Copperplate Std 33 BC"/>
      <w:lang w:eastAsia="en-US"/>
    </w:rPr>
  </w:style>
  <w:style w:type="character" w:styleId="CommentReference">
    <w:name w:val="annotation reference"/>
    <w:uiPriority w:val="99"/>
    <w:semiHidden/>
    <w:rsid w:val="00EE4A2E"/>
    <w:rPr>
      <w:rFonts w:cs="Times New Roman"/>
      <w:sz w:val="16"/>
    </w:rPr>
  </w:style>
  <w:style w:type="paragraph" w:styleId="CommentText">
    <w:name w:val="annotation text"/>
    <w:basedOn w:val="Normal"/>
    <w:link w:val="CommentTextChar"/>
    <w:uiPriority w:val="99"/>
    <w:semiHidden/>
    <w:rsid w:val="00EE4A2E"/>
    <w:rPr>
      <w:sz w:val="20"/>
      <w:szCs w:val="20"/>
    </w:rPr>
  </w:style>
  <w:style w:type="character" w:customStyle="1" w:styleId="CommentTextChar">
    <w:name w:val="Comment Text Char"/>
    <w:link w:val="CommentText"/>
    <w:uiPriority w:val="99"/>
    <w:semiHidden/>
    <w:rsid w:val="00EE4A2E"/>
    <w:rPr>
      <w:lang w:eastAsia="zh-CN"/>
    </w:rPr>
  </w:style>
  <w:style w:type="paragraph" w:styleId="CommentSubject">
    <w:name w:val="annotation subject"/>
    <w:basedOn w:val="CommentText"/>
    <w:next w:val="CommentText"/>
    <w:link w:val="CommentSubjectChar"/>
    <w:uiPriority w:val="99"/>
    <w:semiHidden/>
    <w:rsid w:val="00EE4A2E"/>
    <w:rPr>
      <w:b/>
      <w:bCs/>
    </w:rPr>
  </w:style>
  <w:style w:type="character" w:customStyle="1" w:styleId="CommentSubjectChar">
    <w:name w:val="Comment Subject Char"/>
    <w:link w:val="CommentSubject"/>
    <w:uiPriority w:val="99"/>
    <w:semiHidden/>
    <w:rsid w:val="00EE4A2E"/>
    <w:rPr>
      <w:b/>
      <w:lang w:eastAsia="zh-CN"/>
    </w:rPr>
  </w:style>
  <w:style w:type="paragraph" w:styleId="BalloonText">
    <w:name w:val="Balloon Text"/>
    <w:basedOn w:val="Normal"/>
    <w:link w:val="BalloonTextChar"/>
    <w:uiPriority w:val="99"/>
    <w:semiHidden/>
    <w:rsid w:val="00EE4A2E"/>
    <w:rPr>
      <w:rFonts w:ascii="Tahoma" w:hAnsi="Tahoma"/>
      <w:sz w:val="16"/>
      <w:szCs w:val="16"/>
    </w:rPr>
  </w:style>
  <w:style w:type="character" w:customStyle="1" w:styleId="BalloonTextChar">
    <w:name w:val="Balloon Text Char"/>
    <w:link w:val="BalloonText"/>
    <w:uiPriority w:val="99"/>
    <w:semiHidden/>
    <w:rsid w:val="00EE4A2E"/>
    <w:rPr>
      <w:rFonts w:ascii="Tahoma" w:hAnsi="Tahoma"/>
      <w:sz w:val="16"/>
      <w:lang w:eastAsia="zh-CN"/>
    </w:rPr>
  </w:style>
  <w:style w:type="paragraph" w:customStyle="1" w:styleId="LastPara">
    <w:name w:val="Last Para"/>
    <w:basedOn w:val="Normal"/>
    <w:next w:val="Heading1"/>
    <w:rsid w:val="00C81815"/>
    <w:pPr>
      <w:widowControl/>
      <w:autoSpaceDE/>
      <w:autoSpaceDN/>
      <w:adjustRightInd/>
      <w:spacing w:after="840" w:line="260" w:lineRule="exact"/>
      <w:ind w:left="1440"/>
    </w:pPr>
    <w:rPr>
      <w:rFonts w:eastAsia="Times New Roman"/>
      <w:kern w:val="22"/>
      <w:sz w:val="22"/>
      <w:szCs w:val="20"/>
      <w:lang w:eastAsia="en-US"/>
    </w:rPr>
  </w:style>
  <w:style w:type="table" w:styleId="TableGrid">
    <w:name w:val="Table Grid"/>
    <w:basedOn w:val="TableNormal"/>
    <w:uiPriority w:val="59"/>
    <w:rsid w:val="00EB7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71D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jerryk@americandirections.com" TargetMode="External"/><Relationship Id="rId2" Type="http://schemas.openxmlformats.org/officeDocument/2006/relationships/customXml" Target="../customXml/item2.xml"/><Relationship Id="rId16" Type="http://schemas.openxmlformats.org/officeDocument/2006/relationships/hyperlink" Target="mailto:tom.wilkinson@altarum.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hris.duke@altarum.org"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Martinez@hrs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7B6E-70C4-4737-A669-2367EF585DC9}">
  <ds:schemaRefs>
    <ds:schemaRef ds:uri="http://schemas.microsoft.com/sharepoint/events"/>
  </ds:schemaRefs>
</ds:datastoreItem>
</file>

<file path=customXml/itemProps2.xml><?xml version="1.0" encoding="utf-8"?>
<ds:datastoreItem xmlns:ds="http://schemas.openxmlformats.org/officeDocument/2006/customXml" ds:itemID="{F379022B-094D-402C-A575-77A87241EE20}">
  <ds:schemaRefs>
    <ds:schemaRef ds:uri="http://schemas.microsoft.com/office/2006/metadata/longProperties"/>
  </ds:schemaRefs>
</ds:datastoreItem>
</file>

<file path=customXml/itemProps3.xml><?xml version="1.0" encoding="utf-8"?>
<ds:datastoreItem xmlns:ds="http://schemas.openxmlformats.org/officeDocument/2006/customXml" ds:itemID="{5B469090-9544-4196-9A04-96E6482F67FA}">
  <ds:schemaRefs>
    <ds:schemaRef ds:uri="Microsoft.SharePoint.Taxonomy.ContentTypeSync"/>
  </ds:schemaRefs>
</ds:datastoreItem>
</file>

<file path=customXml/itemProps4.xml><?xml version="1.0" encoding="utf-8"?>
<ds:datastoreItem xmlns:ds="http://schemas.openxmlformats.org/officeDocument/2006/customXml" ds:itemID="{BA541AEC-BE94-4B14-8239-41B862516593}">
  <ds:schemaRefs>
    <ds:schemaRef ds:uri="http://schemas.microsoft.com/sharepoint/v3/contenttype/forms"/>
  </ds:schemaRefs>
</ds:datastoreItem>
</file>

<file path=customXml/itemProps5.xml><?xml version="1.0" encoding="utf-8"?>
<ds:datastoreItem xmlns:ds="http://schemas.openxmlformats.org/officeDocument/2006/customXml" ds:itemID="{2B05B7EF-8ACF-4D36-A533-268F27ECB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426B58-773C-4B8A-B50C-EA97429CEE1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3a5afd-1424-405b-82d9-63deec7446f8"/>
    <ds:schemaRef ds:uri="http://purl.org/dc/terms/"/>
    <ds:schemaRef ds:uri="http://www.w3.org/XML/1998/namespace"/>
    <ds:schemaRef ds:uri="http://purl.org/dc/dcmitype/"/>
  </ds:schemaRefs>
</ds:datastoreItem>
</file>

<file path=customXml/itemProps7.xml><?xml version="1.0" encoding="utf-8"?>
<ds:datastoreItem xmlns:ds="http://schemas.openxmlformats.org/officeDocument/2006/customXml" ds:itemID="{0F5C7C00-5F1C-4585-BCFA-73F4B09B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05032021_ Supporting Statement B_National Survey 0915-0290 OMB Package</vt:lpstr>
    </vt:vector>
  </TitlesOfParts>
  <Company>Gallup, Inc.</Company>
  <LinksUpToDate>false</LinksUpToDate>
  <CharactersWithSpaces>18495</CharactersWithSpaces>
  <SharedDoc>false</SharedDoc>
  <HLinks>
    <vt:vector size="24" baseType="variant">
      <vt:variant>
        <vt:i4>3866633</vt:i4>
      </vt:variant>
      <vt:variant>
        <vt:i4>9</vt:i4>
      </vt:variant>
      <vt:variant>
        <vt:i4>0</vt:i4>
      </vt:variant>
      <vt:variant>
        <vt:i4>5</vt:i4>
      </vt:variant>
      <vt:variant>
        <vt:lpwstr>mailto:jerryk@americandirections.com</vt:lpwstr>
      </vt:variant>
      <vt:variant>
        <vt:lpwstr/>
      </vt:variant>
      <vt:variant>
        <vt:i4>1441900</vt:i4>
      </vt:variant>
      <vt:variant>
        <vt:i4>6</vt:i4>
      </vt:variant>
      <vt:variant>
        <vt:i4>0</vt:i4>
      </vt:variant>
      <vt:variant>
        <vt:i4>5</vt:i4>
      </vt:variant>
      <vt:variant>
        <vt:lpwstr>mailto:tom.wilkinson@altarum.org</vt:lpwstr>
      </vt:variant>
      <vt:variant>
        <vt:lpwstr/>
      </vt:variant>
      <vt:variant>
        <vt:i4>7012368</vt:i4>
      </vt:variant>
      <vt:variant>
        <vt:i4>3</vt:i4>
      </vt:variant>
      <vt:variant>
        <vt:i4>0</vt:i4>
      </vt:variant>
      <vt:variant>
        <vt:i4>5</vt:i4>
      </vt:variant>
      <vt:variant>
        <vt:lpwstr>mailto:chris.duke@altarum.org</vt:lpwstr>
      </vt:variant>
      <vt:variant>
        <vt:lpwstr/>
      </vt:variant>
      <vt:variant>
        <vt:i4>5767277</vt:i4>
      </vt:variant>
      <vt:variant>
        <vt:i4>0</vt:i4>
      </vt:variant>
      <vt:variant>
        <vt:i4>0</vt:i4>
      </vt:variant>
      <vt:variant>
        <vt:i4>5</vt:i4>
      </vt:variant>
      <vt:variant>
        <vt:lpwstr>mailto:AMartinez@hrsa.gov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05032021_ Supporting Statement B_National Survey 0915-0290 OMB Package</dc:title>
  <dc:subject/>
  <dc:creator>Yaeko Tise</dc:creator>
  <cp:keywords/>
  <cp:lastModifiedBy>Elyana N.  Bowman</cp:lastModifiedBy>
  <cp:revision>2</cp:revision>
  <cp:lastPrinted>2018-04-17T18:36:00Z</cp:lastPrinted>
  <dcterms:created xsi:type="dcterms:W3CDTF">2021-06-01T20:13:00Z</dcterms:created>
  <dcterms:modified xsi:type="dcterms:W3CDTF">2021-06-01T20:13:00Z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57100.0000000000</vt:lpwstr>
  </property>
  <property fmtid="{D5CDD505-2E9C-101B-9397-08002B2CF9AE}" pid="3" name="_dlc_DocId">
    <vt:lpwstr>QPVJESM53SK4-2028541707-30616</vt:lpwstr>
  </property>
  <property fmtid="{D5CDD505-2E9C-101B-9397-08002B2CF9AE}" pid="4" name="_dlc_DocIdItemGuid">
    <vt:lpwstr>10e2df75-7f06-4ebd-918b-b12714b3cbe2</vt:lpwstr>
  </property>
  <property fmtid="{D5CDD505-2E9C-101B-9397-08002B2CF9AE}" pid="5" name="_dlc_DocIdUrl">
    <vt:lpwstr>https://sharepoint.hrsa.gov/sites/HSB/dot/_layouts/15/DocIdRedir.aspx?ID=QPVJESM53SK4-2028541707-30616, QPVJESM53SK4-2028541707-30616</vt:lpwstr>
  </property>
</Properties>
</file>