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145EE" w:rsidR="00E81E5D" w:rsidRDefault="005C01AF" w14:paraId="5EA0C1F3" w14:textId="77777777">
      <w:pPr>
        <w:spacing w:line="480" w:lineRule="auto"/>
        <w:jc w:val="center"/>
        <w:rPr>
          <w:rFonts w:ascii="Calibri" w:hAnsi="Calibri" w:cs="Courier New"/>
          <w:b/>
          <w:sz w:val="28"/>
          <w:szCs w:val="28"/>
        </w:rPr>
      </w:pPr>
      <w:r w:rsidRPr="00D145EE">
        <w:rPr>
          <w:rFonts w:ascii="Calibri" w:hAnsi="Calibri" w:cs="Courier New"/>
          <w:b/>
          <w:sz w:val="28"/>
          <w:szCs w:val="28"/>
        </w:rPr>
        <w:t>Strengthening United States Response to Resistant Gonorrhea</w:t>
      </w:r>
      <w:r w:rsidR="007324E7">
        <w:rPr>
          <w:rFonts w:ascii="Calibri" w:hAnsi="Calibri" w:cs="Courier New"/>
          <w:b/>
          <w:sz w:val="28"/>
          <w:szCs w:val="28"/>
        </w:rPr>
        <w:t xml:space="preserve"> (SURRG)</w:t>
      </w:r>
    </w:p>
    <w:p w:rsidRPr="00763FD7" w:rsidR="00E314C0" w:rsidRDefault="00E81E5D" w14:paraId="583D7353" w14:textId="676DA410">
      <w:pPr>
        <w:spacing w:line="480" w:lineRule="auto"/>
        <w:jc w:val="center"/>
        <w:rPr>
          <w:rFonts w:ascii="Calibri" w:hAnsi="Calibri" w:cs="Courier New"/>
          <w:b/>
          <w:sz w:val="28"/>
          <w:szCs w:val="28"/>
        </w:rPr>
      </w:pPr>
      <w:r w:rsidRPr="00D145EE">
        <w:rPr>
          <w:rFonts w:ascii="Calibri" w:hAnsi="Calibri" w:cs="Courier New"/>
          <w:b/>
          <w:sz w:val="28"/>
          <w:szCs w:val="28"/>
        </w:rPr>
        <w:t xml:space="preserve">OMB </w:t>
      </w:r>
      <w:r w:rsidRPr="00763FD7" w:rsidR="00E314C0">
        <w:rPr>
          <w:rFonts w:ascii="Calibri" w:hAnsi="Calibri" w:cs="Courier New"/>
          <w:b/>
          <w:sz w:val="28"/>
          <w:szCs w:val="28"/>
        </w:rPr>
        <w:t>0920-</w:t>
      </w:r>
      <w:r w:rsidR="00A04C49">
        <w:rPr>
          <w:rFonts w:ascii="Calibri" w:hAnsi="Calibri" w:cs="Courier New"/>
          <w:b/>
          <w:sz w:val="28"/>
          <w:szCs w:val="28"/>
        </w:rPr>
        <w:t>1242</w:t>
      </w:r>
    </w:p>
    <w:p w:rsidRPr="00D145EE" w:rsidR="00E81E5D" w:rsidP="00434045" w:rsidRDefault="00E81E5D" w14:paraId="487E0E25" w14:textId="77777777">
      <w:pPr>
        <w:spacing w:line="480" w:lineRule="auto"/>
        <w:jc w:val="center"/>
        <w:rPr>
          <w:rFonts w:ascii="Calibri" w:hAnsi="Calibri" w:cs="Courier New"/>
          <w:b/>
        </w:rPr>
      </w:pPr>
      <w:r w:rsidRPr="00D145EE">
        <w:rPr>
          <w:rFonts w:ascii="Calibri" w:hAnsi="Calibri" w:cs="Courier New"/>
          <w:b/>
        </w:rPr>
        <w:t>Supporting Statement – Part A</w:t>
      </w:r>
    </w:p>
    <w:p w:rsidRPr="00D145EE" w:rsidR="00E314C0" w:rsidRDefault="00E314C0" w14:paraId="26F176DD" w14:textId="77777777">
      <w:pPr>
        <w:spacing w:line="480" w:lineRule="auto"/>
        <w:jc w:val="center"/>
        <w:rPr>
          <w:rFonts w:ascii="Calibri" w:hAnsi="Calibri" w:cs="Courier New"/>
          <w:b/>
        </w:rPr>
      </w:pPr>
    </w:p>
    <w:p w:rsidRPr="008A6D79" w:rsidR="00E81E5D" w:rsidP="00B4007A" w:rsidRDefault="00A96AE5" w14:paraId="1869B276" w14:textId="07D43F29">
      <w:pPr>
        <w:spacing w:line="480" w:lineRule="auto"/>
        <w:jc w:val="center"/>
        <w:rPr>
          <w:rFonts w:ascii="Calibri" w:hAnsi="Calibri" w:cs="Courier New"/>
          <w:b/>
        </w:rPr>
      </w:pPr>
      <w:r>
        <w:rPr>
          <w:rFonts w:ascii="Calibri" w:hAnsi="Calibri" w:cs="Courier New"/>
          <w:b/>
        </w:rPr>
        <w:t>June 1</w:t>
      </w:r>
      <w:r w:rsidRPr="008A6D79" w:rsidR="00B4007A">
        <w:rPr>
          <w:rFonts w:ascii="Calibri" w:hAnsi="Calibri" w:cs="Courier New"/>
          <w:b/>
        </w:rPr>
        <w:t>, 20</w:t>
      </w:r>
      <w:r w:rsidRPr="008A6D79" w:rsidR="000371E0">
        <w:rPr>
          <w:rFonts w:ascii="Calibri" w:hAnsi="Calibri" w:cs="Courier New"/>
          <w:b/>
        </w:rPr>
        <w:t>2</w:t>
      </w:r>
      <w:r>
        <w:rPr>
          <w:rFonts w:ascii="Calibri" w:hAnsi="Calibri" w:cs="Courier New"/>
          <w:b/>
        </w:rPr>
        <w:t>1</w:t>
      </w:r>
    </w:p>
    <w:p w:rsidRPr="00D145EE" w:rsidR="00E81E5D" w:rsidRDefault="00E81E5D" w14:paraId="29F018DC" w14:textId="77777777">
      <w:pPr>
        <w:spacing w:line="480" w:lineRule="auto"/>
        <w:rPr>
          <w:rFonts w:ascii="Calibri" w:hAnsi="Calibri" w:cs="Courier New"/>
          <w:b/>
        </w:rPr>
      </w:pPr>
    </w:p>
    <w:p w:rsidRPr="00D145EE" w:rsidR="00E81E5D" w:rsidRDefault="00E81E5D" w14:paraId="7AF6680A" w14:textId="77777777">
      <w:pPr>
        <w:spacing w:line="480" w:lineRule="auto"/>
        <w:jc w:val="center"/>
        <w:rPr>
          <w:rFonts w:ascii="Calibri" w:hAnsi="Calibri" w:cs="Courier New"/>
          <w:b/>
        </w:rPr>
      </w:pPr>
    </w:p>
    <w:p w:rsidRPr="00D145EE" w:rsidR="00E81E5D" w:rsidRDefault="005C01AF" w14:paraId="5A0249B5" w14:textId="77777777">
      <w:pPr>
        <w:jc w:val="center"/>
        <w:rPr>
          <w:rFonts w:ascii="Calibri" w:hAnsi="Calibri" w:cs="Courier New"/>
          <w:b/>
        </w:rPr>
      </w:pPr>
      <w:r w:rsidRPr="00D145EE">
        <w:rPr>
          <w:rFonts w:ascii="Calibri" w:hAnsi="Calibri" w:cs="Courier New"/>
          <w:b/>
        </w:rPr>
        <w:t>Karen Schlanger</w:t>
      </w:r>
      <w:r w:rsidRPr="00D145EE" w:rsidR="00E81E5D">
        <w:rPr>
          <w:rFonts w:ascii="Calibri" w:hAnsi="Calibri" w:cs="Courier New"/>
          <w:b/>
        </w:rPr>
        <w:t xml:space="preserve">, </w:t>
      </w:r>
      <w:r w:rsidRPr="00D145EE">
        <w:rPr>
          <w:rFonts w:ascii="Calibri" w:hAnsi="Calibri" w:cs="Courier New"/>
          <w:b/>
        </w:rPr>
        <w:t>PhD</w:t>
      </w:r>
    </w:p>
    <w:p w:rsidRPr="00D145EE" w:rsidR="00E81E5D" w:rsidRDefault="005C01AF" w14:paraId="24D28B2F" w14:textId="77777777">
      <w:pPr>
        <w:jc w:val="center"/>
        <w:rPr>
          <w:rFonts w:ascii="Calibri" w:hAnsi="Calibri" w:cs="Courier New"/>
          <w:b/>
        </w:rPr>
      </w:pPr>
      <w:r w:rsidRPr="00D145EE">
        <w:rPr>
          <w:rFonts w:ascii="Calibri" w:hAnsi="Calibri" w:cs="Courier New"/>
          <w:b/>
        </w:rPr>
        <w:t>Project lead</w:t>
      </w:r>
    </w:p>
    <w:p w:rsidRPr="00D145EE" w:rsidR="00E81E5D" w:rsidRDefault="00E81E5D" w14:paraId="3C32492A" w14:textId="77777777">
      <w:pPr>
        <w:jc w:val="center"/>
        <w:rPr>
          <w:rFonts w:ascii="Calibri" w:hAnsi="Calibri" w:cs="Courier New"/>
          <w:b/>
        </w:rPr>
      </w:pPr>
    </w:p>
    <w:p w:rsidRPr="00D145EE" w:rsidR="0046651F" w:rsidRDefault="0046651F" w14:paraId="702DA7D9" w14:textId="77777777">
      <w:pPr>
        <w:jc w:val="center"/>
        <w:rPr>
          <w:rFonts w:ascii="Calibri" w:hAnsi="Calibri" w:cs="Courier New"/>
          <w:b/>
        </w:rPr>
      </w:pPr>
      <w:r w:rsidRPr="00D145EE">
        <w:rPr>
          <w:rFonts w:ascii="Calibri" w:hAnsi="Calibri" w:cs="Courier New"/>
          <w:b/>
        </w:rPr>
        <w:t>Centers for Disease Control and Prevention</w:t>
      </w:r>
    </w:p>
    <w:p w:rsidRPr="00D145EE" w:rsidR="00E81E5D" w:rsidRDefault="00E81E5D" w14:paraId="228D16A3" w14:textId="77777777">
      <w:pPr>
        <w:jc w:val="center"/>
        <w:rPr>
          <w:rFonts w:ascii="Calibri" w:hAnsi="Calibri" w:cs="Courier New"/>
          <w:b/>
        </w:rPr>
      </w:pPr>
      <w:r w:rsidRPr="00D145EE">
        <w:rPr>
          <w:rFonts w:ascii="Calibri" w:hAnsi="Calibri" w:cs="Courier New"/>
          <w:b/>
        </w:rPr>
        <w:t>National Center for HIV/AIDS, Viral Hepatitis, STD, and TB Prevention</w:t>
      </w:r>
    </w:p>
    <w:p w:rsidRPr="00D145EE" w:rsidR="00E81E5D" w:rsidRDefault="00E81E5D" w14:paraId="19AA26C9" w14:textId="77777777">
      <w:pPr>
        <w:jc w:val="center"/>
        <w:rPr>
          <w:rFonts w:ascii="Calibri" w:hAnsi="Calibri" w:cs="Courier New"/>
          <w:b/>
        </w:rPr>
      </w:pPr>
      <w:r w:rsidRPr="00D145EE">
        <w:rPr>
          <w:rFonts w:ascii="Calibri" w:hAnsi="Calibri" w:cs="Courier New"/>
          <w:b/>
        </w:rPr>
        <w:t>Division of STD Prevention</w:t>
      </w:r>
    </w:p>
    <w:p w:rsidRPr="00D145EE" w:rsidR="00E81E5D" w:rsidRDefault="005C01AF" w14:paraId="2F9EB002" w14:textId="77777777">
      <w:pPr>
        <w:jc w:val="center"/>
        <w:rPr>
          <w:rFonts w:ascii="Calibri" w:hAnsi="Calibri" w:cs="Courier New"/>
          <w:b/>
        </w:rPr>
      </w:pPr>
      <w:r w:rsidRPr="00D145EE">
        <w:rPr>
          <w:rFonts w:ascii="Calibri" w:hAnsi="Calibri" w:cs="Courier New"/>
          <w:b/>
        </w:rPr>
        <w:t>Epidemiology and Statistics</w:t>
      </w:r>
      <w:r w:rsidRPr="00D145EE" w:rsidR="00E81E5D">
        <w:rPr>
          <w:rFonts w:ascii="Calibri" w:hAnsi="Calibri" w:cs="Courier New"/>
          <w:b/>
        </w:rPr>
        <w:t xml:space="preserve"> Branch</w:t>
      </w:r>
    </w:p>
    <w:p w:rsidRPr="00D145EE" w:rsidR="00E81E5D" w:rsidRDefault="0046651F" w14:paraId="75D2FF09" w14:textId="77777777">
      <w:pPr>
        <w:jc w:val="center"/>
        <w:rPr>
          <w:rFonts w:ascii="Calibri" w:hAnsi="Calibri" w:cs="Courier New"/>
          <w:b/>
        </w:rPr>
      </w:pPr>
      <w:r w:rsidRPr="00D145EE">
        <w:rPr>
          <w:rFonts w:ascii="Calibri" w:hAnsi="Calibri" w:cs="Courier New"/>
          <w:b/>
        </w:rPr>
        <w:t>1600 Clifton R</w:t>
      </w:r>
      <w:r w:rsidRPr="00D145EE" w:rsidR="00E81E5D">
        <w:rPr>
          <w:rFonts w:ascii="Calibri" w:hAnsi="Calibri" w:cs="Courier New"/>
          <w:b/>
        </w:rPr>
        <w:t xml:space="preserve">d NE, Mailstop </w:t>
      </w:r>
      <w:r w:rsidR="00EF0F65">
        <w:rPr>
          <w:rFonts w:ascii="Calibri" w:hAnsi="Calibri" w:cs="Courier New"/>
          <w:b/>
        </w:rPr>
        <w:t>E-02</w:t>
      </w:r>
    </w:p>
    <w:p w:rsidRPr="00D145EE" w:rsidR="00E81E5D" w:rsidRDefault="0046651F" w14:paraId="3A8EF2F5" w14:textId="77777777">
      <w:pPr>
        <w:jc w:val="center"/>
        <w:rPr>
          <w:rFonts w:ascii="Calibri" w:hAnsi="Calibri" w:cs="Courier New"/>
          <w:b/>
        </w:rPr>
      </w:pPr>
      <w:r w:rsidRPr="00D145EE">
        <w:rPr>
          <w:rFonts w:ascii="Calibri" w:hAnsi="Calibri" w:cs="Courier New"/>
          <w:b/>
        </w:rPr>
        <w:t>Atlanta, GA 30329</w:t>
      </w:r>
    </w:p>
    <w:p w:rsidRPr="00D145EE" w:rsidR="00E81E5D" w:rsidRDefault="00E81E5D" w14:paraId="190B700E" w14:textId="77777777">
      <w:pPr>
        <w:jc w:val="center"/>
        <w:rPr>
          <w:rFonts w:ascii="Calibri" w:hAnsi="Calibri" w:cs="Courier New"/>
          <w:b/>
        </w:rPr>
      </w:pPr>
    </w:p>
    <w:p w:rsidRPr="00D145EE" w:rsidR="00E81E5D" w:rsidRDefault="00E81E5D" w14:paraId="66D694C3" w14:textId="77777777">
      <w:pPr>
        <w:jc w:val="center"/>
        <w:rPr>
          <w:rFonts w:ascii="Calibri" w:hAnsi="Calibri" w:cs="Courier New"/>
          <w:b/>
        </w:rPr>
      </w:pPr>
      <w:r w:rsidRPr="00D145EE">
        <w:rPr>
          <w:rFonts w:ascii="Calibri" w:hAnsi="Calibri" w:cs="Courier New"/>
          <w:b/>
        </w:rPr>
        <w:t xml:space="preserve">Voice: (404) </w:t>
      </w:r>
      <w:r w:rsidRPr="00D145EE" w:rsidR="005C01AF">
        <w:rPr>
          <w:rFonts w:ascii="Calibri" w:hAnsi="Calibri" w:cs="Courier New"/>
          <w:b/>
        </w:rPr>
        <w:t>718</w:t>
      </w:r>
      <w:r w:rsidRPr="00D145EE">
        <w:rPr>
          <w:rFonts w:ascii="Calibri" w:hAnsi="Calibri" w:cs="Courier New"/>
          <w:b/>
        </w:rPr>
        <w:t>-</w:t>
      </w:r>
      <w:r w:rsidRPr="00D145EE" w:rsidR="005C01AF">
        <w:rPr>
          <w:rFonts w:ascii="Calibri" w:hAnsi="Calibri" w:cs="Courier New"/>
          <w:b/>
        </w:rPr>
        <w:t>5660</w:t>
      </w:r>
    </w:p>
    <w:p w:rsidRPr="00D145EE" w:rsidR="00E81E5D" w:rsidRDefault="00E81E5D" w14:paraId="5115E836" w14:textId="77777777">
      <w:pPr>
        <w:tabs>
          <w:tab w:val="center" w:pos="4680"/>
          <w:tab w:val="left" w:pos="7100"/>
        </w:tabs>
        <w:rPr>
          <w:rFonts w:ascii="Calibri" w:hAnsi="Calibri" w:cs="Courier New"/>
          <w:b/>
        </w:rPr>
      </w:pPr>
      <w:r w:rsidRPr="00D145EE">
        <w:rPr>
          <w:rFonts w:ascii="Calibri" w:hAnsi="Calibri" w:cs="Courier New"/>
          <w:b/>
        </w:rPr>
        <w:tab/>
        <w:t>Fax: (404) 639-</w:t>
      </w:r>
      <w:r w:rsidR="003B7F37">
        <w:rPr>
          <w:rFonts w:ascii="Calibri" w:hAnsi="Calibri" w:cs="Courier New"/>
          <w:b/>
        </w:rPr>
        <w:t>8608</w:t>
      </w:r>
      <w:r w:rsidRPr="00D145EE">
        <w:rPr>
          <w:rFonts w:ascii="Calibri" w:hAnsi="Calibri" w:cs="Courier New"/>
          <w:b/>
        </w:rPr>
        <w:tab/>
      </w:r>
    </w:p>
    <w:p w:rsidRPr="00D145EE" w:rsidR="00E81E5D" w:rsidRDefault="00E81E5D" w14:paraId="507A449F" w14:textId="77777777">
      <w:pPr>
        <w:jc w:val="center"/>
        <w:rPr>
          <w:rFonts w:ascii="Calibri" w:hAnsi="Calibri" w:cs="Courier New"/>
          <w:b/>
        </w:rPr>
      </w:pPr>
      <w:r w:rsidRPr="00D145EE">
        <w:rPr>
          <w:rFonts w:ascii="Calibri" w:hAnsi="Calibri" w:cs="Courier New"/>
          <w:b/>
        </w:rPr>
        <w:t xml:space="preserve">Email: </w:t>
      </w:r>
      <w:hyperlink w:history="1" r:id="rId8">
        <w:r w:rsidRPr="00D145EE" w:rsidR="005C01AF">
          <w:rPr>
            <w:rStyle w:val="Hyperlink"/>
            <w:rFonts w:ascii="Calibri" w:hAnsi="Calibri" w:cs="Courier New"/>
            <w:b/>
          </w:rPr>
          <w:t>khs4@cdc.gov</w:t>
        </w:r>
      </w:hyperlink>
      <w:r w:rsidRPr="00D145EE">
        <w:rPr>
          <w:rFonts w:ascii="Calibri" w:hAnsi="Calibri" w:cs="Courier New"/>
          <w:b/>
        </w:rPr>
        <w:t xml:space="preserve"> </w:t>
      </w:r>
    </w:p>
    <w:p w:rsidRPr="00D145EE" w:rsidR="00E81E5D" w:rsidRDefault="00E81E5D" w14:paraId="7DA75BE7" w14:textId="77777777">
      <w:pPr>
        <w:spacing w:line="480" w:lineRule="auto"/>
        <w:jc w:val="center"/>
        <w:rPr>
          <w:rFonts w:ascii="Calibri" w:hAnsi="Calibri" w:cs="Courier New"/>
          <w:b/>
        </w:rPr>
      </w:pPr>
    </w:p>
    <w:p w:rsidRPr="00D145EE" w:rsidR="00E81E5D" w:rsidRDefault="00434045" w14:paraId="187DAC73" w14:textId="77777777">
      <w:pPr>
        <w:spacing w:line="480" w:lineRule="auto"/>
        <w:jc w:val="center"/>
        <w:rPr>
          <w:rFonts w:ascii="Calibri" w:hAnsi="Calibri" w:cs="Courier New"/>
          <w:b/>
        </w:rPr>
      </w:pPr>
      <w:r>
        <w:rPr>
          <w:rFonts w:ascii="Calibri" w:hAnsi="Calibri" w:cs="Courier New"/>
          <w:b/>
        </w:rPr>
        <w:t xml:space="preserve"> </w:t>
      </w:r>
    </w:p>
    <w:p w:rsidRPr="00D145EE" w:rsidR="00E81E5D" w:rsidRDefault="00E81E5D" w14:paraId="284D7140" w14:textId="77777777">
      <w:pPr>
        <w:spacing w:line="480" w:lineRule="auto"/>
        <w:rPr>
          <w:rFonts w:ascii="Calibri" w:hAnsi="Calibri" w:cs="Courier New"/>
          <w:b/>
        </w:rPr>
      </w:pPr>
    </w:p>
    <w:p w:rsidRPr="00D145EE" w:rsidR="00E81E5D" w:rsidRDefault="00E81E5D" w14:paraId="3DFE63F1" w14:textId="77777777">
      <w:pPr>
        <w:spacing w:line="480" w:lineRule="auto"/>
        <w:jc w:val="center"/>
        <w:rPr>
          <w:rFonts w:ascii="Calibri" w:hAnsi="Calibri" w:cs="Courier New"/>
          <w:b/>
          <w:caps/>
        </w:rPr>
      </w:pPr>
      <w:r w:rsidRPr="00D145EE">
        <w:rPr>
          <w:rFonts w:ascii="Calibri" w:hAnsi="Calibri" w:cs="Courier New"/>
          <w:b/>
        </w:rPr>
        <w:br w:type="page"/>
      </w:r>
      <w:r w:rsidRPr="00D145EE" w:rsidR="0046651F">
        <w:rPr>
          <w:rFonts w:ascii="Calibri" w:hAnsi="Calibri" w:cs="Courier New"/>
          <w:b/>
        </w:rPr>
        <w:lastRenderedPageBreak/>
        <w:t>Table of Contents</w:t>
      </w:r>
    </w:p>
    <w:p w:rsidRPr="00D145EE" w:rsidR="00E81E5D" w:rsidRDefault="00E81E5D" w14:paraId="634CD729" w14:textId="77777777">
      <w:pPr>
        <w:tabs>
          <w:tab w:val="right" w:pos="9270"/>
        </w:tabs>
        <w:spacing w:line="480" w:lineRule="auto"/>
        <w:rPr>
          <w:rFonts w:ascii="Calibri" w:hAnsi="Calibri" w:cs="Courier New"/>
          <w:b/>
        </w:rPr>
      </w:pPr>
      <w:r w:rsidRPr="00D145EE">
        <w:rPr>
          <w:rFonts w:ascii="Calibri" w:hAnsi="Calibri" w:cs="Courier New"/>
          <w:b/>
        </w:rPr>
        <w:t xml:space="preserve">A. </w:t>
      </w:r>
      <w:r w:rsidRPr="00D145EE">
        <w:rPr>
          <w:rFonts w:ascii="Calibri" w:hAnsi="Calibri" w:cs="Courier New"/>
        </w:rPr>
        <w:fldChar w:fldCharType="begin"/>
      </w:r>
      <w:r w:rsidRPr="00D145EE">
        <w:rPr>
          <w:rFonts w:ascii="Calibri" w:hAnsi="Calibri" w:cs="Courier New"/>
        </w:rPr>
        <w:instrText xml:space="preserve"> TOC \o "1-2" \h \z \u </w:instrText>
      </w:r>
      <w:r w:rsidRPr="00D145EE">
        <w:rPr>
          <w:rFonts w:ascii="Calibri" w:hAnsi="Calibri" w:cs="Courier New"/>
        </w:rPr>
        <w:fldChar w:fldCharType="separate"/>
      </w:r>
      <w:r w:rsidRPr="00D145EE" w:rsidR="0046651F">
        <w:rPr>
          <w:rFonts w:ascii="Calibri" w:hAnsi="Calibri" w:cs="Courier New"/>
          <w:b/>
        </w:rPr>
        <w:t>JUSTIFICATION</w:t>
      </w:r>
    </w:p>
    <w:p w:rsidRPr="00D145EE" w:rsidR="00E81E5D" w:rsidP="00F06A89" w:rsidRDefault="0046651F" w14:paraId="15E72C18" w14:textId="77777777">
      <w:pPr>
        <w:numPr>
          <w:ilvl w:val="0"/>
          <w:numId w:val="1"/>
        </w:numPr>
        <w:tabs>
          <w:tab w:val="right" w:pos="9270"/>
        </w:tabs>
        <w:rPr>
          <w:rFonts w:ascii="Calibri" w:hAnsi="Calibri" w:cs="Courier New"/>
        </w:rPr>
      </w:pPr>
      <w:r w:rsidRPr="00D145EE">
        <w:rPr>
          <w:rFonts w:ascii="Calibri" w:hAnsi="Calibri" w:cs="Courier New"/>
        </w:rPr>
        <w:t>Circumstances Making the Collection of Information Necessary</w:t>
      </w:r>
    </w:p>
    <w:p w:rsidRPr="00D145EE" w:rsidR="00E81E5D" w:rsidP="00F06A89" w:rsidRDefault="00441C5F" w14:paraId="60935348" w14:textId="77777777">
      <w:pPr>
        <w:numPr>
          <w:ilvl w:val="0"/>
          <w:numId w:val="1"/>
        </w:numPr>
        <w:tabs>
          <w:tab w:val="right" w:pos="9270"/>
        </w:tabs>
        <w:rPr>
          <w:rFonts w:ascii="Calibri" w:hAnsi="Calibri" w:cs="Courier New"/>
        </w:rPr>
      </w:pPr>
      <w:hyperlink w:history="1" w:anchor="_Toc176078236">
        <w:r w:rsidRPr="00D145EE" w:rsidR="00E81E5D">
          <w:rPr>
            <w:rFonts w:ascii="Calibri" w:hAnsi="Calibri" w:cs="Courier New"/>
          </w:rPr>
          <w:t>Purpose and Use of the</w:t>
        </w:r>
        <w:r w:rsidR="000856F1">
          <w:rPr>
            <w:rFonts w:ascii="Calibri" w:hAnsi="Calibri" w:cs="Courier New"/>
          </w:rPr>
          <w:t xml:space="preserve"> </w:t>
        </w:r>
        <w:r w:rsidRPr="00D145EE" w:rsidR="00E81E5D">
          <w:rPr>
            <w:rFonts w:ascii="Calibri" w:hAnsi="Calibri" w:cs="Courier New"/>
          </w:rPr>
          <w:t>Information Collection</w:t>
        </w:r>
      </w:hyperlink>
    </w:p>
    <w:p w:rsidRPr="00D145EE" w:rsidR="00E81E5D" w:rsidP="00F06A89" w:rsidRDefault="00441C5F" w14:paraId="0EEEE4B3" w14:textId="77777777">
      <w:pPr>
        <w:numPr>
          <w:ilvl w:val="0"/>
          <w:numId w:val="1"/>
        </w:numPr>
        <w:tabs>
          <w:tab w:val="right" w:pos="9270"/>
        </w:tabs>
        <w:rPr>
          <w:rFonts w:ascii="Calibri" w:hAnsi="Calibri" w:cs="Courier New"/>
        </w:rPr>
      </w:pPr>
      <w:hyperlink w:history="1" w:anchor="_Toc176078237">
        <w:r w:rsidRPr="00D145EE" w:rsidR="00E81E5D">
          <w:rPr>
            <w:rFonts w:ascii="Calibri" w:hAnsi="Calibri" w:cs="Courier New"/>
          </w:rPr>
          <w:t>Use of Improved Information Technology and Burden Reduction</w:t>
        </w:r>
      </w:hyperlink>
    </w:p>
    <w:p w:rsidRPr="00D145EE" w:rsidR="00E81E5D" w:rsidP="00F06A89" w:rsidRDefault="00441C5F" w14:paraId="7DC85DF2" w14:textId="77777777">
      <w:pPr>
        <w:numPr>
          <w:ilvl w:val="0"/>
          <w:numId w:val="1"/>
        </w:numPr>
        <w:tabs>
          <w:tab w:val="right" w:pos="9270"/>
        </w:tabs>
        <w:rPr>
          <w:rFonts w:ascii="Calibri" w:hAnsi="Calibri" w:cs="Courier New"/>
        </w:rPr>
      </w:pPr>
      <w:hyperlink w:history="1" w:anchor="_Toc176078238">
        <w:r w:rsidRPr="00D145EE" w:rsidR="00E81E5D">
          <w:rPr>
            <w:rFonts w:ascii="Calibri" w:hAnsi="Calibri" w:cs="Courier New"/>
          </w:rPr>
          <w:t>Efforts to Identify Duplication and Use of Similar Information</w:t>
        </w:r>
      </w:hyperlink>
    </w:p>
    <w:p w:rsidRPr="00D145EE" w:rsidR="00E81E5D" w:rsidP="00F06A89" w:rsidRDefault="00441C5F" w14:paraId="0AC91297" w14:textId="77777777">
      <w:pPr>
        <w:numPr>
          <w:ilvl w:val="0"/>
          <w:numId w:val="1"/>
        </w:numPr>
        <w:tabs>
          <w:tab w:val="right" w:pos="9270"/>
        </w:tabs>
        <w:rPr>
          <w:rFonts w:ascii="Calibri" w:hAnsi="Calibri" w:cs="Courier New"/>
        </w:rPr>
      </w:pPr>
      <w:hyperlink w:history="1" w:anchor="_Toc176078239">
        <w:r w:rsidRPr="00D145EE" w:rsidR="00E81E5D">
          <w:rPr>
            <w:rFonts w:ascii="Calibri" w:hAnsi="Calibri" w:cs="Courier New"/>
          </w:rPr>
          <w:t>Impact on Small Businesses or Other Small Entities</w:t>
        </w:r>
      </w:hyperlink>
    </w:p>
    <w:p w:rsidRPr="00D145EE" w:rsidR="00E81E5D" w:rsidP="00F06A89" w:rsidRDefault="00441C5F" w14:paraId="5EDAE021" w14:textId="77777777">
      <w:pPr>
        <w:numPr>
          <w:ilvl w:val="0"/>
          <w:numId w:val="1"/>
        </w:numPr>
        <w:tabs>
          <w:tab w:val="right" w:pos="9270"/>
        </w:tabs>
        <w:rPr>
          <w:rFonts w:ascii="Calibri" w:hAnsi="Calibri" w:cs="Courier New"/>
        </w:rPr>
      </w:pPr>
      <w:hyperlink w:history="1" w:anchor="_Toc176078240">
        <w:r w:rsidRPr="00D145EE" w:rsidR="00E81E5D">
          <w:rPr>
            <w:rFonts w:ascii="Calibri" w:hAnsi="Calibri" w:cs="Courier New"/>
          </w:rPr>
          <w:t>Consequences of Collecting the Information Less Frequently</w:t>
        </w:r>
      </w:hyperlink>
    </w:p>
    <w:p w:rsidRPr="00D145EE" w:rsidR="00E81E5D" w:rsidP="00F06A89" w:rsidRDefault="00441C5F" w14:paraId="0DD53173" w14:textId="77777777">
      <w:pPr>
        <w:numPr>
          <w:ilvl w:val="0"/>
          <w:numId w:val="1"/>
        </w:numPr>
        <w:tabs>
          <w:tab w:val="right" w:pos="9270"/>
        </w:tabs>
        <w:rPr>
          <w:rFonts w:ascii="Calibri" w:hAnsi="Calibri" w:cs="Courier New"/>
        </w:rPr>
      </w:pPr>
      <w:hyperlink w:history="1" w:anchor="_Toc176078241">
        <w:r w:rsidRPr="00D145EE" w:rsidR="00E81E5D">
          <w:rPr>
            <w:rFonts w:ascii="Calibri" w:hAnsi="Calibri" w:cs="Courier New"/>
          </w:rPr>
          <w:t>Special Circumstances Relating to the Guidelines of 5 CFR 1320.5</w:t>
        </w:r>
      </w:hyperlink>
    </w:p>
    <w:p w:rsidRPr="00D145EE" w:rsidR="00E81E5D" w:rsidP="00F06A89" w:rsidRDefault="00441C5F" w14:paraId="46D6CBFD" w14:textId="77777777">
      <w:pPr>
        <w:numPr>
          <w:ilvl w:val="0"/>
          <w:numId w:val="1"/>
        </w:numPr>
        <w:tabs>
          <w:tab w:val="right" w:pos="9270"/>
        </w:tabs>
        <w:rPr>
          <w:rFonts w:ascii="Calibri" w:hAnsi="Calibri" w:cs="Courier New"/>
        </w:rPr>
      </w:pPr>
      <w:hyperlink w:history="1" w:anchor="_Toc176078242">
        <w:r w:rsidRPr="00D145EE" w:rsidR="00E81E5D">
          <w:rPr>
            <w:rFonts w:ascii="Calibri" w:hAnsi="Calibri" w:cs="Courier New"/>
          </w:rPr>
          <w:t>Comments in Response to the Federal Register Notice and Efforts to Consult Outside the Agency</w:t>
        </w:r>
      </w:hyperlink>
    </w:p>
    <w:p w:rsidRPr="00D145EE" w:rsidR="00E81E5D" w:rsidP="00F06A89" w:rsidRDefault="00441C5F" w14:paraId="395C8021" w14:textId="75C0D03A">
      <w:pPr>
        <w:numPr>
          <w:ilvl w:val="0"/>
          <w:numId w:val="1"/>
        </w:numPr>
        <w:tabs>
          <w:tab w:val="right" w:pos="9270"/>
        </w:tabs>
        <w:rPr>
          <w:rFonts w:ascii="Calibri" w:hAnsi="Calibri" w:cs="Courier New"/>
        </w:rPr>
      </w:pPr>
      <w:hyperlink w:history="1" w:anchor="_Toc176078243">
        <w:r w:rsidRPr="00D145EE" w:rsidR="00E81E5D">
          <w:rPr>
            <w:rFonts w:ascii="Calibri" w:hAnsi="Calibri" w:cs="Courier New"/>
          </w:rPr>
          <w:t xml:space="preserve">Explanation of </w:t>
        </w:r>
        <w:r w:rsidR="004A1748">
          <w:rPr>
            <w:rFonts w:ascii="Calibri" w:hAnsi="Calibri" w:cs="Courier New"/>
          </w:rPr>
          <w:t>a</w:t>
        </w:r>
        <w:r w:rsidRPr="00D145EE" w:rsidR="00E81E5D">
          <w:rPr>
            <w:rFonts w:ascii="Calibri" w:hAnsi="Calibri" w:cs="Courier New"/>
          </w:rPr>
          <w:t>ny Payment or Gift to Respondents</w:t>
        </w:r>
      </w:hyperlink>
    </w:p>
    <w:p w:rsidRPr="00D145EE" w:rsidR="00E81E5D" w:rsidP="00F06A89" w:rsidRDefault="00441C5F" w14:paraId="2CAC35F3" w14:textId="77777777">
      <w:pPr>
        <w:numPr>
          <w:ilvl w:val="0"/>
          <w:numId w:val="1"/>
        </w:numPr>
        <w:tabs>
          <w:tab w:val="right" w:pos="9270"/>
        </w:tabs>
        <w:rPr>
          <w:rFonts w:ascii="Calibri" w:hAnsi="Calibri" w:cs="Courier New"/>
        </w:rPr>
      </w:pPr>
      <w:hyperlink w:history="1" w:anchor="_Toc176078244">
        <w:r w:rsidRPr="00D145EE" w:rsidR="00E81E5D">
          <w:rPr>
            <w:rFonts w:ascii="Calibri" w:hAnsi="Calibri" w:cs="Courier New"/>
          </w:rPr>
          <w:t>Protection of the Privacy and Confidentiality of Information Provided by Respondents</w:t>
        </w:r>
      </w:hyperlink>
    </w:p>
    <w:p w:rsidRPr="00D145EE" w:rsidR="00E81E5D" w:rsidP="00F06A89" w:rsidRDefault="00E81E5D" w14:paraId="659E7B73" w14:textId="77777777">
      <w:pPr>
        <w:numPr>
          <w:ilvl w:val="0"/>
          <w:numId w:val="1"/>
        </w:numPr>
        <w:tabs>
          <w:tab w:val="right" w:pos="9270"/>
        </w:tabs>
        <w:rPr>
          <w:rFonts w:ascii="Calibri" w:hAnsi="Calibri" w:cs="Courier New"/>
        </w:rPr>
      </w:pPr>
      <w:r w:rsidRPr="00D145EE">
        <w:rPr>
          <w:rFonts w:ascii="Calibri" w:hAnsi="Calibri" w:cs="Courier New"/>
        </w:rPr>
        <w:t xml:space="preserve">Institutional Review Board (IRB) and </w:t>
      </w:r>
      <w:hyperlink w:history="1" w:anchor="_Toc176078245">
        <w:r w:rsidRPr="00D145EE">
          <w:rPr>
            <w:rFonts w:ascii="Calibri" w:hAnsi="Calibri" w:cs="Courier New"/>
          </w:rPr>
          <w:t>Justification for Sensitive Questions</w:t>
        </w:r>
      </w:hyperlink>
    </w:p>
    <w:p w:rsidRPr="00D145EE" w:rsidR="00E81E5D" w:rsidP="00F06A89" w:rsidRDefault="00441C5F" w14:paraId="0BF2D242" w14:textId="77777777">
      <w:pPr>
        <w:numPr>
          <w:ilvl w:val="0"/>
          <w:numId w:val="1"/>
        </w:numPr>
        <w:tabs>
          <w:tab w:val="right" w:pos="9270"/>
        </w:tabs>
        <w:rPr>
          <w:rFonts w:ascii="Calibri" w:hAnsi="Calibri" w:cs="Courier New"/>
        </w:rPr>
      </w:pPr>
      <w:hyperlink w:history="1" w:anchor="_Toc176078246">
        <w:r w:rsidRPr="00D145EE" w:rsidR="00E81E5D">
          <w:rPr>
            <w:rFonts w:ascii="Calibri" w:hAnsi="Calibri" w:cs="Courier New"/>
          </w:rPr>
          <w:t>Estimates of Annualized Burden Hours and Costs</w:t>
        </w:r>
      </w:hyperlink>
    </w:p>
    <w:p w:rsidRPr="00D145EE" w:rsidR="00E81E5D" w:rsidP="00F06A89" w:rsidRDefault="00441C5F" w14:paraId="7D78DB88" w14:textId="77777777">
      <w:pPr>
        <w:numPr>
          <w:ilvl w:val="0"/>
          <w:numId w:val="1"/>
        </w:numPr>
        <w:tabs>
          <w:tab w:val="right" w:pos="9270"/>
        </w:tabs>
        <w:rPr>
          <w:rFonts w:ascii="Calibri" w:hAnsi="Calibri" w:cs="Courier New"/>
        </w:rPr>
      </w:pPr>
      <w:hyperlink w:history="1" w:anchor="_Toc176078247">
        <w:r w:rsidRPr="00D145EE" w:rsidR="00E81E5D">
          <w:rPr>
            <w:rFonts w:ascii="Calibri" w:hAnsi="Calibri" w:cs="Courier New"/>
          </w:rPr>
          <w:t>Estimates of Other Total Annual Cost Burden to Respondents or Record Keepers</w:t>
        </w:r>
      </w:hyperlink>
    </w:p>
    <w:p w:rsidRPr="00D145EE" w:rsidR="00E81E5D" w:rsidP="00F06A89" w:rsidRDefault="00441C5F" w14:paraId="208ADB08" w14:textId="77777777">
      <w:pPr>
        <w:numPr>
          <w:ilvl w:val="0"/>
          <w:numId w:val="1"/>
        </w:numPr>
        <w:tabs>
          <w:tab w:val="right" w:pos="9270"/>
        </w:tabs>
        <w:rPr>
          <w:rFonts w:ascii="Calibri" w:hAnsi="Calibri" w:cs="Courier New"/>
        </w:rPr>
      </w:pPr>
      <w:hyperlink w:history="1" w:anchor="_Toc176078248">
        <w:r w:rsidRPr="00D145EE" w:rsidR="00E81E5D">
          <w:rPr>
            <w:rFonts w:ascii="Calibri" w:hAnsi="Calibri" w:cs="Courier New"/>
          </w:rPr>
          <w:t>Annualized Cost to the Federal Government</w:t>
        </w:r>
      </w:hyperlink>
    </w:p>
    <w:p w:rsidRPr="00D145EE" w:rsidR="00E81E5D" w:rsidP="00F06A89" w:rsidRDefault="00441C5F" w14:paraId="0A0187AB" w14:textId="77777777">
      <w:pPr>
        <w:numPr>
          <w:ilvl w:val="0"/>
          <w:numId w:val="1"/>
        </w:numPr>
        <w:tabs>
          <w:tab w:val="right" w:pos="9270"/>
        </w:tabs>
        <w:rPr>
          <w:rFonts w:ascii="Calibri" w:hAnsi="Calibri" w:cs="Courier New"/>
        </w:rPr>
      </w:pPr>
      <w:hyperlink w:history="1" w:anchor="_Toc176078249">
        <w:r w:rsidRPr="00D145EE" w:rsidR="00E81E5D">
          <w:rPr>
            <w:rFonts w:ascii="Calibri" w:hAnsi="Calibri" w:cs="Courier New"/>
          </w:rPr>
          <w:t>Explanation for Program Changes or Adjustments</w:t>
        </w:r>
      </w:hyperlink>
    </w:p>
    <w:p w:rsidRPr="00D145EE" w:rsidR="00E81E5D" w:rsidP="00F06A89" w:rsidRDefault="00441C5F" w14:paraId="77BE62B7" w14:textId="77777777">
      <w:pPr>
        <w:numPr>
          <w:ilvl w:val="0"/>
          <w:numId w:val="1"/>
        </w:numPr>
        <w:tabs>
          <w:tab w:val="right" w:pos="9270"/>
        </w:tabs>
        <w:rPr>
          <w:rFonts w:ascii="Calibri" w:hAnsi="Calibri" w:cs="Courier New"/>
        </w:rPr>
      </w:pPr>
      <w:hyperlink w:history="1" w:anchor="_Toc176078250">
        <w:r w:rsidRPr="00D145EE" w:rsidR="00E81E5D">
          <w:rPr>
            <w:rFonts w:ascii="Calibri" w:hAnsi="Calibri" w:cs="Courier New"/>
          </w:rPr>
          <w:t>Plans for Tabulation and Publication and Project Time Schedule</w:t>
        </w:r>
      </w:hyperlink>
    </w:p>
    <w:p w:rsidRPr="00D145EE" w:rsidR="00E81E5D" w:rsidP="00F06A89" w:rsidRDefault="00441C5F" w14:paraId="5DDDFE24" w14:textId="77777777">
      <w:pPr>
        <w:numPr>
          <w:ilvl w:val="0"/>
          <w:numId w:val="1"/>
        </w:numPr>
        <w:tabs>
          <w:tab w:val="right" w:pos="9270"/>
        </w:tabs>
        <w:rPr>
          <w:rFonts w:ascii="Calibri" w:hAnsi="Calibri" w:cs="Courier New"/>
        </w:rPr>
      </w:pPr>
      <w:hyperlink w:history="1" w:anchor="_Toc176078251">
        <w:r w:rsidRPr="00D145EE" w:rsidR="00E81E5D">
          <w:rPr>
            <w:rFonts w:ascii="Calibri" w:hAnsi="Calibri" w:cs="Courier New"/>
          </w:rPr>
          <w:t>Reason(s) Display of OMB Expiration Date is Inappropriate</w:t>
        </w:r>
      </w:hyperlink>
    </w:p>
    <w:p w:rsidRPr="00D145EE" w:rsidR="00E81E5D" w:rsidP="00F06A89" w:rsidRDefault="00441C5F" w14:paraId="286B8811" w14:textId="77777777">
      <w:pPr>
        <w:numPr>
          <w:ilvl w:val="0"/>
          <w:numId w:val="1"/>
        </w:numPr>
        <w:tabs>
          <w:tab w:val="right" w:pos="9270"/>
        </w:tabs>
        <w:rPr>
          <w:rFonts w:ascii="Calibri" w:hAnsi="Calibri" w:cs="Courier New"/>
        </w:rPr>
      </w:pPr>
      <w:hyperlink w:history="1" w:anchor="_Toc176078252">
        <w:r w:rsidRPr="00D145EE" w:rsidR="00E81E5D">
          <w:rPr>
            <w:rFonts w:ascii="Calibri" w:hAnsi="Calibri" w:cs="Courier New"/>
          </w:rPr>
          <w:t>Exceptions to Certification for Paperwork Reduction Act Submissions</w:t>
        </w:r>
      </w:hyperlink>
    </w:p>
    <w:p w:rsidRPr="00D145EE" w:rsidR="00E81E5D" w:rsidP="0046651F" w:rsidRDefault="00E81E5D" w14:paraId="404FB79D" w14:textId="77777777">
      <w:pPr>
        <w:pStyle w:val="Heading2"/>
        <w:spacing w:after="0"/>
        <w:ind w:left="0" w:firstLine="0"/>
        <w:rPr>
          <w:rFonts w:ascii="Calibri" w:hAnsi="Calibri" w:cs="Courier New"/>
          <w:sz w:val="24"/>
          <w:szCs w:val="24"/>
        </w:rPr>
      </w:pPr>
      <w:r w:rsidRPr="00D145EE">
        <w:rPr>
          <w:rFonts w:ascii="Calibri" w:hAnsi="Calibri" w:cs="Courier New"/>
          <w:bCs/>
          <w:sz w:val="24"/>
          <w:szCs w:val="24"/>
        </w:rPr>
        <w:fldChar w:fldCharType="end"/>
      </w:r>
    </w:p>
    <w:p w:rsidRPr="00D145EE" w:rsidR="00E81E5D" w:rsidRDefault="0046651F" w14:paraId="4D43C7CB" w14:textId="77777777">
      <w:pPr>
        <w:pStyle w:val="BodyText1"/>
        <w:spacing w:before="120"/>
        <w:ind w:firstLine="0"/>
        <w:rPr>
          <w:rFonts w:ascii="Calibri" w:hAnsi="Calibri" w:cs="Courier New"/>
          <w:sz w:val="24"/>
          <w:szCs w:val="24"/>
        </w:rPr>
      </w:pPr>
      <w:r w:rsidRPr="00D145EE">
        <w:rPr>
          <w:rFonts w:ascii="Calibri" w:hAnsi="Calibri" w:cs="Courier New"/>
          <w:b/>
          <w:caps/>
          <w:sz w:val="24"/>
          <w:szCs w:val="24"/>
        </w:rPr>
        <w:t>exhibits</w:t>
      </w:r>
    </w:p>
    <w:p w:rsidRPr="00D145EE" w:rsidR="00E81E5D" w:rsidRDefault="00E81E5D" w14:paraId="3C5494B5" w14:textId="77777777">
      <w:pPr>
        <w:tabs>
          <w:tab w:val="left" w:pos="360"/>
        </w:tabs>
        <w:ind w:left="720" w:hanging="360"/>
        <w:rPr>
          <w:rFonts w:ascii="Calibri" w:hAnsi="Calibri" w:cs="Courier New"/>
        </w:rPr>
      </w:pPr>
      <w:r w:rsidRPr="00D145EE">
        <w:rPr>
          <w:rFonts w:ascii="Calibri" w:hAnsi="Calibri" w:cs="Courier New"/>
        </w:rPr>
        <w:fldChar w:fldCharType="begin"/>
      </w:r>
      <w:r w:rsidRPr="00D145EE">
        <w:rPr>
          <w:rFonts w:ascii="Calibri" w:hAnsi="Calibri" w:cs="Courier New"/>
        </w:rPr>
        <w:instrText xml:space="preserve"> TOC \t "Exhibit Title,5" </w:instrText>
      </w:r>
      <w:r w:rsidRPr="00D145EE">
        <w:rPr>
          <w:rFonts w:ascii="Calibri" w:hAnsi="Calibri" w:cs="Courier New"/>
        </w:rPr>
        <w:fldChar w:fldCharType="separate"/>
      </w:r>
      <w:r w:rsidRPr="00D145EE">
        <w:rPr>
          <w:rFonts w:ascii="Calibri" w:hAnsi="Calibri" w:cs="Courier New"/>
        </w:rPr>
        <w:t>Table A.12-1</w:t>
      </w:r>
      <w:r w:rsidRPr="00D145EE">
        <w:rPr>
          <w:rFonts w:ascii="Calibri" w:hAnsi="Calibri" w:cs="Courier New"/>
        </w:rPr>
        <w:tab/>
        <w:t>Estimated Annualized Burden Hours</w:t>
      </w:r>
    </w:p>
    <w:p w:rsidRPr="00D145EE" w:rsidR="00E81E5D" w:rsidRDefault="00E81E5D" w14:paraId="13D9B50E" w14:textId="77777777">
      <w:pPr>
        <w:tabs>
          <w:tab w:val="left" w:pos="360"/>
        </w:tabs>
        <w:ind w:left="720" w:hanging="360"/>
        <w:rPr>
          <w:rFonts w:ascii="Calibri" w:hAnsi="Calibri" w:cs="Courier New"/>
        </w:rPr>
      </w:pPr>
      <w:r w:rsidRPr="00D145EE">
        <w:rPr>
          <w:rFonts w:ascii="Calibri" w:hAnsi="Calibri" w:cs="Courier New"/>
        </w:rPr>
        <w:t>Table A.12-2</w:t>
      </w:r>
      <w:r w:rsidRPr="00D145EE">
        <w:rPr>
          <w:rFonts w:ascii="Calibri" w:hAnsi="Calibri" w:cs="Courier New"/>
        </w:rPr>
        <w:tab/>
        <w:t>Estimated Annualized Burden Costs</w:t>
      </w:r>
    </w:p>
    <w:p w:rsidRPr="00D145EE" w:rsidR="00E81E5D" w:rsidRDefault="00E81E5D" w14:paraId="220390A3" w14:textId="77777777">
      <w:pPr>
        <w:tabs>
          <w:tab w:val="left" w:pos="360"/>
        </w:tabs>
        <w:ind w:left="720" w:hanging="360"/>
        <w:rPr>
          <w:rFonts w:ascii="Calibri" w:hAnsi="Calibri" w:cs="Courier New"/>
        </w:rPr>
      </w:pPr>
      <w:r w:rsidRPr="00D145EE">
        <w:rPr>
          <w:rFonts w:ascii="Calibri" w:hAnsi="Calibri" w:cs="Courier New"/>
        </w:rPr>
        <w:t>Table A.14</w:t>
      </w:r>
      <w:r w:rsidRPr="00D145EE">
        <w:rPr>
          <w:rFonts w:ascii="Calibri" w:hAnsi="Calibri" w:cs="Courier New"/>
        </w:rPr>
        <w:tab/>
      </w:r>
      <w:r w:rsidRPr="00D145EE" w:rsidR="00940ED1">
        <w:rPr>
          <w:rFonts w:ascii="Calibri" w:hAnsi="Calibri" w:cs="Courier New"/>
        </w:rPr>
        <w:tab/>
      </w:r>
      <w:r w:rsidRPr="00D145EE">
        <w:rPr>
          <w:rFonts w:ascii="Calibri" w:hAnsi="Calibri" w:cs="Courier New"/>
        </w:rPr>
        <w:t xml:space="preserve">Estimated Cost to the Government </w:t>
      </w:r>
    </w:p>
    <w:p w:rsidRPr="00D145EE" w:rsidR="00E81E5D" w:rsidRDefault="00E81E5D" w14:paraId="7DD079AE" w14:textId="77777777">
      <w:pPr>
        <w:tabs>
          <w:tab w:val="left" w:pos="360"/>
        </w:tabs>
        <w:ind w:left="720" w:hanging="360"/>
        <w:rPr>
          <w:rFonts w:ascii="Calibri" w:hAnsi="Calibri" w:cs="Courier New"/>
        </w:rPr>
      </w:pPr>
      <w:r w:rsidRPr="00D145EE">
        <w:rPr>
          <w:rFonts w:ascii="Calibri" w:hAnsi="Calibri" w:cs="Courier New"/>
        </w:rPr>
        <w:t>Table A.16</w:t>
      </w:r>
      <w:r w:rsidRPr="00D145EE">
        <w:rPr>
          <w:rFonts w:ascii="Calibri" w:hAnsi="Calibri" w:cs="Courier New"/>
        </w:rPr>
        <w:tab/>
      </w:r>
      <w:r w:rsidRPr="00D145EE" w:rsidR="00940ED1">
        <w:rPr>
          <w:rFonts w:ascii="Calibri" w:hAnsi="Calibri" w:cs="Courier New"/>
        </w:rPr>
        <w:t xml:space="preserve">      </w:t>
      </w:r>
      <w:r w:rsidRPr="00D145EE" w:rsidR="00940ED1">
        <w:rPr>
          <w:rFonts w:ascii="Calibri" w:hAnsi="Calibri" w:cs="Courier New"/>
        </w:rPr>
        <w:tab/>
      </w:r>
      <w:r w:rsidRPr="00D145EE">
        <w:rPr>
          <w:rFonts w:ascii="Calibri" w:hAnsi="Calibri" w:cs="Courier New"/>
        </w:rPr>
        <w:t>Project Time Schedule</w:t>
      </w:r>
    </w:p>
    <w:p w:rsidRPr="00D145EE" w:rsidR="00E81E5D" w:rsidRDefault="00E81E5D" w14:paraId="41D8F874" w14:textId="77777777">
      <w:pPr>
        <w:pStyle w:val="TOC5"/>
        <w:tabs>
          <w:tab w:val="clear" w:pos="9360"/>
          <w:tab w:val="left" w:pos="1620"/>
        </w:tabs>
        <w:spacing w:before="120" w:after="0"/>
        <w:ind w:left="0" w:right="0" w:firstLine="0"/>
        <w:jc w:val="both"/>
        <w:rPr>
          <w:rFonts w:ascii="Calibri" w:hAnsi="Calibri" w:cs="Courier New"/>
          <w:b/>
          <w:sz w:val="24"/>
          <w:szCs w:val="24"/>
        </w:rPr>
      </w:pPr>
      <w:r w:rsidRPr="00D145EE">
        <w:rPr>
          <w:rFonts w:ascii="Calibri" w:hAnsi="Calibri" w:cs="Courier New"/>
          <w:noProof w:val="0"/>
          <w:sz w:val="24"/>
          <w:szCs w:val="24"/>
        </w:rPr>
        <w:fldChar w:fldCharType="end"/>
      </w:r>
      <w:r w:rsidRPr="00D145EE">
        <w:rPr>
          <w:rFonts w:ascii="Calibri" w:hAnsi="Calibri" w:cs="Courier New"/>
          <w:noProof w:val="0"/>
          <w:sz w:val="24"/>
          <w:szCs w:val="24"/>
        </w:rPr>
        <w:br/>
      </w:r>
      <w:r w:rsidRPr="00D145EE">
        <w:rPr>
          <w:rFonts w:ascii="Calibri" w:hAnsi="Calibri" w:cs="Courier New"/>
          <w:b/>
          <w:sz w:val="24"/>
          <w:szCs w:val="24"/>
        </w:rPr>
        <w:t>LIST OF ATTACHMENTS</w:t>
      </w:r>
    </w:p>
    <w:p w:rsidRPr="00D145EE" w:rsidR="00E81E5D" w:rsidRDefault="00E81E5D" w14:paraId="3BC057E0" w14:textId="77777777">
      <w:pPr>
        <w:rPr>
          <w:rFonts w:ascii="Calibri" w:hAnsi="Calibri"/>
        </w:rPr>
      </w:pPr>
    </w:p>
    <w:p w:rsidRPr="00D145EE" w:rsidR="00E81E5D" w:rsidP="00940ED1" w:rsidRDefault="00940ED1" w14:paraId="5CF80F2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Calibri" w:hAnsi="Calibri" w:cs="Courier New"/>
        </w:rPr>
      </w:pPr>
      <w:r w:rsidRPr="00D145EE">
        <w:rPr>
          <w:rFonts w:ascii="Calibri" w:hAnsi="Calibri" w:cs="Courier New"/>
        </w:rPr>
        <w:t xml:space="preserve">Attachment 1. </w:t>
      </w:r>
      <w:r w:rsidRPr="00D145EE" w:rsidR="00961E41">
        <w:rPr>
          <w:rFonts w:ascii="Calibri" w:hAnsi="Calibri" w:cs="Courier New"/>
        </w:rPr>
        <w:tab/>
      </w:r>
      <w:r w:rsidRPr="00D145EE">
        <w:rPr>
          <w:rFonts w:ascii="Calibri" w:hAnsi="Calibri" w:cs="Courier New"/>
        </w:rPr>
        <w:t>Authorizing Legislation</w:t>
      </w:r>
    </w:p>
    <w:p w:rsidR="00E81E5D" w:rsidP="00940ED1" w:rsidRDefault="00940ED1" w14:paraId="33694E43"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Calibri" w:hAnsi="Calibri" w:cs="Courier New"/>
        </w:rPr>
      </w:pPr>
      <w:r w:rsidRPr="00D145EE">
        <w:rPr>
          <w:rFonts w:ascii="Calibri" w:hAnsi="Calibri" w:cs="Courier New"/>
        </w:rPr>
        <w:t xml:space="preserve">Attachment 2. </w:t>
      </w:r>
      <w:r w:rsidRPr="00D145EE" w:rsidR="00961E41">
        <w:rPr>
          <w:rFonts w:ascii="Calibri" w:hAnsi="Calibri" w:cs="Courier New"/>
        </w:rPr>
        <w:tab/>
      </w:r>
      <w:r w:rsidRPr="00D145EE" w:rsidR="00E81E5D">
        <w:rPr>
          <w:rFonts w:ascii="Calibri" w:hAnsi="Calibri" w:cs="Courier New"/>
        </w:rPr>
        <w:t xml:space="preserve">60 Day Federal Register Notice </w:t>
      </w:r>
      <w:r w:rsidRPr="00D145EE">
        <w:rPr>
          <w:rFonts w:ascii="Calibri" w:hAnsi="Calibri" w:cs="Courier New"/>
        </w:rPr>
        <w:t>Publication</w:t>
      </w:r>
    </w:p>
    <w:p w:rsidRPr="00D145EE" w:rsidR="00B1725A" w:rsidP="00940ED1" w:rsidRDefault="00B1725A" w14:paraId="69EC420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Calibri" w:hAnsi="Calibri" w:cs="Courier New"/>
        </w:rPr>
      </w:pPr>
      <w:r>
        <w:rPr>
          <w:rFonts w:ascii="Calibri" w:hAnsi="Calibri" w:cs="Courier New"/>
        </w:rPr>
        <w:t>Attachment 2a</w:t>
      </w:r>
      <w:r>
        <w:rPr>
          <w:rFonts w:ascii="Calibri" w:hAnsi="Calibri" w:cs="Courier New"/>
        </w:rPr>
        <w:tab/>
        <w:t>Public Comments</w:t>
      </w:r>
    </w:p>
    <w:p w:rsidRPr="00D145EE" w:rsidR="00E81E5D" w:rsidP="00961E41" w:rsidRDefault="00940ED1" w14:paraId="27AE9AC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800"/>
        <w:rPr>
          <w:rFonts w:ascii="Calibri" w:hAnsi="Calibri" w:cs="Courier New"/>
        </w:rPr>
      </w:pPr>
      <w:r w:rsidRPr="00D145EE">
        <w:rPr>
          <w:rFonts w:ascii="Calibri" w:hAnsi="Calibri" w:cs="Courier New"/>
        </w:rPr>
        <w:t xml:space="preserve">Attachment 3A. </w:t>
      </w:r>
      <w:r w:rsidRPr="00D145EE" w:rsidR="00961E41">
        <w:rPr>
          <w:rFonts w:ascii="Calibri" w:hAnsi="Calibri" w:cs="Courier New"/>
        </w:rPr>
        <w:tab/>
      </w:r>
      <w:r w:rsidR="006F2DA6">
        <w:rPr>
          <w:rFonts w:ascii="Calibri" w:hAnsi="Calibri" w:cs="Courier New"/>
        </w:rPr>
        <w:t>STD Clinic Facility Data Elements</w:t>
      </w:r>
    </w:p>
    <w:p w:rsidRPr="00D145EE" w:rsidR="00961E41" w:rsidP="00940ED1" w:rsidRDefault="00961E41" w14:paraId="70759F8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Calibri" w:hAnsi="Calibri" w:cs="Courier New"/>
        </w:rPr>
      </w:pPr>
      <w:r w:rsidRPr="00D145EE">
        <w:rPr>
          <w:rFonts w:ascii="Calibri" w:hAnsi="Calibri" w:cs="Courier New"/>
        </w:rPr>
        <w:t>Attachment 3B.</w:t>
      </w:r>
      <w:r w:rsidRPr="00D145EE">
        <w:rPr>
          <w:rFonts w:ascii="Calibri" w:hAnsi="Calibri" w:cs="Courier New"/>
        </w:rPr>
        <w:tab/>
      </w:r>
      <w:r w:rsidR="00025B0B">
        <w:rPr>
          <w:rFonts w:ascii="Calibri" w:hAnsi="Calibri" w:cs="Courier New"/>
        </w:rPr>
        <w:t>N</w:t>
      </w:r>
      <w:r w:rsidR="006F2DA6">
        <w:rPr>
          <w:rFonts w:ascii="Calibri" w:hAnsi="Calibri" w:cs="Courier New"/>
        </w:rPr>
        <w:t>on-STD Clinic Facility Data Elements</w:t>
      </w:r>
    </w:p>
    <w:p w:rsidR="00961E41" w:rsidP="00940ED1" w:rsidRDefault="00961E41" w14:paraId="6B7533C9" w14:textId="46045B68">
      <w:pPr>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Calibri" w:hAnsi="Calibri" w:cs="Courier New"/>
        </w:rPr>
      </w:pPr>
      <w:r w:rsidRPr="00D145EE">
        <w:rPr>
          <w:rFonts w:ascii="Calibri" w:hAnsi="Calibri" w:cs="Courier New"/>
        </w:rPr>
        <w:t>Attachment 3C</w:t>
      </w:r>
      <w:r w:rsidR="00CB0F5E">
        <w:rPr>
          <w:rFonts w:ascii="Calibri" w:hAnsi="Calibri" w:cs="Courier New"/>
        </w:rPr>
        <w:t>-1</w:t>
      </w:r>
      <w:r w:rsidRPr="00D145EE">
        <w:rPr>
          <w:rFonts w:ascii="Calibri" w:hAnsi="Calibri" w:cs="Courier New"/>
        </w:rPr>
        <w:t>.</w:t>
      </w:r>
      <w:r w:rsidRPr="00D145EE">
        <w:rPr>
          <w:rFonts w:ascii="Calibri" w:hAnsi="Calibri" w:cs="Courier New"/>
        </w:rPr>
        <w:tab/>
      </w:r>
      <w:r w:rsidR="006F2DA6">
        <w:rPr>
          <w:rFonts w:ascii="Calibri" w:hAnsi="Calibri" w:cs="Courier New"/>
        </w:rPr>
        <w:t xml:space="preserve">Laboratory </w:t>
      </w:r>
      <w:r w:rsidR="00726949">
        <w:rPr>
          <w:rFonts w:ascii="Calibri" w:hAnsi="Calibri" w:cs="Courier New"/>
        </w:rPr>
        <w:t xml:space="preserve">Testing </w:t>
      </w:r>
      <w:r w:rsidR="006F2DA6">
        <w:rPr>
          <w:rFonts w:ascii="Calibri" w:hAnsi="Calibri" w:cs="Courier New"/>
        </w:rPr>
        <w:t>Data Elements</w:t>
      </w:r>
    </w:p>
    <w:p w:rsidRPr="00D145EE" w:rsidR="00CB0F5E" w:rsidP="00940ED1" w:rsidRDefault="00CB0F5E" w14:paraId="0A50A613" w14:textId="7487B453">
      <w:pPr>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Calibri" w:hAnsi="Calibri" w:cs="Courier New"/>
        </w:rPr>
      </w:pPr>
      <w:r>
        <w:rPr>
          <w:rFonts w:ascii="Calibri" w:hAnsi="Calibri" w:cs="Courier New"/>
        </w:rPr>
        <w:t>Attachment 3C-2</w:t>
      </w:r>
      <w:r>
        <w:rPr>
          <w:rFonts w:ascii="Calibri" w:hAnsi="Calibri" w:cs="Courier New"/>
        </w:rPr>
        <w:tab/>
        <w:t>Laboratory Data Elements</w:t>
      </w:r>
    </w:p>
    <w:p w:rsidR="006F2DA6" w:rsidP="00940ED1" w:rsidRDefault="00961E41" w14:paraId="52FFEAB6" w14:textId="00490989">
      <w:pPr>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Calibri" w:hAnsi="Calibri" w:cs="Courier New"/>
        </w:rPr>
      </w:pPr>
      <w:r w:rsidRPr="00D145EE">
        <w:rPr>
          <w:rFonts w:ascii="Calibri" w:hAnsi="Calibri" w:cs="Courier New"/>
        </w:rPr>
        <w:t>Attach</w:t>
      </w:r>
      <w:r w:rsidR="006F2DA6">
        <w:rPr>
          <w:rFonts w:ascii="Calibri" w:hAnsi="Calibri" w:cs="Courier New"/>
        </w:rPr>
        <w:t>ment 3D.</w:t>
      </w:r>
      <w:r w:rsidR="006F2DA6">
        <w:rPr>
          <w:rFonts w:ascii="Calibri" w:hAnsi="Calibri" w:cs="Courier New"/>
        </w:rPr>
        <w:tab/>
      </w:r>
      <w:r w:rsidR="00726949">
        <w:rPr>
          <w:rFonts w:ascii="Calibri" w:hAnsi="Calibri" w:cs="Courier New"/>
        </w:rPr>
        <w:t xml:space="preserve">Field </w:t>
      </w:r>
      <w:r w:rsidR="006F2DA6">
        <w:rPr>
          <w:rFonts w:ascii="Calibri" w:hAnsi="Calibri" w:cs="Courier New"/>
        </w:rPr>
        <w:t>Investigation Data Elements</w:t>
      </w:r>
    </w:p>
    <w:p w:rsidRPr="00D145EE" w:rsidR="00961E41" w:rsidP="00940ED1" w:rsidRDefault="006F2DA6" w14:paraId="3EDC30B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Calibri" w:hAnsi="Calibri" w:cs="Courier New"/>
        </w:rPr>
      </w:pPr>
      <w:r>
        <w:rPr>
          <w:rFonts w:ascii="Calibri" w:hAnsi="Calibri" w:cs="Courier New"/>
        </w:rPr>
        <w:lastRenderedPageBreak/>
        <w:t>Attachment 4</w:t>
      </w:r>
      <w:r w:rsidRPr="00D145EE" w:rsidR="00961E41">
        <w:rPr>
          <w:rFonts w:ascii="Calibri" w:hAnsi="Calibri" w:cs="Courier New"/>
        </w:rPr>
        <w:t>.</w:t>
      </w:r>
      <w:r w:rsidRPr="00D145EE" w:rsidR="00961E41">
        <w:rPr>
          <w:rFonts w:ascii="Calibri" w:hAnsi="Calibri" w:cs="Courier New"/>
        </w:rPr>
        <w:tab/>
        <w:t>List of Collaborators</w:t>
      </w:r>
    </w:p>
    <w:p w:rsidR="00E81E5D" w:rsidP="00307569" w:rsidRDefault="00307569" w14:paraId="2045CC33" w14:textId="54F72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Calibri" w:hAnsi="Calibri" w:cs="Courier New"/>
        </w:rPr>
      </w:pPr>
      <w:r w:rsidRPr="00D145EE">
        <w:rPr>
          <w:rFonts w:ascii="Calibri" w:hAnsi="Calibri" w:cs="Courier New"/>
        </w:rPr>
        <w:t xml:space="preserve">Attachment 5. </w:t>
      </w:r>
      <w:r w:rsidRPr="00D145EE">
        <w:rPr>
          <w:rFonts w:ascii="Calibri" w:hAnsi="Calibri" w:cs="Courier New"/>
        </w:rPr>
        <w:tab/>
      </w:r>
      <w:r w:rsidR="00A04C49">
        <w:rPr>
          <w:rFonts w:ascii="Calibri" w:hAnsi="Calibri" w:cs="Courier New"/>
        </w:rPr>
        <w:t xml:space="preserve">IRB </w:t>
      </w:r>
      <w:r w:rsidRPr="00D145EE">
        <w:rPr>
          <w:rFonts w:ascii="Calibri" w:hAnsi="Calibri" w:cs="Courier New"/>
        </w:rPr>
        <w:t xml:space="preserve">Determination </w:t>
      </w:r>
    </w:p>
    <w:p w:rsidRPr="00D145EE" w:rsidR="00D80937" w:rsidP="00D80937" w:rsidRDefault="00D80937" w14:paraId="30B793B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Calibri" w:hAnsi="Calibri" w:cs="Courier New"/>
        </w:rPr>
      </w:pPr>
      <w:r>
        <w:rPr>
          <w:rFonts w:ascii="Calibri" w:hAnsi="Calibri" w:cs="Courier New"/>
        </w:rPr>
        <w:t xml:space="preserve">Attachment 6 </w:t>
      </w:r>
      <w:r w:rsidR="00E5105B">
        <w:rPr>
          <w:rFonts w:ascii="Calibri" w:hAnsi="Calibri" w:cs="Courier New"/>
        </w:rPr>
        <w:tab/>
      </w:r>
      <w:r>
        <w:rPr>
          <w:rFonts w:ascii="Calibri" w:hAnsi="Calibri" w:cs="Courier New"/>
        </w:rPr>
        <w:t>Privacy Impact Assessment (PIA)</w:t>
      </w:r>
    </w:p>
    <w:p w:rsidR="006F2DA6" w:rsidP="00307569" w:rsidRDefault="006F2DA6" w14:paraId="0DAA055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Calibri" w:hAnsi="Calibri" w:cs="Courier New"/>
        </w:rPr>
      </w:pPr>
      <w:r>
        <w:rPr>
          <w:rFonts w:ascii="Calibri" w:hAnsi="Calibri" w:cs="Courier New"/>
        </w:rPr>
        <w:t xml:space="preserve">Attachment </w:t>
      </w:r>
      <w:r w:rsidR="00D80937">
        <w:rPr>
          <w:rFonts w:ascii="Calibri" w:hAnsi="Calibri" w:cs="Courier New"/>
        </w:rPr>
        <w:t>7</w:t>
      </w:r>
      <w:r>
        <w:rPr>
          <w:rFonts w:ascii="Calibri" w:hAnsi="Calibri" w:cs="Courier New"/>
        </w:rPr>
        <w:t xml:space="preserve">. </w:t>
      </w:r>
      <w:r>
        <w:rPr>
          <w:rFonts w:ascii="Calibri" w:hAnsi="Calibri" w:cs="Courier New"/>
        </w:rPr>
        <w:tab/>
        <w:t>Protocol</w:t>
      </w:r>
    </w:p>
    <w:p w:rsidRPr="00D145EE" w:rsidR="00E81E5D" w:rsidRDefault="00E81E5D" w14:paraId="4E9B566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Calibri" w:hAnsi="Calibri" w:cs="Courier New"/>
          <w:b/>
        </w:rPr>
      </w:pPr>
      <w:r w:rsidRPr="00D145EE">
        <w:rPr>
          <w:rFonts w:ascii="Calibri" w:hAnsi="Calibri" w:cs="Courier New"/>
        </w:rPr>
        <w:br w:type="page"/>
      </w:r>
      <w:r w:rsidRPr="00D145EE" w:rsidR="002A6CBD">
        <w:rPr>
          <w:rFonts w:ascii="Calibri" w:hAnsi="Calibri" w:cs="Courier New"/>
          <w:noProof/>
        </w:rPr>
        <w:lastRenderedPageBreak/>
        <mc:AlternateContent>
          <mc:Choice Requires="wps">
            <w:drawing>
              <wp:anchor distT="0" distB="0" distL="114300" distR="114300" simplePos="0" relativeHeight="251657728" behindDoc="0" locked="0" layoutInCell="1" allowOverlap="1" wp14:editId="7693A0AD" wp14:anchorId="4B430440">
                <wp:simplePos x="0" y="0"/>
                <wp:positionH relativeFrom="column">
                  <wp:posOffset>6350</wp:posOffset>
                </wp:positionH>
                <wp:positionV relativeFrom="paragraph">
                  <wp:posOffset>275590</wp:posOffset>
                </wp:positionV>
                <wp:extent cx="6000750" cy="6178550"/>
                <wp:effectExtent l="0" t="0"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178550"/>
                        </a:xfrm>
                        <a:prstGeom prst="rect">
                          <a:avLst/>
                        </a:prstGeom>
                        <a:solidFill>
                          <a:srgbClr val="FFFFFF"/>
                        </a:solidFill>
                        <a:ln w="9525">
                          <a:solidFill>
                            <a:srgbClr val="000000"/>
                          </a:solidFill>
                          <a:miter lim="800000"/>
                          <a:headEnd/>
                          <a:tailEnd/>
                        </a:ln>
                      </wps:spPr>
                      <wps:txbx>
                        <w:txbxContent>
                          <w:p w:rsidRPr="008F54AF" w:rsidR="00EA5055" w:rsidP="005B3BAC" w:rsidRDefault="00EA5055" w14:paraId="1D2ABCFC" w14:textId="65B11CD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Calibri" w:hAnsi="Calibri" w:cs="Courier New"/>
                              </w:rPr>
                            </w:pPr>
                            <w:r w:rsidRPr="008F54AF">
                              <w:rPr>
                                <w:rFonts w:ascii="Calibri" w:hAnsi="Calibri" w:cs="Courier New"/>
                              </w:rPr>
                              <w:t xml:space="preserve">• Goal of the study: Strengthening United States Response to Resistant Gonorrhea (SURRG) </w:t>
                            </w:r>
                            <w:r>
                              <w:rPr>
                                <w:rFonts w:ascii="Calibri" w:hAnsi="Calibri" w:cs="Courier New"/>
                              </w:rPr>
                              <w:t>was created in 2016 to enhance</w:t>
                            </w:r>
                            <w:r w:rsidRPr="008F54AF">
                              <w:rPr>
                                <w:rFonts w:ascii="Calibri" w:hAnsi="Calibri" w:cs="Courier New"/>
                              </w:rPr>
                              <w:t xml:space="preserve"> U</w:t>
                            </w:r>
                            <w:r>
                              <w:rPr>
                                <w:rFonts w:ascii="Calibri" w:hAnsi="Calibri" w:cs="Courier New"/>
                              </w:rPr>
                              <w:t>.</w:t>
                            </w:r>
                            <w:r w:rsidRPr="008F54AF">
                              <w:rPr>
                                <w:rFonts w:ascii="Calibri" w:hAnsi="Calibri" w:cs="Courier New"/>
                              </w:rPr>
                              <w:t>S</w:t>
                            </w:r>
                            <w:r>
                              <w:rPr>
                                <w:rFonts w:ascii="Calibri" w:hAnsi="Calibri" w:cs="Courier New"/>
                              </w:rPr>
                              <w:t>.</w:t>
                            </w:r>
                            <w:r w:rsidRPr="008F54AF">
                              <w:rPr>
                                <w:rFonts w:ascii="Calibri" w:hAnsi="Calibri" w:cs="Courier New"/>
                              </w:rPr>
                              <w:t xml:space="preserve"> state and local public health surveillance and program infrastructure, build capacity to support rapid detection and </w:t>
                            </w:r>
                            <w:r>
                              <w:rPr>
                                <w:rFonts w:ascii="Calibri" w:hAnsi="Calibri" w:cs="Courier New"/>
                              </w:rPr>
                              <w:t xml:space="preserve">public health </w:t>
                            </w:r>
                            <w:r w:rsidRPr="008F54AF">
                              <w:rPr>
                                <w:rFonts w:ascii="Calibri" w:hAnsi="Calibri" w:cs="Courier New"/>
                              </w:rPr>
                              <w:t xml:space="preserve">response to </w:t>
                            </w:r>
                            <w:r>
                              <w:rPr>
                                <w:rFonts w:ascii="Calibri" w:hAnsi="Calibri" w:cs="Courier New"/>
                              </w:rPr>
                              <w:t>antibiotic-</w:t>
                            </w:r>
                            <w:r w:rsidRPr="008F54AF">
                              <w:rPr>
                                <w:rFonts w:ascii="Calibri" w:hAnsi="Calibri" w:cs="Courier New"/>
                              </w:rPr>
                              <w:t>resistant gonorrhea</w:t>
                            </w:r>
                            <w:r>
                              <w:rPr>
                                <w:rFonts w:ascii="Calibri" w:hAnsi="Calibri" w:cs="Courier New"/>
                              </w:rPr>
                              <w:t xml:space="preserve"> (an urgent public health threat)</w:t>
                            </w:r>
                            <w:r w:rsidRPr="008F54AF">
                              <w:rPr>
                                <w:rFonts w:ascii="Calibri" w:hAnsi="Calibri" w:cs="Courier New"/>
                              </w:rPr>
                              <w:t xml:space="preserve">, and advance the understanding of epidemiological factors contributing to </w:t>
                            </w:r>
                            <w:r>
                              <w:rPr>
                                <w:rFonts w:ascii="Calibri" w:hAnsi="Calibri" w:cs="Courier New"/>
                              </w:rPr>
                              <w:t>antibiotic-</w:t>
                            </w:r>
                            <w:r w:rsidRPr="008F54AF">
                              <w:rPr>
                                <w:rFonts w:ascii="Calibri" w:hAnsi="Calibri" w:cs="Courier New"/>
                              </w:rPr>
                              <w:t xml:space="preserve">resistant gonorrhea.   </w:t>
                            </w:r>
                          </w:p>
                          <w:p w:rsidRPr="008F54AF" w:rsidR="00EA5055" w:rsidP="005B3BAC" w:rsidRDefault="00EA5055" w14:paraId="0BA0CBD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Calibri" w:hAnsi="Calibri" w:cs="Courier New"/>
                              </w:rPr>
                            </w:pPr>
                            <w:r w:rsidRPr="008F54AF">
                              <w:rPr>
                                <w:rFonts w:ascii="Calibri" w:hAnsi="Calibri" w:cs="Courier New"/>
                              </w:rPr>
                              <w:t xml:space="preserve">• Intended use of the resulting data: </w:t>
                            </w:r>
                            <w:r>
                              <w:rPr>
                                <w:rFonts w:ascii="Calibri" w:hAnsi="Calibri" w:cs="Courier New"/>
                              </w:rPr>
                              <w:t>Data from SURRG inform</w:t>
                            </w:r>
                            <w:r w:rsidRPr="008F54AF">
                              <w:rPr>
                                <w:rFonts w:ascii="Calibri" w:hAnsi="Calibri" w:cs="Courier New"/>
                              </w:rPr>
                              <w:t xml:space="preserve"> national recommendations on </w:t>
                            </w:r>
                            <w:r>
                              <w:rPr>
                                <w:rFonts w:ascii="Calibri" w:hAnsi="Calibri" w:cs="Courier New"/>
                              </w:rPr>
                              <w:t>public health</w:t>
                            </w:r>
                            <w:r w:rsidRPr="008F54AF">
                              <w:rPr>
                                <w:rFonts w:ascii="Calibri" w:hAnsi="Calibri" w:cs="Courier New"/>
                              </w:rPr>
                              <w:t xml:space="preserve"> responses to </w:t>
                            </w:r>
                            <w:r>
                              <w:rPr>
                                <w:rFonts w:ascii="Calibri" w:hAnsi="Calibri" w:cs="Courier New"/>
                              </w:rPr>
                              <w:t>antibiotic-</w:t>
                            </w:r>
                            <w:r w:rsidRPr="008F54AF">
                              <w:rPr>
                                <w:rFonts w:ascii="Calibri" w:hAnsi="Calibri" w:cs="Courier New"/>
                              </w:rPr>
                              <w:t>resistant gonorrhea.</w:t>
                            </w:r>
                          </w:p>
                          <w:p w:rsidRPr="008F54AF" w:rsidR="00EA5055" w:rsidP="005B3BAC" w:rsidRDefault="00EA5055" w14:paraId="32B9BF9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Calibri" w:hAnsi="Calibri" w:cs="Courier New"/>
                              </w:rPr>
                            </w:pPr>
                            <w:r w:rsidRPr="008F54AF">
                              <w:rPr>
                                <w:rFonts w:ascii="Calibri" w:hAnsi="Calibri" w:cs="Courier New"/>
                              </w:rPr>
                              <w:t xml:space="preserve">• Methods to be used to collect: Data </w:t>
                            </w:r>
                            <w:r>
                              <w:rPr>
                                <w:rFonts w:ascii="Calibri" w:hAnsi="Calibri" w:cs="Courier New"/>
                              </w:rPr>
                              <w:t>and</w:t>
                            </w:r>
                            <w:r w:rsidRPr="008F54AF">
                              <w:rPr>
                                <w:rFonts w:ascii="Calibri" w:hAnsi="Calibri" w:cs="Courier New"/>
                              </w:rPr>
                              <w:t xml:space="preserve"> specimens </w:t>
                            </w:r>
                            <w:r>
                              <w:rPr>
                                <w:rFonts w:ascii="Calibri" w:hAnsi="Calibri" w:cs="Courier New"/>
                              </w:rPr>
                              <w:t>are</w:t>
                            </w:r>
                            <w:r w:rsidRPr="008F54AF">
                              <w:rPr>
                                <w:rFonts w:ascii="Calibri" w:hAnsi="Calibri" w:cs="Courier New"/>
                              </w:rPr>
                              <w:t xml:space="preserve"> collected at participating sexually transmitted disease (STD) specialty </w:t>
                            </w:r>
                            <w:r>
                              <w:rPr>
                                <w:rFonts w:ascii="Calibri" w:hAnsi="Calibri" w:cs="Courier New"/>
                              </w:rPr>
                              <w:t xml:space="preserve">clinics </w:t>
                            </w:r>
                            <w:r w:rsidRPr="008F54AF">
                              <w:rPr>
                                <w:rFonts w:ascii="Calibri" w:hAnsi="Calibri" w:cs="Courier New"/>
                              </w:rPr>
                              <w:t>and other partnering clinics</w:t>
                            </w:r>
                            <w:r>
                              <w:rPr>
                                <w:rFonts w:ascii="Calibri" w:hAnsi="Calibri" w:cs="Courier New"/>
                              </w:rPr>
                              <w:t>,</w:t>
                            </w:r>
                            <w:r w:rsidRPr="008F54AF">
                              <w:rPr>
                                <w:rFonts w:ascii="Calibri" w:hAnsi="Calibri" w:cs="Courier New"/>
                              </w:rPr>
                              <w:t xml:space="preserve"> and during outbreak investigations</w:t>
                            </w:r>
                            <w:r>
                              <w:rPr>
                                <w:rFonts w:ascii="Calibri" w:hAnsi="Calibri" w:cs="Courier New"/>
                              </w:rPr>
                              <w:t>.</w:t>
                            </w:r>
                          </w:p>
                          <w:p w:rsidRPr="008F54AF" w:rsidR="00EA5055" w:rsidP="005B3BAC" w:rsidRDefault="00EA5055" w14:paraId="1AF7E9B0" w14:textId="5D32341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Calibri" w:hAnsi="Calibri" w:cs="Courier New"/>
                              </w:rPr>
                            </w:pPr>
                            <w:r>
                              <w:rPr>
                                <w:rFonts w:ascii="Calibri" w:hAnsi="Calibri" w:cs="Courier New"/>
                              </w:rPr>
                              <w:t xml:space="preserve">• The </w:t>
                            </w:r>
                            <w:r w:rsidRPr="008F54AF">
                              <w:rPr>
                                <w:rFonts w:ascii="Calibri" w:hAnsi="Calibri" w:cs="Courier New"/>
                              </w:rPr>
                              <w:t xml:space="preserve">populations to be studied: </w:t>
                            </w:r>
                            <w:r>
                              <w:rPr>
                                <w:rFonts w:ascii="Calibri" w:hAnsi="Calibri" w:cs="Courier New"/>
                              </w:rPr>
                              <w:t>P</w:t>
                            </w:r>
                            <w:r w:rsidRPr="008F54AF">
                              <w:rPr>
                                <w:rFonts w:ascii="Calibri" w:hAnsi="Calibri" w:cs="Courier New"/>
                              </w:rPr>
                              <w:t xml:space="preserve">ersons with gonorrhea attending one of the participating STD clinics or other participating clinics in the United States, and </w:t>
                            </w:r>
                            <w:r>
                              <w:rPr>
                                <w:rFonts w:ascii="Calibri" w:hAnsi="Calibri" w:cs="Courier New"/>
                              </w:rPr>
                              <w:t>sexual partners of persons with gonorrhea</w:t>
                            </w:r>
                            <w:r w:rsidRPr="008F54AF">
                              <w:rPr>
                                <w:rFonts w:ascii="Calibri" w:hAnsi="Calibri" w:cs="Courier New"/>
                              </w:rPr>
                              <w:t xml:space="preserve">. </w:t>
                            </w:r>
                          </w:p>
                          <w:p w:rsidR="00EA5055" w:rsidP="00F061E9" w:rsidRDefault="00EA5055" w14:paraId="70FE3E89" w14:textId="6FF6DABC">
                            <w:pPr>
                              <w:rPr>
                                <w:rFonts w:ascii="Calibri" w:hAnsi="Calibri" w:cs="Courier New"/>
                              </w:rPr>
                            </w:pPr>
                            <w:r w:rsidRPr="00D145EE">
                              <w:rPr>
                                <w:rFonts w:ascii="Calibri" w:hAnsi="Calibri" w:cs="Courier New"/>
                              </w:rPr>
                              <w:t xml:space="preserve">• How data will be analyzed: Trend analyses </w:t>
                            </w:r>
                            <w:r>
                              <w:rPr>
                                <w:rFonts w:ascii="Calibri" w:hAnsi="Calibri" w:cs="Courier New"/>
                              </w:rPr>
                              <w:t xml:space="preserve">will be conducted </w:t>
                            </w:r>
                            <w:r w:rsidRPr="00D145EE">
                              <w:rPr>
                                <w:rFonts w:ascii="Calibri" w:hAnsi="Calibri" w:cs="Courier New"/>
                              </w:rPr>
                              <w:t>to identify changes in the burden of antibiotic resistance</w:t>
                            </w:r>
                            <w:r>
                              <w:rPr>
                                <w:rFonts w:ascii="Calibri" w:hAnsi="Calibri" w:cs="Courier New"/>
                              </w:rPr>
                              <w:t>. C</w:t>
                            </w:r>
                            <w:r w:rsidRPr="00D145EE">
                              <w:rPr>
                                <w:rFonts w:ascii="Calibri" w:hAnsi="Calibri" w:cs="Courier New"/>
                              </w:rPr>
                              <w:t xml:space="preserve">ross-sectional analyses </w:t>
                            </w:r>
                            <w:r>
                              <w:rPr>
                                <w:rFonts w:ascii="Calibri" w:hAnsi="Calibri" w:cs="Courier New"/>
                              </w:rPr>
                              <w:t xml:space="preserve">will be conducted </w:t>
                            </w:r>
                            <w:r w:rsidRPr="00D145EE">
                              <w:rPr>
                                <w:rFonts w:ascii="Calibri" w:hAnsi="Calibri" w:cs="Courier New"/>
                              </w:rPr>
                              <w:t>to</w:t>
                            </w:r>
                            <w:r>
                              <w:rPr>
                                <w:rFonts w:ascii="Calibri" w:hAnsi="Calibri" w:cs="Courier New"/>
                              </w:rPr>
                              <w:t>: (1)</w:t>
                            </w:r>
                            <w:r w:rsidRPr="00D145EE">
                              <w:rPr>
                                <w:rFonts w:ascii="Calibri" w:hAnsi="Calibri" w:cs="Courier New"/>
                              </w:rPr>
                              <w:t xml:space="preserve"> identify risk factors for resistance</w:t>
                            </w:r>
                            <w:r>
                              <w:rPr>
                                <w:rFonts w:ascii="Calibri" w:hAnsi="Calibri" w:cs="Courier New"/>
                              </w:rPr>
                              <w:t xml:space="preserve">, (2) examine differences in antibiotic resistance populations by population and healthcare setting characteristics, and (3) evaluate programmatic prevention and control approaches. </w:t>
                            </w:r>
                          </w:p>
                          <w:p w:rsidR="00EA5055" w:rsidP="00F061E9" w:rsidRDefault="00EA5055" w14:paraId="1C2E0E09" w14:textId="77777777">
                            <w:pPr>
                              <w:rPr>
                                <w:rFonts w:ascii="Calibri" w:hAnsi="Calibri" w:cs="Courier New"/>
                              </w:rPr>
                            </w:pPr>
                          </w:p>
                          <w:p w:rsidR="00EA5055" w:rsidP="00F061E9" w:rsidRDefault="00EA5055" w14:paraId="345B1F53" w14:textId="2DB64060">
                            <w:r w:rsidRPr="00F061E9">
                              <w:rPr>
                                <w:rFonts w:ascii="Calibri" w:hAnsi="Calibri" w:cs="Courier New"/>
                              </w:rPr>
                              <w:t>Considerations during COVID-19 pandemic: If clinic closures and health department staffing challenges due to COVID-19 continue into late 2021, then participating state and local health departments m</w:t>
                            </w:r>
                            <w:r>
                              <w:rPr>
                                <w:rFonts w:ascii="Calibri" w:hAnsi="Calibri" w:cs="Courier New"/>
                              </w:rPr>
                              <w:t>ight</w:t>
                            </w:r>
                            <w:r w:rsidRPr="00F061E9">
                              <w:rPr>
                                <w:rFonts w:ascii="Calibri" w:hAnsi="Calibri" w:cs="Courier New"/>
                              </w:rPr>
                              <w:t xml:space="preserve"> face challenges collect</w:t>
                            </w:r>
                            <w:r>
                              <w:rPr>
                                <w:rFonts w:ascii="Calibri" w:hAnsi="Calibri" w:cs="Courier New"/>
                              </w:rPr>
                              <w:t>ing</w:t>
                            </w:r>
                            <w:r w:rsidRPr="00F061E9">
                              <w:rPr>
                                <w:rFonts w:ascii="Calibri" w:hAnsi="Calibri" w:cs="Courier New"/>
                              </w:rPr>
                              <w:t xml:space="preserve"> the requested data. CDC will work with the participating health departments in a collaborative manner to maximize </w:t>
                            </w:r>
                            <w:r>
                              <w:rPr>
                                <w:rFonts w:ascii="Calibri" w:hAnsi="Calibri" w:cs="Courier New"/>
                              </w:rPr>
                              <w:t>accomplishment</w:t>
                            </w:r>
                            <w:r w:rsidRPr="00F061E9">
                              <w:rPr>
                                <w:rFonts w:ascii="Calibri" w:hAnsi="Calibri" w:cs="Courier New"/>
                              </w:rPr>
                              <w:t xml:space="preserve"> of project objectives while also respecting local and state health department capacity. All participating health department staff will follow all relevant local, state, or/and federal COVID-19-related guidance pertaining to social distancing</w:t>
                            </w:r>
                            <w:r>
                              <w:rPr>
                                <w:rFonts w:ascii="Calibri" w:hAnsi="Calibri" w:cs="Courier New"/>
                              </w:rPr>
                              <w:t xml:space="preserve">, </w:t>
                            </w:r>
                            <w:r w:rsidRPr="00F061E9">
                              <w:rPr>
                                <w:rFonts w:ascii="Calibri" w:hAnsi="Calibri" w:cs="Courier New"/>
                              </w:rPr>
                              <w:t>face coverings</w:t>
                            </w:r>
                            <w:r>
                              <w:rPr>
                                <w:rFonts w:ascii="Calibri" w:hAnsi="Calibri" w:cs="Courier New"/>
                              </w:rPr>
                              <w:t>, and other recommended measures</w:t>
                            </w:r>
                            <w:r w:rsidRPr="00F061E9">
                              <w:rPr>
                                <w:rFonts w:ascii="Calibri" w:hAnsi="Calibri" w:cs="Courier New"/>
                              </w:rPr>
                              <w:t xml:space="preserve"> to protect participants</w:t>
                            </w:r>
                            <w:r>
                              <w:rPr>
                                <w:rFonts w:ascii="Calibri" w:hAnsi="Calibri" w:cs="Courier New"/>
                              </w:rPr>
                              <w:t xml:space="preserve"> and staff</w:t>
                            </w:r>
                            <w:r w:rsidRPr="00F061E9">
                              <w:rPr>
                                <w:rFonts w:ascii="Calibri" w:hAnsi="Calibri" w:cs="Courier New"/>
                              </w:rPr>
                              <w:t xml:space="preserve">.  </w:t>
                            </w:r>
                          </w:p>
                          <w:p w:rsidRPr="00D145EE" w:rsidR="00EA5055" w:rsidP="005B3BAC" w:rsidRDefault="00EA5055" w14:paraId="3756160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Calibri" w:hAnsi="Calibri" w:cs="Courier Ne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B430440">
                <v:stroke joinstyle="miter"/>
                <v:path gradientshapeok="t" o:connecttype="rect"/>
              </v:shapetype>
              <v:shape id="Text Box 2" style="position:absolute;margin-left:.5pt;margin-top:21.7pt;width:472.5pt;height:4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">
                <v:textbox>
                  <w:txbxContent>
                    <w:p w:rsidRPr="008F54AF" w:rsidR="00EA5055" w:rsidP="005B3BAC" w:rsidRDefault="00EA5055" w14:paraId="1D2ABCFC" w14:textId="65B11CD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Calibri" w:hAnsi="Calibri" w:cs="Courier New"/>
                        </w:rPr>
                      </w:pPr>
                      <w:r w:rsidRPr="008F54AF">
                        <w:rPr>
                          <w:rFonts w:ascii="Calibri" w:hAnsi="Calibri" w:cs="Courier New"/>
                        </w:rPr>
                        <w:t xml:space="preserve">• Goal of the study: Strengthening United States Response to Resistant Gonorrhea (SURRG) </w:t>
                      </w:r>
                      <w:r>
                        <w:rPr>
                          <w:rFonts w:ascii="Calibri" w:hAnsi="Calibri" w:cs="Courier New"/>
                        </w:rPr>
                        <w:t>was created in 2016 to enhance</w:t>
                      </w:r>
                      <w:r w:rsidRPr="008F54AF">
                        <w:rPr>
                          <w:rFonts w:ascii="Calibri" w:hAnsi="Calibri" w:cs="Courier New"/>
                        </w:rPr>
                        <w:t xml:space="preserve"> U</w:t>
                      </w:r>
                      <w:r>
                        <w:rPr>
                          <w:rFonts w:ascii="Calibri" w:hAnsi="Calibri" w:cs="Courier New"/>
                        </w:rPr>
                        <w:t>.</w:t>
                      </w:r>
                      <w:r w:rsidRPr="008F54AF">
                        <w:rPr>
                          <w:rFonts w:ascii="Calibri" w:hAnsi="Calibri" w:cs="Courier New"/>
                        </w:rPr>
                        <w:t>S</w:t>
                      </w:r>
                      <w:r>
                        <w:rPr>
                          <w:rFonts w:ascii="Calibri" w:hAnsi="Calibri" w:cs="Courier New"/>
                        </w:rPr>
                        <w:t>.</w:t>
                      </w:r>
                      <w:r w:rsidRPr="008F54AF">
                        <w:rPr>
                          <w:rFonts w:ascii="Calibri" w:hAnsi="Calibri" w:cs="Courier New"/>
                        </w:rPr>
                        <w:t xml:space="preserve"> state and local public health surveillance and program infrastructure, build capacity to support rapid detection and </w:t>
                      </w:r>
                      <w:r>
                        <w:rPr>
                          <w:rFonts w:ascii="Calibri" w:hAnsi="Calibri" w:cs="Courier New"/>
                        </w:rPr>
                        <w:t xml:space="preserve">public health </w:t>
                      </w:r>
                      <w:r w:rsidRPr="008F54AF">
                        <w:rPr>
                          <w:rFonts w:ascii="Calibri" w:hAnsi="Calibri" w:cs="Courier New"/>
                        </w:rPr>
                        <w:t xml:space="preserve">response to </w:t>
                      </w:r>
                      <w:r>
                        <w:rPr>
                          <w:rFonts w:ascii="Calibri" w:hAnsi="Calibri" w:cs="Courier New"/>
                        </w:rPr>
                        <w:t>antibiotic-</w:t>
                      </w:r>
                      <w:r w:rsidRPr="008F54AF">
                        <w:rPr>
                          <w:rFonts w:ascii="Calibri" w:hAnsi="Calibri" w:cs="Courier New"/>
                        </w:rPr>
                        <w:t>resistant gonorrhea</w:t>
                      </w:r>
                      <w:r>
                        <w:rPr>
                          <w:rFonts w:ascii="Calibri" w:hAnsi="Calibri" w:cs="Courier New"/>
                        </w:rPr>
                        <w:t xml:space="preserve"> (an urgent public health threat)</w:t>
                      </w:r>
                      <w:r w:rsidRPr="008F54AF">
                        <w:rPr>
                          <w:rFonts w:ascii="Calibri" w:hAnsi="Calibri" w:cs="Courier New"/>
                        </w:rPr>
                        <w:t xml:space="preserve">, and advance the understanding of epidemiological factors contributing to </w:t>
                      </w:r>
                      <w:r>
                        <w:rPr>
                          <w:rFonts w:ascii="Calibri" w:hAnsi="Calibri" w:cs="Courier New"/>
                        </w:rPr>
                        <w:t>antibiotic-</w:t>
                      </w:r>
                      <w:r w:rsidRPr="008F54AF">
                        <w:rPr>
                          <w:rFonts w:ascii="Calibri" w:hAnsi="Calibri" w:cs="Courier New"/>
                        </w:rPr>
                        <w:t xml:space="preserve">resistant gonorrhea.   </w:t>
                      </w:r>
                    </w:p>
                    <w:p w:rsidRPr="008F54AF" w:rsidR="00EA5055" w:rsidP="005B3BAC" w:rsidRDefault="00EA5055" w14:paraId="0BA0CBD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Calibri" w:hAnsi="Calibri" w:cs="Courier New"/>
                        </w:rPr>
                      </w:pPr>
                      <w:r w:rsidRPr="008F54AF">
                        <w:rPr>
                          <w:rFonts w:ascii="Calibri" w:hAnsi="Calibri" w:cs="Courier New"/>
                        </w:rPr>
                        <w:t xml:space="preserve">• Intended use of the resulting data: </w:t>
                      </w:r>
                      <w:r>
                        <w:rPr>
                          <w:rFonts w:ascii="Calibri" w:hAnsi="Calibri" w:cs="Courier New"/>
                        </w:rPr>
                        <w:t>Data from SURRG inform</w:t>
                      </w:r>
                      <w:r w:rsidRPr="008F54AF">
                        <w:rPr>
                          <w:rFonts w:ascii="Calibri" w:hAnsi="Calibri" w:cs="Courier New"/>
                        </w:rPr>
                        <w:t xml:space="preserve"> national recommendations on </w:t>
                      </w:r>
                      <w:r>
                        <w:rPr>
                          <w:rFonts w:ascii="Calibri" w:hAnsi="Calibri" w:cs="Courier New"/>
                        </w:rPr>
                        <w:t>public health</w:t>
                      </w:r>
                      <w:r w:rsidRPr="008F54AF">
                        <w:rPr>
                          <w:rFonts w:ascii="Calibri" w:hAnsi="Calibri" w:cs="Courier New"/>
                        </w:rPr>
                        <w:t xml:space="preserve"> responses to </w:t>
                      </w:r>
                      <w:r>
                        <w:rPr>
                          <w:rFonts w:ascii="Calibri" w:hAnsi="Calibri" w:cs="Courier New"/>
                        </w:rPr>
                        <w:t>antibiotic-</w:t>
                      </w:r>
                      <w:r w:rsidRPr="008F54AF">
                        <w:rPr>
                          <w:rFonts w:ascii="Calibri" w:hAnsi="Calibri" w:cs="Courier New"/>
                        </w:rPr>
                        <w:t>resistant gonorrhea.</w:t>
                      </w:r>
                    </w:p>
                    <w:p w:rsidRPr="008F54AF" w:rsidR="00EA5055" w:rsidP="005B3BAC" w:rsidRDefault="00EA5055" w14:paraId="32B9BF9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Calibri" w:hAnsi="Calibri" w:cs="Courier New"/>
                        </w:rPr>
                      </w:pPr>
                      <w:r w:rsidRPr="008F54AF">
                        <w:rPr>
                          <w:rFonts w:ascii="Calibri" w:hAnsi="Calibri" w:cs="Courier New"/>
                        </w:rPr>
                        <w:t xml:space="preserve">• Methods to be used to collect: Data </w:t>
                      </w:r>
                      <w:r>
                        <w:rPr>
                          <w:rFonts w:ascii="Calibri" w:hAnsi="Calibri" w:cs="Courier New"/>
                        </w:rPr>
                        <w:t>and</w:t>
                      </w:r>
                      <w:r w:rsidRPr="008F54AF">
                        <w:rPr>
                          <w:rFonts w:ascii="Calibri" w:hAnsi="Calibri" w:cs="Courier New"/>
                        </w:rPr>
                        <w:t xml:space="preserve"> specimens </w:t>
                      </w:r>
                      <w:r>
                        <w:rPr>
                          <w:rFonts w:ascii="Calibri" w:hAnsi="Calibri" w:cs="Courier New"/>
                        </w:rPr>
                        <w:t>are</w:t>
                      </w:r>
                      <w:r w:rsidRPr="008F54AF">
                        <w:rPr>
                          <w:rFonts w:ascii="Calibri" w:hAnsi="Calibri" w:cs="Courier New"/>
                        </w:rPr>
                        <w:t xml:space="preserve"> collected at participating sexually transmitted disease (STD) specialty </w:t>
                      </w:r>
                      <w:r>
                        <w:rPr>
                          <w:rFonts w:ascii="Calibri" w:hAnsi="Calibri" w:cs="Courier New"/>
                        </w:rPr>
                        <w:t xml:space="preserve">clinics </w:t>
                      </w:r>
                      <w:r w:rsidRPr="008F54AF">
                        <w:rPr>
                          <w:rFonts w:ascii="Calibri" w:hAnsi="Calibri" w:cs="Courier New"/>
                        </w:rPr>
                        <w:t>and other partnering clinics</w:t>
                      </w:r>
                      <w:r>
                        <w:rPr>
                          <w:rFonts w:ascii="Calibri" w:hAnsi="Calibri" w:cs="Courier New"/>
                        </w:rPr>
                        <w:t>,</w:t>
                      </w:r>
                      <w:r w:rsidRPr="008F54AF">
                        <w:rPr>
                          <w:rFonts w:ascii="Calibri" w:hAnsi="Calibri" w:cs="Courier New"/>
                        </w:rPr>
                        <w:t xml:space="preserve"> and during outbreak investigations</w:t>
                      </w:r>
                      <w:r>
                        <w:rPr>
                          <w:rFonts w:ascii="Calibri" w:hAnsi="Calibri" w:cs="Courier New"/>
                        </w:rPr>
                        <w:t>.</w:t>
                      </w:r>
                    </w:p>
                    <w:p w:rsidRPr="008F54AF" w:rsidR="00EA5055" w:rsidP="005B3BAC" w:rsidRDefault="00EA5055" w14:paraId="1AF7E9B0" w14:textId="5D32341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Calibri" w:hAnsi="Calibri" w:cs="Courier New"/>
                        </w:rPr>
                      </w:pPr>
                      <w:r>
                        <w:rPr>
                          <w:rFonts w:ascii="Calibri" w:hAnsi="Calibri" w:cs="Courier New"/>
                        </w:rPr>
                        <w:t xml:space="preserve">• The </w:t>
                      </w:r>
                      <w:r w:rsidRPr="008F54AF">
                        <w:rPr>
                          <w:rFonts w:ascii="Calibri" w:hAnsi="Calibri" w:cs="Courier New"/>
                        </w:rPr>
                        <w:t xml:space="preserve">populations to be studied: </w:t>
                      </w:r>
                      <w:r>
                        <w:rPr>
                          <w:rFonts w:ascii="Calibri" w:hAnsi="Calibri" w:cs="Courier New"/>
                        </w:rPr>
                        <w:t>P</w:t>
                      </w:r>
                      <w:r w:rsidRPr="008F54AF">
                        <w:rPr>
                          <w:rFonts w:ascii="Calibri" w:hAnsi="Calibri" w:cs="Courier New"/>
                        </w:rPr>
                        <w:t xml:space="preserve">ersons with gonorrhea attending one of the participating STD clinics or other participating clinics in the United States, and </w:t>
                      </w:r>
                      <w:r>
                        <w:rPr>
                          <w:rFonts w:ascii="Calibri" w:hAnsi="Calibri" w:cs="Courier New"/>
                        </w:rPr>
                        <w:t>sexual partners of persons with gonorrhea</w:t>
                      </w:r>
                      <w:r w:rsidRPr="008F54AF">
                        <w:rPr>
                          <w:rFonts w:ascii="Calibri" w:hAnsi="Calibri" w:cs="Courier New"/>
                        </w:rPr>
                        <w:t xml:space="preserve">. </w:t>
                      </w:r>
                    </w:p>
                    <w:p w:rsidR="00EA5055" w:rsidP="00F061E9" w:rsidRDefault="00EA5055" w14:paraId="70FE3E89" w14:textId="6FF6DABC">
                      <w:pPr>
                        <w:rPr>
                          <w:rFonts w:ascii="Calibri" w:hAnsi="Calibri" w:cs="Courier New"/>
                        </w:rPr>
                      </w:pPr>
                      <w:r w:rsidRPr="00D145EE">
                        <w:rPr>
                          <w:rFonts w:ascii="Calibri" w:hAnsi="Calibri" w:cs="Courier New"/>
                        </w:rPr>
                        <w:t xml:space="preserve">• How data will be analyzed: Trend analyses </w:t>
                      </w:r>
                      <w:r>
                        <w:rPr>
                          <w:rFonts w:ascii="Calibri" w:hAnsi="Calibri" w:cs="Courier New"/>
                        </w:rPr>
                        <w:t xml:space="preserve">will be conducted </w:t>
                      </w:r>
                      <w:r w:rsidRPr="00D145EE">
                        <w:rPr>
                          <w:rFonts w:ascii="Calibri" w:hAnsi="Calibri" w:cs="Courier New"/>
                        </w:rPr>
                        <w:t>to identify changes in the burden of antibiotic resistance</w:t>
                      </w:r>
                      <w:r>
                        <w:rPr>
                          <w:rFonts w:ascii="Calibri" w:hAnsi="Calibri" w:cs="Courier New"/>
                        </w:rPr>
                        <w:t>. C</w:t>
                      </w:r>
                      <w:r w:rsidRPr="00D145EE">
                        <w:rPr>
                          <w:rFonts w:ascii="Calibri" w:hAnsi="Calibri" w:cs="Courier New"/>
                        </w:rPr>
                        <w:t xml:space="preserve">ross-sectional analyses </w:t>
                      </w:r>
                      <w:r>
                        <w:rPr>
                          <w:rFonts w:ascii="Calibri" w:hAnsi="Calibri" w:cs="Courier New"/>
                        </w:rPr>
                        <w:t xml:space="preserve">will be conducted </w:t>
                      </w:r>
                      <w:r w:rsidRPr="00D145EE">
                        <w:rPr>
                          <w:rFonts w:ascii="Calibri" w:hAnsi="Calibri" w:cs="Courier New"/>
                        </w:rPr>
                        <w:t>to</w:t>
                      </w:r>
                      <w:r>
                        <w:rPr>
                          <w:rFonts w:ascii="Calibri" w:hAnsi="Calibri" w:cs="Courier New"/>
                        </w:rPr>
                        <w:t>: (1)</w:t>
                      </w:r>
                      <w:r w:rsidRPr="00D145EE">
                        <w:rPr>
                          <w:rFonts w:ascii="Calibri" w:hAnsi="Calibri" w:cs="Courier New"/>
                        </w:rPr>
                        <w:t xml:space="preserve"> identify risk factors for resistance</w:t>
                      </w:r>
                      <w:r>
                        <w:rPr>
                          <w:rFonts w:ascii="Calibri" w:hAnsi="Calibri" w:cs="Courier New"/>
                        </w:rPr>
                        <w:t xml:space="preserve">, (2) examine differences in antibiotic resistance populations by population and healthcare setting characteristics, and (3) evaluate programmatic prevention and control approaches. </w:t>
                      </w:r>
                    </w:p>
                    <w:p w:rsidR="00EA5055" w:rsidP="00F061E9" w:rsidRDefault="00EA5055" w14:paraId="1C2E0E09" w14:textId="77777777">
                      <w:pPr>
                        <w:rPr>
                          <w:rFonts w:ascii="Calibri" w:hAnsi="Calibri" w:cs="Courier New"/>
                        </w:rPr>
                      </w:pPr>
                    </w:p>
                    <w:p w:rsidR="00EA5055" w:rsidP="00F061E9" w:rsidRDefault="00EA5055" w14:paraId="345B1F53" w14:textId="2DB64060">
                      <w:r w:rsidRPr="00F061E9">
                        <w:rPr>
                          <w:rFonts w:ascii="Calibri" w:hAnsi="Calibri" w:cs="Courier New"/>
                        </w:rPr>
                        <w:t>Considerations during COVID-19 pandemic: If clinic closures and health department staffing challenges due to COVID-19 continue into late 2021, then participating state and local health departments m</w:t>
                      </w:r>
                      <w:r>
                        <w:rPr>
                          <w:rFonts w:ascii="Calibri" w:hAnsi="Calibri" w:cs="Courier New"/>
                        </w:rPr>
                        <w:t>ight</w:t>
                      </w:r>
                      <w:r w:rsidRPr="00F061E9">
                        <w:rPr>
                          <w:rFonts w:ascii="Calibri" w:hAnsi="Calibri" w:cs="Courier New"/>
                        </w:rPr>
                        <w:t xml:space="preserve"> face challenges collect</w:t>
                      </w:r>
                      <w:r>
                        <w:rPr>
                          <w:rFonts w:ascii="Calibri" w:hAnsi="Calibri" w:cs="Courier New"/>
                        </w:rPr>
                        <w:t>ing</w:t>
                      </w:r>
                      <w:r w:rsidRPr="00F061E9">
                        <w:rPr>
                          <w:rFonts w:ascii="Calibri" w:hAnsi="Calibri" w:cs="Courier New"/>
                        </w:rPr>
                        <w:t xml:space="preserve"> the requested data. CDC will work with the participating health departments in a collaborative manner to maximize </w:t>
                      </w:r>
                      <w:r>
                        <w:rPr>
                          <w:rFonts w:ascii="Calibri" w:hAnsi="Calibri" w:cs="Courier New"/>
                        </w:rPr>
                        <w:t>accomplishment</w:t>
                      </w:r>
                      <w:r w:rsidRPr="00F061E9">
                        <w:rPr>
                          <w:rFonts w:ascii="Calibri" w:hAnsi="Calibri" w:cs="Courier New"/>
                        </w:rPr>
                        <w:t xml:space="preserve"> of project objectives while also respecting local and state health department capacity. All participating health department staff will follow all relevant local, state, or/and federal COVID-19-related guidance pertaining to social distancing</w:t>
                      </w:r>
                      <w:r>
                        <w:rPr>
                          <w:rFonts w:ascii="Calibri" w:hAnsi="Calibri" w:cs="Courier New"/>
                        </w:rPr>
                        <w:t xml:space="preserve">, </w:t>
                      </w:r>
                      <w:r w:rsidRPr="00F061E9">
                        <w:rPr>
                          <w:rFonts w:ascii="Calibri" w:hAnsi="Calibri" w:cs="Courier New"/>
                        </w:rPr>
                        <w:t>face coverings</w:t>
                      </w:r>
                      <w:r>
                        <w:rPr>
                          <w:rFonts w:ascii="Calibri" w:hAnsi="Calibri" w:cs="Courier New"/>
                        </w:rPr>
                        <w:t>, and other recommended measures</w:t>
                      </w:r>
                      <w:r w:rsidRPr="00F061E9">
                        <w:rPr>
                          <w:rFonts w:ascii="Calibri" w:hAnsi="Calibri" w:cs="Courier New"/>
                        </w:rPr>
                        <w:t xml:space="preserve"> to protect participants</w:t>
                      </w:r>
                      <w:r>
                        <w:rPr>
                          <w:rFonts w:ascii="Calibri" w:hAnsi="Calibri" w:cs="Courier New"/>
                        </w:rPr>
                        <w:t xml:space="preserve"> and staff</w:t>
                      </w:r>
                      <w:r w:rsidRPr="00F061E9">
                        <w:rPr>
                          <w:rFonts w:ascii="Calibri" w:hAnsi="Calibri" w:cs="Courier New"/>
                        </w:rPr>
                        <w:t xml:space="preserve">.  </w:t>
                      </w:r>
                    </w:p>
                    <w:p w:rsidRPr="00D145EE" w:rsidR="00EA5055" w:rsidP="005B3BAC" w:rsidRDefault="00EA5055" w14:paraId="3756160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Calibri" w:hAnsi="Calibri" w:cs="Courier New"/>
                        </w:rPr>
                      </w:pPr>
                    </w:p>
                  </w:txbxContent>
                </v:textbox>
              </v:shape>
            </w:pict>
          </mc:Fallback>
        </mc:AlternateContent>
      </w:r>
      <w:r w:rsidRPr="00D145EE">
        <w:rPr>
          <w:rFonts w:ascii="Calibri" w:hAnsi="Calibri" w:cs="Courier New"/>
          <w:b/>
        </w:rPr>
        <w:t>A. Justification</w:t>
      </w:r>
    </w:p>
    <w:p w:rsidRPr="00D145EE" w:rsidR="00BC0411" w:rsidRDefault="00BC0411" w14:paraId="384ECD6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Calibri" w:hAnsi="Calibri" w:cs="Courier New"/>
          <w:b/>
        </w:rPr>
      </w:pPr>
    </w:p>
    <w:p w:rsidRPr="00D145EE" w:rsidR="00BC0411" w:rsidRDefault="00BC0411" w14:paraId="422A479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Calibri" w:hAnsi="Calibri" w:cs="Courier New"/>
          <w:b/>
        </w:rPr>
      </w:pPr>
    </w:p>
    <w:p w:rsidRPr="00D145EE" w:rsidR="00E81E5D" w:rsidRDefault="00E81E5D" w14:paraId="6B09A35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Calibri" w:hAnsi="Calibri" w:cs="Courier New"/>
        </w:rPr>
      </w:pPr>
    </w:p>
    <w:p w:rsidRPr="00D145EE" w:rsidR="00E81E5D" w:rsidRDefault="00E81E5D" w14:paraId="6BCCADA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Calibri" w:hAnsi="Calibri" w:cs="Courier New"/>
        </w:rPr>
      </w:pPr>
    </w:p>
    <w:p w:rsidRPr="00D145EE" w:rsidR="00E81E5D" w:rsidRDefault="00E81E5D" w14:paraId="262FBAF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Calibri" w:hAnsi="Calibri" w:cs="Courier New"/>
        </w:rPr>
      </w:pPr>
    </w:p>
    <w:p w:rsidRPr="00D145EE" w:rsidR="00E81E5D" w:rsidRDefault="00E81E5D" w14:paraId="1024459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Calibri" w:hAnsi="Calibri" w:cs="Courier New"/>
        </w:rPr>
      </w:pPr>
    </w:p>
    <w:p w:rsidRPr="00D145EE" w:rsidR="00E81E5D" w:rsidRDefault="00E81E5D" w14:paraId="5A8F4E2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Calibri" w:hAnsi="Calibri" w:cs="Courier New"/>
        </w:rPr>
      </w:pPr>
    </w:p>
    <w:p w:rsidRPr="00D145EE" w:rsidR="00E81E5D" w:rsidRDefault="00E81E5D" w14:paraId="46B54DB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Calibri" w:hAnsi="Calibri" w:cs="Courier New"/>
        </w:rPr>
      </w:pPr>
    </w:p>
    <w:p w:rsidRPr="00D145EE" w:rsidR="00E81E5D" w:rsidRDefault="00E81E5D" w14:paraId="347407E7"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Calibri" w:hAnsi="Calibri" w:cs="Courier New"/>
        </w:rPr>
      </w:pPr>
    </w:p>
    <w:p w:rsidRPr="00D145EE" w:rsidR="00E81E5D" w:rsidRDefault="00E81E5D" w14:paraId="6260044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Calibri" w:hAnsi="Calibri" w:cs="Courier New"/>
        </w:rPr>
      </w:pPr>
    </w:p>
    <w:p w:rsidRPr="00D145EE" w:rsidR="00E81E5D" w:rsidRDefault="00E81E5D" w14:paraId="18901B9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Calibri" w:hAnsi="Calibri" w:cs="Courier New"/>
        </w:rPr>
      </w:pPr>
    </w:p>
    <w:p w:rsidRPr="00D145EE" w:rsidR="00E81E5D" w:rsidRDefault="00E81E5D" w14:paraId="6B7E370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Calibri" w:hAnsi="Calibri" w:cs="Courier New"/>
        </w:rPr>
      </w:pPr>
    </w:p>
    <w:p w:rsidRPr="00D145EE" w:rsidR="00E81E5D" w:rsidRDefault="00E81E5D" w14:paraId="64111D7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Calibri" w:hAnsi="Calibri" w:cs="Courier New"/>
          <w:b/>
        </w:rPr>
      </w:pPr>
    </w:p>
    <w:p w:rsidRPr="00D145EE" w:rsidR="00E81E5D" w:rsidRDefault="00E81E5D" w14:paraId="7FA3707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Calibri" w:hAnsi="Calibri" w:cs="Courier New"/>
          <w:b/>
        </w:rPr>
      </w:pPr>
    </w:p>
    <w:p w:rsidRPr="00D145EE" w:rsidR="00E81E5D" w:rsidRDefault="00E81E5D" w14:paraId="3C1E34B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Calibri" w:hAnsi="Calibri" w:cs="Courier New"/>
          <w:b/>
        </w:rPr>
      </w:pPr>
    </w:p>
    <w:p w:rsidRPr="00D145EE" w:rsidR="00E81E5D" w:rsidRDefault="00E81E5D" w14:paraId="6DD9F06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Calibri" w:hAnsi="Calibri" w:cs="Courier New"/>
          <w:b/>
        </w:rPr>
      </w:pPr>
    </w:p>
    <w:p w:rsidRPr="00D145EE" w:rsidR="00E81E5D" w:rsidRDefault="00E81E5D" w14:paraId="5CE9878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Calibri" w:hAnsi="Calibri" w:cs="Courier New"/>
          <w:b/>
        </w:rPr>
      </w:pPr>
    </w:p>
    <w:p w:rsidRPr="00D145EE" w:rsidR="00BC0411" w:rsidRDefault="00BC0411" w14:paraId="0600F85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Calibri" w:hAnsi="Calibri" w:cs="Courier New"/>
          <w:b/>
        </w:rPr>
      </w:pPr>
    </w:p>
    <w:p w:rsidRPr="00D145EE" w:rsidR="00BC0411" w:rsidRDefault="00BC0411" w14:paraId="6E43370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Calibri" w:hAnsi="Calibri" w:cs="Courier New"/>
          <w:b/>
        </w:rPr>
      </w:pPr>
    </w:p>
    <w:p w:rsidRPr="00D145EE" w:rsidR="00BC0411" w:rsidRDefault="00BC0411" w14:paraId="23A4090D" w14:textId="77777777">
      <w:pPr>
        <w:spacing w:after="60"/>
        <w:rPr>
          <w:rFonts w:ascii="Calibri" w:hAnsi="Calibri" w:cs="Courier New"/>
          <w:b/>
        </w:rPr>
      </w:pPr>
    </w:p>
    <w:p w:rsidRPr="00D145EE" w:rsidR="00BC0411" w:rsidRDefault="00BC0411" w14:paraId="66FC0007" w14:textId="77777777">
      <w:pPr>
        <w:spacing w:after="60"/>
        <w:rPr>
          <w:rFonts w:ascii="Calibri" w:hAnsi="Calibri" w:cs="Courier New"/>
          <w:b/>
        </w:rPr>
      </w:pPr>
    </w:p>
    <w:p w:rsidRPr="00D145EE" w:rsidR="00E81E5D" w:rsidRDefault="00E81E5D" w14:paraId="7CC0C409" w14:textId="77777777">
      <w:pPr>
        <w:spacing w:after="60"/>
        <w:rPr>
          <w:rFonts w:ascii="Calibri" w:hAnsi="Calibri" w:cs="Courier New"/>
          <w:b/>
        </w:rPr>
      </w:pPr>
      <w:r w:rsidRPr="00D145EE">
        <w:rPr>
          <w:rFonts w:ascii="Calibri" w:hAnsi="Calibri" w:cs="Courier New"/>
          <w:b/>
        </w:rPr>
        <w:lastRenderedPageBreak/>
        <w:t xml:space="preserve">1. Circumstances Making the Collection of Information Necessary </w:t>
      </w:r>
    </w:p>
    <w:p w:rsidRPr="00D145EE" w:rsidR="00E81E5D" w:rsidRDefault="00E81E5D" w14:paraId="0A2D98CA" w14:textId="77777777">
      <w:pPr>
        <w:tabs>
          <w:tab w:val="left" w:pos="-2016"/>
          <w:tab w:val="left" w:pos="-1296"/>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624"/>
          <w:tab w:val="left" w:pos="7344"/>
          <w:tab w:val="left" w:pos="8064"/>
        </w:tabs>
        <w:rPr>
          <w:rFonts w:ascii="Calibri" w:hAnsi="Calibri" w:cs="Courier New"/>
        </w:rPr>
      </w:pPr>
    </w:p>
    <w:p w:rsidRPr="00B15B48" w:rsidR="00096553" w:rsidP="00096553" w:rsidRDefault="00E81E5D" w14:paraId="124B3941" w14:textId="0851F26A">
      <w:pPr>
        <w:tabs>
          <w:tab w:val="left" w:pos="-2016"/>
          <w:tab w:val="left" w:pos="-1296"/>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624"/>
          <w:tab w:val="left" w:pos="7344"/>
          <w:tab w:val="left" w:pos="8064"/>
        </w:tabs>
        <w:rPr>
          <w:rFonts w:ascii="Calibri" w:hAnsi="Calibri" w:cs="Courier New"/>
        </w:rPr>
      </w:pPr>
      <w:r w:rsidRPr="00D145EE">
        <w:rPr>
          <w:rFonts w:ascii="Calibri" w:hAnsi="Calibri" w:cs="Courier New"/>
        </w:rPr>
        <w:t xml:space="preserve">The </w:t>
      </w:r>
      <w:r w:rsidRPr="00D145EE" w:rsidR="00B231E9">
        <w:rPr>
          <w:rFonts w:ascii="Calibri" w:hAnsi="Calibri" w:cs="Courier New"/>
        </w:rPr>
        <w:t>Centers for Disease Control</w:t>
      </w:r>
      <w:r w:rsidR="00F04557">
        <w:rPr>
          <w:rFonts w:ascii="Calibri" w:hAnsi="Calibri" w:cs="Courier New"/>
        </w:rPr>
        <w:t xml:space="preserve"> and Prevention</w:t>
      </w:r>
      <w:r w:rsidRPr="00D145EE" w:rsidR="00B231E9">
        <w:rPr>
          <w:rFonts w:ascii="Calibri" w:hAnsi="Calibri" w:cs="Courier New"/>
        </w:rPr>
        <w:t xml:space="preserve"> (CDC), </w:t>
      </w:r>
      <w:r w:rsidRPr="00D145EE">
        <w:rPr>
          <w:rFonts w:ascii="Calibri" w:hAnsi="Calibri" w:cs="Courier New"/>
        </w:rPr>
        <w:t xml:space="preserve">National Center for HIV/AIDS, Viral Hepatitis, STD, and TB Prevention (NCHHSTP), </w:t>
      </w:r>
      <w:r w:rsidRPr="00D145EE" w:rsidR="00B231E9">
        <w:rPr>
          <w:rFonts w:ascii="Calibri" w:hAnsi="Calibri" w:cs="Courier New"/>
        </w:rPr>
        <w:t>Division of STD Prevention (DSTDP)</w:t>
      </w:r>
      <w:r w:rsidRPr="00D145EE">
        <w:rPr>
          <w:rFonts w:ascii="Calibri" w:hAnsi="Calibri"/>
        </w:rPr>
        <w:t xml:space="preserve"> </w:t>
      </w:r>
      <w:r w:rsidRPr="00D145EE">
        <w:rPr>
          <w:rFonts w:ascii="Calibri" w:hAnsi="Calibri" w:cs="Courier New"/>
        </w:rPr>
        <w:t xml:space="preserve">requests </w:t>
      </w:r>
      <w:r w:rsidR="001B0306">
        <w:rPr>
          <w:rFonts w:ascii="Calibri" w:hAnsi="Calibri" w:cs="Courier New"/>
        </w:rPr>
        <w:t>OMB to approve</w:t>
      </w:r>
      <w:r w:rsidR="004327DB">
        <w:rPr>
          <w:rFonts w:ascii="Calibri" w:hAnsi="Calibri" w:cs="Courier New"/>
        </w:rPr>
        <w:t xml:space="preserve"> a revision </w:t>
      </w:r>
      <w:r w:rsidR="001B0306">
        <w:rPr>
          <w:rFonts w:ascii="Calibri" w:hAnsi="Calibri" w:cs="Courier New"/>
        </w:rPr>
        <w:t>of the currently approved version of 0920-</w:t>
      </w:r>
      <w:r w:rsidR="00A04C49">
        <w:rPr>
          <w:rFonts w:ascii="Calibri" w:hAnsi="Calibri" w:cs="Courier New"/>
        </w:rPr>
        <w:t>1242</w:t>
      </w:r>
      <w:r w:rsidR="001B0306">
        <w:rPr>
          <w:rFonts w:ascii="Calibri" w:hAnsi="Calibri" w:cs="Courier New"/>
        </w:rPr>
        <w:t xml:space="preserve">, </w:t>
      </w:r>
      <w:r w:rsidRPr="00D145EE" w:rsidR="00E0565F">
        <w:rPr>
          <w:rFonts w:ascii="Calibri" w:hAnsi="Calibri" w:cs="Courier New"/>
          <w:i/>
        </w:rPr>
        <w:t>Strengthening United States Response to Resistant Gonorrhea</w:t>
      </w:r>
      <w:r w:rsidRPr="00D145EE" w:rsidR="00B231E9">
        <w:rPr>
          <w:rFonts w:ascii="Calibri" w:hAnsi="Calibri" w:cs="Courier New"/>
        </w:rPr>
        <w:t>,</w:t>
      </w:r>
      <w:r w:rsidR="001B0306">
        <w:rPr>
          <w:rFonts w:ascii="Calibri" w:hAnsi="Calibri" w:cs="Courier New"/>
        </w:rPr>
        <w:t xml:space="preserve"> for three years. Data will be collected </w:t>
      </w:r>
      <w:r w:rsidRPr="00D145EE" w:rsidR="00B231E9">
        <w:rPr>
          <w:rFonts w:ascii="Calibri" w:hAnsi="Calibri" w:cs="Courier New"/>
        </w:rPr>
        <w:t xml:space="preserve">as part of a sentinel surveillance and </w:t>
      </w:r>
      <w:r w:rsidR="00F04557">
        <w:rPr>
          <w:rFonts w:ascii="Calibri" w:hAnsi="Calibri" w:cs="Courier New"/>
        </w:rPr>
        <w:t xml:space="preserve">public </w:t>
      </w:r>
      <w:r w:rsidRPr="00666649" w:rsidR="00F04557">
        <w:rPr>
          <w:rFonts w:ascii="Calibri" w:hAnsi="Calibri" w:cs="Courier New"/>
        </w:rPr>
        <w:t xml:space="preserve">health </w:t>
      </w:r>
      <w:r w:rsidRPr="00666649" w:rsidR="00B231E9">
        <w:rPr>
          <w:rFonts w:ascii="Calibri" w:hAnsi="Calibri" w:cs="Courier New"/>
        </w:rPr>
        <w:t xml:space="preserve">program response system. This system is funded by CDC and </w:t>
      </w:r>
      <w:r w:rsidR="00A96AE5">
        <w:rPr>
          <w:rFonts w:ascii="Calibri" w:hAnsi="Calibri" w:cs="Courier New"/>
        </w:rPr>
        <w:t>is</w:t>
      </w:r>
      <w:r w:rsidRPr="00666649" w:rsidR="00B231E9">
        <w:rPr>
          <w:rFonts w:ascii="Calibri" w:hAnsi="Calibri" w:cs="Courier New"/>
        </w:rPr>
        <w:t xml:space="preserve"> conducted </w:t>
      </w:r>
      <w:r w:rsidRPr="00A96AE5" w:rsidR="00B231E9">
        <w:rPr>
          <w:rFonts w:ascii="Calibri" w:hAnsi="Calibri" w:cs="Courier New"/>
        </w:rPr>
        <w:t xml:space="preserve">at </w:t>
      </w:r>
      <w:r w:rsidRPr="00A96AE5" w:rsidR="001B0306">
        <w:rPr>
          <w:rFonts w:ascii="Calibri" w:hAnsi="Calibri" w:cs="Courier New"/>
        </w:rPr>
        <w:t xml:space="preserve">eight </w:t>
      </w:r>
      <w:r w:rsidRPr="00A96AE5" w:rsidR="00F04557">
        <w:rPr>
          <w:rFonts w:ascii="Calibri" w:hAnsi="Calibri" w:cs="Courier New"/>
        </w:rPr>
        <w:t>jurisdictions</w:t>
      </w:r>
      <w:r w:rsidRPr="00666649" w:rsidR="00B231E9">
        <w:rPr>
          <w:rFonts w:ascii="Calibri" w:hAnsi="Calibri" w:cs="Courier New"/>
        </w:rPr>
        <w:t xml:space="preserve"> (state and local health departments) in the United States. </w:t>
      </w:r>
      <w:r w:rsidR="00FA7FF9">
        <w:rPr>
          <w:rFonts w:ascii="Calibri" w:hAnsi="Calibri" w:cs="Courier New"/>
        </w:rPr>
        <w:t xml:space="preserve">This data collection and related </w:t>
      </w:r>
      <w:r w:rsidRPr="00B15B48" w:rsidR="00096553">
        <w:rPr>
          <w:rFonts w:ascii="Calibri" w:hAnsi="Calibri" w:cs="Courier New"/>
        </w:rPr>
        <w:t>programs are authorized by the Public Health Service Act, Sec. 301 and 318 (42 USC 241 and 247c) (</w:t>
      </w:r>
      <w:r w:rsidRPr="00B15B48" w:rsidR="00096553">
        <w:rPr>
          <w:rFonts w:ascii="Calibri" w:hAnsi="Calibri" w:cs="Courier New"/>
          <w:b/>
        </w:rPr>
        <w:t>Attachment 1</w:t>
      </w:r>
      <w:r w:rsidRPr="00B15B48" w:rsidR="00096553">
        <w:rPr>
          <w:rFonts w:ascii="Calibri" w:hAnsi="Calibri" w:cs="Courier New"/>
        </w:rPr>
        <w:t>).</w:t>
      </w:r>
    </w:p>
    <w:p w:rsidRPr="00D145EE" w:rsidR="00B231E9" w:rsidRDefault="00B231E9" w14:paraId="6AE02B1B" w14:textId="77777777">
      <w:pPr>
        <w:tabs>
          <w:tab w:val="left" w:pos="-2016"/>
          <w:tab w:val="left" w:pos="-1296"/>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624"/>
          <w:tab w:val="left" w:pos="7344"/>
          <w:tab w:val="left" w:pos="8064"/>
        </w:tabs>
        <w:rPr>
          <w:rFonts w:ascii="Calibri" w:hAnsi="Calibri" w:cs="Courier New"/>
        </w:rPr>
      </w:pPr>
    </w:p>
    <w:p w:rsidRPr="00D145EE" w:rsidR="009140DB" w:rsidRDefault="00F04557" w14:paraId="34E2A95D" w14:textId="56377966">
      <w:pPr>
        <w:tabs>
          <w:tab w:val="left" w:pos="-2016"/>
          <w:tab w:val="left" w:pos="-1296"/>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624"/>
          <w:tab w:val="left" w:pos="7344"/>
          <w:tab w:val="left" w:pos="8064"/>
        </w:tabs>
        <w:rPr>
          <w:rFonts w:ascii="Calibri" w:hAnsi="Calibri" w:cs="Courier New"/>
        </w:rPr>
      </w:pPr>
      <w:r>
        <w:rPr>
          <w:rFonts w:ascii="Calibri" w:hAnsi="Calibri" w:cs="Courier New"/>
        </w:rPr>
        <w:t>CDC estimates that a</w:t>
      </w:r>
      <w:r w:rsidRPr="00D145EE" w:rsidR="00E81E5D">
        <w:rPr>
          <w:rFonts w:ascii="Calibri" w:hAnsi="Calibri" w:cs="Courier New"/>
        </w:rPr>
        <w:t xml:space="preserve">pproximately </w:t>
      </w:r>
      <w:r w:rsidR="00236A79">
        <w:rPr>
          <w:rFonts w:ascii="Calibri" w:hAnsi="Calibri" w:cs="Courier New"/>
        </w:rPr>
        <w:t xml:space="preserve">1.6 million gonococcal infections occur </w:t>
      </w:r>
      <w:r w:rsidRPr="00D145EE" w:rsidR="00E81E5D">
        <w:rPr>
          <w:rFonts w:ascii="Calibri" w:hAnsi="Calibri" w:cs="Courier New"/>
        </w:rPr>
        <w:t>annually in the United States.</w:t>
      </w:r>
      <w:r w:rsidRPr="00D145EE" w:rsidR="00E81E5D">
        <w:rPr>
          <w:rFonts w:ascii="Calibri" w:hAnsi="Calibri" w:cs="Courier New"/>
          <w:vertAlign w:val="superscript"/>
        </w:rPr>
        <w:t>1</w:t>
      </w:r>
      <w:r w:rsidRPr="00D145EE" w:rsidR="00E81E5D">
        <w:rPr>
          <w:rFonts w:ascii="Calibri" w:hAnsi="Calibri" w:cs="Courier New"/>
        </w:rPr>
        <w:t xml:space="preserve"> Without </w:t>
      </w:r>
      <w:r>
        <w:rPr>
          <w:rFonts w:ascii="Calibri" w:hAnsi="Calibri" w:cs="Courier New"/>
        </w:rPr>
        <w:t xml:space="preserve">antibiotic </w:t>
      </w:r>
      <w:r w:rsidRPr="00D145EE" w:rsidR="00E81E5D">
        <w:rPr>
          <w:rFonts w:ascii="Calibri" w:hAnsi="Calibri" w:cs="Courier New"/>
        </w:rPr>
        <w:t xml:space="preserve">treatment, gonorrhea can </w:t>
      </w:r>
      <w:r w:rsidR="00413B3D">
        <w:rPr>
          <w:rFonts w:ascii="Calibri" w:hAnsi="Calibri" w:cs="Courier New"/>
        </w:rPr>
        <w:t>cause</w:t>
      </w:r>
      <w:r w:rsidRPr="00D145EE" w:rsidR="00E81E5D">
        <w:rPr>
          <w:rFonts w:ascii="Calibri" w:hAnsi="Calibri" w:cs="Courier New"/>
        </w:rPr>
        <w:t xml:space="preserve"> pelvic inflammatory disease, infertility, and ectopic pregnancy, and can also facilitate HIV transmission. Gonorrhea control in the United States relies on prompt and effective anti</w:t>
      </w:r>
      <w:r>
        <w:rPr>
          <w:rFonts w:ascii="Calibri" w:hAnsi="Calibri" w:cs="Courier New"/>
        </w:rPr>
        <w:t>biotic</w:t>
      </w:r>
      <w:r w:rsidRPr="00D145EE" w:rsidR="00E81E5D">
        <w:rPr>
          <w:rFonts w:ascii="Calibri" w:hAnsi="Calibri" w:cs="Courier New"/>
        </w:rPr>
        <w:t xml:space="preserve"> therapy. However, treatment </w:t>
      </w:r>
      <w:r>
        <w:rPr>
          <w:rFonts w:ascii="Calibri" w:hAnsi="Calibri" w:cs="Courier New"/>
        </w:rPr>
        <w:t>has been</w:t>
      </w:r>
      <w:r w:rsidRPr="00D145EE" w:rsidR="00E81E5D">
        <w:rPr>
          <w:rFonts w:ascii="Calibri" w:hAnsi="Calibri" w:cs="Courier New"/>
        </w:rPr>
        <w:t xml:space="preserve"> complicated by the </w:t>
      </w:r>
      <w:r>
        <w:rPr>
          <w:rFonts w:ascii="Calibri" w:hAnsi="Calibri" w:cs="Courier New"/>
        </w:rPr>
        <w:t xml:space="preserve">remarkable </w:t>
      </w:r>
      <w:r w:rsidRPr="00D145EE" w:rsidR="00E81E5D">
        <w:rPr>
          <w:rFonts w:ascii="Calibri" w:hAnsi="Calibri" w:cs="Courier New"/>
        </w:rPr>
        <w:t xml:space="preserve">ability of </w:t>
      </w:r>
      <w:r w:rsidRPr="00D145EE" w:rsidR="00E81E5D">
        <w:rPr>
          <w:rFonts w:ascii="Calibri" w:hAnsi="Calibri" w:cs="Courier New"/>
          <w:i/>
        </w:rPr>
        <w:t>Neisseria gonorrhoeae</w:t>
      </w:r>
      <w:r w:rsidRPr="00D145EE" w:rsidR="00E81E5D">
        <w:rPr>
          <w:rFonts w:ascii="Calibri" w:hAnsi="Calibri" w:cs="Courier New"/>
        </w:rPr>
        <w:t xml:space="preserve"> </w:t>
      </w:r>
      <w:r w:rsidR="00040C1E">
        <w:rPr>
          <w:rFonts w:ascii="Calibri" w:hAnsi="Calibri" w:cs="Courier New"/>
        </w:rPr>
        <w:t xml:space="preserve">(the bacterium that causes gonorrhea) </w:t>
      </w:r>
      <w:r w:rsidRPr="00D145EE" w:rsidR="00E81E5D">
        <w:rPr>
          <w:rFonts w:ascii="Calibri" w:hAnsi="Calibri" w:cs="Courier New"/>
        </w:rPr>
        <w:t>to develop anti</w:t>
      </w:r>
      <w:r>
        <w:rPr>
          <w:rFonts w:ascii="Calibri" w:hAnsi="Calibri" w:cs="Courier New"/>
        </w:rPr>
        <w:t>biotic</w:t>
      </w:r>
      <w:r w:rsidRPr="00D145EE" w:rsidR="00E81E5D">
        <w:rPr>
          <w:rFonts w:ascii="Calibri" w:hAnsi="Calibri" w:cs="Courier New"/>
        </w:rPr>
        <w:t xml:space="preserve"> resistance.</w:t>
      </w:r>
      <w:r w:rsidRPr="00C74339" w:rsidR="00C74339">
        <w:rPr>
          <w:rFonts w:ascii="Calibri" w:hAnsi="Calibri" w:cs="Courier New"/>
          <w:vertAlign w:val="superscript"/>
        </w:rPr>
        <w:t>2</w:t>
      </w:r>
      <w:r w:rsidRPr="00D145EE" w:rsidR="009140DB">
        <w:rPr>
          <w:rFonts w:ascii="Calibri" w:hAnsi="Calibri" w:cs="Courier New"/>
        </w:rPr>
        <w:t xml:space="preserve"> CDC designated </w:t>
      </w:r>
      <w:r w:rsidRPr="00D145EE" w:rsidR="009140DB">
        <w:rPr>
          <w:rFonts w:ascii="Calibri" w:hAnsi="Calibri" w:cs="Courier New"/>
          <w:i/>
        </w:rPr>
        <w:t>N. gonorrhoeae</w:t>
      </w:r>
      <w:r w:rsidR="00040C1E">
        <w:rPr>
          <w:rFonts w:ascii="Calibri" w:hAnsi="Calibri" w:cs="Courier New"/>
        </w:rPr>
        <w:t xml:space="preserve"> </w:t>
      </w:r>
      <w:r w:rsidR="00413B3D">
        <w:rPr>
          <w:rFonts w:ascii="Calibri" w:hAnsi="Calibri" w:cs="Courier New"/>
        </w:rPr>
        <w:t>as an</w:t>
      </w:r>
      <w:r w:rsidRPr="00D145EE" w:rsidR="009140DB">
        <w:rPr>
          <w:rFonts w:ascii="Calibri" w:hAnsi="Calibri" w:cs="Courier New"/>
        </w:rPr>
        <w:t xml:space="preserve"> “urgent” antibiotic resistance treat to the United States.</w:t>
      </w:r>
      <w:r w:rsidRPr="00C74339" w:rsidR="00C74339">
        <w:rPr>
          <w:rFonts w:ascii="Calibri" w:hAnsi="Calibri" w:cs="Courier New"/>
          <w:vertAlign w:val="superscript"/>
        </w:rPr>
        <w:t>3</w:t>
      </w:r>
      <w:r w:rsidR="0066660D">
        <w:rPr>
          <w:rFonts w:ascii="Calibri" w:hAnsi="Calibri" w:cs="Courier New"/>
          <w:vertAlign w:val="superscript"/>
        </w:rPr>
        <w:t>,4</w:t>
      </w:r>
      <w:r w:rsidRPr="00D145EE" w:rsidR="009140DB">
        <w:rPr>
          <w:rFonts w:ascii="Calibri" w:hAnsi="Calibri" w:cs="Courier New"/>
        </w:rPr>
        <w:t xml:space="preserve"> </w:t>
      </w:r>
      <w:r w:rsidR="001B0306">
        <w:rPr>
          <w:rFonts w:ascii="Calibri" w:hAnsi="Calibri" w:cs="Courier New"/>
        </w:rPr>
        <w:t>To support implementation of</w:t>
      </w:r>
      <w:r w:rsidRPr="00D145EE" w:rsidR="00121499">
        <w:rPr>
          <w:rFonts w:ascii="Calibri" w:hAnsi="Calibri" w:cs="Courier New"/>
        </w:rPr>
        <w:t xml:space="preserve"> the federal government’s broad and multipronged Combating Antibiotic Resistant Bacteria (CARB) Action Plan</w:t>
      </w:r>
      <w:r w:rsidR="0066660D">
        <w:rPr>
          <w:rFonts w:ascii="Calibri" w:hAnsi="Calibri" w:cs="Courier New"/>
          <w:vertAlign w:val="superscript"/>
        </w:rPr>
        <w:t>5</w:t>
      </w:r>
      <w:r w:rsidRPr="00D145EE" w:rsidR="00121499">
        <w:rPr>
          <w:rFonts w:ascii="Calibri" w:hAnsi="Calibri" w:cs="Courier New"/>
        </w:rPr>
        <w:t>, CDC implement</w:t>
      </w:r>
      <w:r w:rsidR="001B0306">
        <w:rPr>
          <w:rFonts w:ascii="Calibri" w:hAnsi="Calibri" w:cs="Courier New"/>
        </w:rPr>
        <w:t>ed</w:t>
      </w:r>
      <w:r w:rsidRPr="00D145EE" w:rsidR="00121499">
        <w:rPr>
          <w:rFonts w:ascii="Calibri" w:hAnsi="Calibri" w:cs="Courier New"/>
        </w:rPr>
        <w:t xml:space="preserve"> Strengthening United States Response to Resistant Gonorrhea (SURRG) to address the threat of antibiotic</w:t>
      </w:r>
      <w:r>
        <w:rPr>
          <w:rFonts w:ascii="Calibri" w:hAnsi="Calibri" w:cs="Courier New"/>
        </w:rPr>
        <w:t>-</w:t>
      </w:r>
      <w:r w:rsidRPr="00D145EE" w:rsidR="00121499">
        <w:rPr>
          <w:rFonts w:ascii="Calibri" w:hAnsi="Calibri" w:cs="Courier New"/>
        </w:rPr>
        <w:t xml:space="preserve">resistant </w:t>
      </w:r>
      <w:r>
        <w:rPr>
          <w:rFonts w:ascii="Calibri" w:hAnsi="Calibri" w:cs="Courier New"/>
        </w:rPr>
        <w:t>gonorrhea</w:t>
      </w:r>
      <w:r w:rsidRPr="00D145EE" w:rsidR="00121499">
        <w:rPr>
          <w:rFonts w:ascii="Calibri" w:hAnsi="Calibri" w:cs="Courier New"/>
        </w:rPr>
        <w:t xml:space="preserve">. The goals of SURRG are to strengthen the timeliness of surveillance systems, </w:t>
      </w:r>
      <w:r w:rsidR="00E22A03">
        <w:rPr>
          <w:rFonts w:ascii="Calibri" w:hAnsi="Calibri" w:cs="Courier New"/>
        </w:rPr>
        <w:t xml:space="preserve">to </w:t>
      </w:r>
      <w:r w:rsidRPr="00D145EE" w:rsidR="00121499">
        <w:rPr>
          <w:rFonts w:ascii="Calibri" w:hAnsi="Calibri" w:cs="Courier New"/>
        </w:rPr>
        <w:t xml:space="preserve">work with state and local health departments to enhance their capacity to monitor and test for </w:t>
      </w:r>
      <w:r>
        <w:rPr>
          <w:rFonts w:ascii="Calibri" w:hAnsi="Calibri" w:cs="Courier New"/>
        </w:rPr>
        <w:t>antibiotic-</w:t>
      </w:r>
      <w:r w:rsidRPr="00D145EE" w:rsidR="00121499">
        <w:rPr>
          <w:rFonts w:ascii="Calibri" w:hAnsi="Calibri" w:cs="Courier New"/>
        </w:rPr>
        <w:t xml:space="preserve">resistant gonorrhea, and </w:t>
      </w:r>
      <w:r w:rsidR="00E22A03">
        <w:rPr>
          <w:rFonts w:ascii="Calibri" w:hAnsi="Calibri" w:cs="Courier New"/>
        </w:rPr>
        <w:t xml:space="preserve">to </w:t>
      </w:r>
      <w:r w:rsidRPr="00D145EE" w:rsidR="00121499">
        <w:rPr>
          <w:rFonts w:ascii="Calibri" w:hAnsi="Calibri" w:cs="Courier New"/>
        </w:rPr>
        <w:t xml:space="preserve">develop rapid response activities to effectively contain the spread of </w:t>
      </w:r>
      <w:r>
        <w:rPr>
          <w:rFonts w:ascii="Calibri" w:hAnsi="Calibri" w:cs="Courier New"/>
        </w:rPr>
        <w:t>detected cases of antibiotic-</w:t>
      </w:r>
      <w:r w:rsidRPr="00D145EE" w:rsidR="00121499">
        <w:rPr>
          <w:rFonts w:ascii="Calibri" w:hAnsi="Calibri" w:cs="Courier New"/>
        </w:rPr>
        <w:t xml:space="preserve">resistant gonorrhea. </w:t>
      </w:r>
      <w:r w:rsidR="00040C1E">
        <w:rPr>
          <w:rFonts w:ascii="Calibri" w:hAnsi="Calibri" w:cs="Courier New"/>
        </w:rPr>
        <w:t>SURRG directly support</w:t>
      </w:r>
      <w:r w:rsidR="00413B3D">
        <w:rPr>
          <w:rFonts w:ascii="Calibri" w:hAnsi="Calibri" w:cs="Courier New"/>
        </w:rPr>
        <w:t>ed</w:t>
      </w:r>
      <w:r w:rsidR="00236A79">
        <w:rPr>
          <w:rFonts w:ascii="Calibri" w:hAnsi="Calibri" w:cs="Courier New"/>
        </w:rPr>
        <w:t xml:space="preserve"> achievement of</w:t>
      </w:r>
      <w:r w:rsidR="00040C1E">
        <w:rPr>
          <w:rFonts w:ascii="Calibri" w:hAnsi="Calibri" w:cs="Courier New"/>
        </w:rPr>
        <w:t xml:space="preserve"> the National Target of maintaining the prevalence of ceftriaxone-resistant </w:t>
      </w:r>
      <w:r w:rsidRPr="00CE4FE2" w:rsidR="00040C1E">
        <w:rPr>
          <w:rFonts w:ascii="Calibri" w:hAnsi="Calibri" w:cs="Courier New"/>
          <w:i/>
        </w:rPr>
        <w:t>N. gonorrhoeae</w:t>
      </w:r>
      <w:r w:rsidR="00040C1E">
        <w:rPr>
          <w:rFonts w:ascii="Calibri" w:hAnsi="Calibri" w:cs="Courier New"/>
        </w:rPr>
        <w:t xml:space="preserve"> below 2%</w:t>
      </w:r>
      <w:r w:rsidR="00236A79">
        <w:rPr>
          <w:rFonts w:ascii="Calibri" w:hAnsi="Calibri" w:cs="Courier New"/>
        </w:rPr>
        <w:t xml:space="preserve"> through 2020</w:t>
      </w:r>
      <w:r w:rsidR="00040C1E">
        <w:rPr>
          <w:rFonts w:ascii="Calibri" w:hAnsi="Calibri" w:cs="Courier New"/>
        </w:rPr>
        <w:t>.</w:t>
      </w:r>
      <w:r w:rsidR="0066660D">
        <w:rPr>
          <w:rFonts w:ascii="Calibri" w:hAnsi="Calibri" w:cs="Courier New"/>
          <w:vertAlign w:val="superscript"/>
        </w:rPr>
        <w:t>5</w:t>
      </w:r>
    </w:p>
    <w:p w:rsidRPr="00B15B48" w:rsidR="009140DB" w:rsidRDefault="009140DB" w14:paraId="768826AE" w14:textId="77777777">
      <w:pPr>
        <w:tabs>
          <w:tab w:val="left" w:pos="-2016"/>
          <w:tab w:val="left" w:pos="-1296"/>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624"/>
          <w:tab w:val="left" w:pos="7344"/>
          <w:tab w:val="left" w:pos="8064"/>
        </w:tabs>
        <w:rPr>
          <w:rFonts w:ascii="Calibri" w:hAnsi="Calibri" w:cs="Courier New"/>
        </w:rPr>
      </w:pPr>
    </w:p>
    <w:p w:rsidR="00C67F40" w:rsidP="00C67F40" w:rsidRDefault="00E81E5D" w14:paraId="31767D2E" w14:textId="7F06175B">
      <w:pPr>
        <w:rPr>
          <w:rFonts w:ascii="Calibri" w:hAnsi="Calibri" w:cs="Courier New"/>
        </w:rPr>
      </w:pPr>
      <w:r w:rsidRPr="00B15B48">
        <w:rPr>
          <w:rFonts w:ascii="Calibri" w:hAnsi="Calibri" w:cs="Courier New"/>
        </w:rPr>
        <w:t xml:space="preserve">As an overview of </w:t>
      </w:r>
      <w:r w:rsidRPr="00B15B48" w:rsidR="00121499">
        <w:rPr>
          <w:rFonts w:ascii="Calibri" w:hAnsi="Calibri" w:cs="Courier New"/>
        </w:rPr>
        <w:t>SURRG</w:t>
      </w:r>
      <w:r w:rsidRPr="00B15B48">
        <w:rPr>
          <w:rFonts w:ascii="Calibri" w:hAnsi="Calibri" w:cs="Courier New"/>
        </w:rPr>
        <w:t xml:space="preserve">, </w:t>
      </w:r>
      <w:r w:rsidR="001B0306">
        <w:rPr>
          <w:rFonts w:ascii="Calibri" w:hAnsi="Calibri" w:cs="Courier New"/>
        </w:rPr>
        <w:t>eight</w:t>
      </w:r>
      <w:r w:rsidR="00733412">
        <w:rPr>
          <w:rFonts w:ascii="Calibri" w:hAnsi="Calibri" w:cs="Courier New"/>
        </w:rPr>
        <w:t xml:space="preserve"> funded jurisdictions participate. Within these jurisdictions, </w:t>
      </w:r>
      <w:r w:rsidRPr="00B15B48">
        <w:rPr>
          <w:rFonts w:ascii="Calibri" w:hAnsi="Calibri" w:cs="Courier New"/>
        </w:rPr>
        <w:t xml:space="preserve">healthcare providers </w:t>
      </w:r>
      <w:r w:rsidR="006F446C">
        <w:rPr>
          <w:rFonts w:ascii="Calibri" w:hAnsi="Calibri" w:cs="Courier New"/>
        </w:rPr>
        <w:t>(</w:t>
      </w:r>
      <w:r w:rsidRPr="00F915E5" w:rsidR="006F446C">
        <w:rPr>
          <w:rFonts w:ascii="Calibri" w:hAnsi="Calibri" w:cs="Courier New"/>
        </w:rPr>
        <w:t xml:space="preserve">HCPs) </w:t>
      </w:r>
      <w:r w:rsidRPr="00B15B48" w:rsidR="00121499">
        <w:rPr>
          <w:rFonts w:ascii="Calibri" w:hAnsi="Calibri" w:cs="Courier New"/>
        </w:rPr>
        <w:t xml:space="preserve">collect specimens for </w:t>
      </w:r>
      <w:r w:rsidRPr="00B15B48">
        <w:rPr>
          <w:rFonts w:ascii="Calibri" w:hAnsi="Calibri" w:cs="Courier New"/>
          <w:i/>
          <w:iCs/>
        </w:rPr>
        <w:t>N. gonorrhoeae</w:t>
      </w:r>
      <w:r w:rsidRPr="00B15B48">
        <w:rPr>
          <w:rFonts w:ascii="Calibri" w:hAnsi="Calibri" w:cs="Courier New"/>
        </w:rPr>
        <w:t xml:space="preserve"> </w:t>
      </w:r>
      <w:r w:rsidRPr="00B15B48" w:rsidR="00121499">
        <w:rPr>
          <w:rFonts w:ascii="Calibri" w:hAnsi="Calibri" w:cs="Courier New"/>
        </w:rPr>
        <w:t xml:space="preserve">culture testing from </w:t>
      </w:r>
      <w:r w:rsidR="006F446C">
        <w:rPr>
          <w:rFonts w:ascii="Calibri" w:hAnsi="Calibri" w:cs="Courier New"/>
        </w:rPr>
        <w:t>persons of all gender</w:t>
      </w:r>
      <w:r w:rsidR="00F8221F">
        <w:rPr>
          <w:rFonts w:ascii="Calibri" w:hAnsi="Calibri" w:cs="Courier New"/>
        </w:rPr>
        <w:t>s</w:t>
      </w:r>
      <w:r w:rsidR="006F446C">
        <w:rPr>
          <w:rFonts w:ascii="Calibri" w:hAnsi="Calibri" w:cs="Courier New"/>
        </w:rPr>
        <w:t xml:space="preserve"> </w:t>
      </w:r>
      <w:r w:rsidR="00F8221F">
        <w:rPr>
          <w:rFonts w:ascii="Calibri" w:hAnsi="Calibri" w:cs="Courier New"/>
        </w:rPr>
        <w:t xml:space="preserve">who are </w:t>
      </w:r>
      <w:r w:rsidRPr="00B15B48" w:rsidR="00121499">
        <w:rPr>
          <w:rFonts w:ascii="Calibri" w:hAnsi="Calibri" w:cs="Courier New"/>
        </w:rPr>
        <w:t>seeking care for possible gonorrhea</w:t>
      </w:r>
      <w:r w:rsidR="00236A79">
        <w:rPr>
          <w:rFonts w:ascii="Calibri" w:hAnsi="Calibri" w:cs="Courier New"/>
        </w:rPr>
        <w:t xml:space="preserve"> or sexual health services</w:t>
      </w:r>
      <w:r w:rsidRPr="00B15B48" w:rsidR="00121499">
        <w:rPr>
          <w:rFonts w:ascii="Calibri" w:hAnsi="Calibri" w:cs="Courier New"/>
        </w:rPr>
        <w:t xml:space="preserve">. </w:t>
      </w:r>
      <w:r w:rsidR="00AE2F9A">
        <w:rPr>
          <w:rFonts w:ascii="Calibri" w:hAnsi="Calibri" w:cs="Courier New"/>
        </w:rPr>
        <w:t xml:space="preserve">We propose expanding the number of clinics from 27 (9 sexually transmitted disease (STD) specialty clinics and 18 other participating non-STD clinic sites) to ~38 (16 STD clinics and ~26 non-STD clinic sites). </w:t>
      </w:r>
      <w:r w:rsidRPr="00B15B48" w:rsidR="00121499">
        <w:rPr>
          <w:rFonts w:ascii="Calibri" w:hAnsi="Calibri" w:cs="Courier New"/>
        </w:rPr>
        <w:t xml:space="preserve">Specimens that demonstrate </w:t>
      </w:r>
      <w:r w:rsidR="006F446C">
        <w:rPr>
          <w:rFonts w:ascii="Calibri" w:hAnsi="Calibri" w:cs="Courier New"/>
        </w:rPr>
        <w:t xml:space="preserve">active </w:t>
      </w:r>
      <w:r w:rsidRPr="00B15B48" w:rsidR="00121499">
        <w:rPr>
          <w:rFonts w:ascii="Calibri" w:hAnsi="Calibri" w:cs="Courier New"/>
        </w:rPr>
        <w:t xml:space="preserve">bacterial </w:t>
      </w:r>
      <w:r w:rsidR="00236A79">
        <w:rPr>
          <w:rFonts w:ascii="Calibri" w:hAnsi="Calibri" w:cs="Courier New"/>
        </w:rPr>
        <w:t xml:space="preserve">culture </w:t>
      </w:r>
      <w:r w:rsidRPr="00B15B48" w:rsidR="00121499">
        <w:rPr>
          <w:rFonts w:ascii="Calibri" w:hAnsi="Calibri" w:cs="Courier New"/>
        </w:rPr>
        <w:t xml:space="preserve">growth of </w:t>
      </w:r>
      <w:r w:rsidRPr="002232F9" w:rsidR="00121499">
        <w:rPr>
          <w:rFonts w:ascii="Calibri" w:hAnsi="Calibri" w:cs="Courier New"/>
          <w:i/>
        </w:rPr>
        <w:t>N. gonorrhoeae</w:t>
      </w:r>
      <w:r w:rsidRPr="00B15B48" w:rsidR="00121499">
        <w:rPr>
          <w:rFonts w:ascii="Calibri" w:hAnsi="Calibri" w:cs="Courier New"/>
        </w:rPr>
        <w:t xml:space="preserve"> (called “isolates”) undergo antibiotic susceptibility testing</w:t>
      </w:r>
      <w:r w:rsidR="008F63BC">
        <w:rPr>
          <w:rFonts w:ascii="Calibri" w:hAnsi="Calibri" w:cs="Courier New"/>
        </w:rPr>
        <w:t xml:space="preserve"> </w:t>
      </w:r>
      <w:r w:rsidR="006F446C">
        <w:rPr>
          <w:rFonts w:ascii="Calibri" w:hAnsi="Calibri" w:cs="Courier New"/>
        </w:rPr>
        <w:t xml:space="preserve">(AST) </w:t>
      </w:r>
      <w:r w:rsidRPr="00B15B48" w:rsidR="00121499">
        <w:rPr>
          <w:rFonts w:ascii="Calibri" w:hAnsi="Calibri" w:cs="Courier New"/>
        </w:rPr>
        <w:t xml:space="preserve">within several days at the local public health laboratory (using </w:t>
      </w:r>
      <w:r w:rsidRPr="007D5376" w:rsidR="00121499">
        <w:rPr>
          <w:rFonts w:ascii="Calibri" w:hAnsi="Calibri" w:cs="Courier New"/>
          <w:i/>
          <w:iCs/>
        </w:rPr>
        <w:t>Etest</w:t>
      </w:r>
      <w:r w:rsidRPr="00B15B48" w:rsidR="00121499">
        <w:rPr>
          <w:rFonts w:ascii="Calibri" w:hAnsi="Calibri" w:cs="Courier New"/>
        </w:rPr>
        <w:t xml:space="preserve">, a </w:t>
      </w:r>
      <w:r w:rsidRPr="00B15B48" w:rsidR="00C37327">
        <w:rPr>
          <w:rFonts w:ascii="Calibri" w:hAnsi="Calibri" w:cs="Courier New"/>
        </w:rPr>
        <w:t xml:space="preserve">‘ready-to-use’ strip </w:t>
      </w:r>
      <w:r w:rsidR="006F446C">
        <w:rPr>
          <w:rFonts w:ascii="Calibri" w:hAnsi="Calibri" w:cs="Courier New"/>
        </w:rPr>
        <w:t>that has a</w:t>
      </w:r>
      <w:r w:rsidR="007D5376">
        <w:rPr>
          <w:rFonts w:ascii="Calibri" w:hAnsi="Calibri" w:cs="Courier New"/>
        </w:rPr>
        <w:t xml:space="preserve"> </w:t>
      </w:r>
      <w:r w:rsidRPr="00B15B48" w:rsidR="00C37327">
        <w:rPr>
          <w:rFonts w:ascii="Calibri" w:hAnsi="Calibri" w:cs="Courier New"/>
        </w:rPr>
        <w:t>pre</w:t>
      </w:r>
      <w:r w:rsidR="007D5376">
        <w:rPr>
          <w:rFonts w:ascii="Calibri" w:hAnsi="Calibri" w:cs="Courier New"/>
        </w:rPr>
        <w:t>-</w:t>
      </w:r>
      <w:r w:rsidRPr="00B15B48" w:rsidR="00C37327">
        <w:rPr>
          <w:rFonts w:ascii="Calibri" w:hAnsi="Calibri" w:cs="Courier New"/>
        </w:rPr>
        <w:t xml:space="preserve">defined </w:t>
      </w:r>
      <w:r w:rsidR="006F446C">
        <w:rPr>
          <w:rFonts w:ascii="Calibri" w:hAnsi="Calibri" w:cs="Courier New"/>
        </w:rPr>
        <w:t xml:space="preserve">antibiotic </w:t>
      </w:r>
      <w:r w:rsidRPr="00B15B48" w:rsidR="00C37327">
        <w:rPr>
          <w:rFonts w:ascii="Calibri" w:hAnsi="Calibri" w:cs="Courier New"/>
        </w:rPr>
        <w:t xml:space="preserve">gradient </w:t>
      </w:r>
      <w:r w:rsidR="006F446C">
        <w:rPr>
          <w:rFonts w:ascii="Calibri" w:hAnsi="Calibri" w:cs="Courier New"/>
        </w:rPr>
        <w:t>embedded within it</w:t>
      </w:r>
      <w:r w:rsidRPr="00B15B48" w:rsidR="00C37327">
        <w:rPr>
          <w:rFonts w:ascii="Calibri" w:hAnsi="Calibri" w:cs="Courier New"/>
        </w:rPr>
        <w:t xml:space="preserve">). </w:t>
      </w:r>
      <w:r w:rsidR="006F446C">
        <w:rPr>
          <w:rFonts w:ascii="Calibri" w:hAnsi="Calibri" w:cs="Courier New"/>
        </w:rPr>
        <w:t>AST</w:t>
      </w:r>
      <w:r w:rsidR="008F63BC">
        <w:rPr>
          <w:rFonts w:ascii="Calibri" w:hAnsi="Calibri" w:cs="Courier New"/>
        </w:rPr>
        <w:t xml:space="preserve"> detects antibiotic resistance. </w:t>
      </w:r>
      <w:r w:rsidRPr="006F2DA6" w:rsidR="008F63BC">
        <w:rPr>
          <w:rFonts w:ascii="Calibri" w:hAnsi="Calibri" w:cs="Courier New"/>
        </w:rPr>
        <w:t xml:space="preserve">Currently, </w:t>
      </w:r>
      <w:r w:rsidRPr="006F2DA6" w:rsidR="008F63BC">
        <w:rPr>
          <w:rFonts w:ascii="Calibri" w:hAnsi="Calibri" w:cs="Courier New"/>
          <w:i/>
        </w:rPr>
        <w:t>N. gonorrhoeae</w:t>
      </w:r>
      <w:r w:rsidRPr="006F2DA6" w:rsidR="008F63BC">
        <w:rPr>
          <w:rFonts w:ascii="Calibri" w:hAnsi="Calibri" w:cs="Courier New"/>
        </w:rPr>
        <w:t xml:space="preserve"> culture specimens (isolates) are needed to conduct </w:t>
      </w:r>
      <w:r w:rsidR="006F446C">
        <w:rPr>
          <w:rFonts w:ascii="Calibri" w:hAnsi="Calibri" w:cs="Courier New"/>
        </w:rPr>
        <w:t>AST</w:t>
      </w:r>
      <w:r w:rsidRPr="006F2DA6" w:rsidR="008F63BC">
        <w:rPr>
          <w:rFonts w:ascii="Calibri" w:hAnsi="Calibri" w:cs="Courier New"/>
        </w:rPr>
        <w:t xml:space="preserve"> to detect resistance. However, because of the widespread availability of molecular tests for </w:t>
      </w:r>
      <w:r w:rsidR="00236A79">
        <w:rPr>
          <w:rFonts w:ascii="Calibri" w:hAnsi="Calibri" w:cs="Courier New"/>
        </w:rPr>
        <w:t xml:space="preserve">diagnosing </w:t>
      </w:r>
      <w:r w:rsidR="008F63BC">
        <w:rPr>
          <w:rFonts w:ascii="Calibri" w:hAnsi="Calibri" w:cs="Courier New"/>
        </w:rPr>
        <w:t>gonorrhea, few clinic</w:t>
      </w:r>
      <w:r w:rsidR="006F446C">
        <w:rPr>
          <w:rFonts w:ascii="Calibri" w:hAnsi="Calibri" w:cs="Courier New"/>
        </w:rPr>
        <w:t>s</w:t>
      </w:r>
      <w:r w:rsidR="008F63BC">
        <w:rPr>
          <w:rFonts w:ascii="Calibri" w:hAnsi="Calibri" w:cs="Courier New"/>
        </w:rPr>
        <w:t xml:space="preserve"> routinely </w:t>
      </w:r>
      <w:r w:rsidR="00DF4AF9">
        <w:rPr>
          <w:rFonts w:ascii="Calibri" w:hAnsi="Calibri" w:cs="Courier New"/>
        </w:rPr>
        <w:t>perform</w:t>
      </w:r>
      <w:r w:rsidR="008F63BC">
        <w:rPr>
          <w:rFonts w:ascii="Calibri" w:hAnsi="Calibri" w:cs="Courier New"/>
        </w:rPr>
        <w:t xml:space="preserve"> culture </w:t>
      </w:r>
      <w:r w:rsidR="006F446C">
        <w:rPr>
          <w:rFonts w:ascii="Calibri" w:hAnsi="Calibri" w:cs="Courier New"/>
        </w:rPr>
        <w:t xml:space="preserve">testing </w:t>
      </w:r>
      <w:r w:rsidR="008F63BC">
        <w:rPr>
          <w:rFonts w:ascii="Calibri" w:hAnsi="Calibri" w:cs="Courier New"/>
        </w:rPr>
        <w:t>for gonorrhea</w:t>
      </w:r>
      <w:r w:rsidR="006F446C">
        <w:rPr>
          <w:rFonts w:ascii="Calibri" w:hAnsi="Calibri" w:cs="Courier New"/>
        </w:rPr>
        <w:t xml:space="preserve"> anymore</w:t>
      </w:r>
      <w:r w:rsidR="008F63BC">
        <w:rPr>
          <w:rFonts w:ascii="Calibri" w:hAnsi="Calibri" w:cs="Courier New"/>
        </w:rPr>
        <w:t xml:space="preserve"> (apart from enhanced surveillance programs such as SURRG). </w:t>
      </w:r>
      <w:r w:rsidR="006F446C">
        <w:rPr>
          <w:rFonts w:ascii="Calibri" w:hAnsi="Calibri" w:cs="Courier New"/>
        </w:rPr>
        <w:t>In SURRG, AST</w:t>
      </w:r>
      <w:r w:rsidR="008F63BC">
        <w:rPr>
          <w:rFonts w:ascii="Calibri" w:hAnsi="Calibri" w:cs="Courier New"/>
        </w:rPr>
        <w:t xml:space="preserve"> r</w:t>
      </w:r>
      <w:r w:rsidRPr="00B15B48" w:rsidR="00C37327">
        <w:rPr>
          <w:rFonts w:ascii="Calibri" w:hAnsi="Calibri" w:cs="Courier New"/>
        </w:rPr>
        <w:t>esults that demonstrate resistance</w:t>
      </w:r>
      <w:r w:rsidR="006F446C">
        <w:rPr>
          <w:rFonts w:ascii="Calibri" w:hAnsi="Calibri" w:cs="Courier New"/>
        </w:rPr>
        <w:t xml:space="preserve"> or emerging resistance</w:t>
      </w:r>
      <w:r w:rsidRPr="00B15B48" w:rsidR="00C37327">
        <w:rPr>
          <w:rFonts w:ascii="Calibri" w:hAnsi="Calibri" w:cs="Courier New"/>
        </w:rPr>
        <w:t xml:space="preserve"> </w:t>
      </w:r>
      <w:r w:rsidR="006F446C">
        <w:rPr>
          <w:rFonts w:ascii="Calibri" w:hAnsi="Calibri" w:cs="Courier New"/>
        </w:rPr>
        <w:t>are</w:t>
      </w:r>
      <w:r w:rsidRPr="00B15B48" w:rsidR="00C37327">
        <w:rPr>
          <w:rFonts w:ascii="Calibri" w:hAnsi="Calibri" w:cs="Courier New"/>
        </w:rPr>
        <w:t xml:space="preserve"> rapidly communicated</w:t>
      </w:r>
      <w:r w:rsidR="00A6359A">
        <w:rPr>
          <w:rFonts w:ascii="Calibri" w:hAnsi="Calibri" w:cs="Courier New"/>
        </w:rPr>
        <w:t xml:space="preserve"> from local laboratory staff</w:t>
      </w:r>
      <w:r w:rsidRPr="00B15B48" w:rsidR="00C37327">
        <w:rPr>
          <w:rFonts w:ascii="Calibri" w:hAnsi="Calibri" w:cs="Courier New"/>
        </w:rPr>
        <w:t xml:space="preserve"> to </w:t>
      </w:r>
      <w:r w:rsidR="00F8221F">
        <w:rPr>
          <w:rFonts w:ascii="Calibri" w:hAnsi="Calibri" w:cs="Courier New"/>
        </w:rPr>
        <w:t xml:space="preserve">the healthcare provider and </w:t>
      </w:r>
      <w:r w:rsidRPr="00B15B48" w:rsidR="00C37327">
        <w:rPr>
          <w:rFonts w:ascii="Calibri" w:hAnsi="Calibri" w:cs="Courier New"/>
        </w:rPr>
        <w:t xml:space="preserve">a designated </w:t>
      </w:r>
      <w:r w:rsidR="00A6359A">
        <w:rPr>
          <w:rFonts w:ascii="Calibri" w:hAnsi="Calibri" w:cs="Courier New"/>
        </w:rPr>
        <w:t xml:space="preserve">local </w:t>
      </w:r>
      <w:r w:rsidRPr="00B15B48" w:rsidR="00C37327">
        <w:rPr>
          <w:rFonts w:ascii="Calibri" w:hAnsi="Calibri" w:cs="Courier New"/>
        </w:rPr>
        <w:t>health department staff member</w:t>
      </w:r>
      <w:r w:rsidR="006F446C">
        <w:rPr>
          <w:rFonts w:ascii="Calibri" w:hAnsi="Calibri" w:cs="Courier New"/>
        </w:rPr>
        <w:t xml:space="preserve">. The health department staff initiates </w:t>
      </w:r>
      <w:r w:rsidR="00A6359A">
        <w:rPr>
          <w:rFonts w:ascii="Calibri" w:hAnsi="Calibri" w:cs="Courier New"/>
        </w:rPr>
        <w:t xml:space="preserve">a local </w:t>
      </w:r>
      <w:r w:rsidRPr="00B15B48" w:rsidR="00C37327">
        <w:rPr>
          <w:rFonts w:ascii="Calibri" w:hAnsi="Calibri" w:cs="Courier New"/>
        </w:rPr>
        <w:t xml:space="preserve">outbreak </w:t>
      </w:r>
      <w:r w:rsidRPr="00B15B48" w:rsidR="00C37327">
        <w:rPr>
          <w:rFonts w:ascii="Calibri" w:hAnsi="Calibri" w:cs="Courier New"/>
        </w:rPr>
        <w:lastRenderedPageBreak/>
        <w:t>investigation</w:t>
      </w:r>
      <w:r w:rsidR="006F446C">
        <w:rPr>
          <w:rFonts w:ascii="Calibri" w:hAnsi="Calibri" w:cs="Courier New"/>
        </w:rPr>
        <w:t xml:space="preserve"> (also called “partner services” or “contact tracing”)</w:t>
      </w:r>
      <w:r w:rsidRPr="00B15B48" w:rsidR="00C37327">
        <w:rPr>
          <w:rFonts w:ascii="Calibri" w:hAnsi="Calibri" w:cs="Courier New"/>
        </w:rPr>
        <w:t>. The p</w:t>
      </w:r>
      <w:r w:rsidR="006F446C">
        <w:rPr>
          <w:rFonts w:ascii="Calibri" w:hAnsi="Calibri" w:cs="Courier New"/>
        </w:rPr>
        <w:t>atient</w:t>
      </w:r>
      <w:r w:rsidRPr="00B15B48" w:rsidR="00C37327">
        <w:rPr>
          <w:rFonts w:ascii="Calibri" w:hAnsi="Calibri" w:cs="Courier New"/>
        </w:rPr>
        <w:t xml:space="preserve"> from whom the resistant isolate was collected </w:t>
      </w:r>
      <w:r w:rsidR="006F446C">
        <w:rPr>
          <w:rFonts w:ascii="Calibri" w:hAnsi="Calibri" w:cs="Courier New"/>
        </w:rPr>
        <w:t>is</w:t>
      </w:r>
      <w:r w:rsidRPr="00B15B48" w:rsidR="00C37327">
        <w:rPr>
          <w:rFonts w:ascii="Calibri" w:hAnsi="Calibri" w:cs="Courier New"/>
        </w:rPr>
        <w:t xml:space="preserve"> interviewed</w:t>
      </w:r>
      <w:r w:rsidR="00A6359A">
        <w:rPr>
          <w:rFonts w:ascii="Calibri" w:hAnsi="Calibri" w:cs="Courier New"/>
        </w:rPr>
        <w:t xml:space="preserve"> by local health department staff</w:t>
      </w:r>
      <w:r w:rsidR="006F446C">
        <w:rPr>
          <w:rFonts w:ascii="Calibri" w:hAnsi="Calibri" w:cs="Courier New"/>
        </w:rPr>
        <w:t xml:space="preserve">; the </w:t>
      </w:r>
      <w:r w:rsidR="00426F26">
        <w:rPr>
          <w:rFonts w:ascii="Calibri" w:hAnsi="Calibri" w:cs="Courier New"/>
        </w:rPr>
        <w:t xml:space="preserve">local </w:t>
      </w:r>
      <w:r w:rsidR="006F446C">
        <w:rPr>
          <w:rFonts w:ascii="Calibri" w:hAnsi="Calibri" w:cs="Courier New"/>
        </w:rPr>
        <w:t xml:space="preserve">health department staff asks the patient for more information, such as </w:t>
      </w:r>
      <w:r w:rsidRPr="00B15B48" w:rsidR="00C37327">
        <w:rPr>
          <w:rFonts w:ascii="Calibri" w:hAnsi="Calibri" w:cs="Courier New"/>
        </w:rPr>
        <w:t xml:space="preserve">additional epidemiological data and information about recent </w:t>
      </w:r>
      <w:r w:rsidR="00D23AA5">
        <w:rPr>
          <w:rFonts w:ascii="Calibri" w:hAnsi="Calibri" w:cs="Courier New"/>
        </w:rPr>
        <w:t xml:space="preserve">sexual </w:t>
      </w:r>
      <w:r w:rsidRPr="00B15B48" w:rsidR="00C37327">
        <w:rPr>
          <w:rFonts w:ascii="Calibri" w:hAnsi="Calibri" w:cs="Courier New"/>
        </w:rPr>
        <w:t>contacts</w:t>
      </w:r>
      <w:r w:rsidR="006F446C">
        <w:rPr>
          <w:rFonts w:ascii="Calibri" w:hAnsi="Calibri" w:cs="Courier New"/>
        </w:rPr>
        <w:t xml:space="preserve">. The patient is </w:t>
      </w:r>
      <w:r w:rsidRPr="00B15B48" w:rsidR="00C37327">
        <w:rPr>
          <w:rFonts w:ascii="Calibri" w:hAnsi="Calibri" w:cs="Courier New"/>
        </w:rPr>
        <w:t xml:space="preserve">re-tested </w:t>
      </w:r>
      <w:r w:rsidR="00A6359A">
        <w:rPr>
          <w:rFonts w:ascii="Calibri" w:hAnsi="Calibri" w:cs="Courier New"/>
        </w:rPr>
        <w:t xml:space="preserve">at a local healthcare setting </w:t>
      </w:r>
      <w:r w:rsidRPr="00B15B48" w:rsidR="00C37327">
        <w:rPr>
          <w:rFonts w:ascii="Calibri" w:hAnsi="Calibri" w:cs="Courier New"/>
        </w:rPr>
        <w:t xml:space="preserve">to </w:t>
      </w:r>
      <w:r w:rsidR="006F446C">
        <w:rPr>
          <w:rFonts w:ascii="Calibri" w:hAnsi="Calibri" w:cs="Courier New"/>
        </w:rPr>
        <w:t>make sure that the</w:t>
      </w:r>
      <w:r w:rsidR="00F8221F">
        <w:rPr>
          <w:rFonts w:ascii="Calibri" w:hAnsi="Calibri" w:cs="Courier New"/>
        </w:rPr>
        <w:t xml:space="preserve"> prescribed antibiotic</w:t>
      </w:r>
      <w:r w:rsidR="006F446C">
        <w:rPr>
          <w:rFonts w:ascii="Calibri" w:hAnsi="Calibri" w:cs="Courier New"/>
        </w:rPr>
        <w:t xml:space="preserve"> treatment cured the infection.</w:t>
      </w:r>
      <w:r w:rsidRPr="00B15B48" w:rsidR="00C37327">
        <w:rPr>
          <w:rFonts w:ascii="Calibri" w:hAnsi="Calibri" w:cs="Courier New"/>
        </w:rPr>
        <w:t xml:space="preserve"> </w:t>
      </w:r>
      <w:r w:rsidR="006F446C">
        <w:rPr>
          <w:rFonts w:ascii="Calibri" w:hAnsi="Calibri" w:cs="Courier New"/>
        </w:rPr>
        <w:t xml:space="preserve">As part of contact tracing, </w:t>
      </w:r>
      <w:r w:rsidR="00C67F40">
        <w:rPr>
          <w:rFonts w:ascii="Calibri" w:hAnsi="Calibri" w:cs="Courier New"/>
        </w:rPr>
        <w:t>r</w:t>
      </w:r>
      <w:r w:rsidRPr="00B15B48" w:rsidR="00C67F40">
        <w:rPr>
          <w:rFonts w:ascii="Calibri" w:hAnsi="Calibri" w:cs="Courier New"/>
        </w:rPr>
        <w:t xml:space="preserve">ecent </w:t>
      </w:r>
      <w:r w:rsidR="00F8221F">
        <w:rPr>
          <w:rFonts w:ascii="Calibri" w:hAnsi="Calibri" w:cs="Courier New"/>
        </w:rPr>
        <w:t xml:space="preserve">sexual </w:t>
      </w:r>
      <w:r w:rsidRPr="00B15B48" w:rsidR="00C67F40">
        <w:rPr>
          <w:rFonts w:ascii="Calibri" w:hAnsi="Calibri" w:cs="Courier New"/>
        </w:rPr>
        <w:t xml:space="preserve">contacts </w:t>
      </w:r>
      <w:r w:rsidR="00F8221F">
        <w:rPr>
          <w:rFonts w:ascii="Calibri" w:hAnsi="Calibri" w:cs="Courier New"/>
        </w:rPr>
        <w:t>are</w:t>
      </w:r>
      <w:r w:rsidRPr="00B15B48" w:rsidR="00C67F40">
        <w:rPr>
          <w:rFonts w:ascii="Calibri" w:hAnsi="Calibri" w:cs="Courier New"/>
        </w:rPr>
        <w:t xml:space="preserve"> interviewed and tested for gonorrhea</w:t>
      </w:r>
      <w:r w:rsidR="00C67F40">
        <w:rPr>
          <w:rFonts w:ascii="Calibri" w:hAnsi="Calibri" w:cs="Courier New"/>
        </w:rPr>
        <w:t xml:space="preserve"> by local health department.</w:t>
      </w:r>
      <w:r w:rsidRPr="00B15B48" w:rsidR="00C67F40">
        <w:rPr>
          <w:rFonts w:ascii="Calibri" w:hAnsi="Calibri" w:cs="Courier New"/>
        </w:rPr>
        <w:t xml:space="preserve"> </w:t>
      </w:r>
      <w:r w:rsidR="00C67F40">
        <w:rPr>
          <w:rFonts w:ascii="Calibri" w:hAnsi="Calibri" w:cs="Courier New"/>
        </w:rPr>
        <w:t xml:space="preserve"> </w:t>
      </w:r>
    </w:p>
    <w:p w:rsidR="00236A79" w:rsidP="00C67F40" w:rsidRDefault="00236A79" w14:paraId="27BB023C" w14:textId="77777777">
      <w:pPr>
        <w:rPr>
          <w:rFonts w:ascii="Calibri" w:hAnsi="Calibri" w:cs="Courier New"/>
        </w:rPr>
      </w:pPr>
    </w:p>
    <w:p w:rsidR="00426F26" w:rsidP="008F63BC" w:rsidRDefault="003432C7" w14:paraId="1B89EF3C" w14:textId="08F3934F">
      <w:pPr>
        <w:rPr>
          <w:rFonts w:ascii="Calibri" w:hAnsi="Calibri" w:cs="Courier New"/>
        </w:rPr>
      </w:pPr>
      <w:r>
        <w:rPr>
          <w:rFonts w:ascii="Calibri" w:hAnsi="Calibri" w:cs="Courier New"/>
        </w:rPr>
        <w:t>P</w:t>
      </w:r>
      <w:r w:rsidRPr="00B15B48" w:rsidR="00C37327">
        <w:rPr>
          <w:rFonts w:ascii="Calibri" w:hAnsi="Calibri" w:cs="Courier New"/>
        </w:rPr>
        <w:t xml:space="preserve">articipating health departments collect and transmit to CDC demographic and clinical data about persons </w:t>
      </w:r>
      <w:r w:rsidR="00310F77">
        <w:rPr>
          <w:rFonts w:ascii="Calibri" w:hAnsi="Calibri" w:cs="Courier New"/>
        </w:rPr>
        <w:t xml:space="preserve">tested for and/or </w:t>
      </w:r>
      <w:r w:rsidRPr="00B15B48" w:rsidR="00C37327">
        <w:rPr>
          <w:rFonts w:ascii="Calibri" w:hAnsi="Calibri" w:cs="Courier New"/>
        </w:rPr>
        <w:t>diagnosed with gonorrhea in the participating clinics</w:t>
      </w:r>
      <w:r w:rsidR="00F8221F">
        <w:rPr>
          <w:rFonts w:ascii="Calibri" w:hAnsi="Calibri" w:cs="Courier New"/>
        </w:rPr>
        <w:t xml:space="preserve"> </w:t>
      </w:r>
      <w:r w:rsidRPr="00B15B48" w:rsidR="00C37327">
        <w:rPr>
          <w:rFonts w:ascii="Calibri" w:hAnsi="Calibri" w:cs="Courier New"/>
        </w:rPr>
        <w:t>and results of</w:t>
      </w:r>
      <w:r w:rsidR="00A6359A">
        <w:rPr>
          <w:rFonts w:ascii="Calibri" w:hAnsi="Calibri" w:cs="Courier New"/>
        </w:rPr>
        <w:t xml:space="preserve"> local</w:t>
      </w:r>
      <w:r w:rsidRPr="00B15B48" w:rsidR="00C37327">
        <w:rPr>
          <w:rFonts w:ascii="Calibri" w:hAnsi="Calibri" w:cs="Courier New"/>
        </w:rPr>
        <w:t xml:space="preserve"> </w:t>
      </w:r>
      <w:r w:rsidRPr="00A6359A" w:rsidR="00A6359A">
        <w:rPr>
          <w:rFonts w:ascii="Calibri" w:hAnsi="Calibri" w:cs="Courier New"/>
          <w:i/>
        </w:rPr>
        <w:t xml:space="preserve">N. gonorrhoeae </w:t>
      </w:r>
      <w:r w:rsidRPr="007D5376" w:rsidR="00A6359A">
        <w:rPr>
          <w:rFonts w:ascii="Calibri" w:hAnsi="Calibri" w:cs="Courier New"/>
          <w:iCs/>
        </w:rPr>
        <w:t>culture</w:t>
      </w:r>
      <w:r w:rsidRPr="00426F26" w:rsidR="00A6359A">
        <w:rPr>
          <w:rFonts w:ascii="Calibri" w:hAnsi="Calibri" w:cs="Courier New"/>
          <w:iCs/>
        </w:rPr>
        <w:t>,</w:t>
      </w:r>
      <w:r w:rsidR="00A6359A">
        <w:rPr>
          <w:rFonts w:ascii="Calibri" w:hAnsi="Calibri" w:cs="Courier New"/>
        </w:rPr>
        <w:t xml:space="preserve"> </w:t>
      </w:r>
      <w:r w:rsidR="00426F26">
        <w:rPr>
          <w:rFonts w:ascii="Calibri" w:hAnsi="Calibri" w:cs="Courier New"/>
        </w:rPr>
        <w:t>molecular</w:t>
      </w:r>
      <w:r w:rsidR="00A6359A">
        <w:rPr>
          <w:rFonts w:ascii="Calibri" w:hAnsi="Calibri" w:cs="Courier New"/>
        </w:rPr>
        <w:t xml:space="preserve"> tests that detect </w:t>
      </w:r>
      <w:r w:rsidRPr="00A6359A" w:rsidR="00A6359A">
        <w:rPr>
          <w:rFonts w:ascii="Calibri" w:hAnsi="Calibri" w:cs="Courier New"/>
          <w:i/>
        </w:rPr>
        <w:t>N. gonorrho</w:t>
      </w:r>
      <w:r w:rsidR="00426F26">
        <w:rPr>
          <w:rFonts w:ascii="Calibri" w:hAnsi="Calibri" w:cs="Courier New"/>
          <w:i/>
        </w:rPr>
        <w:t>e</w:t>
      </w:r>
      <w:r w:rsidRPr="00A6359A" w:rsidR="00A6359A">
        <w:rPr>
          <w:rFonts w:ascii="Calibri" w:hAnsi="Calibri" w:cs="Courier New"/>
          <w:i/>
        </w:rPr>
        <w:t>ae</w:t>
      </w:r>
      <w:r w:rsidR="007D5376">
        <w:rPr>
          <w:rFonts w:ascii="Calibri" w:hAnsi="Calibri" w:cs="Courier New"/>
        </w:rPr>
        <w:t xml:space="preserve"> (nucleic acid amplification tests)</w:t>
      </w:r>
      <w:r w:rsidR="00F8221F">
        <w:rPr>
          <w:rFonts w:ascii="Calibri" w:hAnsi="Calibri" w:cs="Courier New"/>
        </w:rPr>
        <w:t>,</w:t>
      </w:r>
      <w:r w:rsidR="00A6359A">
        <w:rPr>
          <w:rFonts w:ascii="Calibri" w:hAnsi="Calibri" w:cs="Courier New"/>
        </w:rPr>
        <w:t xml:space="preserve"> and </w:t>
      </w:r>
      <w:r w:rsidR="00426F26">
        <w:rPr>
          <w:rFonts w:ascii="Calibri" w:hAnsi="Calibri" w:cs="Courier New"/>
        </w:rPr>
        <w:t>AST</w:t>
      </w:r>
      <w:r w:rsidR="00A6359A">
        <w:rPr>
          <w:rFonts w:ascii="Calibri" w:hAnsi="Calibri" w:cs="Courier New"/>
        </w:rPr>
        <w:t xml:space="preserve"> of bacterial isolates</w:t>
      </w:r>
      <w:r w:rsidRPr="00B15B48" w:rsidR="00C37327">
        <w:rPr>
          <w:rFonts w:ascii="Calibri" w:hAnsi="Calibri" w:cs="Courier New"/>
        </w:rPr>
        <w:t xml:space="preserve">. </w:t>
      </w:r>
    </w:p>
    <w:p w:rsidR="00426F26" w:rsidP="008F63BC" w:rsidRDefault="00426F26" w14:paraId="15AB9236" w14:textId="77777777">
      <w:pPr>
        <w:rPr>
          <w:rFonts w:ascii="Calibri" w:hAnsi="Calibri" w:cs="Courier New"/>
        </w:rPr>
      </w:pPr>
    </w:p>
    <w:p w:rsidRPr="00B15B48" w:rsidR="008F63BC" w:rsidP="008F63BC" w:rsidRDefault="008F63BC" w14:paraId="7214EB0B" w14:textId="7046902C">
      <w:pPr>
        <w:rPr>
          <w:rFonts w:ascii="Calibri" w:hAnsi="Calibri" w:cs="Courier New"/>
        </w:rPr>
      </w:pPr>
      <w:r w:rsidRPr="00B15B48">
        <w:rPr>
          <w:rFonts w:ascii="Calibri" w:hAnsi="Calibri" w:cs="Courier New"/>
        </w:rPr>
        <w:t xml:space="preserve">Isolates </w:t>
      </w:r>
      <w:r w:rsidR="00426F26">
        <w:rPr>
          <w:rFonts w:ascii="Calibri" w:hAnsi="Calibri" w:cs="Courier New"/>
        </w:rPr>
        <w:t>are</w:t>
      </w:r>
      <w:r w:rsidRPr="00B15B48">
        <w:rPr>
          <w:rFonts w:ascii="Calibri" w:hAnsi="Calibri" w:cs="Courier New"/>
        </w:rPr>
        <w:t xml:space="preserve"> shipped </w:t>
      </w:r>
      <w:r w:rsidR="003432C7">
        <w:rPr>
          <w:rFonts w:ascii="Calibri" w:hAnsi="Calibri" w:cs="Courier New"/>
        </w:rPr>
        <w:t xml:space="preserve">by participating local public health laboratories </w:t>
      </w:r>
      <w:r w:rsidRPr="00B15B48">
        <w:rPr>
          <w:rFonts w:ascii="Calibri" w:hAnsi="Calibri" w:cs="Courier New"/>
        </w:rPr>
        <w:t xml:space="preserve">each month to one of four Antibiotic Resistance Regional Laboratory Network (ARLN) laboratories for </w:t>
      </w:r>
      <w:r w:rsidR="00426F26">
        <w:rPr>
          <w:rFonts w:ascii="Calibri" w:hAnsi="Calibri" w:cs="Courier New"/>
        </w:rPr>
        <w:t>additional</w:t>
      </w:r>
      <w:r w:rsidRPr="00B15B48" w:rsidR="00426F26">
        <w:rPr>
          <w:rFonts w:ascii="Calibri" w:hAnsi="Calibri" w:cs="Courier New"/>
        </w:rPr>
        <w:t xml:space="preserve"> </w:t>
      </w:r>
      <w:r w:rsidR="00426F26">
        <w:rPr>
          <w:rFonts w:ascii="Calibri" w:hAnsi="Calibri" w:cs="Courier New"/>
        </w:rPr>
        <w:t>AST</w:t>
      </w:r>
      <w:r w:rsidRPr="00B15B48">
        <w:rPr>
          <w:rFonts w:ascii="Calibri" w:hAnsi="Calibri" w:cs="Courier New"/>
        </w:rPr>
        <w:t xml:space="preserve"> (using a </w:t>
      </w:r>
      <w:r w:rsidR="00426F26">
        <w:rPr>
          <w:rFonts w:ascii="Calibri" w:hAnsi="Calibri" w:cs="Courier New"/>
        </w:rPr>
        <w:t xml:space="preserve">lab </w:t>
      </w:r>
      <w:r w:rsidRPr="00B15B48">
        <w:rPr>
          <w:rFonts w:ascii="Calibri" w:hAnsi="Calibri" w:cs="Courier New"/>
        </w:rPr>
        <w:t xml:space="preserve">technique called </w:t>
      </w:r>
      <w:r w:rsidRPr="007D5376">
        <w:rPr>
          <w:rFonts w:ascii="Calibri" w:hAnsi="Calibri" w:cs="Courier New"/>
          <w:i/>
          <w:iCs/>
        </w:rPr>
        <w:t>agar dilution</w:t>
      </w:r>
      <w:r w:rsidRPr="00B15B48">
        <w:rPr>
          <w:rFonts w:ascii="Calibri" w:hAnsi="Calibri" w:cs="Courier New"/>
        </w:rPr>
        <w:t>)</w:t>
      </w:r>
      <w:r w:rsidR="00426F26">
        <w:rPr>
          <w:rFonts w:ascii="Calibri" w:hAnsi="Calibri" w:cs="Courier New"/>
        </w:rPr>
        <w:t xml:space="preserve"> on additional antibiotics</w:t>
      </w:r>
      <w:r w:rsidR="003E04F1">
        <w:rPr>
          <w:rFonts w:ascii="Calibri" w:hAnsi="Calibri" w:cs="Courier New"/>
        </w:rPr>
        <w:t xml:space="preserve"> and molecular characterization (such as whole genome sequencing)</w:t>
      </w:r>
      <w:r w:rsidRPr="00B15B48">
        <w:rPr>
          <w:rFonts w:ascii="Calibri" w:hAnsi="Calibri" w:cs="Courier New"/>
        </w:rPr>
        <w:t xml:space="preserve">. </w:t>
      </w:r>
      <w:r w:rsidR="00A74692">
        <w:rPr>
          <w:rFonts w:ascii="Calibri" w:hAnsi="Calibri" w:cs="Courier New"/>
        </w:rPr>
        <w:t xml:space="preserve">The demographic data </w:t>
      </w:r>
      <w:r w:rsidRPr="007D5376" w:rsidR="00A74692">
        <w:rPr>
          <w:rFonts w:ascii="Calibri" w:hAnsi="Calibri" w:cs="Courier New"/>
          <w:u w:val="single"/>
        </w:rPr>
        <w:t>does not</w:t>
      </w:r>
      <w:r w:rsidR="00A74692">
        <w:rPr>
          <w:rFonts w:ascii="Calibri" w:hAnsi="Calibri" w:cs="Courier New"/>
        </w:rPr>
        <w:t xml:space="preserve"> include any personal identifiers, such as full name, medical record numbers</w:t>
      </w:r>
      <w:r w:rsidR="00426F26">
        <w:rPr>
          <w:rFonts w:ascii="Calibri" w:hAnsi="Calibri" w:cs="Courier New"/>
        </w:rPr>
        <w:t>, social security numbers, or home or work addresses</w:t>
      </w:r>
      <w:r w:rsidR="00A74692">
        <w:rPr>
          <w:rFonts w:ascii="Calibri" w:hAnsi="Calibri" w:cs="Courier New"/>
        </w:rPr>
        <w:t xml:space="preserve">. </w:t>
      </w:r>
      <w:r w:rsidR="00F8221F">
        <w:rPr>
          <w:rFonts w:ascii="Calibri" w:hAnsi="Calibri" w:cs="Courier New"/>
        </w:rPr>
        <w:t xml:space="preserve">The isolates contain only bacterial DNA and do </w:t>
      </w:r>
      <w:r w:rsidRPr="00A96AE5" w:rsidR="00F8221F">
        <w:rPr>
          <w:rFonts w:ascii="Calibri" w:hAnsi="Calibri" w:cs="Courier New"/>
          <w:u w:val="single"/>
        </w:rPr>
        <w:t>not</w:t>
      </w:r>
      <w:r w:rsidR="00F8221F">
        <w:rPr>
          <w:rFonts w:ascii="Calibri" w:hAnsi="Calibri" w:cs="Courier New"/>
        </w:rPr>
        <w:t xml:space="preserve"> contain human DNA. </w:t>
      </w:r>
    </w:p>
    <w:p w:rsidRPr="00B15B48" w:rsidR="00E81E5D" w:rsidRDefault="00E81E5D" w14:paraId="278A0580" w14:textId="77777777">
      <w:pPr>
        <w:rPr>
          <w:rFonts w:ascii="Calibri" w:hAnsi="Calibri" w:cs="Courier New"/>
        </w:rPr>
      </w:pPr>
    </w:p>
    <w:p w:rsidRPr="00B15B48" w:rsidR="00E81E5D" w:rsidRDefault="00E81E5D" w14:paraId="7501C6C1" w14:textId="77777777">
      <w:pPr>
        <w:rPr>
          <w:rFonts w:ascii="Calibri" w:hAnsi="Calibri" w:cs="Courier New"/>
        </w:rPr>
      </w:pPr>
    </w:p>
    <w:p w:rsidRPr="00B15B48" w:rsidR="00E81E5D" w:rsidRDefault="00E81E5D" w14:paraId="6032D059" w14:textId="77777777">
      <w:pPr>
        <w:spacing w:after="120"/>
        <w:rPr>
          <w:rFonts w:ascii="Calibri" w:hAnsi="Calibri" w:cs="Courier New"/>
          <w:b/>
        </w:rPr>
      </w:pPr>
      <w:r w:rsidRPr="00B15B48">
        <w:rPr>
          <w:rFonts w:ascii="Calibri" w:hAnsi="Calibri" w:cs="Courier New"/>
          <w:b/>
        </w:rPr>
        <w:t xml:space="preserve">2. Purpose of Use of the Information Collection </w:t>
      </w:r>
    </w:p>
    <w:p w:rsidR="00F8221F" w:rsidP="00A74692" w:rsidRDefault="00E81E5D" w14:paraId="07BE9F1B" w14:textId="77777777">
      <w:pPr>
        <w:rPr>
          <w:rFonts w:ascii="Calibri" w:hAnsi="Calibri" w:cs="Courier New"/>
        </w:rPr>
      </w:pPr>
      <w:r w:rsidRPr="00B15B48">
        <w:rPr>
          <w:rFonts w:ascii="Calibri" w:hAnsi="Calibri" w:cs="Courier New"/>
        </w:rPr>
        <w:t xml:space="preserve">The purpose of </w:t>
      </w:r>
      <w:r w:rsidR="00F072B8">
        <w:rPr>
          <w:rFonts w:ascii="Calibri" w:hAnsi="Calibri" w:cs="Courier New"/>
        </w:rPr>
        <w:t>SURRG</w:t>
      </w:r>
      <w:r w:rsidRPr="00B15B48" w:rsidR="00F072B8">
        <w:rPr>
          <w:rFonts w:ascii="Calibri" w:hAnsi="Calibri" w:cs="Courier New"/>
        </w:rPr>
        <w:t xml:space="preserve"> </w:t>
      </w:r>
      <w:r w:rsidRPr="00B15B48">
        <w:rPr>
          <w:rFonts w:ascii="Calibri" w:hAnsi="Calibri" w:cs="Courier New"/>
        </w:rPr>
        <w:t xml:space="preserve">is to </w:t>
      </w:r>
      <w:r w:rsidR="00747004">
        <w:rPr>
          <w:rFonts w:ascii="Calibri" w:hAnsi="Calibri" w:cs="Courier New"/>
        </w:rPr>
        <w:t>improve national capacity to detect, monitor, and respond to emerging antibiotic-resistant gonorrhea. The goals of this activity are to inform a more comprehensive understanding of trends and determinants of drug-resistant gonorrhea, monitor for the emergence of resistance, provide a robust evidence base for directing public health action</w:t>
      </w:r>
      <w:r w:rsidR="00310F77">
        <w:rPr>
          <w:rFonts w:ascii="Calibri" w:hAnsi="Calibri" w:cs="Courier New"/>
        </w:rPr>
        <w:t xml:space="preserve">, </w:t>
      </w:r>
      <w:r w:rsidR="00426F26">
        <w:rPr>
          <w:rFonts w:ascii="Calibri" w:hAnsi="Calibri" w:cs="Courier New"/>
        </w:rPr>
        <w:t xml:space="preserve">pilot novel prevention and control approaches, </w:t>
      </w:r>
      <w:r w:rsidR="00310F77">
        <w:rPr>
          <w:rFonts w:ascii="Calibri" w:hAnsi="Calibri" w:cs="Courier New"/>
        </w:rPr>
        <w:t>and evaluate the effectiveness of</w:t>
      </w:r>
      <w:r w:rsidR="00426F26">
        <w:rPr>
          <w:rFonts w:ascii="Calibri" w:hAnsi="Calibri" w:cs="Courier New"/>
        </w:rPr>
        <w:t xml:space="preserve"> resistant gonorrhea novel prevention and control</w:t>
      </w:r>
      <w:r w:rsidR="00310F77">
        <w:rPr>
          <w:rFonts w:ascii="Calibri" w:hAnsi="Calibri" w:cs="Courier New"/>
        </w:rPr>
        <w:t xml:space="preserve"> approach</w:t>
      </w:r>
      <w:r w:rsidR="00426F26">
        <w:rPr>
          <w:rFonts w:ascii="Calibri" w:hAnsi="Calibri" w:cs="Courier New"/>
        </w:rPr>
        <w:t>es</w:t>
      </w:r>
      <w:r w:rsidR="00747004">
        <w:rPr>
          <w:rFonts w:ascii="Calibri" w:hAnsi="Calibri" w:cs="Courier New"/>
        </w:rPr>
        <w:t xml:space="preserve">. </w:t>
      </w:r>
    </w:p>
    <w:p w:rsidR="00F8221F" w:rsidP="00A74692" w:rsidRDefault="00F8221F" w14:paraId="5BEE6F33" w14:textId="77777777">
      <w:pPr>
        <w:rPr>
          <w:rFonts w:ascii="Calibri" w:hAnsi="Calibri" w:cs="Courier New"/>
        </w:rPr>
      </w:pPr>
    </w:p>
    <w:p w:rsidR="00E81E5D" w:rsidP="00A74692" w:rsidRDefault="00747004" w14:paraId="186FD873" w14:textId="29392D2D">
      <w:pPr>
        <w:rPr>
          <w:rFonts w:ascii="Calibri" w:hAnsi="Calibri" w:cs="Courier New"/>
        </w:rPr>
      </w:pPr>
      <w:r>
        <w:rPr>
          <w:rFonts w:ascii="Calibri" w:hAnsi="Calibri" w:cs="Courier New"/>
        </w:rPr>
        <w:t xml:space="preserve">CDC currently operates the Gonococcal Isolate Surveillance Project (GISP), which </w:t>
      </w:r>
      <w:r w:rsidRPr="00B15B48" w:rsidR="00E81E5D">
        <w:rPr>
          <w:rFonts w:ascii="Calibri" w:hAnsi="Calibri" w:cs="Courier New"/>
        </w:rPr>
        <w:t>monitor</w:t>
      </w:r>
      <w:r w:rsidR="00F8221F">
        <w:rPr>
          <w:rFonts w:ascii="Calibri" w:hAnsi="Calibri" w:cs="Courier New"/>
        </w:rPr>
        <w:t>s</w:t>
      </w:r>
      <w:r w:rsidRPr="00B15B48" w:rsidR="00E81E5D">
        <w:rPr>
          <w:rFonts w:ascii="Calibri" w:hAnsi="Calibri" w:cs="Courier New"/>
        </w:rPr>
        <w:t xml:space="preserve"> </w:t>
      </w:r>
      <w:r>
        <w:rPr>
          <w:rFonts w:ascii="Calibri" w:hAnsi="Calibri" w:cs="Courier New"/>
        </w:rPr>
        <w:t xml:space="preserve">long-term </w:t>
      </w:r>
      <w:r w:rsidRPr="00B15B48" w:rsidR="00E81E5D">
        <w:rPr>
          <w:rFonts w:ascii="Calibri" w:hAnsi="Calibri" w:cs="Courier New"/>
        </w:rPr>
        <w:t>trends in anti</w:t>
      </w:r>
      <w:r w:rsidR="00426F26">
        <w:rPr>
          <w:rFonts w:ascii="Calibri" w:hAnsi="Calibri" w:cs="Courier New"/>
        </w:rPr>
        <w:t>biotic</w:t>
      </w:r>
      <w:r w:rsidRPr="00B15B48" w:rsidR="00E81E5D">
        <w:rPr>
          <w:rFonts w:ascii="Calibri" w:hAnsi="Calibri" w:cs="Courier New"/>
        </w:rPr>
        <w:t xml:space="preserve"> resistance in </w:t>
      </w:r>
      <w:r w:rsidRPr="00B15B48" w:rsidR="00E81E5D">
        <w:rPr>
          <w:rFonts w:ascii="Calibri" w:hAnsi="Calibri" w:cs="Courier New"/>
          <w:i/>
          <w:iCs/>
        </w:rPr>
        <w:t>N. gonorrhoeae</w:t>
      </w:r>
      <w:r w:rsidRPr="00B15B48" w:rsidR="00E81E5D">
        <w:rPr>
          <w:rFonts w:ascii="Calibri" w:hAnsi="Calibri" w:cs="Courier New"/>
        </w:rPr>
        <w:t xml:space="preserve"> in the United States in order to establish a scientific basis for the selection of </w:t>
      </w:r>
      <w:r w:rsidR="00426F26">
        <w:rPr>
          <w:rFonts w:ascii="Calibri" w:hAnsi="Calibri" w:cs="Courier New"/>
        </w:rPr>
        <w:t>gonorrhea treatment</w:t>
      </w:r>
      <w:r w:rsidRPr="00B15B48" w:rsidR="00E81E5D">
        <w:rPr>
          <w:rFonts w:ascii="Calibri" w:hAnsi="Calibri" w:cs="Courier New"/>
        </w:rPr>
        <w:t xml:space="preserve"> and to allow pro-active changes to treatment guidelines before widespread resistance and failures of treatment occur. </w:t>
      </w:r>
      <w:r w:rsidR="00F8221F">
        <w:rPr>
          <w:rFonts w:ascii="Calibri" w:hAnsi="Calibri" w:cs="Courier New"/>
        </w:rPr>
        <w:t xml:space="preserve">GISP has repeatedly provided impactful data that has led directly to changes in CDC’s STD Treatment Guidelines. </w:t>
      </w:r>
      <w:r>
        <w:rPr>
          <w:rFonts w:ascii="Calibri" w:hAnsi="Calibri" w:cs="Courier New"/>
        </w:rPr>
        <w:t xml:space="preserve">However, data </w:t>
      </w:r>
      <w:r w:rsidR="00F8221F">
        <w:rPr>
          <w:rFonts w:ascii="Calibri" w:hAnsi="Calibri" w:cs="Courier New"/>
        </w:rPr>
        <w:t>from</w:t>
      </w:r>
      <w:r>
        <w:rPr>
          <w:rFonts w:ascii="Calibri" w:hAnsi="Calibri" w:cs="Courier New"/>
        </w:rPr>
        <w:t xml:space="preserve"> GISP are not timely enough to allow rapid local programmatic public health responses to </w:t>
      </w:r>
      <w:r w:rsidR="00426F26">
        <w:rPr>
          <w:rFonts w:ascii="Calibri" w:hAnsi="Calibri" w:cs="Courier New"/>
        </w:rPr>
        <w:t xml:space="preserve">control </w:t>
      </w:r>
      <w:r>
        <w:rPr>
          <w:rFonts w:ascii="Calibri" w:hAnsi="Calibri" w:cs="Courier New"/>
        </w:rPr>
        <w:t>an outbreak of resistant infections.</w:t>
      </w:r>
      <w:r w:rsidR="00426F26">
        <w:rPr>
          <w:rFonts w:ascii="Calibri" w:hAnsi="Calibri" w:cs="Courier New"/>
        </w:rPr>
        <w:t xml:space="preserve"> GISP is complemented by</w:t>
      </w:r>
      <w:r>
        <w:rPr>
          <w:rFonts w:ascii="Calibri" w:hAnsi="Calibri" w:cs="Courier New"/>
        </w:rPr>
        <w:t xml:space="preserve"> </w:t>
      </w:r>
      <w:r w:rsidR="00426F26">
        <w:rPr>
          <w:rFonts w:ascii="Calibri" w:hAnsi="Calibri" w:cs="Courier New"/>
        </w:rPr>
        <w:t>SURRG</w:t>
      </w:r>
      <w:r w:rsidR="0086799A">
        <w:rPr>
          <w:rFonts w:ascii="Calibri" w:hAnsi="Calibri" w:cs="Courier New"/>
        </w:rPr>
        <w:t>.</w:t>
      </w:r>
      <w:r w:rsidR="00426F26">
        <w:rPr>
          <w:rFonts w:ascii="Calibri" w:hAnsi="Calibri" w:cs="Courier New"/>
        </w:rPr>
        <w:t xml:space="preserve"> </w:t>
      </w:r>
      <w:r>
        <w:rPr>
          <w:rFonts w:ascii="Calibri" w:hAnsi="Calibri" w:cs="Courier New"/>
        </w:rPr>
        <w:t xml:space="preserve">A rapid response, involving rapid detection of a resistant infection, rapid (within several days of detection of resistance) interviewing of cases, and rapid interviewing and testing of </w:t>
      </w:r>
      <w:r w:rsidR="00A74692">
        <w:rPr>
          <w:rFonts w:ascii="Calibri" w:hAnsi="Calibri" w:cs="Courier New"/>
        </w:rPr>
        <w:t xml:space="preserve">sexual </w:t>
      </w:r>
      <w:r>
        <w:rPr>
          <w:rFonts w:ascii="Calibri" w:hAnsi="Calibri" w:cs="Courier New"/>
        </w:rPr>
        <w:t xml:space="preserve">contacts, is critical for containing the spread of a resistant infection. </w:t>
      </w:r>
    </w:p>
    <w:p w:rsidR="006E176E" w:rsidP="00A74692" w:rsidRDefault="006E176E" w14:paraId="49310092" w14:textId="77EFBA20">
      <w:pPr>
        <w:rPr>
          <w:rFonts w:ascii="Calibri" w:hAnsi="Calibri" w:cs="Courier New"/>
        </w:rPr>
      </w:pPr>
    </w:p>
    <w:p w:rsidRPr="00F915E5" w:rsidR="00F915E5" w:rsidP="00F915E5" w:rsidRDefault="006E176E" w14:paraId="47092801" w14:textId="67CFD1E7">
      <w:pPr>
        <w:rPr>
          <w:rFonts w:ascii="Calibri" w:hAnsi="Calibri" w:cs="Courier New"/>
        </w:rPr>
      </w:pPr>
      <w:r>
        <w:rPr>
          <w:rFonts w:ascii="Calibri" w:hAnsi="Calibri" w:cs="Courier New"/>
        </w:rPr>
        <w:t>During the previous 3</w:t>
      </w:r>
      <w:r w:rsidR="00F915E5">
        <w:rPr>
          <w:rFonts w:ascii="Calibri" w:hAnsi="Calibri" w:cs="Courier New"/>
        </w:rPr>
        <w:t>-</w:t>
      </w:r>
      <w:r>
        <w:rPr>
          <w:rFonts w:ascii="Calibri" w:hAnsi="Calibri" w:cs="Courier New"/>
        </w:rPr>
        <w:t>year approval perio</w:t>
      </w:r>
      <w:r w:rsidR="00F915E5">
        <w:rPr>
          <w:rFonts w:ascii="Calibri" w:hAnsi="Calibri" w:cs="Courier New"/>
        </w:rPr>
        <w:t xml:space="preserve">d, </w:t>
      </w:r>
      <w:r w:rsidRPr="00F915E5" w:rsidR="00F915E5">
        <w:rPr>
          <w:rFonts w:ascii="Calibri" w:hAnsi="Calibri" w:cs="Courier New"/>
        </w:rPr>
        <w:t xml:space="preserve">participating jurisdictions: </w:t>
      </w:r>
    </w:p>
    <w:p w:rsidRPr="00F915E5" w:rsidR="00F915E5" w:rsidP="00F915E5" w:rsidRDefault="00F915E5" w14:paraId="45507685" w14:textId="77777777">
      <w:pPr>
        <w:ind w:left="720" w:hanging="720"/>
        <w:rPr>
          <w:rFonts w:ascii="Calibri" w:hAnsi="Calibri" w:cs="Courier New"/>
        </w:rPr>
      </w:pPr>
      <w:r w:rsidRPr="00F915E5">
        <w:rPr>
          <w:rFonts w:ascii="Calibri" w:hAnsi="Calibri" w:cs="Courier New"/>
        </w:rPr>
        <w:lastRenderedPageBreak/>
        <w:t>•</w:t>
      </w:r>
      <w:r w:rsidRPr="00F915E5">
        <w:rPr>
          <w:rFonts w:ascii="Calibri" w:hAnsi="Calibri" w:cs="Courier New"/>
        </w:rPr>
        <w:tab/>
        <w:t xml:space="preserve">expanded specimen collection for </w:t>
      </w:r>
      <w:r w:rsidRPr="00F915E5">
        <w:rPr>
          <w:rFonts w:ascii="Calibri" w:hAnsi="Calibri" w:cs="Courier New"/>
          <w:i/>
          <w:iCs/>
        </w:rPr>
        <w:t>N. gonorrhoeae</w:t>
      </w:r>
      <w:r w:rsidRPr="00F915E5">
        <w:rPr>
          <w:rFonts w:ascii="Calibri" w:hAnsi="Calibri" w:cs="Courier New"/>
        </w:rPr>
        <w:t xml:space="preserve"> culture to include collection of specimens from persons of all genders, at all exposed anatomic sites, and from attendees of STD clinics and non-STD clinic healthcare settings, </w:t>
      </w:r>
    </w:p>
    <w:p w:rsidRPr="00F915E5" w:rsidR="00F915E5" w:rsidP="00F915E5" w:rsidRDefault="00F915E5" w14:paraId="3ADFA316" w14:textId="2AB471B9">
      <w:pPr>
        <w:rPr>
          <w:rFonts w:ascii="Calibri" w:hAnsi="Calibri" w:cs="Courier New"/>
        </w:rPr>
      </w:pPr>
      <w:r w:rsidRPr="00F915E5">
        <w:rPr>
          <w:rFonts w:ascii="Calibri" w:hAnsi="Calibri" w:cs="Courier New"/>
        </w:rPr>
        <w:t>•</w:t>
      </w:r>
      <w:r w:rsidRPr="00F915E5">
        <w:rPr>
          <w:rFonts w:ascii="Calibri" w:hAnsi="Calibri" w:cs="Courier New"/>
        </w:rPr>
        <w:tab/>
        <w:t>implemented local rapid antimicrobial susceptibility testing (AST) by Etest,</w:t>
      </w:r>
    </w:p>
    <w:p w:rsidRPr="00F915E5" w:rsidR="00F915E5" w:rsidP="00F915E5" w:rsidRDefault="00F915E5" w14:paraId="30804382" w14:textId="77777777">
      <w:pPr>
        <w:ind w:left="720" w:hanging="720"/>
        <w:rPr>
          <w:rFonts w:ascii="Calibri" w:hAnsi="Calibri" w:cs="Courier New"/>
        </w:rPr>
      </w:pPr>
      <w:r w:rsidRPr="00F915E5">
        <w:rPr>
          <w:rFonts w:ascii="Calibri" w:hAnsi="Calibri" w:cs="Courier New"/>
        </w:rPr>
        <w:t>•</w:t>
      </w:r>
      <w:r w:rsidRPr="00F915E5">
        <w:rPr>
          <w:rFonts w:ascii="Calibri" w:hAnsi="Calibri" w:cs="Courier New"/>
        </w:rPr>
        <w:tab/>
        <w:t>submitted isolates to a regional laboratory participating in CDC's AR Lab Network (ARLN) for expanded AST by agar dilution and whole genome sequencing,</w:t>
      </w:r>
    </w:p>
    <w:p w:rsidRPr="00F915E5" w:rsidR="00F915E5" w:rsidP="00F915E5" w:rsidRDefault="00F915E5" w14:paraId="43AA94C3" w14:textId="77777777">
      <w:pPr>
        <w:ind w:left="720" w:hanging="720"/>
        <w:rPr>
          <w:rFonts w:ascii="Calibri" w:hAnsi="Calibri" w:cs="Courier New"/>
        </w:rPr>
      </w:pPr>
      <w:r w:rsidRPr="00F915E5">
        <w:rPr>
          <w:rFonts w:ascii="Calibri" w:hAnsi="Calibri" w:cs="Courier New"/>
        </w:rPr>
        <w:t>•</w:t>
      </w:r>
      <w:r w:rsidRPr="00F915E5">
        <w:rPr>
          <w:rFonts w:ascii="Calibri" w:hAnsi="Calibri" w:cs="Courier New"/>
        </w:rPr>
        <w:tab/>
        <w:t xml:space="preserve">upgraded capacity to conduct rapid field investigations of gonococcal infections with reduced susceptibility to selected antimicrobials, </w:t>
      </w:r>
    </w:p>
    <w:p w:rsidRPr="00F915E5" w:rsidR="00F915E5" w:rsidP="00F915E5" w:rsidRDefault="00F915E5" w14:paraId="0219E212" w14:textId="77777777">
      <w:pPr>
        <w:ind w:left="720" w:hanging="720"/>
        <w:rPr>
          <w:rFonts w:ascii="Calibri" w:hAnsi="Calibri" w:cs="Courier New"/>
        </w:rPr>
      </w:pPr>
      <w:r w:rsidRPr="00F915E5">
        <w:rPr>
          <w:rFonts w:ascii="Calibri" w:hAnsi="Calibri" w:cs="Courier New"/>
        </w:rPr>
        <w:t>•</w:t>
      </w:r>
      <w:r w:rsidRPr="00F915E5">
        <w:rPr>
          <w:rFonts w:ascii="Calibri" w:hAnsi="Calibri" w:cs="Courier New"/>
        </w:rPr>
        <w:tab/>
        <w:t xml:space="preserve">upgraded data systems and informatics to support rapid local detection and epidemiologic analyses, </w:t>
      </w:r>
    </w:p>
    <w:p w:rsidRPr="00F915E5" w:rsidR="00F915E5" w:rsidP="00F915E5" w:rsidRDefault="00F915E5" w14:paraId="36028F3A" w14:textId="77777777">
      <w:pPr>
        <w:rPr>
          <w:rFonts w:ascii="Calibri" w:hAnsi="Calibri" w:cs="Courier New"/>
        </w:rPr>
      </w:pPr>
      <w:r w:rsidRPr="00F915E5">
        <w:rPr>
          <w:rFonts w:ascii="Calibri" w:hAnsi="Calibri" w:cs="Courier New"/>
        </w:rPr>
        <w:t>•</w:t>
      </w:r>
      <w:r w:rsidRPr="00F915E5">
        <w:rPr>
          <w:rFonts w:ascii="Calibri" w:hAnsi="Calibri" w:cs="Courier New"/>
        </w:rPr>
        <w:tab/>
        <w:t xml:space="preserve">enhanced local capacity to manage and analyze data for programmatic use, </w:t>
      </w:r>
    </w:p>
    <w:p w:rsidRPr="00F915E5" w:rsidR="00F915E5" w:rsidP="00F915E5" w:rsidRDefault="00F915E5" w14:paraId="1B3D70E0" w14:textId="6CB025C4">
      <w:pPr>
        <w:ind w:left="720" w:hanging="720"/>
        <w:rPr>
          <w:rFonts w:ascii="Calibri" w:hAnsi="Calibri" w:cs="Courier New"/>
        </w:rPr>
      </w:pPr>
      <w:r w:rsidRPr="00F915E5">
        <w:rPr>
          <w:rFonts w:ascii="Calibri" w:hAnsi="Calibri" w:cs="Courier New"/>
        </w:rPr>
        <w:t>•</w:t>
      </w:r>
      <w:r w:rsidRPr="00F915E5">
        <w:rPr>
          <w:rFonts w:ascii="Calibri" w:hAnsi="Calibri" w:cs="Courier New"/>
        </w:rPr>
        <w:tab/>
        <w:t xml:space="preserve">implemented and </w:t>
      </w:r>
      <w:r>
        <w:rPr>
          <w:rFonts w:ascii="Calibri" w:hAnsi="Calibri" w:cs="Courier New"/>
        </w:rPr>
        <w:t xml:space="preserve">locally </w:t>
      </w:r>
      <w:r w:rsidRPr="00F915E5">
        <w:rPr>
          <w:rFonts w:ascii="Calibri" w:hAnsi="Calibri" w:cs="Courier New"/>
        </w:rPr>
        <w:t xml:space="preserve">evaluated approaches for specimen collection, laboratory practices, field investigations, and tests of cure, </w:t>
      </w:r>
    </w:p>
    <w:p w:rsidRPr="00F915E5" w:rsidR="00F915E5" w:rsidP="00F915E5" w:rsidRDefault="00F915E5" w14:paraId="1F2012D3" w14:textId="78E2F677">
      <w:pPr>
        <w:ind w:left="720" w:hanging="720"/>
        <w:rPr>
          <w:rFonts w:ascii="Calibri" w:hAnsi="Calibri" w:cs="Courier New"/>
        </w:rPr>
      </w:pPr>
      <w:r w:rsidRPr="00F915E5">
        <w:rPr>
          <w:rFonts w:ascii="Calibri" w:hAnsi="Calibri" w:cs="Courier New"/>
        </w:rPr>
        <w:t>•</w:t>
      </w:r>
      <w:r w:rsidRPr="00F915E5">
        <w:rPr>
          <w:rFonts w:ascii="Calibri" w:hAnsi="Calibri" w:cs="Courier New"/>
        </w:rPr>
        <w:tab/>
        <w:t>developed and instituted local protocols, and instituted standardized project protocols,</w:t>
      </w:r>
      <w:r>
        <w:rPr>
          <w:rFonts w:ascii="Calibri" w:hAnsi="Calibri" w:cs="Courier New"/>
        </w:rPr>
        <w:t xml:space="preserve"> and</w:t>
      </w:r>
    </w:p>
    <w:p w:rsidRPr="00F915E5" w:rsidR="00F915E5" w:rsidP="00F915E5" w:rsidRDefault="00F915E5" w14:paraId="2C7EED23" w14:textId="326C2B05">
      <w:pPr>
        <w:ind w:left="720" w:hanging="720"/>
        <w:rPr>
          <w:rFonts w:ascii="Calibri" w:hAnsi="Calibri" w:cs="Courier New"/>
        </w:rPr>
      </w:pPr>
      <w:r w:rsidRPr="00F915E5">
        <w:rPr>
          <w:rFonts w:ascii="Calibri" w:hAnsi="Calibri" w:cs="Courier New"/>
        </w:rPr>
        <w:t>•</w:t>
      </w:r>
      <w:r w:rsidRPr="00F915E5">
        <w:rPr>
          <w:rFonts w:ascii="Calibri" w:hAnsi="Calibri" w:cs="Courier New"/>
        </w:rPr>
        <w:tab/>
        <w:t>collected data using standardized protocols and shared data with CDC to allow multisite epidemiological analyses to advance knowledge of gonococcal resistance and optimize public health approache</w:t>
      </w:r>
      <w:r>
        <w:rPr>
          <w:rFonts w:ascii="Calibri" w:hAnsi="Calibri" w:cs="Courier New"/>
        </w:rPr>
        <w:t xml:space="preserve">s. </w:t>
      </w:r>
    </w:p>
    <w:p w:rsidRPr="00A74692" w:rsidR="006E176E" w:rsidP="00F915E5" w:rsidRDefault="006E176E" w14:paraId="42C45CB4" w14:textId="0A95DA88">
      <w:pPr>
        <w:rPr>
          <w:rFonts w:ascii="Calibri" w:hAnsi="Calibri" w:cs="Courier New"/>
        </w:rPr>
      </w:pPr>
    </w:p>
    <w:p w:rsidR="00747004" w:rsidP="002232F9" w:rsidRDefault="00747004" w14:paraId="15CF7FC2" w14:textId="77777777">
      <w:pPr>
        <w:ind w:firstLine="720"/>
        <w:rPr>
          <w:rFonts w:ascii="Calibri" w:hAnsi="Calibri" w:cs="Courier New"/>
        </w:rPr>
      </w:pPr>
    </w:p>
    <w:p w:rsidR="00747004" w:rsidP="002232F9" w:rsidRDefault="00426F26" w14:paraId="5464EFFF" w14:textId="4704474E">
      <w:pPr>
        <w:rPr>
          <w:rFonts w:ascii="Calibri" w:hAnsi="Calibri" w:cs="Courier New"/>
          <w:vertAlign w:val="superscript"/>
        </w:rPr>
      </w:pPr>
      <w:r>
        <w:rPr>
          <w:rFonts w:ascii="Calibri" w:hAnsi="Calibri" w:cs="Courier New"/>
        </w:rPr>
        <w:t>SURRG</w:t>
      </w:r>
      <w:r w:rsidR="00747004">
        <w:rPr>
          <w:rFonts w:ascii="Calibri" w:hAnsi="Calibri" w:cs="Courier New"/>
        </w:rPr>
        <w:t xml:space="preserve"> public health activities </w:t>
      </w:r>
      <w:r w:rsidR="0086799A">
        <w:rPr>
          <w:rFonts w:ascii="Calibri" w:hAnsi="Calibri" w:cs="Courier New"/>
        </w:rPr>
        <w:t xml:space="preserve">will be </w:t>
      </w:r>
      <w:r w:rsidR="00747004">
        <w:rPr>
          <w:rFonts w:ascii="Calibri" w:hAnsi="Calibri" w:cs="Courier New"/>
        </w:rPr>
        <w:t>conducted in the following state and local health departments</w:t>
      </w:r>
      <w:r w:rsidR="002232F9">
        <w:rPr>
          <w:rFonts w:ascii="Calibri" w:hAnsi="Calibri" w:cs="Courier New"/>
        </w:rPr>
        <w:t xml:space="preserve"> (SURRG involves partnering of state and local health departments as a single grantee)</w:t>
      </w:r>
      <w:r w:rsidR="00747004">
        <w:rPr>
          <w:rFonts w:ascii="Calibri" w:hAnsi="Calibri" w:cs="Courier New"/>
        </w:rPr>
        <w:t>: (1) California Department of Public Health and San Francisco Department of Public Health, (2) Washington Department of Public Health and Seattle-King County Public Health, (3) New York City</w:t>
      </w:r>
      <w:r w:rsidR="00310F77">
        <w:rPr>
          <w:rFonts w:ascii="Calibri" w:hAnsi="Calibri" w:cs="Courier New"/>
        </w:rPr>
        <w:t xml:space="preserve"> Department of Health and Mental Hygiene</w:t>
      </w:r>
      <w:r w:rsidR="00747004">
        <w:rPr>
          <w:rFonts w:ascii="Calibri" w:hAnsi="Calibri" w:cs="Courier New"/>
        </w:rPr>
        <w:t xml:space="preserve">, </w:t>
      </w:r>
      <w:r w:rsidR="008A1C5E">
        <w:rPr>
          <w:rFonts w:ascii="Calibri" w:hAnsi="Calibri" w:cs="Courier New"/>
        </w:rPr>
        <w:t xml:space="preserve">(4) </w:t>
      </w:r>
      <w:r w:rsidR="0086799A">
        <w:rPr>
          <w:rFonts w:ascii="Calibri" w:hAnsi="Calibri" w:cs="Courier New"/>
        </w:rPr>
        <w:t>Pennsylvania Department of Health and Allegheny County Health Department</w:t>
      </w:r>
      <w:r w:rsidR="00AF2C61">
        <w:rPr>
          <w:rFonts w:ascii="Calibri" w:hAnsi="Calibri" w:cs="Courier New"/>
        </w:rPr>
        <w:t xml:space="preserve">, (5) Colorado Department of Public Health and Environment and Denver Public Health, (6) Wisconsin Department of Health Services and Milwaukee Health Department, (7) Indiana State Department of Health and Marion County Public Health Department, </w:t>
      </w:r>
      <w:r>
        <w:rPr>
          <w:rFonts w:ascii="Calibri" w:hAnsi="Calibri" w:cs="Courier New"/>
        </w:rPr>
        <w:t xml:space="preserve">and </w:t>
      </w:r>
      <w:r w:rsidR="00AF2C61">
        <w:rPr>
          <w:rFonts w:ascii="Calibri" w:hAnsi="Calibri" w:cs="Courier New"/>
        </w:rPr>
        <w:t xml:space="preserve">(8) North Carolina Department of Health and Human Services and Guilford County Health Department. These sites competed for this cooperative agreement and were selected for funding as a result of a review process conducted in </w:t>
      </w:r>
      <w:r w:rsidR="0086799A">
        <w:rPr>
          <w:rFonts w:ascii="Calibri" w:hAnsi="Calibri" w:cs="Courier New"/>
        </w:rPr>
        <w:t xml:space="preserve">May </w:t>
      </w:r>
      <w:r w:rsidR="00AF2C61">
        <w:rPr>
          <w:rFonts w:ascii="Calibri" w:hAnsi="Calibri" w:cs="Courier New"/>
        </w:rPr>
        <w:t>20</w:t>
      </w:r>
      <w:r w:rsidR="0086799A">
        <w:rPr>
          <w:rFonts w:ascii="Calibri" w:hAnsi="Calibri" w:cs="Courier New"/>
        </w:rPr>
        <w:t>21</w:t>
      </w:r>
      <w:r w:rsidR="00AF2C61">
        <w:rPr>
          <w:rFonts w:ascii="Calibri" w:hAnsi="Calibri" w:cs="Courier New"/>
        </w:rPr>
        <w:t>.</w:t>
      </w:r>
      <w:r w:rsidR="00EA5055">
        <w:rPr>
          <w:rFonts w:ascii="Calibri" w:hAnsi="Calibri" w:cs="Courier New"/>
          <w:vertAlign w:val="superscript"/>
        </w:rPr>
        <w:t>6</w:t>
      </w:r>
      <w:r>
        <w:rPr>
          <w:rFonts w:ascii="Calibri" w:hAnsi="Calibri" w:cs="Courier New"/>
          <w:vertAlign w:val="superscript"/>
        </w:rPr>
        <w:t xml:space="preserve"> </w:t>
      </w:r>
    </w:p>
    <w:p w:rsidR="00F0339A" w:rsidP="002232F9" w:rsidRDefault="00F0339A" w14:paraId="3F57DE28" w14:textId="77777777">
      <w:pPr>
        <w:rPr>
          <w:rFonts w:ascii="Calibri" w:hAnsi="Calibri" w:cs="Courier New"/>
        </w:rPr>
      </w:pPr>
    </w:p>
    <w:p w:rsidRPr="000856F1" w:rsidR="007460FE" w:rsidP="007460FE" w:rsidRDefault="007460FE" w14:paraId="28F27A2D"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b/>
        </w:rPr>
      </w:pPr>
      <w:r w:rsidRPr="000856F1">
        <w:rPr>
          <w:rFonts w:ascii="Calibri" w:hAnsi="Calibri" w:cs="Courier New"/>
          <w:b/>
        </w:rPr>
        <w:t>Proposed Data Collection</w:t>
      </w:r>
    </w:p>
    <w:p w:rsidR="007460FE" w:rsidP="007460FE" w:rsidRDefault="007460FE" w14:paraId="7945DB6C"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rPr>
      </w:pPr>
    </w:p>
    <w:p w:rsidR="007460FE" w:rsidP="007460FE" w:rsidRDefault="007460FE" w14:paraId="07FFBE97" w14:textId="795A4006">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rPr>
      </w:pPr>
      <w:r>
        <w:rPr>
          <w:rFonts w:ascii="Calibri" w:hAnsi="Calibri" w:cs="Courier New"/>
        </w:rPr>
        <w:t xml:space="preserve">The proposed </w:t>
      </w:r>
      <w:r w:rsidR="00F8221F">
        <w:rPr>
          <w:rFonts w:ascii="Calibri" w:hAnsi="Calibri" w:cs="Courier New"/>
        </w:rPr>
        <w:t xml:space="preserve">revision to the </w:t>
      </w:r>
      <w:r>
        <w:rPr>
          <w:rFonts w:ascii="Calibri" w:hAnsi="Calibri" w:cs="Courier New"/>
        </w:rPr>
        <w:t>data collection is necessary for effectively</w:t>
      </w:r>
      <w:r w:rsidR="00F8221F">
        <w:rPr>
          <w:rFonts w:ascii="Calibri" w:hAnsi="Calibri" w:cs="Courier New"/>
        </w:rPr>
        <w:t xml:space="preserve"> continuing</w:t>
      </w:r>
      <w:r>
        <w:rPr>
          <w:rFonts w:ascii="Calibri" w:hAnsi="Calibri" w:cs="Courier New"/>
        </w:rPr>
        <w:t xml:space="preserve"> the activity. Data obtained </w:t>
      </w:r>
      <w:r w:rsidRPr="00EB6B12">
        <w:rPr>
          <w:rFonts w:ascii="Calibri" w:hAnsi="Calibri" w:cs="Courier New"/>
        </w:rPr>
        <w:t>through these methods has significant utility to the U</w:t>
      </w:r>
      <w:r w:rsidR="00F8221F">
        <w:rPr>
          <w:rFonts w:ascii="Calibri" w:hAnsi="Calibri" w:cs="Courier New"/>
        </w:rPr>
        <w:t>.</w:t>
      </w:r>
      <w:r w:rsidRPr="00EB6B12">
        <w:rPr>
          <w:rFonts w:ascii="Calibri" w:hAnsi="Calibri" w:cs="Courier New"/>
        </w:rPr>
        <w:t>S</w:t>
      </w:r>
      <w:r w:rsidR="00F8221F">
        <w:rPr>
          <w:rFonts w:ascii="Calibri" w:hAnsi="Calibri" w:cs="Courier New"/>
        </w:rPr>
        <w:t>.</w:t>
      </w:r>
      <w:r w:rsidRPr="00EB6B12">
        <w:rPr>
          <w:rFonts w:ascii="Calibri" w:hAnsi="Calibri" w:cs="Courier New"/>
        </w:rPr>
        <w:t xml:space="preserve"> government, state and local public health departments participating in the project, and other STD prevention partners and stakeholders. </w:t>
      </w:r>
      <w:r>
        <w:rPr>
          <w:rFonts w:ascii="Calibri" w:hAnsi="Calibri" w:cs="Courier New"/>
        </w:rPr>
        <w:t xml:space="preserve">These data cannot be obtained in other ways. </w:t>
      </w:r>
      <w:r w:rsidRPr="00EB6B12">
        <w:rPr>
          <w:rFonts w:ascii="Calibri" w:hAnsi="Calibri" w:cs="Courier New"/>
        </w:rPr>
        <w:t>The</w:t>
      </w:r>
      <w:r>
        <w:rPr>
          <w:rFonts w:ascii="Calibri" w:hAnsi="Calibri" w:cs="Courier New"/>
        </w:rPr>
        <w:t xml:space="preserve"> data provide insights into optimal approaches to preventing and controlling antibiotic-resistant gonorrhea and will directly inform CDC recommendations, programmatic public health approaches, and resource allocation. </w:t>
      </w:r>
    </w:p>
    <w:p w:rsidR="007460FE" w:rsidP="007460FE" w:rsidRDefault="007460FE" w14:paraId="793F602C"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rPr>
      </w:pPr>
    </w:p>
    <w:p w:rsidR="00733412" w:rsidP="002232F9" w:rsidRDefault="00AF2C61" w14:paraId="0F597677" w14:textId="77777777">
      <w:pPr>
        <w:rPr>
          <w:rFonts w:ascii="Calibri" w:hAnsi="Calibri" w:cs="Courier New"/>
        </w:rPr>
      </w:pPr>
      <w:r>
        <w:rPr>
          <w:rFonts w:ascii="Calibri" w:hAnsi="Calibri" w:cs="Courier New"/>
        </w:rPr>
        <w:lastRenderedPageBreak/>
        <w:t xml:space="preserve">The project will </w:t>
      </w:r>
      <w:r w:rsidR="00473FBB">
        <w:rPr>
          <w:rFonts w:ascii="Calibri" w:hAnsi="Calibri" w:cs="Courier New"/>
        </w:rPr>
        <w:t>utilize three</w:t>
      </w:r>
      <w:r w:rsidR="00356ADF">
        <w:rPr>
          <w:rFonts w:ascii="Calibri" w:hAnsi="Calibri" w:cs="Courier New"/>
        </w:rPr>
        <w:t xml:space="preserve"> distinct but complementary strategies to collect the required information. </w:t>
      </w:r>
    </w:p>
    <w:p w:rsidR="00733412" w:rsidP="002232F9" w:rsidRDefault="00733412" w14:paraId="76227E15" w14:textId="77777777">
      <w:pPr>
        <w:rPr>
          <w:rFonts w:ascii="Calibri" w:hAnsi="Calibri" w:cs="Courier New"/>
        </w:rPr>
      </w:pPr>
    </w:p>
    <w:p w:rsidRPr="000856F1" w:rsidR="00733412" w:rsidP="002232F9" w:rsidRDefault="00733412" w14:paraId="244BD714" w14:textId="77777777">
      <w:pPr>
        <w:rPr>
          <w:rFonts w:ascii="Calibri" w:hAnsi="Calibri" w:cs="Courier New"/>
          <w:b/>
        </w:rPr>
      </w:pPr>
      <w:r w:rsidRPr="000856F1">
        <w:rPr>
          <w:rFonts w:ascii="Calibri" w:hAnsi="Calibri" w:cs="Courier New"/>
          <w:b/>
        </w:rPr>
        <w:t>Facility-based data</w:t>
      </w:r>
    </w:p>
    <w:p w:rsidR="00F83D3C" w:rsidP="002232F9" w:rsidRDefault="00F83D3C" w14:paraId="0C86E007" w14:textId="77777777">
      <w:pPr>
        <w:rPr>
          <w:rFonts w:ascii="Calibri" w:hAnsi="Calibri" w:cs="Courier New"/>
        </w:rPr>
      </w:pPr>
    </w:p>
    <w:p w:rsidRPr="007D5376" w:rsidR="00F83D3C" w:rsidP="00F83D3C" w:rsidRDefault="00356ADF" w14:paraId="2D4D2424" w14:textId="4C5479F2">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color w:val="FF0000"/>
        </w:rPr>
      </w:pPr>
      <w:r>
        <w:rPr>
          <w:rFonts w:ascii="Calibri" w:hAnsi="Calibri" w:cs="Courier New"/>
        </w:rPr>
        <w:t xml:space="preserve">The first strategy </w:t>
      </w:r>
      <w:r w:rsidR="00F0339A">
        <w:rPr>
          <w:rFonts w:ascii="Calibri" w:hAnsi="Calibri" w:cs="Courier New"/>
        </w:rPr>
        <w:t>involve</w:t>
      </w:r>
      <w:r w:rsidR="00F8221F">
        <w:rPr>
          <w:rFonts w:ascii="Calibri" w:hAnsi="Calibri" w:cs="Courier New"/>
        </w:rPr>
        <w:t>s</w:t>
      </w:r>
      <w:r w:rsidR="00F0339A">
        <w:rPr>
          <w:rFonts w:ascii="Calibri" w:hAnsi="Calibri" w:cs="Courier New"/>
        </w:rPr>
        <w:t xml:space="preserve"> local</w:t>
      </w:r>
      <w:r w:rsidR="00A6359A">
        <w:rPr>
          <w:rFonts w:ascii="Calibri" w:hAnsi="Calibri" w:cs="Courier New"/>
        </w:rPr>
        <w:t xml:space="preserve"> </w:t>
      </w:r>
      <w:r>
        <w:rPr>
          <w:rFonts w:ascii="Calibri" w:hAnsi="Calibri" w:cs="Courier New"/>
        </w:rPr>
        <w:t>collect</w:t>
      </w:r>
      <w:r w:rsidR="00A6359A">
        <w:rPr>
          <w:rFonts w:ascii="Calibri" w:hAnsi="Calibri" w:cs="Courier New"/>
        </w:rPr>
        <w:t>ion of</w:t>
      </w:r>
      <w:r>
        <w:rPr>
          <w:rFonts w:ascii="Calibri" w:hAnsi="Calibri" w:cs="Courier New"/>
        </w:rPr>
        <w:t xml:space="preserve"> </w:t>
      </w:r>
      <w:r w:rsidRPr="007D5376" w:rsidR="003432C7">
        <w:rPr>
          <w:rFonts w:ascii="Calibri" w:hAnsi="Calibri" w:cs="Courier New"/>
          <w:b/>
          <w:bCs/>
        </w:rPr>
        <w:t xml:space="preserve">healthcare </w:t>
      </w:r>
      <w:r w:rsidRPr="007D5376">
        <w:rPr>
          <w:rFonts w:ascii="Calibri" w:hAnsi="Calibri" w:cs="Courier New"/>
          <w:b/>
          <w:bCs/>
        </w:rPr>
        <w:t>facility-based data</w:t>
      </w:r>
      <w:r w:rsidR="00F83D3C">
        <w:rPr>
          <w:rFonts w:ascii="Calibri" w:hAnsi="Calibri" w:cs="Courier New"/>
        </w:rPr>
        <w:t>. The local health department data manager</w:t>
      </w:r>
      <w:r w:rsidR="00F8221F">
        <w:rPr>
          <w:rFonts w:ascii="Calibri" w:hAnsi="Calibri" w:cs="Courier New"/>
        </w:rPr>
        <w:t xml:space="preserve"> </w:t>
      </w:r>
      <w:r w:rsidR="00F83D3C">
        <w:rPr>
          <w:rFonts w:ascii="Calibri" w:hAnsi="Calibri" w:cs="Courier New"/>
        </w:rPr>
        <w:t>abstract</w:t>
      </w:r>
      <w:r w:rsidR="00F8221F">
        <w:rPr>
          <w:rFonts w:ascii="Calibri" w:hAnsi="Calibri" w:cs="Courier New"/>
        </w:rPr>
        <w:t>s</w:t>
      </w:r>
      <w:r w:rsidR="00F83D3C">
        <w:rPr>
          <w:rFonts w:ascii="Calibri" w:hAnsi="Calibri" w:cs="Courier New"/>
        </w:rPr>
        <w:t xml:space="preserve"> clinical data elements routinely collected as part of clinical care and for patients tested for gonorrhea at participating clinics. Data </w:t>
      </w:r>
      <w:r w:rsidR="003432C7">
        <w:rPr>
          <w:rFonts w:ascii="Calibri" w:hAnsi="Calibri" w:cs="Courier New"/>
        </w:rPr>
        <w:t>are</w:t>
      </w:r>
      <w:r w:rsidR="00F83D3C">
        <w:rPr>
          <w:rFonts w:ascii="Calibri" w:hAnsi="Calibri" w:cs="Courier New"/>
        </w:rPr>
        <w:t xml:space="preserve"> de-identified </w:t>
      </w:r>
      <w:r w:rsidR="003432C7">
        <w:rPr>
          <w:rFonts w:ascii="Calibri" w:hAnsi="Calibri" w:cs="Courier New"/>
        </w:rPr>
        <w:t xml:space="preserve">(meaning that personal identifiers are removed). Data are </w:t>
      </w:r>
      <w:r w:rsidR="00F83D3C">
        <w:rPr>
          <w:rFonts w:ascii="Calibri" w:hAnsi="Calibri" w:cs="Courier New"/>
        </w:rPr>
        <w:t>re</w:t>
      </w:r>
      <w:r w:rsidR="00F8221F">
        <w:rPr>
          <w:rFonts w:ascii="Calibri" w:hAnsi="Calibri" w:cs="Courier New"/>
        </w:rPr>
        <w:t>-</w:t>
      </w:r>
      <w:r w:rsidR="00F83D3C">
        <w:rPr>
          <w:rFonts w:ascii="Calibri" w:hAnsi="Calibri" w:cs="Courier New"/>
        </w:rPr>
        <w:t>coded</w:t>
      </w:r>
      <w:r w:rsidR="003432C7">
        <w:rPr>
          <w:rFonts w:ascii="Calibri" w:hAnsi="Calibri" w:cs="Courier New"/>
        </w:rPr>
        <w:t xml:space="preserve"> and a new number is made up and assigned to each data record. These new numbers do not contain any personally identifiable information. The data are </w:t>
      </w:r>
      <w:r w:rsidR="00AD4CE5">
        <w:rPr>
          <w:rFonts w:ascii="Calibri" w:hAnsi="Calibri" w:cs="Courier New"/>
        </w:rPr>
        <w:t>sent</w:t>
      </w:r>
      <w:r w:rsidR="00F83D3C">
        <w:rPr>
          <w:rFonts w:ascii="Calibri" w:hAnsi="Calibri" w:cs="Courier New"/>
        </w:rPr>
        <w:t xml:space="preserve"> to CDC through secure file transport mechanisms every two months. The data elements </w:t>
      </w:r>
      <w:r w:rsidR="003432C7">
        <w:rPr>
          <w:rFonts w:ascii="Calibri" w:hAnsi="Calibri" w:cs="Courier New"/>
        </w:rPr>
        <w:t xml:space="preserve">that are </w:t>
      </w:r>
      <w:r w:rsidR="00F83D3C">
        <w:rPr>
          <w:rFonts w:ascii="Calibri" w:hAnsi="Calibri" w:cs="Courier New"/>
        </w:rPr>
        <w:t xml:space="preserve">electronically </w:t>
      </w:r>
      <w:r w:rsidR="00AD4CE5">
        <w:rPr>
          <w:rFonts w:ascii="Calibri" w:hAnsi="Calibri" w:cs="Courier New"/>
        </w:rPr>
        <w:t>sent</w:t>
      </w:r>
      <w:r w:rsidR="00F83D3C">
        <w:rPr>
          <w:rFonts w:ascii="Calibri" w:hAnsi="Calibri" w:cs="Courier New"/>
        </w:rPr>
        <w:t xml:space="preserve"> to CDC</w:t>
      </w:r>
      <w:r w:rsidR="003432C7">
        <w:rPr>
          <w:rFonts w:ascii="Calibri" w:hAnsi="Calibri" w:cs="Courier New"/>
        </w:rPr>
        <w:t xml:space="preserve"> and that CDC requests continued approval to receive</w:t>
      </w:r>
      <w:r w:rsidR="00F83D3C">
        <w:rPr>
          <w:rFonts w:ascii="Calibri" w:hAnsi="Calibri" w:cs="Courier New"/>
        </w:rPr>
        <w:t xml:space="preserve"> (for a three-year period beginning on the date of OMB approval) </w:t>
      </w:r>
      <w:r w:rsidRPr="002E2227" w:rsidR="00F83D3C">
        <w:rPr>
          <w:rFonts w:ascii="Calibri" w:hAnsi="Calibri" w:cs="Courier New"/>
        </w:rPr>
        <w:t xml:space="preserve">are listed in </w:t>
      </w:r>
      <w:r w:rsidRPr="00413798" w:rsidR="00F83D3C">
        <w:rPr>
          <w:rFonts w:ascii="Calibri" w:hAnsi="Calibri" w:cs="Courier New"/>
          <w:b/>
        </w:rPr>
        <w:t>Attachments 3A and 3B</w:t>
      </w:r>
      <w:r w:rsidRPr="00413798" w:rsidR="00F83D3C">
        <w:rPr>
          <w:rFonts w:ascii="Calibri" w:hAnsi="Calibri" w:cs="Courier New"/>
        </w:rPr>
        <w:t>.</w:t>
      </w:r>
    </w:p>
    <w:p w:rsidR="00F83D3C" w:rsidP="00F83D3C" w:rsidRDefault="00F83D3C" w14:paraId="03704A61" w14:textId="77777777">
      <w:pPr>
        <w:rPr>
          <w:rFonts w:ascii="Calibri" w:hAnsi="Calibri" w:cs="Courier New"/>
        </w:rPr>
      </w:pPr>
    </w:p>
    <w:p w:rsidRPr="00C824AF" w:rsidR="00F83D3C" w:rsidP="00F83D3C" w:rsidRDefault="00F83D3C" w14:paraId="05E221CA" w14:textId="49906E84">
      <w:pPr>
        <w:rPr>
          <w:rFonts w:ascii="Calibri" w:hAnsi="Calibri" w:cs="Calibri"/>
        </w:rPr>
      </w:pPr>
      <w:bookmarkStart w:name="_Hlk40543251" w:id="0"/>
      <w:r w:rsidRPr="00C824AF">
        <w:rPr>
          <w:rFonts w:ascii="Calibri" w:hAnsi="Calibri" w:cs="Calibri"/>
        </w:rPr>
        <w:t xml:space="preserve">Funded </w:t>
      </w:r>
      <w:r w:rsidR="003432C7">
        <w:rPr>
          <w:rFonts w:ascii="Calibri" w:hAnsi="Calibri" w:cs="Calibri"/>
        </w:rPr>
        <w:t>health departments</w:t>
      </w:r>
      <w:r w:rsidRPr="00C824AF">
        <w:rPr>
          <w:rFonts w:ascii="Calibri" w:hAnsi="Calibri" w:cs="Calibri"/>
        </w:rPr>
        <w:t xml:space="preserve"> are </w:t>
      </w:r>
      <w:r w:rsidR="003B1D77">
        <w:rPr>
          <w:rFonts w:ascii="Calibri" w:hAnsi="Calibri" w:cs="Calibri"/>
        </w:rPr>
        <w:t>require</w:t>
      </w:r>
      <w:r w:rsidRPr="00C824AF" w:rsidR="003B1D77">
        <w:rPr>
          <w:rFonts w:ascii="Calibri" w:hAnsi="Calibri" w:cs="Calibri"/>
        </w:rPr>
        <w:t xml:space="preserve">d </w:t>
      </w:r>
      <w:r w:rsidRPr="00C824AF">
        <w:rPr>
          <w:rFonts w:ascii="Calibri" w:hAnsi="Calibri" w:cs="Calibri"/>
        </w:rPr>
        <w:t>to maintain rigorous procedures to assure the quality and validity of data before submi</w:t>
      </w:r>
      <w:r w:rsidR="00B7681F">
        <w:rPr>
          <w:rFonts w:ascii="Calibri" w:hAnsi="Calibri" w:cs="Calibri"/>
        </w:rPr>
        <w:t>ssion</w:t>
      </w:r>
      <w:r w:rsidRPr="00C824AF">
        <w:rPr>
          <w:rFonts w:ascii="Calibri" w:hAnsi="Calibri" w:cs="Calibri"/>
        </w:rPr>
        <w:t xml:space="preserve"> to CDC. They also complete data verification, re</w:t>
      </w:r>
      <w:r w:rsidR="00B7681F">
        <w:rPr>
          <w:rFonts w:ascii="Calibri" w:hAnsi="Calibri" w:cs="Calibri"/>
        </w:rPr>
        <w:t>-</w:t>
      </w:r>
      <w:r w:rsidRPr="00C824AF">
        <w:rPr>
          <w:rFonts w:ascii="Calibri" w:hAnsi="Calibri" w:cs="Calibri"/>
        </w:rPr>
        <w:t xml:space="preserve">code and appropriately structure the data to facilitate merging into the national SURRG datasets. In collaboration with data managers in each jurisdiction, CDC </w:t>
      </w:r>
      <w:r w:rsidR="003432C7">
        <w:rPr>
          <w:rFonts w:ascii="Calibri" w:hAnsi="Calibri" w:cs="Calibri"/>
        </w:rPr>
        <w:t xml:space="preserve">has </w:t>
      </w:r>
      <w:r w:rsidRPr="00C824AF">
        <w:rPr>
          <w:rFonts w:ascii="Calibri" w:hAnsi="Calibri" w:cs="Calibri"/>
        </w:rPr>
        <w:t>prepare</w:t>
      </w:r>
      <w:r w:rsidR="003432C7">
        <w:rPr>
          <w:rFonts w:ascii="Calibri" w:hAnsi="Calibri" w:cs="Calibri"/>
        </w:rPr>
        <w:t>d</w:t>
      </w:r>
      <w:r w:rsidRPr="00C824AF">
        <w:rPr>
          <w:rFonts w:ascii="Calibri" w:hAnsi="Calibri" w:cs="Calibri"/>
        </w:rPr>
        <w:t xml:space="preserve"> syntax for data validation that </w:t>
      </w:r>
      <w:r w:rsidR="003432C7">
        <w:rPr>
          <w:rFonts w:ascii="Calibri" w:hAnsi="Calibri" w:cs="Calibri"/>
        </w:rPr>
        <w:t>were</w:t>
      </w:r>
      <w:r w:rsidR="003B1D77">
        <w:rPr>
          <w:rFonts w:ascii="Calibri" w:hAnsi="Calibri" w:cs="Calibri"/>
        </w:rPr>
        <w:t xml:space="preserve"> </w:t>
      </w:r>
      <w:r w:rsidRPr="00C824AF">
        <w:rPr>
          <w:rFonts w:ascii="Calibri" w:hAnsi="Calibri" w:cs="Calibri"/>
        </w:rPr>
        <w:t>provide</w:t>
      </w:r>
      <w:r w:rsidR="003432C7">
        <w:rPr>
          <w:rFonts w:ascii="Calibri" w:hAnsi="Calibri" w:cs="Calibri"/>
        </w:rPr>
        <w:t>d</w:t>
      </w:r>
      <w:r w:rsidRPr="00C824AF">
        <w:rPr>
          <w:rFonts w:ascii="Calibri" w:hAnsi="Calibri" w:cs="Calibri"/>
        </w:rPr>
        <w:t xml:space="preserve"> for appropriate quality assurance. Jurisdictions apply these validation checks and fix</w:t>
      </w:r>
      <w:r w:rsidR="003432C7">
        <w:rPr>
          <w:rFonts w:ascii="Calibri" w:hAnsi="Calibri" w:cs="Calibri"/>
        </w:rPr>
        <w:t xml:space="preserve"> </w:t>
      </w:r>
      <w:r w:rsidRPr="00C824AF">
        <w:rPr>
          <w:rFonts w:ascii="Calibri" w:hAnsi="Calibri" w:cs="Calibri"/>
        </w:rPr>
        <w:t xml:space="preserve">offending records </w:t>
      </w:r>
      <w:r w:rsidR="003432C7">
        <w:rPr>
          <w:rFonts w:ascii="Calibri" w:hAnsi="Calibri" w:cs="Calibri"/>
        </w:rPr>
        <w:t xml:space="preserve">(meaning data records with poor data quality) </w:t>
      </w:r>
      <w:r w:rsidRPr="00C824AF">
        <w:rPr>
          <w:rFonts w:ascii="Calibri" w:hAnsi="Calibri" w:cs="Calibri"/>
        </w:rPr>
        <w:t xml:space="preserve">prior to transmission. Locally prepared SAS datasets used for validation and transmission to CDC </w:t>
      </w:r>
      <w:r w:rsidRPr="007D5376" w:rsidR="003E04F1">
        <w:rPr>
          <w:rFonts w:ascii="Calibri" w:hAnsi="Calibri" w:cs="Calibri"/>
          <w:u w:val="single"/>
        </w:rPr>
        <w:t>do not</w:t>
      </w:r>
      <w:r w:rsidR="003E04F1">
        <w:rPr>
          <w:rFonts w:ascii="Calibri" w:hAnsi="Calibri" w:cs="Calibri"/>
        </w:rPr>
        <w:t xml:space="preserve"> and </w:t>
      </w:r>
      <w:r w:rsidRPr="007D5376">
        <w:rPr>
          <w:rFonts w:ascii="Calibri" w:hAnsi="Calibri" w:cs="Calibri"/>
          <w:u w:val="single"/>
        </w:rPr>
        <w:t>will not</w:t>
      </w:r>
      <w:r w:rsidRPr="00C824AF">
        <w:rPr>
          <w:rFonts w:ascii="Calibri" w:hAnsi="Calibri" w:cs="Calibri"/>
        </w:rPr>
        <w:t xml:space="preserve"> include patients’ names, date of birth, phone number, mailing </w:t>
      </w:r>
      <w:r w:rsidR="003E04F1">
        <w:rPr>
          <w:rFonts w:ascii="Calibri" w:hAnsi="Calibri" w:cs="Calibri"/>
        </w:rPr>
        <w:t xml:space="preserve">or work </w:t>
      </w:r>
      <w:r w:rsidRPr="00C824AF">
        <w:rPr>
          <w:rFonts w:ascii="Calibri" w:hAnsi="Calibri" w:cs="Calibri"/>
        </w:rPr>
        <w:t>address</w:t>
      </w:r>
      <w:r w:rsidR="003E04F1">
        <w:rPr>
          <w:rFonts w:ascii="Calibri" w:hAnsi="Calibri" w:cs="Calibri"/>
        </w:rPr>
        <w:t>es,</w:t>
      </w:r>
      <w:r w:rsidRPr="00C824AF">
        <w:rPr>
          <w:rFonts w:ascii="Calibri" w:hAnsi="Calibri" w:cs="Calibri"/>
        </w:rPr>
        <w:t xml:space="preserve"> or medical record numbers. SURRG records from STD clinics will be assigned (by the local or state health department) a</w:t>
      </w:r>
      <w:r w:rsidR="003E04F1">
        <w:rPr>
          <w:rFonts w:ascii="Calibri" w:hAnsi="Calibri" w:cs="Calibri"/>
        </w:rPr>
        <w:t xml:space="preserve"> new</w:t>
      </w:r>
      <w:r w:rsidRPr="00C824AF">
        <w:rPr>
          <w:rFonts w:ascii="Calibri" w:hAnsi="Calibri" w:cs="Calibri"/>
        </w:rPr>
        <w:t xml:space="preserve"> patient </w:t>
      </w:r>
      <w:r w:rsidR="003E04F1">
        <w:rPr>
          <w:rFonts w:ascii="Calibri" w:hAnsi="Calibri" w:cs="Calibri"/>
        </w:rPr>
        <w:t>number</w:t>
      </w:r>
      <w:r w:rsidRPr="00C824AF" w:rsidR="003E04F1">
        <w:rPr>
          <w:rFonts w:ascii="Calibri" w:hAnsi="Calibri" w:cs="Calibri"/>
        </w:rPr>
        <w:t xml:space="preserve"> </w:t>
      </w:r>
      <w:r w:rsidRPr="00C824AF">
        <w:rPr>
          <w:rFonts w:ascii="Calibri" w:hAnsi="Calibri" w:cs="Calibri"/>
        </w:rPr>
        <w:t xml:space="preserve">(patient ID) and a </w:t>
      </w:r>
      <w:r w:rsidR="003E04F1">
        <w:rPr>
          <w:rFonts w:ascii="Calibri" w:hAnsi="Calibri" w:cs="Calibri"/>
        </w:rPr>
        <w:t xml:space="preserve">new </w:t>
      </w:r>
      <w:r w:rsidRPr="00C824AF">
        <w:rPr>
          <w:rFonts w:ascii="Calibri" w:hAnsi="Calibri" w:cs="Calibri"/>
        </w:rPr>
        <w:t>event number for each visit</w:t>
      </w:r>
      <w:r w:rsidR="003E04F1">
        <w:rPr>
          <w:rFonts w:ascii="Calibri" w:hAnsi="Calibri" w:cs="Calibri"/>
        </w:rPr>
        <w:t xml:space="preserve"> (see “re-coding” in prior paragraph)</w:t>
      </w:r>
      <w:r w:rsidRPr="00C824AF">
        <w:rPr>
          <w:rFonts w:ascii="Calibri" w:hAnsi="Calibri" w:cs="Calibri"/>
        </w:rPr>
        <w:t>. CDC receive</w:t>
      </w:r>
      <w:r w:rsidR="003B1D77">
        <w:rPr>
          <w:rFonts w:ascii="Calibri" w:hAnsi="Calibri" w:cs="Calibri"/>
        </w:rPr>
        <w:t>s</w:t>
      </w:r>
      <w:r w:rsidRPr="00C824AF">
        <w:rPr>
          <w:rFonts w:ascii="Calibri" w:hAnsi="Calibri" w:cs="Calibri"/>
        </w:rPr>
        <w:t xml:space="preserve"> </w:t>
      </w:r>
      <w:r w:rsidR="003B1D77">
        <w:rPr>
          <w:rFonts w:ascii="Calibri" w:hAnsi="Calibri" w:cs="Calibri"/>
        </w:rPr>
        <w:t xml:space="preserve">only </w:t>
      </w:r>
      <w:r w:rsidRPr="00C824AF">
        <w:rPr>
          <w:rFonts w:ascii="Calibri" w:hAnsi="Calibri" w:cs="Calibri"/>
        </w:rPr>
        <w:t xml:space="preserve">the </w:t>
      </w:r>
      <w:r w:rsidR="003E04F1">
        <w:rPr>
          <w:rFonts w:ascii="Calibri" w:hAnsi="Calibri" w:cs="Calibri"/>
        </w:rPr>
        <w:t>new patient and event</w:t>
      </w:r>
      <w:r w:rsidR="00992004">
        <w:rPr>
          <w:rFonts w:ascii="Calibri" w:hAnsi="Calibri" w:cs="Calibri"/>
        </w:rPr>
        <w:t xml:space="preserve"> </w:t>
      </w:r>
      <w:r w:rsidR="003E04F1">
        <w:rPr>
          <w:rFonts w:ascii="Calibri" w:hAnsi="Calibri" w:cs="Calibri"/>
        </w:rPr>
        <w:t>numbers</w:t>
      </w:r>
      <w:r w:rsidRPr="00C824AF">
        <w:rPr>
          <w:rFonts w:ascii="Calibri" w:hAnsi="Calibri" w:cs="Calibri"/>
        </w:rPr>
        <w:t xml:space="preserve"> and </w:t>
      </w:r>
      <w:r w:rsidR="003B1D77">
        <w:rPr>
          <w:rFonts w:ascii="Calibri" w:hAnsi="Calibri" w:cs="Calibri"/>
        </w:rPr>
        <w:t>lacks</w:t>
      </w:r>
      <w:r w:rsidRPr="00C824AF">
        <w:rPr>
          <w:rFonts w:ascii="Calibri" w:hAnsi="Calibri" w:cs="Calibri"/>
        </w:rPr>
        <w:t xml:space="preserve"> the ability to back-convert the </w:t>
      </w:r>
      <w:r w:rsidR="003E04F1">
        <w:rPr>
          <w:rFonts w:ascii="Calibri" w:hAnsi="Calibri" w:cs="Calibri"/>
        </w:rPr>
        <w:t>p</w:t>
      </w:r>
      <w:r w:rsidRPr="00C824AF">
        <w:rPr>
          <w:rFonts w:ascii="Calibri" w:hAnsi="Calibri" w:cs="Calibri"/>
        </w:rPr>
        <w:t xml:space="preserve">atient ID to a medical record number.  </w:t>
      </w:r>
      <w:r w:rsidR="003E04F1">
        <w:rPr>
          <w:rFonts w:ascii="Calibri" w:hAnsi="Calibri" w:cs="Calibri"/>
        </w:rPr>
        <w:t>Funded health departments</w:t>
      </w:r>
      <w:r w:rsidRPr="00C824AF">
        <w:rPr>
          <w:rFonts w:ascii="Calibri" w:hAnsi="Calibri" w:cs="Calibri"/>
        </w:rPr>
        <w:t xml:space="preserve"> send data</w:t>
      </w:r>
      <w:r w:rsidR="003E04F1">
        <w:rPr>
          <w:rFonts w:ascii="Calibri" w:hAnsi="Calibri" w:cs="Calibri"/>
        </w:rPr>
        <w:t xml:space="preserve"> to CDC</w:t>
      </w:r>
      <w:r w:rsidRPr="00C824AF">
        <w:rPr>
          <w:rFonts w:ascii="Calibri" w:hAnsi="Calibri" w:cs="Calibri"/>
        </w:rPr>
        <w:t xml:space="preserve"> through the secure data network (SAMS), or equivalent, using specified encryption methods. CDC accept</w:t>
      </w:r>
      <w:r w:rsidR="003F49C2">
        <w:rPr>
          <w:rFonts w:ascii="Calibri" w:hAnsi="Calibri" w:cs="Calibri"/>
        </w:rPr>
        <w:t>s</w:t>
      </w:r>
      <w:r w:rsidRPr="00C824AF">
        <w:rPr>
          <w:rFonts w:ascii="Calibri" w:hAnsi="Calibri" w:cs="Calibri"/>
        </w:rPr>
        <w:t xml:space="preserve"> and securely store</w:t>
      </w:r>
      <w:r w:rsidR="003F49C2">
        <w:rPr>
          <w:rFonts w:ascii="Calibri" w:hAnsi="Calibri" w:cs="Calibri"/>
        </w:rPr>
        <w:t>s</w:t>
      </w:r>
      <w:r w:rsidRPr="00C824AF">
        <w:rPr>
          <w:rFonts w:ascii="Calibri" w:hAnsi="Calibri" w:cs="Calibri"/>
        </w:rPr>
        <w:t xml:space="preserve"> these data, accessible only to </w:t>
      </w:r>
      <w:r w:rsidRPr="00C824AF" w:rsidR="007460FE">
        <w:rPr>
          <w:rFonts w:ascii="Calibri" w:hAnsi="Calibri" w:cs="Calibri"/>
        </w:rPr>
        <w:t>enhanced SURRG</w:t>
      </w:r>
      <w:r w:rsidRPr="00C824AF">
        <w:rPr>
          <w:rFonts w:ascii="Calibri" w:hAnsi="Calibri" w:cs="Calibri"/>
        </w:rPr>
        <w:t xml:space="preserve"> project staff.</w:t>
      </w:r>
      <w:r w:rsidR="003E04F1">
        <w:rPr>
          <w:rFonts w:ascii="Calibri" w:hAnsi="Calibri" w:cs="Calibri"/>
        </w:rPr>
        <w:t xml:space="preserve"> These data </w:t>
      </w:r>
      <w:r w:rsidR="003F49C2">
        <w:rPr>
          <w:rFonts w:ascii="Calibri" w:hAnsi="Calibri" w:cs="Calibri"/>
        </w:rPr>
        <w:t>are</w:t>
      </w:r>
      <w:r w:rsidR="003E04F1">
        <w:rPr>
          <w:rFonts w:ascii="Calibri" w:hAnsi="Calibri" w:cs="Calibri"/>
        </w:rPr>
        <w:t xml:space="preserve"> combined with laboratory-based and field-investigation SURRG data (see below)</w:t>
      </w:r>
      <w:r w:rsidRPr="005D72BE" w:rsidR="005D72BE">
        <w:rPr>
          <w:rFonts w:ascii="Calibri" w:hAnsi="Calibri" w:cs="Calibri"/>
        </w:rPr>
        <w:t xml:space="preserve"> </w:t>
      </w:r>
      <w:r w:rsidR="005D72BE">
        <w:rPr>
          <w:rFonts w:ascii="Calibri" w:hAnsi="Calibri" w:cs="Calibri"/>
        </w:rPr>
        <w:t>and associated laboratory testing data from the ARLN</w:t>
      </w:r>
      <w:r w:rsidR="003E04F1">
        <w:rPr>
          <w:rFonts w:ascii="Calibri" w:hAnsi="Calibri" w:cs="Calibri"/>
        </w:rPr>
        <w:t xml:space="preserve">. </w:t>
      </w:r>
      <w:r w:rsidRPr="00C824AF">
        <w:rPr>
          <w:rFonts w:ascii="Calibri" w:hAnsi="Calibri" w:cs="Calibri"/>
        </w:rPr>
        <w:t xml:space="preserve">SURRG data </w:t>
      </w:r>
      <w:r w:rsidR="003F49C2">
        <w:rPr>
          <w:rFonts w:ascii="Calibri" w:hAnsi="Calibri" w:cs="Calibri"/>
        </w:rPr>
        <w:t xml:space="preserve">are not and </w:t>
      </w:r>
      <w:r w:rsidRPr="00C824AF">
        <w:rPr>
          <w:rFonts w:ascii="Calibri" w:hAnsi="Calibri" w:cs="Calibri"/>
        </w:rPr>
        <w:t xml:space="preserve">will not be integrated into other datasets maintained by CDC and </w:t>
      </w:r>
      <w:r w:rsidR="003F49C2">
        <w:rPr>
          <w:rFonts w:ascii="Calibri" w:hAnsi="Calibri" w:cs="Calibri"/>
        </w:rPr>
        <w:t>are</w:t>
      </w:r>
      <w:r w:rsidRPr="00C824AF">
        <w:rPr>
          <w:rFonts w:ascii="Calibri" w:hAnsi="Calibri" w:cs="Calibri"/>
        </w:rPr>
        <w:t xml:space="preserve"> stored on secure servers with fully restricted access.</w:t>
      </w:r>
    </w:p>
    <w:bookmarkEnd w:id="0"/>
    <w:p w:rsidR="00F83D3C" w:rsidP="002232F9" w:rsidRDefault="00F83D3C" w14:paraId="4F36FED9" w14:textId="77777777">
      <w:pPr>
        <w:rPr>
          <w:rFonts w:ascii="Calibri" w:hAnsi="Calibri" w:cs="Courier New"/>
        </w:rPr>
      </w:pPr>
    </w:p>
    <w:p w:rsidRPr="000856F1" w:rsidR="00F83D3C" w:rsidP="002232F9" w:rsidRDefault="00F83D3C" w14:paraId="0BDBBB14" w14:textId="77777777">
      <w:pPr>
        <w:rPr>
          <w:rFonts w:ascii="Calibri" w:hAnsi="Calibri" w:cs="Courier New"/>
          <w:b/>
        </w:rPr>
      </w:pPr>
      <w:r w:rsidRPr="000856F1">
        <w:rPr>
          <w:rFonts w:ascii="Calibri" w:hAnsi="Calibri" w:cs="Courier New"/>
          <w:b/>
        </w:rPr>
        <w:t>Laboratory-based data</w:t>
      </w:r>
    </w:p>
    <w:p w:rsidR="00F83D3C" w:rsidP="002232F9" w:rsidRDefault="00F83D3C" w14:paraId="07A4A57E" w14:textId="77777777">
      <w:pPr>
        <w:rPr>
          <w:rFonts w:ascii="Calibri" w:hAnsi="Calibri" w:cs="Courier New"/>
        </w:rPr>
      </w:pPr>
    </w:p>
    <w:p w:rsidR="00F83D3C" w:rsidP="00F83D3C" w:rsidRDefault="00356ADF" w14:paraId="526D813A" w14:textId="2AD4968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rPr>
      </w:pPr>
      <w:r>
        <w:rPr>
          <w:rFonts w:ascii="Calibri" w:hAnsi="Calibri" w:cs="Courier New"/>
        </w:rPr>
        <w:t>The</w:t>
      </w:r>
      <w:r w:rsidR="00473FBB">
        <w:rPr>
          <w:rFonts w:ascii="Calibri" w:hAnsi="Calibri" w:cs="Courier New"/>
        </w:rPr>
        <w:t xml:space="preserve"> second strategy employs </w:t>
      </w:r>
      <w:r w:rsidR="00A6359A">
        <w:rPr>
          <w:rFonts w:ascii="Calibri" w:hAnsi="Calibri" w:cs="Courier New"/>
        </w:rPr>
        <w:t>local performance</w:t>
      </w:r>
      <w:r w:rsidR="00473FBB">
        <w:rPr>
          <w:rFonts w:ascii="Calibri" w:hAnsi="Calibri" w:cs="Courier New"/>
        </w:rPr>
        <w:t xml:space="preserve"> of </w:t>
      </w:r>
      <w:r w:rsidR="003E04F1">
        <w:rPr>
          <w:rFonts w:ascii="Calibri" w:hAnsi="Calibri" w:cs="Courier New"/>
        </w:rPr>
        <w:t>AST</w:t>
      </w:r>
      <w:r w:rsidR="00473FBB">
        <w:rPr>
          <w:rFonts w:ascii="Calibri" w:hAnsi="Calibri" w:cs="Courier New"/>
        </w:rPr>
        <w:t xml:space="preserve"> of </w:t>
      </w:r>
      <w:r w:rsidRPr="00EB6B12" w:rsidR="00473FBB">
        <w:rPr>
          <w:rFonts w:ascii="Calibri" w:hAnsi="Calibri" w:cs="Courier New"/>
          <w:i/>
        </w:rPr>
        <w:t>N. gonorrh</w:t>
      </w:r>
      <w:r w:rsidRPr="00EB6B12" w:rsidR="00EB6B12">
        <w:rPr>
          <w:rFonts w:ascii="Calibri" w:hAnsi="Calibri" w:cs="Courier New"/>
          <w:i/>
        </w:rPr>
        <w:t>o</w:t>
      </w:r>
      <w:r w:rsidRPr="00EB6B12" w:rsidR="00473FBB">
        <w:rPr>
          <w:rFonts w:ascii="Calibri" w:hAnsi="Calibri" w:cs="Courier New"/>
          <w:i/>
        </w:rPr>
        <w:t>ea</w:t>
      </w:r>
      <w:r w:rsidRPr="00EB6B12" w:rsidR="00EB6B12">
        <w:rPr>
          <w:rFonts w:ascii="Calibri" w:hAnsi="Calibri" w:cs="Courier New"/>
          <w:i/>
        </w:rPr>
        <w:t>e</w:t>
      </w:r>
      <w:r w:rsidR="00473FBB">
        <w:rPr>
          <w:rFonts w:ascii="Calibri" w:hAnsi="Calibri" w:cs="Courier New"/>
        </w:rPr>
        <w:t xml:space="preserve"> isolates and the transmission of testing results </w:t>
      </w:r>
      <w:r w:rsidR="00A6359A">
        <w:rPr>
          <w:rFonts w:ascii="Calibri" w:hAnsi="Calibri" w:cs="Courier New"/>
        </w:rPr>
        <w:t xml:space="preserve">from local laboratory staff </w:t>
      </w:r>
      <w:r w:rsidR="00473FBB">
        <w:rPr>
          <w:rFonts w:ascii="Calibri" w:hAnsi="Calibri" w:cs="Courier New"/>
        </w:rPr>
        <w:t>to the local health department and relevant</w:t>
      </w:r>
      <w:r w:rsidR="002232F9">
        <w:rPr>
          <w:rFonts w:ascii="Calibri" w:hAnsi="Calibri" w:cs="Courier New"/>
        </w:rPr>
        <w:t xml:space="preserve"> </w:t>
      </w:r>
      <w:r w:rsidRPr="00413798" w:rsidR="002232F9">
        <w:rPr>
          <w:rFonts w:ascii="Calibri" w:hAnsi="Calibri" w:cs="Courier New"/>
        </w:rPr>
        <w:t>clinical site.</w:t>
      </w:r>
      <w:r w:rsidRPr="00413798" w:rsidR="00473FBB">
        <w:rPr>
          <w:rFonts w:ascii="Calibri" w:hAnsi="Calibri" w:cs="Courier New"/>
        </w:rPr>
        <w:t xml:space="preserve"> </w:t>
      </w:r>
      <w:r w:rsidRPr="00413798" w:rsidR="00F83D3C">
        <w:rPr>
          <w:rFonts w:ascii="Calibri" w:hAnsi="Calibri" w:cs="Courier New"/>
        </w:rPr>
        <w:t xml:space="preserve">Microbiologists at participating public health laboratories will conduct </w:t>
      </w:r>
      <w:r w:rsidRPr="00413798" w:rsidR="003E04F1">
        <w:rPr>
          <w:rFonts w:ascii="Calibri" w:hAnsi="Calibri" w:cs="Courier New"/>
        </w:rPr>
        <w:t>AST</w:t>
      </w:r>
      <w:r w:rsidRPr="00413798" w:rsidR="00F83D3C">
        <w:rPr>
          <w:rFonts w:ascii="Calibri" w:hAnsi="Calibri" w:cs="Courier New"/>
        </w:rPr>
        <w:t xml:space="preserve"> on </w:t>
      </w:r>
      <w:r w:rsidRPr="00413798" w:rsidR="00F83D3C">
        <w:rPr>
          <w:rFonts w:ascii="Calibri" w:hAnsi="Calibri" w:cs="Courier New"/>
          <w:i/>
        </w:rPr>
        <w:t>N. gonorrhoeae</w:t>
      </w:r>
      <w:r w:rsidRPr="00413798" w:rsidR="00F83D3C">
        <w:rPr>
          <w:rFonts w:ascii="Calibri" w:hAnsi="Calibri" w:cs="Courier New"/>
        </w:rPr>
        <w:t xml:space="preserve"> isolates collected as part of routine clinical care at the participating clinical sites</w:t>
      </w:r>
      <w:r w:rsidRPr="00413798" w:rsidR="003718DA">
        <w:rPr>
          <w:rFonts w:ascii="Calibri" w:hAnsi="Calibri" w:cs="Courier New"/>
        </w:rPr>
        <w:t xml:space="preserve"> (see </w:t>
      </w:r>
      <w:r w:rsidRPr="00413798" w:rsidR="003718DA">
        <w:rPr>
          <w:rFonts w:ascii="Calibri" w:hAnsi="Calibri" w:cs="Courier New"/>
          <w:b/>
        </w:rPr>
        <w:t>Attachment</w:t>
      </w:r>
      <w:r w:rsidR="00C9770B">
        <w:rPr>
          <w:rFonts w:ascii="Calibri" w:hAnsi="Calibri" w:cs="Courier New"/>
          <w:b/>
        </w:rPr>
        <w:t>s</w:t>
      </w:r>
      <w:r w:rsidRPr="00413798" w:rsidR="003718DA">
        <w:rPr>
          <w:rFonts w:ascii="Calibri" w:hAnsi="Calibri" w:cs="Courier New"/>
          <w:b/>
        </w:rPr>
        <w:t xml:space="preserve"> 3C-</w:t>
      </w:r>
      <w:r w:rsidR="00C9770B">
        <w:rPr>
          <w:rFonts w:ascii="Calibri" w:hAnsi="Calibri" w:cs="Courier New"/>
          <w:b/>
        </w:rPr>
        <w:t>1</w:t>
      </w:r>
      <w:r w:rsidRPr="00413798" w:rsidR="003718DA">
        <w:rPr>
          <w:rFonts w:ascii="Calibri" w:hAnsi="Calibri" w:cs="Courier New"/>
        </w:rPr>
        <w:t>)</w:t>
      </w:r>
      <w:r w:rsidRPr="00413798" w:rsidR="00025B0B">
        <w:rPr>
          <w:rFonts w:ascii="Calibri" w:hAnsi="Calibri" w:cs="Courier New"/>
        </w:rPr>
        <w:t>.</w:t>
      </w:r>
      <w:r w:rsidRPr="00413798" w:rsidR="003718DA">
        <w:rPr>
          <w:rFonts w:ascii="Calibri" w:hAnsi="Calibri" w:cs="Courier New"/>
        </w:rPr>
        <w:t xml:space="preserve"> </w:t>
      </w:r>
      <w:r w:rsidRPr="00413798" w:rsidR="00F83D3C">
        <w:rPr>
          <w:rFonts w:ascii="Calibri" w:hAnsi="Calibri" w:cs="Courier New"/>
        </w:rPr>
        <w:t xml:space="preserve">In addition to routine laboratory-based reporting, data managers at each public health laboratory will abstract laboratory results on patients included in the </w:t>
      </w:r>
      <w:r w:rsidRPr="00413798" w:rsidR="00F83D3C">
        <w:rPr>
          <w:rFonts w:ascii="Calibri" w:hAnsi="Calibri" w:cs="Courier New"/>
        </w:rPr>
        <w:lastRenderedPageBreak/>
        <w:t>facility-based data collection</w:t>
      </w:r>
      <w:r w:rsidRPr="00413798" w:rsidR="007A33BC">
        <w:rPr>
          <w:rFonts w:ascii="Calibri" w:hAnsi="Calibri" w:cs="Courier New"/>
        </w:rPr>
        <w:t xml:space="preserve"> and </w:t>
      </w:r>
      <w:r w:rsidR="007A33BC">
        <w:rPr>
          <w:rFonts w:ascii="Calibri" w:hAnsi="Calibri" w:cs="Courier New"/>
        </w:rPr>
        <w:t xml:space="preserve">will </w:t>
      </w:r>
      <w:r w:rsidR="00F83D3C">
        <w:rPr>
          <w:rFonts w:ascii="Calibri" w:hAnsi="Calibri" w:cs="Courier New"/>
        </w:rPr>
        <w:t xml:space="preserve">transmit those data to the </w:t>
      </w:r>
      <w:r w:rsidR="003E04F1">
        <w:rPr>
          <w:rFonts w:ascii="Calibri" w:hAnsi="Calibri" w:cs="Courier New"/>
        </w:rPr>
        <w:t>health department</w:t>
      </w:r>
      <w:r w:rsidR="00F83D3C">
        <w:rPr>
          <w:rFonts w:ascii="Calibri" w:hAnsi="Calibri" w:cs="Courier New"/>
        </w:rPr>
        <w:t xml:space="preserve"> data manager through secure file transfer mechanisms</w:t>
      </w:r>
      <w:r w:rsidR="003718DA">
        <w:rPr>
          <w:rFonts w:ascii="Calibri" w:hAnsi="Calibri" w:cs="Courier New"/>
        </w:rPr>
        <w:t xml:space="preserve"> (see </w:t>
      </w:r>
      <w:r w:rsidRPr="0006130D" w:rsidR="003718DA">
        <w:rPr>
          <w:rFonts w:ascii="Calibri" w:hAnsi="Calibri" w:cs="Courier New"/>
          <w:b/>
        </w:rPr>
        <w:t>Attachment 3C-</w:t>
      </w:r>
      <w:r w:rsidR="00C9770B">
        <w:rPr>
          <w:rFonts w:ascii="Calibri" w:hAnsi="Calibri" w:cs="Courier New"/>
          <w:b/>
        </w:rPr>
        <w:t>2</w:t>
      </w:r>
      <w:r w:rsidR="003718DA">
        <w:rPr>
          <w:rFonts w:ascii="Calibri" w:hAnsi="Calibri" w:cs="Courier New"/>
        </w:rPr>
        <w:t>)</w:t>
      </w:r>
      <w:r w:rsidR="00F83D3C">
        <w:rPr>
          <w:rFonts w:ascii="Calibri" w:hAnsi="Calibri" w:cs="Courier New"/>
        </w:rPr>
        <w:t xml:space="preserve">. </w:t>
      </w:r>
    </w:p>
    <w:p w:rsidR="00F83D3C" w:rsidP="002232F9" w:rsidRDefault="00F83D3C" w14:paraId="4E037F96" w14:textId="77777777">
      <w:pPr>
        <w:rPr>
          <w:rFonts w:ascii="Calibri" w:hAnsi="Calibri" w:cs="Courier New"/>
        </w:rPr>
      </w:pPr>
    </w:p>
    <w:p w:rsidRPr="005A055A" w:rsidR="00F83D3C" w:rsidP="00F83D3C" w:rsidRDefault="003E04F1" w14:paraId="77427E72" w14:textId="3D0562BF">
      <w:pPr>
        <w:rPr>
          <w:rFonts w:ascii="Calibri" w:hAnsi="Calibri" w:cs="Calibri"/>
        </w:rPr>
      </w:pPr>
      <w:r>
        <w:rPr>
          <w:rFonts w:ascii="Calibri" w:hAnsi="Calibri" w:cs="Calibri"/>
        </w:rPr>
        <w:t>Participating health departments</w:t>
      </w:r>
      <w:r w:rsidRPr="005A055A" w:rsidR="00F83D3C">
        <w:rPr>
          <w:rFonts w:ascii="Calibri" w:hAnsi="Calibri" w:cs="Calibri"/>
        </w:rPr>
        <w:t xml:space="preserve"> are encouraged to provide adequate training to investig</w:t>
      </w:r>
      <w:r w:rsidR="00F83D3C">
        <w:rPr>
          <w:rFonts w:ascii="Calibri" w:hAnsi="Calibri" w:cs="Calibri"/>
        </w:rPr>
        <w:t>ators conducting contact with patient laboratory results</w:t>
      </w:r>
      <w:r w:rsidRPr="005A055A" w:rsidR="00F83D3C">
        <w:rPr>
          <w:rFonts w:ascii="Calibri" w:hAnsi="Calibri" w:cs="Calibri"/>
        </w:rPr>
        <w:t xml:space="preserve"> and to address local human subject’s requirements. Locally prepared SAS datasets used for validation and transmission to CDC will not include patients’ names, date of birth, phone number, mailing address or medical record numbers. </w:t>
      </w:r>
      <w:r>
        <w:rPr>
          <w:rFonts w:ascii="Calibri" w:hAnsi="Calibri" w:cs="Calibri"/>
        </w:rPr>
        <w:t>Health department staff will remove identifiers and will assign new numbers to specimens</w:t>
      </w:r>
      <w:r w:rsidR="007D5376">
        <w:rPr>
          <w:rFonts w:ascii="Calibri" w:hAnsi="Calibri" w:cs="Calibri"/>
        </w:rPr>
        <w:t xml:space="preserve"> </w:t>
      </w:r>
      <w:r w:rsidR="00F83D3C">
        <w:rPr>
          <w:rFonts w:ascii="Calibri" w:hAnsi="Calibri" w:cs="Calibri"/>
        </w:rPr>
        <w:t>(specimen ID)</w:t>
      </w:r>
      <w:r w:rsidRPr="005A055A" w:rsidR="00F83D3C">
        <w:rPr>
          <w:rFonts w:ascii="Calibri" w:hAnsi="Calibri" w:cs="Calibri"/>
        </w:rPr>
        <w:t>.</w:t>
      </w:r>
      <w:r w:rsidR="00F83D3C">
        <w:rPr>
          <w:rFonts w:ascii="Calibri" w:hAnsi="Calibri" w:cs="Calibri"/>
        </w:rPr>
        <w:t xml:space="preserve"> This specimen</w:t>
      </w:r>
      <w:r w:rsidRPr="005A055A" w:rsidR="00F83D3C">
        <w:rPr>
          <w:rFonts w:ascii="Calibri" w:hAnsi="Calibri" w:cs="Calibri"/>
        </w:rPr>
        <w:t xml:space="preserve"> ID </w:t>
      </w:r>
      <w:r>
        <w:rPr>
          <w:rFonts w:ascii="Calibri" w:hAnsi="Calibri" w:cs="Calibri"/>
        </w:rPr>
        <w:t>number</w:t>
      </w:r>
      <w:r w:rsidR="007D5376">
        <w:rPr>
          <w:rFonts w:ascii="Calibri" w:hAnsi="Calibri" w:cs="Calibri"/>
        </w:rPr>
        <w:t xml:space="preserve"> </w:t>
      </w:r>
      <w:r w:rsidRPr="005A055A" w:rsidR="00F83D3C">
        <w:rPr>
          <w:rFonts w:ascii="Calibri" w:hAnsi="Calibri" w:cs="Calibri"/>
        </w:rPr>
        <w:t xml:space="preserve">will </w:t>
      </w:r>
      <w:r w:rsidRPr="007D5376" w:rsidR="00F83D3C">
        <w:rPr>
          <w:rFonts w:ascii="Calibri" w:hAnsi="Calibri" w:cs="Calibri"/>
          <w:u w:val="single"/>
        </w:rPr>
        <w:t>not</w:t>
      </w:r>
      <w:r w:rsidRPr="005A055A" w:rsidR="00F83D3C">
        <w:rPr>
          <w:rFonts w:ascii="Calibri" w:hAnsi="Calibri" w:cs="Calibri"/>
        </w:rPr>
        <w:t xml:space="preserve"> contain </w:t>
      </w:r>
      <w:r>
        <w:rPr>
          <w:rFonts w:ascii="Calibri" w:hAnsi="Calibri" w:cs="Calibri"/>
        </w:rPr>
        <w:t>personally identifiable information</w:t>
      </w:r>
      <w:r w:rsidRPr="005A055A" w:rsidR="00F83D3C">
        <w:rPr>
          <w:rFonts w:ascii="Calibri" w:hAnsi="Calibri" w:cs="Calibri"/>
        </w:rPr>
        <w:t xml:space="preserve">, such as parts of a name, social security number, date of birth, or medical record number. </w:t>
      </w:r>
      <w:r w:rsidRPr="00C824AF" w:rsidR="00992004">
        <w:rPr>
          <w:rFonts w:ascii="Calibri" w:hAnsi="Calibri" w:cs="Calibri"/>
        </w:rPr>
        <w:t xml:space="preserve">CDC will only receive the </w:t>
      </w:r>
      <w:r w:rsidR="00992004">
        <w:rPr>
          <w:rFonts w:ascii="Calibri" w:hAnsi="Calibri" w:cs="Calibri"/>
        </w:rPr>
        <w:t>new specimen numbers</w:t>
      </w:r>
      <w:r w:rsidRPr="00C824AF" w:rsidR="00992004">
        <w:rPr>
          <w:rFonts w:ascii="Calibri" w:hAnsi="Calibri" w:cs="Calibri"/>
        </w:rPr>
        <w:t xml:space="preserve"> and will not have the ability to back-convert the </w:t>
      </w:r>
      <w:r w:rsidR="00F83D3C">
        <w:rPr>
          <w:rFonts w:ascii="Calibri" w:hAnsi="Calibri" w:cs="Calibri"/>
        </w:rPr>
        <w:t>specimen</w:t>
      </w:r>
      <w:r w:rsidRPr="005A055A" w:rsidR="00F83D3C">
        <w:rPr>
          <w:rFonts w:ascii="Calibri" w:hAnsi="Calibri" w:cs="Calibri"/>
        </w:rPr>
        <w:t xml:space="preserve"> ID to a medical record number. </w:t>
      </w:r>
      <w:r w:rsidR="00992004">
        <w:rPr>
          <w:rFonts w:ascii="Calibri" w:hAnsi="Calibri" w:cs="Calibri"/>
        </w:rPr>
        <w:t>Health departments</w:t>
      </w:r>
      <w:r w:rsidRPr="005A055A" w:rsidR="00F83D3C">
        <w:rPr>
          <w:rFonts w:ascii="Calibri" w:hAnsi="Calibri" w:cs="Calibri"/>
        </w:rPr>
        <w:t xml:space="preserve"> will send data </w:t>
      </w:r>
      <w:r w:rsidR="00992004">
        <w:rPr>
          <w:rFonts w:ascii="Calibri" w:hAnsi="Calibri" w:cs="Calibri"/>
        </w:rPr>
        <w:t xml:space="preserve">to CDC </w:t>
      </w:r>
      <w:r w:rsidRPr="005A055A" w:rsidR="00F83D3C">
        <w:rPr>
          <w:rFonts w:ascii="Calibri" w:hAnsi="Calibri" w:cs="Calibri"/>
        </w:rPr>
        <w:t>through the secure data network (SAMS), or equivalent, using specified encryption method</w:t>
      </w:r>
      <w:r w:rsidR="00992004">
        <w:rPr>
          <w:rFonts w:ascii="Calibri" w:hAnsi="Calibri" w:cs="Calibri"/>
        </w:rPr>
        <w:t>s</w:t>
      </w:r>
      <w:r w:rsidRPr="005A055A" w:rsidR="00F83D3C">
        <w:rPr>
          <w:rFonts w:ascii="Calibri" w:hAnsi="Calibri" w:cs="Calibri"/>
        </w:rPr>
        <w:t xml:space="preserve">. CDC agrees to accept and securely store these data, </w:t>
      </w:r>
      <w:r w:rsidR="00F83D3C">
        <w:rPr>
          <w:rFonts w:ascii="Calibri" w:hAnsi="Calibri" w:cs="Calibri"/>
        </w:rPr>
        <w:t>accessible only to enhanced SURRG</w:t>
      </w:r>
      <w:r w:rsidRPr="005A055A" w:rsidR="00F83D3C">
        <w:rPr>
          <w:rFonts w:ascii="Calibri" w:hAnsi="Calibri" w:cs="Calibri"/>
        </w:rPr>
        <w:t xml:space="preserve"> project staff.  </w:t>
      </w:r>
      <w:r w:rsidR="00992004">
        <w:rPr>
          <w:rFonts w:ascii="Calibri" w:hAnsi="Calibri" w:cs="Calibri"/>
        </w:rPr>
        <w:t xml:space="preserve">These data </w:t>
      </w:r>
      <w:r w:rsidR="003F49C2">
        <w:rPr>
          <w:rFonts w:ascii="Calibri" w:hAnsi="Calibri" w:cs="Calibri"/>
        </w:rPr>
        <w:t>are</w:t>
      </w:r>
      <w:r w:rsidR="00992004">
        <w:rPr>
          <w:rFonts w:ascii="Calibri" w:hAnsi="Calibri" w:cs="Calibri"/>
        </w:rPr>
        <w:t xml:space="preserve"> combined with facility-based (see above)</w:t>
      </w:r>
      <w:r w:rsidR="005D72BE">
        <w:rPr>
          <w:rFonts w:ascii="Calibri" w:hAnsi="Calibri" w:cs="Calibri"/>
        </w:rPr>
        <w:t xml:space="preserve">, </w:t>
      </w:r>
      <w:r w:rsidR="00992004">
        <w:rPr>
          <w:rFonts w:ascii="Calibri" w:hAnsi="Calibri" w:cs="Calibri"/>
        </w:rPr>
        <w:t>field</w:t>
      </w:r>
      <w:r w:rsidR="00C9770B">
        <w:rPr>
          <w:rFonts w:ascii="Calibri" w:hAnsi="Calibri" w:cs="Calibri"/>
        </w:rPr>
        <w:t xml:space="preserve"> </w:t>
      </w:r>
      <w:r w:rsidR="00992004">
        <w:rPr>
          <w:rFonts w:ascii="Calibri" w:hAnsi="Calibri" w:cs="Calibri"/>
        </w:rPr>
        <w:t>investigation (see below) SURRG data</w:t>
      </w:r>
      <w:bookmarkStart w:name="_Hlk73110419" w:id="1"/>
      <w:r w:rsidR="005D72BE">
        <w:rPr>
          <w:rFonts w:ascii="Calibri" w:hAnsi="Calibri" w:cs="Calibri"/>
        </w:rPr>
        <w:t>, and associated laboratory testing data from the ARLN</w:t>
      </w:r>
      <w:bookmarkEnd w:id="1"/>
      <w:r w:rsidR="00992004">
        <w:rPr>
          <w:rFonts w:ascii="Calibri" w:hAnsi="Calibri" w:cs="Calibri"/>
        </w:rPr>
        <w:t xml:space="preserve">. </w:t>
      </w:r>
      <w:r w:rsidRPr="005A055A" w:rsidR="00F83D3C">
        <w:rPr>
          <w:rFonts w:ascii="Calibri" w:hAnsi="Calibri" w:cs="Calibri"/>
        </w:rPr>
        <w:t xml:space="preserve">SURRG data </w:t>
      </w:r>
      <w:r w:rsidR="003F49C2">
        <w:rPr>
          <w:rFonts w:ascii="Calibri" w:hAnsi="Calibri" w:cs="Calibri"/>
        </w:rPr>
        <w:t xml:space="preserve">are not and </w:t>
      </w:r>
      <w:r w:rsidRPr="005A055A" w:rsidR="00F83D3C">
        <w:rPr>
          <w:rFonts w:ascii="Calibri" w:hAnsi="Calibri" w:cs="Calibri"/>
        </w:rPr>
        <w:t xml:space="preserve">will not be integrated into other datasets maintained by CDC and </w:t>
      </w:r>
      <w:r w:rsidR="003F49C2">
        <w:rPr>
          <w:rFonts w:ascii="Calibri" w:hAnsi="Calibri" w:cs="Calibri"/>
        </w:rPr>
        <w:t xml:space="preserve">are </w:t>
      </w:r>
      <w:r w:rsidRPr="005A055A" w:rsidR="00F83D3C">
        <w:rPr>
          <w:rFonts w:ascii="Calibri" w:hAnsi="Calibri" w:cs="Calibri"/>
        </w:rPr>
        <w:t>stored on secure servers with fully restricted access.</w:t>
      </w:r>
    </w:p>
    <w:p w:rsidR="00F83D3C" w:rsidP="002232F9" w:rsidRDefault="00F83D3C" w14:paraId="4CF9DD44" w14:textId="77777777">
      <w:pPr>
        <w:rPr>
          <w:rFonts w:ascii="Calibri" w:hAnsi="Calibri" w:cs="Courier New"/>
        </w:rPr>
      </w:pPr>
    </w:p>
    <w:p w:rsidRPr="000856F1" w:rsidR="00F83D3C" w:rsidP="002232F9" w:rsidRDefault="00F83D3C" w14:paraId="28AA4B4D" w14:textId="5B2C2CC8">
      <w:pPr>
        <w:rPr>
          <w:rFonts w:ascii="Calibri" w:hAnsi="Calibri" w:cs="Courier New"/>
          <w:b/>
        </w:rPr>
      </w:pPr>
      <w:r w:rsidRPr="000856F1">
        <w:rPr>
          <w:rFonts w:ascii="Calibri" w:hAnsi="Calibri" w:cs="Courier New"/>
          <w:b/>
        </w:rPr>
        <w:t>Field</w:t>
      </w:r>
      <w:r w:rsidR="00C9770B">
        <w:rPr>
          <w:rFonts w:ascii="Calibri" w:hAnsi="Calibri" w:cs="Courier New"/>
          <w:b/>
        </w:rPr>
        <w:t xml:space="preserve"> </w:t>
      </w:r>
      <w:r w:rsidRPr="000856F1">
        <w:rPr>
          <w:rFonts w:ascii="Calibri" w:hAnsi="Calibri" w:cs="Courier New"/>
          <w:b/>
        </w:rPr>
        <w:t>Investigation Data</w:t>
      </w:r>
    </w:p>
    <w:p w:rsidR="00F83D3C" w:rsidP="002232F9" w:rsidRDefault="00F83D3C" w14:paraId="28179B65" w14:textId="77777777">
      <w:pPr>
        <w:rPr>
          <w:rFonts w:ascii="Calibri" w:hAnsi="Calibri" w:cs="Courier New"/>
        </w:rPr>
      </w:pPr>
    </w:p>
    <w:p w:rsidRPr="00B15B48" w:rsidR="00C67F40" w:rsidP="00C67F40" w:rsidRDefault="00954BDF" w14:paraId="19BACEAB" w14:textId="35D7BF2A">
      <w:pPr>
        <w:rPr>
          <w:rFonts w:ascii="Calibri" w:hAnsi="Calibri" w:cs="Courier New"/>
        </w:rPr>
      </w:pPr>
      <w:r>
        <w:rPr>
          <w:rFonts w:ascii="Calibri" w:hAnsi="Calibri" w:cs="Courier New"/>
        </w:rPr>
        <w:t xml:space="preserve">The </w:t>
      </w:r>
      <w:r w:rsidR="00473FBB">
        <w:rPr>
          <w:rFonts w:ascii="Calibri" w:hAnsi="Calibri" w:cs="Courier New"/>
        </w:rPr>
        <w:t>third</w:t>
      </w:r>
      <w:r>
        <w:rPr>
          <w:rFonts w:ascii="Calibri" w:hAnsi="Calibri" w:cs="Courier New"/>
        </w:rPr>
        <w:t xml:space="preserve"> strategy </w:t>
      </w:r>
      <w:r w:rsidR="00C9770B">
        <w:rPr>
          <w:rFonts w:ascii="Calibri" w:hAnsi="Calibri" w:cs="Courier New"/>
        </w:rPr>
        <w:t>i</w:t>
      </w:r>
      <w:r w:rsidR="00A6359A">
        <w:rPr>
          <w:rFonts w:ascii="Calibri" w:hAnsi="Calibri" w:cs="Courier New"/>
        </w:rPr>
        <w:t>nvolve</w:t>
      </w:r>
      <w:r w:rsidR="00C9770B">
        <w:rPr>
          <w:rFonts w:ascii="Calibri" w:hAnsi="Calibri" w:cs="Courier New"/>
        </w:rPr>
        <w:t>s</w:t>
      </w:r>
      <w:r w:rsidR="00A6359A">
        <w:rPr>
          <w:rFonts w:ascii="Calibri" w:hAnsi="Calibri" w:cs="Courier New"/>
        </w:rPr>
        <w:t xml:space="preserve"> local </w:t>
      </w:r>
      <w:r>
        <w:rPr>
          <w:rFonts w:ascii="Calibri" w:hAnsi="Calibri" w:cs="Courier New"/>
        </w:rPr>
        <w:t>collect</w:t>
      </w:r>
      <w:r w:rsidR="00A6359A">
        <w:rPr>
          <w:rFonts w:ascii="Calibri" w:hAnsi="Calibri" w:cs="Courier New"/>
        </w:rPr>
        <w:t>ion of</w:t>
      </w:r>
      <w:r>
        <w:rPr>
          <w:rFonts w:ascii="Calibri" w:hAnsi="Calibri" w:cs="Courier New"/>
        </w:rPr>
        <w:t xml:space="preserve"> field investigation-based gonorrhea data. </w:t>
      </w:r>
      <w:r w:rsidR="00992004">
        <w:rPr>
          <w:rFonts w:ascii="Calibri" w:hAnsi="Calibri" w:cs="Courier New"/>
        </w:rPr>
        <w:t>Consistent with traditional public health field investigations (also called “partner services” or “contact tracing”)</w:t>
      </w:r>
      <w:r w:rsidR="00C9770B">
        <w:rPr>
          <w:rFonts w:ascii="Calibri" w:hAnsi="Calibri" w:cs="Courier New"/>
        </w:rPr>
        <w:t>, p</w:t>
      </w:r>
      <w:r w:rsidR="00992004">
        <w:rPr>
          <w:rFonts w:ascii="Calibri" w:hAnsi="Calibri" w:cs="Courier New"/>
        </w:rPr>
        <w:t>atients</w:t>
      </w:r>
      <w:r>
        <w:rPr>
          <w:rFonts w:ascii="Calibri" w:hAnsi="Calibri" w:cs="Courier New"/>
        </w:rPr>
        <w:t xml:space="preserve"> found to be infected with gonococcal infections </w:t>
      </w:r>
      <w:r w:rsidR="005D72BE">
        <w:rPr>
          <w:rFonts w:ascii="Calibri" w:hAnsi="Calibri" w:cs="Courier New"/>
        </w:rPr>
        <w:t xml:space="preserve">with reduced antibiotic susceptibility </w:t>
      </w:r>
      <w:r>
        <w:rPr>
          <w:rFonts w:ascii="Calibri" w:hAnsi="Calibri" w:cs="Courier New"/>
        </w:rPr>
        <w:t>or other gono</w:t>
      </w:r>
      <w:r w:rsidR="005D72BE">
        <w:rPr>
          <w:rFonts w:ascii="Calibri" w:hAnsi="Calibri" w:cs="Courier New"/>
        </w:rPr>
        <w:t>coccal</w:t>
      </w:r>
      <w:r>
        <w:rPr>
          <w:rFonts w:ascii="Calibri" w:hAnsi="Calibri" w:cs="Courier New"/>
        </w:rPr>
        <w:t xml:space="preserve"> infections of public health significance </w:t>
      </w:r>
      <w:r w:rsidR="00992004">
        <w:rPr>
          <w:rFonts w:ascii="Calibri" w:hAnsi="Calibri" w:cs="Courier New"/>
        </w:rPr>
        <w:t>are</w:t>
      </w:r>
      <w:r>
        <w:rPr>
          <w:rFonts w:ascii="Calibri" w:hAnsi="Calibri" w:cs="Courier New"/>
        </w:rPr>
        <w:t xml:space="preserve"> interviewed by </w:t>
      </w:r>
      <w:r w:rsidR="00992004">
        <w:rPr>
          <w:rFonts w:ascii="Calibri" w:hAnsi="Calibri" w:cs="Courier New"/>
        </w:rPr>
        <w:t xml:space="preserve">specially-trained </w:t>
      </w:r>
      <w:r w:rsidR="00A6359A">
        <w:rPr>
          <w:rFonts w:ascii="Calibri" w:hAnsi="Calibri" w:cs="Courier New"/>
        </w:rPr>
        <w:t xml:space="preserve">local </w:t>
      </w:r>
      <w:r>
        <w:rPr>
          <w:rFonts w:ascii="Calibri" w:hAnsi="Calibri" w:cs="Courier New"/>
        </w:rPr>
        <w:t>health department staff using a standardized interview</w:t>
      </w:r>
      <w:r w:rsidR="00992004">
        <w:rPr>
          <w:rFonts w:ascii="Calibri" w:hAnsi="Calibri" w:cs="Courier New"/>
        </w:rPr>
        <w:t xml:space="preserve">. The interview is done to collect information about the patient’s characteristics and behavior </w:t>
      </w:r>
      <w:r>
        <w:rPr>
          <w:rFonts w:ascii="Calibri" w:hAnsi="Calibri" w:cs="Courier New"/>
        </w:rPr>
        <w:t xml:space="preserve">and to identify recent </w:t>
      </w:r>
      <w:r w:rsidR="00992004">
        <w:rPr>
          <w:rFonts w:ascii="Calibri" w:hAnsi="Calibri" w:cs="Courier New"/>
        </w:rPr>
        <w:t xml:space="preserve">sexual partners. The patient </w:t>
      </w:r>
      <w:r>
        <w:rPr>
          <w:rFonts w:ascii="Calibri" w:hAnsi="Calibri" w:cs="Courier New"/>
        </w:rPr>
        <w:t xml:space="preserve">will be </w:t>
      </w:r>
      <w:r w:rsidR="00992004">
        <w:rPr>
          <w:rFonts w:ascii="Calibri" w:hAnsi="Calibri" w:cs="Courier New"/>
        </w:rPr>
        <w:t>re-</w:t>
      </w:r>
      <w:r>
        <w:rPr>
          <w:rFonts w:ascii="Calibri" w:hAnsi="Calibri" w:cs="Courier New"/>
        </w:rPr>
        <w:t>tested</w:t>
      </w:r>
      <w:r w:rsidR="00EB6B12">
        <w:rPr>
          <w:rFonts w:ascii="Calibri" w:hAnsi="Calibri" w:cs="Courier New"/>
        </w:rPr>
        <w:t xml:space="preserve"> locally</w:t>
      </w:r>
      <w:r>
        <w:rPr>
          <w:rFonts w:ascii="Calibri" w:hAnsi="Calibri" w:cs="Courier New"/>
        </w:rPr>
        <w:t xml:space="preserve"> for gonorrhea to </w:t>
      </w:r>
      <w:r w:rsidR="00992004">
        <w:rPr>
          <w:rFonts w:ascii="Calibri" w:hAnsi="Calibri" w:cs="Courier New"/>
        </w:rPr>
        <w:t xml:space="preserve">make sure </w:t>
      </w:r>
      <w:r>
        <w:rPr>
          <w:rFonts w:ascii="Calibri" w:hAnsi="Calibri" w:cs="Courier New"/>
        </w:rPr>
        <w:t xml:space="preserve">that </w:t>
      </w:r>
      <w:r w:rsidR="00992004">
        <w:rPr>
          <w:rFonts w:ascii="Calibri" w:hAnsi="Calibri" w:cs="Courier New"/>
        </w:rPr>
        <w:t xml:space="preserve">the patient was </w:t>
      </w:r>
      <w:r>
        <w:rPr>
          <w:rFonts w:ascii="Calibri" w:hAnsi="Calibri" w:cs="Courier New"/>
        </w:rPr>
        <w:t xml:space="preserve">cured. </w:t>
      </w:r>
      <w:r w:rsidR="006E0A63">
        <w:rPr>
          <w:rFonts w:ascii="Calibri" w:hAnsi="Calibri" w:cs="Courier New"/>
        </w:rPr>
        <w:t>Sexual partners will be interviewed by specially-trained local health department staff and locally tested for gonorrhea.</w:t>
      </w:r>
      <w:r>
        <w:rPr>
          <w:rFonts w:ascii="Calibri" w:hAnsi="Calibri" w:cs="Courier New"/>
        </w:rPr>
        <w:t xml:space="preserve"> </w:t>
      </w:r>
    </w:p>
    <w:p w:rsidR="00C67F40" w:rsidP="00C67F40" w:rsidRDefault="00C67F40" w14:paraId="2E9723FB"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rPr>
      </w:pPr>
      <w:r w:rsidRPr="00B15B48">
        <w:rPr>
          <w:rFonts w:ascii="Calibri" w:hAnsi="Calibri" w:cs="Courier New"/>
        </w:rPr>
        <w:tab/>
        <w:t xml:space="preserve"> </w:t>
      </w:r>
    </w:p>
    <w:p w:rsidRPr="00413798" w:rsidR="00F83D3C" w:rsidP="00F83D3C" w:rsidRDefault="003511F3" w14:paraId="40C2E597" w14:textId="473ED324">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b/>
        </w:rPr>
      </w:pPr>
      <w:r>
        <w:rPr>
          <w:rFonts w:ascii="Calibri" w:hAnsi="Calibri" w:cs="Courier New"/>
        </w:rPr>
        <w:t>The primary outcome is information addressing epidemiological questions relevant to detection and responding to the threat of antibiotic-resistant gonorrhea.</w:t>
      </w:r>
      <w:r w:rsidR="007460FE">
        <w:rPr>
          <w:rFonts w:ascii="Calibri" w:hAnsi="Calibri" w:cs="Courier New"/>
        </w:rPr>
        <w:t xml:space="preserve"> </w:t>
      </w:r>
      <w:r w:rsidR="00992004">
        <w:rPr>
          <w:rFonts w:ascii="Calibri" w:hAnsi="Calibri" w:cs="Calibri"/>
        </w:rPr>
        <w:t>Participating health departments</w:t>
      </w:r>
      <w:r w:rsidRPr="00C824AF" w:rsidR="007460FE">
        <w:rPr>
          <w:rFonts w:ascii="Calibri" w:hAnsi="Calibri" w:cs="Calibri"/>
        </w:rPr>
        <w:t xml:space="preserve"> </w:t>
      </w:r>
      <w:r w:rsidR="00992004">
        <w:rPr>
          <w:rFonts w:ascii="Calibri" w:hAnsi="Calibri" w:cs="Calibri"/>
        </w:rPr>
        <w:t>have</w:t>
      </w:r>
      <w:r w:rsidRPr="00C824AF" w:rsidR="007460FE">
        <w:rPr>
          <w:rFonts w:ascii="Calibri" w:hAnsi="Calibri" w:cs="Calibri"/>
        </w:rPr>
        <w:t xml:space="preserve"> develop</w:t>
      </w:r>
      <w:r w:rsidR="00992004">
        <w:rPr>
          <w:rFonts w:ascii="Calibri" w:hAnsi="Calibri" w:cs="Calibri"/>
        </w:rPr>
        <w:t>ed</w:t>
      </w:r>
      <w:r w:rsidRPr="00C824AF" w:rsidR="007460FE">
        <w:rPr>
          <w:rFonts w:ascii="Calibri" w:hAnsi="Calibri" w:cs="Calibri"/>
        </w:rPr>
        <w:t xml:space="preserve"> locally</w:t>
      </w:r>
      <w:r w:rsidRPr="00C824AF" w:rsidR="00475C73">
        <w:rPr>
          <w:rFonts w:ascii="Calibri" w:hAnsi="Calibri" w:cs="Calibri"/>
        </w:rPr>
        <w:t>-</w:t>
      </w:r>
      <w:r w:rsidRPr="00C824AF" w:rsidR="007460FE">
        <w:rPr>
          <w:rFonts w:ascii="Calibri" w:hAnsi="Calibri" w:cs="Calibri"/>
        </w:rPr>
        <w:t>focused protocol</w:t>
      </w:r>
      <w:r w:rsidR="00C9770B">
        <w:rPr>
          <w:rFonts w:ascii="Calibri" w:hAnsi="Calibri" w:cs="Calibri"/>
        </w:rPr>
        <w:t>s</w:t>
      </w:r>
      <w:r w:rsidRPr="00C824AF" w:rsidR="007460FE">
        <w:rPr>
          <w:rFonts w:ascii="Calibri" w:hAnsi="Calibri" w:cs="Calibri"/>
        </w:rPr>
        <w:t xml:space="preserve"> and/or data collection instruments, provide comprehensive training to </w:t>
      </w:r>
      <w:r w:rsidR="008A5DBE">
        <w:rPr>
          <w:rFonts w:ascii="Calibri" w:hAnsi="Calibri" w:cs="Calibri"/>
        </w:rPr>
        <w:t xml:space="preserve">the specially-trained </w:t>
      </w:r>
      <w:r w:rsidRPr="00C824AF" w:rsidR="007460FE">
        <w:rPr>
          <w:rFonts w:ascii="Calibri" w:hAnsi="Calibri" w:cs="Calibri"/>
        </w:rPr>
        <w:t xml:space="preserve">local </w:t>
      </w:r>
      <w:r w:rsidR="008A5DBE">
        <w:rPr>
          <w:rFonts w:ascii="Calibri" w:hAnsi="Calibri" w:cs="Calibri"/>
        </w:rPr>
        <w:t xml:space="preserve">health department staff doing the investigations, </w:t>
      </w:r>
      <w:r w:rsidRPr="00C824AF" w:rsidR="007460FE">
        <w:rPr>
          <w:rFonts w:ascii="Calibri" w:hAnsi="Calibri" w:cs="Calibri"/>
        </w:rPr>
        <w:t xml:space="preserve">and address local human subjects requirements. </w:t>
      </w:r>
      <w:r w:rsidR="00873B21">
        <w:rPr>
          <w:rFonts w:ascii="Calibri" w:hAnsi="Calibri"/>
          <w:bCs/>
        </w:rPr>
        <w:t>Participating health departments</w:t>
      </w:r>
      <w:r w:rsidRPr="00A042C9" w:rsidR="007460FE">
        <w:rPr>
          <w:rFonts w:ascii="Calibri" w:hAnsi="Calibri"/>
          <w:bCs/>
        </w:rPr>
        <w:t xml:space="preserve"> address</w:t>
      </w:r>
      <w:r w:rsidR="00873B21">
        <w:rPr>
          <w:rFonts w:ascii="Calibri" w:hAnsi="Calibri"/>
          <w:bCs/>
        </w:rPr>
        <w:t>ed</w:t>
      </w:r>
      <w:r w:rsidRPr="00A042C9" w:rsidR="007460FE">
        <w:rPr>
          <w:rFonts w:ascii="Calibri" w:hAnsi="Calibri"/>
          <w:bCs/>
        </w:rPr>
        <w:t xml:space="preserve"> local human subjects requirements before data collection beg</w:t>
      </w:r>
      <w:r w:rsidR="00873B21">
        <w:rPr>
          <w:rFonts w:ascii="Calibri" w:hAnsi="Calibri"/>
          <w:bCs/>
        </w:rPr>
        <w:t>an</w:t>
      </w:r>
      <w:r w:rsidRPr="00A042C9" w:rsidR="007460FE">
        <w:rPr>
          <w:rFonts w:ascii="Calibri" w:hAnsi="Calibri"/>
          <w:bCs/>
        </w:rPr>
        <w:t xml:space="preserve">. </w:t>
      </w:r>
      <w:r w:rsidRPr="00C824AF" w:rsidR="007460FE">
        <w:rPr>
          <w:rFonts w:ascii="Calibri" w:hAnsi="Calibri" w:cs="Calibri"/>
        </w:rPr>
        <w:t>Where not otherwise formally required, brief verbal informed consent is obtained from patients prior to eliciting information.</w:t>
      </w:r>
      <w:r w:rsidR="007460FE">
        <w:rPr>
          <w:rFonts w:ascii="Calibri" w:hAnsi="Calibri"/>
          <w:bCs/>
        </w:rPr>
        <w:t xml:space="preserve"> </w:t>
      </w:r>
      <w:r w:rsidR="00873B21">
        <w:rPr>
          <w:rFonts w:ascii="Calibri" w:hAnsi="Calibri"/>
          <w:bCs/>
        </w:rPr>
        <w:t>As described previously, d</w:t>
      </w:r>
      <w:r w:rsidRPr="00A042C9" w:rsidR="00F83D3C">
        <w:rPr>
          <w:rFonts w:ascii="Calibri" w:hAnsi="Calibri"/>
          <w:bCs/>
        </w:rPr>
        <w:t xml:space="preserve">ata </w:t>
      </w:r>
      <w:r w:rsidR="00873B21">
        <w:rPr>
          <w:rFonts w:ascii="Calibri" w:hAnsi="Calibri"/>
          <w:bCs/>
        </w:rPr>
        <w:t>are</w:t>
      </w:r>
      <w:r w:rsidRPr="00A042C9" w:rsidR="00F83D3C">
        <w:rPr>
          <w:rFonts w:ascii="Calibri" w:hAnsi="Calibri"/>
          <w:bCs/>
        </w:rPr>
        <w:t xml:space="preserve"> de-id</w:t>
      </w:r>
      <w:r w:rsidR="007460FE">
        <w:rPr>
          <w:rFonts w:ascii="Calibri" w:hAnsi="Calibri"/>
          <w:bCs/>
        </w:rPr>
        <w:t>entified</w:t>
      </w:r>
      <w:r w:rsidR="00873B21">
        <w:rPr>
          <w:rFonts w:ascii="Calibri" w:hAnsi="Calibri"/>
          <w:bCs/>
        </w:rPr>
        <w:t>, re-coded,</w:t>
      </w:r>
      <w:r w:rsidR="007460FE">
        <w:rPr>
          <w:rFonts w:ascii="Calibri" w:hAnsi="Calibri"/>
          <w:bCs/>
        </w:rPr>
        <w:t xml:space="preserve"> and </w:t>
      </w:r>
      <w:r w:rsidR="00AD4CE5">
        <w:rPr>
          <w:rFonts w:ascii="Calibri" w:hAnsi="Calibri"/>
          <w:bCs/>
        </w:rPr>
        <w:t>sent</w:t>
      </w:r>
      <w:r w:rsidR="007460FE">
        <w:rPr>
          <w:rFonts w:ascii="Calibri" w:hAnsi="Calibri"/>
          <w:bCs/>
        </w:rPr>
        <w:t xml:space="preserve"> to CDC</w:t>
      </w:r>
      <w:r w:rsidRPr="00A042C9" w:rsidR="00F83D3C">
        <w:rPr>
          <w:rFonts w:ascii="Calibri" w:hAnsi="Calibri"/>
          <w:bCs/>
        </w:rPr>
        <w:t xml:space="preserve">. </w:t>
      </w:r>
      <w:r w:rsidR="00F83D3C">
        <w:rPr>
          <w:rFonts w:ascii="Calibri" w:hAnsi="Calibri"/>
          <w:bCs/>
        </w:rPr>
        <w:t xml:space="preserve">Data elements </w:t>
      </w:r>
      <w:r w:rsidRPr="00413798" w:rsidR="00F83D3C">
        <w:rPr>
          <w:rFonts w:ascii="Calibri" w:hAnsi="Calibri"/>
          <w:bCs/>
        </w:rPr>
        <w:t xml:space="preserve">are listed in </w:t>
      </w:r>
      <w:r w:rsidRPr="00413798" w:rsidR="00F83D3C">
        <w:rPr>
          <w:rFonts w:ascii="Calibri" w:hAnsi="Calibri"/>
          <w:b/>
          <w:bCs/>
        </w:rPr>
        <w:t xml:space="preserve">Attachment 3D.  </w:t>
      </w:r>
    </w:p>
    <w:p w:rsidR="00F83D3C" w:rsidP="00747004" w:rsidRDefault="00F83D3C" w14:paraId="0FEEA0FC"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rPr>
      </w:pPr>
    </w:p>
    <w:p w:rsidR="00F83D3C" w:rsidP="00747004" w:rsidRDefault="003F49C2" w14:paraId="50A28FD4" w14:textId="610BA23A">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rPr>
      </w:pPr>
      <w:r>
        <w:rPr>
          <w:rFonts w:ascii="Calibri" w:hAnsi="Calibri" w:cs="Calibri"/>
        </w:rPr>
        <w:lastRenderedPageBreak/>
        <w:t xml:space="preserve">As above, local or state health departments will assign new numbers (patient ID) to data records from </w:t>
      </w:r>
      <w:r w:rsidR="007460FE">
        <w:rPr>
          <w:rFonts w:ascii="Calibri" w:hAnsi="Calibri" w:cs="Calibri"/>
        </w:rPr>
        <w:t>interviews</w:t>
      </w:r>
      <w:r w:rsidRPr="007460FE" w:rsidR="007460FE">
        <w:rPr>
          <w:rFonts w:ascii="Calibri" w:hAnsi="Calibri" w:cs="Calibri"/>
        </w:rPr>
        <w:t xml:space="preserve">. </w:t>
      </w:r>
      <w:r>
        <w:rPr>
          <w:rFonts w:ascii="Calibri" w:hAnsi="Calibri" w:cs="Calibri"/>
        </w:rPr>
        <w:t xml:space="preserve">The data that </w:t>
      </w:r>
      <w:r w:rsidRPr="007460FE" w:rsidR="007460FE">
        <w:rPr>
          <w:rFonts w:ascii="Calibri" w:hAnsi="Calibri" w:cs="Calibri"/>
        </w:rPr>
        <w:t>CDC receive</w:t>
      </w:r>
      <w:r>
        <w:rPr>
          <w:rFonts w:ascii="Calibri" w:hAnsi="Calibri" w:cs="Calibri"/>
        </w:rPr>
        <w:t>s only have</w:t>
      </w:r>
      <w:r w:rsidRPr="007460FE" w:rsidR="007460FE">
        <w:rPr>
          <w:rFonts w:ascii="Calibri" w:hAnsi="Calibri" w:cs="Calibri"/>
        </w:rPr>
        <w:t xml:space="preserve"> the </w:t>
      </w:r>
      <w:r>
        <w:rPr>
          <w:rFonts w:ascii="Calibri" w:hAnsi="Calibri" w:cs="Calibri"/>
        </w:rPr>
        <w:t xml:space="preserve">newly assigned numbers. CDC </w:t>
      </w:r>
      <w:r w:rsidRPr="007D5376">
        <w:rPr>
          <w:rFonts w:ascii="Calibri" w:hAnsi="Calibri" w:cs="Calibri"/>
          <w:u w:val="single"/>
        </w:rPr>
        <w:t>does not</w:t>
      </w:r>
      <w:r>
        <w:rPr>
          <w:rFonts w:ascii="Calibri" w:hAnsi="Calibri" w:cs="Calibri"/>
        </w:rPr>
        <w:t xml:space="preserve"> and </w:t>
      </w:r>
      <w:r w:rsidRPr="007D5376">
        <w:rPr>
          <w:rFonts w:ascii="Calibri" w:hAnsi="Calibri" w:cs="Calibri"/>
          <w:u w:val="single"/>
        </w:rPr>
        <w:t xml:space="preserve">will </w:t>
      </w:r>
      <w:r w:rsidRPr="007D5376" w:rsidR="007460FE">
        <w:rPr>
          <w:rFonts w:ascii="Calibri" w:hAnsi="Calibri" w:cs="Calibri"/>
          <w:u w:val="single"/>
        </w:rPr>
        <w:t>not</w:t>
      </w:r>
      <w:r w:rsidRPr="007460FE" w:rsidR="007460FE">
        <w:rPr>
          <w:rFonts w:ascii="Calibri" w:hAnsi="Calibri" w:cs="Calibri"/>
        </w:rPr>
        <w:t xml:space="preserve"> have the ability to back-convert the Patient ID </w:t>
      </w:r>
      <w:r w:rsidR="007460FE">
        <w:rPr>
          <w:rFonts w:ascii="Calibri" w:hAnsi="Calibri" w:cs="Calibri"/>
        </w:rPr>
        <w:t>or other event ID to a medical record number, name, social security number, or date of birth</w:t>
      </w:r>
      <w:r w:rsidRPr="007460FE" w:rsidR="007460FE">
        <w:rPr>
          <w:rFonts w:ascii="Calibri" w:hAnsi="Calibri" w:cs="Calibri"/>
        </w:rPr>
        <w:t xml:space="preserve">. </w:t>
      </w:r>
      <w:r>
        <w:rPr>
          <w:rFonts w:ascii="Calibri" w:hAnsi="Calibri" w:cs="Calibri"/>
        </w:rPr>
        <w:t>Health departments</w:t>
      </w:r>
      <w:r w:rsidRPr="007460FE">
        <w:rPr>
          <w:rFonts w:ascii="Calibri" w:hAnsi="Calibri" w:cs="Calibri"/>
        </w:rPr>
        <w:t xml:space="preserve"> </w:t>
      </w:r>
      <w:r w:rsidRPr="007460FE" w:rsidR="007460FE">
        <w:rPr>
          <w:rFonts w:ascii="Calibri" w:hAnsi="Calibri" w:cs="Calibri"/>
        </w:rPr>
        <w:t>send data through the secure data network (SAMS) or equivalent, using specified encryption methods. CDC accept</w:t>
      </w:r>
      <w:r>
        <w:rPr>
          <w:rFonts w:ascii="Calibri" w:hAnsi="Calibri" w:cs="Calibri"/>
        </w:rPr>
        <w:t>s</w:t>
      </w:r>
      <w:r w:rsidRPr="007460FE" w:rsidR="007460FE">
        <w:rPr>
          <w:rFonts w:ascii="Calibri" w:hAnsi="Calibri" w:cs="Calibri"/>
        </w:rPr>
        <w:t xml:space="preserve"> and securely store</w:t>
      </w:r>
      <w:r>
        <w:rPr>
          <w:rFonts w:ascii="Calibri" w:hAnsi="Calibri" w:cs="Calibri"/>
        </w:rPr>
        <w:t>s</w:t>
      </w:r>
      <w:r w:rsidRPr="007460FE" w:rsidR="007460FE">
        <w:rPr>
          <w:rFonts w:ascii="Calibri" w:hAnsi="Calibri" w:cs="Calibri"/>
        </w:rPr>
        <w:t xml:space="preserve"> these data, accessible only to enhanced S</w:t>
      </w:r>
      <w:r w:rsidR="007460FE">
        <w:rPr>
          <w:rFonts w:ascii="Calibri" w:hAnsi="Calibri" w:cs="Calibri"/>
        </w:rPr>
        <w:t xml:space="preserve">URRG project staff. </w:t>
      </w:r>
      <w:r>
        <w:rPr>
          <w:rFonts w:ascii="Calibri" w:hAnsi="Calibri" w:cs="Calibri"/>
        </w:rPr>
        <w:t>These data are combined with facility-based</w:t>
      </w:r>
      <w:r w:rsidR="005D72BE">
        <w:rPr>
          <w:rFonts w:ascii="Calibri" w:hAnsi="Calibri" w:cs="Calibri"/>
        </w:rPr>
        <w:t xml:space="preserve">, </w:t>
      </w:r>
      <w:r>
        <w:rPr>
          <w:rFonts w:ascii="Calibri" w:hAnsi="Calibri" w:cs="Calibri"/>
        </w:rPr>
        <w:t>laboratory-based (see above)</w:t>
      </w:r>
      <w:r w:rsidR="005D72BE">
        <w:rPr>
          <w:rFonts w:ascii="Calibri" w:hAnsi="Calibri" w:cs="Calibri"/>
        </w:rPr>
        <w:t>, and associated laboratory testing data from the ARLN</w:t>
      </w:r>
      <w:r>
        <w:rPr>
          <w:rFonts w:ascii="Calibri" w:hAnsi="Calibri" w:cs="Calibri"/>
        </w:rPr>
        <w:t xml:space="preserve">. </w:t>
      </w:r>
      <w:r w:rsidRPr="007460FE" w:rsidR="007460FE">
        <w:rPr>
          <w:rFonts w:ascii="Calibri" w:hAnsi="Calibri" w:cs="Calibri"/>
        </w:rPr>
        <w:t xml:space="preserve">SURRG data </w:t>
      </w:r>
      <w:r>
        <w:rPr>
          <w:rFonts w:ascii="Calibri" w:hAnsi="Calibri" w:cs="Calibri"/>
        </w:rPr>
        <w:t>are not</w:t>
      </w:r>
      <w:r w:rsidRPr="007460FE" w:rsidR="007460FE">
        <w:rPr>
          <w:rFonts w:ascii="Calibri" w:hAnsi="Calibri" w:cs="Calibri"/>
        </w:rPr>
        <w:t xml:space="preserve"> integrated into other datasets maintained by CDC and </w:t>
      </w:r>
      <w:r>
        <w:rPr>
          <w:rFonts w:ascii="Calibri" w:hAnsi="Calibri" w:cs="Calibri"/>
        </w:rPr>
        <w:t>are</w:t>
      </w:r>
      <w:r w:rsidRPr="007460FE" w:rsidR="007460FE">
        <w:rPr>
          <w:rFonts w:ascii="Calibri" w:hAnsi="Calibri" w:cs="Calibri"/>
        </w:rPr>
        <w:t xml:space="preserve"> stored on secure servers with fully restricted access</w:t>
      </w:r>
    </w:p>
    <w:p w:rsidR="003511F3" w:rsidRDefault="003511F3" w14:paraId="07749F45"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rPr>
      </w:pPr>
    </w:p>
    <w:p w:rsidR="003511F3" w:rsidRDefault="003511F3" w14:paraId="200ED915"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rPr>
      </w:pPr>
      <w:r>
        <w:rPr>
          <w:rFonts w:ascii="Calibri" w:hAnsi="Calibri" w:cs="Courier New"/>
        </w:rPr>
        <w:t>The proposed data collection with frequency of administration of the strategies will include:</w:t>
      </w:r>
    </w:p>
    <w:p w:rsidR="003511F3" w:rsidRDefault="003511F3" w14:paraId="74AACB40"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rPr>
      </w:pPr>
    </w:p>
    <w:tbl>
      <w:tblPr>
        <w:tblW w:w="86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28"/>
        <w:gridCol w:w="1530"/>
      </w:tblGrid>
      <w:tr w:rsidRPr="00A042C9" w:rsidR="00483309" w:rsidTr="00483309" w14:paraId="3CC178E0" w14:textId="77777777">
        <w:tc>
          <w:tcPr>
            <w:tcW w:w="7128" w:type="dxa"/>
            <w:shd w:val="clear" w:color="auto" w:fill="F2F2F2"/>
          </w:tcPr>
          <w:p w:rsidRPr="00A042C9" w:rsidR="00483309" w:rsidP="00A042C9" w:rsidRDefault="00483309" w14:paraId="5744412C"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b/>
              </w:rPr>
            </w:pPr>
            <w:r w:rsidRPr="00A042C9">
              <w:rPr>
                <w:rFonts w:ascii="Calibri" w:hAnsi="Calibri" w:cs="Courier New"/>
                <w:b/>
              </w:rPr>
              <w:t>Activity</w:t>
            </w:r>
          </w:p>
        </w:tc>
        <w:tc>
          <w:tcPr>
            <w:tcW w:w="1530" w:type="dxa"/>
            <w:shd w:val="clear" w:color="auto" w:fill="F2F2F2"/>
          </w:tcPr>
          <w:p w:rsidRPr="00A042C9" w:rsidR="00483309" w:rsidP="00A042C9" w:rsidRDefault="00483309" w14:paraId="7085169D"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jc w:val="center"/>
              <w:rPr>
                <w:rFonts w:ascii="Calibri" w:hAnsi="Calibri" w:cs="Courier New"/>
                <w:b/>
              </w:rPr>
            </w:pPr>
            <w:r w:rsidRPr="00A042C9">
              <w:rPr>
                <w:rFonts w:ascii="Calibri" w:hAnsi="Calibri" w:cs="Courier New"/>
                <w:b/>
              </w:rPr>
              <w:t>Attachment number</w:t>
            </w:r>
          </w:p>
        </w:tc>
      </w:tr>
      <w:tr w:rsidRPr="00A042C9" w:rsidR="00483309" w:rsidTr="00483309" w14:paraId="1FB0A01E" w14:textId="77777777">
        <w:tc>
          <w:tcPr>
            <w:tcW w:w="7128" w:type="dxa"/>
            <w:shd w:val="clear" w:color="auto" w:fill="D9D9D9"/>
          </w:tcPr>
          <w:p w:rsidRPr="00A042C9" w:rsidR="00483309" w:rsidP="00A042C9" w:rsidRDefault="00483309" w14:paraId="6546FC52"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b/>
              </w:rPr>
            </w:pPr>
            <w:r w:rsidRPr="00A042C9">
              <w:rPr>
                <w:rFonts w:ascii="Calibri" w:hAnsi="Calibri" w:cs="Courier New"/>
                <w:b/>
              </w:rPr>
              <w:t>Facility-based data collection</w:t>
            </w:r>
          </w:p>
        </w:tc>
        <w:tc>
          <w:tcPr>
            <w:tcW w:w="1530" w:type="dxa"/>
            <w:shd w:val="clear" w:color="auto" w:fill="D9D9D9"/>
          </w:tcPr>
          <w:p w:rsidRPr="00A042C9" w:rsidR="00483309" w:rsidP="00A042C9" w:rsidRDefault="00483309" w14:paraId="6F4AB28C"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jc w:val="center"/>
              <w:rPr>
                <w:rFonts w:ascii="Calibri" w:hAnsi="Calibri" w:cs="Courier New"/>
              </w:rPr>
            </w:pPr>
          </w:p>
        </w:tc>
      </w:tr>
      <w:tr w:rsidRPr="00A042C9" w:rsidR="00483309" w:rsidTr="00483309" w14:paraId="565EB16B" w14:textId="77777777">
        <w:tc>
          <w:tcPr>
            <w:tcW w:w="7128" w:type="dxa"/>
            <w:shd w:val="clear" w:color="auto" w:fill="auto"/>
          </w:tcPr>
          <w:p w:rsidRPr="00A042C9" w:rsidR="00483309" w:rsidP="007E676D" w:rsidRDefault="00483309" w14:paraId="55FB7118"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rPr>
            </w:pPr>
            <w:r w:rsidRPr="00A042C9">
              <w:rPr>
                <w:rFonts w:ascii="Calibri" w:hAnsi="Calibri" w:cs="Courier New"/>
              </w:rPr>
              <w:t>Electronic transmission of clinical variables routinely collected as standard of care by facilities or clinical networks of providers (</w:t>
            </w:r>
            <w:r w:rsidRPr="007D5376">
              <w:rPr>
                <w:rFonts w:ascii="Calibri" w:hAnsi="Calibri" w:cs="Courier New"/>
                <w:b/>
                <w:bCs/>
                <w:i/>
                <w:iCs/>
              </w:rPr>
              <w:t>STD clinics</w:t>
            </w:r>
            <w:r w:rsidRPr="00A042C9">
              <w:rPr>
                <w:rFonts w:ascii="Calibri" w:hAnsi="Calibri" w:cs="Courier New"/>
              </w:rPr>
              <w:t>) and housed within the clinic’s medical record system. Electronic transmissions by the site data manager occur once every two months. This activity will occur for three years in clinics participating in SURRG.</w:t>
            </w:r>
          </w:p>
        </w:tc>
        <w:tc>
          <w:tcPr>
            <w:tcW w:w="1530" w:type="dxa"/>
            <w:shd w:val="clear" w:color="auto" w:fill="auto"/>
          </w:tcPr>
          <w:p w:rsidRPr="00420F7D" w:rsidR="00483309" w:rsidP="00A042C9" w:rsidRDefault="00483309" w14:paraId="2A2E8986"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jc w:val="center"/>
              <w:rPr>
                <w:rFonts w:ascii="Calibri" w:hAnsi="Calibri" w:cs="Courier New"/>
              </w:rPr>
            </w:pPr>
            <w:r w:rsidRPr="00420F7D">
              <w:rPr>
                <w:rFonts w:ascii="Calibri" w:hAnsi="Calibri" w:cs="Courier New"/>
              </w:rPr>
              <w:t>3A</w:t>
            </w:r>
          </w:p>
        </w:tc>
      </w:tr>
      <w:tr w:rsidRPr="00A042C9" w:rsidR="00483309" w:rsidTr="00483309" w14:paraId="588CDF85" w14:textId="77777777">
        <w:tc>
          <w:tcPr>
            <w:tcW w:w="7128" w:type="dxa"/>
            <w:shd w:val="clear" w:color="auto" w:fill="auto"/>
          </w:tcPr>
          <w:p w:rsidRPr="00A042C9" w:rsidR="00483309" w:rsidP="007E676D" w:rsidRDefault="00483309" w14:paraId="09C94A9D"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rPr>
            </w:pPr>
            <w:r w:rsidRPr="00A042C9">
              <w:rPr>
                <w:rFonts w:ascii="Calibri" w:hAnsi="Calibri" w:cs="Courier New"/>
              </w:rPr>
              <w:t>Electronic transmission of clinical variables routinely collected as standard of care by facilities or clinical networks of providers (</w:t>
            </w:r>
            <w:r w:rsidRPr="007D5376">
              <w:rPr>
                <w:rFonts w:ascii="Calibri" w:hAnsi="Calibri" w:cs="Courier New"/>
                <w:b/>
                <w:bCs/>
                <w:i/>
                <w:iCs/>
              </w:rPr>
              <w:t>partnering non-STD clinic sites</w:t>
            </w:r>
            <w:r w:rsidRPr="00A042C9">
              <w:rPr>
                <w:rFonts w:ascii="Calibri" w:hAnsi="Calibri" w:cs="Courier New"/>
              </w:rPr>
              <w:t>) and housed within the clinic’s medical record system. Electronic transmissions by the site data manager occur once every two months. This activity will occur for three years in clinics participating in SURRG.</w:t>
            </w:r>
          </w:p>
        </w:tc>
        <w:tc>
          <w:tcPr>
            <w:tcW w:w="1530" w:type="dxa"/>
            <w:shd w:val="clear" w:color="auto" w:fill="auto"/>
          </w:tcPr>
          <w:p w:rsidRPr="00420F7D" w:rsidR="00483309" w:rsidP="00A042C9" w:rsidRDefault="00483309" w14:paraId="0A401C5D"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jc w:val="center"/>
              <w:rPr>
                <w:rFonts w:ascii="Calibri" w:hAnsi="Calibri" w:cs="Courier New"/>
              </w:rPr>
            </w:pPr>
            <w:r w:rsidRPr="00420F7D">
              <w:rPr>
                <w:rFonts w:ascii="Calibri" w:hAnsi="Calibri" w:cs="Courier New"/>
              </w:rPr>
              <w:t>3B</w:t>
            </w:r>
          </w:p>
        </w:tc>
      </w:tr>
      <w:tr w:rsidRPr="00A042C9" w:rsidR="00483309" w:rsidTr="00483309" w14:paraId="56C29BE8" w14:textId="77777777">
        <w:tc>
          <w:tcPr>
            <w:tcW w:w="7128" w:type="dxa"/>
            <w:shd w:val="clear" w:color="auto" w:fill="D9D9D9"/>
          </w:tcPr>
          <w:p w:rsidRPr="00A042C9" w:rsidR="00483309" w:rsidP="00A042C9" w:rsidRDefault="00483309" w14:paraId="2F67D2F3"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b/>
              </w:rPr>
            </w:pPr>
            <w:r w:rsidRPr="00A042C9">
              <w:rPr>
                <w:rFonts w:ascii="Calibri" w:hAnsi="Calibri" w:cs="Courier New"/>
                <w:b/>
              </w:rPr>
              <w:t>Laboratory-based data collection</w:t>
            </w:r>
          </w:p>
        </w:tc>
        <w:tc>
          <w:tcPr>
            <w:tcW w:w="1530" w:type="dxa"/>
            <w:shd w:val="clear" w:color="auto" w:fill="D9D9D9"/>
          </w:tcPr>
          <w:p w:rsidRPr="00420F7D" w:rsidR="00483309" w:rsidP="00A042C9" w:rsidRDefault="00483309" w14:paraId="3D1481C1"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jc w:val="center"/>
              <w:rPr>
                <w:rFonts w:ascii="Calibri" w:hAnsi="Calibri" w:cs="Courier New"/>
              </w:rPr>
            </w:pPr>
          </w:p>
        </w:tc>
      </w:tr>
      <w:tr w:rsidRPr="00A042C9" w:rsidR="00483309" w:rsidTr="00483309" w14:paraId="205F974F" w14:textId="77777777">
        <w:tc>
          <w:tcPr>
            <w:tcW w:w="7128" w:type="dxa"/>
            <w:shd w:val="clear" w:color="auto" w:fill="auto"/>
          </w:tcPr>
          <w:p w:rsidRPr="00A042C9" w:rsidR="00483309" w:rsidP="00A042C9" w:rsidRDefault="00483309" w14:paraId="02E40879"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rPr>
            </w:pPr>
            <w:r w:rsidRPr="00A042C9">
              <w:rPr>
                <w:rFonts w:ascii="Calibri" w:hAnsi="Calibri" w:cs="Courier New"/>
              </w:rPr>
              <w:t xml:space="preserve">Antibiotic susceptibility testing (by Etest) to detect </w:t>
            </w:r>
            <w:r w:rsidR="003F49C2">
              <w:rPr>
                <w:rFonts w:ascii="Calibri" w:hAnsi="Calibri" w:cs="Courier New"/>
              </w:rPr>
              <w:t xml:space="preserve">antibiotic </w:t>
            </w:r>
            <w:r w:rsidRPr="00A042C9">
              <w:rPr>
                <w:rFonts w:ascii="Calibri" w:hAnsi="Calibri" w:cs="Courier New"/>
              </w:rPr>
              <w:t xml:space="preserve">resistance performed by public health laboratory microbiologists at each of the </w:t>
            </w:r>
            <w:r w:rsidR="003F49C2">
              <w:rPr>
                <w:rFonts w:ascii="Calibri" w:hAnsi="Calibri" w:cs="Courier New"/>
              </w:rPr>
              <w:t>participating jurisdictions</w:t>
            </w:r>
            <w:r w:rsidRPr="00A042C9">
              <w:rPr>
                <w:rFonts w:ascii="Calibri" w:hAnsi="Calibri" w:cs="Courier New"/>
              </w:rPr>
              <w:t xml:space="preserve">. Each test takes ~10 minutes and each jurisdiction will conduct </w:t>
            </w:r>
            <w:r w:rsidRPr="007D5376">
              <w:rPr>
                <w:rFonts w:ascii="Calibri" w:hAnsi="Calibri" w:cs="Courier New"/>
              </w:rPr>
              <w:t xml:space="preserve">~700 </w:t>
            </w:r>
            <w:r w:rsidRPr="00A042C9">
              <w:rPr>
                <w:rFonts w:ascii="Calibri" w:hAnsi="Calibri" w:cs="Courier New"/>
              </w:rPr>
              <w:t xml:space="preserve">tests annually. </w:t>
            </w:r>
          </w:p>
        </w:tc>
        <w:tc>
          <w:tcPr>
            <w:tcW w:w="1530" w:type="dxa"/>
            <w:shd w:val="clear" w:color="auto" w:fill="auto"/>
          </w:tcPr>
          <w:p w:rsidRPr="00420F7D" w:rsidR="00483309" w:rsidP="00A042C9" w:rsidRDefault="00483309" w14:paraId="0125C0BC" w14:textId="6A36A3E8">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jc w:val="center"/>
              <w:rPr>
                <w:rFonts w:ascii="Calibri" w:hAnsi="Calibri" w:cs="Courier New"/>
              </w:rPr>
            </w:pPr>
            <w:r w:rsidRPr="00420F7D">
              <w:rPr>
                <w:rFonts w:ascii="Calibri" w:hAnsi="Calibri" w:cs="Courier New"/>
              </w:rPr>
              <w:t>3C</w:t>
            </w:r>
            <w:r w:rsidR="003718DA">
              <w:rPr>
                <w:rFonts w:ascii="Calibri" w:hAnsi="Calibri" w:cs="Courier New"/>
              </w:rPr>
              <w:t>-</w:t>
            </w:r>
            <w:r w:rsidR="000E5C50">
              <w:rPr>
                <w:rFonts w:ascii="Calibri" w:hAnsi="Calibri" w:cs="Courier New"/>
              </w:rPr>
              <w:t>1</w:t>
            </w:r>
          </w:p>
        </w:tc>
      </w:tr>
      <w:tr w:rsidRPr="00A042C9" w:rsidR="00483309" w:rsidTr="00483309" w14:paraId="6633733E" w14:textId="77777777">
        <w:tc>
          <w:tcPr>
            <w:tcW w:w="7128" w:type="dxa"/>
            <w:shd w:val="clear" w:color="auto" w:fill="auto"/>
          </w:tcPr>
          <w:p w:rsidRPr="00A042C9" w:rsidR="00483309" w:rsidP="00A042C9" w:rsidRDefault="00483309" w14:paraId="0E3C8637"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rPr>
            </w:pPr>
            <w:r w:rsidRPr="00A042C9">
              <w:rPr>
                <w:rFonts w:ascii="Calibri" w:hAnsi="Calibri" w:cs="Courier New"/>
              </w:rPr>
              <w:t>Public health laboratory data managers will transmit testing results</w:t>
            </w:r>
            <w:r w:rsidR="003718DA">
              <w:rPr>
                <w:rFonts w:ascii="Calibri" w:hAnsi="Calibri" w:cs="Courier New"/>
              </w:rPr>
              <w:t xml:space="preserve"> and additional associated data</w:t>
            </w:r>
            <w:r w:rsidRPr="00A042C9">
              <w:rPr>
                <w:rFonts w:ascii="Calibri" w:hAnsi="Calibri" w:cs="Courier New"/>
              </w:rPr>
              <w:t xml:space="preserve"> to the site data manager for merging with facility-based data</w:t>
            </w:r>
          </w:p>
        </w:tc>
        <w:tc>
          <w:tcPr>
            <w:tcW w:w="1530" w:type="dxa"/>
            <w:shd w:val="clear" w:color="auto" w:fill="auto"/>
          </w:tcPr>
          <w:p w:rsidRPr="00420F7D" w:rsidR="00483309" w:rsidP="00A042C9" w:rsidRDefault="00483309" w14:paraId="42F5AE7B" w14:textId="4D3AF0EB">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jc w:val="center"/>
              <w:rPr>
                <w:rFonts w:ascii="Calibri" w:hAnsi="Calibri" w:cs="Courier New"/>
              </w:rPr>
            </w:pPr>
            <w:r w:rsidRPr="00420F7D">
              <w:rPr>
                <w:rFonts w:ascii="Calibri" w:hAnsi="Calibri" w:cs="Courier New"/>
              </w:rPr>
              <w:t>3C</w:t>
            </w:r>
            <w:r w:rsidR="003718DA">
              <w:rPr>
                <w:rFonts w:ascii="Calibri" w:hAnsi="Calibri" w:cs="Courier New"/>
              </w:rPr>
              <w:t>-</w:t>
            </w:r>
            <w:r w:rsidR="000E5C50">
              <w:rPr>
                <w:rFonts w:ascii="Calibri" w:hAnsi="Calibri" w:cs="Courier New"/>
              </w:rPr>
              <w:t>2</w:t>
            </w:r>
          </w:p>
        </w:tc>
      </w:tr>
      <w:tr w:rsidRPr="00A042C9" w:rsidR="00483309" w:rsidTr="00483309" w14:paraId="273F72A6" w14:textId="77777777">
        <w:tc>
          <w:tcPr>
            <w:tcW w:w="7128" w:type="dxa"/>
            <w:shd w:val="clear" w:color="auto" w:fill="D9D9D9"/>
          </w:tcPr>
          <w:p w:rsidRPr="00A042C9" w:rsidR="00483309" w:rsidP="00A042C9" w:rsidRDefault="00483309" w14:paraId="5ED90FDA"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b/>
              </w:rPr>
            </w:pPr>
            <w:r w:rsidRPr="00A042C9">
              <w:rPr>
                <w:rFonts w:ascii="Calibri" w:hAnsi="Calibri" w:cs="Courier New"/>
                <w:b/>
              </w:rPr>
              <w:t>Field investigation-based data collection</w:t>
            </w:r>
          </w:p>
        </w:tc>
        <w:tc>
          <w:tcPr>
            <w:tcW w:w="1530" w:type="dxa"/>
            <w:shd w:val="clear" w:color="auto" w:fill="D9D9D9"/>
          </w:tcPr>
          <w:p w:rsidRPr="00420F7D" w:rsidR="00483309" w:rsidP="00A042C9" w:rsidRDefault="00483309" w14:paraId="4842017A"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jc w:val="center"/>
              <w:rPr>
                <w:rFonts w:ascii="Calibri" w:hAnsi="Calibri" w:cs="Courier New"/>
              </w:rPr>
            </w:pPr>
          </w:p>
        </w:tc>
      </w:tr>
      <w:tr w:rsidRPr="00A042C9" w:rsidR="00483309" w:rsidTr="00483309" w14:paraId="49C56D8A" w14:textId="77777777">
        <w:tc>
          <w:tcPr>
            <w:tcW w:w="7128" w:type="dxa"/>
            <w:shd w:val="clear" w:color="auto" w:fill="auto"/>
          </w:tcPr>
          <w:p w:rsidRPr="00A042C9" w:rsidR="00483309" w:rsidP="00A042C9" w:rsidRDefault="00483309" w14:paraId="481E0F2A"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rPr>
            </w:pPr>
            <w:r w:rsidRPr="00A042C9">
              <w:rPr>
                <w:rFonts w:ascii="Calibri" w:hAnsi="Calibri" w:cs="Courier New"/>
              </w:rPr>
              <w:t xml:space="preserve">Interviews to obtain behavioral and demographic information </w:t>
            </w:r>
            <w:r w:rsidR="003B1D77">
              <w:rPr>
                <w:rFonts w:ascii="Calibri" w:hAnsi="Calibri" w:cs="Courier New"/>
              </w:rPr>
              <w:t>from patients with</w:t>
            </w:r>
            <w:r w:rsidRPr="00A042C9" w:rsidR="003B1D77">
              <w:rPr>
                <w:rFonts w:ascii="Calibri" w:hAnsi="Calibri" w:cs="Courier New"/>
              </w:rPr>
              <w:t xml:space="preserve"> </w:t>
            </w:r>
            <w:r w:rsidRPr="00A042C9">
              <w:rPr>
                <w:rFonts w:ascii="Calibri" w:hAnsi="Calibri" w:cs="Courier New"/>
              </w:rPr>
              <w:t xml:space="preserve">gonorrhea and their recent contacts. This activity will occur for three years in state/local health departments participating in SURRG. Electronic transmission of data to CDC will occur once every 2 months. </w:t>
            </w:r>
          </w:p>
        </w:tc>
        <w:tc>
          <w:tcPr>
            <w:tcW w:w="1530" w:type="dxa"/>
            <w:shd w:val="clear" w:color="auto" w:fill="auto"/>
          </w:tcPr>
          <w:p w:rsidRPr="00420F7D" w:rsidR="00483309" w:rsidP="00A042C9" w:rsidRDefault="00483309" w14:paraId="44389553"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jc w:val="center"/>
              <w:rPr>
                <w:rFonts w:ascii="Calibri" w:hAnsi="Calibri" w:cs="Courier New"/>
              </w:rPr>
            </w:pPr>
            <w:r w:rsidRPr="00420F7D">
              <w:rPr>
                <w:rFonts w:ascii="Calibri" w:hAnsi="Calibri" w:cs="Courier New"/>
              </w:rPr>
              <w:t>3D</w:t>
            </w:r>
          </w:p>
        </w:tc>
      </w:tr>
    </w:tbl>
    <w:p w:rsidRPr="002232F9" w:rsidR="003511F3" w:rsidRDefault="003511F3" w14:paraId="36081F8D"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rPr>
      </w:pPr>
    </w:p>
    <w:p w:rsidRPr="00A042C9" w:rsidR="00D908A7" w:rsidRDefault="00D908A7" w14:paraId="70AF2495"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rPr>
      </w:pPr>
    </w:p>
    <w:p w:rsidRPr="00C824AF" w:rsidR="003B1D77" w:rsidP="003B1D77" w:rsidRDefault="003B1D77" w14:paraId="0A1B6975" w14:textId="77777777">
      <w:pPr>
        <w:rPr>
          <w:rFonts w:ascii="Calibri" w:hAnsi="Calibri" w:cs="Calibri"/>
        </w:rPr>
      </w:pPr>
      <w:r w:rsidRPr="00C824AF">
        <w:rPr>
          <w:rFonts w:ascii="Calibri" w:hAnsi="Calibri" w:cs="Calibri"/>
        </w:rPr>
        <w:t xml:space="preserve">Funded </w:t>
      </w:r>
      <w:r>
        <w:rPr>
          <w:rFonts w:ascii="Calibri" w:hAnsi="Calibri" w:cs="Calibri"/>
        </w:rPr>
        <w:t>health departments</w:t>
      </w:r>
      <w:r w:rsidRPr="00C824AF">
        <w:rPr>
          <w:rFonts w:ascii="Calibri" w:hAnsi="Calibri" w:cs="Calibri"/>
        </w:rPr>
        <w:t xml:space="preserve"> are </w:t>
      </w:r>
      <w:r>
        <w:rPr>
          <w:rFonts w:ascii="Calibri" w:hAnsi="Calibri" w:cs="Calibri"/>
        </w:rPr>
        <w:t>required</w:t>
      </w:r>
      <w:r w:rsidRPr="00C824AF">
        <w:rPr>
          <w:rFonts w:ascii="Calibri" w:hAnsi="Calibri" w:cs="Calibri"/>
        </w:rPr>
        <w:t xml:space="preserve"> to maintain rigorous procedures to assure the quality and validity of data before submitting to CDC. In collaboration with data managers in each jurisdiction, CDC </w:t>
      </w:r>
      <w:r>
        <w:rPr>
          <w:rFonts w:ascii="Calibri" w:hAnsi="Calibri" w:cs="Calibri"/>
        </w:rPr>
        <w:t xml:space="preserve">has </w:t>
      </w:r>
      <w:r w:rsidRPr="00C824AF">
        <w:rPr>
          <w:rFonts w:ascii="Calibri" w:hAnsi="Calibri" w:cs="Calibri"/>
        </w:rPr>
        <w:t>prepare</w:t>
      </w:r>
      <w:r>
        <w:rPr>
          <w:rFonts w:ascii="Calibri" w:hAnsi="Calibri" w:cs="Calibri"/>
        </w:rPr>
        <w:t>d</w:t>
      </w:r>
      <w:r w:rsidRPr="00C824AF">
        <w:rPr>
          <w:rFonts w:ascii="Calibri" w:hAnsi="Calibri" w:cs="Calibri"/>
        </w:rPr>
        <w:t xml:space="preserve"> syntax for data validation that </w:t>
      </w:r>
      <w:r>
        <w:rPr>
          <w:rFonts w:ascii="Calibri" w:hAnsi="Calibri" w:cs="Calibri"/>
        </w:rPr>
        <w:t xml:space="preserve">were </w:t>
      </w:r>
      <w:r w:rsidRPr="00C824AF">
        <w:rPr>
          <w:rFonts w:ascii="Calibri" w:hAnsi="Calibri" w:cs="Calibri"/>
        </w:rPr>
        <w:t>provide</w:t>
      </w:r>
      <w:r>
        <w:rPr>
          <w:rFonts w:ascii="Calibri" w:hAnsi="Calibri" w:cs="Calibri"/>
        </w:rPr>
        <w:t>d</w:t>
      </w:r>
      <w:r w:rsidRPr="00C824AF">
        <w:rPr>
          <w:rFonts w:ascii="Calibri" w:hAnsi="Calibri" w:cs="Calibri"/>
        </w:rPr>
        <w:t xml:space="preserve"> for appropriate quality assurance. Locally prepared SAS datasets used for validation and transmission to CDC </w:t>
      </w:r>
      <w:r w:rsidRPr="001F46D8">
        <w:rPr>
          <w:rFonts w:ascii="Calibri" w:hAnsi="Calibri" w:cs="Calibri"/>
          <w:u w:val="single"/>
        </w:rPr>
        <w:t>do not</w:t>
      </w:r>
      <w:r>
        <w:rPr>
          <w:rFonts w:ascii="Calibri" w:hAnsi="Calibri" w:cs="Calibri"/>
        </w:rPr>
        <w:t xml:space="preserve"> and </w:t>
      </w:r>
      <w:r w:rsidRPr="001F46D8">
        <w:rPr>
          <w:rFonts w:ascii="Calibri" w:hAnsi="Calibri" w:cs="Calibri"/>
          <w:u w:val="single"/>
        </w:rPr>
        <w:t>will not</w:t>
      </w:r>
      <w:r w:rsidRPr="00C824AF">
        <w:rPr>
          <w:rFonts w:ascii="Calibri" w:hAnsi="Calibri" w:cs="Calibri"/>
        </w:rPr>
        <w:t xml:space="preserve"> include patients’ names, date of birth, phone number, mailing </w:t>
      </w:r>
      <w:r>
        <w:rPr>
          <w:rFonts w:ascii="Calibri" w:hAnsi="Calibri" w:cs="Calibri"/>
        </w:rPr>
        <w:t xml:space="preserve">or work </w:t>
      </w:r>
      <w:r w:rsidRPr="00C824AF">
        <w:rPr>
          <w:rFonts w:ascii="Calibri" w:hAnsi="Calibri" w:cs="Calibri"/>
        </w:rPr>
        <w:t>address</w:t>
      </w:r>
      <w:r>
        <w:rPr>
          <w:rFonts w:ascii="Calibri" w:hAnsi="Calibri" w:cs="Calibri"/>
        </w:rPr>
        <w:t>es,</w:t>
      </w:r>
      <w:r w:rsidRPr="00C824AF">
        <w:rPr>
          <w:rFonts w:ascii="Calibri" w:hAnsi="Calibri" w:cs="Calibri"/>
        </w:rPr>
        <w:t xml:space="preserve"> or medical record numbers. </w:t>
      </w:r>
      <w:r>
        <w:rPr>
          <w:rFonts w:ascii="Calibri" w:hAnsi="Calibri" w:cs="Calibri"/>
        </w:rPr>
        <w:t>All records</w:t>
      </w:r>
      <w:r w:rsidRPr="00C824AF">
        <w:rPr>
          <w:rFonts w:ascii="Calibri" w:hAnsi="Calibri" w:cs="Calibri"/>
        </w:rPr>
        <w:t xml:space="preserve"> will be assigned (by the local or state health department) a</w:t>
      </w:r>
      <w:r>
        <w:rPr>
          <w:rFonts w:ascii="Calibri" w:hAnsi="Calibri" w:cs="Calibri"/>
        </w:rPr>
        <w:t xml:space="preserve"> new</w:t>
      </w:r>
      <w:r w:rsidRPr="00C824AF">
        <w:rPr>
          <w:rFonts w:ascii="Calibri" w:hAnsi="Calibri" w:cs="Calibri"/>
        </w:rPr>
        <w:t xml:space="preserve"> patient </w:t>
      </w:r>
      <w:r>
        <w:rPr>
          <w:rFonts w:ascii="Calibri" w:hAnsi="Calibri" w:cs="Calibri"/>
        </w:rPr>
        <w:t>number</w:t>
      </w:r>
      <w:r w:rsidRPr="00C824AF">
        <w:rPr>
          <w:rFonts w:ascii="Calibri" w:hAnsi="Calibri" w:cs="Calibri"/>
        </w:rPr>
        <w:t xml:space="preserve"> (patient ID) and a </w:t>
      </w:r>
      <w:r>
        <w:rPr>
          <w:rFonts w:ascii="Calibri" w:hAnsi="Calibri" w:cs="Calibri"/>
        </w:rPr>
        <w:t xml:space="preserve">new </w:t>
      </w:r>
      <w:r w:rsidRPr="00C824AF">
        <w:rPr>
          <w:rFonts w:ascii="Calibri" w:hAnsi="Calibri" w:cs="Calibri"/>
        </w:rPr>
        <w:t>event number for each visit</w:t>
      </w:r>
      <w:r>
        <w:rPr>
          <w:rFonts w:ascii="Calibri" w:hAnsi="Calibri" w:cs="Calibri"/>
        </w:rPr>
        <w:t xml:space="preserve"> (event ID)</w:t>
      </w:r>
      <w:r w:rsidRPr="00C824AF">
        <w:rPr>
          <w:rFonts w:ascii="Calibri" w:hAnsi="Calibri" w:cs="Calibri"/>
        </w:rPr>
        <w:t>. CDC receive</w:t>
      </w:r>
      <w:r>
        <w:rPr>
          <w:rFonts w:ascii="Calibri" w:hAnsi="Calibri" w:cs="Calibri"/>
        </w:rPr>
        <w:t>s</w:t>
      </w:r>
      <w:r w:rsidRPr="00C824AF">
        <w:rPr>
          <w:rFonts w:ascii="Calibri" w:hAnsi="Calibri" w:cs="Calibri"/>
        </w:rPr>
        <w:t xml:space="preserve"> </w:t>
      </w:r>
      <w:r>
        <w:rPr>
          <w:rFonts w:ascii="Calibri" w:hAnsi="Calibri" w:cs="Calibri"/>
        </w:rPr>
        <w:t xml:space="preserve">only </w:t>
      </w:r>
      <w:r w:rsidRPr="00C824AF">
        <w:rPr>
          <w:rFonts w:ascii="Calibri" w:hAnsi="Calibri" w:cs="Calibri"/>
        </w:rPr>
        <w:t xml:space="preserve">the </w:t>
      </w:r>
      <w:r>
        <w:rPr>
          <w:rFonts w:ascii="Calibri" w:hAnsi="Calibri" w:cs="Calibri"/>
        </w:rPr>
        <w:t>new de-identified patient and event numbers and does</w:t>
      </w:r>
      <w:r w:rsidRPr="00C824AF">
        <w:rPr>
          <w:rFonts w:ascii="Calibri" w:hAnsi="Calibri" w:cs="Calibri"/>
        </w:rPr>
        <w:t xml:space="preserve"> not have the ability to</w:t>
      </w:r>
      <w:r>
        <w:rPr>
          <w:rFonts w:ascii="Calibri" w:hAnsi="Calibri" w:cs="Calibri"/>
        </w:rPr>
        <w:t xml:space="preserve"> link these assigned numbers to medical record numbers or other personally identifiable information; CDC lacks the ability</w:t>
      </w:r>
      <w:r w:rsidRPr="00C824AF">
        <w:rPr>
          <w:rFonts w:ascii="Calibri" w:hAnsi="Calibri" w:cs="Calibri"/>
        </w:rPr>
        <w:t xml:space="preserve"> back-convert the </w:t>
      </w:r>
      <w:r>
        <w:rPr>
          <w:rFonts w:ascii="Calibri" w:hAnsi="Calibri" w:cs="Calibri"/>
        </w:rPr>
        <w:t>p</w:t>
      </w:r>
      <w:r w:rsidRPr="00C824AF">
        <w:rPr>
          <w:rFonts w:ascii="Calibri" w:hAnsi="Calibri" w:cs="Calibri"/>
        </w:rPr>
        <w:t xml:space="preserve">atient ID to a medical record number. </w:t>
      </w:r>
      <w:r>
        <w:rPr>
          <w:rFonts w:ascii="Calibri" w:hAnsi="Calibri" w:cs="Calibri"/>
        </w:rPr>
        <w:t>Funded health departments</w:t>
      </w:r>
      <w:r w:rsidRPr="00C824AF">
        <w:rPr>
          <w:rFonts w:ascii="Calibri" w:hAnsi="Calibri" w:cs="Calibri"/>
        </w:rPr>
        <w:t xml:space="preserve"> send data</w:t>
      </w:r>
      <w:r>
        <w:rPr>
          <w:rFonts w:ascii="Calibri" w:hAnsi="Calibri" w:cs="Calibri"/>
        </w:rPr>
        <w:t xml:space="preserve"> to CDC</w:t>
      </w:r>
      <w:r w:rsidRPr="00C824AF">
        <w:rPr>
          <w:rFonts w:ascii="Calibri" w:hAnsi="Calibri" w:cs="Calibri"/>
        </w:rPr>
        <w:t xml:space="preserve"> through the secure data network (SAMS), or equivalent, using specified encryption methods. CDC accept</w:t>
      </w:r>
      <w:r>
        <w:rPr>
          <w:rFonts w:ascii="Calibri" w:hAnsi="Calibri" w:cs="Calibri"/>
        </w:rPr>
        <w:t>s</w:t>
      </w:r>
      <w:r w:rsidRPr="00C824AF">
        <w:rPr>
          <w:rFonts w:ascii="Calibri" w:hAnsi="Calibri" w:cs="Calibri"/>
        </w:rPr>
        <w:t xml:space="preserve"> and securely store</w:t>
      </w:r>
      <w:r>
        <w:rPr>
          <w:rFonts w:ascii="Calibri" w:hAnsi="Calibri" w:cs="Calibri"/>
        </w:rPr>
        <w:t>s</w:t>
      </w:r>
      <w:r w:rsidRPr="00C824AF">
        <w:rPr>
          <w:rFonts w:ascii="Calibri" w:hAnsi="Calibri" w:cs="Calibri"/>
        </w:rPr>
        <w:t xml:space="preserve"> these data, accessible only to enhanced SURRG project staff.</w:t>
      </w:r>
      <w:r>
        <w:rPr>
          <w:rFonts w:ascii="Calibri" w:hAnsi="Calibri" w:cs="Calibri"/>
        </w:rPr>
        <w:t xml:space="preserve"> </w:t>
      </w:r>
      <w:r w:rsidRPr="00C824AF">
        <w:rPr>
          <w:rFonts w:ascii="Calibri" w:hAnsi="Calibri" w:cs="Calibri"/>
        </w:rPr>
        <w:t xml:space="preserve">SURRG data </w:t>
      </w:r>
      <w:r>
        <w:rPr>
          <w:rFonts w:ascii="Calibri" w:hAnsi="Calibri" w:cs="Calibri"/>
        </w:rPr>
        <w:t xml:space="preserve">are </w:t>
      </w:r>
      <w:r w:rsidRPr="00C824AF">
        <w:rPr>
          <w:rFonts w:ascii="Calibri" w:hAnsi="Calibri" w:cs="Calibri"/>
        </w:rPr>
        <w:t>stored on secure servers with fully restricted access.</w:t>
      </w:r>
    </w:p>
    <w:p w:rsidR="003B1D77" w:rsidP="00C904AA" w:rsidRDefault="003B1D77" w14:paraId="58A974C2" w14:textId="77777777">
      <w:pPr>
        <w:rPr>
          <w:rFonts w:ascii="Calibri" w:hAnsi="Calibri" w:cs="Courier New"/>
          <w:vertAlign w:val="superscript"/>
        </w:rPr>
      </w:pPr>
    </w:p>
    <w:p w:rsidRPr="00B15B48" w:rsidR="009375DC" w:rsidRDefault="009375DC" w14:paraId="77F12CB6"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vertAlign w:val="superscript"/>
        </w:rPr>
      </w:pPr>
    </w:p>
    <w:p w:rsidR="00491AD5" w:rsidP="00491AD5" w:rsidRDefault="00E81E5D" w14:paraId="7A4D3414" w14:textId="77777777">
      <w:pPr>
        <w:rPr>
          <w:rFonts w:ascii="Calibri" w:hAnsi="Calibri" w:cs="Courier New"/>
          <w:b/>
        </w:rPr>
      </w:pPr>
      <w:r w:rsidRPr="00B15B48">
        <w:rPr>
          <w:rFonts w:ascii="Calibri" w:hAnsi="Calibri" w:cs="Courier New"/>
          <w:b/>
        </w:rPr>
        <w:t xml:space="preserve">3. Use of Improved Information Technology and Burden Reduction </w:t>
      </w:r>
    </w:p>
    <w:p w:rsidRPr="002657BF" w:rsidR="00C904AA" w:rsidP="00491AD5" w:rsidRDefault="00C904AA" w14:paraId="7ED3EE1B" w14:textId="77777777">
      <w:pPr>
        <w:rPr>
          <w:rFonts w:ascii="Calibri" w:hAnsi="Calibri"/>
          <w:i/>
        </w:rPr>
      </w:pPr>
    </w:p>
    <w:p w:rsidRPr="002657BF" w:rsidR="00C904AA" w:rsidP="00C904AA" w:rsidRDefault="00C904AA" w14:paraId="236271FA" w14:textId="165B631D">
      <w:pPr>
        <w:rPr>
          <w:rFonts w:ascii="Calibri" w:hAnsi="Calibri"/>
        </w:rPr>
      </w:pPr>
      <w:r w:rsidRPr="002657BF">
        <w:rPr>
          <w:rFonts w:ascii="Calibri" w:hAnsi="Calibri"/>
        </w:rPr>
        <w:t>CDC</w:t>
      </w:r>
      <w:r w:rsidR="003B1D77">
        <w:rPr>
          <w:rFonts w:ascii="Calibri" w:hAnsi="Calibri"/>
        </w:rPr>
        <w:t xml:space="preserve"> </w:t>
      </w:r>
      <w:r w:rsidRPr="002657BF">
        <w:rPr>
          <w:rFonts w:ascii="Calibri" w:hAnsi="Calibri"/>
        </w:rPr>
        <w:t>provide</w:t>
      </w:r>
      <w:r w:rsidR="00312842">
        <w:rPr>
          <w:rFonts w:ascii="Calibri" w:hAnsi="Calibri"/>
        </w:rPr>
        <w:t>s</w:t>
      </w:r>
      <w:r w:rsidRPr="002657BF">
        <w:rPr>
          <w:rFonts w:ascii="Calibri" w:hAnsi="Calibri"/>
        </w:rPr>
        <w:t xml:space="preserve"> </w:t>
      </w:r>
      <w:r w:rsidR="00740FE1">
        <w:rPr>
          <w:rFonts w:ascii="Calibri" w:hAnsi="Calibri"/>
        </w:rPr>
        <w:t xml:space="preserve">sites with </w:t>
      </w:r>
      <w:r w:rsidRPr="002657BF">
        <w:rPr>
          <w:rFonts w:ascii="Calibri" w:hAnsi="Calibri"/>
        </w:rPr>
        <w:t xml:space="preserve">standardized SAS data structures with variable names, lengths and types defined for all requested datasets. </w:t>
      </w:r>
      <w:r w:rsidRPr="002657BF" w:rsidR="00491AD5">
        <w:rPr>
          <w:rFonts w:ascii="Calibri" w:hAnsi="Calibri"/>
        </w:rPr>
        <w:t xml:space="preserve">Data </w:t>
      </w:r>
      <w:r w:rsidR="003B1D77">
        <w:rPr>
          <w:rFonts w:ascii="Calibri" w:hAnsi="Calibri"/>
        </w:rPr>
        <w:t>are</w:t>
      </w:r>
      <w:r w:rsidRPr="002657BF" w:rsidR="00491AD5">
        <w:rPr>
          <w:rFonts w:ascii="Calibri" w:hAnsi="Calibri"/>
        </w:rPr>
        <w:t xml:space="preserve"> abstracted </w:t>
      </w:r>
      <w:r w:rsidR="00740FE1">
        <w:rPr>
          <w:rFonts w:ascii="Calibri" w:hAnsi="Calibri"/>
        </w:rPr>
        <w:t xml:space="preserve">by local </w:t>
      </w:r>
      <w:r w:rsidR="003B1D77">
        <w:rPr>
          <w:rFonts w:ascii="Calibri" w:hAnsi="Calibri"/>
        </w:rPr>
        <w:t xml:space="preserve">health departments </w:t>
      </w:r>
      <w:r w:rsidRPr="002657BF" w:rsidR="00491AD5">
        <w:rPr>
          <w:rFonts w:ascii="Calibri" w:hAnsi="Calibri"/>
        </w:rPr>
        <w:t xml:space="preserve">from pre-existing electronic medical records in collaborating clinical facilities. </w:t>
      </w:r>
      <w:r w:rsidR="003B1D77">
        <w:rPr>
          <w:rFonts w:ascii="Calibri" w:hAnsi="Calibri"/>
        </w:rPr>
        <w:t xml:space="preserve">The health departments </w:t>
      </w:r>
      <w:r w:rsidRPr="002657BF">
        <w:rPr>
          <w:rFonts w:ascii="Calibri" w:hAnsi="Calibri"/>
        </w:rPr>
        <w:t xml:space="preserve">complete data verification and validity checks on datasets prior to transmission to CDC. In collaboration with </w:t>
      </w:r>
      <w:r w:rsidR="00351171">
        <w:rPr>
          <w:rFonts w:ascii="Calibri" w:hAnsi="Calibri"/>
        </w:rPr>
        <w:t>data managers</w:t>
      </w:r>
      <w:r w:rsidRPr="002657BF">
        <w:rPr>
          <w:rFonts w:ascii="Calibri" w:hAnsi="Calibri"/>
        </w:rPr>
        <w:t xml:space="preserve"> in each </w:t>
      </w:r>
      <w:r w:rsidR="003B1D77">
        <w:rPr>
          <w:rFonts w:ascii="Calibri" w:hAnsi="Calibri"/>
        </w:rPr>
        <w:t>health department</w:t>
      </w:r>
      <w:r w:rsidRPr="002657BF">
        <w:rPr>
          <w:rFonts w:ascii="Calibri" w:hAnsi="Calibri"/>
        </w:rPr>
        <w:t>, CDC require</w:t>
      </w:r>
      <w:r w:rsidR="003B1D77">
        <w:rPr>
          <w:rFonts w:ascii="Calibri" w:hAnsi="Calibri"/>
        </w:rPr>
        <w:t>s</w:t>
      </w:r>
      <w:r w:rsidRPr="002657BF">
        <w:rPr>
          <w:rFonts w:ascii="Calibri" w:hAnsi="Calibri"/>
        </w:rPr>
        <w:t xml:space="preserve"> protocols for data validation that </w:t>
      </w:r>
      <w:r w:rsidR="003B1D77">
        <w:rPr>
          <w:rFonts w:ascii="Calibri" w:hAnsi="Calibri"/>
        </w:rPr>
        <w:t>ensure</w:t>
      </w:r>
      <w:r w:rsidR="007D5376">
        <w:rPr>
          <w:rFonts w:ascii="Calibri" w:hAnsi="Calibri"/>
        </w:rPr>
        <w:t xml:space="preserve"> </w:t>
      </w:r>
      <w:r w:rsidRPr="002657BF">
        <w:rPr>
          <w:rFonts w:ascii="Calibri" w:hAnsi="Calibri"/>
        </w:rPr>
        <w:t xml:space="preserve">appropriate quality assurance. </w:t>
      </w:r>
      <w:r w:rsidR="003B1D77">
        <w:rPr>
          <w:rFonts w:ascii="Calibri" w:hAnsi="Calibri"/>
        </w:rPr>
        <w:t>Participating health departments</w:t>
      </w:r>
      <w:r w:rsidRPr="002657BF">
        <w:rPr>
          <w:rFonts w:ascii="Calibri" w:hAnsi="Calibri"/>
        </w:rPr>
        <w:t xml:space="preserve"> assure validity of the data prior to transmission. </w:t>
      </w:r>
      <w:r w:rsidRPr="002657BF" w:rsidR="00491AD5">
        <w:rPr>
          <w:rFonts w:ascii="Calibri" w:hAnsi="Calibri"/>
        </w:rPr>
        <w:t xml:space="preserve">Data </w:t>
      </w:r>
      <w:r w:rsidR="003B1D77">
        <w:rPr>
          <w:rFonts w:ascii="Calibri" w:hAnsi="Calibri"/>
        </w:rPr>
        <w:t>are</w:t>
      </w:r>
      <w:r w:rsidRPr="002657BF" w:rsidR="00491AD5">
        <w:rPr>
          <w:rFonts w:ascii="Calibri" w:hAnsi="Calibri"/>
        </w:rPr>
        <w:t xml:space="preserve"> uploaded every two months by trained data managers at </w:t>
      </w:r>
      <w:r w:rsidR="003B1D77">
        <w:rPr>
          <w:rFonts w:ascii="Calibri" w:hAnsi="Calibri"/>
        </w:rPr>
        <w:t>funded health departments</w:t>
      </w:r>
      <w:r w:rsidRPr="002657BF" w:rsidR="00491AD5">
        <w:rPr>
          <w:rFonts w:ascii="Calibri" w:hAnsi="Calibri"/>
        </w:rPr>
        <w:t xml:space="preserve">. </w:t>
      </w:r>
      <w:r w:rsidRPr="002657BF">
        <w:rPr>
          <w:rFonts w:ascii="Calibri" w:hAnsi="Calibri"/>
        </w:rPr>
        <w:t xml:space="preserve">Record-level data </w:t>
      </w:r>
      <w:r w:rsidR="003B1D77">
        <w:rPr>
          <w:rFonts w:ascii="Calibri" w:hAnsi="Calibri"/>
        </w:rPr>
        <w:t>are</w:t>
      </w:r>
      <w:r w:rsidRPr="002657BF">
        <w:rPr>
          <w:rFonts w:ascii="Calibri" w:hAnsi="Calibri"/>
        </w:rPr>
        <w:t xml:space="preserve"> </w:t>
      </w:r>
      <w:r w:rsidR="00AD4CE5">
        <w:rPr>
          <w:rFonts w:ascii="Calibri" w:hAnsi="Calibri"/>
        </w:rPr>
        <w:t>sent</w:t>
      </w:r>
      <w:r w:rsidRPr="002657BF">
        <w:rPr>
          <w:rFonts w:ascii="Calibri" w:hAnsi="Calibri"/>
        </w:rPr>
        <w:t xml:space="preserve"> to CDC through SAMS every 2 months. </w:t>
      </w:r>
      <w:r w:rsidR="001238C6">
        <w:rPr>
          <w:rFonts w:ascii="Calibri" w:hAnsi="Calibri"/>
        </w:rPr>
        <w:t>CDC requires a</w:t>
      </w:r>
      <w:r w:rsidRPr="002657BF">
        <w:rPr>
          <w:rFonts w:ascii="Calibri" w:hAnsi="Calibri"/>
        </w:rPr>
        <w:t xml:space="preserve">utomation of </w:t>
      </w:r>
      <w:r w:rsidR="001238C6">
        <w:rPr>
          <w:rFonts w:ascii="Calibri" w:hAnsi="Calibri"/>
        </w:rPr>
        <w:t xml:space="preserve">local or state data </w:t>
      </w:r>
      <w:r w:rsidRPr="002657BF">
        <w:rPr>
          <w:rFonts w:ascii="Calibri" w:hAnsi="Calibri"/>
        </w:rPr>
        <w:t xml:space="preserve">processes wherever possible </w:t>
      </w:r>
      <w:r w:rsidR="001238C6">
        <w:rPr>
          <w:rFonts w:ascii="Calibri" w:hAnsi="Calibri"/>
        </w:rPr>
        <w:t xml:space="preserve">to </w:t>
      </w:r>
      <w:r w:rsidRPr="002657BF">
        <w:rPr>
          <w:rFonts w:ascii="Calibri" w:hAnsi="Calibri"/>
        </w:rPr>
        <w:t xml:space="preserve">significantly lessen the burden on health department staff.  </w:t>
      </w:r>
    </w:p>
    <w:p w:rsidR="00475C73" w:rsidP="00491AD5" w:rsidRDefault="00475C73" w14:paraId="12BB5A84" w14:textId="77777777">
      <w:pPr>
        <w:rPr>
          <w:rFonts w:ascii="Calibri" w:hAnsi="Calibri"/>
        </w:rPr>
      </w:pPr>
    </w:p>
    <w:p w:rsidR="00740FE1" w:rsidP="000856F1" w:rsidRDefault="00625DBF" w14:paraId="388C3380" w14:textId="5036F3A1">
      <w:pPr>
        <w:rPr>
          <w:rFonts w:ascii="Calibri" w:hAnsi="Calibri"/>
        </w:rPr>
      </w:pPr>
      <w:r>
        <w:rPr>
          <w:rFonts w:ascii="Calibri" w:hAnsi="Calibri"/>
        </w:rPr>
        <w:t>De-identified d</w:t>
      </w:r>
      <w:r w:rsidRPr="002657BF" w:rsidR="00491AD5">
        <w:rPr>
          <w:rFonts w:ascii="Calibri" w:hAnsi="Calibri"/>
        </w:rPr>
        <w:t xml:space="preserve">ata </w:t>
      </w:r>
      <w:r w:rsidR="001238C6">
        <w:rPr>
          <w:rFonts w:ascii="Calibri" w:hAnsi="Calibri"/>
        </w:rPr>
        <w:t>are</w:t>
      </w:r>
      <w:r w:rsidRPr="002657BF" w:rsidR="00491AD5">
        <w:rPr>
          <w:rFonts w:ascii="Calibri" w:hAnsi="Calibri"/>
        </w:rPr>
        <w:t xml:space="preserve"> received, stored, and maintained at CDC by a data manager in the Surveillance and Data Management Branch of the </w:t>
      </w:r>
      <w:r w:rsidR="00740FE1">
        <w:rPr>
          <w:rFonts w:ascii="Calibri" w:hAnsi="Calibri"/>
        </w:rPr>
        <w:t>Division of STD</w:t>
      </w:r>
      <w:r w:rsidR="00C904AA">
        <w:rPr>
          <w:rFonts w:ascii="Calibri" w:hAnsi="Calibri"/>
        </w:rPr>
        <w:t xml:space="preserve"> Prevention, </w:t>
      </w:r>
      <w:r w:rsidRPr="002657BF" w:rsidR="00491AD5">
        <w:rPr>
          <w:rFonts w:ascii="Calibri" w:hAnsi="Calibri"/>
        </w:rPr>
        <w:t xml:space="preserve">National Center for HIV/AIDS, Viral Hepatitis, STD, and TB Prevention. </w:t>
      </w:r>
      <w:r w:rsidRPr="002657BF" w:rsidR="00C904AA">
        <w:rPr>
          <w:rFonts w:ascii="Calibri" w:hAnsi="Calibri"/>
        </w:rPr>
        <w:t xml:space="preserve">Datasets received at CDC </w:t>
      </w:r>
      <w:r w:rsidR="001238C6">
        <w:rPr>
          <w:rFonts w:ascii="Calibri" w:hAnsi="Calibri"/>
        </w:rPr>
        <w:t>are</w:t>
      </w:r>
      <w:r w:rsidRPr="002657BF" w:rsidR="00C904AA">
        <w:rPr>
          <w:rFonts w:ascii="Calibri" w:hAnsi="Calibri"/>
        </w:rPr>
        <w:t xml:space="preserve"> validated and appended to the national SURRG </w:t>
      </w:r>
      <w:r w:rsidRPr="00A66ACC" w:rsidR="00C904AA">
        <w:rPr>
          <w:rFonts w:ascii="Calibri" w:hAnsi="Calibri"/>
        </w:rPr>
        <w:t xml:space="preserve">database </w:t>
      </w:r>
      <w:r w:rsidRPr="008A6D79" w:rsidR="00C904AA">
        <w:rPr>
          <w:rFonts w:ascii="Calibri" w:hAnsi="Calibri"/>
        </w:rPr>
        <w:t xml:space="preserve">within </w:t>
      </w:r>
      <w:r w:rsidR="00A66ACC">
        <w:rPr>
          <w:rFonts w:ascii="Calibri" w:hAnsi="Calibri"/>
        </w:rPr>
        <w:t>four</w:t>
      </w:r>
      <w:r w:rsidRPr="008A6D79" w:rsidR="00A66ACC">
        <w:rPr>
          <w:rFonts w:ascii="Calibri" w:hAnsi="Calibri"/>
        </w:rPr>
        <w:t xml:space="preserve"> </w:t>
      </w:r>
      <w:r w:rsidRPr="008A6D79" w:rsidR="00C904AA">
        <w:rPr>
          <w:rFonts w:ascii="Calibri" w:hAnsi="Calibri"/>
        </w:rPr>
        <w:t xml:space="preserve">weeks </w:t>
      </w:r>
      <w:r w:rsidRPr="00A66ACC" w:rsidR="00C904AA">
        <w:rPr>
          <w:rFonts w:ascii="Calibri" w:hAnsi="Calibri"/>
        </w:rPr>
        <w:t xml:space="preserve">of receipt. </w:t>
      </w:r>
      <w:r w:rsidRPr="00A66ACC" w:rsidR="00491AD5">
        <w:rPr>
          <w:rFonts w:ascii="Calibri" w:hAnsi="Calibri"/>
        </w:rPr>
        <w:t xml:space="preserve">Completeness </w:t>
      </w:r>
      <w:r w:rsidRPr="002657BF" w:rsidR="00491AD5">
        <w:rPr>
          <w:rFonts w:ascii="Calibri" w:hAnsi="Calibri"/>
        </w:rPr>
        <w:t xml:space="preserve">of reporting and the quality of </w:t>
      </w:r>
      <w:r w:rsidR="00520FD2">
        <w:rPr>
          <w:rFonts w:ascii="Calibri" w:hAnsi="Calibri"/>
        </w:rPr>
        <w:t xml:space="preserve">transmitted </w:t>
      </w:r>
      <w:r w:rsidRPr="002657BF" w:rsidR="00491AD5">
        <w:rPr>
          <w:rFonts w:ascii="Calibri" w:hAnsi="Calibri"/>
        </w:rPr>
        <w:t xml:space="preserve">data </w:t>
      </w:r>
      <w:r w:rsidR="001238C6">
        <w:rPr>
          <w:rFonts w:ascii="Calibri" w:hAnsi="Calibri"/>
        </w:rPr>
        <w:t>are</w:t>
      </w:r>
      <w:r w:rsidRPr="002657BF" w:rsidR="00491AD5">
        <w:rPr>
          <w:rFonts w:ascii="Calibri" w:hAnsi="Calibri"/>
        </w:rPr>
        <w:t xml:space="preserve"> monitored by CDC. Site visits, regular communications with collaborating health departments, and data quality checks provide opportunities for evaluation and troubleshooting of these processes. </w:t>
      </w:r>
      <w:r w:rsidR="001238C6">
        <w:rPr>
          <w:rFonts w:ascii="Calibri" w:hAnsi="Calibri"/>
        </w:rPr>
        <w:t>CDC also provides intensive technical assistance as needed by health departments for improved data quality and to establish local process</w:t>
      </w:r>
      <w:r w:rsidR="00520FD2">
        <w:rPr>
          <w:rFonts w:ascii="Calibri" w:hAnsi="Calibri"/>
        </w:rPr>
        <w:t>es</w:t>
      </w:r>
      <w:r w:rsidR="001238C6">
        <w:rPr>
          <w:rFonts w:ascii="Calibri" w:hAnsi="Calibri"/>
        </w:rPr>
        <w:t xml:space="preserve"> to reduce local data management burdens.</w:t>
      </w:r>
    </w:p>
    <w:p w:rsidR="000856F1" w:rsidP="000856F1" w:rsidRDefault="000856F1" w14:paraId="75A07C28" w14:textId="77777777">
      <w:pPr>
        <w:rPr>
          <w:rFonts w:ascii="Calibri" w:hAnsi="Calibri" w:cs="Courier New"/>
          <w:b/>
        </w:rPr>
      </w:pPr>
    </w:p>
    <w:p w:rsidRPr="00B15B48" w:rsidR="00E81E5D" w:rsidRDefault="004072C2" w14:paraId="28C7EF63" w14:textId="77777777">
      <w:pPr>
        <w:spacing w:after="120" w:line="480" w:lineRule="auto"/>
        <w:rPr>
          <w:rFonts w:ascii="Calibri" w:hAnsi="Calibri" w:cs="Courier New"/>
          <w:b/>
        </w:rPr>
      </w:pPr>
      <w:r>
        <w:rPr>
          <w:rFonts w:ascii="Calibri" w:hAnsi="Calibri" w:cs="Courier New"/>
          <w:b/>
        </w:rPr>
        <w:t>4</w:t>
      </w:r>
      <w:r w:rsidRPr="00B15B48" w:rsidR="00E81E5D">
        <w:rPr>
          <w:rFonts w:ascii="Calibri" w:hAnsi="Calibri" w:cs="Courier New"/>
          <w:b/>
        </w:rPr>
        <w:t xml:space="preserve">. Efforts to Identify Duplication and Use of Similar Information </w:t>
      </w:r>
    </w:p>
    <w:p w:rsidR="00BD6E6E" w:rsidP="00EF09F9" w:rsidRDefault="00EF09F9" w14:paraId="19376F53" w14:textId="0D8B74D9">
      <w:pPr>
        <w:rPr>
          <w:rFonts w:ascii="Calibri" w:hAnsi="Calibri"/>
        </w:rPr>
      </w:pPr>
      <w:r w:rsidRPr="002657BF">
        <w:rPr>
          <w:rFonts w:ascii="Calibri" w:hAnsi="Calibri"/>
        </w:rPr>
        <w:lastRenderedPageBreak/>
        <w:t xml:space="preserve">CDC is the only agency that conducts national STD surveillance through the funded assistance of state and local health departments. </w:t>
      </w:r>
      <w:r w:rsidRPr="002657BF" w:rsidR="0057580E">
        <w:rPr>
          <w:rFonts w:ascii="Calibri" w:hAnsi="Calibri"/>
        </w:rPr>
        <w:t xml:space="preserve">Monitoring of </w:t>
      </w:r>
      <w:r w:rsidRPr="00C84134" w:rsidR="0057580E">
        <w:rPr>
          <w:rFonts w:ascii="Calibri" w:hAnsi="Calibri"/>
          <w:i/>
        </w:rPr>
        <w:t>Neisseria gonorrhoeae</w:t>
      </w:r>
      <w:r w:rsidRPr="002657BF" w:rsidR="0057580E">
        <w:rPr>
          <w:rFonts w:ascii="Calibri" w:hAnsi="Calibri"/>
        </w:rPr>
        <w:t xml:space="preserve"> antibiotic susceptibility is conducted by CDC’s Gonococcal Isolate Surveillance Project (GISP)</w:t>
      </w:r>
      <w:r w:rsidR="00EB7FA4">
        <w:rPr>
          <w:rFonts w:ascii="Calibri" w:hAnsi="Calibri"/>
        </w:rPr>
        <w:t xml:space="preserve"> (OMB number </w:t>
      </w:r>
      <w:bookmarkStart w:name="_Hlk40713219" w:id="2"/>
      <w:r w:rsidR="00EB7FA4">
        <w:rPr>
          <w:rFonts w:ascii="Calibri" w:hAnsi="Calibri"/>
        </w:rPr>
        <w:t>0920-</w:t>
      </w:r>
      <w:r w:rsidRPr="00617371" w:rsidR="00EB7FA4">
        <w:rPr>
          <w:rFonts w:ascii="Calibri" w:hAnsi="Calibri"/>
        </w:rPr>
        <w:t>0307</w:t>
      </w:r>
      <w:r w:rsidRPr="00617371" w:rsidR="008809D3">
        <w:rPr>
          <w:rFonts w:ascii="Calibri" w:hAnsi="Calibri"/>
        </w:rPr>
        <w:t xml:space="preserve"> </w:t>
      </w:r>
      <w:bookmarkEnd w:id="2"/>
      <w:r w:rsidRPr="00617371" w:rsidR="008809D3">
        <w:rPr>
          <w:rFonts w:ascii="Calibri" w:hAnsi="Calibri"/>
        </w:rPr>
        <w:t>exp. 0</w:t>
      </w:r>
      <w:r w:rsidRPr="00617371" w:rsidR="00617371">
        <w:rPr>
          <w:rFonts w:ascii="Calibri" w:hAnsi="Calibri"/>
        </w:rPr>
        <w:t>8</w:t>
      </w:r>
      <w:r w:rsidRPr="00617371" w:rsidR="008809D3">
        <w:rPr>
          <w:rFonts w:ascii="Calibri" w:hAnsi="Calibri"/>
        </w:rPr>
        <w:t>/</w:t>
      </w:r>
      <w:r w:rsidRPr="00617371" w:rsidR="00617371">
        <w:rPr>
          <w:rFonts w:ascii="Calibri" w:hAnsi="Calibri"/>
        </w:rPr>
        <w:t>31</w:t>
      </w:r>
      <w:r w:rsidRPr="00617371" w:rsidR="008809D3">
        <w:rPr>
          <w:rFonts w:ascii="Calibri" w:hAnsi="Calibri"/>
        </w:rPr>
        <w:t>/20</w:t>
      </w:r>
      <w:r w:rsidRPr="00617371" w:rsidR="00617371">
        <w:rPr>
          <w:rFonts w:ascii="Calibri" w:hAnsi="Calibri"/>
        </w:rPr>
        <w:t>21</w:t>
      </w:r>
      <w:r w:rsidRPr="00617371" w:rsidR="00EB7FA4">
        <w:rPr>
          <w:rFonts w:ascii="Calibri" w:hAnsi="Calibri"/>
        </w:rPr>
        <w:t>)</w:t>
      </w:r>
      <w:r w:rsidRPr="00617371" w:rsidR="0057580E">
        <w:rPr>
          <w:rFonts w:ascii="Calibri" w:hAnsi="Calibri"/>
        </w:rPr>
        <w:t xml:space="preserve">. GISP </w:t>
      </w:r>
      <w:r w:rsidRPr="002657BF" w:rsidR="0057580E">
        <w:rPr>
          <w:rFonts w:ascii="Calibri" w:hAnsi="Calibri"/>
        </w:rPr>
        <w:t xml:space="preserve">is a CDC-supported sentinel surveillance system that monitors long-term trends in resistance and informs treatment guidelines. </w:t>
      </w:r>
      <w:r w:rsidR="001238C6">
        <w:rPr>
          <w:rFonts w:ascii="Calibri" w:hAnsi="Calibri"/>
        </w:rPr>
        <w:t>GISP is the only such surveillance system in the United States. AST</w:t>
      </w:r>
      <w:r w:rsidRPr="002657BF" w:rsidR="0057580E">
        <w:rPr>
          <w:rFonts w:ascii="Calibri" w:hAnsi="Calibri"/>
        </w:rPr>
        <w:t xml:space="preserve"> is performed by a regional laboratory net</w:t>
      </w:r>
      <w:r w:rsidR="00740FE1">
        <w:rPr>
          <w:rFonts w:ascii="Calibri" w:hAnsi="Calibri"/>
        </w:rPr>
        <w:t xml:space="preserve">work </w:t>
      </w:r>
      <w:r w:rsidR="001238C6">
        <w:rPr>
          <w:rFonts w:ascii="Calibri" w:hAnsi="Calibri"/>
        </w:rPr>
        <w:t xml:space="preserve">(ARLN) </w:t>
      </w:r>
      <w:r w:rsidR="00740FE1">
        <w:rPr>
          <w:rFonts w:ascii="Calibri" w:hAnsi="Calibri"/>
        </w:rPr>
        <w:t>and results are available 1</w:t>
      </w:r>
      <w:r w:rsidR="001238C6">
        <w:rPr>
          <w:rFonts w:ascii="Calibri" w:hAnsi="Calibri" w:cs="Calibri"/>
        </w:rPr>
        <w:t>–</w:t>
      </w:r>
      <w:r w:rsidRPr="002657BF" w:rsidR="0057580E">
        <w:rPr>
          <w:rFonts w:ascii="Calibri" w:hAnsi="Calibri"/>
        </w:rPr>
        <w:t>3 months following specimen collection. However, rapid public health action and field investigations to halt or slow the spread of identified resistance must occur within day</w:t>
      </w:r>
      <w:r w:rsidR="001238C6">
        <w:rPr>
          <w:rFonts w:ascii="Calibri" w:hAnsi="Calibri"/>
        </w:rPr>
        <w:t>s of specimen collection</w:t>
      </w:r>
      <w:r w:rsidRPr="002657BF" w:rsidR="0057580E">
        <w:rPr>
          <w:rFonts w:ascii="Calibri" w:hAnsi="Calibri"/>
        </w:rPr>
        <w:t xml:space="preserve"> to be effective. SURRG </w:t>
      </w:r>
      <w:r w:rsidR="001238C6">
        <w:rPr>
          <w:rFonts w:ascii="Calibri" w:hAnsi="Calibri"/>
        </w:rPr>
        <w:t xml:space="preserve">complements GISP and </w:t>
      </w:r>
      <w:r w:rsidRPr="002657BF" w:rsidR="0057580E">
        <w:rPr>
          <w:rFonts w:ascii="Calibri" w:hAnsi="Calibri"/>
        </w:rPr>
        <w:t>addresses this gap by supporting local capacity to conduct rapid resistance testing, which facilitate</w:t>
      </w:r>
      <w:r w:rsidR="001238C6">
        <w:rPr>
          <w:rFonts w:ascii="Calibri" w:hAnsi="Calibri"/>
        </w:rPr>
        <w:t>s</w:t>
      </w:r>
      <w:r w:rsidRPr="002657BF" w:rsidR="0057580E">
        <w:rPr>
          <w:rFonts w:ascii="Calibri" w:hAnsi="Calibri"/>
        </w:rPr>
        <w:t xml:space="preserve"> rapid </w:t>
      </w:r>
      <w:r w:rsidR="001238C6">
        <w:rPr>
          <w:rFonts w:ascii="Calibri" w:hAnsi="Calibri"/>
        </w:rPr>
        <w:t xml:space="preserve">local </w:t>
      </w:r>
      <w:r w:rsidRPr="002657BF" w:rsidR="0057580E">
        <w:rPr>
          <w:rFonts w:ascii="Calibri" w:hAnsi="Calibri"/>
        </w:rPr>
        <w:t xml:space="preserve">public health action. </w:t>
      </w:r>
      <w:r w:rsidR="002B79A1">
        <w:rPr>
          <w:rFonts w:ascii="Calibri" w:hAnsi="Calibri"/>
        </w:rPr>
        <w:t>SURRG also provide</w:t>
      </w:r>
      <w:r w:rsidR="001238C6">
        <w:rPr>
          <w:rFonts w:ascii="Calibri" w:hAnsi="Calibri"/>
        </w:rPr>
        <w:t>s</w:t>
      </w:r>
      <w:r w:rsidR="002B79A1">
        <w:rPr>
          <w:rFonts w:ascii="Calibri" w:hAnsi="Calibri"/>
        </w:rPr>
        <w:t xml:space="preserve"> critical multisite information on the effectiveness of rapid public health responses to antibiotic-resistant gonorrhea</w:t>
      </w:r>
      <w:r w:rsidR="001238C6">
        <w:rPr>
          <w:rFonts w:ascii="Calibri" w:hAnsi="Calibri"/>
        </w:rPr>
        <w:t>; such information</w:t>
      </w:r>
      <w:r w:rsidR="002B79A1">
        <w:rPr>
          <w:rFonts w:ascii="Calibri" w:hAnsi="Calibri"/>
        </w:rPr>
        <w:t xml:space="preserve"> is not available elsewhere.</w:t>
      </w:r>
      <w:r w:rsidR="00EB7FA4">
        <w:rPr>
          <w:rFonts w:ascii="Calibri" w:hAnsi="Calibri"/>
        </w:rPr>
        <w:t xml:space="preserve"> GISP only includes the bacterial isolates from the first 25 men presenting </w:t>
      </w:r>
      <w:r w:rsidR="00984AE4">
        <w:rPr>
          <w:rFonts w:ascii="Calibri" w:hAnsi="Calibri"/>
        </w:rPr>
        <w:t xml:space="preserve">to participating STD clinics </w:t>
      </w:r>
      <w:r w:rsidR="00EB7FA4">
        <w:rPr>
          <w:rFonts w:ascii="Calibri" w:hAnsi="Calibri"/>
        </w:rPr>
        <w:t xml:space="preserve">with gonococcal urethritis each month. This population provides a </w:t>
      </w:r>
      <w:r w:rsidR="00984AE4">
        <w:rPr>
          <w:rFonts w:ascii="Calibri" w:hAnsi="Calibri"/>
        </w:rPr>
        <w:t xml:space="preserve">stable population for </w:t>
      </w:r>
      <w:r w:rsidR="00BD6E6E">
        <w:rPr>
          <w:rFonts w:ascii="Calibri" w:hAnsi="Calibri"/>
        </w:rPr>
        <w:t xml:space="preserve">long-term </w:t>
      </w:r>
      <w:r w:rsidR="00984AE4">
        <w:rPr>
          <w:rFonts w:ascii="Calibri" w:hAnsi="Calibri"/>
        </w:rPr>
        <w:t>surveillance</w:t>
      </w:r>
      <w:r w:rsidR="00BD6E6E">
        <w:rPr>
          <w:rFonts w:ascii="Calibri" w:hAnsi="Calibri"/>
        </w:rPr>
        <w:t xml:space="preserve"> of resistance trends</w:t>
      </w:r>
      <w:r w:rsidR="00984AE4">
        <w:rPr>
          <w:rFonts w:ascii="Calibri" w:hAnsi="Calibri"/>
        </w:rPr>
        <w:t>. In contrast, SURRG include</w:t>
      </w:r>
      <w:r w:rsidR="001238C6">
        <w:rPr>
          <w:rFonts w:ascii="Calibri" w:hAnsi="Calibri"/>
        </w:rPr>
        <w:t>s</w:t>
      </w:r>
      <w:r w:rsidR="00984AE4">
        <w:rPr>
          <w:rFonts w:ascii="Calibri" w:hAnsi="Calibri"/>
        </w:rPr>
        <w:t xml:space="preserve"> all gonococcal isolates collected by participating STD clinics each month, regardless of the gender of the patient or anatomic site of the infection. </w:t>
      </w:r>
      <w:r w:rsidR="00BD6E6E">
        <w:rPr>
          <w:rFonts w:ascii="Calibri" w:hAnsi="Calibri"/>
        </w:rPr>
        <w:t>SURRG also</w:t>
      </w:r>
      <w:r w:rsidR="00984AE4">
        <w:rPr>
          <w:rFonts w:ascii="Calibri" w:hAnsi="Calibri"/>
        </w:rPr>
        <w:t xml:space="preserve"> include</w:t>
      </w:r>
      <w:r w:rsidR="001238C6">
        <w:rPr>
          <w:rFonts w:ascii="Calibri" w:hAnsi="Calibri"/>
        </w:rPr>
        <w:t>s</w:t>
      </w:r>
      <w:r w:rsidR="00984AE4">
        <w:rPr>
          <w:rFonts w:ascii="Calibri" w:hAnsi="Calibri"/>
        </w:rPr>
        <w:t xml:space="preserve"> non-STD clinic healthcare settings</w:t>
      </w:r>
      <w:r w:rsidR="001238C6">
        <w:rPr>
          <w:rFonts w:ascii="Calibri" w:hAnsi="Calibri"/>
        </w:rPr>
        <w:t xml:space="preserve"> </w:t>
      </w:r>
      <w:r w:rsidR="00BD6E6E">
        <w:rPr>
          <w:rFonts w:ascii="Calibri" w:hAnsi="Calibri"/>
        </w:rPr>
        <w:t>to expand the reach of local detection of resistance</w:t>
      </w:r>
      <w:r w:rsidR="00520FD2">
        <w:rPr>
          <w:rFonts w:ascii="Calibri" w:hAnsi="Calibri"/>
        </w:rPr>
        <w:t xml:space="preserve"> and provide additional testing capacity if an outbreak occurs</w:t>
      </w:r>
      <w:r w:rsidR="00984AE4">
        <w:rPr>
          <w:rFonts w:ascii="Calibri" w:hAnsi="Calibri"/>
        </w:rPr>
        <w:t xml:space="preserve">. </w:t>
      </w:r>
    </w:p>
    <w:p w:rsidR="00BD6E6E" w:rsidP="00EF09F9" w:rsidRDefault="00BD6E6E" w14:paraId="7EB68C21" w14:textId="77777777">
      <w:pPr>
        <w:rPr>
          <w:rFonts w:ascii="Calibri" w:hAnsi="Calibri"/>
        </w:rPr>
      </w:pPr>
    </w:p>
    <w:p w:rsidR="00EF09F9" w:rsidP="00EF09F9" w:rsidRDefault="00EF09F9" w14:paraId="3C2ACB0B" w14:textId="1D45B790">
      <w:pPr>
        <w:rPr>
          <w:rFonts w:ascii="Calibri" w:hAnsi="Calibri"/>
        </w:rPr>
      </w:pPr>
      <w:r w:rsidRPr="002657BF">
        <w:rPr>
          <w:rFonts w:ascii="Calibri" w:hAnsi="Calibri"/>
        </w:rPr>
        <w:t xml:space="preserve">Efforts </w:t>
      </w:r>
      <w:r w:rsidR="001238C6">
        <w:rPr>
          <w:rFonts w:ascii="Calibri" w:hAnsi="Calibri"/>
        </w:rPr>
        <w:t>were</w:t>
      </w:r>
      <w:r w:rsidRPr="002657BF">
        <w:rPr>
          <w:rFonts w:ascii="Calibri" w:hAnsi="Calibri"/>
        </w:rPr>
        <w:t xml:space="preserve"> made to prevent duplication of effort, including conducting extensive, systematic searches of electronic databases of published articles and</w:t>
      </w:r>
      <w:r w:rsidR="00740FE1">
        <w:rPr>
          <w:rFonts w:ascii="Calibri" w:hAnsi="Calibri"/>
        </w:rPr>
        <w:t xml:space="preserve"> abstracts, attending local, </w:t>
      </w:r>
      <w:r w:rsidRPr="002657BF">
        <w:rPr>
          <w:rFonts w:ascii="Calibri" w:hAnsi="Calibri"/>
        </w:rPr>
        <w:t>national</w:t>
      </w:r>
      <w:r w:rsidR="00740FE1">
        <w:rPr>
          <w:rFonts w:ascii="Calibri" w:hAnsi="Calibri"/>
        </w:rPr>
        <w:t>, and international</w:t>
      </w:r>
      <w:r w:rsidRPr="002657BF">
        <w:rPr>
          <w:rFonts w:ascii="Calibri" w:hAnsi="Calibri"/>
        </w:rPr>
        <w:t xml:space="preserve"> conferences relevant to the topic, communication with non-federal colleagues at state and local health departments </w:t>
      </w:r>
      <w:r w:rsidR="001238C6">
        <w:rPr>
          <w:rFonts w:ascii="Calibri" w:hAnsi="Calibri"/>
        </w:rPr>
        <w:t>and</w:t>
      </w:r>
      <w:r w:rsidRPr="002657BF">
        <w:rPr>
          <w:rFonts w:ascii="Calibri" w:hAnsi="Calibri"/>
        </w:rPr>
        <w:t xml:space="preserve"> colleagues within the government. </w:t>
      </w:r>
      <w:r w:rsidRPr="002657BF" w:rsidR="0057580E">
        <w:rPr>
          <w:rFonts w:ascii="Calibri" w:hAnsi="Calibri"/>
        </w:rPr>
        <w:t xml:space="preserve">Apart from </w:t>
      </w:r>
      <w:r w:rsidR="001238C6">
        <w:rPr>
          <w:rFonts w:ascii="Calibri" w:hAnsi="Calibri"/>
        </w:rPr>
        <w:t>SURRG</w:t>
      </w:r>
      <w:r w:rsidRPr="002657BF" w:rsidR="0057580E">
        <w:rPr>
          <w:rFonts w:ascii="Calibri" w:hAnsi="Calibri"/>
        </w:rPr>
        <w:t xml:space="preserve">, this type of public health activity and data collection </w:t>
      </w:r>
      <w:r w:rsidR="001238C6">
        <w:rPr>
          <w:rFonts w:ascii="Calibri" w:hAnsi="Calibri"/>
        </w:rPr>
        <w:t>for antibiotic-resistant gonorrhea is</w:t>
      </w:r>
      <w:r w:rsidRPr="002657BF" w:rsidR="0057580E">
        <w:rPr>
          <w:rFonts w:ascii="Calibri" w:hAnsi="Calibri"/>
        </w:rPr>
        <w:t xml:space="preserve"> not being conducted </w:t>
      </w:r>
      <w:r w:rsidR="001238C6">
        <w:rPr>
          <w:rFonts w:ascii="Calibri" w:hAnsi="Calibri"/>
        </w:rPr>
        <w:t xml:space="preserve">elsewhere in the United States. Outside of SURRG, </w:t>
      </w:r>
      <w:r w:rsidRPr="002657BF" w:rsidR="0057580E">
        <w:rPr>
          <w:rFonts w:ascii="Calibri" w:hAnsi="Calibri"/>
        </w:rPr>
        <w:t>jurisdictions lack the capacity and resources to perform these activities.</w:t>
      </w:r>
    </w:p>
    <w:p w:rsidR="00704D5D" w:rsidP="00EF09F9" w:rsidRDefault="00704D5D" w14:paraId="50BC44FB" w14:textId="77777777">
      <w:pPr>
        <w:rPr>
          <w:rFonts w:ascii="Calibri" w:hAnsi="Calibri"/>
        </w:rPr>
      </w:pPr>
    </w:p>
    <w:p w:rsidRPr="002657BF" w:rsidR="00704D5D" w:rsidP="00704D5D" w:rsidRDefault="001238C6" w14:paraId="61AF1ECF" w14:textId="653ADFCF">
      <w:pPr>
        <w:rPr>
          <w:rFonts w:ascii="Calibri" w:hAnsi="Calibri"/>
        </w:rPr>
      </w:pPr>
      <w:r>
        <w:rPr>
          <w:rFonts w:ascii="Calibri" w:hAnsi="Calibri"/>
        </w:rPr>
        <w:t>Some b</w:t>
      </w:r>
      <w:r w:rsidR="00704D5D">
        <w:rPr>
          <w:rFonts w:ascii="Calibri" w:hAnsi="Calibri"/>
        </w:rPr>
        <w:t xml:space="preserve">acterial isolates from men with urethritis who attended participating STD clinics </w:t>
      </w:r>
      <w:r>
        <w:rPr>
          <w:rFonts w:ascii="Calibri" w:hAnsi="Calibri"/>
        </w:rPr>
        <w:t>are</w:t>
      </w:r>
      <w:r w:rsidR="00704D5D">
        <w:rPr>
          <w:rFonts w:ascii="Calibri" w:hAnsi="Calibri"/>
        </w:rPr>
        <w:t xml:space="preserve"> included in both GISP and SURRG. Results from laboratory testing (by agar dilution technique) of the isolate by a regional lab network </w:t>
      </w:r>
      <w:r w:rsidR="00312842">
        <w:rPr>
          <w:rFonts w:ascii="Calibri" w:hAnsi="Calibri"/>
        </w:rPr>
        <w:t xml:space="preserve">(ARLN) </w:t>
      </w:r>
      <w:r>
        <w:rPr>
          <w:rFonts w:ascii="Calibri" w:hAnsi="Calibri"/>
        </w:rPr>
        <w:t>are</w:t>
      </w:r>
      <w:r w:rsidR="00704D5D">
        <w:rPr>
          <w:rFonts w:ascii="Calibri" w:hAnsi="Calibri"/>
        </w:rPr>
        <w:t xml:space="preserve"> used in GISP long-term surveillance trends. In SURRG, the isolate undergo</w:t>
      </w:r>
      <w:r>
        <w:rPr>
          <w:rFonts w:ascii="Calibri" w:hAnsi="Calibri"/>
        </w:rPr>
        <w:t>es</w:t>
      </w:r>
      <w:r w:rsidR="00704D5D">
        <w:rPr>
          <w:rFonts w:ascii="Calibri" w:hAnsi="Calibri"/>
        </w:rPr>
        <w:t xml:space="preserve"> local rapid </w:t>
      </w:r>
      <w:r>
        <w:rPr>
          <w:rFonts w:ascii="Calibri" w:hAnsi="Calibri"/>
        </w:rPr>
        <w:t>AST</w:t>
      </w:r>
      <w:r w:rsidR="00704D5D">
        <w:rPr>
          <w:rFonts w:ascii="Calibri" w:hAnsi="Calibri"/>
        </w:rPr>
        <w:t xml:space="preserve"> (by Etest technique) and results </w:t>
      </w:r>
      <w:r>
        <w:rPr>
          <w:rFonts w:ascii="Calibri" w:hAnsi="Calibri"/>
        </w:rPr>
        <w:t xml:space="preserve">are </w:t>
      </w:r>
      <w:r w:rsidR="00704D5D">
        <w:rPr>
          <w:rFonts w:ascii="Calibri" w:hAnsi="Calibri"/>
        </w:rPr>
        <w:t xml:space="preserve">used for local public health action. </w:t>
      </w:r>
      <w:r>
        <w:rPr>
          <w:rFonts w:ascii="Calibri" w:hAnsi="Calibri"/>
        </w:rPr>
        <w:t>SURRG d</w:t>
      </w:r>
      <w:r w:rsidR="00704D5D">
        <w:rPr>
          <w:rFonts w:ascii="Calibri" w:hAnsi="Calibri"/>
        </w:rPr>
        <w:t xml:space="preserve">ata collection has been carefully harmonized </w:t>
      </w:r>
      <w:r>
        <w:rPr>
          <w:rFonts w:ascii="Calibri" w:hAnsi="Calibri"/>
        </w:rPr>
        <w:t xml:space="preserve">with GISP and the </w:t>
      </w:r>
      <w:r w:rsidR="00617371">
        <w:rPr>
          <w:rFonts w:ascii="Calibri" w:hAnsi="Calibri"/>
        </w:rPr>
        <w:t xml:space="preserve">enhanced </w:t>
      </w:r>
      <w:r>
        <w:rPr>
          <w:rFonts w:ascii="Calibri" w:hAnsi="Calibri"/>
        </w:rPr>
        <w:t>STD Surveillance Network (SSuN</w:t>
      </w:r>
      <w:r w:rsidRPr="00617371">
        <w:rPr>
          <w:rFonts w:ascii="Calibri" w:hAnsi="Calibri"/>
        </w:rPr>
        <w:t>) (</w:t>
      </w:r>
      <w:r w:rsidRPr="00E22A03">
        <w:rPr>
          <w:rFonts w:ascii="Calibri" w:hAnsi="Calibri"/>
        </w:rPr>
        <w:t xml:space="preserve">OMB </w:t>
      </w:r>
      <w:r w:rsidRPr="00E22A03" w:rsidR="00617371">
        <w:rPr>
          <w:rFonts w:ascii="Calibri" w:hAnsi="Calibri"/>
        </w:rPr>
        <w:t>0920-1072, exp</w:t>
      </w:r>
      <w:r w:rsidRPr="00E22A03" w:rsidR="00E22A03">
        <w:rPr>
          <w:rFonts w:ascii="Calibri" w:hAnsi="Calibri"/>
        </w:rPr>
        <w:t>.</w:t>
      </w:r>
      <w:r w:rsidRPr="00E22A03" w:rsidR="00617371">
        <w:rPr>
          <w:rFonts w:ascii="Calibri" w:hAnsi="Calibri"/>
        </w:rPr>
        <w:t xml:space="preserve"> 9/30/2021</w:t>
      </w:r>
      <w:r w:rsidRPr="00E22A03">
        <w:rPr>
          <w:rFonts w:ascii="Calibri" w:hAnsi="Calibri"/>
        </w:rPr>
        <w:t xml:space="preserve">) </w:t>
      </w:r>
      <w:r w:rsidRPr="00E22A03" w:rsidR="00704D5D">
        <w:rPr>
          <w:rFonts w:ascii="Calibri" w:hAnsi="Calibri"/>
        </w:rPr>
        <w:t xml:space="preserve">to reduce </w:t>
      </w:r>
      <w:r w:rsidRPr="00617371" w:rsidR="00704D5D">
        <w:rPr>
          <w:rFonts w:ascii="Calibri" w:hAnsi="Calibri"/>
        </w:rPr>
        <w:t>the burden on local jurisdictions as much as possible. Importantly, input from participating jurisdictions on how to minimize the burden on them has been repeatedly sought (through phone calls, in-person discussions, webinars, and by email) and rigorously</w:t>
      </w:r>
      <w:r w:rsidRPr="00617371" w:rsidR="00DF5BD0">
        <w:rPr>
          <w:rFonts w:ascii="Calibri" w:hAnsi="Calibri"/>
        </w:rPr>
        <w:t xml:space="preserve"> and extensively</w:t>
      </w:r>
      <w:r w:rsidRPr="00617371" w:rsidR="00704D5D">
        <w:rPr>
          <w:rFonts w:ascii="Calibri" w:hAnsi="Calibri"/>
        </w:rPr>
        <w:t xml:space="preserve"> incorporated into the processes.</w:t>
      </w:r>
      <w:r w:rsidR="00704D5D">
        <w:rPr>
          <w:rFonts w:ascii="Calibri" w:hAnsi="Calibri"/>
        </w:rPr>
        <w:t xml:space="preserve">   </w:t>
      </w:r>
    </w:p>
    <w:p w:rsidRPr="002657BF" w:rsidR="00704D5D" w:rsidP="00EF09F9" w:rsidRDefault="00704D5D" w14:paraId="163DCBEF" w14:textId="77777777">
      <w:pPr>
        <w:rPr>
          <w:rFonts w:ascii="Calibri" w:hAnsi="Calibri"/>
        </w:rPr>
      </w:pPr>
    </w:p>
    <w:p w:rsidRPr="006D3A6D" w:rsidR="00EF09F9" w:rsidP="00EF09F9" w:rsidRDefault="00EF09F9" w14:paraId="5BC55668" w14:textId="77777777"/>
    <w:p w:rsidRPr="00B15B48" w:rsidR="00E81E5D" w:rsidRDefault="00E81E5D" w14:paraId="3C90B1AB" w14:textId="77777777">
      <w:pPr>
        <w:spacing w:after="120" w:line="480" w:lineRule="auto"/>
        <w:rPr>
          <w:rFonts w:ascii="Calibri" w:hAnsi="Calibri" w:cs="Courier New"/>
          <w:b/>
        </w:rPr>
      </w:pPr>
      <w:r w:rsidRPr="00B15B48">
        <w:rPr>
          <w:rFonts w:ascii="Calibri" w:hAnsi="Calibri" w:cs="Courier New"/>
          <w:b/>
        </w:rPr>
        <w:t>5. Impact on Small Business or Other Small Entities</w:t>
      </w:r>
    </w:p>
    <w:p w:rsidRPr="00B15B48" w:rsidR="00E81E5D" w:rsidRDefault="00E81E5D" w14:paraId="15FCB774"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rPr>
      </w:pPr>
      <w:r w:rsidRPr="00B15B48">
        <w:rPr>
          <w:rFonts w:ascii="Calibri" w:hAnsi="Calibri" w:cs="Courier New"/>
        </w:rPr>
        <w:lastRenderedPageBreak/>
        <w:t>Respondents include city</w:t>
      </w:r>
      <w:r w:rsidRPr="00B15B48" w:rsidR="0036207D">
        <w:rPr>
          <w:rFonts w:ascii="Calibri" w:hAnsi="Calibri" w:cs="Courier New"/>
        </w:rPr>
        <w:t>, county, and state</w:t>
      </w:r>
      <w:r w:rsidRPr="00B15B48">
        <w:rPr>
          <w:rFonts w:ascii="Calibri" w:hAnsi="Calibri" w:cs="Courier New"/>
        </w:rPr>
        <w:t xml:space="preserve"> health departments and </w:t>
      </w:r>
      <w:r w:rsidRPr="00B15B48" w:rsidR="0036207D">
        <w:rPr>
          <w:rFonts w:ascii="Calibri" w:hAnsi="Calibri" w:cs="Courier New"/>
        </w:rPr>
        <w:t>public health</w:t>
      </w:r>
      <w:r w:rsidR="001C7E25">
        <w:rPr>
          <w:rFonts w:ascii="Calibri" w:hAnsi="Calibri" w:cs="Courier New"/>
        </w:rPr>
        <w:t xml:space="preserve"> </w:t>
      </w:r>
      <w:r w:rsidRPr="00B15B48">
        <w:rPr>
          <w:rFonts w:ascii="Calibri" w:hAnsi="Calibri" w:cs="Courier New"/>
        </w:rPr>
        <w:t xml:space="preserve">laboratories. Data/information collection instruments have been held to the absolute minimum of questions required for intended use of the data/information and respondents are permitted to report data electronically to reduce burden and improve data quality. </w:t>
      </w:r>
    </w:p>
    <w:p w:rsidRPr="00B15B48" w:rsidR="00E81E5D" w:rsidRDefault="00E81E5D" w14:paraId="1B1697D0"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rPr>
      </w:pPr>
    </w:p>
    <w:p w:rsidRPr="00B15B48" w:rsidR="00E81E5D" w:rsidRDefault="0036207D" w14:paraId="4CCAC2A8"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rPr>
      </w:pPr>
      <w:r w:rsidRPr="00B15B48">
        <w:rPr>
          <w:rFonts w:ascii="Calibri" w:hAnsi="Calibri" w:cs="Courier New"/>
        </w:rPr>
        <w:t>Respondents applied</w:t>
      </w:r>
      <w:r w:rsidRPr="00B15B48" w:rsidR="00E81E5D">
        <w:rPr>
          <w:rFonts w:ascii="Calibri" w:hAnsi="Calibri" w:cs="Courier New"/>
        </w:rPr>
        <w:t xml:space="preserve"> to participate in </w:t>
      </w:r>
      <w:r w:rsidRPr="00B15B48">
        <w:rPr>
          <w:rFonts w:ascii="Calibri" w:hAnsi="Calibri" w:cs="Courier New"/>
        </w:rPr>
        <w:t>SURRG</w:t>
      </w:r>
      <w:r w:rsidRPr="00B15B48" w:rsidR="00E81E5D">
        <w:rPr>
          <w:rFonts w:ascii="Calibri" w:hAnsi="Calibri" w:cs="Courier New"/>
        </w:rPr>
        <w:t xml:space="preserve"> and participate voluntarily.</w:t>
      </w:r>
      <w:r w:rsidRPr="00B15B48" w:rsidR="00E81E5D">
        <w:rPr>
          <w:rFonts w:ascii="Calibri" w:hAnsi="Calibri"/>
        </w:rPr>
        <w:t xml:space="preserve"> </w:t>
      </w:r>
    </w:p>
    <w:p w:rsidRPr="00B15B48" w:rsidR="00E81E5D" w:rsidRDefault="00E81E5D" w14:paraId="199A746F"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rPr>
      </w:pPr>
    </w:p>
    <w:p w:rsidRPr="00B15B48" w:rsidR="00E81E5D" w:rsidRDefault="00E81E5D" w14:paraId="55719227" w14:textId="77777777">
      <w:pPr>
        <w:spacing w:after="120" w:line="480" w:lineRule="auto"/>
        <w:rPr>
          <w:rFonts w:ascii="Calibri" w:hAnsi="Calibri" w:cs="Courier New"/>
          <w:b/>
        </w:rPr>
      </w:pPr>
      <w:r w:rsidRPr="00B15B48">
        <w:rPr>
          <w:rFonts w:ascii="Calibri" w:hAnsi="Calibri" w:cs="Courier New"/>
          <w:b/>
        </w:rPr>
        <w:t xml:space="preserve">6. Consequences of Collecting the Information Less Frequently </w:t>
      </w:r>
    </w:p>
    <w:p w:rsidR="00AF0676" w:rsidRDefault="00E81E5D" w14:paraId="0100B51E" w14:textId="142E384F">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rPr>
      </w:pPr>
      <w:r w:rsidRPr="00B15B48">
        <w:rPr>
          <w:rFonts w:ascii="Calibri" w:hAnsi="Calibri" w:cs="Courier New"/>
        </w:rPr>
        <w:t xml:space="preserve">Past experience indicates that gonococcal resistance patterns can change </w:t>
      </w:r>
      <w:r w:rsidR="00BB20A9">
        <w:rPr>
          <w:rFonts w:ascii="Calibri" w:hAnsi="Calibri" w:cs="Courier New"/>
        </w:rPr>
        <w:t xml:space="preserve">rapidly and outbreaks of resistant infections can </w:t>
      </w:r>
      <w:r w:rsidR="007B0DBD">
        <w:rPr>
          <w:rFonts w:ascii="Calibri" w:hAnsi="Calibri" w:cs="Courier New"/>
        </w:rPr>
        <w:t>occur and spread quickly</w:t>
      </w:r>
      <w:r w:rsidRPr="00B15B48">
        <w:rPr>
          <w:rFonts w:ascii="Calibri" w:hAnsi="Calibri" w:cs="Courier New"/>
        </w:rPr>
        <w:t xml:space="preserve">. </w:t>
      </w:r>
      <w:r w:rsidR="004326FD">
        <w:rPr>
          <w:rFonts w:ascii="Calibri" w:hAnsi="Calibri" w:cs="Courier New"/>
        </w:rPr>
        <w:t xml:space="preserve">SURRG data </w:t>
      </w:r>
      <w:r w:rsidR="007B0DBD">
        <w:rPr>
          <w:rFonts w:ascii="Calibri" w:hAnsi="Calibri" w:cs="Courier New"/>
        </w:rPr>
        <w:t>are</w:t>
      </w:r>
      <w:r w:rsidR="004326FD">
        <w:rPr>
          <w:rFonts w:ascii="Calibri" w:hAnsi="Calibri" w:cs="Courier New"/>
        </w:rPr>
        <w:t xml:space="preserve"> reported to CDC every 2 months. </w:t>
      </w:r>
      <w:r w:rsidR="007B0DBD">
        <w:rPr>
          <w:rFonts w:ascii="Calibri" w:hAnsi="Calibri" w:cs="Courier New"/>
        </w:rPr>
        <w:t>Quick</w:t>
      </w:r>
      <w:r w:rsidR="004326FD">
        <w:rPr>
          <w:rFonts w:ascii="Calibri" w:hAnsi="Calibri" w:cs="Courier New"/>
        </w:rPr>
        <w:t xml:space="preserve"> detection of trends and emergent issues support timelier implementation of prevention and control effort, resulting in prevention and control of additional gonorrhea transmission. If these data are not available, CDC, state, and local health departments will not have the necessary information to make evidence-based decisions regarding gonorrhea prevention program planning and resource allocation. </w:t>
      </w:r>
      <w:r w:rsidR="007B0DBD">
        <w:rPr>
          <w:rFonts w:ascii="Calibri" w:hAnsi="Calibri" w:cs="Courier New"/>
        </w:rPr>
        <w:t>Further</w:t>
      </w:r>
      <w:r w:rsidR="00AF0676">
        <w:rPr>
          <w:rFonts w:ascii="Calibri" w:hAnsi="Calibri" w:cs="Courier New"/>
        </w:rPr>
        <w:t xml:space="preserve">, CDC, state, and local health departments </w:t>
      </w:r>
      <w:r w:rsidRPr="00312842" w:rsidR="00AF0676">
        <w:rPr>
          <w:rFonts w:ascii="Calibri" w:hAnsi="Calibri" w:cs="Courier New"/>
        </w:rPr>
        <w:t xml:space="preserve">will not be able to support </w:t>
      </w:r>
      <w:r w:rsidRPr="00312842" w:rsidR="00585DB6">
        <w:rPr>
          <w:rFonts w:ascii="Calibri" w:hAnsi="Calibri" w:cs="Courier New"/>
        </w:rPr>
        <w:t xml:space="preserve">continued </w:t>
      </w:r>
      <w:r w:rsidRPr="00312842" w:rsidR="00AF0676">
        <w:rPr>
          <w:rFonts w:ascii="Calibri" w:hAnsi="Calibri" w:cs="Courier New"/>
        </w:rPr>
        <w:t xml:space="preserve">implementation of the </w:t>
      </w:r>
      <w:r w:rsidRPr="00312842" w:rsidR="00EA5055">
        <w:rPr>
          <w:rFonts w:ascii="Calibri" w:hAnsi="Calibri" w:cs="Courier New"/>
        </w:rPr>
        <w:t xml:space="preserve">current </w:t>
      </w:r>
      <w:r w:rsidRPr="00312842" w:rsidR="00AF0676">
        <w:rPr>
          <w:rFonts w:ascii="Calibri" w:hAnsi="Calibri" w:cs="Courier New"/>
        </w:rPr>
        <w:t>National Strategy for Combating Antibiotic Resistant Bacteria.</w:t>
      </w:r>
      <w:r w:rsidRPr="00312842" w:rsidR="00EA5055">
        <w:rPr>
          <w:rFonts w:ascii="Calibri" w:hAnsi="Calibri" w:cs="Courier New"/>
          <w:vertAlign w:val="superscript"/>
        </w:rPr>
        <w:t>7</w:t>
      </w:r>
      <w:r w:rsidR="00EA5055">
        <w:rPr>
          <w:rFonts w:ascii="Calibri" w:hAnsi="Calibri" w:cs="Courier New"/>
        </w:rPr>
        <w:t xml:space="preserve"> </w:t>
      </w:r>
    </w:p>
    <w:p w:rsidRPr="00B15B48" w:rsidR="00E81E5D" w:rsidRDefault="00E81E5D" w14:paraId="1330F64D"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rPr>
      </w:pPr>
    </w:p>
    <w:p w:rsidRPr="00B15B48" w:rsidR="00E81E5D" w:rsidRDefault="00E81E5D" w14:paraId="58659681" w14:textId="77777777">
      <w:pPr>
        <w:spacing w:after="60"/>
        <w:rPr>
          <w:rFonts w:ascii="Calibri" w:hAnsi="Calibri" w:cs="Courier New"/>
          <w:b/>
        </w:rPr>
      </w:pPr>
      <w:r w:rsidRPr="00B15B48">
        <w:rPr>
          <w:rFonts w:ascii="Calibri" w:hAnsi="Calibri" w:cs="Courier New"/>
          <w:b/>
        </w:rPr>
        <w:t>7. Special Circumstances Relating to the Guidelines of 5 CFR 1320.5</w:t>
      </w:r>
    </w:p>
    <w:p w:rsidRPr="00B15B48" w:rsidR="00E81E5D" w:rsidRDefault="00E81E5D" w14:paraId="4C4BB07C" w14:textId="77777777">
      <w:pPr>
        <w:spacing w:after="60"/>
        <w:rPr>
          <w:rFonts w:ascii="Calibri" w:hAnsi="Calibri" w:cs="Courier New"/>
          <w:b/>
        </w:rPr>
      </w:pPr>
    </w:p>
    <w:p w:rsidR="002818F5" w:rsidRDefault="00E81E5D" w14:paraId="0EBE707F" w14:textId="63F97252">
      <w:pPr>
        <w:rPr>
          <w:rFonts w:ascii="Calibri" w:hAnsi="Calibri" w:cs="Courier New"/>
        </w:rPr>
      </w:pPr>
      <w:r w:rsidRPr="00B15B48">
        <w:rPr>
          <w:rFonts w:ascii="Calibri" w:hAnsi="Calibri" w:cs="Courier New"/>
        </w:rPr>
        <w:t>This request fully complies with the regulation 5 CFR 1320.5</w:t>
      </w:r>
      <w:r w:rsidR="00585DB6">
        <w:rPr>
          <w:rFonts w:ascii="Calibri" w:hAnsi="Calibri" w:cs="Courier New"/>
        </w:rPr>
        <w:t>.</w:t>
      </w:r>
    </w:p>
    <w:p w:rsidR="002818F5" w:rsidRDefault="002818F5" w14:paraId="3AEE7DBF" w14:textId="77777777">
      <w:pPr>
        <w:rPr>
          <w:rFonts w:ascii="Calibri" w:hAnsi="Calibri" w:cs="Courier New"/>
        </w:rPr>
      </w:pPr>
    </w:p>
    <w:p w:rsidR="000856F1" w:rsidP="000856F1" w:rsidRDefault="00E81E5D" w14:paraId="6A5AD868" w14:textId="77777777">
      <w:pPr>
        <w:rPr>
          <w:rFonts w:ascii="Calibri" w:hAnsi="Calibri" w:cs="Courier New"/>
          <w:b/>
        </w:rPr>
      </w:pPr>
      <w:r w:rsidRPr="00B15B48">
        <w:rPr>
          <w:rFonts w:ascii="Calibri" w:hAnsi="Calibri" w:cs="Courier New"/>
          <w:b/>
        </w:rPr>
        <w:t xml:space="preserve">8. Comments in Response to the </w:t>
      </w:r>
      <w:hyperlink w:history="1" r:id="rId9">
        <w:r w:rsidRPr="00B15B48">
          <w:rPr>
            <w:rStyle w:val="Hyperlink"/>
            <w:rFonts w:ascii="Calibri" w:hAnsi="Calibri" w:cs="Courier New"/>
            <w:b/>
            <w:color w:val="auto"/>
            <w:u w:val="none"/>
          </w:rPr>
          <w:t>Federal Register</w:t>
        </w:r>
      </w:hyperlink>
      <w:r w:rsidRPr="00B15B48">
        <w:rPr>
          <w:rFonts w:ascii="Calibri" w:hAnsi="Calibri" w:cs="Courier New"/>
          <w:b/>
        </w:rPr>
        <w:t xml:space="preserve"> Notice and Effor</w:t>
      </w:r>
      <w:r w:rsidR="000856F1">
        <w:rPr>
          <w:rFonts w:ascii="Calibri" w:hAnsi="Calibri" w:cs="Courier New"/>
          <w:b/>
        </w:rPr>
        <w:t>ts to Consult Outside the Agency</w:t>
      </w:r>
    </w:p>
    <w:p w:rsidRPr="000856F1" w:rsidR="000856F1" w:rsidP="000856F1" w:rsidRDefault="000856F1" w14:paraId="3A2D0DAF" w14:textId="77777777">
      <w:pPr>
        <w:rPr>
          <w:rFonts w:ascii="Calibri" w:hAnsi="Calibri" w:cs="Courier New"/>
          <w:b/>
        </w:rPr>
      </w:pPr>
    </w:p>
    <w:p w:rsidR="00C12F93" w:rsidRDefault="00B1725A" w14:paraId="6D72CEBC" w14:textId="4C32FA9A">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rPr>
      </w:pPr>
      <w:r w:rsidRPr="00B6471F">
        <w:rPr>
          <w:rFonts w:ascii="Calibri" w:hAnsi="Calibri" w:cs="Courier New"/>
        </w:rPr>
        <w:t xml:space="preserve">A </w:t>
      </w:r>
      <w:r w:rsidRPr="00A96AE5">
        <w:rPr>
          <w:rFonts w:ascii="Calibri" w:hAnsi="Calibri" w:cs="Courier New"/>
        </w:rPr>
        <w:t xml:space="preserve">60-day Federal Register notice was published in the Federal Register on </w:t>
      </w:r>
      <w:r w:rsidRPr="00A96AE5" w:rsidR="00B6471F">
        <w:rPr>
          <w:rFonts w:ascii="Calibri" w:hAnsi="Calibri" w:cs="Courier New"/>
        </w:rPr>
        <w:t>9/30</w:t>
      </w:r>
      <w:r w:rsidRPr="00A96AE5">
        <w:rPr>
          <w:rFonts w:ascii="Calibri" w:hAnsi="Calibri" w:cs="Courier New"/>
        </w:rPr>
        <w:t>, 20</w:t>
      </w:r>
      <w:r w:rsidRPr="00A96AE5" w:rsidR="00B6471F">
        <w:rPr>
          <w:rFonts w:ascii="Calibri" w:hAnsi="Calibri" w:cs="Courier New"/>
        </w:rPr>
        <w:t>20</w:t>
      </w:r>
      <w:r w:rsidRPr="00A96AE5">
        <w:rPr>
          <w:rFonts w:ascii="Calibri" w:hAnsi="Calibri" w:cs="Courier New"/>
        </w:rPr>
        <w:t xml:space="preserve"> [Vol. </w:t>
      </w:r>
      <w:r w:rsidRPr="00A96AE5" w:rsidR="00B6471F">
        <w:rPr>
          <w:rFonts w:ascii="Calibri" w:hAnsi="Calibri" w:cs="Courier New"/>
        </w:rPr>
        <w:t>85</w:t>
      </w:r>
      <w:r w:rsidRPr="00A96AE5">
        <w:rPr>
          <w:rFonts w:ascii="Calibri" w:hAnsi="Calibri" w:cs="Courier New"/>
        </w:rPr>
        <w:t>, No.</w:t>
      </w:r>
      <w:r w:rsidRPr="00A96AE5" w:rsidR="007B0DBD">
        <w:rPr>
          <w:rFonts w:ascii="Calibri" w:hAnsi="Calibri" w:cs="Courier New"/>
        </w:rPr>
        <w:t xml:space="preserve"> </w:t>
      </w:r>
      <w:r w:rsidRPr="00A96AE5" w:rsidR="00B6471F">
        <w:rPr>
          <w:rFonts w:ascii="Calibri" w:hAnsi="Calibri" w:cs="Courier New"/>
        </w:rPr>
        <w:t>190</w:t>
      </w:r>
      <w:r w:rsidRPr="00A96AE5">
        <w:rPr>
          <w:rFonts w:ascii="Calibri" w:hAnsi="Calibri" w:cs="Courier New"/>
        </w:rPr>
        <w:t>, pages</w:t>
      </w:r>
      <w:r w:rsidRPr="00A96AE5" w:rsidR="00B6471F">
        <w:rPr>
          <w:rFonts w:ascii="Calibri" w:hAnsi="Calibri" w:cs="Courier New"/>
        </w:rPr>
        <w:t xml:space="preserve"> 61750</w:t>
      </w:r>
      <w:r w:rsidRPr="00A96AE5" w:rsidR="007B0DBD">
        <w:rPr>
          <w:rFonts w:ascii="Calibri" w:hAnsi="Calibri" w:cs="Calibri"/>
        </w:rPr>
        <w:t>–</w:t>
      </w:r>
      <w:r w:rsidRPr="00A96AE5" w:rsidR="00B6471F">
        <w:rPr>
          <w:rFonts w:ascii="Calibri" w:hAnsi="Calibri" w:cs="Courier New"/>
        </w:rPr>
        <w:t>61752</w:t>
      </w:r>
      <w:r w:rsidRPr="00A96AE5" w:rsidR="00740FE1">
        <w:rPr>
          <w:rFonts w:ascii="Calibri" w:hAnsi="Calibri" w:cs="Courier New"/>
        </w:rPr>
        <w:t>] (</w:t>
      </w:r>
      <w:r w:rsidRPr="00A96AE5" w:rsidR="00740FE1">
        <w:rPr>
          <w:rFonts w:ascii="Calibri" w:hAnsi="Calibri" w:cs="Courier New"/>
          <w:b/>
        </w:rPr>
        <w:t>Attachment 2</w:t>
      </w:r>
      <w:r w:rsidRPr="00A96AE5" w:rsidR="00740FE1">
        <w:rPr>
          <w:rFonts w:ascii="Calibri" w:hAnsi="Calibri" w:cs="Courier New"/>
        </w:rPr>
        <w:t>).</w:t>
      </w:r>
      <w:r w:rsidR="00740FE1">
        <w:rPr>
          <w:rFonts w:ascii="Calibri" w:hAnsi="Calibri" w:cs="Courier New"/>
        </w:rPr>
        <w:t xml:space="preserve"> </w:t>
      </w:r>
    </w:p>
    <w:p w:rsidR="00D5733D" w:rsidRDefault="00D5733D" w14:paraId="54DB5075"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rPr>
      </w:pPr>
    </w:p>
    <w:p w:rsidR="00B6471F" w:rsidRDefault="00B6471F" w14:paraId="2F37C1CE" w14:textId="7AC8EDF2">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rPr>
      </w:pPr>
      <w:r>
        <w:rPr>
          <w:rFonts w:ascii="Calibri" w:hAnsi="Calibri" w:cs="Courier New"/>
        </w:rPr>
        <w:t>CDC received one non-substantive comment</w:t>
      </w:r>
      <w:r w:rsidR="00FE60DC">
        <w:rPr>
          <w:rFonts w:ascii="Calibri" w:hAnsi="Calibri" w:cs="Courier New"/>
        </w:rPr>
        <w:t xml:space="preserve"> (</w:t>
      </w:r>
      <w:r w:rsidRPr="00A96AE5" w:rsidR="00FE60DC">
        <w:rPr>
          <w:rFonts w:ascii="Calibri" w:hAnsi="Calibri" w:cs="Courier New"/>
          <w:b/>
          <w:bCs/>
        </w:rPr>
        <w:t>Attachment 2a</w:t>
      </w:r>
      <w:r w:rsidR="00FE60DC">
        <w:rPr>
          <w:rFonts w:ascii="Calibri" w:hAnsi="Calibri" w:cs="Courier New"/>
        </w:rPr>
        <w:t>)</w:t>
      </w:r>
      <w:r>
        <w:rPr>
          <w:rFonts w:ascii="Calibri" w:hAnsi="Calibri" w:cs="Courier New"/>
        </w:rPr>
        <w:t xml:space="preserve">. </w:t>
      </w:r>
    </w:p>
    <w:p w:rsidR="00B6471F" w:rsidRDefault="00B6471F" w14:paraId="7AA7D0BE"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rPr>
      </w:pPr>
    </w:p>
    <w:p w:rsidR="00C12F93" w:rsidRDefault="00C12F93" w14:paraId="6871EC2B" w14:textId="00AAEA39">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rPr>
      </w:pPr>
      <w:r>
        <w:rPr>
          <w:rFonts w:ascii="Calibri" w:hAnsi="Calibri" w:cs="Courier New"/>
        </w:rPr>
        <w:t xml:space="preserve">CDC has </w:t>
      </w:r>
      <w:r w:rsidR="007B0DBD">
        <w:rPr>
          <w:rFonts w:ascii="Calibri" w:hAnsi="Calibri" w:cs="Courier New"/>
        </w:rPr>
        <w:t xml:space="preserve">repeatedly described </w:t>
      </w:r>
      <w:r>
        <w:rPr>
          <w:rFonts w:ascii="Calibri" w:hAnsi="Calibri" w:cs="Courier New"/>
        </w:rPr>
        <w:t xml:space="preserve">the </w:t>
      </w:r>
      <w:r w:rsidR="008B4EC6">
        <w:rPr>
          <w:rFonts w:ascii="Calibri" w:hAnsi="Calibri" w:cs="Courier New"/>
        </w:rPr>
        <w:t>SURRG methodology</w:t>
      </w:r>
      <w:r w:rsidR="007B0DBD">
        <w:rPr>
          <w:rFonts w:ascii="Calibri" w:hAnsi="Calibri" w:cs="Courier New"/>
        </w:rPr>
        <w:t xml:space="preserve"> with</w:t>
      </w:r>
      <w:r>
        <w:rPr>
          <w:rFonts w:ascii="Calibri" w:hAnsi="Calibri" w:cs="Courier New"/>
        </w:rPr>
        <w:t xml:space="preserve"> </w:t>
      </w:r>
      <w:r w:rsidR="00366E84">
        <w:rPr>
          <w:rFonts w:ascii="Calibri" w:hAnsi="Calibri" w:cs="Courier New"/>
        </w:rPr>
        <w:t xml:space="preserve">external </w:t>
      </w:r>
      <w:r>
        <w:rPr>
          <w:rFonts w:ascii="Calibri" w:hAnsi="Calibri" w:cs="Courier New"/>
        </w:rPr>
        <w:t>stakeholders</w:t>
      </w:r>
      <w:r w:rsidR="00366E84">
        <w:rPr>
          <w:rFonts w:ascii="Calibri" w:hAnsi="Calibri" w:cs="Courier New"/>
        </w:rPr>
        <w:t xml:space="preserve"> and experts for comment</w:t>
      </w:r>
      <w:r>
        <w:rPr>
          <w:rFonts w:ascii="Calibri" w:hAnsi="Calibri" w:cs="Courier New"/>
        </w:rPr>
        <w:t>, including the STD subcommittee to the Association of Pu</w:t>
      </w:r>
      <w:r w:rsidR="00366E84">
        <w:rPr>
          <w:rFonts w:ascii="Calibri" w:hAnsi="Calibri" w:cs="Courier New"/>
        </w:rPr>
        <w:t>bl</w:t>
      </w:r>
      <w:r w:rsidR="00F9628C">
        <w:rPr>
          <w:rFonts w:ascii="Calibri" w:hAnsi="Calibri" w:cs="Courier New"/>
        </w:rPr>
        <w:t>ic Health Laboratories (APHL)</w:t>
      </w:r>
      <w:r w:rsidR="007B0DBD">
        <w:rPr>
          <w:rFonts w:ascii="Calibri" w:hAnsi="Calibri" w:cs="Courier New"/>
        </w:rPr>
        <w:t xml:space="preserve">, </w:t>
      </w:r>
      <w:r w:rsidR="008B4EC6">
        <w:rPr>
          <w:rFonts w:ascii="Calibri" w:hAnsi="Calibri" w:cs="Courier New"/>
        </w:rPr>
        <w:t>the</w:t>
      </w:r>
      <w:r w:rsidR="00366E84">
        <w:rPr>
          <w:rFonts w:ascii="Calibri" w:hAnsi="Calibri" w:cs="Courier New"/>
        </w:rPr>
        <w:t xml:space="preserve"> STI section of Public Health England</w:t>
      </w:r>
      <w:r w:rsidR="008B4EC6">
        <w:rPr>
          <w:rFonts w:ascii="Calibri" w:hAnsi="Calibri" w:cs="Courier New"/>
        </w:rPr>
        <w:t xml:space="preserve"> (PHE</w:t>
      </w:r>
      <w:r w:rsidR="00F9628C">
        <w:rPr>
          <w:rFonts w:ascii="Calibri" w:hAnsi="Calibri" w:cs="Courier New"/>
        </w:rPr>
        <w:t>)</w:t>
      </w:r>
      <w:r w:rsidR="007B0DBD">
        <w:rPr>
          <w:rFonts w:ascii="Calibri" w:hAnsi="Calibri" w:cs="Courier New"/>
        </w:rPr>
        <w:t>, and national and international STD experts at the International Society for STD Research (ISSTDR) Annual Meeting (2019) and STD Prevention Conference (2018</w:t>
      </w:r>
      <w:r w:rsidR="00585DB6">
        <w:rPr>
          <w:rFonts w:ascii="Calibri" w:hAnsi="Calibri" w:cs="Courier New"/>
        </w:rPr>
        <w:t xml:space="preserve"> and 2020</w:t>
      </w:r>
      <w:r w:rsidR="007B0DBD">
        <w:rPr>
          <w:rFonts w:ascii="Calibri" w:hAnsi="Calibri" w:cs="Courier New"/>
        </w:rPr>
        <w:t>).</w:t>
      </w:r>
      <w:r w:rsidR="001A5A35">
        <w:rPr>
          <w:rFonts w:ascii="Calibri" w:hAnsi="Calibri" w:cs="Courier New"/>
        </w:rPr>
        <w:t xml:space="preserve"> Their responses</w:t>
      </w:r>
      <w:r w:rsidR="00585DB6">
        <w:rPr>
          <w:rFonts w:ascii="Calibri" w:hAnsi="Calibri" w:cs="Courier New"/>
        </w:rPr>
        <w:t xml:space="preserve"> have been</w:t>
      </w:r>
      <w:r w:rsidR="001A5A35">
        <w:rPr>
          <w:rFonts w:ascii="Calibri" w:hAnsi="Calibri" w:cs="Courier New"/>
        </w:rPr>
        <w:t xml:space="preserve"> </w:t>
      </w:r>
      <w:r w:rsidR="00F44D3E">
        <w:rPr>
          <w:rFonts w:ascii="Calibri" w:hAnsi="Calibri" w:cs="Courier New"/>
        </w:rPr>
        <w:t xml:space="preserve">extremely </w:t>
      </w:r>
      <w:r w:rsidR="001A5A35">
        <w:rPr>
          <w:rFonts w:ascii="Calibri" w:hAnsi="Calibri" w:cs="Courier New"/>
        </w:rPr>
        <w:t xml:space="preserve">positive. </w:t>
      </w:r>
    </w:p>
    <w:p w:rsidRPr="00B15B48" w:rsidR="002B79A1" w:rsidRDefault="002B79A1" w14:paraId="757E20C8" w14:textId="7777777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200"/>
          <w:tab w:val="left" w:pos="7920"/>
          <w:tab w:val="left" w:pos="8640"/>
        </w:tabs>
        <w:rPr>
          <w:rFonts w:ascii="Calibri" w:hAnsi="Calibri" w:cs="Courier New"/>
        </w:rPr>
      </w:pPr>
    </w:p>
    <w:p w:rsidRPr="00B15B48" w:rsidR="00E81E5D" w:rsidRDefault="00E81E5D" w14:paraId="02BC9FD5" w14:textId="77777777">
      <w:pPr>
        <w:spacing w:before="120" w:line="480" w:lineRule="auto"/>
        <w:rPr>
          <w:rFonts w:ascii="Calibri" w:hAnsi="Calibri" w:cs="Courier New"/>
          <w:b/>
        </w:rPr>
      </w:pPr>
      <w:r w:rsidRPr="00B15B48">
        <w:rPr>
          <w:rFonts w:ascii="Calibri" w:hAnsi="Calibri" w:cs="Courier New"/>
          <w:b/>
        </w:rPr>
        <w:t>9. Explanation of Any Payment or Gift to Respondents</w:t>
      </w:r>
    </w:p>
    <w:p w:rsidRPr="00B15B48" w:rsidR="00E81E5D" w:rsidRDefault="00E81E5D" w14:paraId="194C5592" w14:textId="77777777">
      <w:pPr>
        <w:tabs>
          <w:tab w:val="left" w:pos="-2016"/>
          <w:tab w:val="left" w:pos="-1296"/>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624"/>
          <w:tab w:val="left" w:pos="7344"/>
          <w:tab w:val="left" w:pos="8064"/>
        </w:tabs>
        <w:spacing w:line="480" w:lineRule="auto"/>
        <w:rPr>
          <w:rFonts w:ascii="Calibri" w:hAnsi="Calibri" w:cs="Courier New"/>
        </w:rPr>
      </w:pPr>
      <w:r w:rsidRPr="00B15B48">
        <w:rPr>
          <w:rFonts w:ascii="Calibri" w:hAnsi="Calibri" w:cs="Courier New"/>
        </w:rPr>
        <w:t>No payment or gift is provided to respondents.</w:t>
      </w:r>
    </w:p>
    <w:p w:rsidRPr="00B15B48" w:rsidR="00E81E5D" w:rsidRDefault="00E81E5D" w14:paraId="207B7572" w14:textId="77777777">
      <w:pPr>
        <w:spacing w:after="120"/>
        <w:rPr>
          <w:rFonts w:ascii="Calibri" w:hAnsi="Calibri" w:cs="Courier New"/>
          <w:b/>
        </w:rPr>
      </w:pPr>
      <w:r w:rsidRPr="00B15B48">
        <w:rPr>
          <w:rFonts w:ascii="Calibri" w:hAnsi="Calibri" w:cs="Courier New"/>
          <w:b/>
        </w:rPr>
        <w:lastRenderedPageBreak/>
        <w:br/>
        <w:t xml:space="preserve">10. Protection of the Privacy and Confidentiality of Information Provided by Respondents </w:t>
      </w:r>
    </w:p>
    <w:p w:rsidR="007460FE" w:rsidP="007F2486" w:rsidRDefault="00625DBF" w14:paraId="3B5551C2" w14:textId="37E84B6C">
      <w:pPr>
        <w:rPr>
          <w:rFonts w:ascii="Calibri" w:hAnsi="Calibri" w:cs="Courier New"/>
        </w:rPr>
      </w:pPr>
      <w:r w:rsidRPr="00625DBF">
        <w:rPr>
          <w:rFonts w:ascii="Calibri" w:hAnsi="Calibri" w:cs="Courier New"/>
        </w:rPr>
        <w:t xml:space="preserve">The Privacy Officer </w:t>
      </w:r>
      <w:r w:rsidR="00B33D87">
        <w:rPr>
          <w:rFonts w:ascii="Calibri" w:hAnsi="Calibri" w:cs="Courier New"/>
        </w:rPr>
        <w:t xml:space="preserve">for </w:t>
      </w:r>
      <w:r w:rsidRPr="00625DBF" w:rsidR="00B33D87">
        <w:rPr>
          <w:rFonts w:ascii="Calibri" w:hAnsi="Calibri" w:cs="Courier New"/>
        </w:rPr>
        <w:t xml:space="preserve">CDC </w:t>
      </w:r>
      <w:r w:rsidR="00B33D87">
        <w:rPr>
          <w:rFonts w:ascii="Calibri" w:hAnsi="Calibri" w:cs="Courier New"/>
        </w:rPr>
        <w:t xml:space="preserve">/ ATSDR </w:t>
      </w:r>
      <w:r w:rsidRPr="00625DBF">
        <w:rPr>
          <w:rFonts w:ascii="Calibri" w:hAnsi="Calibri" w:cs="Courier New"/>
        </w:rPr>
        <w:t xml:space="preserve">has assessed this package for applicability of 5 U.S.C. § 552a, and has determined that the Privacy Act </w:t>
      </w:r>
      <w:r w:rsidR="007F175C">
        <w:rPr>
          <w:rFonts w:ascii="Calibri" w:hAnsi="Calibri" w:cs="Courier New"/>
        </w:rPr>
        <w:t xml:space="preserve">does not </w:t>
      </w:r>
      <w:r w:rsidR="00AF5E15">
        <w:rPr>
          <w:rFonts w:ascii="Calibri" w:hAnsi="Calibri" w:cs="Courier New"/>
        </w:rPr>
        <w:t>appl</w:t>
      </w:r>
      <w:r w:rsidR="007F175C">
        <w:rPr>
          <w:rFonts w:ascii="Calibri" w:hAnsi="Calibri" w:cs="Courier New"/>
        </w:rPr>
        <w:t>y</w:t>
      </w:r>
      <w:r w:rsidRPr="00625DBF">
        <w:rPr>
          <w:rFonts w:ascii="Calibri" w:hAnsi="Calibri" w:cs="Courier New"/>
        </w:rPr>
        <w:t xml:space="preserve"> to the information collection</w:t>
      </w:r>
      <w:r w:rsidR="00C94649">
        <w:rPr>
          <w:rFonts w:ascii="Calibri" w:hAnsi="Calibri" w:cs="Courier New"/>
        </w:rPr>
        <w:t xml:space="preserve"> activity.</w:t>
      </w:r>
      <w:r w:rsidR="00346DA7">
        <w:rPr>
          <w:rFonts w:ascii="Calibri" w:hAnsi="Calibri" w:cs="Courier New"/>
        </w:rPr>
        <w:t xml:space="preserve"> (see </w:t>
      </w:r>
      <w:r w:rsidR="00346DA7">
        <w:rPr>
          <w:rFonts w:ascii="Calibri" w:hAnsi="Calibri" w:cs="Courier New"/>
          <w:b/>
          <w:bCs/>
        </w:rPr>
        <w:t xml:space="preserve">Attachment 6 Privacy Impact Assessment </w:t>
      </w:r>
      <w:r w:rsidR="00585DB6">
        <w:rPr>
          <w:rFonts w:ascii="Calibri" w:hAnsi="Calibri" w:cs="Courier New"/>
          <w:b/>
          <w:bCs/>
        </w:rPr>
        <w:t>[</w:t>
      </w:r>
      <w:r w:rsidR="00346DA7">
        <w:rPr>
          <w:rFonts w:ascii="Calibri" w:hAnsi="Calibri" w:cs="Courier New"/>
          <w:b/>
          <w:bCs/>
        </w:rPr>
        <w:t>PIA</w:t>
      </w:r>
      <w:r w:rsidR="00585DB6">
        <w:rPr>
          <w:rFonts w:ascii="Calibri" w:hAnsi="Calibri" w:cs="Courier New"/>
          <w:b/>
          <w:bCs/>
        </w:rPr>
        <w:t>]</w:t>
      </w:r>
      <w:r w:rsidR="00346DA7">
        <w:rPr>
          <w:rFonts w:ascii="Calibri" w:hAnsi="Calibri" w:cs="Courier New"/>
          <w:b/>
          <w:bCs/>
        </w:rPr>
        <w:t>).</w:t>
      </w:r>
      <w:r w:rsidR="00C97D9E">
        <w:rPr>
          <w:rFonts w:ascii="Calibri" w:hAnsi="Calibri" w:cs="Courier New"/>
        </w:rPr>
        <w:t xml:space="preserve"> </w:t>
      </w:r>
      <w:r>
        <w:rPr>
          <w:rFonts w:ascii="Calibri" w:hAnsi="Calibri" w:cs="Courier New"/>
        </w:rPr>
        <w:t xml:space="preserve"> </w:t>
      </w:r>
    </w:p>
    <w:p w:rsidR="007B0DBD" w:rsidP="007460FE" w:rsidRDefault="007B0DBD" w14:paraId="532E53EB" w14:textId="77777777">
      <w:pPr>
        <w:rPr>
          <w:rFonts w:ascii="Calibri" w:hAnsi="Calibri" w:cs="Calibri"/>
        </w:rPr>
      </w:pPr>
    </w:p>
    <w:p w:rsidRPr="00C824AF" w:rsidR="007460FE" w:rsidP="007460FE" w:rsidRDefault="007460FE" w14:paraId="33565369" w14:textId="7D4E27D1">
      <w:pPr>
        <w:rPr>
          <w:rFonts w:ascii="Calibri" w:hAnsi="Calibri" w:cs="Calibri"/>
        </w:rPr>
      </w:pPr>
      <w:r w:rsidRPr="00C824AF">
        <w:rPr>
          <w:rFonts w:ascii="Calibri" w:hAnsi="Calibri" w:cs="Calibri"/>
        </w:rPr>
        <w:t xml:space="preserve">Each state has laws requiring certain diseases, including gonorrhea and syphilis, be reported at the local/state level. STD programs in local/state health departments routinely prioritize case investigations on persons with </w:t>
      </w:r>
      <w:r w:rsidRPr="00C824AF" w:rsidR="00475C73">
        <w:rPr>
          <w:rFonts w:ascii="Calibri" w:hAnsi="Calibri" w:cs="Calibri"/>
        </w:rPr>
        <w:t xml:space="preserve">these </w:t>
      </w:r>
      <w:r w:rsidRPr="00C824AF">
        <w:rPr>
          <w:rFonts w:ascii="Calibri" w:hAnsi="Calibri" w:cs="Calibri"/>
        </w:rPr>
        <w:t>notifiable STD conditions</w:t>
      </w:r>
      <w:r w:rsidRPr="00C824AF" w:rsidR="00475C73">
        <w:rPr>
          <w:rFonts w:ascii="Calibri" w:hAnsi="Calibri" w:cs="Calibri"/>
        </w:rPr>
        <w:t>.</w:t>
      </w:r>
      <w:r w:rsidRPr="00C824AF">
        <w:rPr>
          <w:rFonts w:ascii="Calibri" w:hAnsi="Calibri" w:cs="Calibri"/>
        </w:rPr>
        <w:t xml:space="preserve"> This type of required reporting uses personal identifiers and enables the states to identify cases where immediate disease control and prevention is needed. </w:t>
      </w:r>
      <w:r w:rsidRPr="00C824AF" w:rsidR="00475C73">
        <w:rPr>
          <w:rFonts w:ascii="Calibri" w:hAnsi="Calibri" w:cs="Calibri"/>
        </w:rPr>
        <w:t xml:space="preserve">The local/state health departments also collect personal identifiers about recent contacts to conduct disease control activities. </w:t>
      </w:r>
      <w:r w:rsidRPr="00C824AF">
        <w:rPr>
          <w:rFonts w:ascii="Calibri" w:hAnsi="Calibri" w:cs="Calibri"/>
        </w:rPr>
        <w:t>The personally identifiable information that is collected at the local level, through their routine activities, includes the patient’s name, contact information (including street address and phone number), gender, race/ethnicity</w:t>
      </w:r>
      <w:r w:rsidRPr="00C824AF" w:rsidR="00475C73">
        <w:rPr>
          <w:rFonts w:ascii="Calibri" w:hAnsi="Calibri" w:cs="Calibri"/>
        </w:rPr>
        <w:t>,</w:t>
      </w:r>
      <w:r w:rsidRPr="00C824AF">
        <w:rPr>
          <w:rFonts w:ascii="Calibri" w:hAnsi="Calibri" w:cs="Calibri"/>
        </w:rPr>
        <w:t xml:space="preserve"> and date of birth to facilitate </w:t>
      </w:r>
      <w:r w:rsidRPr="00C824AF" w:rsidR="00475C73">
        <w:rPr>
          <w:rFonts w:ascii="Calibri" w:hAnsi="Calibri" w:cs="Calibri"/>
        </w:rPr>
        <w:t xml:space="preserve">disease control </w:t>
      </w:r>
      <w:r w:rsidRPr="00C824AF">
        <w:rPr>
          <w:rFonts w:ascii="Calibri" w:hAnsi="Calibri" w:cs="Calibri"/>
        </w:rPr>
        <w:t xml:space="preserve">investigations. The health departments’ collection of </w:t>
      </w:r>
      <w:r w:rsidR="00AD4CE5">
        <w:rPr>
          <w:rFonts w:ascii="Calibri" w:hAnsi="Calibri" w:cs="Calibri"/>
        </w:rPr>
        <w:t>personally identifiable information</w:t>
      </w:r>
      <w:r w:rsidR="00641643">
        <w:rPr>
          <w:rFonts w:ascii="Calibri" w:hAnsi="Calibri" w:cs="Calibri"/>
        </w:rPr>
        <w:t xml:space="preserve"> </w:t>
      </w:r>
      <w:r w:rsidRPr="00C824AF">
        <w:rPr>
          <w:rFonts w:ascii="Calibri" w:hAnsi="Calibri" w:cs="Calibri"/>
        </w:rPr>
        <w:t>is used for 3 purposes: (1) ensuring the proper identification and follow-up of cases, (2) ensuring that infected persons receive appropriate treatment and sexual contacts who need treatment are traced</w:t>
      </w:r>
      <w:r w:rsidRPr="00C824AF" w:rsidR="00475C73">
        <w:rPr>
          <w:rFonts w:ascii="Calibri" w:hAnsi="Calibri" w:cs="Calibri"/>
        </w:rPr>
        <w:t>,</w:t>
      </w:r>
      <w:r w:rsidRPr="00C824AF">
        <w:rPr>
          <w:rFonts w:ascii="Calibri" w:hAnsi="Calibri" w:cs="Calibri"/>
        </w:rPr>
        <w:t xml:space="preserve"> and (3) investigate and control outbreaks.</w:t>
      </w:r>
    </w:p>
    <w:p w:rsidRPr="00C824AF" w:rsidR="00242B26" w:rsidP="007460FE" w:rsidRDefault="00242B26" w14:paraId="11CAB259" w14:textId="77777777">
      <w:pPr>
        <w:rPr>
          <w:rFonts w:ascii="Calibri" w:hAnsi="Calibri" w:cs="Calibri"/>
        </w:rPr>
      </w:pPr>
    </w:p>
    <w:p w:rsidRPr="00C824AF" w:rsidR="00242B26" w:rsidP="00242B26" w:rsidRDefault="00AD4CE5" w14:paraId="2828B396" w14:textId="77777777">
      <w:pPr>
        <w:rPr>
          <w:rFonts w:ascii="Calibri" w:hAnsi="Calibri" w:cs="Calibri"/>
        </w:rPr>
      </w:pPr>
      <w:r>
        <w:rPr>
          <w:rFonts w:ascii="Calibri" w:hAnsi="Calibri" w:cs="Calibri"/>
        </w:rPr>
        <w:t>D</w:t>
      </w:r>
      <w:r w:rsidRPr="00C824AF" w:rsidR="00242B26">
        <w:rPr>
          <w:rFonts w:ascii="Calibri" w:hAnsi="Calibri" w:cs="Calibri"/>
        </w:rPr>
        <w:t xml:space="preserve">ata collection </w:t>
      </w:r>
      <w:r>
        <w:rPr>
          <w:rFonts w:ascii="Calibri" w:hAnsi="Calibri" w:cs="Calibri"/>
        </w:rPr>
        <w:t xml:space="preserve">for </w:t>
      </w:r>
      <w:r w:rsidRPr="00C824AF" w:rsidR="00242B26">
        <w:rPr>
          <w:rFonts w:ascii="Calibri" w:hAnsi="Calibri" w:cs="Calibri"/>
        </w:rPr>
        <w:t>SURRG provides behavioral, demographic, and clinical information on gonorrhea cases reported to state and local health departments, allowing a better understanding of the epidemiology of STDs</w:t>
      </w:r>
      <w:r w:rsidRPr="00C824AF" w:rsidR="00475C73">
        <w:rPr>
          <w:rFonts w:ascii="Calibri" w:hAnsi="Calibri" w:cs="Calibri"/>
        </w:rPr>
        <w:t xml:space="preserve"> and drug-resistant gonorrhea</w:t>
      </w:r>
      <w:r w:rsidRPr="00C824AF" w:rsidR="00242B26">
        <w:rPr>
          <w:rFonts w:ascii="Calibri" w:hAnsi="Calibri" w:cs="Calibri"/>
        </w:rPr>
        <w:t xml:space="preserve"> and to inform national and local </w:t>
      </w:r>
      <w:r w:rsidRPr="00C824AF" w:rsidR="00475C73">
        <w:rPr>
          <w:rFonts w:ascii="Calibri" w:hAnsi="Calibri" w:cs="Calibri"/>
        </w:rPr>
        <w:t xml:space="preserve">gonorrhea </w:t>
      </w:r>
      <w:r w:rsidRPr="00C824AF" w:rsidR="00242B26">
        <w:rPr>
          <w:rFonts w:ascii="Calibri" w:hAnsi="Calibri" w:cs="Calibri"/>
        </w:rPr>
        <w:t xml:space="preserve">prevention </w:t>
      </w:r>
      <w:r w:rsidR="007B0DBD">
        <w:rPr>
          <w:rFonts w:ascii="Calibri" w:hAnsi="Calibri" w:cs="Calibri"/>
        </w:rPr>
        <w:t xml:space="preserve">and control </w:t>
      </w:r>
      <w:r w:rsidRPr="00C824AF" w:rsidR="00242B26">
        <w:rPr>
          <w:rFonts w:ascii="Calibri" w:hAnsi="Calibri" w:cs="Calibri"/>
        </w:rPr>
        <w:t xml:space="preserve">efforts. </w:t>
      </w:r>
      <w:r w:rsidR="007B0DBD">
        <w:rPr>
          <w:rFonts w:ascii="Calibri" w:hAnsi="Calibri" w:cs="Calibri"/>
        </w:rPr>
        <w:t>Locally-collected</w:t>
      </w:r>
      <w:r w:rsidRPr="00C824AF" w:rsidR="00242B26">
        <w:rPr>
          <w:rFonts w:ascii="Calibri" w:hAnsi="Calibri" w:cs="Calibri"/>
        </w:rPr>
        <w:t xml:space="preserve"> </w:t>
      </w:r>
      <w:r>
        <w:rPr>
          <w:rFonts w:ascii="Calibri" w:hAnsi="Calibri" w:cs="Calibri"/>
        </w:rPr>
        <w:t>personally identifiable information</w:t>
      </w:r>
      <w:r w:rsidRPr="00C824AF" w:rsidR="00242B26">
        <w:rPr>
          <w:rFonts w:ascii="Calibri" w:hAnsi="Calibri" w:cs="Calibri"/>
        </w:rPr>
        <w:t xml:space="preserve"> </w:t>
      </w:r>
      <w:r>
        <w:rPr>
          <w:rFonts w:ascii="Calibri" w:hAnsi="Calibri" w:cs="Calibri"/>
        </w:rPr>
        <w:t>is</w:t>
      </w:r>
      <w:r w:rsidRPr="00C824AF" w:rsidR="00242B26">
        <w:rPr>
          <w:rFonts w:ascii="Calibri" w:hAnsi="Calibri" w:cs="Calibri"/>
        </w:rPr>
        <w:t xml:space="preserve"> </w:t>
      </w:r>
      <w:r>
        <w:rPr>
          <w:rFonts w:ascii="Calibri" w:hAnsi="Calibri" w:cs="Calibri"/>
        </w:rPr>
        <w:t>stored</w:t>
      </w:r>
      <w:r w:rsidRPr="00C824AF" w:rsidR="00242B26">
        <w:rPr>
          <w:rFonts w:ascii="Calibri" w:hAnsi="Calibri" w:cs="Calibri"/>
        </w:rPr>
        <w:t xml:space="preserve"> </w:t>
      </w:r>
      <w:r w:rsidR="007B0DBD">
        <w:rPr>
          <w:rFonts w:ascii="Calibri" w:hAnsi="Calibri" w:cs="Calibri"/>
        </w:rPr>
        <w:t>locally</w:t>
      </w:r>
      <w:r w:rsidRPr="00C824AF" w:rsidR="00242B26">
        <w:rPr>
          <w:rFonts w:ascii="Calibri" w:hAnsi="Calibri" w:cs="Calibri"/>
        </w:rPr>
        <w:t xml:space="preserve">. None of the patient identifiers such as patient names, medical record numbers, home address or zip codes, or birthdates are included in records </w:t>
      </w:r>
      <w:r>
        <w:rPr>
          <w:rFonts w:ascii="Calibri" w:hAnsi="Calibri" w:cs="Calibri"/>
        </w:rPr>
        <w:t>sent</w:t>
      </w:r>
      <w:r w:rsidRPr="00C824AF" w:rsidR="007B0DBD">
        <w:rPr>
          <w:rFonts w:ascii="Calibri" w:hAnsi="Calibri" w:cs="Calibri"/>
        </w:rPr>
        <w:t xml:space="preserve"> </w:t>
      </w:r>
      <w:r w:rsidRPr="00C824AF" w:rsidR="00242B26">
        <w:rPr>
          <w:rFonts w:ascii="Calibri" w:hAnsi="Calibri" w:cs="Calibri"/>
        </w:rPr>
        <w:t xml:space="preserve">to CDC as a requirement of this project. </w:t>
      </w:r>
      <w:r w:rsidRPr="008365C1" w:rsidR="00242B26">
        <w:rPr>
          <w:rFonts w:ascii="Calibri" w:hAnsi="Calibri" w:cs="Calibri"/>
        </w:rPr>
        <w:t xml:space="preserve">Census tract information </w:t>
      </w:r>
      <w:r w:rsidRPr="008365C1" w:rsidR="007B0DBD">
        <w:rPr>
          <w:rFonts w:ascii="Calibri" w:hAnsi="Calibri" w:cs="Calibri"/>
        </w:rPr>
        <w:t>is u</w:t>
      </w:r>
      <w:r w:rsidRPr="008365C1" w:rsidR="00242B26">
        <w:rPr>
          <w:rFonts w:ascii="Calibri" w:hAnsi="Calibri" w:cs="Calibri"/>
        </w:rPr>
        <w:t>sed in the aggregate to identify health disparities in treatment, clinical outcomes and access to care based on distance from resident census tract to provider location.</w:t>
      </w:r>
      <w:r w:rsidRPr="00C824AF" w:rsidR="00242B26">
        <w:rPr>
          <w:rFonts w:ascii="Calibri" w:hAnsi="Calibri" w:cs="Calibri"/>
        </w:rPr>
        <w:t xml:space="preserve"> Information on gender, age, race/ethnicity, and gender of sex partner are collected (</w:t>
      </w:r>
      <w:r w:rsidRPr="00C824AF" w:rsidR="00242B26">
        <w:rPr>
          <w:rFonts w:ascii="Calibri" w:hAnsi="Calibri" w:cs="Calibri"/>
          <w:b/>
          <w:bCs/>
        </w:rPr>
        <w:t>A</w:t>
      </w:r>
      <w:r w:rsidRPr="00C824AF" w:rsidR="00475C73">
        <w:rPr>
          <w:rFonts w:ascii="Calibri" w:hAnsi="Calibri" w:cs="Calibri"/>
          <w:b/>
          <w:bCs/>
        </w:rPr>
        <w:t>ttachments</w:t>
      </w:r>
      <w:r w:rsidRPr="00C824AF" w:rsidR="00242B26">
        <w:rPr>
          <w:rFonts w:ascii="Calibri" w:hAnsi="Calibri" w:cs="Calibri"/>
          <w:b/>
          <w:bCs/>
        </w:rPr>
        <w:t xml:space="preserve"> 3A-D</w:t>
      </w:r>
      <w:r w:rsidRPr="00C824AF" w:rsidR="00242B26">
        <w:rPr>
          <w:rFonts w:ascii="Calibri" w:hAnsi="Calibri" w:cs="Calibri"/>
        </w:rPr>
        <w:t xml:space="preserve">) and </w:t>
      </w:r>
      <w:r>
        <w:rPr>
          <w:rFonts w:ascii="Calibri" w:hAnsi="Calibri" w:cs="Calibri"/>
        </w:rPr>
        <w:t>sent</w:t>
      </w:r>
      <w:r w:rsidRPr="00C824AF" w:rsidR="00242B26">
        <w:rPr>
          <w:rFonts w:ascii="Calibri" w:hAnsi="Calibri" w:cs="Calibri"/>
        </w:rPr>
        <w:t xml:space="preserve"> to CDC because STDs disproportionally impact racial/ethnic and other (including sexual) minorities.</w:t>
      </w:r>
    </w:p>
    <w:p w:rsidR="007460FE" w:rsidP="007F2486" w:rsidRDefault="007460FE" w14:paraId="3C7E3E42" w14:textId="77777777">
      <w:pPr>
        <w:rPr>
          <w:rFonts w:ascii="Calibri" w:hAnsi="Calibri" w:cs="Courier New"/>
        </w:rPr>
      </w:pPr>
    </w:p>
    <w:p w:rsidRPr="00C824AF" w:rsidR="00242B26" w:rsidP="00242B26" w:rsidRDefault="00242B26" w14:paraId="52274FBA" w14:textId="500184A3">
      <w:pPr>
        <w:rPr>
          <w:rFonts w:ascii="Calibri" w:hAnsi="Calibri" w:cs="Calibri"/>
          <w:bCs/>
        </w:rPr>
      </w:pPr>
      <w:r w:rsidRPr="00C824AF">
        <w:rPr>
          <w:rFonts w:ascii="Calibri" w:hAnsi="Calibri" w:cs="Calibri"/>
          <w:bCs/>
        </w:rPr>
        <w:t xml:space="preserve">In the data sent to CDC, </w:t>
      </w:r>
      <w:r w:rsidR="00AD4CE5">
        <w:rPr>
          <w:rFonts w:ascii="Calibri" w:hAnsi="Calibri" w:cs="Calibri"/>
          <w:bCs/>
        </w:rPr>
        <w:t>local or state health department or facility data manager</w:t>
      </w:r>
      <w:r w:rsidR="00585DB6">
        <w:rPr>
          <w:rFonts w:ascii="Calibri" w:hAnsi="Calibri" w:cs="Calibri"/>
          <w:bCs/>
        </w:rPr>
        <w:t>s</w:t>
      </w:r>
      <w:r w:rsidR="00AD4CE5">
        <w:rPr>
          <w:rFonts w:ascii="Calibri" w:hAnsi="Calibri" w:cs="Calibri"/>
          <w:bCs/>
        </w:rPr>
        <w:t xml:space="preserve"> assign a new non-name-based number (patient ID) to each data record.</w:t>
      </w:r>
      <w:r w:rsidRPr="00C824AF">
        <w:rPr>
          <w:rFonts w:ascii="Calibri" w:hAnsi="Calibri" w:cs="Calibri"/>
          <w:bCs/>
        </w:rPr>
        <w:t xml:space="preserve"> The patient ID</w:t>
      </w:r>
      <w:r w:rsidR="00AD4CE5">
        <w:rPr>
          <w:rFonts w:ascii="Calibri" w:hAnsi="Calibri" w:cs="Calibri"/>
          <w:bCs/>
        </w:rPr>
        <w:t xml:space="preserve"> number</w:t>
      </w:r>
      <w:r w:rsidRPr="00C824AF">
        <w:rPr>
          <w:rFonts w:ascii="Calibri" w:hAnsi="Calibri" w:cs="Calibri"/>
          <w:bCs/>
        </w:rPr>
        <w:t>, assigned by either the state or local health department or the sentinel facility, is created solely for the purposes of surveillance and is not itself a medical record number</w:t>
      </w:r>
      <w:r w:rsidRPr="00C824AF" w:rsidR="004A33EF">
        <w:rPr>
          <w:rFonts w:ascii="Calibri" w:hAnsi="Calibri" w:cs="Calibri"/>
          <w:bCs/>
        </w:rPr>
        <w:t xml:space="preserve"> or social security number</w:t>
      </w:r>
      <w:r w:rsidRPr="00C824AF">
        <w:rPr>
          <w:rFonts w:ascii="Calibri" w:hAnsi="Calibri" w:cs="Calibri"/>
          <w:bCs/>
        </w:rPr>
        <w:t xml:space="preserve">. The patient ID </w:t>
      </w:r>
      <w:r w:rsidR="007B0DBD">
        <w:rPr>
          <w:rFonts w:ascii="Calibri" w:hAnsi="Calibri" w:cs="Calibri"/>
          <w:bCs/>
        </w:rPr>
        <w:t>numbers</w:t>
      </w:r>
      <w:r w:rsidRPr="00C824AF">
        <w:rPr>
          <w:rFonts w:ascii="Calibri" w:hAnsi="Calibri" w:cs="Calibri"/>
          <w:bCs/>
        </w:rPr>
        <w:t xml:space="preserve"> for the STD clinic patients are assigned and maintained by the participating facility. CDC can</w:t>
      </w:r>
      <w:r w:rsidR="007B0DBD">
        <w:rPr>
          <w:rFonts w:ascii="Calibri" w:hAnsi="Calibri" w:cs="Calibri"/>
          <w:bCs/>
        </w:rPr>
        <w:t>not</w:t>
      </w:r>
      <w:r w:rsidRPr="00C824AF">
        <w:rPr>
          <w:rFonts w:ascii="Calibri" w:hAnsi="Calibri" w:cs="Calibri"/>
          <w:bCs/>
        </w:rPr>
        <w:t xml:space="preserve"> use this number in the identification of individual patients seeking care in these facilities. In the field</w:t>
      </w:r>
      <w:r w:rsidR="007B0DBD">
        <w:rPr>
          <w:rFonts w:ascii="Calibri" w:hAnsi="Calibri" w:cs="Calibri"/>
          <w:bCs/>
        </w:rPr>
        <w:t xml:space="preserve"> </w:t>
      </w:r>
      <w:r w:rsidRPr="00C824AF">
        <w:rPr>
          <w:rFonts w:ascii="Calibri" w:hAnsi="Calibri" w:cs="Calibri"/>
          <w:bCs/>
        </w:rPr>
        <w:t xml:space="preserve">investigation component of SURRG, the </w:t>
      </w:r>
      <w:r w:rsidR="007B0DBD">
        <w:rPr>
          <w:rFonts w:ascii="Calibri" w:hAnsi="Calibri" w:cs="Calibri"/>
        </w:rPr>
        <w:t>newly assigned</w:t>
      </w:r>
      <w:r w:rsidRPr="00C824AF" w:rsidR="007B0DBD">
        <w:rPr>
          <w:rFonts w:ascii="Calibri" w:hAnsi="Calibri" w:cs="Calibri"/>
        </w:rPr>
        <w:t xml:space="preserve"> </w:t>
      </w:r>
      <w:r w:rsidR="007B0DBD">
        <w:rPr>
          <w:rFonts w:ascii="Calibri" w:hAnsi="Calibri" w:cs="Calibri"/>
        </w:rPr>
        <w:t xml:space="preserve">patient </w:t>
      </w:r>
      <w:r w:rsidRPr="00C824AF">
        <w:rPr>
          <w:rFonts w:ascii="Calibri" w:hAnsi="Calibri" w:cs="Calibri"/>
        </w:rPr>
        <w:t>ID</w:t>
      </w:r>
      <w:r w:rsidR="007B0DBD">
        <w:rPr>
          <w:rFonts w:ascii="Calibri" w:hAnsi="Calibri" w:cs="Calibri"/>
        </w:rPr>
        <w:t xml:space="preserve"> number</w:t>
      </w:r>
      <w:r w:rsidRPr="00C824AF">
        <w:rPr>
          <w:rFonts w:ascii="Calibri" w:hAnsi="Calibri" w:cs="Calibri"/>
        </w:rPr>
        <w:t xml:space="preserve"> is assigned by the local </w:t>
      </w:r>
      <w:r w:rsidR="007B0DBD">
        <w:rPr>
          <w:rFonts w:ascii="Calibri" w:hAnsi="Calibri" w:cs="Calibri"/>
        </w:rPr>
        <w:t>health department</w:t>
      </w:r>
      <w:r w:rsidRPr="00C824AF" w:rsidR="007B0DBD">
        <w:rPr>
          <w:rFonts w:ascii="Calibri" w:hAnsi="Calibri" w:cs="Calibri"/>
        </w:rPr>
        <w:t xml:space="preserve"> </w:t>
      </w:r>
      <w:r w:rsidRPr="00C824AF">
        <w:rPr>
          <w:rFonts w:ascii="Calibri" w:hAnsi="Calibri" w:cs="Calibri"/>
        </w:rPr>
        <w:t xml:space="preserve">to each gonorrhea case using data on case reports submitted by providers/ laboratories pursuant to local reporting regulations. These records can only be re-identified at the local level. Data </w:t>
      </w:r>
      <w:r w:rsidR="007B0DBD">
        <w:rPr>
          <w:rFonts w:ascii="Calibri" w:hAnsi="Calibri" w:cs="Calibri"/>
        </w:rPr>
        <w:t>are</w:t>
      </w:r>
      <w:r w:rsidRPr="00C824AF">
        <w:rPr>
          <w:rFonts w:ascii="Calibri" w:hAnsi="Calibri" w:cs="Calibri"/>
        </w:rPr>
        <w:t xml:space="preserve"> encrypted and </w:t>
      </w:r>
      <w:r w:rsidR="00AD4CE5">
        <w:rPr>
          <w:rFonts w:ascii="Calibri" w:hAnsi="Calibri" w:cs="Calibri"/>
        </w:rPr>
        <w:lastRenderedPageBreak/>
        <w:t>sent</w:t>
      </w:r>
      <w:r w:rsidRPr="00C824AF">
        <w:rPr>
          <w:rFonts w:ascii="Calibri" w:hAnsi="Calibri" w:cs="Calibri"/>
        </w:rPr>
        <w:t xml:space="preserve"> via CDC’s Secure Access Management System (SAMS). At CDC, SURRG data are maintained on secure servers behind the CDC firewall.  </w:t>
      </w:r>
      <w:r w:rsidR="00585DB6">
        <w:rPr>
          <w:rFonts w:ascii="Calibri" w:hAnsi="Calibri" w:cs="Calibri"/>
        </w:rPr>
        <w:t>Access is p</w:t>
      </w:r>
      <w:r w:rsidRPr="00C824AF">
        <w:rPr>
          <w:rFonts w:ascii="Calibri" w:hAnsi="Calibri" w:cs="Calibri"/>
        </w:rPr>
        <w:t xml:space="preserve">assword-protected and directory-specific user access rights are assigned by a CDC data steward. Restricted access to STD data is provided to DSTDP/CDC scientists, researchers, and program managers. </w:t>
      </w:r>
    </w:p>
    <w:p w:rsidRPr="00C824AF" w:rsidR="00242B26" w:rsidP="00242B26" w:rsidRDefault="00242B26" w14:paraId="492A8609" w14:textId="77777777">
      <w:pPr>
        <w:keepNext/>
        <w:autoSpaceDE w:val="0"/>
        <w:autoSpaceDN w:val="0"/>
        <w:adjustRightInd w:val="0"/>
        <w:rPr>
          <w:rFonts w:ascii="Calibri" w:hAnsi="Calibri" w:cs="Calibri"/>
          <w:bCs/>
        </w:rPr>
      </w:pPr>
    </w:p>
    <w:p w:rsidRPr="00C824AF" w:rsidR="00242B26" w:rsidP="00242B26" w:rsidRDefault="004A33EF" w14:paraId="7F64DD95" w14:textId="77777777">
      <w:pPr>
        <w:keepNext/>
        <w:autoSpaceDE w:val="0"/>
        <w:autoSpaceDN w:val="0"/>
        <w:adjustRightInd w:val="0"/>
        <w:rPr>
          <w:rFonts w:ascii="Calibri" w:hAnsi="Calibri" w:cs="Calibri"/>
          <w:bCs/>
        </w:rPr>
      </w:pPr>
      <w:r w:rsidRPr="00C824AF">
        <w:rPr>
          <w:rFonts w:ascii="Calibri" w:hAnsi="Calibri" w:cs="Calibri"/>
          <w:bCs/>
        </w:rPr>
        <w:t>For c</w:t>
      </w:r>
      <w:r w:rsidRPr="00C824AF" w:rsidR="00242B26">
        <w:rPr>
          <w:rFonts w:ascii="Calibri" w:hAnsi="Calibri" w:cs="Calibri"/>
          <w:bCs/>
        </w:rPr>
        <w:t>linical and demographic variables from the participating facilities</w:t>
      </w:r>
      <w:r w:rsidRPr="00C824AF">
        <w:rPr>
          <w:rFonts w:ascii="Calibri" w:hAnsi="Calibri" w:cs="Calibri"/>
          <w:bCs/>
        </w:rPr>
        <w:t>,</w:t>
      </w:r>
      <w:r w:rsidRPr="00C824AF" w:rsidR="00242B26">
        <w:rPr>
          <w:rFonts w:ascii="Calibri" w:hAnsi="Calibri" w:cs="Calibri"/>
          <w:bCs/>
        </w:rPr>
        <w:t xml:space="preserve"> written informed consent was not required at any of the facilities for the collection of de-identified electronic clinical data elements maintained in archived databases at the clinics. This is deemed to be of minimal risk and the data collection could not be conducted with written informed consent. The data </w:t>
      </w:r>
      <w:r w:rsidR="00AD4CE5">
        <w:rPr>
          <w:rFonts w:ascii="Calibri" w:hAnsi="Calibri" w:cs="Calibri"/>
          <w:bCs/>
        </w:rPr>
        <w:t>sent to CDC</w:t>
      </w:r>
      <w:r w:rsidRPr="00C824AF" w:rsidR="00242B26">
        <w:rPr>
          <w:rFonts w:ascii="Calibri" w:hAnsi="Calibri" w:cs="Calibri"/>
          <w:bCs/>
        </w:rPr>
        <w:t xml:space="preserve"> do not have any personal identifiers (patient names, initials, date of birth, contact information, or medical record numbers). Patients are identified in the database only by a unique patient ID code</w:t>
      </w:r>
      <w:r w:rsidRPr="00C824AF" w:rsidDel="009D7C1A" w:rsidR="00242B26">
        <w:rPr>
          <w:rFonts w:ascii="Calibri" w:hAnsi="Calibri" w:cs="Calibri"/>
          <w:bCs/>
        </w:rPr>
        <w:t xml:space="preserve"> </w:t>
      </w:r>
      <w:r w:rsidRPr="00C824AF" w:rsidR="00242B26">
        <w:rPr>
          <w:rFonts w:ascii="Calibri" w:hAnsi="Calibri" w:cs="Calibri"/>
          <w:bCs/>
        </w:rPr>
        <w:t>and CDC does not receive any information that could be used to personally identify any data records.</w:t>
      </w:r>
    </w:p>
    <w:p w:rsidRPr="00C824AF" w:rsidR="00242B26" w:rsidP="00242B26" w:rsidRDefault="00242B26" w14:paraId="5B95A6EC" w14:textId="77777777">
      <w:pPr>
        <w:keepNext/>
        <w:autoSpaceDE w:val="0"/>
        <w:autoSpaceDN w:val="0"/>
        <w:adjustRightInd w:val="0"/>
        <w:rPr>
          <w:rFonts w:ascii="Calibri" w:hAnsi="Calibri" w:cs="Calibri"/>
          <w:bCs/>
        </w:rPr>
      </w:pPr>
    </w:p>
    <w:p w:rsidRPr="00C824AF" w:rsidR="00242B26" w:rsidP="00242B26" w:rsidRDefault="00242B26" w14:paraId="17318713" w14:textId="5D53DF70">
      <w:pPr>
        <w:keepNext/>
        <w:autoSpaceDE w:val="0"/>
        <w:autoSpaceDN w:val="0"/>
        <w:adjustRightInd w:val="0"/>
        <w:rPr>
          <w:rFonts w:ascii="Calibri" w:hAnsi="Calibri" w:cs="Calibri"/>
          <w:bCs/>
        </w:rPr>
      </w:pPr>
      <w:r w:rsidRPr="00C824AF">
        <w:rPr>
          <w:rFonts w:ascii="Calibri" w:hAnsi="Calibri" w:cs="Calibri"/>
          <w:bCs/>
        </w:rPr>
        <w:t>For the field</w:t>
      </w:r>
      <w:r w:rsidR="00AD4CE5">
        <w:rPr>
          <w:rFonts w:ascii="Calibri" w:hAnsi="Calibri" w:cs="Calibri"/>
          <w:bCs/>
        </w:rPr>
        <w:t xml:space="preserve"> </w:t>
      </w:r>
      <w:r w:rsidRPr="00C824AF">
        <w:rPr>
          <w:rFonts w:ascii="Calibri" w:hAnsi="Calibri" w:cs="Calibri"/>
          <w:bCs/>
        </w:rPr>
        <w:t>investigation-based activity, state and/or local health departments</w:t>
      </w:r>
      <w:r w:rsidR="00AD4CE5">
        <w:rPr>
          <w:rFonts w:ascii="Calibri" w:hAnsi="Calibri" w:cs="Calibri"/>
          <w:bCs/>
        </w:rPr>
        <w:t>:</w:t>
      </w:r>
      <w:r w:rsidRPr="00C824AF">
        <w:rPr>
          <w:rFonts w:ascii="Calibri" w:hAnsi="Calibri" w:cs="Calibri"/>
          <w:bCs/>
        </w:rPr>
        <w:t xml:space="preserve"> 1) contact the </w:t>
      </w:r>
      <w:r w:rsidR="00AD4CE5">
        <w:rPr>
          <w:rFonts w:ascii="Calibri" w:hAnsi="Calibri" w:cs="Calibri"/>
          <w:bCs/>
        </w:rPr>
        <w:t>people</w:t>
      </w:r>
      <w:r w:rsidRPr="00C824AF">
        <w:rPr>
          <w:rFonts w:ascii="Calibri" w:hAnsi="Calibri" w:cs="Calibri"/>
          <w:bCs/>
        </w:rPr>
        <w:t xml:space="preserve"> diagnosed with </w:t>
      </w:r>
      <w:r w:rsidRPr="00C824AF" w:rsidR="004A33EF">
        <w:rPr>
          <w:rFonts w:ascii="Calibri" w:hAnsi="Calibri" w:cs="Calibri"/>
          <w:bCs/>
        </w:rPr>
        <w:t xml:space="preserve">gonorrhea </w:t>
      </w:r>
      <w:r w:rsidRPr="00C824AF">
        <w:rPr>
          <w:rFonts w:ascii="Calibri" w:hAnsi="Calibri" w:cs="Calibri"/>
          <w:bCs/>
        </w:rPr>
        <w:t>under local public health authority to conduct disease investigations, and 2)</w:t>
      </w:r>
      <w:r w:rsidRPr="00C824AF">
        <w:rPr>
          <w:rFonts w:ascii="Calibri" w:hAnsi="Calibri" w:cs="Calibri"/>
        </w:rPr>
        <w:t xml:space="preserve"> </w:t>
      </w:r>
      <w:r w:rsidRPr="00C824AF">
        <w:rPr>
          <w:rFonts w:ascii="Calibri" w:hAnsi="Calibri" w:cs="Calibri"/>
          <w:bCs/>
        </w:rPr>
        <w:t xml:space="preserve">contact their </w:t>
      </w:r>
      <w:r w:rsidR="00585DB6">
        <w:rPr>
          <w:rFonts w:ascii="Calibri" w:hAnsi="Calibri" w:cs="Calibri"/>
          <w:bCs/>
        </w:rPr>
        <w:t xml:space="preserve">sexual </w:t>
      </w:r>
      <w:r w:rsidRPr="00C824AF">
        <w:rPr>
          <w:rFonts w:ascii="Calibri" w:hAnsi="Calibri" w:cs="Calibri"/>
          <w:bCs/>
        </w:rPr>
        <w:t xml:space="preserve">partners. CDC does not conduct any interviews with patients or partners. The interviews are conducted by </w:t>
      </w:r>
      <w:r w:rsidR="00AD4CE5">
        <w:rPr>
          <w:rFonts w:ascii="Calibri" w:hAnsi="Calibri" w:cs="Calibri"/>
          <w:bCs/>
        </w:rPr>
        <w:t xml:space="preserve">specially </w:t>
      </w:r>
      <w:r w:rsidRPr="00C824AF">
        <w:rPr>
          <w:rFonts w:ascii="Calibri" w:hAnsi="Calibri" w:cs="Calibri"/>
          <w:bCs/>
        </w:rPr>
        <w:t>trained local health department staff in a private location where the questions and responses cannot be overheard by others. The health department staff conducting these investigations (</w:t>
      </w:r>
      <w:r w:rsidR="00AD4CE5">
        <w:rPr>
          <w:rFonts w:ascii="Calibri" w:hAnsi="Calibri" w:cs="Calibri"/>
          <w:bCs/>
        </w:rPr>
        <w:t>called “</w:t>
      </w:r>
      <w:r w:rsidRPr="00C824AF">
        <w:rPr>
          <w:rFonts w:ascii="Calibri" w:hAnsi="Calibri" w:cs="Calibri"/>
          <w:bCs/>
        </w:rPr>
        <w:t>disease in</w:t>
      </w:r>
      <w:r w:rsidR="008365C1">
        <w:rPr>
          <w:rFonts w:ascii="Calibri" w:hAnsi="Calibri" w:cs="Calibri"/>
          <w:bCs/>
        </w:rPr>
        <w:t>tervention</w:t>
      </w:r>
      <w:r w:rsidRPr="00C824AF">
        <w:rPr>
          <w:rFonts w:ascii="Calibri" w:hAnsi="Calibri" w:cs="Calibri"/>
          <w:bCs/>
        </w:rPr>
        <w:t xml:space="preserve"> specialists</w:t>
      </w:r>
      <w:r w:rsidR="00AD4CE5">
        <w:rPr>
          <w:rFonts w:ascii="Calibri" w:hAnsi="Calibri" w:cs="Calibri"/>
          <w:bCs/>
        </w:rPr>
        <w:t>” or “DIS”</w:t>
      </w:r>
      <w:r w:rsidRPr="00C824AF">
        <w:rPr>
          <w:rFonts w:ascii="Calibri" w:hAnsi="Calibri" w:cs="Calibri"/>
          <w:bCs/>
        </w:rPr>
        <w:t xml:space="preserve">) are required to undergo specific DIS training that includes education about patient and data confidentiality. Individuals being contacted </w:t>
      </w:r>
      <w:r w:rsidR="00AD4CE5">
        <w:rPr>
          <w:rFonts w:ascii="Calibri" w:hAnsi="Calibri" w:cs="Calibri"/>
          <w:bCs/>
        </w:rPr>
        <w:t xml:space="preserve">by DIS </w:t>
      </w:r>
      <w:r w:rsidRPr="00C824AF">
        <w:rPr>
          <w:rFonts w:ascii="Calibri" w:hAnsi="Calibri" w:cs="Calibri"/>
          <w:bCs/>
        </w:rPr>
        <w:t xml:space="preserve">for interviews </w:t>
      </w:r>
      <w:r w:rsidR="00AD4CE5">
        <w:rPr>
          <w:rFonts w:ascii="Calibri" w:hAnsi="Calibri" w:cs="Calibri"/>
          <w:bCs/>
        </w:rPr>
        <w:t xml:space="preserve">are asked to verbally provide </w:t>
      </w:r>
      <w:r w:rsidRPr="00C824AF">
        <w:rPr>
          <w:rFonts w:ascii="Calibri" w:hAnsi="Calibri" w:cs="Calibri"/>
          <w:bCs/>
        </w:rPr>
        <w:t>consent over the phone or in</w:t>
      </w:r>
      <w:r w:rsidRPr="00C824AF" w:rsidR="004A33EF">
        <w:rPr>
          <w:rFonts w:ascii="Calibri" w:hAnsi="Calibri" w:cs="Calibri"/>
          <w:bCs/>
        </w:rPr>
        <w:t>-</w:t>
      </w:r>
      <w:r w:rsidRPr="00C824AF">
        <w:rPr>
          <w:rFonts w:ascii="Calibri" w:hAnsi="Calibri" w:cs="Calibri"/>
          <w:bCs/>
        </w:rPr>
        <w:t xml:space="preserve">person prior to the administration of the </w:t>
      </w:r>
      <w:r w:rsidRPr="00C824AF" w:rsidR="004A33EF">
        <w:rPr>
          <w:rFonts w:ascii="Calibri" w:hAnsi="Calibri" w:cs="Calibri"/>
          <w:bCs/>
        </w:rPr>
        <w:t>questionnaire</w:t>
      </w:r>
      <w:r w:rsidRPr="00C824AF">
        <w:rPr>
          <w:rFonts w:ascii="Calibri" w:hAnsi="Calibri" w:cs="Calibri"/>
          <w:bCs/>
        </w:rPr>
        <w:t xml:space="preserve">. Participants are told they may decline to participate without penalty </w:t>
      </w:r>
      <w:r w:rsidR="00AD4CE5">
        <w:rPr>
          <w:rFonts w:ascii="Calibri" w:hAnsi="Calibri" w:cs="Calibri"/>
          <w:bCs/>
        </w:rPr>
        <w:t xml:space="preserve">and that </w:t>
      </w:r>
      <w:r w:rsidRPr="00C824AF">
        <w:rPr>
          <w:rFonts w:ascii="Calibri" w:hAnsi="Calibri" w:cs="Calibri"/>
          <w:bCs/>
        </w:rPr>
        <w:t xml:space="preserve">if they agree to participate, they may refuse to answer any of the survey questions. They are informed that the data will be used to improve </w:t>
      </w:r>
      <w:r w:rsidRPr="00C824AF" w:rsidR="004A33EF">
        <w:rPr>
          <w:rFonts w:ascii="Calibri" w:hAnsi="Calibri" w:cs="Calibri"/>
          <w:bCs/>
        </w:rPr>
        <w:t>gonorrhea</w:t>
      </w:r>
      <w:r w:rsidRPr="00C824AF">
        <w:rPr>
          <w:rFonts w:ascii="Calibri" w:hAnsi="Calibri" w:cs="Calibri"/>
          <w:bCs/>
        </w:rPr>
        <w:t xml:space="preserve"> prevention services for persons at increased risk of STD</w:t>
      </w:r>
      <w:r w:rsidRPr="00C824AF" w:rsidR="004A33EF">
        <w:rPr>
          <w:rFonts w:ascii="Calibri" w:hAnsi="Calibri" w:cs="Calibri"/>
          <w:bCs/>
        </w:rPr>
        <w:t>s and gonorrhea</w:t>
      </w:r>
      <w:r w:rsidRPr="00C824AF">
        <w:rPr>
          <w:rFonts w:ascii="Calibri" w:hAnsi="Calibri" w:cs="Calibri"/>
          <w:bCs/>
        </w:rPr>
        <w:t xml:space="preserve"> in their area, and that aggregated data may be released in published reports.  </w:t>
      </w:r>
    </w:p>
    <w:p w:rsidRPr="006D3A6D" w:rsidR="002818F5" w:rsidP="002818F5" w:rsidRDefault="002818F5" w14:paraId="6217A77C" w14:textId="77777777">
      <w:pPr>
        <w:widowControl w:val="0"/>
        <w:autoSpaceDE w:val="0"/>
        <w:autoSpaceDN w:val="0"/>
        <w:adjustRightInd w:val="0"/>
      </w:pPr>
    </w:p>
    <w:p w:rsidRPr="002657BF" w:rsidR="002818F5" w:rsidP="002818F5" w:rsidRDefault="002818F5" w14:paraId="40813A1B" w14:textId="77777777">
      <w:pPr>
        <w:widowControl w:val="0"/>
        <w:autoSpaceDE w:val="0"/>
        <w:autoSpaceDN w:val="0"/>
        <w:adjustRightInd w:val="0"/>
        <w:rPr>
          <w:rFonts w:ascii="Calibri" w:hAnsi="Calibri"/>
          <w:i/>
        </w:rPr>
      </w:pPr>
      <w:r w:rsidRPr="002657BF">
        <w:rPr>
          <w:rFonts w:ascii="Calibri" w:hAnsi="Calibri"/>
          <w:i/>
        </w:rPr>
        <w:t>Data Transmittals and Safeguards</w:t>
      </w:r>
    </w:p>
    <w:p w:rsidRPr="002657BF" w:rsidR="002818F5" w:rsidP="002818F5" w:rsidRDefault="002818F5" w14:paraId="44F15417" w14:textId="084A997F">
      <w:pPr>
        <w:widowControl w:val="0"/>
        <w:autoSpaceDE w:val="0"/>
        <w:autoSpaceDN w:val="0"/>
        <w:adjustRightInd w:val="0"/>
        <w:rPr>
          <w:rFonts w:ascii="Calibri" w:hAnsi="Calibri"/>
        </w:rPr>
      </w:pPr>
      <w:r w:rsidRPr="002657BF">
        <w:rPr>
          <w:rFonts w:ascii="Calibri" w:hAnsi="Calibri"/>
        </w:rPr>
        <w:t xml:space="preserve">Data </w:t>
      </w:r>
      <w:r w:rsidR="00AD4CE5">
        <w:rPr>
          <w:rFonts w:ascii="Calibri" w:hAnsi="Calibri"/>
        </w:rPr>
        <w:t>sent</w:t>
      </w:r>
      <w:r w:rsidRPr="002657BF" w:rsidR="00AD4CE5">
        <w:rPr>
          <w:rFonts w:ascii="Calibri" w:hAnsi="Calibri"/>
        </w:rPr>
        <w:t xml:space="preserve"> </w:t>
      </w:r>
      <w:r w:rsidRPr="002657BF">
        <w:rPr>
          <w:rFonts w:ascii="Calibri" w:hAnsi="Calibri"/>
        </w:rPr>
        <w:t xml:space="preserve">from </w:t>
      </w:r>
      <w:r w:rsidR="00AD4CE5">
        <w:rPr>
          <w:rFonts w:ascii="Calibri" w:hAnsi="Calibri"/>
        </w:rPr>
        <w:t>participating health departments</w:t>
      </w:r>
      <w:r w:rsidRPr="002657BF">
        <w:rPr>
          <w:rFonts w:ascii="Calibri" w:hAnsi="Calibri"/>
        </w:rPr>
        <w:t xml:space="preserve"> to CDC </w:t>
      </w:r>
      <w:r w:rsidR="00585DB6">
        <w:rPr>
          <w:rFonts w:ascii="Calibri" w:hAnsi="Calibri"/>
        </w:rPr>
        <w:t>are</w:t>
      </w:r>
      <w:r w:rsidRPr="002657BF">
        <w:rPr>
          <w:rFonts w:ascii="Calibri" w:hAnsi="Calibri"/>
        </w:rPr>
        <w:t xml:space="preserve"> restricted to CDC’s Secure Access Management Services (SAMS). SAMS is an approved federal information technology system that provides authorized</w:t>
      </w:r>
      <w:r w:rsidR="00AD4CE5">
        <w:rPr>
          <w:rFonts w:ascii="Calibri" w:hAnsi="Calibri"/>
        </w:rPr>
        <w:t xml:space="preserve"> and</w:t>
      </w:r>
      <w:r w:rsidRPr="002657BF">
        <w:rPr>
          <w:rFonts w:ascii="Calibri" w:hAnsi="Calibri"/>
        </w:rPr>
        <w:t xml:space="preserve"> validated users </w:t>
      </w:r>
      <w:r w:rsidR="00AD4CE5">
        <w:rPr>
          <w:rFonts w:ascii="Calibri" w:hAnsi="Calibri"/>
        </w:rPr>
        <w:t xml:space="preserve">with secure and encrypted </w:t>
      </w:r>
      <w:r w:rsidRPr="002657BF">
        <w:rPr>
          <w:rFonts w:ascii="Calibri" w:hAnsi="Calibri"/>
        </w:rPr>
        <w:t xml:space="preserve">access to CDC file transfer applications. The encrypted data </w:t>
      </w:r>
      <w:r w:rsidR="00AD4CE5">
        <w:rPr>
          <w:rFonts w:ascii="Calibri" w:hAnsi="Calibri"/>
        </w:rPr>
        <w:t>are</w:t>
      </w:r>
      <w:r w:rsidRPr="002657BF">
        <w:rPr>
          <w:rFonts w:ascii="Calibri" w:hAnsi="Calibri"/>
        </w:rPr>
        <w:t xml:space="preserve"> stored in a secure CDC server with strictly controlled and restricted access rights. </w:t>
      </w:r>
    </w:p>
    <w:p w:rsidRPr="002657BF" w:rsidR="002818F5" w:rsidP="002818F5" w:rsidRDefault="002818F5" w14:paraId="7933CC38" w14:textId="77777777">
      <w:pPr>
        <w:widowControl w:val="0"/>
        <w:autoSpaceDE w:val="0"/>
        <w:autoSpaceDN w:val="0"/>
        <w:adjustRightInd w:val="0"/>
        <w:rPr>
          <w:rFonts w:ascii="Calibri" w:hAnsi="Calibri"/>
        </w:rPr>
      </w:pPr>
    </w:p>
    <w:p w:rsidRPr="00666649" w:rsidR="002818F5" w:rsidP="00022F67" w:rsidRDefault="002818F5" w14:paraId="532E86B0" w14:textId="75AFB748">
      <w:pPr>
        <w:widowControl w:val="0"/>
        <w:autoSpaceDE w:val="0"/>
        <w:autoSpaceDN w:val="0"/>
        <w:adjustRightInd w:val="0"/>
        <w:rPr>
          <w:rFonts w:ascii="Calibri" w:hAnsi="Calibri"/>
        </w:rPr>
      </w:pPr>
      <w:r w:rsidRPr="002657BF">
        <w:rPr>
          <w:rFonts w:ascii="Calibri" w:hAnsi="Calibri"/>
        </w:rPr>
        <w:t xml:space="preserve">The Division of STD Prevention, Surveillance and Data </w:t>
      </w:r>
      <w:r w:rsidR="008365C1">
        <w:rPr>
          <w:rFonts w:ascii="Calibri" w:hAnsi="Calibri"/>
        </w:rPr>
        <w:t>Science</w:t>
      </w:r>
      <w:r w:rsidRPr="002657BF" w:rsidR="008365C1">
        <w:rPr>
          <w:rFonts w:ascii="Calibri" w:hAnsi="Calibri"/>
        </w:rPr>
        <w:t xml:space="preserve"> </w:t>
      </w:r>
      <w:r w:rsidRPr="002657BF">
        <w:rPr>
          <w:rFonts w:ascii="Calibri" w:hAnsi="Calibri"/>
        </w:rPr>
        <w:t xml:space="preserve">Branch is </w:t>
      </w:r>
      <w:r w:rsidR="00AD4CE5">
        <w:rPr>
          <w:rFonts w:ascii="Calibri" w:hAnsi="Calibri"/>
        </w:rPr>
        <w:t>responsible for</w:t>
      </w:r>
      <w:r w:rsidRPr="002657BF">
        <w:rPr>
          <w:rFonts w:ascii="Calibri" w:hAnsi="Calibri"/>
        </w:rPr>
        <w:t xml:space="preserve"> maintaining the privacy, security, and scientific integrity of all SURRG databases. The Data Manager </w:t>
      </w:r>
      <w:r w:rsidR="00645759">
        <w:rPr>
          <w:rFonts w:ascii="Calibri" w:hAnsi="Calibri"/>
        </w:rPr>
        <w:t>is the</w:t>
      </w:r>
      <w:r w:rsidRPr="002657BF">
        <w:rPr>
          <w:rFonts w:ascii="Calibri" w:hAnsi="Calibri"/>
        </w:rPr>
        <w:t xml:space="preserve"> custodian of the SURRG data files and </w:t>
      </w:r>
      <w:r w:rsidR="00645759">
        <w:rPr>
          <w:rFonts w:ascii="Calibri" w:hAnsi="Calibri"/>
        </w:rPr>
        <w:t>is</w:t>
      </w:r>
      <w:r w:rsidRPr="002657BF">
        <w:rPr>
          <w:rFonts w:ascii="Calibri" w:hAnsi="Calibri"/>
        </w:rPr>
        <w:t xml:space="preserve"> responsible for assuring all conditions of use and for security arrangements to prevent unauthorized use of or access to SURRG data. Access to the data </w:t>
      </w:r>
      <w:r w:rsidR="00645759">
        <w:rPr>
          <w:rFonts w:ascii="Calibri" w:hAnsi="Calibri"/>
        </w:rPr>
        <w:t>is</w:t>
      </w:r>
      <w:r w:rsidRPr="002657BF">
        <w:rPr>
          <w:rFonts w:ascii="Calibri" w:hAnsi="Calibri"/>
        </w:rPr>
        <w:t xml:space="preserve"> limited to specific SURRG staff members of the Division of STD Prevention and designated collaborators of the study in the performance of their assigned duties. The SURRG Project Officer(s) </w:t>
      </w:r>
      <w:r w:rsidR="00645759">
        <w:rPr>
          <w:rFonts w:ascii="Calibri" w:hAnsi="Calibri"/>
        </w:rPr>
        <w:t>is</w:t>
      </w:r>
      <w:r w:rsidRPr="002657BF">
        <w:rPr>
          <w:rFonts w:ascii="Calibri" w:hAnsi="Calibri"/>
        </w:rPr>
        <w:t xml:space="preserve"> responsible for granting access to SURRG data </w:t>
      </w:r>
      <w:r w:rsidR="0075121D">
        <w:rPr>
          <w:rFonts w:ascii="Calibri" w:hAnsi="Calibri"/>
        </w:rPr>
        <w:t>to</w:t>
      </w:r>
      <w:r w:rsidRPr="002657BF">
        <w:rPr>
          <w:rFonts w:ascii="Calibri" w:hAnsi="Calibri"/>
        </w:rPr>
        <w:t xml:space="preserve"> other CDC staff in </w:t>
      </w:r>
      <w:r w:rsidRPr="002657BF">
        <w:rPr>
          <w:rFonts w:ascii="Calibri" w:hAnsi="Calibri"/>
        </w:rPr>
        <w:lastRenderedPageBreak/>
        <w:t xml:space="preserve">the Division of STD Prevention as needed. The SURRG </w:t>
      </w:r>
      <w:r w:rsidRPr="002657BF" w:rsidR="007369F1">
        <w:rPr>
          <w:rFonts w:ascii="Calibri" w:hAnsi="Calibri"/>
        </w:rPr>
        <w:t xml:space="preserve">collaborating </w:t>
      </w:r>
      <w:r w:rsidR="00645759">
        <w:rPr>
          <w:rFonts w:ascii="Calibri" w:hAnsi="Calibri"/>
        </w:rPr>
        <w:t>health departments</w:t>
      </w:r>
      <w:r w:rsidRPr="002657BF">
        <w:rPr>
          <w:rFonts w:ascii="Calibri" w:hAnsi="Calibri"/>
        </w:rPr>
        <w:t xml:space="preserve"> will be promptly notified of any CDC personnel changes that affect access to the data for this project.  All CDC personnel with data access have complete</w:t>
      </w:r>
      <w:r w:rsidR="0075121D">
        <w:rPr>
          <w:rFonts w:ascii="Calibri" w:hAnsi="Calibri"/>
        </w:rPr>
        <w:t>d and will remain current with</w:t>
      </w:r>
      <w:r w:rsidRPr="002657BF">
        <w:rPr>
          <w:rFonts w:ascii="Calibri" w:hAnsi="Calibri"/>
        </w:rPr>
        <w:t xml:space="preserve"> the annual Health and Human Services Informatio</w:t>
      </w:r>
      <w:r w:rsidRPr="002657BF" w:rsidR="007369F1">
        <w:rPr>
          <w:rFonts w:ascii="Calibri" w:hAnsi="Calibri"/>
        </w:rPr>
        <w:t xml:space="preserve">n Security Awareness Training. </w:t>
      </w:r>
      <w:r w:rsidRPr="002657BF">
        <w:rPr>
          <w:rFonts w:ascii="Calibri" w:hAnsi="Calibri"/>
        </w:rPr>
        <w:t>A record of the completion of security training for all CDC staff is maintained by the CDC Information Technology Services Office (ITSO). State and local surveillance program personnel agree to abide by the Data Security and Confidentiality Guidelines for NCHHSTP. These guidelines can be accessed at the following link: (</w:t>
      </w:r>
      <w:r w:rsidRPr="00E53519">
        <w:rPr>
          <w:rFonts w:ascii="Calibri" w:hAnsi="Calibri"/>
        </w:rPr>
        <w:t xml:space="preserve">http://www.cdc.gov/nchhstp/programintegration/docs/PCSIDataSecurityGuidelines.pdf) and </w:t>
      </w:r>
      <w:r w:rsidRPr="00666649">
        <w:rPr>
          <w:rFonts w:ascii="Calibri" w:hAnsi="Calibri"/>
        </w:rPr>
        <w:t>will be required to document compliance as part of annual project reporting.</w:t>
      </w:r>
    </w:p>
    <w:p w:rsidRPr="00666649" w:rsidR="002818F5" w:rsidP="002818F5" w:rsidRDefault="002818F5" w14:paraId="3AF20201" w14:textId="77777777">
      <w:pPr>
        <w:keepNext/>
        <w:autoSpaceDE w:val="0"/>
        <w:autoSpaceDN w:val="0"/>
        <w:adjustRightInd w:val="0"/>
        <w:rPr>
          <w:rFonts w:ascii="Calibri" w:hAnsi="Calibri"/>
        </w:rPr>
      </w:pPr>
    </w:p>
    <w:p w:rsidRPr="00E53519" w:rsidR="002818F5" w:rsidP="002818F5" w:rsidRDefault="002818F5" w14:paraId="7143A1B3" w14:textId="77777777">
      <w:pPr>
        <w:keepNext/>
        <w:autoSpaceDE w:val="0"/>
        <w:autoSpaceDN w:val="0"/>
        <w:adjustRightInd w:val="0"/>
        <w:rPr>
          <w:rFonts w:ascii="Calibri" w:hAnsi="Calibri"/>
        </w:rPr>
      </w:pPr>
      <w:r w:rsidRPr="00666649">
        <w:rPr>
          <w:rFonts w:ascii="Calibri" w:hAnsi="Calibri"/>
        </w:rPr>
        <w:t xml:space="preserve">Local </w:t>
      </w:r>
      <w:r w:rsidR="00645759">
        <w:rPr>
          <w:rFonts w:ascii="Calibri" w:hAnsi="Calibri"/>
        </w:rPr>
        <w:t xml:space="preserve">health department </w:t>
      </w:r>
      <w:r w:rsidRPr="00666649">
        <w:rPr>
          <w:rFonts w:ascii="Calibri" w:hAnsi="Calibri"/>
        </w:rPr>
        <w:t xml:space="preserve">collaborators retain full control of and rights to analysis, research, and publication of their locally collected data, regardless of whether these data are also provided to CDC as part of </w:t>
      </w:r>
      <w:r w:rsidRPr="00666649" w:rsidR="000B1E13">
        <w:rPr>
          <w:rFonts w:ascii="Calibri" w:hAnsi="Calibri"/>
        </w:rPr>
        <w:t xml:space="preserve">SURRG </w:t>
      </w:r>
      <w:r w:rsidRPr="00666649">
        <w:rPr>
          <w:rFonts w:ascii="Calibri" w:hAnsi="Calibri"/>
        </w:rPr>
        <w:t xml:space="preserve">activities. </w:t>
      </w:r>
    </w:p>
    <w:p w:rsidRPr="00E53519" w:rsidR="002818F5" w:rsidP="002818F5" w:rsidRDefault="002818F5" w14:paraId="4A9F38DA" w14:textId="77777777">
      <w:pPr>
        <w:keepNext/>
        <w:autoSpaceDE w:val="0"/>
        <w:autoSpaceDN w:val="0"/>
        <w:adjustRightInd w:val="0"/>
        <w:rPr>
          <w:rFonts w:ascii="Calibri" w:hAnsi="Calibri"/>
        </w:rPr>
      </w:pPr>
    </w:p>
    <w:p w:rsidRPr="00E53519" w:rsidR="002818F5" w:rsidP="002818F5" w:rsidRDefault="002818F5" w14:paraId="5954E187" w14:textId="77777777">
      <w:pPr>
        <w:keepNext/>
        <w:autoSpaceDE w:val="0"/>
        <w:autoSpaceDN w:val="0"/>
        <w:adjustRightInd w:val="0"/>
        <w:rPr>
          <w:rFonts w:ascii="Calibri" w:hAnsi="Calibri"/>
        </w:rPr>
      </w:pPr>
      <w:r w:rsidRPr="00E53519">
        <w:rPr>
          <w:rFonts w:ascii="Calibri" w:hAnsi="Calibri"/>
        </w:rPr>
        <w:t xml:space="preserve">CDC may retain </w:t>
      </w:r>
      <w:r w:rsidRPr="00E53519" w:rsidR="00717B17">
        <w:rPr>
          <w:rFonts w:ascii="Calibri" w:hAnsi="Calibri"/>
        </w:rPr>
        <w:t>SURRG</w:t>
      </w:r>
      <w:r w:rsidRPr="00E53519">
        <w:rPr>
          <w:rFonts w:ascii="Calibri" w:hAnsi="Calibri"/>
        </w:rPr>
        <w:t xml:space="preserve"> data for appropriate analytic purposes as long as the data are protected as described herein. CDC will annually review the need for the data and shall destroy all copies of the data if it is determined that no further analysis will be conducted. </w:t>
      </w:r>
    </w:p>
    <w:p w:rsidRPr="004B476B" w:rsidR="00717B17" w:rsidP="002818F5" w:rsidRDefault="00717B17" w14:paraId="285CEC2F" w14:textId="77777777">
      <w:pPr>
        <w:keepNext/>
        <w:autoSpaceDE w:val="0"/>
        <w:autoSpaceDN w:val="0"/>
        <w:adjustRightInd w:val="0"/>
      </w:pPr>
    </w:p>
    <w:p w:rsidRPr="00B15B48" w:rsidR="00E81E5D" w:rsidRDefault="00E81E5D" w14:paraId="0FDD8F62" w14:textId="77777777">
      <w:pPr>
        <w:spacing w:after="120"/>
        <w:rPr>
          <w:rFonts w:ascii="Calibri" w:hAnsi="Calibri" w:cs="Courier New"/>
          <w:b/>
        </w:rPr>
      </w:pPr>
      <w:r w:rsidRPr="00B15B48">
        <w:rPr>
          <w:rFonts w:ascii="Calibri" w:hAnsi="Calibri" w:cs="Courier New"/>
          <w:b/>
        </w:rPr>
        <w:t xml:space="preserve">11. Institutional Review Board (IRB) and Justification for Sensitive Questions </w:t>
      </w:r>
    </w:p>
    <w:p w:rsidRPr="00B15B48" w:rsidR="00E81E5D" w:rsidRDefault="00E81E5D" w14:paraId="41D260F1" w14:textId="77777777">
      <w:pPr>
        <w:tabs>
          <w:tab w:val="left" w:pos="-2016"/>
          <w:tab w:val="left" w:pos="-1296"/>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624"/>
          <w:tab w:val="left" w:pos="7344"/>
          <w:tab w:val="left" w:pos="8064"/>
        </w:tabs>
        <w:rPr>
          <w:rFonts w:ascii="Calibri" w:hAnsi="Calibri" w:cs="Courier New"/>
        </w:rPr>
      </w:pPr>
      <w:r w:rsidRPr="00B15B48">
        <w:rPr>
          <w:rFonts w:ascii="Calibri" w:hAnsi="Calibri" w:cs="Courier New"/>
        </w:rPr>
        <w:tab/>
      </w:r>
    </w:p>
    <w:p w:rsidRPr="00B15B48" w:rsidR="00E81E5D" w:rsidRDefault="00E81E5D" w14:paraId="3EDDDC30" w14:textId="77777777">
      <w:pPr>
        <w:tabs>
          <w:tab w:val="left" w:pos="-2016"/>
          <w:tab w:val="left" w:pos="-1296"/>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624"/>
          <w:tab w:val="left" w:pos="7344"/>
          <w:tab w:val="left" w:pos="8064"/>
        </w:tabs>
        <w:rPr>
          <w:rFonts w:ascii="Calibri" w:hAnsi="Calibri" w:cs="Courier New"/>
          <w:b/>
        </w:rPr>
      </w:pPr>
      <w:r w:rsidRPr="00B15B48">
        <w:rPr>
          <w:rFonts w:ascii="Calibri" w:hAnsi="Calibri" w:cs="Courier New"/>
          <w:b/>
        </w:rPr>
        <w:t>IRB Approval</w:t>
      </w:r>
    </w:p>
    <w:p w:rsidRPr="006D3A6D" w:rsidR="009D26DE" w:rsidP="009D26DE" w:rsidRDefault="009D26DE" w14:paraId="6054E0B9" w14:textId="77777777">
      <w:pPr>
        <w:keepNext/>
        <w:autoSpaceDE w:val="0"/>
        <w:autoSpaceDN w:val="0"/>
        <w:adjustRightInd w:val="0"/>
        <w:rPr>
          <w:i/>
        </w:rPr>
      </w:pPr>
    </w:p>
    <w:p w:rsidR="00242B26" w:rsidP="009D26DE" w:rsidRDefault="00242B26" w14:paraId="333DF765" w14:textId="77777777">
      <w:pPr>
        <w:keepNext/>
        <w:autoSpaceDE w:val="0"/>
        <w:autoSpaceDN w:val="0"/>
        <w:adjustRightInd w:val="0"/>
        <w:rPr>
          <w:rFonts w:ascii="Calibri" w:hAnsi="Calibri"/>
        </w:rPr>
      </w:pPr>
      <w:r>
        <w:rPr>
          <w:rFonts w:ascii="Calibri" w:hAnsi="Calibri"/>
        </w:rPr>
        <w:t>The approved Project Determination of Form (Attachment 5) indicates that because the project is a routine disease surveillance activity</w:t>
      </w:r>
      <w:r w:rsidR="00645759">
        <w:rPr>
          <w:rFonts w:ascii="Calibri" w:hAnsi="Calibri"/>
        </w:rPr>
        <w:t>.</w:t>
      </w:r>
      <w:r>
        <w:rPr>
          <w:rFonts w:ascii="Calibri" w:hAnsi="Calibri"/>
        </w:rPr>
        <w:t xml:space="preserve"> </w:t>
      </w:r>
      <w:r w:rsidR="00645759">
        <w:rPr>
          <w:rFonts w:ascii="Calibri" w:hAnsi="Calibri"/>
        </w:rPr>
        <w:t>T</w:t>
      </w:r>
      <w:r>
        <w:rPr>
          <w:rFonts w:ascii="Calibri" w:hAnsi="Calibri"/>
        </w:rPr>
        <w:t xml:space="preserve">he protocol is exempt from review by CDC’s IRB. </w:t>
      </w:r>
    </w:p>
    <w:p w:rsidR="00242B26" w:rsidP="009D26DE" w:rsidRDefault="00242B26" w14:paraId="6B489D87" w14:textId="77777777">
      <w:pPr>
        <w:keepNext/>
        <w:autoSpaceDE w:val="0"/>
        <w:autoSpaceDN w:val="0"/>
        <w:adjustRightInd w:val="0"/>
        <w:rPr>
          <w:rFonts w:ascii="Calibri" w:hAnsi="Calibri"/>
          <w:bCs/>
        </w:rPr>
      </w:pPr>
    </w:p>
    <w:p w:rsidRPr="00B15B48" w:rsidR="00E81E5D" w:rsidRDefault="009D26DE" w14:paraId="5BD03AF4" w14:textId="77777777">
      <w:pPr>
        <w:tabs>
          <w:tab w:val="left" w:pos="-2016"/>
          <w:tab w:val="left" w:pos="-1296"/>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624"/>
          <w:tab w:val="left" w:pos="7344"/>
          <w:tab w:val="left" w:pos="8064"/>
        </w:tabs>
        <w:spacing w:line="480" w:lineRule="auto"/>
        <w:rPr>
          <w:rFonts w:ascii="Calibri" w:hAnsi="Calibri" w:cs="Courier New"/>
          <w:b/>
        </w:rPr>
      </w:pPr>
      <w:r>
        <w:rPr>
          <w:rFonts w:ascii="Calibri" w:hAnsi="Calibri" w:cs="Courier New"/>
          <w:b/>
        </w:rPr>
        <w:t xml:space="preserve">Justification for </w:t>
      </w:r>
      <w:r w:rsidRPr="00B15B48" w:rsidR="00E81E5D">
        <w:rPr>
          <w:rFonts w:ascii="Calibri" w:hAnsi="Calibri" w:cs="Courier New"/>
          <w:b/>
        </w:rPr>
        <w:t>Sensitive Questions</w:t>
      </w:r>
    </w:p>
    <w:p w:rsidRPr="00C824AF" w:rsidR="00671AD1" w:rsidP="00671AD1" w:rsidRDefault="00671AD1" w14:paraId="5E7286AB" w14:textId="152A0D8C">
      <w:pPr>
        <w:keepNext/>
        <w:autoSpaceDE w:val="0"/>
        <w:autoSpaceDN w:val="0"/>
        <w:adjustRightInd w:val="0"/>
        <w:rPr>
          <w:rFonts w:ascii="Calibri" w:hAnsi="Calibri" w:cs="Calibri"/>
        </w:rPr>
      </w:pPr>
      <w:r w:rsidRPr="00C824AF">
        <w:rPr>
          <w:rFonts w:ascii="Calibri" w:hAnsi="Calibri" w:cs="Calibri"/>
        </w:rPr>
        <w:t>The collection of information about STDs is sensitive because of stigma associated with STD</w:t>
      </w:r>
      <w:r w:rsidR="00585DB6">
        <w:rPr>
          <w:rFonts w:ascii="Calibri" w:hAnsi="Calibri" w:cs="Calibri"/>
        </w:rPr>
        <w:t xml:space="preserve">s and </w:t>
      </w:r>
      <w:r w:rsidRPr="00C824AF">
        <w:rPr>
          <w:rFonts w:ascii="Calibri" w:hAnsi="Calibri" w:cs="Calibri"/>
        </w:rPr>
        <w:t>HIV</w:t>
      </w:r>
      <w:r w:rsidR="00585DB6">
        <w:rPr>
          <w:rFonts w:ascii="Calibri" w:hAnsi="Calibri" w:cs="Calibri"/>
        </w:rPr>
        <w:t xml:space="preserve"> infection</w:t>
      </w:r>
      <w:r w:rsidRPr="00C824AF">
        <w:rPr>
          <w:rFonts w:ascii="Calibri" w:hAnsi="Calibri" w:cs="Calibri"/>
        </w:rPr>
        <w:t>. In addition, the modes of transmission of STDs (through sexual contact) and contributing risk factors necessitate the collection of sensitive data, including sexual practices, drug use, and HIV status. In keeping with the purpose of this data collection, other sensitive data are collected about specific behaviors, experiences or conditions that have been shown to be associated with STD</w:t>
      </w:r>
      <w:r w:rsidR="00585DB6">
        <w:rPr>
          <w:rFonts w:ascii="Calibri" w:hAnsi="Calibri" w:cs="Calibri"/>
        </w:rPr>
        <w:t>s</w:t>
      </w:r>
      <w:r w:rsidRPr="00C824AF" w:rsidR="009D26DE">
        <w:rPr>
          <w:rFonts w:ascii="Calibri" w:hAnsi="Calibri" w:cs="Calibri"/>
        </w:rPr>
        <w:t xml:space="preserve"> (</w:t>
      </w:r>
      <w:r w:rsidRPr="00C824AF" w:rsidR="009D26DE">
        <w:rPr>
          <w:rFonts w:ascii="Calibri" w:hAnsi="Calibri" w:cs="Calibri"/>
          <w:b/>
        </w:rPr>
        <w:t>Attachment</w:t>
      </w:r>
      <w:r w:rsidRPr="00C824AF" w:rsidR="00D4620A">
        <w:rPr>
          <w:rFonts w:ascii="Calibri" w:hAnsi="Calibri" w:cs="Calibri"/>
          <w:b/>
        </w:rPr>
        <w:t>s</w:t>
      </w:r>
      <w:r w:rsidRPr="00C824AF" w:rsidR="009D26DE">
        <w:rPr>
          <w:rFonts w:ascii="Calibri" w:hAnsi="Calibri" w:cs="Calibri"/>
          <w:b/>
        </w:rPr>
        <w:t xml:space="preserve"> </w:t>
      </w:r>
      <w:r w:rsidRPr="00C824AF" w:rsidR="006F2DA6">
        <w:rPr>
          <w:rFonts w:ascii="Calibri" w:hAnsi="Calibri" w:cs="Calibri"/>
          <w:b/>
        </w:rPr>
        <w:t>3A, 3B, and 3D</w:t>
      </w:r>
      <w:r w:rsidRPr="00C824AF" w:rsidR="009D26DE">
        <w:rPr>
          <w:rFonts w:ascii="Calibri" w:hAnsi="Calibri" w:cs="Calibri"/>
        </w:rPr>
        <w:t>)</w:t>
      </w:r>
      <w:r w:rsidRPr="00C824AF">
        <w:rPr>
          <w:rFonts w:ascii="Calibri" w:hAnsi="Calibri" w:cs="Calibri"/>
        </w:rPr>
        <w:t>. Although the information requested from STD clinic patients and interviewed participants is highly sensitive, the purposes of SURRG cannot be accomplished without the collection</w:t>
      </w:r>
      <w:r w:rsidR="00585DB6">
        <w:rPr>
          <w:rFonts w:ascii="Calibri" w:hAnsi="Calibri" w:cs="Calibri"/>
        </w:rPr>
        <w:t xml:space="preserve"> of such data</w:t>
      </w:r>
      <w:r w:rsidRPr="00C824AF">
        <w:rPr>
          <w:rFonts w:ascii="Calibri" w:hAnsi="Calibri" w:cs="Calibri"/>
        </w:rPr>
        <w:t xml:space="preserve">. Collected data are used to understand barriers to engaging in protective behaviors and to using STD prevention services. These data are also used to enhance STD prevention programs designed to reduce high-risk </w:t>
      </w:r>
      <w:r w:rsidRPr="00C824AF">
        <w:rPr>
          <w:rFonts w:ascii="Calibri" w:hAnsi="Calibri" w:cs="Calibri"/>
        </w:rPr>
        <w:lastRenderedPageBreak/>
        <w:t xml:space="preserve">behaviors in persons most likely to acquire or transmit STD/HIV and </w:t>
      </w:r>
      <w:r w:rsidR="00645759">
        <w:rPr>
          <w:rFonts w:ascii="Calibri" w:hAnsi="Calibri" w:cs="Calibri"/>
        </w:rPr>
        <w:t xml:space="preserve">to </w:t>
      </w:r>
      <w:r w:rsidRPr="00C824AF">
        <w:rPr>
          <w:rFonts w:ascii="Calibri" w:hAnsi="Calibri" w:cs="Calibri"/>
        </w:rPr>
        <w:t xml:space="preserve">control the spread of resistant gonorrhea. </w:t>
      </w:r>
    </w:p>
    <w:p w:rsidRPr="00C824AF" w:rsidR="00671AD1" w:rsidP="00671AD1" w:rsidRDefault="00671AD1" w14:paraId="6AA53AC4" w14:textId="77777777">
      <w:pPr>
        <w:keepNext/>
        <w:autoSpaceDE w:val="0"/>
        <w:autoSpaceDN w:val="0"/>
        <w:adjustRightInd w:val="0"/>
        <w:rPr>
          <w:rFonts w:ascii="Calibri" w:hAnsi="Calibri" w:cs="Calibri"/>
        </w:rPr>
      </w:pPr>
    </w:p>
    <w:p w:rsidRPr="00C824AF" w:rsidR="00671AD1" w:rsidP="00671AD1" w:rsidRDefault="004A33EF" w14:paraId="5FCC5994" w14:textId="77777777">
      <w:pPr>
        <w:keepNext/>
        <w:autoSpaceDE w:val="0"/>
        <w:autoSpaceDN w:val="0"/>
        <w:adjustRightInd w:val="0"/>
        <w:rPr>
          <w:rFonts w:ascii="Calibri" w:hAnsi="Calibri" w:cs="Calibri"/>
        </w:rPr>
      </w:pPr>
      <w:r w:rsidRPr="00C824AF">
        <w:rPr>
          <w:rFonts w:ascii="Calibri" w:hAnsi="Calibri" w:cs="Calibri"/>
        </w:rPr>
        <w:t>The</w:t>
      </w:r>
      <w:r w:rsidRPr="00C824AF" w:rsidR="00671AD1">
        <w:rPr>
          <w:rFonts w:ascii="Calibri" w:hAnsi="Calibri" w:cs="Calibri"/>
        </w:rPr>
        <w:t xml:space="preserve"> information will be used only in the aggregate and only for the purposes of this project and will be kept private to the extent allowable by law.  </w:t>
      </w:r>
    </w:p>
    <w:p w:rsidRPr="00B76483" w:rsidR="00671AD1" w:rsidP="00671AD1" w:rsidRDefault="00671AD1" w14:paraId="3D955D94" w14:textId="77777777">
      <w:pPr>
        <w:keepNext/>
        <w:autoSpaceDE w:val="0"/>
        <w:autoSpaceDN w:val="0"/>
        <w:adjustRightInd w:val="0"/>
        <w:rPr>
          <w:rFonts w:ascii="Calibri" w:hAnsi="Calibri" w:cs="Calibri"/>
          <w:bCs/>
        </w:rPr>
      </w:pPr>
    </w:p>
    <w:p w:rsidRPr="00A96AE5" w:rsidR="00671AD1" w:rsidP="00671AD1" w:rsidRDefault="00671AD1" w14:paraId="6F10631E" w14:textId="675F4A83">
      <w:pPr>
        <w:keepNext/>
        <w:autoSpaceDE w:val="0"/>
        <w:autoSpaceDN w:val="0"/>
        <w:adjustRightInd w:val="0"/>
        <w:rPr>
          <w:rFonts w:ascii="Calibri" w:hAnsi="Calibri" w:cs="Calibri"/>
        </w:rPr>
      </w:pPr>
      <w:r w:rsidRPr="00A96AE5">
        <w:rPr>
          <w:rFonts w:ascii="Calibri" w:hAnsi="Calibri" w:cs="Calibri"/>
        </w:rPr>
        <w:t xml:space="preserve">City, county, </w:t>
      </w:r>
      <w:r w:rsidRPr="00A96AE5" w:rsidR="00585DB6">
        <w:rPr>
          <w:rFonts w:ascii="Calibri" w:hAnsi="Calibri" w:cs="Calibri"/>
        </w:rPr>
        <w:t xml:space="preserve">and </w:t>
      </w:r>
      <w:r w:rsidRPr="00A96AE5">
        <w:rPr>
          <w:rFonts w:ascii="Calibri" w:hAnsi="Calibri" w:cs="Calibri"/>
        </w:rPr>
        <w:t xml:space="preserve">state information is collected for the purposes of spatial analysis of the data to understand the geographic distribution of disease and risk and to understand the spread of resistant gonorrhea. </w:t>
      </w:r>
    </w:p>
    <w:p w:rsidR="00671AD1" w:rsidP="009D26DE" w:rsidRDefault="00671AD1" w14:paraId="62B7755A" w14:textId="77777777">
      <w:pPr>
        <w:keepNext/>
        <w:autoSpaceDE w:val="0"/>
        <w:autoSpaceDN w:val="0"/>
        <w:adjustRightInd w:val="0"/>
        <w:rPr>
          <w:rFonts w:ascii="Calibri" w:hAnsi="Calibri" w:cs="Calibri"/>
          <w:bCs/>
        </w:rPr>
      </w:pPr>
    </w:p>
    <w:p w:rsidRPr="00C824AF" w:rsidR="00671AD1" w:rsidP="00671AD1" w:rsidRDefault="00F84EA4" w14:paraId="331DD67D" w14:textId="77777777">
      <w:pPr>
        <w:rPr>
          <w:rFonts w:ascii="Calibri" w:hAnsi="Calibri" w:cs="Calibri"/>
        </w:rPr>
      </w:pPr>
      <w:r w:rsidRPr="00C824AF">
        <w:rPr>
          <w:rFonts w:ascii="Calibri" w:hAnsi="Calibri" w:cs="Calibri"/>
        </w:rPr>
        <w:t xml:space="preserve">The </w:t>
      </w:r>
      <w:r w:rsidRPr="00C824AF" w:rsidR="00671AD1">
        <w:rPr>
          <w:rFonts w:ascii="Calibri" w:hAnsi="Calibri" w:cs="Calibri"/>
        </w:rPr>
        <w:t xml:space="preserve">context in which interview questions are asked help to overcome their potential sensitivity. There are several steps taken </w:t>
      </w:r>
      <w:r w:rsidRPr="00C824AF">
        <w:rPr>
          <w:rFonts w:ascii="Calibri" w:hAnsi="Calibri" w:cs="Calibri"/>
        </w:rPr>
        <w:t>SURRG</w:t>
      </w:r>
      <w:r w:rsidRPr="00C824AF" w:rsidR="00671AD1">
        <w:rPr>
          <w:rFonts w:ascii="Calibri" w:hAnsi="Calibri" w:cs="Calibri"/>
        </w:rPr>
        <w:t xml:space="preserve"> to minimize sensitivity and reiterate to the respondent the legitimate need for the information:</w:t>
      </w:r>
    </w:p>
    <w:p w:rsidRPr="00C824AF" w:rsidR="00671AD1" w:rsidP="00671AD1" w:rsidRDefault="00671AD1" w14:paraId="1ABA3641" w14:textId="77777777">
      <w:pPr>
        <w:keepNext/>
        <w:autoSpaceDE w:val="0"/>
        <w:autoSpaceDN w:val="0"/>
        <w:adjustRightInd w:val="0"/>
        <w:rPr>
          <w:rFonts w:ascii="Calibri" w:hAnsi="Calibri" w:cs="Calibri"/>
        </w:rPr>
      </w:pPr>
    </w:p>
    <w:tbl>
      <w:tblPr>
        <w:tblW w:w="0" w:type="auto"/>
        <w:tblLook w:val="04A0" w:firstRow="1" w:lastRow="0" w:firstColumn="1" w:lastColumn="0" w:noHBand="0" w:noVBand="1"/>
      </w:tblPr>
      <w:tblGrid>
        <w:gridCol w:w="625"/>
        <w:gridCol w:w="8725"/>
      </w:tblGrid>
      <w:tr w:rsidRPr="00C824AF" w:rsidR="00671AD1" w:rsidTr="00C824AF" w14:paraId="0E3D9D88" w14:textId="77777777">
        <w:trPr>
          <w:trHeight w:val="333"/>
        </w:trPr>
        <w:tc>
          <w:tcPr>
            <w:tcW w:w="625" w:type="dxa"/>
            <w:shd w:val="clear" w:color="auto" w:fill="auto"/>
          </w:tcPr>
          <w:p w:rsidRPr="00C824AF" w:rsidR="00671AD1" w:rsidP="00C824AF" w:rsidRDefault="00671AD1" w14:paraId="74C021F8" w14:textId="77777777">
            <w:pPr>
              <w:keepNext/>
              <w:autoSpaceDE w:val="0"/>
              <w:autoSpaceDN w:val="0"/>
              <w:adjustRightInd w:val="0"/>
              <w:jc w:val="right"/>
              <w:rPr>
                <w:rFonts w:ascii="Calibri" w:hAnsi="Calibri" w:cs="Calibri"/>
              </w:rPr>
            </w:pPr>
            <w:r w:rsidRPr="00C824AF">
              <w:rPr>
                <w:rFonts w:ascii="Calibri" w:hAnsi="Calibri" w:cs="Calibri"/>
              </w:rPr>
              <w:t>•</w:t>
            </w:r>
          </w:p>
        </w:tc>
        <w:tc>
          <w:tcPr>
            <w:tcW w:w="8725" w:type="dxa"/>
            <w:shd w:val="clear" w:color="auto" w:fill="auto"/>
          </w:tcPr>
          <w:p w:rsidRPr="00C824AF" w:rsidR="00671AD1" w:rsidP="00C824AF" w:rsidRDefault="00671AD1" w14:paraId="09E41671" w14:textId="77777777">
            <w:pPr>
              <w:keepNext/>
              <w:autoSpaceDE w:val="0"/>
              <w:autoSpaceDN w:val="0"/>
              <w:adjustRightInd w:val="0"/>
              <w:rPr>
                <w:rFonts w:ascii="Calibri" w:hAnsi="Calibri" w:cs="Calibri"/>
              </w:rPr>
            </w:pPr>
            <w:r w:rsidRPr="00C824AF">
              <w:rPr>
                <w:rFonts w:ascii="Calibri" w:hAnsi="Calibri" w:cs="Calibri"/>
              </w:rPr>
              <w:t>Most questions allow for responses of “don’t know” or “refuse to answer.”</w:t>
            </w:r>
          </w:p>
        </w:tc>
      </w:tr>
      <w:tr w:rsidRPr="00C824AF" w:rsidR="00671AD1" w:rsidTr="00C824AF" w14:paraId="62234E33" w14:textId="77777777">
        <w:tc>
          <w:tcPr>
            <w:tcW w:w="625" w:type="dxa"/>
            <w:shd w:val="clear" w:color="auto" w:fill="auto"/>
          </w:tcPr>
          <w:p w:rsidRPr="00C824AF" w:rsidR="00671AD1" w:rsidP="00C824AF" w:rsidRDefault="00671AD1" w14:paraId="6CD131E3" w14:textId="77777777">
            <w:pPr>
              <w:keepNext/>
              <w:autoSpaceDE w:val="0"/>
              <w:autoSpaceDN w:val="0"/>
              <w:adjustRightInd w:val="0"/>
              <w:jc w:val="right"/>
              <w:rPr>
                <w:rFonts w:ascii="Calibri" w:hAnsi="Calibri" w:cs="Calibri"/>
              </w:rPr>
            </w:pPr>
            <w:r w:rsidRPr="00C824AF">
              <w:rPr>
                <w:rFonts w:ascii="Calibri" w:hAnsi="Calibri" w:cs="Calibri"/>
              </w:rPr>
              <w:t xml:space="preserve">• </w:t>
            </w:r>
          </w:p>
        </w:tc>
        <w:tc>
          <w:tcPr>
            <w:tcW w:w="8725" w:type="dxa"/>
            <w:shd w:val="clear" w:color="auto" w:fill="auto"/>
          </w:tcPr>
          <w:p w:rsidRPr="00C824AF" w:rsidR="00671AD1" w:rsidP="00C824AF" w:rsidRDefault="00671AD1" w14:paraId="3073B63F" w14:textId="77777777">
            <w:pPr>
              <w:keepNext/>
              <w:autoSpaceDE w:val="0"/>
              <w:autoSpaceDN w:val="0"/>
              <w:adjustRightInd w:val="0"/>
              <w:rPr>
                <w:rFonts w:ascii="Calibri" w:hAnsi="Calibri" w:cs="Calibri"/>
              </w:rPr>
            </w:pPr>
            <w:r w:rsidRPr="00C824AF">
              <w:rPr>
                <w:rFonts w:ascii="Calibri" w:hAnsi="Calibri" w:cs="Calibri"/>
              </w:rPr>
              <w:t>The interview questions are carefully organized to lead smoothly from one topic to another.</w:t>
            </w:r>
          </w:p>
        </w:tc>
      </w:tr>
      <w:tr w:rsidRPr="00C824AF" w:rsidR="00671AD1" w:rsidTr="00C824AF" w14:paraId="6476AF87" w14:textId="77777777">
        <w:tc>
          <w:tcPr>
            <w:tcW w:w="625" w:type="dxa"/>
            <w:shd w:val="clear" w:color="auto" w:fill="auto"/>
          </w:tcPr>
          <w:p w:rsidRPr="00C824AF" w:rsidR="00671AD1" w:rsidP="00C824AF" w:rsidRDefault="00671AD1" w14:paraId="7F7BE705" w14:textId="77777777">
            <w:pPr>
              <w:keepNext/>
              <w:autoSpaceDE w:val="0"/>
              <w:autoSpaceDN w:val="0"/>
              <w:adjustRightInd w:val="0"/>
              <w:jc w:val="right"/>
              <w:rPr>
                <w:rFonts w:ascii="Calibri" w:hAnsi="Calibri" w:cs="Calibri"/>
              </w:rPr>
            </w:pPr>
            <w:r w:rsidRPr="00C824AF">
              <w:rPr>
                <w:rFonts w:ascii="Calibri" w:hAnsi="Calibri" w:cs="Calibri"/>
              </w:rPr>
              <w:t xml:space="preserve">• </w:t>
            </w:r>
          </w:p>
        </w:tc>
        <w:tc>
          <w:tcPr>
            <w:tcW w:w="8725" w:type="dxa"/>
            <w:shd w:val="clear" w:color="auto" w:fill="auto"/>
          </w:tcPr>
          <w:p w:rsidRPr="00C824AF" w:rsidR="00671AD1" w:rsidP="00C824AF" w:rsidRDefault="00671AD1" w14:paraId="4F5AAB9E" w14:textId="77777777">
            <w:pPr>
              <w:keepNext/>
              <w:autoSpaceDE w:val="0"/>
              <w:autoSpaceDN w:val="0"/>
              <w:adjustRightInd w:val="0"/>
              <w:rPr>
                <w:rFonts w:ascii="Calibri" w:hAnsi="Calibri" w:cs="Calibri"/>
              </w:rPr>
            </w:pPr>
            <w:r w:rsidRPr="00C824AF">
              <w:rPr>
                <w:rFonts w:ascii="Calibri" w:hAnsi="Calibri" w:cs="Calibri"/>
              </w:rPr>
              <w:t>Transitions are clear to respondents and the need for the information explained.</w:t>
            </w:r>
          </w:p>
        </w:tc>
      </w:tr>
      <w:tr w:rsidRPr="00C824AF" w:rsidR="00671AD1" w:rsidTr="00C824AF" w14:paraId="779BFBEE" w14:textId="77777777">
        <w:tc>
          <w:tcPr>
            <w:tcW w:w="625" w:type="dxa"/>
            <w:shd w:val="clear" w:color="auto" w:fill="auto"/>
          </w:tcPr>
          <w:p w:rsidRPr="00C824AF" w:rsidR="00671AD1" w:rsidP="00C824AF" w:rsidRDefault="00671AD1" w14:paraId="3838B3CC" w14:textId="77777777">
            <w:pPr>
              <w:keepNext/>
              <w:autoSpaceDE w:val="0"/>
              <w:autoSpaceDN w:val="0"/>
              <w:adjustRightInd w:val="0"/>
              <w:jc w:val="right"/>
              <w:rPr>
                <w:rFonts w:ascii="Calibri" w:hAnsi="Calibri" w:cs="Calibri"/>
              </w:rPr>
            </w:pPr>
            <w:r w:rsidRPr="00C824AF">
              <w:rPr>
                <w:rFonts w:ascii="Calibri" w:hAnsi="Calibri" w:cs="Calibri"/>
              </w:rPr>
              <w:t xml:space="preserve">• </w:t>
            </w:r>
          </w:p>
        </w:tc>
        <w:tc>
          <w:tcPr>
            <w:tcW w:w="8725" w:type="dxa"/>
            <w:shd w:val="clear" w:color="auto" w:fill="auto"/>
          </w:tcPr>
          <w:p w:rsidRPr="00C824AF" w:rsidR="00671AD1" w:rsidP="00C824AF" w:rsidRDefault="00671AD1" w14:paraId="72566635" w14:textId="77777777">
            <w:pPr>
              <w:keepNext/>
              <w:autoSpaceDE w:val="0"/>
              <w:autoSpaceDN w:val="0"/>
              <w:adjustRightInd w:val="0"/>
              <w:rPr>
                <w:rFonts w:ascii="Calibri" w:hAnsi="Calibri" w:cs="Calibri"/>
              </w:rPr>
            </w:pPr>
            <w:r w:rsidRPr="00C824AF">
              <w:rPr>
                <w:rFonts w:ascii="Calibri" w:hAnsi="Calibri" w:cs="Calibri"/>
              </w:rPr>
              <w:t>Assurance about the privacy of the information are reiterated.</w:t>
            </w:r>
          </w:p>
        </w:tc>
      </w:tr>
      <w:tr w:rsidRPr="00C824AF" w:rsidR="00671AD1" w:rsidTr="00C824AF" w14:paraId="7A3BC739" w14:textId="77777777">
        <w:tc>
          <w:tcPr>
            <w:tcW w:w="625" w:type="dxa"/>
            <w:shd w:val="clear" w:color="auto" w:fill="auto"/>
          </w:tcPr>
          <w:p w:rsidRPr="00C824AF" w:rsidR="00671AD1" w:rsidP="00C824AF" w:rsidRDefault="00671AD1" w14:paraId="361CE341" w14:textId="77777777">
            <w:pPr>
              <w:keepNext/>
              <w:autoSpaceDE w:val="0"/>
              <w:autoSpaceDN w:val="0"/>
              <w:adjustRightInd w:val="0"/>
              <w:jc w:val="right"/>
              <w:rPr>
                <w:rFonts w:ascii="Calibri" w:hAnsi="Calibri" w:cs="Calibri"/>
              </w:rPr>
            </w:pPr>
          </w:p>
        </w:tc>
        <w:tc>
          <w:tcPr>
            <w:tcW w:w="8725" w:type="dxa"/>
            <w:shd w:val="clear" w:color="auto" w:fill="auto"/>
          </w:tcPr>
          <w:p w:rsidRPr="00C824AF" w:rsidR="00671AD1" w:rsidP="00C824AF" w:rsidRDefault="00671AD1" w14:paraId="0D470FF4" w14:textId="77777777">
            <w:pPr>
              <w:keepNext/>
              <w:autoSpaceDE w:val="0"/>
              <w:autoSpaceDN w:val="0"/>
              <w:adjustRightInd w:val="0"/>
              <w:rPr>
                <w:rFonts w:ascii="Calibri" w:hAnsi="Calibri" w:cs="Calibri"/>
              </w:rPr>
            </w:pPr>
          </w:p>
        </w:tc>
      </w:tr>
    </w:tbl>
    <w:p w:rsidRPr="00C824AF" w:rsidR="00671AD1" w:rsidP="00671AD1" w:rsidRDefault="00671AD1" w14:paraId="6256CFC3" w14:textId="77777777">
      <w:pPr>
        <w:keepNext/>
        <w:autoSpaceDE w:val="0"/>
        <w:autoSpaceDN w:val="0"/>
        <w:adjustRightInd w:val="0"/>
        <w:rPr>
          <w:rFonts w:ascii="Calibri" w:hAnsi="Calibri" w:cs="Calibri"/>
        </w:rPr>
      </w:pPr>
      <w:r w:rsidRPr="00C824AF">
        <w:rPr>
          <w:rFonts w:ascii="Calibri" w:hAnsi="Calibri" w:cs="Calibri"/>
        </w:rPr>
        <w:t xml:space="preserve">All interviews are conducted by </w:t>
      </w:r>
      <w:r w:rsidR="00645759">
        <w:rPr>
          <w:rFonts w:ascii="Calibri" w:hAnsi="Calibri" w:cs="Calibri"/>
        </w:rPr>
        <w:t xml:space="preserve">specially </w:t>
      </w:r>
      <w:r w:rsidRPr="00C824AF">
        <w:rPr>
          <w:rFonts w:ascii="Calibri" w:hAnsi="Calibri" w:cs="Calibri"/>
        </w:rPr>
        <w:t>trained local</w:t>
      </w:r>
      <w:r w:rsidR="00645759">
        <w:rPr>
          <w:rFonts w:ascii="Calibri" w:hAnsi="Calibri" w:cs="Calibri"/>
        </w:rPr>
        <w:t xml:space="preserve"> or </w:t>
      </w:r>
      <w:r w:rsidRPr="00C824AF">
        <w:rPr>
          <w:rFonts w:ascii="Calibri" w:hAnsi="Calibri" w:cs="Calibri"/>
        </w:rPr>
        <w:t xml:space="preserve">state health department staff in a private location during established operating hours. No interviews are conducted without the verbal consent of the respondent.  </w:t>
      </w:r>
    </w:p>
    <w:p w:rsidR="00022F67" w:rsidP="00022F67" w:rsidRDefault="00022F67" w14:paraId="376D67FF" w14:textId="77777777">
      <w:pPr>
        <w:spacing w:after="120"/>
        <w:rPr>
          <w:rFonts w:ascii="Calibri" w:hAnsi="Calibri" w:cs="Calibri"/>
          <w:bCs/>
        </w:rPr>
      </w:pPr>
    </w:p>
    <w:p w:rsidR="00022F67" w:rsidP="00022F67" w:rsidRDefault="00E81E5D" w14:paraId="7B3B7AA6" w14:textId="7A04A080">
      <w:pPr>
        <w:spacing w:after="120"/>
        <w:rPr>
          <w:rFonts w:ascii="Calibri" w:hAnsi="Calibri"/>
          <w:bCs/>
        </w:rPr>
      </w:pPr>
      <w:r w:rsidRPr="000240F9">
        <w:rPr>
          <w:rFonts w:ascii="Calibri" w:hAnsi="Calibri" w:cs="Courier New"/>
          <w:b/>
        </w:rPr>
        <w:t xml:space="preserve">12. Estimated Annualized Burden Hours and Costs </w:t>
      </w:r>
      <w:r w:rsidRPr="00C84134" w:rsidR="00030B98">
        <w:rPr>
          <w:rFonts w:ascii="Calibri" w:hAnsi="Calibri"/>
          <w:bCs/>
        </w:rPr>
        <w:t>The respondents for Strengthening United State</w:t>
      </w:r>
      <w:r w:rsidR="005A78D6">
        <w:rPr>
          <w:rFonts w:ascii="Calibri" w:hAnsi="Calibri"/>
          <w:bCs/>
        </w:rPr>
        <w:t>s</w:t>
      </w:r>
      <w:r w:rsidRPr="00C84134" w:rsidR="00030B98">
        <w:rPr>
          <w:rFonts w:ascii="Calibri" w:hAnsi="Calibri"/>
          <w:bCs/>
        </w:rPr>
        <w:t xml:space="preserve"> Response to Resistant Gonorrhea </w:t>
      </w:r>
      <w:r w:rsidRPr="00C84134" w:rsidR="0099236C">
        <w:rPr>
          <w:rFonts w:ascii="Calibri" w:hAnsi="Calibri"/>
          <w:bCs/>
        </w:rPr>
        <w:t xml:space="preserve">(SURRG) </w:t>
      </w:r>
      <w:r w:rsidRPr="00C84134" w:rsidR="00030B98">
        <w:rPr>
          <w:rFonts w:ascii="Calibri" w:hAnsi="Calibri"/>
          <w:bCs/>
        </w:rPr>
        <w:t>include</w:t>
      </w:r>
      <w:r w:rsidR="005A78D6">
        <w:rPr>
          <w:rFonts w:ascii="Calibri" w:hAnsi="Calibri"/>
          <w:bCs/>
        </w:rPr>
        <w:t>:</w:t>
      </w:r>
      <w:r w:rsidRPr="00C84134" w:rsidR="00030B98">
        <w:rPr>
          <w:rFonts w:ascii="Calibri" w:hAnsi="Calibri"/>
          <w:bCs/>
        </w:rPr>
        <w:t xml:space="preserve"> (1) </w:t>
      </w:r>
      <w:r w:rsidR="00351171">
        <w:rPr>
          <w:rFonts w:ascii="Calibri" w:hAnsi="Calibri"/>
          <w:bCs/>
        </w:rPr>
        <w:t xml:space="preserve">data managers at the </w:t>
      </w:r>
      <w:r w:rsidR="00645759">
        <w:rPr>
          <w:rFonts w:ascii="Calibri" w:hAnsi="Calibri"/>
          <w:bCs/>
        </w:rPr>
        <w:t xml:space="preserve">eight </w:t>
      </w:r>
      <w:r w:rsidR="00351171">
        <w:rPr>
          <w:rFonts w:ascii="Calibri" w:hAnsi="Calibri"/>
          <w:bCs/>
        </w:rPr>
        <w:t xml:space="preserve">funded SURRG sites, (2) </w:t>
      </w:r>
      <w:r w:rsidRPr="00C84134" w:rsidR="00A64100">
        <w:rPr>
          <w:rFonts w:ascii="Calibri" w:hAnsi="Calibri"/>
          <w:bCs/>
        </w:rPr>
        <w:t xml:space="preserve">clinic data managers at the non-STD </w:t>
      </w:r>
      <w:r w:rsidR="00EE523B">
        <w:rPr>
          <w:rFonts w:ascii="Calibri" w:hAnsi="Calibri"/>
          <w:bCs/>
        </w:rPr>
        <w:t xml:space="preserve">clinic </w:t>
      </w:r>
      <w:r w:rsidRPr="00C84134" w:rsidR="00A64100">
        <w:rPr>
          <w:rFonts w:ascii="Calibri" w:hAnsi="Calibri"/>
          <w:bCs/>
        </w:rPr>
        <w:t>health center</w:t>
      </w:r>
      <w:r w:rsidR="00351171">
        <w:rPr>
          <w:rFonts w:ascii="Calibri" w:hAnsi="Calibri"/>
          <w:bCs/>
        </w:rPr>
        <w:t>s</w:t>
      </w:r>
      <w:r w:rsidRPr="00C84134" w:rsidR="00351171">
        <w:rPr>
          <w:rFonts w:ascii="Calibri" w:hAnsi="Calibri"/>
          <w:bCs/>
        </w:rPr>
        <w:t xml:space="preserve"> </w:t>
      </w:r>
      <w:r w:rsidRPr="00C84134" w:rsidR="00A64100">
        <w:rPr>
          <w:rFonts w:ascii="Calibri" w:hAnsi="Calibri"/>
          <w:bCs/>
        </w:rPr>
        <w:t xml:space="preserve">participating in SURRG, </w:t>
      </w:r>
      <w:r w:rsidRPr="00C84134" w:rsidR="00030B98">
        <w:rPr>
          <w:rFonts w:ascii="Calibri" w:hAnsi="Calibri"/>
          <w:bCs/>
        </w:rPr>
        <w:t>(</w:t>
      </w:r>
      <w:r w:rsidR="00351171">
        <w:rPr>
          <w:rFonts w:ascii="Calibri" w:hAnsi="Calibri"/>
          <w:bCs/>
        </w:rPr>
        <w:t>3</w:t>
      </w:r>
      <w:r w:rsidRPr="00C84134" w:rsidR="00030B98">
        <w:rPr>
          <w:rFonts w:ascii="Calibri" w:hAnsi="Calibri"/>
          <w:bCs/>
        </w:rPr>
        <w:t xml:space="preserve">) </w:t>
      </w:r>
      <w:r w:rsidR="00351171">
        <w:rPr>
          <w:rFonts w:ascii="Calibri" w:hAnsi="Calibri"/>
          <w:bCs/>
        </w:rPr>
        <w:t xml:space="preserve">public health laboratory </w:t>
      </w:r>
      <w:r w:rsidRPr="00C84134" w:rsidR="000C7B93">
        <w:rPr>
          <w:rFonts w:ascii="Calibri" w:hAnsi="Calibri"/>
          <w:bCs/>
        </w:rPr>
        <w:t>microbiologist</w:t>
      </w:r>
      <w:r w:rsidR="00351171">
        <w:rPr>
          <w:rFonts w:ascii="Calibri" w:hAnsi="Calibri"/>
          <w:bCs/>
        </w:rPr>
        <w:t>s, (4)</w:t>
      </w:r>
      <w:r w:rsidRPr="00C84134" w:rsidR="000C7B93">
        <w:rPr>
          <w:rFonts w:ascii="Calibri" w:hAnsi="Calibri"/>
          <w:bCs/>
        </w:rPr>
        <w:t xml:space="preserve"> </w:t>
      </w:r>
      <w:r w:rsidR="00351171">
        <w:rPr>
          <w:rFonts w:ascii="Calibri" w:hAnsi="Calibri"/>
          <w:bCs/>
        </w:rPr>
        <w:t>public health laboratory data managers</w:t>
      </w:r>
      <w:r w:rsidRPr="00C84134" w:rsidR="000C7B93">
        <w:rPr>
          <w:rFonts w:ascii="Calibri" w:hAnsi="Calibri"/>
          <w:bCs/>
        </w:rPr>
        <w:t xml:space="preserve">, </w:t>
      </w:r>
      <w:r w:rsidR="00351171">
        <w:rPr>
          <w:rFonts w:ascii="Calibri" w:hAnsi="Calibri"/>
          <w:bCs/>
        </w:rPr>
        <w:t xml:space="preserve">and </w:t>
      </w:r>
      <w:r w:rsidRPr="00C84134" w:rsidR="00030B98">
        <w:rPr>
          <w:rFonts w:ascii="Calibri" w:hAnsi="Calibri"/>
          <w:bCs/>
        </w:rPr>
        <w:t>(</w:t>
      </w:r>
      <w:r w:rsidR="00351171">
        <w:rPr>
          <w:rFonts w:ascii="Calibri" w:hAnsi="Calibri"/>
          <w:bCs/>
        </w:rPr>
        <w:t>5</w:t>
      </w:r>
      <w:r w:rsidR="00F36247">
        <w:rPr>
          <w:rFonts w:ascii="Calibri" w:hAnsi="Calibri"/>
          <w:bCs/>
        </w:rPr>
        <w:t>)</w:t>
      </w:r>
      <w:r w:rsidRPr="00C84134" w:rsidR="00030B98">
        <w:rPr>
          <w:rFonts w:ascii="Calibri" w:hAnsi="Calibri"/>
          <w:bCs/>
        </w:rPr>
        <w:t xml:space="preserve"> </w:t>
      </w:r>
      <w:r w:rsidR="0084442A">
        <w:rPr>
          <w:rFonts w:ascii="Calibri" w:hAnsi="Calibri"/>
          <w:bCs/>
        </w:rPr>
        <w:t>persons</w:t>
      </w:r>
      <w:r w:rsidRPr="00C84134" w:rsidR="00030B98">
        <w:rPr>
          <w:rFonts w:ascii="Calibri" w:hAnsi="Calibri"/>
          <w:bCs/>
        </w:rPr>
        <w:t xml:space="preserve"> </w:t>
      </w:r>
      <w:r w:rsidR="00351171">
        <w:rPr>
          <w:rFonts w:ascii="Calibri" w:hAnsi="Calibri"/>
          <w:bCs/>
        </w:rPr>
        <w:t xml:space="preserve">diagnosed at a participating SURRG site with gonorrhea </w:t>
      </w:r>
      <w:r w:rsidRPr="00C84134" w:rsidR="00030B98">
        <w:rPr>
          <w:rFonts w:ascii="Calibri" w:hAnsi="Calibri"/>
          <w:bCs/>
        </w:rPr>
        <w:t xml:space="preserve">of public health </w:t>
      </w:r>
      <w:r w:rsidRPr="00C84134" w:rsidR="00351171">
        <w:rPr>
          <w:rFonts w:ascii="Calibri" w:hAnsi="Calibri"/>
          <w:bCs/>
        </w:rPr>
        <w:t>i</w:t>
      </w:r>
      <w:r w:rsidR="00351171">
        <w:rPr>
          <w:rFonts w:ascii="Calibri" w:hAnsi="Calibri"/>
          <w:bCs/>
        </w:rPr>
        <w:t>mportance, such as a drug-resistant infection</w:t>
      </w:r>
      <w:r w:rsidR="0084442A">
        <w:rPr>
          <w:rFonts w:ascii="Calibri" w:hAnsi="Calibri"/>
          <w:bCs/>
        </w:rPr>
        <w:t>, and th</w:t>
      </w:r>
      <w:r w:rsidR="005A78D6">
        <w:rPr>
          <w:rFonts w:ascii="Calibri" w:hAnsi="Calibri"/>
          <w:bCs/>
        </w:rPr>
        <w:t xml:space="preserve">eir sexual partners. </w:t>
      </w:r>
      <w:r w:rsidR="00351171">
        <w:rPr>
          <w:rFonts w:ascii="Calibri" w:hAnsi="Calibri"/>
          <w:bCs/>
        </w:rPr>
        <w:t xml:space="preserve"> </w:t>
      </w:r>
      <w:r w:rsidR="00AE2F9A">
        <w:rPr>
          <w:rFonts w:ascii="Calibri" w:hAnsi="Calibri"/>
          <w:bCs/>
        </w:rPr>
        <w:t xml:space="preserve">The number of </w:t>
      </w:r>
      <w:r w:rsidR="003A6518">
        <w:rPr>
          <w:rFonts w:ascii="Calibri" w:hAnsi="Calibri"/>
          <w:bCs/>
        </w:rPr>
        <w:t>SURRG sites</w:t>
      </w:r>
      <w:r w:rsidR="00AE2F9A">
        <w:rPr>
          <w:rFonts w:ascii="Calibri" w:hAnsi="Calibri"/>
          <w:bCs/>
        </w:rPr>
        <w:t xml:space="preserve"> decreased from nine to eight; calculations reflect this change. </w:t>
      </w:r>
    </w:p>
    <w:p w:rsidR="00022F67" w:rsidP="00022F67" w:rsidRDefault="007A3141" w14:paraId="33DD2A6A" w14:textId="77777777">
      <w:pPr>
        <w:spacing w:after="120"/>
        <w:rPr>
          <w:rFonts w:ascii="Calibri" w:hAnsi="Calibri"/>
          <w:bCs/>
        </w:rPr>
      </w:pPr>
      <w:r>
        <w:rPr>
          <w:rFonts w:ascii="Calibri" w:hAnsi="Calibri"/>
          <w:bCs/>
          <w:u w:val="single"/>
        </w:rPr>
        <w:t xml:space="preserve"> </w:t>
      </w:r>
      <w:r w:rsidR="00351171">
        <w:rPr>
          <w:rFonts w:ascii="Calibri" w:hAnsi="Calibri"/>
          <w:bCs/>
          <w:u w:val="single"/>
        </w:rPr>
        <w:t xml:space="preserve">(1) </w:t>
      </w:r>
      <w:r w:rsidRPr="00637B6C" w:rsidR="00351171">
        <w:rPr>
          <w:rFonts w:ascii="Calibri" w:hAnsi="Calibri"/>
          <w:bCs/>
          <w:u w:val="single"/>
        </w:rPr>
        <w:t>SURRG data managers</w:t>
      </w:r>
      <w:r w:rsidRPr="00637B6C" w:rsidR="00351171">
        <w:rPr>
          <w:rFonts w:ascii="Calibri" w:hAnsi="Calibri"/>
          <w:bCs/>
        </w:rPr>
        <w:t>:</w:t>
      </w:r>
    </w:p>
    <w:p w:rsidRPr="00637B6C" w:rsidR="00351171" w:rsidP="00022F67" w:rsidRDefault="00351171" w14:paraId="46B104F1" w14:textId="146D0AA3">
      <w:pPr>
        <w:spacing w:after="120"/>
        <w:rPr>
          <w:rFonts w:ascii="Calibri" w:hAnsi="Calibri"/>
          <w:bCs/>
        </w:rPr>
      </w:pPr>
      <w:r w:rsidRPr="00637B6C">
        <w:rPr>
          <w:rFonts w:ascii="Calibri" w:hAnsi="Calibri"/>
          <w:bCs/>
        </w:rPr>
        <w:t xml:space="preserve">Every two months, data managers from each of the </w:t>
      </w:r>
      <w:r w:rsidR="00645759">
        <w:rPr>
          <w:rFonts w:ascii="Calibri" w:hAnsi="Calibri"/>
          <w:bCs/>
        </w:rPr>
        <w:t>eight</w:t>
      </w:r>
      <w:r w:rsidRPr="00637B6C" w:rsidR="00645759">
        <w:rPr>
          <w:rFonts w:ascii="Calibri" w:hAnsi="Calibri"/>
          <w:bCs/>
        </w:rPr>
        <w:t xml:space="preserve"> </w:t>
      </w:r>
      <w:r w:rsidRPr="00637B6C">
        <w:rPr>
          <w:rFonts w:ascii="Calibri" w:hAnsi="Calibri"/>
          <w:bCs/>
        </w:rPr>
        <w:t>funded jurisdictions will:</w:t>
      </w:r>
    </w:p>
    <w:p w:rsidR="00351171" w:rsidP="00F06A89" w:rsidRDefault="00351171" w14:paraId="101762A0" w14:textId="77777777">
      <w:pPr>
        <w:keepNext/>
        <w:numPr>
          <w:ilvl w:val="0"/>
          <w:numId w:val="3"/>
        </w:numPr>
        <w:autoSpaceDE w:val="0"/>
        <w:autoSpaceDN w:val="0"/>
        <w:adjustRightInd w:val="0"/>
        <w:rPr>
          <w:rFonts w:ascii="Calibri" w:hAnsi="Calibri"/>
          <w:bCs/>
        </w:rPr>
      </w:pPr>
      <w:r w:rsidRPr="00637B6C">
        <w:rPr>
          <w:rFonts w:ascii="Calibri" w:hAnsi="Calibri"/>
          <w:bCs/>
        </w:rPr>
        <w:lastRenderedPageBreak/>
        <w:t xml:space="preserve">Abstract line-listed clinic visit data from participating STD clinics for all patient visits that included testing for gonorrhea that occurred in the previous two months. </w:t>
      </w:r>
    </w:p>
    <w:p w:rsidRPr="00637B6C" w:rsidR="00EE523B" w:rsidP="00F06A89" w:rsidRDefault="00EE523B" w14:paraId="6C2F5C21" w14:textId="77777777">
      <w:pPr>
        <w:keepNext/>
        <w:numPr>
          <w:ilvl w:val="0"/>
          <w:numId w:val="3"/>
        </w:numPr>
        <w:autoSpaceDE w:val="0"/>
        <w:autoSpaceDN w:val="0"/>
        <w:adjustRightInd w:val="0"/>
        <w:rPr>
          <w:rFonts w:ascii="Calibri" w:hAnsi="Calibri"/>
          <w:bCs/>
        </w:rPr>
      </w:pPr>
      <w:r>
        <w:rPr>
          <w:rFonts w:ascii="Calibri" w:hAnsi="Calibri"/>
          <w:bCs/>
        </w:rPr>
        <w:t xml:space="preserve">Receive line-listed clinic visit data from participating non-STD clinic healthcare sites for all patient visits that included testing for gonorrhea that occurred in the previous two months. </w:t>
      </w:r>
    </w:p>
    <w:p w:rsidR="00351171" w:rsidP="00F06A89" w:rsidRDefault="00351171" w14:paraId="6FEE4D2E" w14:textId="77777777">
      <w:pPr>
        <w:keepNext/>
        <w:numPr>
          <w:ilvl w:val="0"/>
          <w:numId w:val="3"/>
        </w:numPr>
        <w:autoSpaceDE w:val="0"/>
        <w:autoSpaceDN w:val="0"/>
        <w:adjustRightInd w:val="0"/>
        <w:rPr>
          <w:rFonts w:ascii="Calibri" w:hAnsi="Calibri"/>
          <w:bCs/>
        </w:rPr>
      </w:pPr>
      <w:r>
        <w:rPr>
          <w:rFonts w:ascii="Calibri" w:hAnsi="Calibri"/>
          <w:bCs/>
        </w:rPr>
        <w:t>Receive laboratory results (e.g.</w:t>
      </w:r>
      <w:r w:rsidR="00645759">
        <w:rPr>
          <w:rFonts w:ascii="Calibri" w:hAnsi="Calibri"/>
          <w:bCs/>
        </w:rPr>
        <w:t>,</w:t>
      </w:r>
      <w:r>
        <w:rPr>
          <w:rFonts w:ascii="Calibri" w:hAnsi="Calibri"/>
          <w:bCs/>
        </w:rPr>
        <w:t xml:space="preserve"> antibiotic susceptibility testing) from public health laboratory data managers</w:t>
      </w:r>
    </w:p>
    <w:p w:rsidRPr="00EE523B" w:rsidR="00351171" w:rsidP="00F06A89" w:rsidRDefault="00EE523B" w14:paraId="2413CCD5" w14:textId="77777777">
      <w:pPr>
        <w:keepNext/>
        <w:numPr>
          <w:ilvl w:val="0"/>
          <w:numId w:val="3"/>
        </w:numPr>
        <w:autoSpaceDE w:val="0"/>
        <w:autoSpaceDN w:val="0"/>
        <w:adjustRightInd w:val="0"/>
        <w:rPr>
          <w:rFonts w:ascii="Calibri" w:hAnsi="Calibri"/>
          <w:bCs/>
        </w:rPr>
      </w:pPr>
      <w:r>
        <w:rPr>
          <w:rFonts w:ascii="Calibri" w:hAnsi="Calibri"/>
          <w:bCs/>
        </w:rPr>
        <w:t>Merge clinic visit data with public health laboratory results</w:t>
      </w:r>
    </w:p>
    <w:p w:rsidRPr="00637B6C" w:rsidR="00351171" w:rsidP="00F06A89" w:rsidRDefault="00351171" w14:paraId="26A5C93E" w14:textId="77777777">
      <w:pPr>
        <w:keepNext/>
        <w:numPr>
          <w:ilvl w:val="0"/>
          <w:numId w:val="3"/>
        </w:numPr>
        <w:autoSpaceDE w:val="0"/>
        <w:autoSpaceDN w:val="0"/>
        <w:adjustRightInd w:val="0"/>
        <w:rPr>
          <w:rFonts w:ascii="Calibri" w:hAnsi="Calibri"/>
          <w:bCs/>
        </w:rPr>
      </w:pPr>
      <w:r w:rsidRPr="00637B6C">
        <w:rPr>
          <w:rFonts w:ascii="Calibri" w:hAnsi="Calibri"/>
          <w:bCs/>
        </w:rPr>
        <w:t>Abstract</w:t>
      </w:r>
      <w:r>
        <w:rPr>
          <w:rFonts w:ascii="Calibri" w:hAnsi="Calibri"/>
          <w:bCs/>
        </w:rPr>
        <w:t xml:space="preserve"> line-</w:t>
      </w:r>
      <w:r w:rsidRPr="00637B6C">
        <w:rPr>
          <w:rFonts w:ascii="Calibri" w:hAnsi="Calibri"/>
          <w:bCs/>
        </w:rPr>
        <w:t xml:space="preserve">listed data for any person for whom a SURRG interview was attempted and/or completed in the previous two months </w:t>
      </w:r>
    </w:p>
    <w:p w:rsidRPr="00637B6C" w:rsidR="00351171" w:rsidP="00F06A89" w:rsidRDefault="00351171" w14:paraId="41261C66" w14:textId="4E5F460B">
      <w:pPr>
        <w:keepNext/>
        <w:numPr>
          <w:ilvl w:val="0"/>
          <w:numId w:val="3"/>
        </w:numPr>
        <w:autoSpaceDE w:val="0"/>
        <w:autoSpaceDN w:val="0"/>
        <w:adjustRightInd w:val="0"/>
        <w:rPr>
          <w:rFonts w:ascii="Calibri" w:hAnsi="Calibri"/>
          <w:bCs/>
        </w:rPr>
      </w:pPr>
      <w:r w:rsidRPr="00637B6C">
        <w:rPr>
          <w:rFonts w:ascii="Calibri" w:hAnsi="Calibri"/>
          <w:bCs/>
        </w:rPr>
        <w:t>Clean, re</w:t>
      </w:r>
      <w:r w:rsidR="005A78D6">
        <w:rPr>
          <w:rFonts w:ascii="Calibri" w:hAnsi="Calibri"/>
          <w:bCs/>
        </w:rPr>
        <w:t>-</w:t>
      </w:r>
      <w:r w:rsidRPr="00637B6C">
        <w:rPr>
          <w:rFonts w:ascii="Calibri" w:hAnsi="Calibri"/>
          <w:bCs/>
        </w:rPr>
        <w:t xml:space="preserve">code, and structure </w:t>
      </w:r>
      <w:r w:rsidR="00EE523B">
        <w:rPr>
          <w:rFonts w:ascii="Calibri" w:hAnsi="Calibri"/>
          <w:bCs/>
        </w:rPr>
        <w:t xml:space="preserve">data </w:t>
      </w:r>
      <w:r w:rsidRPr="00637B6C">
        <w:rPr>
          <w:rFonts w:ascii="Calibri" w:hAnsi="Calibri"/>
          <w:bCs/>
        </w:rPr>
        <w:t xml:space="preserve">in accordance with SURRG program guidance </w:t>
      </w:r>
    </w:p>
    <w:p w:rsidRPr="00637B6C" w:rsidR="00351171" w:rsidP="00F06A89" w:rsidRDefault="00351171" w14:paraId="6E1C5CD4" w14:textId="77777777">
      <w:pPr>
        <w:keepNext/>
        <w:numPr>
          <w:ilvl w:val="0"/>
          <w:numId w:val="3"/>
        </w:numPr>
        <w:autoSpaceDE w:val="0"/>
        <w:autoSpaceDN w:val="0"/>
        <w:adjustRightInd w:val="0"/>
        <w:rPr>
          <w:rFonts w:ascii="Calibri" w:hAnsi="Calibri"/>
          <w:bCs/>
        </w:rPr>
      </w:pPr>
      <w:r w:rsidRPr="00637B6C">
        <w:rPr>
          <w:rFonts w:ascii="Calibri" w:hAnsi="Calibri"/>
          <w:bCs/>
        </w:rPr>
        <w:t xml:space="preserve">Complete data verification and validity checks (per CDC SURRG program guidance) on dataset prior to transmission to CDC, and </w:t>
      </w:r>
    </w:p>
    <w:p w:rsidRPr="00637B6C" w:rsidR="00351171" w:rsidP="00F06A89" w:rsidRDefault="00645759" w14:paraId="512220CF" w14:textId="77777777">
      <w:pPr>
        <w:keepNext/>
        <w:numPr>
          <w:ilvl w:val="0"/>
          <w:numId w:val="3"/>
        </w:numPr>
        <w:autoSpaceDE w:val="0"/>
        <w:autoSpaceDN w:val="0"/>
        <w:adjustRightInd w:val="0"/>
        <w:rPr>
          <w:rFonts w:ascii="Calibri" w:hAnsi="Calibri"/>
          <w:bCs/>
        </w:rPr>
      </w:pPr>
      <w:r>
        <w:rPr>
          <w:rFonts w:ascii="Calibri" w:hAnsi="Calibri"/>
          <w:bCs/>
        </w:rPr>
        <w:t>Send</w:t>
      </w:r>
      <w:r w:rsidRPr="00637B6C">
        <w:rPr>
          <w:rFonts w:ascii="Calibri" w:hAnsi="Calibri"/>
          <w:bCs/>
        </w:rPr>
        <w:t xml:space="preserve"> </w:t>
      </w:r>
      <w:r w:rsidRPr="00637B6C" w:rsidR="00351171">
        <w:rPr>
          <w:rFonts w:ascii="Calibri" w:hAnsi="Calibri"/>
          <w:bCs/>
        </w:rPr>
        <w:t>all data files to CDC through secure file transport mechanisms (SAMS)</w:t>
      </w:r>
    </w:p>
    <w:p w:rsidRPr="00637B6C" w:rsidR="00351171" w:rsidP="00351171" w:rsidRDefault="00351171" w14:paraId="25517F57" w14:textId="77777777">
      <w:pPr>
        <w:keepNext/>
        <w:autoSpaceDE w:val="0"/>
        <w:autoSpaceDN w:val="0"/>
        <w:adjustRightInd w:val="0"/>
        <w:rPr>
          <w:rFonts w:ascii="Calibri" w:hAnsi="Calibri"/>
          <w:bCs/>
        </w:rPr>
      </w:pPr>
    </w:p>
    <w:p w:rsidRPr="00637B6C" w:rsidR="00351171" w:rsidP="00351171" w:rsidRDefault="00351171" w14:paraId="428EF3CA" w14:textId="614F4F62">
      <w:pPr>
        <w:keepNext/>
        <w:autoSpaceDE w:val="0"/>
        <w:autoSpaceDN w:val="0"/>
        <w:adjustRightInd w:val="0"/>
        <w:rPr>
          <w:rFonts w:ascii="Calibri" w:hAnsi="Calibri"/>
          <w:bCs/>
        </w:rPr>
      </w:pPr>
      <w:r w:rsidRPr="00637B6C">
        <w:rPr>
          <w:rFonts w:ascii="Calibri" w:hAnsi="Calibri"/>
          <w:bCs/>
        </w:rPr>
        <w:t xml:space="preserve">Within two months of the end of each project year, the SURRG data manager in each jurisdiction will also compile, clean, validate, and </w:t>
      </w:r>
      <w:r w:rsidR="00645759">
        <w:rPr>
          <w:rFonts w:ascii="Calibri" w:hAnsi="Calibri"/>
          <w:bCs/>
        </w:rPr>
        <w:t>send</w:t>
      </w:r>
      <w:r w:rsidRPr="00637B6C">
        <w:rPr>
          <w:rFonts w:ascii="Calibri" w:hAnsi="Calibri"/>
          <w:bCs/>
        </w:rPr>
        <w:t xml:space="preserve"> an annual </w:t>
      </w:r>
      <w:r w:rsidRPr="00637B6C">
        <w:rPr>
          <w:rFonts w:ascii="Calibri" w:hAnsi="Calibri"/>
          <w:bCs/>
          <w:u w:val="single"/>
        </w:rPr>
        <w:t>cumulative</w:t>
      </w:r>
      <w:r w:rsidRPr="00637B6C">
        <w:rPr>
          <w:rFonts w:ascii="Calibri" w:hAnsi="Calibri"/>
          <w:bCs/>
        </w:rPr>
        <w:t xml:space="preserve"> project dataset to CDC through secure file transport mechanisms (SAMS) (</w:t>
      </w:r>
      <w:r w:rsidR="00EE523B">
        <w:rPr>
          <w:rFonts w:ascii="Calibri" w:hAnsi="Calibri"/>
          <w:bCs/>
        </w:rPr>
        <w:t>for</w:t>
      </w:r>
      <w:r w:rsidRPr="00637B6C">
        <w:rPr>
          <w:rFonts w:ascii="Calibri" w:hAnsi="Calibri"/>
          <w:bCs/>
        </w:rPr>
        <w:t xml:space="preserve"> a total of 7 data transmissions per year). This final validated annual dataset from each jurisdiction will be archived and become the primary repository for that site’s annual reporting. </w:t>
      </w:r>
      <w:r w:rsidR="00645759">
        <w:rPr>
          <w:rFonts w:ascii="Calibri" w:hAnsi="Calibri"/>
          <w:bCs/>
        </w:rPr>
        <w:t>Eight</w:t>
      </w:r>
      <w:r w:rsidR="00CC3DC4">
        <w:rPr>
          <w:rFonts w:ascii="Calibri" w:hAnsi="Calibri"/>
          <w:bCs/>
        </w:rPr>
        <w:t xml:space="preserve"> (</w:t>
      </w:r>
      <w:r w:rsidR="00645759">
        <w:rPr>
          <w:rFonts w:ascii="Calibri" w:hAnsi="Calibri"/>
          <w:bCs/>
        </w:rPr>
        <w:t>8</w:t>
      </w:r>
      <w:r w:rsidR="00CC3DC4">
        <w:rPr>
          <w:rFonts w:ascii="Calibri" w:hAnsi="Calibri"/>
          <w:bCs/>
        </w:rPr>
        <w:t xml:space="preserve">) respondents, providing 7 data transmissions per year with an </w:t>
      </w:r>
      <w:r w:rsidRPr="003A6518" w:rsidR="00CC3DC4">
        <w:rPr>
          <w:rFonts w:ascii="Calibri" w:hAnsi="Calibri"/>
          <w:bCs/>
        </w:rPr>
        <w:t xml:space="preserve">average of 16 burden hours yields </w:t>
      </w:r>
      <w:r w:rsidRPr="003A6518" w:rsidR="00645759">
        <w:rPr>
          <w:rFonts w:ascii="Calibri" w:hAnsi="Calibri"/>
          <w:bCs/>
        </w:rPr>
        <w:t>896</w:t>
      </w:r>
      <w:r w:rsidRPr="003A6518" w:rsidR="00CC3DC4">
        <w:rPr>
          <w:rFonts w:ascii="Calibri" w:hAnsi="Calibri"/>
          <w:bCs/>
        </w:rPr>
        <w:t xml:space="preserve"> burden</w:t>
      </w:r>
      <w:r w:rsidR="00CC3DC4">
        <w:rPr>
          <w:rFonts w:ascii="Calibri" w:hAnsi="Calibri"/>
          <w:bCs/>
        </w:rPr>
        <w:t xml:space="preserve"> hours for the local data managers (</w:t>
      </w:r>
      <w:r w:rsidRPr="00695735" w:rsidR="00CC3DC4">
        <w:rPr>
          <w:rFonts w:ascii="Calibri" w:hAnsi="Calibri"/>
          <w:b/>
          <w:bCs/>
        </w:rPr>
        <w:t>Attachment 3</w:t>
      </w:r>
      <w:r w:rsidR="00167958">
        <w:rPr>
          <w:rFonts w:ascii="Calibri" w:hAnsi="Calibri"/>
          <w:b/>
          <w:bCs/>
        </w:rPr>
        <w:t>A</w:t>
      </w:r>
      <w:r w:rsidR="00CC3DC4">
        <w:rPr>
          <w:rFonts w:ascii="Calibri" w:hAnsi="Calibri"/>
          <w:bCs/>
        </w:rPr>
        <w:t xml:space="preserve">). </w:t>
      </w:r>
    </w:p>
    <w:p w:rsidRPr="00C84134" w:rsidR="00030B98" w:rsidP="00030B98" w:rsidRDefault="00030B98" w14:paraId="012B554B" w14:textId="77777777">
      <w:pPr>
        <w:keepNext/>
        <w:autoSpaceDE w:val="0"/>
        <w:autoSpaceDN w:val="0"/>
        <w:adjustRightInd w:val="0"/>
        <w:rPr>
          <w:rFonts w:ascii="Calibri" w:hAnsi="Calibri"/>
          <w:bCs/>
        </w:rPr>
      </w:pPr>
    </w:p>
    <w:p w:rsidRPr="00C84134" w:rsidR="00A64100" w:rsidP="00030B98" w:rsidRDefault="00EE523B" w14:paraId="7673C79B" w14:textId="77777777">
      <w:pPr>
        <w:keepNext/>
        <w:autoSpaceDE w:val="0"/>
        <w:autoSpaceDN w:val="0"/>
        <w:adjustRightInd w:val="0"/>
        <w:rPr>
          <w:rFonts w:ascii="Calibri" w:hAnsi="Calibri"/>
          <w:bCs/>
        </w:rPr>
      </w:pPr>
      <w:r>
        <w:rPr>
          <w:rFonts w:ascii="Calibri" w:hAnsi="Calibri"/>
          <w:bCs/>
          <w:u w:val="single"/>
        </w:rPr>
        <w:t>Clinic d</w:t>
      </w:r>
      <w:r w:rsidRPr="00C84134" w:rsidR="00A64100">
        <w:rPr>
          <w:rFonts w:ascii="Calibri" w:hAnsi="Calibri"/>
          <w:bCs/>
          <w:u w:val="single"/>
        </w:rPr>
        <w:t xml:space="preserve">ata managers at non-STD </w:t>
      </w:r>
      <w:r>
        <w:rPr>
          <w:rFonts w:ascii="Calibri" w:hAnsi="Calibri"/>
          <w:bCs/>
          <w:u w:val="single"/>
        </w:rPr>
        <w:t>clinic health centers</w:t>
      </w:r>
      <w:r w:rsidRPr="00C84134" w:rsidR="00A64100">
        <w:rPr>
          <w:rFonts w:ascii="Calibri" w:hAnsi="Calibri"/>
          <w:bCs/>
        </w:rPr>
        <w:t>:</w:t>
      </w:r>
    </w:p>
    <w:p w:rsidRPr="00C84134" w:rsidR="00E91477" w:rsidP="00CC3DC4" w:rsidRDefault="00A64100" w14:paraId="52BD6957" w14:textId="25DBB3A6">
      <w:pPr>
        <w:keepNext/>
        <w:autoSpaceDE w:val="0"/>
        <w:autoSpaceDN w:val="0"/>
        <w:adjustRightInd w:val="0"/>
        <w:rPr>
          <w:rFonts w:ascii="Calibri" w:hAnsi="Calibri"/>
          <w:bCs/>
        </w:rPr>
      </w:pPr>
      <w:r w:rsidRPr="00C84134">
        <w:rPr>
          <w:rFonts w:ascii="Calibri" w:hAnsi="Calibri"/>
          <w:bCs/>
        </w:rPr>
        <w:t xml:space="preserve">A </w:t>
      </w:r>
      <w:r w:rsidRPr="00666649">
        <w:rPr>
          <w:rFonts w:ascii="Calibri" w:hAnsi="Calibri"/>
          <w:bCs/>
        </w:rPr>
        <w:t xml:space="preserve">total </w:t>
      </w:r>
      <w:r w:rsidRPr="003A6518">
        <w:rPr>
          <w:rFonts w:ascii="Calibri" w:hAnsi="Calibri"/>
          <w:bCs/>
        </w:rPr>
        <w:t xml:space="preserve">of </w:t>
      </w:r>
      <w:r w:rsidRPr="003A6518" w:rsidR="00645759">
        <w:rPr>
          <w:rFonts w:ascii="Calibri" w:hAnsi="Calibri"/>
          <w:bCs/>
        </w:rPr>
        <w:t>~26</w:t>
      </w:r>
      <w:r w:rsidRPr="003A6518" w:rsidR="003A6518">
        <w:rPr>
          <w:rFonts w:ascii="Calibri" w:hAnsi="Calibri"/>
          <w:bCs/>
        </w:rPr>
        <w:t xml:space="preserve"> </w:t>
      </w:r>
      <w:r w:rsidRPr="003A6518">
        <w:rPr>
          <w:rFonts w:ascii="Calibri" w:hAnsi="Calibri"/>
          <w:bCs/>
        </w:rPr>
        <w:t>non-STD clinic health centers participat</w:t>
      </w:r>
      <w:r w:rsidRPr="003A6518" w:rsidR="00645759">
        <w:rPr>
          <w:rFonts w:ascii="Calibri" w:hAnsi="Calibri"/>
          <w:bCs/>
        </w:rPr>
        <w:t>e</w:t>
      </w:r>
      <w:r w:rsidRPr="003A6518">
        <w:rPr>
          <w:rFonts w:ascii="Calibri" w:hAnsi="Calibri"/>
          <w:bCs/>
        </w:rPr>
        <w:t xml:space="preserve"> in SURRG (</w:t>
      </w:r>
      <w:r w:rsidRPr="003A6518" w:rsidR="00EE523B">
        <w:rPr>
          <w:rFonts w:ascii="Calibri" w:hAnsi="Calibri"/>
          <w:bCs/>
        </w:rPr>
        <w:t>e.g.</w:t>
      </w:r>
      <w:r w:rsidRPr="003A6518" w:rsidR="00FA20CC">
        <w:rPr>
          <w:rFonts w:ascii="Calibri" w:hAnsi="Calibri"/>
          <w:bCs/>
        </w:rPr>
        <w:t>,</w:t>
      </w:r>
      <w:r w:rsidRPr="003A6518" w:rsidR="00EE523B">
        <w:rPr>
          <w:rFonts w:ascii="Calibri" w:hAnsi="Calibri"/>
          <w:bCs/>
        </w:rPr>
        <w:t xml:space="preserve"> </w:t>
      </w:r>
      <w:r w:rsidRPr="003A6518">
        <w:rPr>
          <w:rFonts w:ascii="Calibri" w:hAnsi="Calibri"/>
          <w:bCs/>
        </w:rPr>
        <w:t>HIV clinics, reproductive health cen</w:t>
      </w:r>
      <w:r w:rsidRPr="00B541FA" w:rsidR="00942869">
        <w:rPr>
          <w:rFonts w:ascii="Calibri" w:hAnsi="Calibri"/>
          <w:bCs/>
        </w:rPr>
        <w:t xml:space="preserve">ters, </w:t>
      </w:r>
      <w:r w:rsidRPr="00B541FA" w:rsidR="00EE523B">
        <w:rPr>
          <w:rFonts w:ascii="Calibri" w:hAnsi="Calibri"/>
          <w:bCs/>
        </w:rPr>
        <w:t xml:space="preserve">and </w:t>
      </w:r>
      <w:r w:rsidRPr="00B541FA" w:rsidR="00942869">
        <w:rPr>
          <w:rFonts w:ascii="Calibri" w:hAnsi="Calibri"/>
          <w:bCs/>
        </w:rPr>
        <w:t xml:space="preserve">emergency rooms). </w:t>
      </w:r>
      <w:r w:rsidRPr="00B541FA" w:rsidR="00282D76">
        <w:rPr>
          <w:rFonts w:ascii="Calibri" w:hAnsi="Calibri"/>
          <w:bCs/>
        </w:rPr>
        <w:t>Every two months</w:t>
      </w:r>
      <w:r w:rsidRPr="00B541FA" w:rsidR="00942869">
        <w:rPr>
          <w:rFonts w:ascii="Calibri" w:hAnsi="Calibri"/>
          <w:bCs/>
        </w:rPr>
        <w:t>, d</w:t>
      </w:r>
      <w:r w:rsidRPr="00B541FA">
        <w:rPr>
          <w:rFonts w:ascii="Calibri" w:hAnsi="Calibri"/>
          <w:bCs/>
        </w:rPr>
        <w:t xml:space="preserve">ata managers from each of these locations </w:t>
      </w:r>
      <w:r w:rsidRPr="00B541FA" w:rsidR="00942869">
        <w:rPr>
          <w:rFonts w:ascii="Calibri" w:hAnsi="Calibri"/>
          <w:bCs/>
        </w:rPr>
        <w:t>abstract</w:t>
      </w:r>
      <w:r w:rsidRPr="00B541FA" w:rsidR="00F82E8C">
        <w:rPr>
          <w:rFonts w:ascii="Calibri" w:hAnsi="Calibri"/>
          <w:bCs/>
        </w:rPr>
        <w:t xml:space="preserve"> </w:t>
      </w:r>
      <w:r w:rsidRPr="00B541FA" w:rsidR="008E4642">
        <w:rPr>
          <w:rFonts w:ascii="Calibri" w:hAnsi="Calibri"/>
          <w:bCs/>
        </w:rPr>
        <w:t xml:space="preserve">and clean all </w:t>
      </w:r>
      <w:r w:rsidRPr="00B541FA" w:rsidR="00F82E8C">
        <w:rPr>
          <w:rFonts w:ascii="Calibri" w:hAnsi="Calibri"/>
          <w:bCs/>
        </w:rPr>
        <w:t xml:space="preserve">required data on </w:t>
      </w:r>
      <w:r w:rsidRPr="00B541FA" w:rsidR="000C7B93">
        <w:rPr>
          <w:rFonts w:ascii="Calibri" w:hAnsi="Calibri"/>
          <w:bCs/>
        </w:rPr>
        <w:t xml:space="preserve">all </w:t>
      </w:r>
      <w:r w:rsidRPr="00B541FA" w:rsidR="00F82E8C">
        <w:rPr>
          <w:rFonts w:ascii="Calibri" w:hAnsi="Calibri"/>
          <w:bCs/>
        </w:rPr>
        <w:t>patients</w:t>
      </w:r>
      <w:r w:rsidRPr="00B541FA" w:rsidR="00EE523B">
        <w:rPr>
          <w:rFonts w:ascii="Calibri" w:hAnsi="Calibri"/>
          <w:bCs/>
        </w:rPr>
        <w:t xml:space="preserve"> tested for gonorrhea. Data managers </w:t>
      </w:r>
      <w:r w:rsidRPr="00B541FA" w:rsidR="00645759">
        <w:rPr>
          <w:rFonts w:ascii="Calibri" w:hAnsi="Calibri"/>
          <w:bCs/>
        </w:rPr>
        <w:t>send</w:t>
      </w:r>
      <w:r w:rsidRPr="00B541FA" w:rsidR="00EE523B">
        <w:rPr>
          <w:rFonts w:ascii="Calibri" w:hAnsi="Calibri"/>
          <w:bCs/>
        </w:rPr>
        <w:t xml:space="preserve"> the data by secure file transport mechanism to the local SURRG data manager. </w:t>
      </w:r>
      <w:r w:rsidRPr="00B541FA" w:rsidR="000C7B93">
        <w:rPr>
          <w:rFonts w:ascii="Calibri" w:hAnsi="Calibri"/>
        </w:rPr>
        <w:t>We have estimated that it take</w:t>
      </w:r>
      <w:r w:rsidRPr="00B541FA" w:rsidR="00645759">
        <w:rPr>
          <w:rFonts w:ascii="Calibri" w:hAnsi="Calibri"/>
        </w:rPr>
        <w:t>s</w:t>
      </w:r>
      <w:r w:rsidRPr="00B541FA" w:rsidR="000C7B93">
        <w:rPr>
          <w:rFonts w:ascii="Calibri" w:hAnsi="Calibri"/>
        </w:rPr>
        <w:t xml:space="preserve"> data managers at each non-STD SURRG location approximately 3 hours each time they abstract, clean</w:t>
      </w:r>
      <w:r w:rsidRPr="00B541FA" w:rsidR="00EE523B">
        <w:rPr>
          <w:rFonts w:ascii="Calibri" w:hAnsi="Calibri"/>
        </w:rPr>
        <w:t>,</w:t>
      </w:r>
      <w:r w:rsidRPr="00B541FA" w:rsidR="000C7B93">
        <w:rPr>
          <w:rFonts w:ascii="Calibri" w:hAnsi="Calibri"/>
        </w:rPr>
        <w:t xml:space="preserve"> and transmit SURRG data.</w:t>
      </w:r>
      <w:r w:rsidRPr="00B541FA" w:rsidR="00CC3DC4">
        <w:rPr>
          <w:rFonts w:ascii="Calibri" w:hAnsi="Calibri"/>
        </w:rPr>
        <w:t xml:space="preserve"> Data manager </w:t>
      </w:r>
      <w:r w:rsidRPr="003A6518" w:rsidR="00CC3DC4">
        <w:rPr>
          <w:rFonts w:ascii="Calibri" w:hAnsi="Calibri"/>
        </w:rPr>
        <w:t xml:space="preserve">at </w:t>
      </w:r>
      <w:r w:rsidRPr="003A6518" w:rsidR="00645759">
        <w:rPr>
          <w:rFonts w:ascii="Calibri" w:hAnsi="Calibri"/>
        </w:rPr>
        <w:t xml:space="preserve">~26 </w:t>
      </w:r>
      <w:r w:rsidRPr="003A6518" w:rsidR="00CC3DC4">
        <w:rPr>
          <w:rFonts w:ascii="Calibri" w:hAnsi="Calibri"/>
        </w:rPr>
        <w:t>non</w:t>
      </w:r>
      <w:r w:rsidRPr="00CC3DC4" w:rsidR="00CC3DC4">
        <w:rPr>
          <w:rFonts w:ascii="Calibri" w:hAnsi="Calibri"/>
        </w:rPr>
        <w:t>-STD clinic health centers</w:t>
      </w:r>
      <w:r w:rsidR="00CC3DC4">
        <w:rPr>
          <w:rFonts w:ascii="Calibri" w:hAnsi="Calibri"/>
        </w:rPr>
        <w:t xml:space="preserve">, provide 6 responses each with 3 hours per response, yields </w:t>
      </w:r>
      <w:r w:rsidRPr="003A6518" w:rsidR="00645759">
        <w:rPr>
          <w:rFonts w:ascii="Calibri" w:hAnsi="Calibri"/>
        </w:rPr>
        <w:t>468</w:t>
      </w:r>
      <w:r w:rsidRPr="00641643" w:rsidR="00645759">
        <w:rPr>
          <w:rFonts w:ascii="Calibri" w:hAnsi="Calibri"/>
        </w:rPr>
        <w:t xml:space="preserve"> </w:t>
      </w:r>
      <w:r w:rsidR="00CC3DC4">
        <w:rPr>
          <w:rFonts w:ascii="Calibri" w:hAnsi="Calibri"/>
        </w:rPr>
        <w:t>annual burden hours (</w:t>
      </w:r>
      <w:r w:rsidRPr="007A3141" w:rsidR="00CC3DC4">
        <w:rPr>
          <w:rFonts w:ascii="Calibri" w:hAnsi="Calibri"/>
          <w:b/>
        </w:rPr>
        <w:t>Attachment 3</w:t>
      </w:r>
      <w:r w:rsidR="00167958">
        <w:rPr>
          <w:rFonts w:ascii="Calibri" w:hAnsi="Calibri"/>
          <w:b/>
        </w:rPr>
        <w:t>B</w:t>
      </w:r>
      <w:r w:rsidR="00CC3DC4">
        <w:rPr>
          <w:rFonts w:ascii="Calibri" w:hAnsi="Calibri"/>
        </w:rPr>
        <w:t xml:space="preserve">). </w:t>
      </w:r>
    </w:p>
    <w:p w:rsidRPr="00C84134" w:rsidR="00A64100" w:rsidP="00030B98" w:rsidRDefault="00A64100" w14:paraId="477F0081" w14:textId="77777777">
      <w:pPr>
        <w:keepNext/>
        <w:autoSpaceDE w:val="0"/>
        <w:autoSpaceDN w:val="0"/>
        <w:adjustRightInd w:val="0"/>
        <w:rPr>
          <w:rFonts w:ascii="Calibri" w:hAnsi="Calibri"/>
          <w:bCs/>
        </w:rPr>
      </w:pPr>
    </w:p>
    <w:p w:rsidRPr="00C84134" w:rsidR="00942869" w:rsidP="00942869" w:rsidRDefault="00942869" w14:paraId="6E431CCB" w14:textId="77777777">
      <w:pPr>
        <w:keepNext/>
        <w:autoSpaceDE w:val="0"/>
        <w:autoSpaceDN w:val="0"/>
        <w:adjustRightInd w:val="0"/>
        <w:rPr>
          <w:rFonts w:ascii="Calibri" w:hAnsi="Calibri"/>
          <w:bCs/>
        </w:rPr>
      </w:pPr>
      <w:r w:rsidRPr="00C84134">
        <w:rPr>
          <w:rFonts w:ascii="Calibri" w:hAnsi="Calibri"/>
          <w:bCs/>
          <w:u w:val="single"/>
        </w:rPr>
        <w:t>Laboratory-based data</w:t>
      </w:r>
      <w:r w:rsidRPr="00C84134">
        <w:rPr>
          <w:rFonts w:ascii="Calibri" w:hAnsi="Calibri"/>
          <w:bCs/>
        </w:rPr>
        <w:t>:</w:t>
      </w:r>
    </w:p>
    <w:p w:rsidRPr="00641643" w:rsidR="00E53CC1" w:rsidP="000C7B93" w:rsidRDefault="00942869" w14:paraId="1FB47FF9" w14:textId="2C0CA90E">
      <w:pPr>
        <w:keepNext/>
        <w:autoSpaceDE w:val="0"/>
        <w:autoSpaceDN w:val="0"/>
        <w:adjustRightInd w:val="0"/>
        <w:rPr>
          <w:rFonts w:ascii="Calibri" w:hAnsi="Calibri"/>
          <w:bCs/>
        </w:rPr>
      </w:pPr>
      <w:r w:rsidRPr="00C84134">
        <w:rPr>
          <w:rFonts w:ascii="Calibri" w:hAnsi="Calibri"/>
          <w:bCs/>
        </w:rPr>
        <w:t xml:space="preserve">Public health laboratories from each of the </w:t>
      </w:r>
      <w:r w:rsidR="00645759">
        <w:rPr>
          <w:rFonts w:ascii="Calibri" w:hAnsi="Calibri"/>
          <w:bCs/>
        </w:rPr>
        <w:t>eight</w:t>
      </w:r>
      <w:r w:rsidRPr="00C84134">
        <w:rPr>
          <w:rFonts w:ascii="Calibri" w:hAnsi="Calibri"/>
          <w:bCs/>
        </w:rPr>
        <w:t xml:space="preserve"> funded jurisdictions conduct </w:t>
      </w:r>
      <w:r w:rsidR="00645759">
        <w:rPr>
          <w:rFonts w:ascii="Calibri" w:hAnsi="Calibri"/>
          <w:bCs/>
        </w:rPr>
        <w:t>AST</w:t>
      </w:r>
      <w:r w:rsidRPr="00C84134">
        <w:rPr>
          <w:rFonts w:ascii="Calibri" w:hAnsi="Calibri"/>
          <w:bCs/>
        </w:rPr>
        <w:t xml:space="preserve"> via Etest on all </w:t>
      </w:r>
      <w:r w:rsidRPr="00CE4FE2" w:rsidR="00EE523B">
        <w:rPr>
          <w:rFonts w:ascii="Calibri" w:hAnsi="Calibri"/>
          <w:bCs/>
          <w:i/>
        </w:rPr>
        <w:t>N. gonorrhoeae</w:t>
      </w:r>
      <w:r w:rsidRPr="00C84134">
        <w:rPr>
          <w:rFonts w:ascii="Calibri" w:hAnsi="Calibri"/>
          <w:bCs/>
        </w:rPr>
        <w:t xml:space="preserve"> cultures from all </w:t>
      </w:r>
      <w:r w:rsidRPr="003A6518" w:rsidR="00645759">
        <w:rPr>
          <w:rFonts w:ascii="Calibri" w:hAnsi="Calibri"/>
          <w:bCs/>
        </w:rPr>
        <w:t>16</w:t>
      </w:r>
      <w:r w:rsidR="00EE523B">
        <w:rPr>
          <w:rFonts w:ascii="Calibri" w:hAnsi="Calibri"/>
          <w:bCs/>
        </w:rPr>
        <w:t xml:space="preserve"> STD clinic sites </w:t>
      </w:r>
      <w:r w:rsidRPr="00666649" w:rsidR="00EE523B">
        <w:rPr>
          <w:rFonts w:ascii="Calibri" w:hAnsi="Calibri"/>
          <w:bCs/>
        </w:rPr>
        <w:t xml:space="preserve">and </w:t>
      </w:r>
      <w:r w:rsidRPr="003A6518" w:rsidR="00645759">
        <w:rPr>
          <w:rFonts w:ascii="Calibri" w:hAnsi="Calibri"/>
          <w:bCs/>
        </w:rPr>
        <w:t>26</w:t>
      </w:r>
      <w:r w:rsidRPr="00C84134">
        <w:rPr>
          <w:rFonts w:ascii="Calibri" w:hAnsi="Calibri"/>
          <w:bCs/>
        </w:rPr>
        <w:t xml:space="preserve"> non-STD</w:t>
      </w:r>
      <w:r w:rsidR="00EE523B">
        <w:rPr>
          <w:rFonts w:ascii="Calibri" w:hAnsi="Calibri"/>
          <w:bCs/>
        </w:rPr>
        <w:t xml:space="preserve"> clinic</w:t>
      </w:r>
      <w:r w:rsidRPr="00C84134">
        <w:rPr>
          <w:rFonts w:ascii="Calibri" w:hAnsi="Calibri"/>
          <w:bCs/>
        </w:rPr>
        <w:t xml:space="preserve"> </w:t>
      </w:r>
      <w:r w:rsidR="00EE523B">
        <w:rPr>
          <w:rFonts w:ascii="Calibri" w:hAnsi="Calibri"/>
          <w:bCs/>
        </w:rPr>
        <w:t>sites</w:t>
      </w:r>
      <w:r w:rsidRPr="00C84134" w:rsidR="00F161C2">
        <w:rPr>
          <w:rFonts w:ascii="Calibri" w:hAnsi="Calibri"/>
          <w:bCs/>
        </w:rPr>
        <w:t xml:space="preserve"> participating in SURRG.  Each Etest takes approximately </w:t>
      </w:r>
      <w:r w:rsidRPr="003A6518" w:rsidR="00F161C2">
        <w:rPr>
          <w:rFonts w:ascii="Calibri" w:hAnsi="Calibri"/>
          <w:bCs/>
        </w:rPr>
        <w:t>10 minutes</w:t>
      </w:r>
      <w:r w:rsidRPr="003A6518" w:rsidR="001B32D7">
        <w:rPr>
          <w:rFonts w:ascii="Calibri" w:hAnsi="Calibri"/>
          <w:bCs/>
        </w:rPr>
        <w:t xml:space="preserve"> (10/60)</w:t>
      </w:r>
      <w:r w:rsidRPr="003A6518" w:rsidR="00F161C2">
        <w:rPr>
          <w:rFonts w:ascii="Calibri" w:hAnsi="Calibri"/>
          <w:bCs/>
        </w:rPr>
        <w:t xml:space="preserve"> of</w:t>
      </w:r>
      <w:r w:rsidRPr="00C84134" w:rsidR="00F161C2">
        <w:rPr>
          <w:rFonts w:ascii="Calibri" w:hAnsi="Calibri"/>
          <w:bCs/>
        </w:rPr>
        <w:t xml:space="preserve"> staff time</w:t>
      </w:r>
      <w:r w:rsidRPr="00C84134" w:rsidR="004E7ED4">
        <w:rPr>
          <w:rFonts w:ascii="Calibri" w:hAnsi="Calibri"/>
          <w:bCs/>
        </w:rPr>
        <w:t>, and an E</w:t>
      </w:r>
      <w:r w:rsidRPr="00C84134" w:rsidR="00F161C2">
        <w:rPr>
          <w:rFonts w:ascii="Calibri" w:hAnsi="Calibri"/>
          <w:bCs/>
        </w:rPr>
        <w:t xml:space="preserve">test of control strains </w:t>
      </w:r>
      <w:r w:rsidR="00645759">
        <w:rPr>
          <w:rFonts w:ascii="Calibri" w:hAnsi="Calibri"/>
          <w:bCs/>
        </w:rPr>
        <w:t>is</w:t>
      </w:r>
      <w:r w:rsidRPr="00C84134" w:rsidR="00F161C2">
        <w:rPr>
          <w:rFonts w:ascii="Calibri" w:hAnsi="Calibri"/>
          <w:bCs/>
        </w:rPr>
        <w:t xml:space="preserve"> conducted approximately twice per week at each laboratory. </w:t>
      </w:r>
      <w:r w:rsidR="00EE523B">
        <w:rPr>
          <w:rFonts w:ascii="Calibri" w:hAnsi="Calibri"/>
          <w:bCs/>
        </w:rPr>
        <w:t>O</w:t>
      </w:r>
      <w:r w:rsidRPr="00C84134" w:rsidR="00F161C2">
        <w:rPr>
          <w:rFonts w:ascii="Calibri" w:hAnsi="Calibri"/>
          <w:bCs/>
        </w:rPr>
        <w:t xml:space="preserve">n average, each jurisdiction </w:t>
      </w:r>
      <w:r w:rsidRPr="00C84134" w:rsidR="004E7ED4">
        <w:rPr>
          <w:rFonts w:ascii="Calibri" w:hAnsi="Calibri"/>
          <w:bCs/>
        </w:rPr>
        <w:t>conduct</w:t>
      </w:r>
      <w:r w:rsidR="00645759">
        <w:rPr>
          <w:rFonts w:ascii="Calibri" w:hAnsi="Calibri"/>
          <w:bCs/>
        </w:rPr>
        <w:t>s</w:t>
      </w:r>
      <w:r w:rsidRPr="00C84134" w:rsidR="004E7ED4">
        <w:rPr>
          <w:rFonts w:ascii="Calibri" w:hAnsi="Calibri"/>
          <w:bCs/>
        </w:rPr>
        <w:t xml:space="preserve"> </w:t>
      </w:r>
      <w:r w:rsidRPr="00641643" w:rsidR="004E7ED4">
        <w:rPr>
          <w:rFonts w:ascii="Calibri" w:hAnsi="Calibri"/>
          <w:bCs/>
        </w:rPr>
        <w:t xml:space="preserve">approximately </w:t>
      </w:r>
      <w:r w:rsidRPr="003A6518" w:rsidR="00E53CC1">
        <w:rPr>
          <w:rFonts w:ascii="Calibri" w:hAnsi="Calibri"/>
          <w:bCs/>
        </w:rPr>
        <w:t>600</w:t>
      </w:r>
      <w:r w:rsidRPr="003A6518" w:rsidR="004E7ED4">
        <w:rPr>
          <w:rFonts w:ascii="Calibri" w:hAnsi="Calibri"/>
          <w:bCs/>
        </w:rPr>
        <w:t xml:space="preserve"> Etests</w:t>
      </w:r>
      <w:r w:rsidRPr="00641643" w:rsidR="004E7ED4">
        <w:rPr>
          <w:rFonts w:ascii="Calibri" w:hAnsi="Calibri"/>
          <w:bCs/>
        </w:rPr>
        <w:t xml:space="preserve"> per year</w:t>
      </w:r>
      <w:r w:rsidRPr="00641643" w:rsidR="00EE523B">
        <w:rPr>
          <w:rFonts w:ascii="Calibri" w:hAnsi="Calibri"/>
          <w:bCs/>
        </w:rPr>
        <w:t xml:space="preserve"> for patient care</w:t>
      </w:r>
      <w:r w:rsidRPr="00641643" w:rsidR="004E7ED4">
        <w:rPr>
          <w:rFonts w:ascii="Calibri" w:hAnsi="Calibri"/>
          <w:bCs/>
        </w:rPr>
        <w:t xml:space="preserve">, plus </w:t>
      </w:r>
      <w:r w:rsidRPr="003A6518" w:rsidR="004E7ED4">
        <w:rPr>
          <w:rFonts w:ascii="Calibri" w:hAnsi="Calibri"/>
          <w:bCs/>
        </w:rPr>
        <w:t>100</w:t>
      </w:r>
      <w:r w:rsidRPr="00641643" w:rsidR="004E7ED4">
        <w:rPr>
          <w:rFonts w:ascii="Calibri" w:hAnsi="Calibri"/>
          <w:bCs/>
        </w:rPr>
        <w:t xml:space="preserve"> Etests </w:t>
      </w:r>
      <w:r w:rsidRPr="00641643" w:rsidR="00E53CC1">
        <w:rPr>
          <w:rFonts w:ascii="Calibri" w:hAnsi="Calibri"/>
          <w:bCs/>
        </w:rPr>
        <w:t xml:space="preserve">per </w:t>
      </w:r>
      <w:r w:rsidRPr="00C84134" w:rsidR="00E53CC1">
        <w:rPr>
          <w:rFonts w:ascii="Calibri" w:hAnsi="Calibri"/>
          <w:bCs/>
        </w:rPr>
        <w:lastRenderedPageBreak/>
        <w:t xml:space="preserve">year </w:t>
      </w:r>
      <w:r w:rsidRPr="00C84134" w:rsidR="004E7ED4">
        <w:rPr>
          <w:rFonts w:ascii="Calibri" w:hAnsi="Calibri"/>
          <w:bCs/>
        </w:rPr>
        <w:t>on control strains</w:t>
      </w:r>
      <w:r w:rsidR="00EE523B">
        <w:rPr>
          <w:rFonts w:ascii="Calibri" w:hAnsi="Calibri"/>
          <w:bCs/>
        </w:rPr>
        <w:t xml:space="preserve"> for quality assurance.</w:t>
      </w:r>
      <w:r w:rsidR="006A335E">
        <w:rPr>
          <w:rFonts w:ascii="Calibri" w:hAnsi="Calibri"/>
          <w:bCs/>
        </w:rPr>
        <w:t xml:space="preserve"> A</w:t>
      </w:r>
      <w:r w:rsidRPr="00641643" w:rsidR="000C7B93">
        <w:rPr>
          <w:rFonts w:ascii="Calibri" w:hAnsi="Calibri"/>
          <w:bCs/>
        </w:rPr>
        <w:t xml:space="preserve"> total of approximately </w:t>
      </w:r>
      <w:r w:rsidRPr="003A6518" w:rsidR="00E53CC1">
        <w:rPr>
          <w:rFonts w:ascii="Calibri" w:hAnsi="Calibri"/>
          <w:bCs/>
        </w:rPr>
        <w:t>700</w:t>
      </w:r>
      <w:r w:rsidRPr="00641643" w:rsidR="004E7ED4">
        <w:rPr>
          <w:rFonts w:ascii="Calibri" w:hAnsi="Calibri"/>
          <w:bCs/>
        </w:rPr>
        <w:t xml:space="preserve"> Etests per year</w:t>
      </w:r>
      <w:r w:rsidRPr="00641643" w:rsidR="000C7B93">
        <w:rPr>
          <w:rFonts w:ascii="Calibri" w:hAnsi="Calibri"/>
          <w:bCs/>
        </w:rPr>
        <w:t xml:space="preserve"> per </w:t>
      </w:r>
      <w:r w:rsidRPr="00641643" w:rsidR="00EE523B">
        <w:rPr>
          <w:rFonts w:ascii="Calibri" w:hAnsi="Calibri"/>
          <w:bCs/>
        </w:rPr>
        <w:t xml:space="preserve">grantee </w:t>
      </w:r>
      <w:r w:rsidRPr="00641643" w:rsidR="00645759">
        <w:rPr>
          <w:rFonts w:ascii="Calibri" w:hAnsi="Calibri"/>
          <w:bCs/>
        </w:rPr>
        <w:t>are</w:t>
      </w:r>
      <w:r w:rsidRPr="00641643" w:rsidR="00EE523B">
        <w:rPr>
          <w:rFonts w:ascii="Calibri" w:hAnsi="Calibri"/>
          <w:bCs/>
        </w:rPr>
        <w:t xml:space="preserve"> performed</w:t>
      </w:r>
      <w:r w:rsidRPr="00641643" w:rsidR="004E7ED4">
        <w:rPr>
          <w:rFonts w:ascii="Calibri" w:hAnsi="Calibri"/>
          <w:bCs/>
        </w:rPr>
        <w:t xml:space="preserve">.  </w:t>
      </w:r>
      <w:r w:rsidRPr="00641643" w:rsidR="00CC3DC4">
        <w:rPr>
          <w:rFonts w:ascii="Calibri" w:hAnsi="Calibri"/>
          <w:bCs/>
        </w:rPr>
        <w:t xml:space="preserve"> </w:t>
      </w:r>
    </w:p>
    <w:p w:rsidRPr="00641643" w:rsidR="00CC3DC4" w:rsidP="00CC3DC4" w:rsidRDefault="00645759" w14:paraId="6A9E4068" w14:textId="3723F571">
      <w:pPr>
        <w:keepNext/>
        <w:autoSpaceDE w:val="0"/>
        <w:autoSpaceDN w:val="0"/>
        <w:adjustRightInd w:val="0"/>
        <w:rPr>
          <w:rFonts w:ascii="Calibri" w:hAnsi="Calibri"/>
          <w:bCs/>
        </w:rPr>
      </w:pPr>
      <w:r w:rsidRPr="00641643">
        <w:rPr>
          <w:rFonts w:ascii="Calibri" w:hAnsi="Calibri"/>
        </w:rPr>
        <w:t xml:space="preserve">Eight </w:t>
      </w:r>
      <w:r w:rsidRPr="00641643" w:rsidR="00CC3DC4">
        <w:rPr>
          <w:rFonts w:ascii="Calibri" w:hAnsi="Calibri"/>
        </w:rPr>
        <w:t>(</w:t>
      </w:r>
      <w:r w:rsidRPr="00641643">
        <w:rPr>
          <w:rFonts w:ascii="Calibri" w:hAnsi="Calibri"/>
        </w:rPr>
        <w:t>8</w:t>
      </w:r>
      <w:r w:rsidRPr="00641643" w:rsidR="00CC3DC4">
        <w:rPr>
          <w:rFonts w:ascii="Calibri" w:hAnsi="Calibri"/>
        </w:rPr>
        <w:t xml:space="preserve">) public health laboratory biologists provide 700 laboratory testing data responses each taking 10 minutes per response, </w:t>
      </w:r>
      <w:r w:rsidRPr="003A6518" w:rsidR="00CC3DC4">
        <w:rPr>
          <w:rFonts w:ascii="Calibri" w:hAnsi="Calibri"/>
        </w:rPr>
        <w:t xml:space="preserve">yields </w:t>
      </w:r>
      <w:r w:rsidRPr="003A6518" w:rsidR="004327DB">
        <w:rPr>
          <w:rFonts w:ascii="Calibri" w:hAnsi="Calibri"/>
        </w:rPr>
        <w:t>933</w:t>
      </w:r>
      <w:r w:rsidRPr="003A6518" w:rsidR="00CC3DC4">
        <w:rPr>
          <w:rFonts w:ascii="Calibri" w:hAnsi="Calibri"/>
        </w:rPr>
        <w:t xml:space="preserve"> annual burden hours</w:t>
      </w:r>
      <w:r w:rsidRPr="00641643" w:rsidR="00CC3DC4">
        <w:rPr>
          <w:rFonts w:ascii="Calibri" w:hAnsi="Calibri"/>
        </w:rPr>
        <w:t xml:space="preserve"> (</w:t>
      </w:r>
      <w:r w:rsidRPr="00641643" w:rsidR="00CC3DC4">
        <w:rPr>
          <w:rFonts w:ascii="Calibri" w:hAnsi="Calibri"/>
          <w:b/>
        </w:rPr>
        <w:t>Attachment 3</w:t>
      </w:r>
      <w:r w:rsidRPr="00641643" w:rsidR="00167958">
        <w:rPr>
          <w:rFonts w:ascii="Calibri" w:hAnsi="Calibri"/>
          <w:b/>
        </w:rPr>
        <w:t>C-</w:t>
      </w:r>
      <w:r w:rsidR="00430C3B">
        <w:rPr>
          <w:rFonts w:ascii="Calibri" w:hAnsi="Calibri"/>
          <w:b/>
        </w:rPr>
        <w:t>1</w:t>
      </w:r>
      <w:r w:rsidRPr="00641643" w:rsidR="00100510">
        <w:rPr>
          <w:rFonts w:ascii="Calibri" w:hAnsi="Calibri"/>
          <w:b/>
        </w:rPr>
        <w:t>; Part II PRA Worksheet Att 3C-</w:t>
      </w:r>
      <w:r w:rsidR="00430C3B">
        <w:rPr>
          <w:rFonts w:ascii="Calibri" w:hAnsi="Calibri"/>
          <w:b/>
        </w:rPr>
        <w:t>1</w:t>
      </w:r>
      <w:r w:rsidRPr="00641643" w:rsidR="00CC3DC4">
        <w:rPr>
          <w:rFonts w:ascii="Calibri" w:hAnsi="Calibri"/>
        </w:rPr>
        <w:t xml:space="preserve">). </w:t>
      </w:r>
    </w:p>
    <w:p w:rsidRPr="00C84134" w:rsidR="00CC3DC4" w:rsidP="00CC3DC4" w:rsidRDefault="00CC3DC4" w14:paraId="5419C486" w14:textId="77777777">
      <w:pPr>
        <w:keepNext/>
        <w:autoSpaceDE w:val="0"/>
        <w:autoSpaceDN w:val="0"/>
        <w:adjustRightInd w:val="0"/>
        <w:rPr>
          <w:rFonts w:ascii="Calibri" w:hAnsi="Calibri"/>
          <w:bCs/>
        </w:rPr>
      </w:pPr>
    </w:p>
    <w:p w:rsidRPr="00C84134" w:rsidR="00E721FF" w:rsidP="00E721FF" w:rsidRDefault="00EE523B" w14:paraId="7B953459" w14:textId="197619ED">
      <w:pPr>
        <w:keepNext/>
        <w:autoSpaceDE w:val="0"/>
        <w:autoSpaceDN w:val="0"/>
        <w:adjustRightInd w:val="0"/>
        <w:rPr>
          <w:rFonts w:ascii="Calibri" w:hAnsi="Calibri"/>
          <w:bCs/>
        </w:rPr>
      </w:pPr>
      <w:r>
        <w:rPr>
          <w:rFonts w:ascii="Calibri" w:hAnsi="Calibri"/>
          <w:bCs/>
        </w:rPr>
        <w:t>In addition to routine laboratory result reporting, a laboratory data manager abstract</w:t>
      </w:r>
      <w:r w:rsidR="00645759">
        <w:rPr>
          <w:rFonts w:ascii="Calibri" w:hAnsi="Calibri"/>
          <w:bCs/>
        </w:rPr>
        <w:t>s</w:t>
      </w:r>
      <w:r>
        <w:rPr>
          <w:rFonts w:ascii="Calibri" w:hAnsi="Calibri"/>
          <w:bCs/>
        </w:rPr>
        <w:t xml:space="preserve"> laborator</w:t>
      </w:r>
      <w:r w:rsidR="006F2DA6">
        <w:rPr>
          <w:rFonts w:ascii="Calibri" w:hAnsi="Calibri"/>
          <w:bCs/>
        </w:rPr>
        <w:t xml:space="preserve">y </w:t>
      </w:r>
      <w:r w:rsidRPr="002E2227" w:rsidR="006F2DA6">
        <w:rPr>
          <w:rFonts w:ascii="Calibri" w:hAnsi="Calibri"/>
          <w:bCs/>
        </w:rPr>
        <w:t xml:space="preserve">data </w:t>
      </w:r>
      <w:r w:rsidRPr="002E2227">
        <w:rPr>
          <w:rFonts w:ascii="Calibri" w:hAnsi="Calibri"/>
          <w:bCs/>
        </w:rPr>
        <w:t>for persons</w:t>
      </w:r>
      <w:r>
        <w:rPr>
          <w:rFonts w:ascii="Calibri" w:hAnsi="Calibri"/>
          <w:bCs/>
        </w:rPr>
        <w:t xml:space="preserve"> included in the SURRG clinic-based</w:t>
      </w:r>
      <w:r w:rsidR="0080704C">
        <w:rPr>
          <w:rFonts w:ascii="Calibri" w:hAnsi="Calibri"/>
          <w:bCs/>
        </w:rPr>
        <w:t xml:space="preserve"> data collections and associated data (such as submitting site and timing of result reporting) </w:t>
      </w:r>
      <w:r>
        <w:rPr>
          <w:rFonts w:ascii="Calibri" w:hAnsi="Calibri"/>
          <w:bCs/>
        </w:rPr>
        <w:t>and</w:t>
      </w:r>
      <w:r w:rsidR="0080704C">
        <w:rPr>
          <w:rFonts w:ascii="Calibri" w:hAnsi="Calibri"/>
          <w:bCs/>
        </w:rPr>
        <w:t xml:space="preserve"> </w:t>
      </w:r>
      <w:r w:rsidR="00BC06C0">
        <w:rPr>
          <w:rFonts w:ascii="Calibri" w:hAnsi="Calibri"/>
          <w:bCs/>
        </w:rPr>
        <w:t>sends</w:t>
      </w:r>
      <w:r>
        <w:rPr>
          <w:rFonts w:ascii="Calibri" w:hAnsi="Calibri"/>
          <w:bCs/>
        </w:rPr>
        <w:t xml:space="preserve"> those data to the local SURRG data manager</w:t>
      </w:r>
      <w:r w:rsidRPr="00C84134" w:rsidR="00E721FF">
        <w:rPr>
          <w:rFonts w:ascii="Calibri" w:hAnsi="Calibri"/>
          <w:bCs/>
        </w:rPr>
        <w:t xml:space="preserve"> </w:t>
      </w:r>
      <w:r w:rsidRPr="00C84134" w:rsidR="00E721FF">
        <w:rPr>
          <w:rFonts w:ascii="Calibri" w:hAnsi="Calibri"/>
        </w:rPr>
        <w:t>through secure file transport mechanisms.</w:t>
      </w:r>
      <w:r w:rsidRPr="00C84134" w:rsidR="000C7B93">
        <w:rPr>
          <w:rFonts w:ascii="Calibri" w:hAnsi="Calibri"/>
        </w:rPr>
        <w:t xml:space="preserve"> </w:t>
      </w:r>
      <w:r w:rsidRPr="003A6518" w:rsidR="00BC06C0">
        <w:rPr>
          <w:rFonts w:ascii="Calibri" w:hAnsi="Calibri"/>
        </w:rPr>
        <w:t>T</w:t>
      </w:r>
      <w:r w:rsidRPr="003A6518" w:rsidR="00CC3DC4">
        <w:rPr>
          <w:rFonts w:ascii="Calibri" w:hAnsi="Calibri"/>
        </w:rPr>
        <w:t xml:space="preserve">he </w:t>
      </w:r>
      <w:r w:rsidRPr="003A6518" w:rsidR="00BC06C0">
        <w:rPr>
          <w:rFonts w:ascii="Calibri" w:hAnsi="Calibri"/>
        </w:rPr>
        <w:t>8</w:t>
      </w:r>
      <w:r w:rsidRPr="003A6518" w:rsidR="00CC3DC4">
        <w:rPr>
          <w:rFonts w:ascii="Calibri" w:hAnsi="Calibri"/>
        </w:rPr>
        <w:t xml:space="preserve"> </w:t>
      </w:r>
      <w:r w:rsidRPr="003A6518" w:rsidR="000C7B93">
        <w:rPr>
          <w:rFonts w:ascii="Calibri" w:hAnsi="Calibri"/>
        </w:rPr>
        <w:t xml:space="preserve">laboratory data managers at each local public health lab </w:t>
      </w:r>
      <w:r w:rsidRPr="003A6518">
        <w:rPr>
          <w:rFonts w:ascii="Calibri" w:hAnsi="Calibri"/>
        </w:rPr>
        <w:t xml:space="preserve">spend </w:t>
      </w:r>
      <w:r w:rsidRPr="003A6518" w:rsidR="000C7B93">
        <w:rPr>
          <w:rFonts w:ascii="Calibri" w:hAnsi="Calibri"/>
        </w:rPr>
        <w:t>approximately 1 hour each time they abstract, clean</w:t>
      </w:r>
      <w:r w:rsidRPr="003A6518">
        <w:rPr>
          <w:rFonts w:ascii="Calibri" w:hAnsi="Calibri"/>
        </w:rPr>
        <w:t>,</w:t>
      </w:r>
      <w:r w:rsidRPr="003A6518" w:rsidR="000C7B93">
        <w:rPr>
          <w:rFonts w:ascii="Calibri" w:hAnsi="Calibri"/>
        </w:rPr>
        <w:t xml:space="preserve"> and </w:t>
      </w:r>
      <w:r w:rsidRPr="003A6518" w:rsidR="00CC3DC4">
        <w:rPr>
          <w:rFonts w:ascii="Calibri" w:hAnsi="Calibri"/>
        </w:rPr>
        <w:t xml:space="preserve">perform 6 project data transmissions for a total of </w:t>
      </w:r>
      <w:r w:rsidRPr="003A6518" w:rsidR="004327DB">
        <w:rPr>
          <w:rFonts w:ascii="Calibri" w:hAnsi="Calibri"/>
        </w:rPr>
        <w:t xml:space="preserve">48 </w:t>
      </w:r>
      <w:r w:rsidRPr="003A6518" w:rsidR="00CC3DC4">
        <w:rPr>
          <w:rFonts w:ascii="Calibri" w:hAnsi="Calibri"/>
        </w:rPr>
        <w:t>a</w:t>
      </w:r>
      <w:r w:rsidR="00CC3DC4">
        <w:rPr>
          <w:rFonts w:ascii="Calibri" w:hAnsi="Calibri"/>
        </w:rPr>
        <w:t>nnual burden hours (</w:t>
      </w:r>
      <w:r w:rsidRPr="00263C9A" w:rsidR="00CC3DC4">
        <w:rPr>
          <w:rFonts w:ascii="Calibri" w:hAnsi="Calibri"/>
          <w:b/>
        </w:rPr>
        <w:t>Attachment 3</w:t>
      </w:r>
      <w:r w:rsidR="00167958">
        <w:rPr>
          <w:rFonts w:ascii="Calibri" w:hAnsi="Calibri"/>
          <w:b/>
        </w:rPr>
        <w:t>C-</w:t>
      </w:r>
      <w:r w:rsidR="00430C3B">
        <w:rPr>
          <w:rFonts w:ascii="Calibri" w:hAnsi="Calibri"/>
          <w:b/>
        </w:rPr>
        <w:t>2</w:t>
      </w:r>
      <w:r w:rsidR="00100510">
        <w:rPr>
          <w:rFonts w:ascii="Calibri" w:hAnsi="Calibri"/>
          <w:b/>
        </w:rPr>
        <w:t>; Part II PRA Worksheet Att 3C-</w:t>
      </w:r>
      <w:r w:rsidR="00430C3B">
        <w:rPr>
          <w:rFonts w:ascii="Calibri" w:hAnsi="Calibri"/>
          <w:b/>
        </w:rPr>
        <w:t>2</w:t>
      </w:r>
      <w:r w:rsidR="00CC3DC4">
        <w:rPr>
          <w:rFonts w:ascii="Calibri" w:hAnsi="Calibri"/>
        </w:rPr>
        <w:t>)</w:t>
      </w:r>
      <w:r w:rsidRPr="00C84134" w:rsidR="000C7B93">
        <w:rPr>
          <w:rFonts w:ascii="Calibri" w:hAnsi="Calibri"/>
        </w:rPr>
        <w:t>.</w:t>
      </w:r>
    </w:p>
    <w:p w:rsidRPr="00C84134" w:rsidR="00942869" w:rsidP="00942869" w:rsidRDefault="00942869" w14:paraId="26063B36" w14:textId="77777777">
      <w:pPr>
        <w:keepNext/>
        <w:autoSpaceDE w:val="0"/>
        <w:autoSpaceDN w:val="0"/>
        <w:adjustRightInd w:val="0"/>
        <w:rPr>
          <w:rFonts w:ascii="Calibri" w:hAnsi="Calibri"/>
          <w:bCs/>
        </w:rPr>
      </w:pPr>
    </w:p>
    <w:p w:rsidRPr="00C84134" w:rsidR="00A64100" w:rsidP="00030B98" w:rsidRDefault="0084442A" w14:paraId="581A4A47" w14:textId="083ADA73">
      <w:pPr>
        <w:keepNext/>
        <w:autoSpaceDE w:val="0"/>
        <w:autoSpaceDN w:val="0"/>
        <w:adjustRightInd w:val="0"/>
        <w:rPr>
          <w:rFonts w:ascii="Calibri" w:hAnsi="Calibri"/>
          <w:bCs/>
        </w:rPr>
      </w:pPr>
      <w:r>
        <w:rPr>
          <w:rFonts w:ascii="Calibri" w:hAnsi="Calibri"/>
          <w:bCs/>
          <w:u w:val="single"/>
        </w:rPr>
        <w:t xml:space="preserve">Persons diagnosed with gonorrhea and their </w:t>
      </w:r>
      <w:r w:rsidR="00292160">
        <w:rPr>
          <w:rFonts w:ascii="Calibri" w:hAnsi="Calibri"/>
          <w:bCs/>
          <w:u w:val="single"/>
        </w:rPr>
        <w:t>partners</w:t>
      </w:r>
      <w:r>
        <w:rPr>
          <w:rFonts w:ascii="Calibri" w:hAnsi="Calibri"/>
          <w:bCs/>
          <w:u w:val="single"/>
        </w:rPr>
        <w:t xml:space="preserve">: </w:t>
      </w:r>
    </w:p>
    <w:p w:rsidRPr="004B46FF" w:rsidR="00FE21C0" w:rsidP="00030B98" w:rsidRDefault="00942869" w14:paraId="03A06076" w14:textId="66A1989F">
      <w:pPr>
        <w:keepNext/>
        <w:autoSpaceDE w:val="0"/>
        <w:autoSpaceDN w:val="0"/>
        <w:adjustRightInd w:val="0"/>
        <w:rPr>
          <w:rFonts w:ascii="Calibri" w:hAnsi="Calibri"/>
          <w:bCs/>
        </w:rPr>
      </w:pPr>
      <w:r w:rsidRPr="00A042C9">
        <w:rPr>
          <w:rFonts w:ascii="Calibri" w:hAnsi="Calibri"/>
          <w:bCs/>
        </w:rPr>
        <w:t xml:space="preserve">Health department </w:t>
      </w:r>
      <w:r w:rsidRPr="00A042C9" w:rsidR="0084442A">
        <w:rPr>
          <w:rFonts w:ascii="Calibri" w:hAnsi="Calibri"/>
          <w:bCs/>
        </w:rPr>
        <w:t>staff</w:t>
      </w:r>
      <w:r w:rsidRPr="00A042C9">
        <w:rPr>
          <w:rFonts w:ascii="Calibri" w:hAnsi="Calibri"/>
          <w:bCs/>
        </w:rPr>
        <w:t xml:space="preserve"> interview any person diagnosed </w:t>
      </w:r>
      <w:r w:rsidRPr="00A042C9" w:rsidR="00A85EC8">
        <w:rPr>
          <w:rFonts w:ascii="Calibri" w:hAnsi="Calibri"/>
          <w:bCs/>
        </w:rPr>
        <w:t xml:space="preserve">(via Etest) </w:t>
      </w:r>
      <w:r w:rsidRPr="00A042C9">
        <w:rPr>
          <w:rFonts w:ascii="Calibri" w:hAnsi="Calibri"/>
          <w:bCs/>
        </w:rPr>
        <w:t>with antibiotic</w:t>
      </w:r>
      <w:r w:rsidRPr="00A042C9" w:rsidR="0084442A">
        <w:rPr>
          <w:rFonts w:ascii="Calibri" w:hAnsi="Calibri"/>
          <w:bCs/>
        </w:rPr>
        <w:t>-</w:t>
      </w:r>
      <w:r w:rsidRPr="00A042C9">
        <w:rPr>
          <w:rFonts w:ascii="Calibri" w:hAnsi="Calibri"/>
          <w:bCs/>
        </w:rPr>
        <w:t>resistant gonorrhea</w:t>
      </w:r>
      <w:r w:rsidRPr="00A042C9" w:rsidR="0084442A">
        <w:rPr>
          <w:rFonts w:ascii="Calibri" w:hAnsi="Calibri"/>
          <w:bCs/>
        </w:rPr>
        <w:t xml:space="preserve"> or a case of gonorrhea of public health </w:t>
      </w:r>
      <w:r w:rsidRPr="00263D43" w:rsidR="0084442A">
        <w:rPr>
          <w:rFonts w:ascii="Calibri" w:hAnsi="Calibri"/>
          <w:bCs/>
        </w:rPr>
        <w:t>significance</w:t>
      </w:r>
      <w:r w:rsidR="005A78D6">
        <w:rPr>
          <w:rFonts w:ascii="Calibri" w:hAnsi="Calibri"/>
          <w:bCs/>
        </w:rPr>
        <w:t xml:space="preserve"> and </w:t>
      </w:r>
      <w:r w:rsidRPr="00263D43" w:rsidR="00BC06C0">
        <w:rPr>
          <w:rFonts w:ascii="Calibri" w:hAnsi="Calibri"/>
          <w:bCs/>
        </w:rPr>
        <w:t>their</w:t>
      </w:r>
      <w:r w:rsidRPr="00263D43">
        <w:rPr>
          <w:rFonts w:ascii="Calibri" w:hAnsi="Calibri"/>
          <w:bCs/>
        </w:rPr>
        <w:t xml:space="preserve"> sexual contacts</w:t>
      </w:r>
      <w:r w:rsidRPr="00263D43" w:rsidR="006F2DA6">
        <w:rPr>
          <w:rFonts w:ascii="Calibri" w:hAnsi="Calibri"/>
          <w:bCs/>
        </w:rPr>
        <w:t xml:space="preserve">. </w:t>
      </w:r>
      <w:r w:rsidRPr="00263D43" w:rsidR="002F083A">
        <w:rPr>
          <w:rFonts w:ascii="Calibri" w:hAnsi="Calibri"/>
          <w:bCs/>
        </w:rPr>
        <w:t>O</w:t>
      </w:r>
      <w:r w:rsidRPr="00263D43" w:rsidR="00E53CC1">
        <w:rPr>
          <w:rFonts w:ascii="Calibri" w:hAnsi="Calibri"/>
          <w:bCs/>
        </w:rPr>
        <w:t xml:space="preserve">n </w:t>
      </w:r>
      <w:r w:rsidRPr="00263D43" w:rsidR="00FE21C0">
        <w:rPr>
          <w:rFonts w:ascii="Calibri" w:hAnsi="Calibri"/>
          <w:bCs/>
        </w:rPr>
        <w:t xml:space="preserve">average, each </w:t>
      </w:r>
      <w:r w:rsidRPr="000E5C50" w:rsidR="00FE21C0">
        <w:rPr>
          <w:rFonts w:ascii="Calibri" w:hAnsi="Calibri"/>
          <w:bCs/>
        </w:rPr>
        <w:t>jurisdiction</w:t>
      </w:r>
      <w:r w:rsidRPr="000E5C50" w:rsidR="00A66ACC">
        <w:rPr>
          <w:rFonts w:ascii="Calibri" w:hAnsi="Calibri"/>
          <w:bCs/>
        </w:rPr>
        <w:t xml:space="preserve"> will likely</w:t>
      </w:r>
      <w:r w:rsidRPr="000E5C50" w:rsidR="00FE21C0">
        <w:rPr>
          <w:rFonts w:ascii="Calibri" w:hAnsi="Calibri"/>
          <w:bCs/>
        </w:rPr>
        <w:t xml:space="preserve"> </w:t>
      </w:r>
      <w:r w:rsidRPr="000E5C50" w:rsidR="002F083A">
        <w:rPr>
          <w:rFonts w:ascii="Calibri" w:hAnsi="Calibri"/>
          <w:bCs/>
        </w:rPr>
        <w:t>identif</w:t>
      </w:r>
      <w:r w:rsidRPr="000E5C50" w:rsidR="00A66ACC">
        <w:rPr>
          <w:rFonts w:ascii="Calibri" w:hAnsi="Calibri"/>
          <w:bCs/>
        </w:rPr>
        <w:t>y on average</w:t>
      </w:r>
      <w:r w:rsidRPr="000E5C50" w:rsidR="002F083A">
        <w:rPr>
          <w:rFonts w:ascii="Calibri" w:hAnsi="Calibri"/>
          <w:bCs/>
        </w:rPr>
        <w:t xml:space="preserve"> four</w:t>
      </w:r>
      <w:r w:rsidRPr="000E5C50" w:rsidR="002F083A">
        <w:rPr>
          <w:rFonts w:ascii="Calibri" w:hAnsi="Calibri"/>
          <w:bCs/>
          <w:color w:val="FF0000"/>
        </w:rPr>
        <w:t xml:space="preserve"> </w:t>
      </w:r>
      <w:r w:rsidRPr="000E5C50" w:rsidR="002F083A">
        <w:rPr>
          <w:rFonts w:ascii="Calibri" w:hAnsi="Calibri"/>
          <w:bCs/>
        </w:rPr>
        <w:t xml:space="preserve">drug-resistant isolates each month. These isolates spur field investigations, which will result in six additional interviews each month. </w:t>
      </w:r>
      <w:r w:rsidRPr="00292160" w:rsidR="002F083A">
        <w:rPr>
          <w:rFonts w:ascii="Calibri" w:hAnsi="Calibri"/>
          <w:bCs/>
        </w:rPr>
        <w:t xml:space="preserve">An estimated total of 120 interviews occur annually at each site, for a total across the </w:t>
      </w:r>
      <w:r w:rsidRPr="003A6518" w:rsidR="00BC06C0">
        <w:rPr>
          <w:rFonts w:ascii="Calibri" w:hAnsi="Calibri"/>
          <w:bCs/>
        </w:rPr>
        <w:t xml:space="preserve">8 </w:t>
      </w:r>
      <w:r w:rsidRPr="00292160" w:rsidR="002F083A">
        <w:rPr>
          <w:rFonts w:ascii="Calibri" w:hAnsi="Calibri"/>
          <w:bCs/>
        </w:rPr>
        <w:t xml:space="preserve">sites </w:t>
      </w:r>
      <w:r w:rsidRPr="003A6518" w:rsidR="002F083A">
        <w:rPr>
          <w:rFonts w:ascii="Calibri" w:hAnsi="Calibri"/>
          <w:bCs/>
        </w:rPr>
        <w:t xml:space="preserve">of </w:t>
      </w:r>
      <w:r w:rsidRPr="003A6518" w:rsidR="00A66ACC">
        <w:rPr>
          <w:rFonts w:ascii="Calibri" w:hAnsi="Calibri"/>
          <w:bCs/>
        </w:rPr>
        <w:t xml:space="preserve">960 </w:t>
      </w:r>
      <w:r w:rsidRPr="003A6518" w:rsidR="002F083A">
        <w:rPr>
          <w:rFonts w:ascii="Calibri" w:hAnsi="Calibri"/>
          <w:bCs/>
        </w:rPr>
        <w:t xml:space="preserve">interviews </w:t>
      </w:r>
      <w:r w:rsidRPr="00292160" w:rsidR="002F083A">
        <w:rPr>
          <w:rFonts w:ascii="Calibri" w:hAnsi="Calibri"/>
          <w:bCs/>
        </w:rPr>
        <w:t>each year. Each interview take</w:t>
      </w:r>
      <w:r w:rsidRPr="00292160" w:rsidR="00BC06C0">
        <w:rPr>
          <w:rFonts w:ascii="Calibri" w:hAnsi="Calibri"/>
          <w:bCs/>
        </w:rPr>
        <w:t>s</w:t>
      </w:r>
      <w:r w:rsidRPr="00292160" w:rsidR="002F083A">
        <w:rPr>
          <w:rFonts w:ascii="Calibri" w:hAnsi="Calibri"/>
          <w:bCs/>
        </w:rPr>
        <w:t xml:space="preserve"> ~</w:t>
      </w:r>
      <w:r w:rsidRPr="00292160" w:rsidR="00CC0896">
        <w:rPr>
          <w:rFonts w:ascii="Calibri" w:hAnsi="Calibri"/>
          <w:bCs/>
        </w:rPr>
        <w:t>2</w:t>
      </w:r>
      <w:r w:rsidRPr="00292160" w:rsidR="002F083A">
        <w:rPr>
          <w:rFonts w:ascii="Calibri" w:hAnsi="Calibri"/>
          <w:bCs/>
        </w:rPr>
        <w:t>0 minutes.</w:t>
      </w:r>
      <w:r w:rsidRPr="00292160" w:rsidR="00FF6725">
        <w:rPr>
          <w:rFonts w:ascii="Calibri" w:hAnsi="Calibri"/>
          <w:bCs/>
        </w:rPr>
        <w:t xml:space="preserve"> This activity produces </w:t>
      </w:r>
      <w:r w:rsidRPr="00292160" w:rsidR="00A66ACC">
        <w:rPr>
          <w:rFonts w:ascii="Calibri" w:hAnsi="Calibri"/>
          <w:bCs/>
        </w:rPr>
        <w:t>480</w:t>
      </w:r>
      <w:r w:rsidRPr="00292160" w:rsidR="00FF6725">
        <w:rPr>
          <w:rFonts w:ascii="Calibri" w:hAnsi="Calibri"/>
          <w:bCs/>
        </w:rPr>
        <w:t xml:space="preserve"> annual</w:t>
      </w:r>
      <w:r w:rsidRPr="00EF1D95" w:rsidR="00FF6725">
        <w:rPr>
          <w:rFonts w:ascii="Calibri" w:hAnsi="Calibri"/>
          <w:bCs/>
        </w:rPr>
        <w:t xml:space="preserve"> burden hours </w:t>
      </w:r>
      <w:r w:rsidRPr="00EF1D95" w:rsidR="00FF6725">
        <w:rPr>
          <w:rFonts w:ascii="Calibri" w:hAnsi="Calibri"/>
        </w:rPr>
        <w:t>(</w:t>
      </w:r>
      <w:r w:rsidRPr="00EF1D95" w:rsidR="00FF6725">
        <w:rPr>
          <w:rFonts w:ascii="Calibri" w:hAnsi="Calibri"/>
          <w:b/>
        </w:rPr>
        <w:t>Attachment 3</w:t>
      </w:r>
      <w:r w:rsidRPr="00EF1D95" w:rsidR="00167958">
        <w:rPr>
          <w:rFonts w:ascii="Calibri" w:hAnsi="Calibri"/>
          <w:b/>
        </w:rPr>
        <w:t>D</w:t>
      </w:r>
      <w:r w:rsidRPr="00EF1D95" w:rsidR="00FF6725">
        <w:rPr>
          <w:rFonts w:ascii="Calibri" w:hAnsi="Calibri"/>
        </w:rPr>
        <w:t>).</w:t>
      </w:r>
      <w:r w:rsidRPr="004B46FF" w:rsidR="00FF6725">
        <w:rPr>
          <w:rFonts w:ascii="Calibri" w:hAnsi="Calibri"/>
        </w:rPr>
        <w:t xml:space="preserve"> </w:t>
      </w:r>
      <w:r w:rsidRPr="004B46FF" w:rsidR="002F083A">
        <w:rPr>
          <w:rFonts w:ascii="Calibri" w:hAnsi="Calibri"/>
          <w:bCs/>
        </w:rPr>
        <w:t xml:space="preserve">  </w:t>
      </w:r>
    </w:p>
    <w:p w:rsidRPr="00275F64" w:rsidR="00A02FFD" w:rsidP="00030B98" w:rsidRDefault="00A02FFD" w14:paraId="3AA13A1A" w14:textId="77777777">
      <w:pPr>
        <w:keepNext/>
        <w:autoSpaceDE w:val="0"/>
        <w:autoSpaceDN w:val="0"/>
        <w:adjustRightInd w:val="0"/>
        <w:rPr>
          <w:rFonts w:ascii="Calibri" w:hAnsi="Calibri"/>
          <w:bCs/>
        </w:rPr>
      </w:pPr>
    </w:p>
    <w:p w:rsidR="00A64100" w:rsidP="00030B98" w:rsidRDefault="00A02FFD" w14:paraId="563EC9DE" w14:textId="77777777">
      <w:pPr>
        <w:keepNext/>
        <w:autoSpaceDE w:val="0"/>
        <w:autoSpaceDN w:val="0"/>
        <w:adjustRightInd w:val="0"/>
        <w:rPr>
          <w:rFonts w:ascii="Calibri" w:hAnsi="Calibri"/>
          <w:bCs/>
        </w:rPr>
      </w:pPr>
      <w:r>
        <w:rPr>
          <w:rFonts w:ascii="Calibri" w:hAnsi="Calibri"/>
          <w:bCs/>
        </w:rPr>
        <w:t xml:space="preserve">The Antibiotic Resistance Laboratory Network (ARLN) serves as a referral source for susceptibility testing of multiple bacterial and fungal pathogens of public health importance and is not included in the SURRG burden calculations. </w:t>
      </w:r>
    </w:p>
    <w:p w:rsidRPr="00C84134" w:rsidR="00650F3E" w:rsidP="00030B98" w:rsidRDefault="00650F3E" w14:paraId="41D31BFF" w14:textId="77777777">
      <w:pPr>
        <w:keepNext/>
        <w:autoSpaceDE w:val="0"/>
        <w:autoSpaceDN w:val="0"/>
        <w:adjustRightInd w:val="0"/>
        <w:rPr>
          <w:rFonts w:ascii="Calibri" w:hAnsi="Calibri"/>
          <w:bCs/>
        </w:rPr>
      </w:pPr>
    </w:p>
    <w:p w:rsidRPr="00C84134" w:rsidR="00030B98" w:rsidP="00030B98" w:rsidRDefault="00030B98" w14:paraId="5AE5D103" w14:textId="77777777">
      <w:pPr>
        <w:keepNext/>
        <w:autoSpaceDE w:val="0"/>
        <w:autoSpaceDN w:val="0"/>
        <w:adjustRightInd w:val="0"/>
        <w:rPr>
          <w:rFonts w:ascii="Calibri" w:hAnsi="Calibri"/>
        </w:rPr>
      </w:pPr>
      <w:r w:rsidRPr="00C84134">
        <w:rPr>
          <w:rFonts w:ascii="Calibri" w:hAnsi="Calibri"/>
        </w:rPr>
        <w:t xml:space="preserve">The burden table below reflects the total estimated annualized respondent burden hours for the project. </w:t>
      </w:r>
    </w:p>
    <w:p w:rsidRPr="00C84134" w:rsidR="00030B98" w:rsidP="00030B98" w:rsidRDefault="00030B98" w14:paraId="3D9055F4" w14:textId="77777777">
      <w:pPr>
        <w:keepNext/>
        <w:autoSpaceDE w:val="0"/>
        <w:autoSpaceDN w:val="0"/>
        <w:adjustRightInd w:val="0"/>
        <w:rPr>
          <w:rFonts w:ascii="Calibri" w:hAnsi="Calibri"/>
        </w:rPr>
      </w:pPr>
    </w:p>
    <w:p w:rsidRPr="00C84134" w:rsidR="00030B98" w:rsidP="00030B98" w:rsidRDefault="00030B98" w14:paraId="653E40C3" w14:textId="77777777">
      <w:pPr>
        <w:keepNext/>
        <w:autoSpaceDE w:val="0"/>
        <w:autoSpaceDN w:val="0"/>
        <w:adjustRightInd w:val="0"/>
        <w:rPr>
          <w:rFonts w:ascii="Calibri" w:hAnsi="Calibri"/>
        </w:rPr>
      </w:pPr>
      <w:r w:rsidRPr="00C84134">
        <w:rPr>
          <w:rFonts w:ascii="Calibri" w:hAnsi="Calibri"/>
        </w:rPr>
        <w:t>A12a. Estimated Annualized Burden Hours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1"/>
        <w:gridCol w:w="1651"/>
        <w:gridCol w:w="1485"/>
        <w:gridCol w:w="1391"/>
        <w:gridCol w:w="1419"/>
        <w:gridCol w:w="1283"/>
      </w:tblGrid>
      <w:tr w:rsidRPr="00C84134" w:rsidR="00030B98" w:rsidTr="00BC42B8" w14:paraId="5B9059C3" w14:textId="77777777">
        <w:trPr>
          <w:trHeight w:val="1304"/>
          <w:jc w:val="center"/>
        </w:trPr>
        <w:tc>
          <w:tcPr>
            <w:tcW w:w="1137" w:type="pct"/>
            <w:shd w:val="clear" w:color="auto" w:fill="auto"/>
            <w:vAlign w:val="bottom"/>
          </w:tcPr>
          <w:p w:rsidRPr="00613131" w:rsidR="00030B98" w:rsidP="008619EB" w:rsidRDefault="00030B98" w14:paraId="204771DA" w14:textId="77777777">
            <w:pPr>
              <w:tabs>
                <w:tab w:val="left" w:pos="-1440"/>
                <w:tab w:val="left" w:pos="-720"/>
              </w:tabs>
              <w:autoSpaceDE w:val="0"/>
              <w:autoSpaceDN w:val="0"/>
              <w:adjustRightInd w:val="0"/>
              <w:jc w:val="center"/>
              <w:rPr>
                <w:rFonts w:ascii="Calibri" w:hAnsi="Calibri"/>
                <w:bCs/>
              </w:rPr>
            </w:pPr>
          </w:p>
          <w:p w:rsidRPr="00613131" w:rsidR="00030B98" w:rsidP="006174A6" w:rsidRDefault="00030B98" w14:paraId="6FE77915" w14:textId="77777777">
            <w:pPr>
              <w:tabs>
                <w:tab w:val="left" w:pos="-1440"/>
                <w:tab w:val="left" w:pos="-720"/>
              </w:tabs>
              <w:autoSpaceDE w:val="0"/>
              <w:autoSpaceDN w:val="0"/>
              <w:adjustRightInd w:val="0"/>
              <w:rPr>
                <w:rFonts w:ascii="Calibri" w:hAnsi="Calibri"/>
                <w:bCs/>
              </w:rPr>
            </w:pPr>
            <w:r w:rsidRPr="00613131">
              <w:rPr>
                <w:rFonts w:ascii="Calibri" w:hAnsi="Calibri"/>
              </w:rPr>
              <w:t>Type of Respondent</w:t>
            </w:r>
          </w:p>
        </w:tc>
        <w:tc>
          <w:tcPr>
            <w:tcW w:w="885" w:type="pct"/>
            <w:shd w:val="clear" w:color="auto" w:fill="auto"/>
            <w:vAlign w:val="bottom"/>
          </w:tcPr>
          <w:p w:rsidRPr="00613131" w:rsidR="00030B98" w:rsidP="008619EB" w:rsidRDefault="00030B98" w14:paraId="1E1D0002" w14:textId="77777777">
            <w:pPr>
              <w:tabs>
                <w:tab w:val="left" w:pos="-1440"/>
                <w:tab w:val="left" w:pos="-720"/>
              </w:tabs>
              <w:autoSpaceDE w:val="0"/>
              <w:autoSpaceDN w:val="0"/>
              <w:adjustRightInd w:val="0"/>
              <w:jc w:val="center"/>
              <w:rPr>
                <w:rFonts w:ascii="Calibri" w:hAnsi="Calibri"/>
              </w:rPr>
            </w:pPr>
            <w:r w:rsidRPr="00613131">
              <w:rPr>
                <w:rFonts w:ascii="Calibri" w:hAnsi="Calibri"/>
              </w:rPr>
              <w:t>Form Name</w:t>
            </w:r>
          </w:p>
        </w:tc>
        <w:tc>
          <w:tcPr>
            <w:tcW w:w="789" w:type="pct"/>
            <w:shd w:val="clear" w:color="auto" w:fill="auto"/>
            <w:vAlign w:val="bottom"/>
          </w:tcPr>
          <w:p w:rsidRPr="00613131" w:rsidR="00030B98" w:rsidP="008619EB" w:rsidRDefault="00030B98" w14:paraId="59961D6C" w14:textId="77777777">
            <w:pPr>
              <w:tabs>
                <w:tab w:val="left" w:pos="-1440"/>
                <w:tab w:val="left" w:pos="-720"/>
              </w:tabs>
              <w:autoSpaceDE w:val="0"/>
              <w:autoSpaceDN w:val="0"/>
              <w:adjustRightInd w:val="0"/>
              <w:jc w:val="center"/>
              <w:rPr>
                <w:rFonts w:ascii="Calibri" w:hAnsi="Calibri"/>
              </w:rPr>
            </w:pPr>
          </w:p>
          <w:p w:rsidRPr="00613131" w:rsidR="00030B98" w:rsidP="008619EB" w:rsidRDefault="00030B98" w14:paraId="6EF3AA1F" w14:textId="77777777">
            <w:pPr>
              <w:tabs>
                <w:tab w:val="left" w:pos="-1440"/>
                <w:tab w:val="left" w:pos="-720"/>
              </w:tabs>
              <w:autoSpaceDE w:val="0"/>
              <w:autoSpaceDN w:val="0"/>
              <w:adjustRightInd w:val="0"/>
              <w:jc w:val="center"/>
              <w:rPr>
                <w:rFonts w:ascii="Calibri" w:hAnsi="Calibri"/>
                <w:bCs/>
              </w:rPr>
            </w:pPr>
            <w:r w:rsidRPr="00613131">
              <w:rPr>
                <w:rFonts w:ascii="Calibri" w:hAnsi="Calibri"/>
              </w:rPr>
              <w:t>No. of Respondents</w:t>
            </w:r>
          </w:p>
        </w:tc>
        <w:tc>
          <w:tcPr>
            <w:tcW w:w="739" w:type="pct"/>
            <w:shd w:val="clear" w:color="auto" w:fill="auto"/>
            <w:vAlign w:val="bottom"/>
          </w:tcPr>
          <w:p w:rsidRPr="00613131" w:rsidR="00030B98" w:rsidP="008619EB" w:rsidRDefault="00030B98" w14:paraId="14D26B10" w14:textId="77777777">
            <w:pPr>
              <w:tabs>
                <w:tab w:val="left" w:pos="-1440"/>
                <w:tab w:val="left" w:pos="-720"/>
              </w:tabs>
              <w:autoSpaceDE w:val="0"/>
              <w:autoSpaceDN w:val="0"/>
              <w:adjustRightInd w:val="0"/>
              <w:jc w:val="center"/>
              <w:rPr>
                <w:rFonts w:ascii="Calibri" w:hAnsi="Calibri"/>
                <w:bCs/>
              </w:rPr>
            </w:pPr>
            <w:r w:rsidRPr="00613131">
              <w:rPr>
                <w:rFonts w:ascii="Calibri" w:hAnsi="Calibri"/>
              </w:rPr>
              <w:t>No. of Responses per Respondent</w:t>
            </w:r>
          </w:p>
        </w:tc>
        <w:tc>
          <w:tcPr>
            <w:tcW w:w="761" w:type="pct"/>
            <w:shd w:val="clear" w:color="auto" w:fill="auto"/>
            <w:vAlign w:val="bottom"/>
          </w:tcPr>
          <w:p w:rsidRPr="00613131" w:rsidR="00030B98" w:rsidP="008619EB" w:rsidRDefault="00030B98" w14:paraId="67620BC4" w14:textId="77777777">
            <w:pPr>
              <w:tabs>
                <w:tab w:val="left" w:pos="-1440"/>
                <w:tab w:val="left" w:pos="-720"/>
              </w:tabs>
              <w:autoSpaceDE w:val="0"/>
              <w:autoSpaceDN w:val="0"/>
              <w:adjustRightInd w:val="0"/>
              <w:jc w:val="center"/>
              <w:rPr>
                <w:rFonts w:ascii="Calibri" w:hAnsi="Calibri"/>
                <w:bCs/>
              </w:rPr>
            </w:pPr>
            <w:r w:rsidRPr="00613131">
              <w:rPr>
                <w:rFonts w:ascii="Calibri" w:hAnsi="Calibri"/>
              </w:rPr>
              <w:t>Average Burden per Response (Hours)</w:t>
            </w:r>
          </w:p>
        </w:tc>
        <w:tc>
          <w:tcPr>
            <w:tcW w:w="688" w:type="pct"/>
            <w:shd w:val="clear" w:color="auto" w:fill="auto"/>
            <w:vAlign w:val="bottom"/>
          </w:tcPr>
          <w:p w:rsidRPr="00613131" w:rsidR="00030B98" w:rsidP="008619EB" w:rsidRDefault="00030B98" w14:paraId="376A5EEE" w14:textId="77777777">
            <w:pPr>
              <w:jc w:val="center"/>
              <w:rPr>
                <w:rFonts w:ascii="Calibri" w:hAnsi="Calibri"/>
              </w:rPr>
            </w:pPr>
            <w:r w:rsidRPr="00613131">
              <w:rPr>
                <w:rFonts w:ascii="Calibri" w:hAnsi="Calibri"/>
              </w:rPr>
              <w:t>Total Burden</w:t>
            </w:r>
          </w:p>
          <w:p w:rsidRPr="00613131" w:rsidR="00030B98" w:rsidP="008619EB" w:rsidRDefault="00030B98" w14:paraId="06C8AC8D" w14:textId="77777777">
            <w:pPr>
              <w:tabs>
                <w:tab w:val="left" w:pos="-1440"/>
                <w:tab w:val="left" w:pos="-720"/>
              </w:tabs>
              <w:autoSpaceDE w:val="0"/>
              <w:autoSpaceDN w:val="0"/>
              <w:adjustRightInd w:val="0"/>
              <w:jc w:val="center"/>
              <w:rPr>
                <w:rFonts w:ascii="Calibri" w:hAnsi="Calibri"/>
                <w:bCs/>
              </w:rPr>
            </w:pPr>
            <w:r w:rsidRPr="00613131">
              <w:rPr>
                <w:rFonts w:ascii="Calibri" w:hAnsi="Calibri"/>
              </w:rPr>
              <w:t>Hours</w:t>
            </w:r>
          </w:p>
        </w:tc>
      </w:tr>
      <w:tr w:rsidRPr="00C84134" w:rsidR="00570618" w:rsidTr="00BC42B8" w14:paraId="07082A8A" w14:textId="77777777">
        <w:trPr>
          <w:jc w:val="center"/>
        </w:trPr>
        <w:tc>
          <w:tcPr>
            <w:tcW w:w="1137" w:type="pct"/>
            <w:shd w:val="clear" w:color="auto" w:fill="auto"/>
          </w:tcPr>
          <w:p w:rsidR="00570618" w:rsidP="008619EB" w:rsidRDefault="00570618" w14:paraId="4BD0850D" w14:textId="77777777">
            <w:pPr>
              <w:tabs>
                <w:tab w:val="left" w:pos="-1440"/>
                <w:tab w:val="left" w:pos="-720"/>
              </w:tabs>
              <w:autoSpaceDE w:val="0"/>
              <w:autoSpaceDN w:val="0"/>
              <w:adjustRightInd w:val="0"/>
              <w:rPr>
                <w:rFonts w:ascii="Calibri" w:hAnsi="Calibri"/>
                <w:bCs/>
              </w:rPr>
            </w:pPr>
            <w:r>
              <w:rPr>
                <w:rFonts w:ascii="Calibri" w:hAnsi="Calibri"/>
                <w:bCs/>
              </w:rPr>
              <w:t>Local SURRG data manager</w:t>
            </w:r>
            <w:r w:rsidR="00CE4FE2">
              <w:rPr>
                <w:rFonts w:ascii="Calibri" w:hAnsi="Calibri"/>
                <w:bCs/>
              </w:rPr>
              <w:t>*</w:t>
            </w:r>
          </w:p>
          <w:p w:rsidRPr="00570618" w:rsidR="00CE4FE2" w:rsidP="008619EB" w:rsidRDefault="00CE4FE2" w14:paraId="198D1D31" w14:textId="77777777">
            <w:pPr>
              <w:tabs>
                <w:tab w:val="left" w:pos="-1440"/>
                <w:tab w:val="left" w:pos="-720"/>
              </w:tabs>
              <w:autoSpaceDE w:val="0"/>
              <w:autoSpaceDN w:val="0"/>
              <w:adjustRightInd w:val="0"/>
              <w:rPr>
                <w:rFonts w:ascii="Calibri" w:hAnsi="Calibri"/>
                <w:bCs/>
              </w:rPr>
            </w:pPr>
          </w:p>
        </w:tc>
        <w:tc>
          <w:tcPr>
            <w:tcW w:w="885" w:type="pct"/>
            <w:shd w:val="clear" w:color="auto" w:fill="auto"/>
            <w:vAlign w:val="center"/>
          </w:tcPr>
          <w:p w:rsidRPr="00570618" w:rsidR="00570618" w:rsidP="00927CDE" w:rsidRDefault="002378CB" w14:paraId="55A58FA1" w14:textId="77777777">
            <w:pPr>
              <w:tabs>
                <w:tab w:val="left" w:pos="-1440"/>
                <w:tab w:val="left" w:pos="-720"/>
              </w:tabs>
              <w:autoSpaceDE w:val="0"/>
              <w:autoSpaceDN w:val="0"/>
              <w:adjustRightInd w:val="0"/>
              <w:rPr>
                <w:rFonts w:ascii="Calibri" w:hAnsi="Calibri"/>
                <w:bCs/>
              </w:rPr>
            </w:pPr>
            <w:r w:rsidRPr="002378CB">
              <w:rPr>
                <w:rFonts w:ascii="Calibri" w:hAnsi="Calibri" w:cs="Courier New"/>
              </w:rPr>
              <w:t>Facility</w:t>
            </w:r>
            <w:r w:rsidR="00927CDE">
              <w:rPr>
                <w:rFonts w:ascii="Calibri" w:hAnsi="Calibri" w:cs="Courier New"/>
              </w:rPr>
              <w:t xml:space="preserve"> Data</w:t>
            </w:r>
            <w:r w:rsidR="009C47EE">
              <w:rPr>
                <w:rFonts w:ascii="Calibri" w:hAnsi="Calibri" w:cs="Courier New"/>
              </w:rPr>
              <w:t xml:space="preserve"> </w:t>
            </w:r>
            <w:r w:rsidR="00BC42B8">
              <w:rPr>
                <w:rFonts w:ascii="Calibri" w:hAnsi="Calibri" w:cs="Courier New"/>
              </w:rPr>
              <w:t>Elements</w:t>
            </w:r>
            <w:r w:rsidR="00BC42B8">
              <w:rPr>
                <w:rFonts w:ascii="Calibri" w:hAnsi="Calibri"/>
                <w:bCs/>
              </w:rPr>
              <w:t xml:space="preserve"> </w:t>
            </w:r>
            <w:r w:rsidR="00650F3E">
              <w:rPr>
                <w:rFonts w:ascii="Calibri" w:hAnsi="Calibri"/>
                <w:bCs/>
              </w:rPr>
              <w:t>Attachments 3A</w:t>
            </w:r>
          </w:p>
        </w:tc>
        <w:tc>
          <w:tcPr>
            <w:tcW w:w="789" w:type="pct"/>
            <w:shd w:val="clear" w:color="auto" w:fill="auto"/>
            <w:vAlign w:val="center"/>
          </w:tcPr>
          <w:p w:rsidRPr="00641643" w:rsidR="00570618" w:rsidP="008619EB" w:rsidRDefault="00825984" w14:paraId="4B84017C" w14:textId="77777777">
            <w:pPr>
              <w:tabs>
                <w:tab w:val="left" w:pos="-1440"/>
                <w:tab w:val="left" w:pos="-720"/>
              </w:tabs>
              <w:autoSpaceDE w:val="0"/>
              <w:autoSpaceDN w:val="0"/>
              <w:adjustRightInd w:val="0"/>
              <w:jc w:val="center"/>
              <w:rPr>
                <w:rFonts w:ascii="Calibri" w:hAnsi="Calibri"/>
                <w:bCs/>
              </w:rPr>
            </w:pPr>
            <w:r w:rsidRPr="00641643">
              <w:rPr>
                <w:rFonts w:ascii="Calibri" w:hAnsi="Calibri"/>
                <w:bCs/>
              </w:rPr>
              <w:t>8</w:t>
            </w:r>
          </w:p>
        </w:tc>
        <w:tc>
          <w:tcPr>
            <w:tcW w:w="739" w:type="pct"/>
            <w:shd w:val="clear" w:color="auto" w:fill="auto"/>
            <w:vAlign w:val="center"/>
          </w:tcPr>
          <w:p w:rsidRPr="00641643" w:rsidR="00570618" w:rsidP="008619EB" w:rsidRDefault="007722DC" w14:paraId="2239BE67" w14:textId="77777777">
            <w:pPr>
              <w:tabs>
                <w:tab w:val="left" w:pos="-1440"/>
                <w:tab w:val="left" w:pos="-720"/>
              </w:tabs>
              <w:autoSpaceDE w:val="0"/>
              <w:autoSpaceDN w:val="0"/>
              <w:adjustRightInd w:val="0"/>
              <w:jc w:val="center"/>
              <w:rPr>
                <w:rFonts w:ascii="Calibri" w:hAnsi="Calibri"/>
                <w:bCs/>
              </w:rPr>
            </w:pPr>
            <w:r w:rsidRPr="00641643">
              <w:rPr>
                <w:rFonts w:ascii="Calibri" w:hAnsi="Calibri"/>
                <w:bCs/>
              </w:rPr>
              <w:t>7</w:t>
            </w:r>
          </w:p>
        </w:tc>
        <w:tc>
          <w:tcPr>
            <w:tcW w:w="761" w:type="pct"/>
            <w:shd w:val="clear" w:color="auto" w:fill="auto"/>
            <w:vAlign w:val="center"/>
          </w:tcPr>
          <w:p w:rsidRPr="00641643" w:rsidR="00570618" w:rsidP="008619EB" w:rsidRDefault="007722DC" w14:paraId="1C4A2C6B" w14:textId="77777777">
            <w:pPr>
              <w:tabs>
                <w:tab w:val="left" w:pos="-1440"/>
                <w:tab w:val="left" w:pos="-720"/>
              </w:tabs>
              <w:autoSpaceDE w:val="0"/>
              <w:autoSpaceDN w:val="0"/>
              <w:adjustRightInd w:val="0"/>
              <w:jc w:val="center"/>
              <w:rPr>
                <w:rFonts w:ascii="Calibri" w:hAnsi="Calibri"/>
                <w:bCs/>
              </w:rPr>
            </w:pPr>
            <w:r w:rsidRPr="00641643">
              <w:rPr>
                <w:rFonts w:ascii="Calibri" w:hAnsi="Calibri"/>
                <w:bCs/>
              </w:rPr>
              <w:t>16</w:t>
            </w:r>
          </w:p>
        </w:tc>
        <w:tc>
          <w:tcPr>
            <w:tcW w:w="688" w:type="pct"/>
            <w:shd w:val="clear" w:color="auto" w:fill="auto"/>
            <w:vAlign w:val="center"/>
          </w:tcPr>
          <w:p w:rsidRPr="00641643" w:rsidR="00570618" w:rsidP="008619EB" w:rsidRDefault="00825984" w14:paraId="6496C4C8" w14:textId="77777777">
            <w:pPr>
              <w:tabs>
                <w:tab w:val="left" w:pos="-1440"/>
                <w:tab w:val="left" w:pos="-720"/>
              </w:tabs>
              <w:autoSpaceDE w:val="0"/>
              <w:autoSpaceDN w:val="0"/>
              <w:adjustRightInd w:val="0"/>
              <w:jc w:val="center"/>
              <w:rPr>
                <w:rFonts w:ascii="Calibri" w:hAnsi="Calibri"/>
                <w:bCs/>
              </w:rPr>
            </w:pPr>
            <w:r w:rsidRPr="00641643">
              <w:rPr>
                <w:rFonts w:ascii="Calibri" w:hAnsi="Calibri"/>
                <w:bCs/>
              </w:rPr>
              <w:t>896</w:t>
            </w:r>
          </w:p>
        </w:tc>
      </w:tr>
      <w:tr w:rsidRPr="00C84134" w:rsidR="00030B98" w:rsidTr="00BC42B8" w14:paraId="0B21ED25" w14:textId="77777777">
        <w:trPr>
          <w:jc w:val="center"/>
        </w:trPr>
        <w:tc>
          <w:tcPr>
            <w:tcW w:w="1137" w:type="pct"/>
            <w:shd w:val="clear" w:color="auto" w:fill="auto"/>
          </w:tcPr>
          <w:p w:rsidRPr="00C84134" w:rsidR="00030B98" w:rsidP="002E05FD" w:rsidRDefault="002E05FD" w14:paraId="5F54A99A" w14:textId="77777777">
            <w:pPr>
              <w:rPr>
                <w:rFonts w:ascii="Calibri" w:hAnsi="Calibri"/>
                <w:bCs/>
              </w:rPr>
            </w:pPr>
            <w:r w:rsidRPr="00C84134">
              <w:rPr>
                <w:rFonts w:ascii="Calibri" w:hAnsi="Calibri"/>
              </w:rPr>
              <w:t>Data</w:t>
            </w:r>
            <w:r w:rsidR="007722DC">
              <w:rPr>
                <w:rFonts w:ascii="Calibri" w:hAnsi="Calibri"/>
              </w:rPr>
              <w:t xml:space="preserve"> manager at non-STD clinic health centers</w:t>
            </w:r>
          </w:p>
        </w:tc>
        <w:tc>
          <w:tcPr>
            <w:tcW w:w="885" w:type="pct"/>
            <w:shd w:val="clear" w:color="auto" w:fill="auto"/>
            <w:vAlign w:val="center"/>
          </w:tcPr>
          <w:p w:rsidRPr="00C84134" w:rsidR="00030B98" w:rsidP="008619EB" w:rsidRDefault="002378CB" w14:paraId="4DFB5EFF" w14:textId="77777777">
            <w:pPr>
              <w:tabs>
                <w:tab w:val="left" w:pos="-1440"/>
                <w:tab w:val="left" w:pos="-720"/>
              </w:tabs>
              <w:autoSpaceDE w:val="0"/>
              <w:autoSpaceDN w:val="0"/>
              <w:adjustRightInd w:val="0"/>
              <w:jc w:val="center"/>
              <w:rPr>
                <w:rFonts w:ascii="Calibri" w:hAnsi="Calibri"/>
                <w:bCs/>
              </w:rPr>
            </w:pPr>
            <w:r w:rsidRPr="002378CB">
              <w:rPr>
                <w:rFonts w:ascii="Calibri" w:hAnsi="Calibri" w:cs="Courier New"/>
              </w:rPr>
              <w:t xml:space="preserve">Non-STD clinic </w:t>
            </w:r>
            <w:r w:rsidR="00BC42B8">
              <w:rPr>
                <w:rFonts w:ascii="Calibri" w:hAnsi="Calibri" w:cs="Courier New"/>
              </w:rPr>
              <w:t>Data Elements</w:t>
            </w:r>
            <w:r w:rsidR="00BC42B8">
              <w:rPr>
                <w:rFonts w:ascii="Calibri" w:hAnsi="Calibri"/>
                <w:bCs/>
              </w:rPr>
              <w:t xml:space="preserve"> </w:t>
            </w:r>
            <w:r w:rsidR="00650F3E">
              <w:rPr>
                <w:rFonts w:ascii="Calibri" w:hAnsi="Calibri"/>
                <w:bCs/>
              </w:rPr>
              <w:lastRenderedPageBreak/>
              <w:t>Attachment 3B</w:t>
            </w:r>
          </w:p>
        </w:tc>
        <w:tc>
          <w:tcPr>
            <w:tcW w:w="789" w:type="pct"/>
            <w:shd w:val="clear" w:color="auto" w:fill="auto"/>
            <w:vAlign w:val="center"/>
          </w:tcPr>
          <w:p w:rsidRPr="00641643" w:rsidR="00030B98" w:rsidP="00B711DC" w:rsidRDefault="00030B98" w14:paraId="3F78459D" w14:textId="77777777">
            <w:pPr>
              <w:tabs>
                <w:tab w:val="left" w:pos="-1440"/>
                <w:tab w:val="left" w:pos="-720"/>
              </w:tabs>
              <w:autoSpaceDE w:val="0"/>
              <w:autoSpaceDN w:val="0"/>
              <w:adjustRightInd w:val="0"/>
              <w:jc w:val="center"/>
              <w:rPr>
                <w:rFonts w:ascii="Calibri" w:hAnsi="Calibri"/>
                <w:bCs/>
              </w:rPr>
            </w:pPr>
          </w:p>
          <w:p w:rsidRPr="00641643" w:rsidR="00030B98" w:rsidP="00B711DC" w:rsidRDefault="00C64657" w14:paraId="04135DDF" w14:textId="37C80205">
            <w:pPr>
              <w:tabs>
                <w:tab w:val="left" w:pos="-1440"/>
                <w:tab w:val="left" w:pos="-720"/>
              </w:tabs>
              <w:autoSpaceDE w:val="0"/>
              <w:autoSpaceDN w:val="0"/>
              <w:adjustRightInd w:val="0"/>
              <w:jc w:val="center"/>
              <w:rPr>
                <w:rFonts w:ascii="Calibri" w:hAnsi="Calibri"/>
                <w:bCs/>
              </w:rPr>
            </w:pPr>
            <w:r w:rsidRPr="00641643">
              <w:rPr>
                <w:rFonts w:ascii="Calibri" w:hAnsi="Calibri"/>
                <w:bCs/>
              </w:rPr>
              <w:t>26</w:t>
            </w:r>
          </w:p>
          <w:p w:rsidRPr="00641643" w:rsidR="00030B98" w:rsidP="00B711DC" w:rsidRDefault="00030B98" w14:paraId="7604F293" w14:textId="77777777">
            <w:pPr>
              <w:tabs>
                <w:tab w:val="left" w:pos="-1440"/>
                <w:tab w:val="left" w:pos="-720"/>
              </w:tabs>
              <w:autoSpaceDE w:val="0"/>
              <w:autoSpaceDN w:val="0"/>
              <w:adjustRightInd w:val="0"/>
              <w:jc w:val="center"/>
              <w:rPr>
                <w:rFonts w:ascii="Calibri" w:hAnsi="Calibri"/>
                <w:bCs/>
              </w:rPr>
            </w:pPr>
          </w:p>
        </w:tc>
        <w:tc>
          <w:tcPr>
            <w:tcW w:w="739" w:type="pct"/>
            <w:shd w:val="clear" w:color="auto" w:fill="auto"/>
            <w:vAlign w:val="center"/>
          </w:tcPr>
          <w:p w:rsidRPr="00641643" w:rsidR="00030B98" w:rsidP="00B711DC" w:rsidRDefault="0068076B" w14:paraId="36DAE4F1" w14:textId="0F024606">
            <w:pPr>
              <w:tabs>
                <w:tab w:val="left" w:pos="-1440"/>
                <w:tab w:val="left" w:pos="-720"/>
              </w:tabs>
              <w:autoSpaceDE w:val="0"/>
              <w:autoSpaceDN w:val="0"/>
              <w:adjustRightInd w:val="0"/>
              <w:jc w:val="center"/>
              <w:rPr>
                <w:rFonts w:ascii="Calibri" w:hAnsi="Calibri"/>
                <w:bCs/>
              </w:rPr>
            </w:pPr>
            <w:r w:rsidRPr="00641643">
              <w:rPr>
                <w:rFonts w:ascii="Calibri" w:hAnsi="Calibri"/>
                <w:bCs/>
              </w:rPr>
              <w:t>6</w:t>
            </w:r>
          </w:p>
        </w:tc>
        <w:tc>
          <w:tcPr>
            <w:tcW w:w="761" w:type="pct"/>
            <w:shd w:val="clear" w:color="auto" w:fill="auto"/>
            <w:vAlign w:val="center"/>
          </w:tcPr>
          <w:p w:rsidRPr="00641643" w:rsidR="00030B98" w:rsidP="00B711DC" w:rsidRDefault="00030B98" w14:paraId="068DCEFD" w14:textId="22B3FBAE">
            <w:pPr>
              <w:tabs>
                <w:tab w:val="left" w:pos="-1440"/>
                <w:tab w:val="left" w:pos="-720"/>
              </w:tabs>
              <w:autoSpaceDE w:val="0"/>
              <w:autoSpaceDN w:val="0"/>
              <w:adjustRightInd w:val="0"/>
              <w:jc w:val="center"/>
              <w:rPr>
                <w:rFonts w:ascii="Calibri" w:hAnsi="Calibri"/>
                <w:bCs/>
              </w:rPr>
            </w:pPr>
            <w:r w:rsidRPr="00641643">
              <w:rPr>
                <w:rFonts w:ascii="Calibri" w:hAnsi="Calibri"/>
                <w:bCs/>
              </w:rPr>
              <w:t>3</w:t>
            </w:r>
          </w:p>
        </w:tc>
        <w:tc>
          <w:tcPr>
            <w:tcW w:w="688" w:type="pct"/>
            <w:shd w:val="clear" w:color="auto" w:fill="auto"/>
            <w:vAlign w:val="center"/>
          </w:tcPr>
          <w:p w:rsidRPr="00641643" w:rsidR="00030B98" w:rsidP="00B711DC" w:rsidRDefault="00C64657" w14:paraId="094A86CC" w14:textId="6DCB18FA">
            <w:pPr>
              <w:tabs>
                <w:tab w:val="left" w:pos="-1440"/>
                <w:tab w:val="left" w:pos="-720"/>
              </w:tabs>
              <w:autoSpaceDE w:val="0"/>
              <w:autoSpaceDN w:val="0"/>
              <w:adjustRightInd w:val="0"/>
              <w:jc w:val="center"/>
              <w:rPr>
                <w:rFonts w:ascii="Calibri" w:hAnsi="Calibri"/>
                <w:bCs/>
              </w:rPr>
            </w:pPr>
            <w:r w:rsidRPr="00641643">
              <w:rPr>
                <w:rFonts w:ascii="Calibri" w:hAnsi="Calibri"/>
                <w:bCs/>
              </w:rPr>
              <w:t>468</w:t>
            </w:r>
          </w:p>
        </w:tc>
      </w:tr>
      <w:tr w:rsidRPr="00C84134" w:rsidR="00B371DC" w:rsidTr="00BC42B8" w14:paraId="57A05B66" w14:textId="77777777">
        <w:trPr>
          <w:jc w:val="center"/>
        </w:trPr>
        <w:tc>
          <w:tcPr>
            <w:tcW w:w="1137" w:type="pct"/>
            <w:shd w:val="clear" w:color="auto" w:fill="auto"/>
          </w:tcPr>
          <w:p w:rsidRPr="00C84134" w:rsidR="00B371DC" w:rsidP="008619EB" w:rsidRDefault="00B371DC" w14:paraId="2F935E4A" w14:textId="77777777">
            <w:pPr>
              <w:tabs>
                <w:tab w:val="left" w:pos="-1440"/>
                <w:tab w:val="left" w:pos="-720"/>
              </w:tabs>
              <w:autoSpaceDE w:val="0"/>
              <w:autoSpaceDN w:val="0"/>
              <w:adjustRightInd w:val="0"/>
              <w:rPr>
                <w:rFonts w:ascii="Calibri" w:hAnsi="Calibri"/>
                <w:bCs/>
              </w:rPr>
            </w:pPr>
            <w:r w:rsidRPr="00C84134">
              <w:rPr>
                <w:rFonts w:ascii="Calibri" w:hAnsi="Calibri"/>
                <w:bCs/>
              </w:rPr>
              <w:t xml:space="preserve">Public Health </w:t>
            </w:r>
            <w:r w:rsidR="007722DC">
              <w:rPr>
                <w:rFonts w:ascii="Calibri" w:hAnsi="Calibri"/>
                <w:bCs/>
              </w:rPr>
              <w:t xml:space="preserve">Laboratory </w:t>
            </w:r>
            <w:r w:rsidRPr="00C84134">
              <w:rPr>
                <w:rFonts w:ascii="Calibri" w:hAnsi="Calibri"/>
                <w:bCs/>
              </w:rPr>
              <w:t>Microbiologist</w:t>
            </w:r>
            <w:r w:rsidR="00F031C8">
              <w:rPr>
                <w:rFonts w:ascii="Calibri" w:hAnsi="Calibri"/>
                <w:bCs/>
              </w:rPr>
              <w:t>**</w:t>
            </w:r>
          </w:p>
        </w:tc>
        <w:tc>
          <w:tcPr>
            <w:tcW w:w="885" w:type="pct"/>
            <w:shd w:val="clear" w:color="auto" w:fill="auto"/>
            <w:vAlign w:val="center"/>
          </w:tcPr>
          <w:p w:rsidRPr="00C84134" w:rsidR="004C2887" w:rsidP="002378CB" w:rsidRDefault="002378CB" w14:paraId="4394F90D" w14:textId="379AFCFF">
            <w:pPr>
              <w:tabs>
                <w:tab w:val="left" w:pos="-1440"/>
                <w:tab w:val="left" w:pos="-720"/>
              </w:tabs>
              <w:autoSpaceDE w:val="0"/>
              <w:autoSpaceDN w:val="0"/>
              <w:adjustRightInd w:val="0"/>
              <w:rPr>
                <w:rFonts w:ascii="Calibri" w:hAnsi="Calibri"/>
                <w:bCs/>
              </w:rPr>
            </w:pPr>
            <w:r w:rsidRPr="002378CB">
              <w:rPr>
                <w:rFonts w:ascii="Calibri" w:hAnsi="Calibri" w:cs="Courier New"/>
              </w:rPr>
              <w:t xml:space="preserve">Laboratory Testing </w:t>
            </w:r>
            <w:r w:rsidR="00BC42B8">
              <w:rPr>
                <w:rFonts w:ascii="Calibri" w:hAnsi="Calibri" w:cs="Courier New"/>
              </w:rPr>
              <w:t>Data Elements</w:t>
            </w:r>
            <w:r w:rsidR="00BC42B8">
              <w:rPr>
                <w:rFonts w:ascii="Calibri" w:hAnsi="Calibri"/>
                <w:bCs/>
              </w:rPr>
              <w:t xml:space="preserve"> </w:t>
            </w:r>
            <w:r w:rsidR="00650F3E">
              <w:rPr>
                <w:rFonts w:ascii="Calibri" w:hAnsi="Calibri"/>
                <w:bCs/>
              </w:rPr>
              <w:t>Attachment 3C</w:t>
            </w:r>
            <w:r w:rsidR="00167958">
              <w:rPr>
                <w:rFonts w:ascii="Calibri" w:hAnsi="Calibri"/>
                <w:bCs/>
              </w:rPr>
              <w:t>-</w:t>
            </w:r>
            <w:r w:rsidR="00430C3B">
              <w:rPr>
                <w:rFonts w:ascii="Calibri" w:hAnsi="Calibri"/>
                <w:bCs/>
              </w:rPr>
              <w:t>1</w:t>
            </w:r>
          </w:p>
        </w:tc>
        <w:tc>
          <w:tcPr>
            <w:tcW w:w="789" w:type="pct"/>
            <w:shd w:val="clear" w:color="auto" w:fill="auto"/>
            <w:vAlign w:val="center"/>
          </w:tcPr>
          <w:p w:rsidRPr="00641643" w:rsidR="00B371DC" w:rsidP="008619EB" w:rsidRDefault="00C64657" w14:paraId="45233C18" w14:textId="238A15B3">
            <w:pPr>
              <w:tabs>
                <w:tab w:val="left" w:pos="-1440"/>
                <w:tab w:val="left" w:pos="-720"/>
              </w:tabs>
              <w:autoSpaceDE w:val="0"/>
              <w:autoSpaceDN w:val="0"/>
              <w:adjustRightInd w:val="0"/>
              <w:jc w:val="center"/>
              <w:rPr>
                <w:rFonts w:ascii="Calibri" w:hAnsi="Calibri"/>
                <w:bCs/>
              </w:rPr>
            </w:pPr>
            <w:r w:rsidRPr="00641643">
              <w:rPr>
                <w:rFonts w:ascii="Calibri" w:hAnsi="Calibri"/>
                <w:bCs/>
              </w:rPr>
              <w:t>8</w:t>
            </w:r>
          </w:p>
        </w:tc>
        <w:tc>
          <w:tcPr>
            <w:tcW w:w="739" w:type="pct"/>
            <w:shd w:val="clear" w:color="auto" w:fill="auto"/>
            <w:vAlign w:val="center"/>
          </w:tcPr>
          <w:p w:rsidRPr="00641643" w:rsidR="00B371DC" w:rsidP="008619EB" w:rsidRDefault="00F161C2" w14:paraId="73C52C6C" w14:textId="77777777">
            <w:pPr>
              <w:tabs>
                <w:tab w:val="left" w:pos="-1440"/>
                <w:tab w:val="left" w:pos="-720"/>
              </w:tabs>
              <w:autoSpaceDE w:val="0"/>
              <w:autoSpaceDN w:val="0"/>
              <w:adjustRightInd w:val="0"/>
              <w:jc w:val="center"/>
              <w:rPr>
                <w:rFonts w:ascii="Calibri" w:hAnsi="Calibri"/>
                <w:bCs/>
              </w:rPr>
            </w:pPr>
            <w:r w:rsidRPr="00641643">
              <w:rPr>
                <w:rFonts w:ascii="Calibri" w:hAnsi="Calibri"/>
                <w:bCs/>
              </w:rPr>
              <w:t>7</w:t>
            </w:r>
            <w:r w:rsidRPr="00641643" w:rsidR="007722DC">
              <w:rPr>
                <w:rFonts w:ascii="Calibri" w:hAnsi="Calibri"/>
                <w:bCs/>
              </w:rPr>
              <w:t>00</w:t>
            </w:r>
          </w:p>
        </w:tc>
        <w:tc>
          <w:tcPr>
            <w:tcW w:w="761" w:type="pct"/>
            <w:shd w:val="clear" w:color="auto" w:fill="auto"/>
            <w:vAlign w:val="center"/>
          </w:tcPr>
          <w:p w:rsidRPr="00641643" w:rsidR="00B371DC" w:rsidP="008619EB" w:rsidRDefault="001B32D7" w14:paraId="6E4624EA" w14:textId="77777777">
            <w:pPr>
              <w:tabs>
                <w:tab w:val="left" w:pos="-1440"/>
                <w:tab w:val="left" w:pos="-720"/>
              </w:tabs>
              <w:autoSpaceDE w:val="0"/>
              <w:autoSpaceDN w:val="0"/>
              <w:adjustRightInd w:val="0"/>
              <w:jc w:val="center"/>
              <w:rPr>
                <w:rFonts w:ascii="Calibri" w:hAnsi="Calibri"/>
                <w:bCs/>
              </w:rPr>
            </w:pPr>
            <w:r w:rsidRPr="00641643">
              <w:rPr>
                <w:rFonts w:ascii="Calibri" w:hAnsi="Calibri"/>
                <w:bCs/>
              </w:rPr>
              <w:t>10/60</w:t>
            </w:r>
          </w:p>
        </w:tc>
        <w:tc>
          <w:tcPr>
            <w:tcW w:w="688" w:type="pct"/>
            <w:shd w:val="clear" w:color="auto" w:fill="auto"/>
            <w:vAlign w:val="center"/>
          </w:tcPr>
          <w:p w:rsidRPr="00641643" w:rsidR="00B371DC" w:rsidP="008619EB" w:rsidRDefault="00C64657" w14:paraId="1403249D" w14:textId="036F36A5">
            <w:pPr>
              <w:tabs>
                <w:tab w:val="left" w:pos="-1440"/>
                <w:tab w:val="left" w:pos="-720"/>
              </w:tabs>
              <w:autoSpaceDE w:val="0"/>
              <w:autoSpaceDN w:val="0"/>
              <w:adjustRightInd w:val="0"/>
              <w:jc w:val="center"/>
              <w:rPr>
                <w:rFonts w:ascii="Calibri" w:hAnsi="Calibri"/>
                <w:bCs/>
              </w:rPr>
            </w:pPr>
            <w:r w:rsidRPr="00641643">
              <w:rPr>
                <w:rFonts w:ascii="Calibri" w:hAnsi="Calibri"/>
                <w:bCs/>
              </w:rPr>
              <w:t>933</w:t>
            </w:r>
          </w:p>
        </w:tc>
      </w:tr>
      <w:tr w:rsidRPr="00C84134" w:rsidR="0000242F" w:rsidTr="00BC42B8" w14:paraId="2D5EF9BE" w14:textId="77777777">
        <w:trPr>
          <w:jc w:val="center"/>
        </w:trPr>
        <w:tc>
          <w:tcPr>
            <w:tcW w:w="1137" w:type="pct"/>
            <w:shd w:val="clear" w:color="auto" w:fill="auto"/>
          </w:tcPr>
          <w:p w:rsidRPr="00C84134" w:rsidR="0000242F" w:rsidP="007722DC" w:rsidRDefault="0000242F" w14:paraId="3DDF3305" w14:textId="77777777">
            <w:pPr>
              <w:tabs>
                <w:tab w:val="left" w:pos="-1440"/>
                <w:tab w:val="left" w:pos="-720"/>
              </w:tabs>
              <w:autoSpaceDE w:val="0"/>
              <w:autoSpaceDN w:val="0"/>
              <w:adjustRightInd w:val="0"/>
              <w:rPr>
                <w:rFonts w:ascii="Calibri" w:hAnsi="Calibri"/>
                <w:bCs/>
              </w:rPr>
            </w:pPr>
            <w:r w:rsidRPr="00C84134">
              <w:rPr>
                <w:rFonts w:ascii="Calibri" w:hAnsi="Calibri"/>
                <w:bCs/>
              </w:rPr>
              <w:t>Public Health Laborator</w:t>
            </w:r>
            <w:r w:rsidRPr="00C84134" w:rsidR="002E05FD">
              <w:rPr>
                <w:rFonts w:ascii="Calibri" w:hAnsi="Calibri"/>
                <w:bCs/>
              </w:rPr>
              <w:t xml:space="preserve">y Data </w:t>
            </w:r>
            <w:r w:rsidR="007722DC">
              <w:rPr>
                <w:rFonts w:ascii="Calibri" w:hAnsi="Calibri"/>
                <w:bCs/>
              </w:rPr>
              <w:t>Manager</w:t>
            </w:r>
            <w:r w:rsidR="00F031C8">
              <w:rPr>
                <w:rFonts w:ascii="Calibri" w:hAnsi="Calibri"/>
                <w:bCs/>
              </w:rPr>
              <w:t>**</w:t>
            </w:r>
          </w:p>
        </w:tc>
        <w:tc>
          <w:tcPr>
            <w:tcW w:w="885" w:type="pct"/>
            <w:shd w:val="clear" w:color="auto" w:fill="auto"/>
            <w:vAlign w:val="center"/>
          </w:tcPr>
          <w:p w:rsidRPr="00C84134" w:rsidR="0000242F" w:rsidP="002378CB" w:rsidRDefault="002378CB" w14:paraId="36B50DED" w14:textId="4FE88193">
            <w:pPr>
              <w:tabs>
                <w:tab w:val="left" w:pos="-1440"/>
                <w:tab w:val="left" w:pos="-720"/>
              </w:tabs>
              <w:autoSpaceDE w:val="0"/>
              <w:autoSpaceDN w:val="0"/>
              <w:adjustRightInd w:val="0"/>
              <w:rPr>
                <w:rFonts w:ascii="Calibri" w:hAnsi="Calibri"/>
                <w:bCs/>
              </w:rPr>
            </w:pPr>
            <w:r w:rsidRPr="002378CB">
              <w:rPr>
                <w:rFonts w:ascii="Calibri" w:hAnsi="Calibri" w:cs="Courier New"/>
              </w:rPr>
              <w:t xml:space="preserve">Laboratory </w:t>
            </w:r>
            <w:r>
              <w:rPr>
                <w:rFonts w:ascii="Calibri" w:hAnsi="Calibri" w:cs="Courier New"/>
              </w:rPr>
              <w:t xml:space="preserve"> </w:t>
            </w:r>
            <w:r w:rsidR="00BC42B8">
              <w:rPr>
                <w:rFonts w:ascii="Calibri" w:hAnsi="Calibri" w:cs="Courier New"/>
              </w:rPr>
              <w:t>Data Elements</w:t>
            </w:r>
            <w:r w:rsidR="00BC42B8">
              <w:rPr>
                <w:rFonts w:ascii="Calibri" w:hAnsi="Calibri"/>
                <w:bCs/>
              </w:rPr>
              <w:t xml:space="preserve"> </w:t>
            </w:r>
            <w:r w:rsidR="00650F3E">
              <w:rPr>
                <w:rFonts w:ascii="Calibri" w:hAnsi="Calibri"/>
                <w:bCs/>
              </w:rPr>
              <w:t>Attachment 3C</w:t>
            </w:r>
            <w:r w:rsidR="00167958">
              <w:rPr>
                <w:rFonts w:ascii="Calibri" w:hAnsi="Calibri"/>
                <w:bCs/>
              </w:rPr>
              <w:t>-</w:t>
            </w:r>
            <w:r w:rsidR="00430C3B">
              <w:rPr>
                <w:rFonts w:ascii="Calibri" w:hAnsi="Calibri"/>
                <w:bCs/>
              </w:rPr>
              <w:t>2</w:t>
            </w:r>
          </w:p>
        </w:tc>
        <w:tc>
          <w:tcPr>
            <w:tcW w:w="789" w:type="pct"/>
            <w:shd w:val="clear" w:color="auto" w:fill="auto"/>
            <w:vAlign w:val="center"/>
          </w:tcPr>
          <w:p w:rsidRPr="00636F05" w:rsidR="0000242F" w:rsidP="008619EB" w:rsidRDefault="00C64657" w14:paraId="5AE3FF09" w14:textId="5C8FF769">
            <w:pPr>
              <w:tabs>
                <w:tab w:val="left" w:pos="-1440"/>
                <w:tab w:val="left" w:pos="-720"/>
              </w:tabs>
              <w:autoSpaceDE w:val="0"/>
              <w:autoSpaceDN w:val="0"/>
              <w:adjustRightInd w:val="0"/>
              <w:jc w:val="center"/>
              <w:rPr>
                <w:rFonts w:ascii="Calibri" w:hAnsi="Calibri"/>
                <w:bCs/>
              </w:rPr>
            </w:pPr>
            <w:r w:rsidRPr="00636F05">
              <w:rPr>
                <w:rFonts w:ascii="Calibri" w:hAnsi="Calibri"/>
                <w:bCs/>
              </w:rPr>
              <w:t>8</w:t>
            </w:r>
          </w:p>
        </w:tc>
        <w:tc>
          <w:tcPr>
            <w:tcW w:w="739" w:type="pct"/>
            <w:shd w:val="clear" w:color="auto" w:fill="auto"/>
            <w:vAlign w:val="center"/>
          </w:tcPr>
          <w:p w:rsidRPr="00C94D1E" w:rsidR="0000242F" w:rsidP="008619EB" w:rsidRDefault="0000242F" w14:paraId="77BBD01C" w14:textId="77777777">
            <w:pPr>
              <w:tabs>
                <w:tab w:val="left" w:pos="-1440"/>
                <w:tab w:val="left" w:pos="-720"/>
              </w:tabs>
              <w:autoSpaceDE w:val="0"/>
              <w:autoSpaceDN w:val="0"/>
              <w:adjustRightInd w:val="0"/>
              <w:jc w:val="center"/>
              <w:rPr>
                <w:rFonts w:ascii="Calibri" w:hAnsi="Calibri"/>
                <w:bCs/>
              </w:rPr>
            </w:pPr>
            <w:r w:rsidRPr="00C94D1E">
              <w:rPr>
                <w:rFonts w:ascii="Calibri" w:hAnsi="Calibri"/>
                <w:bCs/>
              </w:rPr>
              <w:t>6</w:t>
            </w:r>
          </w:p>
        </w:tc>
        <w:tc>
          <w:tcPr>
            <w:tcW w:w="761" w:type="pct"/>
            <w:shd w:val="clear" w:color="auto" w:fill="auto"/>
            <w:vAlign w:val="center"/>
          </w:tcPr>
          <w:p w:rsidRPr="005B6B1A" w:rsidR="0000242F" w:rsidP="008619EB" w:rsidRDefault="0000242F" w14:paraId="7B2BCC30" w14:textId="77777777">
            <w:pPr>
              <w:tabs>
                <w:tab w:val="left" w:pos="-1440"/>
                <w:tab w:val="left" w:pos="-720"/>
              </w:tabs>
              <w:autoSpaceDE w:val="0"/>
              <w:autoSpaceDN w:val="0"/>
              <w:adjustRightInd w:val="0"/>
              <w:jc w:val="center"/>
              <w:rPr>
                <w:rFonts w:ascii="Calibri" w:hAnsi="Calibri"/>
                <w:bCs/>
              </w:rPr>
            </w:pPr>
            <w:r w:rsidRPr="005B6B1A">
              <w:rPr>
                <w:rFonts w:ascii="Calibri" w:hAnsi="Calibri"/>
                <w:bCs/>
              </w:rPr>
              <w:t>1</w:t>
            </w:r>
          </w:p>
        </w:tc>
        <w:tc>
          <w:tcPr>
            <w:tcW w:w="688" w:type="pct"/>
            <w:shd w:val="clear" w:color="auto" w:fill="auto"/>
            <w:vAlign w:val="center"/>
          </w:tcPr>
          <w:p w:rsidRPr="00C871F5" w:rsidR="0000242F" w:rsidP="008619EB" w:rsidRDefault="00C64657" w14:paraId="5A453DC1" w14:textId="1A135C13">
            <w:pPr>
              <w:tabs>
                <w:tab w:val="left" w:pos="-1440"/>
                <w:tab w:val="left" w:pos="-720"/>
              </w:tabs>
              <w:autoSpaceDE w:val="0"/>
              <w:autoSpaceDN w:val="0"/>
              <w:adjustRightInd w:val="0"/>
              <w:jc w:val="center"/>
              <w:rPr>
                <w:rFonts w:ascii="Calibri" w:hAnsi="Calibri"/>
                <w:bCs/>
              </w:rPr>
            </w:pPr>
            <w:r w:rsidRPr="00C871F5">
              <w:rPr>
                <w:rFonts w:ascii="Calibri" w:hAnsi="Calibri"/>
                <w:bCs/>
              </w:rPr>
              <w:t>48</w:t>
            </w:r>
          </w:p>
        </w:tc>
      </w:tr>
      <w:tr w:rsidRPr="00C84134" w:rsidR="00030B98" w:rsidTr="00BC42B8" w14:paraId="2548585A" w14:textId="77777777">
        <w:trPr>
          <w:jc w:val="center"/>
        </w:trPr>
        <w:tc>
          <w:tcPr>
            <w:tcW w:w="1137" w:type="pct"/>
            <w:shd w:val="clear" w:color="auto" w:fill="auto"/>
          </w:tcPr>
          <w:p w:rsidRPr="00C84134" w:rsidR="00030B98" w:rsidP="007722DC" w:rsidRDefault="002E05FD" w14:paraId="2F9FC5B1" w14:textId="41BFACA6">
            <w:pPr>
              <w:tabs>
                <w:tab w:val="left" w:pos="-1440"/>
                <w:tab w:val="left" w:pos="-720"/>
              </w:tabs>
              <w:autoSpaceDE w:val="0"/>
              <w:autoSpaceDN w:val="0"/>
              <w:adjustRightInd w:val="0"/>
              <w:rPr>
                <w:rFonts w:ascii="Calibri" w:hAnsi="Calibri"/>
                <w:bCs/>
              </w:rPr>
            </w:pPr>
            <w:r w:rsidRPr="00C84134">
              <w:rPr>
                <w:rFonts w:ascii="Calibri" w:hAnsi="Calibri"/>
                <w:bCs/>
              </w:rPr>
              <w:t>Gonorrhea Patients</w:t>
            </w:r>
            <w:r w:rsidRPr="00C84134" w:rsidR="0000242F">
              <w:rPr>
                <w:rFonts w:ascii="Calibri" w:hAnsi="Calibri"/>
                <w:bCs/>
              </w:rPr>
              <w:t xml:space="preserve"> and </w:t>
            </w:r>
            <w:r w:rsidRPr="00C84134">
              <w:rPr>
                <w:rFonts w:ascii="Calibri" w:hAnsi="Calibri"/>
                <w:bCs/>
              </w:rPr>
              <w:t>S</w:t>
            </w:r>
            <w:r w:rsidRPr="00C84134" w:rsidR="0000242F">
              <w:rPr>
                <w:rFonts w:ascii="Calibri" w:hAnsi="Calibri"/>
                <w:bCs/>
              </w:rPr>
              <w:t xml:space="preserve">exual </w:t>
            </w:r>
            <w:r w:rsidRPr="00C84134">
              <w:rPr>
                <w:rFonts w:ascii="Calibri" w:hAnsi="Calibri"/>
                <w:bCs/>
              </w:rPr>
              <w:t>C</w:t>
            </w:r>
            <w:r w:rsidRPr="00C84134" w:rsidR="0000242F">
              <w:rPr>
                <w:rFonts w:ascii="Calibri" w:hAnsi="Calibri"/>
                <w:bCs/>
              </w:rPr>
              <w:t>ontacts</w:t>
            </w:r>
          </w:p>
        </w:tc>
        <w:tc>
          <w:tcPr>
            <w:tcW w:w="885" w:type="pct"/>
            <w:shd w:val="clear" w:color="auto" w:fill="auto"/>
            <w:vAlign w:val="center"/>
          </w:tcPr>
          <w:p w:rsidRPr="00C84134" w:rsidR="00030B98" w:rsidP="002378CB" w:rsidRDefault="002378CB" w14:paraId="1F6FDEB6" w14:textId="77777777">
            <w:pPr>
              <w:tabs>
                <w:tab w:val="left" w:pos="-1440"/>
                <w:tab w:val="left" w:pos="-720"/>
              </w:tabs>
              <w:autoSpaceDE w:val="0"/>
              <w:autoSpaceDN w:val="0"/>
              <w:adjustRightInd w:val="0"/>
              <w:rPr>
                <w:rFonts w:ascii="Calibri" w:hAnsi="Calibri"/>
                <w:bCs/>
              </w:rPr>
            </w:pPr>
            <w:r w:rsidRPr="002378CB">
              <w:rPr>
                <w:rFonts w:ascii="Calibri" w:hAnsi="Calibri" w:cs="Courier New"/>
              </w:rPr>
              <w:t xml:space="preserve">Field Investigation </w:t>
            </w:r>
            <w:r w:rsidR="00BC42B8">
              <w:rPr>
                <w:rFonts w:ascii="Calibri" w:hAnsi="Calibri" w:cs="Courier New"/>
              </w:rPr>
              <w:t>Data Elements</w:t>
            </w:r>
            <w:r w:rsidR="00BC42B8">
              <w:rPr>
                <w:rFonts w:ascii="Calibri" w:hAnsi="Calibri"/>
                <w:bCs/>
              </w:rPr>
              <w:t xml:space="preserve"> </w:t>
            </w:r>
            <w:r w:rsidR="00650F3E">
              <w:rPr>
                <w:rFonts w:ascii="Calibri" w:hAnsi="Calibri"/>
                <w:bCs/>
              </w:rPr>
              <w:t>Attachment 3D</w:t>
            </w:r>
          </w:p>
        </w:tc>
        <w:tc>
          <w:tcPr>
            <w:tcW w:w="789" w:type="pct"/>
            <w:shd w:val="clear" w:color="auto" w:fill="auto"/>
            <w:vAlign w:val="center"/>
          </w:tcPr>
          <w:p w:rsidRPr="008A6D79" w:rsidR="00030B98" w:rsidP="00B711DC" w:rsidRDefault="00636F05" w14:paraId="21BFA391" w14:textId="73C01213">
            <w:pPr>
              <w:tabs>
                <w:tab w:val="left" w:pos="-1440"/>
                <w:tab w:val="left" w:pos="-720"/>
              </w:tabs>
              <w:autoSpaceDE w:val="0"/>
              <w:autoSpaceDN w:val="0"/>
              <w:adjustRightInd w:val="0"/>
              <w:jc w:val="center"/>
              <w:rPr>
                <w:rFonts w:ascii="Calibri" w:hAnsi="Calibri"/>
                <w:bCs/>
              </w:rPr>
            </w:pPr>
            <w:r w:rsidRPr="000E5C50">
              <w:rPr>
                <w:rFonts w:ascii="Calibri" w:hAnsi="Calibri"/>
                <w:bCs/>
              </w:rPr>
              <w:t>960</w:t>
            </w:r>
          </w:p>
        </w:tc>
        <w:tc>
          <w:tcPr>
            <w:tcW w:w="739" w:type="pct"/>
            <w:shd w:val="clear" w:color="auto" w:fill="auto"/>
            <w:vAlign w:val="center"/>
          </w:tcPr>
          <w:p w:rsidRPr="008A6D79" w:rsidR="00030B98" w:rsidP="008619EB" w:rsidRDefault="00030B98" w14:paraId="4FF2B509" w14:textId="77777777">
            <w:pPr>
              <w:tabs>
                <w:tab w:val="left" w:pos="-1440"/>
                <w:tab w:val="left" w:pos="-720"/>
              </w:tabs>
              <w:autoSpaceDE w:val="0"/>
              <w:autoSpaceDN w:val="0"/>
              <w:adjustRightInd w:val="0"/>
              <w:jc w:val="center"/>
              <w:rPr>
                <w:rFonts w:ascii="Calibri" w:hAnsi="Calibri"/>
                <w:bCs/>
              </w:rPr>
            </w:pPr>
            <w:r w:rsidRPr="008A6D79">
              <w:rPr>
                <w:rFonts w:ascii="Calibri" w:hAnsi="Calibri"/>
                <w:bCs/>
              </w:rPr>
              <w:t>1</w:t>
            </w:r>
          </w:p>
        </w:tc>
        <w:tc>
          <w:tcPr>
            <w:tcW w:w="761" w:type="pct"/>
            <w:shd w:val="clear" w:color="auto" w:fill="auto"/>
            <w:vAlign w:val="center"/>
          </w:tcPr>
          <w:p w:rsidRPr="008A6D79" w:rsidR="00030B98" w:rsidP="00CC3DC4" w:rsidRDefault="00CC0896" w14:paraId="2D17FF6D" w14:textId="2A82668E">
            <w:pPr>
              <w:tabs>
                <w:tab w:val="left" w:pos="-1440"/>
                <w:tab w:val="left" w:pos="-720"/>
              </w:tabs>
              <w:autoSpaceDE w:val="0"/>
              <w:autoSpaceDN w:val="0"/>
              <w:adjustRightInd w:val="0"/>
              <w:jc w:val="center"/>
              <w:rPr>
                <w:rFonts w:ascii="Calibri" w:hAnsi="Calibri"/>
                <w:bCs/>
              </w:rPr>
            </w:pPr>
            <w:r>
              <w:rPr>
                <w:rFonts w:ascii="Calibri" w:hAnsi="Calibri"/>
                <w:bCs/>
              </w:rPr>
              <w:t>2</w:t>
            </w:r>
            <w:r w:rsidRPr="008A6D79" w:rsidR="00CC3DC4">
              <w:rPr>
                <w:rFonts w:ascii="Calibri" w:hAnsi="Calibri"/>
                <w:bCs/>
              </w:rPr>
              <w:t xml:space="preserve">0/60 </w:t>
            </w:r>
          </w:p>
        </w:tc>
        <w:tc>
          <w:tcPr>
            <w:tcW w:w="688" w:type="pct"/>
            <w:shd w:val="clear" w:color="auto" w:fill="auto"/>
            <w:vAlign w:val="center"/>
          </w:tcPr>
          <w:p w:rsidRPr="008A6D79" w:rsidR="00030B98" w:rsidP="008619EB" w:rsidRDefault="00CC0896" w14:paraId="0CAEB452" w14:textId="01641659">
            <w:pPr>
              <w:tabs>
                <w:tab w:val="left" w:pos="-1440"/>
                <w:tab w:val="left" w:pos="-720"/>
              </w:tabs>
              <w:autoSpaceDE w:val="0"/>
              <w:autoSpaceDN w:val="0"/>
              <w:adjustRightInd w:val="0"/>
              <w:jc w:val="center"/>
              <w:rPr>
                <w:rFonts w:ascii="Calibri" w:hAnsi="Calibri"/>
                <w:bCs/>
              </w:rPr>
            </w:pPr>
            <w:r>
              <w:rPr>
                <w:rFonts w:ascii="Calibri" w:hAnsi="Calibri"/>
                <w:bCs/>
              </w:rPr>
              <w:t>320</w:t>
            </w:r>
          </w:p>
        </w:tc>
      </w:tr>
      <w:tr w:rsidRPr="00C84134" w:rsidR="00030B98" w:rsidTr="00BC42B8" w14:paraId="609AC222" w14:textId="77777777">
        <w:trPr>
          <w:jc w:val="center"/>
        </w:trPr>
        <w:tc>
          <w:tcPr>
            <w:tcW w:w="1137" w:type="pct"/>
            <w:shd w:val="clear" w:color="auto" w:fill="auto"/>
          </w:tcPr>
          <w:p w:rsidRPr="00C84134" w:rsidR="00030B98" w:rsidP="008619EB" w:rsidRDefault="00030B98" w14:paraId="63722EC3" w14:textId="77777777">
            <w:pPr>
              <w:tabs>
                <w:tab w:val="left" w:pos="-1440"/>
                <w:tab w:val="left" w:pos="-720"/>
              </w:tabs>
              <w:autoSpaceDE w:val="0"/>
              <w:autoSpaceDN w:val="0"/>
              <w:adjustRightInd w:val="0"/>
              <w:rPr>
                <w:rFonts w:ascii="Calibri" w:hAnsi="Calibri"/>
                <w:b/>
                <w:bCs/>
              </w:rPr>
            </w:pPr>
            <w:r w:rsidRPr="00C84134">
              <w:rPr>
                <w:rFonts w:ascii="Calibri" w:hAnsi="Calibri"/>
                <w:b/>
                <w:bCs/>
              </w:rPr>
              <w:t>Total</w:t>
            </w:r>
          </w:p>
        </w:tc>
        <w:tc>
          <w:tcPr>
            <w:tcW w:w="885" w:type="pct"/>
            <w:shd w:val="clear" w:color="auto" w:fill="auto"/>
            <w:vAlign w:val="center"/>
          </w:tcPr>
          <w:p w:rsidRPr="00C84134" w:rsidR="00030B98" w:rsidP="008619EB" w:rsidRDefault="00030B98" w14:paraId="2E78E647" w14:textId="77777777">
            <w:pPr>
              <w:tabs>
                <w:tab w:val="left" w:pos="-1440"/>
                <w:tab w:val="left" w:pos="-720"/>
              </w:tabs>
              <w:autoSpaceDE w:val="0"/>
              <w:autoSpaceDN w:val="0"/>
              <w:adjustRightInd w:val="0"/>
              <w:jc w:val="center"/>
              <w:rPr>
                <w:rFonts w:ascii="Calibri" w:hAnsi="Calibri"/>
                <w:b/>
                <w:bCs/>
              </w:rPr>
            </w:pPr>
          </w:p>
        </w:tc>
        <w:tc>
          <w:tcPr>
            <w:tcW w:w="789" w:type="pct"/>
            <w:shd w:val="clear" w:color="auto" w:fill="auto"/>
            <w:vAlign w:val="center"/>
          </w:tcPr>
          <w:p w:rsidRPr="008A6D79" w:rsidR="00030B98" w:rsidP="008619EB" w:rsidRDefault="00030B98" w14:paraId="6F26F9CC" w14:textId="77777777">
            <w:pPr>
              <w:tabs>
                <w:tab w:val="left" w:pos="-1440"/>
                <w:tab w:val="left" w:pos="-720"/>
              </w:tabs>
              <w:autoSpaceDE w:val="0"/>
              <w:autoSpaceDN w:val="0"/>
              <w:adjustRightInd w:val="0"/>
              <w:jc w:val="center"/>
              <w:rPr>
                <w:rFonts w:ascii="Calibri" w:hAnsi="Calibri"/>
                <w:b/>
                <w:bCs/>
              </w:rPr>
            </w:pPr>
          </w:p>
        </w:tc>
        <w:tc>
          <w:tcPr>
            <w:tcW w:w="739" w:type="pct"/>
            <w:shd w:val="clear" w:color="auto" w:fill="auto"/>
            <w:vAlign w:val="center"/>
          </w:tcPr>
          <w:p w:rsidRPr="008A6D79" w:rsidR="00030B98" w:rsidP="008619EB" w:rsidRDefault="00030B98" w14:paraId="4549F64E" w14:textId="77777777">
            <w:pPr>
              <w:tabs>
                <w:tab w:val="left" w:pos="-1440"/>
                <w:tab w:val="left" w:pos="-720"/>
              </w:tabs>
              <w:autoSpaceDE w:val="0"/>
              <w:autoSpaceDN w:val="0"/>
              <w:adjustRightInd w:val="0"/>
              <w:jc w:val="center"/>
              <w:rPr>
                <w:rFonts w:ascii="Calibri" w:hAnsi="Calibri"/>
                <w:b/>
                <w:bCs/>
              </w:rPr>
            </w:pPr>
          </w:p>
        </w:tc>
        <w:tc>
          <w:tcPr>
            <w:tcW w:w="761" w:type="pct"/>
            <w:shd w:val="clear" w:color="auto" w:fill="auto"/>
            <w:vAlign w:val="center"/>
          </w:tcPr>
          <w:p w:rsidRPr="008A6D79" w:rsidR="00030B98" w:rsidP="008619EB" w:rsidRDefault="00030B98" w14:paraId="417AD717" w14:textId="77777777">
            <w:pPr>
              <w:tabs>
                <w:tab w:val="left" w:pos="-1440"/>
                <w:tab w:val="left" w:pos="-720"/>
              </w:tabs>
              <w:autoSpaceDE w:val="0"/>
              <w:autoSpaceDN w:val="0"/>
              <w:adjustRightInd w:val="0"/>
              <w:jc w:val="center"/>
              <w:rPr>
                <w:rFonts w:ascii="Calibri" w:hAnsi="Calibri"/>
                <w:b/>
                <w:bCs/>
              </w:rPr>
            </w:pPr>
          </w:p>
        </w:tc>
        <w:tc>
          <w:tcPr>
            <w:tcW w:w="688" w:type="pct"/>
            <w:shd w:val="clear" w:color="auto" w:fill="auto"/>
            <w:vAlign w:val="center"/>
          </w:tcPr>
          <w:p w:rsidRPr="008A6D79" w:rsidR="00030B98" w:rsidP="00B711DC" w:rsidRDefault="0000242F" w14:paraId="209A7582" w14:textId="39346611">
            <w:pPr>
              <w:tabs>
                <w:tab w:val="left" w:pos="-1440"/>
                <w:tab w:val="left" w:pos="-720"/>
              </w:tabs>
              <w:autoSpaceDE w:val="0"/>
              <w:autoSpaceDN w:val="0"/>
              <w:adjustRightInd w:val="0"/>
              <w:jc w:val="center"/>
              <w:rPr>
                <w:rFonts w:ascii="Calibri" w:hAnsi="Calibri"/>
                <w:b/>
                <w:bCs/>
              </w:rPr>
            </w:pPr>
            <w:r w:rsidRPr="008A6D79">
              <w:rPr>
                <w:rFonts w:ascii="Calibri" w:hAnsi="Calibri"/>
                <w:b/>
                <w:bCs/>
              </w:rPr>
              <w:t>2</w:t>
            </w:r>
            <w:r w:rsidR="008A6D79">
              <w:rPr>
                <w:rFonts w:ascii="Calibri" w:hAnsi="Calibri"/>
                <w:b/>
                <w:bCs/>
              </w:rPr>
              <w:t>,</w:t>
            </w:r>
            <w:r w:rsidR="00CC0896">
              <w:rPr>
                <w:rFonts w:ascii="Calibri" w:hAnsi="Calibri"/>
                <w:b/>
                <w:bCs/>
              </w:rPr>
              <w:t>66</w:t>
            </w:r>
            <w:r w:rsidRPr="008A6D79" w:rsidR="00636F05">
              <w:rPr>
                <w:rFonts w:ascii="Calibri" w:hAnsi="Calibri"/>
                <w:b/>
                <w:bCs/>
              </w:rPr>
              <w:t>5</w:t>
            </w:r>
          </w:p>
        </w:tc>
      </w:tr>
    </w:tbl>
    <w:p w:rsidRPr="009C47EE" w:rsidR="00030B98" w:rsidP="00030B98" w:rsidRDefault="00CE4FE2" w14:paraId="2C167E40" w14:textId="2415CE65">
      <w:pPr>
        <w:keepNext/>
        <w:autoSpaceDE w:val="0"/>
        <w:autoSpaceDN w:val="0"/>
        <w:adjustRightInd w:val="0"/>
        <w:rPr>
          <w:rFonts w:ascii="Calibri" w:hAnsi="Calibri"/>
          <w:sz w:val="22"/>
          <w:szCs w:val="22"/>
        </w:rPr>
      </w:pPr>
      <w:r w:rsidRPr="009C47EE">
        <w:rPr>
          <w:rFonts w:ascii="Calibri" w:hAnsi="Calibri"/>
          <w:sz w:val="22"/>
          <w:szCs w:val="22"/>
        </w:rPr>
        <w:t xml:space="preserve">* </w:t>
      </w:r>
      <w:r w:rsidR="009C47EE">
        <w:rPr>
          <w:rFonts w:ascii="Calibri" w:hAnsi="Calibri"/>
          <w:sz w:val="22"/>
          <w:szCs w:val="22"/>
        </w:rPr>
        <w:t>T</w:t>
      </w:r>
      <w:r w:rsidRPr="009C47EE">
        <w:rPr>
          <w:rFonts w:ascii="Calibri" w:hAnsi="Calibri"/>
          <w:sz w:val="22"/>
          <w:szCs w:val="22"/>
        </w:rPr>
        <w:t>he SURRG data manager is responsible for abstracting data from the participating STD clinics.</w:t>
      </w:r>
    </w:p>
    <w:p w:rsidRPr="009C47EE" w:rsidR="004C2887" w:rsidP="00030B98" w:rsidRDefault="004C2887" w14:paraId="75F6264D" w14:textId="30812131">
      <w:pPr>
        <w:keepNext/>
        <w:autoSpaceDE w:val="0"/>
        <w:autoSpaceDN w:val="0"/>
        <w:adjustRightInd w:val="0"/>
        <w:rPr>
          <w:rFonts w:ascii="Calibri" w:hAnsi="Calibri"/>
          <w:sz w:val="22"/>
          <w:szCs w:val="22"/>
        </w:rPr>
      </w:pPr>
      <w:r w:rsidRPr="009C47EE">
        <w:rPr>
          <w:rFonts w:ascii="Calibri" w:hAnsi="Calibri"/>
          <w:sz w:val="22"/>
          <w:szCs w:val="22"/>
        </w:rPr>
        <w:t>** Burden calculations for Public Health Laboratory Microbiologist shown in Part II PRA Worksheet Att 3C-</w:t>
      </w:r>
      <w:r w:rsidR="00430C3B">
        <w:rPr>
          <w:rFonts w:ascii="Calibri" w:hAnsi="Calibri"/>
          <w:sz w:val="22"/>
          <w:szCs w:val="22"/>
        </w:rPr>
        <w:t>1</w:t>
      </w:r>
      <w:r w:rsidRPr="009C47EE">
        <w:rPr>
          <w:rFonts w:ascii="Calibri" w:hAnsi="Calibri"/>
          <w:sz w:val="22"/>
          <w:szCs w:val="22"/>
        </w:rPr>
        <w:t>; burden calculations for Public Health Laboratory Data Manager shown in Part II PRA Worksheet Att 3C-</w:t>
      </w:r>
      <w:r w:rsidR="00430C3B">
        <w:rPr>
          <w:rFonts w:ascii="Calibri" w:hAnsi="Calibri"/>
          <w:sz w:val="22"/>
          <w:szCs w:val="22"/>
        </w:rPr>
        <w:t>2</w:t>
      </w:r>
      <w:r w:rsidRPr="009C47EE" w:rsidR="00430C3B">
        <w:rPr>
          <w:rFonts w:ascii="Calibri" w:hAnsi="Calibri"/>
          <w:sz w:val="22"/>
          <w:szCs w:val="22"/>
        </w:rPr>
        <w:t xml:space="preserve"> </w:t>
      </w:r>
    </w:p>
    <w:p w:rsidRPr="00C84134" w:rsidR="00CE4FE2" w:rsidP="00030B98" w:rsidRDefault="00CE4FE2" w14:paraId="7F285BFE" w14:textId="77777777">
      <w:pPr>
        <w:keepNext/>
        <w:autoSpaceDE w:val="0"/>
        <w:autoSpaceDN w:val="0"/>
        <w:adjustRightInd w:val="0"/>
        <w:rPr>
          <w:rFonts w:ascii="Calibri" w:hAnsi="Calibri"/>
        </w:rPr>
      </w:pPr>
    </w:p>
    <w:p w:rsidR="00F5050A" w:rsidP="002E05FD" w:rsidRDefault="002E05FD" w14:paraId="4A5E2193" w14:textId="77777777">
      <w:pPr>
        <w:rPr>
          <w:rFonts w:ascii="Calibri" w:hAnsi="Calibri"/>
        </w:rPr>
      </w:pPr>
      <w:r w:rsidRPr="00C84134">
        <w:rPr>
          <w:rFonts w:ascii="Calibri" w:hAnsi="Calibri"/>
        </w:rPr>
        <w:t xml:space="preserve">The annualized burden cost is estimated in table A12b below.  </w:t>
      </w:r>
    </w:p>
    <w:p w:rsidR="00F5050A" w:rsidP="002E05FD" w:rsidRDefault="00F5050A" w14:paraId="183AD973" w14:textId="77777777">
      <w:pPr>
        <w:rPr>
          <w:rFonts w:ascii="Calibri" w:hAnsi="Calibri"/>
        </w:rPr>
      </w:pPr>
    </w:p>
    <w:p w:rsidRPr="00C84134" w:rsidR="002E05FD" w:rsidP="002E05FD" w:rsidRDefault="002E05FD" w14:paraId="24B4CA79" w14:textId="317457C4">
      <w:pPr>
        <w:rPr>
          <w:rFonts w:ascii="Calibri" w:hAnsi="Calibri"/>
        </w:rPr>
      </w:pPr>
      <w:r w:rsidRPr="00C84134">
        <w:rPr>
          <w:rFonts w:ascii="Calibri" w:hAnsi="Calibri"/>
        </w:rPr>
        <w:t xml:space="preserve">Hourly wages for each of the four respondent categories </w:t>
      </w:r>
      <w:r w:rsidR="008A6D79">
        <w:rPr>
          <w:rFonts w:ascii="Calibri" w:hAnsi="Calibri"/>
        </w:rPr>
        <w:t xml:space="preserve">(updated from the initial PRA submission with 2019 wages) </w:t>
      </w:r>
      <w:r w:rsidRPr="00C84134">
        <w:rPr>
          <w:rFonts w:ascii="Calibri" w:hAnsi="Calibri"/>
        </w:rPr>
        <w:t>were determined as follows:</w:t>
      </w:r>
    </w:p>
    <w:p w:rsidRPr="00C871F5" w:rsidR="00365396" w:rsidP="00F06A89" w:rsidRDefault="00030B98" w14:paraId="46C8588D" w14:textId="2A3C7B82">
      <w:pPr>
        <w:numPr>
          <w:ilvl w:val="0"/>
          <w:numId w:val="4"/>
        </w:numPr>
        <w:rPr>
          <w:rFonts w:ascii="Calibri" w:hAnsi="Calibri"/>
        </w:rPr>
      </w:pPr>
      <w:r w:rsidRPr="00413798">
        <w:rPr>
          <w:rFonts w:ascii="Calibri" w:hAnsi="Calibri"/>
        </w:rPr>
        <w:t xml:space="preserve">The mean hourly wage </w:t>
      </w:r>
      <w:r w:rsidRPr="00413798" w:rsidR="00365396">
        <w:rPr>
          <w:rFonts w:ascii="Calibri" w:hAnsi="Calibri"/>
        </w:rPr>
        <w:t xml:space="preserve">for non-STD clinic, laboratory, and SURRG </w:t>
      </w:r>
      <w:r w:rsidRPr="00413798">
        <w:rPr>
          <w:rFonts w:ascii="Calibri" w:hAnsi="Calibri"/>
        </w:rPr>
        <w:t>data</w:t>
      </w:r>
      <w:r w:rsidRPr="00413798" w:rsidR="00B3687C">
        <w:rPr>
          <w:rFonts w:ascii="Calibri" w:hAnsi="Calibri"/>
        </w:rPr>
        <w:t xml:space="preserve">base </w:t>
      </w:r>
      <w:r w:rsidRPr="00C871F5" w:rsidR="00B3687C">
        <w:rPr>
          <w:rFonts w:ascii="Calibri" w:hAnsi="Calibri"/>
        </w:rPr>
        <w:t>administrator</w:t>
      </w:r>
      <w:r w:rsidRPr="00C871F5" w:rsidR="00365396">
        <w:rPr>
          <w:rFonts w:ascii="Calibri" w:hAnsi="Calibri"/>
        </w:rPr>
        <w:t>s,</w:t>
      </w:r>
      <w:r w:rsidRPr="00C871F5">
        <w:rPr>
          <w:rFonts w:ascii="Calibri" w:hAnsi="Calibri"/>
        </w:rPr>
        <w:t xml:space="preserve"> </w:t>
      </w:r>
      <w:r w:rsidRPr="00C871F5" w:rsidR="00365396">
        <w:rPr>
          <w:rFonts w:ascii="Calibri" w:hAnsi="Calibri"/>
        </w:rPr>
        <w:t>were all estimated at a rate of</w:t>
      </w:r>
      <w:r w:rsidRPr="00C871F5">
        <w:rPr>
          <w:rFonts w:ascii="Calibri" w:hAnsi="Calibri"/>
        </w:rPr>
        <w:t xml:space="preserve"> $</w:t>
      </w:r>
      <w:r w:rsidRPr="00C871F5" w:rsidR="00B3687C">
        <w:rPr>
          <w:rFonts w:ascii="Calibri" w:hAnsi="Calibri"/>
        </w:rPr>
        <w:t>4</w:t>
      </w:r>
      <w:r w:rsidRPr="00C871F5" w:rsidR="00C94D1E">
        <w:rPr>
          <w:rFonts w:ascii="Calibri" w:hAnsi="Calibri"/>
        </w:rPr>
        <w:t>5</w:t>
      </w:r>
      <w:r w:rsidRPr="00C871F5">
        <w:rPr>
          <w:rFonts w:ascii="Calibri" w:hAnsi="Calibri"/>
        </w:rPr>
        <w:t>.</w:t>
      </w:r>
      <w:r w:rsidRPr="00C871F5" w:rsidR="00C94D1E">
        <w:rPr>
          <w:rFonts w:ascii="Calibri" w:hAnsi="Calibri"/>
        </w:rPr>
        <w:t>07</w:t>
      </w:r>
      <w:r w:rsidRPr="00C871F5">
        <w:rPr>
          <w:rFonts w:ascii="Calibri" w:hAnsi="Calibri"/>
        </w:rPr>
        <w:t xml:space="preserve">. Estimates of hourly wage rates are based on the </w:t>
      </w:r>
      <w:r w:rsidRPr="00C871F5" w:rsidR="002E05FD">
        <w:rPr>
          <w:rFonts w:ascii="Calibri" w:hAnsi="Calibri"/>
        </w:rPr>
        <w:t>201</w:t>
      </w:r>
      <w:r w:rsidRPr="00C871F5" w:rsidR="00C94D1E">
        <w:rPr>
          <w:rFonts w:ascii="Calibri" w:hAnsi="Calibri"/>
        </w:rPr>
        <w:t>9</w:t>
      </w:r>
      <w:r w:rsidRPr="00C871F5" w:rsidR="002E05FD">
        <w:rPr>
          <w:rFonts w:ascii="Calibri" w:hAnsi="Calibri"/>
        </w:rPr>
        <w:t xml:space="preserve"> </w:t>
      </w:r>
      <w:r w:rsidRPr="00C871F5">
        <w:rPr>
          <w:rFonts w:ascii="Calibri" w:hAnsi="Calibri"/>
        </w:rPr>
        <w:t xml:space="preserve">Bureau of Labor Statistics, National Occupational Employment and Wage Estimates for </w:t>
      </w:r>
      <w:r w:rsidRPr="00C871F5" w:rsidR="00365396">
        <w:rPr>
          <w:rFonts w:ascii="Calibri" w:hAnsi="Calibri"/>
        </w:rPr>
        <w:t xml:space="preserve">Database Administrators in </w:t>
      </w:r>
      <w:r w:rsidRPr="00C871F5">
        <w:rPr>
          <w:rFonts w:ascii="Calibri" w:hAnsi="Calibri"/>
        </w:rPr>
        <w:t>the United States</w:t>
      </w:r>
      <w:r w:rsidRPr="00C871F5" w:rsidR="002E05FD">
        <w:rPr>
          <w:rFonts w:ascii="Calibri" w:hAnsi="Calibri"/>
        </w:rPr>
        <w:t xml:space="preserve"> (accessed</w:t>
      </w:r>
      <w:r w:rsidR="00C871F5">
        <w:rPr>
          <w:rFonts w:ascii="Calibri" w:hAnsi="Calibri"/>
        </w:rPr>
        <w:t xml:space="preserve"> on May 18, 2020 at</w:t>
      </w:r>
      <w:r w:rsidRPr="00C871F5" w:rsidR="002E05FD">
        <w:rPr>
          <w:rFonts w:ascii="Calibri" w:hAnsi="Calibri"/>
        </w:rPr>
        <w:t xml:space="preserve"> </w:t>
      </w:r>
      <w:r w:rsidRPr="00C871F5" w:rsidR="00C94D1E">
        <w:rPr>
          <w:rFonts w:ascii="Calibri" w:hAnsi="Calibri"/>
        </w:rPr>
        <w:t>https://www.bls.gov/ooh/computer-and-informtion-technology/database-administrators.htm</w:t>
      </w:r>
      <w:r w:rsidRPr="00C871F5" w:rsidR="002E05FD">
        <w:rPr>
          <w:rFonts w:ascii="Calibri" w:hAnsi="Calibri"/>
        </w:rPr>
        <w:t>)</w:t>
      </w:r>
      <w:r w:rsidRPr="00C871F5">
        <w:rPr>
          <w:rFonts w:ascii="Calibri" w:hAnsi="Calibri"/>
        </w:rPr>
        <w:t xml:space="preserve">. </w:t>
      </w:r>
    </w:p>
    <w:p w:rsidRPr="00C871F5" w:rsidR="004920D8" w:rsidP="00F06A89" w:rsidRDefault="004920D8" w14:paraId="0EF9F5D6" w14:textId="16E2EC78">
      <w:pPr>
        <w:numPr>
          <w:ilvl w:val="0"/>
          <w:numId w:val="4"/>
        </w:numPr>
        <w:rPr>
          <w:rFonts w:ascii="Calibri" w:hAnsi="Calibri"/>
        </w:rPr>
      </w:pPr>
      <w:r w:rsidRPr="00C871F5">
        <w:rPr>
          <w:rFonts w:ascii="Calibri" w:hAnsi="Calibri"/>
        </w:rPr>
        <w:t>The mean hourly wage for a microbiologist was estimated at a rate of $36.</w:t>
      </w:r>
      <w:r w:rsidRPr="00C871F5" w:rsidR="00C94D1E">
        <w:rPr>
          <w:rFonts w:ascii="Calibri" w:hAnsi="Calibri"/>
        </w:rPr>
        <w:t>37</w:t>
      </w:r>
      <w:r w:rsidRPr="00C871F5">
        <w:rPr>
          <w:rFonts w:ascii="Calibri" w:hAnsi="Calibri"/>
        </w:rPr>
        <w:t xml:space="preserve"> based on the 201</w:t>
      </w:r>
      <w:r w:rsidRPr="00C871F5" w:rsidR="005B6B1A">
        <w:rPr>
          <w:rFonts w:ascii="Calibri" w:hAnsi="Calibri"/>
        </w:rPr>
        <w:t>9</w:t>
      </w:r>
      <w:r w:rsidRPr="00C871F5">
        <w:rPr>
          <w:rFonts w:ascii="Calibri" w:hAnsi="Calibri"/>
        </w:rPr>
        <w:t xml:space="preserve"> Bureau of Labor Statistics, National Occupational Employment and Wage Estimates for Microbiologists in the United States (accessed on May </w:t>
      </w:r>
      <w:r w:rsidRPr="00C871F5" w:rsidR="00C871F5">
        <w:rPr>
          <w:rFonts w:ascii="Calibri" w:hAnsi="Calibri"/>
        </w:rPr>
        <w:t>18</w:t>
      </w:r>
      <w:r w:rsidRPr="00C871F5">
        <w:rPr>
          <w:rFonts w:ascii="Calibri" w:hAnsi="Calibri"/>
        </w:rPr>
        <w:t>, 20</w:t>
      </w:r>
      <w:r w:rsidRPr="00C871F5" w:rsidR="00C871F5">
        <w:rPr>
          <w:rFonts w:ascii="Calibri" w:hAnsi="Calibri"/>
        </w:rPr>
        <w:t>20</w:t>
      </w:r>
      <w:r w:rsidRPr="00C871F5">
        <w:rPr>
          <w:rFonts w:ascii="Calibri" w:hAnsi="Calibri"/>
        </w:rPr>
        <w:t xml:space="preserve"> at https://www.bls.gov/</w:t>
      </w:r>
      <w:r w:rsidRPr="00C871F5" w:rsidR="005B6B1A">
        <w:rPr>
          <w:rFonts w:ascii="Calibri" w:hAnsi="Calibri"/>
        </w:rPr>
        <w:t>ooh/life-physical-and-social-science/microbiologists.htm</w:t>
      </w:r>
      <w:r w:rsidRPr="00C871F5">
        <w:rPr>
          <w:rFonts w:ascii="Calibri" w:hAnsi="Calibri"/>
        </w:rPr>
        <w:t xml:space="preserve">). </w:t>
      </w:r>
    </w:p>
    <w:p w:rsidRPr="00C871F5" w:rsidR="00466CE5" w:rsidP="00F06A89" w:rsidRDefault="00365396" w14:paraId="2658D9B4" w14:textId="14AE1C59">
      <w:pPr>
        <w:numPr>
          <w:ilvl w:val="0"/>
          <w:numId w:val="4"/>
        </w:numPr>
        <w:rPr>
          <w:rFonts w:ascii="Calibri" w:hAnsi="Calibri"/>
        </w:rPr>
      </w:pPr>
      <w:r w:rsidRPr="00C871F5">
        <w:rPr>
          <w:rFonts w:ascii="Calibri" w:hAnsi="Calibri"/>
        </w:rPr>
        <w:t>The mean hourly wage for gonorrhea patients and their sexual contacts was estimated at a rate of $2</w:t>
      </w:r>
      <w:r w:rsidRPr="00C871F5" w:rsidR="00C871F5">
        <w:rPr>
          <w:rFonts w:ascii="Calibri" w:hAnsi="Calibri"/>
        </w:rPr>
        <w:t>5</w:t>
      </w:r>
      <w:r w:rsidRPr="00C871F5">
        <w:rPr>
          <w:rFonts w:ascii="Calibri" w:hAnsi="Calibri"/>
        </w:rPr>
        <w:t>.</w:t>
      </w:r>
      <w:r w:rsidRPr="00C871F5" w:rsidR="00C871F5">
        <w:rPr>
          <w:rFonts w:ascii="Calibri" w:hAnsi="Calibri"/>
        </w:rPr>
        <w:t>72</w:t>
      </w:r>
      <w:r w:rsidRPr="00C871F5">
        <w:rPr>
          <w:rFonts w:ascii="Calibri" w:hAnsi="Calibri"/>
        </w:rPr>
        <w:t>, which is the</w:t>
      </w:r>
      <w:r w:rsidRPr="00C871F5" w:rsidR="002E05FD">
        <w:rPr>
          <w:rFonts w:ascii="Calibri" w:hAnsi="Calibri"/>
        </w:rPr>
        <w:t xml:space="preserve"> mean hourly wage reported on the 201</w:t>
      </w:r>
      <w:r w:rsidRPr="00C871F5" w:rsidR="00C871F5">
        <w:rPr>
          <w:rFonts w:ascii="Calibri" w:hAnsi="Calibri"/>
        </w:rPr>
        <w:t>9</w:t>
      </w:r>
      <w:r w:rsidRPr="00C871F5" w:rsidR="002E05FD">
        <w:rPr>
          <w:rFonts w:ascii="Calibri" w:hAnsi="Calibri"/>
        </w:rPr>
        <w:t xml:space="preserve"> Bureau of Labor Statistics, National Occupational Employment and Wage Estimates </w:t>
      </w:r>
      <w:r w:rsidRPr="00C871F5">
        <w:rPr>
          <w:rFonts w:ascii="Calibri" w:hAnsi="Calibri"/>
        </w:rPr>
        <w:t xml:space="preserve">across all occupations in </w:t>
      </w:r>
      <w:r w:rsidRPr="00C871F5" w:rsidR="002E05FD">
        <w:rPr>
          <w:rFonts w:ascii="Calibri" w:hAnsi="Calibri"/>
        </w:rPr>
        <w:t>the United States (</w:t>
      </w:r>
      <w:r w:rsidRPr="00C871F5">
        <w:rPr>
          <w:rFonts w:ascii="Calibri" w:hAnsi="Calibri"/>
        </w:rPr>
        <w:t xml:space="preserve">accessed on May </w:t>
      </w:r>
      <w:r w:rsidRPr="00C871F5" w:rsidR="00C871F5">
        <w:rPr>
          <w:rFonts w:ascii="Calibri" w:hAnsi="Calibri"/>
        </w:rPr>
        <w:t>18</w:t>
      </w:r>
      <w:r w:rsidRPr="00C871F5">
        <w:rPr>
          <w:rFonts w:ascii="Calibri" w:hAnsi="Calibri"/>
        </w:rPr>
        <w:t>, 20</w:t>
      </w:r>
      <w:r w:rsidRPr="00C871F5" w:rsidR="00C871F5">
        <w:rPr>
          <w:rFonts w:ascii="Calibri" w:hAnsi="Calibri"/>
        </w:rPr>
        <w:t>20</w:t>
      </w:r>
      <w:r w:rsidRPr="00C871F5">
        <w:rPr>
          <w:rFonts w:ascii="Calibri" w:hAnsi="Calibri"/>
        </w:rPr>
        <w:t xml:space="preserve"> at </w:t>
      </w:r>
      <w:r w:rsidRPr="00C871F5" w:rsidR="002E05FD">
        <w:rPr>
          <w:rFonts w:ascii="Calibri" w:hAnsi="Calibri"/>
        </w:rPr>
        <w:t>https://www.bls.gov/oes/current/oes_nat.htm</w:t>
      </w:r>
      <w:r w:rsidRPr="00C871F5" w:rsidR="00030B98">
        <w:rPr>
          <w:rFonts w:ascii="Calibri" w:hAnsi="Calibri"/>
        </w:rPr>
        <w:t xml:space="preserve">). </w:t>
      </w:r>
    </w:p>
    <w:p w:rsidRPr="00413798" w:rsidR="00466CE5" w:rsidP="00466CE5" w:rsidRDefault="00466CE5" w14:paraId="39A48264" w14:textId="77777777">
      <w:pPr>
        <w:rPr>
          <w:rFonts w:ascii="Calibri" w:hAnsi="Calibri"/>
        </w:rPr>
      </w:pPr>
    </w:p>
    <w:p w:rsidRPr="00466CE5" w:rsidR="00466CE5" w:rsidP="00466CE5" w:rsidRDefault="00466CE5" w14:paraId="772B1269" w14:textId="77777777">
      <w:pPr>
        <w:rPr>
          <w:rFonts w:ascii="Calibri" w:hAnsi="Calibri"/>
        </w:rPr>
      </w:pPr>
      <w:r>
        <w:rPr>
          <w:rFonts w:ascii="Calibri" w:hAnsi="Calibri"/>
        </w:rPr>
        <w:lastRenderedPageBreak/>
        <w:t>Table 12.B. Estimated Annualized Burden Costs</w:t>
      </w:r>
    </w:p>
    <w:tbl>
      <w:tblPr>
        <w:tblpPr w:leftFromText="180" w:rightFromText="180" w:vertAnchor="text" w:horzAnchor="margin" w:tblpY="36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57"/>
        <w:gridCol w:w="2324"/>
        <w:gridCol w:w="2321"/>
        <w:gridCol w:w="2348"/>
      </w:tblGrid>
      <w:tr w:rsidRPr="00C84134" w:rsidR="00A02FFD" w:rsidTr="00C871F5" w14:paraId="344F5802" w14:textId="77777777">
        <w:tc>
          <w:tcPr>
            <w:tcW w:w="2357" w:type="dxa"/>
            <w:shd w:val="clear" w:color="auto" w:fill="auto"/>
            <w:vAlign w:val="bottom"/>
          </w:tcPr>
          <w:p w:rsidRPr="006174A6" w:rsidR="00A02FFD" w:rsidP="00A02FFD" w:rsidRDefault="00A02FFD" w14:paraId="4A6E4F6A" w14:textId="77777777">
            <w:pPr>
              <w:keepNext/>
              <w:autoSpaceDE w:val="0"/>
              <w:autoSpaceDN w:val="0"/>
              <w:adjustRightInd w:val="0"/>
              <w:rPr>
                <w:rFonts w:ascii="Calibri" w:hAnsi="Calibri"/>
                <w:b/>
              </w:rPr>
            </w:pPr>
            <w:r w:rsidRPr="006174A6">
              <w:rPr>
                <w:rFonts w:ascii="Calibri" w:hAnsi="Calibri"/>
                <w:b/>
              </w:rPr>
              <w:t>Type of Respondent</w:t>
            </w:r>
          </w:p>
        </w:tc>
        <w:tc>
          <w:tcPr>
            <w:tcW w:w="2324" w:type="dxa"/>
            <w:shd w:val="clear" w:color="auto" w:fill="auto"/>
            <w:vAlign w:val="bottom"/>
          </w:tcPr>
          <w:p w:rsidRPr="006174A6" w:rsidR="00A02FFD" w:rsidP="00A02FFD" w:rsidRDefault="00A02FFD" w14:paraId="04E9665C" w14:textId="77777777">
            <w:pPr>
              <w:keepNext/>
              <w:autoSpaceDE w:val="0"/>
              <w:autoSpaceDN w:val="0"/>
              <w:adjustRightInd w:val="0"/>
              <w:jc w:val="center"/>
              <w:rPr>
                <w:rFonts w:ascii="Calibri" w:hAnsi="Calibri"/>
                <w:b/>
              </w:rPr>
            </w:pPr>
            <w:r w:rsidRPr="006174A6">
              <w:rPr>
                <w:rFonts w:ascii="Calibri" w:hAnsi="Calibri"/>
                <w:b/>
              </w:rPr>
              <w:t>Total Burden hours</w:t>
            </w:r>
          </w:p>
        </w:tc>
        <w:tc>
          <w:tcPr>
            <w:tcW w:w="2321" w:type="dxa"/>
            <w:shd w:val="clear" w:color="auto" w:fill="auto"/>
            <w:vAlign w:val="bottom"/>
          </w:tcPr>
          <w:p w:rsidRPr="006174A6" w:rsidR="00A02FFD" w:rsidP="00A02FFD" w:rsidRDefault="00A02FFD" w14:paraId="09088A87" w14:textId="77777777">
            <w:pPr>
              <w:keepNext/>
              <w:autoSpaceDE w:val="0"/>
              <w:autoSpaceDN w:val="0"/>
              <w:adjustRightInd w:val="0"/>
              <w:jc w:val="center"/>
              <w:rPr>
                <w:rFonts w:ascii="Calibri" w:hAnsi="Calibri"/>
                <w:b/>
              </w:rPr>
            </w:pPr>
            <w:r w:rsidRPr="006174A6">
              <w:rPr>
                <w:rFonts w:ascii="Calibri" w:hAnsi="Calibri"/>
                <w:b/>
              </w:rPr>
              <w:t>Hourly Wage Rate</w:t>
            </w:r>
          </w:p>
        </w:tc>
        <w:tc>
          <w:tcPr>
            <w:tcW w:w="2348" w:type="dxa"/>
            <w:shd w:val="clear" w:color="auto" w:fill="auto"/>
            <w:vAlign w:val="bottom"/>
          </w:tcPr>
          <w:p w:rsidRPr="006174A6" w:rsidR="00A02FFD" w:rsidP="00A02FFD" w:rsidRDefault="00A02FFD" w14:paraId="27B70BE0" w14:textId="77777777">
            <w:pPr>
              <w:keepNext/>
              <w:autoSpaceDE w:val="0"/>
              <w:autoSpaceDN w:val="0"/>
              <w:adjustRightInd w:val="0"/>
              <w:jc w:val="center"/>
              <w:rPr>
                <w:rFonts w:ascii="Calibri" w:hAnsi="Calibri"/>
                <w:b/>
              </w:rPr>
            </w:pPr>
            <w:r w:rsidRPr="006174A6">
              <w:rPr>
                <w:rFonts w:ascii="Calibri" w:hAnsi="Calibri"/>
                <w:b/>
              </w:rPr>
              <w:t>Total Respondent Cost</w:t>
            </w:r>
          </w:p>
        </w:tc>
      </w:tr>
      <w:tr w:rsidRPr="00C84134" w:rsidR="00C871F5" w:rsidTr="00C871F5" w14:paraId="0C322BA9" w14:textId="77777777">
        <w:tc>
          <w:tcPr>
            <w:tcW w:w="2357" w:type="dxa"/>
            <w:shd w:val="clear" w:color="auto" w:fill="auto"/>
          </w:tcPr>
          <w:p w:rsidRPr="0014407F" w:rsidR="00C871F5" w:rsidP="00C871F5" w:rsidRDefault="00C871F5" w14:paraId="62F01114" w14:textId="77777777">
            <w:pPr>
              <w:keepNext/>
              <w:autoSpaceDE w:val="0"/>
              <w:autoSpaceDN w:val="0"/>
              <w:adjustRightInd w:val="0"/>
              <w:rPr>
                <w:rFonts w:ascii="Calibri" w:hAnsi="Calibri"/>
              </w:rPr>
            </w:pPr>
            <w:r>
              <w:rPr>
                <w:rFonts w:ascii="Calibri" w:hAnsi="Calibri"/>
                <w:bCs/>
              </w:rPr>
              <w:t>Local SURRG data manager</w:t>
            </w:r>
          </w:p>
        </w:tc>
        <w:tc>
          <w:tcPr>
            <w:tcW w:w="2324" w:type="dxa"/>
            <w:shd w:val="clear" w:color="auto" w:fill="auto"/>
          </w:tcPr>
          <w:p w:rsidRPr="008A6D79" w:rsidR="00C871F5" w:rsidP="00C871F5" w:rsidRDefault="00C871F5" w14:paraId="2ECC09A1" w14:textId="576FF514">
            <w:pPr>
              <w:tabs>
                <w:tab w:val="left" w:pos="-1440"/>
                <w:tab w:val="left" w:pos="-720"/>
              </w:tabs>
              <w:autoSpaceDE w:val="0"/>
              <w:autoSpaceDN w:val="0"/>
              <w:adjustRightInd w:val="0"/>
              <w:jc w:val="center"/>
              <w:rPr>
                <w:rFonts w:ascii="Calibri" w:hAnsi="Calibri"/>
                <w:bCs/>
              </w:rPr>
            </w:pPr>
            <w:r w:rsidRPr="008A6D79">
              <w:rPr>
                <w:rFonts w:ascii="Calibri" w:hAnsi="Calibri"/>
                <w:bCs/>
              </w:rPr>
              <w:t>896</w:t>
            </w:r>
          </w:p>
        </w:tc>
        <w:tc>
          <w:tcPr>
            <w:tcW w:w="2321" w:type="dxa"/>
            <w:shd w:val="clear" w:color="auto" w:fill="auto"/>
          </w:tcPr>
          <w:p w:rsidRPr="008A6D79" w:rsidR="00C871F5" w:rsidP="00C871F5" w:rsidRDefault="008A6D79" w14:paraId="649A2566" w14:textId="7D19F407">
            <w:pPr>
              <w:keepNext/>
              <w:autoSpaceDE w:val="0"/>
              <w:autoSpaceDN w:val="0"/>
              <w:adjustRightInd w:val="0"/>
              <w:jc w:val="center"/>
              <w:rPr>
                <w:rFonts w:asciiTheme="minorHAnsi" w:hAnsiTheme="minorHAnsi" w:cstheme="minorHAnsi"/>
                <w:bCs/>
              </w:rPr>
            </w:pPr>
            <w:r>
              <w:rPr>
                <w:rFonts w:asciiTheme="minorHAnsi" w:hAnsiTheme="minorHAnsi" w:cstheme="minorHAnsi"/>
              </w:rPr>
              <w:t>$</w:t>
            </w:r>
            <w:r w:rsidRPr="008A6D79" w:rsidR="00C871F5">
              <w:rPr>
                <w:rFonts w:asciiTheme="minorHAnsi" w:hAnsiTheme="minorHAnsi" w:cstheme="minorHAnsi"/>
              </w:rPr>
              <w:t>45.07</w:t>
            </w:r>
          </w:p>
        </w:tc>
        <w:tc>
          <w:tcPr>
            <w:tcW w:w="2348" w:type="dxa"/>
            <w:shd w:val="clear" w:color="auto" w:fill="auto"/>
          </w:tcPr>
          <w:p w:rsidRPr="008A6D79" w:rsidR="00C871F5" w:rsidP="00C871F5" w:rsidRDefault="00C871F5" w14:paraId="0899B7F0" w14:textId="7176D93D">
            <w:pPr>
              <w:keepNext/>
              <w:autoSpaceDE w:val="0"/>
              <w:autoSpaceDN w:val="0"/>
              <w:adjustRightInd w:val="0"/>
              <w:jc w:val="center"/>
              <w:rPr>
                <w:rFonts w:ascii="Calibri" w:hAnsi="Calibri"/>
              </w:rPr>
            </w:pPr>
            <w:r w:rsidRPr="008A6D79">
              <w:rPr>
                <w:rFonts w:ascii="Calibri" w:hAnsi="Calibri"/>
              </w:rPr>
              <w:t>$4</w:t>
            </w:r>
            <w:r w:rsidRPr="008A6D79" w:rsidR="00B81309">
              <w:rPr>
                <w:rFonts w:ascii="Calibri" w:hAnsi="Calibri"/>
              </w:rPr>
              <w:t>0</w:t>
            </w:r>
            <w:r w:rsidRPr="008A6D79">
              <w:rPr>
                <w:rFonts w:ascii="Calibri" w:hAnsi="Calibri"/>
              </w:rPr>
              <w:t>,</w:t>
            </w:r>
            <w:r w:rsidRPr="008A6D79" w:rsidR="00B81309">
              <w:rPr>
                <w:rFonts w:ascii="Calibri" w:hAnsi="Calibri"/>
              </w:rPr>
              <w:t>382</w:t>
            </w:r>
            <w:r w:rsidRPr="008A6D79">
              <w:rPr>
                <w:rFonts w:ascii="Calibri" w:hAnsi="Calibri"/>
              </w:rPr>
              <w:t>.</w:t>
            </w:r>
            <w:r w:rsidRPr="008A6D79" w:rsidR="00B81309">
              <w:rPr>
                <w:rFonts w:ascii="Calibri" w:hAnsi="Calibri"/>
              </w:rPr>
              <w:t>7</w:t>
            </w:r>
            <w:r w:rsidRPr="008A6D79">
              <w:rPr>
                <w:rFonts w:ascii="Calibri" w:hAnsi="Calibri"/>
              </w:rPr>
              <w:t>2</w:t>
            </w:r>
          </w:p>
        </w:tc>
      </w:tr>
      <w:tr w:rsidRPr="00C84134" w:rsidR="00C871F5" w:rsidTr="00C871F5" w14:paraId="1E6D3269" w14:textId="77777777">
        <w:tc>
          <w:tcPr>
            <w:tcW w:w="2357" w:type="dxa"/>
            <w:shd w:val="clear" w:color="auto" w:fill="auto"/>
          </w:tcPr>
          <w:p w:rsidRPr="00C84134" w:rsidR="00C871F5" w:rsidP="00C871F5" w:rsidRDefault="00C871F5" w14:paraId="7BC1B215" w14:textId="77777777">
            <w:pPr>
              <w:keepNext/>
              <w:autoSpaceDE w:val="0"/>
              <w:autoSpaceDN w:val="0"/>
              <w:adjustRightInd w:val="0"/>
              <w:rPr>
                <w:rFonts w:ascii="Calibri" w:hAnsi="Calibri"/>
              </w:rPr>
            </w:pPr>
            <w:r w:rsidRPr="00637B6C">
              <w:rPr>
                <w:rFonts w:ascii="Calibri" w:hAnsi="Calibri"/>
              </w:rPr>
              <w:t>Data</w:t>
            </w:r>
            <w:r>
              <w:rPr>
                <w:rFonts w:ascii="Calibri" w:hAnsi="Calibri"/>
              </w:rPr>
              <w:t xml:space="preserve"> manager at non-STD clinic health centers</w:t>
            </w:r>
          </w:p>
        </w:tc>
        <w:tc>
          <w:tcPr>
            <w:tcW w:w="2324" w:type="dxa"/>
            <w:shd w:val="clear" w:color="auto" w:fill="auto"/>
          </w:tcPr>
          <w:p w:rsidRPr="008A6D79" w:rsidR="00C871F5" w:rsidP="00C871F5" w:rsidRDefault="00C871F5" w14:paraId="50D9B89A" w14:textId="7773518F">
            <w:pPr>
              <w:tabs>
                <w:tab w:val="left" w:pos="-1440"/>
                <w:tab w:val="left" w:pos="-720"/>
              </w:tabs>
              <w:autoSpaceDE w:val="0"/>
              <w:autoSpaceDN w:val="0"/>
              <w:adjustRightInd w:val="0"/>
              <w:jc w:val="center"/>
              <w:rPr>
                <w:rFonts w:ascii="Calibri" w:hAnsi="Calibri"/>
                <w:bCs/>
              </w:rPr>
            </w:pPr>
            <w:r w:rsidRPr="008A6D79">
              <w:rPr>
                <w:rFonts w:ascii="Calibri" w:hAnsi="Calibri"/>
                <w:bCs/>
              </w:rPr>
              <w:t>468</w:t>
            </w:r>
          </w:p>
          <w:p w:rsidRPr="008A6D79" w:rsidR="00C871F5" w:rsidP="00C871F5" w:rsidRDefault="00C871F5" w14:paraId="4B8BD837" w14:textId="77777777">
            <w:pPr>
              <w:tabs>
                <w:tab w:val="left" w:pos="-1440"/>
                <w:tab w:val="left" w:pos="-720"/>
              </w:tabs>
              <w:autoSpaceDE w:val="0"/>
              <w:autoSpaceDN w:val="0"/>
              <w:adjustRightInd w:val="0"/>
              <w:jc w:val="center"/>
              <w:rPr>
                <w:rFonts w:ascii="Calibri" w:hAnsi="Calibri"/>
                <w:bCs/>
              </w:rPr>
            </w:pPr>
          </w:p>
        </w:tc>
        <w:tc>
          <w:tcPr>
            <w:tcW w:w="2321" w:type="dxa"/>
            <w:shd w:val="clear" w:color="auto" w:fill="auto"/>
          </w:tcPr>
          <w:p w:rsidRPr="008A6D79" w:rsidR="00C871F5" w:rsidP="00C871F5" w:rsidRDefault="008A6D79" w14:paraId="4EF2A1E0" w14:textId="6F31AE0C">
            <w:pPr>
              <w:keepNext/>
              <w:autoSpaceDE w:val="0"/>
              <w:autoSpaceDN w:val="0"/>
              <w:adjustRightInd w:val="0"/>
              <w:jc w:val="center"/>
              <w:rPr>
                <w:rFonts w:asciiTheme="minorHAnsi" w:hAnsiTheme="minorHAnsi" w:cstheme="minorHAnsi"/>
              </w:rPr>
            </w:pPr>
            <w:r>
              <w:rPr>
                <w:rFonts w:asciiTheme="minorHAnsi" w:hAnsiTheme="minorHAnsi" w:cstheme="minorHAnsi"/>
              </w:rPr>
              <w:t>$</w:t>
            </w:r>
            <w:r w:rsidRPr="008A6D79" w:rsidR="00C871F5">
              <w:rPr>
                <w:rFonts w:asciiTheme="minorHAnsi" w:hAnsiTheme="minorHAnsi" w:cstheme="minorHAnsi"/>
              </w:rPr>
              <w:t>45.07</w:t>
            </w:r>
          </w:p>
        </w:tc>
        <w:tc>
          <w:tcPr>
            <w:tcW w:w="2348" w:type="dxa"/>
            <w:shd w:val="clear" w:color="auto" w:fill="auto"/>
          </w:tcPr>
          <w:p w:rsidRPr="008A6D79" w:rsidR="00C871F5" w:rsidP="00C871F5" w:rsidRDefault="00B81309" w14:paraId="4D38FDCB" w14:textId="5FEF082E">
            <w:pPr>
              <w:keepNext/>
              <w:autoSpaceDE w:val="0"/>
              <w:autoSpaceDN w:val="0"/>
              <w:adjustRightInd w:val="0"/>
              <w:jc w:val="center"/>
              <w:rPr>
                <w:rFonts w:ascii="Calibri" w:hAnsi="Calibri"/>
              </w:rPr>
            </w:pPr>
            <w:r w:rsidRPr="008A6D79">
              <w:rPr>
                <w:rFonts w:ascii="Calibri" w:hAnsi="Calibri"/>
              </w:rPr>
              <w:t>$21</w:t>
            </w:r>
            <w:r w:rsidRPr="008A6D79" w:rsidR="00C871F5">
              <w:rPr>
                <w:rFonts w:ascii="Calibri" w:hAnsi="Calibri"/>
              </w:rPr>
              <w:t>,</w:t>
            </w:r>
            <w:r w:rsidRPr="008A6D79">
              <w:rPr>
                <w:rFonts w:ascii="Calibri" w:hAnsi="Calibri"/>
              </w:rPr>
              <w:t>092</w:t>
            </w:r>
            <w:r w:rsidRPr="008A6D79" w:rsidR="00C871F5">
              <w:rPr>
                <w:rFonts w:ascii="Calibri" w:hAnsi="Calibri"/>
              </w:rPr>
              <w:t>.</w:t>
            </w:r>
            <w:r w:rsidRPr="008A6D79">
              <w:rPr>
                <w:rFonts w:ascii="Calibri" w:hAnsi="Calibri"/>
              </w:rPr>
              <w:t>7</w:t>
            </w:r>
            <w:r w:rsidRPr="008A6D79" w:rsidR="00C871F5">
              <w:rPr>
                <w:rFonts w:ascii="Calibri" w:hAnsi="Calibri"/>
              </w:rPr>
              <w:t>6</w:t>
            </w:r>
          </w:p>
        </w:tc>
      </w:tr>
      <w:tr w:rsidRPr="00C84134" w:rsidR="00A02FFD" w:rsidTr="00C871F5" w14:paraId="62FC71F8" w14:textId="77777777">
        <w:tc>
          <w:tcPr>
            <w:tcW w:w="2357" w:type="dxa"/>
            <w:shd w:val="clear" w:color="auto" w:fill="auto"/>
          </w:tcPr>
          <w:p w:rsidRPr="00C84134" w:rsidR="00A02FFD" w:rsidP="00A02FFD" w:rsidRDefault="00A02FFD" w14:paraId="5E339B91" w14:textId="77777777">
            <w:pPr>
              <w:keepNext/>
              <w:autoSpaceDE w:val="0"/>
              <w:autoSpaceDN w:val="0"/>
              <w:adjustRightInd w:val="0"/>
              <w:rPr>
                <w:rFonts w:ascii="Calibri" w:hAnsi="Calibri"/>
              </w:rPr>
            </w:pPr>
            <w:r w:rsidRPr="00637B6C">
              <w:rPr>
                <w:rFonts w:ascii="Calibri" w:hAnsi="Calibri"/>
                <w:bCs/>
              </w:rPr>
              <w:t xml:space="preserve">Public Health </w:t>
            </w:r>
            <w:r>
              <w:rPr>
                <w:rFonts w:ascii="Calibri" w:hAnsi="Calibri"/>
                <w:bCs/>
              </w:rPr>
              <w:t xml:space="preserve">Laboratory </w:t>
            </w:r>
            <w:r w:rsidRPr="00637B6C">
              <w:rPr>
                <w:rFonts w:ascii="Calibri" w:hAnsi="Calibri"/>
                <w:bCs/>
              </w:rPr>
              <w:t>Microbiologist</w:t>
            </w:r>
          </w:p>
        </w:tc>
        <w:tc>
          <w:tcPr>
            <w:tcW w:w="2324" w:type="dxa"/>
            <w:shd w:val="clear" w:color="auto" w:fill="auto"/>
          </w:tcPr>
          <w:p w:rsidRPr="008A6D79" w:rsidR="00A02FFD" w:rsidP="00A02FFD" w:rsidRDefault="00413798" w14:paraId="7CE3F711" w14:textId="2578A57B">
            <w:pPr>
              <w:tabs>
                <w:tab w:val="left" w:pos="-1440"/>
                <w:tab w:val="left" w:pos="-720"/>
              </w:tabs>
              <w:autoSpaceDE w:val="0"/>
              <w:autoSpaceDN w:val="0"/>
              <w:adjustRightInd w:val="0"/>
              <w:jc w:val="center"/>
              <w:rPr>
                <w:rFonts w:ascii="Calibri" w:hAnsi="Calibri"/>
                <w:bCs/>
              </w:rPr>
            </w:pPr>
            <w:r w:rsidRPr="008A6D79">
              <w:rPr>
                <w:rFonts w:ascii="Calibri" w:hAnsi="Calibri"/>
                <w:bCs/>
              </w:rPr>
              <w:t>933</w:t>
            </w:r>
          </w:p>
        </w:tc>
        <w:tc>
          <w:tcPr>
            <w:tcW w:w="2321" w:type="dxa"/>
            <w:shd w:val="clear" w:color="auto" w:fill="auto"/>
          </w:tcPr>
          <w:p w:rsidRPr="008A6D79" w:rsidR="00A02FFD" w:rsidP="00A02FFD" w:rsidRDefault="00A02FFD" w14:paraId="508A4EDF" w14:textId="2E3ACF15">
            <w:pPr>
              <w:keepNext/>
              <w:autoSpaceDE w:val="0"/>
              <w:autoSpaceDN w:val="0"/>
              <w:adjustRightInd w:val="0"/>
              <w:jc w:val="center"/>
              <w:rPr>
                <w:rFonts w:ascii="Calibri" w:hAnsi="Calibri"/>
                <w:bCs/>
              </w:rPr>
            </w:pPr>
            <w:r w:rsidRPr="008A6D79">
              <w:rPr>
                <w:rFonts w:ascii="Calibri" w:hAnsi="Calibri"/>
                <w:bCs/>
              </w:rPr>
              <w:t>$36</w:t>
            </w:r>
            <w:r w:rsidRPr="008A6D79" w:rsidR="00C871F5">
              <w:rPr>
                <w:rFonts w:ascii="Calibri" w:hAnsi="Calibri"/>
                <w:bCs/>
              </w:rPr>
              <w:t>.37</w:t>
            </w:r>
          </w:p>
        </w:tc>
        <w:tc>
          <w:tcPr>
            <w:tcW w:w="2348" w:type="dxa"/>
            <w:shd w:val="clear" w:color="auto" w:fill="auto"/>
          </w:tcPr>
          <w:p w:rsidRPr="008A6D79" w:rsidR="00A02FFD" w:rsidP="00A02FFD" w:rsidRDefault="00F5050A" w14:paraId="6500990D" w14:textId="5358AB7F">
            <w:pPr>
              <w:keepNext/>
              <w:autoSpaceDE w:val="0"/>
              <w:autoSpaceDN w:val="0"/>
              <w:adjustRightInd w:val="0"/>
              <w:jc w:val="center"/>
              <w:rPr>
                <w:rFonts w:ascii="Calibri" w:hAnsi="Calibri"/>
              </w:rPr>
            </w:pPr>
            <w:r w:rsidRPr="008A6D79">
              <w:rPr>
                <w:rFonts w:ascii="Calibri" w:hAnsi="Calibri"/>
              </w:rPr>
              <w:t>$</w:t>
            </w:r>
            <w:r w:rsidRPr="008A6D79" w:rsidR="00A02FFD">
              <w:rPr>
                <w:rFonts w:ascii="Calibri" w:hAnsi="Calibri"/>
              </w:rPr>
              <w:t>3</w:t>
            </w:r>
            <w:r w:rsidRPr="008A6D79" w:rsidR="00B81309">
              <w:rPr>
                <w:rFonts w:ascii="Calibri" w:hAnsi="Calibri"/>
              </w:rPr>
              <w:t>3</w:t>
            </w:r>
            <w:r w:rsidRPr="008A6D79" w:rsidR="00A02FFD">
              <w:rPr>
                <w:rFonts w:ascii="Calibri" w:hAnsi="Calibri"/>
              </w:rPr>
              <w:t>,</w:t>
            </w:r>
            <w:r w:rsidRPr="008A6D79" w:rsidR="001B32D7">
              <w:rPr>
                <w:rFonts w:ascii="Calibri" w:hAnsi="Calibri"/>
              </w:rPr>
              <w:t>9</w:t>
            </w:r>
            <w:r w:rsidRPr="008A6D79" w:rsidR="00B81309">
              <w:rPr>
                <w:rFonts w:ascii="Calibri" w:hAnsi="Calibri"/>
              </w:rPr>
              <w:t>33</w:t>
            </w:r>
            <w:r w:rsidRPr="008A6D79" w:rsidR="00A02FFD">
              <w:rPr>
                <w:rFonts w:ascii="Calibri" w:hAnsi="Calibri"/>
              </w:rPr>
              <w:t>.</w:t>
            </w:r>
            <w:r w:rsidRPr="008A6D79" w:rsidR="00B81309">
              <w:rPr>
                <w:rFonts w:ascii="Calibri" w:hAnsi="Calibri"/>
              </w:rPr>
              <w:t>21</w:t>
            </w:r>
          </w:p>
        </w:tc>
      </w:tr>
      <w:tr w:rsidRPr="00C84134" w:rsidR="00A02FFD" w:rsidTr="00C871F5" w14:paraId="280343FB" w14:textId="77777777">
        <w:tc>
          <w:tcPr>
            <w:tcW w:w="2357" w:type="dxa"/>
            <w:shd w:val="clear" w:color="auto" w:fill="auto"/>
          </w:tcPr>
          <w:p w:rsidRPr="00C84134" w:rsidR="00A02FFD" w:rsidP="00A02FFD" w:rsidRDefault="00A02FFD" w14:paraId="09AD26AA" w14:textId="77777777">
            <w:pPr>
              <w:tabs>
                <w:tab w:val="left" w:pos="-1440"/>
                <w:tab w:val="left" w:pos="-720"/>
              </w:tabs>
              <w:autoSpaceDE w:val="0"/>
              <w:autoSpaceDN w:val="0"/>
              <w:adjustRightInd w:val="0"/>
              <w:rPr>
                <w:rFonts w:ascii="Calibri" w:hAnsi="Calibri"/>
                <w:bCs/>
              </w:rPr>
            </w:pPr>
            <w:r w:rsidRPr="00637B6C">
              <w:rPr>
                <w:rFonts w:ascii="Calibri" w:hAnsi="Calibri"/>
                <w:bCs/>
              </w:rPr>
              <w:t xml:space="preserve">Public Health Laboratory Data </w:t>
            </w:r>
            <w:r>
              <w:rPr>
                <w:rFonts w:ascii="Calibri" w:hAnsi="Calibri"/>
                <w:bCs/>
              </w:rPr>
              <w:t>Manager</w:t>
            </w:r>
          </w:p>
        </w:tc>
        <w:tc>
          <w:tcPr>
            <w:tcW w:w="2324" w:type="dxa"/>
            <w:shd w:val="clear" w:color="auto" w:fill="auto"/>
          </w:tcPr>
          <w:p w:rsidRPr="008A6D79" w:rsidR="00A02FFD" w:rsidP="00A02FFD" w:rsidRDefault="00413798" w14:paraId="52B10CFE" w14:textId="0BB81390">
            <w:pPr>
              <w:tabs>
                <w:tab w:val="left" w:pos="-1440"/>
                <w:tab w:val="left" w:pos="-720"/>
              </w:tabs>
              <w:autoSpaceDE w:val="0"/>
              <w:autoSpaceDN w:val="0"/>
              <w:adjustRightInd w:val="0"/>
              <w:jc w:val="center"/>
              <w:rPr>
                <w:rFonts w:ascii="Calibri" w:hAnsi="Calibri"/>
                <w:bCs/>
              </w:rPr>
            </w:pPr>
            <w:r w:rsidRPr="008A6D79">
              <w:rPr>
                <w:rFonts w:ascii="Calibri" w:hAnsi="Calibri"/>
                <w:bCs/>
              </w:rPr>
              <w:t>48</w:t>
            </w:r>
          </w:p>
        </w:tc>
        <w:tc>
          <w:tcPr>
            <w:tcW w:w="2321" w:type="dxa"/>
            <w:shd w:val="clear" w:color="auto" w:fill="auto"/>
          </w:tcPr>
          <w:p w:rsidRPr="008A6D79" w:rsidR="00A02FFD" w:rsidP="00A02FFD" w:rsidRDefault="00A02FFD" w14:paraId="6D4C3FD1" w14:textId="2FD3286C">
            <w:pPr>
              <w:keepNext/>
              <w:autoSpaceDE w:val="0"/>
              <w:autoSpaceDN w:val="0"/>
              <w:adjustRightInd w:val="0"/>
              <w:jc w:val="center"/>
              <w:rPr>
                <w:rFonts w:ascii="Calibri" w:hAnsi="Calibri"/>
                <w:bCs/>
              </w:rPr>
            </w:pPr>
            <w:r w:rsidRPr="008A6D79">
              <w:rPr>
                <w:rFonts w:ascii="Calibri" w:hAnsi="Calibri"/>
                <w:bCs/>
              </w:rPr>
              <w:t>$4</w:t>
            </w:r>
            <w:r w:rsidRPr="008A6D79" w:rsidR="00C871F5">
              <w:rPr>
                <w:rFonts w:ascii="Calibri" w:hAnsi="Calibri"/>
                <w:bCs/>
              </w:rPr>
              <w:t>5.07</w:t>
            </w:r>
          </w:p>
        </w:tc>
        <w:tc>
          <w:tcPr>
            <w:tcW w:w="2348" w:type="dxa"/>
            <w:shd w:val="clear" w:color="auto" w:fill="auto"/>
          </w:tcPr>
          <w:p w:rsidRPr="008A6D79" w:rsidR="00A02FFD" w:rsidP="00A02FFD" w:rsidRDefault="00F5050A" w14:paraId="21392313" w14:textId="098442C6">
            <w:pPr>
              <w:keepNext/>
              <w:autoSpaceDE w:val="0"/>
              <w:autoSpaceDN w:val="0"/>
              <w:adjustRightInd w:val="0"/>
              <w:jc w:val="center"/>
              <w:rPr>
                <w:rFonts w:ascii="Calibri" w:hAnsi="Calibri"/>
              </w:rPr>
            </w:pPr>
            <w:r w:rsidRPr="008A6D79">
              <w:rPr>
                <w:rFonts w:ascii="Calibri" w:hAnsi="Calibri"/>
              </w:rPr>
              <w:t>$</w:t>
            </w:r>
            <w:r w:rsidRPr="008A6D79" w:rsidR="00A02FFD">
              <w:rPr>
                <w:rFonts w:ascii="Calibri" w:hAnsi="Calibri"/>
              </w:rPr>
              <w:t>2,</w:t>
            </w:r>
            <w:r w:rsidRPr="008A6D79" w:rsidR="008A6D79">
              <w:rPr>
                <w:rFonts w:ascii="Calibri" w:hAnsi="Calibri"/>
              </w:rPr>
              <w:t>163</w:t>
            </w:r>
            <w:r w:rsidRPr="008A6D79" w:rsidR="00A02FFD">
              <w:rPr>
                <w:rFonts w:ascii="Calibri" w:hAnsi="Calibri"/>
              </w:rPr>
              <w:t>.</w:t>
            </w:r>
            <w:r w:rsidRPr="008A6D79" w:rsidR="008A6D79">
              <w:rPr>
                <w:rFonts w:ascii="Calibri" w:hAnsi="Calibri"/>
              </w:rPr>
              <w:t>3</w:t>
            </w:r>
            <w:r w:rsidRPr="008A6D79" w:rsidR="00A02FFD">
              <w:rPr>
                <w:rFonts w:ascii="Calibri" w:hAnsi="Calibri"/>
              </w:rPr>
              <w:t>6</w:t>
            </w:r>
          </w:p>
        </w:tc>
      </w:tr>
      <w:tr w:rsidRPr="00C84134" w:rsidR="00A02FFD" w:rsidTr="00C871F5" w14:paraId="7DFCA90E" w14:textId="77777777">
        <w:tc>
          <w:tcPr>
            <w:tcW w:w="2357" w:type="dxa"/>
            <w:shd w:val="clear" w:color="auto" w:fill="auto"/>
          </w:tcPr>
          <w:p w:rsidRPr="00C84134" w:rsidR="00A02FFD" w:rsidP="00A02FFD" w:rsidRDefault="00A02FFD" w14:paraId="2053B0E1" w14:textId="6069049F">
            <w:pPr>
              <w:tabs>
                <w:tab w:val="left" w:pos="-1440"/>
                <w:tab w:val="left" w:pos="-720"/>
              </w:tabs>
              <w:autoSpaceDE w:val="0"/>
              <w:autoSpaceDN w:val="0"/>
              <w:adjustRightInd w:val="0"/>
              <w:rPr>
                <w:rFonts w:ascii="Calibri" w:hAnsi="Calibri"/>
                <w:bCs/>
              </w:rPr>
            </w:pPr>
            <w:r w:rsidRPr="00637B6C">
              <w:rPr>
                <w:rFonts w:ascii="Calibri" w:hAnsi="Calibri"/>
                <w:bCs/>
              </w:rPr>
              <w:t xml:space="preserve">Gonorrhea Patients and Sexual </w:t>
            </w:r>
            <w:r w:rsidR="00BF0357">
              <w:rPr>
                <w:rFonts w:ascii="Calibri" w:hAnsi="Calibri"/>
                <w:bCs/>
              </w:rPr>
              <w:t>Partners</w:t>
            </w:r>
          </w:p>
        </w:tc>
        <w:tc>
          <w:tcPr>
            <w:tcW w:w="2324" w:type="dxa"/>
            <w:shd w:val="clear" w:color="auto" w:fill="auto"/>
          </w:tcPr>
          <w:p w:rsidRPr="008A6D79" w:rsidR="00A02FFD" w:rsidP="00A02FFD" w:rsidRDefault="00CC0896" w14:paraId="45B56029" w14:textId="32025450">
            <w:pPr>
              <w:tabs>
                <w:tab w:val="left" w:pos="-1440"/>
                <w:tab w:val="left" w:pos="-720"/>
              </w:tabs>
              <w:autoSpaceDE w:val="0"/>
              <w:autoSpaceDN w:val="0"/>
              <w:adjustRightInd w:val="0"/>
              <w:jc w:val="center"/>
              <w:rPr>
                <w:rFonts w:ascii="Calibri" w:hAnsi="Calibri"/>
                <w:bCs/>
              </w:rPr>
            </w:pPr>
            <w:r w:rsidRPr="000E5C50">
              <w:rPr>
                <w:rFonts w:ascii="Calibri" w:hAnsi="Calibri"/>
                <w:bCs/>
              </w:rPr>
              <w:t>320</w:t>
            </w:r>
          </w:p>
        </w:tc>
        <w:tc>
          <w:tcPr>
            <w:tcW w:w="2321" w:type="dxa"/>
            <w:shd w:val="clear" w:color="auto" w:fill="auto"/>
          </w:tcPr>
          <w:p w:rsidRPr="008A6D79" w:rsidR="00A02FFD" w:rsidP="00A02FFD" w:rsidRDefault="00A02FFD" w14:paraId="5A36D61E" w14:textId="1E694540">
            <w:pPr>
              <w:keepNext/>
              <w:autoSpaceDE w:val="0"/>
              <w:autoSpaceDN w:val="0"/>
              <w:adjustRightInd w:val="0"/>
              <w:jc w:val="center"/>
              <w:rPr>
                <w:rFonts w:ascii="Calibri" w:hAnsi="Calibri"/>
              </w:rPr>
            </w:pPr>
            <w:r w:rsidRPr="008A6D79">
              <w:rPr>
                <w:rFonts w:ascii="Calibri" w:hAnsi="Calibri"/>
                <w:bCs/>
              </w:rPr>
              <w:t>$2</w:t>
            </w:r>
            <w:r w:rsidRPr="008A6D79" w:rsidR="00C871F5">
              <w:rPr>
                <w:rFonts w:ascii="Calibri" w:hAnsi="Calibri"/>
                <w:bCs/>
              </w:rPr>
              <w:t>5</w:t>
            </w:r>
            <w:r w:rsidRPr="008A6D79">
              <w:rPr>
                <w:rFonts w:ascii="Calibri" w:hAnsi="Calibri"/>
                <w:bCs/>
              </w:rPr>
              <w:t>.</w:t>
            </w:r>
            <w:r w:rsidRPr="008A6D79" w:rsidR="00C871F5">
              <w:rPr>
                <w:rFonts w:ascii="Calibri" w:hAnsi="Calibri"/>
                <w:bCs/>
              </w:rPr>
              <w:t>72</w:t>
            </w:r>
          </w:p>
        </w:tc>
        <w:tc>
          <w:tcPr>
            <w:tcW w:w="2348" w:type="dxa"/>
            <w:shd w:val="clear" w:color="auto" w:fill="auto"/>
          </w:tcPr>
          <w:p w:rsidRPr="008A6D79" w:rsidR="00A02FFD" w:rsidP="00A02FFD" w:rsidRDefault="00A02FFD" w14:paraId="04C112D8" w14:textId="479266F7">
            <w:pPr>
              <w:keepNext/>
              <w:autoSpaceDE w:val="0"/>
              <w:autoSpaceDN w:val="0"/>
              <w:adjustRightInd w:val="0"/>
              <w:jc w:val="center"/>
              <w:rPr>
                <w:rFonts w:ascii="Calibri" w:hAnsi="Calibri"/>
              </w:rPr>
            </w:pPr>
            <w:r w:rsidRPr="008A6D79">
              <w:rPr>
                <w:rFonts w:ascii="Calibri" w:hAnsi="Calibri"/>
              </w:rPr>
              <w:t>$</w:t>
            </w:r>
            <w:r w:rsidR="000D5404">
              <w:rPr>
                <w:rFonts w:ascii="Calibri" w:hAnsi="Calibri"/>
              </w:rPr>
              <w:t>8</w:t>
            </w:r>
            <w:r w:rsidRPr="008A6D79">
              <w:rPr>
                <w:rFonts w:ascii="Calibri" w:hAnsi="Calibri"/>
              </w:rPr>
              <w:t>,</w:t>
            </w:r>
            <w:r w:rsidR="000D5404">
              <w:rPr>
                <w:rFonts w:ascii="Calibri" w:hAnsi="Calibri"/>
              </w:rPr>
              <w:t>230.4</w:t>
            </w:r>
            <w:r w:rsidRPr="008A6D79">
              <w:rPr>
                <w:rFonts w:ascii="Calibri" w:hAnsi="Calibri"/>
              </w:rPr>
              <w:t>0</w:t>
            </w:r>
          </w:p>
        </w:tc>
      </w:tr>
      <w:tr w:rsidRPr="00C84134" w:rsidR="00A02FFD" w:rsidTr="00C871F5" w14:paraId="746E18DF" w14:textId="77777777">
        <w:tc>
          <w:tcPr>
            <w:tcW w:w="2357" w:type="dxa"/>
            <w:shd w:val="clear" w:color="auto" w:fill="auto"/>
          </w:tcPr>
          <w:p w:rsidRPr="00C84134" w:rsidR="00A02FFD" w:rsidP="00A02FFD" w:rsidRDefault="00A02FFD" w14:paraId="60EE6DF4" w14:textId="77777777">
            <w:pPr>
              <w:keepNext/>
              <w:autoSpaceDE w:val="0"/>
              <w:autoSpaceDN w:val="0"/>
              <w:adjustRightInd w:val="0"/>
              <w:rPr>
                <w:rFonts w:ascii="Calibri" w:hAnsi="Calibri"/>
                <w:b/>
              </w:rPr>
            </w:pPr>
            <w:r w:rsidRPr="00C84134">
              <w:rPr>
                <w:rFonts w:ascii="Calibri" w:hAnsi="Calibri"/>
                <w:b/>
              </w:rPr>
              <w:t>Total</w:t>
            </w:r>
          </w:p>
        </w:tc>
        <w:tc>
          <w:tcPr>
            <w:tcW w:w="2324" w:type="dxa"/>
            <w:shd w:val="clear" w:color="auto" w:fill="auto"/>
          </w:tcPr>
          <w:p w:rsidRPr="008A6D79" w:rsidR="00A02FFD" w:rsidP="00A02FFD" w:rsidRDefault="008A6D79" w14:paraId="35FD0AD3" w14:textId="4FB4B282">
            <w:pPr>
              <w:keepNext/>
              <w:autoSpaceDE w:val="0"/>
              <w:autoSpaceDN w:val="0"/>
              <w:adjustRightInd w:val="0"/>
              <w:jc w:val="center"/>
              <w:rPr>
                <w:rFonts w:ascii="Calibri" w:hAnsi="Calibri"/>
                <w:b/>
              </w:rPr>
            </w:pPr>
            <w:r>
              <w:rPr>
                <w:rFonts w:ascii="Calibri" w:hAnsi="Calibri"/>
                <w:b/>
              </w:rPr>
              <w:t>2,</w:t>
            </w:r>
            <w:r w:rsidR="00D46769">
              <w:rPr>
                <w:rFonts w:ascii="Calibri" w:hAnsi="Calibri"/>
                <w:b/>
              </w:rPr>
              <w:t>665</w:t>
            </w:r>
          </w:p>
        </w:tc>
        <w:tc>
          <w:tcPr>
            <w:tcW w:w="2321" w:type="dxa"/>
            <w:shd w:val="clear" w:color="auto" w:fill="auto"/>
          </w:tcPr>
          <w:p w:rsidRPr="008A6D79" w:rsidR="00A02FFD" w:rsidP="00A02FFD" w:rsidRDefault="00A02FFD" w14:paraId="47950AAE" w14:textId="77777777">
            <w:pPr>
              <w:keepNext/>
              <w:autoSpaceDE w:val="0"/>
              <w:autoSpaceDN w:val="0"/>
              <w:adjustRightInd w:val="0"/>
              <w:jc w:val="center"/>
              <w:rPr>
                <w:rFonts w:ascii="Calibri" w:hAnsi="Calibri"/>
                <w:b/>
              </w:rPr>
            </w:pPr>
          </w:p>
        </w:tc>
        <w:tc>
          <w:tcPr>
            <w:tcW w:w="2348" w:type="dxa"/>
            <w:shd w:val="clear" w:color="auto" w:fill="auto"/>
          </w:tcPr>
          <w:p w:rsidRPr="008A6D79" w:rsidR="00A02FFD" w:rsidP="00A02FFD" w:rsidRDefault="001B32D7" w14:paraId="3BC7A0BC" w14:textId="447EEF83">
            <w:pPr>
              <w:keepNext/>
              <w:autoSpaceDE w:val="0"/>
              <w:autoSpaceDN w:val="0"/>
              <w:adjustRightInd w:val="0"/>
              <w:jc w:val="center"/>
              <w:rPr>
                <w:rFonts w:ascii="Calibri" w:hAnsi="Calibri"/>
                <w:b/>
              </w:rPr>
            </w:pPr>
            <w:r w:rsidRPr="008A6D79">
              <w:rPr>
                <w:rFonts w:ascii="Calibri" w:hAnsi="Calibri"/>
                <w:b/>
              </w:rPr>
              <w:t>$</w:t>
            </w:r>
            <w:r w:rsidR="008A6D79">
              <w:rPr>
                <w:rFonts w:ascii="Calibri" w:hAnsi="Calibri"/>
                <w:b/>
              </w:rPr>
              <w:t>10</w:t>
            </w:r>
            <w:r w:rsidR="00CC0896">
              <w:rPr>
                <w:rFonts w:ascii="Calibri" w:hAnsi="Calibri"/>
                <w:b/>
              </w:rPr>
              <w:t>5</w:t>
            </w:r>
            <w:r w:rsidR="008A6D79">
              <w:rPr>
                <w:rFonts w:ascii="Calibri" w:hAnsi="Calibri"/>
                <w:b/>
              </w:rPr>
              <w:t>,</w:t>
            </w:r>
            <w:r w:rsidR="00CC0896">
              <w:rPr>
                <w:rFonts w:ascii="Calibri" w:hAnsi="Calibri"/>
                <w:b/>
              </w:rPr>
              <w:t>802</w:t>
            </w:r>
            <w:r w:rsidR="008A6D79">
              <w:rPr>
                <w:rFonts w:ascii="Calibri" w:hAnsi="Calibri"/>
                <w:b/>
              </w:rPr>
              <w:t>.</w:t>
            </w:r>
            <w:r w:rsidR="00CC0896">
              <w:rPr>
                <w:rFonts w:ascii="Calibri" w:hAnsi="Calibri"/>
                <w:b/>
              </w:rPr>
              <w:t>4</w:t>
            </w:r>
            <w:r w:rsidR="008A6D79">
              <w:rPr>
                <w:rFonts w:ascii="Calibri" w:hAnsi="Calibri"/>
                <w:b/>
              </w:rPr>
              <w:t>5</w:t>
            </w:r>
          </w:p>
        </w:tc>
      </w:tr>
    </w:tbl>
    <w:p w:rsidR="009C47EE" w:rsidP="000F4732" w:rsidRDefault="007A3141" w14:paraId="3EBD1547" w14:textId="77777777">
      <w:pPr>
        <w:spacing w:before="120" w:line="480" w:lineRule="auto"/>
        <w:rPr>
          <w:rFonts w:ascii="Calibri" w:hAnsi="Calibri" w:cs="Courier New"/>
          <w:b/>
        </w:rPr>
      </w:pPr>
      <w:r>
        <w:rPr>
          <w:rFonts w:ascii="Calibri" w:hAnsi="Calibri" w:cs="Courier New"/>
          <w:b/>
        </w:rPr>
        <w:br/>
      </w:r>
    </w:p>
    <w:p w:rsidRPr="000F4732" w:rsidR="00E81E5D" w:rsidP="000F4732" w:rsidRDefault="00E81E5D" w14:paraId="76E61EC7" w14:textId="77777777">
      <w:pPr>
        <w:spacing w:before="120" w:line="480" w:lineRule="auto"/>
        <w:rPr>
          <w:rFonts w:ascii="Calibri" w:hAnsi="Calibri" w:cs="Courier New"/>
        </w:rPr>
      </w:pPr>
      <w:r w:rsidRPr="00C84134">
        <w:rPr>
          <w:rFonts w:ascii="Calibri" w:hAnsi="Calibri" w:cs="Courier New"/>
          <w:b/>
        </w:rPr>
        <w:t>13. Estimates of Other Total Annual Cost Burden to Respondents or Record Keepers</w:t>
      </w:r>
    </w:p>
    <w:p w:rsidRPr="00C84134" w:rsidR="00E81E5D" w:rsidRDefault="00E81E5D" w14:paraId="7537BE43" w14:textId="77777777">
      <w:pPr>
        <w:spacing w:before="120"/>
        <w:rPr>
          <w:rFonts w:ascii="Calibri" w:hAnsi="Calibri" w:cs="Courier New"/>
        </w:rPr>
      </w:pPr>
      <w:r w:rsidRPr="00C84134">
        <w:rPr>
          <w:rFonts w:ascii="Calibri" w:hAnsi="Calibri" w:cs="Courier New"/>
        </w:rPr>
        <w:t>There will be no direct costs to the respondents other than their time to participate in each information collection.</w:t>
      </w:r>
    </w:p>
    <w:p w:rsidRPr="00C84134" w:rsidR="00E81E5D" w:rsidRDefault="00E81E5D" w14:paraId="768B07D9" w14:textId="77777777">
      <w:pPr>
        <w:spacing w:before="120"/>
        <w:rPr>
          <w:rFonts w:ascii="Calibri" w:hAnsi="Calibri" w:cs="Courier New"/>
        </w:rPr>
      </w:pPr>
    </w:p>
    <w:p w:rsidR="00E81E5D" w:rsidRDefault="00E81E5D" w14:paraId="4EB9053E" w14:textId="77777777">
      <w:pPr>
        <w:spacing w:after="120" w:line="480" w:lineRule="auto"/>
        <w:rPr>
          <w:rFonts w:ascii="Calibri" w:hAnsi="Calibri" w:cs="Courier New"/>
          <w:b/>
        </w:rPr>
      </w:pPr>
      <w:r w:rsidRPr="00C84134">
        <w:rPr>
          <w:rFonts w:ascii="Calibri" w:hAnsi="Calibri" w:cs="Courier New"/>
          <w:b/>
        </w:rPr>
        <w:t>14. Annualized Cost to the Federal Government</w:t>
      </w:r>
    </w:p>
    <w:p w:rsidRPr="00C21CD1" w:rsidR="00C21CD1" w:rsidP="00C21CD1" w:rsidRDefault="00C21CD1" w14:paraId="2B0B0DA4" w14:textId="2468EA7B">
      <w:pPr>
        <w:spacing w:before="120"/>
        <w:rPr>
          <w:rFonts w:ascii="Calibri" w:hAnsi="Calibri" w:cs="Courier New"/>
        </w:rPr>
      </w:pPr>
      <w:r w:rsidRPr="00C84134">
        <w:rPr>
          <w:rFonts w:ascii="Calibri" w:hAnsi="Calibri" w:cs="Courier New"/>
        </w:rPr>
        <w:t xml:space="preserve">The total </w:t>
      </w:r>
      <w:r w:rsidRPr="0027552C">
        <w:rPr>
          <w:rFonts w:ascii="Calibri" w:hAnsi="Calibri" w:cs="Courier New"/>
        </w:rPr>
        <w:t>annuali</w:t>
      </w:r>
      <w:r w:rsidRPr="0027552C" w:rsidR="002A5404">
        <w:rPr>
          <w:rFonts w:ascii="Calibri" w:hAnsi="Calibri" w:cs="Courier New"/>
        </w:rPr>
        <w:t xml:space="preserve">zed cost to the </w:t>
      </w:r>
      <w:r w:rsidRPr="00563553" w:rsidR="002A5404">
        <w:rPr>
          <w:rFonts w:ascii="Calibri" w:hAnsi="Calibri" w:cs="Courier New"/>
        </w:rPr>
        <w:t>government is $</w:t>
      </w:r>
      <w:r w:rsidRPr="00563553" w:rsidR="001366A0">
        <w:rPr>
          <w:rFonts w:ascii="Calibri" w:hAnsi="Calibri"/>
        </w:rPr>
        <w:t>5,</w:t>
      </w:r>
      <w:r w:rsidRPr="00563553" w:rsidR="00563553">
        <w:rPr>
          <w:rFonts w:ascii="Calibri" w:hAnsi="Calibri"/>
        </w:rPr>
        <w:t>491,383</w:t>
      </w:r>
      <w:r w:rsidRPr="00563553">
        <w:rPr>
          <w:rFonts w:ascii="Calibri" w:hAnsi="Calibri" w:cs="Courier New"/>
        </w:rPr>
        <w:t>. The total</w:t>
      </w:r>
      <w:r w:rsidRPr="000D5404">
        <w:rPr>
          <w:rFonts w:ascii="Calibri" w:hAnsi="Calibri" w:cs="Courier New"/>
        </w:rPr>
        <w:t xml:space="preserve"> cost to the government over the 3-year per</w:t>
      </w:r>
      <w:r w:rsidRPr="000D5404" w:rsidR="002A5404">
        <w:rPr>
          <w:rFonts w:ascii="Calibri" w:hAnsi="Calibri" w:cs="Courier New"/>
        </w:rPr>
        <w:t xml:space="preserve">iod </w:t>
      </w:r>
      <w:r w:rsidRPr="00563553" w:rsidR="002A5404">
        <w:rPr>
          <w:rFonts w:ascii="Calibri" w:hAnsi="Calibri" w:cs="Courier New"/>
        </w:rPr>
        <w:t>is $1</w:t>
      </w:r>
      <w:r w:rsidRPr="00563553" w:rsidR="00563553">
        <w:rPr>
          <w:rFonts w:ascii="Calibri" w:hAnsi="Calibri" w:cs="Courier New"/>
        </w:rPr>
        <w:t>6</w:t>
      </w:r>
      <w:r w:rsidRPr="00563553" w:rsidR="002A5404">
        <w:rPr>
          <w:rFonts w:ascii="Calibri" w:hAnsi="Calibri" w:cs="Courier New"/>
        </w:rPr>
        <w:t>,</w:t>
      </w:r>
      <w:r w:rsidRPr="00563553" w:rsidR="00563553">
        <w:rPr>
          <w:rFonts w:ascii="Calibri" w:hAnsi="Calibri" w:cs="Courier New"/>
        </w:rPr>
        <w:t>474</w:t>
      </w:r>
      <w:r w:rsidRPr="00563553" w:rsidR="002A5404">
        <w:rPr>
          <w:rFonts w:ascii="Calibri" w:hAnsi="Calibri" w:cs="Courier New"/>
        </w:rPr>
        <w:t>,</w:t>
      </w:r>
      <w:r w:rsidRPr="00563553" w:rsidR="00563553">
        <w:rPr>
          <w:rFonts w:ascii="Calibri" w:hAnsi="Calibri" w:cs="Courier New"/>
        </w:rPr>
        <w:t>150</w:t>
      </w:r>
      <w:r w:rsidRPr="00563553">
        <w:rPr>
          <w:rFonts w:ascii="Calibri" w:hAnsi="Calibri" w:cs="Courier New"/>
        </w:rPr>
        <w:t xml:space="preserve">. </w:t>
      </w:r>
      <w:r w:rsidRPr="00563553" w:rsidR="00483309">
        <w:rPr>
          <w:rFonts w:ascii="Calibri" w:hAnsi="Calibri" w:cs="Courier New"/>
        </w:rPr>
        <w:t>Funding to the grantees is being provided through the Epidemiology and Laboratory Capacity for Infectious Diseases Funding Opportunity Announcement</w:t>
      </w:r>
      <w:r w:rsidRPr="00563553" w:rsidR="00101B4C">
        <w:rPr>
          <w:rFonts w:ascii="Calibri" w:hAnsi="Calibri" w:cs="Courier New"/>
        </w:rPr>
        <w:t xml:space="preserve"> </w:t>
      </w:r>
      <w:r w:rsidRPr="00563553" w:rsidR="00101B4C">
        <w:rPr>
          <w:rFonts w:asciiTheme="minorHAnsi" w:hAnsiTheme="minorHAnsi" w:cstheme="minorHAnsi"/>
          <w:bCs/>
          <w:sz w:val="22"/>
          <w:szCs w:val="22"/>
        </w:rPr>
        <w:t>CK19-190403CONT21</w:t>
      </w:r>
      <w:r w:rsidRPr="00563553" w:rsidR="00483309">
        <w:rPr>
          <w:rFonts w:ascii="Calibri" w:hAnsi="Calibri" w:cs="Courier New"/>
        </w:rPr>
        <w:t>.</w:t>
      </w:r>
      <w:r w:rsidRPr="00563553" w:rsidR="000E5C50">
        <w:rPr>
          <w:rFonts w:ascii="Calibri" w:hAnsi="Calibri" w:cs="Courier New"/>
          <w:vertAlign w:val="superscript"/>
        </w:rPr>
        <w:t>6</w:t>
      </w:r>
      <w:r w:rsidRPr="00563553" w:rsidR="00483309">
        <w:rPr>
          <w:rFonts w:ascii="Calibri" w:hAnsi="Calibri" w:cs="Courier New"/>
        </w:rPr>
        <w:t xml:space="preserve"> </w:t>
      </w:r>
      <w:r w:rsidRPr="00563553">
        <w:rPr>
          <w:rFonts w:ascii="Calibri" w:hAnsi="Calibri" w:cs="Courier New"/>
        </w:rPr>
        <w:t>The</w:t>
      </w:r>
      <w:r w:rsidRPr="00C21CD1">
        <w:rPr>
          <w:rFonts w:ascii="Calibri" w:hAnsi="Calibri" w:cs="Courier New"/>
        </w:rPr>
        <w:t xml:space="preserve"> annual cost is summarized in Table A.14.</w:t>
      </w:r>
    </w:p>
    <w:p w:rsidR="00E5703D" w:rsidRDefault="00E81E5D" w14:paraId="6217188E" w14:textId="77777777">
      <w:pPr>
        <w:spacing w:before="120" w:line="480" w:lineRule="auto"/>
        <w:rPr>
          <w:rFonts w:ascii="Calibri" w:hAnsi="Calibri" w:cs="Courier New"/>
          <w:b/>
        </w:rPr>
      </w:pPr>
      <w:r w:rsidRPr="00E5703D">
        <w:rPr>
          <w:rFonts w:ascii="Calibri" w:hAnsi="Calibri" w:cs="Courier New"/>
          <w:b/>
        </w:rPr>
        <w:t xml:space="preserve">Table A.14: Estimated Annualized Costs to the Federal Government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76"/>
        <w:gridCol w:w="5535"/>
        <w:gridCol w:w="2039"/>
      </w:tblGrid>
      <w:tr w:rsidRPr="00A042C9" w:rsidR="00E5703D" w:rsidTr="00B16178" w14:paraId="465415CA" w14:textId="77777777">
        <w:tc>
          <w:tcPr>
            <w:tcW w:w="1776" w:type="dxa"/>
            <w:shd w:val="clear" w:color="auto" w:fill="auto"/>
            <w:vAlign w:val="bottom"/>
          </w:tcPr>
          <w:p w:rsidRPr="00A042C9" w:rsidR="00E5703D" w:rsidP="00A042C9" w:rsidRDefault="00E5703D" w14:paraId="2B15E078" w14:textId="77777777">
            <w:pPr>
              <w:spacing w:before="120"/>
              <w:rPr>
                <w:rFonts w:ascii="Calibri" w:hAnsi="Calibri" w:cs="Courier New"/>
                <w:b/>
              </w:rPr>
            </w:pPr>
            <w:r w:rsidRPr="00A042C9">
              <w:rPr>
                <w:rFonts w:ascii="Calibri" w:hAnsi="Calibri" w:cs="Courier New"/>
                <w:b/>
              </w:rPr>
              <w:t>Expense Type</w:t>
            </w:r>
          </w:p>
        </w:tc>
        <w:tc>
          <w:tcPr>
            <w:tcW w:w="5535" w:type="dxa"/>
            <w:shd w:val="clear" w:color="auto" w:fill="auto"/>
            <w:vAlign w:val="bottom"/>
          </w:tcPr>
          <w:p w:rsidRPr="00A042C9" w:rsidR="00E5703D" w:rsidP="006174A6" w:rsidRDefault="00E5703D" w14:paraId="0151301E" w14:textId="77777777">
            <w:pPr>
              <w:spacing w:before="120"/>
              <w:jc w:val="center"/>
              <w:rPr>
                <w:rFonts w:ascii="Calibri" w:hAnsi="Calibri" w:cs="Courier New"/>
                <w:b/>
              </w:rPr>
            </w:pPr>
            <w:r w:rsidRPr="00A042C9">
              <w:rPr>
                <w:rFonts w:ascii="Calibri" w:hAnsi="Calibri" w:cs="Courier New"/>
                <w:b/>
              </w:rPr>
              <w:t>Expense Explanation</w:t>
            </w:r>
          </w:p>
        </w:tc>
        <w:tc>
          <w:tcPr>
            <w:tcW w:w="2039" w:type="dxa"/>
            <w:shd w:val="clear" w:color="auto" w:fill="auto"/>
            <w:vAlign w:val="bottom"/>
          </w:tcPr>
          <w:p w:rsidRPr="00A042C9" w:rsidR="00E5703D" w:rsidP="006174A6" w:rsidRDefault="00E5703D" w14:paraId="22AF9E2E" w14:textId="77777777">
            <w:pPr>
              <w:spacing w:before="120"/>
              <w:jc w:val="center"/>
              <w:rPr>
                <w:rFonts w:ascii="Calibri" w:hAnsi="Calibri" w:cs="Courier New"/>
                <w:b/>
              </w:rPr>
            </w:pPr>
            <w:r w:rsidRPr="00A042C9">
              <w:rPr>
                <w:rFonts w:ascii="Calibri" w:hAnsi="Calibri" w:cs="Courier New"/>
                <w:b/>
              </w:rPr>
              <w:t>Annual Cost (dollars)</w:t>
            </w:r>
          </w:p>
        </w:tc>
      </w:tr>
      <w:tr w:rsidRPr="00A042C9" w:rsidR="00F66B25" w:rsidTr="00B16178" w14:paraId="4D7A7130" w14:textId="77777777">
        <w:tc>
          <w:tcPr>
            <w:tcW w:w="1776" w:type="dxa"/>
            <w:vMerge w:val="restart"/>
            <w:shd w:val="clear" w:color="auto" w:fill="auto"/>
          </w:tcPr>
          <w:p w:rsidRPr="00A042C9" w:rsidR="00F66B25" w:rsidP="00F66B25" w:rsidRDefault="00F66B25" w14:paraId="22D4CBE0" w14:textId="77777777">
            <w:pPr>
              <w:spacing w:before="120"/>
              <w:rPr>
                <w:rFonts w:ascii="Calibri" w:hAnsi="Calibri" w:cs="Courier New"/>
              </w:rPr>
            </w:pPr>
            <w:r w:rsidRPr="00A042C9">
              <w:rPr>
                <w:rFonts w:ascii="Calibri" w:hAnsi="Calibri" w:cs="Courier New"/>
              </w:rPr>
              <w:t>Direct Costs to the Federal Government</w:t>
            </w:r>
          </w:p>
        </w:tc>
        <w:tc>
          <w:tcPr>
            <w:tcW w:w="5535" w:type="dxa"/>
            <w:shd w:val="clear" w:color="auto" w:fill="auto"/>
          </w:tcPr>
          <w:p w:rsidRPr="00D27E93" w:rsidR="00F66B25" w:rsidP="00F66B25" w:rsidRDefault="00F66B25" w14:paraId="589E18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rPr>
            </w:pPr>
            <w:r w:rsidRPr="00D27E93">
              <w:rPr>
                <w:rFonts w:ascii="Calibri" w:hAnsi="Calibri" w:cs="Courier New"/>
              </w:rPr>
              <w:t>CDC Data Manager (GS-12, 0.2 FTE)</w:t>
            </w:r>
          </w:p>
        </w:tc>
        <w:tc>
          <w:tcPr>
            <w:tcW w:w="2039" w:type="dxa"/>
            <w:shd w:val="clear" w:color="auto" w:fill="auto"/>
          </w:tcPr>
          <w:p w:rsidRPr="00F74E5A" w:rsidR="00F66B25" w:rsidP="00F66B25" w:rsidRDefault="00F66B25" w14:paraId="44175090" w14:textId="44186F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Calibri" w:hAnsi="Calibri" w:cs="Courier New"/>
              </w:rPr>
            </w:pPr>
            <w:r w:rsidRPr="00F74E5A">
              <w:rPr>
                <w:rFonts w:ascii="Calibri" w:hAnsi="Calibri" w:cs="Courier New"/>
              </w:rPr>
              <w:t>$1</w:t>
            </w:r>
            <w:r w:rsidRPr="00F74E5A" w:rsidR="00D27E93">
              <w:rPr>
                <w:rFonts w:ascii="Calibri" w:hAnsi="Calibri" w:cs="Courier New"/>
              </w:rPr>
              <w:t>6</w:t>
            </w:r>
            <w:r w:rsidRPr="00F74E5A">
              <w:rPr>
                <w:rFonts w:ascii="Calibri" w:hAnsi="Calibri" w:cs="Courier New"/>
              </w:rPr>
              <w:t>,1</w:t>
            </w:r>
            <w:r w:rsidRPr="00F74E5A" w:rsidR="00D27E93">
              <w:rPr>
                <w:rFonts w:ascii="Calibri" w:hAnsi="Calibri" w:cs="Courier New"/>
              </w:rPr>
              <w:t>16</w:t>
            </w:r>
          </w:p>
        </w:tc>
      </w:tr>
      <w:tr w:rsidRPr="00A042C9" w:rsidR="00F66B25" w:rsidTr="00B16178" w14:paraId="2FC572C7" w14:textId="77777777">
        <w:tc>
          <w:tcPr>
            <w:tcW w:w="1776" w:type="dxa"/>
            <w:vMerge/>
            <w:shd w:val="clear" w:color="auto" w:fill="auto"/>
          </w:tcPr>
          <w:p w:rsidRPr="00A042C9" w:rsidR="00F66B25" w:rsidP="00F66B25" w:rsidRDefault="00F66B25" w14:paraId="6D552636" w14:textId="77777777">
            <w:pPr>
              <w:spacing w:before="120"/>
              <w:rPr>
                <w:rFonts w:ascii="Calibri" w:hAnsi="Calibri" w:cs="Courier New"/>
              </w:rPr>
            </w:pPr>
          </w:p>
        </w:tc>
        <w:tc>
          <w:tcPr>
            <w:tcW w:w="5535" w:type="dxa"/>
            <w:shd w:val="clear" w:color="auto" w:fill="auto"/>
          </w:tcPr>
          <w:p w:rsidRPr="00D27E93" w:rsidR="00F66B25" w:rsidP="00F66B25" w:rsidRDefault="00F66B25" w14:paraId="76A7D568" w14:textId="788778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rPr>
            </w:pPr>
            <w:r w:rsidRPr="00D27E93">
              <w:rPr>
                <w:rFonts w:ascii="Calibri" w:hAnsi="Calibri" w:cs="Courier New"/>
              </w:rPr>
              <w:t>CDC Laboratory Personnel (GS-1</w:t>
            </w:r>
            <w:r w:rsidRPr="00D27E93" w:rsidR="00006995">
              <w:rPr>
                <w:rFonts w:ascii="Calibri" w:hAnsi="Calibri" w:cs="Courier New"/>
              </w:rPr>
              <w:t>3</w:t>
            </w:r>
            <w:r w:rsidRPr="00D27E93">
              <w:rPr>
                <w:rFonts w:ascii="Calibri" w:hAnsi="Calibri" w:cs="Courier New"/>
              </w:rPr>
              <w:t>, 0.6 FTE)</w:t>
            </w:r>
          </w:p>
        </w:tc>
        <w:tc>
          <w:tcPr>
            <w:tcW w:w="2039" w:type="dxa"/>
            <w:shd w:val="clear" w:color="auto" w:fill="auto"/>
          </w:tcPr>
          <w:p w:rsidRPr="00F74E5A" w:rsidR="00F66B25" w:rsidP="00F66B25" w:rsidRDefault="00F66B25" w14:paraId="1FB2F749" w14:textId="668E89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Calibri" w:hAnsi="Calibri" w:cs="Courier New"/>
              </w:rPr>
            </w:pPr>
            <w:r w:rsidRPr="00F74E5A">
              <w:rPr>
                <w:rFonts w:ascii="Calibri" w:hAnsi="Calibri" w:cs="Courier New"/>
              </w:rPr>
              <w:t>$</w:t>
            </w:r>
            <w:r w:rsidRPr="00F74E5A" w:rsidR="00D27E93">
              <w:rPr>
                <w:rFonts w:ascii="Calibri" w:hAnsi="Calibri" w:cs="Courier New"/>
              </w:rPr>
              <w:t>5</w:t>
            </w:r>
            <w:r w:rsidRPr="00F74E5A">
              <w:rPr>
                <w:rFonts w:ascii="Calibri" w:hAnsi="Calibri" w:cs="Courier New"/>
              </w:rPr>
              <w:t>7,</w:t>
            </w:r>
            <w:r w:rsidRPr="00F74E5A" w:rsidR="00D27E93">
              <w:rPr>
                <w:rFonts w:ascii="Calibri" w:hAnsi="Calibri" w:cs="Courier New"/>
              </w:rPr>
              <w:t>670</w:t>
            </w:r>
            <w:r w:rsidRPr="00F74E5A">
              <w:rPr>
                <w:rFonts w:ascii="Calibri" w:hAnsi="Calibri" w:cs="Courier New"/>
              </w:rPr>
              <w:t>.</w:t>
            </w:r>
            <w:r w:rsidRPr="00F74E5A" w:rsidR="00D27E93">
              <w:rPr>
                <w:rFonts w:ascii="Calibri" w:hAnsi="Calibri" w:cs="Courier New"/>
              </w:rPr>
              <w:t>20</w:t>
            </w:r>
          </w:p>
        </w:tc>
      </w:tr>
      <w:tr w:rsidRPr="00A042C9" w:rsidR="00F66B25" w:rsidTr="00B16178" w14:paraId="26ED8F4C" w14:textId="77777777">
        <w:tc>
          <w:tcPr>
            <w:tcW w:w="1776" w:type="dxa"/>
            <w:vMerge/>
            <w:shd w:val="clear" w:color="auto" w:fill="auto"/>
          </w:tcPr>
          <w:p w:rsidRPr="00A042C9" w:rsidR="00F66B25" w:rsidP="00F66B25" w:rsidRDefault="00F66B25" w14:paraId="44D10C2B" w14:textId="77777777">
            <w:pPr>
              <w:spacing w:before="120"/>
              <w:rPr>
                <w:rFonts w:ascii="Calibri" w:hAnsi="Calibri" w:cs="Courier New"/>
                <w:b/>
              </w:rPr>
            </w:pPr>
          </w:p>
        </w:tc>
        <w:tc>
          <w:tcPr>
            <w:tcW w:w="5535" w:type="dxa"/>
            <w:shd w:val="clear" w:color="auto" w:fill="auto"/>
          </w:tcPr>
          <w:p w:rsidRPr="00D27E93" w:rsidR="00F66B25" w:rsidP="00F66B25" w:rsidRDefault="00F66B25" w14:paraId="22CC99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rPr>
            </w:pPr>
            <w:r w:rsidRPr="00D27E93">
              <w:rPr>
                <w:rFonts w:ascii="Calibri" w:hAnsi="Calibri" w:cs="Courier New"/>
              </w:rPr>
              <w:t>CDC Epidemiologist (GS-13, 1.0 FTE)</w:t>
            </w:r>
          </w:p>
        </w:tc>
        <w:tc>
          <w:tcPr>
            <w:tcW w:w="2039" w:type="dxa"/>
            <w:shd w:val="clear" w:color="auto" w:fill="auto"/>
          </w:tcPr>
          <w:p w:rsidRPr="00F74E5A" w:rsidR="00F66B25" w:rsidP="00F66B25" w:rsidRDefault="00F66B25" w14:paraId="1E1F041D" w14:textId="55D51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Calibri" w:hAnsi="Calibri" w:cs="Courier New"/>
              </w:rPr>
            </w:pPr>
            <w:r w:rsidRPr="00F74E5A">
              <w:rPr>
                <w:rFonts w:ascii="Calibri" w:hAnsi="Calibri" w:cs="Courier New"/>
              </w:rPr>
              <w:t>$9</w:t>
            </w:r>
            <w:r w:rsidRPr="00F74E5A" w:rsidR="00006995">
              <w:rPr>
                <w:rFonts w:ascii="Calibri" w:hAnsi="Calibri" w:cs="Courier New"/>
              </w:rPr>
              <w:t>6</w:t>
            </w:r>
            <w:r w:rsidRPr="00F74E5A">
              <w:rPr>
                <w:rFonts w:ascii="Calibri" w:hAnsi="Calibri" w:cs="Courier New"/>
              </w:rPr>
              <w:t>,</w:t>
            </w:r>
            <w:r w:rsidRPr="00F74E5A" w:rsidR="00006995">
              <w:rPr>
                <w:rFonts w:ascii="Calibri" w:hAnsi="Calibri" w:cs="Courier New"/>
              </w:rPr>
              <w:t>117</w:t>
            </w:r>
          </w:p>
        </w:tc>
      </w:tr>
      <w:tr w:rsidRPr="00A042C9" w:rsidR="00F66B25" w:rsidTr="00B16178" w14:paraId="08C6BC6E" w14:textId="77777777">
        <w:tc>
          <w:tcPr>
            <w:tcW w:w="1776" w:type="dxa"/>
            <w:vMerge/>
            <w:shd w:val="clear" w:color="auto" w:fill="auto"/>
          </w:tcPr>
          <w:p w:rsidRPr="00A042C9" w:rsidR="00F66B25" w:rsidP="00F66B25" w:rsidRDefault="00F66B25" w14:paraId="029F2A62" w14:textId="77777777">
            <w:pPr>
              <w:spacing w:before="120"/>
              <w:rPr>
                <w:rFonts w:ascii="Calibri" w:hAnsi="Calibri" w:cs="Courier New"/>
                <w:b/>
              </w:rPr>
            </w:pPr>
          </w:p>
        </w:tc>
        <w:tc>
          <w:tcPr>
            <w:tcW w:w="5535" w:type="dxa"/>
            <w:shd w:val="clear" w:color="auto" w:fill="auto"/>
          </w:tcPr>
          <w:p w:rsidRPr="00D27E93" w:rsidR="00F66B25" w:rsidP="00F66B25" w:rsidRDefault="00F66B25" w14:paraId="2F29A7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rPr>
            </w:pPr>
            <w:r w:rsidRPr="00D27E93">
              <w:rPr>
                <w:rFonts w:ascii="Calibri" w:hAnsi="Calibri" w:cs="Courier New"/>
              </w:rPr>
              <w:t>CDC Epidemiologist (GS-13, 1.0 FTE)</w:t>
            </w:r>
          </w:p>
        </w:tc>
        <w:tc>
          <w:tcPr>
            <w:tcW w:w="2039" w:type="dxa"/>
            <w:shd w:val="clear" w:color="auto" w:fill="auto"/>
          </w:tcPr>
          <w:p w:rsidRPr="00F74E5A" w:rsidR="00F66B25" w:rsidP="00F66B25" w:rsidRDefault="00F66B25" w14:paraId="6C1BFD06" w14:textId="1EEF33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Calibri" w:hAnsi="Calibri" w:cs="Courier New"/>
              </w:rPr>
            </w:pPr>
            <w:r w:rsidRPr="00F74E5A">
              <w:rPr>
                <w:rFonts w:ascii="Calibri" w:hAnsi="Calibri" w:cs="Courier New"/>
              </w:rPr>
              <w:t>$9</w:t>
            </w:r>
            <w:r w:rsidRPr="00F74E5A" w:rsidR="00006995">
              <w:rPr>
                <w:rFonts w:ascii="Calibri" w:hAnsi="Calibri" w:cs="Courier New"/>
              </w:rPr>
              <w:t>6</w:t>
            </w:r>
            <w:r w:rsidRPr="00F74E5A">
              <w:rPr>
                <w:rFonts w:ascii="Calibri" w:hAnsi="Calibri" w:cs="Courier New"/>
              </w:rPr>
              <w:t>,</w:t>
            </w:r>
            <w:r w:rsidRPr="00F74E5A" w:rsidR="00006995">
              <w:rPr>
                <w:rFonts w:ascii="Calibri" w:hAnsi="Calibri" w:cs="Courier New"/>
              </w:rPr>
              <w:t>117</w:t>
            </w:r>
          </w:p>
        </w:tc>
      </w:tr>
      <w:tr w:rsidRPr="00A042C9" w:rsidR="00F66B25" w:rsidTr="00B16178" w14:paraId="0EF7D3C2" w14:textId="77777777">
        <w:tc>
          <w:tcPr>
            <w:tcW w:w="1776" w:type="dxa"/>
            <w:vMerge/>
            <w:shd w:val="clear" w:color="auto" w:fill="auto"/>
          </w:tcPr>
          <w:p w:rsidRPr="00A042C9" w:rsidR="00F66B25" w:rsidP="00A042C9" w:rsidRDefault="00F66B25" w14:paraId="4B377524" w14:textId="77777777">
            <w:pPr>
              <w:spacing w:before="120"/>
              <w:rPr>
                <w:rFonts w:ascii="Calibri" w:hAnsi="Calibri" w:cs="Courier New"/>
                <w:b/>
              </w:rPr>
            </w:pPr>
          </w:p>
        </w:tc>
        <w:tc>
          <w:tcPr>
            <w:tcW w:w="5535" w:type="dxa"/>
            <w:shd w:val="clear" w:color="auto" w:fill="auto"/>
          </w:tcPr>
          <w:p w:rsidRPr="00B541FA" w:rsidR="00F66B25" w:rsidP="00A042C9" w:rsidRDefault="00F66B25" w14:paraId="2995D439" w14:textId="18373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strike/>
              </w:rPr>
            </w:pPr>
          </w:p>
        </w:tc>
        <w:tc>
          <w:tcPr>
            <w:tcW w:w="2039" w:type="dxa"/>
            <w:shd w:val="clear" w:color="auto" w:fill="auto"/>
          </w:tcPr>
          <w:p w:rsidRPr="00B541FA" w:rsidR="00F66B25" w:rsidP="00A042C9" w:rsidRDefault="00F66B25" w14:paraId="73FB68FE" w14:textId="1E940A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Calibri" w:hAnsi="Calibri" w:cs="Courier New"/>
                <w:strike/>
              </w:rPr>
            </w:pPr>
          </w:p>
        </w:tc>
      </w:tr>
      <w:tr w:rsidRPr="00A042C9" w:rsidR="00E5703D" w:rsidTr="00B16178" w14:paraId="2B70200E" w14:textId="77777777">
        <w:tc>
          <w:tcPr>
            <w:tcW w:w="1776" w:type="dxa"/>
            <w:shd w:val="clear" w:color="auto" w:fill="auto"/>
          </w:tcPr>
          <w:p w:rsidRPr="00A042C9" w:rsidR="00E5703D" w:rsidP="00A042C9" w:rsidRDefault="00E5703D" w14:paraId="54837A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rPr>
            </w:pPr>
            <w:r w:rsidRPr="00A042C9">
              <w:rPr>
                <w:rFonts w:ascii="Calibri" w:hAnsi="Calibri" w:cs="Courier New"/>
              </w:rPr>
              <w:t>Operational</w:t>
            </w:r>
          </w:p>
        </w:tc>
        <w:tc>
          <w:tcPr>
            <w:tcW w:w="5535" w:type="dxa"/>
            <w:shd w:val="clear" w:color="auto" w:fill="auto"/>
          </w:tcPr>
          <w:p w:rsidRPr="00D27E93" w:rsidR="00E5703D" w:rsidP="00A042C9" w:rsidRDefault="00E5703D" w14:paraId="52F187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rPr>
            </w:pPr>
            <w:r w:rsidRPr="00D27E93">
              <w:rPr>
                <w:rFonts w:ascii="Calibri" w:hAnsi="Calibri" w:cs="Courier New"/>
              </w:rPr>
              <w:t>Travel (site visits)</w:t>
            </w:r>
          </w:p>
        </w:tc>
        <w:tc>
          <w:tcPr>
            <w:tcW w:w="2039" w:type="dxa"/>
            <w:shd w:val="clear" w:color="auto" w:fill="auto"/>
          </w:tcPr>
          <w:p w:rsidRPr="00F74E5A" w:rsidR="00E5703D" w:rsidP="00A042C9" w:rsidRDefault="00E5703D" w14:paraId="16EA0936" w14:textId="2ED109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Calibri" w:hAnsi="Calibri" w:cs="Courier New"/>
              </w:rPr>
            </w:pPr>
            <w:r w:rsidRPr="00F74E5A">
              <w:rPr>
                <w:rFonts w:ascii="Calibri" w:hAnsi="Calibri" w:cs="Courier New"/>
              </w:rPr>
              <w:t>$</w:t>
            </w:r>
            <w:r w:rsidRPr="00F74E5A" w:rsidR="002A5404">
              <w:rPr>
                <w:rFonts w:ascii="Calibri" w:hAnsi="Calibri" w:cs="Courier New"/>
              </w:rPr>
              <w:t>10,0</w:t>
            </w:r>
            <w:r w:rsidRPr="00F74E5A">
              <w:rPr>
                <w:rFonts w:ascii="Calibri" w:hAnsi="Calibri" w:cs="Courier New"/>
              </w:rPr>
              <w:t>00</w:t>
            </w:r>
          </w:p>
        </w:tc>
      </w:tr>
      <w:tr w:rsidRPr="00A042C9" w:rsidR="002A5404" w:rsidTr="00B16178" w14:paraId="001E4BE4" w14:textId="77777777">
        <w:tc>
          <w:tcPr>
            <w:tcW w:w="1776" w:type="dxa"/>
            <w:vMerge w:val="restart"/>
            <w:shd w:val="clear" w:color="auto" w:fill="auto"/>
          </w:tcPr>
          <w:p w:rsidRPr="00A042C9" w:rsidR="002A5404" w:rsidP="00A042C9" w:rsidRDefault="002A5404" w14:paraId="078A7E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rPr>
            </w:pPr>
            <w:r w:rsidRPr="00A042C9">
              <w:rPr>
                <w:rFonts w:ascii="Calibri" w:hAnsi="Calibri" w:cs="Courier New"/>
              </w:rPr>
              <w:t>Other Expenses</w:t>
            </w:r>
          </w:p>
        </w:tc>
        <w:tc>
          <w:tcPr>
            <w:tcW w:w="5535" w:type="dxa"/>
            <w:shd w:val="clear" w:color="auto" w:fill="auto"/>
          </w:tcPr>
          <w:p w:rsidRPr="00371BEA" w:rsidR="002A5404" w:rsidP="00A042C9" w:rsidRDefault="002A5404" w14:paraId="673102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rPr>
            </w:pPr>
            <w:r w:rsidRPr="00371BEA">
              <w:rPr>
                <w:rFonts w:ascii="Calibri" w:hAnsi="Calibri" w:cs="Courier New"/>
              </w:rPr>
              <w:t>California site cost</w:t>
            </w:r>
          </w:p>
        </w:tc>
        <w:tc>
          <w:tcPr>
            <w:tcW w:w="2039" w:type="dxa"/>
            <w:shd w:val="clear" w:color="auto" w:fill="auto"/>
          </w:tcPr>
          <w:p w:rsidRPr="0027552C" w:rsidR="002A5404" w:rsidP="00A042C9" w:rsidRDefault="00F74E5A" w14:paraId="5E370742" w14:textId="676029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Calibri" w:hAnsi="Calibri" w:cs="Courier New"/>
              </w:rPr>
            </w:pPr>
            <w:r w:rsidRPr="0027552C">
              <w:rPr>
                <w:rFonts w:ascii="Calibri" w:hAnsi="Calibri" w:cs="Courier New"/>
              </w:rPr>
              <w:t>$</w:t>
            </w:r>
            <w:r w:rsidR="00101B4C">
              <w:rPr>
                <w:rFonts w:ascii="Calibri" w:hAnsi="Calibri" w:cs="Courier New"/>
              </w:rPr>
              <w:t>861,915</w:t>
            </w:r>
          </w:p>
        </w:tc>
      </w:tr>
      <w:tr w:rsidRPr="00A042C9" w:rsidR="002A5404" w:rsidTr="00B16178" w14:paraId="14E43DA1" w14:textId="77777777">
        <w:tc>
          <w:tcPr>
            <w:tcW w:w="1776" w:type="dxa"/>
            <w:vMerge/>
            <w:shd w:val="clear" w:color="auto" w:fill="auto"/>
          </w:tcPr>
          <w:p w:rsidRPr="00A042C9" w:rsidR="002A5404" w:rsidP="00A042C9" w:rsidRDefault="002A5404" w14:paraId="255226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rPr>
            </w:pPr>
          </w:p>
        </w:tc>
        <w:tc>
          <w:tcPr>
            <w:tcW w:w="5535" w:type="dxa"/>
            <w:shd w:val="clear" w:color="auto" w:fill="auto"/>
          </w:tcPr>
          <w:p w:rsidRPr="00371BEA" w:rsidR="002A5404" w:rsidP="00A042C9" w:rsidRDefault="002A5404" w14:paraId="5B93FB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rPr>
            </w:pPr>
            <w:r w:rsidRPr="00371BEA">
              <w:rPr>
                <w:rFonts w:ascii="Calibri" w:hAnsi="Calibri" w:cs="Courier New"/>
              </w:rPr>
              <w:t>Colorado site cost</w:t>
            </w:r>
          </w:p>
        </w:tc>
        <w:tc>
          <w:tcPr>
            <w:tcW w:w="2039" w:type="dxa"/>
            <w:shd w:val="clear" w:color="auto" w:fill="auto"/>
          </w:tcPr>
          <w:p w:rsidRPr="0027552C" w:rsidR="002A5404" w:rsidP="00A042C9" w:rsidRDefault="00F74E5A" w14:paraId="5723D661" w14:textId="6F2CC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Calibri" w:hAnsi="Calibri" w:cs="Courier New"/>
              </w:rPr>
            </w:pPr>
            <w:r w:rsidRPr="0027552C">
              <w:rPr>
                <w:rFonts w:ascii="Calibri" w:hAnsi="Calibri" w:cs="Courier New"/>
              </w:rPr>
              <w:t>$</w:t>
            </w:r>
            <w:r w:rsidR="00101B4C">
              <w:rPr>
                <w:rFonts w:ascii="Calibri" w:hAnsi="Calibri" w:cs="Courier New"/>
              </w:rPr>
              <w:t>954,267</w:t>
            </w:r>
          </w:p>
        </w:tc>
      </w:tr>
      <w:tr w:rsidRPr="00A042C9" w:rsidR="00101B4C" w:rsidTr="00B16178" w14:paraId="61C2E39D" w14:textId="77777777">
        <w:tc>
          <w:tcPr>
            <w:tcW w:w="1776" w:type="dxa"/>
            <w:vMerge/>
            <w:shd w:val="clear" w:color="auto" w:fill="auto"/>
          </w:tcPr>
          <w:p w:rsidRPr="00A042C9" w:rsidR="00101B4C" w:rsidP="00101B4C" w:rsidRDefault="00101B4C" w14:paraId="131CFC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rPr>
            </w:pPr>
          </w:p>
        </w:tc>
        <w:tc>
          <w:tcPr>
            <w:tcW w:w="5535" w:type="dxa"/>
            <w:shd w:val="clear" w:color="auto" w:fill="auto"/>
          </w:tcPr>
          <w:p w:rsidRPr="00371BEA" w:rsidR="00101B4C" w:rsidP="00101B4C" w:rsidRDefault="00101B4C" w14:paraId="5A15E1EB" w14:textId="24C67D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strike/>
              </w:rPr>
            </w:pPr>
            <w:r w:rsidRPr="00371BEA">
              <w:rPr>
                <w:rFonts w:ascii="Calibri" w:hAnsi="Calibri" w:cs="Courier New"/>
              </w:rPr>
              <w:t>Indiana site cost</w:t>
            </w:r>
          </w:p>
        </w:tc>
        <w:tc>
          <w:tcPr>
            <w:tcW w:w="2039" w:type="dxa"/>
            <w:shd w:val="clear" w:color="auto" w:fill="auto"/>
          </w:tcPr>
          <w:p w:rsidRPr="0027552C" w:rsidR="00101B4C" w:rsidP="00101B4C" w:rsidRDefault="00101B4C" w14:paraId="1488DE3F" w14:textId="26CA35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Calibri" w:hAnsi="Calibri" w:cs="Courier New"/>
                <w:strike/>
              </w:rPr>
            </w:pPr>
            <w:r w:rsidRPr="0027552C">
              <w:rPr>
                <w:rFonts w:ascii="Calibri" w:hAnsi="Calibri" w:cs="Courier New"/>
              </w:rPr>
              <w:t>$</w:t>
            </w:r>
            <w:r w:rsidR="00563553">
              <w:rPr>
                <w:rFonts w:ascii="Calibri" w:hAnsi="Calibri" w:cs="Courier New"/>
              </w:rPr>
              <w:t>478,772</w:t>
            </w:r>
          </w:p>
        </w:tc>
      </w:tr>
      <w:tr w:rsidRPr="00A042C9" w:rsidR="00101B4C" w:rsidTr="00B16178" w14:paraId="3BA272FA" w14:textId="77777777">
        <w:tc>
          <w:tcPr>
            <w:tcW w:w="1776" w:type="dxa"/>
            <w:vMerge/>
            <w:shd w:val="clear" w:color="auto" w:fill="auto"/>
          </w:tcPr>
          <w:p w:rsidRPr="00A042C9" w:rsidR="00101B4C" w:rsidP="00101B4C" w:rsidRDefault="00101B4C" w14:paraId="0CA2D7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rPr>
            </w:pPr>
          </w:p>
        </w:tc>
        <w:tc>
          <w:tcPr>
            <w:tcW w:w="5535" w:type="dxa"/>
            <w:shd w:val="clear" w:color="auto" w:fill="auto"/>
          </w:tcPr>
          <w:p w:rsidRPr="00371BEA" w:rsidR="00101B4C" w:rsidP="00101B4C" w:rsidRDefault="00101B4C" w14:paraId="5E407E0C" w14:textId="366795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rPr>
            </w:pPr>
            <w:r w:rsidRPr="00371BEA">
              <w:rPr>
                <w:rFonts w:ascii="Calibri" w:hAnsi="Calibri" w:cs="Courier New"/>
              </w:rPr>
              <w:t>New York City site cost</w:t>
            </w:r>
          </w:p>
        </w:tc>
        <w:tc>
          <w:tcPr>
            <w:tcW w:w="2039" w:type="dxa"/>
            <w:shd w:val="clear" w:color="auto" w:fill="auto"/>
          </w:tcPr>
          <w:p w:rsidRPr="0027552C" w:rsidR="00101B4C" w:rsidP="00101B4C" w:rsidRDefault="00101B4C" w14:paraId="6B306BBF" w14:textId="41C638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Calibri" w:hAnsi="Calibri" w:cs="Courier New"/>
              </w:rPr>
            </w:pPr>
            <w:r w:rsidRPr="0027552C">
              <w:rPr>
                <w:rFonts w:ascii="Calibri" w:hAnsi="Calibri" w:cs="Courier New"/>
              </w:rPr>
              <w:t>$</w:t>
            </w:r>
            <w:r w:rsidR="00563553">
              <w:rPr>
                <w:rFonts w:ascii="Calibri" w:hAnsi="Calibri" w:cs="Courier New"/>
              </w:rPr>
              <w:t>452,866</w:t>
            </w:r>
          </w:p>
        </w:tc>
      </w:tr>
      <w:tr w:rsidRPr="00A042C9" w:rsidR="00101B4C" w:rsidTr="00B16178" w14:paraId="73EA02C7" w14:textId="77777777">
        <w:tc>
          <w:tcPr>
            <w:tcW w:w="1776" w:type="dxa"/>
            <w:vMerge/>
            <w:shd w:val="clear" w:color="auto" w:fill="auto"/>
          </w:tcPr>
          <w:p w:rsidRPr="00A042C9" w:rsidR="00101B4C" w:rsidP="00101B4C" w:rsidRDefault="00101B4C" w14:paraId="6221AC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rPr>
            </w:pPr>
          </w:p>
        </w:tc>
        <w:tc>
          <w:tcPr>
            <w:tcW w:w="5535" w:type="dxa"/>
            <w:shd w:val="clear" w:color="auto" w:fill="auto"/>
          </w:tcPr>
          <w:p w:rsidRPr="00371BEA" w:rsidR="00101B4C" w:rsidP="00101B4C" w:rsidRDefault="00101B4C" w14:paraId="40E64F61" w14:textId="6C713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rPr>
            </w:pPr>
            <w:r w:rsidRPr="00371BEA">
              <w:rPr>
                <w:rFonts w:ascii="Calibri" w:hAnsi="Calibri" w:cs="Courier New"/>
              </w:rPr>
              <w:t>North Carolina site cost</w:t>
            </w:r>
          </w:p>
        </w:tc>
        <w:tc>
          <w:tcPr>
            <w:tcW w:w="2039" w:type="dxa"/>
            <w:shd w:val="clear" w:color="auto" w:fill="auto"/>
          </w:tcPr>
          <w:p w:rsidRPr="0027552C" w:rsidR="00101B4C" w:rsidP="00101B4C" w:rsidRDefault="00101B4C" w14:paraId="5E801D1E" w14:textId="1DBBD7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Calibri" w:hAnsi="Calibri" w:cs="Courier New"/>
              </w:rPr>
            </w:pPr>
            <w:r w:rsidRPr="0027552C">
              <w:rPr>
                <w:rFonts w:ascii="Calibri" w:hAnsi="Calibri" w:cs="Courier New"/>
              </w:rPr>
              <w:t>$</w:t>
            </w:r>
            <w:r w:rsidR="00563553">
              <w:rPr>
                <w:rFonts w:ascii="Calibri" w:hAnsi="Calibri" w:cs="Courier New"/>
              </w:rPr>
              <w:t>487,681</w:t>
            </w:r>
          </w:p>
        </w:tc>
      </w:tr>
      <w:tr w:rsidRPr="00A042C9" w:rsidR="00B16178" w:rsidTr="00B16178" w14:paraId="0394F07E" w14:textId="77777777">
        <w:tc>
          <w:tcPr>
            <w:tcW w:w="1776" w:type="dxa"/>
            <w:vMerge/>
            <w:shd w:val="clear" w:color="auto" w:fill="auto"/>
          </w:tcPr>
          <w:p w:rsidRPr="00A042C9" w:rsidR="00B16178" w:rsidP="00B16178" w:rsidRDefault="00B16178" w14:paraId="737988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rPr>
            </w:pPr>
          </w:p>
        </w:tc>
        <w:tc>
          <w:tcPr>
            <w:tcW w:w="5535" w:type="dxa"/>
            <w:shd w:val="clear" w:color="auto" w:fill="auto"/>
          </w:tcPr>
          <w:p w:rsidRPr="00371BEA" w:rsidR="00B16178" w:rsidP="00B16178" w:rsidRDefault="00101B4C" w14:paraId="186EBD21" w14:textId="67F846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rPr>
            </w:pPr>
            <w:r>
              <w:rPr>
                <w:rFonts w:ascii="Calibri" w:hAnsi="Calibri" w:cs="Courier New"/>
              </w:rPr>
              <w:t>Pennsylvania</w:t>
            </w:r>
            <w:r w:rsidR="00563553">
              <w:rPr>
                <w:rFonts w:ascii="Calibri" w:hAnsi="Calibri" w:cs="Courier New"/>
              </w:rPr>
              <w:t xml:space="preserve"> site cost</w:t>
            </w:r>
          </w:p>
        </w:tc>
        <w:tc>
          <w:tcPr>
            <w:tcW w:w="2039" w:type="dxa"/>
            <w:shd w:val="clear" w:color="auto" w:fill="auto"/>
          </w:tcPr>
          <w:p w:rsidRPr="0027552C" w:rsidR="00B16178" w:rsidP="00B16178" w:rsidRDefault="00101B4C" w14:paraId="6B5A55A8" w14:textId="31F8A7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Calibri" w:hAnsi="Calibri" w:cs="Courier New"/>
              </w:rPr>
            </w:pPr>
            <w:r>
              <w:rPr>
                <w:rFonts w:ascii="Calibri" w:hAnsi="Calibri" w:cs="Courier New"/>
              </w:rPr>
              <w:t>$</w:t>
            </w:r>
            <w:r w:rsidR="00563553">
              <w:rPr>
                <w:rFonts w:ascii="Calibri" w:hAnsi="Calibri" w:cs="Courier New"/>
              </w:rPr>
              <w:t>479,437</w:t>
            </w:r>
          </w:p>
        </w:tc>
      </w:tr>
      <w:tr w:rsidRPr="00A042C9" w:rsidR="00B16178" w:rsidTr="00B16178" w14:paraId="4A69B4AC" w14:textId="77777777">
        <w:tc>
          <w:tcPr>
            <w:tcW w:w="1776" w:type="dxa"/>
            <w:vMerge/>
            <w:shd w:val="clear" w:color="auto" w:fill="auto"/>
          </w:tcPr>
          <w:p w:rsidRPr="00A042C9" w:rsidR="00B16178" w:rsidP="00B16178" w:rsidRDefault="00B16178" w14:paraId="03DAB8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rPr>
            </w:pPr>
          </w:p>
        </w:tc>
        <w:tc>
          <w:tcPr>
            <w:tcW w:w="5535" w:type="dxa"/>
            <w:shd w:val="clear" w:color="auto" w:fill="auto"/>
          </w:tcPr>
          <w:p w:rsidRPr="00371BEA" w:rsidR="00B16178" w:rsidP="00B16178" w:rsidRDefault="00B16178" w14:paraId="78F68F21" w14:textId="6111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rPr>
            </w:pPr>
            <w:r w:rsidRPr="00371BEA">
              <w:rPr>
                <w:rFonts w:ascii="Calibri" w:hAnsi="Calibri" w:cs="Courier New"/>
              </w:rPr>
              <w:t>Washington site cost</w:t>
            </w:r>
          </w:p>
        </w:tc>
        <w:tc>
          <w:tcPr>
            <w:tcW w:w="2039" w:type="dxa"/>
            <w:shd w:val="clear" w:color="auto" w:fill="auto"/>
          </w:tcPr>
          <w:p w:rsidRPr="0027552C" w:rsidR="00B16178" w:rsidP="00B16178" w:rsidRDefault="00F74E5A" w14:paraId="25DDD60F" w14:textId="2B3154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Calibri" w:hAnsi="Calibri" w:cs="Courier New"/>
              </w:rPr>
            </w:pPr>
            <w:r w:rsidRPr="0027552C">
              <w:rPr>
                <w:rFonts w:ascii="Calibri" w:hAnsi="Calibri" w:cs="Courier New"/>
              </w:rPr>
              <w:t>$</w:t>
            </w:r>
            <w:r w:rsidR="00563553">
              <w:rPr>
                <w:rFonts w:ascii="Calibri" w:hAnsi="Calibri" w:cs="Courier New"/>
              </w:rPr>
              <w:t>783,949</w:t>
            </w:r>
          </w:p>
        </w:tc>
      </w:tr>
      <w:tr w:rsidRPr="00A042C9" w:rsidR="002A5404" w:rsidTr="00B16178" w14:paraId="7E572BC8" w14:textId="77777777">
        <w:tc>
          <w:tcPr>
            <w:tcW w:w="1776" w:type="dxa"/>
            <w:vMerge/>
            <w:shd w:val="clear" w:color="auto" w:fill="auto"/>
          </w:tcPr>
          <w:p w:rsidRPr="00A042C9" w:rsidR="002A5404" w:rsidP="00A042C9" w:rsidRDefault="002A5404" w14:paraId="5444FF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rPr>
            </w:pPr>
          </w:p>
        </w:tc>
        <w:tc>
          <w:tcPr>
            <w:tcW w:w="5535" w:type="dxa"/>
            <w:shd w:val="clear" w:color="auto" w:fill="auto"/>
          </w:tcPr>
          <w:p w:rsidRPr="00371BEA" w:rsidR="002A5404" w:rsidP="00A042C9" w:rsidRDefault="00B16178" w14:paraId="76031E7C" w14:textId="739F99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rPr>
            </w:pPr>
            <w:r>
              <w:rPr>
                <w:rFonts w:ascii="Calibri" w:hAnsi="Calibri" w:cs="Courier New"/>
              </w:rPr>
              <w:t>Wisconsin site cost</w:t>
            </w:r>
          </w:p>
        </w:tc>
        <w:tc>
          <w:tcPr>
            <w:tcW w:w="2039" w:type="dxa"/>
            <w:shd w:val="clear" w:color="auto" w:fill="auto"/>
          </w:tcPr>
          <w:p w:rsidRPr="0027552C" w:rsidR="002A5404" w:rsidP="00A042C9" w:rsidRDefault="00F74E5A" w14:paraId="70B5825D" w14:textId="1E87F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Calibri" w:hAnsi="Calibri" w:cs="Courier New"/>
              </w:rPr>
            </w:pPr>
            <w:r w:rsidRPr="0027552C">
              <w:rPr>
                <w:rFonts w:ascii="Calibri" w:hAnsi="Calibri" w:cs="Courier New"/>
              </w:rPr>
              <w:t>$</w:t>
            </w:r>
            <w:r w:rsidR="00563553">
              <w:rPr>
                <w:rFonts w:ascii="Calibri" w:hAnsi="Calibri" w:cs="Courier New"/>
              </w:rPr>
              <w:t>716,476</w:t>
            </w:r>
          </w:p>
        </w:tc>
      </w:tr>
      <w:tr w:rsidRPr="00A042C9" w:rsidR="002A5404" w:rsidTr="00B16178" w14:paraId="5E2C2C24" w14:textId="77777777">
        <w:trPr>
          <w:trHeight w:val="359"/>
        </w:trPr>
        <w:tc>
          <w:tcPr>
            <w:tcW w:w="1776" w:type="dxa"/>
            <w:shd w:val="clear" w:color="auto" w:fill="auto"/>
          </w:tcPr>
          <w:p w:rsidRPr="00A042C9" w:rsidR="002A5404" w:rsidP="00A042C9" w:rsidRDefault="002A5404" w14:paraId="71379D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rPr>
            </w:pPr>
          </w:p>
        </w:tc>
        <w:tc>
          <w:tcPr>
            <w:tcW w:w="5535" w:type="dxa"/>
            <w:shd w:val="clear" w:color="auto" w:fill="auto"/>
          </w:tcPr>
          <w:p w:rsidRPr="00641643" w:rsidR="002A5404" w:rsidP="00A042C9" w:rsidRDefault="002A5404" w14:paraId="7DA41A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color w:val="FF0000"/>
              </w:rPr>
            </w:pPr>
            <w:r w:rsidRPr="00371BEA">
              <w:rPr>
                <w:rFonts w:ascii="Calibri" w:hAnsi="Calibri" w:cs="Courier New"/>
              </w:rPr>
              <w:t>Total cost to the Federal Government</w:t>
            </w:r>
          </w:p>
        </w:tc>
        <w:tc>
          <w:tcPr>
            <w:tcW w:w="2039" w:type="dxa"/>
            <w:shd w:val="clear" w:color="auto" w:fill="auto"/>
          </w:tcPr>
          <w:p w:rsidRPr="00292160" w:rsidR="002A5404" w:rsidP="00A042C9" w:rsidRDefault="002A5404" w14:paraId="1BA6843F" w14:textId="405AFFCC">
            <w:pPr>
              <w:jc w:val="right"/>
              <w:rPr>
                <w:rFonts w:ascii="Calibri" w:hAnsi="Calibri"/>
                <w:sz w:val="22"/>
                <w:szCs w:val="22"/>
              </w:rPr>
            </w:pPr>
            <w:r w:rsidRPr="00292160">
              <w:rPr>
                <w:rFonts w:ascii="Calibri" w:hAnsi="Calibri"/>
                <w:sz w:val="22"/>
                <w:szCs w:val="22"/>
              </w:rPr>
              <w:t>$</w:t>
            </w:r>
            <w:r w:rsidRPr="00292160" w:rsidR="00F74E5A">
              <w:rPr>
                <w:rFonts w:ascii="Calibri" w:hAnsi="Calibri"/>
                <w:sz w:val="22"/>
                <w:szCs w:val="22"/>
              </w:rPr>
              <w:t>5,</w:t>
            </w:r>
            <w:r w:rsidR="00563553">
              <w:rPr>
                <w:rFonts w:ascii="Calibri" w:hAnsi="Calibri"/>
                <w:sz w:val="22"/>
                <w:szCs w:val="22"/>
              </w:rPr>
              <w:t>491,383</w:t>
            </w:r>
            <w:r w:rsidRPr="00292160">
              <w:rPr>
                <w:rFonts w:ascii="Calibri" w:hAnsi="Calibri"/>
                <w:sz w:val="22"/>
                <w:szCs w:val="22"/>
              </w:rPr>
              <w:t xml:space="preserve"> </w:t>
            </w:r>
          </w:p>
        </w:tc>
      </w:tr>
    </w:tbl>
    <w:p w:rsidRPr="00C84134" w:rsidR="00E81E5D" w:rsidP="00C74339" w:rsidRDefault="00E81E5D" w14:paraId="5FA65750" w14:textId="77777777">
      <w:pPr>
        <w:spacing w:before="120" w:line="480" w:lineRule="auto"/>
        <w:rPr>
          <w:rFonts w:ascii="Calibri" w:hAnsi="Calibri" w:cs="Courier New"/>
          <w:b/>
        </w:rPr>
      </w:pPr>
      <w:r w:rsidRPr="00C84134">
        <w:rPr>
          <w:rFonts w:ascii="Calibri" w:hAnsi="Calibri" w:cs="Courier New"/>
          <w:b/>
        </w:rPr>
        <w:t>15. Explanation for Program Changes or Adjustments</w:t>
      </w:r>
    </w:p>
    <w:p w:rsidRPr="0027552C" w:rsidR="00EF1D95" w:rsidRDefault="00EF1D95" w14:paraId="127F5558" w14:textId="76C6296F">
      <w:pPr>
        <w:rPr>
          <w:rFonts w:ascii="Calibri" w:hAnsi="Calibri" w:cs="Courier New"/>
        </w:rPr>
      </w:pPr>
      <w:r w:rsidRPr="0027552C">
        <w:rPr>
          <w:rFonts w:ascii="Calibri" w:hAnsi="Calibri" w:cs="Courier New"/>
        </w:rPr>
        <w:t xml:space="preserve">We made </w:t>
      </w:r>
      <w:r w:rsidRPr="0027552C" w:rsidR="00533418">
        <w:rPr>
          <w:rFonts w:ascii="Calibri" w:hAnsi="Calibri" w:cs="Courier New"/>
        </w:rPr>
        <w:t>several</w:t>
      </w:r>
      <w:r w:rsidRPr="0027552C">
        <w:rPr>
          <w:rFonts w:ascii="Calibri" w:hAnsi="Calibri" w:cs="Courier New"/>
        </w:rPr>
        <w:t xml:space="preserve"> changes in Table A12a that resulted in a change in the total burden hours.</w:t>
      </w:r>
    </w:p>
    <w:p w:rsidRPr="00B541FA" w:rsidR="00D349F9" w:rsidP="00F06A89" w:rsidRDefault="00EF1D95" w14:paraId="49745DFF" w14:textId="77777777">
      <w:pPr>
        <w:pStyle w:val="ListParagraph"/>
        <w:numPr>
          <w:ilvl w:val="0"/>
          <w:numId w:val="5"/>
        </w:numPr>
        <w:rPr>
          <w:rFonts w:ascii="Calibri" w:hAnsi="Calibri" w:cs="Courier New"/>
        </w:rPr>
      </w:pPr>
      <w:r w:rsidRPr="00B541FA">
        <w:rPr>
          <w:rFonts w:ascii="Calibri" w:hAnsi="Calibri" w:cs="Courier New"/>
        </w:rPr>
        <w:t xml:space="preserve">The number of participating </w:t>
      </w:r>
      <w:r w:rsidRPr="00B541FA" w:rsidR="004B46FF">
        <w:rPr>
          <w:rFonts w:ascii="Calibri" w:hAnsi="Calibri" w:cs="Courier New"/>
        </w:rPr>
        <w:t>jurisdictions decreased from 9 to 8 since the initial submission. One jurisdiction opted to not continue.</w:t>
      </w:r>
      <w:r w:rsidRPr="00B541FA" w:rsidR="00275F64">
        <w:rPr>
          <w:rFonts w:ascii="Calibri" w:hAnsi="Calibri" w:cs="Courier New"/>
        </w:rPr>
        <w:t xml:space="preserve"> </w:t>
      </w:r>
    </w:p>
    <w:p w:rsidRPr="00B541FA" w:rsidR="00D349F9" w:rsidP="00F06A89" w:rsidRDefault="00D349F9" w14:paraId="5F1964A4" w14:textId="32C7222A">
      <w:pPr>
        <w:pStyle w:val="ListParagraph"/>
        <w:numPr>
          <w:ilvl w:val="1"/>
          <w:numId w:val="5"/>
        </w:numPr>
        <w:rPr>
          <w:rFonts w:ascii="Calibri" w:hAnsi="Calibri" w:cs="Courier New"/>
        </w:rPr>
      </w:pPr>
      <w:r w:rsidRPr="00B541FA">
        <w:rPr>
          <w:rFonts w:ascii="Calibri" w:hAnsi="Calibri" w:cs="Courier New"/>
        </w:rPr>
        <w:t>T</w:t>
      </w:r>
      <w:r w:rsidRPr="00B541FA" w:rsidR="00533418">
        <w:rPr>
          <w:rFonts w:ascii="Calibri" w:hAnsi="Calibri" w:cs="Courier New"/>
        </w:rPr>
        <w:t>he number of local SURRG data managers thus decreased from 9 to 8</w:t>
      </w:r>
      <w:r w:rsidRPr="00B541FA">
        <w:rPr>
          <w:rFonts w:ascii="Calibri" w:hAnsi="Calibri" w:cs="Courier New"/>
        </w:rPr>
        <w:t xml:space="preserve"> and the burden hours decreased from 1008 to 896</w:t>
      </w:r>
      <w:r w:rsidRPr="00B541FA" w:rsidR="006A335E">
        <w:rPr>
          <w:rFonts w:ascii="Calibri" w:hAnsi="Calibri" w:cs="Courier New"/>
        </w:rPr>
        <w:t>.</w:t>
      </w:r>
    </w:p>
    <w:p w:rsidRPr="00B541FA" w:rsidR="00D349F9" w:rsidP="00F06A89" w:rsidRDefault="00D349F9" w14:paraId="70778BA0" w14:textId="1C767655">
      <w:pPr>
        <w:pStyle w:val="ListParagraph"/>
        <w:numPr>
          <w:ilvl w:val="1"/>
          <w:numId w:val="5"/>
        </w:numPr>
        <w:rPr>
          <w:rFonts w:ascii="Calibri" w:hAnsi="Calibri" w:cs="Courier New"/>
        </w:rPr>
      </w:pPr>
      <w:r w:rsidRPr="00B541FA">
        <w:rPr>
          <w:rFonts w:ascii="Calibri" w:hAnsi="Calibri" w:cs="Courier New"/>
        </w:rPr>
        <w:t>The number of public health lab microbiologists decreased from 9 to 8 and the burden hours decreased from 1050 to 933</w:t>
      </w:r>
      <w:r w:rsidRPr="00B541FA" w:rsidR="006A335E">
        <w:rPr>
          <w:rFonts w:ascii="Calibri" w:hAnsi="Calibri" w:cs="Courier New"/>
        </w:rPr>
        <w:t>.</w:t>
      </w:r>
    </w:p>
    <w:p w:rsidRPr="00B541FA" w:rsidR="00C53BAB" w:rsidP="00F06A89" w:rsidRDefault="00D349F9" w14:paraId="4C1527C2" w14:textId="07A662E4">
      <w:pPr>
        <w:pStyle w:val="ListParagraph"/>
        <w:numPr>
          <w:ilvl w:val="1"/>
          <w:numId w:val="5"/>
        </w:numPr>
        <w:rPr>
          <w:rFonts w:ascii="Calibri" w:hAnsi="Calibri" w:cs="Courier New"/>
        </w:rPr>
      </w:pPr>
      <w:r w:rsidRPr="00B541FA">
        <w:rPr>
          <w:rFonts w:ascii="Calibri" w:hAnsi="Calibri" w:cs="Courier New"/>
        </w:rPr>
        <w:t>The number of public health lab data managers decreased from 9 to 8 and the burden hours decreased from 54 to 48</w:t>
      </w:r>
      <w:r w:rsidRPr="00B541FA" w:rsidR="006A335E">
        <w:rPr>
          <w:rFonts w:ascii="Calibri" w:hAnsi="Calibri" w:cs="Courier New"/>
        </w:rPr>
        <w:t>.</w:t>
      </w:r>
    </w:p>
    <w:p w:rsidRPr="00B541FA" w:rsidR="00533418" w:rsidP="00F06A89" w:rsidRDefault="00B541FA" w14:paraId="7C50FFE1" w14:textId="5BDC68D3">
      <w:pPr>
        <w:pStyle w:val="ListParagraph"/>
        <w:numPr>
          <w:ilvl w:val="1"/>
          <w:numId w:val="5"/>
        </w:numPr>
        <w:rPr>
          <w:rFonts w:ascii="Calibri" w:hAnsi="Calibri" w:cs="Courier New"/>
        </w:rPr>
      </w:pPr>
      <w:r w:rsidRPr="00B541FA">
        <w:rPr>
          <w:rFonts w:ascii="Calibri" w:hAnsi="Calibri" w:cs="Courier New"/>
        </w:rPr>
        <w:t>Because of the decrease in the number of participating sites, t</w:t>
      </w:r>
      <w:r w:rsidRPr="00B541FA" w:rsidR="00C53BAB">
        <w:rPr>
          <w:rFonts w:ascii="Calibri" w:hAnsi="Calibri" w:cs="Courier New"/>
        </w:rPr>
        <w:t xml:space="preserve">he </w:t>
      </w:r>
      <w:r w:rsidRPr="00B541FA" w:rsidR="00D349F9">
        <w:rPr>
          <w:rFonts w:ascii="Calibri" w:hAnsi="Calibri" w:cs="Courier New"/>
        </w:rPr>
        <w:t>number of gonorrhea patients and contacts decreased from 1080 to 960</w:t>
      </w:r>
      <w:r w:rsidRPr="00B541FA" w:rsidR="00C53BAB">
        <w:rPr>
          <w:rFonts w:ascii="Calibri" w:hAnsi="Calibri" w:cs="Courier New"/>
        </w:rPr>
        <w:t xml:space="preserve"> and the burden hours decreased from 540 to 480</w:t>
      </w:r>
      <w:r w:rsidRPr="00B541FA" w:rsidR="006A335E">
        <w:rPr>
          <w:rFonts w:ascii="Calibri" w:hAnsi="Calibri" w:cs="Courier New"/>
        </w:rPr>
        <w:t>.</w:t>
      </w:r>
      <w:r w:rsidRPr="00B541FA" w:rsidR="00D349F9">
        <w:rPr>
          <w:rFonts w:ascii="Calibri" w:hAnsi="Calibri" w:cs="Courier New"/>
        </w:rPr>
        <w:t xml:space="preserve"> </w:t>
      </w:r>
    </w:p>
    <w:p w:rsidRPr="00B541FA" w:rsidR="004B46FF" w:rsidP="00F06A89" w:rsidRDefault="00C53BAB" w14:paraId="58C08F02" w14:textId="31AE3BD9">
      <w:pPr>
        <w:pStyle w:val="ListParagraph"/>
        <w:numPr>
          <w:ilvl w:val="0"/>
          <w:numId w:val="5"/>
        </w:numPr>
        <w:rPr>
          <w:rFonts w:ascii="Calibri" w:hAnsi="Calibri" w:cs="Courier New"/>
        </w:rPr>
      </w:pPr>
      <w:r w:rsidRPr="00B541FA">
        <w:rPr>
          <w:rFonts w:ascii="Calibri" w:hAnsi="Calibri" w:cs="Courier New"/>
        </w:rPr>
        <w:t>T</w:t>
      </w:r>
      <w:r w:rsidRPr="00B541FA" w:rsidR="004B46FF">
        <w:rPr>
          <w:rFonts w:ascii="Calibri" w:hAnsi="Calibri" w:cs="Courier New"/>
        </w:rPr>
        <w:t>he number of non-STD clinic sites</w:t>
      </w:r>
      <w:r w:rsidRPr="00B541FA">
        <w:rPr>
          <w:rFonts w:ascii="Calibri" w:hAnsi="Calibri" w:cs="Courier New"/>
        </w:rPr>
        <w:t xml:space="preserve"> and data managers</w:t>
      </w:r>
      <w:r w:rsidRPr="00B541FA" w:rsidR="004B46FF">
        <w:rPr>
          <w:rFonts w:ascii="Calibri" w:hAnsi="Calibri" w:cs="Courier New"/>
        </w:rPr>
        <w:t xml:space="preserve"> will</w:t>
      </w:r>
      <w:r w:rsidRPr="00B541FA">
        <w:rPr>
          <w:rFonts w:ascii="Calibri" w:hAnsi="Calibri" w:cs="Courier New"/>
        </w:rPr>
        <w:t xml:space="preserve"> increase</w:t>
      </w:r>
      <w:r w:rsidRPr="00B541FA" w:rsidR="004B46FF">
        <w:rPr>
          <w:rFonts w:ascii="Calibri" w:hAnsi="Calibri" w:cs="Courier New"/>
        </w:rPr>
        <w:t xml:space="preserve"> from 18 to 26.</w:t>
      </w:r>
      <w:r w:rsidRPr="00B541FA">
        <w:rPr>
          <w:rFonts w:ascii="Calibri" w:hAnsi="Calibri" w:cs="Courier New"/>
        </w:rPr>
        <w:t xml:space="preserve"> The burden hours will increase from 324 to 468. </w:t>
      </w:r>
    </w:p>
    <w:p w:rsidR="00E5703D" w:rsidRDefault="00E5703D" w14:paraId="776C12F2" w14:textId="6A3459DA">
      <w:pPr>
        <w:rPr>
          <w:rFonts w:ascii="Calibri" w:hAnsi="Calibri" w:cs="Courier New"/>
          <w:b/>
        </w:rPr>
      </w:pPr>
    </w:p>
    <w:p w:rsidR="00C53BAB" w:rsidP="00730630" w:rsidRDefault="00730630" w14:paraId="09A47BE9" w14:textId="0939DF8A">
      <w:pPr>
        <w:rPr>
          <w:rFonts w:ascii="Calibri" w:hAnsi="Calibri" w:cs="Courier New"/>
          <w:bCs/>
        </w:rPr>
      </w:pPr>
      <w:r>
        <w:rPr>
          <w:rFonts w:ascii="Calibri" w:hAnsi="Calibri" w:cs="Courier New"/>
          <w:bCs/>
        </w:rPr>
        <w:t>In Table 12.B., w</w:t>
      </w:r>
      <w:r w:rsidRPr="0027552C" w:rsidR="00C53BAB">
        <w:rPr>
          <w:rFonts w:ascii="Calibri" w:hAnsi="Calibri" w:cs="Courier New"/>
          <w:bCs/>
        </w:rPr>
        <w:t>e updated the hourly ages based on 2019 values</w:t>
      </w:r>
    </w:p>
    <w:p w:rsidR="00730630" w:rsidP="00730630" w:rsidRDefault="00730630" w14:paraId="0C417432" w14:textId="46136B72">
      <w:pPr>
        <w:rPr>
          <w:rFonts w:ascii="Calibri" w:hAnsi="Calibri" w:cs="Courier New"/>
          <w:bCs/>
        </w:rPr>
      </w:pPr>
    </w:p>
    <w:p w:rsidRPr="00B541FA" w:rsidR="00730630" w:rsidP="00730630" w:rsidRDefault="00730630" w14:paraId="720DC09D" w14:textId="05EFF1DE">
      <w:pPr>
        <w:rPr>
          <w:rFonts w:ascii="Calibri" w:hAnsi="Calibri" w:cs="Courier New"/>
          <w:bCs/>
        </w:rPr>
      </w:pPr>
      <w:r w:rsidRPr="00B541FA">
        <w:rPr>
          <w:rFonts w:ascii="Calibri" w:hAnsi="Calibri" w:cs="Courier New"/>
          <w:bCs/>
        </w:rPr>
        <w:t>In Table A.14, we made several changes based on recent changes in salary, costs, and staffing changes</w:t>
      </w:r>
    </w:p>
    <w:p w:rsidRPr="00B541FA" w:rsidR="00730630" w:rsidP="00F06A89" w:rsidRDefault="00730630" w14:paraId="611E8592" w14:textId="43B8AD9A">
      <w:pPr>
        <w:pStyle w:val="ListParagraph"/>
        <w:numPr>
          <w:ilvl w:val="0"/>
          <w:numId w:val="6"/>
        </w:numPr>
        <w:rPr>
          <w:rFonts w:ascii="Calibri" w:hAnsi="Calibri" w:cs="Courier New"/>
          <w:bCs/>
        </w:rPr>
      </w:pPr>
      <w:r w:rsidRPr="00B541FA">
        <w:rPr>
          <w:rFonts w:ascii="Calibri" w:hAnsi="Calibri" w:cs="Courier New"/>
          <w:bCs/>
        </w:rPr>
        <w:t>We updated salary estimates based on 2019 figures</w:t>
      </w:r>
      <w:r w:rsidRPr="00B541FA" w:rsidR="00B87AD0">
        <w:rPr>
          <w:rFonts w:ascii="Calibri" w:hAnsi="Calibri" w:cs="Courier New"/>
          <w:bCs/>
        </w:rPr>
        <w:t>.</w:t>
      </w:r>
    </w:p>
    <w:p w:rsidRPr="00B541FA" w:rsidR="00730630" w:rsidP="00F06A89" w:rsidRDefault="00A62558" w14:paraId="0038B650" w14:textId="36B9DA5F">
      <w:pPr>
        <w:pStyle w:val="ListParagraph"/>
        <w:numPr>
          <w:ilvl w:val="0"/>
          <w:numId w:val="6"/>
        </w:numPr>
        <w:rPr>
          <w:rFonts w:ascii="Calibri" w:hAnsi="Calibri" w:cs="Courier New"/>
          <w:bCs/>
        </w:rPr>
      </w:pPr>
      <w:r w:rsidRPr="00B541FA">
        <w:rPr>
          <w:rFonts w:ascii="Calibri" w:hAnsi="Calibri" w:cs="Courier New"/>
          <w:bCs/>
        </w:rPr>
        <w:t xml:space="preserve">To provide better oversight of this complex project, </w:t>
      </w:r>
      <w:r w:rsidRPr="00B541FA" w:rsidR="00730630">
        <w:rPr>
          <w:rFonts w:ascii="Calibri" w:hAnsi="Calibri" w:cs="Courier New"/>
          <w:bCs/>
        </w:rPr>
        <w:t>the GS level of laboratory personnel was increased to reflect the</w:t>
      </w:r>
      <w:r w:rsidRPr="00B541FA" w:rsidR="001366A0">
        <w:rPr>
          <w:rFonts w:ascii="Calibri" w:hAnsi="Calibri" w:cs="Courier New"/>
          <w:bCs/>
        </w:rPr>
        <w:t xml:space="preserve"> greater</w:t>
      </w:r>
      <w:r w:rsidRPr="00B541FA" w:rsidR="00730630">
        <w:rPr>
          <w:rFonts w:ascii="Calibri" w:hAnsi="Calibri" w:cs="Courier New"/>
          <w:bCs/>
        </w:rPr>
        <w:t xml:space="preserve"> support needs of this complex project. </w:t>
      </w:r>
    </w:p>
    <w:p w:rsidR="001366A0" w:rsidP="00F06A89" w:rsidRDefault="001366A0" w14:paraId="0A2BCE13" w14:textId="650F17D2">
      <w:pPr>
        <w:pStyle w:val="ListParagraph"/>
        <w:numPr>
          <w:ilvl w:val="0"/>
          <w:numId w:val="6"/>
        </w:numPr>
        <w:rPr>
          <w:rFonts w:ascii="Calibri" w:hAnsi="Calibri" w:cs="Courier New"/>
          <w:bCs/>
        </w:rPr>
      </w:pPr>
      <w:r w:rsidRPr="00B541FA">
        <w:rPr>
          <w:rFonts w:ascii="Calibri" w:hAnsi="Calibri" w:cs="Courier New"/>
          <w:bCs/>
        </w:rPr>
        <w:t>We estimated site costs based on 2019 funding levels</w:t>
      </w:r>
      <w:r w:rsidRPr="00B541FA" w:rsidR="00A62558">
        <w:rPr>
          <w:rFonts w:ascii="Calibri" w:hAnsi="Calibri" w:cs="Courier New"/>
          <w:bCs/>
        </w:rPr>
        <w:t>; costs increased as staffing and supply costs expanded to meet project objectives</w:t>
      </w:r>
      <w:r w:rsidRPr="00B541FA" w:rsidR="00B87AD0">
        <w:rPr>
          <w:rFonts w:ascii="Calibri" w:hAnsi="Calibri" w:cs="Courier New"/>
          <w:bCs/>
        </w:rPr>
        <w:t>.</w:t>
      </w:r>
    </w:p>
    <w:p w:rsidRPr="00B541FA" w:rsidR="00563553" w:rsidP="00F06A89" w:rsidRDefault="00563553" w14:paraId="0F11D31F" w14:textId="4A61ADE1">
      <w:pPr>
        <w:pStyle w:val="ListParagraph"/>
        <w:numPr>
          <w:ilvl w:val="0"/>
          <w:numId w:val="6"/>
        </w:numPr>
        <w:rPr>
          <w:rFonts w:ascii="Calibri" w:hAnsi="Calibri" w:cs="Courier New"/>
          <w:bCs/>
        </w:rPr>
      </w:pPr>
      <w:r>
        <w:rPr>
          <w:rFonts w:ascii="Calibri" w:hAnsi="Calibri" w:cs="Courier New"/>
          <w:bCs/>
        </w:rPr>
        <w:t>The funding for grantees (other expenses) decreased slightly to $5,215,363.</w:t>
      </w:r>
    </w:p>
    <w:p w:rsidRPr="00B541FA" w:rsidR="001366A0" w:rsidP="00F06A89" w:rsidRDefault="001366A0" w14:paraId="512672D6" w14:textId="4B01480A">
      <w:pPr>
        <w:pStyle w:val="ListParagraph"/>
        <w:numPr>
          <w:ilvl w:val="0"/>
          <w:numId w:val="6"/>
        </w:numPr>
        <w:rPr>
          <w:rFonts w:ascii="Calibri" w:hAnsi="Calibri" w:cs="Courier New"/>
          <w:bCs/>
        </w:rPr>
      </w:pPr>
      <w:r w:rsidRPr="00B541FA">
        <w:rPr>
          <w:rFonts w:ascii="Calibri" w:hAnsi="Calibri" w:cs="Courier New"/>
          <w:bCs/>
        </w:rPr>
        <w:t xml:space="preserve">The total cost </w:t>
      </w:r>
      <w:r w:rsidR="00563553">
        <w:rPr>
          <w:rFonts w:ascii="Calibri" w:hAnsi="Calibri" w:cs="Courier New"/>
          <w:bCs/>
        </w:rPr>
        <w:t>decreased</w:t>
      </w:r>
      <w:r w:rsidRPr="00B541FA">
        <w:rPr>
          <w:rFonts w:ascii="Calibri" w:hAnsi="Calibri" w:cs="Courier New"/>
          <w:bCs/>
        </w:rPr>
        <w:t xml:space="preserve"> slightly from $5,654,830 to $</w:t>
      </w:r>
      <w:r w:rsidRPr="00B541FA">
        <w:rPr>
          <w:rFonts w:ascii="Calibri" w:hAnsi="Calibri"/>
        </w:rPr>
        <w:t>5,</w:t>
      </w:r>
      <w:r w:rsidR="00563553">
        <w:rPr>
          <w:rFonts w:ascii="Calibri" w:hAnsi="Calibri"/>
        </w:rPr>
        <w:t>491,383</w:t>
      </w:r>
      <w:r w:rsidRPr="00B541FA">
        <w:rPr>
          <w:rFonts w:ascii="Calibri" w:hAnsi="Calibri"/>
        </w:rPr>
        <w:t>.</w:t>
      </w:r>
    </w:p>
    <w:p w:rsidRPr="00B541FA" w:rsidR="00C53BAB" w:rsidRDefault="00C53BAB" w14:paraId="4AE2B7F1" w14:textId="61A76718">
      <w:pPr>
        <w:rPr>
          <w:rFonts w:ascii="Calibri" w:hAnsi="Calibri" w:cs="Courier New"/>
          <w:b/>
        </w:rPr>
      </w:pPr>
    </w:p>
    <w:p w:rsidR="006A335E" w:rsidRDefault="006A335E" w14:paraId="6E2AEF9D" w14:textId="66C57BAA">
      <w:pPr>
        <w:rPr>
          <w:rFonts w:ascii="Calibri" w:hAnsi="Calibri" w:cs="Courier New"/>
          <w:b/>
        </w:rPr>
      </w:pPr>
      <w:r w:rsidRPr="00B541FA">
        <w:rPr>
          <w:rFonts w:ascii="Calibri" w:hAnsi="Calibri" w:cs="Courier New"/>
          <w:bCs/>
        </w:rPr>
        <w:t>Based on lessons learned</w:t>
      </w:r>
      <w:r w:rsidRPr="00B541FA">
        <w:rPr>
          <w:rFonts w:ascii="Calibri" w:hAnsi="Calibri" w:cs="Courier New"/>
          <w:b/>
        </w:rPr>
        <w:t xml:space="preserve"> </w:t>
      </w:r>
      <w:r w:rsidRPr="00B541FA">
        <w:rPr>
          <w:rFonts w:ascii="Calibri" w:hAnsi="Calibri" w:cs="Courier New"/>
          <w:bCs/>
        </w:rPr>
        <w:t xml:space="preserve">about usefulness of specific data elements and feasibility of collecting them, we plan to </w:t>
      </w:r>
      <w:r w:rsidRPr="00B541FA" w:rsidR="000D5404">
        <w:rPr>
          <w:rFonts w:ascii="Calibri" w:hAnsi="Calibri" w:cs="Courier New"/>
          <w:bCs/>
        </w:rPr>
        <w:t>reduce the time to complete each survey (from 30 minutes to 20 minutes)</w:t>
      </w:r>
      <w:r w:rsidR="000D5404">
        <w:rPr>
          <w:rFonts w:ascii="Calibri" w:hAnsi="Calibri" w:cs="Courier New"/>
          <w:bCs/>
        </w:rPr>
        <w:t xml:space="preserve"> and update the</w:t>
      </w:r>
      <w:r w:rsidR="00F36247">
        <w:rPr>
          <w:rFonts w:ascii="Calibri" w:hAnsi="Calibri" w:cs="Courier New"/>
          <w:bCs/>
        </w:rPr>
        <w:t xml:space="preserve"> </w:t>
      </w:r>
      <w:r>
        <w:rPr>
          <w:rFonts w:ascii="Calibri" w:hAnsi="Calibri" w:cs="Courier New"/>
          <w:bCs/>
        </w:rPr>
        <w:t xml:space="preserve">data </w:t>
      </w:r>
      <w:r w:rsidRPr="00AF6071">
        <w:rPr>
          <w:rFonts w:ascii="Calibri" w:hAnsi="Calibri" w:cs="Courier New"/>
          <w:bCs/>
        </w:rPr>
        <w:t xml:space="preserve">elements (see </w:t>
      </w:r>
      <w:r w:rsidRPr="00A96AE5">
        <w:rPr>
          <w:rFonts w:ascii="Calibri" w:hAnsi="Calibri" w:cs="Courier New"/>
          <w:b/>
        </w:rPr>
        <w:t>Attachment</w:t>
      </w:r>
      <w:r w:rsidRPr="00A96AE5" w:rsidR="00AF6071">
        <w:rPr>
          <w:rFonts w:ascii="Calibri" w:hAnsi="Calibri" w:cs="Courier New"/>
          <w:b/>
        </w:rPr>
        <w:t xml:space="preserve"> 3D</w:t>
      </w:r>
      <w:r w:rsidR="00AF6071">
        <w:rPr>
          <w:rFonts w:ascii="Calibri" w:hAnsi="Calibri" w:cs="Courier New"/>
          <w:bCs/>
        </w:rPr>
        <w:t>)</w:t>
      </w:r>
      <w:r w:rsidRPr="00AF6071">
        <w:rPr>
          <w:rFonts w:ascii="Calibri" w:hAnsi="Calibri" w:cs="Courier New"/>
          <w:bCs/>
        </w:rPr>
        <w:t>.</w:t>
      </w:r>
      <w:r>
        <w:rPr>
          <w:rFonts w:ascii="Calibri" w:hAnsi="Calibri" w:cs="Courier New"/>
          <w:bCs/>
        </w:rPr>
        <w:t xml:space="preserve"> </w:t>
      </w:r>
    </w:p>
    <w:p w:rsidR="006A335E" w:rsidRDefault="006A335E" w14:paraId="4A52B2EF" w14:textId="77777777">
      <w:pPr>
        <w:rPr>
          <w:rFonts w:ascii="Calibri" w:hAnsi="Calibri" w:cs="Courier New"/>
          <w:b/>
        </w:rPr>
      </w:pPr>
    </w:p>
    <w:p w:rsidRPr="00A042C9" w:rsidR="00E81E5D" w:rsidRDefault="00E81E5D" w14:paraId="081FB70B" w14:textId="77777777">
      <w:pPr>
        <w:rPr>
          <w:rFonts w:ascii="Calibri" w:hAnsi="Calibri" w:cs="Courier New"/>
          <w:b/>
        </w:rPr>
      </w:pPr>
      <w:r w:rsidRPr="00C84134">
        <w:rPr>
          <w:rFonts w:ascii="Calibri" w:hAnsi="Calibri" w:cs="Courier New"/>
          <w:b/>
        </w:rPr>
        <w:t>16. Plans for</w:t>
      </w:r>
      <w:r w:rsidRPr="00A042C9">
        <w:rPr>
          <w:rFonts w:ascii="Calibri" w:hAnsi="Calibri" w:cs="Courier New"/>
          <w:b/>
        </w:rPr>
        <w:t xml:space="preserve"> Tabulation and Publication and Project Time Schedule </w:t>
      </w:r>
    </w:p>
    <w:p w:rsidR="00371BEA" w:rsidP="00434045" w:rsidRDefault="00371BEA" w14:paraId="43BDCE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rPr>
      </w:pPr>
    </w:p>
    <w:p w:rsidRPr="00371BEA" w:rsidR="00434045" w:rsidP="00434045" w:rsidRDefault="00483309" w14:paraId="63A701F9" w14:textId="0B357C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rPr>
      </w:pPr>
      <w:r w:rsidRPr="00371BEA">
        <w:rPr>
          <w:rFonts w:ascii="Calibri" w:hAnsi="Calibri" w:cs="Courier New"/>
        </w:rPr>
        <w:t xml:space="preserve">We anticipate </w:t>
      </w:r>
      <w:r w:rsidRPr="00371BEA" w:rsidR="00371BEA">
        <w:rPr>
          <w:rFonts w:ascii="Calibri" w:hAnsi="Calibri" w:cs="Courier New"/>
        </w:rPr>
        <w:t xml:space="preserve">continued </w:t>
      </w:r>
      <w:r w:rsidRPr="00371BEA">
        <w:rPr>
          <w:rFonts w:ascii="Calibri" w:hAnsi="Calibri" w:cs="Courier New"/>
        </w:rPr>
        <w:t xml:space="preserve">data collection </w:t>
      </w:r>
      <w:r w:rsidRPr="00371BEA" w:rsidR="00371BEA">
        <w:rPr>
          <w:rFonts w:ascii="Calibri" w:hAnsi="Calibri" w:cs="Courier New"/>
        </w:rPr>
        <w:t xml:space="preserve">following </w:t>
      </w:r>
      <w:r w:rsidR="005A78D6">
        <w:rPr>
          <w:rFonts w:ascii="Calibri" w:hAnsi="Calibri" w:cs="Courier New"/>
        </w:rPr>
        <w:t xml:space="preserve">approval of the revision </w:t>
      </w:r>
      <w:r w:rsidRPr="00371BEA">
        <w:rPr>
          <w:rFonts w:ascii="Calibri" w:hAnsi="Calibri" w:cs="Courier New"/>
        </w:rPr>
        <w:t xml:space="preserve">through </w:t>
      </w:r>
      <w:r w:rsidRPr="00371BEA" w:rsidR="00927CDE">
        <w:rPr>
          <w:rFonts w:ascii="Calibri" w:hAnsi="Calibri" w:cs="Courier New"/>
        </w:rPr>
        <w:t>September</w:t>
      </w:r>
      <w:r w:rsidRPr="00371BEA">
        <w:rPr>
          <w:rFonts w:ascii="Calibri" w:hAnsi="Calibri" w:cs="Courier New"/>
        </w:rPr>
        <w:t xml:space="preserve">, </w:t>
      </w:r>
      <w:r w:rsidRPr="00371BEA" w:rsidR="00371BEA">
        <w:rPr>
          <w:rFonts w:ascii="Calibri" w:hAnsi="Calibri" w:cs="Courier New"/>
        </w:rPr>
        <w:t>2024</w:t>
      </w:r>
      <w:r w:rsidRPr="00371BEA">
        <w:rPr>
          <w:rFonts w:ascii="Calibri" w:hAnsi="Calibri" w:cs="Courier New"/>
        </w:rPr>
        <w:t xml:space="preserve">. </w:t>
      </w:r>
      <w:r w:rsidRPr="00371BEA" w:rsidR="00434045">
        <w:rPr>
          <w:rFonts w:ascii="Calibri" w:hAnsi="Calibri" w:cs="Courier New"/>
        </w:rPr>
        <w:t>Preliminary data an</w:t>
      </w:r>
      <w:r w:rsidRPr="00371BEA">
        <w:rPr>
          <w:rFonts w:ascii="Calibri" w:hAnsi="Calibri" w:cs="Courier New"/>
        </w:rPr>
        <w:t>alysis is expected to begin 4–</w:t>
      </w:r>
      <w:r w:rsidRPr="00371BEA" w:rsidR="00434045">
        <w:rPr>
          <w:rFonts w:ascii="Calibri" w:hAnsi="Calibri" w:cs="Courier New"/>
        </w:rPr>
        <w:t xml:space="preserve">6 months after OMB </w:t>
      </w:r>
      <w:r w:rsidRPr="00371BEA" w:rsidR="00371BEA">
        <w:rPr>
          <w:rFonts w:ascii="Calibri" w:hAnsi="Calibri" w:cs="Courier New"/>
        </w:rPr>
        <w:t>renewal</w:t>
      </w:r>
      <w:r w:rsidRPr="00371BEA" w:rsidR="00434045">
        <w:rPr>
          <w:rFonts w:ascii="Calibri" w:hAnsi="Calibri" w:cs="Courier New"/>
        </w:rPr>
        <w:t xml:space="preserve">. Interim data analyses will be completed 12 months after OMB approval. Additional data analysis will occur at least annually during the time period of the approved 3-year project period. Data analyses include descriptive analyses, trends in gonococcal antimicrobial resistance over time, and network analyses of partnerships. Analyses of the data </w:t>
      </w:r>
      <w:r w:rsidR="005A78D6">
        <w:rPr>
          <w:rFonts w:ascii="Calibri" w:hAnsi="Calibri" w:cs="Courier New"/>
        </w:rPr>
        <w:t xml:space="preserve">have been and </w:t>
      </w:r>
      <w:r w:rsidRPr="00371BEA" w:rsidR="00434045">
        <w:rPr>
          <w:rFonts w:ascii="Calibri" w:hAnsi="Calibri" w:cs="Courier New"/>
        </w:rPr>
        <w:t xml:space="preserve">will be published in scientific and public health journals and presented at scientific meetings.  </w:t>
      </w:r>
    </w:p>
    <w:p w:rsidRPr="00A042C9" w:rsidR="00E81E5D" w:rsidRDefault="00E81E5D" w14:paraId="19039DA1" w14:textId="77777777">
      <w:pPr>
        <w:rPr>
          <w:rFonts w:ascii="Calibri" w:hAnsi="Calibri" w:cs="Courier New"/>
          <w:b/>
        </w:rPr>
      </w:pPr>
    </w:p>
    <w:p w:rsidRPr="00A042C9" w:rsidR="00E81E5D" w:rsidRDefault="00E81E5D" w14:paraId="3AC2D9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Calibri" w:hAnsi="Calibri" w:cs="Courier New"/>
        </w:rPr>
      </w:pPr>
      <w:r w:rsidRPr="00A042C9">
        <w:rPr>
          <w:rFonts w:ascii="Calibri" w:hAnsi="Calibri" w:cs="Courier New"/>
        </w:rPr>
        <w:t xml:space="preserve">Table A.16:  Project Time Schedule </w:t>
      </w:r>
    </w:p>
    <w:tbl>
      <w:tblPr>
        <w:tblpPr w:leftFromText="180" w:rightFromText="180" w:vertAnchor="text" w:horzAnchor="margin" w:tblpY="258"/>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69"/>
        <w:gridCol w:w="4869"/>
      </w:tblGrid>
      <w:tr w:rsidRPr="00A042C9" w:rsidR="00E81E5D" w14:paraId="5E600BB4" w14:textId="77777777">
        <w:tc>
          <w:tcPr>
            <w:tcW w:w="4869" w:type="dxa"/>
          </w:tcPr>
          <w:p w:rsidRPr="00A042C9" w:rsidR="00E81E5D" w:rsidRDefault="00E81E5D" w14:paraId="602826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ourier New"/>
                <w:b/>
              </w:rPr>
            </w:pPr>
            <w:r w:rsidRPr="00A042C9">
              <w:rPr>
                <w:rFonts w:ascii="Calibri" w:hAnsi="Calibri" w:cs="Courier New"/>
                <w:b/>
              </w:rPr>
              <w:t>Activity</w:t>
            </w:r>
          </w:p>
        </w:tc>
        <w:tc>
          <w:tcPr>
            <w:tcW w:w="4869" w:type="dxa"/>
          </w:tcPr>
          <w:p w:rsidRPr="00A042C9" w:rsidR="00E81E5D" w:rsidRDefault="00E81E5D" w14:paraId="7F6B9C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ourier New"/>
                <w:b/>
              </w:rPr>
            </w:pPr>
            <w:r w:rsidRPr="00A042C9">
              <w:rPr>
                <w:rFonts w:ascii="Calibri" w:hAnsi="Calibri" w:cs="Courier New"/>
                <w:b/>
              </w:rPr>
              <w:t>Time Schedule</w:t>
            </w:r>
          </w:p>
        </w:tc>
      </w:tr>
      <w:tr w:rsidRPr="00A042C9" w:rsidR="00E81E5D" w14:paraId="1E806F9E" w14:textId="77777777">
        <w:tc>
          <w:tcPr>
            <w:tcW w:w="4869" w:type="dxa"/>
          </w:tcPr>
          <w:p w:rsidRPr="00371BEA" w:rsidR="00E81E5D" w:rsidP="00C74339" w:rsidRDefault="00E81E5D" w14:paraId="25ADE8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b/>
              </w:rPr>
            </w:pPr>
            <w:r w:rsidRPr="00371BEA">
              <w:rPr>
                <w:rFonts w:ascii="Calibri" w:hAnsi="Calibri" w:cs="Courier New"/>
              </w:rPr>
              <w:t>Collection of isolates and clinical/demographic data from</w:t>
            </w:r>
            <w:r w:rsidRPr="00371BEA" w:rsidR="00C74339">
              <w:rPr>
                <w:rFonts w:ascii="Calibri" w:hAnsi="Calibri" w:cs="Courier New"/>
              </w:rPr>
              <w:t xml:space="preserve"> participating clinics and jurisdictions</w:t>
            </w:r>
          </w:p>
        </w:tc>
        <w:tc>
          <w:tcPr>
            <w:tcW w:w="4869" w:type="dxa"/>
          </w:tcPr>
          <w:p w:rsidRPr="00371BEA" w:rsidR="00E81E5D" w:rsidRDefault="00C74339" w14:paraId="1BBF8C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rPr>
            </w:pPr>
            <w:r w:rsidRPr="00371BEA">
              <w:rPr>
                <w:rFonts w:ascii="Calibri" w:hAnsi="Calibri" w:cs="Courier New"/>
              </w:rPr>
              <w:t>Every other month</w:t>
            </w:r>
            <w:r w:rsidRPr="00371BEA" w:rsidR="00E81E5D">
              <w:rPr>
                <w:rFonts w:ascii="Calibri" w:hAnsi="Calibri" w:cs="Courier New"/>
              </w:rPr>
              <w:t xml:space="preserve"> after OMB approval </w:t>
            </w:r>
          </w:p>
        </w:tc>
      </w:tr>
      <w:tr w:rsidRPr="00A042C9" w:rsidR="00E81E5D" w14:paraId="0BCECBC0" w14:textId="77777777">
        <w:tc>
          <w:tcPr>
            <w:tcW w:w="4869" w:type="dxa"/>
          </w:tcPr>
          <w:p w:rsidRPr="00371BEA" w:rsidR="00E81E5D" w:rsidRDefault="00E81E5D" w14:paraId="4046CB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rPr>
            </w:pPr>
            <w:r w:rsidRPr="00371BEA">
              <w:rPr>
                <w:rFonts w:ascii="Calibri" w:hAnsi="Calibri" w:cs="Courier New"/>
              </w:rPr>
              <w:t xml:space="preserve">Data management and validation of data collected </w:t>
            </w:r>
          </w:p>
        </w:tc>
        <w:tc>
          <w:tcPr>
            <w:tcW w:w="4869" w:type="dxa"/>
          </w:tcPr>
          <w:p w:rsidRPr="00371BEA" w:rsidR="00E81E5D" w:rsidRDefault="00E81E5D" w14:paraId="76ED61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rPr>
            </w:pPr>
            <w:r w:rsidRPr="00371BEA">
              <w:rPr>
                <w:rFonts w:ascii="Calibri" w:hAnsi="Calibri" w:cs="Courier New"/>
              </w:rPr>
              <w:t xml:space="preserve">Quarterly after OMB approval  </w:t>
            </w:r>
          </w:p>
        </w:tc>
      </w:tr>
      <w:tr w:rsidRPr="00A042C9" w:rsidR="00E81E5D" w14:paraId="61644348" w14:textId="77777777">
        <w:tc>
          <w:tcPr>
            <w:tcW w:w="4869" w:type="dxa"/>
          </w:tcPr>
          <w:p w:rsidRPr="00371BEA" w:rsidR="00E81E5D" w:rsidRDefault="00E81E5D" w14:paraId="176B2E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rPr>
            </w:pPr>
            <w:r w:rsidRPr="00371BEA">
              <w:rPr>
                <w:rFonts w:ascii="Calibri" w:hAnsi="Calibri" w:cs="Courier New"/>
              </w:rPr>
              <w:t xml:space="preserve">Dissemination of results via </w:t>
            </w:r>
            <w:r w:rsidR="00371BEA">
              <w:rPr>
                <w:rFonts w:ascii="Calibri" w:hAnsi="Calibri" w:cs="Courier New"/>
              </w:rPr>
              <w:t>reports, abstracts, peer-reviewed publications</w:t>
            </w:r>
          </w:p>
        </w:tc>
        <w:tc>
          <w:tcPr>
            <w:tcW w:w="4869" w:type="dxa"/>
          </w:tcPr>
          <w:p w:rsidRPr="00371BEA" w:rsidR="00E81E5D" w:rsidRDefault="00E81E5D" w14:paraId="05D1EC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rPr>
            </w:pPr>
            <w:r w:rsidRPr="00371BEA">
              <w:rPr>
                <w:rFonts w:ascii="Calibri" w:hAnsi="Calibri" w:cs="Courier New"/>
              </w:rPr>
              <w:t xml:space="preserve">12 months after OMB approval and annually </w:t>
            </w:r>
          </w:p>
        </w:tc>
      </w:tr>
    </w:tbl>
    <w:p w:rsidRPr="00A042C9" w:rsidR="00E81E5D" w:rsidP="00387116" w:rsidRDefault="00E81E5D" w14:paraId="5E760928" w14:textId="77777777">
      <w:pPr>
        <w:spacing w:before="360" w:line="480" w:lineRule="auto"/>
        <w:rPr>
          <w:rFonts w:ascii="Calibri" w:hAnsi="Calibri" w:cs="Courier New"/>
          <w:b/>
        </w:rPr>
      </w:pPr>
      <w:r w:rsidRPr="00A042C9">
        <w:rPr>
          <w:rFonts w:ascii="Calibri" w:hAnsi="Calibri" w:cs="Courier New"/>
          <w:b/>
        </w:rPr>
        <w:t>17. Reason(s) Display of OMB Expiration Date is Inappropriate</w:t>
      </w:r>
    </w:p>
    <w:p w:rsidRPr="00A042C9" w:rsidR="00E81E5D" w:rsidRDefault="00E81E5D" w14:paraId="714A21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rPr>
      </w:pPr>
      <w:r w:rsidRPr="00A042C9">
        <w:rPr>
          <w:rFonts w:ascii="Calibri" w:hAnsi="Calibri" w:cs="Courier New"/>
        </w:rPr>
        <w:t>The display of the OMB expiration date is not inappropriate.</w:t>
      </w:r>
    </w:p>
    <w:p w:rsidRPr="00A042C9" w:rsidR="00E81E5D" w:rsidRDefault="00E81E5D" w14:paraId="44020F6D" w14:textId="77777777">
      <w:pPr>
        <w:rPr>
          <w:rFonts w:ascii="Calibri" w:hAnsi="Calibri" w:cs="Courier New"/>
          <w:b/>
        </w:rPr>
      </w:pPr>
    </w:p>
    <w:p w:rsidRPr="00A042C9" w:rsidR="00E81E5D" w:rsidRDefault="00E81E5D" w14:paraId="1E16910E" w14:textId="77777777">
      <w:pPr>
        <w:rPr>
          <w:rFonts w:ascii="Calibri" w:hAnsi="Calibri" w:cs="Courier New"/>
          <w:b/>
        </w:rPr>
      </w:pPr>
      <w:r w:rsidRPr="00A042C9">
        <w:rPr>
          <w:rFonts w:ascii="Calibri" w:hAnsi="Calibri" w:cs="Courier New"/>
          <w:b/>
        </w:rPr>
        <w:t>18. Exceptions to Certification for Paperwork Reduction Act (PRA) Submissions</w:t>
      </w:r>
    </w:p>
    <w:p w:rsidRPr="00A042C9" w:rsidR="00E81E5D" w:rsidRDefault="00E81E5D" w14:paraId="62C7925C" w14:textId="77777777">
      <w:pPr>
        <w:rPr>
          <w:rFonts w:ascii="Calibri" w:hAnsi="Calibri" w:cs="Courier New"/>
        </w:rPr>
      </w:pPr>
      <w:r w:rsidRPr="00A042C9">
        <w:rPr>
          <w:rFonts w:ascii="Calibri" w:hAnsi="Calibri" w:cs="Courier New"/>
          <w:b/>
        </w:rPr>
        <w:t xml:space="preserve"> </w:t>
      </w:r>
    </w:p>
    <w:p w:rsidRPr="00A042C9" w:rsidR="00E81E5D" w:rsidRDefault="00E81E5D" w14:paraId="1D46D0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rPr>
      </w:pPr>
      <w:r w:rsidRPr="00A042C9">
        <w:rPr>
          <w:rFonts w:ascii="Calibri" w:hAnsi="Calibri" w:cs="Courier New"/>
        </w:rPr>
        <w:t>There are no exceptions to the certification for the clinical sites and GISP regional laboratories. OMB/PRA clearance is not required for the Antibiotic Resistance Laboratory Network (as described previously).</w:t>
      </w:r>
    </w:p>
    <w:p w:rsidRPr="00A042C9" w:rsidR="00E81E5D" w:rsidRDefault="00E81E5D" w14:paraId="40AD38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ourier New"/>
        </w:rPr>
      </w:pPr>
    </w:p>
    <w:p w:rsidRPr="00A042C9" w:rsidR="00E81E5D" w:rsidRDefault="00E81E5D" w14:paraId="5066CE87" w14:textId="77777777">
      <w:pPr>
        <w:tabs>
          <w:tab w:val="left" w:pos="-2016"/>
          <w:tab w:val="left" w:pos="-1296"/>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624"/>
          <w:tab w:val="left" w:pos="7344"/>
          <w:tab w:val="left" w:pos="8064"/>
        </w:tabs>
        <w:rPr>
          <w:rFonts w:ascii="Calibri" w:hAnsi="Calibri" w:cs="Courier New"/>
          <w:b/>
        </w:rPr>
      </w:pPr>
      <w:r w:rsidRPr="00A042C9">
        <w:rPr>
          <w:rFonts w:ascii="Calibri" w:hAnsi="Calibri" w:cs="Courier New"/>
          <w:b/>
        </w:rPr>
        <w:t>References</w:t>
      </w:r>
    </w:p>
    <w:p w:rsidRPr="00C552E4" w:rsidR="00E81E5D" w:rsidRDefault="00E81E5D" w14:paraId="130DF467" w14:textId="77777777">
      <w:pPr>
        <w:tabs>
          <w:tab w:val="left" w:pos="-2016"/>
          <w:tab w:val="left" w:pos="-1296"/>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624"/>
          <w:tab w:val="left" w:pos="7344"/>
          <w:tab w:val="left" w:pos="8064"/>
        </w:tabs>
        <w:rPr>
          <w:rFonts w:ascii="Calibri Light" w:hAnsi="Calibri Light" w:cs="Courier New"/>
          <w:b/>
          <w:sz w:val="22"/>
          <w:szCs w:val="22"/>
        </w:rPr>
      </w:pPr>
    </w:p>
    <w:p w:rsidRPr="0027552C" w:rsidR="00E81E5D" w:rsidP="00F06A89" w:rsidRDefault="00236A79" w14:paraId="1965C15A" w14:textId="3E33F8B5">
      <w:pPr>
        <w:numPr>
          <w:ilvl w:val="0"/>
          <w:numId w:val="2"/>
        </w:numPr>
        <w:tabs>
          <w:tab w:val="left" w:pos="-2016"/>
          <w:tab w:val="left" w:pos="-1296"/>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624"/>
          <w:tab w:val="left" w:pos="7344"/>
          <w:tab w:val="left" w:pos="8064"/>
        </w:tabs>
        <w:rPr>
          <w:rFonts w:asciiTheme="minorHAnsi" w:hAnsiTheme="minorHAnsi" w:cstheme="minorHAnsi"/>
          <w:sz w:val="22"/>
          <w:szCs w:val="22"/>
        </w:rPr>
      </w:pPr>
      <w:r>
        <w:rPr>
          <w:rFonts w:asciiTheme="minorHAnsi" w:hAnsiTheme="minorHAnsi" w:cstheme="minorHAnsi"/>
          <w:sz w:val="22"/>
          <w:szCs w:val="22"/>
        </w:rPr>
        <w:t>Kreisel KM, Weston EJ, St Cyr S, Spicknall IH</w:t>
      </w:r>
      <w:r w:rsidRPr="0027552C" w:rsidR="00E81E5D">
        <w:rPr>
          <w:rFonts w:asciiTheme="minorHAnsi" w:hAnsiTheme="minorHAnsi" w:cstheme="minorHAnsi"/>
          <w:sz w:val="22"/>
          <w:szCs w:val="22"/>
        </w:rPr>
        <w:t xml:space="preserve">. </w:t>
      </w:r>
      <w:r>
        <w:rPr>
          <w:rFonts w:asciiTheme="minorHAnsi" w:hAnsiTheme="minorHAnsi" w:cstheme="minorHAnsi"/>
          <w:sz w:val="22"/>
          <w:szCs w:val="22"/>
        </w:rPr>
        <w:t xml:space="preserve">Estimates of the prevalence and incidence of chlamydia and gonorrhea among US men and women, 2018. </w:t>
      </w:r>
      <w:r w:rsidRPr="0027552C" w:rsidR="00E81E5D">
        <w:rPr>
          <w:rFonts w:asciiTheme="minorHAnsi" w:hAnsiTheme="minorHAnsi" w:cstheme="minorHAnsi"/>
          <w:sz w:val="22"/>
          <w:szCs w:val="22"/>
        </w:rPr>
        <w:t xml:space="preserve">Sex Transm Dis </w:t>
      </w:r>
      <w:r w:rsidRPr="0027552C">
        <w:rPr>
          <w:rFonts w:asciiTheme="minorHAnsi" w:hAnsiTheme="minorHAnsi" w:cstheme="minorHAnsi"/>
          <w:sz w:val="22"/>
          <w:szCs w:val="22"/>
        </w:rPr>
        <w:t>20</w:t>
      </w:r>
      <w:r>
        <w:rPr>
          <w:rFonts w:asciiTheme="minorHAnsi" w:hAnsiTheme="minorHAnsi" w:cstheme="minorHAnsi"/>
          <w:sz w:val="22"/>
          <w:szCs w:val="22"/>
        </w:rPr>
        <w:t>21</w:t>
      </w:r>
      <w:r w:rsidRPr="0027552C" w:rsidR="00E81E5D">
        <w:rPr>
          <w:rFonts w:asciiTheme="minorHAnsi" w:hAnsiTheme="minorHAnsi" w:cstheme="minorHAnsi"/>
          <w:sz w:val="22"/>
          <w:szCs w:val="22"/>
        </w:rPr>
        <w:t>;4</w:t>
      </w:r>
      <w:r>
        <w:rPr>
          <w:rFonts w:asciiTheme="minorHAnsi" w:hAnsiTheme="minorHAnsi" w:cstheme="minorHAnsi"/>
          <w:sz w:val="22"/>
          <w:szCs w:val="22"/>
        </w:rPr>
        <w:t>8</w:t>
      </w:r>
      <w:r w:rsidRPr="0027552C" w:rsidR="00E81E5D">
        <w:rPr>
          <w:rFonts w:asciiTheme="minorHAnsi" w:hAnsiTheme="minorHAnsi" w:cstheme="minorHAnsi"/>
          <w:sz w:val="22"/>
          <w:szCs w:val="22"/>
        </w:rPr>
        <w:t>(</w:t>
      </w:r>
      <w:r>
        <w:rPr>
          <w:rFonts w:asciiTheme="minorHAnsi" w:hAnsiTheme="minorHAnsi" w:cstheme="minorHAnsi"/>
          <w:sz w:val="22"/>
          <w:szCs w:val="22"/>
        </w:rPr>
        <w:t>4</w:t>
      </w:r>
      <w:r w:rsidRPr="0027552C" w:rsidR="00E81E5D">
        <w:rPr>
          <w:rFonts w:asciiTheme="minorHAnsi" w:hAnsiTheme="minorHAnsi" w:cstheme="minorHAnsi"/>
          <w:sz w:val="22"/>
          <w:szCs w:val="22"/>
        </w:rPr>
        <w:t>):</w:t>
      </w:r>
      <w:r>
        <w:rPr>
          <w:rFonts w:asciiTheme="minorHAnsi" w:hAnsiTheme="minorHAnsi" w:cstheme="minorHAnsi"/>
          <w:sz w:val="22"/>
          <w:szCs w:val="22"/>
        </w:rPr>
        <w:t>222</w:t>
      </w:r>
      <w:r w:rsidRPr="0027552C" w:rsidR="00E81E5D">
        <w:rPr>
          <w:rFonts w:asciiTheme="minorHAnsi" w:hAnsiTheme="minorHAnsi" w:cstheme="minorHAnsi"/>
          <w:sz w:val="22"/>
          <w:szCs w:val="22"/>
        </w:rPr>
        <w:t>-</w:t>
      </w:r>
      <w:r>
        <w:rPr>
          <w:rFonts w:asciiTheme="minorHAnsi" w:hAnsiTheme="minorHAnsi" w:cstheme="minorHAnsi"/>
          <w:sz w:val="22"/>
          <w:szCs w:val="22"/>
        </w:rPr>
        <w:t>231</w:t>
      </w:r>
      <w:r w:rsidRPr="0027552C" w:rsidR="00E81E5D">
        <w:rPr>
          <w:rFonts w:asciiTheme="minorHAnsi" w:hAnsiTheme="minorHAnsi" w:cstheme="minorHAnsi"/>
          <w:sz w:val="22"/>
          <w:szCs w:val="22"/>
        </w:rPr>
        <w:t>.</w:t>
      </w:r>
    </w:p>
    <w:p w:rsidRPr="0027552C" w:rsidR="00E81E5D" w:rsidP="00F06A89" w:rsidRDefault="00E81E5D" w14:paraId="6FB75A6E" w14:textId="77777777">
      <w:pPr>
        <w:numPr>
          <w:ilvl w:val="0"/>
          <w:numId w:val="2"/>
        </w:numPr>
        <w:tabs>
          <w:tab w:val="left" w:pos="-2016"/>
          <w:tab w:val="left" w:pos="-1296"/>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624"/>
          <w:tab w:val="left" w:pos="7344"/>
          <w:tab w:val="left" w:pos="8064"/>
        </w:tabs>
        <w:rPr>
          <w:rFonts w:asciiTheme="minorHAnsi" w:hAnsiTheme="minorHAnsi" w:cstheme="minorHAnsi"/>
          <w:sz w:val="22"/>
          <w:szCs w:val="22"/>
        </w:rPr>
      </w:pPr>
      <w:r w:rsidRPr="0027552C">
        <w:rPr>
          <w:rFonts w:asciiTheme="minorHAnsi" w:hAnsiTheme="minorHAnsi" w:cstheme="minorHAnsi"/>
          <w:sz w:val="22"/>
          <w:szCs w:val="22"/>
        </w:rPr>
        <w:t xml:space="preserve">Unemo M. Current and future antimicrobial treatment of gonorrhea – the rapidly evolving </w:t>
      </w:r>
      <w:r w:rsidRPr="0027552C">
        <w:rPr>
          <w:rFonts w:asciiTheme="minorHAnsi" w:hAnsiTheme="minorHAnsi" w:cstheme="minorHAnsi"/>
          <w:i/>
          <w:sz w:val="22"/>
          <w:szCs w:val="22"/>
        </w:rPr>
        <w:t>Neisseria gonorrhoeae</w:t>
      </w:r>
      <w:r w:rsidRPr="0027552C">
        <w:rPr>
          <w:rFonts w:asciiTheme="minorHAnsi" w:hAnsiTheme="minorHAnsi" w:cstheme="minorHAnsi"/>
          <w:sz w:val="22"/>
          <w:szCs w:val="22"/>
        </w:rPr>
        <w:t xml:space="preserve"> continues to challenge. BMC Infect Dis 2015;15:364.</w:t>
      </w:r>
    </w:p>
    <w:p w:rsidRPr="0027552C" w:rsidR="00C74339" w:rsidP="00F06A89" w:rsidRDefault="00C74339" w14:paraId="68152BC3" w14:textId="1016E1F0">
      <w:pPr>
        <w:numPr>
          <w:ilvl w:val="0"/>
          <w:numId w:val="2"/>
        </w:numPr>
        <w:tabs>
          <w:tab w:val="left" w:pos="-2016"/>
          <w:tab w:val="left" w:pos="-1296"/>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624"/>
          <w:tab w:val="left" w:pos="7344"/>
          <w:tab w:val="left" w:pos="8064"/>
        </w:tabs>
        <w:rPr>
          <w:rFonts w:asciiTheme="minorHAnsi" w:hAnsiTheme="minorHAnsi" w:cstheme="minorHAnsi"/>
          <w:sz w:val="22"/>
          <w:szCs w:val="22"/>
        </w:rPr>
      </w:pPr>
      <w:r w:rsidRPr="0027552C">
        <w:rPr>
          <w:rFonts w:asciiTheme="minorHAnsi" w:hAnsiTheme="minorHAnsi" w:cstheme="minorHAnsi"/>
          <w:sz w:val="22"/>
          <w:szCs w:val="22"/>
        </w:rPr>
        <w:lastRenderedPageBreak/>
        <w:t xml:space="preserve">CDC. Antibiotic Resistance Threats in the United States, 2013. Available at: </w:t>
      </w:r>
      <w:hyperlink w:history="1" r:id="rId10">
        <w:r w:rsidRPr="00236A79" w:rsidR="0066660D">
          <w:rPr>
            <w:rStyle w:val="Hyperlink"/>
            <w:rFonts w:asciiTheme="minorHAnsi" w:hAnsiTheme="minorHAnsi" w:cstheme="minorHAnsi"/>
            <w:sz w:val="22"/>
            <w:szCs w:val="22"/>
          </w:rPr>
          <w:t>http://www.cdc.gov/drugresistance/threat-report-2013/index.html</w:t>
        </w:r>
      </w:hyperlink>
      <w:r w:rsidRPr="00236A79">
        <w:rPr>
          <w:rFonts w:asciiTheme="minorHAnsi" w:hAnsiTheme="minorHAnsi" w:cstheme="minorHAnsi"/>
          <w:sz w:val="22"/>
          <w:szCs w:val="22"/>
        </w:rPr>
        <w:t>.</w:t>
      </w:r>
    </w:p>
    <w:p w:rsidRPr="0027552C" w:rsidR="0066660D" w:rsidP="00F06A89" w:rsidRDefault="0066660D" w14:paraId="0F3CD725" w14:textId="77777777">
      <w:pPr>
        <w:numPr>
          <w:ilvl w:val="0"/>
          <w:numId w:val="2"/>
        </w:numPr>
        <w:tabs>
          <w:tab w:val="left" w:pos="-2016"/>
          <w:tab w:val="left" w:pos="-1296"/>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624"/>
          <w:tab w:val="left" w:pos="7344"/>
          <w:tab w:val="left" w:pos="8064"/>
        </w:tabs>
        <w:rPr>
          <w:rFonts w:asciiTheme="minorHAnsi" w:hAnsiTheme="minorHAnsi" w:cstheme="minorHAnsi"/>
          <w:sz w:val="22"/>
          <w:szCs w:val="22"/>
        </w:rPr>
      </w:pPr>
      <w:r w:rsidRPr="0027552C">
        <w:rPr>
          <w:rFonts w:asciiTheme="minorHAnsi" w:hAnsiTheme="minorHAnsi" w:cstheme="minorHAnsi"/>
          <w:sz w:val="22"/>
          <w:szCs w:val="22"/>
        </w:rPr>
        <w:t>CDC. Antibiotic Resistance Threats in the United States, 2019. Available at: https://www.cdc.gov/drugresistance/pdf/threats-report/2019-ar-threats-report-508.pdf.</w:t>
      </w:r>
    </w:p>
    <w:p w:rsidRPr="0027552C" w:rsidR="006174A6" w:rsidP="00F06A89" w:rsidRDefault="00E81E5D" w14:paraId="2C167139" w14:textId="2FE49FB9">
      <w:pPr>
        <w:numPr>
          <w:ilvl w:val="0"/>
          <w:numId w:val="2"/>
        </w:numPr>
        <w:tabs>
          <w:tab w:val="left" w:pos="-2016"/>
          <w:tab w:val="left" w:pos="-1296"/>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624"/>
          <w:tab w:val="left" w:pos="7344"/>
          <w:tab w:val="left" w:pos="8064"/>
        </w:tabs>
        <w:rPr>
          <w:rFonts w:asciiTheme="minorHAnsi" w:hAnsiTheme="minorHAnsi" w:cstheme="minorHAnsi"/>
          <w:sz w:val="22"/>
          <w:szCs w:val="22"/>
        </w:rPr>
      </w:pPr>
      <w:r w:rsidRPr="0027552C">
        <w:rPr>
          <w:rFonts w:asciiTheme="minorHAnsi" w:hAnsiTheme="minorHAnsi" w:cstheme="minorHAnsi"/>
          <w:sz w:val="22"/>
          <w:szCs w:val="22"/>
        </w:rPr>
        <w:t xml:space="preserve">National Strategy for Combating Antibiotic-Resistance Bacteria. </w:t>
      </w:r>
      <w:r w:rsidRPr="00EA5055" w:rsidR="00236A79">
        <w:rPr>
          <w:rFonts w:asciiTheme="minorHAnsi" w:hAnsiTheme="minorHAnsi" w:cstheme="minorHAnsi"/>
          <w:sz w:val="22"/>
          <w:szCs w:val="22"/>
        </w:rPr>
        <w:t>https://www.cdc.gov/drugresistance/us-activities/national-strategy.html</w:t>
      </w:r>
      <w:r w:rsidRPr="00236A79">
        <w:rPr>
          <w:rFonts w:asciiTheme="minorHAnsi" w:hAnsiTheme="minorHAnsi" w:cstheme="minorHAnsi"/>
          <w:sz w:val="22"/>
          <w:szCs w:val="22"/>
        </w:rPr>
        <w:t xml:space="preserve">. Accessed May </w:t>
      </w:r>
      <w:r w:rsidRPr="00236A79" w:rsidR="00236A79">
        <w:rPr>
          <w:rFonts w:asciiTheme="minorHAnsi" w:hAnsiTheme="minorHAnsi" w:cstheme="minorHAnsi"/>
          <w:sz w:val="22"/>
          <w:szCs w:val="22"/>
        </w:rPr>
        <w:t>26</w:t>
      </w:r>
      <w:r w:rsidRPr="00236A79">
        <w:rPr>
          <w:rFonts w:asciiTheme="minorHAnsi" w:hAnsiTheme="minorHAnsi" w:cstheme="minorHAnsi"/>
          <w:sz w:val="22"/>
          <w:szCs w:val="22"/>
        </w:rPr>
        <w:t>, 20</w:t>
      </w:r>
      <w:r w:rsidRPr="00236A79" w:rsidR="00236A79">
        <w:rPr>
          <w:rFonts w:asciiTheme="minorHAnsi" w:hAnsiTheme="minorHAnsi" w:cstheme="minorHAnsi"/>
          <w:sz w:val="22"/>
          <w:szCs w:val="22"/>
        </w:rPr>
        <w:t>21</w:t>
      </w:r>
      <w:r w:rsidRPr="0027552C">
        <w:rPr>
          <w:rFonts w:asciiTheme="minorHAnsi" w:hAnsiTheme="minorHAnsi" w:cstheme="minorHAnsi"/>
          <w:sz w:val="22"/>
          <w:szCs w:val="22"/>
        </w:rPr>
        <w:t>.</w:t>
      </w:r>
    </w:p>
    <w:p w:rsidRPr="00EA5055" w:rsidR="00E81E5D" w:rsidP="00F06A89" w:rsidRDefault="00E81E5D" w14:paraId="740255D2" w14:textId="6FE465F7">
      <w:pPr>
        <w:numPr>
          <w:ilvl w:val="0"/>
          <w:numId w:val="2"/>
        </w:numPr>
        <w:tabs>
          <w:tab w:val="left" w:pos="-2016"/>
          <w:tab w:val="left" w:pos="-1296"/>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624"/>
          <w:tab w:val="left" w:pos="7344"/>
          <w:tab w:val="left" w:pos="8064"/>
        </w:tabs>
        <w:rPr>
          <w:rFonts w:asciiTheme="minorHAnsi" w:hAnsiTheme="minorHAnsi" w:cstheme="minorHAnsi"/>
          <w:sz w:val="22"/>
          <w:szCs w:val="22"/>
        </w:rPr>
      </w:pPr>
      <w:r w:rsidRPr="0027552C">
        <w:rPr>
          <w:rFonts w:asciiTheme="minorHAnsi" w:hAnsiTheme="minorHAnsi" w:cstheme="minorHAnsi"/>
          <w:bCs/>
          <w:sz w:val="22"/>
          <w:szCs w:val="22"/>
        </w:rPr>
        <w:t>Department of Health and Human Services, Centers for Disease Control and Prevention. Epidemiology and Laboratory Capacity for Infectious Diseases Funding Opportunity Announcement: CK1</w:t>
      </w:r>
      <w:r w:rsidR="00EA5055">
        <w:rPr>
          <w:rFonts w:asciiTheme="minorHAnsi" w:hAnsiTheme="minorHAnsi" w:cstheme="minorHAnsi"/>
          <w:bCs/>
          <w:sz w:val="22"/>
          <w:szCs w:val="22"/>
        </w:rPr>
        <w:t>9</w:t>
      </w:r>
      <w:r w:rsidRPr="0027552C">
        <w:rPr>
          <w:rFonts w:asciiTheme="minorHAnsi" w:hAnsiTheme="minorHAnsi" w:cstheme="minorHAnsi"/>
          <w:bCs/>
          <w:sz w:val="22"/>
          <w:szCs w:val="22"/>
        </w:rPr>
        <w:t>-1</w:t>
      </w:r>
      <w:r w:rsidR="00EA5055">
        <w:rPr>
          <w:rFonts w:asciiTheme="minorHAnsi" w:hAnsiTheme="minorHAnsi" w:cstheme="minorHAnsi"/>
          <w:bCs/>
          <w:sz w:val="22"/>
          <w:szCs w:val="22"/>
        </w:rPr>
        <w:t>9</w:t>
      </w:r>
      <w:r w:rsidRPr="0027552C">
        <w:rPr>
          <w:rFonts w:asciiTheme="minorHAnsi" w:hAnsiTheme="minorHAnsi" w:cstheme="minorHAnsi"/>
          <w:bCs/>
          <w:sz w:val="22"/>
          <w:szCs w:val="22"/>
        </w:rPr>
        <w:t>0</w:t>
      </w:r>
      <w:r w:rsidR="00EA5055">
        <w:rPr>
          <w:rFonts w:asciiTheme="minorHAnsi" w:hAnsiTheme="minorHAnsi" w:cstheme="minorHAnsi"/>
          <w:bCs/>
          <w:sz w:val="22"/>
          <w:szCs w:val="22"/>
        </w:rPr>
        <w:t>403CONT21</w:t>
      </w:r>
      <w:r w:rsidRPr="0027552C">
        <w:rPr>
          <w:rFonts w:asciiTheme="minorHAnsi" w:hAnsiTheme="minorHAnsi" w:cstheme="minorHAnsi"/>
          <w:bCs/>
          <w:sz w:val="22"/>
          <w:szCs w:val="22"/>
        </w:rPr>
        <w:t>, Continuation Application/Interim Progress Report Guidance, FY20</w:t>
      </w:r>
      <w:r w:rsidR="00EA5055">
        <w:rPr>
          <w:rFonts w:asciiTheme="minorHAnsi" w:hAnsiTheme="minorHAnsi" w:cstheme="minorHAnsi"/>
          <w:bCs/>
          <w:sz w:val="22"/>
          <w:szCs w:val="22"/>
        </w:rPr>
        <w:t>21</w:t>
      </w:r>
      <w:r w:rsidRPr="0027552C">
        <w:rPr>
          <w:rFonts w:asciiTheme="minorHAnsi" w:hAnsiTheme="minorHAnsi" w:cstheme="minorHAnsi"/>
          <w:bCs/>
          <w:sz w:val="22"/>
          <w:szCs w:val="22"/>
        </w:rPr>
        <w:t xml:space="preserve"> (August 1, 20</w:t>
      </w:r>
      <w:r w:rsidR="00EA5055">
        <w:rPr>
          <w:rFonts w:asciiTheme="minorHAnsi" w:hAnsiTheme="minorHAnsi" w:cstheme="minorHAnsi"/>
          <w:bCs/>
          <w:sz w:val="22"/>
          <w:szCs w:val="22"/>
        </w:rPr>
        <w:t>21</w:t>
      </w:r>
      <w:r w:rsidRPr="0027552C">
        <w:rPr>
          <w:rFonts w:asciiTheme="minorHAnsi" w:hAnsiTheme="minorHAnsi" w:cstheme="minorHAnsi"/>
          <w:bCs/>
          <w:sz w:val="22"/>
          <w:szCs w:val="22"/>
        </w:rPr>
        <w:t>-July 31, 20</w:t>
      </w:r>
      <w:r w:rsidR="00EA5055">
        <w:rPr>
          <w:rFonts w:asciiTheme="minorHAnsi" w:hAnsiTheme="minorHAnsi" w:cstheme="minorHAnsi"/>
          <w:bCs/>
          <w:sz w:val="22"/>
          <w:szCs w:val="22"/>
        </w:rPr>
        <w:t>22</w:t>
      </w:r>
      <w:r w:rsidRPr="0027552C">
        <w:rPr>
          <w:rFonts w:asciiTheme="minorHAnsi" w:hAnsiTheme="minorHAnsi" w:cstheme="minorHAnsi"/>
          <w:bCs/>
          <w:sz w:val="22"/>
          <w:szCs w:val="22"/>
        </w:rPr>
        <w:t>).</w:t>
      </w:r>
    </w:p>
    <w:p w:rsidRPr="00563553" w:rsidR="00EA5055" w:rsidP="00EA5055" w:rsidRDefault="00EA5055" w14:paraId="394E91B5" w14:textId="77777777">
      <w:pPr>
        <w:numPr>
          <w:ilvl w:val="0"/>
          <w:numId w:val="2"/>
        </w:numPr>
        <w:tabs>
          <w:tab w:val="left" w:pos="-2016"/>
          <w:tab w:val="left" w:pos="-1296"/>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624"/>
          <w:tab w:val="left" w:pos="7344"/>
          <w:tab w:val="left" w:pos="8064"/>
        </w:tabs>
        <w:rPr>
          <w:rFonts w:asciiTheme="minorHAnsi" w:hAnsiTheme="minorHAnsi" w:cstheme="minorHAnsi"/>
          <w:sz w:val="22"/>
          <w:szCs w:val="22"/>
        </w:rPr>
      </w:pPr>
      <w:r w:rsidRPr="00EA5055">
        <w:rPr>
          <w:rFonts w:asciiTheme="minorHAnsi" w:hAnsiTheme="minorHAnsi" w:cstheme="minorHAnsi"/>
          <w:sz w:val="22"/>
          <w:szCs w:val="22"/>
        </w:rPr>
        <w:t>National Action Plan for Com</w:t>
      </w:r>
      <w:r w:rsidRPr="005D72BE">
        <w:rPr>
          <w:rFonts w:asciiTheme="minorHAnsi" w:hAnsiTheme="minorHAnsi" w:cstheme="minorHAnsi"/>
          <w:sz w:val="22"/>
          <w:szCs w:val="22"/>
        </w:rPr>
        <w:t>ba</w:t>
      </w:r>
      <w:r w:rsidRPr="00312842">
        <w:rPr>
          <w:rFonts w:asciiTheme="minorHAnsi" w:hAnsiTheme="minorHAnsi" w:cstheme="minorHAnsi"/>
          <w:sz w:val="22"/>
          <w:szCs w:val="22"/>
        </w:rPr>
        <w:t>ting Antibiotic-Resistant Bacteria, 2020-20</w:t>
      </w:r>
      <w:r w:rsidRPr="008365C1">
        <w:rPr>
          <w:rFonts w:asciiTheme="minorHAnsi" w:hAnsiTheme="minorHAnsi" w:cstheme="minorHAnsi"/>
          <w:sz w:val="22"/>
          <w:szCs w:val="22"/>
        </w:rPr>
        <w:t xml:space="preserve">25. </w:t>
      </w:r>
      <w:r w:rsidRPr="00101B4C">
        <w:rPr>
          <w:rFonts w:asciiTheme="minorHAnsi" w:hAnsiTheme="minorHAnsi" w:cstheme="minorHAnsi"/>
          <w:sz w:val="22"/>
          <w:szCs w:val="22"/>
        </w:rPr>
        <w:t>Available</w:t>
      </w:r>
      <w:r w:rsidRPr="00563553">
        <w:rPr>
          <w:rFonts w:asciiTheme="minorHAnsi" w:hAnsiTheme="minorHAnsi" w:cstheme="minorHAnsi"/>
          <w:sz w:val="22"/>
          <w:szCs w:val="22"/>
        </w:rPr>
        <w:t xml:space="preserve"> at: https://www.hhs.gov/sites/default/files/carb-national-action-plan-2020-2025.pdf#:~:text=The%20National%20Action%20Plan%20for%20Combating%20Antibiotic-Resistant%20Bacteria,Americans%20by%20changing%20the%20course%20of%20antibiotic%20resistance. Accessed May 28, 2021</w:t>
      </w:r>
    </w:p>
    <w:p w:rsidRPr="00C84134" w:rsidR="00E81E5D" w:rsidRDefault="00E81E5D" w14:paraId="18A34962" w14:textId="77777777">
      <w:pPr>
        <w:tabs>
          <w:tab w:val="left" w:pos="-2016"/>
          <w:tab w:val="left" w:pos="-1296"/>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624"/>
          <w:tab w:val="left" w:pos="7344"/>
          <w:tab w:val="left" w:pos="8064"/>
        </w:tabs>
        <w:rPr>
          <w:rFonts w:ascii="Calibri" w:hAnsi="Calibri" w:cs="Courier New"/>
        </w:rPr>
      </w:pPr>
    </w:p>
    <w:sectPr w:rsidRPr="00C84134" w:rsidR="00E81E5D" w:rsidSect="0038711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990" w:left="1440" w:header="1440" w:footer="125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BF011" w14:textId="77777777" w:rsidR="00EA5055" w:rsidRDefault="00EA5055">
      <w:r>
        <w:separator/>
      </w:r>
    </w:p>
  </w:endnote>
  <w:endnote w:type="continuationSeparator" w:id="0">
    <w:p w14:paraId="49040109" w14:textId="77777777" w:rsidR="00EA5055" w:rsidRDefault="00EA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26A1C" w14:textId="77777777" w:rsidR="00EA5055" w:rsidRDefault="00EA5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32D4C" w14:textId="77777777" w:rsidR="00EA5055" w:rsidRDefault="00EA5055">
    <w:pPr>
      <w:pStyle w:val="Footer"/>
      <w:jc w:val="center"/>
    </w:pPr>
    <w:r>
      <w:tab/>
      <w:t xml:space="preserve"> </w:t>
    </w:r>
    <w:r>
      <w:fldChar w:fldCharType="begin"/>
    </w:r>
    <w:r>
      <w:instrText xml:space="preserve"> PAGE </w:instrText>
    </w:r>
    <w:r>
      <w:fldChar w:fldCharType="separate"/>
    </w:r>
    <w:r>
      <w:rPr>
        <w:noProof/>
      </w:rPr>
      <w:t>23</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E58D4" w14:textId="77777777" w:rsidR="00EA5055" w:rsidRDefault="00EA5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5C886" w14:textId="77777777" w:rsidR="00EA5055" w:rsidRDefault="00EA5055">
      <w:r>
        <w:separator/>
      </w:r>
    </w:p>
  </w:footnote>
  <w:footnote w:type="continuationSeparator" w:id="0">
    <w:p w14:paraId="669D01EC" w14:textId="77777777" w:rsidR="00EA5055" w:rsidRDefault="00EA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2F700" w14:textId="77777777" w:rsidR="00EA5055" w:rsidRDefault="00EA5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5333B" w14:textId="77777777" w:rsidR="00EA5055" w:rsidRDefault="00EA50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F4580" w14:textId="77777777" w:rsidR="00EA5055" w:rsidRDefault="00EA5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F63E1"/>
    <w:multiLevelType w:val="hybridMultilevel"/>
    <w:tmpl w:val="0D9E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23E7F"/>
    <w:multiLevelType w:val="hybridMultilevel"/>
    <w:tmpl w:val="8D8A8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456AB"/>
    <w:multiLevelType w:val="hybridMultilevel"/>
    <w:tmpl w:val="85BE6C2A"/>
    <w:lvl w:ilvl="0" w:tplc="AE86EB7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1D78FC"/>
    <w:multiLevelType w:val="hybridMultilevel"/>
    <w:tmpl w:val="3D4A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4398D"/>
    <w:multiLevelType w:val="hybridMultilevel"/>
    <w:tmpl w:val="EC123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1DA50D7"/>
    <w:multiLevelType w:val="hybridMultilevel"/>
    <w:tmpl w:val="387C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F16EA5"/>
    <w:multiLevelType w:val="hybridMultilevel"/>
    <w:tmpl w:val="1F963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761DB9"/>
    <w:multiLevelType w:val="hybridMultilevel"/>
    <w:tmpl w:val="2C702902"/>
    <w:lvl w:ilvl="0" w:tplc="B50AD01C">
      <w:start w:val="1"/>
      <w:numFmt w:val="decimal"/>
      <w:lvlText w:val="%1."/>
      <w:lvlJc w:val="left"/>
      <w:pPr>
        <w:ind w:left="360" w:hanging="360"/>
      </w:pPr>
      <w:rPr>
        <w:rFonts w:ascii="Courier New" w:eastAsia="Times New Roman" w:hAnsi="Courier New" w:cs="Courier New"/>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D32B4B"/>
    <w:multiLevelType w:val="hybridMultilevel"/>
    <w:tmpl w:val="30C0A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A2B4143"/>
    <w:multiLevelType w:val="hybridMultilevel"/>
    <w:tmpl w:val="FBA69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2D5B4F"/>
    <w:multiLevelType w:val="hybridMultilevel"/>
    <w:tmpl w:val="6FF2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1"/>
  </w:num>
  <w:num w:numId="5">
    <w:abstractNumId w:val="6"/>
  </w:num>
  <w:num w:numId="6">
    <w:abstractNumId w:val="5"/>
  </w:num>
  <w:num w:numId="7">
    <w:abstractNumId w:val="4"/>
  </w:num>
  <w:num w:numId="8">
    <w:abstractNumId w:val="3"/>
  </w:num>
  <w:num w:numId="9">
    <w:abstractNumId w:val="8"/>
  </w:num>
  <w:num w:numId="10">
    <w:abstractNumId w:val="10"/>
  </w:num>
  <w:num w:numId="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214"/>
    <w:rsid w:val="0000242F"/>
    <w:rsid w:val="00006995"/>
    <w:rsid w:val="00014979"/>
    <w:rsid w:val="00022F67"/>
    <w:rsid w:val="000240F9"/>
    <w:rsid w:val="00025B0B"/>
    <w:rsid w:val="00030B98"/>
    <w:rsid w:val="000371E0"/>
    <w:rsid w:val="00040C1E"/>
    <w:rsid w:val="000560B9"/>
    <w:rsid w:val="0006130D"/>
    <w:rsid w:val="0007242D"/>
    <w:rsid w:val="00074035"/>
    <w:rsid w:val="00074C2C"/>
    <w:rsid w:val="00077AA5"/>
    <w:rsid w:val="00077AE7"/>
    <w:rsid w:val="0008538F"/>
    <w:rsid w:val="000856F1"/>
    <w:rsid w:val="00096553"/>
    <w:rsid w:val="000B1E13"/>
    <w:rsid w:val="000B669F"/>
    <w:rsid w:val="000C7B93"/>
    <w:rsid w:val="000D5404"/>
    <w:rsid w:val="000E5C50"/>
    <w:rsid w:val="000F4732"/>
    <w:rsid w:val="00100510"/>
    <w:rsid w:val="00101207"/>
    <w:rsid w:val="00101B4C"/>
    <w:rsid w:val="001148E1"/>
    <w:rsid w:val="00120692"/>
    <w:rsid w:val="00121499"/>
    <w:rsid w:val="001238C6"/>
    <w:rsid w:val="00126EA3"/>
    <w:rsid w:val="00127055"/>
    <w:rsid w:val="00127CD2"/>
    <w:rsid w:val="001366A0"/>
    <w:rsid w:val="00141D2F"/>
    <w:rsid w:val="0014407F"/>
    <w:rsid w:val="00167958"/>
    <w:rsid w:val="0017276C"/>
    <w:rsid w:val="001A2FBF"/>
    <w:rsid w:val="001A5A35"/>
    <w:rsid w:val="001A730E"/>
    <w:rsid w:val="001B0306"/>
    <w:rsid w:val="001B1236"/>
    <w:rsid w:val="001B32D7"/>
    <w:rsid w:val="001C7E25"/>
    <w:rsid w:val="001D5791"/>
    <w:rsid w:val="001E0326"/>
    <w:rsid w:val="001E2ECC"/>
    <w:rsid w:val="001F3A8C"/>
    <w:rsid w:val="00207CCF"/>
    <w:rsid w:val="00217FD7"/>
    <w:rsid w:val="002232F9"/>
    <w:rsid w:val="00224597"/>
    <w:rsid w:val="00225597"/>
    <w:rsid w:val="00236A79"/>
    <w:rsid w:val="002378CB"/>
    <w:rsid w:val="00242B26"/>
    <w:rsid w:val="00263D43"/>
    <w:rsid w:val="002657BF"/>
    <w:rsid w:val="002708BC"/>
    <w:rsid w:val="0027552C"/>
    <w:rsid w:val="00275F64"/>
    <w:rsid w:val="002818F5"/>
    <w:rsid w:val="00282D76"/>
    <w:rsid w:val="00283338"/>
    <w:rsid w:val="00290549"/>
    <w:rsid w:val="00292160"/>
    <w:rsid w:val="002A05B7"/>
    <w:rsid w:val="002A5404"/>
    <w:rsid w:val="002A6CBD"/>
    <w:rsid w:val="002B10E8"/>
    <w:rsid w:val="002B4F42"/>
    <w:rsid w:val="002B79A1"/>
    <w:rsid w:val="002C2B9D"/>
    <w:rsid w:val="002D614B"/>
    <w:rsid w:val="002D78B3"/>
    <w:rsid w:val="002E05FD"/>
    <w:rsid w:val="002E2227"/>
    <w:rsid w:val="002F083A"/>
    <w:rsid w:val="002F30F4"/>
    <w:rsid w:val="002F619A"/>
    <w:rsid w:val="00300F8A"/>
    <w:rsid w:val="00307569"/>
    <w:rsid w:val="00310F77"/>
    <w:rsid w:val="00312842"/>
    <w:rsid w:val="00326596"/>
    <w:rsid w:val="003432C7"/>
    <w:rsid w:val="00346DA7"/>
    <w:rsid w:val="00351171"/>
    <w:rsid w:val="003511F3"/>
    <w:rsid w:val="00351E52"/>
    <w:rsid w:val="0035520A"/>
    <w:rsid w:val="00356ADF"/>
    <w:rsid w:val="0036207D"/>
    <w:rsid w:val="00365396"/>
    <w:rsid w:val="00366E84"/>
    <w:rsid w:val="003718DA"/>
    <w:rsid w:val="00371BEA"/>
    <w:rsid w:val="003847F3"/>
    <w:rsid w:val="00387116"/>
    <w:rsid w:val="003A6518"/>
    <w:rsid w:val="003B1195"/>
    <w:rsid w:val="003B1D77"/>
    <w:rsid w:val="003B7CC5"/>
    <w:rsid w:val="003B7F37"/>
    <w:rsid w:val="003D480C"/>
    <w:rsid w:val="003E04F1"/>
    <w:rsid w:val="003E10DA"/>
    <w:rsid w:val="003E19E2"/>
    <w:rsid w:val="003F49C2"/>
    <w:rsid w:val="004072C2"/>
    <w:rsid w:val="00413798"/>
    <w:rsid w:val="00413B3D"/>
    <w:rsid w:val="00420F7D"/>
    <w:rsid w:val="00422222"/>
    <w:rsid w:val="00426F26"/>
    <w:rsid w:val="00430C3B"/>
    <w:rsid w:val="00431B8F"/>
    <w:rsid w:val="004326FD"/>
    <w:rsid w:val="004327DB"/>
    <w:rsid w:val="0043352A"/>
    <w:rsid w:val="00434045"/>
    <w:rsid w:val="00441C5F"/>
    <w:rsid w:val="0044687A"/>
    <w:rsid w:val="00460324"/>
    <w:rsid w:val="004662E7"/>
    <w:rsid w:val="0046651F"/>
    <w:rsid w:val="00466CE5"/>
    <w:rsid w:val="004714E9"/>
    <w:rsid w:val="00473C94"/>
    <w:rsid w:val="00473FBB"/>
    <w:rsid w:val="00475C73"/>
    <w:rsid w:val="00476214"/>
    <w:rsid w:val="00483309"/>
    <w:rsid w:val="00491AD5"/>
    <w:rsid w:val="004920B0"/>
    <w:rsid w:val="004920D8"/>
    <w:rsid w:val="004A1748"/>
    <w:rsid w:val="004A33EF"/>
    <w:rsid w:val="004B39AD"/>
    <w:rsid w:val="004B46FF"/>
    <w:rsid w:val="004B6A74"/>
    <w:rsid w:val="004B7895"/>
    <w:rsid w:val="004C2887"/>
    <w:rsid w:val="004C69B1"/>
    <w:rsid w:val="004D1910"/>
    <w:rsid w:val="004E7ED4"/>
    <w:rsid w:val="00520FD2"/>
    <w:rsid w:val="005213EB"/>
    <w:rsid w:val="00533418"/>
    <w:rsid w:val="00535DD1"/>
    <w:rsid w:val="00536DBF"/>
    <w:rsid w:val="00552414"/>
    <w:rsid w:val="00563553"/>
    <w:rsid w:val="00564A92"/>
    <w:rsid w:val="00570618"/>
    <w:rsid w:val="00573CD0"/>
    <w:rsid w:val="0057580E"/>
    <w:rsid w:val="005767FA"/>
    <w:rsid w:val="00585DB6"/>
    <w:rsid w:val="00586676"/>
    <w:rsid w:val="00591E34"/>
    <w:rsid w:val="00593C7A"/>
    <w:rsid w:val="005A0C63"/>
    <w:rsid w:val="005A70E6"/>
    <w:rsid w:val="005A78D6"/>
    <w:rsid w:val="005B3AE2"/>
    <w:rsid w:val="005B3BAC"/>
    <w:rsid w:val="005B6B1A"/>
    <w:rsid w:val="005C01AF"/>
    <w:rsid w:val="005C57C9"/>
    <w:rsid w:val="005D72BE"/>
    <w:rsid w:val="0060225B"/>
    <w:rsid w:val="0061074F"/>
    <w:rsid w:val="00611C1F"/>
    <w:rsid w:val="00613131"/>
    <w:rsid w:val="0061362F"/>
    <w:rsid w:val="00617371"/>
    <w:rsid w:val="006174A6"/>
    <w:rsid w:val="00625DBF"/>
    <w:rsid w:val="00627EF1"/>
    <w:rsid w:val="00636F05"/>
    <w:rsid w:val="00641643"/>
    <w:rsid w:val="00643D14"/>
    <w:rsid w:val="00645548"/>
    <w:rsid w:val="00645759"/>
    <w:rsid w:val="00650850"/>
    <w:rsid w:val="00650F3E"/>
    <w:rsid w:val="0066660D"/>
    <w:rsid w:val="00666649"/>
    <w:rsid w:val="00671AD1"/>
    <w:rsid w:val="0067554D"/>
    <w:rsid w:val="0068076B"/>
    <w:rsid w:val="00683E13"/>
    <w:rsid w:val="00686263"/>
    <w:rsid w:val="00695735"/>
    <w:rsid w:val="0069636F"/>
    <w:rsid w:val="006A1F7E"/>
    <w:rsid w:val="006A335E"/>
    <w:rsid w:val="006A4CFC"/>
    <w:rsid w:val="006B7135"/>
    <w:rsid w:val="006D212B"/>
    <w:rsid w:val="006E0A63"/>
    <w:rsid w:val="006E176E"/>
    <w:rsid w:val="006F2DA6"/>
    <w:rsid w:val="006F446C"/>
    <w:rsid w:val="006F7A70"/>
    <w:rsid w:val="00704D5D"/>
    <w:rsid w:val="00712E44"/>
    <w:rsid w:val="00717B17"/>
    <w:rsid w:val="007211F0"/>
    <w:rsid w:val="00726949"/>
    <w:rsid w:val="00730630"/>
    <w:rsid w:val="007324E7"/>
    <w:rsid w:val="00733412"/>
    <w:rsid w:val="007369F1"/>
    <w:rsid w:val="00740FE1"/>
    <w:rsid w:val="007460FE"/>
    <w:rsid w:val="00747004"/>
    <w:rsid w:val="0075121D"/>
    <w:rsid w:val="00763FD7"/>
    <w:rsid w:val="007722DC"/>
    <w:rsid w:val="00781A0D"/>
    <w:rsid w:val="007A3141"/>
    <w:rsid w:val="007A33BC"/>
    <w:rsid w:val="007B0DBD"/>
    <w:rsid w:val="007B1AFA"/>
    <w:rsid w:val="007D5376"/>
    <w:rsid w:val="007E352F"/>
    <w:rsid w:val="007E55B5"/>
    <w:rsid w:val="007E676D"/>
    <w:rsid w:val="007F175C"/>
    <w:rsid w:val="007F2486"/>
    <w:rsid w:val="00804CDF"/>
    <w:rsid w:val="0080704C"/>
    <w:rsid w:val="00825984"/>
    <w:rsid w:val="008320A8"/>
    <w:rsid w:val="008365C1"/>
    <w:rsid w:val="0084442A"/>
    <w:rsid w:val="0084741E"/>
    <w:rsid w:val="0086094B"/>
    <w:rsid w:val="008619EB"/>
    <w:rsid w:val="008647DB"/>
    <w:rsid w:val="0086799A"/>
    <w:rsid w:val="00873B21"/>
    <w:rsid w:val="008748A0"/>
    <w:rsid w:val="008809D3"/>
    <w:rsid w:val="008A1C5E"/>
    <w:rsid w:val="008A5DBE"/>
    <w:rsid w:val="008A6D79"/>
    <w:rsid w:val="008B4EC6"/>
    <w:rsid w:val="008C5CB3"/>
    <w:rsid w:val="008D34D0"/>
    <w:rsid w:val="008E29BD"/>
    <w:rsid w:val="008E4642"/>
    <w:rsid w:val="008F54AF"/>
    <w:rsid w:val="008F63BC"/>
    <w:rsid w:val="009125C4"/>
    <w:rsid w:val="00912687"/>
    <w:rsid w:val="009140DB"/>
    <w:rsid w:val="009178C8"/>
    <w:rsid w:val="00927CDE"/>
    <w:rsid w:val="009375DC"/>
    <w:rsid w:val="00940ED1"/>
    <w:rsid w:val="00942869"/>
    <w:rsid w:val="0095390F"/>
    <w:rsid w:val="00954BDF"/>
    <w:rsid w:val="00961E41"/>
    <w:rsid w:val="00965DBF"/>
    <w:rsid w:val="009754E5"/>
    <w:rsid w:val="00975A90"/>
    <w:rsid w:val="00984AE4"/>
    <w:rsid w:val="00984B04"/>
    <w:rsid w:val="00992004"/>
    <w:rsid w:val="0099236C"/>
    <w:rsid w:val="009A69E5"/>
    <w:rsid w:val="009B1CA4"/>
    <w:rsid w:val="009C47EE"/>
    <w:rsid w:val="009D26DE"/>
    <w:rsid w:val="009D47D6"/>
    <w:rsid w:val="009D543B"/>
    <w:rsid w:val="009E391E"/>
    <w:rsid w:val="00A02FFD"/>
    <w:rsid w:val="00A042C9"/>
    <w:rsid w:val="00A04C49"/>
    <w:rsid w:val="00A06B24"/>
    <w:rsid w:val="00A11AF7"/>
    <w:rsid w:val="00A278D9"/>
    <w:rsid w:val="00A62558"/>
    <w:rsid w:val="00A6359A"/>
    <w:rsid w:val="00A64100"/>
    <w:rsid w:val="00A66ACC"/>
    <w:rsid w:val="00A673D4"/>
    <w:rsid w:val="00A67F7F"/>
    <w:rsid w:val="00A74692"/>
    <w:rsid w:val="00A836FA"/>
    <w:rsid w:val="00A85EC8"/>
    <w:rsid w:val="00A9122B"/>
    <w:rsid w:val="00A966DB"/>
    <w:rsid w:val="00A96AE5"/>
    <w:rsid w:val="00AA2F39"/>
    <w:rsid w:val="00AB3DE3"/>
    <w:rsid w:val="00AC3B2A"/>
    <w:rsid w:val="00AD4CE5"/>
    <w:rsid w:val="00AE0656"/>
    <w:rsid w:val="00AE2F9A"/>
    <w:rsid w:val="00AF0676"/>
    <w:rsid w:val="00AF2C61"/>
    <w:rsid w:val="00AF5E15"/>
    <w:rsid w:val="00AF5F3A"/>
    <w:rsid w:val="00AF6071"/>
    <w:rsid w:val="00B0643E"/>
    <w:rsid w:val="00B118BD"/>
    <w:rsid w:val="00B15B48"/>
    <w:rsid w:val="00B16178"/>
    <w:rsid w:val="00B1725A"/>
    <w:rsid w:val="00B231E9"/>
    <w:rsid w:val="00B266E0"/>
    <w:rsid w:val="00B33D87"/>
    <w:rsid w:val="00B3687C"/>
    <w:rsid w:val="00B371DC"/>
    <w:rsid w:val="00B4007A"/>
    <w:rsid w:val="00B541FA"/>
    <w:rsid w:val="00B54755"/>
    <w:rsid w:val="00B6471F"/>
    <w:rsid w:val="00B711DC"/>
    <w:rsid w:val="00B76483"/>
    <w:rsid w:val="00B7681F"/>
    <w:rsid w:val="00B81309"/>
    <w:rsid w:val="00B87AD0"/>
    <w:rsid w:val="00BA7D3B"/>
    <w:rsid w:val="00BB20A9"/>
    <w:rsid w:val="00BB22E5"/>
    <w:rsid w:val="00BC0411"/>
    <w:rsid w:val="00BC06C0"/>
    <w:rsid w:val="00BC09C4"/>
    <w:rsid w:val="00BC42B8"/>
    <w:rsid w:val="00BC5387"/>
    <w:rsid w:val="00BC7AD1"/>
    <w:rsid w:val="00BD3B1D"/>
    <w:rsid w:val="00BD6E6E"/>
    <w:rsid w:val="00BF0357"/>
    <w:rsid w:val="00BF7D93"/>
    <w:rsid w:val="00C06211"/>
    <w:rsid w:val="00C12F93"/>
    <w:rsid w:val="00C21CD1"/>
    <w:rsid w:val="00C334E5"/>
    <w:rsid w:val="00C37327"/>
    <w:rsid w:val="00C4744B"/>
    <w:rsid w:val="00C53BAB"/>
    <w:rsid w:val="00C552E4"/>
    <w:rsid w:val="00C62858"/>
    <w:rsid w:val="00C64657"/>
    <w:rsid w:val="00C668F5"/>
    <w:rsid w:val="00C67F40"/>
    <w:rsid w:val="00C74339"/>
    <w:rsid w:val="00C824AF"/>
    <w:rsid w:val="00C84134"/>
    <w:rsid w:val="00C871F5"/>
    <w:rsid w:val="00C904AA"/>
    <w:rsid w:val="00C905A0"/>
    <w:rsid w:val="00C94649"/>
    <w:rsid w:val="00C94D1E"/>
    <w:rsid w:val="00C9770B"/>
    <w:rsid w:val="00C97D9E"/>
    <w:rsid w:val="00CA16D1"/>
    <w:rsid w:val="00CB0F5E"/>
    <w:rsid w:val="00CB15F9"/>
    <w:rsid w:val="00CC0896"/>
    <w:rsid w:val="00CC3DC4"/>
    <w:rsid w:val="00CC7F78"/>
    <w:rsid w:val="00CD3D51"/>
    <w:rsid w:val="00CE4FE2"/>
    <w:rsid w:val="00CF2B21"/>
    <w:rsid w:val="00CF74CF"/>
    <w:rsid w:val="00D145EE"/>
    <w:rsid w:val="00D23AA5"/>
    <w:rsid w:val="00D27E93"/>
    <w:rsid w:val="00D349F9"/>
    <w:rsid w:val="00D4620A"/>
    <w:rsid w:val="00D46769"/>
    <w:rsid w:val="00D5733D"/>
    <w:rsid w:val="00D647A0"/>
    <w:rsid w:val="00D7233C"/>
    <w:rsid w:val="00D73584"/>
    <w:rsid w:val="00D80937"/>
    <w:rsid w:val="00D84990"/>
    <w:rsid w:val="00D908A7"/>
    <w:rsid w:val="00D933C3"/>
    <w:rsid w:val="00DB40D6"/>
    <w:rsid w:val="00DD33ED"/>
    <w:rsid w:val="00DF100B"/>
    <w:rsid w:val="00DF4AF9"/>
    <w:rsid w:val="00DF5BD0"/>
    <w:rsid w:val="00E0565F"/>
    <w:rsid w:val="00E12EC2"/>
    <w:rsid w:val="00E22A03"/>
    <w:rsid w:val="00E230AE"/>
    <w:rsid w:val="00E314C0"/>
    <w:rsid w:val="00E37D92"/>
    <w:rsid w:val="00E5105B"/>
    <w:rsid w:val="00E53519"/>
    <w:rsid w:val="00E53CC1"/>
    <w:rsid w:val="00E5703D"/>
    <w:rsid w:val="00E721FF"/>
    <w:rsid w:val="00E81E5D"/>
    <w:rsid w:val="00E824ED"/>
    <w:rsid w:val="00E91477"/>
    <w:rsid w:val="00E96CAD"/>
    <w:rsid w:val="00EA5055"/>
    <w:rsid w:val="00EB6B12"/>
    <w:rsid w:val="00EB7FA4"/>
    <w:rsid w:val="00ED1B1A"/>
    <w:rsid w:val="00ED391D"/>
    <w:rsid w:val="00ED7631"/>
    <w:rsid w:val="00EE523B"/>
    <w:rsid w:val="00EF09F9"/>
    <w:rsid w:val="00EF0F65"/>
    <w:rsid w:val="00EF1D95"/>
    <w:rsid w:val="00F031C8"/>
    <w:rsid w:val="00F0339A"/>
    <w:rsid w:val="00F04557"/>
    <w:rsid w:val="00F061E9"/>
    <w:rsid w:val="00F06A89"/>
    <w:rsid w:val="00F072B8"/>
    <w:rsid w:val="00F161C2"/>
    <w:rsid w:val="00F31055"/>
    <w:rsid w:val="00F36247"/>
    <w:rsid w:val="00F44D3E"/>
    <w:rsid w:val="00F5050A"/>
    <w:rsid w:val="00F66B25"/>
    <w:rsid w:val="00F74E5A"/>
    <w:rsid w:val="00F77A57"/>
    <w:rsid w:val="00F81216"/>
    <w:rsid w:val="00F8221F"/>
    <w:rsid w:val="00F82E8C"/>
    <w:rsid w:val="00F83D3C"/>
    <w:rsid w:val="00F84D01"/>
    <w:rsid w:val="00F84EA4"/>
    <w:rsid w:val="00F87363"/>
    <w:rsid w:val="00F915E5"/>
    <w:rsid w:val="00F9628C"/>
    <w:rsid w:val="00FA20CC"/>
    <w:rsid w:val="00FA7FF9"/>
    <w:rsid w:val="00FB2321"/>
    <w:rsid w:val="00FC4900"/>
    <w:rsid w:val="00FE21C0"/>
    <w:rsid w:val="00FE5D18"/>
    <w:rsid w:val="00FE60DC"/>
    <w:rsid w:val="00FF6725"/>
    <w:rsid w:val="00FF6F34"/>
    <w:rsid w:val="00FF7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C88BBD2"/>
  <w15:chartTrackingRefBased/>
  <w15:docId w15:val="{4D252454-8354-4AA3-A6AD-66A5DA204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aliases w:val="l2"/>
    <w:basedOn w:val="Normal"/>
    <w:next w:val="BodyText1"/>
    <w:qFormat/>
    <w:pPr>
      <w:keepNext/>
      <w:spacing w:after="120"/>
      <w:ind w:left="720" w:hanging="720"/>
      <w:outlineLvl w:val="1"/>
    </w:pPr>
    <w:rPr>
      <w:b/>
      <w:sz w:val="22"/>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Default">
    <w:name w:val="Default"/>
    <w:pPr>
      <w:autoSpaceDE w:val="0"/>
      <w:autoSpaceDN w:val="0"/>
      <w:adjustRightInd w:val="0"/>
    </w:pPr>
    <w:rPr>
      <w:color w:val="000000"/>
      <w:sz w:val="24"/>
      <w:szCs w:val="24"/>
    </w:rPr>
  </w:style>
  <w:style w:type="paragraph" w:styleId="Header">
    <w:name w:val="header"/>
    <w:basedOn w:val="Normal"/>
    <w:pPr>
      <w:tabs>
        <w:tab w:val="center" w:pos="4320"/>
        <w:tab w:val="right" w:pos="8640"/>
      </w:tabs>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BodyText1">
    <w:name w:val="Body Text1"/>
    <w:aliases w:val="bt,body tx,indent,flush,memo body text"/>
    <w:basedOn w:val="Normal"/>
    <w:pPr>
      <w:spacing w:after="240"/>
      <w:ind w:firstLine="720"/>
    </w:pPr>
    <w:rPr>
      <w:sz w:val="22"/>
      <w:szCs w:val="20"/>
    </w:rPr>
  </w:style>
  <w:style w:type="paragraph" w:styleId="TOC1">
    <w:name w:val="toc 1"/>
    <w:basedOn w:val="Normal"/>
    <w:next w:val="Normal"/>
    <w:pPr>
      <w:tabs>
        <w:tab w:val="right" w:leader="dot" w:pos="9360"/>
      </w:tabs>
      <w:spacing w:before="480" w:after="80"/>
      <w:ind w:left="900" w:right="720" w:hanging="540"/>
    </w:pPr>
    <w:rPr>
      <w:sz w:val="22"/>
      <w:szCs w:val="20"/>
    </w:rPr>
  </w:style>
  <w:style w:type="paragraph" w:styleId="TOC2">
    <w:name w:val="toc 2"/>
    <w:basedOn w:val="Normal"/>
    <w:next w:val="Normal"/>
    <w:pPr>
      <w:tabs>
        <w:tab w:val="right" w:leader="dot" w:pos="9360"/>
      </w:tabs>
      <w:spacing w:before="240" w:after="80"/>
      <w:ind w:left="1440" w:right="720" w:hanging="540"/>
    </w:pPr>
    <w:rPr>
      <w:sz w:val="22"/>
      <w:szCs w:val="20"/>
    </w:rPr>
  </w:style>
  <w:style w:type="paragraph" w:styleId="TOC5">
    <w:name w:val="toc 5"/>
    <w:basedOn w:val="Normal"/>
    <w:next w:val="Normal"/>
    <w:pPr>
      <w:tabs>
        <w:tab w:val="right" w:leader="dot" w:pos="9360"/>
      </w:tabs>
      <w:spacing w:before="40" w:after="40"/>
      <w:ind w:left="1080" w:right="720" w:hanging="1080"/>
    </w:pPr>
    <w:rPr>
      <w:noProof/>
      <w:sz w:val="22"/>
      <w:szCs w:val="20"/>
    </w:rPr>
  </w:style>
  <w:style w:type="paragraph" w:customStyle="1" w:styleId="pagename">
    <w:name w:val="pagename"/>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customStyle="1" w:styleId="Heading4Char">
    <w:name w:val="Heading 4 Char"/>
    <w:link w:val="Heading4"/>
    <w:semiHidden/>
    <w:rPr>
      <w:rFonts w:ascii="Calibri" w:eastAsia="Times New Roman" w:hAnsi="Calibri" w:cs="Times New Roman"/>
      <w:b/>
      <w:bCs/>
      <w:sz w:val="28"/>
      <w:szCs w:val="28"/>
    </w:rPr>
  </w:style>
  <w:style w:type="character" w:customStyle="1" w:styleId="A8">
    <w:name w:val="A8"/>
    <w:uiPriority w:val="99"/>
    <w:rPr>
      <w:rFonts w:cs="ITC Franklin Gothic Std Book"/>
      <w:color w:val="000000"/>
      <w:sz w:val="22"/>
      <w:szCs w:val="22"/>
      <w:u w:val="single"/>
    </w:rPr>
  </w:style>
  <w:style w:type="paragraph" w:styleId="ListParagraph">
    <w:name w:val="List Paragraph"/>
    <w:basedOn w:val="Normal"/>
    <w:uiPriority w:val="34"/>
    <w:qFormat/>
    <w:rsid w:val="00030B98"/>
    <w:pPr>
      <w:ind w:left="720"/>
      <w:contextualSpacing/>
    </w:pPr>
  </w:style>
  <w:style w:type="table" w:customStyle="1" w:styleId="TableGrid1">
    <w:name w:val="Table Grid1"/>
    <w:basedOn w:val="TableNormal"/>
    <w:next w:val="TableGrid"/>
    <w:uiPriority w:val="59"/>
    <w:rsid w:val="00030B9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6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930283">
      <w:bodyDiv w:val="1"/>
      <w:marLeft w:val="0"/>
      <w:marRight w:val="0"/>
      <w:marTop w:val="0"/>
      <w:marBottom w:val="0"/>
      <w:divBdr>
        <w:top w:val="none" w:sz="0" w:space="0" w:color="auto"/>
        <w:left w:val="none" w:sz="0" w:space="0" w:color="auto"/>
        <w:bottom w:val="none" w:sz="0" w:space="0" w:color="auto"/>
        <w:right w:val="none" w:sz="0" w:space="0" w:color="auto"/>
      </w:divBdr>
    </w:div>
    <w:div w:id="1522933844">
      <w:bodyDiv w:val="1"/>
      <w:marLeft w:val="0"/>
      <w:marRight w:val="0"/>
      <w:marTop w:val="0"/>
      <w:marBottom w:val="0"/>
      <w:divBdr>
        <w:top w:val="none" w:sz="0" w:space="0" w:color="auto"/>
        <w:left w:val="none" w:sz="0" w:space="0" w:color="auto"/>
        <w:bottom w:val="none" w:sz="0" w:space="0" w:color="auto"/>
        <w:right w:val="none" w:sz="0" w:space="0" w:color="auto"/>
      </w:divBdr>
    </w:div>
    <w:div w:id="1932465715">
      <w:bodyDiv w:val="1"/>
      <w:marLeft w:val="0"/>
      <w:marRight w:val="0"/>
      <w:marTop w:val="0"/>
      <w:marBottom w:val="0"/>
      <w:divBdr>
        <w:top w:val="none" w:sz="0" w:space="0" w:color="auto"/>
        <w:left w:val="none" w:sz="0" w:space="0" w:color="auto"/>
        <w:bottom w:val="none" w:sz="0" w:space="0" w:color="auto"/>
        <w:right w:val="none" w:sz="0" w:space="0" w:color="auto"/>
      </w:divBdr>
    </w:div>
    <w:div w:id="201040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s4@cdc.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dc.gov/drugresistance/threat-report-2013/index.html" TargetMode="External"/><Relationship Id="rId4" Type="http://schemas.openxmlformats.org/officeDocument/2006/relationships/settings" Target="settings.xml"/><Relationship Id="rId9" Type="http://schemas.openxmlformats.org/officeDocument/2006/relationships/hyperlink" Target="http://www.gpoaccess.gov/fr/index.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82C22-2B9E-4FBC-9065-7F9A4F47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24</Pages>
  <Words>7774</Words>
  <Characters>47144</Characters>
  <Application>Microsoft Office Word</Application>
  <DocSecurity>0</DocSecurity>
  <Lines>392</Lines>
  <Paragraphs>109</Paragraphs>
  <ScaleCrop>false</ScaleCrop>
  <HeadingPairs>
    <vt:vector size="2" baseType="variant">
      <vt:variant>
        <vt:lpstr>Title</vt:lpstr>
      </vt:variant>
      <vt:variant>
        <vt:i4>1</vt:i4>
      </vt:variant>
    </vt:vector>
  </HeadingPairs>
  <TitlesOfParts>
    <vt:vector size="1" baseType="lpstr">
      <vt:lpstr>Title</vt:lpstr>
    </vt:vector>
  </TitlesOfParts>
  <Company>ITSO</Company>
  <LinksUpToDate>false</LinksUpToDate>
  <CharactersWithSpaces>54809</CharactersWithSpaces>
  <SharedDoc>false</SharedDoc>
  <HLinks>
    <vt:vector size="120" baseType="variant">
      <vt:variant>
        <vt:i4>4980750</vt:i4>
      </vt:variant>
      <vt:variant>
        <vt:i4>63</vt:i4>
      </vt:variant>
      <vt:variant>
        <vt:i4>0</vt:i4>
      </vt:variant>
      <vt:variant>
        <vt:i4>5</vt:i4>
      </vt:variant>
      <vt:variant>
        <vt:lpwstr>https://www.whitehouse.gov/sites/default/files/docs/carb_national_strategy.pdf</vt:lpwstr>
      </vt:variant>
      <vt:variant>
        <vt:lpwstr/>
      </vt:variant>
      <vt:variant>
        <vt:i4>3342397</vt:i4>
      </vt:variant>
      <vt:variant>
        <vt:i4>60</vt:i4>
      </vt:variant>
      <vt:variant>
        <vt:i4>0</vt:i4>
      </vt:variant>
      <vt:variant>
        <vt:i4>5</vt:i4>
      </vt:variant>
      <vt:variant>
        <vt:lpwstr>http://www.gpoaccess.gov/fr/index.html</vt:lpwstr>
      </vt:variant>
      <vt:variant>
        <vt:lpwstr/>
      </vt:variant>
      <vt:variant>
        <vt:i4>1900594</vt:i4>
      </vt:variant>
      <vt:variant>
        <vt:i4>53</vt:i4>
      </vt:variant>
      <vt:variant>
        <vt:i4>0</vt:i4>
      </vt:variant>
      <vt:variant>
        <vt:i4>5</vt:i4>
      </vt:variant>
      <vt:variant>
        <vt:lpwstr/>
      </vt:variant>
      <vt:variant>
        <vt:lpwstr>_Toc176078252</vt:lpwstr>
      </vt:variant>
      <vt:variant>
        <vt:i4>1900594</vt:i4>
      </vt:variant>
      <vt:variant>
        <vt:i4>50</vt:i4>
      </vt:variant>
      <vt:variant>
        <vt:i4>0</vt:i4>
      </vt:variant>
      <vt:variant>
        <vt:i4>5</vt:i4>
      </vt:variant>
      <vt:variant>
        <vt:lpwstr/>
      </vt:variant>
      <vt:variant>
        <vt:lpwstr>_Toc176078251</vt:lpwstr>
      </vt:variant>
      <vt:variant>
        <vt:i4>1900594</vt:i4>
      </vt:variant>
      <vt:variant>
        <vt:i4>47</vt:i4>
      </vt:variant>
      <vt:variant>
        <vt:i4>0</vt:i4>
      </vt:variant>
      <vt:variant>
        <vt:i4>5</vt:i4>
      </vt:variant>
      <vt:variant>
        <vt:lpwstr/>
      </vt:variant>
      <vt:variant>
        <vt:lpwstr>_Toc176078250</vt:lpwstr>
      </vt:variant>
      <vt:variant>
        <vt:i4>1835058</vt:i4>
      </vt:variant>
      <vt:variant>
        <vt:i4>44</vt:i4>
      </vt:variant>
      <vt:variant>
        <vt:i4>0</vt:i4>
      </vt:variant>
      <vt:variant>
        <vt:i4>5</vt:i4>
      </vt:variant>
      <vt:variant>
        <vt:lpwstr/>
      </vt:variant>
      <vt:variant>
        <vt:lpwstr>_Toc176078249</vt:lpwstr>
      </vt:variant>
      <vt:variant>
        <vt:i4>1835058</vt:i4>
      </vt:variant>
      <vt:variant>
        <vt:i4>41</vt:i4>
      </vt:variant>
      <vt:variant>
        <vt:i4>0</vt:i4>
      </vt:variant>
      <vt:variant>
        <vt:i4>5</vt:i4>
      </vt:variant>
      <vt:variant>
        <vt:lpwstr/>
      </vt:variant>
      <vt:variant>
        <vt:lpwstr>_Toc176078248</vt:lpwstr>
      </vt:variant>
      <vt:variant>
        <vt:i4>1835058</vt:i4>
      </vt:variant>
      <vt:variant>
        <vt:i4>38</vt:i4>
      </vt:variant>
      <vt:variant>
        <vt:i4>0</vt:i4>
      </vt:variant>
      <vt:variant>
        <vt:i4>5</vt:i4>
      </vt:variant>
      <vt:variant>
        <vt:lpwstr/>
      </vt:variant>
      <vt:variant>
        <vt:lpwstr>_Toc176078247</vt:lpwstr>
      </vt:variant>
      <vt:variant>
        <vt:i4>1835058</vt:i4>
      </vt:variant>
      <vt:variant>
        <vt:i4>35</vt:i4>
      </vt:variant>
      <vt:variant>
        <vt:i4>0</vt:i4>
      </vt:variant>
      <vt:variant>
        <vt:i4>5</vt:i4>
      </vt:variant>
      <vt:variant>
        <vt:lpwstr/>
      </vt:variant>
      <vt:variant>
        <vt:lpwstr>_Toc176078246</vt:lpwstr>
      </vt:variant>
      <vt:variant>
        <vt:i4>1835058</vt:i4>
      </vt:variant>
      <vt:variant>
        <vt:i4>32</vt:i4>
      </vt:variant>
      <vt:variant>
        <vt:i4>0</vt:i4>
      </vt:variant>
      <vt:variant>
        <vt:i4>5</vt:i4>
      </vt:variant>
      <vt:variant>
        <vt:lpwstr/>
      </vt:variant>
      <vt:variant>
        <vt:lpwstr>_Toc176078245</vt:lpwstr>
      </vt:variant>
      <vt:variant>
        <vt:i4>1835058</vt:i4>
      </vt:variant>
      <vt:variant>
        <vt:i4>29</vt:i4>
      </vt:variant>
      <vt:variant>
        <vt:i4>0</vt:i4>
      </vt:variant>
      <vt:variant>
        <vt:i4>5</vt:i4>
      </vt:variant>
      <vt:variant>
        <vt:lpwstr/>
      </vt:variant>
      <vt:variant>
        <vt:lpwstr>_Toc176078244</vt:lpwstr>
      </vt:variant>
      <vt:variant>
        <vt:i4>1835058</vt:i4>
      </vt:variant>
      <vt:variant>
        <vt:i4>26</vt:i4>
      </vt:variant>
      <vt:variant>
        <vt:i4>0</vt:i4>
      </vt:variant>
      <vt:variant>
        <vt:i4>5</vt:i4>
      </vt:variant>
      <vt:variant>
        <vt:lpwstr/>
      </vt:variant>
      <vt:variant>
        <vt:lpwstr>_Toc176078243</vt:lpwstr>
      </vt:variant>
      <vt:variant>
        <vt:i4>1835058</vt:i4>
      </vt:variant>
      <vt:variant>
        <vt:i4>23</vt:i4>
      </vt:variant>
      <vt:variant>
        <vt:i4>0</vt:i4>
      </vt:variant>
      <vt:variant>
        <vt:i4>5</vt:i4>
      </vt:variant>
      <vt:variant>
        <vt:lpwstr/>
      </vt:variant>
      <vt:variant>
        <vt:lpwstr>_Toc176078242</vt:lpwstr>
      </vt:variant>
      <vt:variant>
        <vt:i4>1835058</vt:i4>
      </vt:variant>
      <vt:variant>
        <vt:i4>20</vt:i4>
      </vt:variant>
      <vt:variant>
        <vt:i4>0</vt:i4>
      </vt:variant>
      <vt:variant>
        <vt:i4>5</vt:i4>
      </vt:variant>
      <vt:variant>
        <vt:lpwstr/>
      </vt:variant>
      <vt:variant>
        <vt:lpwstr>_Toc176078241</vt:lpwstr>
      </vt:variant>
      <vt:variant>
        <vt:i4>1835058</vt:i4>
      </vt:variant>
      <vt:variant>
        <vt:i4>17</vt:i4>
      </vt:variant>
      <vt:variant>
        <vt:i4>0</vt:i4>
      </vt:variant>
      <vt:variant>
        <vt:i4>5</vt:i4>
      </vt:variant>
      <vt:variant>
        <vt:lpwstr/>
      </vt:variant>
      <vt:variant>
        <vt:lpwstr>_Toc176078240</vt:lpwstr>
      </vt:variant>
      <vt:variant>
        <vt:i4>1769522</vt:i4>
      </vt:variant>
      <vt:variant>
        <vt:i4>14</vt:i4>
      </vt:variant>
      <vt:variant>
        <vt:i4>0</vt:i4>
      </vt:variant>
      <vt:variant>
        <vt:i4>5</vt:i4>
      </vt:variant>
      <vt:variant>
        <vt:lpwstr/>
      </vt:variant>
      <vt:variant>
        <vt:lpwstr>_Toc176078239</vt:lpwstr>
      </vt:variant>
      <vt:variant>
        <vt:i4>1769522</vt:i4>
      </vt:variant>
      <vt:variant>
        <vt:i4>11</vt:i4>
      </vt:variant>
      <vt:variant>
        <vt:i4>0</vt:i4>
      </vt:variant>
      <vt:variant>
        <vt:i4>5</vt:i4>
      </vt:variant>
      <vt:variant>
        <vt:lpwstr/>
      </vt:variant>
      <vt:variant>
        <vt:lpwstr>_Toc176078238</vt:lpwstr>
      </vt:variant>
      <vt:variant>
        <vt:i4>1769522</vt:i4>
      </vt:variant>
      <vt:variant>
        <vt:i4>8</vt:i4>
      </vt:variant>
      <vt:variant>
        <vt:i4>0</vt:i4>
      </vt:variant>
      <vt:variant>
        <vt:i4>5</vt:i4>
      </vt:variant>
      <vt:variant>
        <vt:lpwstr/>
      </vt:variant>
      <vt:variant>
        <vt:lpwstr>_Toc176078237</vt:lpwstr>
      </vt:variant>
      <vt:variant>
        <vt:i4>1769522</vt:i4>
      </vt:variant>
      <vt:variant>
        <vt:i4>5</vt:i4>
      </vt:variant>
      <vt:variant>
        <vt:i4>0</vt:i4>
      </vt:variant>
      <vt:variant>
        <vt:i4>5</vt:i4>
      </vt:variant>
      <vt:variant>
        <vt:lpwstr/>
      </vt:variant>
      <vt:variant>
        <vt:lpwstr>_Toc176078236</vt:lpwstr>
      </vt:variant>
      <vt:variant>
        <vt:i4>2031729</vt:i4>
      </vt:variant>
      <vt:variant>
        <vt:i4>0</vt:i4>
      </vt:variant>
      <vt:variant>
        <vt:i4>0</vt:i4>
      </vt:variant>
      <vt:variant>
        <vt:i4>5</vt:i4>
      </vt:variant>
      <vt:variant>
        <vt:lpwstr>mailto:khs4@cdc.gov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vbs6</dc:creator>
  <cp:keywords/>
  <cp:lastModifiedBy>Kirkcaldy, Bob (CDC/DDID/NCHHSTP/DSTDP)</cp:lastModifiedBy>
  <cp:revision>18</cp:revision>
  <cp:lastPrinted>2020-11-16T19:48:00Z</cp:lastPrinted>
  <dcterms:created xsi:type="dcterms:W3CDTF">2020-09-02T13:31:00Z</dcterms:created>
  <dcterms:modified xsi:type="dcterms:W3CDTF">2021-05-31T12:19:00Z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548288903</vt:i4>
  </property>
  <property fmtid="{D5CDD505-2E9C-101B-9397-08002B2CF9AE}" pid="3" name="MSIP_Label_8af03ff0-41c5-4c41-b55e-fabb8fae94be_Enabled">
    <vt:lpwstr>true</vt:lpwstr>
  </property>
  <property fmtid="{D5CDD505-2E9C-101B-9397-08002B2CF9AE}" pid="4" name="MSIP_Label_8af03ff0-41c5-4c41-b55e-fabb8fae94be_SetDate">
    <vt:lpwstr>2020-11-16T17:49:25Z</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iteId">
    <vt:lpwstr>9ce70869-60db-44fd-abe8-d2767077fc8f</vt:lpwstr>
  </property>
  <property fmtid="{D5CDD505-2E9C-101B-9397-08002B2CF9AE}" pid="8" name="MSIP_Label_8af03ff0-41c5-4c41-b55e-fabb8fae94be_ActionId">
    <vt:lpwstr>9e19f582-5403-4585-86f9-f78234b09fb9</vt:lpwstr>
  </property>
  <property fmtid="{D5CDD505-2E9C-101B-9397-08002B2CF9AE}" pid="9" name="MSIP_Label_8af03ff0-41c5-4c41-b55e-fabb8fae94be_ContentBits">
    <vt:lpwstr>0</vt:lpwstr>
  </property>
</Properties>
</file>