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CEE" w:rsidP="00A12917" w:rsidRDefault="00352CEE" w14:paraId="214C4331" w14:textId="77777777">
      <w:bookmarkStart w:name="_Toc473880015" w:id="0"/>
    </w:p>
    <w:p w:rsidR="00352CEE" w:rsidP="00A12917" w:rsidRDefault="00352CEE" w14:paraId="214C4332" w14:textId="77777777"/>
    <w:p w:rsidRPr="004A13E8" w:rsidR="00DE5250" w:rsidP="00DE5250" w:rsidRDefault="00DE5250" w14:paraId="266B91DA" w14:textId="77777777">
      <w:pPr>
        <w:pStyle w:val="Heading2"/>
      </w:pPr>
      <w:bookmarkStart w:name="_Toc487537150" w:id="1"/>
      <w:bookmarkStart w:name="_Toc473882438" w:id="2"/>
      <w:r w:rsidRPr="00731676">
        <w:rPr>
          <w:u w:val="single"/>
        </w:rPr>
        <w:t>M</w:t>
      </w:r>
      <w:r w:rsidRPr="004D1D00">
        <w:t xml:space="preserve">ulti-site </w:t>
      </w:r>
      <w:r w:rsidRPr="00731676">
        <w:rPr>
          <w:u w:val="single"/>
        </w:rPr>
        <w:t>C</w:t>
      </w:r>
      <w:r w:rsidRPr="004D1D00">
        <w:t xml:space="preserve">linical </w:t>
      </w:r>
      <w:r w:rsidRPr="00731676">
        <w:rPr>
          <w:u w:val="single"/>
        </w:rPr>
        <w:t>A</w:t>
      </w:r>
      <w:r w:rsidRPr="004D1D00">
        <w:t xml:space="preserve">ssessment of </w:t>
      </w:r>
      <w:r w:rsidRPr="00731676">
        <w:rPr>
          <w:u w:val="single"/>
        </w:rPr>
        <w:t>M</w:t>
      </w:r>
      <w:r w:rsidRPr="004D1D00">
        <w:t>yalgic Encephalomyelitis/Chronic Fatigue Syndrome (MCAM)</w:t>
      </w:r>
      <w:bookmarkEnd w:id="1"/>
    </w:p>
    <w:p w:rsidR="00DE5250" w:rsidP="00DE5250" w:rsidRDefault="00DE5250" w14:paraId="07C721DB" w14:textId="77777777">
      <w:pPr>
        <w:spacing w:after="0" w:line="240" w:lineRule="auto"/>
        <w:jc w:val="center"/>
        <w:rPr>
          <w:b/>
        </w:rPr>
      </w:pPr>
    </w:p>
    <w:p w:rsidR="00DE5250" w:rsidP="00DE5250" w:rsidRDefault="00DE5250" w14:paraId="7D6A70DF" w14:textId="77777777">
      <w:pPr>
        <w:pStyle w:val="Heading3"/>
      </w:pPr>
      <w:bookmarkStart w:name="_Toc487537151" w:id="3"/>
      <w:r>
        <w:t>Request for OMB approval of an Existing Collection in Use</w:t>
      </w:r>
      <w:bookmarkEnd w:id="3"/>
      <w:r>
        <w:t xml:space="preserve"> </w:t>
      </w:r>
    </w:p>
    <w:p w:rsidRPr="004A13E8" w:rsidR="00DE5250" w:rsidP="00DE5250" w:rsidRDefault="00DE5250" w14:paraId="7779228E" w14:textId="77777777">
      <w:pPr>
        <w:pStyle w:val="Heading3"/>
      </w:pPr>
      <w:bookmarkStart w:name="_Toc487537152" w:id="4"/>
      <w:r>
        <w:t>without an OMB Control Number</w:t>
      </w:r>
      <w:bookmarkEnd w:id="4"/>
    </w:p>
    <w:p w:rsidR="00DE5250" w:rsidP="00DE5250" w:rsidRDefault="00DE5250" w14:paraId="7D2F920D" w14:textId="77777777">
      <w:pPr>
        <w:spacing w:after="0" w:line="240" w:lineRule="auto"/>
        <w:jc w:val="center"/>
        <w:rPr>
          <w:b/>
        </w:rPr>
      </w:pPr>
    </w:p>
    <w:p w:rsidRPr="004A13E8" w:rsidR="00DE5250" w:rsidP="00DE5250" w:rsidRDefault="00DE5250" w14:paraId="2502EF4A" w14:textId="5D88B7CC">
      <w:pPr>
        <w:pStyle w:val="Heading4"/>
      </w:pPr>
      <w:r>
        <w:t>Ju</w:t>
      </w:r>
      <w:r w:rsidR="0072654F">
        <w:t>ly 9</w:t>
      </w:r>
      <w:r>
        <w:t>, 2020</w:t>
      </w:r>
    </w:p>
    <w:bookmarkEnd w:id="0"/>
    <w:bookmarkEnd w:id="2"/>
    <w:p w:rsidRPr="004A13E8" w:rsidR="00352CEE" w:rsidP="00352CEE" w:rsidRDefault="00352CEE" w14:paraId="214C4337" w14:textId="1729C37D">
      <w:pPr>
        <w:pStyle w:val="Heading4"/>
      </w:pPr>
    </w:p>
    <w:p w:rsidR="00352CEE" w:rsidP="00A12917" w:rsidRDefault="00352CEE" w14:paraId="214C4338" w14:textId="77777777">
      <w:pPr>
        <w:pStyle w:val="NoSpacing"/>
      </w:pPr>
    </w:p>
    <w:p w:rsidR="00352CEE" w:rsidP="00A12917" w:rsidRDefault="00352CEE" w14:paraId="214C4339" w14:textId="77777777">
      <w:pPr>
        <w:pStyle w:val="NoSpacing"/>
      </w:pPr>
    </w:p>
    <w:p w:rsidR="00352CEE" w:rsidP="00A12917" w:rsidRDefault="00352CEE" w14:paraId="214C433A" w14:textId="77777777">
      <w:pPr>
        <w:pStyle w:val="NoSpacing"/>
      </w:pPr>
    </w:p>
    <w:p w:rsidR="00352CEE" w:rsidP="00A12917" w:rsidRDefault="00352CEE" w14:paraId="214C433B" w14:textId="77777777">
      <w:pPr>
        <w:pStyle w:val="NoSpacing"/>
      </w:pPr>
    </w:p>
    <w:p w:rsidR="00352CEE" w:rsidP="00A12917" w:rsidRDefault="00352CEE" w14:paraId="214C433C" w14:textId="77777777">
      <w:pPr>
        <w:pStyle w:val="NoSpacing"/>
      </w:pPr>
    </w:p>
    <w:p w:rsidR="00352CEE" w:rsidP="00A12917" w:rsidRDefault="00352CEE" w14:paraId="214C433D" w14:textId="77777777">
      <w:pPr>
        <w:pStyle w:val="NoSpacing"/>
      </w:pPr>
    </w:p>
    <w:p w:rsidR="00352CEE" w:rsidP="00A12917" w:rsidRDefault="00352CEE" w14:paraId="214C433E" w14:textId="77777777">
      <w:pPr>
        <w:pStyle w:val="NoSpacing"/>
      </w:pPr>
    </w:p>
    <w:p w:rsidR="00352CEE" w:rsidP="00352CEE" w:rsidRDefault="00352CEE" w14:paraId="214C433F" w14:textId="77777777">
      <w:pPr>
        <w:spacing w:after="0" w:line="240" w:lineRule="auto"/>
        <w:jc w:val="center"/>
        <w:rPr>
          <w:b/>
        </w:rPr>
      </w:pPr>
    </w:p>
    <w:p w:rsidR="00352CEE" w:rsidP="00352CEE" w:rsidRDefault="00352CEE" w14:paraId="214C4340" w14:textId="77777777">
      <w:pPr>
        <w:pStyle w:val="Heading4"/>
      </w:pPr>
      <w:r>
        <w:t>Supporting Statement B</w:t>
      </w:r>
    </w:p>
    <w:p w:rsidR="00352CEE" w:rsidP="00352CEE" w:rsidRDefault="00352CEE" w14:paraId="214C4341" w14:textId="77777777">
      <w:pPr>
        <w:spacing w:after="0" w:line="240" w:lineRule="auto"/>
        <w:rPr>
          <w:b/>
        </w:rPr>
      </w:pPr>
    </w:p>
    <w:p w:rsidR="00352CEE" w:rsidP="00A12917" w:rsidRDefault="00352CEE" w14:paraId="214C4342" w14:textId="77777777">
      <w:pPr>
        <w:pStyle w:val="NoSpacing"/>
      </w:pPr>
    </w:p>
    <w:p w:rsidR="00352CEE" w:rsidP="00A12917" w:rsidRDefault="00352CEE" w14:paraId="214C4343" w14:textId="77777777">
      <w:pPr>
        <w:pStyle w:val="NoSpacing"/>
      </w:pPr>
    </w:p>
    <w:p w:rsidR="00352CEE" w:rsidP="00A12917" w:rsidRDefault="00352CEE" w14:paraId="214C4344" w14:textId="77777777">
      <w:pPr>
        <w:pStyle w:val="NoSpacing"/>
      </w:pPr>
    </w:p>
    <w:p w:rsidR="00352CEE" w:rsidP="00A12917" w:rsidRDefault="00352CEE" w14:paraId="214C4345" w14:textId="77777777">
      <w:pPr>
        <w:pStyle w:val="NoSpacing"/>
      </w:pPr>
    </w:p>
    <w:p w:rsidR="00352CEE" w:rsidP="00A12917" w:rsidRDefault="00352CEE" w14:paraId="214C4346" w14:textId="77777777">
      <w:pPr>
        <w:pStyle w:val="NoSpacing"/>
      </w:pPr>
    </w:p>
    <w:p w:rsidR="00352CEE" w:rsidP="00A12917" w:rsidRDefault="00352CEE" w14:paraId="214C4347" w14:textId="77777777">
      <w:pPr>
        <w:pStyle w:val="NoSpacing"/>
      </w:pPr>
    </w:p>
    <w:p w:rsidR="00352CEE" w:rsidP="00A12917" w:rsidRDefault="00352CEE" w14:paraId="214C4348" w14:textId="77777777">
      <w:pPr>
        <w:pStyle w:val="NoSpacing"/>
      </w:pPr>
    </w:p>
    <w:p w:rsidR="00352CEE" w:rsidP="00A12917" w:rsidRDefault="00352CEE" w14:paraId="214C4349" w14:textId="77777777">
      <w:pPr>
        <w:pStyle w:val="NoSpacing"/>
      </w:pPr>
    </w:p>
    <w:p w:rsidR="00352CEE" w:rsidP="00A12917" w:rsidRDefault="00352CEE" w14:paraId="214C434A" w14:textId="77777777">
      <w:pPr>
        <w:pStyle w:val="NoSpacing"/>
      </w:pPr>
    </w:p>
    <w:p w:rsidR="00352CEE" w:rsidP="00A12917" w:rsidRDefault="00352CEE" w14:paraId="214C434B" w14:textId="77777777">
      <w:pPr>
        <w:pStyle w:val="NoSpacing"/>
      </w:pPr>
    </w:p>
    <w:p w:rsidR="00352CEE" w:rsidP="00A12917" w:rsidRDefault="00352CEE" w14:paraId="214C434C" w14:textId="77777777">
      <w:pPr>
        <w:pStyle w:val="NoSpacing"/>
      </w:pPr>
    </w:p>
    <w:p w:rsidR="00352CEE" w:rsidP="00A12917" w:rsidRDefault="00352CEE" w14:paraId="214C434D" w14:textId="77777777">
      <w:pPr>
        <w:pStyle w:val="NoSpacing"/>
      </w:pPr>
    </w:p>
    <w:p w:rsidR="00352CEE" w:rsidP="00A12917" w:rsidRDefault="00352CEE" w14:paraId="214C434E" w14:textId="77777777">
      <w:pPr>
        <w:pStyle w:val="NoSpacing"/>
      </w:pPr>
    </w:p>
    <w:p w:rsidR="00352CEE" w:rsidP="00A12917" w:rsidRDefault="00352CEE" w14:paraId="214C434F" w14:textId="77777777">
      <w:pPr>
        <w:pStyle w:val="NoSpacing"/>
      </w:pPr>
    </w:p>
    <w:p w:rsidR="00352CEE" w:rsidP="00A12917" w:rsidRDefault="00352CEE" w14:paraId="214C4350" w14:textId="77777777">
      <w:pPr>
        <w:pStyle w:val="NoSpacing"/>
      </w:pPr>
    </w:p>
    <w:p w:rsidR="00352CEE" w:rsidP="00A12917" w:rsidRDefault="00352CEE" w14:paraId="214C4352" w14:textId="77777777">
      <w:pPr>
        <w:pStyle w:val="NoSpacing"/>
      </w:pPr>
    </w:p>
    <w:p w:rsidR="00352CEE" w:rsidP="00352CEE" w:rsidRDefault="00352CEE" w14:paraId="214C4353" w14:textId="77777777">
      <w:pPr>
        <w:spacing w:after="0" w:line="240" w:lineRule="auto"/>
        <w:rPr>
          <w:b/>
        </w:rPr>
      </w:pPr>
    </w:p>
    <w:p w:rsidRPr="004A6DE8" w:rsidR="00352CEE" w:rsidP="00352CEE" w:rsidRDefault="00352CEE" w14:paraId="214C4354" w14:textId="77777777">
      <w:pPr>
        <w:pStyle w:val="Heading4"/>
        <w:jc w:val="left"/>
      </w:pPr>
      <w:r w:rsidRPr="004A6DE8">
        <w:t xml:space="preserve">Contact: </w:t>
      </w:r>
    </w:p>
    <w:p w:rsidR="0072654F" w:rsidP="0072654F" w:rsidRDefault="0072654F" w14:paraId="08471819" w14:textId="77777777">
      <w:pPr>
        <w:pStyle w:val="NoSpacing"/>
      </w:pPr>
      <w:r>
        <w:t>Thomas “Chip” Daymude</w:t>
      </w:r>
    </w:p>
    <w:p w:rsidRPr="004A13E8" w:rsidR="0072654F" w:rsidP="0072654F" w:rsidRDefault="0072654F" w14:paraId="2A743C18" w14:textId="77777777">
      <w:pPr>
        <w:pStyle w:val="NoSpacing"/>
      </w:pPr>
      <w:r w:rsidRPr="004A13E8">
        <w:t xml:space="preserve">National Center for Emerging and Zoonotic Infectious Diseases </w:t>
      </w:r>
    </w:p>
    <w:p w:rsidRPr="004A13E8" w:rsidR="0072654F" w:rsidP="0072654F" w:rsidRDefault="0072654F" w14:paraId="4832235C" w14:textId="77777777">
      <w:pPr>
        <w:pStyle w:val="NoSpacing"/>
      </w:pPr>
      <w:r w:rsidRPr="004A13E8">
        <w:t xml:space="preserve">Centers for Disease Control and Prevention </w:t>
      </w:r>
    </w:p>
    <w:p w:rsidRPr="004A13E8" w:rsidR="0072654F" w:rsidP="0072654F" w:rsidRDefault="0072654F" w14:paraId="46835491" w14:textId="77777777">
      <w:pPr>
        <w:pStyle w:val="NoSpacing"/>
      </w:pPr>
      <w:r w:rsidRPr="004A13E8">
        <w:t xml:space="preserve">1600 Clifton Road, NE </w:t>
      </w:r>
    </w:p>
    <w:p w:rsidRPr="004A13E8" w:rsidR="0072654F" w:rsidP="0072654F" w:rsidRDefault="0072654F" w14:paraId="375017D7" w14:textId="77777777">
      <w:pPr>
        <w:pStyle w:val="NoSpacing"/>
      </w:pPr>
      <w:r w:rsidRPr="004A13E8">
        <w:t xml:space="preserve">Atlanta, Georgia 30333 </w:t>
      </w:r>
    </w:p>
    <w:p w:rsidRPr="004A13E8" w:rsidR="0072654F" w:rsidP="0072654F" w:rsidRDefault="0072654F" w14:paraId="16AF72CB" w14:textId="77777777">
      <w:pPr>
        <w:pStyle w:val="NoSpacing"/>
      </w:pPr>
      <w:r w:rsidRPr="004A13E8">
        <w:t>Phone: (</w:t>
      </w:r>
      <w:r>
        <w:t>470) 553-3567</w:t>
      </w:r>
      <w:r w:rsidRPr="004A13E8">
        <w:t xml:space="preserve"> </w:t>
      </w:r>
    </w:p>
    <w:p w:rsidRPr="004A13E8" w:rsidR="00352CEE" w:rsidP="0072654F" w:rsidRDefault="0072654F" w14:paraId="214C435A" w14:textId="22FC1C1E">
      <w:pPr>
        <w:pStyle w:val="NoSpacing"/>
      </w:pPr>
      <w:r w:rsidRPr="004A6DE8">
        <w:t xml:space="preserve">Email: </w:t>
      </w:r>
      <w:hyperlink w:history="1" r:id="rId12">
        <w:r w:rsidRPr="00163E96">
          <w:rPr>
            <w:rStyle w:val="Hyperlink"/>
          </w:rPr>
          <w:t>qkh7@cdc.gov</w:t>
        </w:r>
      </w:hyperlink>
      <w:bookmarkStart w:name="_GoBack" w:id="5"/>
      <w:bookmarkEnd w:id="5"/>
      <w:r w:rsidRPr="004A13E8" w:rsidR="00352CEE">
        <w:t xml:space="preserve"> </w:t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2"/>
        </w:rPr>
      </w:sdtEndPr>
      <w:sdtContent>
        <w:p w:rsidRPr="00F97F2F" w:rsidR="00352CEE" w:rsidP="00352CEE" w:rsidRDefault="00352CEE" w14:paraId="214C435C" w14:textId="77777777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352CEE" w:rsidP="00352CEE" w:rsidRDefault="00352CEE" w14:paraId="214C435D" w14:textId="77777777">
          <w:pPr>
            <w:pStyle w:val="TOC2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352CEE" w:rsidRDefault="00296946" w14:paraId="214C435E" w14:textId="19E295B1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0">
            <w:r w:rsidRPr="003151E9" w:rsidR="00352CEE">
              <w:rPr>
                <w:rStyle w:val="Hyperlink"/>
                <w:noProof/>
              </w:rPr>
              <w:t>1.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Respondent Universe and Sampling Methods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_Toc473882440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2130DA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296946" w14:paraId="214C435F" w14:textId="687EB96F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1">
            <w:r w:rsidRPr="003151E9" w:rsidR="00352CEE">
              <w:rPr>
                <w:rStyle w:val="Hyperlink"/>
                <w:noProof/>
              </w:rPr>
              <w:t>2.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Procedures for the Collection of Information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_Toc473882441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2130DA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296946" w14:paraId="214C4360" w14:textId="5F07A4C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2">
            <w:r w:rsidRPr="003151E9" w:rsidR="00352CEE">
              <w:rPr>
                <w:rStyle w:val="Hyperlink"/>
                <w:noProof/>
              </w:rPr>
              <w:t>3.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Methods to maximize Response Rates and Deal with No Response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_Toc473882442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2130DA">
              <w:rPr>
                <w:noProof/>
                <w:webHidden/>
              </w:rPr>
              <w:t>3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296946" w14:paraId="214C4361" w14:textId="43495A05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3">
            <w:r w:rsidRPr="003151E9" w:rsidR="00352CEE">
              <w:rPr>
                <w:rStyle w:val="Hyperlink"/>
                <w:noProof/>
              </w:rPr>
              <w:t>4.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Tests of Procedures or Methods to be Undertaken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_Toc473882443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2130DA">
              <w:rPr>
                <w:noProof/>
                <w:webHidden/>
              </w:rPr>
              <w:t>3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296946" w14:paraId="214C4362" w14:textId="700F4D60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4">
            <w:r w:rsidRPr="003151E9" w:rsidR="00352CEE">
              <w:rPr>
                <w:rStyle w:val="Hyperlink"/>
                <w:noProof/>
              </w:rPr>
              <w:t>5.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Individuals Consulted on Statistical Aspects and Individuals Collecting and/or Analyzing Data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_Toc473882444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2130DA">
              <w:rPr>
                <w:noProof/>
                <w:webHidden/>
              </w:rPr>
              <w:t>3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A12917" w:rsidP="00A12917" w:rsidRDefault="00352CEE" w14:paraId="383B4AD2" w14:textId="777777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B11D10" w:rsidP="00A12917" w:rsidRDefault="00B11D10" w14:paraId="7B31E75D" w14:textId="4E6FF72C">
      <w:bookmarkStart w:name="_Toc473882440" w:id="6"/>
      <w:r w:rsidRPr="00B11D10">
        <w:t>This collection of information involve</w:t>
      </w:r>
      <w:r>
        <w:t>s</w:t>
      </w:r>
      <w:r w:rsidRPr="00B11D10">
        <w:t xml:space="preserve"> statistical methods</w:t>
      </w:r>
      <w:r>
        <w:t xml:space="preserve"> including descriptive statistics, </w:t>
      </w:r>
      <w:r w:rsidR="00631CCC">
        <w:t xml:space="preserve">and </w:t>
      </w:r>
      <w:r>
        <w:t>general or generalized linear models</w:t>
      </w:r>
      <w:r w:rsidRPr="00B11D10">
        <w:t xml:space="preserve">. The purpose of the collection is to </w:t>
      </w:r>
      <w:r>
        <w:t xml:space="preserve">describe </w:t>
      </w:r>
      <w:r w:rsidR="00136981">
        <w:t xml:space="preserve">the illness </w:t>
      </w:r>
      <w:r>
        <w:t xml:space="preserve">heterogeneity </w:t>
      </w:r>
      <w:r w:rsidR="00136981">
        <w:t xml:space="preserve">of patients with </w:t>
      </w:r>
      <w:proofErr w:type="spellStart"/>
      <w:r w:rsidRPr="00B11D10" w:rsidR="00136981">
        <w:t>myalgic</w:t>
      </w:r>
      <w:proofErr w:type="spellEnd"/>
      <w:r w:rsidRPr="00B11D10" w:rsidR="00136981">
        <w:t xml:space="preserve"> encephalomyelitis/chronic fatigue syndrome (ME/CFS)</w:t>
      </w:r>
      <w:r w:rsidR="00136981">
        <w:t xml:space="preserve"> </w:t>
      </w:r>
      <w:r>
        <w:t xml:space="preserve">and </w:t>
      </w:r>
      <w:r w:rsidR="00136981">
        <w:t xml:space="preserve">identify patient </w:t>
      </w:r>
      <w:r>
        <w:t>subgroup</w:t>
      </w:r>
      <w:r w:rsidR="00136981">
        <w:t>s</w:t>
      </w:r>
      <w:r>
        <w:t xml:space="preserve"> based on their common characteristics </w:t>
      </w:r>
      <w:r w:rsidR="00136981">
        <w:t>using</w:t>
      </w:r>
      <w:r>
        <w:t xml:space="preserve"> a multi-site study sample recruited from </w:t>
      </w:r>
      <w:r w:rsidR="00136981">
        <w:t>ME/CFS specialty clinics in the United States</w:t>
      </w:r>
      <w:r w:rsidRPr="00B11D10">
        <w:t xml:space="preserve">. Statistical generalizations will not be made </w:t>
      </w:r>
      <w:r w:rsidR="00C946DB">
        <w:t>beyond the patient population in the tertiary setting (ME/CFS specialty clinics)</w:t>
      </w:r>
      <w:r w:rsidRPr="00B11D10">
        <w:t>.</w:t>
      </w:r>
    </w:p>
    <w:p w:rsidR="00352CEE" w:rsidP="00352CEE" w:rsidRDefault="00352CEE" w14:paraId="214C4364" w14:textId="77777777">
      <w:pPr>
        <w:pStyle w:val="Heading1"/>
      </w:pPr>
      <w:r>
        <w:t>Respondent Universe and Sampling Methods</w:t>
      </w:r>
      <w:bookmarkEnd w:id="6"/>
    </w:p>
    <w:p w:rsidR="0080499F" w:rsidP="002D7E48" w:rsidRDefault="00181BF6" w14:paraId="6150D4DE" w14:textId="3074B6CA">
      <w:r>
        <w:t>T</w:t>
      </w:r>
      <w:r w:rsidRPr="00181BF6">
        <w:t xml:space="preserve">he respondent universe consists of </w:t>
      </w:r>
      <w:r>
        <w:t>patients from ME/CFS specialty clinics and their physician networks in the United States</w:t>
      </w:r>
      <w:r w:rsidR="00397F66">
        <w:t xml:space="preserve"> [</w:t>
      </w:r>
      <w:r w:rsidR="0071573E">
        <w:t xml:space="preserve">Open Medicine </w:t>
      </w:r>
      <w:r w:rsidR="00494024">
        <w:t xml:space="preserve">Institute </w:t>
      </w:r>
      <w:r w:rsidR="0071573E">
        <w:t>Consortium, CA; Mount S</w:t>
      </w:r>
      <w:r w:rsidR="00C94839">
        <w:t>i</w:t>
      </w:r>
      <w:r w:rsidR="0071573E">
        <w:t xml:space="preserve">nai Beth Israel, NY; </w:t>
      </w:r>
      <w:r w:rsidRPr="0071573E" w:rsidR="0071573E">
        <w:t>Institute for Neuro-Immune Medicine</w:t>
      </w:r>
      <w:r w:rsidR="0071573E">
        <w:t>, FL]</w:t>
      </w:r>
      <w:r>
        <w:t>.</w:t>
      </w:r>
      <w:r w:rsidRPr="00181BF6">
        <w:t xml:space="preserve"> </w:t>
      </w:r>
      <w:r w:rsidRPr="00494024" w:rsidR="00494024">
        <w:t>These specific clinics were chosen because they are well-known with physicians experienced in caring for patients with ME/CFS</w:t>
      </w:r>
      <w:r w:rsidRPr="00181BF6">
        <w:t xml:space="preserve">.  </w:t>
      </w:r>
    </w:p>
    <w:p w:rsidRPr="007F46E9" w:rsidR="00CA68D7" w:rsidP="00CA68D7" w:rsidRDefault="00CA68D7" w14:paraId="391FF87B" w14:textId="0405FA8C">
      <w:r>
        <w:t>The MCAM study has been conducted in multiple stages. At Stage</w:t>
      </w:r>
      <w:r w:rsidR="00E40D2B">
        <w:t xml:space="preserve"> </w:t>
      </w:r>
      <w:r>
        <w:t xml:space="preserve">1, we aimed to enroll 450 </w:t>
      </w:r>
      <w:r w:rsidR="0077551A">
        <w:t xml:space="preserve">ME/CFS </w:t>
      </w:r>
      <w:r>
        <w:t>patients in a 1-year timeframe using a standardized approach. Sample size was primarily constrained by budget and feasibility of the study management at each clinical site. On the basis of previous ME/CFS clinical studies, we anticipated a follow-up rate of 75%, resulting in a total of 338 patients for whom we would collect complete data (≥80% of valid data via instruments/forms) and who would be eligible for the follow-up of ME/CFS subjects at stage 2</w:t>
      </w:r>
      <w:r w:rsidR="00BC43DC">
        <w:t>.</w:t>
      </w:r>
      <w:r w:rsidRPr="00BC43DC" w:rsidR="00BC43DC">
        <w:t xml:space="preserve"> Based on an effect size of 0.4, a minimum of 130 subjects were needed in the ill comparison group to achieve 90% power to detect </w:t>
      </w:r>
      <w:r w:rsidR="00D50E8F">
        <w:t>a</w:t>
      </w:r>
      <w:r w:rsidRPr="00BC43DC" w:rsidR="00BC43DC">
        <w:t xml:space="preserve"> 2-point difference in mean Multidimensional Fatigue Inventory subscale scores and a</w:t>
      </w:r>
      <w:r w:rsidR="00D50E8F">
        <w:t xml:space="preserve"> </w:t>
      </w:r>
      <w:r w:rsidRPr="00BC43DC" w:rsidR="00BC43DC">
        <w:t>12-point difference in the mean 36-Item Short Form Survey subscale scores between the ME/CFS and other illness</w:t>
      </w:r>
      <w:r w:rsidR="00D50E8F">
        <w:t>e</w:t>
      </w:r>
      <w:r w:rsidRPr="00BC43DC" w:rsidR="00BC43DC">
        <w:t>s (or ill comparison) groups.</w:t>
      </w:r>
      <w:r w:rsidR="00D50E8F">
        <w:t xml:space="preserve"> </w:t>
      </w:r>
      <w:r>
        <w:t>A healthy contro</w:t>
      </w:r>
      <w:r w:rsidR="006C4F62">
        <w:t>l</w:t>
      </w:r>
      <w:r>
        <w:t xml:space="preserve"> group of equal size was recruited for group comparisons of ME/CFS illness domain measures.</w:t>
      </w:r>
    </w:p>
    <w:p w:rsidR="00352CEE" w:rsidP="00352CEE" w:rsidRDefault="00352CEE" w14:paraId="214C4366" w14:textId="77777777">
      <w:pPr>
        <w:pStyle w:val="Heading1"/>
      </w:pPr>
      <w:bookmarkStart w:name="_Toc473882441" w:id="7"/>
      <w:r>
        <w:t>Procedures for the Collection of Information</w:t>
      </w:r>
      <w:bookmarkEnd w:id="7"/>
    </w:p>
    <w:p w:rsidRPr="003419B3" w:rsidR="00EE64F0" w:rsidP="00352CEE" w:rsidRDefault="00581C8E" w14:paraId="5D854775" w14:textId="4E786172">
      <w:r>
        <w:t>This collection of information does not involve stratification and sample selection. Respondents are patients seen at the selected clinics. A</w:t>
      </w:r>
      <w:r w:rsidRPr="00581C8E">
        <w:t xml:space="preserve">uthorized </w:t>
      </w:r>
      <w:r>
        <w:t xml:space="preserve">and trained </w:t>
      </w:r>
      <w:r w:rsidRPr="00581C8E">
        <w:t>study personnel review participant medical records to abstract information on medical/family history, infection and immunization history, medications, laboratory and test results at the first and most recent visits to the clinic. For self-administered questionnaires/instruments, participants respond to the questions via a web-based system (</w:t>
      </w:r>
      <w:proofErr w:type="spellStart"/>
      <w:r w:rsidRPr="00581C8E">
        <w:t>OpenMedNet</w:t>
      </w:r>
      <w:proofErr w:type="spellEnd"/>
      <w:r w:rsidRPr="00581C8E">
        <w:t>, Open Medicine Institute) or a paper form before or at the next clinic visit.</w:t>
      </w:r>
    </w:p>
    <w:p w:rsidR="00352CEE" w:rsidP="00352CEE" w:rsidRDefault="00352CEE" w14:paraId="214C4368" w14:textId="77777777">
      <w:pPr>
        <w:pStyle w:val="Heading1"/>
      </w:pPr>
      <w:bookmarkStart w:name="_Toc473882442" w:id="8"/>
      <w:r>
        <w:lastRenderedPageBreak/>
        <w:t>Methods to maximize Response Rates and Deal with No Response</w:t>
      </w:r>
      <w:bookmarkEnd w:id="8"/>
    </w:p>
    <w:p w:rsidRPr="008D5AEA" w:rsidR="004A1A55" w:rsidP="005C4D59" w:rsidRDefault="00056CD6" w14:paraId="459F6E84" w14:textId="462A923F">
      <w:r>
        <w:t xml:space="preserve">Standardized instruments and tests are administered through several modes (paper form or web-based form on mobile, tablet, or PC devices) to reduce non-responses due to technology. </w:t>
      </w:r>
      <w:r w:rsidRPr="004A1A55" w:rsidR="004A1A55">
        <w:t>Monitoring response rates of th</w:t>
      </w:r>
      <w:r w:rsidR="004A1A55">
        <w:t xml:space="preserve">is information collection </w:t>
      </w:r>
      <w:r w:rsidR="00CA18B3">
        <w:t>is</w:t>
      </w:r>
      <w:r w:rsidRPr="004A1A55" w:rsidR="004A1A55">
        <w:t xml:space="preserve"> done through conference calls on a regular basis with </w:t>
      </w:r>
      <w:r w:rsidR="004A1A55">
        <w:t xml:space="preserve">the coordinating center, Open Medicine Institute Consortium and </w:t>
      </w:r>
      <w:r w:rsidRPr="004A1A55" w:rsidR="004A1A55">
        <w:t xml:space="preserve">each </w:t>
      </w:r>
      <w:r w:rsidR="004A1A55">
        <w:t>clinical site</w:t>
      </w:r>
      <w:r w:rsidRPr="004A1A55" w:rsidR="004A1A55">
        <w:t xml:space="preserve">, offering the opportunity to share strategies for improving response rates. </w:t>
      </w:r>
      <w:r w:rsidR="004A1A55">
        <w:t>CDC’s Epidemiology Data Management, and Analysis (EDMA) team conduct</w:t>
      </w:r>
      <w:r w:rsidR="00CA18B3">
        <w:t>s</w:t>
      </w:r>
      <w:r w:rsidR="004A1A55">
        <w:t xml:space="preserve"> weekly check</w:t>
      </w:r>
      <w:r w:rsidR="00CA18B3">
        <w:t>s</w:t>
      </w:r>
      <w:r w:rsidR="004A1A55">
        <w:t xml:space="preserve"> on data collection via web-based system and paper copies </w:t>
      </w:r>
      <w:r w:rsidR="00EE1BF7">
        <w:t>throughout the</w:t>
      </w:r>
      <w:r w:rsidR="004A1A55">
        <w:t xml:space="preserve"> collection </w:t>
      </w:r>
      <w:r w:rsidR="00EE1BF7">
        <w:t>period</w:t>
      </w:r>
      <w:r w:rsidR="004A1A55">
        <w:t>. Annual s</w:t>
      </w:r>
      <w:r w:rsidRPr="004A1A55" w:rsidR="004A1A55">
        <w:t xml:space="preserve">ite visits </w:t>
      </w:r>
      <w:r w:rsidR="004A1A55">
        <w:t>to the clinics</w:t>
      </w:r>
      <w:r w:rsidRPr="004A1A55" w:rsidR="004A1A55">
        <w:t xml:space="preserve"> </w:t>
      </w:r>
      <w:r w:rsidR="004A1A55">
        <w:t>and reversed site visit</w:t>
      </w:r>
      <w:r w:rsidR="00EE1BF7">
        <w:t>s</w:t>
      </w:r>
      <w:r w:rsidR="004A1A55">
        <w:t xml:space="preserve"> to CDC from the clinics </w:t>
      </w:r>
      <w:r w:rsidR="00A24EC3">
        <w:t>increases and maintains</w:t>
      </w:r>
      <w:r w:rsidRPr="004A1A55" w:rsidR="00A24EC3">
        <w:t xml:space="preserve"> </w:t>
      </w:r>
      <w:r w:rsidR="004A1A55">
        <w:t xml:space="preserve">site </w:t>
      </w:r>
      <w:r w:rsidRPr="004A1A55" w:rsidR="004A1A55">
        <w:t>involvement.</w:t>
      </w:r>
      <w:r w:rsidR="00746D95">
        <w:t xml:space="preserve"> Additionally, the study sites send out study newsletters every other year to </w:t>
      </w:r>
      <w:r w:rsidR="00EE1BF7">
        <w:t>assist</w:t>
      </w:r>
      <w:r w:rsidR="00746D95">
        <w:t xml:space="preserve"> </w:t>
      </w:r>
      <w:r w:rsidR="001758A6">
        <w:t xml:space="preserve">in </w:t>
      </w:r>
      <w:r w:rsidR="00746D95">
        <w:t>retention of data collection</w:t>
      </w:r>
      <w:r w:rsidRPr="00746D95" w:rsidR="00746D95">
        <w:t xml:space="preserve"> </w:t>
      </w:r>
      <w:r w:rsidR="00746D95">
        <w:t>at follow-up visits</w:t>
      </w:r>
      <w:r w:rsidR="00EE1BF7">
        <w:t xml:space="preserve"> and promote future data collection follow-up visits</w:t>
      </w:r>
      <w:r w:rsidR="00746D95">
        <w:t>.</w:t>
      </w:r>
      <w:r w:rsidR="00A22FA2">
        <w:t xml:space="preserve"> </w:t>
      </w:r>
    </w:p>
    <w:p w:rsidR="00352CEE" w:rsidP="00352CEE" w:rsidRDefault="00352CEE" w14:paraId="214C436A" w14:textId="22BFBA7E">
      <w:pPr>
        <w:pStyle w:val="Heading1"/>
      </w:pPr>
      <w:bookmarkStart w:name="_Toc473882443" w:id="9"/>
      <w:r>
        <w:t xml:space="preserve">Tests </w:t>
      </w:r>
      <w:r w:rsidR="00DE48C7">
        <w:t>of Procedures or Methods to be u</w:t>
      </w:r>
      <w:r>
        <w:t>ndertaken</w:t>
      </w:r>
      <w:bookmarkEnd w:id="9"/>
    </w:p>
    <w:p w:rsidRPr="003B2FB4" w:rsidR="00576788" w:rsidP="00985CCD" w:rsidRDefault="00576788" w14:paraId="08480818" w14:textId="32935AB6">
      <w:r>
        <w:t xml:space="preserve">The data/information collection forms and procedures have been used in ME/CFS studies or studies in other illnesses. Therefore, we </w:t>
      </w:r>
      <w:r w:rsidR="00DE5A21">
        <w:t>did not conduct</w:t>
      </w:r>
      <w:r>
        <w:t xml:space="preserve"> pilot testing for this data collection. However, we </w:t>
      </w:r>
      <w:r w:rsidR="00E40D2B">
        <w:t>conducted</w:t>
      </w:r>
      <w:r w:rsidR="00DE5A21">
        <w:t xml:space="preserve"> a</w:t>
      </w:r>
      <w:r>
        <w:t xml:space="preserve"> </w:t>
      </w:r>
      <w:r w:rsidR="005A4697">
        <w:t>practice session</w:t>
      </w:r>
      <w:r>
        <w:t xml:space="preserve"> </w:t>
      </w:r>
      <w:r w:rsidR="00DE5A21">
        <w:t xml:space="preserve">with </w:t>
      </w:r>
      <w:r>
        <w:t>about 8 staff members and refined standard operation procedures for administering standardized instruments and tests used in this information collection.</w:t>
      </w:r>
    </w:p>
    <w:p w:rsidR="00352CEE" w:rsidP="00352CEE" w:rsidRDefault="00352CEE" w14:paraId="214C436D" w14:textId="77777777">
      <w:pPr>
        <w:pStyle w:val="Heading1"/>
      </w:pPr>
      <w:bookmarkStart w:name="_Toc473882444" w:id="10"/>
      <w:r>
        <w:t>Individuals Consulted on Statistical Aspects and Individuals Collecting and/or Analyzing Data</w:t>
      </w:r>
      <w:bookmarkEnd w:id="10"/>
    </w:p>
    <w:p w:rsidR="00050951" w:rsidP="00050951" w:rsidRDefault="00995E79" w14:paraId="393384A1" w14:textId="74F83A76">
      <w:r>
        <w:t xml:space="preserve">We have consulted with the following individuals </w:t>
      </w:r>
      <w:r w:rsidRPr="00995E79">
        <w:t>on statistical aspects of the design</w:t>
      </w:r>
      <w:r>
        <w:t xml:space="preserve"> and instrument measures</w:t>
      </w:r>
      <w:r w:rsidR="005A4697">
        <w:t>.</w:t>
      </w:r>
      <w:r>
        <w:t xml:space="preserve">  </w:t>
      </w:r>
      <w:r w:rsidR="00050951">
        <w:t xml:space="preserve"> </w:t>
      </w:r>
    </w:p>
    <w:p w:rsidR="005A4697" w:rsidP="005A4697" w:rsidRDefault="00050951" w14:paraId="013952DC" w14:textId="16193C88">
      <w:pPr>
        <w:rPr>
          <w:rFonts w:eastAsiaTheme="minorEastAsia"/>
          <w:noProof/>
          <w:color w:val="000000"/>
          <w:szCs w:val="24"/>
        </w:rPr>
      </w:pPr>
      <w:r w:rsidRPr="003E1F17">
        <w:rPr>
          <w:u w:val="single"/>
        </w:rPr>
        <w:t>CDC Staff</w:t>
      </w:r>
    </w:p>
    <w:p w:rsidR="005A4697" w:rsidP="005A4697" w:rsidRDefault="005A4697" w14:paraId="0F2C722E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>
        <w:rPr>
          <w:rFonts w:eastAsiaTheme="minorEastAsia"/>
          <w:noProof/>
          <w:color w:val="000000"/>
          <w:szCs w:val="24"/>
        </w:rPr>
        <w:t>Jin-Mann S. Lin, PhD</w:t>
      </w:r>
    </w:p>
    <w:p w:rsidR="005A4697" w:rsidP="005A4697" w:rsidRDefault="005A4697" w14:paraId="3725014A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>
        <w:rPr>
          <w:rFonts w:eastAsiaTheme="minorEastAsia"/>
          <w:noProof/>
          <w:color w:val="000000"/>
          <w:szCs w:val="24"/>
        </w:rPr>
        <w:t>Mathematical Statistician</w:t>
      </w:r>
    </w:p>
    <w:p w:rsidR="005A4697" w:rsidP="005A4697" w:rsidRDefault="00296946" w14:paraId="21AF4A2A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hyperlink w:history="1" r:id="rId13">
        <w:r w:rsidRPr="009F3102" w:rsidR="005A4697">
          <w:rPr>
            <w:rStyle w:val="Hyperlink"/>
            <w:rFonts w:eastAsiaTheme="minorEastAsia"/>
            <w:noProof/>
            <w:szCs w:val="24"/>
          </w:rPr>
          <w:t>dwe3@cdc.gov</w:t>
        </w:r>
      </w:hyperlink>
    </w:p>
    <w:p w:rsidR="007D7B6E" w:rsidP="007D7B6E" w:rsidRDefault="007D7B6E" w14:paraId="675FF835" w14:textId="02835B2C">
      <w:pPr>
        <w:shd w:val="clear" w:color="auto" w:fill="FFFFFF"/>
        <w:contextualSpacing/>
      </w:pPr>
      <w:r w:rsidRPr="003E1F17">
        <w:rPr>
          <w:rFonts w:eastAsiaTheme="minorEastAsia"/>
          <w:noProof/>
          <w:color w:val="000000"/>
          <w:szCs w:val="24"/>
        </w:rPr>
        <w:t>Phone: 404-</w:t>
      </w:r>
      <w:r>
        <w:rPr>
          <w:rFonts w:eastAsiaTheme="minorEastAsia"/>
          <w:noProof/>
          <w:color w:val="000000"/>
          <w:szCs w:val="24"/>
        </w:rPr>
        <w:t>639-1646</w:t>
      </w:r>
    </w:p>
    <w:p w:rsidR="00050951" w:rsidP="00050951" w:rsidRDefault="00050951" w14:paraId="59EB31AC" w14:textId="2DE28DA0">
      <w:pPr>
        <w:contextualSpacing/>
      </w:pPr>
      <w:r>
        <w:t>Chronic Viral Disease Branch</w:t>
      </w:r>
    </w:p>
    <w:p w:rsidR="00050951" w:rsidP="00050951" w:rsidRDefault="00050951" w14:paraId="2EDD6FCC" w14:textId="77777777">
      <w:pPr>
        <w:contextualSpacing/>
      </w:pPr>
      <w:r>
        <w:t>Division of High Consequence Pathogens and Pathology</w:t>
      </w:r>
    </w:p>
    <w:p w:rsidR="00050951" w:rsidP="00050951" w:rsidRDefault="00050951" w14:paraId="0016B690" w14:textId="77777777">
      <w:pPr>
        <w:contextualSpacing/>
      </w:pPr>
      <w:r>
        <w:t>National Center for Emerging and Zoonotic Infectious Diseases</w:t>
      </w:r>
    </w:p>
    <w:p w:rsidR="00050951" w:rsidP="00050951" w:rsidRDefault="00050951" w14:paraId="02665070" w14:textId="77777777">
      <w:pPr>
        <w:contextualSpacing/>
      </w:pPr>
      <w:r>
        <w:t>Centers for Disease Control and Prevention</w:t>
      </w:r>
    </w:p>
    <w:p w:rsidR="00050951" w:rsidP="00050951" w:rsidRDefault="00050951" w14:paraId="2A288CEA" w14:textId="77777777">
      <w:pPr>
        <w:contextualSpacing/>
      </w:pPr>
      <w:r>
        <w:t>1600 Clifton Rd, NE MS H24-12</w:t>
      </w:r>
    </w:p>
    <w:p w:rsidRPr="003E1F17" w:rsidR="00050951" w:rsidP="00050951" w:rsidRDefault="00050951" w14:paraId="70B2C54A" w14:textId="77777777">
      <w:pPr>
        <w:shd w:val="clear" w:color="auto" w:fill="FFFFFF"/>
        <w:contextualSpacing/>
        <w:rPr>
          <w:rFonts w:eastAsiaTheme="minorEastAsia"/>
          <w:noProof/>
          <w:sz w:val="32"/>
          <w:szCs w:val="32"/>
        </w:rPr>
      </w:pPr>
      <w:r w:rsidRPr="003E1F17">
        <w:rPr>
          <w:rFonts w:eastAsiaTheme="minorEastAsia"/>
          <w:noProof/>
          <w:color w:val="000000"/>
          <w:szCs w:val="24"/>
        </w:rPr>
        <w:t>Atlanta, Georgia 30329</w:t>
      </w:r>
    </w:p>
    <w:p w:rsidR="00050951" w:rsidP="00050951" w:rsidRDefault="00050951" w14:paraId="1857EB4E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</w:p>
    <w:p w:rsidR="00050951" w:rsidP="00050951" w:rsidRDefault="00050951" w14:paraId="7FEAD7B7" w14:textId="77777777">
      <w:pPr>
        <w:shd w:val="clear" w:color="auto" w:fill="FFFFFF"/>
        <w:rPr>
          <w:rFonts w:eastAsiaTheme="minorEastAsia"/>
          <w:noProof/>
          <w:color w:val="000000"/>
          <w:szCs w:val="24"/>
          <w:u w:val="single"/>
        </w:rPr>
      </w:pPr>
      <w:r>
        <w:rPr>
          <w:rFonts w:eastAsiaTheme="minorEastAsia"/>
          <w:noProof/>
          <w:color w:val="000000"/>
          <w:szCs w:val="24"/>
          <w:u w:val="single"/>
        </w:rPr>
        <w:t>Contractor</w:t>
      </w:r>
    </w:p>
    <w:p w:rsidR="00050951" w:rsidP="00050951" w:rsidRDefault="00050951" w14:paraId="6F627326" w14:textId="1BFDD496">
      <w:pPr>
        <w:shd w:val="clear" w:color="auto" w:fill="FFFFFF"/>
        <w:rPr>
          <w:rFonts w:eastAsiaTheme="minorEastAsia"/>
          <w:noProof/>
          <w:color w:val="000000"/>
          <w:szCs w:val="24"/>
        </w:rPr>
      </w:pPr>
      <w:r>
        <w:rPr>
          <w:rFonts w:eastAsiaTheme="minorEastAsia"/>
          <w:noProof/>
          <w:color w:val="000000"/>
          <w:szCs w:val="24"/>
        </w:rPr>
        <w:t xml:space="preserve">The following staff at </w:t>
      </w:r>
      <w:r w:rsidR="00E70924">
        <w:rPr>
          <w:rFonts w:eastAsiaTheme="minorEastAsia"/>
          <w:noProof/>
          <w:color w:val="000000"/>
          <w:szCs w:val="24"/>
        </w:rPr>
        <w:t>American Istitute for Research (AIR)</w:t>
      </w:r>
      <w:r>
        <w:rPr>
          <w:rFonts w:eastAsiaTheme="minorEastAsia"/>
          <w:noProof/>
          <w:color w:val="000000"/>
          <w:szCs w:val="24"/>
        </w:rPr>
        <w:t xml:space="preserve"> </w:t>
      </w:r>
      <w:r w:rsidR="00E70924">
        <w:rPr>
          <w:rFonts w:eastAsiaTheme="minorEastAsia"/>
          <w:noProof/>
          <w:color w:val="000000"/>
          <w:szCs w:val="24"/>
        </w:rPr>
        <w:t>provide</w:t>
      </w:r>
      <w:r w:rsidR="00DE5A21">
        <w:rPr>
          <w:rFonts w:eastAsiaTheme="minorEastAsia"/>
          <w:noProof/>
          <w:color w:val="000000"/>
          <w:szCs w:val="24"/>
        </w:rPr>
        <w:t>d</w:t>
      </w:r>
      <w:r w:rsidR="00E70924">
        <w:rPr>
          <w:rFonts w:eastAsiaTheme="minorEastAsia"/>
          <w:noProof/>
          <w:color w:val="000000"/>
          <w:szCs w:val="24"/>
        </w:rPr>
        <w:t xml:space="preserve"> consultation and </w:t>
      </w:r>
      <w:r w:rsidR="00DE5A21">
        <w:rPr>
          <w:rFonts w:eastAsiaTheme="minorEastAsia"/>
          <w:noProof/>
          <w:color w:val="000000"/>
          <w:szCs w:val="24"/>
        </w:rPr>
        <w:t>anal</w:t>
      </w:r>
      <w:r w:rsidR="00E40D2B">
        <w:rPr>
          <w:rFonts w:eastAsiaTheme="minorEastAsia"/>
          <w:noProof/>
          <w:color w:val="000000"/>
          <w:szCs w:val="24"/>
        </w:rPr>
        <w:t>y</w:t>
      </w:r>
      <w:r w:rsidR="00DE5A21">
        <w:rPr>
          <w:rFonts w:eastAsiaTheme="minorEastAsia"/>
          <w:noProof/>
          <w:color w:val="000000"/>
          <w:szCs w:val="24"/>
        </w:rPr>
        <w:t xml:space="preserve">sis for </w:t>
      </w:r>
      <w:r w:rsidR="00E70924">
        <w:rPr>
          <w:rFonts w:eastAsiaTheme="minorEastAsia"/>
          <w:noProof/>
          <w:color w:val="000000"/>
          <w:szCs w:val="24"/>
        </w:rPr>
        <w:t xml:space="preserve">the data on measures from </w:t>
      </w:r>
      <w:r w:rsidRPr="00E70924" w:rsidR="00E70924">
        <w:rPr>
          <w:rFonts w:eastAsiaTheme="minorEastAsia"/>
          <w:noProof/>
          <w:color w:val="000000"/>
          <w:szCs w:val="24"/>
        </w:rPr>
        <w:t>Patient-Reported Outcomes Measurement Information System (PROMIS)</w:t>
      </w:r>
      <w:r w:rsidR="00E70924">
        <w:rPr>
          <w:rFonts w:eastAsiaTheme="minorEastAsia"/>
          <w:noProof/>
          <w:color w:val="000000"/>
          <w:szCs w:val="24"/>
        </w:rPr>
        <w:t xml:space="preserve"> </w:t>
      </w:r>
      <w:r>
        <w:rPr>
          <w:rFonts w:eastAsiaTheme="minorEastAsia"/>
          <w:noProof/>
          <w:color w:val="000000"/>
          <w:szCs w:val="24"/>
        </w:rPr>
        <w:t>and can be reached at the following address and phone number:</w:t>
      </w:r>
    </w:p>
    <w:p w:rsidR="001C1277" w:rsidP="00050951" w:rsidRDefault="001C1277" w14:paraId="1E47115D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t>American Institutes for Research</w:t>
      </w:r>
    </w:p>
    <w:p w:rsidR="00050951" w:rsidP="00050951" w:rsidRDefault="001C1277" w14:paraId="2EE879C2" w14:textId="53F37026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t xml:space="preserve">Chapel Hill, NC, USA. </w:t>
      </w:r>
    </w:p>
    <w:p w:rsidRPr="001C1277" w:rsidR="001C1277" w:rsidP="001C1277" w:rsidRDefault="001C1277" w14:paraId="46BEEFD6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lastRenderedPageBreak/>
        <w:t>100 Europa Drive, Suite 315</w:t>
      </w:r>
    </w:p>
    <w:p w:rsidRPr="001C1277" w:rsidR="001C1277" w:rsidP="001C1277" w:rsidRDefault="001C1277" w14:paraId="2603B3B8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t>Chapel Hill, NC 27517</w:t>
      </w:r>
    </w:p>
    <w:p w:rsidRPr="001C1277" w:rsidR="001C1277" w:rsidP="001C1277" w:rsidRDefault="001C1277" w14:paraId="77125E8D" w14:textId="77777777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t>Phone: (919) 918-2324</w:t>
      </w:r>
    </w:p>
    <w:p w:rsidR="00050951" w:rsidP="001C1277" w:rsidRDefault="001C1277" w14:paraId="4328B48F" w14:textId="16C236B8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t>Fax: (855) 459-6213</w:t>
      </w:r>
    </w:p>
    <w:p w:rsidR="00050951" w:rsidP="00050951" w:rsidRDefault="00050951" w14:paraId="0BA3A14D" w14:textId="33B9EF1C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</w:p>
    <w:p w:rsidR="001C1277" w:rsidP="00050951" w:rsidRDefault="001C1277" w14:paraId="7F16DCD6" w14:textId="1373CF74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>
        <w:rPr>
          <w:rFonts w:eastAsiaTheme="minorEastAsia"/>
          <w:noProof/>
          <w:color w:val="000000"/>
          <w:szCs w:val="24"/>
        </w:rPr>
        <w:t>Manshu Yang, PhD</w:t>
      </w:r>
    </w:p>
    <w:p w:rsidR="001C1277" w:rsidP="00050951" w:rsidRDefault="001C1277" w14:paraId="5CEA5EB8" w14:textId="66F07448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1C1277">
        <w:rPr>
          <w:rFonts w:eastAsiaTheme="minorEastAsia"/>
          <w:noProof/>
          <w:color w:val="000000"/>
          <w:szCs w:val="24"/>
        </w:rPr>
        <w:t>Senior Researcher</w:t>
      </w:r>
    </w:p>
    <w:p w:rsidR="001C1277" w:rsidP="00050951" w:rsidRDefault="00296946" w14:paraId="67C99E6B" w14:textId="6AF134C1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hyperlink w:history="1" r:id="rId14">
        <w:r w:rsidRPr="009F3102" w:rsidR="001C1277">
          <w:rPr>
            <w:rStyle w:val="Hyperlink"/>
            <w:rFonts w:eastAsiaTheme="minorEastAsia"/>
            <w:noProof/>
            <w:szCs w:val="24"/>
          </w:rPr>
          <w:t>myang@uri.edu</w:t>
        </w:r>
      </w:hyperlink>
    </w:p>
    <w:p w:rsidR="007C6434" w:rsidP="00050951" w:rsidRDefault="007C6434" w14:paraId="4281CD2B" w14:textId="08A8CA9C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</w:p>
    <w:p w:rsidR="007C6434" w:rsidP="00050951" w:rsidRDefault="007C6434" w14:paraId="4E7169EF" w14:textId="6BB299BE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>
        <w:rPr>
          <w:rFonts w:eastAsiaTheme="minorEastAsia"/>
          <w:noProof/>
          <w:color w:val="000000"/>
          <w:szCs w:val="24"/>
        </w:rPr>
        <w:t>San Keller, PhD</w:t>
      </w:r>
    </w:p>
    <w:p w:rsidR="007C6434" w:rsidP="00050951" w:rsidRDefault="007C6434" w14:paraId="3DC10024" w14:textId="6A9C7B78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r w:rsidRPr="007C6434">
        <w:rPr>
          <w:rFonts w:eastAsiaTheme="minorEastAsia"/>
          <w:noProof/>
          <w:color w:val="000000"/>
          <w:szCs w:val="24"/>
        </w:rPr>
        <w:t>Managing Researcher</w:t>
      </w:r>
    </w:p>
    <w:p w:rsidR="007C6434" w:rsidP="00050951" w:rsidRDefault="00296946" w14:paraId="1039A781" w14:textId="6BEA4D32">
      <w:pPr>
        <w:shd w:val="clear" w:color="auto" w:fill="FFFFFF"/>
        <w:contextualSpacing/>
        <w:rPr>
          <w:rFonts w:eastAsiaTheme="minorEastAsia"/>
          <w:noProof/>
          <w:color w:val="000000"/>
          <w:szCs w:val="24"/>
        </w:rPr>
      </w:pPr>
      <w:hyperlink w:history="1" r:id="rId15">
        <w:r w:rsidRPr="009F3102" w:rsidR="007C6434">
          <w:rPr>
            <w:rStyle w:val="Hyperlink"/>
            <w:rFonts w:eastAsiaTheme="minorEastAsia"/>
            <w:noProof/>
            <w:szCs w:val="24"/>
          </w:rPr>
          <w:t>SanKeller@air.org</w:t>
        </w:r>
      </w:hyperlink>
    </w:p>
    <w:p w:rsidRPr="00985CCD" w:rsidR="007D383E" w:rsidP="00985CCD" w:rsidRDefault="007D383E" w14:paraId="649A3F80" w14:textId="77777777"/>
    <w:sectPr w:rsidRPr="00985CCD" w:rsidR="007D383E" w:rsidSect="006C657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8362A" w14:textId="77777777" w:rsidR="00296946" w:rsidRDefault="00296946" w:rsidP="008B5D54">
      <w:pPr>
        <w:spacing w:after="0" w:line="240" w:lineRule="auto"/>
      </w:pPr>
      <w:r>
        <w:separator/>
      </w:r>
    </w:p>
  </w:endnote>
  <w:endnote w:type="continuationSeparator" w:id="0">
    <w:p w14:paraId="0E4E7FAB" w14:textId="77777777" w:rsidR="00296946" w:rsidRDefault="0029694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4375" w14:textId="77777777" w:rsidR="00973E56" w:rsidRDefault="00973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4376" w14:textId="77777777" w:rsidR="00973E56" w:rsidRDefault="00973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4378" w14:textId="77777777" w:rsidR="00973E56" w:rsidRDefault="00973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BA9C5" w14:textId="77777777" w:rsidR="00296946" w:rsidRDefault="00296946" w:rsidP="008B5D54">
      <w:pPr>
        <w:spacing w:after="0" w:line="240" w:lineRule="auto"/>
      </w:pPr>
      <w:r>
        <w:separator/>
      </w:r>
    </w:p>
  </w:footnote>
  <w:footnote w:type="continuationSeparator" w:id="0">
    <w:p w14:paraId="58D32FBD" w14:textId="77777777" w:rsidR="00296946" w:rsidRDefault="0029694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4373" w14:textId="77777777" w:rsidR="00973E56" w:rsidRDefault="00973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4374" w14:textId="77777777" w:rsidR="00973E56" w:rsidRDefault="00973E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4377" w14:textId="77777777" w:rsidR="00973E56" w:rsidRDefault="00973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86A31"/>
    <w:multiLevelType w:val="hybridMultilevel"/>
    <w:tmpl w:val="DDC43CEC"/>
    <w:lvl w:ilvl="0" w:tplc="BA6A0E0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B670C"/>
    <w:multiLevelType w:val="hybridMultilevel"/>
    <w:tmpl w:val="F4A2A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121E0"/>
    <w:multiLevelType w:val="hybridMultilevel"/>
    <w:tmpl w:val="CDF010D8"/>
    <w:lvl w:ilvl="0" w:tplc="9B6AB68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050951"/>
    <w:rsid w:val="00056CD6"/>
    <w:rsid w:val="00136981"/>
    <w:rsid w:val="001758A6"/>
    <w:rsid w:val="00181BF6"/>
    <w:rsid w:val="001C1277"/>
    <w:rsid w:val="002130DA"/>
    <w:rsid w:val="002278DC"/>
    <w:rsid w:val="00296946"/>
    <w:rsid w:val="002D7E48"/>
    <w:rsid w:val="00352CEE"/>
    <w:rsid w:val="00397F66"/>
    <w:rsid w:val="00494024"/>
    <w:rsid w:val="004A1A55"/>
    <w:rsid w:val="004C1BA1"/>
    <w:rsid w:val="004D0CD2"/>
    <w:rsid w:val="00573ADE"/>
    <w:rsid w:val="00576788"/>
    <w:rsid w:val="00581C8E"/>
    <w:rsid w:val="005A4697"/>
    <w:rsid w:val="005C4D59"/>
    <w:rsid w:val="00631CCC"/>
    <w:rsid w:val="006C4F62"/>
    <w:rsid w:val="006C6578"/>
    <w:rsid w:val="006F12C6"/>
    <w:rsid w:val="0071573E"/>
    <w:rsid w:val="0072654F"/>
    <w:rsid w:val="00746D95"/>
    <w:rsid w:val="0077551A"/>
    <w:rsid w:val="007C6434"/>
    <w:rsid w:val="007D383E"/>
    <w:rsid w:val="007D7B6E"/>
    <w:rsid w:val="007E07CC"/>
    <w:rsid w:val="007E6753"/>
    <w:rsid w:val="0080499F"/>
    <w:rsid w:val="00870D28"/>
    <w:rsid w:val="008B5D54"/>
    <w:rsid w:val="009050E9"/>
    <w:rsid w:val="00935A57"/>
    <w:rsid w:val="00973E56"/>
    <w:rsid w:val="00977845"/>
    <w:rsid w:val="00985CCD"/>
    <w:rsid w:val="00995E79"/>
    <w:rsid w:val="00997D0E"/>
    <w:rsid w:val="009D06B3"/>
    <w:rsid w:val="00A12917"/>
    <w:rsid w:val="00A22FA2"/>
    <w:rsid w:val="00A24EC3"/>
    <w:rsid w:val="00B05029"/>
    <w:rsid w:val="00B11D10"/>
    <w:rsid w:val="00B55735"/>
    <w:rsid w:val="00B608AC"/>
    <w:rsid w:val="00BC43DC"/>
    <w:rsid w:val="00BD7EFC"/>
    <w:rsid w:val="00C946DB"/>
    <w:rsid w:val="00C94839"/>
    <w:rsid w:val="00C9539F"/>
    <w:rsid w:val="00CA18B3"/>
    <w:rsid w:val="00CA68D7"/>
    <w:rsid w:val="00D17AC7"/>
    <w:rsid w:val="00D50E8F"/>
    <w:rsid w:val="00DA2CE8"/>
    <w:rsid w:val="00DC57CC"/>
    <w:rsid w:val="00DE48C7"/>
    <w:rsid w:val="00DE5250"/>
    <w:rsid w:val="00DE5A21"/>
    <w:rsid w:val="00E30D56"/>
    <w:rsid w:val="00E40D2B"/>
    <w:rsid w:val="00E70924"/>
    <w:rsid w:val="00E747ED"/>
    <w:rsid w:val="00EE1BF7"/>
    <w:rsid w:val="00EE64F0"/>
    <w:rsid w:val="00F121CF"/>
    <w:rsid w:val="00F63BF7"/>
    <w:rsid w:val="00F9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5E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3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B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BF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BF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we3@cdc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qkh7@cdc.go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anKeller@air.org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yang@uri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C9F63ADB9D84686E454407AEAA835" ma:contentTypeVersion="0" ma:contentTypeDescription="Create a new document." ma:contentTypeScope="" ma:versionID="7357ba2529164e70a8725293850fdbdc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10c39f95e001d8bc866fea92b05a33af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PFY6PPX2AYTS-421255892-28</_dlc_DocId>
    <_dlc_DocIdUrl xmlns="81daf041-c113-401c-bf82-107f5d396711">
      <Url>https://esp.cdc.gov/sites/ncezid/OD/policy/PRA/_layouts/15/DocIdRedir.aspx?ID=PFY6PPX2AYTS-421255892-28</Url>
      <Description>PFY6PPX2AYTS-421255892-28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2D52-4E35-4431-9194-742DD784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B5C68-3B1C-413F-A2F0-735BDAA359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46C322-7639-486D-948B-71FB7FEDA535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customXml/itemProps5.xml><?xml version="1.0" encoding="utf-8"?>
<ds:datastoreItem xmlns:ds="http://schemas.openxmlformats.org/officeDocument/2006/customXml" ds:itemID="{CADA56E4-5A92-49C7-BB6E-E71508FA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(CDC/OID/NCEZID);dwe3@cdc.gov</dc:creator>
  <cp:keywords/>
  <dc:description/>
  <cp:lastModifiedBy>Daymude, Thomas (CDC/DDID/NCEZID/OD)</cp:lastModifiedBy>
  <cp:revision>2</cp:revision>
  <dcterms:created xsi:type="dcterms:W3CDTF">2020-07-09T20:01:00Z</dcterms:created>
  <dcterms:modified xsi:type="dcterms:W3CDTF">2020-07-09T20:01:00Z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0x0101002C7C9F63ADB9D84686E454407AEAA835</vt:lpwstr>
  </property>
  <property fmtid="{D5CDD505-2E9C-101B-9397-08002B2CF9AE}" pid="3" name="_dlc_DocIdItemGuid">
    <vt:lpwstr>88371678-b9da-4719-8d8b-d54d1caeb036</vt:lpwstr>
  </property>
</Properties>
</file>