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913" w:rsidP="001D181F" w:rsidRDefault="00AD243D" w14:paraId="12B6F026" w14:textId="0EC26DAC">
      <w:pPr>
        <w:spacing w:before="79"/>
        <w:jc w:val="center"/>
        <w:rPr>
          <w:b/>
          <w:sz w:val="24"/>
        </w:rPr>
      </w:pPr>
      <w:bookmarkStart w:name="Supporting_Statement_-_SSV_-_Part_B" w:id="0"/>
      <w:bookmarkEnd w:id="0"/>
      <w:r>
        <w:rPr>
          <w:b/>
          <w:sz w:val="24"/>
        </w:rPr>
        <w:t>SUPPORTING STATEMENT</w:t>
      </w:r>
      <w:r w:rsidR="00727170">
        <w:rPr>
          <w:b/>
          <w:sz w:val="24"/>
        </w:rPr>
        <w:t>—PART B</w:t>
      </w:r>
    </w:p>
    <w:p w:rsidR="00640913" w:rsidP="001D181F" w:rsidRDefault="00AD243D" w14:paraId="0F279AAE" w14:textId="77777777">
      <w:pPr>
        <w:jc w:val="center"/>
        <w:rPr>
          <w:b/>
          <w:sz w:val="24"/>
        </w:rPr>
      </w:pPr>
      <w:r>
        <w:rPr>
          <w:b/>
          <w:sz w:val="24"/>
        </w:rPr>
        <w:t xml:space="preserve">Survey of Sexual Victimization, </w:t>
      </w:r>
      <w:r w:rsidR="00EC7257">
        <w:rPr>
          <w:b/>
          <w:sz w:val="24"/>
        </w:rPr>
        <w:t>2020, 2021, 2022</w:t>
      </w:r>
    </w:p>
    <w:p w:rsidR="00640913" w:rsidRDefault="00640913" w14:paraId="7D65B383" w14:textId="77777777">
      <w:pPr>
        <w:pStyle w:val="BodyText"/>
        <w:spacing w:before="6"/>
        <w:rPr>
          <w:b/>
          <w:sz w:val="23"/>
        </w:rPr>
      </w:pPr>
    </w:p>
    <w:p w:rsidR="00640913" w:rsidP="0060583F" w:rsidRDefault="00AD243D" w14:paraId="41A4B288" w14:textId="77777777">
      <w:pPr>
        <w:pStyle w:val="ListParagraph"/>
        <w:numPr>
          <w:ilvl w:val="0"/>
          <w:numId w:val="4"/>
        </w:numPr>
        <w:tabs>
          <w:tab w:val="left" w:pos="720"/>
        </w:tabs>
        <w:spacing w:before="1"/>
        <w:ind w:left="720"/>
        <w:rPr>
          <w:b/>
          <w:sz w:val="24"/>
        </w:rPr>
      </w:pPr>
      <w:bookmarkStart w:name="_Hlk65155695" w:id="1"/>
      <w:r>
        <w:rPr>
          <w:b/>
          <w:sz w:val="24"/>
        </w:rPr>
        <w:t>Statistical</w:t>
      </w:r>
      <w:r>
        <w:rPr>
          <w:b/>
          <w:spacing w:val="-1"/>
          <w:sz w:val="24"/>
        </w:rPr>
        <w:t xml:space="preserve"> </w:t>
      </w:r>
      <w:r>
        <w:rPr>
          <w:b/>
          <w:sz w:val="24"/>
        </w:rPr>
        <w:t>Methods</w:t>
      </w:r>
    </w:p>
    <w:p w:rsidR="00640913" w:rsidP="0060583F" w:rsidRDefault="00640913" w14:paraId="6661F4AE" w14:textId="77777777">
      <w:pPr>
        <w:pStyle w:val="BodyText"/>
        <w:tabs>
          <w:tab w:val="left" w:pos="720"/>
        </w:tabs>
        <w:spacing w:before="11"/>
        <w:ind w:left="720" w:hanging="720"/>
        <w:rPr>
          <w:b/>
          <w:sz w:val="23"/>
        </w:rPr>
      </w:pPr>
    </w:p>
    <w:p w:rsidR="00640913" w:rsidP="0060583F" w:rsidRDefault="00AD243D" w14:paraId="56F498EB" w14:textId="77777777">
      <w:pPr>
        <w:pStyle w:val="ListParagraph"/>
        <w:numPr>
          <w:ilvl w:val="1"/>
          <w:numId w:val="4"/>
        </w:numPr>
        <w:tabs>
          <w:tab w:val="left" w:pos="720"/>
        </w:tabs>
        <w:rPr>
          <w:sz w:val="24"/>
        </w:rPr>
      </w:pPr>
      <w:r>
        <w:rPr>
          <w:sz w:val="24"/>
          <w:u w:val="single"/>
        </w:rPr>
        <w:t>Universe and Respondent</w:t>
      </w:r>
      <w:r>
        <w:rPr>
          <w:spacing w:val="-2"/>
          <w:sz w:val="24"/>
          <w:u w:val="single"/>
        </w:rPr>
        <w:t xml:space="preserve"> </w:t>
      </w:r>
      <w:r>
        <w:rPr>
          <w:sz w:val="24"/>
          <w:u w:val="single"/>
        </w:rPr>
        <w:t>Selection</w:t>
      </w:r>
    </w:p>
    <w:bookmarkEnd w:id="1"/>
    <w:p w:rsidR="00640913" w:rsidRDefault="00640913" w14:paraId="009B43D2" w14:textId="77777777">
      <w:pPr>
        <w:pStyle w:val="BodyText"/>
        <w:spacing w:before="2"/>
        <w:rPr>
          <w:sz w:val="16"/>
        </w:rPr>
      </w:pPr>
    </w:p>
    <w:p w:rsidRPr="0012167B" w:rsidR="00640913" w:rsidP="008A4B61" w:rsidRDefault="00AD243D" w14:paraId="5F857799" w14:textId="65A91F52">
      <w:pPr>
        <w:pStyle w:val="BodyText"/>
        <w:spacing w:before="90"/>
        <w:ind w:right="60"/>
      </w:pPr>
      <w:r w:rsidRPr="0012167B">
        <w:t xml:space="preserve">The </w:t>
      </w:r>
      <w:r w:rsidRPr="0012167B" w:rsidR="00C8254B">
        <w:t>Survey of Sexual Victimization (</w:t>
      </w:r>
      <w:r w:rsidRPr="0012167B">
        <w:t>SSV</w:t>
      </w:r>
      <w:r w:rsidRPr="0012167B" w:rsidR="00C8254B">
        <w:t>)</w:t>
      </w:r>
      <w:r w:rsidRPr="0012167B">
        <w:t xml:space="preserve"> collects information on allegations and substantiated incidents of sexual victimization that occur in adult </w:t>
      </w:r>
      <w:r w:rsidR="008A2DAC">
        <w:t xml:space="preserve">correctional </w:t>
      </w:r>
      <w:r w:rsidRPr="0012167B">
        <w:t xml:space="preserve">and juvenile </w:t>
      </w:r>
      <w:r w:rsidR="008A2DAC">
        <w:t>justice</w:t>
      </w:r>
      <w:r w:rsidRPr="0012167B" w:rsidR="008A2DAC">
        <w:t xml:space="preserve"> </w:t>
      </w:r>
      <w:r w:rsidRPr="0012167B">
        <w:t>facilities. BJS uses a series of sampling frames to identify the universe of facilities covered by PREA. This universe is fluid due to changes in the operational status of facilities, including openings, closings, new contracts (i.e., privately operated</w:t>
      </w:r>
      <w:r w:rsidR="00512001">
        <w:t xml:space="preserve"> facilities</w:t>
      </w:r>
      <w:r w:rsidRPr="0012167B">
        <w:t>), and ended contracts (i.e., no longer privately operated).</w:t>
      </w:r>
    </w:p>
    <w:p w:rsidRPr="0012167B" w:rsidR="00640913" w:rsidP="00AD6BB3" w:rsidRDefault="00640913" w14:paraId="1E4A1E26" w14:textId="77777777">
      <w:pPr>
        <w:pStyle w:val="BodyText"/>
        <w:ind w:right="60"/>
      </w:pPr>
    </w:p>
    <w:p w:rsidRPr="0012167B" w:rsidR="009B1E3E" w:rsidP="008A4B61" w:rsidRDefault="00F31253" w14:paraId="1C735686" w14:textId="1351C66A">
      <w:pPr>
        <w:pStyle w:val="BodyText"/>
        <w:ind w:right="60"/>
      </w:pPr>
      <w:r>
        <w:t>Approximately</w:t>
      </w:r>
      <w:r w:rsidRPr="0012167B">
        <w:t xml:space="preserve"> </w:t>
      </w:r>
      <w:r w:rsidRPr="0012167B" w:rsidR="009B1E3E">
        <w:t>7,0</w:t>
      </w:r>
      <w:r>
        <w:t>5</w:t>
      </w:r>
      <w:r w:rsidRPr="0012167B" w:rsidR="009B1E3E">
        <w:t>0 facilities are covered by PREA. This includes about 5,200 adult prisons and jails and 1,850 juvenile facilities. PREA requires that BJS collect data from a sample of at least 10% of these facilities.</w:t>
      </w:r>
      <w:r w:rsidRPr="0012167B" w:rsidR="00D9755B">
        <w:t xml:space="preserve"> (See </w:t>
      </w:r>
      <w:r w:rsidR="00727170">
        <w:t>T</w:t>
      </w:r>
      <w:r w:rsidRPr="0012167B" w:rsidR="00D9755B">
        <w:t xml:space="preserve">able </w:t>
      </w:r>
      <w:r w:rsidR="00727170">
        <w:t>3</w:t>
      </w:r>
      <w:r w:rsidRPr="0012167B" w:rsidR="00D9755B">
        <w:t xml:space="preserve"> at the end of this section for the number of facilities and reporting units</w:t>
      </w:r>
      <w:r w:rsidRPr="0012167B" w:rsidR="002C49D7">
        <w:t>, by facility type</w:t>
      </w:r>
      <w:r w:rsidRPr="0012167B" w:rsidR="00D9755B">
        <w:t xml:space="preserve"> covered by PREA and sampled in 2019</w:t>
      </w:r>
      <w:r w:rsidR="00BF5D34">
        <w:t>.</w:t>
      </w:r>
      <w:r w:rsidRPr="0012167B" w:rsidR="00D9755B">
        <w:t>)</w:t>
      </w:r>
      <w:r w:rsidRPr="0012167B" w:rsidR="009B1E3E">
        <w:t xml:space="preserve"> </w:t>
      </w:r>
    </w:p>
    <w:p w:rsidRPr="0012167B" w:rsidR="009B1E3E" w:rsidP="00AD6BB3" w:rsidRDefault="009B1E3E" w14:paraId="0FCB076F" w14:textId="77777777">
      <w:pPr>
        <w:pStyle w:val="BodyText"/>
        <w:ind w:right="60"/>
      </w:pPr>
    </w:p>
    <w:p w:rsidR="009B1E3E" w:rsidP="008A4B61" w:rsidRDefault="009B1E3E" w14:paraId="524CF26C" w14:textId="4335936B">
      <w:pPr>
        <w:pStyle w:val="BodyText"/>
        <w:ind w:right="60"/>
      </w:pPr>
      <w:r w:rsidRPr="0012167B">
        <w:t xml:space="preserve">Because of the low numbers of reported sexual victimizations to correctional authorities and the centralized authority at the system level that governs responses to the surveys, </w:t>
      </w:r>
      <w:r w:rsidR="0060583F">
        <w:t>BJS</w:t>
      </w:r>
      <w:r w:rsidRPr="0012167B">
        <w:t xml:space="preserve"> elected to conduct a complete enumeration at the system level – including the Federal Bureau of Prisons</w:t>
      </w:r>
      <w:r w:rsidRPr="0012167B" w:rsidR="00C8254B">
        <w:t xml:space="preserve"> (BOP)</w:t>
      </w:r>
      <w:r w:rsidRPr="0012167B">
        <w:t xml:space="preserve">, all state </w:t>
      </w:r>
      <w:r w:rsidRPr="0012167B" w:rsidR="00C8254B">
        <w:t>department of corrections (</w:t>
      </w:r>
      <w:r w:rsidRPr="0012167B" w:rsidR="00EC7C76">
        <w:t>DOC</w:t>
      </w:r>
      <w:r w:rsidRPr="0012167B" w:rsidR="00C8254B">
        <w:t>),</w:t>
      </w:r>
      <w:r w:rsidRPr="0012167B">
        <w:t xml:space="preserve"> all state juvenile justice systems, and each branch of the U.S. military. In each of these cases, both the information systems and the authority to report are centralized. Moreover, this annual enumeration minimizes burden on the respondents (rather than selecting a sample from the more than 1,</w:t>
      </w:r>
      <w:r w:rsidR="0015683E">
        <w:t>6</w:t>
      </w:r>
      <w:r w:rsidRPr="0012167B">
        <w:t>00 facilities operated by these systems</w:t>
      </w:r>
      <w:r w:rsidRPr="0015683E">
        <w:t>).</w:t>
      </w:r>
      <w:r w:rsidRPr="0015683E" w:rsidR="00CD377A">
        <w:t xml:space="preserve"> </w:t>
      </w:r>
      <w:r w:rsidRPr="0015683E" w:rsidR="002D41F9">
        <w:t>About 2 months prior to launching the survey each year, BJS receives an update of the listing of state and federal prison administrators from the</w:t>
      </w:r>
      <w:r w:rsidRPr="0015683E" w:rsidR="004D1030">
        <w:t xml:space="preserve"> Correctional Leaders Association (formerly the</w:t>
      </w:r>
      <w:r w:rsidRPr="0015683E" w:rsidR="002D41F9">
        <w:t xml:space="preserve"> Association of State Correctional Administrators</w:t>
      </w:r>
      <w:r w:rsidRPr="0015683E" w:rsidR="004D1030">
        <w:t xml:space="preserve">) and state administrators from the Council of Juvenile </w:t>
      </w:r>
      <w:r w:rsidR="008A2DAC">
        <w:t>Justice</w:t>
      </w:r>
      <w:r w:rsidRPr="0015683E" w:rsidR="008A2DAC">
        <w:t xml:space="preserve"> </w:t>
      </w:r>
      <w:r w:rsidRPr="0015683E" w:rsidR="004D1030">
        <w:t>Administrators, who serve as the current year</w:t>
      </w:r>
      <w:r w:rsidR="00F12201">
        <w:t>’</w:t>
      </w:r>
      <w:r w:rsidRPr="0015683E" w:rsidR="004D1030">
        <w:t>s data collection respondent</w:t>
      </w:r>
      <w:r w:rsidRPr="0015683E" w:rsidR="00093D3C">
        <w:t>s</w:t>
      </w:r>
      <w:r w:rsidRPr="0015683E" w:rsidR="004D1030">
        <w:t>.</w:t>
      </w:r>
      <w:r w:rsidRPr="0015683E" w:rsidR="002D41F9">
        <w:t xml:space="preserve"> </w:t>
      </w:r>
      <w:r w:rsidRPr="0015683E" w:rsidR="004D1030">
        <w:t>Each year, the four military branches provide BJS with a single point-of-contact for their centralized reporting.</w:t>
      </w:r>
    </w:p>
    <w:p w:rsidRPr="0012167B" w:rsidR="00741DFD" w:rsidP="008A4B61" w:rsidRDefault="00741DFD" w14:paraId="79C0A0D9" w14:textId="77777777">
      <w:pPr>
        <w:pStyle w:val="BodyText"/>
        <w:ind w:right="60"/>
      </w:pPr>
    </w:p>
    <w:p w:rsidRPr="0012167B" w:rsidR="00D76D7D" w:rsidP="008A4B61" w:rsidRDefault="009B1E3E" w14:paraId="6CFCEDFA" w14:textId="79655193">
      <w:pPr>
        <w:pStyle w:val="Default"/>
      </w:pPr>
      <w:r w:rsidRPr="0012167B">
        <w:t xml:space="preserve">BJS also conducts a complete enumeration of </w:t>
      </w:r>
      <w:r w:rsidRPr="0028433C" w:rsidR="00F31253">
        <w:t xml:space="preserve">all facilities operated by or under contract with the </w:t>
      </w:r>
      <w:r w:rsidR="0060583F">
        <w:t>U.S.</w:t>
      </w:r>
      <w:r w:rsidRPr="0028433C" w:rsidR="00F31253">
        <w:t xml:space="preserve"> Immigration and Customs Enforcement (ICE) primarily housing detainees for ICE</w:t>
      </w:r>
      <w:r w:rsidRPr="0012167B">
        <w:t>, called dedicated ICE facilities</w:t>
      </w:r>
      <w:r w:rsidR="00B359BC">
        <w:t>,</w:t>
      </w:r>
      <w:r w:rsidR="00D76D7D">
        <w:t xml:space="preserve"> and </w:t>
      </w:r>
      <w:r w:rsidRPr="0012167B" w:rsidR="00D76D7D">
        <w:t xml:space="preserve">juvenile </w:t>
      </w:r>
      <w:r w:rsidR="008A2DAC">
        <w:t>justice</w:t>
      </w:r>
      <w:r w:rsidRPr="0012167B" w:rsidR="008A2DAC">
        <w:t xml:space="preserve"> </w:t>
      </w:r>
      <w:r w:rsidRPr="0012167B" w:rsidR="00D76D7D">
        <w:t xml:space="preserve">facilities in Indian country </w:t>
      </w:r>
      <w:r w:rsidR="00D76D7D">
        <w:t xml:space="preserve">housing exclusively juveniles. </w:t>
      </w:r>
      <w:r w:rsidR="00B359BC">
        <w:t xml:space="preserve">Unlike the full enumeration of facilities with a central reporter, </w:t>
      </w:r>
      <w:r w:rsidR="00346668">
        <w:t xml:space="preserve">a respondent at each of the </w:t>
      </w:r>
      <w:r w:rsidR="00F31253">
        <w:t xml:space="preserve">dedicated </w:t>
      </w:r>
      <w:r w:rsidR="00346668">
        <w:t xml:space="preserve">ICE </w:t>
      </w:r>
      <w:r w:rsidR="00F31253">
        <w:t xml:space="preserve">adult facilities </w:t>
      </w:r>
      <w:r w:rsidR="00346668">
        <w:t xml:space="preserve">and Indian country juvenile facilities provide BJS data. </w:t>
      </w:r>
      <w:r w:rsidR="00D76D7D">
        <w:t xml:space="preserve">BJS annually obtains a list of </w:t>
      </w:r>
      <w:r w:rsidR="00F31253">
        <w:t xml:space="preserve">the dedicated </w:t>
      </w:r>
      <w:r w:rsidR="00D76D7D">
        <w:t>ICE facilities from a point-of contact at ICE and identifies</w:t>
      </w:r>
      <w:r w:rsidRPr="0012167B" w:rsidR="00D76D7D">
        <w:t xml:space="preserve"> the</w:t>
      </w:r>
      <w:r w:rsidR="00D76D7D">
        <w:t xml:space="preserve"> full list of Indian country juvenile facilities from the </w:t>
      </w:r>
      <w:r w:rsidRPr="0012167B" w:rsidR="00D76D7D">
        <w:rPr>
          <w:i/>
        </w:rPr>
        <w:t xml:space="preserve">Annual Survey of Jails in Indian Country </w:t>
      </w:r>
      <w:r w:rsidR="00D76D7D">
        <w:t>(</w:t>
      </w:r>
      <w:r w:rsidRPr="0012167B" w:rsidR="00D76D7D">
        <w:t>ASJIC</w:t>
      </w:r>
      <w:r w:rsidR="00D76D7D">
        <w:t>)</w:t>
      </w:r>
      <w:r w:rsidRPr="0012167B" w:rsidR="00D76D7D">
        <w:t xml:space="preserve"> (described </w:t>
      </w:r>
      <w:r w:rsidR="00D76D7D">
        <w:t>below</w:t>
      </w:r>
      <w:r w:rsidRPr="0012167B" w:rsidR="00D76D7D">
        <w:t xml:space="preserve"> under “</w:t>
      </w:r>
      <w:r w:rsidRPr="0012167B" w:rsidR="00D76D7D">
        <w:rPr>
          <w:i/>
        </w:rPr>
        <w:t>Other jails</w:t>
      </w:r>
      <w:r w:rsidRPr="0012167B" w:rsidR="00D76D7D">
        <w:t>.”)</w:t>
      </w:r>
      <w:r w:rsidR="00D76D7D">
        <w:t xml:space="preserve">. </w:t>
      </w:r>
    </w:p>
    <w:p w:rsidRPr="0012167B" w:rsidR="009B1E3E" w:rsidP="008A4B61" w:rsidRDefault="009B1E3E" w14:paraId="3E427A5E" w14:textId="77777777">
      <w:pPr>
        <w:pStyle w:val="BodyText"/>
        <w:ind w:right="1042"/>
      </w:pPr>
    </w:p>
    <w:p w:rsidRPr="0012167B" w:rsidR="00CE46B9" w:rsidP="008A4B61" w:rsidRDefault="009B1E3E" w14:paraId="175D4D61" w14:textId="4626916E">
      <w:pPr>
        <w:pStyle w:val="BodyText"/>
      </w:pPr>
      <w:r w:rsidRPr="0012167B">
        <w:t xml:space="preserve">Finally, private prisons, local jail jurisdictions, private jails, Indian country jails, and local and private juvenile facilities are completely decentralized. </w:t>
      </w:r>
      <w:r w:rsidRPr="0012167B" w:rsidR="00CE46B9">
        <w:t xml:space="preserve">Sample designs have been relatively stable from year to year. For each type of sampled facility or jurisdiction, a brief description of the sampling frame and sample design used for SSV 2019 has been provided below (see </w:t>
      </w:r>
      <w:r w:rsidRPr="001D181F" w:rsidR="00CE46B9">
        <w:rPr>
          <w:b/>
        </w:rPr>
        <w:lastRenderedPageBreak/>
        <w:t xml:space="preserve">Attachment </w:t>
      </w:r>
      <w:r w:rsidRPr="001D181F" w:rsidR="00791DE3">
        <w:rPr>
          <w:b/>
        </w:rPr>
        <w:t>4</w:t>
      </w:r>
      <w:r w:rsidRPr="0012167B" w:rsidR="00CE46B9">
        <w:t xml:space="preserve"> for more detail, including sampling frames, coefficients of variation, and variance estimates.) </w:t>
      </w:r>
      <w:bookmarkStart w:name="_Hlk74816851" w:id="2"/>
      <w:r w:rsidR="003A76D6">
        <w:t>The sampling design</w:t>
      </w:r>
      <w:r w:rsidR="001D647C">
        <w:t xml:space="preserve"> used for </w:t>
      </w:r>
      <w:r w:rsidR="00FC35E7">
        <w:t xml:space="preserve">the SSV 2019 </w:t>
      </w:r>
      <w:r w:rsidR="003A76D6">
        <w:t xml:space="preserve">will be </w:t>
      </w:r>
      <w:r w:rsidR="00FC35E7">
        <w:t xml:space="preserve">used </w:t>
      </w:r>
      <w:r w:rsidR="003A76D6">
        <w:t>to</w:t>
      </w:r>
      <w:r w:rsidR="00FC35E7">
        <w:t xml:space="preserve"> draw</w:t>
      </w:r>
      <w:r w:rsidR="003A76D6">
        <w:t xml:space="preserve"> the SSV 2020</w:t>
      </w:r>
      <w:r w:rsidR="00FC35E7">
        <w:t xml:space="preserve"> sample</w:t>
      </w:r>
      <w:r w:rsidR="003A76D6">
        <w:t xml:space="preserve">. </w:t>
      </w:r>
      <w:bookmarkEnd w:id="2"/>
      <w:r w:rsidRPr="0012167B" w:rsidR="00CE46B9">
        <w:t>Annually, BJS will review and evaluate the precision of each of these designs. If changes are needed, BJS will submit a request for a substantive change for SSV 2021 and 2022.</w:t>
      </w:r>
    </w:p>
    <w:p w:rsidRPr="0012167B" w:rsidR="009B1E3E" w:rsidP="008A4B61" w:rsidRDefault="009B1E3E" w14:paraId="716E44EC" w14:textId="77777777">
      <w:pPr>
        <w:pStyle w:val="BodyText"/>
        <w:ind w:right="1042"/>
      </w:pPr>
      <w:r w:rsidRPr="0012167B">
        <w:t xml:space="preserve"> </w:t>
      </w:r>
    </w:p>
    <w:p w:rsidRPr="0012167B" w:rsidR="00D9755B" w:rsidP="008A4B61" w:rsidRDefault="00D9755B" w14:paraId="2E5704E7" w14:textId="77777777">
      <w:pPr>
        <w:rPr>
          <w:b/>
          <w:sz w:val="24"/>
          <w:szCs w:val="24"/>
        </w:rPr>
      </w:pPr>
      <w:r w:rsidRPr="0012167B">
        <w:rPr>
          <w:b/>
          <w:sz w:val="24"/>
          <w:szCs w:val="24"/>
        </w:rPr>
        <w:t>Adult Correctional Facilities</w:t>
      </w:r>
    </w:p>
    <w:p w:rsidRPr="0012167B" w:rsidR="00640913" w:rsidP="00801968" w:rsidRDefault="00640913" w14:paraId="5B63CC70" w14:textId="77777777">
      <w:pPr>
        <w:pStyle w:val="BodyText"/>
      </w:pPr>
    </w:p>
    <w:p w:rsidRPr="0012167B" w:rsidR="00FB7353" w:rsidP="00B20CD3" w:rsidRDefault="00FB7353" w14:paraId="1EA6B935" w14:textId="77777777">
      <w:pPr>
        <w:rPr>
          <w:i/>
          <w:sz w:val="24"/>
          <w:szCs w:val="24"/>
        </w:rPr>
      </w:pPr>
      <w:r w:rsidRPr="0012167B">
        <w:rPr>
          <w:i/>
          <w:sz w:val="24"/>
          <w:szCs w:val="24"/>
        </w:rPr>
        <w:t>Private prisons</w:t>
      </w:r>
    </w:p>
    <w:p w:rsidRPr="0012167B" w:rsidR="00640913" w:rsidP="0060583F" w:rsidRDefault="00AD243D" w14:paraId="7D1BFBE5" w14:textId="42A7F110">
      <w:pPr>
        <w:pStyle w:val="BodyText"/>
      </w:pPr>
      <w:r w:rsidRPr="0012167B">
        <w:t>The private prison sample is drawn from the</w:t>
      </w:r>
      <w:r w:rsidRPr="0012167B" w:rsidR="00EC7C76">
        <w:t xml:space="preserve"> full enumeration of facilities identified in the</w:t>
      </w:r>
      <w:r w:rsidRPr="0012167B">
        <w:t xml:space="preserve"> </w:t>
      </w:r>
      <w:r w:rsidRPr="0012167B">
        <w:rPr>
          <w:i/>
        </w:rPr>
        <w:t xml:space="preserve">Census of State and Federal Adult Correctional Facilities </w:t>
      </w:r>
      <w:r w:rsidRPr="0012167B">
        <w:t>(CCF</w:t>
      </w:r>
      <w:r w:rsidRPr="0012167B" w:rsidR="00FF5A4C">
        <w:t>, OMB Control No. 1121-0147</w:t>
      </w:r>
      <w:r w:rsidRPr="0012167B">
        <w:t xml:space="preserve">), which is conducted every 5-7 years by BJS. The most recent CCF was conducted in </w:t>
      </w:r>
      <w:r w:rsidRPr="0012167B" w:rsidR="001237FF">
        <w:t xml:space="preserve">2019 </w:t>
      </w:r>
      <w:r w:rsidRPr="0012167B">
        <w:t xml:space="preserve">and will be used for the </w:t>
      </w:r>
      <w:r w:rsidRPr="0012167B" w:rsidR="001237FF">
        <w:t>2020</w:t>
      </w:r>
      <w:r w:rsidRPr="0012167B">
        <w:t xml:space="preserve">, </w:t>
      </w:r>
      <w:r w:rsidRPr="0012167B" w:rsidR="001237FF">
        <w:t>2021</w:t>
      </w:r>
      <w:r w:rsidRPr="0012167B">
        <w:t xml:space="preserve">, and </w:t>
      </w:r>
      <w:r w:rsidRPr="0012167B" w:rsidR="001237FF">
        <w:t xml:space="preserve">2022 </w:t>
      </w:r>
      <w:r w:rsidR="0028433C">
        <w:t xml:space="preserve">SSV </w:t>
      </w:r>
      <w:r w:rsidRPr="0012167B">
        <w:t xml:space="preserve">samples. </w:t>
      </w:r>
    </w:p>
    <w:p w:rsidRPr="0012167B" w:rsidR="00CE46B9" w:rsidP="002362A2" w:rsidRDefault="00CE46B9" w14:paraId="359B71A2" w14:textId="77777777">
      <w:pPr>
        <w:pStyle w:val="BodyText"/>
        <w:ind w:left="1440"/>
      </w:pPr>
    </w:p>
    <w:p w:rsidRPr="0012167B" w:rsidR="00CE46B9" w:rsidP="00B20CD3" w:rsidRDefault="00CE46B9" w14:paraId="27632DFE" w14:textId="66A43191">
      <w:pPr>
        <w:pStyle w:val="BodyText"/>
      </w:pPr>
      <w:r w:rsidRPr="0012167B">
        <w:t xml:space="preserve">A sample of </w:t>
      </w:r>
      <w:r w:rsidRPr="00B34D40">
        <w:t>155 (29%)</w:t>
      </w:r>
      <w:r w:rsidRPr="0012167B">
        <w:t xml:space="preserve"> privately operated state and federal prison facilities was drawn</w:t>
      </w:r>
      <w:r w:rsidRPr="0012167B">
        <w:rPr>
          <w:spacing w:val="-25"/>
        </w:rPr>
        <w:t xml:space="preserve"> </w:t>
      </w:r>
      <w:r w:rsidRPr="0012167B">
        <w:t>from the 530 private prisons identified in the 2019 CCF. The facilities were first sorted by average daily population (ADP). To determine the size cut-off for certainty facilities, the total ADP for all eligible facilities</w:t>
      </w:r>
      <w:r w:rsidRPr="0012167B">
        <w:rPr>
          <w:spacing w:val="-24"/>
        </w:rPr>
        <w:t xml:space="preserve"> </w:t>
      </w:r>
      <w:r w:rsidRPr="0012167B" w:rsidR="00FB7353">
        <w:t>wa</w:t>
      </w:r>
      <w:r w:rsidRPr="0012167B">
        <w:t xml:space="preserve">s divided by the number of facilities in the sample. Facilities with an ADP greater than or equal to this cut-off </w:t>
      </w:r>
      <w:r w:rsidRPr="0012167B" w:rsidR="00FB7353">
        <w:t>we</w:t>
      </w:r>
      <w:r w:rsidRPr="0012167B">
        <w:t xml:space="preserve">re sampled with certainty. The remaining total ADP </w:t>
      </w:r>
      <w:r w:rsidRPr="0012167B" w:rsidR="00FB7353">
        <w:t>wa</w:t>
      </w:r>
      <w:r w:rsidRPr="0012167B">
        <w:t xml:space="preserve">s then divided by the remaining number of facilities in the sample to determine whether any facilities meet the subsequent certainty cut-off size. This process </w:t>
      </w:r>
      <w:r w:rsidRPr="0012167B" w:rsidR="00FB7353">
        <w:t>wa</w:t>
      </w:r>
      <w:r w:rsidRPr="0012167B">
        <w:t>s repeated until no remaining facilities have an ADP greater than or equal to the cut-off</w:t>
      </w:r>
      <w:r w:rsidR="009F6D7C">
        <w:t>, resulting in 75 facilities with an ADP of 321 or more being sampled with certainty</w:t>
      </w:r>
      <w:r w:rsidRPr="0012167B">
        <w:t xml:space="preserve">. The facilities remaining in the frame at this point </w:t>
      </w:r>
      <w:r w:rsidRPr="0012167B" w:rsidR="00FB7353">
        <w:t>we</w:t>
      </w:r>
      <w:r w:rsidRPr="0012167B">
        <w:t xml:space="preserve">re sorted by region (i.e., Northeast, Midwest, South, or West), state, and ADP, and sampled systematically with probability proportional to size. </w:t>
      </w:r>
    </w:p>
    <w:p w:rsidRPr="0012167B" w:rsidR="00CE46B9" w:rsidP="0060583F" w:rsidRDefault="00CE46B9" w14:paraId="22E83075" w14:textId="77777777">
      <w:pPr>
        <w:pStyle w:val="BodyText"/>
      </w:pPr>
    </w:p>
    <w:p w:rsidRPr="0012167B" w:rsidR="00FB7353" w:rsidP="00B20CD3" w:rsidRDefault="00FB7353" w14:paraId="4097C169" w14:textId="77777777">
      <w:pPr>
        <w:rPr>
          <w:i/>
          <w:sz w:val="24"/>
          <w:szCs w:val="24"/>
        </w:rPr>
      </w:pPr>
      <w:r w:rsidRPr="0012167B">
        <w:rPr>
          <w:i/>
          <w:sz w:val="24"/>
          <w:szCs w:val="24"/>
        </w:rPr>
        <w:t>Public jails</w:t>
      </w:r>
    </w:p>
    <w:p w:rsidRPr="0012167B" w:rsidR="0012189F" w:rsidP="0060583F" w:rsidRDefault="001237FF" w14:paraId="18E3A8DF" w14:textId="31CBB611">
      <w:pPr>
        <w:pStyle w:val="BodyText"/>
      </w:pPr>
      <w:r w:rsidRPr="0012167B">
        <w:t>Historically, t</w:t>
      </w:r>
      <w:r w:rsidRPr="0012167B" w:rsidR="00AD243D">
        <w:t xml:space="preserve">he public jail sample </w:t>
      </w:r>
      <w:r w:rsidRPr="0012167B">
        <w:t xml:space="preserve">has been </w:t>
      </w:r>
      <w:r w:rsidRPr="0012167B" w:rsidR="00AD243D">
        <w:t xml:space="preserve">drawn from the </w:t>
      </w:r>
      <w:r w:rsidRPr="0012167B" w:rsidR="00AD243D">
        <w:rPr>
          <w:i/>
        </w:rPr>
        <w:t xml:space="preserve">Mortality in Correctional Institutions </w:t>
      </w:r>
      <w:r w:rsidRPr="0012167B" w:rsidR="00AD243D">
        <w:t xml:space="preserve">(MCI, formerly the </w:t>
      </w:r>
      <w:r w:rsidRPr="0012167B" w:rsidR="00AD243D">
        <w:rPr>
          <w:i/>
        </w:rPr>
        <w:t xml:space="preserve">Deaths in Custody Reporting Program </w:t>
      </w:r>
      <w:r w:rsidRPr="0012167B" w:rsidR="00AD243D">
        <w:t>(DCRP))</w:t>
      </w:r>
      <w:r w:rsidRPr="0012167B" w:rsidR="00EC7C76">
        <w:t xml:space="preserve"> universe file</w:t>
      </w:r>
      <w:r w:rsidRPr="0012167B" w:rsidR="00AD243D">
        <w:t>. SSV use</w:t>
      </w:r>
      <w:r w:rsidRPr="0012167B">
        <w:t>d</w:t>
      </w:r>
      <w:r w:rsidRPr="0012167B" w:rsidR="00AD243D">
        <w:t xml:space="preserve"> the Annual Summary o</w:t>
      </w:r>
      <w:r w:rsidR="003A76D6">
        <w:t>f</w:t>
      </w:r>
      <w:r w:rsidRPr="0012167B" w:rsidR="00AD243D">
        <w:t xml:space="preserve"> Inmates under Jail Supervision portion of this frame. The MCI file for the year preceding the SSV collection has been used as the sampling frame for SSV since 2007</w:t>
      </w:r>
      <w:r w:rsidRPr="0012167B">
        <w:t xml:space="preserve">. </w:t>
      </w:r>
      <w:r w:rsidRPr="0012167B">
        <w:rPr>
          <w:color w:val="211D1E"/>
        </w:rPr>
        <w:t>BJS cease</w:t>
      </w:r>
      <w:r w:rsidRPr="0012167B" w:rsidR="002C49D7">
        <w:rPr>
          <w:color w:val="211D1E"/>
        </w:rPr>
        <w:t>d</w:t>
      </w:r>
      <w:r w:rsidRPr="0012167B">
        <w:rPr>
          <w:color w:val="211D1E"/>
        </w:rPr>
        <w:t xml:space="preserve"> collection of mortality data in state and local correctional facilities after the 2019 reference year</w:t>
      </w:r>
      <w:r w:rsidR="000E3905">
        <w:rPr>
          <w:color w:val="211D1E"/>
        </w:rPr>
        <w:t>.</w:t>
      </w:r>
      <w:r w:rsidR="000E3905">
        <w:rPr>
          <w:rStyle w:val="FootnoteReference"/>
          <w:color w:val="211D1E"/>
        </w:rPr>
        <w:footnoteReference w:id="1"/>
      </w:r>
      <w:r w:rsidRPr="0012167B" w:rsidR="00C8254B">
        <w:rPr>
          <w:color w:val="211D1E"/>
        </w:rPr>
        <w:t xml:space="preserve"> </w:t>
      </w:r>
    </w:p>
    <w:p w:rsidRPr="0012167B" w:rsidR="0012189F" w:rsidP="0060583F" w:rsidRDefault="0012189F" w14:paraId="70D230AD" w14:textId="77777777">
      <w:pPr>
        <w:pStyle w:val="BodyText"/>
        <w:ind w:right="1180"/>
      </w:pPr>
    </w:p>
    <w:p w:rsidRPr="0012167B" w:rsidR="00640913" w:rsidP="0060583F" w:rsidRDefault="001237FF" w14:paraId="4AA2497E" w14:textId="77777777">
      <w:pPr>
        <w:pStyle w:val="BodyText"/>
      </w:pPr>
      <w:r w:rsidRPr="0012167B">
        <w:t xml:space="preserve">BJS </w:t>
      </w:r>
      <w:r w:rsidRPr="0012167B" w:rsidR="00FF5A4C">
        <w:t xml:space="preserve">will now rely on the </w:t>
      </w:r>
      <w:r w:rsidRPr="0060583F" w:rsidR="00FF5A4C">
        <w:rPr>
          <w:i/>
        </w:rPr>
        <w:t>Census of Jails</w:t>
      </w:r>
      <w:r w:rsidRPr="0012167B" w:rsidR="00FF5A4C">
        <w:t xml:space="preserve"> (COJ, OMB Control No. 1121-0100), a periodic data collection of all local jail facilities conducted every 5-6 years, </w:t>
      </w:r>
      <w:r w:rsidRPr="0012167B" w:rsidR="002C49D7">
        <w:t>f</w:t>
      </w:r>
      <w:r w:rsidRPr="0012167B" w:rsidR="00CE46B9">
        <w:t>o</w:t>
      </w:r>
      <w:r w:rsidRPr="0012167B" w:rsidR="002C49D7">
        <w:t xml:space="preserve">r the </w:t>
      </w:r>
      <w:r w:rsidRPr="0012167B" w:rsidR="00CE46B9">
        <w:t>sampling</w:t>
      </w:r>
      <w:r w:rsidRPr="0012167B" w:rsidR="002C49D7">
        <w:t xml:space="preserve"> frame</w:t>
      </w:r>
      <w:r w:rsidRPr="0012167B" w:rsidR="00FF5A4C">
        <w:t xml:space="preserve"> of public jails. Most recently, a full enumeration of facilities was identified in the 2019 COJ.</w:t>
      </w:r>
      <w:r w:rsidRPr="0012167B" w:rsidR="00FB7353">
        <w:t xml:space="preserve"> </w:t>
      </w:r>
      <w:r w:rsidRPr="0012167B">
        <w:t xml:space="preserve">The public jail sample for </w:t>
      </w:r>
      <w:r w:rsidRPr="0012167B" w:rsidR="006E6CA4">
        <w:t>2020</w:t>
      </w:r>
      <w:r w:rsidRPr="0012167B" w:rsidR="0077700D">
        <w:t xml:space="preserve">, 2021 and </w:t>
      </w:r>
      <w:r w:rsidRPr="0012167B" w:rsidR="006E6CA4">
        <w:t>2022</w:t>
      </w:r>
      <w:r w:rsidRPr="0012167B">
        <w:t xml:space="preserve"> will </w:t>
      </w:r>
      <w:r w:rsidRPr="0012167B" w:rsidR="00CE46B9">
        <w:t>be drawn from the</w:t>
      </w:r>
      <w:r w:rsidRPr="0012167B">
        <w:t xml:space="preserve"> </w:t>
      </w:r>
      <w:r w:rsidRPr="0012167B" w:rsidR="0077700D">
        <w:t>universe identified</w:t>
      </w:r>
      <w:r w:rsidRPr="0012167B">
        <w:t xml:space="preserve"> through this collection</w:t>
      </w:r>
      <w:r w:rsidRPr="0012167B" w:rsidR="006E6CA4">
        <w:t>.</w:t>
      </w:r>
      <w:r w:rsidRPr="0012167B">
        <w:t xml:space="preserve"> </w:t>
      </w:r>
    </w:p>
    <w:p w:rsidRPr="0012167B" w:rsidR="00FB7353" w:rsidP="0060583F" w:rsidRDefault="00FB7353" w14:paraId="4EEA4F4C" w14:textId="77777777">
      <w:pPr>
        <w:pStyle w:val="BodyText"/>
      </w:pPr>
    </w:p>
    <w:p w:rsidRPr="0012167B" w:rsidR="00FB7353" w:rsidP="0060583F" w:rsidRDefault="00FB7353" w14:paraId="0DF0FF5D" w14:textId="7454928C">
      <w:pPr>
        <w:pStyle w:val="BodyText"/>
      </w:pPr>
      <w:r w:rsidRPr="0012167B">
        <w:t xml:space="preserve">A sample of 700 (24%) publicly operated jail jurisdictions was selected from the 2019 COJ. The </w:t>
      </w:r>
      <w:r w:rsidRPr="0012167B">
        <w:lastRenderedPageBreak/>
        <w:t>largest jail jurisdictions in 45 states and the District of Columbia were selected to meet the PREA requirement that at least one jail per state is selected each year.</w:t>
      </w:r>
      <w:r w:rsidR="003A76D6">
        <w:rPr>
          <w:rStyle w:val="FootnoteReference"/>
        </w:rPr>
        <w:footnoteReference w:id="2"/>
      </w:r>
      <w:r w:rsidRPr="0012167B">
        <w:t xml:space="preserve"> All jail jurisdictions with ADPs greater than or equal to 1,000 inmates were selected with</w:t>
      </w:r>
      <w:r w:rsidRPr="0012167B">
        <w:rPr>
          <w:spacing w:val="-24"/>
        </w:rPr>
        <w:t xml:space="preserve"> </w:t>
      </w:r>
      <w:r w:rsidRPr="0012167B">
        <w:t>certainty. The remaining sample of jail jurisdictions were selected using a stratified systematic random sample</w:t>
      </w:r>
      <w:r w:rsidR="00721149">
        <w:t>.</w:t>
      </w:r>
      <w:r w:rsidRPr="0012167B">
        <w:t xml:space="preserve"> The remaining jail jurisdictions on the frame were grouped into three strata. The cumulative sqrt(f(y)) method was used to determine the boundaries of these three strata based on ADP as the measure of size (Cochran, </w:t>
      </w:r>
      <w:r w:rsidRPr="0012167B">
        <w:rPr>
          <w:i/>
        </w:rPr>
        <w:t>Sampling Techniques</w:t>
      </w:r>
      <w:r w:rsidRPr="0012167B">
        <w:t xml:space="preserve">, 1997 edition, p. 129). The jail jurisdictions in each of these three strata were then sorted by region, state, and ADP, and selected systematically with probability proportional to their size. </w:t>
      </w:r>
    </w:p>
    <w:p w:rsidR="0060583F" w:rsidP="0060583F" w:rsidRDefault="0060583F" w14:paraId="40A1B30F" w14:textId="77777777">
      <w:pPr>
        <w:rPr>
          <w:i/>
          <w:sz w:val="24"/>
          <w:szCs w:val="24"/>
        </w:rPr>
      </w:pPr>
    </w:p>
    <w:p w:rsidRPr="0012167B" w:rsidR="00FB7353" w:rsidP="0060583F" w:rsidRDefault="00FB7353" w14:paraId="070F8E6A" w14:textId="165F0DDC">
      <w:pPr>
        <w:rPr>
          <w:i/>
          <w:sz w:val="24"/>
          <w:szCs w:val="24"/>
        </w:rPr>
      </w:pPr>
      <w:r w:rsidRPr="0012167B">
        <w:rPr>
          <w:i/>
          <w:sz w:val="24"/>
          <w:szCs w:val="24"/>
        </w:rPr>
        <w:t>Privat</w:t>
      </w:r>
      <w:r w:rsidR="0060583F">
        <w:rPr>
          <w:i/>
          <w:sz w:val="24"/>
          <w:szCs w:val="24"/>
        </w:rPr>
        <w:t>e</w:t>
      </w:r>
      <w:r w:rsidRPr="0012167B">
        <w:rPr>
          <w:i/>
          <w:sz w:val="24"/>
          <w:szCs w:val="24"/>
        </w:rPr>
        <w:t xml:space="preserve"> jails</w:t>
      </w:r>
    </w:p>
    <w:p w:rsidRPr="0012167B" w:rsidR="0077700D" w:rsidP="0060583F" w:rsidRDefault="00AD243D" w14:paraId="7AD71E32" w14:textId="03E28BDD">
      <w:pPr>
        <w:spacing w:before="1"/>
        <w:rPr>
          <w:sz w:val="24"/>
          <w:szCs w:val="24"/>
        </w:rPr>
      </w:pPr>
      <w:r w:rsidRPr="0012167B">
        <w:rPr>
          <w:sz w:val="24"/>
          <w:szCs w:val="24"/>
        </w:rPr>
        <w:t xml:space="preserve">The private jail sample </w:t>
      </w:r>
      <w:r w:rsidRPr="0012167B" w:rsidR="006E6CA4">
        <w:rPr>
          <w:sz w:val="24"/>
          <w:szCs w:val="24"/>
        </w:rPr>
        <w:t xml:space="preserve">was </w:t>
      </w:r>
      <w:r w:rsidRPr="0012167B">
        <w:rPr>
          <w:sz w:val="24"/>
          <w:szCs w:val="24"/>
        </w:rPr>
        <w:t xml:space="preserve">also </w:t>
      </w:r>
      <w:r w:rsidRPr="0012167B" w:rsidR="006E6CA4">
        <w:rPr>
          <w:sz w:val="24"/>
          <w:szCs w:val="24"/>
        </w:rPr>
        <w:t xml:space="preserve">historically </w:t>
      </w:r>
      <w:r w:rsidRPr="0012167B">
        <w:rPr>
          <w:sz w:val="24"/>
          <w:szCs w:val="24"/>
        </w:rPr>
        <w:t xml:space="preserve">drawn from the MCI frame. </w:t>
      </w:r>
      <w:r w:rsidRPr="0012167B" w:rsidR="0077700D">
        <w:rPr>
          <w:sz w:val="24"/>
          <w:szCs w:val="24"/>
        </w:rPr>
        <w:t xml:space="preserve">Because the MCI is no longer being </w:t>
      </w:r>
      <w:r w:rsidR="00460699">
        <w:rPr>
          <w:sz w:val="24"/>
          <w:szCs w:val="24"/>
        </w:rPr>
        <w:t>conducted</w:t>
      </w:r>
      <w:r w:rsidRPr="0012167B" w:rsidR="0077700D">
        <w:rPr>
          <w:sz w:val="24"/>
          <w:szCs w:val="24"/>
        </w:rPr>
        <w:t xml:space="preserve">, </w:t>
      </w:r>
      <w:r w:rsidRPr="0012167B" w:rsidR="006E6CA4">
        <w:rPr>
          <w:sz w:val="24"/>
          <w:szCs w:val="24"/>
        </w:rPr>
        <w:t>the private jail sample for 2020</w:t>
      </w:r>
      <w:r w:rsidRPr="0012167B" w:rsidR="0077700D">
        <w:rPr>
          <w:sz w:val="24"/>
          <w:szCs w:val="24"/>
        </w:rPr>
        <w:t xml:space="preserve">, 2021, and </w:t>
      </w:r>
      <w:r w:rsidRPr="0012167B" w:rsidR="006E6CA4">
        <w:rPr>
          <w:sz w:val="24"/>
          <w:szCs w:val="24"/>
        </w:rPr>
        <w:t>2022 will rely o</w:t>
      </w:r>
      <w:r w:rsidR="00460699">
        <w:rPr>
          <w:sz w:val="24"/>
          <w:szCs w:val="24"/>
        </w:rPr>
        <w:t>n</w:t>
      </w:r>
      <w:r w:rsidRPr="0012167B" w:rsidR="006E6CA4">
        <w:rPr>
          <w:sz w:val="24"/>
          <w:szCs w:val="24"/>
        </w:rPr>
        <w:t xml:space="preserve"> the </w:t>
      </w:r>
      <w:r w:rsidRPr="0012167B" w:rsidR="0077700D">
        <w:rPr>
          <w:sz w:val="24"/>
          <w:szCs w:val="24"/>
        </w:rPr>
        <w:t>universe</w:t>
      </w:r>
      <w:r w:rsidRPr="0012167B" w:rsidR="006E6CA4">
        <w:rPr>
          <w:sz w:val="24"/>
          <w:szCs w:val="24"/>
        </w:rPr>
        <w:t xml:space="preserve"> from the 2019 </w:t>
      </w:r>
      <w:r w:rsidRPr="0012167B" w:rsidR="00C8254B">
        <w:rPr>
          <w:sz w:val="24"/>
          <w:szCs w:val="24"/>
        </w:rPr>
        <w:t>COJ</w:t>
      </w:r>
      <w:r w:rsidRPr="0012167B" w:rsidR="0077700D">
        <w:rPr>
          <w:sz w:val="24"/>
          <w:szCs w:val="24"/>
        </w:rPr>
        <w:t xml:space="preserve"> (described above under “</w:t>
      </w:r>
      <w:r w:rsidRPr="0012167B" w:rsidR="0077700D">
        <w:rPr>
          <w:i/>
          <w:sz w:val="24"/>
          <w:szCs w:val="24"/>
        </w:rPr>
        <w:t>Public jails”</w:t>
      </w:r>
      <w:r w:rsidRPr="0012167B" w:rsidR="00807F6C">
        <w:rPr>
          <w:i/>
          <w:sz w:val="24"/>
          <w:szCs w:val="24"/>
        </w:rPr>
        <w:t>)</w:t>
      </w:r>
      <w:r w:rsidRPr="0012167B" w:rsidR="00EC7C76">
        <w:rPr>
          <w:sz w:val="24"/>
          <w:szCs w:val="24"/>
        </w:rPr>
        <w:t xml:space="preserve">, which includes an indicator </w:t>
      </w:r>
      <w:r w:rsidR="00460699">
        <w:rPr>
          <w:sz w:val="24"/>
          <w:szCs w:val="24"/>
        </w:rPr>
        <w:t>that</w:t>
      </w:r>
      <w:r w:rsidRPr="0012167B" w:rsidR="00460699">
        <w:rPr>
          <w:sz w:val="24"/>
          <w:szCs w:val="24"/>
        </w:rPr>
        <w:t xml:space="preserve"> </w:t>
      </w:r>
      <w:r w:rsidRPr="0012167B" w:rsidR="00EC7C76">
        <w:rPr>
          <w:sz w:val="24"/>
          <w:szCs w:val="24"/>
        </w:rPr>
        <w:t>identifies privately operated facilities.</w:t>
      </w:r>
    </w:p>
    <w:p w:rsidRPr="0012167B" w:rsidR="00FB7353" w:rsidP="0060583F" w:rsidRDefault="00FB7353" w14:paraId="29AE4C04" w14:textId="77777777">
      <w:pPr>
        <w:spacing w:before="1"/>
        <w:rPr>
          <w:sz w:val="24"/>
          <w:szCs w:val="24"/>
        </w:rPr>
      </w:pPr>
    </w:p>
    <w:p w:rsidRPr="0012167B" w:rsidR="00FB7353" w:rsidP="0060583F" w:rsidRDefault="00FB7353" w14:paraId="1EA70601" w14:textId="77777777">
      <w:pPr>
        <w:pStyle w:val="BodyText"/>
      </w:pPr>
      <w:r w:rsidRPr="0012167B">
        <w:t xml:space="preserve">A sample of </w:t>
      </w:r>
      <w:r w:rsidRPr="00B34D40">
        <w:t>15 (38%)</w:t>
      </w:r>
      <w:r w:rsidRPr="0012167B">
        <w:t xml:space="preserve"> privately operated jails was selected from the private jails in the 201</w:t>
      </w:r>
      <w:r w:rsidR="00981C8A">
        <w:t>9</w:t>
      </w:r>
      <w:r w:rsidRPr="0012167B">
        <w:t xml:space="preserve"> MCI file. These private facilities were sorted by region, state, and ADP, </w:t>
      </w:r>
      <w:r w:rsidRPr="00B34D40">
        <w:t>and 9</w:t>
      </w:r>
      <w:r w:rsidRPr="0012167B">
        <w:t xml:space="preserve"> jails were systematically sampled with probability proportional to size. Given the large standard errors, estimates for private jails are combined with public jails. The separate sample is used to ensure inclusion of private jails in the SSV. </w:t>
      </w:r>
    </w:p>
    <w:p w:rsidRPr="0012167B" w:rsidR="00FB7353" w:rsidP="008A4B61" w:rsidRDefault="00FB7353" w14:paraId="089E11F5" w14:textId="77777777">
      <w:pPr>
        <w:spacing w:before="1"/>
        <w:rPr>
          <w:sz w:val="24"/>
          <w:szCs w:val="24"/>
        </w:rPr>
      </w:pPr>
    </w:p>
    <w:p w:rsidRPr="0012167B" w:rsidR="00640913" w:rsidP="0060583F" w:rsidRDefault="00AD243D" w14:paraId="3323A352" w14:textId="77777777">
      <w:pPr>
        <w:spacing w:line="268" w:lineRule="exact"/>
        <w:rPr>
          <w:i/>
          <w:sz w:val="24"/>
          <w:szCs w:val="24"/>
        </w:rPr>
      </w:pPr>
      <w:r w:rsidRPr="0012167B">
        <w:rPr>
          <w:i/>
          <w:sz w:val="24"/>
          <w:szCs w:val="24"/>
        </w:rPr>
        <w:t>Other jails</w:t>
      </w:r>
    </w:p>
    <w:p w:rsidRPr="0012167B" w:rsidR="00640913" w:rsidP="0060583F" w:rsidRDefault="00AD243D" w14:paraId="793D46EB" w14:textId="6B8708CE">
      <w:pPr>
        <w:pStyle w:val="BodyText"/>
      </w:pPr>
      <w:bookmarkStart w:name="_bookmark0" w:id="3"/>
      <w:bookmarkEnd w:id="3"/>
      <w:r w:rsidRPr="0012167B">
        <w:t xml:space="preserve">The Indian country jail sample is drawn from the ASJIC. BJS maintains the ASJIC, which is updated annually and includes all known Indian country </w:t>
      </w:r>
      <w:r w:rsidR="00E07DFA">
        <w:t xml:space="preserve">adult </w:t>
      </w:r>
      <w:r w:rsidRPr="0012167B">
        <w:t xml:space="preserve">correctional </w:t>
      </w:r>
      <w:r w:rsidR="00E07DFA">
        <w:t xml:space="preserve">and juvenile justice </w:t>
      </w:r>
      <w:r w:rsidRPr="0012167B">
        <w:t>facilities operated by tribal authorities or by the U.S. Department of the Interior, Bureau of Indian Affairs. The prior year of ASJIC has been used for the SSV sample each year. BJS will continue this for the next three years of SSV.</w:t>
      </w:r>
    </w:p>
    <w:p w:rsidRPr="0012167B" w:rsidR="00FB7353" w:rsidP="0060583F" w:rsidRDefault="00FB7353" w14:paraId="3ED6A62C" w14:textId="77777777">
      <w:pPr>
        <w:pStyle w:val="BodyText"/>
      </w:pPr>
    </w:p>
    <w:p w:rsidRPr="0012167B" w:rsidR="00FB7353" w:rsidP="0060583F" w:rsidRDefault="00FB7353" w14:paraId="4BB1C91D" w14:textId="422192F3">
      <w:pPr>
        <w:pStyle w:val="BodyText"/>
      </w:pPr>
      <w:r w:rsidRPr="0012167B">
        <w:t xml:space="preserve">For jails in Indian country, </w:t>
      </w:r>
      <w:r w:rsidRPr="00125DCE">
        <w:t>25 (42%)</w:t>
      </w:r>
      <w:r w:rsidRPr="0012167B">
        <w:t xml:space="preserve"> of the approximately </w:t>
      </w:r>
      <w:r w:rsidRPr="00B34D40" w:rsidR="00981C8A">
        <w:t>60</w:t>
      </w:r>
      <w:r w:rsidRPr="0012167B" w:rsidR="00981C8A">
        <w:t xml:space="preserve"> </w:t>
      </w:r>
      <w:r w:rsidRPr="0012167B">
        <w:t xml:space="preserve">jails in Indian country housing adult inmates were selected. Using the same method to determine certainty size cut-offs as used for private prisons, </w:t>
      </w:r>
      <w:r w:rsidR="00A67C94">
        <w:t>7</w:t>
      </w:r>
      <w:r w:rsidRPr="0012167B">
        <w:t xml:space="preserve"> facilities were sampled with certainty due to their size</w:t>
      </w:r>
      <w:r w:rsidR="00A67C94">
        <w:t xml:space="preserve"> (ADP of 104 or more)</w:t>
      </w:r>
      <w:r w:rsidRPr="0012167B">
        <w:t>. The remaining facilities on the frame were sorted by state and ADP, and</w:t>
      </w:r>
      <w:r w:rsidR="00A67C94">
        <w:t xml:space="preserve"> 18</w:t>
      </w:r>
      <w:r w:rsidRPr="0012167B">
        <w:t xml:space="preserve"> </w:t>
      </w:r>
      <w:r w:rsidR="00A67C94">
        <w:t>f</w:t>
      </w:r>
      <w:r w:rsidRPr="0012167B">
        <w:t xml:space="preserve">acilities were sampled with probability proportionate to size. Facilities in Indian country housing exclusively juveniles were excluded from the adult sample. </w:t>
      </w:r>
    </w:p>
    <w:p w:rsidRPr="0012167B" w:rsidR="00640913" w:rsidP="00801968" w:rsidRDefault="00640913" w14:paraId="7E7D4349" w14:textId="77777777">
      <w:pPr>
        <w:pStyle w:val="BodyText"/>
      </w:pPr>
    </w:p>
    <w:p w:rsidRPr="0012167B" w:rsidR="00D9755B" w:rsidP="00801968" w:rsidRDefault="00D9755B" w14:paraId="268B3AFC" w14:textId="4964BAD3">
      <w:pPr>
        <w:rPr>
          <w:b/>
          <w:sz w:val="24"/>
          <w:szCs w:val="24"/>
        </w:rPr>
      </w:pPr>
      <w:r w:rsidRPr="0012167B">
        <w:rPr>
          <w:b/>
          <w:sz w:val="24"/>
          <w:szCs w:val="24"/>
        </w:rPr>
        <w:t xml:space="preserve">Juvenile </w:t>
      </w:r>
      <w:r w:rsidR="002654B4">
        <w:rPr>
          <w:b/>
          <w:sz w:val="24"/>
          <w:szCs w:val="24"/>
        </w:rPr>
        <w:t>Justice</w:t>
      </w:r>
      <w:r w:rsidRPr="0012167B">
        <w:rPr>
          <w:b/>
          <w:sz w:val="24"/>
          <w:szCs w:val="24"/>
        </w:rPr>
        <w:t xml:space="preserve"> Facilities</w:t>
      </w:r>
    </w:p>
    <w:p w:rsidRPr="0012167B" w:rsidR="00640913" w:rsidP="00801968" w:rsidRDefault="00640913" w14:paraId="4662ABF0" w14:textId="77777777">
      <w:pPr>
        <w:pStyle w:val="BodyText"/>
      </w:pPr>
    </w:p>
    <w:p w:rsidRPr="0012167B" w:rsidR="00FB7353" w:rsidP="008A4B61" w:rsidRDefault="00FB7353" w14:paraId="526B0096" w14:textId="386012A9">
      <w:pPr>
        <w:spacing w:before="1"/>
        <w:rPr>
          <w:i/>
          <w:sz w:val="24"/>
          <w:szCs w:val="24"/>
        </w:rPr>
      </w:pPr>
      <w:r w:rsidRPr="0012167B">
        <w:rPr>
          <w:i/>
          <w:sz w:val="24"/>
          <w:szCs w:val="24"/>
        </w:rPr>
        <w:t xml:space="preserve">Local and private juvenile </w:t>
      </w:r>
      <w:r w:rsidR="002654B4">
        <w:rPr>
          <w:i/>
          <w:sz w:val="24"/>
          <w:szCs w:val="24"/>
        </w:rPr>
        <w:t>justice</w:t>
      </w:r>
      <w:r w:rsidRPr="0012167B" w:rsidR="002654B4">
        <w:rPr>
          <w:i/>
          <w:sz w:val="24"/>
          <w:szCs w:val="24"/>
        </w:rPr>
        <w:t xml:space="preserve"> </w:t>
      </w:r>
      <w:r w:rsidRPr="0012167B">
        <w:rPr>
          <w:i/>
          <w:sz w:val="24"/>
          <w:szCs w:val="24"/>
        </w:rPr>
        <w:t xml:space="preserve">facilities </w:t>
      </w:r>
    </w:p>
    <w:p w:rsidRPr="0012167B" w:rsidR="00DA2051" w:rsidP="0060583F" w:rsidRDefault="00AD243D" w14:paraId="6E0251A2" w14:textId="3229CCD0">
      <w:pPr>
        <w:pStyle w:val="BodyText"/>
        <w:spacing w:before="1"/>
      </w:pPr>
      <w:r w:rsidRPr="0012167B">
        <w:t>The local and private juvenile facility sample is drawn from two</w:t>
      </w:r>
      <w:r w:rsidRPr="0012167B">
        <w:rPr>
          <w:spacing w:val="-22"/>
        </w:rPr>
        <w:t xml:space="preserve"> </w:t>
      </w:r>
      <w:r w:rsidRPr="0012167B" w:rsidR="00F17F1C">
        <w:t xml:space="preserve">frames </w:t>
      </w:r>
      <w:r w:rsidRPr="0012167B">
        <w:t xml:space="preserve">which are used in alternating years. The </w:t>
      </w:r>
      <w:r w:rsidRPr="0012167B">
        <w:rPr>
          <w:i/>
        </w:rPr>
        <w:t xml:space="preserve">Census of Juveniles in Residential Placement </w:t>
      </w:r>
      <w:r w:rsidRPr="0012167B">
        <w:t>(CJRP)</w:t>
      </w:r>
      <w:r w:rsidR="0020428C">
        <w:t>, which collects population data,</w:t>
      </w:r>
      <w:r w:rsidRPr="0012167B">
        <w:t xml:space="preserve"> is conducted by the Census Bureau for the Office of Juvenile Justice and Delinquency Prevention (OJJDP) in even-numbered years. The </w:t>
      </w:r>
      <w:r w:rsidRPr="0012167B">
        <w:rPr>
          <w:i/>
        </w:rPr>
        <w:t xml:space="preserve">Juvenile Residential Facility Census </w:t>
      </w:r>
      <w:r w:rsidRPr="0012167B">
        <w:t>(JRFC)</w:t>
      </w:r>
      <w:r w:rsidR="009F6D7C">
        <w:t>, which collects data on facility characteristics,</w:t>
      </w:r>
      <w:r w:rsidRPr="0012167B">
        <w:t xml:space="preserve"> is conducted, again by the Census </w:t>
      </w:r>
      <w:r w:rsidRPr="0012167B">
        <w:lastRenderedPageBreak/>
        <w:t>Bureau</w:t>
      </w:r>
      <w:r w:rsidR="00547ED4">
        <w:t>,</w:t>
      </w:r>
      <w:r w:rsidRPr="0012167B">
        <w:t xml:space="preserve"> for OJJDP in odd-numbered years. Again, the most recent frame is from the year preceding the SSV collection. That is, BJS will use CJRP </w:t>
      </w:r>
      <w:r w:rsidRPr="0012167B" w:rsidR="004C288D">
        <w:t xml:space="preserve">2019 </w:t>
      </w:r>
      <w:r w:rsidRPr="0012167B">
        <w:t xml:space="preserve">for SSV </w:t>
      </w:r>
      <w:r w:rsidRPr="0012167B" w:rsidR="004C288D">
        <w:t>2020</w:t>
      </w:r>
      <w:r w:rsidRPr="0012167B">
        <w:t xml:space="preserve">; JRFC </w:t>
      </w:r>
      <w:r w:rsidRPr="0012167B" w:rsidR="004C288D">
        <w:t xml:space="preserve">2020 </w:t>
      </w:r>
      <w:r w:rsidRPr="0012167B">
        <w:t xml:space="preserve">for SSV </w:t>
      </w:r>
      <w:r w:rsidRPr="0012167B" w:rsidR="004C288D">
        <w:t>2021</w:t>
      </w:r>
      <w:r w:rsidRPr="0012167B">
        <w:t xml:space="preserve">; and CJRP </w:t>
      </w:r>
      <w:r w:rsidRPr="0012167B" w:rsidR="004C288D">
        <w:t xml:space="preserve">2021 </w:t>
      </w:r>
      <w:r w:rsidRPr="0012167B">
        <w:t xml:space="preserve">for SSV </w:t>
      </w:r>
      <w:r w:rsidRPr="0012167B" w:rsidR="004C288D">
        <w:t>2022</w:t>
      </w:r>
      <w:r w:rsidRPr="0012167B">
        <w:t xml:space="preserve">. </w:t>
      </w:r>
    </w:p>
    <w:p w:rsidRPr="0012167B" w:rsidR="00DA2051" w:rsidP="0060583F" w:rsidRDefault="00DA2051" w14:paraId="6A029734" w14:textId="77777777">
      <w:pPr>
        <w:pStyle w:val="BodyText"/>
        <w:spacing w:before="1"/>
        <w:ind w:left="940"/>
      </w:pPr>
    </w:p>
    <w:p w:rsidR="00FB7353" w:rsidP="008A4B61" w:rsidRDefault="00FB7353" w14:paraId="006FA0B4" w14:textId="185C41B4">
      <w:pPr>
        <w:pStyle w:val="BodyText"/>
      </w:pPr>
      <w:r w:rsidRPr="0012167B">
        <w:t>A sample of 530 (46%) local and private juvenile facilities was drawn from the JRFC, as 2019 is an odd year. The facilities in the frame were separated into three groups: local, private,</w:t>
      </w:r>
      <w:r w:rsidRPr="0012167B">
        <w:rPr>
          <w:spacing w:val="-20"/>
        </w:rPr>
        <w:t xml:space="preserve"> </w:t>
      </w:r>
      <w:r w:rsidRPr="0012167B">
        <w:t>and detention facilities. The local and private facility groups were sorted by state and size and the largest locally and privately operated facility in each state were sampled with</w:t>
      </w:r>
      <w:r w:rsidRPr="0012167B">
        <w:rPr>
          <w:spacing w:val="-20"/>
        </w:rPr>
        <w:t xml:space="preserve"> </w:t>
      </w:r>
      <w:r w:rsidRPr="0012167B">
        <w:t>certainty. The remaining facilities in each of the three groups were sorted by size with the large facilities in each group being sampled with certainty due to their</w:t>
      </w:r>
      <w:r w:rsidRPr="0012167B">
        <w:rPr>
          <w:spacing w:val="-9"/>
        </w:rPr>
        <w:t xml:space="preserve"> </w:t>
      </w:r>
      <w:r w:rsidRPr="0012167B">
        <w:t>size. The remaining facilities were serpentine sorted by geographic region (Midwest, Northeast, South, and West), state, facility type (detention, local, or private),</w:t>
      </w:r>
      <w:r w:rsidRPr="0012167B">
        <w:rPr>
          <w:spacing w:val="-20"/>
        </w:rPr>
        <w:t xml:space="preserve"> </w:t>
      </w:r>
      <w:r w:rsidRPr="0012167B">
        <w:t>and size. The remaining detention facilities were sampled with probabilities</w:t>
      </w:r>
      <w:r w:rsidRPr="0012167B">
        <w:rPr>
          <w:spacing w:val="-20"/>
        </w:rPr>
        <w:t xml:space="preserve"> </w:t>
      </w:r>
      <w:r w:rsidRPr="0012167B">
        <w:t>proportionate to size from 4 strata based on geographic</w:t>
      </w:r>
      <w:r w:rsidRPr="0012167B">
        <w:rPr>
          <w:spacing w:val="-4"/>
        </w:rPr>
        <w:t xml:space="preserve"> </w:t>
      </w:r>
      <w:r w:rsidRPr="0012167B">
        <w:t>region, the remaining local facilities were divided into 2 strata based on commitment status (commitment and non-commitment), and sampled with probabilities proportionate to</w:t>
      </w:r>
      <w:r w:rsidRPr="0012167B">
        <w:rPr>
          <w:spacing w:val="-2"/>
        </w:rPr>
        <w:t xml:space="preserve"> </w:t>
      </w:r>
      <w:r w:rsidRPr="0012167B">
        <w:t>size, and the remaining private facilities were sorted by region and state, then</w:t>
      </w:r>
      <w:r w:rsidRPr="0012167B">
        <w:rPr>
          <w:spacing w:val="-14"/>
        </w:rPr>
        <w:t xml:space="preserve"> </w:t>
      </w:r>
      <w:r w:rsidRPr="0012167B">
        <w:t>sampled with probabilities proportionate to size.</w:t>
      </w:r>
    </w:p>
    <w:p w:rsidR="00E07DFA" w:rsidP="008A4B61" w:rsidRDefault="00E07DFA" w14:paraId="265150D6" w14:textId="1896EF4C">
      <w:pPr>
        <w:pStyle w:val="BodyText"/>
      </w:pPr>
    </w:p>
    <w:p w:rsidR="00E07DFA" w:rsidP="008A4B61" w:rsidRDefault="00E07DFA" w14:paraId="7166EA02" w14:textId="7183483E">
      <w:pPr>
        <w:pStyle w:val="BodyText"/>
        <w:rPr>
          <w:i/>
        </w:rPr>
      </w:pPr>
      <w:r w:rsidRPr="001D181F">
        <w:rPr>
          <w:i/>
        </w:rPr>
        <w:t>Tribal juvenile justice facilities</w:t>
      </w:r>
    </w:p>
    <w:p w:rsidRPr="0012167B" w:rsidR="00E07DFA" w:rsidP="00E07DFA" w:rsidRDefault="00E07DFA" w14:paraId="5245E656" w14:textId="7046E1AB">
      <w:pPr>
        <w:pStyle w:val="BodyText"/>
      </w:pPr>
      <w:r w:rsidRPr="0012167B">
        <w:t>The Indian country</w:t>
      </w:r>
      <w:r>
        <w:t xml:space="preserve"> juvenile justice facilities are identified</w:t>
      </w:r>
      <w:r w:rsidRPr="0012167B">
        <w:t xml:space="preserve"> from the ASJIC. The prior year of ASJIC has been used for the SSV sample each year. BJS will continue this for the next three years of SSV.</w:t>
      </w:r>
      <w:r>
        <w:t xml:space="preserve"> </w:t>
      </w:r>
      <w:r w:rsidR="008A2DAC">
        <w:t>The</w:t>
      </w:r>
      <w:r>
        <w:t xml:space="preserve"> 2019 SSV data collection</w:t>
      </w:r>
      <w:r w:rsidR="008A2DAC">
        <w:t xml:space="preserve"> included</w:t>
      </w:r>
      <w:r>
        <w:t xml:space="preserve"> all 19 Indian country juvenile justice facilities identified in the ASJIC</w:t>
      </w:r>
      <w:r w:rsidR="008A2DAC">
        <w:t>.</w:t>
      </w:r>
    </w:p>
    <w:p w:rsidRPr="0012167B" w:rsidR="00E07DFA" w:rsidP="00E07DFA" w:rsidRDefault="00E07DFA" w14:paraId="5EA2490E" w14:textId="77777777">
      <w:pPr>
        <w:pStyle w:val="BodyText"/>
      </w:pPr>
    </w:p>
    <w:p w:rsidRPr="0012167B" w:rsidR="00545B69" w:rsidP="0012167B" w:rsidRDefault="00545B69" w14:paraId="7B37E596" w14:textId="77777777">
      <w:pPr>
        <w:pStyle w:val="BodyText"/>
        <w:spacing w:before="1"/>
        <w:ind w:left="1440" w:right="931"/>
      </w:pPr>
    </w:p>
    <w:p w:rsidR="006E7EFC" w:rsidP="001D181F" w:rsidRDefault="00AD243D" w14:paraId="2A6FB6EF" w14:textId="58B8A759">
      <w:pPr>
        <w:spacing w:after="49"/>
        <w:ind w:right="1088"/>
        <w:rPr>
          <w:b/>
          <w:sz w:val="24"/>
          <w:szCs w:val="24"/>
        </w:rPr>
      </w:pPr>
      <w:r w:rsidRPr="0012167B">
        <w:rPr>
          <w:b/>
          <w:sz w:val="24"/>
          <w:szCs w:val="24"/>
        </w:rPr>
        <w:t xml:space="preserve">Table </w:t>
      </w:r>
      <w:r w:rsidR="00727170">
        <w:rPr>
          <w:b/>
          <w:sz w:val="24"/>
          <w:szCs w:val="24"/>
        </w:rPr>
        <w:t>3</w:t>
      </w:r>
      <w:r w:rsidRPr="0012167B">
        <w:rPr>
          <w:b/>
          <w:sz w:val="24"/>
          <w:szCs w:val="24"/>
        </w:rPr>
        <w:t>. Number of facilities and reporting units in 20</w:t>
      </w:r>
      <w:r w:rsidRPr="0012167B" w:rsidR="004C288D">
        <w:rPr>
          <w:b/>
          <w:sz w:val="24"/>
          <w:szCs w:val="24"/>
        </w:rPr>
        <w:t>19</w:t>
      </w:r>
      <w:r w:rsidRPr="0012167B">
        <w:rPr>
          <w:b/>
          <w:sz w:val="24"/>
          <w:szCs w:val="24"/>
        </w:rPr>
        <w:t xml:space="preserve"> covered by the Prison</w:t>
      </w:r>
      <w:r w:rsidR="00CF77B8">
        <w:rPr>
          <w:b/>
          <w:sz w:val="24"/>
          <w:szCs w:val="24"/>
        </w:rPr>
        <w:t xml:space="preserve"> </w:t>
      </w:r>
      <w:r w:rsidRPr="0012167B">
        <w:rPr>
          <w:b/>
          <w:sz w:val="24"/>
          <w:szCs w:val="24"/>
        </w:rPr>
        <w:t>Rape Elimination</w:t>
      </w:r>
      <w:r w:rsidRPr="0012167B">
        <w:rPr>
          <w:b/>
          <w:spacing w:val="4"/>
          <w:sz w:val="24"/>
          <w:szCs w:val="24"/>
        </w:rPr>
        <w:t xml:space="preserve"> </w:t>
      </w:r>
      <w:r w:rsidRPr="0012167B">
        <w:rPr>
          <w:b/>
          <w:sz w:val="24"/>
          <w:szCs w:val="24"/>
        </w:rPr>
        <w:t>Ac</w:t>
      </w:r>
      <w:r w:rsidR="006E7EFC">
        <w:rPr>
          <w:b/>
          <w:sz w:val="24"/>
          <w:szCs w:val="24"/>
        </w:rPr>
        <w:t>t</w:t>
      </w:r>
    </w:p>
    <w:tbl>
      <w:tblPr>
        <w:tblpPr w:leftFromText="180" w:rightFromText="180" w:vertAnchor="text" w:horzAnchor="page" w:tblpX="1786" w:tblpY="315"/>
        <w:tblW w:w="8667" w:type="dxa"/>
        <w:tblLayout w:type="fixed"/>
        <w:tblLook w:val="04A0" w:firstRow="1" w:lastRow="0" w:firstColumn="1" w:lastColumn="0" w:noHBand="0" w:noVBand="1"/>
      </w:tblPr>
      <w:tblGrid>
        <w:gridCol w:w="277"/>
        <w:gridCol w:w="2635"/>
        <w:gridCol w:w="995"/>
        <w:gridCol w:w="1256"/>
        <w:gridCol w:w="276"/>
        <w:gridCol w:w="1199"/>
        <w:gridCol w:w="1014"/>
        <w:gridCol w:w="1015"/>
      </w:tblGrid>
      <w:tr w:rsidRPr="006E7EFC" w:rsidR="002E171C" w:rsidTr="00F41EB1" w14:paraId="1C5943A2"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1AC9CA04" w14:textId="77777777">
            <w:pPr>
              <w:widowControl/>
              <w:autoSpaceDE/>
              <w:autoSpaceDN/>
              <w:rPr>
                <w:sz w:val="24"/>
                <w:szCs w:val="24"/>
              </w:rPr>
            </w:pPr>
          </w:p>
        </w:tc>
        <w:tc>
          <w:tcPr>
            <w:tcW w:w="2634" w:type="dxa"/>
            <w:tcBorders>
              <w:top w:val="nil"/>
              <w:left w:val="nil"/>
              <w:bottom w:val="nil"/>
              <w:right w:val="nil"/>
            </w:tcBorders>
            <w:shd w:val="clear" w:color="auto" w:fill="auto"/>
            <w:noWrap/>
            <w:vAlign w:val="bottom"/>
            <w:hideMark/>
          </w:tcPr>
          <w:p w:rsidRPr="006E7EFC" w:rsidR="006E7EFC" w:rsidP="002E171C" w:rsidRDefault="006E7EFC" w14:paraId="4A57B11A" w14:textId="77777777">
            <w:pPr>
              <w:widowControl/>
              <w:autoSpaceDE/>
              <w:autoSpaceDN/>
              <w:rPr>
                <w:sz w:val="20"/>
                <w:szCs w:val="20"/>
              </w:rPr>
            </w:pPr>
          </w:p>
        </w:tc>
        <w:tc>
          <w:tcPr>
            <w:tcW w:w="995" w:type="dxa"/>
            <w:tcBorders>
              <w:top w:val="nil"/>
              <w:left w:val="nil"/>
              <w:bottom w:val="nil"/>
              <w:right w:val="nil"/>
            </w:tcBorders>
            <w:shd w:val="clear" w:color="auto" w:fill="auto"/>
            <w:noWrap/>
            <w:vAlign w:val="bottom"/>
            <w:hideMark/>
          </w:tcPr>
          <w:p w:rsidRPr="006E7EFC" w:rsidR="006E7EFC" w:rsidP="002E171C" w:rsidRDefault="006E7EFC" w14:paraId="21320E62" w14:textId="77777777">
            <w:pPr>
              <w:widowControl/>
              <w:autoSpaceDE/>
              <w:autoSpaceDN/>
              <w:rPr>
                <w:sz w:val="20"/>
                <w:szCs w:val="20"/>
              </w:rPr>
            </w:pPr>
          </w:p>
        </w:tc>
        <w:tc>
          <w:tcPr>
            <w:tcW w:w="1256" w:type="dxa"/>
            <w:tcBorders>
              <w:top w:val="nil"/>
              <w:left w:val="nil"/>
              <w:bottom w:val="single" w:color="auto" w:sz="4" w:space="0"/>
              <w:right w:val="nil"/>
            </w:tcBorders>
            <w:shd w:val="clear" w:color="auto" w:fill="auto"/>
            <w:vAlign w:val="center"/>
            <w:hideMark/>
          </w:tcPr>
          <w:p w:rsidRPr="006E7EFC" w:rsidR="006E7EFC" w:rsidP="002E171C" w:rsidRDefault="006E7EFC" w14:paraId="185E9A93" w14:textId="77777777">
            <w:pPr>
              <w:widowControl/>
              <w:autoSpaceDE/>
              <w:autoSpaceDN/>
              <w:jc w:val="center"/>
              <w:rPr>
                <w:color w:val="000000"/>
              </w:rPr>
            </w:pPr>
            <w:r w:rsidRPr="006E7EFC">
              <w:rPr>
                <w:color w:val="000000"/>
              </w:rPr>
              <w:t>Facilities</w:t>
            </w:r>
          </w:p>
        </w:tc>
        <w:tc>
          <w:tcPr>
            <w:tcW w:w="276" w:type="dxa"/>
            <w:tcBorders>
              <w:top w:val="nil"/>
              <w:left w:val="nil"/>
              <w:bottom w:val="nil"/>
              <w:right w:val="nil"/>
            </w:tcBorders>
            <w:shd w:val="clear" w:color="auto" w:fill="auto"/>
            <w:noWrap/>
            <w:vAlign w:val="bottom"/>
            <w:hideMark/>
          </w:tcPr>
          <w:p w:rsidRPr="006E7EFC" w:rsidR="006E7EFC" w:rsidP="002E171C" w:rsidRDefault="006E7EFC" w14:paraId="005CAC22" w14:textId="77777777">
            <w:pPr>
              <w:widowControl/>
              <w:autoSpaceDE/>
              <w:autoSpaceDN/>
              <w:jc w:val="center"/>
              <w:rPr>
                <w:color w:val="000000"/>
              </w:rPr>
            </w:pPr>
          </w:p>
        </w:tc>
        <w:tc>
          <w:tcPr>
            <w:tcW w:w="3228" w:type="dxa"/>
            <w:gridSpan w:val="3"/>
            <w:tcBorders>
              <w:top w:val="nil"/>
              <w:left w:val="nil"/>
              <w:bottom w:val="single" w:color="auto" w:sz="4" w:space="0"/>
              <w:right w:val="nil"/>
            </w:tcBorders>
            <w:shd w:val="clear" w:color="auto" w:fill="auto"/>
            <w:vAlign w:val="center"/>
            <w:hideMark/>
          </w:tcPr>
          <w:p w:rsidRPr="006E7EFC" w:rsidR="006E7EFC" w:rsidP="002E171C" w:rsidRDefault="006E7EFC" w14:paraId="7E4446B3" w14:textId="77777777">
            <w:pPr>
              <w:widowControl/>
              <w:autoSpaceDE/>
              <w:autoSpaceDN/>
              <w:jc w:val="center"/>
              <w:rPr>
                <w:color w:val="000000"/>
              </w:rPr>
            </w:pPr>
            <w:r w:rsidRPr="006E7EFC">
              <w:rPr>
                <w:color w:val="000000"/>
              </w:rPr>
              <w:t>Reporting Units</w:t>
            </w:r>
          </w:p>
        </w:tc>
      </w:tr>
      <w:tr w:rsidRPr="006E7EFC" w:rsidR="00F41EB1" w:rsidTr="00F41EB1" w14:paraId="0627AA39" w14:textId="77777777">
        <w:trPr>
          <w:trHeight w:val="275"/>
        </w:trPr>
        <w:tc>
          <w:tcPr>
            <w:tcW w:w="2913" w:type="dxa"/>
            <w:gridSpan w:val="2"/>
            <w:tcBorders>
              <w:top w:val="nil"/>
              <w:left w:val="nil"/>
              <w:bottom w:val="single" w:color="auto" w:sz="4" w:space="0"/>
              <w:right w:val="nil"/>
            </w:tcBorders>
            <w:shd w:val="clear" w:color="auto" w:fill="auto"/>
            <w:vAlign w:val="center"/>
            <w:hideMark/>
          </w:tcPr>
          <w:p w:rsidRPr="006E7EFC" w:rsidR="006E7EFC" w:rsidP="002E171C" w:rsidRDefault="006E7EFC" w14:paraId="2784506E" w14:textId="77777777">
            <w:pPr>
              <w:widowControl/>
              <w:autoSpaceDE/>
              <w:autoSpaceDN/>
              <w:rPr>
                <w:color w:val="000000"/>
              </w:rPr>
            </w:pPr>
            <w:r w:rsidRPr="006E7EFC">
              <w:rPr>
                <w:color w:val="000000"/>
              </w:rPr>
              <w:t>Facility type</w:t>
            </w:r>
          </w:p>
        </w:tc>
        <w:tc>
          <w:tcPr>
            <w:tcW w:w="995" w:type="dxa"/>
            <w:tcBorders>
              <w:top w:val="nil"/>
              <w:left w:val="nil"/>
              <w:bottom w:val="single" w:color="auto" w:sz="4" w:space="0"/>
              <w:right w:val="nil"/>
            </w:tcBorders>
            <w:shd w:val="clear" w:color="auto" w:fill="auto"/>
            <w:vAlign w:val="center"/>
            <w:hideMark/>
          </w:tcPr>
          <w:p w:rsidRPr="006E7EFC" w:rsidR="006E7EFC" w:rsidP="002E171C" w:rsidRDefault="006E7EFC" w14:paraId="1A0E56BE" w14:textId="77777777">
            <w:pPr>
              <w:widowControl/>
              <w:autoSpaceDE/>
              <w:autoSpaceDN/>
              <w:jc w:val="center"/>
              <w:rPr>
                <w:color w:val="000000"/>
              </w:rPr>
            </w:pPr>
            <w:r w:rsidRPr="006E7EFC">
              <w:rPr>
                <w:color w:val="000000"/>
              </w:rPr>
              <w:t>Form</w:t>
            </w:r>
          </w:p>
        </w:tc>
        <w:tc>
          <w:tcPr>
            <w:tcW w:w="1256" w:type="dxa"/>
            <w:tcBorders>
              <w:top w:val="nil"/>
              <w:left w:val="nil"/>
              <w:bottom w:val="single" w:color="auto" w:sz="4" w:space="0"/>
              <w:right w:val="nil"/>
            </w:tcBorders>
            <w:shd w:val="clear" w:color="auto" w:fill="auto"/>
            <w:vAlign w:val="center"/>
            <w:hideMark/>
          </w:tcPr>
          <w:p w:rsidRPr="006E7EFC" w:rsidR="006E7EFC" w:rsidP="002E171C" w:rsidRDefault="006E7EFC" w14:paraId="33227524" w14:textId="77777777">
            <w:pPr>
              <w:widowControl/>
              <w:autoSpaceDE/>
              <w:autoSpaceDN/>
              <w:jc w:val="center"/>
              <w:rPr>
                <w:color w:val="000000"/>
              </w:rPr>
            </w:pPr>
            <w:r w:rsidRPr="006E7EFC">
              <w:rPr>
                <w:color w:val="000000"/>
              </w:rPr>
              <w:t>Universe</w:t>
            </w:r>
          </w:p>
        </w:tc>
        <w:tc>
          <w:tcPr>
            <w:tcW w:w="276" w:type="dxa"/>
            <w:tcBorders>
              <w:top w:val="nil"/>
              <w:left w:val="nil"/>
              <w:bottom w:val="single" w:color="auto" w:sz="4" w:space="0"/>
              <w:right w:val="nil"/>
            </w:tcBorders>
            <w:shd w:val="clear" w:color="auto" w:fill="auto"/>
            <w:vAlign w:val="center"/>
            <w:hideMark/>
          </w:tcPr>
          <w:p w:rsidRPr="006E7EFC" w:rsidR="006E7EFC" w:rsidP="002E171C" w:rsidRDefault="006E7EFC" w14:paraId="4BF4AFCF" w14:textId="77777777">
            <w:pPr>
              <w:widowControl/>
              <w:autoSpaceDE/>
              <w:autoSpaceDN/>
              <w:jc w:val="center"/>
              <w:rPr>
                <w:color w:val="000000"/>
              </w:rPr>
            </w:pPr>
            <w:r w:rsidRPr="006E7EFC">
              <w:rPr>
                <w:color w:val="000000"/>
              </w:rPr>
              <w:t> </w:t>
            </w:r>
          </w:p>
        </w:tc>
        <w:tc>
          <w:tcPr>
            <w:tcW w:w="1199" w:type="dxa"/>
            <w:tcBorders>
              <w:top w:val="nil"/>
              <w:left w:val="nil"/>
              <w:bottom w:val="single" w:color="auto" w:sz="4" w:space="0"/>
              <w:right w:val="nil"/>
            </w:tcBorders>
            <w:shd w:val="clear" w:color="auto" w:fill="auto"/>
            <w:vAlign w:val="center"/>
            <w:hideMark/>
          </w:tcPr>
          <w:p w:rsidRPr="006E7EFC" w:rsidR="006E7EFC" w:rsidP="002E171C" w:rsidRDefault="006E7EFC" w14:paraId="050967DA" w14:textId="77777777">
            <w:pPr>
              <w:widowControl/>
              <w:autoSpaceDE/>
              <w:autoSpaceDN/>
              <w:jc w:val="center"/>
              <w:rPr>
                <w:color w:val="000000"/>
              </w:rPr>
            </w:pPr>
            <w:r w:rsidRPr="006E7EFC">
              <w:rPr>
                <w:color w:val="000000"/>
              </w:rPr>
              <w:t>Universe</w:t>
            </w:r>
          </w:p>
        </w:tc>
        <w:tc>
          <w:tcPr>
            <w:tcW w:w="1014" w:type="dxa"/>
            <w:tcBorders>
              <w:top w:val="nil"/>
              <w:left w:val="nil"/>
              <w:bottom w:val="single" w:color="auto" w:sz="4" w:space="0"/>
              <w:right w:val="nil"/>
            </w:tcBorders>
            <w:shd w:val="clear" w:color="auto" w:fill="auto"/>
            <w:vAlign w:val="center"/>
            <w:hideMark/>
          </w:tcPr>
          <w:p w:rsidRPr="006E7EFC" w:rsidR="006E7EFC" w:rsidP="002E171C" w:rsidRDefault="006E7EFC" w14:paraId="54E1CCE4" w14:textId="77777777">
            <w:pPr>
              <w:widowControl/>
              <w:autoSpaceDE/>
              <w:autoSpaceDN/>
              <w:jc w:val="center"/>
              <w:rPr>
                <w:color w:val="000000"/>
              </w:rPr>
            </w:pPr>
            <w:r w:rsidRPr="006E7EFC">
              <w:rPr>
                <w:color w:val="000000"/>
              </w:rPr>
              <w:t>Sampled</w:t>
            </w:r>
          </w:p>
        </w:tc>
        <w:tc>
          <w:tcPr>
            <w:tcW w:w="1014" w:type="dxa"/>
            <w:tcBorders>
              <w:top w:val="nil"/>
              <w:left w:val="nil"/>
              <w:bottom w:val="single" w:color="auto" w:sz="4" w:space="0"/>
              <w:right w:val="nil"/>
            </w:tcBorders>
            <w:shd w:val="clear" w:color="auto" w:fill="auto"/>
            <w:vAlign w:val="center"/>
            <w:hideMark/>
          </w:tcPr>
          <w:p w:rsidRPr="006E7EFC" w:rsidR="006E7EFC" w:rsidP="002E171C" w:rsidRDefault="006E7EFC" w14:paraId="757E3798" w14:textId="77777777">
            <w:pPr>
              <w:widowControl/>
              <w:autoSpaceDE/>
              <w:autoSpaceDN/>
              <w:jc w:val="center"/>
              <w:rPr>
                <w:color w:val="000000"/>
              </w:rPr>
            </w:pPr>
            <w:r w:rsidRPr="006E7EFC">
              <w:rPr>
                <w:color w:val="000000"/>
              </w:rPr>
              <w:t>Percent</w:t>
            </w:r>
          </w:p>
        </w:tc>
      </w:tr>
      <w:tr w:rsidRPr="006E7EFC" w:rsidR="00F41EB1" w:rsidTr="00F41EB1" w14:paraId="35DC2019"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3ABA04AE" w14:textId="77777777">
            <w:pPr>
              <w:widowControl/>
              <w:autoSpaceDE/>
              <w:autoSpaceDN/>
              <w:jc w:val="center"/>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0D5254FD" w14:textId="77777777">
            <w:pPr>
              <w:widowControl/>
              <w:autoSpaceDE/>
              <w:autoSpaceDN/>
              <w:rPr>
                <w:color w:val="000000"/>
              </w:rPr>
            </w:pPr>
            <w:r w:rsidRPr="006E7EFC">
              <w:rPr>
                <w:color w:val="000000"/>
              </w:rPr>
              <w:t>Total</w:t>
            </w:r>
          </w:p>
        </w:tc>
        <w:tc>
          <w:tcPr>
            <w:tcW w:w="995" w:type="dxa"/>
            <w:tcBorders>
              <w:top w:val="nil"/>
              <w:left w:val="nil"/>
              <w:bottom w:val="nil"/>
              <w:right w:val="nil"/>
            </w:tcBorders>
            <w:shd w:val="clear" w:color="auto" w:fill="auto"/>
            <w:vAlign w:val="center"/>
            <w:hideMark/>
          </w:tcPr>
          <w:p w:rsidRPr="006E7EFC" w:rsidR="006E7EFC" w:rsidP="002E171C" w:rsidRDefault="006E7EFC" w14:paraId="2A933638" w14:textId="77777777">
            <w:pPr>
              <w:widowControl/>
              <w:autoSpaceDE/>
              <w:autoSpaceDN/>
              <w:rPr>
                <w:color w:val="000000"/>
              </w:rPr>
            </w:pPr>
          </w:p>
        </w:tc>
        <w:tc>
          <w:tcPr>
            <w:tcW w:w="1256" w:type="dxa"/>
            <w:tcBorders>
              <w:top w:val="nil"/>
              <w:left w:val="nil"/>
              <w:bottom w:val="nil"/>
              <w:right w:val="nil"/>
            </w:tcBorders>
            <w:shd w:val="clear" w:color="auto" w:fill="auto"/>
            <w:vAlign w:val="center"/>
            <w:hideMark/>
          </w:tcPr>
          <w:p w:rsidRPr="00DC3075" w:rsidR="006E7EFC" w:rsidP="0015683E" w:rsidRDefault="003A2A3E" w14:paraId="6C93C0AF" w14:textId="71630042">
            <w:pPr>
              <w:widowControl/>
              <w:autoSpaceDE/>
              <w:autoSpaceDN/>
              <w:jc w:val="right"/>
              <w:rPr>
                <w:color w:val="000000"/>
              </w:rPr>
            </w:pPr>
            <w:r w:rsidRPr="00DC3075">
              <w:rPr>
                <w:color w:val="000000"/>
              </w:rPr>
              <w:t>6,427</w:t>
            </w:r>
          </w:p>
        </w:tc>
        <w:tc>
          <w:tcPr>
            <w:tcW w:w="276" w:type="dxa"/>
            <w:tcBorders>
              <w:top w:val="nil"/>
              <w:left w:val="nil"/>
              <w:bottom w:val="nil"/>
              <w:right w:val="nil"/>
            </w:tcBorders>
            <w:shd w:val="clear" w:color="auto" w:fill="auto"/>
            <w:vAlign w:val="center"/>
            <w:hideMark/>
          </w:tcPr>
          <w:p w:rsidRPr="00505D37" w:rsidR="006E7EFC" w:rsidP="002E171C" w:rsidRDefault="006E7EFC" w14:paraId="7B53D835"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5A9A52FA" w14:textId="07A21DEF">
            <w:pPr>
              <w:widowControl/>
              <w:autoSpaceDE/>
              <w:autoSpaceDN/>
              <w:jc w:val="right"/>
              <w:rPr>
                <w:color w:val="000000"/>
              </w:rPr>
            </w:pPr>
            <w:r w:rsidRPr="00333754">
              <w:rPr>
                <w:color w:val="000000"/>
              </w:rPr>
              <w:t>5,126</w:t>
            </w:r>
          </w:p>
        </w:tc>
        <w:tc>
          <w:tcPr>
            <w:tcW w:w="1014" w:type="dxa"/>
            <w:tcBorders>
              <w:top w:val="nil"/>
              <w:left w:val="nil"/>
              <w:bottom w:val="nil"/>
              <w:right w:val="nil"/>
            </w:tcBorders>
            <w:shd w:val="clear" w:color="auto" w:fill="auto"/>
            <w:vAlign w:val="center"/>
            <w:hideMark/>
          </w:tcPr>
          <w:p w:rsidRPr="00DC3075" w:rsidR="006E7EFC" w:rsidP="002E171C" w:rsidRDefault="006E7EFC" w14:paraId="6D6E260C" w14:textId="36ACE78A">
            <w:pPr>
              <w:widowControl/>
              <w:autoSpaceDE/>
              <w:autoSpaceDN/>
              <w:jc w:val="right"/>
              <w:rPr>
                <w:color w:val="000000"/>
              </w:rPr>
            </w:pPr>
            <w:r w:rsidRPr="00DC3075">
              <w:rPr>
                <w:color w:val="000000"/>
              </w:rPr>
              <w:t>1,581</w:t>
            </w:r>
          </w:p>
        </w:tc>
        <w:tc>
          <w:tcPr>
            <w:tcW w:w="1014" w:type="dxa"/>
            <w:tcBorders>
              <w:top w:val="nil"/>
              <w:left w:val="nil"/>
              <w:bottom w:val="nil"/>
              <w:right w:val="nil"/>
            </w:tcBorders>
            <w:shd w:val="clear" w:color="auto" w:fill="auto"/>
            <w:vAlign w:val="center"/>
            <w:hideMark/>
          </w:tcPr>
          <w:p w:rsidRPr="00DC3075" w:rsidR="006E7EFC" w:rsidP="002E171C" w:rsidRDefault="00DC3075" w14:paraId="35B68369" w14:textId="122B4EE8">
            <w:pPr>
              <w:widowControl/>
              <w:autoSpaceDE/>
              <w:autoSpaceDN/>
              <w:jc w:val="right"/>
              <w:rPr>
                <w:color w:val="000000"/>
              </w:rPr>
            </w:pPr>
            <w:r w:rsidRPr="00DC3075">
              <w:rPr>
                <w:color w:val="000000"/>
              </w:rPr>
              <w:t>3</w:t>
            </w:r>
            <w:r>
              <w:rPr>
                <w:color w:val="000000"/>
              </w:rPr>
              <w:t>3</w:t>
            </w:r>
            <w:r w:rsidRPr="00DC3075">
              <w:rPr>
                <w:color w:val="000000"/>
              </w:rPr>
              <w:t>.8</w:t>
            </w:r>
            <w:r w:rsidRPr="00DC3075" w:rsidR="006E7EFC">
              <w:rPr>
                <w:color w:val="000000"/>
              </w:rPr>
              <w:t>%</w:t>
            </w:r>
          </w:p>
        </w:tc>
      </w:tr>
      <w:tr w:rsidRPr="006E7EFC" w:rsidR="00F41EB1" w:rsidTr="00F41EB1" w14:paraId="39361D77" w14:textId="77777777">
        <w:trPr>
          <w:trHeight w:val="275"/>
        </w:trPr>
        <w:tc>
          <w:tcPr>
            <w:tcW w:w="2913" w:type="dxa"/>
            <w:gridSpan w:val="2"/>
            <w:tcBorders>
              <w:top w:val="nil"/>
              <w:left w:val="nil"/>
              <w:bottom w:val="nil"/>
              <w:right w:val="nil"/>
            </w:tcBorders>
            <w:shd w:val="clear" w:color="auto" w:fill="auto"/>
            <w:vAlign w:val="center"/>
            <w:hideMark/>
          </w:tcPr>
          <w:p w:rsidRPr="006E7EFC" w:rsidR="006E7EFC" w:rsidP="002E171C" w:rsidRDefault="006E7EFC" w14:paraId="58C82776" w14:textId="77777777">
            <w:pPr>
              <w:widowControl/>
              <w:autoSpaceDE/>
              <w:autoSpaceDN/>
              <w:rPr>
                <w:color w:val="000000"/>
              </w:rPr>
            </w:pPr>
            <w:r w:rsidRPr="006E7EFC">
              <w:rPr>
                <w:color w:val="000000"/>
              </w:rPr>
              <w:t>Prisons</w:t>
            </w:r>
          </w:p>
        </w:tc>
        <w:tc>
          <w:tcPr>
            <w:tcW w:w="995" w:type="dxa"/>
            <w:tcBorders>
              <w:top w:val="nil"/>
              <w:left w:val="nil"/>
              <w:bottom w:val="nil"/>
              <w:right w:val="nil"/>
            </w:tcBorders>
            <w:shd w:val="clear" w:color="auto" w:fill="auto"/>
            <w:vAlign w:val="center"/>
            <w:hideMark/>
          </w:tcPr>
          <w:p w:rsidRPr="006E7EFC" w:rsidR="006E7EFC" w:rsidP="002E171C" w:rsidRDefault="006E7EFC" w14:paraId="119EC58B" w14:textId="77777777">
            <w:pPr>
              <w:widowControl/>
              <w:autoSpaceDE/>
              <w:autoSpaceDN/>
              <w:rPr>
                <w:color w:val="000000"/>
              </w:rPr>
            </w:pPr>
          </w:p>
        </w:tc>
        <w:tc>
          <w:tcPr>
            <w:tcW w:w="1256" w:type="dxa"/>
            <w:tcBorders>
              <w:top w:val="nil"/>
              <w:left w:val="nil"/>
              <w:bottom w:val="nil"/>
              <w:right w:val="nil"/>
            </w:tcBorders>
            <w:shd w:val="clear" w:color="auto" w:fill="auto"/>
            <w:vAlign w:val="center"/>
            <w:hideMark/>
          </w:tcPr>
          <w:p w:rsidRPr="00471424" w:rsidR="006E7EFC" w:rsidP="0015683E" w:rsidRDefault="006E7EFC" w14:paraId="130D19A6" w14:textId="77777777">
            <w:pPr>
              <w:widowControl/>
              <w:autoSpaceDE/>
              <w:autoSpaceDN/>
              <w:jc w:val="right"/>
            </w:pPr>
          </w:p>
        </w:tc>
        <w:tc>
          <w:tcPr>
            <w:tcW w:w="276" w:type="dxa"/>
            <w:tcBorders>
              <w:top w:val="nil"/>
              <w:left w:val="nil"/>
              <w:bottom w:val="nil"/>
              <w:right w:val="nil"/>
            </w:tcBorders>
            <w:shd w:val="clear" w:color="auto" w:fill="auto"/>
            <w:vAlign w:val="center"/>
            <w:hideMark/>
          </w:tcPr>
          <w:p w:rsidRPr="00471424" w:rsidR="006E7EFC" w:rsidP="002E171C" w:rsidRDefault="006E7EFC" w14:paraId="789DB8F6" w14:textId="77777777">
            <w:pPr>
              <w:widowControl/>
              <w:autoSpaceDE/>
              <w:autoSpaceDN/>
            </w:pPr>
          </w:p>
        </w:tc>
        <w:tc>
          <w:tcPr>
            <w:tcW w:w="1199" w:type="dxa"/>
            <w:tcBorders>
              <w:top w:val="nil"/>
              <w:left w:val="nil"/>
              <w:bottom w:val="nil"/>
              <w:right w:val="nil"/>
            </w:tcBorders>
            <w:shd w:val="clear" w:color="auto" w:fill="auto"/>
            <w:vAlign w:val="center"/>
            <w:hideMark/>
          </w:tcPr>
          <w:p w:rsidRPr="00471424" w:rsidR="006E7EFC" w:rsidP="002E171C" w:rsidRDefault="006E7EFC" w14:paraId="55CDB665" w14:textId="77777777">
            <w:pPr>
              <w:widowControl/>
              <w:autoSpaceDE/>
              <w:autoSpaceDN/>
            </w:pPr>
          </w:p>
        </w:tc>
        <w:tc>
          <w:tcPr>
            <w:tcW w:w="1014" w:type="dxa"/>
            <w:tcBorders>
              <w:top w:val="nil"/>
              <w:left w:val="nil"/>
              <w:bottom w:val="nil"/>
              <w:right w:val="nil"/>
            </w:tcBorders>
            <w:shd w:val="clear" w:color="auto" w:fill="auto"/>
            <w:vAlign w:val="center"/>
            <w:hideMark/>
          </w:tcPr>
          <w:p w:rsidRPr="00471424" w:rsidR="006E7EFC" w:rsidP="002E171C" w:rsidRDefault="006E7EFC" w14:paraId="4FDB1270" w14:textId="77777777">
            <w:pPr>
              <w:widowControl/>
              <w:autoSpaceDE/>
              <w:autoSpaceDN/>
            </w:pPr>
          </w:p>
        </w:tc>
        <w:tc>
          <w:tcPr>
            <w:tcW w:w="1014" w:type="dxa"/>
            <w:tcBorders>
              <w:top w:val="nil"/>
              <w:left w:val="nil"/>
              <w:bottom w:val="nil"/>
              <w:right w:val="nil"/>
            </w:tcBorders>
            <w:shd w:val="clear" w:color="auto" w:fill="auto"/>
            <w:vAlign w:val="center"/>
            <w:hideMark/>
          </w:tcPr>
          <w:p w:rsidRPr="00471424" w:rsidR="006E7EFC" w:rsidP="002E171C" w:rsidRDefault="006E7EFC" w14:paraId="225F330C" w14:textId="77777777">
            <w:pPr>
              <w:widowControl/>
              <w:autoSpaceDE/>
              <w:autoSpaceDN/>
            </w:pPr>
          </w:p>
        </w:tc>
      </w:tr>
      <w:tr w:rsidRPr="006E7EFC" w:rsidR="00F41EB1" w:rsidTr="00F41EB1" w14:paraId="7E88B8EA" w14:textId="77777777">
        <w:trPr>
          <w:trHeight w:val="275"/>
        </w:trPr>
        <w:tc>
          <w:tcPr>
            <w:tcW w:w="278" w:type="dxa"/>
            <w:tcBorders>
              <w:top w:val="nil"/>
              <w:left w:val="nil"/>
              <w:bottom w:val="nil"/>
              <w:right w:val="nil"/>
            </w:tcBorders>
            <w:shd w:val="clear" w:color="auto" w:fill="auto"/>
            <w:vAlign w:val="center"/>
            <w:hideMark/>
          </w:tcPr>
          <w:p w:rsidRPr="006E7EFC" w:rsidR="006E7EFC" w:rsidP="002E171C" w:rsidRDefault="006E7EFC" w14:paraId="6C152A5B" w14:textId="77777777">
            <w:pPr>
              <w:widowControl/>
              <w:autoSpaceDE/>
              <w:autoSpaceDN/>
              <w:rPr>
                <w:sz w:val="20"/>
                <w:szCs w:val="2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0306D3E2" w14:textId="77777777">
            <w:pPr>
              <w:widowControl/>
              <w:autoSpaceDE/>
              <w:autoSpaceDN/>
              <w:rPr>
                <w:color w:val="000000"/>
              </w:rPr>
            </w:pPr>
            <w:r w:rsidRPr="006E7EFC">
              <w:rPr>
                <w:color w:val="000000"/>
              </w:rPr>
              <w:t>Public – federal system</w:t>
            </w:r>
          </w:p>
        </w:tc>
        <w:tc>
          <w:tcPr>
            <w:tcW w:w="995" w:type="dxa"/>
            <w:tcBorders>
              <w:top w:val="nil"/>
              <w:left w:val="nil"/>
              <w:bottom w:val="nil"/>
              <w:right w:val="nil"/>
            </w:tcBorders>
            <w:shd w:val="clear" w:color="auto" w:fill="auto"/>
            <w:vAlign w:val="center"/>
            <w:hideMark/>
          </w:tcPr>
          <w:p w:rsidRPr="006E7EFC" w:rsidR="006E7EFC" w:rsidP="002E171C" w:rsidRDefault="006E7EFC" w14:paraId="37FB2B17" w14:textId="77777777">
            <w:pPr>
              <w:widowControl/>
              <w:autoSpaceDE/>
              <w:autoSpaceDN/>
              <w:jc w:val="center"/>
              <w:rPr>
                <w:color w:val="000000"/>
              </w:rPr>
            </w:pPr>
            <w:r w:rsidRPr="006E7EFC">
              <w:rPr>
                <w:color w:val="000000"/>
              </w:rPr>
              <w:t>SSV-1</w:t>
            </w:r>
          </w:p>
        </w:tc>
        <w:tc>
          <w:tcPr>
            <w:tcW w:w="1256" w:type="dxa"/>
            <w:tcBorders>
              <w:top w:val="nil"/>
              <w:left w:val="nil"/>
              <w:bottom w:val="nil"/>
              <w:right w:val="nil"/>
            </w:tcBorders>
            <w:shd w:val="clear" w:color="auto" w:fill="auto"/>
            <w:vAlign w:val="center"/>
            <w:hideMark/>
          </w:tcPr>
          <w:p w:rsidRPr="00DC3075" w:rsidR="006E7EFC" w:rsidP="0015683E" w:rsidRDefault="00655E1C" w14:paraId="39B0EEB8" w14:textId="77777777">
            <w:pPr>
              <w:widowControl/>
              <w:autoSpaceDE/>
              <w:autoSpaceDN/>
              <w:jc w:val="right"/>
              <w:rPr>
                <w:color w:val="000000"/>
              </w:rPr>
            </w:pPr>
            <w:r w:rsidRPr="00DC3075">
              <w:rPr>
                <w:color w:val="000000"/>
              </w:rPr>
              <w:t>114</w:t>
            </w:r>
          </w:p>
        </w:tc>
        <w:tc>
          <w:tcPr>
            <w:tcW w:w="276" w:type="dxa"/>
            <w:tcBorders>
              <w:top w:val="nil"/>
              <w:left w:val="nil"/>
              <w:bottom w:val="nil"/>
              <w:right w:val="nil"/>
            </w:tcBorders>
            <w:shd w:val="clear" w:color="auto" w:fill="auto"/>
            <w:vAlign w:val="center"/>
            <w:hideMark/>
          </w:tcPr>
          <w:p w:rsidRPr="00505D37" w:rsidR="006E7EFC" w:rsidP="002E171C" w:rsidRDefault="006E7EFC" w14:paraId="53C2DFC2"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760F0A49" w14:textId="77777777">
            <w:pPr>
              <w:widowControl/>
              <w:autoSpaceDE/>
              <w:autoSpaceDN/>
              <w:jc w:val="right"/>
              <w:rPr>
                <w:color w:val="000000"/>
              </w:rPr>
            </w:pPr>
            <w:r w:rsidRPr="00DC3075">
              <w:rPr>
                <w:color w:val="000000"/>
                <w:w w:val="99"/>
              </w:rPr>
              <w:t>1</w:t>
            </w:r>
          </w:p>
        </w:tc>
        <w:tc>
          <w:tcPr>
            <w:tcW w:w="1014" w:type="dxa"/>
            <w:tcBorders>
              <w:top w:val="nil"/>
              <w:left w:val="nil"/>
              <w:bottom w:val="nil"/>
              <w:right w:val="nil"/>
            </w:tcBorders>
            <w:shd w:val="clear" w:color="auto" w:fill="auto"/>
            <w:vAlign w:val="center"/>
            <w:hideMark/>
          </w:tcPr>
          <w:p w:rsidRPr="00DC3075" w:rsidR="006E7EFC" w:rsidP="002E171C" w:rsidRDefault="006E7EFC" w14:paraId="3A0A998A" w14:textId="77777777">
            <w:pPr>
              <w:widowControl/>
              <w:autoSpaceDE/>
              <w:autoSpaceDN/>
              <w:jc w:val="right"/>
              <w:rPr>
                <w:color w:val="000000"/>
              </w:rPr>
            </w:pPr>
            <w:r w:rsidRPr="00DC3075">
              <w:rPr>
                <w:color w:val="000000"/>
                <w:w w:val="99"/>
              </w:rPr>
              <w:t>1</w:t>
            </w:r>
          </w:p>
        </w:tc>
        <w:tc>
          <w:tcPr>
            <w:tcW w:w="1014" w:type="dxa"/>
            <w:tcBorders>
              <w:top w:val="nil"/>
              <w:left w:val="nil"/>
              <w:bottom w:val="nil"/>
              <w:right w:val="nil"/>
            </w:tcBorders>
            <w:shd w:val="clear" w:color="auto" w:fill="auto"/>
            <w:vAlign w:val="center"/>
            <w:hideMark/>
          </w:tcPr>
          <w:p w:rsidRPr="00DC3075" w:rsidR="006E7EFC" w:rsidP="002E171C" w:rsidRDefault="006E7EFC" w14:paraId="43B12943" w14:textId="77777777">
            <w:pPr>
              <w:widowControl/>
              <w:autoSpaceDE/>
              <w:autoSpaceDN/>
              <w:jc w:val="right"/>
              <w:rPr>
                <w:color w:val="000000"/>
              </w:rPr>
            </w:pPr>
            <w:r w:rsidRPr="00DC3075">
              <w:rPr>
                <w:color w:val="000000"/>
              </w:rPr>
              <w:t>100%</w:t>
            </w:r>
          </w:p>
        </w:tc>
      </w:tr>
      <w:tr w:rsidRPr="006E7EFC" w:rsidR="00F41EB1" w:rsidTr="00F41EB1" w14:paraId="599539E5" w14:textId="77777777">
        <w:trPr>
          <w:trHeight w:val="275"/>
        </w:trPr>
        <w:tc>
          <w:tcPr>
            <w:tcW w:w="278" w:type="dxa"/>
            <w:tcBorders>
              <w:top w:val="nil"/>
              <w:left w:val="nil"/>
              <w:bottom w:val="nil"/>
              <w:right w:val="nil"/>
            </w:tcBorders>
            <w:shd w:val="clear" w:color="auto" w:fill="auto"/>
            <w:vAlign w:val="center"/>
            <w:hideMark/>
          </w:tcPr>
          <w:p w:rsidRPr="006E7EFC" w:rsidR="006E7EFC" w:rsidP="002E171C" w:rsidRDefault="006E7EFC" w14:paraId="5E2AF772" w14:textId="77777777">
            <w:pPr>
              <w:widowControl/>
              <w:autoSpaceDE/>
              <w:autoSpaceDN/>
              <w:jc w:val="right"/>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3163B5CB" w14:textId="77777777">
            <w:pPr>
              <w:widowControl/>
              <w:autoSpaceDE/>
              <w:autoSpaceDN/>
              <w:rPr>
                <w:color w:val="000000"/>
              </w:rPr>
            </w:pPr>
            <w:r w:rsidRPr="006E7EFC">
              <w:rPr>
                <w:color w:val="000000"/>
              </w:rPr>
              <w:t>Public – state systems</w:t>
            </w:r>
          </w:p>
        </w:tc>
        <w:tc>
          <w:tcPr>
            <w:tcW w:w="995" w:type="dxa"/>
            <w:tcBorders>
              <w:top w:val="nil"/>
              <w:left w:val="nil"/>
              <w:bottom w:val="nil"/>
              <w:right w:val="nil"/>
            </w:tcBorders>
            <w:shd w:val="clear" w:color="auto" w:fill="auto"/>
            <w:vAlign w:val="center"/>
            <w:hideMark/>
          </w:tcPr>
          <w:p w:rsidRPr="006E7EFC" w:rsidR="006E7EFC" w:rsidP="002E171C" w:rsidRDefault="006E7EFC" w14:paraId="5941FD5E" w14:textId="77777777">
            <w:pPr>
              <w:widowControl/>
              <w:autoSpaceDE/>
              <w:autoSpaceDN/>
              <w:jc w:val="center"/>
              <w:rPr>
                <w:color w:val="000000"/>
              </w:rPr>
            </w:pPr>
            <w:r w:rsidRPr="006E7EFC">
              <w:rPr>
                <w:color w:val="000000"/>
              </w:rPr>
              <w:t>SSV-2</w:t>
            </w:r>
          </w:p>
        </w:tc>
        <w:tc>
          <w:tcPr>
            <w:tcW w:w="1256" w:type="dxa"/>
            <w:tcBorders>
              <w:top w:val="nil"/>
              <w:left w:val="nil"/>
              <w:bottom w:val="nil"/>
              <w:right w:val="nil"/>
            </w:tcBorders>
            <w:shd w:val="clear" w:color="auto" w:fill="auto"/>
            <w:vAlign w:val="center"/>
            <w:hideMark/>
          </w:tcPr>
          <w:p w:rsidRPr="00DC3075" w:rsidR="006E7EFC" w:rsidP="0015683E" w:rsidRDefault="006E7EFC" w14:paraId="53A1EA12" w14:textId="77777777">
            <w:pPr>
              <w:widowControl/>
              <w:autoSpaceDE/>
              <w:autoSpaceDN/>
              <w:jc w:val="right"/>
              <w:rPr>
                <w:color w:val="000000"/>
              </w:rPr>
            </w:pPr>
            <w:r w:rsidRPr="00DC3075">
              <w:rPr>
                <w:color w:val="000000"/>
              </w:rPr>
              <w:t>1,</w:t>
            </w:r>
            <w:r w:rsidRPr="00DC3075" w:rsidR="00655E1C">
              <w:rPr>
                <w:color w:val="000000"/>
              </w:rPr>
              <w:t>155</w:t>
            </w:r>
          </w:p>
        </w:tc>
        <w:tc>
          <w:tcPr>
            <w:tcW w:w="276" w:type="dxa"/>
            <w:tcBorders>
              <w:top w:val="nil"/>
              <w:left w:val="nil"/>
              <w:bottom w:val="nil"/>
              <w:right w:val="nil"/>
            </w:tcBorders>
            <w:shd w:val="clear" w:color="auto" w:fill="auto"/>
            <w:vAlign w:val="center"/>
            <w:hideMark/>
          </w:tcPr>
          <w:p w:rsidRPr="00505D37" w:rsidR="006E7EFC" w:rsidP="002E171C" w:rsidRDefault="006E7EFC" w14:paraId="059D9619"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09940398" w14:textId="77777777">
            <w:pPr>
              <w:widowControl/>
              <w:autoSpaceDE/>
              <w:autoSpaceDN/>
              <w:jc w:val="right"/>
              <w:rPr>
                <w:color w:val="000000"/>
              </w:rPr>
            </w:pPr>
            <w:r w:rsidRPr="00DC3075">
              <w:rPr>
                <w:color w:val="000000"/>
                <w:w w:val="95"/>
              </w:rPr>
              <w:t>50</w:t>
            </w:r>
          </w:p>
        </w:tc>
        <w:tc>
          <w:tcPr>
            <w:tcW w:w="1014" w:type="dxa"/>
            <w:tcBorders>
              <w:top w:val="nil"/>
              <w:left w:val="nil"/>
              <w:bottom w:val="nil"/>
              <w:right w:val="nil"/>
            </w:tcBorders>
            <w:shd w:val="clear" w:color="auto" w:fill="auto"/>
            <w:vAlign w:val="center"/>
            <w:hideMark/>
          </w:tcPr>
          <w:p w:rsidRPr="00DC3075" w:rsidR="006E7EFC" w:rsidP="002E171C" w:rsidRDefault="006E7EFC" w14:paraId="0E5A8EC7" w14:textId="77777777">
            <w:pPr>
              <w:widowControl/>
              <w:autoSpaceDE/>
              <w:autoSpaceDN/>
              <w:jc w:val="right"/>
              <w:rPr>
                <w:color w:val="000000"/>
              </w:rPr>
            </w:pPr>
            <w:r w:rsidRPr="00DC3075">
              <w:rPr>
                <w:color w:val="000000"/>
                <w:w w:val="95"/>
              </w:rPr>
              <w:t>50</w:t>
            </w:r>
          </w:p>
        </w:tc>
        <w:tc>
          <w:tcPr>
            <w:tcW w:w="1014" w:type="dxa"/>
            <w:tcBorders>
              <w:top w:val="nil"/>
              <w:left w:val="nil"/>
              <w:bottom w:val="nil"/>
              <w:right w:val="nil"/>
            </w:tcBorders>
            <w:shd w:val="clear" w:color="auto" w:fill="auto"/>
            <w:vAlign w:val="center"/>
            <w:hideMark/>
          </w:tcPr>
          <w:p w:rsidRPr="00DC3075" w:rsidR="006E7EFC" w:rsidP="002E171C" w:rsidRDefault="006E7EFC" w14:paraId="43241061" w14:textId="77777777">
            <w:pPr>
              <w:widowControl/>
              <w:autoSpaceDE/>
              <w:autoSpaceDN/>
              <w:jc w:val="right"/>
              <w:rPr>
                <w:color w:val="000000"/>
              </w:rPr>
            </w:pPr>
            <w:r w:rsidRPr="00DC3075">
              <w:rPr>
                <w:color w:val="000000"/>
              </w:rPr>
              <w:t>100%</w:t>
            </w:r>
          </w:p>
        </w:tc>
      </w:tr>
      <w:tr w:rsidRPr="006E7EFC" w:rsidR="00F41EB1" w:rsidTr="00F41EB1" w14:paraId="399624E8" w14:textId="77777777">
        <w:trPr>
          <w:trHeight w:val="275"/>
        </w:trPr>
        <w:tc>
          <w:tcPr>
            <w:tcW w:w="278" w:type="dxa"/>
            <w:tcBorders>
              <w:top w:val="nil"/>
              <w:left w:val="nil"/>
              <w:bottom w:val="nil"/>
              <w:right w:val="nil"/>
            </w:tcBorders>
            <w:shd w:val="clear" w:color="auto" w:fill="auto"/>
            <w:vAlign w:val="center"/>
            <w:hideMark/>
          </w:tcPr>
          <w:p w:rsidRPr="006E7EFC" w:rsidR="006E7EFC" w:rsidP="002E171C" w:rsidRDefault="006E7EFC" w14:paraId="4CDAEC2B" w14:textId="77777777">
            <w:pPr>
              <w:widowControl/>
              <w:autoSpaceDE/>
              <w:autoSpaceDN/>
              <w:jc w:val="right"/>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05A30FA2" w14:textId="77777777">
            <w:pPr>
              <w:widowControl/>
              <w:autoSpaceDE/>
              <w:autoSpaceDN/>
              <w:rPr>
                <w:color w:val="000000"/>
              </w:rPr>
            </w:pPr>
            <w:r w:rsidRPr="006E7EFC">
              <w:rPr>
                <w:color w:val="000000"/>
              </w:rPr>
              <w:t>Private</w:t>
            </w:r>
          </w:p>
        </w:tc>
        <w:tc>
          <w:tcPr>
            <w:tcW w:w="995" w:type="dxa"/>
            <w:tcBorders>
              <w:top w:val="nil"/>
              <w:left w:val="nil"/>
              <w:bottom w:val="nil"/>
              <w:right w:val="nil"/>
            </w:tcBorders>
            <w:shd w:val="clear" w:color="auto" w:fill="auto"/>
            <w:vAlign w:val="center"/>
            <w:hideMark/>
          </w:tcPr>
          <w:p w:rsidRPr="006E7EFC" w:rsidR="006E7EFC" w:rsidP="002E171C" w:rsidRDefault="006E7EFC" w14:paraId="5B9B5D71" w14:textId="77777777">
            <w:pPr>
              <w:widowControl/>
              <w:autoSpaceDE/>
              <w:autoSpaceDN/>
              <w:jc w:val="center"/>
              <w:rPr>
                <w:color w:val="000000"/>
              </w:rPr>
            </w:pPr>
            <w:r w:rsidRPr="006E7EFC">
              <w:rPr>
                <w:color w:val="000000"/>
              </w:rPr>
              <w:t>SSV-4</w:t>
            </w:r>
          </w:p>
        </w:tc>
        <w:tc>
          <w:tcPr>
            <w:tcW w:w="1256" w:type="dxa"/>
            <w:tcBorders>
              <w:top w:val="nil"/>
              <w:left w:val="nil"/>
              <w:bottom w:val="nil"/>
              <w:right w:val="nil"/>
            </w:tcBorders>
            <w:shd w:val="clear" w:color="auto" w:fill="auto"/>
            <w:vAlign w:val="center"/>
            <w:hideMark/>
          </w:tcPr>
          <w:p w:rsidRPr="00DC3075" w:rsidR="006E7EFC" w:rsidP="0015683E" w:rsidRDefault="008B4109" w14:paraId="725C9C9A" w14:textId="77777777">
            <w:pPr>
              <w:widowControl/>
              <w:autoSpaceDE/>
              <w:autoSpaceDN/>
              <w:jc w:val="right"/>
              <w:rPr>
                <w:color w:val="000000"/>
              </w:rPr>
            </w:pPr>
            <w:r w:rsidRPr="00DC3075">
              <w:rPr>
                <w:color w:val="000000"/>
                <w:w w:val="95"/>
              </w:rPr>
              <w:t>40</w:t>
            </w:r>
            <w:r w:rsidRPr="00DC3075" w:rsidR="0041197C">
              <w:rPr>
                <w:color w:val="000000"/>
                <w:w w:val="95"/>
              </w:rPr>
              <w:t>6</w:t>
            </w:r>
          </w:p>
        </w:tc>
        <w:tc>
          <w:tcPr>
            <w:tcW w:w="276" w:type="dxa"/>
            <w:tcBorders>
              <w:top w:val="nil"/>
              <w:left w:val="nil"/>
              <w:bottom w:val="nil"/>
              <w:right w:val="nil"/>
            </w:tcBorders>
            <w:shd w:val="clear" w:color="auto" w:fill="auto"/>
            <w:vAlign w:val="center"/>
            <w:hideMark/>
          </w:tcPr>
          <w:p w:rsidRPr="00505D37" w:rsidR="006E7EFC" w:rsidP="002E171C" w:rsidRDefault="006E7EFC" w14:paraId="65F0B701"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8B4109" w14:paraId="5EA99354" w14:textId="77777777">
            <w:pPr>
              <w:widowControl/>
              <w:autoSpaceDE/>
              <w:autoSpaceDN/>
              <w:jc w:val="right"/>
              <w:rPr>
                <w:color w:val="000000"/>
              </w:rPr>
            </w:pPr>
            <w:r w:rsidRPr="00DC3075">
              <w:rPr>
                <w:color w:val="000000"/>
                <w:w w:val="95"/>
              </w:rPr>
              <w:t>40</w:t>
            </w:r>
            <w:r w:rsidRPr="00DC3075" w:rsidR="0041197C">
              <w:rPr>
                <w:color w:val="000000"/>
                <w:w w:val="95"/>
              </w:rPr>
              <w:t>6</w:t>
            </w:r>
          </w:p>
        </w:tc>
        <w:tc>
          <w:tcPr>
            <w:tcW w:w="1014" w:type="dxa"/>
            <w:tcBorders>
              <w:top w:val="nil"/>
              <w:left w:val="nil"/>
              <w:bottom w:val="nil"/>
              <w:right w:val="nil"/>
            </w:tcBorders>
            <w:shd w:val="clear" w:color="auto" w:fill="auto"/>
            <w:vAlign w:val="center"/>
            <w:hideMark/>
          </w:tcPr>
          <w:p w:rsidRPr="00DC3075" w:rsidR="006E7EFC" w:rsidP="002E171C" w:rsidRDefault="006E7EFC" w14:paraId="2A85E1EC" w14:textId="77777777">
            <w:pPr>
              <w:widowControl/>
              <w:autoSpaceDE/>
              <w:autoSpaceDN/>
              <w:jc w:val="right"/>
              <w:rPr>
                <w:color w:val="000000"/>
              </w:rPr>
            </w:pPr>
            <w:r w:rsidRPr="00DC3075">
              <w:rPr>
                <w:color w:val="000000"/>
                <w:w w:val="95"/>
              </w:rPr>
              <w:t>155</w:t>
            </w:r>
          </w:p>
        </w:tc>
        <w:tc>
          <w:tcPr>
            <w:tcW w:w="1014" w:type="dxa"/>
            <w:tcBorders>
              <w:top w:val="nil"/>
              <w:left w:val="nil"/>
              <w:bottom w:val="nil"/>
              <w:right w:val="nil"/>
            </w:tcBorders>
            <w:shd w:val="clear" w:color="auto" w:fill="auto"/>
            <w:vAlign w:val="center"/>
            <w:hideMark/>
          </w:tcPr>
          <w:p w:rsidRPr="00DC3075" w:rsidR="006E7EFC" w:rsidP="002E171C" w:rsidRDefault="00DC3075" w14:paraId="6D38DD7E" w14:textId="52E40638">
            <w:pPr>
              <w:widowControl/>
              <w:autoSpaceDE/>
              <w:autoSpaceDN/>
              <w:jc w:val="right"/>
              <w:rPr>
                <w:color w:val="000000"/>
              </w:rPr>
            </w:pPr>
            <w:r w:rsidRPr="00DC3075">
              <w:rPr>
                <w:color w:val="000000"/>
              </w:rPr>
              <w:t>38.2</w:t>
            </w:r>
            <w:r w:rsidRPr="00DC3075" w:rsidR="006E7EFC">
              <w:rPr>
                <w:color w:val="000000"/>
              </w:rPr>
              <w:t>%</w:t>
            </w:r>
          </w:p>
        </w:tc>
      </w:tr>
      <w:tr w:rsidRPr="006E7EFC" w:rsidR="00F41EB1" w:rsidTr="00F41EB1" w14:paraId="7804373D" w14:textId="77777777">
        <w:trPr>
          <w:trHeight w:val="275"/>
        </w:trPr>
        <w:tc>
          <w:tcPr>
            <w:tcW w:w="2913" w:type="dxa"/>
            <w:gridSpan w:val="2"/>
            <w:tcBorders>
              <w:top w:val="nil"/>
              <w:left w:val="nil"/>
              <w:bottom w:val="nil"/>
              <w:right w:val="nil"/>
            </w:tcBorders>
            <w:shd w:val="clear" w:color="auto" w:fill="auto"/>
            <w:vAlign w:val="center"/>
            <w:hideMark/>
          </w:tcPr>
          <w:p w:rsidRPr="006E7EFC" w:rsidR="006E7EFC" w:rsidP="002E171C" w:rsidRDefault="006E7EFC" w14:paraId="5012B51E" w14:textId="77777777">
            <w:pPr>
              <w:widowControl/>
              <w:autoSpaceDE/>
              <w:autoSpaceDN/>
              <w:rPr>
                <w:color w:val="000000"/>
              </w:rPr>
            </w:pPr>
            <w:r w:rsidRPr="006E7EFC">
              <w:rPr>
                <w:color w:val="000000"/>
              </w:rPr>
              <w:t>Jails</w:t>
            </w:r>
          </w:p>
        </w:tc>
        <w:tc>
          <w:tcPr>
            <w:tcW w:w="995" w:type="dxa"/>
            <w:tcBorders>
              <w:top w:val="nil"/>
              <w:left w:val="nil"/>
              <w:bottom w:val="nil"/>
              <w:right w:val="nil"/>
            </w:tcBorders>
            <w:shd w:val="clear" w:color="auto" w:fill="auto"/>
            <w:vAlign w:val="center"/>
            <w:hideMark/>
          </w:tcPr>
          <w:p w:rsidRPr="006E7EFC" w:rsidR="006E7EFC" w:rsidP="002E171C" w:rsidRDefault="006E7EFC" w14:paraId="78BB1BC2" w14:textId="77777777">
            <w:pPr>
              <w:widowControl/>
              <w:autoSpaceDE/>
              <w:autoSpaceDN/>
              <w:rPr>
                <w:color w:val="000000"/>
              </w:rPr>
            </w:pPr>
          </w:p>
        </w:tc>
        <w:tc>
          <w:tcPr>
            <w:tcW w:w="1256" w:type="dxa"/>
            <w:tcBorders>
              <w:top w:val="nil"/>
              <w:left w:val="nil"/>
              <w:bottom w:val="nil"/>
              <w:right w:val="nil"/>
            </w:tcBorders>
            <w:shd w:val="clear" w:color="auto" w:fill="auto"/>
            <w:vAlign w:val="center"/>
            <w:hideMark/>
          </w:tcPr>
          <w:p w:rsidRPr="00471424" w:rsidR="006E7EFC" w:rsidP="0015683E" w:rsidRDefault="006E7EFC" w14:paraId="3D24D5D7" w14:textId="77777777">
            <w:pPr>
              <w:widowControl/>
              <w:autoSpaceDE/>
              <w:autoSpaceDN/>
              <w:jc w:val="right"/>
            </w:pPr>
          </w:p>
        </w:tc>
        <w:tc>
          <w:tcPr>
            <w:tcW w:w="276" w:type="dxa"/>
            <w:tcBorders>
              <w:top w:val="nil"/>
              <w:left w:val="nil"/>
              <w:bottom w:val="nil"/>
              <w:right w:val="nil"/>
            </w:tcBorders>
            <w:shd w:val="clear" w:color="auto" w:fill="auto"/>
            <w:vAlign w:val="center"/>
            <w:hideMark/>
          </w:tcPr>
          <w:p w:rsidRPr="00471424" w:rsidR="006E7EFC" w:rsidP="002E171C" w:rsidRDefault="006E7EFC" w14:paraId="492C7664" w14:textId="77777777">
            <w:pPr>
              <w:widowControl/>
              <w:autoSpaceDE/>
              <w:autoSpaceDN/>
            </w:pPr>
          </w:p>
        </w:tc>
        <w:tc>
          <w:tcPr>
            <w:tcW w:w="1199" w:type="dxa"/>
            <w:tcBorders>
              <w:top w:val="nil"/>
              <w:left w:val="nil"/>
              <w:bottom w:val="nil"/>
              <w:right w:val="nil"/>
            </w:tcBorders>
            <w:shd w:val="clear" w:color="auto" w:fill="auto"/>
            <w:vAlign w:val="center"/>
            <w:hideMark/>
          </w:tcPr>
          <w:p w:rsidRPr="00471424" w:rsidR="006E7EFC" w:rsidP="002E171C" w:rsidRDefault="006E7EFC" w14:paraId="49C6B9A3" w14:textId="77777777">
            <w:pPr>
              <w:widowControl/>
              <w:autoSpaceDE/>
              <w:autoSpaceDN/>
            </w:pPr>
          </w:p>
        </w:tc>
        <w:tc>
          <w:tcPr>
            <w:tcW w:w="1014" w:type="dxa"/>
            <w:tcBorders>
              <w:top w:val="nil"/>
              <w:left w:val="nil"/>
              <w:bottom w:val="nil"/>
              <w:right w:val="nil"/>
            </w:tcBorders>
            <w:shd w:val="clear" w:color="auto" w:fill="auto"/>
            <w:vAlign w:val="center"/>
            <w:hideMark/>
          </w:tcPr>
          <w:p w:rsidRPr="00471424" w:rsidR="006E7EFC" w:rsidP="002E171C" w:rsidRDefault="006E7EFC" w14:paraId="67CC7DDA" w14:textId="77777777">
            <w:pPr>
              <w:widowControl/>
              <w:autoSpaceDE/>
              <w:autoSpaceDN/>
            </w:pPr>
          </w:p>
        </w:tc>
        <w:tc>
          <w:tcPr>
            <w:tcW w:w="1014" w:type="dxa"/>
            <w:tcBorders>
              <w:top w:val="nil"/>
              <w:left w:val="nil"/>
              <w:bottom w:val="nil"/>
              <w:right w:val="nil"/>
            </w:tcBorders>
            <w:shd w:val="clear" w:color="auto" w:fill="auto"/>
            <w:vAlign w:val="center"/>
            <w:hideMark/>
          </w:tcPr>
          <w:p w:rsidRPr="00471424" w:rsidR="006E7EFC" w:rsidP="002E171C" w:rsidRDefault="006E7EFC" w14:paraId="2B04F3A8" w14:textId="77777777">
            <w:pPr>
              <w:widowControl/>
              <w:autoSpaceDE/>
              <w:autoSpaceDN/>
            </w:pPr>
          </w:p>
        </w:tc>
      </w:tr>
      <w:tr w:rsidRPr="006E7EFC" w:rsidR="00F41EB1" w:rsidTr="00F41EB1" w14:paraId="6FFE8AFC"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54C81CBD" w14:textId="77777777">
            <w:pPr>
              <w:widowControl/>
              <w:autoSpaceDE/>
              <w:autoSpaceDN/>
              <w:rPr>
                <w:sz w:val="20"/>
                <w:szCs w:val="2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1C0368FC" w14:textId="77777777">
            <w:pPr>
              <w:widowControl/>
              <w:autoSpaceDE/>
              <w:autoSpaceDN/>
              <w:rPr>
                <w:color w:val="000000"/>
              </w:rPr>
            </w:pPr>
            <w:r w:rsidRPr="006E7EFC">
              <w:rPr>
                <w:color w:val="000000"/>
              </w:rPr>
              <w:t>Public – local jurisdictions</w:t>
            </w:r>
          </w:p>
        </w:tc>
        <w:tc>
          <w:tcPr>
            <w:tcW w:w="995" w:type="dxa"/>
            <w:tcBorders>
              <w:top w:val="nil"/>
              <w:left w:val="nil"/>
              <w:bottom w:val="nil"/>
              <w:right w:val="nil"/>
            </w:tcBorders>
            <w:shd w:val="clear" w:color="auto" w:fill="auto"/>
            <w:vAlign w:val="center"/>
            <w:hideMark/>
          </w:tcPr>
          <w:p w:rsidRPr="006E7EFC" w:rsidR="006E7EFC" w:rsidP="002E171C" w:rsidRDefault="006E7EFC" w14:paraId="49DF5BB8" w14:textId="77777777">
            <w:pPr>
              <w:widowControl/>
              <w:autoSpaceDE/>
              <w:autoSpaceDN/>
              <w:jc w:val="center"/>
              <w:rPr>
                <w:color w:val="000000"/>
              </w:rPr>
            </w:pPr>
            <w:r w:rsidRPr="006E7EFC">
              <w:rPr>
                <w:color w:val="000000"/>
              </w:rPr>
              <w:t>SSV-3</w:t>
            </w:r>
          </w:p>
        </w:tc>
        <w:tc>
          <w:tcPr>
            <w:tcW w:w="1256" w:type="dxa"/>
            <w:tcBorders>
              <w:top w:val="nil"/>
              <w:left w:val="nil"/>
              <w:bottom w:val="nil"/>
              <w:right w:val="nil"/>
            </w:tcBorders>
            <w:shd w:val="clear" w:color="auto" w:fill="auto"/>
            <w:vAlign w:val="center"/>
            <w:hideMark/>
          </w:tcPr>
          <w:p w:rsidRPr="00DC3075" w:rsidR="006E7EFC" w:rsidP="0015683E" w:rsidRDefault="000F65A7" w14:paraId="18CE8953" w14:textId="77777777">
            <w:pPr>
              <w:widowControl/>
              <w:autoSpaceDE/>
              <w:autoSpaceDN/>
              <w:jc w:val="right"/>
              <w:rPr>
                <w:color w:val="000000"/>
              </w:rPr>
            </w:pPr>
            <w:r w:rsidRPr="00DC3075">
              <w:rPr>
                <w:color w:val="000000"/>
              </w:rPr>
              <w:t>3,119</w:t>
            </w:r>
          </w:p>
        </w:tc>
        <w:tc>
          <w:tcPr>
            <w:tcW w:w="276" w:type="dxa"/>
            <w:tcBorders>
              <w:top w:val="nil"/>
              <w:left w:val="nil"/>
              <w:bottom w:val="nil"/>
              <w:right w:val="nil"/>
            </w:tcBorders>
            <w:shd w:val="clear" w:color="auto" w:fill="auto"/>
            <w:vAlign w:val="center"/>
            <w:hideMark/>
          </w:tcPr>
          <w:p w:rsidRPr="00505D37" w:rsidR="006E7EFC" w:rsidP="002E171C" w:rsidRDefault="006E7EFC" w14:paraId="4676E2B5"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59E42460" w14:textId="77777777">
            <w:pPr>
              <w:widowControl/>
              <w:autoSpaceDE/>
              <w:autoSpaceDN/>
              <w:jc w:val="right"/>
              <w:rPr>
                <w:color w:val="000000"/>
              </w:rPr>
            </w:pPr>
            <w:r w:rsidRPr="00DC3075">
              <w:rPr>
                <w:color w:val="000000"/>
              </w:rPr>
              <w:t>2</w:t>
            </w:r>
            <w:r w:rsidRPr="00DC3075" w:rsidR="005059EB">
              <w:rPr>
                <w:color w:val="000000"/>
              </w:rPr>
              <w:t>,</w:t>
            </w:r>
            <w:r w:rsidRPr="00DC3075">
              <w:rPr>
                <w:color w:val="000000"/>
              </w:rPr>
              <w:t>882</w:t>
            </w:r>
          </w:p>
        </w:tc>
        <w:tc>
          <w:tcPr>
            <w:tcW w:w="1014" w:type="dxa"/>
            <w:tcBorders>
              <w:top w:val="nil"/>
              <w:left w:val="nil"/>
              <w:bottom w:val="nil"/>
              <w:right w:val="nil"/>
            </w:tcBorders>
            <w:shd w:val="clear" w:color="auto" w:fill="auto"/>
            <w:vAlign w:val="center"/>
            <w:hideMark/>
          </w:tcPr>
          <w:p w:rsidRPr="00DC3075" w:rsidR="006E7EFC" w:rsidP="002E171C" w:rsidRDefault="006E7EFC" w14:paraId="205462ED" w14:textId="77777777">
            <w:pPr>
              <w:widowControl/>
              <w:autoSpaceDE/>
              <w:autoSpaceDN/>
              <w:jc w:val="right"/>
              <w:rPr>
                <w:color w:val="000000"/>
              </w:rPr>
            </w:pPr>
            <w:r w:rsidRPr="00DC3075">
              <w:rPr>
                <w:color w:val="000000"/>
                <w:w w:val="95"/>
              </w:rPr>
              <w:t>700</w:t>
            </w:r>
          </w:p>
        </w:tc>
        <w:tc>
          <w:tcPr>
            <w:tcW w:w="1014" w:type="dxa"/>
            <w:tcBorders>
              <w:top w:val="nil"/>
              <w:left w:val="nil"/>
              <w:bottom w:val="nil"/>
              <w:right w:val="nil"/>
            </w:tcBorders>
            <w:shd w:val="clear" w:color="auto" w:fill="auto"/>
            <w:vAlign w:val="center"/>
            <w:hideMark/>
          </w:tcPr>
          <w:p w:rsidRPr="00DC3075" w:rsidR="006E7EFC" w:rsidP="002E171C" w:rsidRDefault="006E7EFC" w14:paraId="6063CEB9" w14:textId="77777777">
            <w:pPr>
              <w:widowControl/>
              <w:autoSpaceDE/>
              <w:autoSpaceDN/>
              <w:jc w:val="right"/>
              <w:rPr>
                <w:color w:val="000000"/>
              </w:rPr>
            </w:pPr>
            <w:r w:rsidRPr="00DC3075">
              <w:rPr>
                <w:color w:val="000000"/>
              </w:rPr>
              <w:t>24.3%</w:t>
            </w:r>
          </w:p>
        </w:tc>
      </w:tr>
      <w:tr w:rsidRPr="006E7EFC" w:rsidR="00F41EB1" w:rsidTr="00F41EB1" w14:paraId="1181A9B7"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1326E873" w14:textId="77777777">
            <w:pPr>
              <w:widowControl/>
              <w:autoSpaceDE/>
              <w:autoSpaceDN/>
              <w:jc w:val="right"/>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56B043D7" w14:textId="77777777">
            <w:pPr>
              <w:widowControl/>
              <w:autoSpaceDE/>
              <w:autoSpaceDN/>
              <w:rPr>
                <w:color w:val="000000"/>
              </w:rPr>
            </w:pPr>
            <w:r w:rsidRPr="006E7EFC">
              <w:rPr>
                <w:color w:val="000000"/>
              </w:rPr>
              <w:t>Private</w:t>
            </w:r>
          </w:p>
        </w:tc>
        <w:tc>
          <w:tcPr>
            <w:tcW w:w="995" w:type="dxa"/>
            <w:tcBorders>
              <w:top w:val="nil"/>
              <w:left w:val="nil"/>
              <w:bottom w:val="nil"/>
              <w:right w:val="nil"/>
            </w:tcBorders>
            <w:shd w:val="clear" w:color="auto" w:fill="auto"/>
            <w:vAlign w:val="center"/>
            <w:hideMark/>
          </w:tcPr>
          <w:p w:rsidRPr="006E7EFC" w:rsidR="006E7EFC" w:rsidP="002E171C" w:rsidRDefault="006E7EFC" w14:paraId="4327748F" w14:textId="77777777">
            <w:pPr>
              <w:widowControl/>
              <w:autoSpaceDE/>
              <w:autoSpaceDN/>
              <w:jc w:val="center"/>
              <w:rPr>
                <w:color w:val="000000"/>
              </w:rPr>
            </w:pPr>
            <w:r w:rsidRPr="006E7EFC">
              <w:rPr>
                <w:color w:val="000000"/>
              </w:rPr>
              <w:t>SSV-4</w:t>
            </w:r>
          </w:p>
        </w:tc>
        <w:tc>
          <w:tcPr>
            <w:tcW w:w="1256" w:type="dxa"/>
            <w:tcBorders>
              <w:top w:val="nil"/>
              <w:left w:val="nil"/>
              <w:bottom w:val="nil"/>
              <w:right w:val="nil"/>
            </w:tcBorders>
            <w:shd w:val="clear" w:color="auto" w:fill="auto"/>
            <w:vAlign w:val="center"/>
            <w:hideMark/>
          </w:tcPr>
          <w:p w:rsidRPr="00DC3075" w:rsidR="006E7EFC" w:rsidP="0015683E" w:rsidRDefault="000F65A7" w14:paraId="5BAF698A" w14:textId="77777777">
            <w:pPr>
              <w:widowControl/>
              <w:autoSpaceDE/>
              <w:autoSpaceDN/>
              <w:jc w:val="right"/>
              <w:rPr>
                <w:color w:val="000000"/>
              </w:rPr>
            </w:pPr>
            <w:r w:rsidRPr="00DC3075">
              <w:rPr>
                <w:color w:val="000000"/>
              </w:rPr>
              <w:t>34</w:t>
            </w:r>
          </w:p>
        </w:tc>
        <w:tc>
          <w:tcPr>
            <w:tcW w:w="276" w:type="dxa"/>
            <w:tcBorders>
              <w:top w:val="nil"/>
              <w:left w:val="nil"/>
              <w:bottom w:val="nil"/>
              <w:right w:val="nil"/>
            </w:tcBorders>
            <w:shd w:val="clear" w:color="auto" w:fill="auto"/>
            <w:vAlign w:val="center"/>
            <w:hideMark/>
          </w:tcPr>
          <w:p w:rsidRPr="00505D37" w:rsidR="006E7EFC" w:rsidP="002E171C" w:rsidRDefault="006E7EFC" w14:paraId="7370B9EE"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4699E7C1" w14:textId="77777777">
            <w:pPr>
              <w:widowControl/>
              <w:autoSpaceDE/>
              <w:autoSpaceDN/>
              <w:jc w:val="right"/>
              <w:rPr>
                <w:color w:val="000000"/>
              </w:rPr>
            </w:pPr>
            <w:r w:rsidRPr="00DC3075">
              <w:rPr>
                <w:color w:val="000000"/>
                <w:w w:val="95"/>
              </w:rPr>
              <w:t>29</w:t>
            </w:r>
          </w:p>
        </w:tc>
        <w:tc>
          <w:tcPr>
            <w:tcW w:w="1014" w:type="dxa"/>
            <w:tcBorders>
              <w:top w:val="nil"/>
              <w:left w:val="nil"/>
              <w:bottom w:val="nil"/>
              <w:right w:val="nil"/>
            </w:tcBorders>
            <w:shd w:val="clear" w:color="auto" w:fill="auto"/>
            <w:vAlign w:val="center"/>
            <w:hideMark/>
          </w:tcPr>
          <w:p w:rsidRPr="00DC3075" w:rsidR="006E7EFC" w:rsidP="002E171C" w:rsidRDefault="006E7EFC" w14:paraId="195CC08A" w14:textId="77777777">
            <w:pPr>
              <w:widowControl/>
              <w:autoSpaceDE/>
              <w:autoSpaceDN/>
              <w:jc w:val="right"/>
              <w:rPr>
                <w:color w:val="000000"/>
              </w:rPr>
            </w:pPr>
            <w:r w:rsidRPr="00DC3075">
              <w:rPr>
                <w:color w:val="000000"/>
                <w:w w:val="95"/>
              </w:rPr>
              <w:t>15</w:t>
            </w:r>
          </w:p>
        </w:tc>
        <w:tc>
          <w:tcPr>
            <w:tcW w:w="1014" w:type="dxa"/>
            <w:tcBorders>
              <w:top w:val="nil"/>
              <w:left w:val="nil"/>
              <w:bottom w:val="nil"/>
              <w:right w:val="nil"/>
            </w:tcBorders>
            <w:shd w:val="clear" w:color="auto" w:fill="auto"/>
            <w:vAlign w:val="center"/>
            <w:hideMark/>
          </w:tcPr>
          <w:p w:rsidRPr="00DC3075" w:rsidR="006E7EFC" w:rsidP="002E171C" w:rsidRDefault="00DC3075" w14:paraId="1653376A" w14:textId="10CF68E4">
            <w:pPr>
              <w:widowControl/>
              <w:autoSpaceDE/>
              <w:autoSpaceDN/>
              <w:jc w:val="right"/>
              <w:rPr>
                <w:color w:val="000000"/>
              </w:rPr>
            </w:pPr>
            <w:r w:rsidRPr="00DC3075">
              <w:rPr>
                <w:color w:val="000000"/>
              </w:rPr>
              <w:t>51.7</w:t>
            </w:r>
            <w:r w:rsidRPr="00DC3075" w:rsidR="006E7EFC">
              <w:rPr>
                <w:color w:val="000000"/>
              </w:rPr>
              <w:t>%</w:t>
            </w:r>
          </w:p>
        </w:tc>
      </w:tr>
      <w:tr w:rsidRPr="006E7EFC" w:rsidR="00F41EB1" w:rsidTr="00F41EB1" w14:paraId="26C5CB22" w14:textId="77777777">
        <w:trPr>
          <w:trHeight w:val="275"/>
        </w:trPr>
        <w:tc>
          <w:tcPr>
            <w:tcW w:w="2913" w:type="dxa"/>
            <w:gridSpan w:val="2"/>
            <w:tcBorders>
              <w:top w:val="nil"/>
              <w:left w:val="nil"/>
              <w:bottom w:val="nil"/>
              <w:right w:val="nil"/>
            </w:tcBorders>
            <w:shd w:val="clear" w:color="auto" w:fill="auto"/>
            <w:vAlign w:val="center"/>
            <w:hideMark/>
          </w:tcPr>
          <w:p w:rsidRPr="006E7EFC" w:rsidR="006E7EFC" w:rsidP="002E171C" w:rsidRDefault="006E7EFC" w14:paraId="36587A8B" w14:textId="77777777">
            <w:pPr>
              <w:widowControl/>
              <w:autoSpaceDE/>
              <w:autoSpaceDN/>
              <w:rPr>
                <w:color w:val="000000"/>
              </w:rPr>
            </w:pPr>
            <w:r w:rsidRPr="006E7EFC">
              <w:rPr>
                <w:color w:val="000000"/>
              </w:rPr>
              <w:t>Other adult facilities</w:t>
            </w:r>
          </w:p>
        </w:tc>
        <w:tc>
          <w:tcPr>
            <w:tcW w:w="995" w:type="dxa"/>
            <w:tcBorders>
              <w:top w:val="nil"/>
              <w:left w:val="nil"/>
              <w:bottom w:val="nil"/>
              <w:right w:val="nil"/>
            </w:tcBorders>
            <w:shd w:val="clear" w:color="auto" w:fill="auto"/>
            <w:vAlign w:val="center"/>
            <w:hideMark/>
          </w:tcPr>
          <w:p w:rsidRPr="006E7EFC" w:rsidR="006E7EFC" w:rsidP="002E171C" w:rsidRDefault="006E7EFC" w14:paraId="7B61EEA6" w14:textId="77777777">
            <w:pPr>
              <w:widowControl/>
              <w:autoSpaceDE/>
              <w:autoSpaceDN/>
              <w:rPr>
                <w:color w:val="000000"/>
              </w:rPr>
            </w:pPr>
          </w:p>
        </w:tc>
        <w:tc>
          <w:tcPr>
            <w:tcW w:w="1256" w:type="dxa"/>
            <w:tcBorders>
              <w:top w:val="nil"/>
              <w:left w:val="nil"/>
              <w:bottom w:val="nil"/>
              <w:right w:val="nil"/>
            </w:tcBorders>
            <w:shd w:val="clear" w:color="auto" w:fill="auto"/>
            <w:vAlign w:val="center"/>
            <w:hideMark/>
          </w:tcPr>
          <w:p w:rsidRPr="00471424" w:rsidR="006E7EFC" w:rsidP="0015683E" w:rsidRDefault="006E7EFC" w14:paraId="770D536F" w14:textId="77777777">
            <w:pPr>
              <w:widowControl/>
              <w:autoSpaceDE/>
              <w:autoSpaceDN/>
              <w:jc w:val="right"/>
            </w:pPr>
          </w:p>
        </w:tc>
        <w:tc>
          <w:tcPr>
            <w:tcW w:w="276" w:type="dxa"/>
            <w:tcBorders>
              <w:top w:val="nil"/>
              <w:left w:val="nil"/>
              <w:bottom w:val="nil"/>
              <w:right w:val="nil"/>
            </w:tcBorders>
            <w:shd w:val="clear" w:color="auto" w:fill="auto"/>
            <w:vAlign w:val="center"/>
            <w:hideMark/>
          </w:tcPr>
          <w:p w:rsidRPr="00471424" w:rsidR="006E7EFC" w:rsidP="002E171C" w:rsidRDefault="006E7EFC" w14:paraId="5546B05A" w14:textId="77777777">
            <w:pPr>
              <w:widowControl/>
              <w:autoSpaceDE/>
              <w:autoSpaceDN/>
            </w:pPr>
          </w:p>
        </w:tc>
        <w:tc>
          <w:tcPr>
            <w:tcW w:w="1199" w:type="dxa"/>
            <w:tcBorders>
              <w:top w:val="nil"/>
              <w:left w:val="nil"/>
              <w:bottom w:val="nil"/>
              <w:right w:val="nil"/>
            </w:tcBorders>
            <w:shd w:val="clear" w:color="auto" w:fill="auto"/>
            <w:vAlign w:val="center"/>
            <w:hideMark/>
          </w:tcPr>
          <w:p w:rsidRPr="00471424" w:rsidR="006E7EFC" w:rsidP="002E171C" w:rsidRDefault="006E7EFC" w14:paraId="13E83D3F" w14:textId="77777777">
            <w:pPr>
              <w:widowControl/>
              <w:autoSpaceDE/>
              <w:autoSpaceDN/>
            </w:pPr>
          </w:p>
        </w:tc>
        <w:tc>
          <w:tcPr>
            <w:tcW w:w="1014" w:type="dxa"/>
            <w:tcBorders>
              <w:top w:val="nil"/>
              <w:left w:val="nil"/>
              <w:bottom w:val="nil"/>
              <w:right w:val="nil"/>
            </w:tcBorders>
            <w:shd w:val="clear" w:color="auto" w:fill="auto"/>
            <w:vAlign w:val="center"/>
            <w:hideMark/>
          </w:tcPr>
          <w:p w:rsidRPr="00471424" w:rsidR="006E7EFC" w:rsidP="002E171C" w:rsidRDefault="006E7EFC" w14:paraId="4F82577A" w14:textId="77777777">
            <w:pPr>
              <w:widowControl/>
              <w:autoSpaceDE/>
              <w:autoSpaceDN/>
            </w:pPr>
          </w:p>
        </w:tc>
        <w:tc>
          <w:tcPr>
            <w:tcW w:w="1014" w:type="dxa"/>
            <w:tcBorders>
              <w:top w:val="nil"/>
              <w:left w:val="nil"/>
              <w:bottom w:val="nil"/>
              <w:right w:val="nil"/>
            </w:tcBorders>
            <w:shd w:val="clear" w:color="auto" w:fill="auto"/>
            <w:vAlign w:val="center"/>
            <w:hideMark/>
          </w:tcPr>
          <w:p w:rsidRPr="00471424" w:rsidR="006E7EFC" w:rsidP="002E171C" w:rsidRDefault="006E7EFC" w14:paraId="5662C8FF" w14:textId="77777777">
            <w:pPr>
              <w:widowControl/>
              <w:autoSpaceDE/>
              <w:autoSpaceDN/>
            </w:pPr>
          </w:p>
        </w:tc>
      </w:tr>
      <w:tr w:rsidRPr="006E7EFC" w:rsidR="00F41EB1" w:rsidTr="00F41EB1" w14:paraId="55B9BA9F"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0D0EB1CB" w14:textId="77777777">
            <w:pPr>
              <w:widowControl/>
              <w:autoSpaceDE/>
              <w:autoSpaceDN/>
              <w:rPr>
                <w:sz w:val="20"/>
                <w:szCs w:val="2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07C77571" w14:textId="77777777">
            <w:pPr>
              <w:widowControl/>
              <w:autoSpaceDE/>
              <w:autoSpaceDN/>
              <w:rPr>
                <w:color w:val="000000"/>
              </w:rPr>
            </w:pPr>
            <w:r w:rsidRPr="006E7EFC">
              <w:rPr>
                <w:color w:val="000000"/>
              </w:rPr>
              <w:t>Indian country jails</w:t>
            </w:r>
          </w:p>
        </w:tc>
        <w:tc>
          <w:tcPr>
            <w:tcW w:w="995" w:type="dxa"/>
            <w:tcBorders>
              <w:top w:val="nil"/>
              <w:left w:val="nil"/>
              <w:bottom w:val="nil"/>
              <w:right w:val="nil"/>
            </w:tcBorders>
            <w:shd w:val="clear" w:color="auto" w:fill="auto"/>
            <w:vAlign w:val="center"/>
            <w:hideMark/>
          </w:tcPr>
          <w:p w:rsidRPr="006E7EFC" w:rsidR="006E7EFC" w:rsidP="002E171C" w:rsidRDefault="006E7EFC" w14:paraId="09F1287A" w14:textId="77777777">
            <w:pPr>
              <w:widowControl/>
              <w:autoSpaceDE/>
              <w:autoSpaceDN/>
              <w:jc w:val="center"/>
              <w:rPr>
                <w:color w:val="000000"/>
              </w:rPr>
            </w:pPr>
            <w:r w:rsidRPr="006E7EFC">
              <w:rPr>
                <w:color w:val="000000"/>
              </w:rPr>
              <w:t>SSV-4</w:t>
            </w:r>
          </w:p>
        </w:tc>
        <w:tc>
          <w:tcPr>
            <w:tcW w:w="1256" w:type="dxa"/>
            <w:tcBorders>
              <w:top w:val="nil"/>
              <w:left w:val="nil"/>
              <w:bottom w:val="nil"/>
              <w:right w:val="nil"/>
            </w:tcBorders>
            <w:shd w:val="clear" w:color="auto" w:fill="auto"/>
            <w:vAlign w:val="center"/>
            <w:hideMark/>
          </w:tcPr>
          <w:p w:rsidRPr="00DC3075" w:rsidR="006E7EFC" w:rsidP="0015683E" w:rsidRDefault="006E7EFC" w14:paraId="03AA7B2F" w14:textId="77777777">
            <w:pPr>
              <w:widowControl/>
              <w:autoSpaceDE/>
              <w:autoSpaceDN/>
              <w:jc w:val="right"/>
              <w:rPr>
                <w:color w:val="000000"/>
              </w:rPr>
            </w:pPr>
            <w:r w:rsidRPr="00DC3075">
              <w:rPr>
                <w:color w:val="000000"/>
              </w:rPr>
              <w:t>60</w:t>
            </w:r>
          </w:p>
        </w:tc>
        <w:tc>
          <w:tcPr>
            <w:tcW w:w="276" w:type="dxa"/>
            <w:tcBorders>
              <w:top w:val="nil"/>
              <w:left w:val="nil"/>
              <w:bottom w:val="nil"/>
              <w:right w:val="nil"/>
            </w:tcBorders>
            <w:shd w:val="clear" w:color="auto" w:fill="auto"/>
            <w:vAlign w:val="center"/>
            <w:hideMark/>
          </w:tcPr>
          <w:p w:rsidRPr="00505D37" w:rsidR="006E7EFC" w:rsidP="002E171C" w:rsidRDefault="006E7EFC" w14:paraId="3E4469A7"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6196129E" w14:textId="77777777">
            <w:pPr>
              <w:widowControl/>
              <w:autoSpaceDE/>
              <w:autoSpaceDN/>
              <w:jc w:val="right"/>
              <w:rPr>
                <w:color w:val="000000"/>
              </w:rPr>
            </w:pPr>
            <w:r w:rsidRPr="00DC3075">
              <w:rPr>
                <w:color w:val="000000"/>
                <w:w w:val="95"/>
              </w:rPr>
              <w:t>60</w:t>
            </w:r>
          </w:p>
        </w:tc>
        <w:tc>
          <w:tcPr>
            <w:tcW w:w="1014" w:type="dxa"/>
            <w:tcBorders>
              <w:top w:val="nil"/>
              <w:left w:val="nil"/>
              <w:bottom w:val="nil"/>
              <w:right w:val="nil"/>
            </w:tcBorders>
            <w:shd w:val="clear" w:color="auto" w:fill="auto"/>
            <w:vAlign w:val="center"/>
            <w:hideMark/>
          </w:tcPr>
          <w:p w:rsidRPr="00DC3075" w:rsidR="006E7EFC" w:rsidP="002E171C" w:rsidRDefault="006E7EFC" w14:paraId="55552744" w14:textId="77777777">
            <w:pPr>
              <w:widowControl/>
              <w:autoSpaceDE/>
              <w:autoSpaceDN/>
              <w:jc w:val="right"/>
              <w:rPr>
                <w:color w:val="000000"/>
              </w:rPr>
            </w:pPr>
            <w:r w:rsidRPr="00DC3075">
              <w:rPr>
                <w:color w:val="000000"/>
                <w:w w:val="95"/>
              </w:rPr>
              <w:t>25</w:t>
            </w:r>
          </w:p>
        </w:tc>
        <w:tc>
          <w:tcPr>
            <w:tcW w:w="1014" w:type="dxa"/>
            <w:tcBorders>
              <w:top w:val="nil"/>
              <w:left w:val="nil"/>
              <w:bottom w:val="nil"/>
              <w:right w:val="nil"/>
            </w:tcBorders>
            <w:shd w:val="clear" w:color="auto" w:fill="auto"/>
            <w:vAlign w:val="center"/>
            <w:hideMark/>
          </w:tcPr>
          <w:p w:rsidRPr="00DC3075" w:rsidR="006E7EFC" w:rsidP="002E171C" w:rsidRDefault="006E7EFC" w14:paraId="3ED03CD0" w14:textId="77777777">
            <w:pPr>
              <w:widowControl/>
              <w:autoSpaceDE/>
              <w:autoSpaceDN/>
              <w:jc w:val="right"/>
              <w:rPr>
                <w:color w:val="000000"/>
              </w:rPr>
            </w:pPr>
            <w:r w:rsidRPr="00DC3075">
              <w:rPr>
                <w:color w:val="000000"/>
              </w:rPr>
              <w:t>41.7%</w:t>
            </w:r>
          </w:p>
        </w:tc>
      </w:tr>
      <w:tr w:rsidRPr="006E7EFC" w:rsidR="00F41EB1" w:rsidTr="00F41EB1" w14:paraId="44D8EB72"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51395567" w14:textId="77777777">
            <w:pPr>
              <w:widowControl/>
              <w:autoSpaceDE/>
              <w:autoSpaceDN/>
              <w:jc w:val="right"/>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1F8E42FC" w14:textId="77777777">
            <w:pPr>
              <w:widowControl/>
              <w:autoSpaceDE/>
              <w:autoSpaceDN/>
              <w:rPr>
                <w:color w:val="000000"/>
              </w:rPr>
            </w:pPr>
            <w:r w:rsidRPr="006E7EFC">
              <w:rPr>
                <w:color w:val="000000"/>
              </w:rPr>
              <w:t>Military systems</w:t>
            </w:r>
          </w:p>
        </w:tc>
        <w:tc>
          <w:tcPr>
            <w:tcW w:w="995" w:type="dxa"/>
            <w:tcBorders>
              <w:top w:val="nil"/>
              <w:left w:val="nil"/>
              <w:bottom w:val="nil"/>
              <w:right w:val="nil"/>
            </w:tcBorders>
            <w:shd w:val="clear" w:color="auto" w:fill="auto"/>
            <w:vAlign w:val="center"/>
            <w:hideMark/>
          </w:tcPr>
          <w:p w:rsidRPr="006E7EFC" w:rsidR="006E7EFC" w:rsidP="002E171C" w:rsidRDefault="006E7EFC" w14:paraId="2FAC8CF9" w14:textId="77777777">
            <w:pPr>
              <w:widowControl/>
              <w:autoSpaceDE/>
              <w:autoSpaceDN/>
              <w:jc w:val="center"/>
              <w:rPr>
                <w:color w:val="000000"/>
              </w:rPr>
            </w:pPr>
            <w:r w:rsidRPr="006E7EFC">
              <w:rPr>
                <w:color w:val="000000"/>
              </w:rPr>
              <w:t>SSV-4</w:t>
            </w:r>
          </w:p>
        </w:tc>
        <w:tc>
          <w:tcPr>
            <w:tcW w:w="1256" w:type="dxa"/>
            <w:tcBorders>
              <w:top w:val="nil"/>
              <w:left w:val="nil"/>
              <w:bottom w:val="nil"/>
              <w:right w:val="nil"/>
            </w:tcBorders>
            <w:shd w:val="clear" w:color="auto" w:fill="auto"/>
            <w:vAlign w:val="center"/>
            <w:hideMark/>
          </w:tcPr>
          <w:p w:rsidRPr="00DC3075" w:rsidR="006E7EFC" w:rsidP="0015683E" w:rsidRDefault="003A2A3E" w14:paraId="09A8F49E" w14:textId="37445542">
            <w:pPr>
              <w:widowControl/>
              <w:autoSpaceDE/>
              <w:autoSpaceDN/>
              <w:jc w:val="right"/>
              <w:rPr>
                <w:color w:val="000000"/>
              </w:rPr>
            </w:pPr>
            <w:r w:rsidRPr="00DC3075">
              <w:rPr>
                <w:color w:val="000000"/>
              </w:rPr>
              <w:t>16</w:t>
            </w:r>
          </w:p>
        </w:tc>
        <w:tc>
          <w:tcPr>
            <w:tcW w:w="276" w:type="dxa"/>
            <w:tcBorders>
              <w:top w:val="nil"/>
              <w:left w:val="nil"/>
              <w:bottom w:val="nil"/>
              <w:right w:val="nil"/>
            </w:tcBorders>
            <w:shd w:val="clear" w:color="auto" w:fill="auto"/>
            <w:vAlign w:val="center"/>
            <w:hideMark/>
          </w:tcPr>
          <w:p w:rsidRPr="00505D37" w:rsidR="006E7EFC" w:rsidP="002E171C" w:rsidRDefault="006E7EFC" w14:paraId="31BD01CE"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3AFAFC5A" w14:textId="77777777">
            <w:pPr>
              <w:widowControl/>
              <w:autoSpaceDE/>
              <w:autoSpaceDN/>
              <w:jc w:val="right"/>
              <w:rPr>
                <w:color w:val="000000"/>
              </w:rPr>
            </w:pPr>
            <w:r w:rsidRPr="00DC3075">
              <w:rPr>
                <w:color w:val="000000"/>
                <w:w w:val="99"/>
              </w:rPr>
              <w:t>4</w:t>
            </w:r>
          </w:p>
        </w:tc>
        <w:tc>
          <w:tcPr>
            <w:tcW w:w="1014" w:type="dxa"/>
            <w:tcBorders>
              <w:top w:val="nil"/>
              <w:left w:val="nil"/>
              <w:bottom w:val="nil"/>
              <w:right w:val="nil"/>
            </w:tcBorders>
            <w:shd w:val="clear" w:color="auto" w:fill="auto"/>
            <w:vAlign w:val="center"/>
            <w:hideMark/>
          </w:tcPr>
          <w:p w:rsidRPr="00DC3075" w:rsidR="006E7EFC" w:rsidP="002E171C" w:rsidRDefault="006E7EFC" w14:paraId="49AFCB3B" w14:textId="77777777">
            <w:pPr>
              <w:widowControl/>
              <w:autoSpaceDE/>
              <w:autoSpaceDN/>
              <w:jc w:val="right"/>
              <w:rPr>
                <w:color w:val="000000"/>
              </w:rPr>
            </w:pPr>
            <w:r w:rsidRPr="00DC3075">
              <w:rPr>
                <w:color w:val="000000"/>
                <w:w w:val="99"/>
              </w:rPr>
              <w:t>4</w:t>
            </w:r>
          </w:p>
        </w:tc>
        <w:tc>
          <w:tcPr>
            <w:tcW w:w="1014" w:type="dxa"/>
            <w:tcBorders>
              <w:top w:val="nil"/>
              <w:left w:val="nil"/>
              <w:bottom w:val="nil"/>
              <w:right w:val="nil"/>
            </w:tcBorders>
            <w:shd w:val="clear" w:color="auto" w:fill="auto"/>
            <w:vAlign w:val="center"/>
            <w:hideMark/>
          </w:tcPr>
          <w:p w:rsidRPr="00DC3075" w:rsidR="006E7EFC" w:rsidP="002E171C" w:rsidRDefault="006E7EFC" w14:paraId="78147BA9" w14:textId="77777777">
            <w:pPr>
              <w:widowControl/>
              <w:autoSpaceDE/>
              <w:autoSpaceDN/>
              <w:jc w:val="right"/>
              <w:rPr>
                <w:color w:val="000000"/>
              </w:rPr>
            </w:pPr>
            <w:r w:rsidRPr="00DC3075">
              <w:rPr>
                <w:color w:val="000000"/>
              </w:rPr>
              <w:t>100%</w:t>
            </w:r>
          </w:p>
        </w:tc>
      </w:tr>
      <w:tr w:rsidRPr="006E7EFC" w:rsidR="00F41EB1" w:rsidTr="00F41EB1" w14:paraId="76CA70B9"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50CD415D" w14:textId="77777777">
            <w:pPr>
              <w:widowControl/>
              <w:autoSpaceDE/>
              <w:autoSpaceDN/>
              <w:jc w:val="right"/>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6D517B87" w14:textId="77777777">
            <w:pPr>
              <w:widowControl/>
              <w:autoSpaceDE/>
              <w:autoSpaceDN/>
              <w:rPr>
                <w:color w:val="000000"/>
              </w:rPr>
            </w:pPr>
            <w:r w:rsidRPr="006E7EFC">
              <w:rPr>
                <w:color w:val="000000"/>
              </w:rPr>
              <w:t>ICE</w:t>
            </w:r>
          </w:p>
        </w:tc>
        <w:tc>
          <w:tcPr>
            <w:tcW w:w="995" w:type="dxa"/>
            <w:tcBorders>
              <w:top w:val="nil"/>
              <w:left w:val="nil"/>
              <w:bottom w:val="nil"/>
              <w:right w:val="nil"/>
            </w:tcBorders>
            <w:shd w:val="clear" w:color="auto" w:fill="auto"/>
            <w:vAlign w:val="center"/>
            <w:hideMark/>
          </w:tcPr>
          <w:p w:rsidRPr="006E7EFC" w:rsidR="006E7EFC" w:rsidP="002E171C" w:rsidRDefault="006E7EFC" w14:paraId="69FCD5B6" w14:textId="77777777">
            <w:pPr>
              <w:widowControl/>
              <w:autoSpaceDE/>
              <w:autoSpaceDN/>
              <w:jc w:val="center"/>
              <w:rPr>
                <w:color w:val="000000"/>
              </w:rPr>
            </w:pPr>
            <w:r w:rsidRPr="006E7EFC">
              <w:rPr>
                <w:color w:val="000000"/>
              </w:rPr>
              <w:t>SSV-4</w:t>
            </w:r>
          </w:p>
        </w:tc>
        <w:tc>
          <w:tcPr>
            <w:tcW w:w="1256" w:type="dxa"/>
            <w:tcBorders>
              <w:top w:val="nil"/>
              <w:left w:val="nil"/>
              <w:bottom w:val="nil"/>
              <w:right w:val="nil"/>
            </w:tcBorders>
            <w:shd w:val="clear" w:color="auto" w:fill="auto"/>
            <w:vAlign w:val="center"/>
            <w:hideMark/>
          </w:tcPr>
          <w:p w:rsidRPr="00DC3075" w:rsidR="006E7EFC" w:rsidP="0015683E" w:rsidRDefault="00B841CE" w14:paraId="239FA812" w14:textId="77777777">
            <w:pPr>
              <w:widowControl/>
              <w:autoSpaceDE/>
              <w:autoSpaceDN/>
              <w:jc w:val="right"/>
              <w:rPr>
                <w:color w:val="000000"/>
              </w:rPr>
            </w:pPr>
            <w:r w:rsidRPr="00DC3075">
              <w:rPr>
                <w:color w:val="000000"/>
              </w:rPr>
              <w:t>31</w:t>
            </w:r>
          </w:p>
        </w:tc>
        <w:tc>
          <w:tcPr>
            <w:tcW w:w="276" w:type="dxa"/>
            <w:tcBorders>
              <w:top w:val="nil"/>
              <w:left w:val="nil"/>
              <w:bottom w:val="nil"/>
              <w:right w:val="nil"/>
            </w:tcBorders>
            <w:shd w:val="clear" w:color="auto" w:fill="auto"/>
            <w:vAlign w:val="center"/>
            <w:hideMark/>
          </w:tcPr>
          <w:p w:rsidRPr="00505D37" w:rsidR="006E7EFC" w:rsidP="002E171C" w:rsidRDefault="006E7EFC" w14:paraId="3EFF852B"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6BA49929" w14:textId="77777777">
            <w:pPr>
              <w:widowControl/>
              <w:autoSpaceDE/>
              <w:autoSpaceDN/>
              <w:jc w:val="right"/>
              <w:rPr>
                <w:color w:val="000000"/>
              </w:rPr>
            </w:pPr>
            <w:r w:rsidRPr="00DC3075">
              <w:rPr>
                <w:color w:val="000000"/>
                <w:w w:val="95"/>
              </w:rPr>
              <w:t>31</w:t>
            </w:r>
          </w:p>
        </w:tc>
        <w:tc>
          <w:tcPr>
            <w:tcW w:w="1014" w:type="dxa"/>
            <w:tcBorders>
              <w:top w:val="nil"/>
              <w:left w:val="nil"/>
              <w:bottom w:val="nil"/>
              <w:right w:val="nil"/>
            </w:tcBorders>
            <w:shd w:val="clear" w:color="auto" w:fill="auto"/>
            <w:vAlign w:val="center"/>
            <w:hideMark/>
          </w:tcPr>
          <w:p w:rsidRPr="00DC3075" w:rsidR="006E7EFC" w:rsidP="002E171C" w:rsidRDefault="006E7EFC" w14:paraId="2494B23B" w14:textId="77777777">
            <w:pPr>
              <w:widowControl/>
              <w:autoSpaceDE/>
              <w:autoSpaceDN/>
              <w:jc w:val="right"/>
              <w:rPr>
                <w:color w:val="000000"/>
              </w:rPr>
            </w:pPr>
            <w:r w:rsidRPr="00DC3075">
              <w:rPr>
                <w:color w:val="000000"/>
                <w:w w:val="95"/>
              </w:rPr>
              <w:t>31</w:t>
            </w:r>
          </w:p>
        </w:tc>
        <w:tc>
          <w:tcPr>
            <w:tcW w:w="1014" w:type="dxa"/>
            <w:tcBorders>
              <w:top w:val="nil"/>
              <w:left w:val="nil"/>
              <w:bottom w:val="nil"/>
              <w:right w:val="nil"/>
            </w:tcBorders>
            <w:shd w:val="clear" w:color="auto" w:fill="auto"/>
            <w:vAlign w:val="center"/>
            <w:hideMark/>
          </w:tcPr>
          <w:p w:rsidRPr="00DC3075" w:rsidR="006E7EFC" w:rsidP="002E171C" w:rsidRDefault="006E7EFC" w14:paraId="7786507B" w14:textId="77777777">
            <w:pPr>
              <w:widowControl/>
              <w:autoSpaceDE/>
              <w:autoSpaceDN/>
              <w:jc w:val="right"/>
              <w:rPr>
                <w:color w:val="000000"/>
              </w:rPr>
            </w:pPr>
            <w:r w:rsidRPr="00DC3075">
              <w:rPr>
                <w:color w:val="000000"/>
              </w:rPr>
              <w:t>100%</w:t>
            </w:r>
          </w:p>
        </w:tc>
      </w:tr>
      <w:tr w:rsidRPr="006E7EFC" w:rsidR="00F41EB1" w:rsidTr="00F41EB1" w14:paraId="1512D4AC" w14:textId="77777777">
        <w:trPr>
          <w:trHeight w:val="275"/>
        </w:trPr>
        <w:tc>
          <w:tcPr>
            <w:tcW w:w="2913" w:type="dxa"/>
            <w:gridSpan w:val="2"/>
            <w:tcBorders>
              <w:top w:val="nil"/>
              <w:left w:val="nil"/>
              <w:bottom w:val="nil"/>
              <w:right w:val="nil"/>
            </w:tcBorders>
            <w:shd w:val="clear" w:color="auto" w:fill="auto"/>
            <w:vAlign w:val="center"/>
            <w:hideMark/>
          </w:tcPr>
          <w:p w:rsidRPr="006E7EFC" w:rsidR="006E7EFC" w:rsidP="002E171C" w:rsidRDefault="006E7EFC" w14:paraId="4F5354BB" w14:textId="77777777">
            <w:pPr>
              <w:widowControl/>
              <w:autoSpaceDE/>
              <w:autoSpaceDN/>
              <w:rPr>
                <w:color w:val="000000"/>
              </w:rPr>
            </w:pPr>
            <w:r w:rsidRPr="006E7EFC">
              <w:rPr>
                <w:color w:val="000000"/>
              </w:rPr>
              <w:t>Juvenile facilities</w:t>
            </w:r>
          </w:p>
        </w:tc>
        <w:tc>
          <w:tcPr>
            <w:tcW w:w="995" w:type="dxa"/>
            <w:tcBorders>
              <w:top w:val="nil"/>
              <w:left w:val="nil"/>
              <w:bottom w:val="nil"/>
              <w:right w:val="nil"/>
            </w:tcBorders>
            <w:shd w:val="clear" w:color="auto" w:fill="auto"/>
            <w:vAlign w:val="center"/>
            <w:hideMark/>
          </w:tcPr>
          <w:p w:rsidRPr="006E7EFC" w:rsidR="006E7EFC" w:rsidP="002E171C" w:rsidRDefault="006E7EFC" w14:paraId="4AE65696" w14:textId="77777777">
            <w:pPr>
              <w:widowControl/>
              <w:autoSpaceDE/>
              <w:autoSpaceDN/>
              <w:rPr>
                <w:color w:val="000000"/>
              </w:rPr>
            </w:pPr>
          </w:p>
        </w:tc>
        <w:tc>
          <w:tcPr>
            <w:tcW w:w="1256" w:type="dxa"/>
            <w:tcBorders>
              <w:top w:val="nil"/>
              <w:left w:val="nil"/>
              <w:bottom w:val="nil"/>
              <w:right w:val="nil"/>
            </w:tcBorders>
            <w:shd w:val="clear" w:color="auto" w:fill="auto"/>
            <w:vAlign w:val="center"/>
            <w:hideMark/>
          </w:tcPr>
          <w:p w:rsidRPr="00471424" w:rsidR="006E7EFC" w:rsidP="0015683E" w:rsidRDefault="006E7EFC" w14:paraId="01948B5E" w14:textId="77777777">
            <w:pPr>
              <w:widowControl/>
              <w:autoSpaceDE/>
              <w:autoSpaceDN/>
              <w:jc w:val="right"/>
            </w:pPr>
          </w:p>
        </w:tc>
        <w:tc>
          <w:tcPr>
            <w:tcW w:w="276" w:type="dxa"/>
            <w:tcBorders>
              <w:top w:val="nil"/>
              <w:left w:val="nil"/>
              <w:bottom w:val="nil"/>
              <w:right w:val="nil"/>
            </w:tcBorders>
            <w:shd w:val="clear" w:color="auto" w:fill="auto"/>
            <w:vAlign w:val="center"/>
            <w:hideMark/>
          </w:tcPr>
          <w:p w:rsidRPr="00471424" w:rsidR="006E7EFC" w:rsidP="002E171C" w:rsidRDefault="006E7EFC" w14:paraId="3AB34494" w14:textId="77777777">
            <w:pPr>
              <w:widowControl/>
              <w:autoSpaceDE/>
              <w:autoSpaceDN/>
            </w:pPr>
          </w:p>
        </w:tc>
        <w:tc>
          <w:tcPr>
            <w:tcW w:w="1199" w:type="dxa"/>
            <w:tcBorders>
              <w:top w:val="nil"/>
              <w:left w:val="nil"/>
              <w:bottom w:val="nil"/>
              <w:right w:val="nil"/>
            </w:tcBorders>
            <w:shd w:val="clear" w:color="auto" w:fill="auto"/>
            <w:vAlign w:val="center"/>
            <w:hideMark/>
          </w:tcPr>
          <w:p w:rsidRPr="00471424" w:rsidR="006E7EFC" w:rsidP="002E171C" w:rsidRDefault="006E7EFC" w14:paraId="0A5ABAC9" w14:textId="77777777">
            <w:pPr>
              <w:widowControl/>
              <w:autoSpaceDE/>
              <w:autoSpaceDN/>
            </w:pPr>
          </w:p>
        </w:tc>
        <w:tc>
          <w:tcPr>
            <w:tcW w:w="1014" w:type="dxa"/>
            <w:tcBorders>
              <w:top w:val="nil"/>
              <w:left w:val="nil"/>
              <w:bottom w:val="nil"/>
              <w:right w:val="nil"/>
            </w:tcBorders>
            <w:shd w:val="clear" w:color="auto" w:fill="auto"/>
            <w:vAlign w:val="center"/>
            <w:hideMark/>
          </w:tcPr>
          <w:p w:rsidRPr="00471424" w:rsidR="006E7EFC" w:rsidP="002E171C" w:rsidRDefault="006E7EFC" w14:paraId="55BC67DE" w14:textId="77777777">
            <w:pPr>
              <w:widowControl/>
              <w:autoSpaceDE/>
              <w:autoSpaceDN/>
            </w:pPr>
          </w:p>
        </w:tc>
        <w:tc>
          <w:tcPr>
            <w:tcW w:w="1014" w:type="dxa"/>
            <w:tcBorders>
              <w:top w:val="nil"/>
              <w:left w:val="nil"/>
              <w:bottom w:val="nil"/>
              <w:right w:val="nil"/>
            </w:tcBorders>
            <w:shd w:val="clear" w:color="auto" w:fill="auto"/>
            <w:noWrap/>
            <w:vAlign w:val="bottom"/>
            <w:hideMark/>
          </w:tcPr>
          <w:p w:rsidRPr="00471424" w:rsidR="006E7EFC" w:rsidP="002E171C" w:rsidRDefault="006E7EFC" w14:paraId="37E987FD" w14:textId="77777777">
            <w:pPr>
              <w:widowControl/>
              <w:autoSpaceDE/>
              <w:autoSpaceDN/>
            </w:pPr>
          </w:p>
        </w:tc>
      </w:tr>
      <w:tr w:rsidRPr="006E7EFC" w:rsidR="00F41EB1" w:rsidTr="00F41EB1" w14:paraId="662361FB"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0E758335" w14:textId="77777777">
            <w:pPr>
              <w:widowControl/>
              <w:autoSpaceDE/>
              <w:autoSpaceDN/>
              <w:rPr>
                <w:sz w:val="20"/>
                <w:szCs w:val="2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4D374EFC" w14:textId="77777777">
            <w:pPr>
              <w:widowControl/>
              <w:autoSpaceDE/>
              <w:autoSpaceDN/>
              <w:rPr>
                <w:color w:val="000000"/>
              </w:rPr>
            </w:pPr>
            <w:r w:rsidRPr="006E7EFC">
              <w:rPr>
                <w:color w:val="000000"/>
              </w:rPr>
              <w:t>Public – state/DC systems</w:t>
            </w:r>
          </w:p>
        </w:tc>
        <w:tc>
          <w:tcPr>
            <w:tcW w:w="995" w:type="dxa"/>
            <w:tcBorders>
              <w:top w:val="nil"/>
              <w:left w:val="nil"/>
              <w:bottom w:val="nil"/>
              <w:right w:val="nil"/>
            </w:tcBorders>
            <w:shd w:val="clear" w:color="auto" w:fill="auto"/>
            <w:vAlign w:val="center"/>
            <w:hideMark/>
          </w:tcPr>
          <w:p w:rsidRPr="006E7EFC" w:rsidR="006E7EFC" w:rsidP="002E171C" w:rsidRDefault="006E7EFC" w14:paraId="5DDE055E" w14:textId="77777777">
            <w:pPr>
              <w:widowControl/>
              <w:autoSpaceDE/>
              <w:autoSpaceDN/>
              <w:jc w:val="center"/>
              <w:rPr>
                <w:color w:val="000000"/>
              </w:rPr>
            </w:pPr>
            <w:r w:rsidRPr="006E7EFC">
              <w:rPr>
                <w:color w:val="000000"/>
              </w:rPr>
              <w:t>SSV-5</w:t>
            </w:r>
          </w:p>
        </w:tc>
        <w:tc>
          <w:tcPr>
            <w:tcW w:w="1256" w:type="dxa"/>
            <w:tcBorders>
              <w:top w:val="nil"/>
              <w:left w:val="nil"/>
              <w:bottom w:val="nil"/>
              <w:right w:val="nil"/>
            </w:tcBorders>
            <w:shd w:val="clear" w:color="auto" w:fill="auto"/>
            <w:vAlign w:val="center"/>
            <w:hideMark/>
          </w:tcPr>
          <w:p w:rsidRPr="00DC3075" w:rsidR="006E7EFC" w:rsidP="0015683E" w:rsidRDefault="007D003C" w14:paraId="2980CF9A" w14:textId="77777777">
            <w:pPr>
              <w:widowControl/>
              <w:autoSpaceDE/>
              <w:autoSpaceDN/>
              <w:jc w:val="right"/>
              <w:rPr>
                <w:color w:val="000000"/>
              </w:rPr>
            </w:pPr>
            <w:r w:rsidRPr="00DC3075">
              <w:rPr>
                <w:color w:val="000000"/>
                <w:w w:val="95"/>
              </w:rPr>
              <w:t>329</w:t>
            </w:r>
          </w:p>
        </w:tc>
        <w:tc>
          <w:tcPr>
            <w:tcW w:w="276" w:type="dxa"/>
            <w:tcBorders>
              <w:top w:val="nil"/>
              <w:left w:val="nil"/>
              <w:bottom w:val="nil"/>
              <w:right w:val="nil"/>
            </w:tcBorders>
            <w:shd w:val="clear" w:color="auto" w:fill="auto"/>
            <w:vAlign w:val="center"/>
            <w:hideMark/>
          </w:tcPr>
          <w:p w:rsidRPr="00505D37" w:rsidR="006E7EFC" w:rsidP="002E171C" w:rsidRDefault="006E7EFC" w14:paraId="4DA9025D"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67CC8532" w14:textId="77777777">
            <w:pPr>
              <w:widowControl/>
              <w:autoSpaceDE/>
              <w:autoSpaceDN/>
              <w:jc w:val="right"/>
              <w:rPr>
                <w:color w:val="000000"/>
              </w:rPr>
            </w:pPr>
            <w:r w:rsidRPr="00DC3075">
              <w:rPr>
                <w:color w:val="000000"/>
                <w:w w:val="95"/>
              </w:rPr>
              <w:t>51</w:t>
            </w:r>
          </w:p>
        </w:tc>
        <w:tc>
          <w:tcPr>
            <w:tcW w:w="1014" w:type="dxa"/>
            <w:tcBorders>
              <w:top w:val="nil"/>
              <w:left w:val="nil"/>
              <w:bottom w:val="nil"/>
              <w:right w:val="nil"/>
            </w:tcBorders>
            <w:shd w:val="clear" w:color="auto" w:fill="auto"/>
            <w:vAlign w:val="center"/>
            <w:hideMark/>
          </w:tcPr>
          <w:p w:rsidRPr="00DC3075" w:rsidR="006E7EFC" w:rsidP="002E171C" w:rsidRDefault="006E7EFC" w14:paraId="2C1EC015" w14:textId="77777777">
            <w:pPr>
              <w:widowControl/>
              <w:autoSpaceDE/>
              <w:autoSpaceDN/>
              <w:jc w:val="right"/>
              <w:rPr>
                <w:color w:val="000000"/>
              </w:rPr>
            </w:pPr>
            <w:r w:rsidRPr="00DC3075">
              <w:rPr>
                <w:color w:val="000000"/>
                <w:w w:val="95"/>
              </w:rPr>
              <w:t>51</w:t>
            </w:r>
          </w:p>
        </w:tc>
        <w:tc>
          <w:tcPr>
            <w:tcW w:w="1014" w:type="dxa"/>
            <w:tcBorders>
              <w:top w:val="nil"/>
              <w:left w:val="nil"/>
              <w:bottom w:val="nil"/>
              <w:right w:val="nil"/>
            </w:tcBorders>
            <w:shd w:val="clear" w:color="auto" w:fill="auto"/>
            <w:vAlign w:val="center"/>
            <w:hideMark/>
          </w:tcPr>
          <w:p w:rsidRPr="00DC3075" w:rsidR="006E7EFC" w:rsidP="002E171C" w:rsidRDefault="006E7EFC" w14:paraId="32BBB534" w14:textId="77777777">
            <w:pPr>
              <w:widowControl/>
              <w:autoSpaceDE/>
              <w:autoSpaceDN/>
              <w:jc w:val="right"/>
              <w:rPr>
                <w:color w:val="000000"/>
              </w:rPr>
            </w:pPr>
            <w:r w:rsidRPr="00DC3075">
              <w:rPr>
                <w:color w:val="000000"/>
              </w:rPr>
              <w:t>100%</w:t>
            </w:r>
          </w:p>
        </w:tc>
      </w:tr>
      <w:tr w:rsidRPr="006E7EFC" w:rsidR="00F41EB1" w:rsidTr="00F41EB1" w14:paraId="677F881B"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7672CF12" w14:textId="77777777">
            <w:pPr>
              <w:widowControl/>
              <w:autoSpaceDE/>
              <w:autoSpaceDN/>
              <w:jc w:val="right"/>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2D7ECD2B" w14:textId="77777777">
            <w:pPr>
              <w:widowControl/>
              <w:autoSpaceDE/>
              <w:autoSpaceDN/>
              <w:rPr>
                <w:color w:val="000000"/>
              </w:rPr>
            </w:pPr>
            <w:r w:rsidRPr="006E7EFC">
              <w:rPr>
                <w:color w:val="000000"/>
              </w:rPr>
              <w:t>Public – local</w:t>
            </w:r>
          </w:p>
        </w:tc>
        <w:tc>
          <w:tcPr>
            <w:tcW w:w="995" w:type="dxa"/>
            <w:tcBorders>
              <w:top w:val="nil"/>
              <w:left w:val="nil"/>
              <w:bottom w:val="nil"/>
              <w:right w:val="nil"/>
            </w:tcBorders>
            <w:shd w:val="clear" w:color="auto" w:fill="auto"/>
            <w:vAlign w:val="center"/>
            <w:hideMark/>
          </w:tcPr>
          <w:p w:rsidRPr="006E7EFC" w:rsidR="006E7EFC" w:rsidP="002E171C" w:rsidRDefault="006E7EFC" w14:paraId="7491A630" w14:textId="77777777">
            <w:pPr>
              <w:widowControl/>
              <w:autoSpaceDE/>
              <w:autoSpaceDN/>
              <w:jc w:val="center"/>
              <w:rPr>
                <w:color w:val="000000"/>
              </w:rPr>
            </w:pPr>
            <w:r w:rsidRPr="006E7EFC">
              <w:rPr>
                <w:color w:val="000000"/>
              </w:rPr>
              <w:t>SSV-6</w:t>
            </w:r>
          </w:p>
        </w:tc>
        <w:tc>
          <w:tcPr>
            <w:tcW w:w="1256" w:type="dxa"/>
            <w:tcBorders>
              <w:top w:val="nil"/>
              <w:left w:val="nil"/>
              <w:bottom w:val="nil"/>
              <w:right w:val="nil"/>
            </w:tcBorders>
            <w:shd w:val="clear" w:color="auto" w:fill="auto"/>
            <w:vAlign w:val="center"/>
            <w:hideMark/>
          </w:tcPr>
          <w:p w:rsidRPr="00DC3075" w:rsidR="006E7EFC" w:rsidP="0015683E" w:rsidRDefault="007D003C" w14:paraId="12A168CA" w14:textId="77777777">
            <w:pPr>
              <w:widowControl/>
              <w:autoSpaceDE/>
              <w:autoSpaceDN/>
              <w:jc w:val="right"/>
              <w:rPr>
                <w:color w:val="000000"/>
              </w:rPr>
            </w:pPr>
            <w:r w:rsidRPr="00DC3075">
              <w:rPr>
                <w:color w:val="000000"/>
                <w:w w:val="95"/>
              </w:rPr>
              <w:t>559</w:t>
            </w:r>
          </w:p>
        </w:tc>
        <w:tc>
          <w:tcPr>
            <w:tcW w:w="276" w:type="dxa"/>
            <w:tcBorders>
              <w:top w:val="nil"/>
              <w:left w:val="nil"/>
              <w:bottom w:val="nil"/>
              <w:right w:val="nil"/>
            </w:tcBorders>
            <w:shd w:val="clear" w:color="auto" w:fill="auto"/>
            <w:vAlign w:val="center"/>
            <w:hideMark/>
          </w:tcPr>
          <w:p w:rsidRPr="00505D37" w:rsidR="006E7EFC" w:rsidP="002E171C" w:rsidRDefault="006E7EFC" w14:paraId="553DCFD8"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3F5B6FBB" w14:textId="77777777">
            <w:pPr>
              <w:widowControl/>
              <w:autoSpaceDE/>
              <w:autoSpaceDN/>
              <w:jc w:val="right"/>
              <w:rPr>
                <w:color w:val="000000"/>
              </w:rPr>
            </w:pPr>
            <w:r w:rsidRPr="00DC3075">
              <w:rPr>
                <w:color w:val="000000"/>
                <w:w w:val="95"/>
              </w:rPr>
              <w:t>559</w:t>
            </w:r>
          </w:p>
        </w:tc>
        <w:tc>
          <w:tcPr>
            <w:tcW w:w="1014" w:type="dxa"/>
            <w:tcBorders>
              <w:top w:val="nil"/>
              <w:left w:val="nil"/>
              <w:bottom w:val="nil"/>
              <w:right w:val="nil"/>
            </w:tcBorders>
            <w:shd w:val="clear" w:color="auto" w:fill="auto"/>
            <w:vAlign w:val="center"/>
            <w:hideMark/>
          </w:tcPr>
          <w:p w:rsidRPr="00DC3075" w:rsidR="006E7EFC" w:rsidP="002E171C" w:rsidRDefault="006E7EFC" w14:paraId="31DA1FBE" w14:textId="77777777">
            <w:pPr>
              <w:widowControl/>
              <w:autoSpaceDE/>
              <w:autoSpaceDN/>
              <w:jc w:val="right"/>
              <w:rPr>
                <w:color w:val="000000"/>
              </w:rPr>
            </w:pPr>
            <w:r w:rsidRPr="00DC3075">
              <w:rPr>
                <w:color w:val="000000"/>
                <w:w w:val="95"/>
              </w:rPr>
              <w:t>266</w:t>
            </w:r>
          </w:p>
        </w:tc>
        <w:tc>
          <w:tcPr>
            <w:tcW w:w="1014" w:type="dxa"/>
            <w:tcBorders>
              <w:top w:val="nil"/>
              <w:left w:val="nil"/>
              <w:bottom w:val="nil"/>
              <w:right w:val="nil"/>
            </w:tcBorders>
            <w:shd w:val="clear" w:color="auto" w:fill="auto"/>
            <w:vAlign w:val="center"/>
            <w:hideMark/>
          </w:tcPr>
          <w:p w:rsidRPr="00DC3075" w:rsidR="006E7EFC" w:rsidP="002E171C" w:rsidRDefault="006E7EFC" w14:paraId="18008874" w14:textId="5985FD96">
            <w:pPr>
              <w:widowControl/>
              <w:autoSpaceDE/>
              <w:autoSpaceDN/>
              <w:jc w:val="right"/>
              <w:rPr>
                <w:color w:val="000000"/>
              </w:rPr>
            </w:pPr>
            <w:r w:rsidRPr="00DC3075">
              <w:rPr>
                <w:color w:val="000000"/>
              </w:rPr>
              <w:t>4</w:t>
            </w:r>
            <w:r w:rsidRPr="00DC3075" w:rsidR="00DC3075">
              <w:rPr>
                <w:color w:val="000000"/>
              </w:rPr>
              <w:t>7</w:t>
            </w:r>
            <w:r w:rsidRPr="00DC3075">
              <w:rPr>
                <w:color w:val="000000"/>
              </w:rPr>
              <w:t>.</w:t>
            </w:r>
            <w:r w:rsidRPr="00DC3075" w:rsidR="00DC3075">
              <w:rPr>
                <w:color w:val="000000"/>
              </w:rPr>
              <w:t>6</w:t>
            </w:r>
            <w:r w:rsidRPr="00DC3075">
              <w:rPr>
                <w:color w:val="000000"/>
              </w:rPr>
              <w:t>%</w:t>
            </w:r>
          </w:p>
        </w:tc>
      </w:tr>
      <w:tr w:rsidRPr="006E7EFC" w:rsidR="00F41EB1" w:rsidTr="00F41EB1" w14:paraId="50724D62" w14:textId="77777777">
        <w:trPr>
          <w:trHeight w:val="275"/>
        </w:trPr>
        <w:tc>
          <w:tcPr>
            <w:tcW w:w="278" w:type="dxa"/>
            <w:tcBorders>
              <w:top w:val="nil"/>
              <w:left w:val="nil"/>
              <w:bottom w:val="nil"/>
              <w:right w:val="nil"/>
            </w:tcBorders>
            <w:shd w:val="clear" w:color="auto" w:fill="auto"/>
            <w:noWrap/>
            <w:vAlign w:val="bottom"/>
            <w:hideMark/>
          </w:tcPr>
          <w:p w:rsidRPr="006E7EFC" w:rsidR="006E7EFC" w:rsidP="002E171C" w:rsidRDefault="006E7EFC" w14:paraId="229555F7" w14:textId="77777777">
            <w:pPr>
              <w:widowControl/>
              <w:autoSpaceDE/>
              <w:autoSpaceDN/>
              <w:jc w:val="right"/>
              <w:rPr>
                <w:color w:val="000000"/>
              </w:rPr>
            </w:pPr>
          </w:p>
        </w:tc>
        <w:tc>
          <w:tcPr>
            <w:tcW w:w="2634" w:type="dxa"/>
            <w:tcBorders>
              <w:top w:val="nil"/>
              <w:left w:val="nil"/>
              <w:bottom w:val="nil"/>
              <w:right w:val="nil"/>
            </w:tcBorders>
            <w:shd w:val="clear" w:color="auto" w:fill="auto"/>
            <w:vAlign w:val="center"/>
            <w:hideMark/>
          </w:tcPr>
          <w:p w:rsidRPr="006E7EFC" w:rsidR="006E7EFC" w:rsidP="002E171C" w:rsidRDefault="006E7EFC" w14:paraId="560FBC9F" w14:textId="77777777">
            <w:pPr>
              <w:widowControl/>
              <w:autoSpaceDE/>
              <w:autoSpaceDN/>
              <w:rPr>
                <w:color w:val="000000"/>
              </w:rPr>
            </w:pPr>
            <w:r w:rsidRPr="006E7EFC">
              <w:rPr>
                <w:color w:val="000000"/>
              </w:rPr>
              <w:t>Private</w:t>
            </w:r>
          </w:p>
        </w:tc>
        <w:tc>
          <w:tcPr>
            <w:tcW w:w="995" w:type="dxa"/>
            <w:tcBorders>
              <w:top w:val="nil"/>
              <w:left w:val="nil"/>
              <w:bottom w:val="nil"/>
              <w:right w:val="nil"/>
            </w:tcBorders>
            <w:shd w:val="clear" w:color="auto" w:fill="auto"/>
            <w:vAlign w:val="center"/>
            <w:hideMark/>
          </w:tcPr>
          <w:p w:rsidRPr="006E7EFC" w:rsidR="006E7EFC" w:rsidP="002E171C" w:rsidRDefault="006E7EFC" w14:paraId="34C3FC13" w14:textId="77777777">
            <w:pPr>
              <w:widowControl/>
              <w:autoSpaceDE/>
              <w:autoSpaceDN/>
              <w:jc w:val="center"/>
              <w:rPr>
                <w:color w:val="000000"/>
              </w:rPr>
            </w:pPr>
            <w:r w:rsidRPr="006E7EFC">
              <w:rPr>
                <w:color w:val="000000"/>
              </w:rPr>
              <w:t>SSV-6</w:t>
            </w:r>
          </w:p>
        </w:tc>
        <w:tc>
          <w:tcPr>
            <w:tcW w:w="1256" w:type="dxa"/>
            <w:tcBorders>
              <w:top w:val="nil"/>
              <w:left w:val="nil"/>
              <w:bottom w:val="nil"/>
              <w:right w:val="nil"/>
            </w:tcBorders>
            <w:shd w:val="clear" w:color="auto" w:fill="auto"/>
            <w:vAlign w:val="center"/>
            <w:hideMark/>
          </w:tcPr>
          <w:p w:rsidRPr="00DC3075" w:rsidR="006E7EFC" w:rsidP="0015683E" w:rsidRDefault="007D003C" w14:paraId="5DAA3659" w14:textId="77777777">
            <w:pPr>
              <w:widowControl/>
              <w:autoSpaceDE/>
              <w:autoSpaceDN/>
              <w:jc w:val="right"/>
              <w:rPr>
                <w:color w:val="000000"/>
              </w:rPr>
            </w:pPr>
            <w:r w:rsidRPr="00DC3075">
              <w:rPr>
                <w:color w:val="000000"/>
                <w:w w:val="95"/>
              </w:rPr>
              <w:t>585</w:t>
            </w:r>
          </w:p>
        </w:tc>
        <w:tc>
          <w:tcPr>
            <w:tcW w:w="276" w:type="dxa"/>
            <w:tcBorders>
              <w:top w:val="nil"/>
              <w:left w:val="nil"/>
              <w:bottom w:val="nil"/>
              <w:right w:val="nil"/>
            </w:tcBorders>
            <w:shd w:val="clear" w:color="auto" w:fill="auto"/>
            <w:vAlign w:val="center"/>
            <w:hideMark/>
          </w:tcPr>
          <w:p w:rsidRPr="00505D37" w:rsidR="006E7EFC" w:rsidP="002E171C" w:rsidRDefault="006E7EFC" w14:paraId="65F3DF2E" w14:textId="77777777">
            <w:pPr>
              <w:widowControl/>
              <w:autoSpaceDE/>
              <w:autoSpaceDN/>
              <w:jc w:val="right"/>
              <w:rPr>
                <w:color w:val="000000"/>
              </w:rPr>
            </w:pPr>
          </w:p>
        </w:tc>
        <w:tc>
          <w:tcPr>
            <w:tcW w:w="1199" w:type="dxa"/>
            <w:tcBorders>
              <w:top w:val="nil"/>
              <w:left w:val="nil"/>
              <w:bottom w:val="nil"/>
              <w:right w:val="nil"/>
            </w:tcBorders>
            <w:shd w:val="clear" w:color="auto" w:fill="auto"/>
            <w:vAlign w:val="center"/>
            <w:hideMark/>
          </w:tcPr>
          <w:p w:rsidRPr="00DC3075" w:rsidR="006E7EFC" w:rsidP="002E171C" w:rsidRDefault="006E7EFC" w14:paraId="57C5C24C" w14:textId="77777777">
            <w:pPr>
              <w:widowControl/>
              <w:autoSpaceDE/>
              <w:autoSpaceDN/>
              <w:jc w:val="right"/>
              <w:rPr>
                <w:color w:val="000000"/>
              </w:rPr>
            </w:pPr>
            <w:r w:rsidRPr="00DC3075">
              <w:rPr>
                <w:color w:val="000000"/>
                <w:w w:val="95"/>
              </w:rPr>
              <w:t>585</w:t>
            </w:r>
          </w:p>
        </w:tc>
        <w:tc>
          <w:tcPr>
            <w:tcW w:w="1014" w:type="dxa"/>
            <w:tcBorders>
              <w:top w:val="nil"/>
              <w:left w:val="nil"/>
              <w:bottom w:val="nil"/>
              <w:right w:val="nil"/>
            </w:tcBorders>
            <w:shd w:val="clear" w:color="auto" w:fill="auto"/>
            <w:vAlign w:val="center"/>
            <w:hideMark/>
          </w:tcPr>
          <w:p w:rsidRPr="00DC3075" w:rsidR="006E7EFC" w:rsidP="002E171C" w:rsidRDefault="006E7EFC" w14:paraId="58BBCE9A" w14:textId="77777777">
            <w:pPr>
              <w:widowControl/>
              <w:autoSpaceDE/>
              <w:autoSpaceDN/>
              <w:jc w:val="right"/>
              <w:rPr>
                <w:color w:val="000000"/>
              </w:rPr>
            </w:pPr>
            <w:r w:rsidRPr="00DC3075">
              <w:rPr>
                <w:color w:val="000000"/>
                <w:w w:val="95"/>
              </w:rPr>
              <w:t>264</w:t>
            </w:r>
          </w:p>
        </w:tc>
        <w:tc>
          <w:tcPr>
            <w:tcW w:w="1014" w:type="dxa"/>
            <w:tcBorders>
              <w:top w:val="nil"/>
              <w:left w:val="nil"/>
              <w:bottom w:val="nil"/>
              <w:right w:val="nil"/>
            </w:tcBorders>
            <w:shd w:val="clear" w:color="auto" w:fill="auto"/>
            <w:vAlign w:val="center"/>
            <w:hideMark/>
          </w:tcPr>
          <w:p w:rsidRPr="00DC3075" w:rsidR="006E7EFC" w:rsidP="002E171C" w:rsidRDefault="00DC3075" w14:paraId="37F1C07D" w14:textId="045E47AD">
            <w:pPr>
              <w:widowControl/>
              <w:autoSpaceDE/>
              <w:autoSpaceDN/>
              <w:jc w:val="right"/>
              <w:rPr>
                <w:color w:val="000000"/>
              </w:rPr>
            </w:pPr>
            <w:r w:rsidRPr="00DC3075">
              <w:rPr>
                <w:color w:val="000000"/>
              </w:rPr>
              <w:t>45.1</w:t>
            </w:r>
            <w:r w:rsidRPr="00DC3075" w:rsidR="006E7EFC">
              <w:rPr>
                <w:color w:val="000000"/>
              </w:rPr>
              <w:t>%</w:t>
            </w:r>
          </w:p>
        </w:tc>
      </w:tr>
      <w:tr w:rsidRPr="006E7EFC" w:rsidR="00F41EB1" w:rsidTr="00F41EB1" w14:paraId="7D291701" w14:textId="77777777">
        <w:trPr>
          <w:trHeight w:val="275"/>
        </w:trPr>
        <w:tc>
          <w:tcPr>
            <w:tcW w:w="278" w:type="dxa"/>
            <w:tcBorders>
              <w:top w:val="nil"/>
              <w:left w:val="nil"/>
              <w:bottom w:val="single" w:color="auto" w:sz="4" w:space="0"/>
              <w:right w:val="nil"/>
            </w:tcBorders>
            <w:shd w:val="clear" w:color="auto" w:fill="auto"/>
            <w:noWrap/>
            <w:vAlign w:val="center"/>
            <w:hideMark/>
          </w:tcPr>
          <w:p w:rsidRPr="006E7EFC" w:rsidR="006E7EFC" w:rsidP="002E171C" w:rsidRDefault="006E7EFC" w14:paraId="4C0F7780" w14:textId="77777777">
            <w:pPr>
              <w:widowControl/>
              <w:autoSpaceDE/>
              <w:autoSpaceDN/>
              <w:rPr>
                <w:color w:val="000000"/>
              </w:rPr>
            </w:pPr>
            <w:r w:rsidRPr="006E7EFC">
              <w:rPr>
                <w:color w:val="000000"/>
              </w:rPr>
              <w:t> </w:t>
            </w:r>
          </w:p>
        </w:tc>
        <w:tc>
          <w:tcPr>
            <w:tcW w:w="2634" w:type="dxa"/>
            <w:tcBorders>
              <w:top w:val="nil"/>
              <w:left w:val="nil"/>
              <w:bottom w:val="single" w:color="auto" w:sz="4" w:space="0"/>
              <w:right w:val="nil"/>
            </w:tcBorders>
            <w:shd w:val="clear" w:color="auto" w:fill="auto"/>
            <w:vAlign w:val="center"/>
            <w:hideMark/>
          </w:tcPr>
          <w:p w:rsidRPr="006E7EFC" w:rsidR="006E7EFC" w:rsidP="002E171C" w:rsidRDefault="006E7EFC" w14:paraId="08684D9C" w14:textId="77777777">
            <w:pPr>
              <w:widowControl/>
              <w:autoSpaceDE/>
              <w:autoSpaceDN/>
              <w:rPr>
                <w:color w:val="000000"/>
              </w:rPr>
            </w:pPr>
            <w:r w:rsidRPr="006E7EFC">
              <w:rPr>
                <w:color w:val="000000"/>
              </w:rPr>
              <w:t>Indian country</w:t>
            </w:r>
          </w:p>
        </w:tc>
        <w:tc>
          <w:tcPr>
            <w:tcW w:w="995" w:type="dxa"/>
            <w:tcBorders>
              <w:top w:val="nil"/>
              <w:left w:val="nil"/>
              <w:bottom w:val="single" w:color="auto" w:sz="4" w:space="0"/>
              <w:right w:val="nil"/>
            </w:tcBorders>
            <w:shd w:val="clear" w:color="auto" w:fill="auto"/>
            <w:vAlign w:val="center"/>
            <w:hideMark/>
          </w:tcPr>
          <w:p w:rsidRPr="006E7EFC" w:rsidR="006E7EFC" w:rsidP="002E171C" w:rsidRDefault="006E7EFC" w14:paraId="24760090" w14:textId="77777777">
            <w:pPr>
              <w:widowControl/>
              <w:autoSpaceDE/>
              <w:autoSpaceDN/>
              <w:jc w:val="center"/>
              <w:rPr>
                <w:color w:val="000000"/>
              </w:rPr>
            </w:pPr>
            <w:r w:rsidRPr="006E7EFC">
              <w:rPr>
                <w:color w:val="000000"/>
              </w:rPr>
              <w:t>SSV-6</w:t>
            </w:r>
          </w:p>
        </w:tc>
        <w:tc>
          <w:tcPr>
            <w:tcW w:w="1256" w:type="dxa"/>
            <w:tcBorders>
              <w:top w:val="nil"/>
              <w:left w:val="nil"/>
              <w:bottom w:val="single" w:color="auto" w:sz="4" w:space="0"/>
              <w:right w:val="nil"/>
            </w:tcBorders>
            <w:shd w:val="clear" w:color="auto" w:fill="auto"/>
            <w:vAlign w:val="center"/>
            <w:hideMark/>
          </w:tcPr>
          <w:p w:rsidRPr="00DC3075" w:rsidR="006E7EFC" w:rsidP="0015683E" w:rsidRDefault="006E7EFC" w14:paraId="5E005234" w14:textId="1808CA64">
            <w:pPr>
              <w:widowControl/>
              <w:autoSpaceDE/>
              <w:autoSpaceDN/>
              <w:jc w:val="right"/>
              <w:rPr>
                <w:color w:val="000000"/>
              </w:rPr>
            </w:pPr>
            <w:r w:rsidRPr="00DC3075">
              <w:rPr>
                <w:color w:val="000000"/>
              </w:rPr>
              <w:t>19</w:t>
            </w:r>
          </w:p>
        </w:tc>
        <w:tc>
          <w:tcPr>
            <w:tcW w:w="276" w:type="dxa"/>
            <w:tcBorders>
              <w:top w:val="nil"/>
              <w:left w:val="nil"/>
              <w:bottom w:val="single" w:color="auto" w:sz="4" w:space="0"/>
              <w:right w:val="nil"/>
            </w:tcBorders>
            <w:shd w:val="clear" w:color="auto" w:fill="auto"/>
            <w:vAlign w:val="center"/>
            <w:hideMark/>
          </w:tcPr>
          <w:p w:rsidRPr="00E6527A" w:rsidR="006E7EFC" w:rsidP="002E171C" w:rsidRDefault="006E7EFC" w14:paraId="4D5E7014" w14:textId="77777777">
            <w:pPr>
              <w:widowControl/>
              <w:autoSpaceDE/>
              <w:autoSpaceDN/>
              <w:rPr>
                <w:color w:val="000000"/>
              </w:rPr>
            </w:pPr>
            <w:r w:rsidRPr="00505D37">
              <w:rPr>
                <w:color w:val="000000"/>
              </w:rPr>
              <w:t> </w:t>
            </w:r>
          </w:p>
        </w:tc>
        <w:tc>
          <w:tcPr>
            <w:tcW w:w="1199" w:type="dxa"/>
            <w:tcBorders>
              <w:top w:val="nil"/>
              <w:left w:val="nil"/>
              <w:bottom w:val="single" w:color="auto" w:sz="4" w:space="0"/>
              <w:right w:val="nil"/>
            </w:tcBorders>
            <w:shd w:val="clear" w:color="auto" w:fill="auto"/>
            <w:vAlign w:val="center"/>
            <w:hideMark/>
          </w:tcPr>
          <w:p w:rsidRPr="00E6527A" w:rsidR="006E7EFC" w:rsidP="002E171C" w:rsidRDefault="006E7EFC" w14:paraId="3AFE8B47" w14:textId="24492A88">
            <w:pPr>
              <w:widowControl/>
              <w:autoSpaceDE/>
              <w:autoSpaceDN/>
              <w:jc w:val="right"/>
              <w:rPr>
                <w:color w:val="000000"/>
              </w:rPr>
            </w:pPr>
            <w:r w:rsidRPr="00E6527A">
              <w:rPr>
                <w:color w:val="000000"/>
                <w:w w:val="95"/>
              </w:rPr>
              <w:t>19</w:t>
            </w:r>
          </w:p>
        </w:tc>
        <w:tc>
          <w:tcPr>
            <w:tcW w:w="1014" w:type="dxa"/>
            <w:tcBorders>
              <w:top w:val="nil"/>
              <w:left w:val="nil"/>
              <w:bottom w:val="single" w:color="auto" w:sz="4" w:space="0"/>
              <w:right w:val="nil"/>
            </w:tcBorders>
            <w:shd w:val="clear" w:color="auto" w:fill="auto"/>
            <w:vAlign w:val="center"/>
            <w:hideMark/>
          </w:tcPr>
          <w:p w:rsidRPr="00E6527A" w:rsidR="006E7EFC" w:rsidP="002E171C" w:rsidRDefault="006E7EFC" w14:paraId="5231FEBB" w14:textId="25F172D5">
            <w:pPr>
              <w:widowControl/>
              <w:autoSpaceDE/>
              <w:autoSpaceDN/>
              <w:jc w:val="right"/>
              <w:rPr>
                <w:color w:val="000000"/>
              </w:rPr>
            </w:pPr>
            <w:r w:rsidRPr="00E6527A">
              <w:rPr>
                <w:color w:val="000000"/>
                <w:w w:val="95"/>
              </w:rPr>
              <w:t>19</w:t>
            </w:r>
          </w:p>
        </w:tc>
        <w:tc>
          <w:tcPr>
            <w:tcW w:w="1014" w:type="dxa"/>
            <w:tcBorders>
              <w:top w:val="nil"/>
              <w:left w:val="nil"/>
              <w:bottom w:val="single" w:color="auto" w:sz="4" w:space="0"/>
              <w:right w:val="nil"/>
            </w:tcBorders>
            <w:shd w:val="clear" w:color="auto" w:fill="auto"/>
            <w:vAlign w:val="center"/>
            <w:hideMark/>
          </w:tcPr>
          <w:p w:rsidRPr="00DC3075" w:rsidR="006E7EFC" w:rsidP="002E171C" w:rsidRDefault="006E7EFC" w14:paraId="630620E7" w14:textId="77777777">
            <w:pPr>
              <w:widowControl/>
              <w:autoSpaceDE/>
              <w:autoSpaceDN/>
              <w:jc w:val="right"/>
              <w:rPr>
                <w:color w:val="000000"/>
              </w:rPr>
            </w:pPr>
            <w:r w:rsidRPr="00DC3075">
              <w:rPr>
                <w:color w:val="000000"/>
              </w:rPr>
              <w:t>100%</w:t>
            </w:r>
          </w:p>
        </w:tc>
      </w:tr>
    </w:tbl>
    <w:p w:rsidRPr="0012167B" w:rsidR="00640913" w:rsidP="003825D1" w:rsidRDefault="00640913" w14:paraId="2C648071" w14:textId="77777777">
      <w:pPr>
        <w:spacing w:before="234" w:after="49"/>
        <w:ind w:left="940" w:right="1088"/>
        <w:rPr>
          <w:b/>
        </w:rPr>
      </w:pPr>
    </w:p>
    <w:p w:rsidRPr="002E171C" w:rsidR="002E171C" w:rsidP="002E171C" w:rsidRDefault="002E171C" w14:paraId="26A04B4A" w14:textId="77777777">
      <w:pPr>
        <w:pStyle w:val="ListParagraph"/>
        <w:tabs>
          <w:tab w:val="left" w:pos="939"/>
          <w:tab w:val="left" w:pos="940"/>
        </w:tabs>
        <w:ind w:left="940" w:firstLine="0"/>
        <w:rPr>
          <w:sz w:val="24"/>
          <w:szCs w:val="24"/>
        </w:rPr>
      </w:pPr>
    </w:p>
    <w:p w:rsidRPr="0012167B" w:rsidR="00640913" w:rsidP="00B20CD3" w:rsidRDefault="00AD243D" w14:paraId="6E75205C" w14:textId="77777777">
      <w:pPr>
        <w:pStyle w:val="ListParagraph"/>
        <w:numPr>
          <w:ilvl w:val="1"/>
          <w:numId w:val="4"/>
        </w:numPr>
        <w:tabs>
          <w:tab w:val="left" w:pos="720"/>
        </w:tabs>
        <w:rPr>
          <w:sz w:val="24"/>
          <w:szCs w:val="24"/>
        </w:rPr>
      </w:pPr>
      <w:r w:rsidRPr="0012167B">
        <w:rPr>
          <w:sz w:val="24"/>
          <w:szCs w:val="24"/>
          <w:u w:val="single"/>
        </w:rPr>
        <w:t>Procedures for Information</w:t>
      </w:r>
      <w:r w:rsidRPr="0012167B" w:rsidR="0077700D">
        <w:rPr>
          <w:sz w:val="24"/>
          <w:szCs w:val="24"/>
          <w:u w:val="single"/>
        </w:rPr>
        <w:t xml:space="preserve"> Collection</w:t>
      </w:r>
    </w:p>
    <w:p w:rsidR="003825D1" w:rsidP="003825D1" w:rsidRDefault="003825D1" w14:paraId="1E675865" w14:textId="77777777">
      <w:pPr>
        <w:tabs>
          <w:tab w:val="left" w:pos="939"/>
          <w:tab w:val="left" w:pos="940"/>
        </w:tabs>
        <w:rPr>
          <w:sz w:val="24"/>
          <w:szCs w:val="24"/>
        </w:rPr>
      </w:pPr>
    </w:p>
    <w:p w:rsidRPr="003825D1" w:rsidR="003825D1" w:rsidP="0060583F" w:rsidRDefault="003825D1" w14:paraId="7DB6CE9D" w14:textId="77777777">
      <w:pPr>
        <w:pStyle w:val="BodyText"/>
        <w:rPr>
          <w:i/>
        </w:rPr>
      </w:pPr>
      <w:r w:rsidRPr="003825D1">
        <w:rPr>
          <w:i/>
        </w:rPr>
        <w:t>Collection Procedure</w:t>
      </w:r>
    </w:p>
    <w:p w:rsidR="003825D1" w:rsidP="0060583F" w:rsidRDefault="003825D1" w14:paraId="69215884" w14:textId="77777777">
      <w:pPr>
        <w:pStyle w:val="BodyText"/>
      </w:pPr>
    </w:p>
    <w:p w:rsidR="005D7062" w:rsidP="0060583F" w:rsidRDefault="0077700D" w14:paraId="3F4DA6FB" w14:textId="77777777">
      <w:pPr>
        <w:pStyle w:val="BodyText"/>
      </w:pPr>
      <w:r w:rsidRPr="0012167B">
        <w:t xml:space="preserve">BJS will administer the 2020-22 SSV as a web survey. </w:t>
      </w:r>
      <w:r w:rsidRPr="0012167B" w:rsidR="005D7062">
        <w:t>The website developed for previous iterations of the survey will continue to be used</w:t>
      </w:r>
      <w:r w:rsidR="00791DE3">
        <w:t xml:space="preserve"> (see</w:t>
      </w:r>
      <w:r w:rsidRPr="00431A8B" w:rsidR="005D7062">
        <w:t xml:space="preserve"> </w:t>
      </w:r>
      <w:r w:rsidRPr="009F0BE7" w:rsidR="005D7062">
        <w:rPr>
          <w:b/>
        </w:rPr>
        <w:t xml:space="preserve">Attachment </w:t>
      </w:r>
      <w:r w:rsidRPr="009F0BE7" w:rsidR="00791DE3">
        <w:rPr>
          <w:b/>
        </w:rPr>
        <w:t>5</w:t>
      </w:r>
      <w:r w:rsidR="00791DE3">
        <w:t xml:space="preserve"> for</w:t>
      </w:r>
      <w:r w:rsidRPr="00431A8B" w:rsidR="005D7062">
        <w:t xml:space="preserve"> </w:t>
      </w:r>
      <w:r w:rsidR="00791DE3">
        <w:t>w</w:t>
      </w:r>
      <w:r w:rsidRPr="00431A8B" w:rsidR="005D7062">
        <w:t>ebsite screenshots)</w:t>
      </w:r>
      <w:r w:rsidRPr="0012167B" w:rsidR="005D7062">
        <w:t xml:space="preserve">. The website is hosted by the Census Bureau, and is located on a secure server. Each respondent has an individual username and a password to enter the website. To improve data quality and lower cost, all respondents are encouraged to submit data online. Paper copies of the survey </w:t>
      </w:r>
      <w:r w:rsidR="00545B69">
        <w:t>will</w:t>
      </w:r>
      <w:r w:rsidRPr="0012167B" w:rsidR="00183184">
        <w:t xml:space="preserve"> not</w:t>
      </w:r>
      <w:r w:rsidR="00545B69">
        <w:t xml:space="preserve"> be</w:t>
      </w:r>
      <w:r w:rsidRPr="0012167B" w:rsidR="005D7062">
        <w:t xml:space="preserve"> mailed to respondents at the onset of data collection, but will be made available upon request. If necessary, respondents will be able to submit data by email, fax, or mail</w:t>
      </w:r>
      <w:r w:rsidRPr="0012167B" w:rsidR="0070260F">
        <w:t>.</w:t>
      </w:r>
    </w:p>
    <w:p w:rsidRPr="0012167B" w:rsidR="005059EB" w:rsidP="0060583F" w:rsidRDefault="005059EB" w14:paraId="210BBBA9" w14:textId="77777777">
      <w:pPr>
        <w:pStyle w:val="BodyText"/>
      </w:pPr>
    </w:p>
    <w:p w:rsidRPr="0060583F" w:rsidR="00103F2A" w:rsidP="0060583F" w:rsidRDefault="005D7062" w14:paraId="5A2AF904" w14:textId="0928B075">
      <w:pPr>
        <w:pStyle w:val="BodyText"/>
        <w:spacing w:before="90"/>
      </w:pPr>
      <w:r w:rsidRPr="0012167B">
        <w:t xml:space="preserve">The SSV collects data on sexual victimizations occurring in a calendar year. </w:t>
      </w:r>
      <w:r w:rsidR="00917DE8">
        <w:t xml:space="preserve">The implementation of the SSV 2020 will begin in </w:t>
      </w:r>
      <w:r w:rsidR="00FE2D1C">
        <w:t xml:space="preserve">September </w:t>
      </w:r>
      <w:r w:rsidR="00917DE8">
        <w:t>202</w:t>
      </w:r>
      <w:r w:rsidR="00103F2A">
        <w:t>1</w:t>
      </w:r>
      <w:r w:rsidR="00917DE8">
        <w:t>. Data collection, nonresponse follow-up, d</w:t>
      </w:r>
      <w:r w:rsidRPr="0012167B" w:rsidR="005059EB">
        <w:t>ata</w:t>
      </w:r>
      <w:r w:rsidR="00917DE8">
        <w:t xml:space="preserve"> quality follow-up will last 7 </w:t>
      </w:r>
      <w:r w:rsidRPr="00AD6515" w:rsidR="00917DE8">
        <w:t xml:space="preserve">months </w:t>
      </w:r>
      <w:r w:rsidRPr="0060583F" w:rsidR="00917DE8">
        <w:t>and will include a variety of mailings and telephone contacts. A brief description of all steps in the data collection protocol are provided below.</w:t>
      </w:r>
    </w:p>
    <w:p w:rsidR="00103F2A" w:rsidP="00471424" w:rsidRDefault="00103F2A" w14:paraId="3D9FF841" w14:textId="20EDEFAC">
      <w:pPr>
        <w:pStyle w:val="BodyText"/>
        <w:numPr>
          <w:ilvl w:val="0"/>
          <w:numId w:val="8"/>
        </w:numPr>
        <w:spacing w:before="90"/>
        <w:ind w:left="936"/>
      </w:pPr>
      <w:r w:rsidRPr="00103F2A">
        <w:rPr>
          <w:rFonts w:eastAsiaTheme="minorHAnsi"/>
          <w:b/>
          <w:bCs/>
          <w:color w:val="000000"/>
          <w:sz w:val="23"/>
          <w:szCs w:val="23"/>
        </w:rPr>
        <w:t xml:space="preserve">Pre-notification letter. </w:t>
      </w:r>
      <w:r w:rsidRPr="0060583F">
        <w:rPr>
          <w:rFonts w:eastAsiaTheme="minorHAnsi"/>
          <w:color w:val="000000"/>
        </w:rPr>
        <w:t xml:space="preserve">In </w:t>
      </w:r>
      <w:r w:rsidR="00FE2D1C">
        <w:rPr>
          <w:rFonts w:eastAsiaTheme="minorHAnsi"/>
          <w:color w:val="000000"/>
        </w:rPr>
        <w:t>early</w:t>
      </w:r>
      <w:r w:rsidRPr="0060583F" w:rsidR="00FE2D1C">
        <w:rPr>
          <w:rFonts w:eastAsiaTheme="minorHAnsi"/>
          <w:color w:val="000000"/>
        </w:rPr>
        <w:t xml:space="preserve"> </w:t>
      </w:r>
      <w:r w:rsidR="00FE2D1C">
        <w:rPr>
          <w:rFonts w:eastAsiaTheme="minorHAnsi"/>
          <w:color w:val="000000"/>
        </w:rPr>
        <w:t>September</w:t>
      </w:r>
      <w:r w:rsidRPr="0060583F">
        <w:rPr>
          <w:rFonts w:eastAsiaTheme="minorHAnsi"/>
          <w:color w:val="000000"/>
        </w:rPr>
        <w:t xml:space="preserve"> 2021, a pre-notification letter will be mailed to</w:t>
      </w:r>
      <w:r w:rsidRPr="00103F2A">
        <w:rPr>
          <w:rFonts w:eastAsiaTheme="minorHAnsi"/>
          <w:color w:val="000000"/>
          <w:sz w:val="23"/>
          <w:szCs w:val="23"/>
        </w:rPr>
        <w:t xml:space="preserve"> </w:t>
      </w:r>
      <w:r w:rsidRPr="0012167B">
        <w:t xml:space="preserve">each central respondent and respondents at selected facilities announcing the impending data collection and describing PREA and the importance of the survey (see </w:t>
      </w:r>
      <w:r w:rsidRPr="00C04DE9">
        <w:rPr>
          <w:b/>
        </w:rPr>
        <w:t>Attachment 6</w:t>
      </w:r>
      <w:r w:rsidRPr="0012167B">
        <w:t>). PDF survey form</w:t>
      </w:r>
      <w:r>
        <w:t>s</w:t>
      </w:r>
      <w:r w:rsidRPr="0012167B">
        <w:t xml:space="preserve"> will be made available on the SSV website for preview at that time.</w:t>
      </w:r>
    </w:p>
    <w:p w:rsidR="00103F2A" w:rsidP="00471424" w:rsidRDefault="00103F2A" w14:paraId="3D039B5F" w14:textId="06DAA336">
      <w:pPr>
        <w:pStyle w:val="BodyText"/>
        <w:numPr>
          <w:ilvl w:val="0"/>
          <w:numId w:val="8"/>
        </w:numPr>
        <w:spacing w:before="90"/>
        <w:ind w:left="936"/>
      </w:pPr>
      <w:r>
        <w:rPr>
          <w:rFonts w:eastAsiaTheme="minorHAnsi"/>
          <w:b/>
          <w:bCs/>
          <w:color w:val="000000"/>
          <w:sz w:val="23"/>
          <w:szCs w:val="23"/>
        </w:rPr>
        <w:t xml:space="preserve">Invitation letter. </w:t>
      </w:r>
      <w:r w:rsidRPr="0012167B" w:rsidR="005059EB">
        <w:t xml:space="preserve">In </w:t>
      </w:r>
      <w:r w:rsidR="00FE2D1C">
        <w:t xml:space="preserve">late </w:t>
      </w:r>
      <w:r w:rsidR="00CF77B8">
        <w:t>September</w:t>
      </w:r>
      <w:r w:rsidRPr="0012167B" w:rsidR="005059EB">
        <w:t>, each respondent will receive a survey invitation</w:t>
      </w:r>
      <w:r w:rsidR="005059EB">
        <w:t xml:space="preserve"> letter</w:t>
      </w:r>
      <w:r w:rsidR="001002C3">
        <w:t xml:space="preserve"> (see </w:t>
      </w:r>
      <w:r w:rsidRPr="00C04DE9" w:rsidR="001002C3">
        <w:rPr>
          <w:b/>
        </w:rPr>
        <w:t>Attachment 7</w:t>
      </w:r>
      <w:r w:rsidR="001002C3">
        <w:t>)</w:t>
      </w:r>
      <w:r w:rsidRPr="0012167B" w:rsidR="005059EB">
        <w:t xml:space="preserve"> announcing the start of the SSV data collection and directing them to the SSV website with login information. </w:t>
      </w:r>
    </w:p>
    <w:p w:rsidRPr="00103F2A" w:rsidR="00103F2A" w:rsidP="00471424" w:rsidRDefault="00103F2A" w14:paraId="4E6C6979" w14:textId="2FF065B5">
      <w:pPr>
        <w:pStyle w:val="BodyText"/>
        <w:numPr>
          <w:ilvl w:val="0"/>
          <w:numId w:val="8"/>
        </w:numPr>
        <w:spacing w:before="90"/>
        <w:ind w:left="936"/>
      </w:pPr>
      <w:bookmarkStart w:name="_Hlk65743896" w:id="4"/>
      <w:r>
        <w:rPr>
          <w:rFonts w:eastAsiaTheme="minorHAnsi"/>
          <w:b/>
          <w:bCs/>
          <w:color w:val="000000"/>
          <w:sz w:val="23"/>
          <w:szCs w:val="23"/>
        </w:rPr>
        <w:t>Nonresponse reminder letters and telephone contact</w:t>
      </w:r>
      <w:r w:rsidRPr="0060583F" w:rsidR="001002C3">
        <w:rPr>
          <w:rFonts w:eastAsiaTheme="minorHAnsi"/>
          <w:b/>
          <w:bCs/>
          <w:color w:val="000000"/>
        </w:rPr>
        <w:t xml:space="preserve">. </w:t>
      </w:r>
      <w:r w:rsidRPr="0060583F" w:rsidR="001002C3">
        <w:rPr>
          <w:rFonts w:eastAsiaTheme="minorHAnsi"/>
          <w:bCs/>
          <w:color w:val="000000"/>
        </w:rPr>
        <w:t>Two weeks prior to the survey due dat</w:t>
      </w:r>
      <w:r w:rsidRPr="0060583F" w:rsidR="00741DFD">
        <w:rPr>
          <w:rFonts w:eastAsiaTheme="minorHAnsi"/>
          <w:bCs/>
          <w:color w:val="000000"/>
        </w:rPr>
        <w:t>e</w:t>
      </w:r>
      <w:r w:rsidRPr="0060583F" w:rsidR="001002C3">
        <w:rPr>
          <w:rFonts w:eastAsiaTheme="minorHAnsi"/>
          <w:bCs/>
          <w:color w:val="000000"/>
        </w:rPr>
        <w:t xml:space="preserve"> a reminder </w:t>
      </w:r>
      <w:r w:rsidRPr="0060583F" w:rsidR="00741DFD">
        <w:rPr>
          <w:rFonts w:eastAsiaTheme="minorHAnsi"/>
          <w:bCs/>
          <w:color w:val="000000"/>
        </w:rPr>
        <w:t>email</w:t>
      </w:r>
      <w:r w:rsidRPr="0060583F" w:rsidR="001002C3">
        <w:rPr>
          <w:rFonts w:eastAsiaTheme="minorHAnsi"/>
          <w:bCs/>
          <w:color w:val="000000"/>
        </w:rPr>
        <w:t xml:space="preserve"> will be </w:t>
      </w:r>
      <w:r w:rsidRPr="0060583F" w:rsidR="00741DFD">
        <w:rPr>
          <w:rFonts w:eastAsiaTheme="minorHAnsi"/>
          <w:bCs/>
          <w:color w:val="000000"/>
        </w:rPr>
        <w:t>sent</w:t>
      </w:r>
      <w:r w:rsidRPr="0060583F" w:rsidR="001002C3">
        <w:rPr>
          <w:rFonts w:eastAsiaTheme="minorHAnsi"/>
          <w:bCs/>
          <w:color w:val="000000"/>
        </w:rPr>
        <w:t xml:space="preserve"> to respondents who have not yet submitted their data as notification of the impending due date</w:t>
      </w:r>
      <w:bookmarkEnd w:id="4"/>
      <w:r w:rsidRPr="0060583F" w:rsidR="001002C3">
        <w:rPr>
          <w:rFonts w:eastAsiaTheme="minorHAnsi"/>
          <w:bCs/>
          <w:color w:val="000000"/>
        </w:rPr>
        <w:t>.</w:t>
      </w:r>
      <w:r w:rsidR="001002C3">
        <w:rPr>
          <w:rFonts w:eastAsiaTheme="minorHAnsi"/>
          <w:bCs/>
          <w:color w:val="000000"/>
          <w:sz w:val="23"/>
          <w:szCs w:val="23"/>
        </w:rPr>
        <w:t xml:space="preserve"> </w:t>
      </w:r>
      <w:r w:rsidRPr="0012167B" w:rsidR="001002C3">
        <w:t>Personalized nonresponse follow-up</w:t>
      </w:r>
      <w:r w:rsidR="001002C3">
        <w:t xml:space="preserve"> via email and phone</w:t>
      </w:r>
      <w:r w:rsidRPr="0012167B" w:rsidR="001002C3">
        <w:t xml:space="preserve"> will be repeated about every two weeks</w:t>
      </w:r>
      <w:r w:rsidR="00741DFD">
        <w:t xml:space="preserve"> after the submission due data and continue</w:t>
      </w:r>
      <w:r w:rsidRPr="0012167B" w:rsidR="001002C3">
        <w:t xml:space="preserve"> until the data collection closes</w:t>
      </w:r>
      <w:r w:rsidR="001002C3">
        <w:t xml:space="preserve"> (s</w:t>
      </w:r>
      <w:r w:rsidRPr="0012167B" w:rsidR="001002C3">
        <w:t xml:space="preserve">ee </w:t>
      </w:r>
      <w:r w:rsidRPr="00C04DE9" w:rsidR="001002C3">
        <w:rPr>
          <w:b/>
        </w:rPr>
        <w:t xml:space="preserve">Attachment </w:t>
      </w:r>
      <w:r w:rsidRPr="00C04DE9" w:rsidR="009F4A0B">
        <w:rPr>
          <w:b/>
        </w:rPr>
        <w:t>8</w:t>
      </w:r>
      <w:r w:rsidR="001002C3">
        <w:t xml:space="preserve"> for a sample script for these contacts</w:t>
      </w:r>
      <w:r w:rsidRPr="0012167B" w:rsidR="001002C3">
        <w:t>)</w:t>
      </w:r>
      <w:r w:rsidR="001002C3">
        <w:t xml:space="preserve">. </w:t>
      </w:r>
    </w:p>
    <w:p w:rsidR="005059EB" w:rsidP="00471424" w:rsidRDefault="001002C3" w14:paraId="30171841" w14:textId="53150558">
      <w:pPr>
        <w:pStyle w:val="BodyText"/>
        <w:numPr>
          <w:ilvl w:val="0"/>
          <w:numId w:val="8"/>
        </w:numPr>
        <w:spacing w:before="90"/>
        <w:ind w:left="936"/>
      </w:pPr>
      <w:r w:rsidRPr="001002C3">
        <w:rPr>
          <w:b/>
        </w:rPr>
        <w:t>Collection closeout letter/final reminder.</w:t>
      </w:r>
      <w:r>
        <w:t xml:space="preserve"> </w:t>
      </w:r>
      <w:r w:rsidRPr="0012167B">
        <w:t xml:space="preserve">Three weeks prior to the close of data collection, a letter, signed by the BJS Director and requiring receipt signature, will be mailed to non-respondents stressing the importance of the collection and encouraging participation (see </w:t>
      </w:r>
      <w:r w:rsidRPr="00C04DE9">
        <w:rPr>
          <w:b/>
        </w:rPr>
        <w:t xml:space="preserve">Attachment </w:t>
      </w:r>
      <w:r w:rsidRPr="00C04DE9" w:rsidR="009F4A0B">
        <w:rPr>
          <w:b/>
        </w:rPr>
        <w:t>9</w:t>
      </w:r>
      <w:r w:rsidRPr="0012167B">
        <w:t>).</w:t>
      </w:r>
    </w:p>
    <w:p w:rsidR="00741DFD" w:rsidP="00471424" w:rsidRDefault="001002C3" w14:paraId="5E5BC129" w14:textId="4D3FDC53">
      <w:pPr>
        <w:pStyle w:val="BodyText"/>
        <w:numPr>
          <w:ilvl w:val="0"/>
          <w:numId w:val="8"/>
        </w:numPr>
        <w:spacing w:before="90"/>
        <w:ind w:left="936"/>
      </w:pPr>
      <w:bookmarkStart w:name="_Hlk65743778" w:id="5"/>
      <w:r>
        <w:rPr>
          <w:b/>
        </w:rPr>
        <w:t xml:space="preserve">Telephone and e-mail data quality follow up. </w:t>
      </w:r>
      <w:r w:rsidRPr="001002C3">
        <w:t>Data review will begin as soon as data are submitted and wil</w:t>
      </w:r>
      <w:r>
        <w:t>l</w:t>
      </w:r>
      <w:r w:rsidRPr="001002C3">
        <w:t xml:space="preserve"> con</w:t>
      </w:r>
      <w:r>
        <w:t>tinue</w:t>
      </w:r>
      <w:r w:rsidRPr="001002C3">
        <w:t xml:space="preserve"> through </w:t>
      </w:r>
      <w:r>
        <w:t>data collection closeout</w:t>
      </w:r>
      <w:r w:rsidRPr="0012167B">
        <w:t>.</w:t>
      </w:r>
      <w:r>
        <w:t xml:space="preserve"> During the review, discrepancies or missing data values or incident forms are </w:t>
      </w:r>
      <w:r w:rsidR="00F44109">
        <w:t xml:space="preserve">discovered, outreach via e-mail or phone will be conducted to clarify responses or obtain missing forms (see </w:t>
      </w:r>
      <w:bookmarkStart w:name="_Hlk65745123" w:id="6"/>
      <w:r w:rsidRPr="00C04DE9" w:rsidR="00F44109">
        <w:rPr>
          <w:b/>
        </w:rPr>
        <w:t xml:space="preserve">Attachment </w:t>
      </w:r>
      <w:r w:rsidRPr="00C04DE9" w:rsidR="00C47C95">
        <w:rPr>
          <w:b/>
        </w:rPr>
        <w:t>1</w:t>
      </w:r>
      <w:r w:rsidRPr="00C04DE9" w:rsidR="009F4A0B">
        <w:rPr>
          <w:b/>
        </w:rPr>
        <w:t>0</w:t>
      </w:r>
      <w:r w:rsidR="00F44109">
        <w:t xml:space="preserve"> for </w:t>
      </w:r>
      <w:r w:rsidR="00572A98">
        <w:t xml:space="preserve">call specifications for </w:t>
      </w:r>
      <w:r w:rsidR="00F44109">
        <w:t>these contacts</w:t>
      </w:r>
      <w:bookmarkEnd w:id="6"/>
      <w:r w:rsidR="00F44109">
        <w:t xml:space="preserve">). </w:t>
      </w:r>
      <w:bookmarkEnd w:id="5"/>
    </w:p>
    <w:p w:rsidR="00F44109" w:rsidP="00471424" w:rsidRDefault="00741DFD" w14:paraId="78688878" w14:textId="752094E9">
      <w:pPr>
        <w:pStyle w:val="BodyText"/>
        <w:numPr>
          <w:ilvl w:val="0"/>
          <w:numId w:val="8"/>
        </w:numPr>
        <w:spacing w:before="90"/>
        <w:ind w:left="936"/>
      </w:pPr>
      <w:bookmarkStart w:name="_Hlk65828328" w:id="7"/>
      <w:r w:rsidRPr="00741DFD">
        <w:rPr>
          <w:b/>
        </w:rPr>
        <w:t>T</w:t>
      </w:r>
      <w:r>
        <w:rPr>
          <w:b/>
        </w:rPr>
        <w:t>hank you email</w:t>
      </w:r>
      <w:r w:rsidR="007B7323">
        <w:rPr>
          <w:b/>
        </w:rPr>
        <w:t xml:space="preserve">. </w:t>
      </w:r>
      <w:r w:rsidR="007B7323">
        <w:t>A personal email is sent to respondents from the Census Bureau project manager thanking them for their participation in the SSV if communication ensued to resolve data quality issues.</w:t>
      </w:r>
    </w:p>
    <w:bookmarkEnd w:id="7"/>
    <w:p w:rsidR="007B7323" w:rsidP="007B7323" w:rsidRDefault="007B7323" w14:paraId="7DFDA2C8" w14:textId="77777777">
      <w:pPr>
        <w:pStyle w:val="BodyText"/>
        <w:spacing w:before="90"/>
        <w:ind w:left="940" w:right="915"/>
      </w:pPr>
    </w:p>
    <w:p w:rsidRPr="008A7B08" w:rsidR="003F5562" w:rsidP="008A7B08" w:rsidRDefault="003F5562" w14:paraId="5FBD7FC3" w14:textId="6F2F4A4C">
      <w:pPr>
        <w:pStyle w:val="ListParagraph"/>
        <w:numPr>
          <w:ilvl w:val="0"/>
          <w:numId w:val="9"/>
        </w:numPr>
        <w:ind w:hanging="720"/>
        <w:rPr>
          <w:sz w:val="24"/>
          <w:szCs w:val="24"/>
        </w:rPr>
      </w:pPr>
      <w:r w:rsidRPr="008A7B08">
        <w:rPr>
          <w:sz w:val="24"/>
          <w:szCs w:val="24"/>
          <w:u w:val="single"/>
        </w:rPr>
        <w:t>Methods to Maximize Response</w:t>
      </w:r>
      <w:r w:rsidRPr="008A7B08">
        <w:rPr>
          <w:spacing w:val="-3"/>
          <w:sz w:val="24"/>
          <w:szCs w:val="24"/>
          <w:u w:val="single"/>
        </w:rPr>
        <w:t xml:space="preserve"> </w:t>
      </w:r>
      <w:r w:rsidRPr="008A7B08">
        <w:rPr>
          <w:sz w:val="24"/>
          <w:szCs w:val="24"/>
          <w:u w:val="single"/>
        </w:rPr>
        <w:t>Rates</w:t>
      </w:r>
    </w:p>
    <w:p w:rsidRPr="0012167B" w:rsidR="00FA40E1" w:rsidP="0012167B" w:rsidRDefault="00FA40E1" w14:paraId="03DB5753" w14:textId="77777777">
      <w:pPr>
        <w:pStyle w:val="BodyText"/>
        <w:ind w:left="939" w:right="931"/>
      </w:pPr>
    </w:p>
    <w:p w:rsidRPr="0012167B" w:rsidR="00640913" w:rsidP="008A4B61" w:rsidRDefault="00D0698F" w14:paraId="10B1CBD2" w14:textId="62B4AC0A">
      <w:pPr>
        <w:pStyle w:val="BodyText"/>
      </w:pPr>
      <w:r w:rsidRPr="0012167B">
        <w:t>While BJS is mandated to collect data under PREA</w:t>
      </w:r>
      <w:r w:rsidRPr="0012167B" w:rsidR="00F64A7A">
        <w:t xml:space="preserve"> (P.L. 108-79)</w:t>
      </w:r>
      <w:r w:rsidRPr="0012167B">
        <w:t>, o</w:t>
      </w:r>
      <w:r w:rsidRPr="0012167B" w:rsidR="00AD243D">
        <w:t xml:space="preserve">verall, participation </w:t>
      </w:r>
      <w:r w:rsidRPr="0012167B" w:rsidR="00033EFD">
        <w:t xml:space="preserve">in the SSV has declined since 2016 when 95% of sampled systems and facilities responded. </w:t>
      </w:r>
      <w:r w:rsidRPr="0012167B" w:rsidR="007C3693">
        <w:t>The overall response rate in 2017</w:t>
      </w:r>
      <w:r w:rsidRPr="0012167B" w:rsidR="009438F1">
        <w:t xml:space="preserve"> </w:t>
      </w:r>
      <w:r w:rsidRPr="0012167B" w:rsidR="007C3693">
        <w:t xml:space="preserve">was </w:t>
      </w:r>
      <w:r w:rsidRPr="0012167B" w:rsidR="009438F1">
        <w:t>85</w:t>
      </w:r>
      <w:r w:rsidRPr="0012167B" w:rsidR="007C3693">
        <w:t xml:space="preserve">%. </w:t>
      </w:r>
      <w:r w:rsidR="00CA7613">
        <w:t xml:space="preserve">The decline in the response rate in 2017 was due </w:t>
      </w:r>
      <w:r w:rsidR="002D24AA">
        <w:t xml:space="preserve">to </w:t>
      </w:r>
      <w:r w:rsidR="00CA7613">
        <w:t>delays in launching the collection which led to the shortening of the survey cycle. While BJS anticipated improving response rates in</w:t>
      </w:r>
      <w:r w:rsidR="00810EE1">
        <w:t xml:space="preserve"> the</w:t>
      </w:r>
      <w:r w:rsidR="004C3D9D">
        <w:t xml:space="preserve"> </w:t>
      </w:r>
      <w:r w:rsidR="00CA7613">
        <w:t>2018 collection, nonresponse follow-up was hindered by COVID-19</w:t>
      </w:r>
      <w:r w:rsidR="00727170">
        <w:t xml:space="preserve">. As a result, </w:t>
      </w:r>
      <w:r w:rsidR="0033447C">
        <w:t>the response rate remained at 85%</w:t>
      </w:r>
      <w:r w:rsidR="00CA7613">
        <w:t xml:space="preserve">. </w:t>
      </w:r>
      <w:r w:rsidRPr="0012167B" w:rsidR="007C3693">
        <w:t xml:space="preserve">Response rates </w:t>
      </w:r>
      <w:r w:rsidR="00CA7613">
        <w:t xml:space="preserve">improved </w:t>
      </w:r>
      <w:r w:rsidRPr="0012167B" w:rsidR="007C3693">
        <w:t xml:space="preserve">in </w:t>
      </w:r>
      <w:r w:rsidR="0060583F">
        <w:t xml:space="preserve">the </w:t>
      </w:r>
      <w:r w:rsidRPr="0012167B" w:rsidR="007C3693">
        <w:t>2019</w:t>
      </w:r>
      <w:r w:rsidR="00CA7613">
        <w:t xml:space="preserve"> </w:t>
      </w:r>
      <w:r w:rsidR="0060583F">
        <w:t xml:space="preserve">collection </w:t>
      </w:r>
      <w:r w:rsidR="00CA7613">
        <w:t>and we expect further improvement for the 2020-2023 collection years (s</w:t>
      </w:r>
      <w:r w:rsidRPr="0012167B">
        <w:t xml:space="preserve">ee </w:t>
      </w:r>
      <w:r w:rsidRPr="007C7C70">
        <w:t>table</w:t>
      </w:r>
      <w:r w:rsidRPr="0012167B">
        <w:t xml:space="preserve"> </w:t>
      </w:r>
      <w:r w:rsidR="007C7C70">
        <w:t>4</w:t>
      </w:r>
      <w:r w:rsidRPr="0012167B">
        <w:t xml:space="preserve"> below for more detail on response rates for 201</w:t>
      </w:r>
      <w:r w:rsidRPr="0012167B" w:rsidR="00052CA8">
        <w:t>9</w:t>
      </w:r>
      <w:r w:rsidRPr="0012167B">
        <w:t>)</w:t>
      </w:r>
      <w:r w:rsidR="00CF3FEB">
        <w:t xml:space="preserve">. </w:t>
      </w:r>
    </w:p>
    <w:p w:rsidR="00685084" w:rsidP="00685084" w:rsidRDefault="00685084" w14:paraId="06318366" w14:textId="77777777">
      <w:pPr>
        <w:rPr>
          <w:sz w:val="24"/>
          <w:szCs w:val="24"/>
        </w:rPr>
      </w:pPr>
    </w:p>
    <w:p w:rsidR="00DF624D" w:rsidP="00685084" w:rsidRDefault="00CC7490" w14:paraId="14250995" w14:textId="114920D8">
      <w:pPr>
        <w:rPr>
          <w:b/>
          <w:sz w:val="24"/>
          <w:szCs w:val="24"/>
        </w:rPr>
      </w:pPr>
      <w:r w:rsidRPr="007C7C70">
        <w:rPr>
          <w:b/>
          <w:sz w:val="24"/>
          <w:szCs w:val="24"/>
        </w:rPr>
        <w:t xml:space="preserve">Table </w:t>
      </w:r>
      <w:r w:rsidRPr="007C7C70" w:rsidR="007C7C70">
        <w:rPr>
          <w:b/>
          <w:sz w:val="24"/>
          <w:szCs w:val="24"/>
        </w:rPr>
        <w:t>4</w:t>
      </w:r>
      <w:r w:rsidRPr="007C7C70">
        <w:rPr>
          <w:b/>
          <w:sz w:val="24"/>
          <w:szCs w:val="24"/>
        </w:rPr>
        <w:t>.</w:t>
      </w:r>
      <w:r w:rsidRPr="0012167B">
        <w:rPr>
          <w:b/>
          <w:sz w:val="24"/>
          <w:szCs w:val="24"/>
        </w:rPr>
        <w:t xml:space="preserve"> Sampled reporting units by type of facility and response status, 201</w:t>
      </w:r>
      <w:r w:rsidR="00C97F28">
        <w:rPr>
          <w:b/>
          <w:sz w:val="24"/>
          <w:szCs w:val="24"/>
        </w:rPr>
        <w:t>9</w:t>
      </w:r>
    </w:p>
    <w:tbl>
      <w:tblPr>
        <w:tblpPr w:leftFromText="180" w:rightFromText="180" w:vertAnchor="text"/>
        <w:tblW w:w="0" w:type="auto"/>
        <w:shd w:val="clear" w:color="auto" w:fill="FFFFFF"/>
        <w:tblCellMar>
          <w:left w:w="0" w:type="dxa"/>
          <w:right w:w="0" w:type="dxa"/>
        </w:tblCellMar>
        <w:tblLook w:val="04A0" w:firstRow="1" w:lastRow="0" w:firstColumn="1" w:lastColumn="0" w:noHBand="0" w:noVBand="1"/>
      </w:tblPr>
      <w:tblGrid>
        <w:gridCol w:w="2855"/>
        <w:gridCol w:w="966"/>
        <w:gridCol w:w="1285"/>
        <w:gridCol w:w="1645"/>
        <w:gridCol w:w="1157"/>
        <w:gridCol w:w="1452"/>
      </w:tblGrid>
      <w:tr w:rsidRPr="00963CA1" w:rsidR="00BB4D78" w:rsidTr="00664957" w14:paraId="7538EE11" w14:textId="77777777">
        <w:trPr>
          <w:trHeight w:val="476"/>
        </w:trPr>
        <w:tc>
          <w:tcPr>
            <w:tcW w:w="2855" w:type="dxa"/>
            <w:tcBorders>
              <w:bottom w:val="single" w:color="auto" w:sz="4" w:space="0"/>
            </w:tcBorders>
            <w:shd w:val="clear" w:color="auto" w:fill="FFFFFF"/>
            <w:hideMark/>
          </w:tcPr>
          <w:p w:rsidRPr="00963CA1" w:rsidR="00BB4D78" w:rsidP="00664957" w:rsidRDefault="00BB4D78" w14:paraId="5B189D64" w14:textId="77777777">
            <w:pPr>
              <w:rPr>
                <w:rFonts w:ascii="Arial" w:hAnsi="Arial" w:cs="Arial"/>
                <w:color w:val="201F1E"/>
              </w:rPr>
            </w:pPr>
            <w:bookmarkStart w:name="_Hlk74637859" w:id="8"/>
            <w:r w:rsidRPr="00963CA1">
              <w:rPr>
                <w:color w:val="201F1E"/>
                <w:sz w:val="24"/>
                <w:szCs w:val="24"/>
                <w:bdr w:val="none" w:color="auto" w:sz="0" w:space="0" w:frame="1"/>
              </w:rPr>
              <w:t> </w:t>
            </w:r>
          </w:p>
          <w:p w:rsidRPr="00963CA1" w:rsidR="00BB4D78" w:rsidP="00664957" w:rsidRDefault="00BB4D78" w14:paraId="5A5AF844" w14:textId="77777777">
            <w:pPr>
              <w:spacing w:line="217" w:lineRule="atLeast"/>
              <w:ind w:left="35"/>
              <w:rPr>
                <w:rFonts w:ascii="Arial" w:hAnsi="Arial" w:cs="Arial"/>
                <w:color w:val="201F1E"/>
              </w:rPr>
            </w:pPr>
            <w:r w:rsidRPr="00963CA1">
              <w:rPr>
                <w:color w:val="201F1E"/>
                <w:sz w:val="24"/>
                <w:szCs w:val="24"/>
                <w:bdr w:val="none" w:color="auto" w:sz="0" w:space="0" w:frame="1"/>
              </w:rPr>
              <w:t>Facility type</w:t>
            </w:r>
          </w:p>
        </w:tc>
        <w:tc>
          <w:tcPr>
            <w:tcW w:w="966" w:type="dxa"/>
            <w:tcBorders>
              <w:bottom w:val="single" w:color="auto" w:sz="4" w:space="0"/>
            </w:tcBorders>
            <w:shd w:val="clear" w:color="auto" w:fill="FFFFFF"/>
            <w:hideMark/>
          </w:tcPr>
          <w:p w:rsidRPr="00963CA1" w:rsidR="00BB4D78" w:rsidP="00664957" w:rsidRDefault="00BB4D78" w14:paraId="6EF33AF7" w14:textId="77777777">
            <w:pPr>
              <w:rPr>
                <w:rFonts w:ascii="Arial" w:hAnsi="Arial" w:cs="Arial"/>
                <w:color w:val="201F1E"/>
              </w:rPr>
            </w:pPr>
            <w:r w:rsidRPr="00963CA1">
              <w:rPr>
                <w:color w:val="201F1E"/>
                <w:sz w:val="24"/>
                <w:szCs w:val="24"/>
                <w:bdr w:val="none" w:color="auto" w:sz="0" w:space="0" w:frame="1"/>
              </w:rPr>
              <w:t> </w:t>
            </w:r>
          </w:p>
          <w:p w:rsidRPr="00963CA1" w:rsidR="00BB4D78" w:rsidP="00664957" w:rsidRDefault="00BB4D78" w14:paraId="042A1603" w14:textId="77777777">
            <w:pPr>
              <w:spacing w:line="217" w:lineRule="atLeast"/>
              <w:ind w:left="72" w:right="199"/>
              <w:rPr>
                <w:rFonts w:ascii="Arial" w:hAnsi="Arial" w:cs="Arial"/>
                <w:color w:val="201F1E"/>
              </w:rPr>
            </w:pPr>
            <w:r w:rsidRPr="00963CA1">
              <w:rPr>
                <w:color w:val="201F1E"/>
                <w:sz w:val="24"/>
                <w:szCs w:val="24"/>
                <w:bdr w:val="none" w:color="auto" w:sz="0" w:space="0" w:frame="1"/>
              </w:rPr>
              <w:t>Form</w:t>
            </w:r>
          </w:p>
        </w:tc>
        <w:tc>
          <w:tcPr>
            <w:tcW w:w="1285" w:type="dxa"/>
            <w:tcBorders>
              <w:bottom w:val="single" w:color="auto" w:sz="4" w:space="0"/>
            </w:tcBorders>
            <w:shd w:val="clear" w:color="auto" w:fill="FFFFFF"/>
            <w:hideMark/>
          </w:tcPr>
          <w:p w:rsidRPr="00963CA1" w:rsidR="00BB4D78" w:rsidP="00664957" w:rsidRDefault="00BB4D78" w14:paraId="5D9B235E" w14:textId="77777777">
            <w:pPr>
              <w:rPr>
                <w:rFonts w:ascii="Arial" w:hAnsi="Arial" w:cs="Arial"/>
                <w:color w:val="201F1E"/>
              </w:rPr>
            </w:pPr>
            <w:r w:rsidRPr="00963CA1">
              <w:rPr>
                <w:color w:val="201F1E"/>
                <w:sz w:val="24"/>
                <w:szCs w:val="24"/>
                <w:bdr w:val="none" w:color="auto" w:sz="0" w:space="0" w:frame="1"/>
              </w:rPr>
              <w:t> </w:t>
            </w:r>
          </w:p>
          <w:p w:rsidRPr="00963CA1" w:rsidR="00BB4D78" w:rsidP="00664957" w:rsidRDefault="00BB4D78" w14:paraId="23A8A26B" w14:textId="77777777">
            <w:pPr>
              <w:spacing w:line="217" w:lineRule="atLeast"/>
              <w:ind w:right="212"/>
              <w:rPr>
                <w:rFonts w:ascii="Arial" w:hAnsi="Arial" w:cs="Arial"/>
                <w:color w:val="201F1E"/>
              </w:rPr>
            </w:pPr>
            <w:r w:rsidRPr="00963CA1">
              <w:rPr>
                <w:color w:val="201F1E"/>
                <w:sz w:val="24"/>
                <w:szCs w:val="24"/>
                <w:bdr w:val="none" w:color="auto" w:sz="0" w:space="0" w:frame="1"/>
              </w:rPr>
              <w:t>Sampled</w:t>
            </w:r>
          </w:p>
        </w:tc>
        <w:tc>
          <w:tcPr>
            <w:tcW w:w="1645" w:type="dxa"/>
            <w:tcBorders>
              <w:bottom w:val="single" w:color="auto" w:sz="4" w:space="0"/>
            </w:tcBorders>
            <w:shd w:val="clear" w:color="auto" w:fill="FFFFFF"/>
            <w:hideMark/>
          </w:tcPr>
          <w:p w:rsidRPr="00963CA1" w:rsidR="00BB4D78" w:rsidP="00664957" w:rsidRDefault="00BB4D78" w14:paraId="176BB179" w14:textId="77777777">
            <w:pPr>
              <w:rPr>
                <w:rFonts w:ascii="Arial" w:hAnsi="Arial" w:cs="Arial"/>
                <w:color w:val="201F1E"/>
              </w:rPr>
            </w:pPr>
            <w:r w:rsidRPr="00963CA1">
              <w:rPr>
                <w:color w:val="201F1E"/>
                <w:sz w:val="24"/>
                <w:szCs w:val="24"/>
                <w:bdr w:val="none" w:color="auto" w:sz="0" w:space="0" w:frame="1"/>
              </w:rPr>
              <w:t> </w:t>
            </w:r>
          </w:p>
          <w:p w:rsidRPr="00963CA1" w:rsidR="00BB4D78" w:rsidP="00664957" w:rsidRDefault="00BB4D78" w14:paraId="19843731" w14:textId="77777777">
            <w:pPr>
              <w:spacing w:line="217" w:lineRule="atLeast"/>
              <w:ind w:right="90"/>
              <w:rPr>
                <w:rFonts w:ascii="Arial" w:hAnsi="Arial" w:cs="Arial"/>
                <w:color w:val="201F1E"/>
              </w:rPr>
            </w:pPr>
            <w:r w:rsidRPr="00963CA1">
              <w:rPr>
                <w:color w:val="201F1E"/>
                <w:sz w:val="24"/>
                <w:szCs w:val="24"/>
                <w:bdr w:val="none" w:color="auto" w:sz="0" w:space="0" w:frame="1"/>
              </w:rPr>
              <w:t>Active/Eligible</w:t>
            </w:r>
          </w:p>
        </w:tc>
        <w:tc>
          <w:tcPr>
            <w:tcW w:w="1157" w:type="dxa"/>
            <w:tcBorders>
              <w:bottom w:val="single" w:color="auto" w:sz="4" w:space="0"/>
            </w:tcBorders>
            <w:shd w:val="clear" w:color="auto" w:fill="FFFFFF"/>
            <w:hideMark/>
          </w:tcPr>
          <w:p w:rsidRPr="00963CA1" w:rsidR="00BB4D78" w:rsidP="00664957" w:rsidRDefault="00BB4D78" w14:paraId="00460A2D" w14:textId="77777777">
            <w:pPr>
              <w:rPr>
                <w:rFonts w:ascii="Arial" w:hAnsi="Arial" w:cs="Arial"/>
                <w:color w:val="201F1E"/>
              </w:rPr>
            </w:pPr>
            <w:r w:rsidRPr="00963CA1">
              <w:rPr>
                <w:color w:val="201F1E"/>
                <w:sz w:val="24"/>
                <w:szCs w:val="24"/>
                <w:bdr w:val="none" w:color="auto" w:sz="0" w:space="0" w:frame="1"/>
              </w:rPr>
              <w:t> </w:t>
            </w:r>
          </w:p>
          <w:p w:rsidRPr="00963CA1" w:rsidR="00BB4D78" w:rsidP="00664957" w:rsidRDefault="00BB4D78" w14:paraId="1A011CBE" w14:textId="77777777">
            <w:pPr>
              <w:rPr>
                <w:rFonts w:ascii="Arial" w:hAnsi="Arial" w:cs="Arial"/>
                <w:color w:val="201F1E"/>
              </w:rPr>
            </w:pPr>
            <w:r w:rsidRPr="00963CA1">
              <w:rPr>
                <w:color w:val="201F1E"/>
                <w:sz w:val="24"/>
                <w:szCs w:val="24"/>
                <w:bdr w:val="none" w:color="auto" w:sz="0" w:space="0" w:frame="1"/>
              </w:rPr>
              <w:t>Responded</w:t>
            </w:r>
          </w:p>
        </w:tc>
        <w:tc>
          <w:tcPr>
            <w:tcW w:w="1452" w:type="dxa"/>
            <w:tcBorders>
              <w:bottom w:val="single" w:color="auto" w:sz="4" w:space="0"/>
            </w:tcBorders>
            <w:shd w:val="clear" w:color="auto" w:fill="FFFFFF"/>
            <w:hideMark/>
          </w:tcPr>
          <w:p w:rsidR="00BB4D78" w:rsidP="00664957" w:rsidRDefault="00BB4D78" w14:paraId="37B867F0" w14:textId="77777777">
            <w:pPr>
              <w:ind w:left="112"/>
              <w:rPr>
                <w:color w:val="201F1E"/>
                <w:sz w:val="24"/>
                <w:szCs w:val="24"/>
                <w:bdr w:val="none" w:color="auto" w:sz="0" w:space="0" w:frame="1"/>
              </w:rPr>
            </w:pPr>
          </w:p>
          <w:p w:rsidRPr="00963CA1" w:rsidR="00BB4D78" w:rsidP="00664957" w:rsidRDefault="00BB4D78" w14:paraId="38782BE6" w14:textId="77777777">
            <w:pPr>
              <w:ind w:left="112"/>
              <w:rPr>
                <w:rFonts w:ascii="Arial" w:hAnsi="Arial" w:cs="Arial"/>
                <w:color w:val="201F1E"/>
              </w:rPr>
            </w:pPr>
            <w:r w:rsidRPr="00963CA1">
              <w:rPr>
                <w:color w:val="201F1E"/>
                <w:sz w:val="24"/>
                <w:szCs w:val="24"/>
                <w:bdr w:val="none" w:color="auto" w:sz="0" w:space="0" w:frame="1"/>
              </w:rPr>
              <w:t>Response rate</w:t>
            </w:r>
          </w:p>
        </w:tc>
      </w:tr>
      <w:tr w:rsidRPr="00963CA1" w:rsidR="00BB4D78" w:rsidTr="00664957" w14:paraId="1ACB630F" w14:textId="77777777">
        <w:trPr>
          <w:trHeight w:val="270"/>
        </w:trPr>
        <w:tc>
          <w:tcPr>
            <w:tcW w:w="2855" w:type="dxa"/>
            <w:shd w:val="clear" w:color="auto" w:fill="FFFFFF"/>
            <w:hideMark/>
          </w:tcPr>
          <w:p w:rsidRPr="00963CA1" w:rsidR="00BB4D78" w:rsidP="00664957" w:rsidRDefault="00BB4D78" w14:paraId="24120860" w14:textId="77777777">
            <w:pPr>
              <w:ind w:left="35"/>
              <w:rPr>
                <w:rFonts w:ascii="Arial" w:hAnsi="Arial" w:cs="Arial"/>
                <w:color w:val="201F1E"/>
              </w:rPr>
            </w:pPr>
            <w:r w:rsidRPr="00963CA1">
              <w:rPr>
                <w:color w:val="201F1E"/>
                <w:sz w:val="24"/>
                <w:szCs w:val="24"/>
                <w:bdr w:val="none" w:color="auto" w:sz="0" w:space="0" w:frame="1"/>
              </w:rPr>
              <w:t>Prisons</w:t>
            </w:r>
          </w:p>
        </w:tc>
        <w:tc>
          <w:tcPr>
            <w:tcW w:w="966" w:type="dxa"/>
            <w:shd w:val="clear" w:color="auto" w:fill="FFFFFF"/>
            <w:hideMark/>
          </w:tcPr>
          <w:p w:rsidRPr="00963CA1" w:rsidR="00BB4D78" w:rsidP="00664957" w:rsidRDefault="00BB4D78" w14:paraId="62D80AA3" w14:textId="77777777">
            <w:pPr>
              <w:rPr>
                <w:rFonts w:ascii="Arial" w:hAnsi="Arial" w:cs="Arial"/>
                <w:color w:val="201F1E"/>
              </w:rPr>
            </w:pPr>
            <w:r w:rsidRPr="00963CA1">
              <w:rPr>
                <w:color w:val="201F1E"/>
                <w:sz w:val="24"/>
                <w:szCs w:val="24"/>
                <w:bdr w:val="none" w:color="auto" w:sz="0" w:space="0" w:frame="1"/>
              </w:rPr>
              <w:t> </w:t>
            </w:r>
          </w:p>
        </w:tc>
        <w:tc>
          <w:tcPr>
            <w:tcW w:w="1285" w:type="dxa"/>
            <w:shd w:val="clear" w:color="auto" w:fill="FFFFFF"/>
            <w:hideMark/>
          </w:tcPr>
          <w:p w:rsidRPr="00963CA1" w:rsidR="00BB4D78" w:rsidP="00664957" w:rsidRDefault="00BB4D78" w14:paraId="151CFF29" w14:textId="77777777">
            <w:pPr>
              <w:jc w:val="right"/>
              <w:rPr>
                <w:rFonts w:ascii="Arial" w:hAnsi="Arial" w:cs="Arial"/>
                <w:color w:val="201F1E"/>
              </w:rPr>
            </w:pPr>
            <w:r w:rsidRPr="00963CA1">
              <w:rPr>
                <w:color w:val="201F1E"/>
                <w:sz w:val="24"/>
                <w:szCs w:val="24"/>
                <w:bdr w:val="none" w:color="auto" w:sz="0" w:space="0" w:frame="1"/>
              </w:rPr>
              <w:t> </w:t>
            </w:r>
          </w:p>
        </w:tc>
        <w:tc>
          <w:tcPr>
            <w:tcW w:w="1645" w:type="dxa"/>
            <w:shd w:val="clear" w:color="auto" w:fill="FFFFFF"/>
            <w:hideMark/>
          </w:tcPr>
          <w:p w:rsidRPr="00963CA1" w:rsidR="00BB4D78" w:rsidP="00664957" w:rsidRDefault="00BB4D78" w14:paraId="1475899C" w14:textId="77777777">
            <w:pPr>
              <w:jc w:val="right"/>
              <w:rPr>
                <w:rFonts w:ascii="Arial" w:hAnsi="Arial" w:cs="Arial"/>
                <w:color w:val="201F1E"/>
              </w:rPr>
            </w:pPr>
            <w:r w:rsidRPr="00963CA1">
              <w:rPr>
                <w:color w:val="201F1E"/>
                <w:sz w:val="24"/>
                <w:szCs w:val="24"/>
                <w:bdr w:val="none" w:color="auto" w:sz="0" w:space="0" w:frame="1"/>
              </w:rPr>
              <w:t> </w:t>
            </w:r>
          </w:p>
        </w:tc>
        <w:tc>
          <w:tcPr>
            <w:tcW w:w="1157" w:type="dxa"/>
            <w:shd w:val="clear" w:color="auto" w:fill="FFFFFF"/>
            <w:hideMark/>
          </w:tcPr>
          <w:p w:rsidRPr="00963CA1" w:rsidR="00BB4D78" w:rsidP="00664957" w:rsidRDefault="00BB4D78" w14:paraId="7C2CE49C" w14:textId="77777777">
            <w:pPr>
              <w:jc w:val="right"/>
              <w:rPr>
                <w:rFonts w:ascii="Arial" w:hAnsi="Arial" w:cs="Arial"/>
                <w:color w:val="201F1E"/>
              </w:rPr>
            </w:pPr>
            <w:r w:rsidRPr="00963CA1">
              <w:rPr>
                <w:color w:val="201F1E"/>
                <w:sz w:val="24"/>
                <w:szCs w:val="24"/>
                <w:bdr w:val="none" w:color="auto" w:sz="0" w:space="0" w:frame="1"/>
              </w:rPr>
              <w:t> </w:t>
            </w:r>
          </w:p>
        </w:tc>
        <w:tc>
          <w:tcPr>
            <w:tcW w:w="1452" w:type="dxa"/>
            <w:shd w:val="clear" w:color="auto" w:fill="FFFFFF"/>
            <w:hideMark/>
          </w:tcPr>
          <w:p w:rsidRPr="00963CA1" w:rsidR="00BB4D78" w:rsidP="00664957" w:rsidRDefault="00BB4D78" w14:paraId="614B24B0" w14:textId="77777777">
            <w:pPr>
              <w:jc w:val="right"/>
              <w:rPr>
                <w:rFonts w:ascii="Arial" w:hAnsi="Arial" w:cs="Arial"/>
                <w:color w:val="201F1E"/>
              </w:rPr>
            </w:pPr>
            <w:r w:rsidRPr="00963CA1">
              <w:rPr>
                <w:color w:val="201F1E"/>
                <w:sz w:val="24"/>
                <w:szCs w:val="24"/>
                <w:bdr w:val="none" w:color="auto" w:sz="0" w:space="0" w:frame="1"/>
              </w:rPr>
              <w:t> </w:t>
            </w:r>
          </w:p>
        </w:tc>
      </w:tr>
      <w:tr w:rsidRPr="00963CA1" w:rsidR="00BB4D78" w:rsidTr="00664957" w14:paraId="51878DA2" w14:textId="77777777">
        <w:trPr>
          <w:trHeight w:val="284"/>
        </w:trPr>
        <w:tc>
          <w:tcPr>
            <w:tcW w:w="2855" w:type="dxa"/>
            <w:shd w:val="clear" w:color="auto" w:fill="FFFFFF"/>
            <w:hideMark/>
          </w:tcPr>
          <w:p w:rsidRPr="00963CA1" w:rsidR="00BB4D78" w:rsidP="00664957" w:rsidRDefault="00BB4D78" w14:paraId="07A3F83D" w14:textId="77777777">
            <w:pPr>
              <w:ind w:left="311"/>
              <w:rPr>
                <w:rFonts w:ascii="Arial" w:hAnsi="Arial" w:cs="Arial"/>
                <w:color w:val="201F1E"/>
              </w:rPr>
            </w:pPr>
            <w:r w:rsidRPr="00963CA1">
              <w:rPr>
                <w:color w:val="201F1E"/>
                <w:sz w:val="24"/>
                <w:szCs w:val="24"/>
                <w:bdr w:val="none" w:color="auto" w:sz="0" w:space="0" w:frame="1"/>
              </w:rPr>
              <w:t>Public – federal system</w:t>
            </w:r>
          </w:p>
        </w:tc>
        <w:tc>
          <w:tcPr>
            <w:tcW w:w="966" w:type="dxa"/>
            <w:shd w:val="clear" w:color="auto" w:fill="FFFFFF"/>
            <w:hideMark/>
          </w:tcPr>
          <w:p w:rsidRPr="00963CA1" w:rsidR="00BB4D78" w:rsidP="00664957" w:rsidRDefault="00BB4D78" w14:paraId="38770212" w14:textId="77777777">
            <w:pPr>
              <w:ind w:left="72" w:right="84"/>
              <w:rPr>
                <w:rFonts w:ascii="Arial" w:hAnsi="Arial" w:cs="Arial"/>
                <w:color w:val="201F1E"/>
              </w:rPr>
            </w:pPr>
            <w:r w:rsidRPr="00963CA1">
              <w:rPr>
                <w:color w:val="201F1E"/>
                <w:sz w:val="24"/>
                <w:szCs w:val="24"/>
                <w:bdr w:val="none" w:color="auto" w:sz="0" w:space="0" w:frame="1"/>
              </w:rPr>
              <w:t>SSV-1</w:t>
            </w:r>
          </w:p>
        </w:tc>
        <w:tc>
          <w:tcPr>
            <w:tcW w:w="1285" w:type="dxa"/>
            <w:shd w:val="clear" w:color="auto" w:fill="FFFFFF"/>
            <w:hideMark/>
          </w:tcPr>
          <w:p w:rsidRPr="00963CA1" w:rsidR="00BB4D78" w:rsidP="00664957" w:rsidRDefault="00BB4D78" w14:paraId="48973213" w14:textId="77777777">
            <w:pPr>
              <w:ind w:right="209"/>
              <w:jc w:val="right"/>
              <w:rPr>
                <w:rFonts w:ascii="Arial" w:hAnsi="Arial" w:cs="Arial"/>
                <w:color w:val="201F1E"/>
              </w:rPr>
            </w:pPr>
            <w:r w:rsidRPr="00963CA1">
              <w:rPr>
                <w:color w:val="201F1E"/>
                <w:sz w:val="24"/>
                <w:szCs w:val="24"/>
                <w:bdr w:val="none" w:color="auto" w:sz="0" w:space="0" w:frame="1"/>
              </w:rPr>
              <w:t>1</w:t>
            </w:r>
          </w:p>
        </w:tc>
        <w:tc>
          <w:tcPr>
            <w:tcW w:w="1645" w:type="dxa"/>
            <w:shd w:val="clear" w:color="auto" w:fill="FFFFFF"/>
            <w:hideMark/>
          </w:tcPr>
          <w:p w:rsidRPr="00963CA1" w:rsidR="00BB4D78" w:rsidP="00664957" w:rsidRDefault="00BB4D78" w14:paraId="6B68CBF5" w14:textId="77777777">
            <w:pPr>
              <w:ind w:right="86"/>
              <w:jc w:val="right"/>
              <w:rPr>
                <w:color w:val="201F1E"/>
                <w:sz w:val="24"/>
                <w:szCs w:val="24"/>
              </w:rPr>
            </w:pPr>
            <w:r w:rsidRPr="00963CA1">
              <w:rPr>
                <w:color w:val="201F1E"/>
                <w:sz w:val="24"/>
                <w:szCs w:val="24"/>
                <w:bdr w:val="none" w:color="auto" w:sz="0" w:space="0" w:frame="1"/>
              </w:rPr>
              <w:t> 1</w:t>
            </w:r>
          </w:p>
        </w:tc>
        <w:tc>
          <w:tcPr>
            <w:tcW w:w="1157" w:type="dxa"/>
            <w:shd w:val="clear" w:color="auto" w:fill="FFFFFF"/>
            <w:hideMark/>
          </w:tcPr>
          <w:p w:rsidRPr="00963CA1" w:rsidR="00BB4D78" w:rsidP="00664957" w:rsidRDefault="00BB4D78" w14:paraId="2E6553AA" w14:textId="77777777">
            <w:pPr>
              <w:ind w:right="150"/>
              <w:jc w:val="right"/>
              <w:rPr>
                <w:color w:val="201F1E"/>
                <w:sz w:val="24"/>
                <w:szCs w:val="24"/>
              </w:rPr>
            </w:pPr>
            <w:r w:rsidRPr="00963CA1">
              <w:rPr>
                <w:color w:val="201F1E"/>
                <w:sz w:val="24"/>
                <w:szCs w:val="24"/>
                <w:bdr w:val="none" w:color="auto" w:sz="0" w:space="0" w:frame="1"/>
              </w:rPr>
              <w:t>1</w:t>
            </w:r>
          </w:p>
        </w:tc>
        <w:tc>
          <w:tcPr>
            <w:tcW w:w="1452" w:type="dxa"/>
            <w:shd w:val="clear" w:color="auto" w:fill="FFFFFF"/>
            <w:hideMark/>
          </w:tcPr>
          <w:p w:rsidRPr="00963CA1" w:rsidR="00BB4D78" w:rsidP="00664957" w:rsidRDefault="00BB4D78" w14:paraId="00477CB3" w14:textId="77777777">
            <w:pPr>
              <w:ind w:right="54"/>
              <w:jc w:val="right"/>
              <w:rPr>
                <w:color w:val="201F1E"/>
                <w:sz w:val="24"/>
                <w:szCs w:val="24"/>
              </w:rPr>
            </w:pPr>
            <w:r>
              <w:rPr>
                <w:color w:val="201F1E"/>
                <w:sz w:val="24"/>
                <w:szCs w:val="24"/>
                <w:bdr w:val="none" w:color="auto" w:sz="0" w:space="0" w:frame="1"/>
              </w:rPr>
              <w:t xml:space="preserve">        100%</w:t>
            </w:r>
            <w:r w:rsidRPr="00963CA1">
              <w:rPr>
                <w:color w:val="201F1E"/>
                <w:sz w:val="24"/>
                <w:szCs w:val="24"/>
                <w:bdr w:val="none" w:color="auto" w:sz="0" w:space="0" w:frame="1"/>
              </w:rPr>
              <w:t> </w:t>
            </w:r>
          </w:p>
        </w:tc>
      </w:tr>
      <w:tr w:rsidRPr="00963CA1" w:rsidR="00BB4D78" w:rsidTr="00664957" w14:paraId="077C4707" w14:textId="77777777">
        <w:trPr>
          <w:trHeight w:val="270"/>
        </w:trPr>
        <w:tc>
          <w:tcPr>
            <w:tcW w:w="2855" w:type="dxa"/>
            <w:shd w:val="clear" w:color="auto" w:fill="FFFFFF"/>
            <w:hideMark/>
          </w:tcPr>
          <w:p w:rsidRPr="00963CA1" w:rsidR="00BB4D78" w:rsidP="00664957" w:rsidRDefault="00BB4D78" w14:paraId="585158F1" w14:textId="77777777">
            <w:pPr>
              <w:ind w:left="311"/>
              <w:rPr>
                <w:rFonts w:ascii="Arial" w:hAnsi="Arial" w:cs="Arial"/>
                <w:color w:val="201F1E"/>
              </w:rPr>
            </w:pPr>
            <w:r w:rsidRPr="00963CA1">
              <w:rPr>
                <w:color w:val="201F1E"/>
                <w:sz w:val="24"/>
                <w:szCs w:val="24"/>
                <w:bdr w:val="none" w:color="auto" w:sz="0" w:space="0" w:frame="1"/>
              </w:rPr>
              <w:t>Public – state systems</w:t>
            </w:r>
          </w:p>
        </w:tc>
        <w:tc>
          <w:tcPr>
            <w:tcW w:w="966" w:type="dxa"/>
            <w:shd w:val="clear" w:color="auto" w:fill="FFFFFF"/>
            <w:hideMark/>
          </w:tcPr>
          <w:p w:rsidRPr="00963CA1" w:rsidR="00BB4D78" w:rsidP="00664957" w:rsidRDefault="00BB4D78" w14:paraId="43CDFCA7" w14:textId="77777777">
            <w:pPr>
              <w:ind w:left="72" w:right="84"/>
              <w:rPr>
                <w:rFonts w:ascii="Arial" w:hAnsi="Arial" w:cs="Arial"/>
                <w:color w:val="201F1E"/>
              </w:rPr>
            </w:pPr>
            <w:r w:rsidRPr="00963CA1">
              <w:rPr>
                <w:color w:val="201F1E"/>
                <w:sz w:val="24"/>
                <w:szCs w:val="24"/>
                <w:bdr w:val="none" w:color="auto" w:sz="0" w:space="0" w:frame="1"/>
              </w:rPr>
              <w:t>SSV-2</w:t>
            </w:r>
          </w:p>
        </w:tc>
        <w:tc>
          <w:tcPr>
            <w:tcW w:w="1285" w:type="dxa"/>
            <w:shd w:val="clear" w:color="auto" w:fill="FFFFFF"/>
            <w:hideMark/>
          </w:tcPr>
          <w:p w:rsidRPr="00963CA1" w:rsidR="00BB4D78" w:rsidP="00664957" w:rsidRDefault="00BB4D78" w14:paraId="50626A1C" w14:textId="77777777">
            <w:pPr>
              <w:ind w:right="212"/>
              <w:jc w:val="right"/>
              <w:rPr>
                <w:rFonts w:ascii="Arial" w:hAnsi="Arial" w:cs="Arial"/>
                <w:color w:val="201F1E"/>
              </w:rPr>
            </w:pPr>
            <w:r w:rsidRPr="00963CA1">
              <w:rPr>
                <w:color w:val="201F1E"/>
                <w:sz w:val="24"/>
                <w:szCs w:val="24"/>
                <w:bdr w:val="none" w:color="auto" w:sz="0" w:space="0" w:frame="1"/>
              </w:rPr>
              <w:t>50</w:t>
            </w:r>
          </w:p>
        </w:tc>
        <w:tc>
          <w:tcPr>
            <w:tcW w:w="1645" w:type="dxa"/>
            <w:shd w:val="clear" w:color="auto" w:fill="FFFFFF"/>
            <w:hideMark/>
          </w:tcPr>
          <w:p w:rsidRPr="00963CA1" w:rsidR="00BB4D78" w:rsidP="00664957" w:rsidRDefault="00BB4D78" w14:paraId="6A8D8D09" w14:textId="77777777">
            <w:pPr>
              <w:ind w:right="89"/>
              <w:jc w:val="right"/>
              <w:rPr>
                <w:color w:val="201F1E"/>
                <w:sz w:val="24"/>
                <w:szCs w:val="24"/>
              </w:rPr>
            </w:pPr>
            <w:r w:rsidRPr="00963CA1">
              <w:rPr>
                <w:color w:val="201F1E"/>
                <w:sz w:val="24"/>
                <w:szCs w:val="24"/>
                <w:bdr w:val="none" w:color="auto" w:sz="0" w:space="0" w:frame="1"/>
              </w:rPr>
              <w:t>50</w:t>
            </w:r>
          </w:p>
        </w:tc>
        <w:tc>
          <w:tcPr>
            <w:tcW w:w="1157" w:type="dxa"/>
            <w:shd w:val="clear" w:color="auto" w:fill="FFFFFF"/>
            <w:hideMark/>
          </w:tcPr>
          <w:p w:rsidRPr="00963CA1" w:rsidR="00BB4D78" w:rsidP="00664957" w:rsidRDefault="00BB4D78" w14:paraId="53687C71" w14:textId="77777777">
            <w:pPr>
              <w:ind w:right="144"/>
              <w:jc w:val="right"/>
              <w:rPr>
                <w:color w:val="201F1E"/>
                <w:sz w:val="24"/>
                <w:szCs w:val="24"/>
              </w:rPr>
            </w:pPr>
            <w:r w:rsidRPr="00963CA1">
              <w:rPr>
                <w:color w:val="201F1E"/>
                <w:sz w:val="24"/>
                <w:szCs w:val="24"/>
              </w:rPr>
              <w:t>50</w:t>
            </w:r>
          </w:p>
        </w:tc>
        <w:tc>
          <w:tcPr>
            <w:tcW w:w="1452" w:type="dxa"/>
            <w:shd w:val="clear" w:color="auto" w:fill="FFFFFF"/>
            <w:hideMark/>
          </w:tcPr>
          <w:p w:rsidRPr="00963CA1" w:rsidR="00BB4D78" w:rsidP="00664957" w:rsidRDefault="00BB4D78" w14:paraId="6A7AE3A6" w14:textId="77777777">
            <w:pPr>
              <w:ind w:right="197"/>
              <w:jc w:val="center"/>
              <w:rPr>
                <w:color w:val="201F1E"/>
                <w:sz w:val="24"/>
                <w:szCs w:val="24"/>
              </w:rPr>
            </w:pPr>
            <w:r>
              <w:rPr>
                <w:color w:val="201F1E"/>
                <w:sz w:val="24"/>
                <w:szCs w:val="24"/>
                <w:bdr w:val="none" w:color="auto" w:sz="0" w:space="0" w:frame="1"/>
              </w:rPr>
              <w:t xml:space="preserve">           100</w:t>
            </w:r>
          </w:p>
        </w:tc>
      </w:tr>
      <w:tr w:rsidRPr="00963CA1" w:rsidR="00BB4D78" w:rsidTr="00664957" w14:paraId="6B213627" w14:textId="77777777">
        <w:trPr>
          <w:trHeight w:val="245"/>
        </w:trPr>
        <w:tc>
          <w:tcPr>
            <w:tcW w:w="2855" w:type="dxa"/>
            <w:shd w:val="clear" w:color="auto" w:fill="FFFFFF"/>
            <w:hideMark/>
          </w:tcPr>
          <w:p w:rsidRPr="00963CA1" w:rsidR="00BB4D78" w:rsidP="00664957" w:rsidRDefault="00BB4D78" w14:paraId="45BD845A" w14:textId="77777777">
            <w:pPr>
              <w:spacing w:line="210" w:lineRule="atLeast"/>
              <w:ind w:left="311"/>
              <w:rPr>
                <w:rFonts w:ascii="Arial" w:hAnsi="Arial" w:cs="Arial"/>
                <w:color w:val="201F1E"/>
              </w:rPr>
            </w:pPr>
            <w:r w:rsidRPr="00963CA1">
              <w:rPr>
                <w:color w:val="201F1E"/>
                <w:sz w:val="24"/>
                <w:szCs w:val="24"/>
                <w:bdr w:val="none" w:color="auto" w:sz="0" w:space="0" w:frame="1"/>
              </w:rPr>
              <w:t>Private</w:t>
            </w:r>
          </w:p>
        </w:tc>
        <w:tc>
          <w:tcPr>
            <w:tcW w:w="966" w:type="dxa"/>
            <w:shd w:val="clear" w:color="auto" w:fill="FFFFFF"/>
            <w:hideMark/>
          </w:tcPr>
          <w:p w:rsidRPr="00963CA1" w:rsidR="00BB4D78" w:rsidP="00664957" w:rsidRDefault="00BB4D78" w14:paraId="128B3C00" w14:textId="77777777">
            <w:pPr>
              <w:spacing w:line="210" w:lineRule="atLeast"/>
              <w:ind w:left="72" w:right="84"/>
              <w:rPr>
                <w:rFonts w:ascii="Arial" w:hAnsi="Arial" w:cs="Arial"/>
                <w:color w:val="201F1E"/>
              </w:rPr>
            </w:pPr>
            <w:r w:rsidRPr="00963CA1">
              <w:rPr>
                <w:color w:val="201F1E"/>
                <w:sz w:val="24"/>
                <w:szCs w:val="24"/>
                <w:bdr w:val="none" w:color="auto" w:sz="0" w:space="0" w:frame="1"/>
              </w:rPr>
              <w:t>SSV-4</w:t>
            </w:r>
          </w:p>
        </w:tc>
        <w:tc>
          <w:tcPr>
            <w:tcW w:w="1285" w:type="dxa"/>
            <w:shd w:val="clear" w:color="auto" w:fill="FFFFFF"/>
            <w:hideMark/>
          </w:tcPr>
          <w:p w:rsidRPr="00963CA1" w:rsidR="00BB4D78" w:rsidP="00664957" w:rsidRDefault="00BB4D78" w14:paraId="02899489" w14:textId="77777777">
            <w:pPr>
              <w:spacing w:line="210" w:lineRule="atLeast"/>
              <w:ind w:right="212"/>
              <w:jc w:val="right"/>
              <w:rPr>
                <w:rFonts w:ascii="Arial" w:hAnsi="Arial" w:cs="Arial"/>
                <w:color w:val="201F1E"/>
              </w:rPr>
            </w:pPr>
            <w:r w:rsidRPr="00963CA1">
              <w:rPr>
                <w:color w:val="201F1E"/>
                <w:sz w:val="24"/>
                <w:szCs w:val="24"/>
                <w:bdr w:val="none" w:color="auto" w:sz="0" w:space="0" w:frame="1"/>
              </w:rPr>
              <w:t>155</w:t>
            </w:r>
          </w:p>
        </w:tc>
        <w:tc>
          <w:tcPr>
            <w:tcW w:w="1645" w:type="dxa"/>
            <w:shd w:val="clear" w:color="auto" w:fill="FFFFFF"/>
            <w:hideMark/>
          </w:tcPr>
          <w:p w:rsidRPr="00963CA1" w:rsidR="00BB4D78" w:rsidP="00664957" w:rsidRDefault="00BB4D78" w14:paraId="7313F8A6" w14:textId="77777777">
            <w:pPr>
              <w:spacing w:line="210" w:lineRule="atLeast"/>
              <w:ind w:right="89"/>
              <w:jc w:val="right"/>
              <w:rPr>
                <w:color w:val="201F1E"/>
                <w:sz w:val="24"/>
                <w:szCs w:val="24"/>
              </w:rPr>
            </w:pPr>
            <w:r>
              <w:rPr>
                <w:color w:val="201F1E"/>
                <w:sz w:val="24"/>
                <w:szCs w:val="24"/>
              </w:rPr>
              <w:t>147</w:t>
            </w:r>
          </w:p>
        </w:tc>
        <w:tc>
          <w:tcPr>
            <w:tcW w:w="1157" w:type="dxa"/>
            <w:shd w:val="clear" w:color="auto" w:fill="FFFFFF"/>
            <w:hideMark/>
          </w:tcPr>
          <w:p w:rsidRPr="00963CA1" w:rsidR="00BB4D78" w:rsidP="00664957" w:rsidRDefault="00BB4D78" w14:paraId="6036F0F1" w14:textId="77777777">
            <w:pPr>
              <w:spacing w:line="210" w:lineRule="atLeast"/>
              <w:ind w:right="144"/>
              <w:jc w:val="right"/>
              <w:rPr>
                <w:color w:val="201F1E"/>
                <w:sz w:val="24"/>
                <w:szCs w:val="24"/>
              </w:rPr>
            </w:pPr>
            <w:r>
              <w:rPr>
                <w:color w:val="201F1E"/>
                <w:sz w:val="24"/>
                <w:szCs w:val="24"/>
                <w:bdr w:val="none" w:color="auto" w:sz="0" w:space="0" w:frame="1"/>
              </w:rPr>
              <w:t>133</w:t>
            </w:r>
          </w:p>
        </w:tc>
        <w:tc>
          <w:tcPr>
            <w:tcW w:w="1452" w:type="dxa"/>
            <w:shd w:val="clear" w:color="auto" w:fill="FFFFFF"/>
            <w:hideMark/>
          </w:tcPr>
          <w:p w:rsidRPr="00963CA1" w:rsidR="00BB4D78" w:rsidP="00664957" w:rsidRDefault="00BB4D78" w14:paraId="36C6290A" w14:textId="77777777">
            <w:pPr>
              <w:spacing w:line="210" w:lineRule="atLeast"/>
              <w:ind w:right="197"/>
              <w:jc w:val="right"/>
              <w:rPr>
                <w:color w:val="201F1E"/>
                <w:sz w:val="24"/>
                <w:szCs w:val="24"/>
              </w:rPr>
            </w:pPr>
            <w:r>
              <w:rPr>
                <w:color w:val="201F1E"/>
                <w:sz w:val="24"/>
                <w:szCs w:val="24"/>
                <w:bdr w:val="none" w:color="auto" w:sz="0" w:space="0" w:frame="1"/>
              </w:rPr>
              <w:t xml:space="preserve">  90.5</w:t>
            </w:r>
            <w:r w:rsidRPr="00963CA1">
              <w:rPr>
                <w:color w:val="201F1E"/>
                <w:sz w:val="24"/>
                <w:szCs w:val="24"/>
                <w:bdr w:val="none" w:color="auto" w:sz="0" w:space="0" w:frame="1"/>
              </w:rPr>
              <w:t> </w:t>
            </w:r>
          </w:p>
        </w:tc>
      </w:tr>
      <w:tr w:rsidRPr="00963CA1" w:rsidR="00BB4D78" w:rsidTr="00664957" w14:paraId="46ACC424" w14:textId="77777777">
        <w:trPr>
          <w:trHeight w:val="293"/>
        </w:trPr>
        <w:tc>
          <w:tcPr>
            <w:tcW w:w="2855" w:type="dxa"/>
            <w:shd w:val="clear" w:color="auto" w:fill="FFFFFF"/>
            <w:hideMark/>
          </w:tcPr>
          <w:p w:rsidRPr="00963CA1" w:rsidR="00BB4D78" w:rsidP="00664957" w:rsidRDefault="00BB4D78" w14:paraId="742767FB" w14:textId="77777777">
            <w:pPr>
              <w:ind w:left="35"/>
              <w:rPr>
                <w:rFonts w:ascii="Arial" w:hAnsi="Arial" w:cs="Arial"/>
                <w:color w:val="201F1E"/>
              </w:rPr>
            </w:pPr>
            <w:r w:rsidRPr="00963CA1">
              <w:rPr>
                <w:color w:val="201F1E"/>
                <w:sz w:val="24"/>
                <w:szCs w:val="24"/>
                <w:bdr w:val="none" w:color="auto" w:sz="0" w:space="0" w:frame="1"/>
              </w:rPr>
              <w:t>Jails</w:t>
            </w:r>
          </w:p>
        </w:tc>
        <w:tc>
          <w:tcPr>
            <w:tcW w:w="966" w:type="dxa"/>
            <w:shd w:val="clear" w:color="auto" w:fill="FFFFFF"/>
            <w:hideMark/>
          </w:tcPr>
          <w:p w:rsidRPr="00963CA1" w:rsidR="00BB4D78" w:rsidP="00664957" w:rsidRDefault="00BB4D78" w14:paraId="26CD0517" w14:textId="77777777">
            <w:pPr>
              <w:rPr>
                <w:rFonts w:ascii="Arial" w:hAnsi="Arial" w:cs="Arial"/>
                <w:color w:val="201F1E"/>
              </w:rPr>
            </w:pPr>
            <w:r w:rsidRPr="00963CA1">
              <w:rPr>
                <w:color w:val="201F1E"/>
                <w:sz w:val="24"/>
                <w:szCs w:val="24"/>
                <w:bdr w:val="none" w:color="auto" w:sz="0" w:space="0" w:frame="1"/>
              </w:rPr>
              <w:t> </w:t>
            </w:r>
          </w:p>
        </w:tc>
        <w:tc>
          <w:tcPr>
            <w:tcW w:w="1285" w:type="dxa"/>
            <w:shd w:val="clear" w:color="auto" w:fill="FFFFFF"/>
            <w:hideMark/>
          </w:tcPr>
          <w:p w:rsidRPr="00963CA1" w:rsidR="00BB4D78" w:rsidP="00664957" w:rsidRDefault="00BB4D78" w14:paraId="22491567" w14:textId="77777777">
            <w:pPr>
              <w:jc w:val="right"/>
              <w:rPr>
                <w:rFonts w:ascii="Arial" w:hAnsi="Arial" w:cs="Arial"/>
                <w:color w:val="201F1E"/>
              </w:rPr>
            </w:pPr>
            <w:r w:rsidRPr="00963CA1">
              <w:rPr>
                <w:color w:val="201F1E"/>
                <w:sz w:val="24"/>
                <w:szCs w:val="24"/>
                <w:bdr w:val="none" w:color="auto" w:sz="0" w:space="0" w:frame="1"/>
              </w:rPr>
              <w:t> </w:t>
            </w:r>
          </w:p>
        </w:tc>
        <w:tc>
          <w:tcPr>
            <w:tcW w:w="1645" w:type="dxa"/>
            <w:shd w:val="clear" w:color="auto" w:fill="FFFFFF"/>
            <w:hideMark/>
          </w:tcPr>
          <w:p w:rsidRPr="00963CA1" w:rsidR="00BB4D78" w:rsidP="00664957" w:rsidRDefault="00BB4D78" w14:paraId="68C6E649" w14:textId="77777777">
            <w:pPr>
              <w:jc w:val="right"/>
              <w:rPr>
                <w:rFonts w:ascii="Arial" w:hAnsi="Arial" w:cs="Arial"/>
                <w:color w:val="201F1E"/>
                <w:sz w:val="24"/>
                <w:szCs w:val="24"/>
              </w:rPr>
            </w:pPr>
            <w:r w:rsidRPr="00963CA1">
              <w:rPr>
                <w:color w:val="201F1E"/>
                <w:sz w:val="24"/>
                <w:szCs w:val="24"/>
                <w:bdr w:val="none" w:color="auto" w:sz="0" w:space="0" w:frame="1"/>
              </w:rPr>
              <w:t> </w:t>
            </w:r>
          </w:p>
        </w:tc>
        <w:tc>
          <w:tcPr>
            <w:tcW w:w="1157" w:type="dxa"/>
            <w:shd w:val="clear" w:color="auto" w:fill="FFFFFF"/>
            <w:hideMark/>
          </w:tcPr>
          <w:p w:rsidRPr="00963CA1" w:rsidR="00BB4D78" w:rsidP="00664957" w:rsidRDefault="00BB4D78" w14:paraId="317D5E81" w14:textId="77777777">
            <w:pPr>
              <w:jc w:val="right"/>
              <w:rPr>
                <w:rFonts w:ascii="Arial" w:hAnsi="Arial" w:cs="Arial"/>
                <w:color w:val="201F1E"/>
                <w:sz w:val="24"/>
                <w:szCs w:val="24"/>
              </w:rPr>
            </w:pPr>
            <w:r w:rsidRPr="00963CA1">
              <w:rPr>
                <w:color w:val="201F1E"/>
                <w:sz w:val="24"/>
                <w:szCs w:val="24"/>
                <w:bdr w:val="none" w:color="auto" w:sz="0" w:space="0" w:frame="1"/>
              </w:rPr>
              <w:t> </w:t>
            </w:r>
          </w:p>
        </w:tc>
        <w:tc>
          <w:tcPr>
            <w:tcW w:w="1452" w:type="dxa"/>
            <w:shd w:val="clear" w:color="auto" w:fill="FFFFFF"/>
            <w:hideMark/>
          </w:tcPr>
          <w:p w:rsidRPr="00963CA1" w:rsidR="00BB4D78" w:rsidP="00664957" w:rsidRDefault="00BB4D78" w14:paraId="319F487D" w14:textId="77777777">
            <w:pPr>
              <w:jc w:val="right"/>
              <w:rPr>
                <w:rFonts w:ascii="Arial" w:hAnsi="Arial" w:cs="Arial"/>
                <w:color w:val="201F1E"/>
                <w:sz w:val="24"/>
                <w:szCs w:val="24"/>
              </w:rPr>
            </w:pPr>
            <w:r w:rsidRPr="00963CA1">
              <w:rPr>
                <w:color w:val="201F1E"/>
                <w:sz w:val="24"/>
                <w:szCs w:val="24"/>
                <w:bdr w:val="none" w:color="auto" w:sz="0" w:space="0" w:frame="1"/>
              </w:rPr>
              <w:t> </w:t>
            </w:r>
          </w:p>
        </w:tc>
      </w:tr>
      <w:tr w:rsidRPr="00963CA1" w:rsidR="00BB4D78" w:rsidTr="00664957" w14:paraId="5811C03A" w14:textId="77777777">
        <w:trPr>
          <w:trHeight w:val="270"/>
        </w:trPr>
        <w:tc>
          <w:tcPr>
            <w:tcW w:w="2855" w:type="dxa"/>
            <w:shd w:val="clear" w:color="auto" w:fill="FFFFFF"/>
            <w:hideMark/>
          </w:tcPr>
          <w:p w:rsidRPr="00963CA1" w:rsidR="00BB4D78" w:rsidP="00664957" w:rsidRDefault="00BB4D78" w14:paraId="6CED8605" w14:textId="77777777">
            <w:pPr>
              <w:ind w:left="311"/>
              <w:rPr>
                <w:rFonts w:ascii="Arial" w:hAnsi="Arial" w:cs="Arial"/>
                <w:color w:val="201F1E"/>
              </w:rPr>
            </w:pPr>
            <w:r w:rsidRPr="00963CA1">
              <w:rPr>
                <w:color w:val="201F1E"/>
                <w:sz w:val="24"/>
                <w:szCs w:val="24"/>
                <w:bdr w:val="none" w:color="auto" w:sz="0" w:space="0" w:frame="1"/>
              </w:rPr>
              <w:t>Public – local</w:t>
            </w:r>
            <w:r>
              <w:rPr>
                <w:color w:val="201F1E"/>
                <w:sz w:val="24"/>
                <w:szCs w:val="24"/>
                <w:bdr w:val="none" w:color="auto" w:sz="0" w:space="0" w:frame="1"/>
              </w:rPr>
              <w:t>*</w:t>
            </w:r>
            <w:r w:rsidRPr="00963CA1">
              <w:rPr>
                <w:color w:val="201F1E"/>
                <w:sz w:val="24"/>
                <w:szCs w:val="24"/>
                <w:bdr w:val="none" w:color="auto" w:sz="0" w:space="0" w:frame="1"/>
              </w:rPr>
              <w:t xml:space="preserve"> jurisdictions</w:t>
            </w:r>
          </w:p>
        </w:tc>
        <w:tc>
          <w:tcPr>
            <w:tcW w:w="966" w:type="dxa"/>
            <w:shd w:val="clear" w:color="auto" w:fill="FFFFFF"/>
            <w:hideMark/>
          </w:tcPr>
          <w:p w:rsidRPr="00963CA1" w:rsidR="00BB4D78" w:rsidP="00664957" w:rsidRDefault="00BB4D78" w14:paraId="6F3B7210" w14:textId="77777777">
            <w:pPr>
              <w:ind w:left="72" w:right="84"/>
              <w:rPr>
                <w:rFonts w:ascii="Arial" w:hAnsi="Arial" w:cs="Arial"/>
                <w:color w:val="201F1E"/>
              </w:rPr>
            </w:pPr>
            <w:r w:rsidRPr="00963CA1">
              <w:rPr>
                <w:color w:val="201F1E"/>
                <w:sz w:val="24"/>
                <w:szCs w:val="24"/>
                <w:bdr w:val="none" w:color="auto" w:sz="0" w:space="0" w:frame="1"/>
              </w:rPr>
              <w:t>SSV-3</w:t>
            </w:r>
          </w:p>
        </w:tc>
        <w:tc>
          <w:tcPr>
            <w:tcW w:w="1285" w:type="dxa"/>
            <w:shd w:val="clear" w:color="auto" w:fill="FFFFFF"/>
            <w:hideMark/>
          </w:tcPr>
          <w:p w:rsidRPr="00963CA1" w:rsidR="00BB4D78" w:rsidP="00664957" w:rsidRDefault="00BB4D78" w14:paraId="5693C094" w14:textId="77777777">
            <w:pPr>
              <w:ind w:right="212"/>
              <w:jc w:val="right"/>
              <w:rPr>
                <w:rFonts w:ascii="Arial" w:hAnsi="Arial" w:cs="Arial"/>
                <w:color w:val="201F1E"/>
              </w:rPr>
            </w:pPr>
            <w:r w:rsidRPr="00963CA1">
              <w:rPr>
                <w:color w:val="201F1E"/>
                <w:sz w:val="24"/>
                <w:szCs w:val="24"/>
                <w:bdr w:val="none" w:color="auto" w:sz="0" w:space="0" w:frame="1"/>
              </w:rPr>
              <w:t>700</w:t>
            </w:r>
          </w:p>
        </w:tc>
        <w:tc>
          <w:tcPr>
            <w:tcW w:w="1645" w:type="dxa"/>
            <w:shd w:val="clear" w:color="auto" w:fill="FFFFFF"/>
            <w:hideMark/>
          </w:tcPr>
          <w:p w:rsidRPr="00D8382D" w:rsidR="00BB4D78" w:rsidP="00664957" w:rsidRDefault="00BB4D78" w14:paraId="7D4FD5D6" w14:textId="77777777">
            <w:pPr>
              <w:ind w:right="89"/>
              <w:jc w:val="right"/>
              <w:rPr>
                <w:sz w:val="24"/>
                <w:szCs w:val="24"/>
              </w:rPr>
            </w:pPr>
            <w:r w:rsidRPr="00D8382D">
              <w:rPr>
                <w:sz w:val="24"/>
                <w:szCs w:val="24"/>
                <w:bdr w:val="none" w:color="auto" w:sz="0" w:space="0" w:frame="1"/>
              </w:rPr>
              <w:t>695</w:t>
            </w:r>
          </w:p>
        </w:tc>
        <w:tc>
          <w:tcPr>
            <w:tcW w:w="1157" w:type="dxa"/>
            <w:shd w:val="clear" w:color="auto" w:fill="FFFFFF"/>
            <w:hideMark/>
          </w:tcPr>
          <w:p w:rsidRPr="00D8382D" w:rsidR="00BB4D78" w:rsidP="00664957" w:rsidRDefault="00BB4D78" w14:paraId="7ACB7E68" w14:textId="77777777">
            <w:pPr>
              <w:ind w:right="144"/>
              <w:jc w:val="right"/>
              <w:rPr>
                <w:sz w:val="24"/>
                <w:szCs w:val="24"/>
              </w:rPr>
            </w:pPr>
            <w:r w:rsidRPr="00D8382D">
              <w:rPr>
                <w:sz w:val="24"/>
                <w:szCs w:val="24"/>
              </w:rPr>
              <w:t>627</w:t>
            </w:r>
          </w:p>
        </w:tc>
        <w:tc>
          <w:tcPr>
            <w:tcW w:w="1452" w:type="dxa"/>
            <w:shd w:val="clear" w:color="auto" w:fill="FFFFFF"/>
            <w:hideMark/>
          </w:tcPr>
          <w:p w:rsidRPr="00D8382D" w:rsidR="00BB4D78" w:rsidP="00664957" w:rsidRDefault="00BB4D78" w14:paraId="6BBD4BCC" w14:textId="77777777">
            <w:pPr>
              <w:ind w:right="54"/>
              <w:jc w:val="right"/>
              <w:rPr>
                <w:sz w:val="24"/>
                <w:szCs w:val="24"/>
              </w:rPr>
            </w:pPr>
            <w:r w:rsidRPr="00D8382D">
              <w:rPr>
                <w:sz w:val="24"/>
                <w:szCs w:val="24"/>
                <w:bdr w:val="none" w:color="auto" w:sz="0" w:space="0" w:frame="1"/>
              </w:rPr>
              <w:t>90.2% </w:t>
            </w:r>
          </w:p>
        </w:tc>
      </w:tr>
      <w:tr w:rsidRPr="00963CA1" w:rsidR="00BB4D78" w:rsidTr="00664957" w14:paraId="2C1CC6A8" w14:textId="77777777">
        <w:trPr>
          <w:trHeight w:val="245"/>
        </w:trPr>
        <w:tc>
          <w:tcPr>
            <w:tcW w:w="2855" w:type="dxa"/>
            <w:shd w:val="clear" w:color="auto" w:fill="FFFFFF"/>
            <w:hideMark/>
          </w:tcPr>
          <w:p w:rsidRPr="00963CA1" w:rsidR="00BB4D78" w:rsidP="00664957" w:rsidRDefault="00BB4D78" w14:paraId="3C08594C" w14:textId="77777777">
            <w:pPr>
              <w:spacing w:line="210" w:lineRule="atLeast"/>
              <w:ind w:left="311"/>
              <w:rPr>
                <w:rFonts w:ascii="Arial" w:hAnsi="Arial" w:cs="Arial"/>
                <w:color w:val="201F1E"/>
              </w:rPr>
            </w:pPr>
            <w:r w:rsidRPr="00963CA1">
              <w:rPr>
                <w:color w:val="201F1E"/>
                <w:sz w:val="24"/>
                <w:szCs w:val="24"/>
                <w:bdr w:val="none" w:color="auto" w:sz="0" w:space="0" w:frame="1"/>
              </w:rPr>
              <w:t>Private</w:t>
            </w:r>
          </w:p>
        </w:tc>
        <w:tc>
          <w:tcPr>
            <w:tcW w:w="966" w:type="dxa"/>
            <w:shd w:val="clear" w:color="auto" w:fill="FFFFFF"/>
            <w:hideMark/>
          </w:tcPr>
          <w:p w:rsidRPr="00963CA1" w:rsidR="00BB4D78" w:rsidP="00664957" w:rsidRDefault="00BB4D78" w14:paraId="2756857D" w14:textId="77777777">
            <w:pPr>
              <w:spacing w:line="210" w:lineRule="atLeast"/>
              <w:ind w:left="72" w:right="84"/>
              <w:rPr>
                <w:rFonts w:ascii="Arial" w:hAnsi="Arial" w:cs="Arial"/>
                <w:color w:val="201F1E"/>
              </w:rPr>
            </w:pPr>
            <w:r w:rsidRPr="00963CA1">
              <w:rPr>
                <w:color w:val="201F1E"/>
                <w:sz w:val="24"/>
                <w:szCs w:val="24"/>
                <w:bdr w:val="none" w:color="auto" w:sz="0" w:space="0" w:frame="1"/>
              </w:rPr>
              <w:t>SSV-4</w:t>
            </w:r>
          </w:p>
        </w:tc>
        <w:tc>
          <w:tcPr>
            <w:tcW w:w="1285" w:type="dxa"/>
            <w:shd w:val="clear" w:color="auto" w:fill="FFFFFF"/>
            <w:hideMark/>
          </w:tcPr>
          <w:p w:rsidRPr="00963CA1" w:rsidR="00BB4D78" w:rsidP="00664957" w:rsidRDefault="00BB4D78" w14:paraId="3D4BCDD3" w14:textId="77777777">
            <w:pPr>
              <w:spacing w:line="210" w:lineRule="atLeast"/>
              <w:ind w:right="212"/>
              <w:jc w:val="right"/>
              <w:rPr>
                <w:rFonts w:ascii="Arial" w:hAnsi="Arial" w:cs="Arial"/>
                <w:color w:val="201F1E"/>
              </w:rPr>
            </w:pPr>
            <w:r w:rsidRPr="00963CA1">
              <w:rPr>
                <w:color w:val="201F1E"/>
                <w:sz w:val="24"/>
                <w:szCs w:val="24"/>
                <w:bdr w:val="none" w:color="auto" w:sz="0" w:space="0" w:frame="1"/>
              </w:rPr>
              <w:t>15</w:t>
            </w:r>
          </w:p>
        </w:tc>
        <w:tc>
          <w:tcPr>
            <w:tcW w:w="1645" w:type="dxa"/>
            <w:shd w:val="clear" w:color="auto" w:fill="FFFFFF"/>
            <w:hideMark/>
          </w:tcPr>
          <w:p w:rsidRPr="00D8382D" w:rsidR="00BB4D78" w:rsidP="00664957" w:rsidRDefault="00BB4D78" w14:paraId="2023E116" w14:textId="77777777">
            <w:pPr>
              <w:spacing w:line="210" w:lineRule="atLeast"/>
              <w:ind w:right="89"/>
              <w:jc w:val="right"/>
              <w:rPr>
                <w:rFonts w:ascii="Arial" w:hAnsi="Arial" w:cs="Arial"/>
                <w:sz w:val="24"/>
                <w:szCs w:val="24"/>
              </w:rPr>
            </w:pPr>
            <w:r w:rsidRPr="00D8382D">
              <w:rPr>
                <w:sz w:val="24"/>
                <w:szCs w:val="24"/>
                <w:bdr w:val="none" w:color="auto" w:sz="0" w:space="0" w:frame="1"/>
              </w:rPr>
              <w:t>13</w:t>
            </w:r>
          </w:p>
        </w:tc>
        <w:tc>
          <w:tcPr>
            <w:tcW w:w="1157" w:type="dxa"/>
            <w:shd w:val="clear" w:color="auto" w:fill="FFFFFF"/>
            <w:hideMark/>
          </w:tcPr>
          <w:p w:rsidRPr="00D8382D" w:rsidR="00BB4D78" w:rsidP="00664957" w:rsidRDefault="00BB4D78" w14:paraId="1B7EBCC5" w14:textId="77777777">
            <w:pPr>
              <w:spacing w:line="210" w:lineRule="atLeast"/>
              <w:ind w:right="144"/>
              <w:jc w:val="right"/>
              <w:rPr>
                <w:rFonts w:ascii="Arial" w:hAnsi="Arial" w:cs="Arial"/>
                <w:sz w:val="24"/>
                <w:szCs w:val="24"/>
              </w:rPr>
            </w:pPr>
            <w:r w:rsidRPr="00D8382D">
              <w:rPr>
                <w:sz w:val="24"/>
                <w:szCs w:val="24"/>
                <w:bdr w:val="none" w:color="auto" w:sz="0" w:space="0" w:frame="1"/>
              </w:rPr>
              <w:t>12</w:t>
            </w:r>
          </w:p>
        </w:tc>
        <w:tc>
          <w:tcPr>
            <w:tcW w:w="1452" w:type="dxa"/>
            <w:shd w:val="clear" w:color="auto" w:fill="FFFFFF"/>
            <w:hideMark/>
          </w:tcPr>
          <w:p w:rsidRPr="00D8382D" w:rsidR="00BB4D78" w:rsidP="00664957" w:rsidRDefault="00BB4D78" w14:paraId="681C98BF" w14:textId="77777777">
            <w:pPr>
              <w:spacing w:line="210" w:lineRule="atLeast"/>
              <w:ind w:right="197"/>
              <w:jc w:val="center"/>
              <w:rPr>
                <w:rFonts w:ascii="Arial" w:hAnsi="Arial" w:cs="Arial"/>
                <w:sz w:val="24"/>
                <w:szCs w:val="24"/>
              </w:rPr>
            </w:pPr>
            <w:r>
              <w:rPr>
                <w:sz w:val="24"/>
                <w:szCs w:val="24"/>
                <w:bdr w:val="none" w:color="auto" w:sz="0" w:space="0" w:frame="1"/>
              </w:rPr>
              <w:t xml:space="preserve">           </w:t>
            </w:r>
            <w:r w:rsidRPr="00D8382D">
              <w:rPr>
                <w:sz w:val="24"/>
                <w:szCs w:val="24"/>
                <w:bdr w:val="none" w:color="auto" w:sz="0" w:space="0" w:frame="1"/>
              </w:rPr>
              <w:t>92.3 </w:t>
            </w:r>
          </w:p>
        </w:tc>
      </w:tr>
      <w:tr w:rsidRPr="00963CA1" w:rsidR="00BB4D78" w:rsidTr="00664957" w14:paraId="157ECD2D" w14:textId="77777777">
        <w:trPr>
          <w:trHeight w:val="294"/>
        </w:trPr>
        <w:tc>
          <w:tcPr>
            <w:tcW w:w="2855" w:type="dxa"/>
            <w:shd w:val="clear" w:color="auto" w:fill="FFFFFF"/>
            <w:hideMark/>
          </w:tcPr>
          <w:p w:rsidRPr="00963CA1" w:rsidR="00BB4D78" w:rsidP="00664957" w:rsidRDefault="00BB4D78" w14:paraId="66FDEAC1" w14:textId="77777777">
            <w:pPr>
              <w:ind w:left="35"/>
              <w:rPr>
                <w:rFonts w:ascii="Arial" w:hAnsi="Arial" w:cs="Arial"/>
                <w:color w:val="201F1E"/>
              </w:rPr>
            </w:pPr>
            <w:r w:rsidRPr="00963CA1">
              <w:rPr>
                <w:color w:val="201F1E"/>
                <w:sz w:val="24"/>
                <w:szCs w:val="24"/>
                <w:bdr w:val="none" w:color="auto" w:sz="0" w:space="0" w:frame="1"/>
              </w:rPr>
              <w:t>Other adult facilities</w:t>
            </w:r>
          </w:p>
        </w:tc>
        <w:tc>
          <w:tcPr>
            <w:tcW w:w="966" w:type="dxa"/>
            <w:shd w:val="clear" w:color="auto" w:fill="FFFFFF"/>
            <w:hideMark/>
          </w:tcPr>
          <w:p w:rsidRPr="00963CA1" w:rsidR="00BB4D78" w:rsidP="00664957" w:rsidRDefault="00BB4D78" w14:paraId="3623D225" w14:textId="77777777">
            <w:pPr>
              <w:rPr>
                <w:rFonts w:ascii="Arial" w:hAnsi="Arial" w:cs="Arial"/>
                <w:color w:val="201F1E"/>
              </w:rPr>
            </w:pPr>
            <w:r w:rsidRPr="00963CA1">
              <w:rPr>
                <w:color w:val="201F1E"/>
                <w:sz w:val="24"/>
                <w:szCs w:val="24"/>
                <w:bdr w:val="none" w:color="auto" w:sz="0" w:space="0" w:frame="1"/>
              </w:rPr>
              <w:t> </w:t>
            </w:r>
          </w:p>
        </w:tc>
        <w:tc>
          <w:tcPr>
            <w:tcW w:w="1285" w:type="dxa"/>
            <w:shd w:val="clear" w:color="auto" w:fill="FFFFFF"/>
            <w:hideMark/>
          </w:tcPr>
          <w:p w:rsidRPr="00963CA1" w:rsidR="00BB4D78" w:rsidP="00664957" w:rsidRDefault="00BB4D78" w14:paraId="17419BBA" w14:textId="77777777">
            <w:pPr>
              <w:jc w:val="right"/>
              <w:rPr>
                <w:rFonts w:ascii="Arial" w:hAnsi="Arial" w:cs="Arial"/>
                <w:color w:val="201F1E"/>
              </w:rPr>
            </w:pPr>
            <w:r w:rsidRPr="00963CA1">
              <w:rPr>
                <w:color w:val="201F1E"/>
                <w:sz w:val="24"/>
                <w:szCs w:val="24"/>
                <w:bdr w:val="none" w:color="auto" w:sz="0" w:space="0" w:frame="1"/>
              </w:rPr>
              <w:t> </w:t>
            </w:r>
          </w:p>
        </w:tc>
        <w:tc>
          <w:tcPr>
            <w:tcW w:w="1645" w:type="dxa"/>
            <w:shd w:val="clear" w:color="auto" w:fill="FFFFFF"/>
            <w:hideMark/>
          </w:tcPr>
          <w:p w:rsidRPr="00D8382D" w:rsidR="00BB4D78" w:rsidP="00664957" w:rsidRDefault="00BB4D78" w14:paraId="4AFFF095" w14:textId="77777777">
            <w:pPr>
              <w:jc w:val="right"/>
              <w:rPr>
                <w:rFonts w:ascii="Arial" w:hAnsi="Arial" w:cs="Arial"/>
                <w:sz w:val="24"/>
                <w:szCs w:val="24"/>
              </w:rPr>
            </w:pPr>
            <w:r w:rsidRPr="00D8382D">
              <w:rPr>
                <w:sz w:val="24"/>
                <w:szCs w:val="24"/>
                <w:bdr w:val="none" w:color="auto" w:sz="0" w:space="0" w:frame="1"/>
              </w:rPr>
              <w:t> </w:t>
            </w:r>
          </w:p>
        </w:tc>
        <w:tc>
          <w:tcPr>
            <w:tcW w:w="1157" w:type="dxa"/>
            <w:shd w:val="clear" w:color="auto" w:fill="FFFFFF"/>
            <w:hideMark/>
          </w:tcPr>
          <w:p w:rsidRPr="00D8382D" w:rsidR="00BB4D78" w:rsidP="00664957" w:rsidRDefault="00BB4D78" w14:paraId="57BD5EF1" w14:textId="77777777">
            <w:pPr>
              <w:jc w:val="right"/>
              <w:rPr>
                <w:rFonts w:ascii="Arial" w:hAnsi="Arial" w:cs="Arial"/>
                <w:sz w:val="24"/>
                <w:szCs w:val="24"/>
              </w:rPr>
            </w:pPr>
            <w:r w:rsidRPr="00D8382D">
              <w:rPr>
                <w:sz w:val="24"/>
                <w:szCs w:val="24"/>
                <w:bdr w:val="none" w:color="auto" w:sz="0" w:space="0" w:frame="1"/>
              </w:rPr>
              <w:t> </w:t>
            </w:r>
          </w:p>
        </w:tc>
        <w:tc>
          <w:tcPr>
            <w:tcW w:w="1452" w:type="dxa"/>
            <w:shd w:val="clear" w:color="auto" w:fill="FFFFFF"/>
            <w:hideMark/>
          </w:tcPr>
          <w:p w:rsidRPr="00D8382D" w:rsidR="00BB4D78" w:rsidP="00664957" w:rsidRDefault="00BB4D78" w14:paraId="16F02316" w14:textId="77777777">
            <w:pPr>
              <w:jc w:val="right"/>
              <w:rPr>
                <w:rFonts w:ascii="Arial" w:hAnsi="Arial" w:cs="Arial"/>
                <w:sz w:val="24"/>
                <w:szCs w:val="24"/>
              </w:rPr>
            </w:pPr>
            <w:r w:rsidRPr="00D8382D">
              <w:rPr>
                <w:sz w:val="24"/>
                <w:szCs w:val="24"/>
                <w:bdr w:val="none" w:color="auto" w:sz="0" w:space="0" w:frame="1"/>
              </w:rPr>
              <w:t> </w:t>
            </w:r>
          </w:p>
        </w:tc>
      </w:tr>
      <w:tr w:rsidRPr="00963CA1" w:rsidR="00BB4D78" w:rsidTr="00664957" w14:paraId="0331D8F5" w14:textId="77777777">
        <w:trPr>
          <w:trHeight w:val="269"/>
        </w:trPr>
        <w:tc>
          <w:tcPr>
            <w:tcW w:w="2855" w:type="dxa"/>
            <w:shd w:val="clear" w:color="auto" w:fill="FFFFFF"/>
            <w:hideMark/>
          </w:tcPr>
          <w:p w:rsidRPr="00963CA1" w:rsidR="00BB4D78" w:rsidP="00664957" w:rsidRDefault="00BB4D78" w14:paraId="3C91E415" w14:textId="77777777">
            <w:pPr>
              <w:ind w:left="311"/>
              <w:rPr>
                <w:rFonts w:ascii="Arial" w:hAnsi="Arial" w:cs="Arial"/>
                <w:color w:val="201F1E"/>
              </w:rPr>
            </w:pPr>
            <w:r w:rsidRPr="00963CA1">
              <w:rPr>
                <w:color w:val="201F1E"/>
                <w:sz w:val="24"/>
                <w:szCs w:val="24"/>
                <w:bdr w:val="none" w:color="auto" w:sz="0" w:space="0" w:frame="1"/>
              </w:rPr>
              <w:t>Indian country jails</w:t>
            </w:r>
          </w:p>
        </w:tc>
        <w:tc>
          <w:tcPr>
            <w:tcW w:w="966" w:type="dxa"/>
            <w:shd w:val="clear" w:color="auto" w:fill="FFFFFF"/>
            <w:hideMark/>
          </w:tcPr>
          <w:p w:rsidRPr="00963CA1" w:rsidR="00BB4D78" w:rsidP="00664957" w:rsidRDefault="00BB4D78" w14:paraId="43E7BDF7" w14:textId="77777777">
            <w:pPr>
              <w:ind w:left="72" w:right="84"/>
              <w:rPr>
                <w:rFonts w:ascii="Arial" w:hAnsi="Arial" w:cs="Arial"/>
                <w:color w:val="201F1E"/>
              </w:rPr>
            </w:pPr>
            <w:r w:rsidRPr="00963CA1">
              <w:rPr>
                <w:color w:val="201F1E"/>
                <w:sz w:val="24"/>
                <w:szCs w:val="24"/>
                <w:bdr w:val="none" w:color="auto" w:sz="0" w:space="0" w:frame="1"/>
              </w:rPr>
              <w:t>SSV-4</w:t>
            </w:r>
          </w:p>
        </w:tc>
        <w:tc>
          <w:tcPr>
            <w:tcW w:w="1285" w:type="dxa"/>
            <w:shd w:val="clear" w:color="auto" w:fill="FFFFFF"/>
            <w:hideMark/>
          </w:tcPr>
          <w:p w:rsidRPr="00963CA1" w:rsidR="00BB4D78" w:rsidP="00664957" w:rsidRDefault="00BB4D78" w14:paraId="2C6F7962" w14:textId="77777777">
            <w:pPr>
              <w:ind w:right="212"/>
              <w:jc w:val="right"/>
              <w:rPr>
                <w:rFonts w:ascii="Arial" w:hAnsi="Arial" w:cs="Arial"/>
                <w:color w:val="201F1E"/>
              </w:rPr>
            </w:pPr>
            <w:r w:rsidRPr="00963CA1">
              <w:rPr>
                <w:color w:val="201F1E"/>
                <w:sz w:val="24"/>
                <w:szCs w:val="24"/>
                <w:bdr w:val="none" w:color="auto" w:sz="0" w:space="0" w:frame="1"/>
              </w:rPr>
              <w:t>25</w:t>
            </w:r>
          </w:p>
        </w:tc>
        <w:tc>
          <w:tcPr>
            <w:tcW w:w="1645" w:type="dxa"/>
            <w:shd w:val="clear" w:color="auto" w:fill="FFFFFF"/>
            <w:hideMark/>
          </w:tcPr>
          <w:p w:rsidRPr="00D8382D" w:rsidR="00BB4D78" w:rsidP="00664957" w:rsidRDefault="00BB4D78" w14:paraId="4B907779" w14:textId="77777777">
            <w:pPr>
              <w:ind w:right="89"/>
              <w:jc w:val="right"/>
              <w:rPr>
                <w:rFonts w:ascii="Arial" w:hAnsi="Arial" w:cs="Arial"/>
                <w:sz w:val="24"/>
                <w:szCs w:val="24"/>
              </w:rPr>
            </w:pPr>
            <w:r w:rsidRPr="00D8382D">
              <w:rPr>
                <w:sz w:val="24"/>
                <w:szCs w:val="24"/>
                <w:bdr w:val="none" w:color="auto" w:sz="0" w:space="0" w:frame="1"/>
              </w:rPr>
              <w:t>25</w:t>
            </w:r>
          </w:p>
        </w:tc>
        <w:tc>
          <w:tcPr>
            <w:tcW w:w="1157" w:type="dxa"/>
            <w:shd w:val="clear" w:color="auto" w:fill="FFFFFF"/>
            <w:hideMark/>
          </w:tcPr>
          <w:p w:rsidRPr="00D8382D" w:rsidR="00BB4D78" w:rsidP="00664957" w:rsidRDefault="00BB4D78" w14:paraId="004432C1" w14:textId="77777777">
            <w:pPr>
              <w:ind w:right="144"/>
              <w:jc w:val="right"/>
              <w:rPr>
                <w:rFonts w:ascii="Arial" w:hAnsi="Arial" w:cs="Arial"/>
                <w:sz w:val="24"/>
                <w:szCs w:val="24"/>
              </w:rPr>
            </w:pPr>
            <w:r w:rsidRPr="00D8382D">
              <w:rPr>
                <w:sz w:val="24"/>
                <w:szCs w:val="24"/>
                <w:bdr w:val="none" w:color="auto" w:sz="0" w:space="0" w:frame="1"/>
              </w:rPr>
              <w:t>21</w:t>
            </w:r>
          </w:p>
        </w:tc>
        <w:tc>
          <w:tcPr>
            <w:tcW w:w="1452" w:type="dxa"/>
            <w:shd w:val="clear" w:color="auto" w:fill="FFFFFF"/>
            <w:hideMark/>
          </w:tcPr>
          <w:p w:rsidRPr="00D8382D" w:rsidR="00BB4D78" w:rsidP="00664957" w:rsidRDefault="00BB4D78" w14:paraId="535BC8C4" w14:textId="77777777">
            <w:pPr>
              <w:ind w:right="54"/>
              <w:jc w:val="right"/>
              <w:rPr>
                <w:rFonts w:ascii="Arial" w:hAnsi="Arial" w:cs="Arial"/>
                <w:sz w:val="24"/>
                <w:szCs w:val="24"/>
              </w:rPr>
            </w:pPr>
            <w:r w:rsidRPr="00D8382D">
              <w:rPr>
                <w:sz w:val="24"/>
                <w:szCs w:val="24"/>
                <w:bdr w:val="none" w:color="auto" w:sz="0" w:space="0" w:frame="1"/>
              </w:rPr>
              <w:t>84</w:t>
            </w:r>
            <w:r>
              <w:rPr>
                <w:sz w:val="24"/>
                <w:szCs w:val="24"/>
                <w:bdr w:val="none" w:color="auto" w:sz="0" w:space="0" w:frame="1"/>
              </w:rPr>
              <w:t>.0</w:t>
            </w:r>
            <w:r w:rsidRPr="00D8382D">
              <w:rPr>
                <w:sz w:val="24"/>
                <w:szCs w:val="24"/>
                <w:bdr w:val="none" w:color="auto" w:sz="0" w:space="0" w:frame="1"/>
              </w:rPr>
              <w:t>% </w:t>
            </w:r>
          </w:p>
        </w:tc>
      </w:tr>
      <w:tr w:rsidRPr="00963CA1" w:rsidR="00BB4D78" w:rsidTr="00664957" w14:paraId="61CF788C" w14:textId="77777777">
        <w:trPr>
          <w:trHeight w:val="270"/>
        </w:trPr>
        <w:tc>
          <w:tcPr>
            <w:tcW w:w="2855" w:type="dxa"/>
            <w:shd w:val="clear" w:color="auto" w:fill="FFFFFF"/>
            <w:hideMark/>
          </w:tcPr>
          <w:p w:rsidRPr="00963CA1" w:rsidR="00BB4D78" w:rsidP="00664957" w:rsidRDefault="00BB4D78" w14:paraId="2A5CD106" w14:textId="77777777">
            <w:pPr>
              <w:ind w:left="311"/>
              <w:rPr>
                <w:rFonts w:ascii="Arial" w:hAnsi="Arial" w:cs="Arial"/>
                <w:color w:val="201F1E"/>
              </w:rPr>
            </w:pPr>
            <w:r w:rsidRPr="00963CA1">
              <w:rPr>
                <w:color w:val="201F1E"/>
                <w:sz w:val="24"/>
                <w:szCs w:val="24"/>
                <w:bdr w:val="none" w:color="auto" w:sz="0" w:space="0" w:frame="1"/>
              </w:rPr>
              <w:t>Military systems</w:t>
            </w:r>
          </w:p>
        </w:tc>
        <w:tc>
          <w:tcPr>
            <w:tcW w:w="966" w:type="dxa"/>
            <w:shd w:val="clear" w:color="auto" w:fill="FFFFFF"/>
            <w:hideMark/>
          </w:tcPr>
          <w:p w:rsidRPr="00963CA1" w:rsidR="00BB4D78" w:rsidP="00664957" w:rsidRDefault="00BB4D78" w14:paraId="45CB987E" w14:textId="77777777">
            <w:pPr>
              <w:ind w:left="72" w:right="84"/>
              <w:rPr>
                <w:rFonts w:ascii="Arial" w:hAnsi="Arial" w:cs="Arial"/>
                <w:color w:val="201F1E"/>
              </w:rPr>
            </w:pPr>
            <w:r w:rsidRPr="00963CA1">
              <w:rPr>
                <w:color w:val="201F1E"/>
                <w:sz w:val="24"/>
                <w:szCs w:val="24"/>
                <w:bdr w:val="none" w:color="auto" w:sz="0" w:space="0" w:frame="1"/>
              </w:rPr>
              <w:t>SSV-4</w:t>
            </w:r>
          </w:p>
        </w:tc>
        <w:tc>
          <w:tcPr>
            <w:tcW w:w="1285" w:type="dxa"/>
            <w:shd w:val="clear" w:color="auto" w:fill="FFFFFF"/>
            <w:hideMark/>
          </w:tcPr>
          <w:p w:rsidRPr="00963CA1" w:rsidR="00BB4D78" w:rsidP="00664957" w:rsidRDefault="00BB4D78" w14:paraId="2EA5E4EE" w14:textId="77777777">
            <w:pPr>
              <w:ind w:right="209"/>
              <w:jc w:val="right"/>
              <w:rPr>
                <w:rFonts w:ascii="Arial" w:hAnsi="Arial" w:cs="Arial"/>
                <w:color w:val="201F1E"/>
              </w:rPr>
            </w:pPr>
            <w:r w:rsidRPr="00963CA1">
              <w:rPr>
                <w:color w:val="201F1E"/>
                <w:sz w:val="24"/>
                <w:szCs w:val="24"/>
                <w:bdr w:val="none" w:color="auto" w:sz="0" w:space="0" w:frame="1"/>
              </w:rPr>
              <w:t>4</w:t>
            </w:r>
          </w:p>
        </w:tc>
        <w:tc>
          <w:tcPr>
            <w:tcW w:w="1645" w:type="dxa"/>
            <w:shd w:val="clear" w:color="auto" w:fill="FFFFFF"/>
            <w:hideMark/>
          </w:tcPr>
          <w:p w:rsidRPr="00D8382D" w:rsidR="00BB4D78" w:rsidP="00664957" w:rsidRDefault="00BB4D78" w14:paraId="2D4C390E" w14:textId="77777777">
            <w:pPr>
              <w:ind w:right="86"/>
              <w:jc w:val="right"/>
              <w:rPr>
                <w:rFonts w:ascii="Arial" w:hAnsi="Arial" w:cs="Arial"/>
                <w:sz w:val="24"/>
                <w:szCs w:val="24"/>
              </w:rPr>
            </w:pPr>
            <w:r w:rsidRPr="00D8382D">
              <w:rPr>
                <w:sz w:val="24"/>
                <w:szCs w:val="24"/>
                <w:bdr w:val="none" w:color="auto" w:sz="0" w:space="0" w:frame="1"/>
              </w:rPr>
              <w:t>4</w:t>
            </w:r>
          </w:p>
        </w:tc>
        <w:tc>
          <w:tcPr>
            <w:tcW w:w="1157" w:type="dxa"/>
            <w:shd w:val="clear" w:color="auto" w:fill="FFFFFF"/>
            <w:hideMark/>
          </w:tcPr>
          <w:p w:rsidRPr="00D8382D" w:rsidR="00BB4D78" w:rsidP="00664957" w:rsidRDefault="00BB4D78" w14:paraId="6035A992" w14:textId="77777777">
            <w:pPr>
              <w:ind w:right="150"/>
              <w:jc w:val="right"/>
              <w:rPr>
                <w:rFonts w:ascii="Arial" w:hAnsi="Arial" w:cs="Arial"/>
                <w:sz w:val="24"/>
                <w:szCs w:val="24"/>
              </w:rPr>
            </w:pPr>
            <w:r w:rsidRPr="00D8382D">
              <w:rPr>
                <w:sz w:val="24"/>
                <w:szCs w:val="24"/>
                <w:bdr w:val="none" w:color="auto" w:sz="0" w:space="0" w:frame="1"/>
              </w:rPr>
              <w:t>4</w:t>
            </w:r>
          </w:p>
        </w:tc>
        <w:tc>
          <w:tcPr>
            <w:tcW w:w="1452" w:type="dxa"/>
            <w:shd w:val="clear" w:color="auto" w:fill="FFFFFF"/>
            <w:hideMark/>
          </w:tcPr>
          <w:p w:rsidRPr="00D8382D" w:rsidR="00BB4D78" w:rsidP="00664957" w:rsidRDefault="00BB4D78" w14:paraId="05B73DEE" w14:textId="77777777">
            <w:pPr>
              <w:ind w:right="197"/>
              <w:jc w:val="center"/>
              <w:rPr>
                <w:rFonts w:ascii="Arial" w:hAnsi="Arial" w:cs="Arial"/>
                <w:sz w:val="24"/>
                <w:szCs w:val="24"/>
              </w:rPr>
            </w:pPr>
            <w:r>
              <w:rPr>
                <w:sz w:val="24"/>
                <w:szCs w:val="24"/>
                <w:bdr w:val="none" w:color="auto" w:sz="0" w:space="0" w:frame="1"/>
              </w:rPr>
              <w:t xml:space="preserve">        </w:t>
            </w:r>
            <w:r w:rsidRPr="00D8382D">
              <w:rPr>
                <w:sz w:val="24"/>
                <w:szCs w:val="24"/>
                <w:bdr w:val="none" w:color="auto" w:sz="0" w:space="0" w:frame="1"/>
              </w:rPr>
              <w:t>100</w:t>
            </w:r>
          </w:p>
        </w:tc>
      </w:tr>
      <w:tr w:rsidRPr="00963CA1" w:rsidR="00BB4D78" w:rsidTr="00664957" w14:paraId="758EBE7F" w14:textId="77777777">
        <w:trPr>
          <w:trHeight w:val="245"/>
        </w:trPr>
        <w:tc>
          <w:tcPr>
            <w:tcW w:w="2855" w:type="dxa"/>
            <w:shd w:val="clear" w:color="auto" w:fill="FFFFFF"/>
            <w:hideMark/>
          </w:tcPr>
          <w:p w:rsidRPr="00963CA1" w:rsidR="00BB4D78" w:rsidP="00664957" w:rsidRDefault="00BB4D78" w14:paraId="6F508FB0" w14:textId="77777777">
            <w:pPr>
              <w:spacing w:line="210" w:lineRule="atLeast"/>
              <w:ind w:left="311"/>
              <w:rPr>
                <w:rFonts w:ascii="Arial" w:hAnsi="Arial" w:cs="Arial"/>
                <w:color w:val="201F1E"/>
              </w:rPr>
            </w:pPr>
            <w:r w:rsidRPr="00963CA1">
              <w:rPr>
                <w:color w:val="201F1E"/>
                <w:sz w:val="24"/>
                <w:szCs w:val="24"/>
                <w:bdr w:val="none" w:color="auto" w:sz="0" w:space="0" w:frame="1"/>
              </w:rPr>
              <w:t>ICE</w:t>
            </w:r>
          </w:p>
        </w:tc>
        <w:tc>
          <w:tcPr>
            <w:tcW w:w="966" w:type="dxa"/>
            <w:shd w:val="clear" w:color="auto" w:fill="FFFFFF"/>
            <w:hideMark/>
          </w:tcPr>
          <w:p w:rsidRPr="00963CA1" w:rsidR="00BB4D78" w:rsidP="00664957" w:rsidRDefault="00BB4D78" w14:paraId="00A5444F" w14:textId="77777777">
            <w:pPr>
              <w:spacing w:line="210" w:lineRule="atLeast"/>
              <w:ind w:left="72" w:right="84"/>
              <w:rPr>
                <w:rFonts w:ascii="Arial" w:hAnsi="Arial" w:cs="Arial"/>
                <w:color w:val="201F1E"/>
              </w:rPr>
            </w:pPr>
            <w:r w:rsidRPr="00963CA1">
              <w:rPr>
                <w:color w:val="201F1E"/>
                <w:sz w:val="24"/>
                <w:szCs w:val="24"/>
                <w:bdr w:val="none" w:color="auto" w:sz="0" w:space="0" w:frame="1"/>
              </w:rPr>
              <w:t>SSV-4</w:t>
            </w:r>
          </w:p>
        </w:tc>
        <w:tc>
          <w:tcPr>
            <w:tcW w:w="1285" w:type="dxa"/>
            <w:shd w:val="clear" w:color="auto" w:fill="FFFFFF"/>
            <w:hideMark/>
          </w:tcPr>
          <w:p w:rsidRPr="00963CA1" w:rsidR="00BB4D78" w:rsidP="00664957" w:rsidRDefault="00BB4D78" w14:paraId="5F3A376E" w14:textId="77777777">
            <w:pPr>
              <w:spacing w:line="210" w:lineRule="atLeast"/>
              <w:ind w:right="212"/>
              <w:jc w:val="right"/>
              <w:rPr>
                <w:rFonts w:ascii="Arial" w:hAnsi="Arial" w:cs="Arial"/>
                <w:color w:val="201F1E"/>
              </w:rPr>
            </w:pPr>
            <w:r w:rsidRPr="00963CA1">
              <w:rPr>
                <w:color w:val="201F1E"/>
                <w:sz w:val="24"/>
                <w:szCs w:val="24"/>
                <w:bdr w:val="none" w:color="auto" w:sz="0" w:space="0" w:frame="1"/>
              </w:rPr>
              <w:t>31</w:t>
            </w:r>
          </w:p>
        </w:tc>
        <w:tc>
          <w:tcPr>
            <w:tcW w:w="1645" w:type="dxa"/>
            <w:shd w:val="clear" w:color="auto" w:fill="FFFFFF"/>
            <w:hideMark/>
          </w:tcPr>
          <w:p w:rsidRPr="00D8382D" w:rsidR="00BB4D78" w:rsidP="00664957" w:rsidRDefault="00BB4D78" w14:paraId="576D61A9" w14:textId="77777777">
            <w:pPr>
              <w:spacing w:line="210" w:lineRule="atLeast"/>
              <w:ind w:right="89"/>
              <w:jc w:val="right"/>
              <w:rPr>
                <w:rFonts w:ascii="Arial" w:hAnsi="Arial" w:cs="Arial"/>
                <w:sz w:val="24"/>
                <w:szCs w:val="24"/>
              </w:rPr>
            </w:pPr>
            <w:r w:rsidRPr="00D8382D">
              <w:rPr>
                <w:sz w:val="24"/>
                <w:szCs w:val="24"/>
                <w:bdr w:val="none" w:color="auto" w:sz="0" w:space="0" w:frame="1"/>
              </w:rPr>
              <w:t>31</w:t>
            </w:r>
          </w:p>
        </w:tc>
        <w:tc>
          <w:tcPr>
            <w:tcW w:w="1157" w:type="dxa"/>
            <w:shd w:val="clear" w:color="auto" w:fill="FFFFFF"/>
            <w:hideMark/>
          </w:tcPr>
          <w:p w:rsidRPr="00D8382D" w:rsidR="00BB4D78" w:rsidP="00664957" w:rsidRDefault="00BB4D78" w14:paraId="1A486883" w14:textId="77777777">
            <w:pPr>
              <w:spacing w:line="210" w:lineRule="atLeast"/>
              <w:ind w:right="144"/>
              <w:jc w:val="right"/>
              <w:rPr>
                <w:rFonts w:ascii="Arial" w:hAnsi="Arial" w:cs="Arial"/>
                <w:sz w:val="24"/>
                <w:szCs w:val="24"/>
              </w:rPr>
            </w:pPr>
            <w:r w:rsidRPr="00D8382D">
              <w:rPr>
                <w:sz w:val="24"/>
                <w:szCs w:val="24"/>
                <w:bdr w:val="none" w:color="auto" w:sz="0" w:space="0" w:frame="1"/>
              </w:rPr>
              <w:t>31</w:t>
            </w:r>
          </w:p>
        </w:tc>
        <w:tc>
          <w:tcPr>
            <w:tcW w:w="1452" w:type="dxa"/>
            <w:shd w:val="clear" w:color="auto" w:fill="FFFFFF"/>
            <w:hideMark/>
          </w:tcPr>
          <w:p w:rsidRPr="00D8382D" w:rsidR="00BB4D78" w:rsidP="00664957" w:rsidRDefault="00BB4D78" w14:paraId="66DE3471" w14:textId="77777777">
            <w:pPr>
              <w:spacing w:line="210" w:lineRule="atLeast"/>
              <w:ind w:right="197"/>
              <w:jc w:val="center"/>
              <w:rPr>
                <w:rFonts w:ascii="Arial" w:hAnsi="Arial" w:cs="Arial"/>
                <w:sz w:val="24"/>
                <w:szCs w:val="24"/>
              </w:rPr>
            </w:pPr>
            <w:r>
              <w:rPr>
                <w:sz w:val="24"/>
                <w:szCs w:val="24"/>
                <w:bdr w:val="none" w:color="auto" w:sz="0" w:space="0" w:frame="1"/>
              </w:rPr>
              <w:t xml:space="preserve">        </w:t>
            </w:r>
            <w:r w:rsidRPr="00D8382D">
              <w:rPr>
                <w:sz w:val="24"/>
                <w:szCs w:val="24"/>
                <w:bdr w:val="none" w:color="auto" w:sz="0" w:space="0" w:frame="1"/>
              </w:rPr>
              <w:t>100 </w:t>
            </w:r>
          </w:p>
        </w:tc>
      </w:tr>
      <w:tr w:rsidRPr="00963CA1" w:rsidR="00BB4D78" w:rsidTr="00664957" w14:paraId="250A9E9F" w14:textId="77777777">
        <w:trPr>
          <w:trHeight w:val="294"/>
        </w:trPr>
        <w:tc>
          <w:tcPr>
            <w:tcW w:w="2855" w:type="dxa"/>
            <w:shd w:val="clear" w:color="auto" w:fill="FFFFFF"/>
            <w:hideMark/>
          </w:tcPr>
          <w:p w:rsidRPr="00963CA1" w:rsidR="00BB4D78" w:rsidP="00664957" w:rsidRDefault="00BB4D78" w14:paraId="002EFA1D" w14:textId="77777777">
            <w:pPr>
              <w:ind w:left="35"/>
              <w:rPr>
                <w:rFonts w:ascii="Arial" w:hAnsi="Arial" w:cs="Arial"/>
                <w:color w:val="201F1E"/>
              </w:rPr>
            </w:pPr>
            <w:r w:rsidRPr="00963CA1">
              <w:rPr>
                <w:color w:val="201F1E"/>
                <w:sz w:val="24"/>
                <w:szCs w:val="24"/>
                <w:bdr w:val="none" w:color="auto" w:sz="0" w:space="0" w:frame="1"/>
              </w:rPr>
              <w:t>Juvenile facilities</w:t>
            </w:r>
          </w:p>
        </w:tc>
        <w:tc>
          <w:tcPr>
            <w:tcW w:w="966" w:type="dxa"/>
            <w:shd w:val="clear" w:color="auto" w:fill="FFFFFF"/>
            <w:hideMark/>
          </w:tcPr>
          <w:p w:rsidRPr="00963CA1" w:rsidR="00BB4D78" w:rsidP="00664957" w:rsidRDefault="00BB4D78" w14:paraId="253DD446" w14:textId="77777777">
            <w:pPr>
              <w:rPr>
                <w:rFonts w:ascii="Arial" w:hAnsi="Arial" w:cs="Arial"/>
                <w:color w:val="201F1E"/>
              </w:rPr>
            </w:pPr>
            <w:r w:rsidRPr="00963CA1">
              <w:rPr>
                <w:color w:val="201F1E"/>
                <w:sz w:val="24"/>
                <w:szCs w:val="24"/>
                <w:bdr w:val="none" w:color="auto" w:sz="0" w:space="0" w:frame="1"/>
              </w:rPr>
              <w:t> </w:t>
            </w:r>
          </w:p>
        </w:tc>
        <w:tc>
          <w:tcPr>
            <w:tcW w:w="1285" w:type="dxa"/>
            <w:shd w:val="clear" w:color="auto" w:fill="FFFFFF"/>
            <w:hideMark/>
          </w:tcPr>
          <w:p w:rsidRPr="00963CA1" w:rsidR="00BB4D78" w:rsidP="00664957" w:rsidRDefault="00BB4D78" w14:paraId="50053B93" w14:textId="77777777">
            <w:pPr>
              <w:jc w:val="right"/>
              <w:rPr>
                <w:rFonts w:ascii="Arial" w:hAnsi="Arial" w:cs="Arial"/>
                <w:color w:val="201F1E"/>
              </w:rPr>
            </w:pPr>
            <w:r w:rsidRPr="00963CA1">
              <w:rPr>
                <w:color w:val="201F1E"/>
                <w:sz w:val="24"/>
                <w:szCs w:val="24"/>
                <w:bdr w:val="none" w:color="auto" w:sz="0" w:space="0" w:frame="1"/>
              </w:rPr>
              <w:t> </w:t>
            </w:r>
          </w:p>
        </w:tc>
        <w:tc>
          <w:tcPr>
            <w:tcW w:w="1645" w:type="dxa"/>
            <w:shd w:val="clear" w:color="auto" w:fill="FFFFFF"/>
            <w:hideMark/>
          </w:tcPr>
          <w:p w:rsidRPr="00D8382D" w:rsidR="00BB4D78" w:rsidP="00664957" w:rsidRDefault="00BB4D78" w14:paraId="73CB5CD4" w14:textId="77777777">
            <w:pPr>
              <w:jc w:val="right"/>
              <w:rPr>
                <w:rFonts w:ascii="Arial" w:hAnsi="Arial" w:cs="Arial"/>
                <w:sz w:val="24"/>
                <w:szCs w:val="24"/>
              </w:rPr>
            </w:pPr>
            <w:r w:rsidRPr="00D8382D">
              <w:rPr>
                <w:sz w:val="24"/>
                <w:szCs w:val="24"/>
                <w:bdr w:val="none" w:color="auto" w:sz="0" w:space="0" w:frame="1"/>
              </w:rPr>
              <w:t> </w:t>
            </w:r>
          </w:p>
        </w:tc>
        <w:tc>
          <w:tcPr>
            <w:tcW w:w="1157" w:type="dxa"/>
            <w:shd w:val="clear" w:color="auto" w:fill="FFFFFF"/>
            <w:hideMark/>
          </w:tcPr>
          <w:p w:rsidRPr="00D8382D" w:rsidR="00BB4D78" w:rsidP="00664957" w:rsidRDefault="00BB4D78" w14:paraId="5BB51678" w14:textId="77777777">
            <w:pPr>
              <w:jc w:val="right"/>
              <w:rPr>
                <w:rFonts w:ascii="Arial" w:hAnsi="Arial" w:cs="Arial"/>
                <w:sz w:val="24"/>
                <w:szCs w:val="24"/>
              </w:rPr>
            </w:pPr>
            <w:r w:rsidRPr="00D8382D">
              <w:rPr>
                <w:sz w:val="24"/>
                <w:szCs w:val="24"/>
                <w:bdr w:val="none" w:color="auto" w:sz="0" w:space="0" w:frame="1"/>
              </w:rPr>
              <w:t> </w:t>
            </w:r>
          </w:p>
        </w:tc>
        <w:tc>
          <w:tcPr>
            <w:tcW w:w="1452" w:type="dxa"/>
            <w:shd w:val="clear" w:color="auto" w:fill="FFFFFF"/>
            <w:hideMark/>
          </w:tcPr>
          <w:p w:rsidRPr="00D8382D" w:rsidR="00BB4D78" w:rsidP="00664957" w:rsidRDefault="00BB4D78" w14:paraId="4D2BD156" w14:textId="77777777">
            <w:pPr>
              <w:jc w:val="right"/>
              <w:rPr>
                <w:rFonts w:ascii="Arial" w:hAnsi="Arial" w:cs="Arial"/>
                <w:sz w:val="24"/>
                <w:szCs w:val="24"/>
              </w:rPr>
            </w:pPr>
            <w:r w:rsidRPr="00D8382D">
              <w:rPr>
                <w:sz w:val="24"/>
                <w:szCs w:val="24"/>
                <w:bdr w:val="none" w:color="auto" w:sz="0" w:space="0" w:frame="1"/>
              </w:rPr>
              <w:t> </w:t>
            </w:r>
          </w:p>
        </w:tc>
      </w:tr>
      <w:tr w:rsidRPr="00963CA1" w:rsidR="00BB4D78" w:rsidTr="00664957" w14:paraId="397122C4" w14:textId="77777777">
        <w:trPr>
          <w:trHeight w:val="269"/>
        </w:trPr>
        <w:tc>
          <w:tcPr>
            <w:tcW w:w="2855" w:type="dxa"/>
            <w:shd w:val="clear" w:color="auto" w:fill="FFFFFF"/>
            <w:hideMark/>
          </w:tcPr>
          <w:p w:rsidRPr="00963CA1" w:rsidR="00BB4D78" w:rsidP="00664957" w:rsidRDefault="00BB4D78" w14:paraId="2373ED17" w14:textId="77777777">
            <w:pPr>
              <w:ind w:left="311"/>
              <w:rPr>
                <w:rFonts w:ascii="Arial" w:hAnsi="Arial" w:cs="Arial"/>
                <w:color w:val="201F1E"/>
              </w:rPr>
            </w:pPr>
            <w:r w:rsidRPr="00963CA1">
              <w:rPr>
                <w:color w:val="201F1E"/>
                <w:sz w:val="24"/>
                <w:szCs w:val="24"/>
                <w:bdr w:val="none" w:color="auto" w:sz="0" w:space="0" w:frame="1"/>
              </w:rPr>
              <w:t>Public – state/DC systems*</w:t>
            </w:r>
          </w:p>
        </w:tc>
        <w:tc>
          <w:tcPr>
            <w:tcW w:w="966" w:type="dxa"/>
            <w:shd w:val="clear" w:color="auto" w:fill="FFFFFF"/>
            <w:hideMark/>
          </w:tcPr>
          <w:p w:rsidRPr="00963CA1" w:rsidR="00BB4D78" w:rsidP="00664957" w:rsidRDefault="00BB4D78" w14:paraId="315B4F18" w14:textId="77777777">
            <w:pPr>
              <w:ind w:left="72" w:right="84"/>
              <w:rPr>
                <w:rFonts w:ascii="Arial" w:hAnsi="Arial" w:cs="Arial"/>
                <w:color w:val="201F1E"/>
              </w:rPr>
            </w:pPr>
            <w:r w:rsidRPr="00963CA1">
              <w:rPr>
                <w:color w:val="201F1E"/>
                <w:sz w:val="24"/>
                <w:szCs w:val="24"/>
                <w:bdr w:val="none" w:color="auto" w:sz="0" w:space="0" w:frame="1"/>
              </w:rPr>
              <w:t>SSV-5</w:t>
            </w:r>
          </w:p>
        </w:tc>
        <w:tc>
          <w:tcPr>
            <w:tcW w:w="1285" w:type="dxa"/>
            <w:shd w:val="clear" w:color="auto" w:fill="FFFFFF"/>
            <w:hideMark/>
          </w:tcPr>
          <w:p w:rsidRPr="00963CA1" w:rsidR="00BB4D78" w:rsidP="00664957" w:rsidRDefault="00BB4D78" w14:paraId="16F606FD" w14:textId="77777777">
            <w:pPr>
              <w:ind w:right="212"/>
              <w:jc w:val="right"/>
              <w:rPr>
                <w:rFonts w:ascii="Arial" w:hAnsi="Arial" w:cs="Arial"/>
                <w:color w:val="201F1E"/>
              </w:rPr>
            </w:pPr>
            <w:r w:rsidRPr="00963CA1">
              <w:rPr>
                <w:color w:val="201F1E"/>
                <w:sz w:val="24"/>
                <w:szCs w:val="24"/>
                <w:bdr w:val="none" w:color="auto" w:sz="0" w:space="0" w:frame="1"/>
              </w:rPr>
              <w:t>51</w:t>
            </w:r>
          </w:p>
        </w:tc>
        <w:tc>
          <w:tcPr>
            <w:tcW w:w="1645" w:type="dxa"/>
            <w:shd w:val="clear" w:color="auto" w:fill="FFFFFF"/>
            <w:hideMark/>
          </w:tcPr>
          <w:p w:rsidRPr="00D8382D" w:rsidR="00BB4D78" w:rsidP="00664957" w:rsidRDefault="00BB4D78" w14:paraId="7776E562" w14:textId="77777777">
            <w:pPr>
              <w:ind w:right="89"/>
              <w:jc w:val="right"/>
              <w:rPr>
                <w:rFonts w:ascii="Arial" w:hAnsi="Arial" w:cs="Arial"/>
                <w:sz w:val="24"/>
                <w:szCs w:val="24"/>
              </w:rPr>
            </w:pPr>
            <w:r w:rsidRPr="00D8382D">
              <w:rPr>
                <w:sz w:val="24"/>
                <w:szCs w:val="24"/>
                <w:bdr w:val="none" w:color="auto" w:sz="0" w:space="0" w:frame="1"/>
              </w:rPr>
              <w:t>47</w:t>
            </w:r>
          </w:p>
        </w:tc>
        <w:tc>
          <w:tcPr>
            <w:tcW w:w="1157" w:type="dxa"/>
            <w:shd w:val="clear" w:color="auto" w:fill="FFFFFF"/>
            <w:hideMark/>
          </w:tcPr>
          <w:p w:rsidRPr="00D8382D" w:rsidR="00BB4D78" w:rsidP="00664957" w:rsidRDefault="00BB4D78" w14:paraId="274AD9C3" w14:textId="77777777">
            <w:pPr>
              <w:ind w:right="144"/>
              <w:jc w:val="right"/>
              <w:rPr>
                <w:rFonts w:ascii="Arial" w:hAnsi="Arial" w:cs="Arial"/>
                <w:sz w:val="24"/>
                <w:szCs w:val="24"/>
              </w:rPr>
            </w:pPr>
            <w:r w:rsidRPr="00D8382D">
              <w:rPr>
                <w:sz w:val="24"/>
                <w:szCs w:val="24"/>
                <w:bdr w:val="none" w:color="auto" w:sz="0" w:space="0" w:frame="1"/>
              </w:rPr>
              <w:t>47</w:t>
            </w:r>
          </w:p>
        </w:tc>
        <w:tc>
          <w:tcPr>
            <w:tcW w:w="1452" w:type="dxa"/>
            <w:shd w:val="clear" w:color="auto" w:fill="FFFFFF"/>
            <w:hideMark/>
          </w:tcPr>
          <w:p w:rsidRPr="00D8382D" w:rsidR="00BB4D78" w:rsidP="00664957" w:rsidRDefault="00BB4D78" w14:paraId="7D90DCBC" w14:textId="77777777">
            <w:pPr>
              <w:ind w:right="54"/>
              <w:jc w:val="center"/>
              <w:rPr>
                <w:rFonts w:ascii="Arial" w:hAnsi="Arial" w:cs="Arial"/>
                <w:sz w:val="24"/>
                <w:szCs w:val="24"/>
              </w:rPr>
            </w:pPr>
            <w:r>
              <w:rPr>
                <w:sz w:val="24"/>
                <w:szCs w:val="24"/>
                <w:bdr w:val="none" w:color="auto" w:sz="0" w:space="0" w:frame="1"/>
              </w:rPr>
              <w:t xml:space="preserve">           </w:t>
            </w:r>
            <w:r w:rsidRPr="00D8382D">
              <w:rPr>
                <w:sz w:val="24"/>
                <w:szCs w:val="24"/>
                <w:bdr w:val="none" w:color="auto" w:sz="0" w:space="0" w:frame="1"/>
              </w:rPr>
              <w:t>100%</w:t>
            </w:r>
          </w:p>
        </w:tc>
      </w:tr>
      <w:tr w:rsidRPr="00963CA1" w:rsidR="00BB4D78" w:rsidTr="00664957" w14:paraId="622A3A85" w14:textId="77777777">
        <w:trPr>
          <w:trHeight w:val="270"/>
        </w:trPr>
        <w:tc>
          <w:tcPr>
            <w:tcW w:w="2855" w:type="dxa"/>
            <w:shd w:val="clear" w:color="auto" w:fill="FFFFFF"/>
            <w:hideMark/>
          </w:tcPr>
          <w:p w:rsidRPr="00963CA1" w:rsidR="00BB4D78" w:rsidP="00664957" w:rsidRDefault="00BB4D78" w14:paraId="444F8674" w14:textId="77777777">
            <w:pPr>
              <w:ind w:left="311"/>
              <w:rPr>
                <w:rFonts w:ascii="Arial" w:hAnsi="Arial" w:cs="Arial"/>
                <w:color w:val="201F1E"/>
              </w:rPr>
            </w:pPr>
            <w:r w:rsidRPr="00963CA1">
              <w:rPr>
                <w:color w:val="201F1E"/>
                <w:sz w:val="24"/>
                <w:szCs w:val="24"/>
                <w:bdr w:val="none" w:color="auto" w:sz="0" w:space="0" w:frame="1"/>
              </w:rPr>
              <w:t>Public – local</w:t>
            </w:r>
          </w:p>
        </w:tc>
        <w:tc>
          <w:tcPr>
            <w:tcW w:w="966" w:type="dxa"/>
            <w:shd w:val="clear" w:color="auto" w:fill="FFFFFF"/>
            <w:hideMark/>
          </w:tcPr>
          <w:p w:rsidRPr="00963CA1" w:rsidR="00BB4D78" w:rsidP="00664957" w:rsidRDefault="00BB4D78" w14:paraId="39E5F465" w14:textId="77777777">
            <w:pPr>
              <w:ind w:left="72" w:right="84"/>
              <w:rPr>
                <w:rFonts w:ascii="Arial" w:hAnsi="Arial" w:cs="Arial"/>
                <w:color w:val="201F1E"/>
              </w:rPr>
            </w:pPr>
            <w:r w:rsidRPr="00963CA1">
              <w:rPr>
                <w:color w:val="201F1E"/>
                <w:sz w:val="24"/>
                <w:szCs w:val="24"/>
                <w:bdr w:val="none" w:color="auto" w:sz="0" w:space="0" w:frame="1"/>
              </w:rPr>
              <w:t>SSV-6</w:t>
            </w:r>
          </w:p>
        </w:tc>
        <w:tc>
          <w:tcPr>
            <w:tcW w:w="1285" w:type="dxa"/>
            <w:shd w:val="clear" w:color="auto" w:fill="FFFFFF"/>
            <w:hideMark/>
          </w:tcPr>
          <w:p w:rsidRPr="00963CA1" w:rsidR="00BB4D78" w:rsidP="00664957" w:rsidRDefault="00BB4D78" w14:paraId="45DDA1E1" w14:textId="77777777">
            <w:pPr>
              <w:ind w:right="212"/>
              <w:jc w:val="right"/>
              <w:rPr>
                <w:rFonts w:ascii="Arial" w:hAnsi="Arial" w:cs="Arial"/>
                <w:color w:val="201F1E"/>
              </w:rPr>
            </w:pPr>
            <w:r w:rsidRPr="00963CA1">
              <w:rPr>
                <w:color w:val="201F1E"/>
                <w:sz w:val="24"/>
                <w:szCs w:val="24"/>
                <w:bdr w:val="none" w:color="auto" w:sz="0" w:space="0" w:frame="1"/>
              </w:rPr>
              <w:t>26</w:t>
            </w:r>
            <w:r>
              <w:rPr>
                <w:color w:val="201F1E"/>
                <w:sz w:val="24"/>
                <w:szCs w:val="24"/>
                <w:bdr w:val="none" w:color="auto" w:sz="0" w:space="0" w:frame="1"/>
              </w:rPr>
              <w:t>5</w:t>
            </w:r>
          </w:p>
        </w:tc>
        <w:tc>
          <w:tcPr>
            <w:tcW w:w="1645" w:type="dxa"/>
            <w:shd w:val="clear" w:color="auto" w:fill="FFFFFF"/>
            <w:hideMark/>
          </w:tcPr>
          <w:p w:rsidRPr="00D8382D" w:rsidR="00BB4D78" w:rsidP="00664957" w:rsidRDefault="00BB4D78" w14:paraId="629810C0" w14:textId="77777777">
            <w:pPr>
              <w:ind w:right="89"/>
              <w:jc w:val="right"/>
              <w:rPr>
                <w:rFonts w:ascii="Arial" w:hAnsi="Arial" w:cs="Arial"/>
                <w:sz w:val="24"/>
                <w:szCs w:val="24"/>
              </w:rPr>
            </w:pPr>
            <w:r w:rsidRPr="00D8382D">
              <w:rPr>
                <w:sz w:val="24"/>
                <w:szCs w:val="24"/>
                <w:bdr w:val="none" w:color="auto" w:sz="0" w:space="0" w:frame="1"/>
              </w:rPr>
              <w:t>262</w:t>
            </w:r>
          </w:p>
        </w:tc>
        <w:tc>
          <w:tcPr>
            <w:tcW w:w="1157" w:type="dxa"/>
            <w:shd w:val="clear" w:color="auto" w:fill="FFFFFF"/>
            <w:hideMark/>
          </w:tcPr>
          <w:p w:rsidRPr="00D8382D" w:rsidR="00BB4D78" w:rsidP="00664957" w:rsidRDefault="00BB4D78" w14:paraId="7EC771AF" w14:textId="77777777">
            <w:pPr>
              <w:ind w:right="144"/>
              <w:jc w:val="right"/>
              <w:rPr>
                <w:rFonts w:ascii="Arial" w:hAnsi="Arial" w:cs="Arial"/>
                <w:sz w:val="24"/>
                <w:szCs w:val="24"/>
              </w:rPr>
            </w:pPr>
            <w:r w:rsidRPr="00D8382D">
              <w:rPr>
                <w:sz w:val="24"/>
                <w:szCs w:val="24"/>
                <w:bdr w:val="none" w:color="auto" w:sz="0" w:space="0" w:frame="1"/>
              </w:rPr>
              <w:t>246 </w:t>
            </w:r>
          </w:p>
        </w:tc>
        <w:tc>
          <w:tcPr>
            <w:tcW w:w="1452" w:type="dxa"/>
            <w:shd w:val="clear" w:color="auto" w:fill="FFFFFF"/>
            <w:hideMark/>
          </w:tcPr>
          <w:p w:rsidRPr="00D8382D" w:rsidR="00BB4D78" w:rsidP="00664957" w:rsidRDefault="00BB4D78" w14:paraId="446141E8" w14:textId="77777777">
            <w:pPr>
              <w:ind w:right="197"/>
              <w:jc w:val="center"/>
              <w:rPr>
                <w:sz w:val="24"/>
                <w:szCs w:val="24"/>
              </w:rPr>
            </w:pPr>
            <w:r>
              <w:rPr>
                <w:sz w:val="24"/>
                <w:szCs w:val="24"/>
              </w:rPr>
              <w:t xml:space="preserve">           </w:t>
            </w:r>
            <w:r w:rsidRPr="00D8382D">
              <w:rPr>
                <w:sz w:val="24"/>
                <w:szCs w:val="24"/>
              </w:rPr>
              <w:t>9</w:t>
            </w:r>
            <w:r>
              <w:rPr>
                <w:sz w:val="24"/>
                <w:szCs w:val="24"/>
              </w:rPr>
              <w:t>3.9</w:t>
            </w:r>
          </w:p>
        </w:tc>
      </w:tr>
      <w:tr w:rsidRPr="00963CA1" w:rsidR="00BB4D78" w:rsidTr="00664957" w14:paraId="1DA83091" w14:textId="77777777">
        <w:trPr>
          <w:trHeight w:val="270"/>
        </w:trPr>
        <w:tc>
          <w:tcPr>
            <w:tcW w:w="2855" w:type="dxa"/>
            <w:shd w:val="clear" w:color="auto" w:fill="FFFFFF"/>
            <w:hideMark/>
          </w:tcPr>
          <w:p w:rsidRPr="00963CA1" w:rsidR="00BB4D78" w:rsidP="00664957" w:rsidRDefault="00BB4D78" w14:paraId="0913E6F9" w14:textId="77777777">
            <w:pPr>
              <w:ind w:left="311"/>
              <w:rPr>
                <w:rFonts w:ascii="Arial" w:hAnsi="Arial" w:cs="Arial"/>
                <w:color w:val="201F1E"/>
              </w:rPr>
            </w:pPr>
            <w:r w:rsidRPr="00963CA1">
              <w:rPr>
                <w:color w:val="201F1E"/>
                <w:sz w:val="24"/>
                <w:szCs w:val="24"/>
                <w:bdr w:val="none" w:color="auto" w:sz="0" w:space="0" w:frame="1"/>
              </w:rPr>
              <w:t>Private</w:t>
            </w:r>
          </w:p>
        </w:tc>
        <w:tc>
          <w:tcPr>
            <w:tcW w:w="966" w:type="dxa"/>
            <w:shd w:val="clear" w:color="auto" w:fill="FFFFFF"/>
            <w:hideMark/>
          </w:tcPr>
          <w:p w:rsidRPr="00963CA1" w:rsidR="00BB4D78" w:rsidP="00664957" w:rsidRDefault="00BB4D78" w14:paraId="5B908C16" w14:textId="77777777">
            <w:pPr>
              <w:ind w:left="72" w:right="84"/>
              <w:rPr>
                <w:rFonts w:ascii="Arial" w:hAnsi="Arial" w:cs="Arial"/>
                <w:color w:val="201F1E"/>
              </w:rPr>
            </w:pPr>
            <w:r w:rsidRPr="00963CA1">
              <w:rPr>
                <w:color w:val="201F1E"/>
                <w:sz w:val="24"/>
                <w:szCs w:val="24"/>
                <w:bdr w:val="none" w:color="auto" w:sz="0" w:space="0" w:frame="1"/>
              </w:rPr>
              <w:t>SSV-6</w:t>
            </w:r>
          </w:p>
        </w:tc>
        <w:tc>
          <w:tcPr>
            <w:tcW w:w="1285" w:type="dxa"/>
            <w:shd w:val="clear" w:color="auto" w:fill="FFFFFF"/>
            <w:hideMark/>
          </w:tcPr>
          <w:p w:rsidRPr="00963CA1" w:rsidR="00BB4D78" w:rsidP="00664957" w:rsidRDefault="00BB4D78" w14:paraId="535B1995" w14:textId="77777777">
            <w:pPr>
              <w:ind w:right="212"/>
              <w:jc w:val="right"/>
              <w:rPr>
                <w:rFonts w:ascii="Arial" w:hAnsi="Arial" w:cs="Arial"/>
                <w:color w:val="201F1E"/>
              </w:rPr>
            </w:pPr>
            <w:r w:rsidRPr="00963CA1">
              <w:rPr>
                <w:color w:val="201F1E"/>
                <w:sz w:val="24"/>
                <w:szCs w:val="24"/>
                <w:bdr w:val="none" w:color="auto" w:sz="0" w:space="0" w:frame="1"/>
              </w:rPr>
              <w:t>26</w:t>
            </w:r>
            <w:r>
              <w:rPr>
                <w:color w:val="201F1E"/>
                <w:sz w:val="24"/>
                <w:szCs w:val="24"/>
                <w:bdr w:val="none" w:color="auto" w:sz="0" w:space="0" w:frame="1"/>
              </w:rPr>
              <w:t>5</w:t>
            </w:r>
          </w:p>
        </w:tc>
        <w:tc>
          <w:tcPr>
            <w:tcW w:w="1645" w:type="dxa"/>
            <w:shd w:val="clear" w:color="auto" w:fill="FFFFFF"/>
            <w:hideMark/>
          </w:tcPr>
          <w:p w:rsidRPr="00D8382D" w:rsidR="00BB4D78" w:rsidP="00664957" w:rsidRDefault="00BB4D78" w14:paraId="68F1510D" w14:textId="77777777">
            <w:pPr>
              <w:ind w:right="89"/>
              <w:jc w:val="right"/>
              <w:rPr>
                <w:sz w:val="24"/>
                <w:szCs w:val="24"/>
              </w:rPr>
            </w:pPr>
            <w:r w:rsidRPr="00D8382D">
              <w:rPr>
                <w:sz w:val="24"/>
                <w:szCs w:val="24"/>
              </w:rPr>
              <w:t>242</w:t>
            </w:r>
          </w:p>
        </w:tc>
        <w:tc>
          <w:tcPr>
            <w:tcW w:w="1157" w:type="dxa"/>
            <w:shd w:val="clear" w:color="auto" w:fill="FFFFFF"/>
            <w:hideMark/>
          </w:tcPr>
          <w:p w:rsidRPr="00D8382D" w:rsidR="00BB4D78" w:rsidP="00664957" w:rsidRDefault="00BB4D78" w14:paraId="0CBF5D75" w14:textId="77777777">
            <w:pPr>
              <w:ind w:right="144"/>
              <w:jc w:val="right"/>
              <w:rPr>
                <w:rFonts w:ascii="Arial" w:hAnsi="Arial" w:cs="Arial"/>
                <w:sz w:val="24"/>
                <w:szCs w:val="24"/>
              </w:rPr>
            </w:pPr>
            <w:r w:rsidRPr="00D8382D">
              <w:rPr>
                <w:sz w:val="24"/>
                <w:szCs w:val="24"/>
                <w:bdr w:val="none" w:color="auto" w:sz="0" w:space="0" w:frame="1"/>
              </w:rPr>
              <w:t>208 </w:t>
            </w:r>
          </w:p>
        </w:tc>
        <w:tc>
          <w:tcPr>
            <w:tcW w:w="1452" w:type="dxa"/>
            <w:shd w:val="clear" w:color="auto" w:fill="FFFFFF"/>
            <w:hideMark/>
          </w:tcPr>
          <w:p w:rsidRPr="00D8382D" w:rsidR="00BB4D78" w:rsidP="00664957" w:rsidRDefault="00BB4D78" w14:paraId="2470FD0A" w14:textId="77777777">
            <w:pPr>
              <w:ind w:right="197"/>
              <w:jc w:val="center"/>
              <w:rPr>
                <w:rFonts w:ascii="Arial" w:hAnsi="Arial" w:cs="Arial"/>
                <w:sz w:val="24"/>
                <w:szCs w:val="24"/>
              </w:rPr>
            </w:pPr>
            <w:r>
              <w:rPr>
                <w:sz w:val="24"/>
                <w:szCs w:val="24"/>
                <w:bdr w:val="none" w:color="auto" w:sz="0" w:space="0" w:frame="1"/>
              </w:rPr>
              <w:t xml:space="preserve">            </w:t>
            </w:r>
            <w:r w:rsidRPr="00D8382D">
              <w:rPr>
                <w:sz w:val="24"/>
                <w:szCs w:val="24"/>
                <w:bdr w:val="none" w:color="auto" w:sz="0" w:space="0" w:frame="1"/>
              </w:rPr>
              <w:t>86</w:t>
            </w:r>
            <w:r>
              <w:rPr>
                <w:sz w:val="24"/>
                <w:szCs w:val="24"/>
                <w:bdr w:val="none" w:color="auto" w:sz="0" w:space="0" w:frame="1"/>
              </w:rPr>
              <w:t>.0</w:t>
            </w:r>
            <w:r w:rsidRPr="00D8382D">
              <w:rPr>
                <w:sz w:val="24"/>
                <w:szCs w:val="24"/>
                <w:bdr w:val="none" w:color="auto" w:sz="0" w:space="0" w:frame="1"/>
              </w:rPr>
              <w:t> </w:t>
            </w:r>
          </w:p>
        </w:tc>
      </w:tr>
      <w:tr w:rsidRPr="00963CA1" w:rsidR="00BB4D78" w:rsidTr="00664957" w14:paraId="3F1E87B6" w14:textId="77777777">
        <w:trPr>
          <w:trHeight w:val="257"/>
        </w:trPr>
        <w:tc>
          <w:tcPr>
            <w:tcW w:w="2855" w:type="dxa"/>
            <w:tcBorders>
              <w:bottom w:val="single" w:color="auto" w:sz="4" w:space="0"/>
            </w:tcBorders>
            <w:shd w:val="clear" w:color="auto" w:fill="FFFFFF"/>
            <w:hideMark/>
          </w:tcPr>
          <w:p w:rsidRPr="00963CA1" w:rsidR="00BB4D78" w:rsidP="00664957" w:rsidRDefault="00BB4D78" w14:paraId="585BEC89" w14:textId="77777777">
            <w:pPr>
              <w:spacing w:line="223" w:lineRule="atLeast"/>
              <w:ind w:left="311"/>
              <w:rPr>
                <w:rFonts w:ascii="Arial" w:hAnsi="Arial" w:cs="Arial"/>
                <w:color w:val="201F1E"/>
              </w:rPr>
            </w:pPr>
            <w:r w:rsidRPr="00963CA1">
              <w:rPr>
                <w:color w:val="201F1E"/>
                <w:sz w:val="24"/>
                <w:szCs w:val="24"/>
                <w:bdr w:val="none" w:color="auto" w:sz="0" w:space="0" w:frame="1"/>
              </w:rPr>
              <w:t>Indian country</w:t>
            </w:r>
          </w:p>
        </w:tc>
        <w:tc>
          <w:tcPr>
            <w:tcW w:w="966" w:type="dxa"/>
            <w:tcBorders>
              <w:bottom w:val="single" w:color="auto" w:sz="4" w:space="0"/>
            </w:tcBorders>
            <w:shd w:val="clear" w:color="auto" w:fill="FFFFFF"/>
            <w:hideMark/>
          </w:tcPr>
          <w:p w:rsidRPr="00963CA1" w:rsidR="00BB4D78" w:rsidP="00664957" w:rsidRDefault="00BB4D78" w14:paraId="598E3702" w14:textId="77777777">
            <w:pPr>
              <w:spacing w:line="223" w:lineRule="atLeast"/>
              <w:ind w:left="72" w:right="84"/>
              <w:rPr>
                <w:rFonts w:ascii="Arial" w:hAnsi="Arial" w:cs="Arial"/>
                <w:color w:val="201F1E"/>
              </w:rPr>
            </w:pPr>
            <w:r w:rsidRPr="00963CA1">
              <w:rPr>
                <w:color w:val="201F1E"/>
                <w:sz w:val="24"/>
                <w:szCs w:val="24"/>
                <w:bdr w:val="none" w:color="auto" w:sz="0" w:space="0" w:frame="1"/>
              </w:rPr>
              <w:t>SSV-6</w:t>
            </w:r>
          </w:p>
        </w:tc>
        <w:tc>
          <w:tcPr>
            <w:tcW w:w="1285" w:type="dxa"/>
            <w:tcBorders>
              <w:bottom w:val="single" w:color="auto" w:sz="4" w:space="0"/>
            </w:tcBorders>
            <w:shd w:val="clear" w:color="auto" w:fill="FFFFFF"/>
            <w:hideMark/>
          </w:tcPr>
          <w:p w:rsidRPr="00963CA1" w:rsidR="00BB4D78" w:rsidP="00664957" w:rsidRDefault="00BB4D78" w14:paraId="3FE12F81" w14:textId="77777777">
            <w:pPr>
              <w:spacing w:line="223" w:lineRule="atLeast"/>
              <w:ind w:right="212"/>
              <w:jc w:val="right"/>
              <w:rPr>
                <w:rFonts w:ascii="Arial" w:hAnsi="Arial" w:cs="Arial"/>
                <w:color w:val="201F1E"/>
              </w:rPr>
            </w:pPr>
            <w:r w:rsidRPr="00963CA1">
              <w:rPr>
                <w:color w:val="201F1E"/>
                <w:sz w:val="24"/>
                <w:szCs w:val="24"/>
                <w:bdr w:val="none" w:color="auto" w:sz="0" w:space="0" w:frame="1"/>
              </w:rPr>
              <w:t>19</w:t>
            </w:r>
          </w:p>
        </w:tc>
        <w:tc>
          <w:tcPr>
            <w:tcW w:w="1645" w:type="dxa"/>
            <w:tcBorders>
              <w:bottom w:val="single" w:color="auto" w:sz="4" w:space="0"/>
            </w:tcBorders>
            <w:shd w:val="clear" w:color="auto" w:fill="FFFFFF"/>
            <w:hideMark/>
          </w:tcPr>
          <w:p w:rsidRPr="00963CA1" w:rsidR="00BB4D78" w:rsidP="00664957" w:rsidRDefault="00BB4D78" w14:paraId="3CE8314B" w14:textId="77777777">
            <w:pPr>
              <w:spacing w:line="223" w:lineRule="atLeast"/>
              <w:ind w:right="89"/>
              <w:jc w:val="right"/>
              <w:rPr>
                <w:rFonts w:ascii="Arial" w:hAnsi="Arial" w:cs="Arial"/>
                <w:color w:val="201F1E"/>
                <w:sz w:val="24"/>
                <w:szCs w:val="24"/>
              </w:rPr>
            </w:pPr>
            <w:r w:rsidRPr="00963CA1">
              <w:rPr>
                <w:color w:val="201F1E"/>
                <w:sz w:val="24"/>
                <w:szCs w:val="24"/>
                <w:bdr w:val="none" w:color="auto" w:sz="0" w:space="0" w:frame="1"/>
              </w:rPr>
              <w:t> </w:t>
            </w:r>
            <w:r>
              <w:rPr>
                <w:color w:val="201F1E"/>
                <w:sz w:val="24"/>
                <w:szCs w:val="24"/>
                <w:bdr w:val="none" w:color="auto" w:sz="0" w:space="0" w:frame="1"/>
              </w:rPr>
              <w:t>17</w:t>
            </w:r>
          </w:p>
        </w:tc>
        <w:tc>
          <w:tcPr>
            <w:tcW w:w="1157" w:type="dxa"/>
            <w:tcBorders>
              <w:bottom w:val="single" w:color="auto" w:sz="4" w:space="0"/>
            </w:tcBorders>
            <w:shd w:val="clear" w:color="auto" w:fill="FFFFFF"/>
            <w:hideMark/>
          </w:tcPr>
          <w:p w:rsidRPr="00963CA1" w:rsidR="00BB4D78" w:rsidP="00664957" w:rsidRDefault="00BB4D78" w14:paraId="32B7E463" w14:textId="77777777">
            <w:pPr>
              <w:spacing w:line="223" w:lineRule="atLeast"/>
              <w:ind w:right="144"/>
              <w:jc w:val="right"/>
              <w:rPr>
                <w:rFonts w:ascii="Arial" w:hAnsi="Arial" w:cs="Arial"/>
                <w:color w:val="201F1E"/>
                <w:sz w:val="24"/>
                <w:szCs w:val="24"/>
              </w:rPr>
            </w:pPr>
            <w:r>
              <w:rPr>
                <w:color w:val="201F1E"/>
                <w:sz w:val="24"/>
                <w:szCs w:val="24"/>
                <w:bdr w:val="none" w:color="auto" w:sz="0" w:space="0" w:frame="1"/>
              </w:rPr>
              <w:t>17</w:t>
            </w:r>
            <w:r w:rsidRPr="00963CA1">
              <w:rPr>
                <w:color w:val="201F1E"/>
                <w:sz w:val="24"/>
                <w:szCs w:val="24"/>
                <w:bdr w:val="none" w:color="auto" w:sz="0" w:space="0" w:frame="1"/>
              </w:rPr>
              <w:t> </w:t>
            </w:r>
          </w:p>
        </w:tc>
        <w:tc>
          <w:tcPr>
            <w:tcW w:w="1452" w:type="dxa"/>
            <w:tcBorders>
              <w:bottom w:val="single" w:color="auto" w:sz="4" w:space="0"/>
            </w:tcBorders>
            <w:shd w:val="clear" w:color="auto" w:fill="FFFFFF"/>
            <w:hideMark/>
          </w:tcPr>
          <w:p w:rsidRPr="00963CA1" w:rsidR="00BB4D78" w:rsidP="00664957" w:rsidRDefault="00BB4D78" w14:paraId="53C17125" w14:textId="77777777">
            <w:pPr>
              <w:spacing w:line="223" w:lineRule="atLeast"/>
              <w:ind w:right="197"/>
              <w:jc w:val="center"/>
              <w:rPr>
                <w:rFonts w:ascii="Arial" w:hAnsi="Arial" w:cs="Arial"/>
                <w:color w:val="201F1E"/>
                <w:sz w:val="24"/>
                <w:szCs w:val="24"/>
              </w:rPr>
            </w:pPr>
            <w:r>
              <w:rPr>
                <w:color w:val="201F1E"/>
                <w:sz w:val="24"/>
                <w:szCs w:val="24"/>
                <w:bdr w:val="none" w:color="auto" w:sz="0" w:space="0" w:frame="1"/>
              </w:rPr>
              <w:t xml:space="preserve">          100</w:t>
            </w:r>
            <w:r w:rsidRPr="00963CA1">
              <w:rPr>
                <w:color w:val="201F1E"/>
                <w:sz w:val="24"/>
                <w:szCs w:val="24"/>
                <w:bdr w:val="none" w:color="auto" w:sz="0" w:space="0" w:frame="1"/>
              </w:rPr>
              <w:t> </w:t>
            </w:r>
          </w:p>
        </w:tc>
      </w:tr>
    </w:tbl>
    <w:bookmarkEnd w:id="8"/>
    <w:p w:rsidR="00CC7490" w:rsidP="00685084" w:rsidRDefault="00B828F8" w14:paraId="0397877F" w14:textId="29F75392">
      <w:pPr>
        <w:pStyle w:val="BodyText"/>
        <w:spacing w:before="3"/>
      </w:pPr>
      <w:r>
        <w:t xml:space="preserve">Note: </w:t>
      </w:r>
      <w:r w:rsidR="002B0947">
        <w:t xml:space="preserve">Arkansas, </w:t>
      </w:r>
      <w:r w:rsidR="00FE2D1C">
        <w:t xml:space="preserve">Connecticut, </w:t>
      </w:r>
      <w:r w:rsidR="002B0947">
        <w:t>Montana, and South Dakota did not</w:t>
      </w:r>
      <w:r w:rsidRPr="0012167B" w:rsidR="00DB7E96">
        <w:t xml:space="preserve"> have state</w:t>
      </w:r>
      <w:r w:rsidR="002B0947">
        <w:t>-</w:t>
      </w:r>
      <w:r w:rsidRPr="0012167B" w:rsidR="00DB7E96">
        <w:t xml:space="preserve">operated </w:t>
      </w:r>
      <w:r w:rsidR="002B0947">
        <w:t xml:space="preserve">juvenile </w:t>
      </w:r>
      <w:r w:rsidRPr="0012167B" w:rsidR="00721149">
        <w:t>facilities</w:t>
      </w:r>
      <w:r w:rsidR="002B0947">
        <w:t xml:space="preserve"> in 2019</w:t>
      </w:r>
      <w:r w:rsidRPr="0012167B" w:rsidR="00DB7E96">
        <w:t>.</w:t>
      </w:r>
    </w:p>
    <w:p w:rsidRPr="00D8382D" w:rsidR="00DF624D" w:rsidP="00DF624D" w:rsidRDefault="00DF624D" w14:paraId="12479B4F" w14:textId="533D5D73">
      <w:pPr>
        <w:shd w:val="clear" w:color="auto" w:fill="FFFFFF"/>
        <w:rPr>
          <w:sz w:val="24"/>
          <w:szCs w:val="24"/>
        </w:rPr>
      </w:pPr>
      <w:r w:rsidRPr="00D8382D">
        <w:rPr>
          <w:sz w:val="24"/>
          <w:szCs w:val="24"/>
        </w:rPr>
        <w:t>*5 Public Jails were out of scope, 4</w:t>
      </w:r>
      <w:r>
        <w:rPr>
          <w:sz w:val="24"/>
          <w:szCs w:val="24"/>
        </w:rPr>
        <w:t xml:space="preserve"> of which</w:t>
      </w:r>
      <w:r w:rsidRPr="00D8382D">
        <w:rPr>
          <w:sz w:val="24"/>
          <w:szCs w:val="24"/>
        </w:rPr>
        <w:t xml:space="preserve"> are</w:t>
      </w:r>
      <w:r>
        <w:rPr>
          <w:sz w:val="24"/>
          <w:szCs w:val="24"/>
        </w:rPr>
        <w:t xml:space="preserve"> still </w:t>
      </w:r>
      <w:r w:rsidRPr="00D8382D">
        <w:rPr>
          <w:sz w:val="24"/>
          <w:szCs w:val="24"/>
        </w:rPr>
        <w:t>open</w:t>
      </w:r>
      <w:r>
        <w:rPr>
          <w:sz w:val="24"/>
          <w:szCs w:val="24"/>
        </w:rPr>
        <w:t xml:space="preserve"> </w:t>
      </w:r>
      <w:r w:rsidR="00BB4D78">
        <w:rPr>
          <w:sz w:val="24"/>
          <w:szCs w:val="24"/>
        </w:rPr>
        <w:t>were</w:t>
      </w:r>
      <w:r>
        <w:rPr>
          <w:sz w:val="24"/>
          <w:szCs w:val="24"/>
        </w:rPr>
        <w:t xml:space="preserve"> state-operated. T</w:t>
      </w:r>
      <w:r w:rsidRPr="00D8382D">
        <w:rPr>
          <w:sz w:val="24"/>
          <w:szCs w:val="24"/>
        </w:rPr>
        <w:t>heir data w</w:t>
      </w:r>
      <w:r>
        <w:rPr>
          <w:sz w:val="24"/>
          <w:szCs w:val="24"/>
        </w:rPr>
        <w:t>ere</w:t>
      </w:r>
      <w:r w:rsidRPr="00D8382D">
        <w:rPr>
          <w:sz w:val="24"/>
          <w:szCs w:val="24"/>
        </w:rPr>
        <w:t xml:space="preserve"> captured on the</w:t>
      </w:r>
      <w:r>
        <w:rPr>
          <w:sz w:val="24"/>
          <w:szCs w:val="24"/>
        </w:rPr>
        <w:t>ir</w:t>
      </w:r>
      <w:r w:rsidRPr="00D8382D">
        <w:rPr>
          <w:sz w:val="24"/>
          <w:szCs w:val="24"/>
        </w:rPr>
        <w:t xml:space="preserve"> </w:t>
      </w:r>
      <w:r>
        <w:rPr>
          <w:sz w:val="24"/>
          <w:szCs w:val="24"/>
        </w:rPr>
        <w:t>s</w:t>
      </w:r>
      <w:r w:rsidRPr="00D8382D">
        <w:rPr>
          <w:sz w:val="24"/>
          <w:szCs w:val="24"/>
        </w:rPr>
        <w:t>tate</w:t>
      </w:r>
      <w:r>
        <w:rPr>
          <w:sz w:val="24"/>
          <w:szCs w:val="24"/>
        </w:rPr>
        <w:t>’s SSV-2</w:t>
      </w:r>
      <w:r w:rsidRPr="00D8382D">
        <w:rPr>
          <w:sz w:val="24"/>
          <w:szCs w:val="24"/>
        </w:rPr>
        <w:t xml:space="preserve"> </w:t>
      </w:r>
      <w:r>
        <w:rPr>
          <w:sz w:val="24"/>
          <w:szCs w:val="24"/>
        </w:rPr>
        <w:t>f</w:t>
      </w:r>
      <w:r w:rsidRPr="00D8382D">
        <w:rPr>
          <w:sz w:val="24"/>
          <w:szCs w:val="24"/>
        </w:rPr>
        <w:t>orm</w:t>
      </w:r>
      <w:r>
        <w:rPr>
          <w:sz w:val="24"/>
          <w:szCs w:val="24"/>
        </w:rPr>
        <w:t>.</w:t>
      </w:r>
    </w:p>
    <w:p w:rsidRPr="0012167B" w:rsidR="00DF624D" w:rsidP="00685084" w:rsidRDefault="00DF624D" w14:paraId="104DC33C" w14:textId="77777777">
      <w:pPr>
        <w:pStyle w:val="BodyText"/>
        <w:spacing w:before="3"/>
      </w:pPr>
    </w:p>
    <w:p w:rsidR="00CD6FC3" w:rsidP="00CD6FC3" w:rsidRDefault="00CD6FC3" w14:paraId="16B4F3D4" w14:textId="77777777">
      <w:pPr>
        <w:ind w:left="720"/>
      </w:pPr>
    </w:p>
    <w:p w:rsidRPr="00685084" w:rsidR="00130299" w:rsidP="00130299" w:rsidRDefault="00CA7613" w14:paraId="36FACB2E" w14:textId="0F92F44F">
      <w:pPr>
        <w:rPr>
          <w:sz w:val="24"/>
          <w:szCs w:val="24"/>
        </w:rPr>
      </w:pPr>
      <w:r w:rsidRPr="00685084">
        <w:rPr>
          <w:sz w:val="24"/>
          <w:szCs w:val="24"/>
        </w:rPr>
        <w:t>Over time, significant effort has been made to make the SSV data collection materials clear and straightforward, in an effort to yield high response rates. The SSV questionnaires have been designed to make collection of the data as concise and easy for the respondents as possible. Uniform definitions of terms and concepts, as well as counting rules for items to be reported are included on the forms.</w:t>
      </w:r>
      <w:r w:rsidRPr="00685084" w:rsidR="00130299">
        <w:rPr>
          <w:sz w:val="24"/>
          <w:szCs w:val="24"/>
        </w:rPr>
        <w:t xml:space="preserve"> Item response rates for the SSV summary forms is near or at 100%. BJS receives incident- based reports on all substantiated allegations of sexual victimization</w:t>
      </w:r>
      <w:r w:rsidR="000E4D73">
        <w:rPr>
          <w:sz w:val="24"/>
          <w:szCs w:val="24"/>
        </w:rPr>
        <w:t>.</w:t>
      </w:r>
    </w:p>
    <w:p w:rsidRPr="00685084" w:rsidR="00CA7613" w:rsidP="00130299" w:rsidRDefault="00CA7613" w14:paraId="4E518245" w14:textId="77777777">
      <w:pPr>
        <w:pStyle w:val="BodyText"/>
        <w:spacing w:before="90"/>
        <w:ind w:right="930"/>
      </w:pPr>
      <w:r w:rsidRPr="00685084">
        <w:t xml:space="preserve"> </w:t>
      </w:r>
    </w:p>
    <w:p w:rsidRPr="0012167B" w:rsidR="001F58F0" w:rsidP="00CA7613" w:rsidRDefault="00A71D58" w14:paraId="27FF73C0" w14:textId="3FC88FA8">
      <w:pPr>
        <w:rPr>
          <w:sz w:val="24"/>
          <w:szCs w:val="24"/>
        </w:rPr>
      </w:pPr>
      <w:r w:rsidRPr="0012167B">
        <w:rPr>
          <w:sz w:val="24"/>
          <w:szCs w:val="24"/>
        </w:rPr>
        <w:lastRenderedPageBreak/>
        <w:t xml:space="preserve">During each iteration of the SSV, the materials are reviewed to determine if further improvement can be made to increase response rates, reduce respondent burden, save cost, and enhance data quality. </w:t>
      </w:r>
      <w:r w:rsidRPr="0012167B" w:rsidR="00FA40E1">
        <w:rPr>
          <w:sz w:val="24"/>
          <w:szCs w:val="24"/>
        </w:rPr>
        <w:t xml:space="preserve">To address the decline in response rates, </w:t>
      </w:r>
      <w:r w:rsidR="004A50FE">
        <w:rPr>
          <w:sz w:val="24"/>
          <w:szCs w:val="24"/>
        </w:rPr>
        <w:t>BJS</w:t>
      </w:r>
      <w:r w:rsidRPr="0012167B" w:rsidR="004A50FE">
        <w:rPr>
          <w:sz w:val="24"/>
          <w:szCs w:val="24"/>
        </w:rPr>
        <w:t xml:space="preserve"> ha</w:t>
      </w:r>
      <w:r w:rsidR="004A50FE">
        <w:rPr>
          <w:sz w:val="24"/>
          <w:szCs w:val="24"/>
        </w:rPr>
        <w:t>s</w:t>
      </w:r>
      <w:r w:rsidRPr="0012167B" w:rsidR="004A50FE">
        <w:rPr>
          <w:sz w:val="24"/>
          <w:szCs w:val="24"/>
        </w:rPr>
        <w:t xml:space="preserve"> </w:t>
      </w:r>
      <w:r w:rsidRPr="0012167B">
        <w:rPr>
          <w:sz w:val="24"/>
          <w:szCs w:val="24"/>
        </w:rPr>
        <w:t>add</w:t>
      </w:r>
      <w:r w:rsidRPr="0012167B" w:rsidR="00FA40E1">
        <w:rPr>
          <w:sz w:val="24"/>
          <w:szCs w:val="24"/>
        </w:rPr>
        <w:t>ed</w:t>
      </w:r>
      <w:r w:rsidRPr="0012167B">
        <w:rPr>
          <w:sz w:val="24"/>
          <w:szCs w:val="24"/>
        </w:rPr>
        <w:t xml:space="preserve"> </w:t>
      </w:r>
      <w:r w:rsidR="00CD6FC3">
        <w:rPr>
          <w:sz w:val="24"/>
          <w:szCs w:val="24"/>
        </w:rPr>
        <w:t xml:space="preserve">additional correspondence to the usual respondent contact materials. New to the </w:t>
      </w:r>
      <w:r w:rsidRPr="0012167B">
        <w:rPr>
          <w:sz w:val="24"/>
          <w:szCs w:val="24"/>
        </w:rPr>
        <w:t>2020 collection</w:t>
      </w:r>
      <w:r w:rsidR="00CD377A">
        <w:rPr>
          <w:sz w:val="24"/>
          <w:szCs w:val="24"/>
        </w:rPr>
        <w:t xml:space="preserve"> correspondence</w:t>
      </w:r>
      <w:r w:rsidRPr="0012167B">
        <w:rPr>
          <w:sz w:val="24"/>
          <w:szCs w:val="24"/>
        </w:rPr>
        <w:t xml:space="preserve"> </w:t>
      </w:r>
      <w:r w:rsidR="00CD6FC3">
        <w:rPr>
          <w:sz w:val="24"/>
          <w:szCs w:val="24"/>
        </w:rPr>
        <w:t>is a</w:t>
      </w:r>
      <w:r w:rsidRPr="0012167B">
        <w:rPr>
          <w:sz w:val="24"/>
          <w:szCs w:val="24"/>
        </w:rPr>
        <w:t xml:space="preserve"> pre-notification letter and the BJS Director</w:t>
      </w:r>
      <w:r w:rsidR="00CA7613">
        <w:rPr>
          <w:sz w:val="24"/>
          <w:szCs w:val="24"/>
        </w:rPr>
        <w:t xml:space="preserve"> close-out </w:t>
      </w:r>
      <w:r w:rsidRPr="0012167B">
        <w:rPr>
          <w:sz w:val="24"/>
          <w:szCs w:val="24"/>
        </w:rPr>
        <w:t>letter.</w:t>
      </w:r>
      <w:r w:rsidRPr="0012167B" w:rsidR="00183184">
        <w:rPr>
          <w:sz w:val="24"/>
          <w:szCs w:val="24"/>
        </w:rPr>
        <w:t xml:space="preserve"> The pre-notification letter</w:t>
      </w:r>
      <w:r w:rsidR="00CD377A">
        <w:rPr>
          <w:sz w:val="24"/>
          <w:szCs w:val="24"/>
        </w:rPr>
        <w:t xml:space="preserve"> will notify the respondent of the upcoming data collection and </w:t>
      </w:r>
      <w:r w:rsidRPr="0012167B" w:rsidR="00183184">
        <w:rPr>
          <w:sz w:val="24"/>
          <w:szCs w:val="24"/>
        </w:rPr>
        <w:t xml:space="preserve">provide a survey preview, while the BJS Director </w:t>
      </w:r>
      <w:r w:rsidR="00CA7613">
        <w:rPr>
          <w:sz w:val="24"/>
          <w:szCs w:val="24"/>
        </w:rPr>
        <w:t xml:space="preserve">close-out </w:t>
      </w:r>
      <w:r w:rsidRPr="0012167B" w:rsidR="00183184">
        <w:rPr>
          <w:sz w:val="24"/>
          <w:szCs w:val="24"/>
        </w:rPr>
        <w:t xml:space="preserve">letter, requiring receipt signature, will be used </w:t>
      </w:r>
      <w:r w:rsidRPr="0012167B" w:rsidR="001F58F0">
        <w:rPr>
          <w:sz w:val="24"/>
          <w:szCs w:val="24"/>
        </w:rPr>
        <w:t>as a last attempt to convert non-responders.</w:t>
      </w:r>
      <w:r w:rsidR="00CF3FEB">
        <w:rPr>
          <w:sz w:val="24"/>
          <w:szCs w:val="24"/>
        </w:rPr>
        <w:t xml:space="preserve"> </w:t>
      </w:r>
      <w:r w:rsidRPr="0012167B" w:rsidR="001F58F0">
        <w:rPr>
          <w:sz w:val="24"/>
          <w:szCs w:val="24"/>
        </w:rPr>
        <w:t xml:space="preserve">BJS will </w:t>
      </w:r>
      <w:r w:rsidR="00CD6FC3">
        <w:rPr>
          <w:sz w:val="24"/>
          <w:szCs w:val="24"/>
        </w:rPr>
        <w:t xml:space="preserve">continue to </w:t>
      </w:r>
      <w:r w:rsidRPr="0012167B" w:rsidR="001F58F0">
        <w:rPr>
          <w:sz w:val="24"/>
          <w:szCs w:val="24"/>
        </w:rPr>
        <w:t>encourag</w:t>
      </w:r>
      <w:r w:rsidR="00CF3FEB">
        <w:rPr>
          <w:sz w:val="24"/>
          <w:szCs w:val="24"/>
        </w:rPr>
        <w:t>e</w:t>
      </w:r>
      <w:r w:rsidRPr="0012167B" w:rsidR="001F58F0">
        <w:rPr>
          <w:sz w:val="24"/>
          <w:szCs w:val="24"/>
        </w:rPr>
        <w:t xml:space="preserve"> online data submission for best data quality, but will also provide other modes of data submission (fax, e-mail, or telephone) to accommodate respondents that have limited access to the internet or simply prefer to work with hardcopy survey forms.</w:t>
      </w:r>
    </w:p>
    <w:p w:rsidR="00555524" w:rsidP="00CA7613" w:rsidRDefault="00555524" w14:paraId="5B08DE84" w14:textId="77777777">
      <w:pPr>
        <w:rPr>
          <w:sz w:val="24"/>
          <w:szCs w:val="24"/>
        </w:rPr>
      </w:pPr>
    </w:p>
    <w:p w:rsidR="00640913" w:rsidP="00CA7613" w:rsidRDefault="001F58F0" w14:paraId="6ED99420" w14:textId="07802B46">
      <w:pPr>
        <w:rPr>
          <w:sz w:val="24"/>
          <w:szCs w:val="24"/>
        </w:rPr>
      </w:pPr>
      <w:r w:rsidRPr="0012167B">
        <w:rPr>
          <w:sz w:val="24"/>
          <w:szCs w:val="24"/>
        </w:rPr>
        <w:t xml:space="preserve">Throughout the data collection period, the data collection agent </w:t>
      </w:r>
      <w:r w:rsidR="00CA7613">
        <w:rPr>
          <w:sz w:val="24"/>
          <w:szCs w:val="24"/>
        </w:rPr>
        <w:t xml:space="preserve">will </w:t>
      </w:r>
      <w:r w:rsidRPr="0012167B">
        <w:rPr>
          <w:sz w:val="24"/>
          <w:szCs w:val="24"/>
        </w:rPr>
        <w:t xml:space="preserve">monitor data submission and track survey para-data, e.g., respondent log-in timestamps, contacts made with each respondent, and comments respondents left on the survey form. The para-data will be used for tailored nonresponse follow-up and data quality follow-up. For these outreach activities, respondents </w:t>
      </w:r>
      <w:bookmarkStart w:name="_GoBack" w:id="9"/>
      <w:bookmarkEnd w:id="9"/>
      <w:r w:rsidRPr="0012167B">
        <w:rPr>
          <w:sz w:val="24"/>
          <w:szCs w:val="24"/>
        </w:rPr>
        <w:t>receive emails from collection team from a project emails and provided the contact information of the SSV project manager at the Census Bureau. This project manager serves as a consistent “agency liaison” throughout data collection.</w:t>
      </w:r>
    </w:p>
    <w:p w:rsidR="00460CFB" w:rsidP="00CA7613" w:rsidRDefault="00460CFB" w14:paraId="1376675B" w14:textId="4067DCA9">
      <w:pPr>
        <w:rPr>
          <w:sz w:val="24"/>
          <w:szCs w:val="24"/>
        </w:rPr>
      </w:pPr>
    </w:p>
    <w:p w:rsidRPr="003825D1" w:rsidR="00460CFB" w:rsidP="00460CFB" w:rsidRDefault="00460CFB" w14:paraId="718EC6BA" w14:textId="77777777">
      <w:pPr>
        <w:pStyle w:val="BodyText"/>
        <w:spacing w:before="1"/>
        <w:ind w:right="1049"/>
        <w:rPr>
          <w:i/>
        </w:rPr>
      </w:pPr>
      <w:r>
        <w:rPr>
          <w:i/>
        </w:rPr>
        <w:t>Nonresponse adjustments</w:t>
      </w:r>
    </w:p>
    <w:p w:rsidRPr="0012167B" w:rsidR="00460CFB" w:rsidP="00460CFB" w:rsidRDefault="00460CFB" w14:paraId="0D6AC83B" w14:textId="77777777">
      <w:pPr>
        <w:pStyle w:val="BodyText"/>
        <w:spacing w:before="1"/>
        <w:ind w:right="1049"/>
      </w:pPr>
    </w:p>
    <w:p w:rsidR="00460CFB" w:rsidP="00460CFB" w:rsidRDefault="00460CFB" w14:paraId="5490403F" w14:textId="77777777">
      <w:pPr>
        <w:pStyle w:val="CM4"/>
        <w:spacing w:line="240" w:lineRule="auto"/>
        <w:rPr>
          <w:rFonts w:ascii="Times New Roman" w:hAnsi="Times New Roman" w:cs="Times New Roman"/>
          <w:color w:val="000000"/>
        </w:rPr>
      </w:pPr>
      <w:r w:rsidRPr="006A103F">
        <w:rPr>
          <w:rFonts w:ascii="Times New Roman" w:hAnsi="Times New Roman" w:cs="Times New Roman"/>
        </w:rPr>
        <w:t xml:space="preserve">BJS implements nonresponse weight adjustment procedures that account for unit nonresponse in order to produce national estimates of sexual victimizations. </w:t>
      </w:r>
      <w:r w:rsidRPr="006A103F">
        <w:rPr>
          <w:rFonts w:ascii="Times New Roman" w:hAnsi="Times New Roman" w:cs="Times New Roman"/>
          <w:color w:val="000000"/>
        </w:rPr>
        <w:t xml:space="preserve">Data from </w:t>
      </w:r>
      <w:r>
        <w:rPr>
          <w:rFonts w:ascii="Times New Roman" w:hAnsi="Times New Roman" w:cs="Times New Roman"/>
          <w:color w:val="000000"/>
        </w:rPr>
        <w:t>BOP</w:t>
      </w:r>
      <w:r w:rsidRPr="006A103F">
        <w:rPr>
          <w:rFonts w:ascii="Times New Roman" w:hAnsi="Times New Roman" w:cs="Times New Roman"/>
          <w:color w:val="000000"/>
        </w:rPr>
        <w:t xml:space="preserve"> and all state prison systems, </w:t>
      </w:r>
      <w:r>
        <w:rPr>
          <w:rFonts w:ascii="Times New Roman" w:hAnsi="Times New Roman" w:cs="Times New Roman"/>
          <w:color w:val="000000"/>
        </w:rPr>
        <w:t xml:space="preserve">and </w:t>
      </w:r>
      <w:r w:rsidRPr="006A103F">
        <w:rPr>
          <w:rFonts w:ascii="Times New Roman" w:hAnsi="Times New Roman" w:cs="Times New Roman"/>
          <w:color w:val="000000"/>
        </w:rPr>
        <w:t xml:space="preserve">U.S. military facilities, </w:t>
      </w:r>
      <w:r>
        <w:rPr>
          <w:rFonts w:ascii="Times New Roman" w:hAnsi="Times New Roman" w:cs="Times New Roman"/>
          <w:color w:val="000000"/>
        </w:rPr>
        <w:t>a</w:t>
      </w:r>
      <w:r w:rsidRPr="006A103F">
        <w:rPr>
          <w:rFonts w:ascii="Times New Roman" w:hAnsi="Times New Roman" w:cs="Times New Roman"/>
          <w:color w:val="000000"/>
        </w:rPr>
        <w:t xml:space="preserve">re given a weight of 1.00 because they were all selected with certainty and </w:t>
      </w:r>
      <w:r>
        <w:rPr>
          <w:rFonts w:ascii="Times New Roman" w:hAnsi="Times New Roman" w:cs="Times New Roman"/>
          <w:color w:val="000000"/>
        </w:rPr>
        <w:t>all respond to the survey</w:t>
      </w:r>
      <w:r w:rsidRPr="006A103F">
        <w:rPr>
          <w:rFonts w:ascii="Times New Roman" w:hAnsi="Times New Roman" w:cs="Times New Roman"/>
          <w:color w:val="000000"/>
        </w:rPr>
        <w:t xml:space="preserve">. </w:t>
      </w:r>
      <w:r>
        <w:rPr>
          <w:rFonts w:ascii="Times New Roman" w:hAnsi="Times New Roman" w:cs="Times New Roman"/>
          <w:color w:val="000000"/>
        </w:rPr>
        <w:t xml:space="preserve">Additionally, data from all </w:t>
      </w:r>
      <w:r w:rsidRPr="006A103F">
        <w:rPr>
          <w:rFonts w:ascii="Times New Roman" w:hAnsi="Times New Roman" w:cs="Times New Roman"/>
          <w:color w:val="000000"/>
        </w:rPr>
        <w:t>dedicated ICE facilities</w:t>
      </w:r>
      <w:r>
        <w:rPr>
          <w:rFonts w:ascii="Times New Roman" w:hAnsi="Times New Roman" w:cs="Times New Roman"/>
          <w:color w:val="000000"/>
        </w:rPr>
        <w:t xml:space="preserve"> are given a weight of 1.00 as it is a full enumeration of such facilities.</w:t>
      </w:r>
    </w:p>
    <w:p w:rsidR="00460CFB" w:rsidP="00460CFB" w:rsidRDefault="00460CFB" w14:paraId="3CFD8F4C" w14:textId="77777777">
      <w:pPr>
        <w:pStyle w:val="CM4"/>
        <w:spacing w:line="240" w:lineRule="auto"/>
        <w:rPr>
          <w:rFonts w:ascii="Times New Roman" w:hAnsi="Times New Roman" w:cs="Times New Roman"/>
          <w:color w:val="000000"/>
        </w:rPr>
      </w:pPr>
    </w:p>
    <w:p w:rsidR="00460CFB" w:rsidP="00460CFB" w:rsidRDefault="00460CFB" w14:paraId="666F2B5A" w14:textId="77777777">
      <w:pPr>
        <w:rPr>
          <w:sz w:val="24"/>
          <w:szCs w:val="24"/>
        </w:rPr>
      </w:pPr>
      <w:r w:rsidRPr="00F977EA">
        <w:rPr>
          <w:sz w:val="24"/>
          <w:szCs w:val="24"/>
        </w:rPr>
        <w:t xml:space="preserve">Public jails, private jails, Indian country jails, and private prisons facilities </w:t>
      </w:r>
      <w:r>
        <w:rPr>
          <w:sz w:val="24"/>
          <w:szCs w:val="24"/>
        </w:rPr>
        <w:t>a</w:t>
      </w:r>
      <w:r w:rsidRPr="00F977EA">
        <w:rPr>
          <w:sz w:val="24"/>
          <w:szCs w:val="24"/>
        </w:rPr>
        <w:t>re assigned an initial sampling weight equal to the inverse probability of selection. Nonresponse adjustment calculations differ for public jails and the other sampled facility types because they ha</w:t>
      </w:r>
      <w:r>
        <w:rPr>
          <w:sz w:val="24"/>
          <w:szCs w:val="24"/>
        </w:rPr>
        <w:t>ve</w:t>
      </w:r>
      <w:r w:rsidRPr="00F977EA">
        <w:rPr>
          <w:sz w:val="24"/>
          <w:szCs w:val="24"/>
        </w:rPr>
        <w:t xml:space="preserve"> different sampling designs. In each survey year, weights for responding public jail jurisdictions </w:t>
      </w:r>
      <w:r>
        <w:rPr>
          <w:sz w:val="24"/>
          <w:szCs w:val="24"/>
        </w:rPr>
        <w:t>a</w:t>
      </w:r>
      <w:r w:rsidRPr="00F977EA">
        <w:rPr>
          <w:sz w:val="24"/>
          <w:szCs w:val="24"/>
        </w:rPr>
        <w:t xml:space="preserve">re adjusted for nonresponse by multiplying initial sample weights by the ratio of the sum of initial weights of active jurisdictions in each stratum to the sum of weights for participating jurisdictions. After applying the nonresponse adjustment, the sum of the final weights in each stratum equal the sum of weights for active jails in each stratum. </w:t>
      </w:r>
    </w:p>
    <w:p w:rsidRPr="00F977EA" w:rsidR="00460CFB" w:rsidP="00460CFB" w:rsidRDefault="00460CFB" w14:paraId="51DF063E" w14:textId="77777777">
      <w:pPr>
        <w:rPr>
          <w:sz w:val="24"/>
          <w:szCs w:val="24"/>
        </w:rPr>
      </w:pPr>
    </w:p>
    <w:p w:rsidR="00460CFB" w:rsidP="00460CFB" w:rsidRDefault="00460CFB" w14:paraId="73FF5D99" w14:textId="77777777">
      <w:pPr>
        <w:rPr>
          <w:sz w:val="24"/>
          <w:szCs w:val="24"/>
        </w:rPr>
      </w:pPr>
      <w:r w:rsidRPr="00F977EA">
        <w:rPr>
          <w:sz w:val="24"/>
          <w:szCs w:val="24"/>
        </w:rPr>
        <w:t xml:space="preserve">Nonresponse adjustments for samples of private jails, private prisons, and jails in Indian country </w:t>
      </w:r>
      <w:r>
        <w:rPr>
          <w:sz w:val="24"/>
          <w:szCs w:val="24"/>
        </w:rPr>
        <w:t>a</w:t>
      </w:r>
      <w:r w:rsidRPr="00F977EA">
        <w:rPr>
          <w:sz w:val="24"/>
          <w:szCs w:val="24"/>
        </w:rPr>
        <w:t xml:space="preserve">re based on the ratio of the sum of weights times the measure of size for each affected stratum. Within each stratum the number of active jails or prisons </w:t>
      </w:r>
      <w:r>
        <w:rPr>
          <w:sz w:val="24"/>
          <w:szCs w:val="24"/>
        </w:rPr>
        <w:t>i</w:t>
      </w:r>
      <w:r w:rsidRPr="00F977EA">
        <w:rPr>
          <w:sz w:val="24"/>
          <w:szCs w:val="24"/>
        </w:rPr>
        <w:t>s multiplied by the measure of size of each facility, and then summed. The ratio of the first sum to the latter sum equal</w:t>
      </w:r>
      <w:r>
        <w:rPr>
          <w:sz w:val="24"/>
          <w:szCs w:val="24"/>
        </w:rPr>
        <w:t>s</w:t>
      </w:r>
      <w:r w:rsidRPr="00F977EA">
        <w:rPr>
          <w:sz w:val="24"/>
          <w:szCs w:val="24"/>
        </w:rPr>
        <w:t xml:space="preserve"> the nonresponse adjustment factor for the affected stratum. Overall, after adjusting for nonresponse and summing across all strata, multiplying the adjusted final weight by the sum of the measure of size equal</w:t>
      </w:r>
      <w:r>
        <w:rPr>
          <w:sz w:val="24"/>
          <w:szCs w:val="24"/>
        </w:rPr>
        <w:t>s</w:t>
      </w:r>
      <w:r w:rsidRPr="00F977EA">
        <w:rPr>
          <w:sz w:val="24"/>
          <w:szCs w:val="24"/>
        </w:rPr>
        <w:t xml:space="preserve"> the total number of inmates held in private jails, private prisons, and jails in Indian country.</w:t>
      </w:r>
    </w:p>
    <w:p w:rsidR="00460CFB" w:rsidP="00CA7613" w:rsidRDefault="00460CFB" w14:paraId="6B8907A0" w14:textId="77777777">
      <w:pPr>
        <w:rPr>
          <w:sz w:val="24"/>
          <w:szCs w:val="24"/>
        </w:rPr>
      </w:pPr>
    </w:p>
    <w:p w:rsidR="00F977EA" w:rsidP="00F977EA" w:rsidRDefault="00F977EA" w14:paraId="2C148A0F" w14:textId="77777777">
      <w:pPr>
        <w:ind w:left="720"/>
      </w:pPr>
    </w:p>
    <w:p w:rsidR="00640913" w:rsidP="0060583F" w:rsidRDefault="00AD243D" w14:paraId="2B0133CC" w14:textId="77777777">
      <w:pPr>
        <w:pStyle w:val="ListParagraph"/>
        <w:numPr>
          <w:ilvl w:val="0"/>
          <w:numId w:val="10"/>
        </w:numPr>
        <w:tabs>
          <w:tab w:val="left" w:pos="720"/>
        </w:tabs>
        <w:spacing w:before="74"/>
        <w:rPr>
          <w:sz w:val="24"/>
        </w:rPr>
      </w:pPr>
      <w:r>
        <w:rPr>
          <w:sz w:val="24"/>
          <w:u w:val="single"/>
        </w:rPr>
        <w:lastRenderedPageBreak/>
        <w:t>Final Testing of</w:t>
      </w:r>
      <w:r>
        <w:rPr>
          <w:spacing w:val="-5"/>
          <w:sz w:val="24"/>
          <w:u w:val="single"/>
        </w:rPr>
        <w:t xml:space="preserve"> </w:t>
      </w:r>
      <w:r>
        <w:rPr>
          <w:sz w:val="24"/>
          <w:u w:val="single"/>
        </w:rPr>
        <w:t>Procedures</w:t>
      </w:r>
    </w:p>
    <w:p w:rsidR="00640913" w:rsidRDefault="00640913" w14:paraId="682CE47C" w14:textId="77777777">
      <w:pPr>
        <w:pStyle w:val="BodyText"/>
        <w:spacing w:before="2"/>
        <w:rPr>
          <w:sz w:val="16"/>
        </w:rPr>
      </w:pPr>
    </w:p>
    <w:p w:rsidR="00640913" w:rsidP="00471424" w:rsidRDefault="00AD243D" w14:paraId="1D465EE9" w14:textId="754F41C6">
      <w:pPr>
        <w:pStyle w:val="BodyText"/>
      </w:pPr>
      <w:r>
        <w:t xml:space="preserve">BJS proposes no changes to the </w:t>
      </w:r>
      <w:r w:rsidR="00D041FA">
        <w:t>measures in the s</w:t>
      </w:r>
      <w:r>
        <w:t xml:space="preserve">ummary forms (SSV-1, 2, 3, 4, 5, 6). </w:t>
      </w:r>
      <w:r w:rsidR="009E21D2">
        <w:t xml:space="preserve">In response to a GAO request for clarification </w:t>
      </w:r>
      <w:r w:rsidR="005A6A28">
        <w:t xml:space="preserve">on </w:t>
      </w:r>
      <w:r w:rsidR="00851252">
        <w:t xml:space="preserve">whether </w:t>
      </w:r>
      <w:r w:rsidR="005A6A28">
        <w:t>attempted sexual victimizations</w:t>
      </w:r>
      <w:r w:rsidR="00851252">
        <w:t xml:space="preserve"> are reported by respondents</w:t>
      </w:r>
      <w:r w:rsidR="005A6A28">
        <w:t xml:space="preserve">, </w:t>
      </w:r>
      <w:r w:rsidR="003F04DF">
        <w:t xml:space="preserve">a change was made in the introduction to definitions of inmate-on-inmate sexual victimization types on all SSV Summary Forms. </w:t>
      </w:r>
      <w:r w:rsidR="00F71357">
        <w:t xml:space="preserve">BJS </w:t>
      </w:r>
      <w:r w:rsidR="009E21D2">
        <w:t>added,</w:t>
      </w:r>
      <w:r w:rsidR="003F04DF">
        <w:t xml:space="preserve"> </w:t>
      </w:r>
      <w:r w:rsidR="005A6A28">
        <w:t>“Attempted nonconsensual se</w:t>
      </w:r>
      <w:r w:rsidR="00851252">
        <w:t>x</w:t>
      </w:r>
      <w:r w:rsidR="005A6A28">
        <w:t>ual acts are included if recorded by the facility” to the definition.</w:t>
      </w:r>
      <w:r>
        <w:t xml:space="preserve"> </w:t>
      </w:r>
    </w:p>
    <w:p w:rsidR="00640913" w:rsidRDefault="00640913" w14:paraId="2FB3DFC5" w14:textId="77777777">
      <w:pPr>
        <w:pStyle w:val="BodyText"/>
      </w:pPr>
    </w:p>
    <w:p w:rsidR="00640913" w:rsidP="0060583F" w:rsidRDefault="00AD243D" w14:paraId="229C5B37" w14:textId="77777777">
      <w:pPr>
        <w:pStyle w:val="ListParagraph"/>
        <w:numPr>
          <w:ilvl w:val="0"/>
          <w:numId w:val="10"/>
        </w:numPr>
        <w:tabs>
          <w:tab w:val="left" w:pos="720"/>
        </w:tabs>
        <w:spacing w:before="74"/>
        <w:rPr>
          <w:sz w:val="24"/>
        </w:rPr>
      </w:pPr>
      <w:r>
        <w:rPr>
          <w:sz w:val="24"/>
          <w:u w:val="single"/>
        </w:rPr>
        <w:t>Contacts for Statistical Aspects of Data</w:t>
      </w:r>
      <w:r>
        <w:rPr>
          <w:spacing w:val="-2"/>
          <w:sz w:val="24"/>
          <w:u w:val="single"/>
        </w:rPr>
        <w:t xml:space="preserve"> </w:t>
      </w:r>
      <w:r>
        <w:rPr>
          <w:sz w:val="24"/>
          <w:u w:val="single"/>
        </w:rPr>
        <w:t>Collection</w:t>
      </w:r>
    </w:p>
    <w:p w:rsidR="00640913" w:rsidP="00471424" w:rsidRDefault="00AD243D" w14:paraId="63640DDE" w14:textId="6CAC4E28">
      <w:pPr>
        <w:pStyle w:val="BodyText"/>
        <w:spacing w:before="90"/>
      </w:pPr>
      <w:bookmarkStart w:name="_Hlk65155795" w:id="10"/>
      <w:r>
        <w:t>BJS takes responsibility for the overall design and management of the survey, including sampling procedures, development of the questionnaires, and the analysis and publication of the data. The BJS contact is—</w:t>
      </w:r>
    </w:p>
    <w:p w:rsidR="00640913" w:rsidP="00DE20D7" w:rsidRDefault="00640913" w14:paraId="1074E308" w14:textId="77777777">
      <w:pPr>
        <w:pStyle w:val="BodyText"/>
      </w:pPr>
    </w:p>
    <w:p w:rsidR="005468A0" w:rsidP="0060583F" w:rsidRDefault="00851252" w14:paraId="4320D160" w14:textId="77777777">
      <w:pPr>
        <w:pStyle w:val="BodyText"/>
        <w:ind w:right="5850"/>
      </w:pPr>
      <w:r>
        <w:t>Laura Maruschak</w:t>
      </w:r>
      <w:r w:rsidR="00AD243D">
        <w:t xml:space="preserve">, Statistician </w:t>
      </w:r>
    </w:p>
    <w:p w:rsidR="005468A0" w:rsidP="0060583F" w:rsidRDefault="00AD243D" w14:paraId="62BFF21B" w14:textId="78B7ED8A">
      <w:pPr>
        <w:pStyle w:val="BodyText"/>
        <w:ind w:right="5850"/>
      </w:pPr>
      <w:r>
        <w:t>Bureau of Justice Statistic</w:t>
      </w:r>
      <w:r w:rsidR="005468A0">
        <w:t>s</w:t>
      </w:r>
      <w:r>
        <w:t xml:space="preserve"> </w:t>
      </w:r>
    </w:p>
    <w:p w:rsidR="001B60E4" w:rsidP="0060583F" w:rsidRDefault="00AD243D" w14:paraId="3156ACBB" w14:textId="77777777">
      <w:pPr>
        <w:pStyle w:val="BodyText"/>
        <w:ind w:right="5850"/>
      </w:pPr>
      <w:r>
        <w:t xml:space="preserve">810 Seventh St., N.W. </w:t>
      </w:r>
    </w:p>
    <w:p w:rsidR="00640913" w:rsidP="0060583F" w:rsidRDefault="00AD243D" w14:paraId="6F36542A" w14:textId="4816E4DC">
      <w:pPr>
        <w:pStyle w:val="BodyText"/>
        <w:ind w:right="5850"/>
      </w:pPr>
      <w:r>
        <w:t>Washington, DC 20531</w:t>
      </w:r>
    </w:p>
    <w:p w:rsidR="00640913" w:rsidP="0060583F" w:rsidRDefault="00AD243D" w14:paraId="1247BA2F" w14:textId="77777777">
      <w:pPr>
        <w:pStyle w:val="BodyText"/>
        <w:ind w:right="5850"/>
      </w:pPr>
      <w:r>
        <w:t>(202) 307-</w:t>
      </w:r>
      <w:r w:rsidR="00851252">
        <w:t>5986</w:t>
      </w:r>
    </w:p>
    <w:p w:rsidR="00640913" w:rsidP="0060583F" w:rsidRDefault="00F92674" w14:paraId="64BE5857" w14:textId="77777777">
      <w:pPr>
        <w:pStyle w:val="BodyText"/>
        <w:ind w:right="5850"/>
      </w:pPr>
      <w:hyperlink w:history="1" r:id="rId8">
        <w:r w:rsidRPr="003F3ADD" w:rsidR="003F3ADD">
          <w:rPr>
            <w:rStyle w:val="Hyperlink"/>
          </w:rPr>
          <w:t>Laura.Maruschak@usdoj.gov</w:t>
        </w:r>
      </w:hyperlink>
    </w:p>
    <w:p w:rsidR="00640913" w:rsidP="00DE20D7" w:rsidRDefault="00640913" w14:paraId="754FF571" w14:textId="77777777">
      <w:pPr>
        <w:pStyle w:val="BodyText"/>
        <w:spacing w:before="2"/>
        <w:rPr>
          <w:sz w:val="16"/>
        </w:rPr>
      </w:pPr>
    </w:p>
    <w:p w:rsidR="00640913" w:rsidP="00471424" w:rsidRDefault="00AD243D" w14:paraId="1787E936" w14:textId="77777777">
      <w:pPr>
        <w:pStyle w:val="BodyText"/>
        <w:spacing w:before="90"/>
      </w:pPr>
      <w:r>
        <w:t>The Economic Reimbursable Surveys Division at the Census Bureau is the collection agent and is responsible for the collection of all data. The Economic Statistical Methods Division is responsible for drawing the samples. The Census Bureau contact is—</w:t>
      </w:r>
    </w:p>
    <w:p w:rsidR="00640913" w:rsidP="00471424" w:rsidRDefault="00640913" w14:paraId="540A8B84" w14:textId="77777777">
      <w:pPr>
        <w:pStyle w:val="BodyText"/>
      </w:pPr>
    </w:p>
    <w:p w:rsidR="00640913" w:rsidP="0060583F" w:rsidRDefault="00AD243D" w14:paraId="33972B0F" w14:textId="77777777">
      <w:pPr>
        <w:pStyle w:val="BodyText"/>
        <w:ind w:right="5400"/>
      </w:pPr>
      <w:r>
        <w:t>Greta Clark, Survey Statistician Criminal Justice Statistics Branch Economic Reimbursable Surveys Div.</w:t>
      </w:r>
    </w:p>
    <w:p w:rsidR="00DE20D7" w:rsidP="0060583F" w:rsidRDefault="00AD243D" w14:paraId="78680F21" w14:textId="293F5183">
      <w:pPr>
        <w:pStyle w:val="BodyText"/>
        <w:ind w:right="5400"/>
      </w:pPr>
      <w:r>
        <w:t>U.S. Census Bureau</w:t>
      </w:r>
    </w:p>
    <w:p w:rsidR="00640913" w:rsidP="0060583F" w:rsidRDefault="00AD243D" w14:paraId="495BABB3" w14:textId="0A68FABE">
      <w:pPr>
        <w:pStyle w:val="BodyText"/>
        <w:ind w:right="5400"/>
      </w:pPr>
      <w:r>
        <w:t>4600 Silver Hill Road</w:t>
      </w:r>
    </w:p>
    <w:p w:rsidR="00640913" w:rsidP="0060583F" w:rsidRDefault="00AD243D" w14:paraId="5CD6D648" w14:textId="77777777">
      <w:pPr>
        <w:pStyle w:val="BodyText"/>
        <w:spacing w:before="1"/>
      </w:pPr>
      <w:r>
        <w:t>Washington, DC 20233-6800</w:t>
      </w:r>
    </w:p>
    <w:p w:rsidR="00640913" w:rsidP="0060583F" w:rsidRDefault="00AD243D" w14:paraId="38E76358" w14:textId="77777777">
      <w:pPr>
        <w:pStyle w:val="BodyText"/>
      </w:pPr>
      <w:r>
        <w:t>(301) 763-2586</w:t>
      </w:r>
    </w:p>
    <w:p w:rsidR="00640913" w:rsidP="0060583F" w:rsidRDefault="00F92674" w14:paraId="1FDB02FC" w14:textId="77777777">
      <w:pPr>
        <w:pStyle w:val="BodyText"/>
      </w:pPr>
      <w:hyperlink w:history="1" r:id="rId9">
        <w:r w:rsidRPr="009E2DBE" w:rsidR="003F3ADD">
          <w:rPr>
            <w:rStyle w:val="Hyperlink"/>
          </w:rPr>
          <w:t>Greta.B.Clark@census.gov</w:t>
        </w:r>
      </w:hyperlink>
      <w:bookmarkEnd w:id="10"/>
    </w:p>
    <w:sectPr w:rsidR="00640913" w:rsidSect="00AD6BB3">
      <w:footerReference w:type="default" r:id="rId10"/>
      <w:pgSz w:w="12240" w:h="15840"/>
      <w:pgMar w:top="1440" w:right="1440" w:bottom="1440" w:left="1440" w:header="0" w:footer="865"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1DC7" w16cex:dateUtc="2021-03-04T13:50:00Z"/>
  <w16cex:commentExtensible w16cex:durableId="23EB1DDD" w16cex:dateUtc="2021-03-04T13:50:00Z"/>
  <w16cex:commentExtensible w16cex:durableId="23EB1E39" w16cex:dateUtc="2021-03-04T13:52:00Z"/>
  <w16cex:commentExtensible w16cex:durableId="23EB1E4C" w16cex:dateUtc="2021-03-04T13:52:00Z"/>
  <w16cex:commentExtensible w16cex:durableId="23EB1E7C" w16cex:dateUtc="2021-03-04T13:53:00Z"/>
  <w16cex:commentExtensible w16cex:durableId="23EB1EA8" w16cex:dateUtc="2021-03-04T13: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81474" w14:textId="77777777" w:rsidR="00963411" w:rsidRDefault="00963411">
      <w:r>
        <w:separator/>
      </w:r>
    </w:p>
  </w:endnote>
  <w:endnote w:type="continuationSeparator" w:id="0">
    <w:p w14:paraId="4FF136A4" w14:textId="77777777" w:rsidR="00963411" w:rsidRDefault="0096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3C00" w14:textId="77777777" w:rsidR="00D278B4" w:rsidRDefault="00D278B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161BF0" wp14:editId="013A740C">
              <wp:simplePos x="0" y="0"/>
              <wp:positionH relativeFrom="page">
                <wp:posOffset>3784600</wp:posOffset>
              </wp:positionH>
              <wp:positionV relativeFrom="page">
                <wp:posOffset>9324975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2AA21" w14:textId="77777777" w:rsidR="00D278B4" w:rsidRDefault="00D278B4">
                          <w:pPr>
                            <w:pStyle w:val="BodyText"/>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61BF0" id="_x0000_t202" coordsize="21600,21600" o:spt="202" path="m,l,21600r21600,l21600,xe">
              <v:stroke joinstyle="miter"/>
              <v:path gradientshapeok="t" o:connecttype="rect"/>
            </v:shapetype>
            <v:shape id="Text Box 1" o:spid="_x0000_s1026" type="#_x0000_t202" style="position:absolute;margin-left:298pt;margin-top:734.2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8J8/MOEAAAANAQAA&#10;DwAAAGRycy9kb3ducmV2LnhtbEyPwU7DMBBE70j9B2srcaNOK2olIU5VITghIdJw4OjEbmI1XofY&#10;bcPfsz3BcWdGs2+K3ewGdjFTsB4lrFcJMIOt1xY7CZ/160MKLESFWg0ejYQfE2BXLu4KlWt/xcpc&#10;DrFjVIIhVxL6GMec89D2xqmw8qNB8o5+cirSOXVcT+pK5W7gmyQR3CmL9KFXo3nuTXs6nJ2E/RdW&#10;L/b7vfmojpWt6yzBN3GS8n4575+ARTPHvzDc8AkdSmJq/Bl1YIOEbSZoSyTjUaRbYBQRm5Sk5iZl&#10;2Rp4WfD/K8pfAAAA//8DAFBLAQItABQABgAIAAAAIQC2gziS/gAAAOEBAAATAAAAAAAAAAAAAAAA&#10;AAAAAABbQ29udGVudF9UeXBlc10ueG1sUEsBAi0AFAAGAAgAAAAhADj9If/WAAAAlAEAAAsAAAAA&#10;AAAAAAAAAAAALwEAAF9yZWxzLy5yZWxzUEsBAi0AFAAGAAgAAAAhAPVquYSrAgAAqAUAAA4AAAAA&#10;AAAAAAAAAAAALgIAAGRycy9lMm9Eb2MueG1sUEsBAi0AFAAGAAgAAAAhAPCfPzDhAAAADQEAAA8A&#10;AAAAAAAAAAAAAAAABQUAAGRycy9kb3ducmV2LnhtbFBLBQYAAAAABAAEAPMAAAATBgAAAAA=&#10;" filled="f" stroked="f">
              <v:textbox inset="0,0,0,0">
                <w:txbxContent>
                  <w:p w14:paraId="3A82AA21" w14:textId="77777777" w:rsidR="00D278B4" w:rsidRDefault="00D278B4">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8E06A" w14:textId="77777777" w:rsidR="00963411" w:rsidRDefault="00963411">
      <w:r>
        <w:separator/>
      </w:r>
    </w:p>
  </w:footnote>
  <w:footnote w:type="continuationSeparator" w:id="0">
    <w:p w14:paraId="4692B974" w14:textId="77777777" w:rsidR="00963411" w:rsidRDefault="00963411">
      <w:r>
        <w:continuationSeparator/>
      </w:r>
    </w:p>
  </w:footnote>
  <w:footnote w:id="1">
    <w:p w14:paraId="0817F555" w14:textId="00A2147F" w:rsidR="000E3905" w:rsidRDefault="000E3905">
      <w:pPr>
        <w:pStyle w:val="FootnoteText"/>
      </w:pPr>
      <w:r>
        <w:rPr>
          <w:rStyle w:val="FootnoteReference"/>
        </w:rPr>
        <w:footnoteRef/>
      </w:r>
      <w:r>
        <w:t xml:space="preserve"> </w:t>
      </w:r>
      <w:r w:rsidRPr="000E3905">
        <w:t xml:space="preserve">When the Death in Custody Reporting Act was reauthorized in 2014 (P.L. 113-242), it included additional enforcement and reporting compliance requirements that are incompatible with BJS’s authorizing statute as a federal statistical agency. The U.S. Department of Justice (DOJ) determined that it would be more appropriate for the Bureau of Justice Assistance (BJA) to administer the program and collect mortality data for DOJ starting with quarter 1 (Q1) of fiscal year (FY) 2020 (October to December 2019). State DOCs and local jails </w:t>
      </w:r>
      <w:r w:rsidR="00231590">
        <w:t>are now</w:t>
      </w:r>
      <w:r w:rsidRPr="000E3905">
        <w:t xml:space="preserve"> asked to report their death information on a quarterly basis to centralized state agencies, which compile and submit the information to BJA to comply with all applicable requirements in P.L. 113-242.</w:t>
      </w:r>
    </w:p>
  </w:footnote>
  <w:footnote w:id="2">
    <w:p w14:paraId="6DFC4DF4" w14:textId="5FF3AEC4" w:rsidR="003A76D6" w:rsidRDefault="003A76D6">
      <w:pPr>
        <w:pStyle w:val="FootnoteText"/>
      </w:pPr>
      <w:r>
        <w:rPr>
          <w:rStyle w:val="FootnoteReference"/>
        </w:rPr>
        <w:footnoteRef/>
      </w:r>
      <w:r>
        <w:t xml:space="preserve"> </w:t>
      </w:r>
      <w:r w:rsidRPr="0012167B">
        <w:rPr>
          <w:color w:val="211E1F"/>
        </w:rPr>
        <w:t>Five states with combined jail/prison systems had no public jails: Connecticut, Delaware, Hawaii, Rhode Island, and Vermont.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901"/>
    <w:multiLevelType w:val="hybridMultilevel"/>
    <w:tmpl w:val="58D6871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 w15:restartNumberingAfterBreak="0">
    <w:nsid w:val="0575046E"/>
    <w:multiLevelType w:val="hybridMultilevel"/>
    <w:tmpl w:val="25A0B988"/>
    <w:lvl w:ilvl="0" w:tplc="B16C1FE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C407F"/>
    <w:multiLevelType w:val="hybridMultilevel"/>
    <w:tmpl w:val="09B815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20370F61"/>
    <w:multiLevelType w:val="hybridMultilevel"/>
    <w:tmpl w:val="41641DB6"/>
    <w:lvl w:ilvl="0" w:tplc="2DE4CB2C">
      <w:start w:val="7"/>
      <w:numFmt w:val="decimal"/>
      <w:lvlText w:val="%1."/>
      <w:lvlJc w:val="left"/>
      <w:pPr>
        <w:ind w:left="2559" w:hanging="212"/>
      </w:pPr>
      <w:rPr>
        <w:rFonts w:ascii="Arial" w:eastAsia="Arial" w:hAnsi="Arial" w:cs="Arial" w:hint="default"/>
        <w:b/>
        <w:bCs/>
        <w:w w:val="99"/>
        <w:sz w:val="19"/>
        <w:szCs w:val="19"/>
      </w:rPr>
    </w:lvl>
    <w:lvl w:ilvl="1" w:tplc="F236C30C">
      <w:start w:val="1"/>
      <w:numFmt w:val="decimalZero"/>
      <w:lvlText w:val="%2"/>
      <w:lvlJc w:val="left"/>
      <w:pPr>
        <w:ind w:left="2790" w:hanging="231"/>
      </w:pPr>
      <w:rPr>
        <w:rFonts w:ascii="Arial" w:eastAsia="Arial" w:hAnsi="Arial" w:cs="Arial" w:hint="default"/>
        <w:spacing w:val="-1"/>
        <w:w w:val="100"/>
        <w:sz w:val="16"/>
        <w:szCs w:val="16"/>
      </w:rPr>
    </w:lvl>
    <w:lvl w:ilvl="2" w:tplc="51EA010E">
      <w:numFmt w:val="bullet"/>
      <w:lvlText w:val="•"/>
      <w:lvlJc w:val="left"/>
      <w:pPr>
        <w:ind w:left="3655" w:hanging="231"/>
      </w:pPr>
      <w:rPr>
        <w:rFonts w:hint="default"/>
      </w:rPr>
    </w:lvl>
    <w:lvl w:ilvl="3" w:tplc="D17ABD96">
      <w:numFmt w:val="bullet"/>
      <w:lvlText w:val="•"/>
      <w:lvlJc w:val="left"/>
      <w:pPr>
        <w:ind w:left="4511" w:hanging="231"/>
      </w:pPr>
      <w:rPr>
        <w:rFonts w:hint="default"/>
      </w:rPr>
    </w:lvl>
    <w:lvl w:ilvl="4" w:tplc="C04CC75E">
      <w:numFmt w:val="bullet"/>
      <w:lvlText w:val="•"/>
      <w:lvlJc w:val="left"/>
      <w:pPr>
        <w:ind w:left="5366" w:hanging="231"/>
      </w:pPr>
      <w:rPr>
        <w:rFonts w:hint="default"/>
      </w:rPr>
    </w:lvl>
    <w:lvl w:ilvl="5" w:tplc="10F8478C">
      <w:numFmt w:val="bullet"/>
      <w:lvlText w:val="•"/>
      <w:lvlJc w:val="left"/>
      <w:pPr>
        <w:ind w:left="6222" w:hanging="231"/>
      </w:pPr>
      <w:rPr>
        <w:rFonts w:hint="default"/>
      </w:rPr>
    </w:lvl>
    <w:lvl w:ilvl="6" w:tplc="587032D2">
      <w:numFmt w:val="bullet"/>
      <w:lvlText w:val="•"/>
      <w:lvlJc w:val="left"/>
      <w:pPr>
        <w:ind w:left="7077" w:hanging="231"/>
      </w:pPr>
      <w:rPr>
        <w:rFonts w:hint="default"/>
      </w:rPr>
    </w:lvl>
    <w:lvl w:ilvl="7" w:tplc="011E1D68">
      <w:numFmt w:val="bullet"/>
      <w:lvlText w:val="•"/>
      <w:lvlJc w:val="left"/>
      <w:pPr>
        <w:ind w:left="7933" w:hanging="231"/>
      </w:pPr>
      <w:rPr>
        <w:rFonts w:hint="default"/>
      </w:rPr>
    </w:lvl>
    <w:lvl w:ilvl="8" w:tplc="7116CA90">
      <w:numFmt w:val="bullet"/>
      <w:lvlText w:val="•"/>
      <w:lvlJc w:val="left"/>
      <w:pPr>
        <w:ind w:left="8788" w:hanging="231"/>
      </w:pPr>
      <w:rPr>
        <w:rFonts w:hint="default"/>
      </w:rPr>
    </w:lvl>
  </w:abstractNum>
  <w:abstractNum w:abstractNumId="4" w15:restartNumberingAfterBreak="0">
    <w:nsid w:val="36E23132"/>
    <w:multiLevelType w:val="hybridMultilevel"/>
    <w:tmpl w:val="21FE54D0"/>
    <w:lvl w:ilvl="0" w:tplc="0BA06F76">
      <w:numFmt w:val="bullet"/>
      <w:lvlText w:val="*"/>
      <w:lvlJc w:val="left"/>
      <w:pPr>
        <w:ind w:left="387" w:hanging="161"/>
      </w:pPr>
      <w:rPr>
        <w:rFonts w:ascii="Calibri" w:eastAsia="Calibri" w:hAnsi="Calibri" w:cs="Calibri" w:hint="default"/>
        <w:w w:val="100"/>
        <w:sz w:val="22"/>
        <w:szCs w:val="22"/>
      </w:rPr>
    </w:lvl>
    <w:lvl w:ilvl="1" w:tplc="6C428080">
      <w:numFmt w:val="bullet"/>
      <w:lvlText w:val=""/>
      <w:lvlJc w:val="left"/>
      <w:pPr>
        <w:ind w:left="1211" w:hanging="180"/>
      </w:pPr>
      <w:rPr>
        <w:rFonts w:ascii="Symbol" w:eastAsia="Symbol" w:hAnsi="Symbol" w:cs="Symbol" w:hint="default"/>
        <w:w w:val="100"/>
        <w:sz w:val="24"/>
        <w:szCs w:val="24"/>
      </w:rPr>
    </w:lvl>
    <w:lvl w:ilvl="2" w:tplc="53986E12">
      <w:numFmt w:val="bullet"/>
      <w:lvlText w:val="•"/>
      <w:lvlJc w:val="left"/>
      <w:pPr>
        <w:ind w:left="2251" w:hanging="180"/>
      </w:pPr>
      <w:rPr>
        <w:rFonts w:hint="default"/>
      </w:rPr>
    </w:lvl>
    <w:lvl w:ilvl="3" w:tplc="473AE14C">
      <w:numFmt w:val="bullet"/>
      <w:lvlText w:val="•"/>
      <w:lvlJc w:val="left"/>
      <w:pPr>
        <w:ind w:left="3282" w:hanging="180"/>
      </w:pPr>
      <w:rPr>
        <w:rFonts w:hint="default"/>
      </w:rPr>
    </w:lvl>
    <w:lvl w:ilvl="4" w:tplc="A59A9212">
      <w:numFmt w:val="bullet"/>
      <w:lvlText w:val="•"/>
      <w:lvlJc w:val="left"/>
      <w:pPr>
        <w:ind w:left="4313" w:hanging="180"/>
      </w:pPr>
      <w:rPr>
        <w:rFonts w:hint="default"/>
      </w:rPr>
    </w:lvl>
    <w:lvl w:ilvl="5" w:tplc="26D05BF4">
      <w:numFmt w:val="bullet"/>
      <w:lvlText w:val="•"/>
      <w:lvlJc w:val="left"/>
      <w:pPr>
        <w:ind w:left="5344" w:hanging="180"/>
      </w:pPr>
      <w:rPr>
        <w:rFonts w:hint="default"/>
      </w:rPr>
    </w:lvl>
    <w:lvl w:ilvl="6" w:tplc="25E41664">
      <w:numFmt w:val="bullet"/>
      <w:lvlText w:val="•"/>
      <w:lvlJc w:val="left"/>
      <w:pPr>
        <w:ind w:left="6375" w:hanging="180"/>
      </w:pPr>
      <w:rPr>
        <w:rFonts w:hint="default"/>
      </w:rPr>
    </w:lvl>
    <w:lvl w:ilvl="7" w:tplc="53DC7528">
      <w:numFmt w:val="bullet"/>
      <w:lvlText w:val="•"/>
      <w:lvlJc w:val="left"/>
      <w:pPr>
        <w:ind w:left="7406" w:hanging="180"/>
      </w:pPr>
      <w:rPr>
        <w:rFonts w:hint="default"/>
      </w:rPr>
    </w:lvl>
    <w:lvl w:ilvl="8" w:tplc="E5AA6826">
      <w:numFmt w:val="bullet"/>
      <w:lvlText w:val="•"/>
      <w:lvlJc w:val="left"/>
      <w:pPr>
        <w:ind w:left="8437" w:hanging="180"/>
      </w:pPr>
      <w:rPr>
        <w:rFonts w:hint="default"/>
      </w:rPr>
    </w:lvl>
  </w:abstractNum>
  <w:abstractNum w:abstractNumId="5" w15:restartNumberingAfterBreak="0">
    <w:nsid w:val="42660491"/>
    <w:multiLevelType w:val="hybridMultilevel"/>
    <w:tmpl w:val="D444E7D6"/>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6" w15:restartNumberingAfterBreak="0">
    <w:nsid w:val="49E8084C"/>
    <w:multiLevelType w:val="hybridMultilevel"/>
    <w:tmpl w:val="F306B1F8"/>
    <w:lvl w:ilvl="0" w:tplc="B10A6E86">
      <w:start w:val="4"/>
      <w:numFmt w:val="decimal"/>
      <w:lvlText w:val="%1."/>
      <w:lvlJc w:val="left"/>
      <w:pPr>
        <w:ind w:left="720" w:hanging="72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65DFE"/>
    <w:multiLevelType w:val="hybridMultilevel"/>
    <w:tmpl w:val="3954A9DE"/>
    <w:lvl w:ilvl="0" w:tplc="5AC8FED8">
      <w:numFmt w:val="bullet"/>
      <w:lvlText w:val=""/>
      <w:lvlJc w:val="left"/>
      <w:pPr>
        <w:ind w:left="1480" w:hanging="360"/>
      </w:pPr>
      <w:rPr>
        <w:rFonts w:ascii="Symbol" w:eastAsia="Symbol" w:hAnsi="Symbol" w:cs="Symbol" w:hint="default"/>
        <w:w w:val="100"/>
        <w:sz w:val="24"/>
        <w:szCs w:val="24"/>
      </w:rPr>
    </w:lvl>
    <w:lvl w:ilvl="1" w:tplc="7110F908">
      <w:numFmt w:val="bullet"/>
      <w:lvlText w:val=""/>
      <w:lvlJc w:val="left"/>
      <w:pPr>
        <w:ind w:left="1660" w:hanging="361"/>
      </w:pPr>
      <w:rPr>
        <w:rFonts w:ascii="Symbol" w:eastAsia="Symbol" w:hAnsi="Symbol" w:cs="Symbol" w:hint="default"/>
        <w:w w:val="100"/>
        <w:sz w:val="22"/>
        <w:szCs w:val="22"/>
      </w:rPr>
    </w:lvl>
    <w:lvl w:ilvl="2" w:tplc="616CE198">
      <w:numFmt w:val="bullet"/>
      <w:lvlText w:val="•"/>
      <w:lvlJc w:val="left"/>
      <w:pPr>
        <w:ind w:left="2642" w:hanging="361"/>
      </w:pPr>
      <w:rPr>
        <w:rFonts w:hint="default"/>
      </w:rPr>
    </w:lvl>
    <w:lvl w:ilvl="3" w:tplc="0E867A72">
      <w:numFmt w:val="bullet"/>
      <w:lvlText w:val="•"/>
      <w:lvlJc w:val="left"/>
      <w:pPr>
        <w:ind w:left="3624" w:hanging="361"/>
      </w:pPr>
      <w:rPr>
        <w:rFonts w:hint="default"/>
      </w:rPr>
    </w:lvl>
    <w:lvl w:ilvl="4" w:tplc="E14A8BE8">
      <w:numFmt w:val="bullet"/>
      <w:lvlText w:val="•"/>
      <w:lvlJc w:val="left"/>
      <w:pPr>
        <w:ind w:left="4606" w:hanging="361"/>
      </w:pPr>
      <w:rPr>
        <w:rFonts w:hint="default"/>
      </w:rPr>
    </w:lvl>
    <w:lvl w:ilvl="5" w:tplc="B732890E">
      <w:numFmt w:val="bullet"/>
      <w:lvlText w:val="•"/>
      <w:lvlJc w:val="left"/>
      <w:pPr>
        <w:ind w:left="5588" w:hanging="361"/>
      </w:pPr>
      <w:rPr>
        <w:rFonts w:hint="default"/>
      </w:rPr>
    </w:lvl>
    <w:lvl w:ilvl="6" w:tplc="7576ADBA">
      <w:numFmt w:val="bullet"/>
      <w:lvlText w:val="•"/>
      <w:lvlJc w:val="left"/>
      <w:pPr>
        <w:ind w:left="6571" w:hanging="361"/>
      </w:pPr>
      <w:rPr>
        <w:rFonts w:hint="default"/>
      </w:rPr>
    </w:lvl>
    <w:lvl w:ilvl="7" w:tplc="456EEAE2">
      <w:numFmt w:val="bullet"/>
      <w:lvlText w:val="•"/>
      <w:lvlJc w:val="left"/>
      <w:pPr>
        <w:ind w:left="7553" w:hanging="361"/>
      </w:pPr>
      <w:rPr>
        <w:rFonts w:hint="default"/>
      </w:rPr>
    </w:lvl>
    <w:lvl w:ilvl="8" w:tplc="9F725B68">
      <w:numFmt w:val="bullet"/>
      <w:lvlText w:val="•"/>
      <w:lvlJc w:val="left"/>
      <w:pPr>
        <w:ind w:left="8535" w:hanging="361"/>
      </w:pPr>
      <w:rPr>
        <w:rFonts w:hint="default"/>
      </w:rPr>
    </w:lvl>
  </w:abstractNum>
  <w:abstractNum w:abstractNumId="8" w15:restartNumberingAfterBreak="0">
    <w:nsid w:val="66773CC7"/>
    <w:multiLevelType w:val="hybridMultilevel"/>
    <w:tmpl w:val="A016D528"/>
    <w:lvl w:ilvl="0" w:tplc="57B08A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467FE0"/>
    <w:multiLevelType w:val="hybridMultilevel"/>
    <w:tmpl w:val="6180EE60"/>
    <w:lvl w:ilvl="0" w:tplc="F7DEB8F4">
      <w:start w:val="2"/>
      <w:numFmt w:val="upperLetter"/>
      <w:lvlText w:val="%1."/>
      <w:lvlJc w:val="left"/>
      <w:pPr>
        <w:ind w:left="940" w:hanging="720"/>
      </w:pPr>
      <w:rPr>
        <w:rFonts w:ascii="Times New Roman" w:eastAsia="Times New Roman" w:hAnsi="Times New Roman" w:cs="Times New Roman" w:hint="default"/>
        <w:b/>
        <w:bCs/>
        <w:spacing w:val="-1"/>
        <w:w w:val="100"/>
        <w:sz w:val="24"/>
        <w:szCs w:val="24"/>
      </w:rPr>
    </w:lvl>
    <w:lvl w:ilvl="1" w:tplc="DEF28D9E">
      <w:start w:val="1"/>
      <w:numFmt w:val="decimal"/>
      <w:lvlText w:val="%2."/>
      <w:lvlJc w:val="left"/>
      <w:pPr>
        <w:ind w:left="720" w:hanging="720"/>
      </w:pPr>
      <w:rPr>
        <w:rFonts w:ascii="Times New Roman" w:eastAsia="Times New Roman" w:hAnsi="Times New Roman" w:cs="Times New Roman" w:hint="default"/>
        <w:spacing w:val="-1"/>
        <w:w w:val="100"/>
        <w:sz w:val="24"/>
        <w:szCs w:val="24"/>
      </w:rPr>
    </w:lvl>
    <w:lvl w:ilvl="2" w:tplc="89424314">
      <w:start w:val="1"/>
      <w:numFmt w:val="decimal"/>
      <w:lvlText w:val="%3."/>
      <w:lvlJc w:val="left"/>
      <w:pPr>
        <w:ind w:left="1660" w:hanging="360"/>
      </w:pPr>
      <w:rPr>
        <w:rFonts w:ascii="Times New Roman" w:eastAsia="Times New Roman" w:hAnsi="Times New Roman" w:cs="Times New Roman" w:hint="default"/>
        <w:spacing w:val="-5"/>
        <w:w w:val="100"/>
        <w:sz w:val="24"/>
        <w:szCs w:val="24"/>
      </w:rPr>
    </w:lvl>
    <w:lvl w:ilvl="3" w:tplc="C8643276">
      <w:start w:val="1"/>
      <w:numFmt w:val="lowerLetter"/>
      <w:lvlText w:val="%4."/>
      <w:lvlJc w:val="left"/>
      <w:pPr>
        <w:ind w:left="2020" w:hanging="360"/>
      </w:pPr>
      <w:rPr>
        <w:rFonts w:ascii="Times New Roman" w:eastAsia="Times New Roman" w:hAnsi="Times New Roman" w:cs="Times New Roman" w:hint="default"/>
        <w:spacing w:val="-5"/>
        <w:w w:val="100"/>
        <w:sz w:val="24"/>
        <w:szCs w:val="24"/>
      </w:rPr>
    </w:lvl>
    <w:lvl w:ilvl="4" w:tplc="39F83BF6">
      <w:numFmt w:val="bullet"/>
      <w:lvlText w:val="•"/>
      <w:lvlJc w:val="left"/>
      <w:pPr>
        <w:ind w:left="3231" w:hanging="360"/>
      </w:pPr>
      <w:rPr>
        <w:rFonts w:hint="default"/>
      </w:rPr>
    </w:lvl>
    <w:lvl w:ilvl="5" w:tplc="9E489DC0">
      <w:numFmt w:val="bullet"/>
      <w:lvlText w:val="•"/>
      <w:lvlJc w:val="left"/>
      <w:pPr>
        <w:ind w:left="4442" w:hanging="360"/>
      </w:pPr>
      <w:rPr>
        <w:rFonts w:hint="default"/>
      </w:rPr>
    </w:lvl>
    <w:lvl w:ilvl="6" w:tplc="5706FBE8">
      <w:numFmt w:val="bullet"/>
      <w:lvlText w:val="•"/>
      <w:lvlJc w:val="left"/>
      <w:pPr>
        <w:ind w:left="5654" w:hanging="360"/>
      </w:pPr>
      <w:rPr>
        <w:rFonts w:hint="default"/>
      </w:rPr>
    </w:lvl>
    <w:lvl w:ilvl="7" w:tplc="79F41E20">
      <w:numFmt w:val="bullet"/>
      <w:lvlText w:val="•"/>
      <w:lvlJc w:val="left"/>
      <w:pPr>
        <w:ind w:left="6865" w:hanging="360"/>
      </w:pPr>
      <w:rPr>
        <w:rFonts w:hint="default"/>
      </w:rPr>
    </w:lvl>
    <w:lvl w:ilvl="8" w:tplc="316438B6">
      <w:numFmt w:val="bullet"/>
      <w:lvlText w:val="•"/>
      <w:lvlJc w:val="left"/>
      <w:pPr>
        <w:ind w:left="8077" w:hanging="360"/>
      </w:pPr>
      <w:rPr>
        <w:rFonts w:hint="default"/>
      </w:rPr>
    </w:lvl>
  </w:abstractNum>
  <w:num w:numId="1">
    <w:abstractNumId w:val="7"/>
  </w:num>
  <w:num w:numId="2">
    <w:abstractNumId w:val="3"/>
  </w:num>
  <w:num w:numId="3">
    <w:abstractNumId w:val="4"/>
  </w:num>
  <w:num w:numId="4">
    <w:abstractNumId w:val="9"/>
  </w:num>
  <w:num w:numId="5">
    <w:abstractNumId w:val="1"/>
  </w:num>
  <w:num w:numId="6">
    <w:abstractNumId w:val="0"/>
  </w:num>
  <w:num w:numId="7">
    <w:abstractNumId w:val="5"/>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13"/>
    <w:rsid w:val="00013E37"/>
    <w:rsid w:val="00022623"/>
    <w:rsid w:val="00030746"/>
    <w:rsid w:val="00033EFD"/>
    <w:rsid w:val="000400FF"/>
    <w:rsid w:val="00046628"/>
    <w:rsid w:val="00052CA8"/>
    <w:rsid w:val="0006208B"/>
    <w:rsid w:val="0008206E"/>
    <w:rsid w:val="00092481"/>
    <w:rsid w:val="00093D3C"/>
    <w:rsid w:val="0009589E"/>
    <w:rsid w:val="000A1196"/>
    <w:rsid w:val="000A6DD9"/>
    <w:rsid w:val="000B3C40"/>
    <w:rsid w:val="000C0250"/>
    <w:rsid w:val="000C6831"/>
    <w:rsid w:val="000E3905"/>
    <w:rsid w:val="000E4D73"/>
    <w:rsid w:val="000F29FF"/>
    <w:rsid w:val="000F65A7"/>
    <w:rsid w:val="001002C3"/>
    <w:rsid w:val="00103F2A"/>
    <w:rsid w:val="00107595"/>
    <w:rsid w:val="0012167B"/>
    <w:rsid w:val="0012189F"/>
    <w:rsid w:val="001237FF"/>
    <w:rsid w:val="00125DCE"/>
    <w:rsid w:val="00130299"/>
    <w:rsid w:val="001553DF"/>
    <w:rsid w:val="0015683E"/>
    <w:rsid w:val="00182779"/>
    <w:rsid w:val="00183184"/>
    <w:rsid w:val="00197846"/>
    <w:rsid w:val="001B566C"/>
    <w:rsid w:val="001B60E4"/>
    <w:rsid w:val="001D181F"/>
    <w:rsid w:val="001D647C"/>
    <w:rsid w:val="001D6BDA"/>
    <w:rsid w:val="001E11A2"/>
    <w:rsid w:val="001F58F0"/>
    <w:rsid w:val="0020428C"/>
    <w:rsid w:val="00217F28"/>
    <w:rsid w:val="00226729"/>
    <w:rsid w:val="002302D2"/>
    <w:rsid w:val="00231256"/>
    <w:rsid w:val="00231590"/>
    <w:rsid w:val="002362A2"/>
    <w:rsid w:val="0023646D"/>
    <w:rsid w:val="00246A69"/>
    <w:rsid w:val="002654B4"/>
    <w:rsid w:val="00266899"/>
    <w:rsid w:val="0028433C"/>
    <w:rsid w:val="00290BC9"/>
    <w:rsid w:val="0029202F"/>
    <w:rsid w:val="00294930"/>
    <w:rsid w:val="00296039"/>
    <w:rsid w:val="002A14E9"/>
    <w:rsid w:val="002A1CD8"/>
    <w:rsid w:val="002A39CC"/>
    <w:rsid w:val="002B0947"/>
    <w:rsid w:val="002B30B3"/>
    <w:rsid w:val="002B360F"/>
    <w:rsid w:val="002B59BA"/>
    <w:rsid w:val="002C49D7"/>
    <w:rsid w:val="002D24AA"/>
    <w:rsid w:val="002D41F9"/>
    <w:rsid w:val="002D5DE9"/>
    <w:rsid w:val="002E171C"/>
    <w:rsid w:val="002F0C66"/>
    <w:rsid w:val="002F2E85"/>
    <w:rsid w:val="002F7AD1"/>
    <w:rsid w:val="00333754"/>
    <w:rsid w:val="0033447C"/>
    <w:rsid w:val="0033561C"/>
    <w:rsid w:val="00346668"/>
    <w:rsid w:val="003825D1"/>
    <w:rsid w:val="003A15A6"/>
    <w:rsid w:val="003A2A3E"/>
    <w:rsid w:val="003A76D6"/>
    <w:rsid w:val="003C4F37"/>
    <w:rsid w:val="003D044A"/>
    <w:rsid w:val="003E68D4"/>
    <w:rsid w:val="003E7CC7"/>
    <w:rsid w:val="003F04DF"/>
    <w:rsid w:val="003F1AE4"/>
    <w:rsid w:val="003F3ADD"/>
    <w:rsid w:val="003F5562"/>
    <w:rsid w:val="003F6345"/>
    <w:rsid w:val="0041197C"/>
    <w:rsid w:val="00431A8B"/>
    <w:rsid w:val="00450565"/>
    <w:rsid w:val="00451139"/>
    <w:rsid w:val="00460699"/>
    <w:rsid w:val="00460CFB"/>
    <w:rsid w:val="00471424"/>
    <w:rsid w:val="00480636"/>
    <w:rsid w:val="004A1A56"/>
    <w:rsid w:val="004A1E0E"/>
    <w:rsid w:val="004A50FE"/>
    <w:rsid w:val="004C2441"/>
    <w:rsid w:val="004C288D"/>
    <w:rsid w:val="004C3D9D"/>
    <w:rsid w:val="004D1030"/>
    <w:rsid w:val="004F0967"/>
    <w:rsid w:val="005059EB"/>
    <w:rsid w:val="00505D37"/>
    <w:rsid w:val="00512001"/>
    <w:rsid w:val="005231E0"/>
    <w:rsid w:val="005331A5"/>
    <w:rsid w:val="00536F81"/>
    <w:rsid w:val="00543D3E"/>
    <w:rsid w:val="00545B69"/>
    <w:rsid w:val="005468A0"/>
    <w:rsid w:val="00547ED4"/>
    <w:rsid w:val="0055492C"/>
    <w:rsid w:val="00555524"/>
    <w:rsid w:val="0055663A"/>
    <w:rsid w:val="00572A98"/>
    <w:rsid w:val="00572D01"/>
    <w:rsid w:val="0057365F"/>
    <w:rsid w:val="005736D8"/>
    <w:rsid w:val="0059154E"/>
    <w:rsid w:val="00593E4F"/>
    <w:rsid w:val="005A2769"/>
    <w:rsid w:val="005A6A28"/>
    <w:rsid w:val="005D7062"/>
    <w:rsid w:val="005F1607"/>
    <w:rsid w:val="005F275B"/>
    <w:rsid w:val="005F2FC4"/>
    <w:rsid w:val="00601025"/>
    <w:rsid w:val="0060583F"/>
    <w:rsid w:val="00627A44"/>
    <w:rsid w:val="006317C7"/>
    <w:rsid w:val="00640913"/>
    <w:rsid w:val="00655E1C"/>
    <w:rsid w:val="00666ED4"/>
    <w:rsid w:val="00680892"/>
    <w:rsid w:val="00685084"/>
    <w:rsid w:val="00686D0D"/>
    <w:rsid w:val="006A103F"/>
    <w:rsid w:val="006B1892"/>
    <w:rsid w:val="006B2112"/>
    <w:rsid w:val="006D7F48"/>
    <w:rsid w:val="006E6CA4"/>
    <w:rsid w:val="006E7EFC"/>
    <w:rsid w:val="0070260F"/>
    <w:rsid w:val="00710CBD"/>
    <w:rsid w:val="00716699"/>
    <w:rsid w:val="00721149"/>
    <w:rsid w:val="00725237"/>
    <w:rsid w:val="00726054"/>
    <w:rsid w:val="00727170"/>
    <w:rsid w:val="00741DFD"/>
    <w:rsid w:val="007501B4"/>
    <w:rsid w:val="00773128"/>
    <w:rsid w:val="0077700D"/>
    <w:rsid w:val="00791DE3"/>
    <w:rsid w:val="00792CD2"/>
    <w:rsid w:val="007B7323"/>
    <w:rsid w:val="007C3693"/>
    <w:rsid w:val="007C7C70"/>
    <w:rsid w:val="007D003C"/>
    <w:rsid w:val="007E1331"/>
    <w:rsid w:val="007E28B2"/>
    <w:rsid w:val="00801968"/>
    <w:rsid w:val="008033A9"/>
    <w:rsid w:val="00807F6C"/>
    <w:rsid w:val="00810EE1"/>
    <w:rsid w:val="00812FF7"/>
    <w:rsid w:val="00845440"/>
    <w:rsid w:val="008475ED"/>
    <w:rsid w:val="00851252"/>
    <w:rsid w:val="00864ECD"/>
    <w:rsid w:val="00876A26"/>
    <w:rsid w:val="00896311"/>
    <w:rsid w:val="008A2DAC"/>
    <w:rsid w:val="008A3B17"/>
    <w:rsid w:val="008A3F62"/>
    <w:rsid w:val="008A4B61"/>
    <w:rsid w:val="008A7B08"/>
    <w:rsid w:val="008B2C74"/>
    <w:rsid w:val="008B4109"/>
    <w:rsid w:val="008D7A79"/>
    <w:rsid w:val="008E2D5F"/>
    <w:rsid w:val="008F6364"/>
    <w:rsid w:val="00917DE8"/>
    <w:rsid w:val="00924872"/>
    <w:rsid w:val="009339CC"/>
    <w:rsid w:val="009438F1"/>
    <w:rsid w:val="00952CC8"/>
    <w:rsid w:val="009532E2"/>
    <w:rsid w:val="00954865"/>
    <w:rsid w:val="00963411"/>
    <w:rsid w:val="00981C8A"/>
    <w:rsid w:val="00995D88"/>
    <w:rsid w:val="009A020C"/>
    <w:rsid w:val="009A51AC"/>
    <w:rsid w:val="009A64D4"/>
    <w:rsid w:val="009A7B9C"/>
    <w:rsid w:val="009B1E3E"/>
    <w:rsid w:val="009B4BC2"/>
    <w:rsid w:val="009C063E"/>
    <w:rsid w:val="009E21D2"/>
    <w:rsid w:val="009F0BE7"/>
    <w:rsid w:val="009F4A0B"/>
    <w:rsid w:val="009F6D7C"/>
    <w:rsid w:val="00A01CAD"/>
    <w:rsid w:val="00A21D90"/>
    <w:rsid w:val="00A30274"/>
    <w:rsid w:val="00A63571"/>
    <w:rsid w:val="00A67C94"/>
    <w:rsid w:val="00A71D58"/>
    <w:rsid w:val="00A81141"/>
    <w:rsid w:val="00A9167F"/>
    <w:rsid w:val="00A91D42"/>
    <w:rsid w:val="00AD0100"/>
    <w:rsid w:val="00AD243D"/>
    <w:rsid w:val="00AD6515"/>
    <w:rsid w:val="00AD6BB3"/>
    <w:rsid w:val="00B13C85"/>
    <w:rsid w:val="00B20CD3"/>
    <w:rsid w:val="00B256E3"/>
    <w:rsid w:val="00B34D40"/>
    <w:rsid w:val="00B359BC"/>
    <w:rsid w:val="00B42F60"/>
    <w:rsid w:val="00B52885"/>
    <w:rsid w:val="00B70FC8"/>
    <w:rsid w:val="00B828F8"/>
    <w:rsid w:val="00B841CE"/>
    <w:rsid w:val="00BA6464"/>
    <w:rsid w:val="00BB21F7"/>
    <w:rsid w:val="00BB4D78"/>
    <w:rsid w:val="00BB4FCF"/>
    <w:rsid w:val="00BC304E"/>
    <w:rsid w:val="00BC3902"/>
    <w:rsid w:val="00BD2F66"/>
    <w:rsid w:val="00BE5666"/>
    <w:rsid w:val="00BF5375"/>
    <w:rsid w:val="00BF5D34"/>
    <w:rsid w:val="00C04DE9"/>
    <w:rsid w:val="00C05E20"/>
    <w:rsid w:val="00C331F2"/>
    <w:rsid w:val="00C419D0"/>
    <w:rsid w:val="00C47C95"/>
    <w:rsid w:val="00C510A3"/>
    <w:rsid w:val="00C52E79"/>
    <w:rsid w:val="00C8254B"/>
    <w:rsid w:val="00C97F28"/>
    <w:rsid w:val="00CA7613"/>
    <w:rsid w:val="00CB220A"/>
    <w:rsid w:val="00CB748C"/>
    <w:rsid w:val="00CB7760"/>
    <w:rsid w:val="00CC1478"/>
    <w:rsid w:val="00CC7490"/>
    <w:rsid w:val="00CD377A"/>
    <w:rsid w:val="00CD6FC3"/>
    <w:rsid w:val="00CE46B9"/>
    <w:rsid w:val="00CF3FEB"/>
    <w:rsid w:val="00CF77B8"/>
    <w:rsid w:val="00D041FA"/>
    <w:rsid w:val="00D0698F"/>
    <w:rsid w:val="00D278B4"/>
    <w:rsid w:val="00D44104"/>
    <w:rsid w:val="00D549E9"/>
    <w:rsid w:val="00D64693"/>
    <w:rsid w:val="00D76D7D"/>
    <w:rsid w:val="00D9171B"/>
    <w:rsid w:val="00D9755B"/>
    <w:rsid w:val="00DA1936"/>
    <w:rsid w:val="00DA2051"/>
    <w:rsid w:val="00DA60A7"/>
    <w:rsid w:val="00DA796B"/>
    <w:rsid w:val="00DB5033"/>
    <w:rsid w:val="00DB7B16"/>
    <w:rsid w:val="00DB7E96"/>
    <w:rsid w:val="00DC3075"/>
    <w:rsid w:val="00DE20D7"/>
    <w:rsid w:val="00DF624D"/>
    <w:rsid w:val="00E07DFA"/>
    <w:rsid w:val="00E35495"/>
    <w:rsid w:val="00E44288"/>
    <w:rsid w:val="00E4435E"/>
    <w:rsid w:val="00E45444"/>
    <w:rsid w:val="00E56C57"/>
    <w:rsid w:val="00E57AD9"/>
    <w:rsid w:val="00E6527A"/>
    <w:rsid w:val="00E70B3C"/>
    <w:rsid w:val="00E975E8"/>
    <w:rsid w:val="00EC7257"/>
    <w:rsid w:val="00EC7C76"/>
    <w:rsid w:val="00EF2794"/>
    <w:rsid w:val="00F12201"/>
    <w:rsid w:val="00F13739"/>
    <w:rsid w:val="00F1561F"/>
    <w:rsid w:val="00F17F1C"/>
    <w:rsid w:val="00F31253"/>
    <w:rsid w:val="00F41EB1"/>
    <w:rsid w:val="00F44109"/>
    <w:rsid w:val="00F64A7A"/>
    <w:rsid w:val="00F652A5"/>
    <w:rsid w:val="00F71357"/>
    <w:rsid w:val="00F92674"/>
    <w:rsid w:val="00F945C3"/>
    <w:rsid w:val="00F977EA"/>
    <w:rsid w:val="00FA40E1"/>
    <w:rsid w:val="00FB7353"/>
    <w:rsid w:val="00FC35E7"/>
    <w:rsid w:val="00FE2D1C"/>
    <w:rsid w:val="00FF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F831EAC"/>
  <w15:docId w15:val="{BF4B7CAA-8392-4C23-8485-47B1502A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11"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EC7257"/>
    <w:rPr>
      <w:sz w:val="16"/>
      <w:szCs w:val="16"/>
    </w:rPr>
  </w:style>
  <w:style w:type="paragraph" w:styleId="CommentText">
    <w:name w:val="annotation text"/>
    <w:basedOn w:val="Normal"/>
    <w:link w:val="CommentTextChar"/>
    <w:uiPriority w:val="99"/>
    <w:semiHidden/>
    <w:unhideWhenUsed/>
    <w:rsid w:val="00EC7257"/>
    <w:rPr>
      <w:sz w:val="20"/>
      <w:szCs w:val="20"/>
    </w:rPr>
  </w:style>
  <w:style w:type="character" w:customStyle="1" w:styleId="CommentTextChar">
    <w:name w:val="Comment Text Char"/>
    <w:basedOn w:val="DefaultParagraphFont"/>
    <w:link w:val="CommentText"/>
    <w:uiPriority w:val="99"/>
    <w:semiHidden/>
    <w:rsid w:val="00EC7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7257"/>
    <w:rPr>
      <w:b/>
      <w:bCs/>
    </w:rPr>
  </w:style>
  <w:style w:type="character" w:customStyle="1" w:styleId="CommentSubjectChar">
    <w:name w:val="Comment Subject Char"/>
    <w:basedOn w:val="CommentTextChar"/>
    <w:link w:val="CommentSubject"/>
    <w:uiPriority w:val="99"/>
    <w:semiHidden/>
    <w:rsid w:val="00EC72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7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57"/>
    <w:rPr>
      <w:rFonts w:ascii="Segoe UI" w:eastAsia="Times New Roman" w:hAnsi="Segoe UI" w:cs="Segoe UI"/>
      <w:sz w:val="18"/>
      <w:szCs w:val="18"/>
    </w:rPr>
  </w:style>
  <w:style w:type="paragraph" w:styleId="Footer">
    <w:name w:val="footer"/>
    <w:basedOn w:val="Normal"/>
    <w:link w:val="FooterChar"/>
    <w:uiPriority w:val="99"/>
    <w:unhideWhenUsed/>
    <w:rsid w:val="00E57AD9"/>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E57AD9"/>
  </w:style>
  <w:style w:type="character" w:customStyle="1" w:styleId="BodyTextChar">
    <w:name w:val="Body Text Char"/>
    <w:basedOn w:val="DefaultParagraphFont"/>
    <w:link w:val="BodyText"/>
    <w:uiPriority w:val="1"/>
    <w:rsid w:val="00FA40E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2CA8"/>
    <w:rPr>
      <w:color w:val="0000FF" w:themeColor="hyperlink"/>
      <w:u w:val="single"/>
    </w:rPr>
  </w:style>
  <w:style w:type="character" w:styleId="UnresolvedMention">
    <w:name w:val="Unresolved Mention"/>
    <w:basedOn w:val="DefaultParagraphFont"/>
    <w:uiPriority w:val="99"/>
    <w:semiHidden/>
    <w:unhideWhenUsed/>
    <w:rsid w:val="00052CA8"/>
    <w:rPr>
      <w:color w:val="605E5C"/>
      <w:shd w:val="clear" w:color="auto" w:fill="E1DFDD"/>
    </w:rPr>
  </w:style>
  <w:style w:type="paragraph" w:customStyle="1" w:styleId="CM4">
    <w:name w:val="CM4"/>
    <w:basedOn w:val="Normal"/>
    <w:next w:val="Normal"/>
    <w:uiPriority w:val="99"/>
    <w:rsid w:val="006A103F"/>
    <w:pPr>
      <w:widowControl/>
      <w:adjustRightInd w:val="0"/>
      <w:spacing w:line="251" w:lineRule="atLeast"/>
    </w:pPr>
    <w:rPr>
      <w:rFonts w:ascii="Minion Pro" w:eastAsiaTheme="minorHAnsi" w:hAnsi="Minion Pro" w:cstheme="minorBidi"/>
      <w:sz w:val="24"/>
      <w:szCs w:val="24"/>
    </w:rPr>
  </w:style>
  <w:style w:type="paragraph" w:customStyle="1" w:styleId="CM30">
    <w:name w:val="CM30"/>
    <w:basedOn w:val="Normal"/>
    <w:next w:val="Normal"/>
    <w:uiPriority w:val="99"/>
    <w:rsid w:val="006A103F"/>
    <w:pPr>
      <w:widowControl/>
      <w:adjustRightInd w:val="0"/>
    </w:pPr>
    <w:rPr>
      <w:rFonts w:ascii="Minion Pro" w:eastAsiaTheme="minorHAnsi" w:hAnsi="Minion Pro" w:cstheme="minorBidi"/>
      <w:sz w:val="24"/>
      <w:szCs w:val="24"/>
    </w:rPr>
  </w:style>
  <w:style w:type="paragraph" w:customStyle="1" w:styleId="Default">
    <w:name w:val="Default"/>
    <w:rsid w:val="00F31253"/>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9A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BC2"/>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E3905"/>
    <w:rPr>
      <w:sz w:val="20"/>
      <w:szCs w:val="20"/>
    </w:rPr>
  </w:style>
  <w:style w:type="character" w:customStyle="1" w:styleId="FootnoteTextChar">
    <w:name w:val="Footnote Text Char"/>
    <w:basedOn w:val="DefaultParagraphFont"/>
    <w:link w:val="FootnoteText"/>
    <w:uiPriority w:val="99"/>
    <w:semiHidden/>
    <w:rsid w:val="000E39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3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9176">
      <w:bodyDiv w:val="1"/>
      <w:marLeft w:val="0"/>
      <w:marRight w:val="0"/>
      <w:marTop w:val="0"/>
      <w:marBottom w:val="0"/>
      <w:divBdr>
        <w:top w:val="none" w:sz="0" w:space="0" w:color="auto"/>
        <w:left w:val="none" w:sz="0" w:space="0" w:color="auto"/>
        <w:bottom w:val="none" w:sz="0" w:space="0" w:color="auto"/>
        <w:right w:val="none" w:sz="0" w:space="0" w:color="auto"/>
      </w:divBdr>
    </w:div>
    <w:div w:id="284699030">
      <w:bodyDiv w:val="1"/>
      <w:marLeft w:val="0"/>
      <w:marRight w:val="0"/>
      <w:marTop w:val="0"/>
      <w:marBottom w:val="0"/>
      <w:divBdr>
        <w:top w:val="none" w:sz="0" w:space="0" w:color="auto"/>
        <w:left w:val="none" w:sz="0" w:space="0" w:color="auto"/>
        <w:bottom w:val="none" w:sz="0" w:space="0" w:color="auto"/>
        <w:right w:val="none" w:sz="0" w:space="0" w:color="auto"/>
      </w:divBdr>
    </w:div>
    <w:div w:id="725489152">
      <w:bodyDiv w:val="1"/>
      <w:marLeft w:val="0"/>
      <w:marRight w:val="0"/>
      <w:marTop w:val="0"/>
      <w:marBottom w:val="0"/>
      <w:divBdr>
        <w:top w:val="none" w:sz="0" w:space="0" w:color="auto"/>
        <w:left w:val="none" w:sz="0" w:space="0" w:color="auto"/>
        <w:bottom w:val="none" w:sz="0" w:space="0" w:color="auto"/>
        <w:right w:val="none" w:sz="0" w:space="0" w:color="auto"/>
      </w:divBdr>
    </w:div>
    <w:div w:id="779421259">
      <w:bodyDiv w:val="1"/>
      <w:marLeft w:val="0"/>
      <w:marRight w:val="0"/>
      <w:marTop w:val="0"/>
      <w:marBottom w:val="0"/>
      <w:divBdr>
        <w:top w:val="none" w:sz="0" w:space="0" w:color="auto"/>
        <w:left w:val="none" w:sz="0" w:space="0" w:color="auto"/>
        <w:bottom w:val="none" w:sz="0" w:space="0" w:color="auto"/>
        <w:right w:val="none" w:sz="0" w:space="0" w:color="auto"/>
      </w:divBdr>
    </w:div>
    <w:div w:id="1173568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a.Maruschak@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eta.B.Clark@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02720-E8EB-4A90-B204-D912B498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OJP</dc:creator>
  <cp:lastModifiedBy>Maruschak, Laura</cp:lastModifiedBy>
  <cp:revision>2</cp:revision>
  <dcterms:created xsi:type="dcterms:W3CDTF">2021-06-24T16:31:00Z</dcterms:created>
  <dcterms:modified xsi:type="dcterms:W3CDTF">2021-06-24T16:31:00Z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Acrobat PDFMaker 20 for Word</vt:lpwstr>
  </property>
  <property fmtid="{D5CDD505-2E9C-101B-9397-08002B2CF9AE}" pid="4" name="LastSaved">
    <vt:filetime>2021-01-26T00:00:00Z</vt:filetime>
  </property>
</Properties>
</file>