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AC1" w:rsidP="00C873C1" w:rsidRDefault="00434AC1" w14:paraId="21514838" w14:textId="77777777">
      <w:pPr>
        <w:widowControl/>
        <w:jc w:val="center"/>
        <w:rPr>
          <w:sz w:val="24"/>
        </w:rPr>
      </w:pPr>
      <w:bookmarkStart w:name="QuickMark" w:id="0"/>
      <w:bookmarkEnd w:id="0"/>
      <w:r w:rsidRPr="00434AC1">
        <w:rPr>
          <w:bCs w:val="0"/>
          <w:sz w:val="24"/>
        </w:rPr>
        <w:t xml:space="preserve">SUPPORTING STATEMENT FOR PAPERWORK REDUCTION ACT 1995: </w:t>
      </w:r>
      <w:r w:rsidRPr="00434AC1">
        <w:rPr>
          <w:sz w:val="24"/>
        </w:rPr>
        <w:t>AFFORDABLE CARE ACT PATIENT PROTECTION NOTICE</w:t>
      </w:r>
    </w:p>
    <w:p w:rsidRPr="00434AC1" w:rsidR="00434AC1" w:rsidP="00434AC1" w:rsidRDefault="00434AC1" w14:paraId="464C5CF7" w14:textId="77777777">
      <w:pPr>
        <w:widowControl/>
        <w:rPr>
          <w:sz w:val="24"/>
        </w:rPr>
      </w:pPr>
    </w:p>
    <w:p w:rsidR="00434AC1" w:rsidRDefault="00434AC1" w14:paraId="7A975AA6" w14:textId="3DD886B7">
      <w:pPr>
        <w:widowControl/>
        <w:rPr>
          <w:b w:val="0"/>
          <w:bCs w:val="0"/>
          <w:sz w:val="24"/>
        </w:rPr>
      </w:pPr>
      <w:r w:rsidRPr="00434AC1">
        <w:rPr>
          <w:b w:val="0"/>
          <w:bCs w:val="0"/>
          <w:sz w:val="24"/>
        </w:rPr>
        <w:t xml:space="preserve">This ICR seeks approval of </w:t>
      </w:r>
      <w:r w:rsidRPr="00434AC1" w:rsidR="007B62EF">
        <w:rPr>
          <w:b w:val="0"/>
          <w:bCs w:val="0"/>
          <w:sz w:val="24"/>
        </w:rPr>
        <w:t>a</w:t>
      </w:r>
      <w:r w:rsidR="007B62EF">
        <w:rPr>
          <w:b w:val="0"/>
          <w:bCs w:val="0"/>
          <w:sz w:val="24"/>
        </w:rPr>
        <w:t xml:space="preserve"> Revision </w:t>
      </w:r>
      <w:r w:rsidR="00FF7076">
        <w:rPr>
          <w:b w:val="0"/>
          <w:bCs w:val="0"/>
          <w:sz w:val="24"/>
        </w:rPr>
        <w:t>to an active information collection</w:t>
      </w:r>
      <w:r>
        <w:rPr>
          <w:b w:val="0"/>
          <w:bCs w:val="0"/>
          <w:sz w:val="24"/>
        </w:rPr>
        <w:t xml:space="preserve">. </w:t>
      </w:r>
    </w:p>
    <w:p w:rsidR="00C7252C" w:rsidRDefault="00C7252C" w14:paraId="1B7D9A3A" w14:textId="77777777">
      <w:pPr>
        <w:widowControl/>
        <w:rPr>
          <w:b w:val="0"/>
          <w:bCs w:val="0"/>
          <w:sz w:val="24"/>
        </w:rPr>
      </w:pPr>
      <w:bookmarkStart w:name="_GoBack" w:id="1"/>
      <w:bookmarkEnd w:id="1"/>
    </w:p>
    <w:p w:rsidR="00AA1E33" w:rsidP="00722D17" w:rsidRDefault="00AA1E33" w14:paraId="3C9269BA" w14:textId="77777777">
      <w:pPr>
        <w:pStyle w:val="Heading3"/>
        <w:numPr>
          <w:ilvl w:val="0"/>
          <w:numId w:val="47"/>
        </w:numPr>
        <w:ind w:hanging="720"/>
      </w:pPr>
      <w:r>
        <w:t>Justification</w:t>
      </w:r>
    </w:p>
    <w:p w:rsidR="00AA1E33" w:rsidP="00722D17" w:rsidRDefault="00AA1E33" w14:paraId="57EEE96C" w14:textId="77777777">
      <w:pPr>
        <w:widowControl/>
        <w:ind w:left="720"/>
        <w:outlineLvl w:val="0"/>
        <w:rPr>
          <w:b w:val="0"/>
          <w:bCs w:val="0"/>
          <w:sz w:val="24"/>
        </w:rPr>
      </w:pPr>
    </w:p>
    <w:p w:rsidRPr="00D006BD" w:rsidR="00AA1E33" w:rsidP="00722D17" w:rsidRDefault="00AA1E33" w14:paraId="037DC0CF" w14:textId="77777777">
      <w:pPr>
        <w:pStyle w:val="Quick1"/>
        <w:widowControl/>
        <w:numPr>
          <w:ilvl w:val="1"/>
          <w:numId w:val="27"/>
        </w:numPr>
        <w:tabs>
          <w:tab w:val="left" w:pos="-1440"/>
        </w:tabs>
        <w:ind w:left="720" w:hanging="720"/>
        <w:rPr>
          <w:bCs w:val="0"/>
          <w:iCs/>
          <w:sz w:val="24"/>
          <w:szCs w:val="24"/>
        </w:rPr>
      </w:pPr>
      <w:r w:rsidRPr="00D006BD">
        <w:rPr>
          <w:bCs w:val="0"/>
          <w:i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F3328" w:rsidP="00722D17" w:rsidRDefault="000F3328" w14:paraId="0A5A803F" w14:textId="77777777">
      <w:pPr>
        <w:pStyle w:val="Quick1"/>
        <w:widowControl/>
        <w:numPr>
          <w:ilvl w:val="0"/>
          <w:numId w:val="0"/>
        </w:numPr>
        <w:tabs>
          <w:tab w:val="left" w:pos="-1440"/>
        </w:tabs>
        <w:ind w:left="720"/>
        <w:rPr>
          <w:rStyle w:val="footnoteref"/>
          <w:b w:val="0"/>
          <w:sz w:val="24"/>
          <w:szCs w:val="24"/>
        </w:rPr>
      </w:pPr>
    </w:p>
    <w:p w:rsidR="00611CF8" w:rsidP="00722D17" w:rsidRDefault="00D45E35" w14:paraId="4CF6A975" w14:textId="77777777">
      <w:pPr>
        <w:ind w:left="720"/>
        <w:rPr>
          <w:rStyle w:val="footnoteref"/>
          <w:b w:val="0"/>
          <w:sz w:val="24"/>
          <w:szCs w:val="24"/>
        </w:rPr>
      </w:pPr>
      <w:r>
        <w:rPr>
          <w:rStyle w:val="footnoteref"/>
          <w:b w:val="0"/>
          <w:sz w:val="24"/>
          <w:szCs w:val="24"/>
        </w:rPr>
        <w:t>The P</w:t>
      </w:r>
      <w:r w:rsidR="00877168">
        <w:rPr>
          <w:rStyle w:val="footnoteref"/>
          <w:b w:val="0"/>
          <w:sz w:val="24"/>
          <w:szCs w:val="24"/>
        </w:rPr>
        <w:t xml:space="preserve">atient </w:t>
      </w:r>
      <w:r>
        <w:rPr>
          <w:rStyle w:val="footnoteref"/>
          <w:b w:val="0"/>
          <w:sz w:val="24"/>
          <w:szCs w:val="24"/>
        </w:rPr>
        <w:t>Protection and Affordable Care Act (</w:t>
      </w:r>
      <w:r w:rsidR="00877168">
        <w:rPr>
          <w:rStyle w:val="footnoteref"/>
          <w:b w:val="0"/>
          <w:sz w:val="24"/>
          <w:szCs w:val="24"/>
        </w:rPr>
        <w:t>the Affordable Care Act</w:t>
      </w:r>
      <w:r w:rsidR="008B07B4">
        <w:rPr>
          <w:rStyle w:val="footnoteref"/>
          <w:b w:val="0"/>
          <w:sz w:val="24"/>
          <w:szCs w:val="24"/>
        </w:rPr>
        <w:t xml:space="preserve"> or the Act</w:t>
      </w:r>
      <w:r w:rsidR="0053655B">
        <w:rPr>
          <w:rStyle w:val="footnoteref"/>
          <w:b w:val="0"/>
          <w:sz w:val="24"/>
          <w:szCs w:val="24"/>
        </w:rPr>
        <w:t>)</w:t>
      </w:r>
      <w:r>
        <w:rPr>
          <w:rStyle w:val="footnoteref"/>
          <w:b w:val="0"/>
          <w:sz w:val="24"/>
          <w:szCs w:val="24"/>
        </w:rPr>
        <w:t xml:space="preserve"> was enacted on March 23, 2010. </w:t>
      </w:r>
      <w:r w:rsidR="008B07B4">
        <w:rPr>
          <w:rStyle w:val="footnoteref"/>
          <w:b w:val="0"/>
          <w:sz w:val="24"/>
          <w:szCs w:val="24"/>
        </w:rPr>
        <w:t xml:space="preserve"> </w:t>
      </w:r>
      <w:r w:rsidRPr="00D45E35">
        <w:rPr>
          <w:rStyle w:val="footnoteref"/>
          <w:b w:val="0"/>
          <w:sz w:val="24"/>
          <w:szCs w:val="24"/>
        </w:rPr>
        <w:t>Section 271</w:t>
      </w:r>
      <w:r w:rsidR="009825D3">
        <w:rPr>
          <w:rStyle w:val="footnoteref"/>
          <w:b w:val="0"/>
          <w:sz w:val="24"/>
          <w:szCs w:val="24"/>
        </w:rPr>
        <w:t>9A</w:t>
      </w:r>
      <w:r w:rsidRPr="00D45E35">
        <w:rPr>
          <w:rStyle w:val="footnoteref"/>
          <w:b w:val="0"/>
          <w:sz w:val="24"/>
          <w:szCs w:val="24"/>
        </w:rPr>
        <w:t xml:space="preserve"> of the P</w:t>
      </w:r>
      <w:r w:rsidR="002E3E0D">
        <w:rPr>
          <w:rStyle w:val="footnoteref"/>
          <w:b w:val="0"/>
          <w:sz w:val="24"/>
          <w:szCs w:val="24"/>
        </w:rPr>
        <w:t xml:space="preserve">ublic </w:t>
      </w:r>
      <w:r w:rsidRPr="00D45E35">
        <w:rPr>
          <w:rStyle w:val="footnoteref"/>
          <w:b w:val="0"/>
          <w:sz w:val="24"/>
          <w:szCs w:val="24"/>
        </w:rPr>
        <w:t>H</w:t>
      </w:r>
      <w:r w:rsidR="002E3E0D">
        <w:rPr>
          <w:rStyle w:val="footnoteref"/>
          <w:b w:val="0"/>
          <w:sz w:val="24"/>
          <w:szCs w:val="24"/>
        </w:rPr>
        <w:t xml:space="preserve">ealth </w:t>
      </w:r>
      <w:r w:rsidRPr="00D45E35">
        <w:rPr>
          <w:rStyle w:val="footnoteref"/>
          <w:b w:val="0"/>
          <w:sz w:val="24"/>
          <w:szCs w:val="24"/>
        </w:rPr>
        <w:t>S</w:t>
      </w:r>
      <w:r w:rsidR="002E3E0D">
        <w:rPr>
          <w:rStyle w:val="footnoteref"/>
          <w:b w:val="0"/>
          <w:sz w:val="24"/>
          <w:szCs w:val="24"/>
        </w:rPr>
        <w:t>ervice</w:t>
      </w:r>
      <w:r w:rsidRPr="00D45E35">
        <w:rPr>
          <w:rStyle w:val="footnoteref"/>
          <w:b w:val="0"/>
          <w:sz w:val="24"/>
          <w:szCs w:val="24"/>
        </w:rPr>
        <w:t xml:space="preserve"> Act</w:t>
      </w:r>
      <w:r w:rsidR="002E3E0D">
        <w:rPr>
          <w:rStyle w:val="footnoteref"/>
          <w:b w:val="0"/>
          <w:sz w:val="24"/>
          <w:szCs w:val="24"/>
        </w:rPr>
        <w:t xml:space="preserve"> (the PHS Act)</w:t>
      </w:r>
      <w:r w:rsidRPr="00D45E35">
        <w:rPr>
          <w:rStyle w:val="footnoteref"/>
          <w:b w:val="0"/>
          <w:sz w:val="24"/>
          <w:szCs w:val="24"/>
        </w:rPr>
        <w:t xml:space="preserve">, as added by </w:t>
      </w:r>
      <w:r w:rsidR="00877168">
        <w:rPr>
          <w:rStyle w:val="footnoteref"/>
          <w:b w:val="0"/>
          <w:sz w:val="24"/>
          <w:szCs w:val="24"/>
        </w:rPr>
        <w:t>the Affordable Care Act</w:t>
      </w:r>
      <w:r w:rsidRPr="00D45E35">
        <w:rPr>
          <w:rStyle w:val="footnoteref"/>
          <w:b w:val="0"/>
          <w:sz w:val="24"/>
          <w:szCs w:val="24"/>
        </w:rPr>
        <w:t>, and the</w:t>
      </w:r>
      <w:r>
        <w:rPr>
          <w:rStyle w:val="footnoteref"/>
          <w:b w:val="0"/>
          <w:sz w:val="24"/>
          <w:szCs w:val="24"/>
        </w:rPr>
        <w:t xml:space="preserve"> Department’s </w:t>
      </w:r>
      <w:r w:rsidRPr="00D45E35">
        <w:rPr>
          <w:rStyle w:val="footnoteref"/>
          <w:b w:val="0"/>
          <w:sz w:val="24"/>
          <w:szCs w:val="24"/>
        </w:rPr>
        <w:t>final regulation</w:t>
      </w:r>
      <w:r w:rsidR="00790F8F">
        <w:rPr>
          <w:rStyle w:val="footnoteref"/>
          <w:b w:val="0"/>
          <w:sz w:val="24"/>
          <w:szCs w:val="24"/>
        </w:rPr>
        <w:t>s</w:t>
      </w:r>
      <w:r w:rsidRPr="00B56C1F" w:rsidR="00790F8F">
        <w:rPr>
          <w:rStyle w:val="FootnoteReference"/>
          <w:b w:val="0"/>
          <w:sz w:val="24"/>
          <w:szCs w:val="24"/>
          <w:vertAlign w:val="superscript"/>
        </w:rPr>
        <w:footnoteReference w:id="1"/>
      </w:r>
      <w:r w:rsidRPr="00D45E35">
        <w:rPr>
          <w:rStyle w:val="footnoteref"/>
          <w:b w:val="0"/>
          <w:sz w:val="24"/>
          <w:szCs w:val="24"/>
        </w:rPr>
        <w:t xml:space="preserve"> </w:t>
      </w:r>
      <w:r>
        <w:rPr>
          <w:rStyle w:val="footnoteref"/>
          <w:b w:val="0"/>
          <w:sz w:val="24"/>
          <w:szCs w:val="24"/>
        </w:rPr>
        <w:t>(29 CFR 2590.715-271</w:t>
      </w:r>
      <w:r w:rsidR="009825D3">
        <w:rPr>
          <w:rStyle w:val="footnoteref"/>
          <w:b w:val="0"/>
          <w:sz w:val="24"/>
          <w:szCs w:val="24"/>
        </w:rPr>
        <w:t>9A</w:t>
      </w:r>
      <w:r>
        <w:rPr>
          <w:rStyle w:val="footnoteref"/>
          <w:b w:val="0"/>
          <w:sz w:val="24"/>
          <w:szCs w:val="24"/>
        </w:rPr>
        <w:t xml:space="preserve">) </w:t>
      </w:r>
      <w:bookmarkStart w:name="OLE_LINK9" w:id="2"/>
      <w:bookmarkStart w:name="OLE_LINK10" w:id="3"/>
      <w:r w:rsidR="002E3E0D">
        <w:rPr>
          <w:rStyle w:val="footnoteref"/>
          <w:b w:val="0"/>
          <w:sz w:val="24"/>
          <w:szCs w:val="24"/>
        </w:rPr>
        <w:t xml:space="preserve">provide </w:t>
      </w:r>
      <w:r w:rsidRPr="00A15819" w:rsidR="00A15819">
        <w:rPr>
          <w:rStyle w:val="footnoteref"/>
          <w:b w:val="0"/>
          <w:sz w:val="24"/>
          <w:szCs w:val="24"/>
        </w:rPr>
        <w:t>that if a group health plan, or a health insurance issuer</w:t>
      </w:r>
      <w:r w:rsidR="00EB46C0">
        <w:rPr>
          <w:rStyle w:val="footnoteref"/>
          <w:b w:val="0"/>
          <w:sz w:val="24"/>
          <w:szCs w:val="24"/>
        </w:rPr>
        <w:t xml:space="preserve"> </w:t>
      </w:r>
      <w:r w:rsidRPr="00A15819" w:rsidR="00A15819">
        <w:rPr>
          <w:rStyle w:val="footnoteref"/>
          <w:b w:val="0"/>
          <w:sz w:val="24"/>
          <w:szCs w:val="24"/>
        </w:rPr>
        <w:t>offering group or individual health insurance coverage, requires or provides for designation by a participant, beneficiary, or enrollee of a participating primary care provider, then the plan or issuer must permit each participant, beneficiary, or enrollee to designate any participating primary care provider who is available to accept the participant, beneficiary, or enrollee.</w:t>
      </w:r>
    </w:p>
    <w:p w:rsidR="00110A8B" w:rsidP="00722D17" w:rsidRDefault="00110A8B" w14:paraId="2DCFCCAA" w14:textId="77777777">
      <w:pPr>
        <w:ind w:left="720"/>
        <w:rPr>
          <w:rStyle w:val="footnoteref"/>
          <w:b w:val="0"/>
          <w:sz w:val="24"/>
          <w:szCs w:val="24"/>
        </w:rPr>
      </w:pPr>
    </w:p>
    <w:p w:rsidR="00611CF8" w:rsidP="00722D17" w:rsidRDefault="00A15819" w14:paraId="17EB6376" w14:textId="77777777">
      <w:pPr>
        <w:ind w:left="720"/>
        <w:rPr>
          <w:rStyle w:val="footnoteref"/>
          <w:b w:val="0"/>
          <w:sz w:val="24"/>
          <w:szCs w:val="24"/>
        </w:rPr>
      </w:pPr>
      <w:r w:rsidRPr="00A15819">
        <w:rPr>
          <w:rStyle w:val="footnoteref"/>
          <w:b w:val="0"/>
          <w:sz w:val="24"/>
          <w:szCs w:val="24"/>
        </w:rPr>
        <w:t>The statute and the</w:t>
      </w:r>
      <w:r w:rsidR="00FF4B71">
        <w:rPr>
          <w:rStyle w:val="footnoteref"/>
          <w:b w:val="0"/>
          <w:sz w:val="24"/>
          <w:szCs w:val="24"/>
        </w:rPr>
        <w:t xml:space="preserve"> 2015</w:t>
      </w:r>
      <w:r w:rsidRPr="00A15819">
        <w:rPr>
          <w:rStyle w:val="footnoteref"/>
          <w:b w:val="0"/>
          <w:sz w:val="24"/>
          <w:szCs w:val="24"/>
        </w:rPr>
        <w:t xml:space="preserve"> final regulations impose a requirement for the designation of a pediatrician similar to the requirement for the designation of a primary care physician.  Specifically, if a plan or issuer requires or provides for the designation of a participating primary care provider for a child by a participant, beneficiary, or enrollee, the plan or issuer must permit the designation of a physician (allopathic or osteopathic) who specializes in pediatrics as the child's primary care provider if the provider participates in the network of the plan or issuer</w:t>
      </w:r>
      <w:r w:rsidR="00611CF8">
        <w:rPr>
          <w:rStyle w:val="footnoteref"/>
          <w:b w:val="0"/>
          <w:sz w:val="24"/>
          <w:szCs w:val="24"/>
        </w:rPr>
        <w:t>.</w:t>
      </w:r>
    </w:p>
    <w:p w:rsidR="00110A8B" w:rsidP="00722D17" w:rsidRDefault="00110A8B" w14:paraId="3C536735" w14:textId="77777777">
      <w:pPr>
        <w:ind w:left="720"/>
        <w:rPr>
          <w:rStyle w:val="footnoteref"/>
          <w:b w:val="0"/>
          <w:sz w:val="24"/>
          <w:szCs w:val="24"/>
        </w:rPr>
      </w:pPr>
    </w:p>
    <w:p w:rsidR="00A15819" w:rsidP="00722D17" w:rsidRDefault="00A15819" w14:paraId="66AB1EB7" w14:textId="77777777">
      <w:pPr>
        <w:ind w:left="720"/>
        <w:rPr>
          <w:rStyle w:val="footnoteref"/>
          <w:b w:val="0"/>
          <w:sz w:val="24"/>
          <w:szCs w:val="24"/>
        </w:rPr>
      </w:pPr>
      <w:r w:rsidRPr="00A15819">
        <w:rPr>
          <w:rStyle w:val="footnoteref"/>
          <w:b w:val="0"/>
          <w:sz w:val="24"/>
          <w:szCs w:val="24"/>
        </w:rPr>
        <w:t>The statute and the</w:t>
      </w:r>
      <w:r w:rsidR="00EB46C0">
        <w:rPr>
          <w:rStyle w:val="footnoteref"/>
          <w:b w:val="0"/>
          <w:sz w:val="24"/>
          <w:szCs w:val="24"/>
        </w:rPr>
        <w:t xml:space="preserve"> 2015</w:t>
      </w:r>
      <w:r w:rsidR="008B07B4">
        <w:rPr>
          <w:rStyle w:val="footnoteref"/>
          <w:b w:val="0"/>
          <w:sz w:val="24"/>
          <w:szCs w:val="24"/>
        </w:rPr>
        <w:t xml:space="preserve"> </w:t>
      </w:r>
      <w:r w:rsidRPr="00A15819">
        <w:rPr>
          <w:rStyle w:val="footnoteref"/>
          <w:b w:val="0"/>
          <w:sz w:val="24"/>
          <w:szCs w:val="24"/>
        </w:rPr>
        <w:t xml:space="preserve">final regulations also provide </w:t>
      </w:r>
      <w:r w:rsidR="00611CF8">
        <w:rPr>
          <w:rStyle w:val="footnoteref"/>
          <w:b w:val="0"/>
          <w:sz w:val="24"/>
          <w:szCs w:val="24"/>
        </w:rPr>
        <w:t xml:space="preserve">that </w:t>
      </w:r>
      <w:r w:rsidRPr="00A15819">
        <w:rPr>
          <w:rStyle w:val="footnoteref"/>
          <w:b w:val="0"/>
          <w:sz w:val="24"/>
          <w:szCs w:val="24"/>
        </w:rPr>
        <w:t>a group health plan, or a health insurance issuer may not require authorization or referral by the plan, issuer, or any person (including a primary care provider) for a female participant, beneficiary, or enrollee who seeks obstetrical or gynecological care provided by an in-network health care professional who specializes in obstetrics or gynecology.</w:t>
      </w:r>
    </w:p>
    <w:p w:rsidRPr="00A15819" w:rsidR="00110A8B" w:rsidP="00722D17" w:rsidRDefault="00110A8B" w14:paraId="4DC630BD" w14:textId="77777777">
      <w:pPr>
        <w:ind w:left="720"/>
        <w:rPr>
          <w:rStyle w:val="footnoteref"/>
          <w:b w:val="0"/>
          <w:sz w:val="24"/>
          <w:szCs w:val="24"/>
        </w:rPr>
      </w:pPr>
    </w:p>
    <w:p w:rsidR="00A15819" w:rsidP="00722D17" w:rsidRDefault="00A15819" w14:paraId="4748AFD5" w14:textId="77777777">
      <w:pPr>
        <w:ind w:left="720"/>
        <w:rPr>
          <w:rStyle w:val="footnoteref"/>
          <w:b w:val="0"/>
          <w:sz w:val="24"/>
          <w:szCs w:val="24"/>
        </w:rPr>
      </w:pPr>
      <w:r w:rsidRPr="00A15819">
        <w:rPr>
          <w:rStyle w:val="footnoteref"/>
          <w:b w:val="0"/>
          <w:sz w:val="24"/>
          <w:szCs w:val="24"/>
        </w:rPr>
        <w:t xml:space="preserve">When applicable, it is important that individuals enrolled in a plan or health insurance coverage know of their rights to (1) choose a primary care provider or a pediatrician when a plan or issuer requires participants or subscribers to designate a primary care physician; or (2) obtain obstetrical or gynecological care without prior authorization.  </w:t>
      </w:r>
      <w:r w:rsidRPr="0017557D" w:rsidR="0017557D">
        <w:rPr>
          <w:b w:val="0"/>
          <w:sz w:val="24"/>
          <w:szCs w:val="24"/>
        </w:rPr>
        <w:t xml:space="preserve">The No Surprises Act added section 2799A-7 of the PHS Act, which contains the patient protections regarding choice of health care professional from section 2719A of the PHS </w:t>
      </w:r>
      <w:r w:rsidRPr="0017557D" w:rsidR="0017557D">
        <w:rPr>
          <w:b w:val="0"/>
          <w:sz w:val="24"/>
          <w:szCs w:val="24"/>
        </w:rPr>
        <w:lastRenderedPageBreak/>
        <w:t xml:space="preserve">Act. </w:t>
      </w:r>
      <w:r w:rsidR="00215534">
        <w:rPr>
          <w:b w:val="0"/>
          <w:sz w:val="24"/>
          <w:szCs w:val="24"/>
        </w:rPr>
        <w:t xml:space="preserve"> </w:t>
      </w:r>
      <w:r w:rsidRPr="0017557D" w:rsidR="0017557D">
        <w:rPr>
          <w:b w:val="0"/>
          <w:sz w:val="24"/>
          <w:szCs w:val="24"/>
        </w:rPr>
        <w:t>These provisions mirror those currently applicable under section 2719A of the PHS Act</w:t>
      </w:r>
      <w:r w:rsidR="00215534">
        <w:rPr>
          <w:b w:val="0"/>
          <w:sz w:val="24"/>
          <w:szCs w:val="24"/>
        </w:rPr>
        <w:t xml:space="preserve">.  </w:t>
      </w:r>
      <w:r w:rsidRPr="00A15819">
        <w:rPr>
          <w:rStyle w:val="footnoteref"/>
          <w:b w:val="0"/>
          <w:sz w:val="24"/>
          <w:szCs w:val="24"/>
        </w:rPr>
        <w:t>Accordingly,</w:t>
      </w:r>
      <w:r w:rsidRPr="000A0FB5" w:rsidR="000A0FB5">
        <w:rPr>
          <w:b w:val="0"/>
          <w:bCs w:val="0"/>
          <w:sz w:val="24"/>
          <w:szCs w:val="24"/>
        </w:rPr>
        <w:t xml:space="preserve"> </w:t>
      </w:r>
      <w:r w:rsidRPr="000A0FB5" w:rsidR="000A0FB5">
        <w:rPr>
          <w:b w:val="0"/>
          <w:sz w:val="24"/>
          <w:szCs w:val="24"/>
        </w:rPr>
        <w:t>the 2015 final regulations and</w:t>
      </w:r>
      <w:r w:rsidR="000A0FB5">
        <w:rPr>
          <w:b w:val="0"/>
          <w:sz w:val="24"/>
          <w:szCs w:val="24"/>
        </w:rPr>
        <w:t xml:space="preserve"> 2021 interim final regulations</w:t>
      </w:r>
      <w:r w:rsidRPr="00A15819">
        <w:rPr>
          <w:rStyle w:val="footnoteref"/>
          <w:b w:val="0"/>
          <w:sz w:val="24"/>
          <w:szCs w:val="24"/>
        </w:rPr>
        <w:t xml:space="preserve"> require</w:t>
      </w:r>
      <w:r w:rsidR="00611CF8">
        <w:rPr>
          <w:rStyle w:val="footnoteref"/>
          <w:b w:val="0"/>
          <w:sz w:val="24"/>
          <w:szCs w:val="24"/>
        </w:rPr>
        <w:t>s</w:t>
      </w:r>
      <w:r w:rsidRPr="00A15819">
        <w:rPr>
          <w:rStyle w:val="footnoteref"/>
          <w:b w:val="0"/>
          <w:sz w:val="24"/>
          <w:szCs w:val="24"/>
        </w:rPr>
        <w:t xml:space="preserve"> such plans and issuers to provide a notice to participants (in the individual market, primary subscribers) of these rights when applicable. </w:t>
      </w:r>
      <w:r w:rsidR="00215534">
        <w:rPr>
          <w:rStyle w:val="footnoteref"/>
          <w:b w:val="0"/>
          <w:sz w:val="24"/>
          <w:szCs w:val="24"/>
        </w:rPr>
        <w:t xml:space="preserve"> </w:t>
      </w:r>
      <w:r w:rsidRPr="00A15819">
        <w:rPr>
          <w:rStyle w:val="footnoteref"/>
          <w:b w:val="0"/>
          <w:sz w:val="24"/>
          <w:szCs w:val="24"/>
        </w:rPr>
        <w:t>Model language is provided in the</w:t>
      </w:r>
      <w:r w:rsidR="000A0FB5">
        <w:rPr>
          <w:rStyle w:val="footnoteref"/>
          <w:b w:val="0"/>
          <w:sz w:val="24"/>
          <w:szCs w:val="24"/>
        </w:rPr>
        <w:t xml:space="preserve"> 2015</w:t>
      </w:r>
      <w:r w:rsidRPr="00A15819">
        <w:rPr>
          <w:rStyle w:val="footnoteref"/>
          <w:b w:val="0"/>
          <w:sz w:val="24"/>
          <w:szCs w:val="24"/>
        </w:rPr>
        <w:t xml:space="preserve"> final regulations</w:t>
      </w:r>
      <w:r w:rsidR="000A0FB5">
        <w:rPr>
          <w:rStyle w:val="footnoteref"/>
          <w:b w:val="0"/>
          <w:sz w:val="24"/>
          <w:szCs w:val="24"/>
        </w:rPr>
        <w:t xml:space="preserve"> </w:t>
      </w:r>
      <w:r w:rsidRPr="000A0FB5" w:rsidR="000A0FB5">
        <w:rPr>
          <w:b w:val="0"/>
          <w:sz w:val="24"/>
          <w:szCs w:val="24"/>
        </w:rPr>
        <w:t>and in the 2021 interim final regulations</w:t>
      </w:r>
      <w:r w:rsidRPr="00A15819">
        <w:rPr>
          <w:rStyle w:val="footnoteref"/>
          <w:b w:val="0"/>
          <w:sz w:val="24"/>
          <w:szCs w:val="24"/>
        </w:rPr>
        <w:t>.  The notice must be provided whenever the plan or issuer provides a participant with a summary plan description or other similar description of benefits under the plan or health insurance coverage, or in the individual market, provides a primary subscriber with a policy, certificate, or contract of health insurance.</w:t>
      </w:r>
    </w:p>
    <w:p w:rsidR="00690B0A" w:rsidP="00722D17" w:rsidRDefault="00690B0A" w14:paraId="4A8E4ACE" w14:textId="77777777">
      <w:pPr>
        <w:ind w:left="720"/>
        <w:rPr>
          <w:rStyle w:val="footnoteref"/>
          <w:b w:val="0"/>
          <w:sz w:val="24"/>
          <w:szCs w:val="24"/>
        </w:rPr>
      </w:pPr>
    </w:p>
    <w:p w:rsidRPr="00E42D65" w:rsidR="00E42D65" w:rsidP="00E42D65" w:rsidRDefault="00E42D65" w14:paraId="4FD8A52A" w14:textId="77777777">
      <w:pPr>
        <w:ind w:left="720"/>
        <w:rPr>
          <w:b w:val="0"/>
          <w:sz w:val="24"/>
          <w:szCs w:val="24"/>
        </w:rPr>
      </w:pPr>
      <w:r w:rsidRPr="00E42D65">
        <w:rPr>
          <w:b w:val="0"/>
          <w:sz w:val="24"/>
          <w:szCs w:val="24"/>
        </w:rPr>
        <w:t xml:space="preserve">The No Surprises Act, which Congress enacted as part of the Consolidated Appropriations Act, 2021, amended section 2719A of the PHS Act to specify in new subsection (e) that section 2719A shall not apply with respect to plan years beginning on or after January 1, 2022.  The No Surprises Act expanded the patient protections related to emergency services to provide additional protections.  In addition, the No Surprises Act added section 2799A-7 of the PHS Act, which contains the patient protections regarding choice of health care professional from section 2719A of the PHS Act.  These provisions mirror those currently applicable under section 2719A of the PHS Act (minus the emergency services protections).  In addition, the patient protections under the No Surprises Act apply generally to all group health plans and health insurance coverage, including grandfathered health plans.  The 2021 interim final regulations “Requirements Related to Surprise Billing; Part I” (henceforth 2021 interim final regulations) add a sunset clause to the current patient protection provisions codified in the 2015 final regulations, and re-codify the provisions related to choice of health care professional in a new section. </w:t>
      </w:r>
    </w:p>
    <w:p w:rsidR="00E42D65" w:rsidP="00722D17" w:rsidRDefault="00E42D65" w14:paraId="45451E6A" w14:textId="77777777">
      <w:pPr>
        <w:ind w:left="720"/>
        <w:rPr>
          <w:rStyle w:val="footnoteref"/>
          <w:b w:val="0"/>
          <w:sz w:val="24"/>
          <w:szCs w:val="24"/>
        </w:rPr>
      </w:pPr>
    </w:p>
    <w:bookmarkEnd w:id="2"/>
    <w:bookmarkEnd w:id="3"/>
    <w:p w:rsidRPr="00722D17" w:rsidR="00AA1E33" w:rsidP="00722D17" w:rsidRDefault="00AA1E33" w14:paraId="07ACA067" w14:textId="77777777">
      <w:pPr>
        <w:pStyle w:val="Quick1"/>
        <w:widowControl/>
        <w:numPr>
          <w:ilvl w:val="1"/>
          <w:numId w:val="27"/>
        </w:numPr>
        <w:tabs>
          <w:tab w:val="left" w:pos="-1440"/>
        </w:tabs>
        <w:ind w:left="720" w:hanging="720"/>
        <w:rPr>
          <w:b w:val="0"/>
          <w:bCs w:val="0"/>
          <w:sz w:val="24"/>
          <w:szCs w:val="24"/>
        </w:rPr>
      </w:pPr>
      <w:r w:rsidRPr="00D006BD">
        <w:rPr>
          <w:bCs w:val="0"/>
          <w:iCs/>
          <w:sz w:val="24"/>
          <w:szCs w:val="24"/>
        </w:rPr>
        <w:t>Indicate how, by whom, and for what purpose the information is to be used.  Except for a new collection, indicate the actual use the agency has made of the information received from the current collection</w:t>
      </w:r>
      <w:r w:rsidRPr="00722D17">
        <w:rPr>
          <w:b w:val="0"/>
          <w:bCs w:val="0"/>
          <w:i/>
          <w:iCs/>
          <w:sz w:val="24"/>
          <w:szCs w:val="24"/>
        </w:rPr>
        <w:t>.</w:t>
      </w:r>
    </w:p>
    <w:p w:rsidR="00AA1E33" w:rsidP="00722D17" w:rsidRDefault="00AA1E33" w14:paraId="0492455F" w14:textId="77777777">
      <w:pPr>
        <w:pStyle w:val="Quick1"/>
        <w:widowControl/>
        <w:numPr>
          <w:ilvl w:val="0"/>
          <w:numId w:val="0"/>
        </w:numPr>
        <w:ind w:left="720"/>
        <w:rPr>
          <w:b w:val="0"/>
          <w:bCs w:val="0"/>
          <w:sz w:val="24"/>
        </w:rPr>
      </w:pPr>
    </w:p>
    <w:p w:rsidR="00AA1E33" w:rsidP="00722D17" w:rsidRDefault="00CA4615" w14:paraId="7A7BF898" w14:textId="77777777">
      <w:pPr>
        <w:widowControl/>
        <w:ind w:left="720"/>
        <w:rPr>
          <w:rStyle w:val="footnoteref"/>
          <w:b w:val="0"/>
          <w:sz w:val="24"/>
          <w:szCs w:val="24"/>
        </w:rPr>
      </w:pPr>
      <w:r>
        <w:rPr>
          <w:rStyle w:val="footnoteref"/>
          <w:b w:val="0"/>
          <w:sz w:val="24"/>
          <w:szCs w:val="24"/>
        </w:rPr>
        <w:t xml:space="preserve">The </w:t>
      </w:r>
      <w:r w:rsidRPr="007A7399" w:rsidR="007A7399">
        <w:rPr>
          <w:b w:val="0"/>
          <w:sz w:val="24"/>
          <w:szCs w:val="24"/>
        </w:rPr>
        <w:t>notice of right to designate a primary care provider</w:t>
      </w:r>
      <w:r w:rsidRPr="007A7399" w:rsidDel="00297709" w:rsidR="007A7399">
        <w:rPr>
          <w:b w:val="0"/>
          <w:sz w:val="24"/>
          <w:szCs w:val="24"/>
        </w:rPr>
        <w:t xml:space="preserve"> </w:t>
      </w:r>
      <w:r>
        <w:rPr>
          <w:rStyle w:val="footnoteref"/>
          <w:b w:val="0"/>
          <w:sz w:val="24"/>
          <w:szCs w:val="24"/>
        </w:rPr>
        <w:t>used by health plan</w:t>
      </w:r>
      <w:r w:rsidR="00611CF8">
        <w:rPr>
          <w:rStyle w:val="footnoteref"/>
          <w:b w:val="0"/>
          <w:sz w:val="24"/>
          <w:szCs w:val="24"/>
        </w:rPr>
        <w:t xml:space="preserve"> </w:t>
      </w:r>
      <w:r>
        <w:rPr>
          <w:rStyle w:val="footnoteref"/>
          <w:b w:val="0"/>
          <w:sz w:val="24"/>
          <w:szCs w:val="24"/>
        </w:rPr>
        <w:t>s</w:t>
      </w:r>
      <w:r w:rsidR="00611CF8">
        <w:rPr>
          <w:rStyle w:val="footnoteref"/>
          <w:b w:val="0"/>
          <w:sz w:val="24"/>
          <w:szCs w:val="24"/>
        </w:rPr>
        <w:t xml:space="preserve">ponsors and issuers </w:t>
      </w:r>
      <w:r>
        <w:rPr>
          <w:rStyle w:val="footnoteref"/>
          <w:b w:val="0"/>
          <w:sz w:val="24"/>
          <w:szCs w:val="24"/>
        </w:rPr>
        <w:t xml:space="preserve">to notify </w:t>
      </w:r>
      <w:r w:rsidR="00877168">
        <w:rPr>
          <w:rStyle w:val="footnoteref"/>
          <w:b w:val="0"/>
          <w:sz w:val="24"/>
          <w:szCs w:val="24"/>
        </w:rPr>
        <w:t xml:space="preserve">certain </w:t>
      </w:r>
      <w:r w:rsidRPr="00D45E35">
        <w:rPr>
          <w:rStyle w:val="footnoteref"/>
          <w:b w:val="0"/>
          <w:sz w:val="24"/>
          <w:szCs w:val="24"/>
        </w:rPr>
        <w:t xml:space="preserve">individuals </w:t>
      </w:r>
      <w:r w:rsidR="00877168">
        <w:rPr>
          <w:rStyle w:val="footnoteref"/>
          <w:b w:val="0"/>
          <w:sz w:val="24"/>
          <w:szCs w:val="24"/>
        </w:rPr>
        <w:t xml:space="preserve">of their right to </w:t>
      </w:r>
      <w:r w:rsidRPr="00A15819" w:rsidR="00611CF8">
        <w:rPr>
          <w:rStyle w:val="footnoteref"/>
          <w:b w:val="0"/>
          <w:sz w:val="24"/>
          <w:szCs w:val="24"/>
        </w:rPr>
        <w:t>(1) choose a primary care provider or a pediatrician when a plan or issuer requires participants or subscribers to designate a primary care physician; or (2) obtain obstetrical or gynecological care without prior authorization.</w:t>
      </w:r>
    </w:p>
    <w:p w:rsidRPr="00D006BD" w:rsidR="006B0C39" w:rsidP="00722D17" w:rsidRDefault="006B0C39" w14:paraId="00FCCA12" w14:textId="77777777">
      <w:pPr>
        <w:widowControl/>
        <w:ind w:left="720"/>
        <w:rPr>
          <w:bCs w:val="0"/>
          <w:sz w:val="24"/>
        </w:rPr>
      </w:pPr>
    </w:p>
    <w:p w:rsidRPr="00D006BD" w:rsidR="00AA1E33" w:rsidP="00722D17" w:rsidRDefault="00AA1E33" w14:paraId="7CE0C8E9" w14:textId="77777777">
      <w:pPr>
        <w:pStyle w:val="Quick1"/>
        <w:widowControl/>
        <w:numPr>
          <w:ilvl w:val="1"/>
          <w:numId w:val="27"/>
        </w:numPr>
        <w:ind w:left="720" w:hanging="720"/>
        <w:rPr>
          <w:bCs w:val="0"/>
          <w:iCs/>
          <w:sz w:val="24"/>
          <w:szCs w:val="24"/>
        </w:rPr>
      </w:pPr>
      <w:r w:rsidRPr="00D006BD">
        <w:rPr>
          <w:bCs w:val="0"/>
          <w:i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AA1E33" w:rsidP="00722D17" w:rsidRDefault="00AA1E33" w14:paraId="56889193" w14:textId="77777777">
      <w:pPr>
        <w:pStyle w:val="Quick1"/>
        <w:widowControl/>
        <w:numPr>
          <w:ilvl w:val="0"/>
          <w:numId w:val="0"/>
        </w:numPr>
        <w:ind w:left="720"/>
        <w:rPr>
          <w:b w:val="0"/>
          <w:bCs w:val="0"/>
          <w:sz w:val="24"/>
        </w:rPr>
      </w:pPr>
    </w:p>
    <w:p w:rsidRPr="00380D0F" w:rsidR="00380D0F" w:rsidP="00722D17" w:rsidRDefault="00380D0F" w14:paraId="50458E3E" w14:textId="77777777">
      <w:pPr>
        <w:pStyle w:val="BodyText"/>
        <w:ind w:left="720"/>
        <w:rPr>
          <w:iCs/>
        </w:rPr>
      </w:pPr>
      <w:r w:rsidRPr="00380D0F">
        <w:rPr>
          <w:iCs/>
        </w:rPr>
        <w:t>The regulation does not restrict plans or issuers from using electronic technology to provide either disclosure.</w:t>
      </w:r>
      <w:r>
        <w:rPr>
          <w:iCs/>
        </w:rPr>
        <w:t xml:space="preserve"> </w:t>
      </w:r>
      <w:r w:rsidR="007B05BB">
        <w:rPr>
          <w:iCs/>
        </w:rPr>
        <w:t>The Department of Labor’s regulations u</w:t>
      </w:r>
      <w:r w:rsidRPr="00380D0F">
        <w:rPr>
          <w:iCs/>
        </w:rPr>
        <w:t xml:space="preserve">nder 29 C.F.R. § 2520.104b-1(b) </w:t>
      </w:r>
      <w:r w:rsidR="007B05BB">
        <w:rPr>
          <w:iCs/>
        </w:rPr>
        <w:t>provide that</w:t>
      </w:r>
      <w:r w:rsidRPr="00380D0F">
        <w:rPr>
          <w:iCs/>
        </w:rPr>
        <w:t xml:space="preserve">,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w:t>
      </w:r>
      <w:r w:rsidR="007B05BB">
        <w:rPr>
          <w:iCs/>
        </w:rPr>
        <w:t xml:space="preserve">29 CFR </w:t>
      </w:r>
      <w:r w:rsidRPr="00380D0F">
        <w:rPr>
          <w:iCs/>
        </w:rPr>
        <w:t>2520.104b-1(c) establishes the manner in which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subject to specific safeguards.</w:t>
      </w:r>
    </w:p>
    <w:p w:rsidRPr="00380D0F" w:rsidR="00380D0F" w:rsidP="00722D17" w:rsidRDefault="00380D0F" w14:paraId="176EB233" w14:textId="77777777">
      <w:pPr>
        <w:pStyle w:val="BodyText"/>
        <w:ind w:left="720"/>
        <w:rPr>
          <w:iCs/>
        </w:rPr>
      </w:pPr>
    </w:p>
    <w:p w:rsidRPr="00D006BD" w:rsidR="00AA1E33" w:rsidP="00722D17" w:rsidRDefault="00AA1E33" w14:paraId="0CB7018F" w14:textId="77777777">
      <w:pPr>
        <w:widowControl/>
        <w:numPr>
          <w:ilvl w:val="1"/>
          <w:numId w:val="27"/>
        </w:numPr>
        <w:tabs>
          <w:tab w:val="left" w:pos="-1440"/>
        </w:tabs>
        <w:ind w:left="720" w:hanging="720"/>
        <w:rPr>
          <w:bCs w:val="0"/>
          <w:iCs/>
          <w:sz w:val="24"/>
          <w:szCs w:val="24"/>
        </w:rPr>
      </w:pPr>
      <w:r w:rsidRPr="00D006BD">
        <w:rPr>
          <w:bCs w:val="0"/>
          <w:iCs/>
          <w:sz w:val="24"/>
          <w:szCs w:val="24"/>
        </w:rPr>
        <w:t>Describe efforts to identify duplication.  Show specifically why any similar information already available cannot be used or modified for use for the purposes described in Item 2 above.</w:t>
      </w:r>
    </w:p>
    <w:p w:rsidRPr="00722D17" w:rsidR="00380D0F" w:rsidP="00722D17" w:rsidRDefault="00380D0F" w14:paraId="63C372CF" w14:textId="77777777">
      <w:pPr>
        <w:widowControl/>
        <w:tabs>
          <w:tab w:val="left" w:pos="-1440"/>
        </w:tabs>
        <w:ind w:left="720"/>
        <w:rPr>
          <w:b w:val="0"/>
          <w:bCs w:val="0"/>
          <w:i/>
          <w:iCs/>
          <w:sz w:val="24"/>
          <w:szCs w:val="24"/>
        </w:rPr>
      </w:pPr>
    </w:p>
    <w:p w:rsidRPr="00FD304A" w:rsidR="00B05F96" w:rsidP="00722D17" w:rsidRDefault="00B05F96" w14:paraId="5C186150" w14:textId="77777777">
      <w:pPr>
        <w:widowControl/>
        <w:tabs>
          <w:tab w:val="left" w:pos="-1440"/>
        </w:tabs>
        <w:ind w:left="720"/>
        <w:rPr>
          <w:b w:val="0"/>
          <w:sz w:val="24"/>
          <w:szCs w:val="24"/>
        </w:rPr>
      </w:pPr>
      <w:r w:rsidRPr="00FD304A">
        <w:rPr>
          <w:b w:val="0"/>
          <w:sz w:val="24"/>
          <w:szCs w:val="24"/>
        </w:rPr>
        <w:t xml:space="preserve">The No Surprises Act, which was enacted as part of the Consolidated Appropriations Act, 2021 (Pub. L. 116-260). These interim final rules </w:t>
      </w:r>
      <w:r>
        <w:rPr>
          <w:b w:val="0"/>
          <w:sz w:val="24"/>
          <w:szCs w:val="24"/>
        </w:rPr>
        <w:t xml:space="preserve">and The No Surprises Act </w:t>
      </w:r>
      <w:r w:rsidRPr="00FD304A">
        <w:rPr>
          <w:b w:val="0"/>
          <w:sz w:val="24"/>
          <w:szCs w:val="24"/>
        </w:rPr>
        <w:t>amend and add provisions to existing rules under the Internal Revenue Code, the Employee Retirement Income Security Act, and the Public Health Service Act.  However, only the Department of Health and Human Services has jurisdiction over state and local government plans and individual market plans and the Department of Labor oversees ERISA-covered group health plans.  Thus, there will be no duplication of effort with HHS.</w:t>
      </w:r>
    </w:p>
    <w:p w:rsidR="00B05F96" w:rsidP="00722D17" w:rsidRDefault="00B05F96" w14:paraId="2E5A2C68" w14:textId="77777777">
      <w:pPr>
        <w:widowControl/>
        <w:tabs>
          <w:tab w:val="left" w:pos="-1440"/>
        </w:tabs>
        <w:ind w:left="720"/>
      </w:pPr>
    </w:p>
    <w:p w:rsidRPr="00D006BD" w:rsidR="00AA1E33" w:rsidP="00097BBB" w:rsidRDefault="00AA1E33" w14:paraId="54664C4D" w14:textId="77777777">
      <w:pPr>
        <w:pStyle w:val="BodyText2"/>
        <w:numPr>
          <w:ilvl w:val="1"/>
          <w:numId w:val="27"/>
        </w:numPr>
        <w:ind w:left="720" w:hanging="720"/>
        <w:rPr>
          <w:b/>
          <w:i w:val="0"/>
          <w:sz w:val="24"/>
          <w:szCs w:val="24"/>
        </w:rPr>
      </w:pPr>
      <w:r w:rsidRPr="00D006BD">
        <w:rPr>
          <w:b/>
          <w:i w:val="0"/>
          <w:sz w:val="24"/>
          <w:szCs w:val="24"/>
        </w:rPr>
        <w:t>If the collection of information impacts small businesses or other small entities</w:t>
      </w:r>
      <w:r w:rsidRPr="00D006BD" w:rsidR="00A752E0">
        <w:rPr>
          <w:b/>
          <w:i w:val="0"/>
          <w:sz w:val="24"/>
          <w:szCs w:val="24"/>
        </w:rPr>
        <w:t xml:space="preserve">, </w:t>
      </w:r>
      <w:r w:rsidRPr="00D006BD">
        <w:rPr>
          <w:b/>
          <w:i w:val="0"/>
          <w:sz w:val="24"/>
          <w:szCs w:val="24"/>
        </w:rPr>
        <w:t>describe any methods used to minimize burden.</w:t>
      </w:r>
    </w:p>
    <w:p w:rsidR="00AA1E33" w:rsidP="006734ED" w:rsidRDefault="00AA1E33" w14:paraId="7389FA7D" w14:textId="77777777">
      <w:pPr>
        <w:widowControl/>
        <w:tabs>
          <w:tab w:val="left" w:pos="-1440"/>
        </w:tabs>
        <w:ind w:left="720"/>
        <w:rPr>
          <w:b w:val="0"/>
          <w:bCs w:val="0"/>
          <w:i/>
          <w:iCs/>
          <w:sz w:val="24"/>
        </w:rPr>
      </w:pPr>
    </w:p>
    <w:p w:rsidR="00AA1E33" w:rsidP="009D3683" w:rsidRDefault="008324A2" w14:paraId="0F5B896B" w14:textId="77777777">
      <w:pPr>
        <w:pStyle w:val="Quick1"/>
        <w:widowControl/>
        <w:numPr>
          <w:ilvl w:val="0"/>
          <w:numId w:val="0"/>
        </w:numPr>
        <w:ind w:left="720"/>
        <w:rPr>
          <w:b w:val="0"/>
          <w:bCs w:val="0"/>
          <w:sz w:val="24"/>
        </w:rPr>
      </w:pPr>
      <w:r>
        <w:rPr>
          <w:b w:val="0"/>
          <w:bCs w:val="0"/>
          <w:sz w:val="24"/>
        </w:rPr>
        <w:t>All plans regardless of size are required to notify plan participants of their rights.  Model notices have been provided to reduce burden.  Notices can be part of other plan documents and within the guideline</w:t>
      </w:r>
      <w:r w:rsidR="00704DBE">
        <w:rPr>
          <w:b w:val="0"/>
          <w:bCs w:val="0"/>
          <w:sz w:val="24"/>
        </w:rPr>
        <w:t>s</w:t>
      </w:r>
      <w:r>
        <w:rPr>
          <w:b w:val="0"/>
          <w:bCs w:val="0"/>
          <w:sz w:val="24"/>
        </w:rPr>
        <w:t xml:space="preserve"> of the Department’s rules provide notices electronically to minimize burden.</w:t>
      </w:r>
      <w:r w:rsidR="000C17A3">
        <w:rPr>
          <w:b w:val="0"/>
          <w:bCs w:val="0"/>
          <w:sz w:val="24"/>
        </w:rPr>
        <w:t xml:space="preserve">  These notices are a part of the related new ICRs, No Surprise Act, that the Department and HHS are seeking approval for from OIRA. </w:t>
      </w:r>
    </w:p>
    <w:p w:rsidR="0056371A" w:rsidP="009D3683" w:rsidRDefault="0056371A" w14:paraId="45B39906" w14:textId="77777777">
      <w:pPr>
        <w:pStyle w:val="Quick1"/>
        <w:widowControl/>
        <w:numPr>
          <w:ilvl w:val="0"/>
          <w:numId w:val="0"/>
        </w:numPr>
        <w:ind w:left="720"/>
        <w:rPr>
          <w:b w:val="0"/>
          <w:bCs w:val="0"/>
          <w:sz w:val="24"/>
        </w:rPr>
      </w:pPr>
    </w:p>
    <w:p w:rsidRPr="00D006BD" w:rsidR="00AA1E33" w:rsidP="006734ED" w:rsidRDefault="00AA1E33" w14:paraId="16025C24" w14:textId="77777777">
      <w:pPr>
        <w:widowControl/>
        <w:numPr>
          <w:ilvl w:val="1"/>
          <w:numId w:val="27"/>
        </w:numPr>
        <w:tabs>
          <w:tab w:val="left" w:pos="-1440"/>
        </w:tabs>
        <w:ind w:left="720" w:hanging="720"/>
        <w:rPr>
          <w:bCs w:val="0"/>
          <w:iCs/>
          <w:sz w:val="24"/>
          <w:szCs w:val="24"/>
        </w:rPr>
      </w:pPr>
      <w:r w:rsidRPr="00D006BD">
        <w:rPr>
          <w:bCs w:val="0"/>
          <w:iCs/>
          <w:sz w:val="24"/>
          <w:szCs w:val="24"/>
        </w:rPr>
        <w:t>Describe the consequence to Federal program or policy activities if the collection is not conducted or is conducted less frequently, as well as any technical or legal obstacles to reducing burden.</w:t>
      </w:r>
    </w:p>
    <w:p w:rsidRPr="006734ED" w:rsidR="00AA1E33" w:rsidP="006734ED" w:rsidRDefault="00AA1E33" w14:paraId="73958633" w14:textId="77777777">
      <w:pPr>
        <w:widowControl/>
        <w:tabs>
          <w:tab w:val="left" w:pos="-1440"/>
        </w:tabs>
        <w:ind w:left="720"/>
        <w:rPr>
          <w:b w:val="0"/>
          <w:bCs w:val="0"/>
          <w:i/>
          <w:iCs/>
          <w:sz w:val="24"/>
          <w:szCs w:val="24"/>
        </w:rPr>
      </w:pPr>
    </w:p>
    <w:p w:rsidRPr="002A3929" w:rsidR="0056371A" w:rsidP="006734ED" w:rsidRDefault="006B0C39" w14:paraId="4A4A4A6A" w14:textId="77777777">
      <w:pPr>
        <w:widowControl/>
        <w:tabs>
          <w:tab w:val="left" w:pos="-1440"/>
        </w:tabs>
        <w:ind w:left="720"/>
        <w:rPr>
          <w:b w:val="0"/>
          <w:bCs w:val="0"/>
          <w:sz w:val="24"/>
          <w:szCs w:val="24"/>
        </w:rPr>
      </w:pPr>
      <w:r w:rsidRPr="009D3683">
        <w:rPr>
          <w:b w:val="0"/>
          <w:bCs w:val="0"/>
          <w:sz w:val="24"/>
          <w:szCs w:val="24"/>
        </w:rPr>
        <w:t xml:space="preserve">If this information were conducted less frequently, </w:t>
      </w:r>
      <w:r w:rsidRPr="009D3683" w:rsidR="00232D57">
        <w:rPr>
          <w:b w:val="0"/>
          <w:bCs w:val="0"/>
          <w:sz w:val="24"/>
          <w:szCs w:val="24"/>
        </w:rPr>
        <w:t xml:space="preserve">affected individuals </w:t>
      </w:r>
      <w:r w:rsidRPr="009D3683">
        <w:rPr>
          <w:b w:val="0"/>
          <w:bCs w:val="0"/>
          <w:sz w:val="24"/>
          <w:szCs w:val="24"/>
        </w:rPr>
        <w:t xml:space="preserve">would not be informed of their right to </w:t>
      </w:r>
      <w:r w:rsidRPr="002A3929" w:rsidR="00611CF8">
        <w:rPr>
          <w:rStyle w:val="footnoteref"/>
          <w:b w:val="0"/>
          <w:sz w:val="24"/>
          <w:szCs w:val="24"/>
        </w:rPr>
        <w:t>(1) choose a primary care provider or a pediatrician when a plan or issuer requires participants or subscribers to designate a primary care physician; or (2) obtain obstetrical or gynecological care without prior authorization.</w:t>
      </w:r>
    </w:p>
    <w:p w:rsidRPr="005736DE" w:rsidR="00B62EB4" w:rsidP="009D3683" w:rsidRDefault="00B62EB4" w14:paraId="1F158FF7" w14:textId="77777777">
      <w:pPr>
        <w:widowControl/>
        <w:tabs>
          <w:tab w:val="left" w:pos="-1440"/>
        </w:tabs>
        <w:ind w:left="720"/>
        <w:rPr>
          <w:b w:val="0"/>
          <w:bCs w:val="0"/>
          <w:sz w:val="24"/>
          <w:szCs w:val="24"/>
        </w:rPr>
      </w:pPr>
    </w:p>
    <w:p w:rsidRPr="00D006BD" w:rsidR="00AA1E33" w:rsidP="006734ED" w:rsidRDefault="00AA1E33" w14:paraId="1940A6D6" w14:textId="77777777">
      <w:pPr>
        <w:widowControl/>
        <w:numPr>
          <w:ilvl w:val="1"/>
          <w:numId w:val="27"/>
        </w:numPr>
        <w:tabs>
          <w:tab w:val="left" w:pos="-1440"/>
        </w:tabs>
        <w:ind w:left="720" w:hanging="720"/>
        <w:rPr>
          <w:bCs w:val="0"/>
          <w:iCs/>
          <w:sz w:val="24"/>
          <w:szCs w:val="24"/>
        </w:rPr>
      </w:pPr>
      <w:r w:rsidRPr="00D006BD">
        <w:rPr>
          <w:bCs w:val="0"/>
          <w:iCs/>
          <w:sz w:val="24"/>
          <w:szCs w:val="24"/>
        </w:rPr>
        <w:t>Explain any special circumstances that would cause an information collection to be conducted in a manner:</w:t>
      </w:r>
    </w:p>
    <w:p w:rsidRPr="00D006BD" w:rsidR="00AA1E33" w:rsidP="006734ED" w:rsidRDefault="00AA1E33" w14:paraId="604D2ABE" w14:textId="77777777">
      <w:pPr>
        <w:widowControl/>
        <w:ind w:left="720"/>
        <w:rPr>
          <w:bCs w:val="0"/>
          <w:iCs/>
          <w:sz w:val="24"/>
          <w:szCs w:val="24"/>
        </w:rPr>
      </w:pPr>
    </w:p>
    <w:p w:rsidRPr="00D006BD" w:rsidR="00AA1E33" w:rsidP="006734ED" w:rsidRDefault="00AA1E33" w14:paraId="0B6DB469" w14:textId="77777777">
      <w:pPr>
        <w:widowControl/>
        <w:numPr>
          <w:ilvl w:val="0"/>
          <w:numId w:val="11"/>
        </w:numPr>
        <w:tabs>
          <w:tab w:val="left" w:pos="-1440"/>
        </w:tabs>
        <w:ind w:hanging="720"/>
        <w:rPr>
          <w:bCs w:val="0"/>
          <w:iCs/>
          <w:sz w:val="24"/>
          <w:szCs w:val="24"/>
        </w:rPr>
      </w:pPr>
      <w:r w:rsidRPr="00D006BD">
        <w:rPr>
          <w:bCs w:val="0"/>
          <w:iCs/>
          <w:sz w:val="24"/>
          <w:szCs w:val="24"/>
        </w:rPr>
        <w:t>requiring respondents to report information to the agency more often than quarterly;</w:t>
      </w:r>
    </w:p>
    <w:p w:rsidRPr="00D006BD" w:rsidR="00AA1E33" w:rsidP="006734ED" w:rsidRDefault="00AA1E33" w14:paraId="0AAEDD84" w14:textId="77777777">
      <w:pPr>
        <w:widowControl/>
        <w:numPr>
          <w:ilvl w:val="0"/>
          <w:numId w:val="11"/>
        </w:numPr>
        <w:tabs>
          <w:tab w:val="left" w:pos="-1440"/>
        </w:tabs>
        <w:ind w:hanging="720"/>
        <w:rPr>
          <w:bCs w:val="0"/>
          <w:iCs/>
          <w:sz w:val="24"/>
          <w:szCs w:val="24"/>
        </w:rPr>
      </w:pPr>
      <w:r w:rsidRPr="00D006BD">
        <w:rPr>
          <w:bCs w:val="0"/>
          <w:iCs/>
          <w:sz w:val="24"/>
          <w:szCs w:val="24"/>
        </w:rPr>
        <w:t>requiring respondents to prepare a written response to a collection of information in fewer than 30 days after receipt of it;</w:t>
      </w:r>
    </w:p>
    <w:p w:rsidRPr="00D006BD" w:rsidR="00AA1E33" w:rsidP="006734ED" w:rsidRDefault="00AA1E33" w14:paraId="7174BB5C" w14:textId="77777777">
      <w:pPr>
        <w:widowControl/>
        <w:numPr>
          <w:ilvl w:val="0"/>
          <w:numId w:val="11"/>
        </w:numPr>
        <w:tabs>
          <w:tab w:val="left" w:pos="-1440"/>
        </w:tabs>
        <w:ind w:hanging="720"/>
        <w:rPr>
          <w:bCs w:val="0"/>
          <w:iCs/>
          <w:sz w:val="24"/>
          <w:szCs w:val="24"/>
        </w:rPr>
      </w:pPr>
      <w:r w:rsidRPr="00D006BD">
        <w:rPr>
          <w:bCs w:val="0"/>
          <w:iCs/>
          <w:sz w:val="24"/>
          <w:szCs w:val="24"/>
        </w:rPr>
        <w:t>requiring respondents to submit more than an original and two copies of any document;</w:t>
      </w:r>
    </w:p>
    <w:p w:rsidRPr="00D006BD" w:rsidR="00AA1E33" w:rsidP="006734ED" w:rsidRDefault="00AA1E33" w14:paraId="2644B148" w14:textId="77777777">
      <w:pPr>
        <w:widowControl/>
        <w:numPr>
          <w:ilvl w:val="0"/>
          <w:numId w:val="11"/>
        </w:numPr>
        <w:tabs>
          <w:tab w:val="left" w:pos="-1440"/>
        </w:tabs>
        <w:ind w:hanging="720"/>
        <w:rPr>
          <w:bCs w:val="0"/>
          <w:iCs/>
          <w:sz w:val="24"/>
          <w:szCs w:val="24"/>
        </w:rPr>
      </w:pPr>
      <w:r w:rsidRPr="00D006BD">
        <w:rPr>
          <w:bCs w:val="0"/>
          <w:iCs/>
          <w:sz w:val="24"/>
          <w:szCs w:val="24"/>
        </w:rPr>
        <w:t>requiring respondents to retain records, other than health, medical, government contract, grant-in-aid, or tax records for more than three years;</w:t>
      </w:r>
    </w:p>
    <w:p w:rsidRPr="00D006BD" w:rsidR="00AA1E33" w:rsidP="006734ED" w:rsidRDefault="00AA1E33" w14:paraId="3451F08C" w14:textId="77777777">
      <w:pPr>
        <w:widowControl/>
        <w:numPr>
          <w:ilvl w:val="0"/>
          <w:numId w:val="11"/>
        </w:numPr>
        <w:tabs>
          <w:tab w:val="left" w:pos="-1440"/>
        </w:tabs>
        <w:ind w:hanging="720"/>
        <w:rPr>
          <w:bCs w:val="0"/>
          <w:iCs/>
          <w:sz w:val="24"/>
          <w:szCs w:val="24"/>
        </w:rPr>
      </w:pPr>
      <w:r w:rsidRPr="00D006BD">
        <w:rPr>
          <w:bCs w:val="0"/>
          <w:iCs/>
          <w:sz w:val="24"/>
          <w:szCs w:val="24"/>
        </w:rPr>
        <w:t>in connection with a statistical survey, that is not designed to produce valid and reliable results that can be generalized to the universe of study;</w:t>
      </w:r>
    </w:p>
    <w:p w:rsidRPr="00D006BD" w:rsidR="00AA1E33" w:rsidP="006734ED" w:rsidRDefault="00AA1E33" w14:paraId="4685F916" w14:textId="77777777">
      <w:pPr>
        <w:widowControl/>
        <w:numPr>
          <w:ilvl w:val="0"/>
          <w:numId w:val="11"/>
        </w:numPr>
        <w:tabs>
          <w:tab w:val="left" w:pos="-1440"/>
        </w:tabs>
        <w:ind w:hanging="720"/>
        <w:rPr>
          <w:bCs w:val="0"/>
          <w:iCs/>
          <w:sz w:val="24"/>
          <w:szCs w:val="24"/>
        </w:rPr>
      </w:pPr>
      <w:r w:rsidRPr="00D006BD">
        <w:rPr>
          <w:bCs w:val="0"/>
          <w:iCs/>
          <w:sz w:val="24"/>
          <w:szCs w:val="24"/>
        </w:rPr>
        <w:t>requiring the use of a statistical data classification that has not been reviewed and approved by OMB;</w:t>
      </w:r>
    </w:p>
    <w:p w:rsidRPr="00D006BD" w:rsidR="00AA1E33" w:rsidP="006734ED" w:rsidRDefault="00AA1E33" w14:paraId="1CB18CBF" w14:textId="77777777">
      <w:pPr>
        <w:widowControl/>
        <w:numPr>
          <w:ilvl w:val="0"/>
          <w:numId w:val="11"/>
        </w:numPr>
        <w:tabs>
          <w:tab w:val="left" w:pos="-1440"/>
        </w:tabs>
        <w:ind w:hanging="720"/>
        <w:rPr>
          <w:bCs w:val="0"/>
          <w:iCs/>
          <w:sz w:val="24"/>
          <w:szCs w:val="24"/>
        </w:rPr>
      </w:pPr>
      <w:r w:rsidRPr="00D006BD">
        <w:rPr>
          <w:bCs w:val="0"/>
          <w:i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D006BD" w:rsidR="00AA1E33" w:rsidP="006734ED" w:rsidRDefault="00AA1E33" w14:paraId="6271475D" w14:textId="77777777">
      <w:pPr>
        <w:widowControl/>
        <w:numPr>
          <w:ilvl w:val="0"/>
          <w:numId w:val="11"/>
        </w:numPr>
        <w:tabs>
          <w:tab w:val="left" w:pos="-1440"/>
        </w:tabs>
        <w:ind w:hanging="720"/>
        <w:rPr>
          <w:bCs w:val="0"/>
          <w:iCs/>
          <w:sz w:val="24"/>
          <w:szCs w:val="24"/>
        </w:rPr>
      </w:pPr>
      <w:r w:rsidRPr="00D006BD">
        <w:rPr>
          <w:bCs w:val="0"/>
          <w:i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D006BD" w:rsidR="00AA1E33" w:rsidP="006734ED" w:rsidRDefault="00AA1E33" w14:paraId="2ECB9BAB" w14:textId="77777777">
      <w:pPr>
        <w:widowControl/>
        <w:tabs>
          <w:tab w:val="left" w:pos="-1440"/>
        </w:tabs>
        <w:ind w:left="720"/>
        <w:rPr>
          <w:bCs w:val="0"/>
          <w:iCs/>
          <w:sz w:val="24"/>
        </w:rPr>
      </w:pPr>
    </w:p>
    <w:p w:rsidRPr="008B07B4" w:rsidR="008B07B4" w:rsidP="00D348E9" w:rsidRDefault="008B07B4" w14:paraId="541FC3A4" w14:textId="77777777">
      <w:pPr>
        <w:ind w:left="720"/>
        <w:rPr>
          <w:b w:val="0"/>
          <w:bCs w:val="0"/>
          <w:sz w:val="24"/>
        </w:rPr>
      </w:pPr>
      <w:r w:rsidRPr="008B07B4">
        <w:rPr>
          <w:b w:val="0"/>
          <w:bCs w:val="0"/>
          <w:sz w:val="24"/>
        </w:rPr>
        <w:t>There are no special circumstances that require the collection to be conducted in a manner inconsistent with the guidelines in 5 CFR 1320.5.</w:t>
      </w:r>
    </w:p>
    <w:p w:rsidR="00AA1E33" w:rsidP="006734ED" w:rsidRDefault="00AA1E33" w14:paraId="61A14038" w14:textId="77777777">
      <w:pPr>
        <w:widowControl/>
        <w:tabs>
          <w:tab w:val="left" w:pos="-1440"/>
        </w:tabs>
        <w:ind w:left="720"/>
        <w:rPr>
          <w:b w:val="0"/>
          <w:bCs w:val="0"/>
          <w:sz w:val="24"/>
        </w:rPr>
      </w:pPr>
    </w:p>
    <w:p w:rsidRPr="00D006BD" w:rsidR="00AA1E33" w:rsidP="006734ED" w:rsidRDefault="00AA1E33" w14:paraId="022995CA" w14:textId="77777777">
      <w:pPr>
        <w:widowControl/>
        <w:numPr>
          <w:ilvl w:val="1"/>
          <w:numId w:val="27"/>
        </w:numPr>
        <w:tabs>
          <w:tab w:val="left" w:pos="-1440"/>
        </w:tabs>
        <w:ind w:left="720" w:hanging="720"/>
        <w:rPr>
          <w:bCs w:val="0"/>
          <w:iCs/>
          <w:sz w:val="24"/>
          <w:szCs w:val="24"/>
        </w:rPr>
      </w:pPr>
      <w:r w:rsidRPr="00D006BD">
        <w:rPr>
          <w:bCs w:val="0"/>
          <w:i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D006BD" w:rsidR="00AA1E33" w:rsidP="006734ED" w:rsidRDefault="00AA1E33" w14:paraId="10641A03" w14:textId="77777777">
      <w:pPr>
        <w:widowControl/>
        <w:ind w:left="720"/>
        <w:rPr>
          <w:bCs w:val="0"/>
          <w:iCs/>
          <w:sz w:val="24"/>
          <w:szCs w:val="24"/>
        </w:rPr>
      </w:pPr>
    </w:p>
    <w:p w:rsidRPr="00D006BD" w:rsidR="00AA1E33" w:rsidP="006734ED" w:rsidRDefault="00AA1E33" w14:paraId="6B469E56" w14:textId="77777777">
      <w:pPr>
        <w:pStyle w:val="BodyText3"/>
        <w:ind w:left="720"/>
        <w:rPr>
          <w:bCs w:val="0"/>
          <w:i w:val="0"/>
          <w:sz w:val="24"/>
          <w:szCs w:val="24"/>
        </w:rPr>
      </w:pPr>
      <w:r w:rsidRPr="00D006BD">
        <w:rPr>
          <w:bCs w:val="0"/>
          <w:i w:val="0"/>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006BD" w:rsidR="00AA1E33" w:rsidP="006734ED" w:rsidRDefault="00AA1E33" w14:paraId="0F353165" w14:textId="77777777">
      <w:pPr>
        <w:widowControl/>
        <w:ind w:left="720"/>
        <w:rPr>
          <w:bCs w:val="0"/>
          <w:iCs/>
          <w:sz w:val="24"/>
          <w:szCs w:val="24"/>
        </w:rPr>
      </w:pPr>
    </w:p>
    <w:p w:rsidRPr="00D006BD" w:rsidR="00AA1E33" w:rsidP="006734ED" w:rsidRDefault="00AA1E33" w14:paraId="06B4B5C1" w14:textId="77777777">
      <w:pPr>
        <w:pStyle w:val="BodyText3"/>
        <w:ind w:left="720"/>
        <w:rPr>
          <w:i w:val="0"/>
          <w:sz w:val="24"/>
          <w:szCs w:val="24"/>
        </w:rPr>
      </w:pPr>
      <w:r w:rsidRPr="00D006BD">
        <w:rPr>
          <w:bCs w:val="0"/>
          <w:i w:val="0"/>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D006BD" w:rsidR="00AA1E33" w:rsidP="005736DE" w:rsidRDefault="00AA1E33" w14:paraId="5DAD5A38" w14:textId="77777777">
      <w:pPr>
        <w:widowControl/>
        <w:ind w:left="720"/>
        <w:rPr>
          <w:bCs w:val="0"/>
          <w:iCs/>
          <w:sz w:val="24"/>
          <w:szCs w:val="24"/>
        </w:rPr>
      </w:pPr>
    </w:p>
    <w:p w:rsidRPr="00380064" w:rsidR="00380064" w:rsidP="00380064" w:rsidRDefault="00380064" w14:paraId="4A0A49E9" w14:textId="393230E0">
      <w:pPr>
        <w:rPr>
          <w:b w:val="0"/>
          <w:sz w:val="24"/>
          <w:szCs w:val="24"/>
        </w:rPr>
      </w:pPr>
      <w:r w:rsidRPr="00380064">
        <w:rPr>
          <w:b w:val="0"/>
          <w:sz w:val="24"/>
          <w:szCs w:val="24"/>
        </w:rPr>
        <w:t xml:space="preserve">Contemporaneous with this submission, an interim final rule (IFR) was published in the Federal Register on July 13, 2021 (86 FR 36872). </w:t>
      </w:r>
      <w:r w:rsidR="002B4BB0">
        <w:rPr>
          <w:b w:val="0"/>
          <w:sz w:val="24"/>
          <w:szCs w:val="24"/>
        </w:rPr>
        <w:t xml:space="preserve">The IFR </w:t>
      </w:r>
      <w:r w:rsidRPr="00380064">
        <w:rPr>
          <w:b w:val="0"/>
          <w:sz w:val="24"/>
          <w:szCs w:val="24"/>
        </w:rPr>
        <w:t xml:space="preserve">solicits public comment on the paperwork burden of the information collection request.  In accordance with 5 CFR 1320.11(c) and 5 CFR 1320.11(e), the public comment period is for 30 days of OMB’s 60 days to </w:t>
      </w:r>
      <w:r w:rsidR="002B4BB0">
        <w:rPr>
          <w:b w:val="0"/>
          <w:sz w:val="24"/>
          <w:szCs w:val="24"/>
        </w:rPr>
        <w:t>provide comments on the rule</w:t>
      </w:r>
      <w:r w:rsidRPr="00380064">
        <w:rPr>
          <w:b w:val="0"/>
          <w:sz w:val="24"/>
          <w:szCs w:val="24"/>
        </w:rPr>
        <w:t xml:space="preserve">.  </w:t>
      </w:r>
      <w:r w:rsidR="002B4BB0">
        <w:rPr>
          <w:b w:val="0"/>
          <w:sz w:val="24"/>
          <w:szCs w:val="24"/>
        </w:rPr>
        <w:t xml:space="preserve">The IFR also contains a public comment period on </w:t>
      </w:r>
      <w:r w:rsidR="0055244D">
        <w:rPr>
          <w:b w:val="0"/>
          <w:sz w:val="24"/>
          <w:szCs w:val="24"/>
        </w:rPr>
        <w:t xml:space="preserve">the rule </w:t>
      </w:r>
      <w:r w:rsidR="002B4BB0">
        <w:rPr>
          <w:b w:val="0"/>
          <w:sz w:val="24"/>
          <w:szCs w:val="24"/>
        </w:rPr>
        <w:t xml:space="preserve">that closes September 7, 2021.  </w:t>
      </w:r>
    </w:p>
    <w:p w:rsidRPr="00F746FC" w:rsidR="00D27DFC" w:rsidP="006734ED" w:rsidRDefault="00D27DFC" w14:paraId="498CB5BA" w14:textId="77777777">
      <w:pPr>
        <w:pStyle w:val="BodyText"/>
        <w:ind w:left="720"/>
        <w:rPr>
          <w:bCs/>
        </w:rPr>
      </w:pPr>
    </w:p>
    <w:p w:rsidRPr="00D006BD" w:rsidR="00AA1E33" w:rsidP="006734ED" w:rsidRDefault="00AA1E33" w14:paraId="36247551" w14:textId="77777777">
      <w:pPr>
        <w:widowControl/>
        <w:numPr>
          <w:ilvl w:val="1"/>
          <w:numId w:val="27"/>
        </w:numPr>
        <w:tabs>
          <w:tab w:val="left" w:pos="-1440"/>
        </w:tabs>
        <w:ind w:left="720" w:hanging="720"/>
        <w:rPr>
          <w:bCs w:val="0"/>
          <w:iCs/>
          <w:sz w:val="24"/>
          <w:szCs w:val="24"/>
        </w:rPr>
      </w:pPr>
      <w:r w:rsidRPr="00D006BD">
        <w:rPr>
          <w:bCs w:val="0"/>
          <w:iCs/>
          <w:sz w:val="24"/>
          <w:szCs w:val="24"/>
        </w:rPr>
        <w:t>Explain any decision to provide any payment or gift to respondents, other than remuneration of contractors or grantees.</w:t>
      </w:r>
    </w:p>
    <w:p w:rsidR="00AA1E33" w:rsidP="006734ED" w:rsidRDefault="00AA1E33" w14:paraId="2FB5689D" w14:textId="77777777">
      <w:pPr>
        <w:widowControl/>
        <w:ind w:left="720"/>
        <w:rPr>
          <w:b w:val="0"/>
          <w:bCs w:val="0"/>
          <w:sz w:val="24"/>
        </w:rPr>
      </w:pPr>
    </w:p>
    <w:p w:rsidR="00AA1E33" w:rsidP="006734ED" w:rsidRDefault="00AA1E33" w14:paraId="5D7B0DC0" w14:textId="77777777">
      <w:pPr>
        <w:pStyle w:val="BodyText"/>
        <w:ind w:left="720"/>
      </w:pPr>
      <w:r>
        <w:t>No</w:t>
      </w:r>
      <w:r w:rsidR="008B07B4">
        <w:t xml:space="preserve"> payments or gifts are provided to respondents</w:t>
      </w:r>
      <w:r>
        <w:t>.</w:t>
      </w:r>
    </w:p>
    <w:p w:rsidR="00AA1E33" w:rsidP="006734ED" w:rsidRDefault="00AA1E33" w14:paraId="54CB59DD" w14:textId="77777777">
      <w:pPr>
        <w:widowControl/>
        <w:ind w:left="720"/>
        <w:rPr>
          <w:b w:val="0"/>
          <w:bCs w:val="0"/>
          <w:sz w:val="24"/>
        </w:rPr>
      </w:pPr>
    </w:p>
    <w:p w:rsidRPr="00D006BD" w:rsidR="00AA1E33" w:rsidP="006734ED" w:rsidRDefault="00AA1E33" w14:paraId="18434855" w14:textId="77777777">
      <w:pPr>
        <w:widowControl/>
        <w:numPr>
          <w:ilvl w:val="1"/>
          <w:numId w:val="27"/>
        </w:numPr>
        <w:tabs>
          <w:tab w:val="left" w:pos="-1440"/>
        </w:tabs>
        <w:ind w:left="720" w:hanging="720"/>
        <w:rPr>
          <w:bCs w:val="0"/>
          <w:iCs/>
          <w:sz w:val="24"/>
          <w:szCs w:val="24"/>
        </w:rPr>
      </w:pPr>
      <w:r w:rsidRPr="00D006BD">
        <w:rPr>
          <w:bCs w:val="0"/>
          <w:iCs/>
          <w:sz w:val="24"/>
          <w:szCs w:val="24"/>
        </w:rPr>
        <w:t>Describe any assurance of confidentiality provided to respondents and the basis for the assurance in statute, regulation, or agency policy.</w:t>
      </w:r>
    </w:p>
    <w:p w:rsidR="00AA1E33" w:rsidP="006734ED" w:rsidRDefault="00AA1E33" w14:paraId="683A9E92" w14:textId="77777777">
      <w:pPr>
        <w:widowControl/>
        <w:ind w:left="720"/>
        <w:rPr>
          <w:b w:val="0"/>
          <w:bCs w:val="0"/>
          <w:sz w:val="24"/>
        </w:rPr>
      </w:pPr>
    </w:p>
    <w:p w:rsidR="003E1E53" w:rsidP="006734ED" w:rsidRDefault="00A73525" w14:paraId="2BE241FF" w14:textId="77777777">
      <w:pPr>
        <w:widowControl/>
        <w:ind w:left="720"/>
        <w:rPr>
          <w:b w:val="0"/>
          <w:bCs w:val="0"/>
          <w:sz w:val="24"/>
        </w:rPr>
      </w:pPr>
      <w:r>
        <w:rPr>
          <w:b w:val="0"/>
          <w:bCs w:val="0"/>
          <w:sz w:val="24"/>
        </w:rPr>
        <w:t>No</w:t>
      </w:r>
      <w:r w:rsidR="008B07B4">
        <w:rPr>
          <w:b w:val="0"/>
          <w:bCs w:val="0"/>
          <w:sz w:val="24"/>
        </w:rPr>
        <w:t xml:space="preserve"> assurance of confidentiality has been provided.</w:t>
      </w:r>
    </w:p>
    <w:p w:rsidRPr="003E1E53" w:rsidR="00A73525" w:rsidP="006734ED" w:rsidRDefault="00A73525" w14:paraId="220AB040" w14:textId="77777777">
      <w:pPr>
        <w:widowControl/>
        <w:ind w:left="720"/>
        <w:rPr>
          <w:b w:val="0"/>
          <w:bCs w:val="0"/>
          <w:sz w:val="24"/>
        </w:rPr>
      </w:pPr>
    </w:p>
    <w:p w:rsidRPr="00D006BD" w:rsidR="00AA1E33" w:rsidP="006734ED" w:rsidRDefault="00AA1E33" w14:paraId="0F184E36" w14:textId="77777777">
      <w:pPr>
        <w:widowControl/>
        <w:numPr>
          <w:ilvl w:val="1"/>
          <w:numId w:val="27"/>
        </w:numPr>
        <w:tabs>
          <w:tab w:val="left" w:pos="-1440"/>
        </w:tabs>
        <w:ind w:left="720" w:hanging="720"/>
        <w:rPr>
          <w:bCs w:val="0"/>
          <w:iCs/>
          <w:sz w:val="24"/>
          <w:szCs w:val="24"/>
        </w:rPr>
      </w:pPr>
      <w:r w:rsidRPr="00D006BD">
        <w:rPr>
          <w:bCs w:val="0"/>
          <w:i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A1E33" w:rsidP="006734ED" w:rsidRDefault="00AA1E33" w14:paraId="327D219E" w14:textId="77777777">
      <w:pPr>
        <w:widowControl/>
        <w:ind w:left="720"/>
        <w:rPr>
          <w:b w:val="0"/>
          <w:bCs w:val="0"/>
          <w:i/>
          <w:iCs/>
          <w:sz w:val="24"/>
        </w:rPr>
      </w:pPr>
    </w:p>
    <w:p w:rsidR="003E1E53" w:rsidP="006734ED" w:rsidRDefault="008B07B4" w14:paraId="057F867D" w14:textId="77777777">
      <w:pPr>
        <w:pStyle w:val="BodyText"/>
        <w:ind w:left="720"/>
      </w:pPr>
      <w:r>
        <w:t>There are no questions of a sensitive nature.</w:t>
      </w:r>
    </w:p>
    <w:p w:rsidR="00A73525" w:rsidP="006734ED" w:rsidRDefault="00A73525" w14:paraId="085725F5" w14:textId="77777777">
      <w:pPr>
        <w:pStyle w:val="BodyText"/>
        <w:ind w:left="720"/>
      </w:pPr>
    </w:p>
    <w:p w:rsidRPr="00C873C1" w:rsidR="00AA1E33" w:rsidP="00C873C1" w:rsidRDefault="00AA1E33" w14:paraId="1257D27E" w14:textId="77777777">
      <w:pPr>
        <w:widowControl/>
        <w:numPr>
          <w:ilvl w:val="1"/>
          <w:numId w:val="27"/>
        </w:numPr>
        <w:tabs>
          <w:tab w:val="left" w:pos="-1440"/>
        </w:tabs>
        <w:ind w:left="720" w:hanging="720"/>
        <w:rPr>
          <w:bCs w:val="0"/>
          <w:iCs/>
          <w:sz w:val="24"/>
          <w:szCs w:val="24"/>
        </w:rPr>
      </w:pPr>
      <w:r w:rsidRPr="00D006BD">
        <w:rPr>
          <w:bCs w:val="0"/>
          <w:iCs/>
          <w:sz w:val="24"/>
          <w:szCs w:val="24"/>
        </w:rPr>
        <w:t>Provide estimates of the hour burden of the collection of information.  The statement should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D006BD" w:rsidR="00AA1E33" w:rsidP="006734ED" w:rsidRDefault="00AA1E33" w14:paraId="4E32DEE0" w14:textId="77777777">
      <w:pPr>
        <w:widowControl/>
        <w:numPr>
          <w:ilvl w:val="0"/>
          <w:numId w:val="10"/>
        </w:numPr>
        <w:tabs>
          <w:tab w:val="left" w:pos="-1440"/>
        </w:tabs>
        <w:ind w:left="1440" w:hanging="720"/>
        <w:rPr>
          <w:bCs w:val="0"/>
          <w:iCs/>
          <w:sz w:val="24"/>
          <w:szCs w:val="24"/>
        </w:rPr>
      </w:pPr>
      <w:r w:rsidRPr="00D006BD">
        <w:rPr>
          <w:bCs w:val="0"/>
          <w:iCs/>
          <w:sz w:val="24"/>
          <w:szCs w:val="24"/>
        </w:rPr>
        <w:t>If this request for approval covers more than one form, provide separate hour burden estimates for each form and aggregate the hour burden</w:t>
      </w:r>
      <w:r w:rsidRPr="00D006BD" w:rsidR="00A752E0">
        <w:rPr>
          <w:bCs w:val="0"/>
          <w:iCs/>
          <w:sz w:val="24"/>
          <w:szCs w:val="24"/>
        </w:rPr>
        <w:t>s.</w:t>
      </w:r>
    </w:p>
    <w:p w:rsidRPr="00D006BD" w:rsidR="00AA1E33" w:rsidP="006734ED" w:rsidRDefault="00AA1E33" w14:paraId="109D0C92" w14:textId="77777777">
      <w:pPr>
        <w:widowControl/>
        <w:numPr>
          <w:ilvl w:val="0"/>
          <w:numId w:val="10"/>
        </w:numPr>
        <w:tabs>
          <w:tab w:val="clear" w:pos="720"/>
          <w:tab w:val="left" w:pos="-1440"/>
        </w:tabs>
        <w:ind w:left="1440" w:hanging="720"/>
        <w:rPr>
          <w:bCs w:val="0"/>
          <w:iCs/>
          <w:sz w:val="24"/>
          <w:szCs w:val="24"/>
        </w:rPr>
      </w:pPr>
      <w:r w:rsidRPr="00D006BD">
        <w:rPr>
          <w:bCs w:val="0"/>
          <w:i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D006BD" w:rsidR="00AA1E33" w:rsidP="006734ED" w:rsidRDefault="00AA1E33" w14:paraId="73F804AB" w14:textId="77777777">
      <w:pPr>
        <w:widowControl/>
        <w:numPr>
          <w:ilvl w:val="0"/>
          <w:numId w:val="10"/>
        </w:numPr>
        <w:tabs>
          <w:tab w:val="left" w:pos="-1440"/>
        </w:tabs>
        <w:ind w:left="1440" w:hanging="720"/>
        <w:rPr>
          <w:bCs w:val="0"/>
          <w:iCs/>
          <w:sz w:val="24"/>
          <w:szCs w:val="24"/>
        </w:rPr>
      </w:pPr>
      <w:r w:rsidRPr="00D006BD">
        <w:rPr>
          <w:bCs w:val="0"/>
          <w:iCs/>
          <w:sz w:val="24"/>
          <w:szCs w:val="24"/>
        </w:rPr>
        <w:t>The cost of contracting out or paying outside parties for information collection activities should not be included here.  Instead, this cost should be included in Item 14.</w:t>
      </w:r>
    </w:p>
    <w:p w:rsidRPr="0053172C" w:rsidR="00B114EF" w:rsidP="00F657A8" w:rsidRDefault="00B114EF" w14:paraId="0CD806D7" w14:textId="77777777">
      <w:pPr>
        <w:widowControl/>
        <w:tabs>
          <w:tab w:val="left" w:pos="-1440"/>
        </w:tabs>
        <w:ind w:left="720"/>
        <w:rPr>
          <w:b w:val="0"/>
          <w:bCs w:val="0"/>
          <w:iCs/>
          <w:sz w:val="24"/>
          <w:szCs w:val="24"/>
        </w:rPr>
      </w:pPr>
    </w:p>
    <w:p w:rsidR="00D0110B" w:rsidP="006734ED" w:rsidRDefault="00B114EF" w14:paraId="568B1D2D" w14:textId="77777777">
      <w:pPr>
        <w:widowControl/>
        <w:tabs>
          <w:tab w:val="left" w:pos="-1440"/>
        </w:tabs>
        <w:ind w:left="720"/>
        <w:rPr>
          <w:b w:val="0"/>
          <w:bCs w:val="0"/>
          <w:iCs/>
          <w:sz w:val="24"/>
        </w:rPr>
      </w:pPr>
      <w:r>
        <w:rPr>
          <w:b w:val="0"/>
          <w:bCs w:val="0"/>
          <w:iCs/>
          <w:sz w:val="24"/>
        </w:rPr>
        <w:t>PHS Act 2719A and t</w:t>
      </w:r>
      <w:r w:rsidRPr="00B114EF">
        <w:rPr>
          <w:b w:val="0"/>
          <w:bCs w:val="0"/>
          <w:iCs/>
          <w:sz w:val="24"/>
        </w:rPr>
        <w:t>he</w:t>
      </w:r>
      <w:r w:rsidR="00CA373C">
        <w:rPr>
          <w:b w:val="0"/>
          <w:bCs w:val="0"/>
          <w:iCs/>
          <w:sz w:val="24"/>
        </w:rPr>
        <w:t xml:space="preserve"> </w:t>
      </w:r>
      <w:r w:rsidRPr="00B114EF">
        <w:rPr>
          <w:b w:val="0"/>
          <w:bCs w:val="0"/>
          <w:iCs/>
          <w:sz w:val="24"/>
        </w:rPr>
        <w:t xml:space="preserve">final regulations affect only plans </w:t>
      </w:r>
      <w:r w:rsidR="006C28F2">
        <w:rPr>
          <w:b w:val="0"/>
          <w:bCs w:val="0"/>
          <w:iCs/>
          <w:sz w:val="24"/>
        </w:rPr>
        <w:t>and participants in plans</w:t>
      </w:r>
      <w:r w:rsidRPr="00B114EF">
        <w:rPr>
          <w:b w:val="0"/>
          <w:bCs w:val="0"/>
          <w:iCs/>
          <w:sz w:val="24"/>
        </w:rPr>
        <w:t xml:space="preserve"> </w:t>
      </w:r>
      <w:r>
        <w:rPr>
          <w:b w:val="0"/>
          <w:bCs w:val="0"/>
          <w:iCs/>
          <w:sz w:val="24"/>
        </w:rPr>
        <w:t>that require</w:t>
      </w:r>
      <w:r w:rsidRPr="00B114EF">
        <w:rPr>
          <w:b w:val="0"/>
          <w:bCs w:val="0"/>
          <w:iCs/>
          <w:sz w:val="24"/>
        </w:rPr>
        <w:t xml:space="preserve"> participants to designate a primary care physician and are non-grandfathered plans.  The Departments assume that this is most likely to happen in H</w:t>
      </w:r>
      <w:r w:rsidR="00F37B8A">
        <w:rPr>
          <w:b w:val="0"/>
          <w:bCs w:val="0"/>
          <w:iCs/>
          <w:sz w:val="24"/>
        </w:rPr>
        <w:t>ealth Maintenance Organization (HMO</w:t>
      </w:r>
      <w:r w:rsidRPr="00B114EF">
        <w:rPr>
          <w:b w:val="0"/>
          <w:bCs w:val="0"/>
          <w:iCs/>
          <w:sz w:val="24"/>
        </w:rPr>
        <w:t xml:space="preserve"> and Point-of-</w:t>
      </w:r>
      <w:r>
        <w:rPr>
          <w:b w:val="0"/>
          <w:bCs w:val="0"/>
          <w:iCs/>
          <w:sz w:val="24"/>
        </w:rPr>
        <w:t>S</w:t>
      </w:r>
      <w:r w:rsidRPr="00B114EF">
        <w:rPr>
          <w:b w:val="0"/>
          <w:bCs w:val="0"/>
          <w:iCs/>
          <w:sz w:val="24"/>
        </w:rPr>
        <w:t>ervice (POS) type arrangements.  Therefore, the Department</w:t>
      </w:r>
      <w:r>
        <w:rPr>
          <w:b w:val="0"/>
          <w:bCs w:val="0"/>
          <w:iCs/>
          <w:sz w:val="24"/>
        </w:rPr>
        <w:t xml:space="preserve"> has </w:t>
      </w:r>
      <w:r w:rsidRPr="00B114EF">
        <w:rPr>
          <w:b w:val="0"/>
          <w:bCs w:val="0"/>
          <w:iCs/>
          <w:sz w:val="24"/>
        </w:rPr>
        <w:t>estimate</w:t>
      </w:r>
      <w:r>
        <w:rPr>
          <w:b w:val="0"/>
          <w:bCs w:val="0"/>
          <w:iCs/>
          <w:sz w:val="24"/>
        </w:rPr>
        <w:t>d</w:t>
      </w:r>
      <w:r w:rsidRPr="00B114EF">
        <w:rPr>
          <w:b w:val="0"/>
          <w:bCs w:val="0"/>
          <w:iCs/>
          <w:sz w:val="24"/>
        </w:rPr>
        <w:t xml:space="preserve"> the number of plans and participants that have HMO</w:t>
      </w:r>
      <w:r>
        <w:rPr>
          <w:b w:val="0"/>
          <w:bCs w:val="0"/>
          <w:iCs/>
          <w:sz w:val="24"/>
        </w:rPr>
        <w:t>-</w:t>
      </w:r>
      <w:r w:rsidRPr="00B114EF">
        <w:rPr>
          <w:b w:val="0"/>
          <w:bCs w:val="0"/>
          <w:iCs/>
          <w:sz w:val="24"/>
        </w:rPr>
        <w:t xml:space="preserve"> or POS</w:t>
      </w:r>
      <w:r>
        <w:rPr>
          <w:b w:val="0"/>
          <w:bCs w:val="0"/>
          <w:iCs/>
          <w:sz w:val="24"/>
        </w:rPr>
        <w:t>-</w:t>
      </w:r>
      <w:r w:rsidRPr="00B114EF">
        <w:rPr>
          <w:b w:val="0"/>
          <w:bCs w:val="0"/>
          <w:iCs/>
          <w:sz w:val="24"/>
        </w:rPr>
        <w:t xml:space="preserve">type coverage </w:t>
      </w:r>
      <w:r>
        <w:rPr>
          <w:b w:val="0"/>
          <w:bCs w:val="0"/>
          <w:iCs/>
          <w:sz w:val="24"/>
        </w:rPr>
        <w:t xml:space="preserve">that are </w:t>
      </w:r>
      <w:r w:rsidRPr="00B114EF">
        <w:rPr>
          <w:b w:val="0"/>
          <w:bCs w:val="0"/>
          <w:iCs/>
          <w:sz w:val="24"/>
        </w:rPr>
        <w:t>not grandfathered</w:t>
      </w:r>
      <w:r>
        <w:rPr>
          <w:b w:val="0"/>
          <w:bCs w:val="0"/>
          <w:iCs/>
          <w:sz w:val="24"/>
        </w:rPr>
        <w:t xml:space="preserve"> group health plans</w:t>
      </w:r>
      <w:r w:rsidRPr="00B114EF">
        <w:rPr>
          <w:b w:val="0"/>
          <w:bCs w:val="0"/>
          <w:iCs/>
          <w:sz w:val="24"/>
        </w:rPr>
        <w:t xml:space="preserve">.  </w:t>
      </w:r>
      <w:r w:rsidR="00D0110B">
        <w:rPr>
          <w:b w:val="0"/>
          <w:bCs w:val="0"/>
          <w:iCs/>
          <w:sz w:val="24"/>
        </w:rPr>
        <w:t>Further,</w:t>
      </w:r>
      <w:r w:rsidR="00B21DE4">
        <w:rPr>
          <w:b w:val="0"/>
          <w:bCs w:val="0"/>
          <w:iCs/>
          <w:sz w:val="24"/>
        </w:rPr>
        <w:t xml:space="preserve"> </w:t>
      </w:r>
      <w:bookmarkStart w:name="OLE_LINK3" w:id="4"/>
      <w:bookmarkStart w:name="OLE_LINK4" w:id="5"/>
      <w:r w:rsidR="00B21DE4">
        <w:rPr>
          <w:b w:val="0"/>
          <w:bCs w:val="0"/>
          <w:iCs/>
          <w:sz w:val="24"/>
        </w:rPr>
        <w:t xml:space="preserve">the Department believes that </w:t>
      </w:r>
      <w:r w:rsidR="00F65E04">
        <w:rPr>
          <w:b w:val="0"/>
          <w:bCs w:val="0"/>
          <w:iCs/>
          <w:sz w:val="24"/>
        </w:rPr>
        <w:t>o</w:t>
      </w:r>
      <w:r w:rsidRPr="00F65E04" w:rsidR="00F65E04">
        <w:rPr>
          <w:b w:val="0"/>
          <w:bCs w:val="0"/>
          <w:iCs/>
          <w:sz w:val="24"/>
        </w:rPr>
        <w:t xml:space="preserve">nly plans that relinquish their grandfathered status in 2021 and plans that are still grandfathered in 2022 will become subject to this notice requirement for the first time and incur the one-time costs to prepare the notice.  </w:t>
      </w:r>
      <w:r w:rsidR="00D0110B">
        <w:rPr>
          <w:b w:val="0"/>
          <w:bCs w:val="0"/>
          <w:iCs/>
          <w:sz w:val="24"/>
        </w:rPr>
        <w:t xml:space="preserve">In subsequent years, this notice would remain unchanged and its costs are factored into the </w:t>
      </w:r>
      <w:r w:rsidR="00B21DE4">
        <w:rPr>
          <w:b w:val="0"/>
          <w:bCs w:val="0"/>
          <w:iCs/>
          <w:sz w:val="24"/>
        </w:rPr>
        <w:t>burden estimates</w:t>
      </w:r>
      <w:r w:rsidR="00D0110B">
        <w:rPr>
          <w:b w:val="0"/>
          <w:bCs w:val="0"/>
          <w:iCs/>
          <w:sz w:val="24"/>
        </w:rPr>
        <w:t xml:space="preserve"> associated with the Summary Plan Description information collection request (OMB Control Number 1210-0</w:t>
      </w:r>
      <w:r w:rsidR="00E6436B">
        <w:rPr>
          <w:b w:val="0"/>
          <w:bCs w:val="0"/>
          <w:iCs/>
          <w:sz w:val="24"/>
        </w:rPr>
        <w:t>039</w:t>
      </w:r>
      <w:r w:rsidR="00D0110B">
        <w:rPr>
          <w:b w:val="0"/>
          <w:bCs w:val="0"/>
          <w:iCs/>
          <w:sz w:val="24"/>
        </w:rPr>
        <w:t>).</w:t>
      </w:r>
      <w:bookmarkEnd w:id="4"/>
      <w:bookmarkEnd w:id="5"/>
    </w:p>
    <w:p w:rsidR="00B114EF" w:rsidP="006734ED" w:rsidRDefault="00B114EF" w14:paraId="31EB3498" w14:textId="77777777">
      <w:pPr>
        <w:widowControl/>
        <w:tabs>
          <w:tab w:val="left" w:pos="-1440"/>
        </w:tabs>
        <w:ind w:left="720"/>
        <w:rPr>
          <w:b w:val="0"/>
          <w:bCs w:val="0"/>
          <w:iCs/>
          <w:sz w:val="24"/>
        </w:rPr>
      </w:pPr>
    </w:p>
    <w:p w:rsidRPr="00601F80" w:rsidR="00601F80" w:rsidP="00FD304A" w:rsidRDefault="00B114EF" w14:paraId="274D7E9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val="0"/>
          <w:bCs w:val="0"/>
          <w:iCs/>
          <w:sz w:val="24"/>
          <w:szCs w:val="24"/>
        </w:rPr>
      </w:pPr>
      <w:r w:rsidRPr="00B114EF">
        <w:rPr>
          <w:b w:val="0"/>
          <w:bCs w:val="0"/>
          <w:iCs/>
          <w:sz w:val="24"/>
        </w:rPr>
        <w:t>The Department estimate</w:t>
      </w:r>
      <w:r>
        <w:rPr>
          <w:b w:val="0"/>
          <w:bCs w:val="0"/>
          <w:iCs/>
          <w:sz w:val="24"/>
        </w:rPr>
        <w:t>s</w:t>
      </w:r>
      <w:r w:rsidRPr="00B114EF">
        <w:rPr>
          <w:b w:val="0"/>
          <w:bCs w:val="0"/>
          <w:iCs/>
          <w:sz w:val="24"/>
        </w:rPr>
        <w:t xml:space="preserve"> that there are </w:t>
      </w:r>
      <w:r w:rsidR="00C80E52">
        <w:rPr>
          <w:b w:val="0"/>
          <w:bCs w:val="0"/>
          <w:iCs/>
          <w:sz w:val="24"/>
        </w:rPr>
        <w:t>2.5</w:t>
      </w:r>
      <w:r w:rsidR="00F37B8A">
        <w:rPr>
          <w:b w:val="0"/>
          <w:bCs w:val="0"/>
          <w:iCs/>
          <w:sz w:val="24"/>
        </w:rPr>
        <w:t xml:space="preserve"> million </w:t>
      </w:r>
      <w:r w:rsidRPr="00B114EF">
        <w:rPr>
          <w:b w:val="0"/>
          <w:bCs w:val="0"/>
          <w:iCs/>
          <w:sz w:val="24"/>
        </w:rPr>
        <w:t xml:space="preserve">ERISA-covered plans.  </w:t>
      </w:r>
      <w:r w:rsidRPr="00B114EF" w:rsidR="00BF5C95">
        <w:rPr>
          <w:b w:val="0"/>
          <w:bCs w:val="0"/>
          <w:iCs/>
          <w:sz w:val="24"/>
        </w:rPr>
        <w:t xml:space="preserve">Data obtained from the </w:t>
      </w:r>
      <w:r w:rsidR="00BF5C95">
        <w:rPr>
          <w:b w:val="0"/>
          <w:bCs w:val="0"/>
          <w:iCs/>
          <w:sz w:val="24"/>
        </w:rPr>
        <w:t>2020</w:t>
      </w:r>
      <w:r w:rsidRPr="00B114EF" w:rsidR="00BF5C95">
        <w:rPr>
          <w:b w:val="0"/>
          <w:bCs w:val="0"/>
          <w:iCs/>
          <w:sz w:val="24"/>
        </w:rPr>
        <w:t xml:space="preserve"> Kaiser/HRET Survey of Employer Sponsored Health Benefits</w:t>
      </w:r>
      <w:r w:rsidR="00BF5C95">
        <w:rPr>
          <w:b w:val="0"/>
          <w:bCs w:val="0"/>
          <w:iCs/>
          <w:sz w:val="24"/>
        </w:rPr>
        <w:t xml:space="preserve"> finds that </w:t>
      </w:r>
      <w:r w:rsidRPr="00E321A1" w:rsidR="00BF5C95">
        <w:rPr>
          <w:b w:val="0"/>
          <w:iCs/>
          <w:sz w:val="24"/>
        </w:rPr>
        <w:t>16</w:t>
      </w:r>
      <w:r w:rsidR="00BF5C95">
        <w:rPr>
          <w:b w:val="0"/>
          <w:iCs/>
          <w:sz w:val="24"/>
        </w:rPr>
        <w:t xml:space="preserve"> percent</w:t>
      </w:r>
      <w:r w:rsidRPr="00DC5859" w:rsidR="00BF5C95">
        <w:rPr>
          <w:b w:val="0"/>
          <w:iCs/>
          <w:sz w:val="24"/>
        </w:rPr>
        <w:t xml:space="preserve"> of firms offering health benefits offer at least one grandfathered health plan</w:t>
      </w:r>
      <w:r w:rsidR="00BF5C95">
        <w:rPr>
          <w:b w:val="0"/>
          <w:bCs w:val="0"/>
          <w:iCs/>
          <w:sz w:val="24"/>
        </w:rPr>
        <w:t xml:space="preserve">s.  </w:t>
      </w:r>
      <w:r w:rsidR="008F6D9D">
        <w:rPr>
          <w:b w:val="0"/>
          <w:bCs w:val="0"/>
          <w:iCs/>
          <w:sz w:val="24"/>
        </w:rPr>
        <w:t>T</w:t>
      </w:r>
      <w:r w:rsidRPr="00B114EF" w:rsidR="008F6D9D">
        <w:rPr>
          <w:b w:val="0"/>
          <w:bCs w:val="0"/>
          <w:iCs/>
          <w:sz w:val="24"/>
        </w:rPr>
        <w:t xml:space="preserve">he Department </w:t>
      </w:r>
      <w:r w:rsidR="008F6D9D">
        <w:rPr>
          <w:b w:val="0"/>
          <w:bCs w:val="0"/>
          <w:iCs/>
          <w:sz w:val="24"/>
        </w:rPr>
        <w:t>estimate</w:t>
      </w:r>
      <w:r w:rsidR="004130DE">
        <w:rPr>
          <w:b w:val="0"/>
          <w:bCs w:val="0"/>
          <w:iCs/>
          <w:sz w:val="24"/>
        </w:rPr>
        <w:t>s</w:t>
      </w:r>
      <w:r w:rsidR="008F6D9D">
        <w:rPr>
          <w:b w:val="0"/>
          <w:bCs w:val="0"/>
          <w:iCs/>
          <w:sz w:val="24"/>
        </w:rPr>
        <w:t xml:space="preserve"> that </w:t>
      </w:r>
      <w:r w:rsidR="004130DE">
        <w:rPr>
          <w:b w:val="0"/>
          <w:bCs w:val="0"/>
          <w:iCs/>
          <w:sz w:val="24"/>
        </w:rPr>
        <w:t>five</w:t>
      </w:r>
      <w:r w:rsidR="008F6D9D">
        <w:rPr>
          <w:b w:val="0"/>
          <w:bCs w:val="0"/>
          <w:iCs/>
          <w:sz w:val="24"/>
        </w:rPr>
        <w:t xml:space="preserve"> percent of plans w</w:t>
      </w:r>
      <w:r w:rsidR="004130DE">
        <w:rPr>
          <w:b w:val="0"/>
          <w:bCs w:val="0"/>
          <w:iCs/>
          <w:sz w:val="24"/>
        </w:rPr>
        <w:t>ill</w:t>
      </w:r>
      <w:r w:rsidR="008F6D9D">
        <w:rPr>
          <w:b w:val="0"/>
          <w:bCs w:val="0"/>
          <w:iCs/>
          <w:sz w:val="24"/>
        </w:rPr>
        <w:t xml:space="preserve"> relinquish their grandfathered status </w:t>
      </w:r>
      <w:r w:rsidR="00AF047C">
        <w:rPr>
          <w:b w:val="0"/>
          <w:bCs w:val="0"/>
          <w:iCs/>
          <w:sz w:val="24"/>
        </w:rPr>
        <w:t>in 2021</w:t>
      </w:r>
      <w:r w:rsidR="008F6D9D">
        <w:rPr>
          <w:b w:val="0"/>
          <w:bCs w:val="0"/>
          <w:iCs/>
          <w:sz w:val="24"/>
        </w:rPr>
        <w:t xml:space="preserve">. </w:t>
      </w:r>
      <w:r w:rsidR="00601F80">
        <w:rPr>
          <w:b w:val="0"/>
          <w:bCs w:val="0"/>
          <w:iCs/>
          <w:sz w:val="24"/>
        </w:rPr>
        <w:t xml:space="preserve"> </w:t>
      </w:r>
      <w:r w:rsidR="00E321A1">
        <w:rPr>
          <w:b w:val="0"/>
          <w:bCs w:val="0"/>
          <w:iCs/>
          <w:sz w:val="24"/>
        </w:rPr>
        <w:t xml:space="preserve">The data from the </w:t>
      </w:r>
      <w:r w:rsidRPr="00E321A1" w:rsidR="00E321A1">
        <w:rPr>
          <w:b w:val="0"/>
          <w:bCs w:val="0"/>
          <w:iCs/>
          <w:sz w:val="24"/>
        </w:rPr>
        <w:t>2020 Kaiser/HRET Survey of Employer Sponsored Health Benefits</w:t>
      </w:r>
      <w:r w:rsidR="00E321A1">
        <w:rPr>
          <w:b w:val="0"/>
          <w:bCs w:val="0"/>
          <w:iCs/>
          <w:sz w:val="24"/>
        </w:rPr>
        <w:t xml:space="preserve"> also </w:t>
      </w:r>
      <w:r w:rsidRPr="00B114EF">
        <w:rPr>
          <w:b w:val="0"/>
          <w:bCs w:val="0"/>
          <w:iCs/>
          <w:sz w:val="24"/>
        </w:rPr>
        <w:t xml:space="preserve">finds that </w:t>
      </w:r>
      <w:r w:rsidR="00A171CF">
        <w:rPr>
          <w:b w:val="0"/>
          <w:bCs w:val="0"/>
          <w:iCs/>
          <w:sz w:val="24"/>
        </w:rPr>
        <w:t>11</w:t>
      </w:r>
      <w:r w:rsidRPr="00B114EF" w:rsidR="00A171CF">
        <w:rPr>
          <w:b w:val="0"/>
          <w:bCs w:val="0"/>
          <w:iCs/>
          <w:sz w:val="24"/>
        </w:rPr>
        <w:t xml:space="preserve"> </w:t>
      </w:r>
      <w:r w:rsidRPr="00B114EF">
        <w:rPr>
          <w:b w:val="0"/>
          <w:bCs w:val="0"/>
          <w:iCs/>
          <w:sz w:val="24"/>
        </w:rPr>
        <w:t xml:space="preserve">percent of plans have an HMO option and that </w:t>
      </w:r>
      <w:r w:rsidR="00A171CF">
        <w:rPr>
          <w:b w:val="0"/>
          <w:bCs w:val="0"/>
          <w:iCs/>
          <w:sz w:val="24"/>
        </w:rPr>
        <w:t xml:space="preserve">31 </w:t>
      </w:r>
      <w:r w:rsidRPr="00B114EF">
        <w:rPr>
          <w:b w:val="0"/>
          <w:bCs w:val="0"/>
          <w:iCs/>
          <w:sz w:val="24"/>
        </w:rPr>
        <w:t xml:space="preserve">percent of plans offer a POS option. </w:t>
      </w:r>
      <w:r w:rsidR="00643681">
        <w:rPr>
          <w:b w:val="0"/>
          <w:bCs w:val="0"/>
          <w:iCs/>
          <w:sz w:val="24"/>
        </w:rPr>
        <w:t xml:space="preserve"> </w:t>
      </w:r>
      <w:r w:rsidR="00A4200B">
        <w:rPr>
          <w:b w:val="0"/>
          <w:bCs w:val="0"/>
          <w:iCs/>
          <w:sz w:val="24"/>
        </w:rPr>
        <w:t xml:space="preserve">Thus, the Department estimates that </w:t>
      </w:r>
      <w:r w:rsidR="00643681">
        <w:rPr>
          <w:b w:val="0"/>
          <w:bCs w:val="0"/>
          <w:iCs/>
          <w:sz w:val="24"/>
        </w:rPr>
        <w:t>8,481</w:t>
      </w:r>
      <w:r w:rsidR="00A4200B">
        <w:rPr>
          <w:b w:val="0"/>
          <w:bCs w:val="0"/>
          <w:iCs/>
          <w:sz w:val="24"/>
        </w:rPr>
        <w:t xml:space="preserve"> </w:t>
      </w:r>
      <w:r w:rsidRPr="00D6653C" w:rsidR="00D6653C">
        <w:rPr>
          <w:b w:val="0"/>
          <w:bCs w:val="0"/>
          <w:iCs/>
          <w:sz w:val="24"/>
        </w:rPr>
        <w:t>plans will lose grandfathered status in 2021 and incur the one-time cost to prepare and incorporate this notice in their existing plan document</w:t>
      </w:r>
      <w:r w:rsidR="00A4200B">
        <w:rPr>
          <w:b w:val="0"/>
          <w:bCs w:val="0"/>
          <w:iCs/>
          <w:sz w:val="24"/>
        </w:rPr>
        <w:t>.</w:t>
      </w:r>
      <w:r w:rsidRPr="00E547C5" w:rsidR="00A4200B">
        <w:rPr>
          <w:rStyle w:val="FootnoteReference"/>
          <w:b w:val="0"/>
          <w:bCs w:val="0"/>
          <w:iCs/>
          <w:sz w:val="24"/>
          <w:vertAlign w:val="superscript"/>
        </w:rPr>
        <w:footnoteReference w:id="2"/>
      </w:r>
      <w:r w:rsidR="00A4200B">
        <w:rPr>
          <w:b w:val="0"/>
          <w:bCs w:val="0"/>
          <w:iCs/>
          <w:sz w:val="24"/>
        </w:rPr>
        <w:t xml:space="preserve"> </w:t>
      </w:r>
      <w:r w:rsidR="00F816B7">
        <w:rPr>
          <w:b w:val="0"/>
          <w:bCs w:val="0"/>
          <w:iCs/>
          <w:sz w:val="24"/>
        </w:rPr>
        <w:t xml:space="preserve"> </w:t>
      </w:r>
      <w:r w:rsidRPr="00A12A44" w:rsidR="00A12A44">
        <w:rPr>
          <w:b w:val="0"/>
          <w:bCs w:val="0"/>
          <w:iCs/>
          <w:sz w:val="24"/>
        </w:rPr>
        <w:t xml:space="preserve">In 2022, the remaining </w:t>
      </w:r>
      <w:r w:rsidR="00643681">
        <w:rPr>
          <w:b w:val="0"/>
          <w:bCs w:val="0"/>
          <w:iCs/>
          <w:sz w:val="24"/>
        </w:rPr>
        <w:t>161,148</w:t>
      </w:r>
      <w:r w:rsidR="00F816B7">
        <w:rPr>
          <w:b w:val="0"/>
          <w:bCs w:val="0"/>
          <w:iCs/>
          <w:sz w:val="24"/>
        </w:rPr>
        <w:t xml:space="preserve"> </w:t>
      </w:r>
      <w:r w:rsidRPr="00A12A44" w:rsidR="00A12A44">
        <w:rPr>
          <w:b w:val="0"/>
          <w:bCs w:val="0"/>
          <w:iCs/>
          <w:sz w:val="24"/>
        </w:rPr>
        <w:t>such grandfathered plans will be subject to this notice requirement.</w:t>
      </w:r>
      <w:r w:rsidRPr="00BB238A" w:rsidR="00BB238A">
        <w:rPr>
          <w:rStyle w:val="FootnoteReference"/>
          <w:b w:val="0"/>
          <w:bCs w:val="0"/>
          <w:iCs/>
          <w:sz w:val="24"/>
          <w:vertAlign w:val="superscript"/>
        </w:rPr>
        <w:footnoteReference w:id="3"/>
      </w:r>
      <w:r w:rsidR="00601F80">
        <w:rPr>
          <w:b w:val="0"/>
          <w:bCs w:val="0"/>
          <w:iCs/>
          <w:sz w:val="24"/>
        </w:rPr>
        <w:t xml:space="preserve"> </w:t>
      </w:r>
      <w:r w:rsidRPr="00BB238A" w:rsidR="00A12A44">
        <w:rPr>
          <w:b w:val="0"/>
          <w:bCs w:val="0"/>
          <w:iCs/>
          <w:sz w:val="24"/>
          <w:vertAlign w:val="superscript"/>
        </w:rPr>
        <w:t xml:space="preserve"> </w:t>
      </w:r>
      <w:r w:rsidRPr="00601F80" w:rsidR="00601F80">
        <w:rPr>
          <w:b w:val="0"/>
          <w:bCs w:val="0"/>
          <w:iCs/>
          <w:sz w:val="24"/>
          <w:szCs w:val="24"/>
        </w:rPr>
        <w:t>There will be no additional costs in 2023 to prepare the notice, since all plans and issuers will have incurred the cost by 2022.</w:t>
      </w:r>
    </w:p>
    <w:p w:rsidR="00601F80" w:rsidP="00D715B5" w:rsidRDefault="00601F80" w14:paraId="62FF2D3E" w14:textId="77777777">
      <w:pPr>
        <w:widowControl/>
        <w:tabs>
          <w:tab w:val="left" w:pos="-1440"/>
        </w:tabs>
        <w:ind w:left="720"/>
        <w:rPr>
          <w:b w:val="0"/>
          <w:bCs w:val="0"/>
          <w:iCs/>
          <w:sz w:val="24"/>
        </w:rPr>
      </w:pPr>
    </w:p>
    <w:p w:rsidR="00B114EF" w:rsidP="00D715B5" w:rsidRDefault="00B114EF" w14:paraId="7277860D" w14:textId="77777777">
      <w:pPr>
        <w:widowControl/>
        <w:tabs>
          <w:tab w:val="left" w:pos="-1440"/>
        </w:tabs>
        <w:ind w:left="720"/>
        <w:rPr>
          <w:b w:val="0"/>
          <w:bCs w:val="0"/>
          <w:iCs/>
          <w:sz w:val="24"/>
        </w:rPr>
      </w:pPr>
      <w:r w:rsidRPr="00B114EF">
        <w:rPr>
          <w:b w:val="0"/>
          <w:bCs w:val="0"/>
          <w:iCs/>
          <w:sz w:val="24"/>
        </w:rPr>
        <w:t>While not all HMO and POS options require the designation of a primary care physician or a prior authorization or referral before a woman can visit an OB/GYN, the Department is unable to estimate this number.</w:t>
      </w:r>
      <w:r w:rsidR="000F19D1">
        <w:rPr>
          <w:b w:val="0"/>
          <w:bCs w:val="0"/>
          <w:iCs/>
          <w:sz w:val="24"/>
        </w:rPr>
        <w:t xml:space="preserve">  </w:t>
      </w:r>
      <w:r w:rsidRPr="00B114EF">
        <w:rPr>
          <w:b w:val="0"/>
          <w:bCs w:val="0"/>
          <w:iCs/>
          <w:sz w:val="24"/>
        </w:rPr>
        <w:t>Therefore, these estimates should be considered an overestimate of the number of affected entities.</w:t>
      </w:r>
    </w:p>
    <w:p w:rsidR="00667501" w:rsidP="006734ED" w:rsidRDefault="00667501" w14:paraId="6E5E9B74" w14:textId="77777777">
      <w:pPr>
        <w:widowControl/>
        <w:tabs>
          <w:tab w:val="left" w:pos="-1440"/>
        </w:tabs>
        <w:ind w:left="720"/>
        <w:rPr>
          <w:iCs/>
        </w:rPr>
      </w:pPr>
    </w:p>
    <w:p w:rsidRPr="00667501" w:rsidR="00667501" w:rsidP="006734ED" w:rsidRDefault="00667501" w14:paraId="3E7E9F5C" w14:textId="77777777">
      <w:pPr>
        <w:widowControl/>
        <w:tabs>
          <w:tab w:val="left" w:pos="-1440"/>
        </w:tabs>
        <w:ind w:left="720"/>
        <w:rPr>
          <w:b w:val="0"/>
          <w:bCs w:val="0"/>
          <w:iCs/>
          <w:sz w:val="24"/>
          <w:szCs w:val="24"/>
        </w:rPr>
      </w:pPr>
      <w:r w:rsidRPr="00667501">
        <w:rPr>
          <w:b w:val="0"/>
          <w:iCs/>
          <w:sz w:val="24"/>
          <w:szCs w:val="24"/>
        </w:rPr>
        <w:t xml:space="preserve">The </w:t>
      </w:r>
      <w:r w:rsidR="009B11BC">
        <w:rPr>
          <w:b w:val="0"/>
          <w:iCs/>
          <w:sz w:val="24"/>
          <w:szCs w:val="24"/>
        </w:rPr>
        <w:t xml:space="preserve">2015 </w:t>
      </w:r>
      <w:r w:rsidRPr="00667501">
        <w:rPr>
          <w:b w:val="0"/>
          <w:iCs/>
          <w:sz w:val="24"/>
          <w:szCs w:val="24"/>
        </w:rPr>
        <w:t>final regulations require that a plan or issuer may not impose any copayment or coinsurance requirement for out-of-network emergency services that is more restrictive than the copayment or coinsurance requirement that would apply if the services were provided in network.  If State law prohibits balance billing, or a plan or issuer is contractually responsible for any amounts balanced billed by an out-of-network emergency services provider, the a plan or issuer must provide an enrollee or beneficiary adequate and prominent notice of their lack of financial responsibility with respect to amounts balanced billed in order to prevent inadvertent payment by an enrollee or beneficiary.  This information should already be routinely included in the Explanation of Benefit documents sent by plans and issuers to enrollees and beneficiaries.  Therefore, in accordance with the implementing regulations of the P</w:t>
      </w:r>
      <w:r w:rsidR="00CA373C">
        <w:rPr>
          <w:b w:val="0"/>
          <w:iCs/>
          <w:sz w:val="24"/>
          <w:szCs w:val="24"/>
        </w:rPr>
        <w:t xml:space="preserve">aperwork </w:t>
      </w:r>
      <w:r w:rsidRPr="00667501">
        <w:rPr>
          <w:b w:val="0"/>
          <w:iCs/>
          <w:sz w:val="24"/>
          <w:szCs w:val="24"/>
        </w:rPr>
        <w:t>R</w:t>
      </w:r>
      <w:r w:rsidR="00CA373C">
        <w:rPr>
          <w:b w:val="0"/>
          <w:iCs/>
          <w:sz w:val="24"/>
          <w:szCs w:val="24"/>
        </w:rPr>
        <w:t xml:space="preserve">eduction </w:t>
      </w:r>
      <w:r w:rsidRPr="00667501">
        <w:rPr>
          <w:b w:val="0"/>
          <w:iCs/>
          <w:sz w:val="24"/>
          <w:szCs w:val="24"/>
        </w:rPr>
        <w:t>A</w:t>
      </w:r>
      <w:r w:rsidR="00CA373C">
        <w:rPr>
          <w:b w:val="0"/>
          <w:iCs/>
          <w:sz w:val="24"/>
          <w:szCs w:val="24"/>
        </w:rPr>
        <w:t>ct</w:t>
      </w:r>
      <w:r w:rsidRPr="00667501">
        <w:rPr>
          <w:b w:val="0"/>
          <w:iCs/>
          <w:sz w:val="24"/>
          <w:szCs w:val="24"/>
        </w:rPr>
        <w:t xml:space="preserve"> at 5 CFR 1320.3(b)(2), we believe this is a usual and customary business practice.  Plans and issues routinely provide enrollees and beneficiaries with the Explanation of Benefit documents.</w:t>
      </w:r>
      <w:r w:rsidR="00E24A23">
        <w:rPr>
          <w:b w:val="0"/>
          <w:iCs/>
          <w:sz w:val="24"/>
          <w:szCs w:val="24"/>
        </w:rPr>
        <w:t xml:space="preserve">  </w:t>
      </w:r>
      <w:r w:rsidRPr="00E24A23" w:rsidR="00E24A23">
        <w:rPr>
          <w:b w:val="0"/>
          <w:iCs/>
          <w:sz w:val="24"/>
          <w:szCs w:val="24"/>
        </w:rPr>
        <w:t>Plans and issuers will no longer be required to provide this notice for plan years beginning on or after January 1, 2022.</w:t>
      </w:r>
    </w:p>
    <w:p w:rsidR="0015731A" w:rsidP="006734ED" w:rsidRDefault="0015731A" w14:paraId="1AB46DC2" w14:textId="77777777">
      <w:pPr>
        <w:widowControl/>
        <w:tabs>
          <w:tab w:val="left" w:pos="-1440"/>
        </w:tabs>
        <w:ind w:left="720"/>
        <w:rPr>
          <w:b w:val="0"/>
          <w:bCs w:val="0"/>
          <w:iCs/>
          <w:sz w:val="24"/>
        </w:rPr>
      </w:pPr>
    </w:p>
    <w:p w:rsidR="00601F80" w:rsidP="006734ED" w:rsidRDefault="0015731A" w14:paraId="16E35D15" w14:textId="759B6D10">
      <w:pPr>
        <w:widowControl/>
        <w:tabs>
          <w:tab w:val="left" w:pos="-1440"/>
        </w:tabs>
        <w:ind w:left="720"/>
        <w:rPr>
          <w:b w:val="0"/>
          <w:bCs w:val="0"/>
          <w:iCs/>
          <w:sz w:val="24"/>
        </w:rPr>
      </w:pPr>
      <w:r>
        <w:rPr>
          <w:b w:val="0"/>
          <w:bCs w:val="0"/>
          <w:iCs/>
          <w:sz w:val="24"/>
        </w:rPr>
        <w:t xml:space="preserve">Each of the plans will require a compensation and benefits manager to spend 10 minutes </w:t>
      </w:r>
      <w:r w:rsidR="00765BE7">
        <w:rPr>
          <w:b w:val="0"/>
          <w:bCs w:val="0"/>
          <w:iCs/>
          <w:sz w:val="24"/>
        </w:rPr>
        <w:t>individualizing the model notice to fit the plan’s specifications at an hourly rate of $</w:t>
      </w:r>
      <w:r w:rsidR="00F8646E">
        <w:rPr>
          <w:b w:val="0"/>
          <w:bCs w:val="0"/>
          <w:iCs/>
          <w:sz w:val="24"/>
        </w:rPr>
        <w:t>134.21</w:t>
      </w:r>
      <w:r w:rsidR="00765BE7">
        <w:rPr>
          <w:b w:val="0"/>
          <w:bCs w:val="0"/>
          <w:iCs/>
          <w:sz w:val="24"/>
        </w:rPr>
        <w:t>.</w:t>
      </w:r>
      <w:r w:rsidRPr="00DA6128" w:rsidR="00B36E2E">
        <w:rPr>
          <w:rStyle w:val="FootnoteReference"/>
          <w:b w:val="0"/>
          <w:bCs w:val="0"/>
          <w:iCs/>
          <w:sz w:val="24"/>
          <w:vertAlign w:val="superscript"/>
        </w:rPr>
        <w:footnoteReference w:id="4"/>
      </w:r>
      <w:r w:rsidR="0046316B">
        <w:rPr>
          <w:b w:val="0"/>
          <w:bCs w:val="0"/>
          <w:iCs/>
          <w:sz w:val="24"/>
        </w:rPr>
        <w:t xml:space="preserve">  </w:t>
      </w:r>
      <w:r w:rsidR="00601F80">
        <w:rPr>
          <w:b w:val="0"/>
          <w:bCs w:val="0"/>
          <w:iCs/>
          <w:sz w:val="24"/>
        </w:rPr>
        <w:t>In 2021</w:t>
      </w:r>
      <w:r w:rsidR="00F8646E">
        <w:rPr>
          <w:b w:val="0"/>
          <w:bCs w:val="0"/>
          <w:iCs/>
          <w:sz w:val="24"/>
        </w:rPr>
        <w:t>, t</w:t>
      </w:r>
      <w:r w:rsidR="0046316B">
        <w:rPr>
          <w:b w:val="0"/>
          <w:bCs w:val="0"/>
          <w:iCs/>
          <w:sz w:val="24"/>
        </w:rPr>
        <w:t xml:space="preserve">his results in </w:t>
      </w:r>
      <w:r w:rsidR="009346E0">
        <w:rPr>
          <w:b w:val="0"/>
          <w:bCs w:val="0"/>
          <w:iCs/>
          <w:sz w:val="24"/>
        </w:rPr>
        <w:t>1,41</w:t>
      </w:r>
      <w:r w:rsidR="00601F80">
        <w:rPr>
          <w:b w:val="0"/>
          <w:bCs w:val="0"/>
          <w:iCs/>
          <w:sz w:val="24"/>
        </w:rPr>
        <w:t>4</w:t>
      </w:r>
      <w:r w:rsidR="0046316B">
        <w:rPr>
          <w:b w:val="0"/>
          <w:bCs w:val="0"/>
          <w:iCs/>
          <w:sz w:val="24"/>
        </w:rPr>
        <w:t xml:space="preserve"> hours of burden at an equivalent cost of</w:t>
      </w:r>
      <w:r w:rsidR="00F8646E">
        <w:rPr>
          <w:b w:val="0"/>
          <w:bCs w:val="0"/>
          <w:iCs/>
          <w:sz w:val="24"/>
        </w:rPr>
        <w:t xml:space="preserve"> </w:t>
      </w:r>
      <w:r w:rsidR="0046316B">
        <w:rPr>
          <w:b w:val="0"/>
          <w:bCs w:val="0"/>
          <w:iCs/>
          <w:sz w:val="24"/>
        </w:rPr>
        <w:t>$</w:t>
      </w:r>
      <w:r w:rsidRPr="009346E0" w:rsidR="009346E0">
        <w:rPr>
          <w:b w:val="0"/>
          <w:bCs w:val="0"/>
          <w:iCs/>
          <w:sz w:val="24"/>
        </w:rPr>
        <w:t>189,716</w:t>
      </w:r>
      <w:r w:rsidR="0046316B">
        <w:rPr>
          <w:b w:val="0"/>
          <w:bCs w:val="0"/>
          <w:iCs/>
          <w:sz w:val="24"/>
        </w:rPr>
        <w:t xml:space="preserve">.  </w:t>
      </w:r>
      <w:r w:rsidR="00601F80">
        <w:rPr>
          <w:b w:val="0"/>
          <w:bCs w:val="0"/>
          <w:iCs/>
          <w:sz w:val="24"/>
        </w:rPr>
        <w:t xml:space="preserve">In 2022, </w:t>
      </w:r>
      <w:r w:rsidRPr="00601F80" w:rsidR="00601F80">
        <w:rPr>
          <w:b w:val="0"/>
          <w:bCs w:val="0"/>
          <w:iCs/>
          <w:sz w:val="24"/>
        </w:rPr>
        <w:t xml:space="preserve">this results in </w:t>
      </w:r>
      <w:r w:rsidRPr="009346E0" w:rsidR="009346E0">
        <w:rPr>
          <w:b w:val="0"/>
          <w:bCs w:val="0"/>
          <w:iCs/>
          <w:sz w:val="24"/>
        </w:rPr>
        <w:t xml:space="preserve">26,858 </w:t>
      </w:r>
      <w:r w:rsidRPr="00601F80" w:rsidR="00601F80">
        <w:rPr>
          <w:b w:val="0"/>
          <w:bCs w:val="0"/>
          <w:iCs/>
          <w:sz w:val="24"/>
        </w:rPr>
        <w:t>hours of burden at an equivalent cost of</w:t>
      </w:r>
      <w:r w:rsidRPr="00601F80" w:rsidR="00601F80">
        <w:t xml:space="preserve"> </w:t>
      </w:r>
      <w:r w:rsidRPr="009346E0" w:rsidR="009346E0">
        <w:rPr>
          <w:b w:val="0"/>
          <w:bCs w:val="0"/>
          <w:iCs/>
          <w:sz w:val="24"/>
        </w:rPr>
        <w:t>$3,604,602</w:t>
      </w:r>
      <w:r w:rsidR="00601F80">
        <w:rPr>
          <w:b w:val="0"/>
          <w:bCs w:val="0"/>
          <w:iCs/>
          <w:sz w:val="24"/>
        </w:rPr>
        <w:t xml:space="preserve">. </w:t>
      </w:r>
      <w:r w:rsidR="004F340B">
        <w:rPr>
          <w:b w:val="0"/>
          <w:bCs w:val="0"/>
          <w:iCs/>
          <w:sz w:val="24"/>
        </w:rPr>
        <w:t xml:space="preserve"> </w:t>
      </w:r>
    </w:p>
    <w:p w:rsidR="00601F80" w:rsidP="006734ED" w:rsidRDefault="00601F80" w14:paraId="2B76AB8C" w14:textId="77777777">
      <w:pPr>
        <w:widowControl/>
        <w:tabs>
          <w:tab w:val="left" w:pos="-1440"/>
        </w:tabs>
        <w:ind w:left="720"/>
        <w:rPr>
          <w:b w:val="0"/>
          <w:bCs w:val="0"/>
          <w:iCs/>
          <w:sz w:val="24"/>
        </w:rPr>
      </w:pPr>
    </w:p>
    <w:p w:rsidRPr="00601F80" w:rsidR="00601F80" w:rsidP="00601F80" w:rsidRDefault="0046316B" w14:paraId="029FE730" w14:textId="4A535997">
      <w:pPr>
        <w:widowControl/>
        <w:tabs>
          <w:tab w:val="left" w:pos="-1440"/>
        </w:tabs>
        <w:ind w:left="720"/>
        <w:rPr>
          <w:b w:val="0"/>
          <w:iCs/>
          <w:sz w:val="24"/>
        </w:rPr>
      </w:pPr>
      <w:r>
        <w:rPr>
          <w:b w:val="0"/>
          <w:bCs w:val="0"/>
          <w:iCs/>
          <w:sz w:val="24"/>
        </w:rPr>
        <w:t>Each plan will also require clerical staff to spend 5 minutes adding the notice to the plan’s documents at an hourly rate of $</w:t>
      </w:r>
      <w:r w:rsidR="00F8646E">
        <w:rPr>
          <w:b w:val="0"/>
          <w:bCs w:val="0"/>
          <w:iCs/>
          <w:sz w:val="24"/>
        </w:rPr>
        <w:t>55.14</w:t>
      </w:r>
      <w:r>
        <w:rPr>
          <w:b w:val="0"/>
          <w:bCs w:val="0"/>
          <w:iCs/>
          <w:sz w:val="24"/>
        </w:rPr>
        <w:t>.</w:t>
      </w:r>
      <w:r w:rsidR="00E939A6">
        <w:rPr>
          <w:b w:val="0"/>
          <w:bCs w:val="0"/>
          <w:iCs/>
          <w:sz w:val="24"/>
        </w:rPr>
        <w:t xml:space="preserve">  </w:t>
      </w:r>
      <w:r w:rsidR="00601F80">
        <w:rPr>
          <w:b w:val="0"/>
          <w:bCs w:val="0"/>
          <w:iCs/>
          <w:sz w:val="24"/>
        </w:rPr>
        <w:t>In 2021, t</w:t>
      </w:r>
      <w:r w:rsidR="00E939A6">
        <w:rPr>
          <w:b w:val="0"/>
          <w:bCs w:val="0"/>
          <w:iCs/>
          <w:sz w:val="24"/>
        </w:rPr>
        <w:t xml:space="preserve">his results in </w:t>
      </w:r>
      <w:r w:rsidR="005261DE">
        <w:rPr>
          <w:b w:val="0"/>
          <w:bCs w:val="0"/>
          <w:iCs/>
          <w:sz w:val="24"/>
        </w:rPr>
        <w:t xml:space="preserve">approximately </w:t>
      </w:r>
      <w:r w:rsidRPr="009346E0" w:rsidR="009346E0">
        <w:rPr>
          <w:b w:val="0"/>
          <w:bCs w:val="0"/>
          <w:iCs/>
          <w:sz w:val="24"/>
        </w:rPr>
        <w:t xml:space="preserve">707 </w:t>
      </w:r>
      <w:r w:rsidR="00E939A6">
        <w:rPr>
          <w:b w:val="0"/>
          <w:bCs w:val="0"/>
          <w:iCs/>
          <w:sz w:val="24"/>
        </w:rPr>
        <w:t xml:space="preserve">hours of burden at an equivalent cost of </w:t>
      </w:r>
      <w:r w:rsidRPr="009346E0" w:rsidR="009346E0">
        <w:rPr>
          <w:b w:val="0"/>
          <w:bCs w:val="0"/>
          <w:iCs/>
          <w:sz w:val="24"/>
        </w:rPr>
        <w:t>$38,972</w:t>
      </w:r>
      <w:r w:rsidR="00E939A6">
        <w:rPr>
          <w:b w:val="0"/>
          <w:bCs w:val="0"/>
          <w:iCs/>
          <w:sz w:val="24"/>
        </w:rPr>
        <w:t>.</w:t>
      </w:r>
      <w:r w:rsidR="00601F80">
        <w:rPr>
          <w:b w:val="0"/>
          <w:bCs w:val="0"/>
          <w:iCs/>
          <w:sz w:val="24"/>
        </w:rPr>
        <w:t xml:space="preserve">  In 2022, this results in </w:t>
      </w:r>
      <w:r w:rsidRPr="009346E0" w:rsidR="009346E0">
        <w:rPr>
          <w:b w:val="0"/>
          <w:bCs w:val="0"/>
          <w:iCs/>
          <w:sz w:val="24"/>
        </w:rPr>
        <w:t xml:space="preserve">13,429 </w:t>
      </w:r>
      <w:r w:rsidR="00601F80">
        <w:rPr>
          <w:b w:val="0"/>
          <w:bCs w:val="0"/>
          <w:iCs/>
          <w:sz w:val="24"/>
        </w:rPr>
        <w:t xml:space="preserve">hours of burden at an equivalent cost of </w:t>
      </w:r>
      <w:r w:rsidRPr="00FD304A" w:rsidR="00601F80">
        <w:rPr>
          <w:b w:val="0"/>
          <w:iCs/>
          <w:sz w:val="24"/>
        </w:rPr>
        <w:t>$</w:t>
      </w:r>
      <w:r w:rsidRPr="009346E0" w:rsidR="009346E0">
        <w:rPr>
          <w:b w:val="0"/>
          <w:iCs/>
          <w:sz w:val="24"/>
        </w:rPr>
        <w:t>740,473</w:t>
      </w:r>
      <w:r w:rsidR="00601F80">
        <w:rPr>
          <w:b w:val="0"/>
          <w:iCs/>
          <w:sz w:val="24"/>
        </w:rPr>
        <w:t xml:space="preserve">. </w:t>
      </w:r>
      <w:r w:rsidR="000148E1">
        <w:rPr>
          <w:b w:val="0"/>
          <w:iCs/>
          <w:sz w:val="24"/>
        </w:rPr>
        <w:t xml:space="preserve"> </w:t>
      </w:r>
    </w:p>
    <w:p w:rsidR="00CC7C51" w:rsidP="00601F80" w:rsidRDefault="00CC7C51" w14:paraId="4B74E14C" w14:textId="77777777">
      <w:pPr>
        <w:widowControl/>
        <w:tabs>
          <w:tab w:val="left" w:pos="-1440"/>
        </w:tabs>
        <w:rPr>
          <w:b w:val="0"/>
          <w:bCs w:val="0"/>
          <w:iCs/>
          <w:sz w:val="24"/>
        </w:rPr>
      </w:pPr>
    </w:p>
    <w:p w:rsidR="0015731A" w:rsidP="006734ED" w:rsidRDefault="00601F80" w14:paraId="5DF3F7AD" w14:textId="77777777">
      <w:pPr>
        <w:widowControl/>
        <w:tabs>
          <w:tab w:val="left" w:pos="-1440"/>
        </w:tabs>
        <w:ind w:left="720"/>
        <w:rPr>
          <w:b w:val="0"/>
          <w:bCs w:val="0"/>
          <w:iCs/>
          <w:sz w:val="24"/>
        </w:rPr>
      </w:pPr>
      <w:r>
        <w:rPr>
          <w:b w:val="0"/>
          <w:bCs w:val="0"/>
          <w:iCs/>
          <w:sz w:val="24"/>
        </w:rPr>
        <w:t>In 2021, t</w:t>
      </w:r>
      <w:r w:rsidR="00E939A6">
        <w:rPr>
          <w:b w:val="0"/>
          <w:bCs w:val="0"/>
          <w:iCs/>
          <w:sz w:val="24"/>
        </w:rPr>
        <w:t xml:space="preserve">he total burden associated with this ICR is </w:t>
      </w:r>
      <w:r w:rsidRPr="009346E0" w:rsidR="009346E0">
        <w:rPr>
          <w:b w:val="0"/>
          <w:bCs w:val="0"/>
          <w:iCs/>
          <w:sz w:val="24"/>
        </w:rPr>
        <w:t>2,120</w:t>
      </w:r>
      <w:r w:rsidR="009346E0">
        <w:rPr>
          <w:b w:val="0"/>
          <w:bCs w:val="0"/>
          <w:iCs/>
          <w:sz w:val="24"/>
        </w:rPr>
        <w:t xml:space="preserve"> </w:t>
      </w:r>
      <w:r w:rsidR="00E939A6">
        <w:rPr>
          <w:b w:val="0"/>
          <w:bCs w:val="0"/>
          <w:iCs/>
          <w:sz w:val="24"/>
        </w:rPr>
        <w:t xml:space="preserve">hours at an equivalent cost of </w:t>
      </w:r>
      <w:r w:rsidRPr="00601F80">
        <w:rPr>
          <w:b w:val="0"/>
          <w:bCs w:val="0"/>
          <w:iCs/>
          <w:sz w:val="24"/>
        </w:rPr>
        <w:t>$</w:t>
      </w:r>
      <w:r w:rsidRPr="009346E0" w:rsidR="009346E0">
        <w:rPr>
          <w:b w:val="0"/>
          <w:bCs w:val="0"/>
          <w:iCs/>
          <w:sz w:val="24"/>
        </w:rPr>
        <w:t>228,688</w:t>
      </w:r>
      <w:r w:rsidR="00E939A6">
        <w:rPr>
          <w:b w:val="0"/>
          <w:bCs w:val="0"/>
          <w:iCs/>
          <w:sz w:val="24"/>
        </w:rPr>
        <w:t>.</w:t>
      </w:r>
      <w:r>
        <w:rPr>
          <w:b w:val="0"/>
          <w:bCs w:val="0"/>
          <w:iCs/>
          <w:sz w:val="24"/>
        </w:rPr>
        <w:t xml:space="preserve">  </w:t>
      </w:r>
      <w:r w:rsidRPr="00601F80">
        <w:rPr>
          <w:b w:val="0"/>
          <w:bCs w:val="0"/>
          <w:iCs/>
          <w:sz w:val="24"/>
        </w:rPr>
        <w:t>In 202</w:t>
      </w:r>
      <w:r>
        <w:rPr>
          <w:b w:val="0"/>
          <w:bCs w:val="0"/>
          <w:iCs/>
          <w:sz w:val="24"/>
        </w:rPr>
        <w:t>2</w:t>
      </w:r>
      <w:r w:rsidRPr="00601F80">
        <w:rPr>
          <w:b w:val="0"/>
          <w:bCs w:val="0"/>
          <w:iCs/>
          <w:sz w:val="24"/>
        </w:rPr>
        <w:t xml:space="preserve">, the total burden associated with this ICR is </w:t>
      </w:r>
      <w:r w:rsidRPr="007F0348" w:rsidR="007F0348">
        <w:rPr>
          <w:b w:val="0"/>
          <w:bCs w:val="0"/>
          <w:iCs/>
          <w:sz w:val="24"/>
        </w:rPr>
        <w:t>40,287</w:t>
      </w:r>
      <w:r w:rsidR="007F0348">
        <w:rPr>
          <w:b w:val="0"/>
          <w:bCs w:val="0"/>
          <w:iCs/>
          <w:sz w:val="24"/>
        </w:rPr>
        <w:t xml:space="preserve"> </w:t>
      </w:r>
      <w:r w:rsidRPr="00601F80">
        <w:rPr>
          <w:b w:val="0"/>
          <w:bCs w:val="0"/>
          <w:iCs/>
          <w:sz w:val="24"/>
        </w:rPr>
        <w:t xml:space="preserve">hours at an equivalent cost of </w:t>
      </w:r>
      <w:r>
        <w:rPr>
          <w:b w:val="0"/>
          <w:bCs w:val="0"/>
          <w:iCs/>
          <w:sz w:val="24"/>
        </w:rPr>
        <w:t>$</w:t>
      </w:r>
      <w:r w:rsidRPr="009346E0" w:rsidR="009346E0">
        <w:rPr>
          <w:b w:val="0"/>
          <w:bCs w:val="0"/>
          <w:iCs/>
          <w:sz w:val="24"/>
        </w:rPr>
        <w:t>4,345,075</w:t>
      </w:r>
      <w:r w:rsidRPr="00601F80">
        <w:rPr>
          <w:b w:val="0"/>
          <w:bCs w:val="0"/>
          <w:iCs/>
          <w:sz w:val="24"/>
        </w:rPr>
        <w:t>.</w:t>
      </w:r>
      <w:r>
        <w:rPr>
          <w:b w:val="0"/>
          <w:bCs w:val="0"/>
          <w:iCs/>
          <w:sz w:val="24"/>
        </w:rPr>
        <w:t xml:space="preserve">  </w:t>
      </w:r>
      <w:r w:rsidR="00CC7C51">
        <w:rPr>
          <w:b w:val="0"/>
          <w:bCs w:val="0"/>
          <w:iCs/>
          <w:sz w:val="24"/>
        </w:rPr>
        <w:t xml:space="preserve">The Department shares this burden equally with the Department of the Treasury.  Therefore, the </w:t>
      </w:r>
      <w:r>
        <w:rPr>
          <w:b w:val="0"/>
          <w:bCs w:val="0"/>
          <w:iCs/>
          <w:sz w:val="24"/>
        </w:rPr>
        <w:t xml:space="preserve">three-year average </w:t>
      </w:r>
      <w:r w:rsidR="00CC7C51">
        <w:rPr>
          <w:b w:val="0"/>
          <w:bCs w:val="0"/>
          <w:iCs/>
          <w:sz w:val="24"/>
        </w:rPr>
        <w:t xml:space="preserve">prorated share of the burden for DOL is </w:t>
      </w:r>
      <w:r w:rsidR="005261DE">
        <w:rPr>
          <w:b w:val="0"/>
          <w:bCs w:val="0"/>
          <w:iCs/>
          <w:sz w:val="24"/>
        </w:rPr>
        <w:t xml:space="preserve">approximately </w:t>
      </w:r>
      <w:r w:rsidRPr="007F0348" w:rsidR="007F0348">
        <w:rPr>
          <w:b w:val="0"/>
          <w:bCs w:val="0"/>
          <w:iCs/>
          <w:sz w:val="24"/>
        </w:rPr>
        <w:t>7,068</w:t>
      </w:r>
      <w:r w:rsidR="007F0348">
        <w:rPr>
          <w:b w:val="0"/>
          <w:bCs w:val="0"/>
          <w:iCs/>
          <w:sz w:val="24"/>
        </w:rPr>
        <w:t xml:space="preserve"> </w:t>
      </w:r>
      <w:r w:rsidR="005261DE">
        <w:rPr>
          <w:b w:val="0"/>
          <w:bCs w:val="0"/>
          <w:iCs/>
          <w:sz w:val="24"/>
        </w:rPr>
        <w:t xml:space="preserve">hours at an equivalent cost of </w:t>
      </w:r>
      <w:r w:rsidRPr="009346E0" w:rsidR="009346E0">
        <w:rPr>
          <w:b w:val="0"/>
          <w:bCs w:val="0"/>
          <w:iCs/>
          <w:sz w:val="24"/>
        </w:rPr>
        <w:t>$762,294</w:t>
      </w:r>
      <w:r w:rsidR="005261DE">
        <w:rPr>
          <w:b w:val="0"/>
          <w:bCs w:val="0"/>
          <w:iCs/>
          <w:sz w:val="24"/>
        </w:rPr>
        <w:t>.</w:t>
      </w:r>
    </w:p>
    <w:p w:rsidR="00584A89" w:rsidP="006734ED" w:rsidRDefault="00584A89" w14:paraId="73719B3C" w14:textId="77777777">
      <w:pPr>
        <w:widowControl/>
        <w:tabs>
          <w:tab w:val="left" w:pos="-1440"/>
        </w:tabs>
        <w:ind w:left="720"/>
        <w:rPr>
          <w:b w:val="0"/>
          <w:bCs w:val="0"/>
          <w:iCs/>
          <w:sz w:val="24"/>
        </w:rPr>
      </w:pPr>
    </w:p>
    <w:p w:rsidR="00584A89" w:rsidP="00FD304A" w:rsidRDefault="00584A89" w14:paraId="685D4282" w14:textId="77777777">
      <w:pPr>
        <w:widowControl/>
        <w:tabs>
          <w:tab w:val="left" w:pos="-1440"/>
        </w:tabs>
        <w:ind w:left="720"/>
        <w:jc w:val="center"/>
        <w:rPr>
          <w:b w:val="0"/>
          <w:bCs w:val="0"/>
          <w:iCs/>
          <w:sz w:val="24"/>
        </w:rPr>
      </w:pPr>
      <w:r w:rsidRPr="00584A89">
        <w:rPr>
          <w:iCs/>
          <w:sz w:val="24"/>
        </w:rPr>
        <w:t>Estimated Annualized Respondent Cost and Hour Burden</w:t>
      </w:r>
    </w:p>
    <w:p w:rsidR="00992B40" w:rsidP="006734ED" w:rsidRDefault="00992B40" w14:paraId="5CCD5CDA" w14:textId="77777777">
      <w:pPr>
        <w:widowControl/>
        <w:tabs>
          <w:tab w:val="left" w:pos="-1440"/>
        </w:tabs>
        <w:ind w:left="720"/>
        <w:rPr>
          <w:b w:val="0"/>
          <w:bCs w:val="0"/>
          <w:iCs/>
          <w:sz w:val="24"/>
        </w:rPr>
      </w:pPr>
    </w:p>
    <w:tbl>
      <w:tblPr>
        <w:tblW w:w="9795" w:type="dxa"/>
        <w:tblInd w:w="682"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1765"/>
        <w:gridCol w:w="1253"/>
        <w:gridCol w:w="1212"/>
        <w:gridCol w:w="990"/>
        <w:gridCol w:w="1204"/>
        <w:gridCol w:w="1015"/>
        <w:gridCol w:w="1094"/>
        <w:gridCol w:w="1262"/>
      </w:tblGrid>
      <w:tr w:rsidRPr="00506BAC" w:rsidR="00992B40" w:rsidTr="00992B40" w14:paraId="7F598198" w14:textId="77777777">
        <w:trPr>
          <w:trHeight w:val="885"/>
        </w:trPr>
        <w:tc>
          <w:tcPr>
            <w:tcW w:w="1765"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506BAC" w:rsidR="00992B40" w:rsidP="00B54D1E" w:rsidRDefault="00992B40" w14:paraId="4D6FF90D" w14:textId="77777777">
            <w:pPr>
              <w:jc w:val="center"/>
              <w:textAlignment w:val="baseline"/>
              <w:rPr>
                <w:sz w:val="24"/>
                <w:szCs w:val="24"/>
              </w:rPr>
            </w:pPr>
            <w:r w:rsidRPr="00506BAC">
              <w:t>Activity </w:t>
            </w:r>
          </w:p>
        </w:tc>
        <w:tc>
          <w:tcPr>
            <w:tcW w:w="1253"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506BAC" w:rsidR="00992B40" w:rsidP="00B54D1E" w:rsidRDefault="00992B40" w14:paraId="5BB24A1A" w14:textId="77777777">
            <w:pPr>
              <w:jc w:val="center"/>
              <w:textAlignment w:val="baseline"/>
              <w:rPr>
                <w:sz w:val="24"/>
                <w:szCs w:val="24"/>
              </w:rPr>
            </w:pPr>
            <w:r w:rsidRPr="00506BAC">
              <w:t>No. of Respondents</w:t>
            </w:r>
          </w:p>
        </w:tc>
        <w:tc>
          <w:tcPr>
            <w:tcW w:w="1212"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506BAC" w:rsidR="00992B40" w:rsidP="00992B40" w:rsidRDefault="00992B40" w14:paraId="61D1B43D" w14:textId="77777777">
            <w:pPr>
              <w:textAlignment w:val="baseline"/>
            </w:pPr>
            <w:r>
              <w:t xml:space="preserve">      </w:t>
            </w:r>
            <w:r w:rsidRPr="00506BAC">
              <w:t xml:space="preserve">No. of </w:t>
            </w:r>
            <w:r>
              <w:t xml:space="preserve">     </w:t>
            </w:r>
            <w:r w:rsidRPr="00506BAC">
              <w:t xml:space="preserve">Responses </w:t>
            </w:r>
          </w:p>
          <w:p w:rsidRPr="00506BAC" w:rsidR="00992B40" w:rsidP="00B54D1E" w:rsidRDefault="00992B40" w14:paraId="44FC7E79" w14:textId="77777777">
            <w:pPr>
              <w:jc w:val="center"/>
              <w:textAlignment w:val="baseline"/>
            </w:pPr>
            <w:r w:rsidRPr="00506BAC">
              <w:t>per </w:t>
            </w:r>
          </w:p>
          <w:p w:rsidRPr="00506BAC" w:rsidR="00992B40" w:rsidP="00B54D1E" w:rsidRDefault="00992B40" w14:paraId="258CBA88" w14:textId="77777777">
            <w:pPr>
              <w:jc w:val="center"/>
              <w:textAlignment w:val="baseline"/>
              <w:rPr>
                <w:sz w:val="24"/>
                <w:szCs w:val="24"/>
              </w:rPr>
            </w:pPr>
            <w:r w:rsidRPr="00506BAC">
              <w:t>Respondent </w:t>
            </w:r>
          </w:p>
        </w:tc>
        <w:tc>
          <w:tcPr>
            <w:tcW w:w="990"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506BAC" w:rsidR="00992B40" w:rsidP="00B54D1E" w:rsidRDefault="00992B40" w14:paraId="22DCAD54" w14:textId="77777777">
            <w:pPr>
              <w:jc w:val="center"/>
              <w:textAlignment w:val="baseline"/>
              <w:rPr>
                <w:sz w:val="24"/>
                <w:szCs w:val="24"/>
              </w:rPr>
            </w:pPr>
            <w:r w:rsidRPr="00506BAC">
              <w:t>Total Responses</w:t>
            </w:r>
          </w:p>
        </w:tc>
        <w:tc>
          <w:tcPr>
            <w:tcW w:w="1204"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506BAC" w:rsidR="00992B40" w:rsidP="00B54D1E" w:rsidRDefault="00992B40" w14:paraId="06F232A8" w14:textId="77777777">
            <w:pPr>
              <w:jc w:val="center"/>
              <w:textAlignment w:val="baseline"/>
              <w:rPr>
                <w:sz w:val="24"/>
                <w:szCs w:val="24"/>
              </w:rPr>
            </w:pPr>
            <w:r w:rsidRPr="00506BAC">
              <w:t>Average Burden (Hours) </w:t>
            </w:r>
          </w:p>
        </w:tc>
        <w:tc>
          <w:tcPr>
            <w:tcW w:w="1015"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506BAC" w:rsidR="00992B40" w:rsidP="00B54D1E" w:rsidRDefault="00992B40" w14:paraId="148E00EB" w14:textId="77777777">
            <w:pPr>
              <w:jc w:val="center"/>
              <w:textAlignment w:val="baseline"/>
              <w:rPr>
                <w:sz w:val="24"/>
                <w:szCs w:val="24"/>
              </w:rPr>
            </w:pPr>
            <w:r w:rsidRPr="00506BAC">
              <w:t>Total Burden (Hours) </w:t>
            </w:r>
          </w:p>
        </w:tc>
        <w:tc>
          <w:tcPr>
            <w:tcW w:w="1094"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506BAC" w:rsidR="00992B40" w:rsidP="00B54D1E" w:rsidRDefault="00992B40" w14:paraId="26C5FF74" w14:textId="77777777">
            <w:pPr>
              <w:jc w:val="center"/>
              <w:textAlignment w:val="baseline"/>
              <w:rPr>
                <w:sz w:val="24"/>
                <w:szCs w:val="24"/>
              </w:rPr>
            </w:pPr>
            <w:r w:rsidRPr="00506BAC">
              <w:t>Hourly </w:t>
            </w:r>
          </w:p>
          <w:p w:rsidRPr="00506BAC" w:rsidR="00992B40" w:rsidP="00B54D1E" w:rsidRDefault="00992B40" w14:paraId="14E5D4F1" w14:textId="77777777">
            <w:pPr>
              <w:jc w:val="center"/>
              <w:textAlignment w:val="baseline"/>
              <w:rPr>
                <w:sz w:val="24"/>
                <w:szCs w:val="24"/>
              </w:rPr>
            </w:pPr>
            <w:r w:rsidRPr="00506BAC">
              <w:t>Wage Rate </w:t>
            </w:r>
          </w:p>
        </w:tc>
        <w:tc>
          <w:tcPr>
            <w:tcW w:w="1262"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506BAC" w:rsidR="00992B40" w:rsidP="00B54D1E" w:rsidRDefault="00992B40" w14:paraId="5026E62F" w14:textId="77777777">
            <w:pPr>
              <w:jc w:val="center"/>
              <w:textAlignment w:val="baseline"/>
              <w:rPr>
                <w:sz w:val="24"/>
                <w:szCs w:val="24"/>
              </w:rPr>
            </w:pPr>
            <w:r w:rsidRPr="00506BAC">
              <w:t>Total Burden Cost </w:t>
            </w:r>
          </w:p>
        </w:tc>
      </w:tr>
      <w:tr w:rsidRPr="00506BAC" w:rsidR="00992B40" w:rsidTr="00992B40" w14:paraId="2B42B1DA"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992B40" w:rsidR="00992B40" w:rsidP="00683F65" w:rsidRDefault="00683F65" w14:paraId="27CDB355" w14:textId="77777777">
            <w:pPr>
              <w:textAlignment w:val="baseline"/>
              <w:rPr>
                <w:b w:val="0"/>
              </w:rPr>
            </w:pPr>
            <w:r>
              <w:rPr>
                <w:b w:val="0"/>
              </w:rPr>
              <w:t>Compensation and benefits manager draft n</w:t>
            </w:r>
            <w:r w:rsidRPr="00992B40" w:rsidR="00992B40">
              <w:rPr>
                <w:b w:val="0"/>
              </w:rPr>
              <w:t>otice (2021)</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D4116C" w:rsidR="00992B40" w:rsidP="00B54D1E" w:rsidRDefault="00E4400D" w14:paraId="19659B53" w14:textId="77777777">
            <w:pPr>
              <w:jc w:val="center"/>
              <w:textAlignment w:val="baseline"/>
              <w:rPr>
                <w:b w:val="0"/>
              </w:rPr>
            </w:pPr>
            <w:r w:rsidRPr="00E4400D">
              <w:rPr>
                <w:b w:val="0"/>
              </w:rPr>
              <w:t>8,481</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E72CA4" w14:paraId="6A0471A7" w14:textId="77777777">
            <w:pPr>
              <w:jc w:val="center"/>
              <w:textAlignment w:val="baseline"/>
              <w:rPr>
                <w:b w:val="0"/>
              </w:rPr>
            </w:pPr>
            <w:r w:rsidRPr="00E72CA4">
              <w:rPr>
                <w:b w:val="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E4400D" w14:paraId="4788FDD7" w14:textId="77777777">
            <w:pPr>
              <w:jc w:val="center"/>
              <w:textAlignment w:val="baseline"/>
              <w:rPr>
                <w:b w:val="0"/>
              </w:rPr>
            </w:pPr>
            <w:r w:rsidRPr="00E4400D">
              <w:rPr>
                <w:b w:val="0"/>
              </w:rPr>
              <w:t>8,481</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E434B0" w14:paraId="6D7F09B4" w14:textId="77777777">
            <w:pPr>
              <w:jc w:val="center"/>
              <w:textAlignment w:val="baseline"/>
              <w:rPr>
                <w:b w:val="0"/>
              </w:rPr>
            </w:pPr>
            <w:r>
              <w:rPr>
                <w:b w:val="0"/>
              </w:rPr>
              <w:t>10/60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E4400D" w14:paraId="3DA42E1C" w14:textId="77777777">
            <w:pPr>
              <w:jc w:val="center"/>
              <w:textAlignment w:val="baseline"/>
              <w:rPr>
                <w:b w:val="0"/>
              </w:rPr>
            </w:pPr>
            <w:r w:rsidRPr="00E4400D">
              <w:rPr>
                <w:b w:val="0"/>
              </w:rPr>
              <w:t>1,414</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941FA3" w14:paraId="5E89BB6A" w14:textId="77777777">
            <w:pPr>
              <w:jc w:val="center"/>
              <w:textAlignment w:val="baseline"/>
              <w:rPr>
                <w:b w:val="0"/>
              </w:rPr>
            </w:pPr>
            <w:r>
              <w:rPr>
                <w:b w:val="0"/>
              </w:rPr>
              <w:t>$134.21</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E4400D" w14:paraId="64E7CA24" w14:textId="77777777">
            <w:pPr>
              <w:jc w:val="center"/>
              <w:textAlignment w:val="baseline"/>
              <w:rPr>
                <w:b w:val="0"/>
              </w:rPr>
            </w:pPr>
            <w:r w:rsidRPr="00E4400D">
              <w:rPr>
                <w:b w:val="0"/>
              </w:rPr>
              <w:t>$189,716</w:t>
            </w:r>
          </w:p>
        </w:tc>
      </w:tr>
      <w:tr w:rsidRPr="00506BAC" w:rsidR="00992B40" w:rsidTr="00992B40" w14:paraId="036278AE"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992B40" w:rsidR="00992B40" w:rsidP="00B508FE" w:rsidRDefault="00A67A12" w14:paraId="38ADCBD1" w14:textId="77777777">
            <w:pPr>
              <w:textAlignment w:val="baseline"/>
              <w:rPr>
                <w:b w:val="0"/>
              </w:rPr>
            </w:pPr>
            <w:r>
              <w:rPr>
                <w:b w:val="0"/>
              </w:rPr>
              <w:t xml:space="preserve">Clerical staff insert </w:t>
            </w:r>
            <w:r w:rsidR="00B508FE">
              <w:rPr>
                <w:b w:val="0"/>
              </w:rPr>
              <w:t>n</w:t>
            </w:r>
            <w:r>
              <w:rPr>
                <w:b w:val="0"/>
              </w:rPr>
              <w:t>otice into existing d</w:t>
            </w:r>
            <w:r w:rsidRPr="00992B40" w:rsidR="00992B40">
              <w:rPr>
                <w:b w:val="0"/>
              </w:rPr>
              <w:t>ocumentation (2021)</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506BAC" w:rsidR="00992B40" w:rsidP="00B54D1E" w:rsidRDefault="00E4400D" w14:paraId="7E70DFAC" w14:textId="77777777">
            <w:pPr>
              <w:jc w:val="center"/>
              <w:textAlignment w:val="baseline"/>
            </w:pPr>
            <w:r w:rsidRPr="00E4400D">
              <w:rPr>
                <w:b w:val="0"/>
              </w:rPr>
              <w:t>8,481</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E72CA4" w14:paraId="4B41C604" w14:textId="77777777">
            <w:pPr>
              <w:jc w:val="center"/>
              <w:textAlignment w:val="baseline"/>
              <w:rPr>
                <w:b w:val="0"/>
              </w:rPr>
            </w:pPr>
            <w:r>
              <w:rPr>
                <w:b w:val="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E4400D" w14:paraId="35565D19" w14:textId="77777777">
            <w:pPr>
              <w:jc w:val="center"/>
              <w:textAlignment w:val="baseline"/>
              <w:rPr>
                <w:b w:val="0"/>
              </w:rPr>
            </w:pPr>
            <w:r w:rsidRPr="00E4400D">
              <w:rPr>
                <w:b w:val="0"/>
              </w:rPr>
              <w:t>8,481</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E434B0" w14:paraId="4D3E5329" w14:textId="77777777">
            <w:pPr>
              <w:jc w:val="center"/>
              <w:textAlignment w:val="baseline"/>
              <w:rPr>
                <w:b w:val="0"/>
              </w:rPr>
            </w:pPr>
            <w:r>
              <w:rPr>
                <w:b w:val="0"/>
              </w:rPr>
              <w:t>5/60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E4400D" w14:paraId="6B0925E2" w14:textId="77777777">
            <w:pPr>
              <w:jc w:val="center"/>
              <w:textAlignment w:val="baseline"/>
              <w:rPr>
                <w:b w:val="0"/>
              </w:rPr>
            </w:pPr>
            <w:r w:rsidRPr="00E4400D">
              <w:rPr>
                <w:b w:val="0"/>
              </w:rPr>
              <w:t>707</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941FA3" w14:paraId="58FF2EB5" w14:textId="77777777">
            <w:pPr>
              <w:jc w:val="center"/>
              <w:textAlignment w:val="baseline"/>
              <w:rPr>
                <w:b w:val="0"/>
              </w:rPr>
            </w:pPr>
            <w:r>
              <w:rPr>
                <w:b w:val="0"/>
              </w:rPr>
              <w:t>$55.14</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E4400D" w14:paraId="50AFCD44" w14:textId="77777777">
            <w:pPr>
              <w:jc w:val="center"/>
              <w:textAlignment w:val="baseline"/>
              <w:rPr>
                <w:b w:val="0"/>
              </w:rPr>
            </w:pPr>
            <w:r w:rsidRPr="00E4400D">
              <w:rPr>
                <w:b w:val="0"/>
              </w:rPr>
              <w:t>$38,972</w:t>
            </w:r>
          </w:p>
        </w:tc>
      </w:tr>
      <w:tr w:rsidRPr="00506BAC" w:rsidR="00992B40" w:rsidTr="00992B40" w14:paraId="5351D538"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992B40" w:rsidR="00992B40" w:rsidP="00B54D1E" w:rsidRDefault="00683F65" w14:paraId="73BC6FEB" w14:textId="77777777">
            <w:pPr>
              <w:textAlignment w:val="baseline"/>
              <w:rPr>
                <w:b w:val="0"/>
              </w:rPr>
            </w:pPr>
            <w:r w:rsidRPr="00683F65">
              <w:rPr>
                <w:b w:val="0"/>
              </w:rPr>
              <w:t xml:space="preserve">Compensation and benefits manager draft notice </w:t>
            </w:r>
            <w:r w:rsidRPr="00992B40" w:rsidR="00992B40">
              <w:rPr>
                <w:b w:val="0"/>
              </w:rPr>
              <w:t>(2022)</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D4116C" w:rsidR="00992B40" w:rsidP="00B54D1E" w:rsidRDefault="00E4400D" w14:paraId="1F1E79DE" w14:textId="77777777">
            <w:pPr>
              <w:jc w:val="center"/>
              <w:textAlignment w:val="baseline"/>
              <w:rPr>
                <w:b w:val="0"/>
              </w:rPr>
            </w:pPr>
            <w:r w:rsidRPr="00E4400D">
              <w:rPr>
                <w:b w:val="0"/>
              </w:rPr>
              <w:t>161,148</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E72CA4" w14:paraId="6F35F7E9" w14:textId="77777777">
            <w:pPr>
              <w:jc w:val="center"/>
              <w:textAlignment w:val="baseline"/>
              <w:rPr>
                <w:b w:val="0"/>
              </w:rPr>
            </w:pPr>
            <w:r>
              <w:rPr>
                <w:b w:val="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E4400D" w14:paraId="0474A3AE" w14:textId="77777777">
            <w:pPr>
              <w:jc w:val="center"/>
              <w:textAlignment w:val="baseline"/>
              <w:rPr>
                <w:b w:val="0"/>
              </w:rPr>
            </w:pPr>
            <w:r w:rsidRPr="00E4400D">
              <w:rPr>
                <w:b w:val="0"/>
              </w:rPr>
              <w:t>161,148</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651AE6" w14:paraId="09B7EB68" w14:textId="77777777">
            <w:pPr>
              <w:jc w:val="center"/>
              <w:textAlignment w:val="baseline"/>
              <w:rPr>
                <w:b w:val="0"/>
              </w:rPr>
            </w:pPr>
            <w:r>
              <w:rPr>
                <w:b w:val="0"/>
              </w:rPr>
              <w:t>10/60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E4400D" w14:paraId="6FCEBA2A" w14:textId="77777777">
            <w:pPr>
              <w:jc w:val="center"/>
              <w:textAlignment w:val="baseline"/>
              <w:rPr>
                <w:b w:val="0"/>
              </w:rPr>
            </w:pPr>
            <w:r w:rsidRPr="00E4400D">
              <w:rPr>
                <w:b w:val="0"/>
              </w:rPr>
              <w:t>26,858</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941FA3" w14:paraId="68C8BEBD" w14:textId="77777777">
            <w:pPr>
              <w:jc w:val="center"/>
              <w:textAlignment w:val="baseline"/>
              <w:rPr>
                <w:b w:val="0"/>
              </w:rPr>
            </w:pPr>
            <w:r>
              <w:rPr>
                <w:b w:val="0"/>
              </w:rPr>
              <w:t>$134.21</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E4400D" w14:paraId="784A3EA2" w14:textId="77777777">
            <w:pPr>
              <w:jc w:val="center"/>
              <w:textAlignment w:val="baseline"/>
              <w:rPr>
                <w:b w:val="0"/>
              </w:rPr>
            </w:pPr>
            <w:r w:rsidRPr="00E4400D">
              <w:rPr>
                <w:b w:val="0"/>
              </w:rPr>
              <w:t>$3,604,602</w:t>
            </w:r>
          </w:p>
        </w:tc>
      </w:tr>
      <w:tr w:rsidRPr="00506BAC" w:rsidR="00992B40" w:rsidTr="00992B40" w14:paraId="6B7FD454"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992B40" w:rsidR="00992B40" w:rsidP="00A67A12" w:rsidRDefault="00A67A12" w14:paraId="056DB5AA" w14:textId="77777777">
            <w:pPr>
              <w:textAlignment w:val="baseline"/>
              <w:rPr>
                <w:b w:val="0"/>
              </w:rPr>
            </w:pPr>
            <w:r>
              <w:rPr>
                <w:b w:val="0"/>
              </w:rPr>
              <w:t>Clerical staff i</w:t>
            </w:r>
            <w:r w:rsidRPr="00992B40" w:rsidR="00992B40">
              <w:rPr>
                <w:b w:val="0"/>
              </w:rPr>
              <w:t>nser</w:t>
            </w:r>
            <w:r>
              <w:rPr>
                <w:b w:val="0"/>
              </w:rPr>
              <w:t>t notice into existing d</w:t>
            </w:r>
            <w:r w:rsidRPr="00992B40" w:rsidR="00992B40">
              <w:rPr>
                <w:b w:val="0"/>
              </w:rPr>
              <w:t>ocumentation (2022)</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D4116C" w:rsidR="00992B40" w:rsidP="00B54D1E" w:rsidRDefault="00E4400D" w14:paraId="5CDEF8F2" w14:textId="77777777">
            <w:pPr>
              <w:jc w:val="center"/>
              <w:textAlignment w:val="baseline"/>
              <w:rPr>
                <w:b w:val="0"/>
              </w:rPr>
            </w:pPr>
            <w:r w:rsidRPr="00E4400D">
              <w:rPr>
                <w:b w:val="0"/>
              </w:rPr>
              <w:t>161,148</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E72CA4" w14:paraId="710152F9" w14:textId="77777777">
            <w:pPr>
              <w:jc w:val="center"/>
              <w:textAlignment w:val="baseline"/>
              <w:rPr>
                <w:b w:val="0"/>
              </w:rPr>
            </w:pPr>
            <w:r>
              <w:rPr>
                <w:b w:val="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E4400D" w14:paraId="5AD90C59" w14:textId="77777777">
            <w:pPr>
              <w:jc w:val="center"/>
              <w:textAlignment w:val="baseline"/>
              <w:rPr>
                <w:b w:val="0"/>
              </w:rPr>
            </w:pPr>
            <w:r w:rsidRPr="00E4400D">
              <w:rPr>
                <w:b w:val="0"/>
              </w:rPr>
              <w:t>161,148</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E434B0" w14:paraId="53BB8FC4" w14:textId="77777777">
            <w:pPr>
              <w:jc w:val="center"/>
              <w:textAlignment w:val="baseline"/>
              <w:rPr>
                <w:b w:val="0"/>
              </w:rPr>
            </w:pPr>
            <w:r>
              <w:rPr>
                <w:b w:val="0"/>
              </w:rPr>
              <w:t>5/60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E4400D" w14:paraId="5D873F72" w14:textId="77777777">
            <w:pPr>
              <w:jc w:val="center"/>
              <w:textAlignment w:val="baseline"/>
              <w:rPr>
                <w:b w:val="0"/>
              </w:rPr>
            </w:pPr>
            <w:r w:rsidRPr="00E4400D">
              <w:rPr>
                <w:b w:val="0"/>
              </w:rPr>
              <w:t>13,429</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941FA3" w14:paraId="2899F22D" w14:textId="77777777">
            <w:pPr>
              <w:jc w:val="center"/>
              <w:textAlignment w:val="baseline"/>
              <w:rPr>
                <w:b w:val="0"/>
              </w:rPr>
            </w:pPr>
            <w:r>
              <w:rPr>
                <w:b w:val="0"/>
              </w:rPr>
              <w:t>$55.14</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E4400D" w14:paraId="34EC6231" w14:textId="77777777">
            <w:pPr>
              <w:jc w:val="center"/>
              <w:textAlignment w:val="baseline"/>
              <w:rPr>
                <w:b w:val="0"/>
              </w:rPr>
            </w:pPr>
            <w:r w:rsidRPr="00E4400D">
              <w:rPr>
                <w:b w:val="0"/>
              </w:rPr>
              <w:t>$740,473</w:t>
            </w:r>
          </w:p>
        </w:tc>
      </w:tr>
      <w:tr w:rsidRPr="00506BAC" w:rsidR="00992B40" w:rsidTr="00992B40" w14:paraId="613224BF"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506BAC" w:rsidR="00992B40" w:rsidP="00B54D1E" w:rsidRDefault="00992B40" w14:paraId="22019540" w14:textId="77777777">
            <w:pPr>
              <w:textAlignment w:val="baseline"/>
            </w:pPr>
            <w:r w:rsidRPr="00506BAC">
              <w:t>Total (3-year average)*</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941FA3" w:rsidR="00992B40" w:rsidP="00B54D1E" w:rsidRDefault="009E402B" w14:paraId="31C7801C" w14:textId="77777777">
            <w:pPr>
              <w:jc w:val="center"/>
              <w:textAlignment w:val="baseline"/>
              <w:rPr>
                <w:b w:val="0"/>
              </w:rPr>
            </w:pPr>
            <w:r w:rsidRPr="009E402B">
              <w:rPr>
                <w:b w:val="0"/>
              </w:rPr>
              <w:t>56,543</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9E402B" w:rsidRDefault="00992B40" w14:paraId="4D8A6D11" w14:textId="753E4E81">
            <w:pPr>
              <w:jc w:val="center"/>
              <w:textAlignment w:val="baseline"/>
              <w:rPr>
                <w:b w:val="0"/>
              </w:rPr>
            </w:pP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203B19" w14:paraId="5286F62C" w14:textId="77777777">
            <w:pPr>
              <w:jc w:val="center"/>
              <w:textAlignment w:val="baseline"/>
              <w:rPr>
                <w:b w:val="0"/>
              </w:rPr>
            </w:pPr>
            <w:r w:rsidRPr="00203B19">
              <w:rPr>
                <w:b w:val="0"/>
              </w:rPr>
              <w:t>256,262</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203B19" w:rsidRDefault="00992B40" w14:paraId="1E9EDD63" w14:textId="6E12E9F9">
            <w:pPr>
              <w:jc w:val="center"/>
              <w:textAlignment w:val="baseline"/>
              <w:rPr>
                <w:b w:val="0"/>
              </w:rPr>
            </w:pP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7D31C2" w14:paraId="4F9FEBEA" w14:textId="77777777">
            <w:pPr>
              <w:jc w:val="center"/>
              <w:textAlignment w:val="baseline"/>
              <w:rPr>
                <w:b w:val="0"/>
              </w:rPr>
            </w:pPr>
            <w:r w:rsidRPr="007D31C2">
              <w:rPr>
                <w:b w:val="0"/>
              </w:rPr>
              <w:t>7,068</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036592" w14:paraId="452A5EC0" w14:textId="77777777">
            <w:pPr>
              <w:jc w:val="center"/>
              <w:textAlignment w:val="baseline"/>
              <w:rPr>
                <w:b w:val="0"/>
              </w:rPr>
            </w:pPr>
            <w:r>
              <w:rPr>
                <w:b w:val="0"/>
              </w:rPr>
              <w:t>-</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E72CA4" w:rsidR="00992B40" w:rsidP="00B54D1E" w:rsidRDefault="00203B19" w14:paraId="0581D76D" w14:textId="77777777">
            <w:pPr>
              <w:jc w:val="center"/>
              <w:textAlignment w:val="baseline"/>
              <w:rPr>
                <w:b w:val="0"/>
              </w:rPr>
            </w:pPr>
            <w:r w:rsidRPr="00203B19">
              <w:rPr>
                <w:b w:val="0"/>
              </w:rPr>
              <w:t>$762,294</w:t>
            </w:r>
          </w:p>
        </w:tc>
      </w:tr>
    </w:tbl>
    <w:p w:rsidR="00992B40" w:rsidP="007E3948" w:rsidRDefault="00C159A8" w14:paraId="5BB89D69" w14:textId="6EA83052">
      <w:pPr>
        <w:widowControl/>
        <w:tabs>
          <w:tab w:val="left" w:pos="-1440"/>
        </w:tabs>
        <w:ind w:left="720"/>
        <w:rPr>
          <w:b w:val="0"/>
          <w:bCs w:val="0"/>
          <w:iCs/>
          <w:sz w:val="24"/>
        </w:rPr>
      </w:pPr>
      <w:r>
        <w:rPr>
          <w:b w:val="0"/>
          <w:bCs w:val="0"/>
          <w:iCs/>
          <w:sz w:val="24"/>
        </w:rPr>
        <w:t xml:space="preserve">* </w:t>
      </w:r>
      <w:r w:rsidRPr="000641A7" w:rsidR="00537EA3">
        <w:rPr>
          <w:b w:val="0"/>
          <w:bCs w:val="0"/>
          <w:iCs/>
        </w:rPr>
        <w:t>Note: The Department estimates that there are 8,481 respondents in 2021, 161,148 respondents in 2022, and zero respondents in 2023.  Thus, the three-year average number of respondents is 56,543.</w:t>
      </w:r>
      <w:r w:rsidRPr="000641A7" w:rsidR="00537EA3">
        <w:rPr>
          <w:b w:val="0"/>
          <w:bCs w:val="0"/>
          <w:iCs/>
          <w:vertAlign w:val="superscript"/>
        </w:rPr>
        <w:footnoteReference w:id="5"/>
      </w:r>
      <w:r w:rsidRPr="000641A7" w:rsidR="00537EA3">
        <w:rPr>
          <w:b w:val="0"/>
          <w:bCs w:val="0"/>
          <w:iCs/>
        </w:rPr>
        <w:t xml:space="preserve">  The Department estimates that there are </w:t>
      </w:r>
      <w:r w:rsidRPr="000641A7" w:rsidR="00537EA3">
        <w:rPr>
          <w:b w:val="0"/>
          <w:iCs/>
        </w:rPr>
        <w:t>38,439 responses in 2021, 730,246 responses in 2022, and 0 and responses in 2023.</w:t>
      </w:r>
      <w:r w:rsidRPr="000641A7" w:rsidR="00537EA3">
        <w:rPr>
          <w:b w:val="0"/>
          <w:iCs/>
          <w:vertAlign w:val="superscript"/>
        </w:rPr>
        <w:footnoteReference w:id="6"/>
      </w:r>
      <w:r w:rsidRPr="000641A7" w:rsidR="00537EA3">
        <w:rPr>
          <w:b w:val="0"/>
          <w:iCs/>
          <w:vertAlign w:val="superscript"/>
        </w:rPr>
        <w:t xml:space="preserve">  </w:t>
      </w:r>
      <w:r w:rsidRPr="000641A7" w:rsidR="00537EA3">
        <w:rPr>
          <w:b w:val="0"/>
          <w:iCs/>
        </w:rPr>
        <w:t>Thus, the three-year average number of responses is 256,262.</w:t>
      </w:r>
    </w:p>
    <w:p w:rsidR="00EE2D93" w:rsidP="006734ED" w:rsidRDefault="00EE2D93" w14:paraId="547B9FCF" w14:textId="77777777">
      <w:pPr>
        <w:widowControl/>
        <w:tabs>
          <w:tab w:val="left" w:pos="-1440"/>
        </w:tabs>
        <w:ind w:left="720"/>
        <w:rPr>
          <w:b w:val="0"/>
          <w:bCs w:val="0"/>
          <w:iCs/>
          <w:sz w:val="24"/>
        </w:rPr>
      </w:pPr>
    </w:p>
    <w:p w:rsidRPr="00204E75" w:rsidR="00204E75" w:rsidP="00204E75" w:rsidRDefault="00A45DAD" w14:paraId="25AE99CC" w14:textId="77777777">
      <w:pPr>
        <w:numPr>
          <w:ilvl w:val="0"/>
          <w:numId w:val="41"/>
        </w:numPr>
        <w:ind w:hanging="720"/>
        <w:rPr>
          <w:iCs/>
          <w:color w:val="000000"/>
          <w:sz w:val="24"/>
          <w:szCs w:val="24"/>
        </w:rPr>
      </w:pPr>
      <w:r w:rsidRPr="00D006BD">
        <w:rPr>
          <w:iCs/>
          <w:color w:val="000000"/>
          <w:sz w:val="24"/>
          <w:szCs w:val="24"/>
        </w:rPr>
        <w:t>Provide an estimate of the total annual cost burden to respondents or record-keepers resulting from the collection of information.</w:t>
      </w:r>
      <w:r w:rsidRPr="00D006BD" w:rsidR="0008341C">
        <w:rPr>
          <w:iCs/>
          <w:color w:val="000000"/>
          <w:sz w:val="24"/>
          <w:szCs w:val="24"/>
        </w:rPr>
        <w:t xml:space="preserve"> </w:t>
      </w:r>
      <w:r w:rsidRPr="00D006BD">
        <w:rPr>
          <w:iCs/>
          <w:color w:val="000000"/>
          <w:sz w:val="24"/>
          <w:szCs w:val="24"/>
        </w:rPr>
        <w:t xml:space="preserve"> (Do not include the cost of any hour burden shown in Items 12.)</w:t>
      </w:r>
    </w:p>
    <w:p w:rsidRPr="00204E75" w:rsidR="00204E75" w:rsidP="00204E75" w:rsidRDefault="00204E75" w14:paraId="364EF988" w14:textId="77777777">
      <w:pPr>
        <w:pStyle w:val="Quick1"/>
        <w:numPr>
          <w:ilvl w:val="0"/>
          <w:numId w:val="48"/>
        </w:numPr>
        <w:rPr>
          <w:b w:val="0"/>
          <w:sz w:val="24"/>
          <w:szCs w:val="24"/>
        </w:rPr>
      </w:pPr>
      <w:r w:rsidRPr="00204E75">
        <w:rPr>
          <w:sz w:val="24"/>
          <w:szCs w:val="24"/>
        </w:rPr>
        <w:t>The cost estimate should be split into two components:  (a) a total capital and start 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204E75" w:rsidR="00204E75" w:rsidP="00204E75" w:rsidRDefault="00204E75" w14:paraId="0EC7A8C1" w14:textId="77777777">
      <w:pPr>
        <w:pStyle w:val="Quick1"/>
        <w:numPr>
          <w:ilvl w:val="0"/>
          <w:numId w:val="48"/>
        </w:numPr>
        <w:rPr>
          <w:b w:val="0"/>
          <w:sz w:val="24"/>
          <w:szCs w:val="24"/>
        </w:rPr>
      </w:pPr>
      <w:r w:rsidRPr="00204E75">
        <w:rPr>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204E75" w:rsidR="00204E75" w:rsidP="00204E75" w:rsidRDefault="00204E75" w14:paraId="1CA1BF7E" w14:textId="77777777">
      <w:pPr>
        <w:pStyle w:val="Quick1"/>
        <w:numPr>
          <w:ilvl w:val="0"/>
          <w:numId w:val="48"/>
        </w:numPr>
        <w:rPr>
          <w:b w:val="0"/>
          <w:sz w:val="24"/>
          <w:szCs w:val="24"/>
        </w:rPr>
      </w:pPr>
      <w:r w:rsidRPr="00204E75">
        <w:rPr>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B5A4E" w:rsidP="006734ED" w:rsidRDefault="00EB5A4E" w14:paraId="043C1447" w14:textId="77777777">
      <w:pPr>
        <w:widowControl/>
        <w:tabs>
          <w:tab w:val="left" w:pos="-1440"/>
        </w:tabs>
        <w:ind w:left="720"/>
        <w:rPr>
          <w:b w:val="0"/>
          <w:bCs w:val="0"/>
          <w:iCs/>
          <w:sz w:val="24"/>
        </w:rPr>
      </w:pPr>
    </w:p>
    <w:p w:rsidR="006F1E10" w:rsidP="006734ED" w:rsidRDefault="005D753E" w14:paraId="0FE2908F" w14:textId="77777777">
      <w:pPr>
        <w:widowControl/>
        <w:tabs>
          <w:tab w:val="left" w:pos="-1440"/>
        </w:tabs>
        <w:ind w:left="720"/>
        <w:rPr>
          <w:b w:val="0"/>
          <w:bCs w:val="0"/>
          <w:iCs/>
          <w:sz w:val="24"/>
        </w:rPr>
      </w:pPr>
      <w:r w:rsidRPr="005D753E">
        <w:rPr>
          <w:b w:val="0"/>
          <w:bCs w:val="0"/>
          <w:iCs/>
          <w:sz w:val="24"/>
        </w:rPr>
        <w:t>The Departments assume that only printing and material costs are associated with the disclosure requirement, because the</w:t>
      </w:r>
      <w:r w:rsidR="00CA373C">
        <w:rPr>
          <w:b w:val="0"/>
          <w:bCs w:val="0"/>
          <w:iCs/>
          <w:sz w:val="24"/>
        </w:rPr>
        <w:t xml:space="preserve"> interim</w:t>
      </w:r>
      <w:r w:rsidRPr="005D753E">
        <w:rPr>
          <w:b w:val="0"/>
          <w:bCs w:val="0"/>
          <w:iCs/>
          <w:sz w:val="24"/>
        </w:rPr>
        <w:t xml:space="preserve"> final regulations provide model language that can be incorporated into existing plan documents, such as an SPD.  The Departments estimate that the notice will require one-half of a page, five cents per page printing and material cost will be incurred, and </w:t>
      </w:r>
      <w:r w:rsidR="000C1F27">
        <w:rPr>
          <w:b w:val="0"/>
          <w:bCs w:val="0"/>
          <w:iCs/>
          <w:sz w:val="24"/>
        </w:rPr>
        <w:t>58.2</w:t>
      </w:r>
      <w:r w:rsidRPr="005D753E" w:rsidR="001E13AC">
        <w:rPr>
          <w:b w:val="0"/>
          <w:bCs w:val="0"/>
          <w:iCs/>
          <w:sz w:val="24"/>
        </w:rPr>
        <w:t xml:space="preserve"> </w:t>
      </w:r>
      <w:r w:rsidRPr="005D753E">
        <w:rPr>
          <w:b w:val="0"/>
          <w:bCs w:val="0"/>
          <w:iCs/>
          <w:sz w:val="24"/>
        </w:rPr>
        <w:t>percent of the notices will be delivered electronically.</w:t>
      </w:r>
      <w:r w:rsidRPr="00D348E9" w:rsidR="001E13AC">
        <w:rPr>
          <w:rStyle w:val="FootnoteReference"/>
          <w:b w:val="0"/>
          <w:bCs w:val="0"/>
          <w:iCs/>
          <w:sz w:val="24"/>
          <w:vertAlign w:val="superscript"/>
        </w:rPr>
        <w:footnoteReference w:id="7"/>
      </w:r>
    </w:p>
    <w:p w:rsidR="006F1E10" w:rsidP="006734ED" w:rsidRDefault="006F1E10" w14:paraId="01D06A3C" w14:textId="77777777">
      <w:pPr>
        <w:widowControl/>
        <w:tabs>
          <w:tab w:val="left" w:pos="-1440"/>
        </w:tabs>
        <w:ind w:left="720"/>
        <w:rPr>
          <w:b w:val="0"/>
          <w:bCs w:val="0"/>
          <w:iCs/>
          <w:sz w:val="24"/>
        </w:rPr>
      </w:pPr>
    </w:p>
    <w:p w:rsidRPr="002E6D89" w:rsidR="00B031EF" w:rsidP="006734ED" w:rsidRDefault="006F1E10" w14:paraId="338840B0" w14:textId="77777777">
      <w:pPr>
        <w:widowControl/>
        <w:tabs>
          <w:tab w:val="left" w:pos="-1440"/>
        </w:tabs>
        <w:ind w:left="720"/>
        <w:rPr>
          <w:b w:val="0"/>
          <w:bCs w:val="0"/>
          <w:iCs/>
          <w:sz w:val="24"/>
        </w:rPr>
      </w:pPr>
      <w:r w:rsidRPr="00B114EF">
        <w:rPr>
          <w:b w:val="0"/>
          <w:bCs w:val="0"/>
          <w:iCs/>
          <w:sz w:val="24"/>
        </w:rPr>
        <w:t>The Department estimate</w:t>
      </w:r>
      <w:r>
        <w:rPr>
          <w:b w:val="0"/>
          <w:bCs w:val="0"/>
          <w:iCs/>
          <w:sz w:val="24"/>
        </w:rPr>
        <w:t>s</w:t>
      </w:r>
      <w:r w:rsidRPr="00B114EF">
        <w:rPr>
          <w:b w:val="0"/>
          <w:bCs w:val="0"/>
          <w:iCs/>
          <w:sz w:val="24"/>
        </w:rPr>
        <w:t xml:space="preserve"> that there are </w:t>
      </w:r>
      <w:r w:rsidR="00855D0F">
        <w:rPr>
          <w:b w:val="0"/>
          <w:bCs w:val="0"/>
          <w:iCs/>
          <w:sz w:val="24"/>
        </w:rPr>
        <w:t>62.6</w:t>
      </w:r>
      <w:r>
        <w:rPr>
          <w:b w:val="0"/>
          <w:bCs w:val="0"/>
          <w:iCs/>
          <w:sz w:val="24"/>
        </w:rPr>
        <w:t xml:space="preserve"> million </w:t>
      </w:r>
      <w:r w:rsidRPr="00B114EF">
        <w:rPr>
          <w:b w:val="0"/>
          <w:bCs w:val="0"/>
          <w:iCs/>
          <w:sz w:val="24"/>
        </w:rPr>
        <w:t>ERISA-covered p</w:t>
      </w:r>
      <w:r>
        <w:rPr>
          <w:b w:val="0"/>
          <w:bCs w:val="0"/>
          <w:iCs/>
          <w:sz w:val="24"/>
        </w:rPr>
        <w:t>olicyholders</w:t>
      </w:r>
      <w:r w:rsidRPr="00B114EF">
        <w:rPr>
          <w:b w:val="0"/>
          <w:bCs w:val="0"/>
          <w:iCs/>
          <w:sz w:val="24"/>
        </w:rPr>
        <w:t xml:space="preserve">.  </w:t>
      </w:r>
      <w:r w:rsidRPr="00B114EF" w:rsidR="00F57B46">
        <w:rPr>
          <w:b w:val="0"/>
          <w:bCs w:val="0"/>
          <w:iCs/>
          <w:sz w:val="24"/>
        </w:rPr>
        <w:t>Data obtained from the 20</w:t>
      </w:r>
      <w:r w:rsidR="00F57B46">
        <w:rPr>
          <w:b w:val="0"/>
          <w:bCs w:val="0"/>
          <w:iCs/>
          <w:sz w:val="24"/>
        </w:rPr>
        <w:t>20</w:t>
      </w:r>
      <w:r w:rsidRPr="00B114EF" w:rsidR="00F57B46">
        <w:rPr>
          <w:b w:val="0"/>
          <w:bCs w:val="0"/>
          <w:iCs/>
          <w:sz w:val="24"/>
        </w:rPr>
        <w:t xml:space="preserve"> Kaiser/HRET Survey of Employer Sponsored Health Benefits </w:t>
      </w:r>
      <w:r w:rsidR="00F57B46">
        <w:rPr>
          <w:b w:val="0"/>
          <w:bCs w:val="0"/>
          <w:iCs/>
          <w:sz w:val="24"/>
        </w:rPr>
        <w:t xml:space="preserve">finds that </w:t>
      </w:r>
      <w:r w:rsidRPr="00FC32C4" w:rsidR="00F57B46">
        <w:rPr>
          <w:b w:val="0"/>
          <w:iCs/>
          <w:sz w:val="24"/>
        </w:rPr>
        <w:t xml:space="preserve">14 percent of covered workers are enrolled in a grandfathered plan.  </w:t>
      </w:r>
      <w:r>
        <w:rPr>
          <w:b w:val="0"/>
          <w:bCs w:val="0"/>
          <w:iCs/>
          <w:sz w:val="24"/>
        </w:rPr>
        <w:t>As stated in question 12, t</w:t>
      </w:r>
      <w:r w:rsidRPr="00B114EF">
        <w:rPr>
          <w:b w:val="0"/>
          <w:bCs w:val="0"/>
          <w:iCs/>
          <w:sz w:val="24"/>
        </w:rPr>
        <w:t xml:space="preserve">he Department </w:t>
      </w:r>
      <w:r>
        <w:rPr>
          <w:b w:val="0"/>
          <w:bCs w:val="0"/>
          <w:iCs/>
          <w:sz w:val="24"/>
        </w:rPr>
        <w:t>estimate</w:t>
      </w:r>
      <w:r w:rsidR="00FE5274">
        <w:rPr>
          <w:b w:val="0"/>
          <w:bCs w:val="0"/>
          <w:iCs/>
          <w:sz w:val="24"/>
        </w:rPr>
        <w:t>s</w:t>
      </w:r>
      <w:r>
        <w:rPr>
          <w:b w:val="0"/>
          <w:bCs w:val="0"/>
          <w:iCs/>
          <w:sz w:val="24"/>
        </w:rPr>
        <w:t xml:space="preserve"> that </w:t>
      </w:r>
      <w:r w:rsidR="000613CB">
        <w:rPr>
          <w:b w:val="0"/>
          <w:bCs w:val="0"/>
          <w:iCs/>
          <w:sz w:val="24"/>
        </w:rPr>
        <w:t>5</w:t>
      </w:r>
      <w:r>
        <w:rPr>
          <w:b w:val="0"/>
          <w:bCs w:val="0"/>
          <w:iCs/>
          <w:sz w:val="24"/>
        </w:rPr>
        <w:t xml:space="preserve"> percent of plans would relinquish their grandfathered status </w:t>
      </w:r>
      <w:r w:rsidR="000613CB">
        <w:rPr>
          <w:b w:val="0"/>
          <w:bCs w:val="0"/>
          <w:iCs/>
          <w:sz w:val="24"/>
        </w:rPr>
        <w:t xml:space="preserve">annually in </w:t>
      </w:r>
      <w:r w:rsidR="00855D0F">
        <w:rPr>
          <w:b w:val="0"/>
          <w:bCs w:val="0"/>
          <w:iCs/>
          <w:sz w:val="24"/>
        </w:rPr>
        <w:t>2021</w:t>
      </w:r>
      <w:r>
        <w:rPr>
          <w:b w:val="0"/>
          <w:bCs w:val="0"/>
          <w:iCs/>
          <w:sz w:val="24"/>
        </w:rPr>
        <w:t xml:space="preserve">.  </w:t>
      </w:r>
      <w:r w:rsidRPr="00FD304A" w:rsidR="00D55B53">
        <w:rPr>
          <w:b w:val="0"/>
          <w:iCs/>
          <w:sz w:val="24"/>
        </w:rPr>
        <w:t>The data from the 2020 Kaiser/HRET Survey of Employer Sponsored Health Benefits also</w:t>
      </w:r>
      <w:r w:rsidRPr="00D55B53" w:rsidR="00D55B53">
        <w:rPr>
          <w:b w:val="0"/>
          <w:bCs w:val="0"/>
          <w:iCs/>
          <w:sz w:val="24"/>
        </w:rPr>
        <w:t xml:space="preserve"> </w:t>
      </w:r>
      <w:r w:rsidRPr="00B114EF">
        <w:rPr>
          <w:b w:val="0"/>
          <w:bCs w:val="0"/>
          <w:iCs/>
          <w:sz w:val="24"/>
        </w:rPr>
        <w:t xml:space="preserve">finds that </w:t>
      </w:r>
      <w:r w:rsidR="00855D0F">
        <w:rPr>
          <w:b w:val="0"/>
          <w:bCs w:val="0"/>
          <w:iCs/>
          <w:sz w:val="24"/>
        </w:rPr>
        <w:t>13</w:t>
      </w:r>
      <w:r w:rsidRPr="00B114EF" w:rsidR="001E13AC">
        <w:rPr>
          <w:b w:val="0"/>
          <w:bCs w:val="0"/>
          <w:iCs/>
          <w:sz w:val="24"/>
        </w:rPr>
        <w:t xml:space="preserve"> </w:t>
      </w:r>
      <w:r w:rsidRPr="00B114EF">
        <w:rPr>
          <w:b w:val="0"/>
          <w:bCs w:val="0"/>
          <w:iCs/>
          <w:sz w:val="24"/>
        </w:rPr>
        <w:t xml:space="preserve">percent of </w:t>
      </w:r>
      <w:r w:rsidR="002F6B0D">
        <w:rPr>
          <w:b w:val="0"/>
          <w:bCs w:val="0"/>
          <w:iCs/>
          <w:sz w:val="24"/>
        </w:rPr>
        <w:t>covered workers</w:t>
      </w:r>
      <w:r w:rsidRPr="00B114EF">
        <w:rPr>
          <w:b w:val="0"/>
          <w:bCs w:val="0"/>
          <w:iCs/>
          <w:sz w:val="24"/>
        </w:rPr>
        <w:t xml:space="preserve"> have an HMO option and that </w:t>
      </w:r>
      <w:r w:rsidR="00855D0F">
        <w:rPr>
          <w:b w:val="0"/>
          <w:bCs w:val="0"/>
          <w:iCs/>
          <w:sz w:val="24"/>
        </w:rPr>
        <w:t>8</w:t>
      </w:r>
      <w:r w:rsidR="001E13AC">
        <w:rPr>
          <w:b w:val="0"/>
          <w:bCs w:val="0"/>
          <w:iCs/>
          <w:sz w:val="24"/>
        </w:rPr>
        <w:t xml:space="preserve"> </w:t>
      </w:r>
      <w:r w:rsidRPr="00B114EF">
        <w:rPr>
          <w:b w:val="0"/>
          <w:bCs w:val="0"/>
          <w:iCs/>
          <w:sz w:val="24"/>
        </w:rPr>
        <w:t xml:space="preserve">percent of </w:t>
      </w:r>
      <w:r w:rsidR="002F6B0D">
        <w:rPr>
          <w:b w:val="0"/>
          <w:bCs w:val="0"/>
          <w:iCs/>
          <w:sz w:val="24"/>
        </w:rPr>
        <w:t>covered workers have</w:t>
      </w:r>
      <w:r w:rsidRPr="00B114EF">
        <w:rPr>
          <w:b w:val="0"/>
          <w:bCs w:val="0"/>
          <w:iCs/>
          <w:sz w:val="24"/>
        </w:rPr>
        <w:t xml:space="preserve"> a POS option.  </w:t>
      </w:r>
      <w:r w:rsidR="00C448CF">
        <w:rPr>
          <w:b w:val="0"/>
          <w:bCs w:val="0"/>
          <w:iCs/>
          <w:sz w:val="24"/>
        </w:rPr>
        <w:t>T</w:t>
      </w:r>
      <w:r>
        <w:rPr>
          <w:b w:val="0"/>
          <w:bCs w:val="0"/>
          <w:iCs/>
          <w:sz w:val="24"/>
        </w:rPr>
        <w:t>he Department estimates that</w:t>
      </w:r>
      <w:r w:rsidR="00C448CF">
        <w:rPr>
          <w:b w:val="0"/>
          <w:bCs w:val="0"/>
          <w:iCs/>
          <w:sz w:val="24"/>
        </w:rPr>
        <w:t xml:space="preserve"> </w:t>
      </w:r>
      <w:r>
        <w:rPr>
          <w:b w:val="0"/>
          <w:bCs w:val="0"/>
          <w:iCs/>
          <w:sz w:val="24"/>
        </w:rPr>
        <w:t xml:space="preserve">plans will produce </w:t>
      </w:r>
      <w:r w:rsidRPr="00D05FF3" w:rsidR="00D05FF3">
        <w:rPr>
          <w:b w:val="0"/>
          <w:bCs w:val="0"/>
          <w:iCs/>
          <w:sz w:val="24"/>
        </w:rPr>
        <w:t>38,439</w:t>
      </w:r>
      <w:r w:rsidRPr="00D05FF3" w:rsidDel="00C448CF" w:rsidR="00D05FF3">
        <w:rPr>
          <w:b w:val="0"/>
          <w:bCs w:val="0"/>
          <w:iCs/>
          <w:sz w:val="24"/>
        </w:rPr>
        <w:t xml:space="preserve"> </w:t>
      </w:r>
      <w:r>
        <w:rPr>
          <w:b w:val="0"/>
          <w:bCs w:val="0"/>
          <w:iCs/>
          <w:sz w:val="24"/>
        </w:rPr>
        <w:t>notices</w:t>
      </w:r>
      <w:r w:rsidR="000C450F">
        <w:rPr>
          <w:b w:val="0"/>
          <w:bCs w:val="0"/>
          <w:iCs/>
          <w:sz w:val="24"/>
        </w:rPr>
        <w:t xml:space="preserve"> in 2021,</w:t>
      </w:r>
      <w:r w:rsidR="00C448CF">
        <w:rPr>
          <w:b w:val="0"/>
          <w:bCs w:val="0"/>
          <w:iCs/>
          <w:sz w:val="24"/>
        </w:rPr>
        <w:t xml:space="preserve"> </w:t>
      </w:r>
      <w:r w:rsidRPr="00D05FF3" w:rsidR="00D05FF3">
        <w:rPr>
          <w:b w:val="0"/>
          <w:bCs w:val="0"/>
          <w:iCs/>
          <w:sz w:val="24"/>
        </w:rPr>
        <w:t xml:space="preserve">730,346 </w:t>
      </w:r>
      <w:r w:rsidR="000C450F">
        <w:rPr>
          <w:b w:val="0"/>
          <w:bCs w:val="0"/>
          <w:iCs/>
          <w:sz w:val="24"/>
        </w:rPr>
        <w:t>notices in 2022, and zero notices in 2023</w:t>
      </w:r>
      <w:r>
        <w:rPr>
          <w:b w:val="0"/>
          <w:bCs w:val="0"/>
          <w:iCs/>
          <w:sz w:val="24"/>
        </w:rPr>
        <w:t>.</w:t>
      </w:r>
      <w:r w:rsidRPr="00E547C5">
        <w:rPr>
          <w:rStyle w:val="FootnoteReference"/>
          <w:b w:val="0"/>
          <w:bCs w:val="0"/>
          <w:iCs/>
          <w:sz w:val="24"/>
          <w:vertAlign w:val="superscript"/>
        </w:rPr>
        <w:footnoteReference w:id="8"/>
      </w:r>
      <w:r w:rsidR="00355D6B">
        <w:rPr>
          <w:b w:val="0"/>
          <w:bCs w:val="0"/>
          <w:iCs/>
          <w:sz w:val="24"/>
        </w:rPr>
        <w:t xml:space="preserve">  T</w:t>
      </w:r>
      <w:r w:rsidRPr="005D753E" w:rsidR="005D753E">
        <w:rPr>
          <w:b w:val="0"/>
          <w:bCs w:val="0"/>
          <w:iCs/>
          <w:sz w:val="24"/>
        </w:rPr>
        <w:t xml:space="preserve">his results in a cost burden of </w:t>
      </w:r>
      <w:r w:rsidR="00355D6B">
        <w:rPr>
          <w:b w:val="0"/>
          <w:bCs w:val="0"/>
          <w:iCs/>
          <w:sz w:val="24"/>
        </w:rPr>
        <w:t xml:space="preserve">approximately </w:t>
      </w:r>
      <w:r w:rsidRPr="00D05FF3" w:rsidR="00D05FF3">
        <w:rPr>
          <w:b w:val="0"/>
          <w:bCs w:val="0"/>
          <w:iCs/>
          <w:sz w:val="24"/>
        </w:rPr>
        <w:t xml:space="preserve">$961 </w:t>
      </w:r>
      <w:r w:rsidR="000C450F">
        <w:rPr>
          <w:b w:val="0"/>
          <w:bCs w:val="0"/>
          <w:iCs/>
          <w:sz w:val="24"/>
        </w:rPr>
        <w:t>in 2021,</w:t>
      </w:r>
      <w:r w:rsidR="00C448CF">
        <w:rPr>
          <w:b w:val="0"/>
          <w:bCs w:val="0"/>
          <w:iCs/>
          <w:sz w:val="24"/>
        </w:rPr>
        <w:t xml:space="preserve"> </w:t>
      </w:r>
      <w:r w:rsidRPr="00D05FF3" w:rsidR="00D05FF3">
        <w:rPr>
          <w:b w:val="0"/>
          <w:bCs w:val="0"/>
          <w:iCs/>
          <w:sz w:val="24"/>
        </w:rPr>
        <w:t xml:space="preserve">$18,259 </w:t>
      </w:r>
      <w:r w:rsidR="00C448CF">
        <w:rPr>
          <w:b w:val="0"/>
          <w:bCs w:val="0"/>
          <w:iCs/>
          <w:sz w:val="24"/>
        </w:rPr>
        <w:t>in 2022</w:t>
      </w:r>
      <w:r w:rsidR="000C450F">
        <w:rPr>
          <w:b w:val="0"/>
          <w:bCs w:val="0"/>
          <w:iCs/>
          <w:sz w:val="24"/>
        </w:rPr>
        <w:t>, and $0 in 2023</w:t>
      </w:r>
      <w:r w:rsidR="00BB52A2">
        <w:rPr>
          <w:b w:val="0"/>
          <w:bCs w:val="0"/>
          <w:iCs/>
          <w:sz w:val="24"/>
        </w:rPr>
        <w:t>.</w:t>
      </w:r>
      <w:r w:rsidRPr="00CA04EA" w:rsidR="00355D6B">
        <w:rPr>
          <w:rStyle w:val="FootnoteReference"/>
          <w:b w:val="0"/>
          <w:bCs w:val="0"/>
          <w:iCs/>
          <w:sz w:val="24"/>
          <w:vertAlign w:val="superscript"/>
        </w:rPr>
        <w:footnoteReference w:id="9"/>
      </w:r>
      <w:r w:rsidR="000C450F">
        <w:rPr>
          <w:b w:val="0"/>
          <w:bCs w:val="0"/>
          <w:iCs/>
          <w:sz w:val="24"/>
        </w:rPr>
        <w:t xml:space="preserve"> </w:t>
      </w:r>
      <w:r w:rsidR="005261DE">
        <w:rPr>
          <w:b w:val="0"/>
          <w:bCs w:val="0"/>
          <w:iCs/>
          <w:sz w:val="24"/>
        </w:rPr>
        <w:t xml:space="preserve"> The Department shares this burden equally with the Department of the Treasury.  Therefore, DOL’s </w:t>
      </w:r>
      <w:r w:rsidR="00C448CF">
        <w:rPr>
          <w:b w:val="0"/>
          <w:bCs w:val="0"/>
          <w:iCs/>
          <w:sz w:val="24"/>
        </w:rPr>
        <w:t xml:space="preserve">three-year average </w:t>
      </w:r>
      <w:r w:rsidR="005261DE">
        <w:rPr>
          <w:b w:val="0"/>
          <w:bCs w:val="0"/>
          <w:iCs/>
          <w:sz w:val="24"/>
        </w:rPr>
        <w:t xml:space="preserve">share of the burden is approximately </w:t>
      </w:r>
      <w:r w:rsidRPr="00D05FF3" w:rsidR="00D05FF3">
        <w:rPr>
          <w:b w:val="0"/>
          <w:bCs w:val="0"/>
          <w:iCs/>
          <w:sz w:val="24"/>
        </w:rPr>
        <w:t>$3,203</w:t>
      </w:r>
      <w:r w:rsidR="005261DE">
        <w:rPr>
          <w:b w:val="0"/>
          <w:bCs w:val="0"/>
          <w:iCs/>
          <w:sz w:val="24"/>
        </w:rPr>
        <w:t>.</w:t>
      </w:r>
    </w:p>
    <w:p w:rsidR="00AA1E33" w:rsidP="0092247E" w:rsidRDefault="00AA1E33" w14:paraId="0D265EF5" w14:textId="77777777">
      <w:pPr>
        <w:widowControl/>
        <w:ind w:left="720"/>
        <w:rPr>
          <w:b w:val="0"/>
          <w:bCs w:val="0"/>
          <w:sz w:val="24"/>
        </w:rPr>
      </w:pPr>
    </w:p>
    <w:p w:rsidRPr="00D006BD" w:rsidR="00AA1E33" w:rsidP="006734ED" w:rsidRDefault="00AA1E33" w14:paraId="14159E45" w14:textId="77777777">
      <w:pPr>
        <w:widowControl/>
        <w:numPr>
          <w:ilvl w:val="0"/>
          <w:numId w:val="41"/>
        </w:numPr>
        <w:tabs>
          <w:tab w:val="left" w:pos="-1440"/>
        </w:tabs>
        <w:ind w:hanging="720"/>
        <w:rPr>
          <w:bCs w:val="0"/>
          <w:iCs/>
          <w:sz w:val="24"/>
          <w:szCs w:val="24"/>
        </w:rPr>
      </w:pPr>
      <w:r w:rsidRPr="00D006BD">
        <w:rPr>
          <w:bCs w:val="0"/>
          <w:i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A1E33" w:rsidP="006734ED" w:rsidRDefault="00AA1E33" w14:paraId="1C657890" w14:textId="77777777">
      <w:pPr>
        <w:widowControl/>
        <w:ind w:left="720"/>
        <w:rPr>
          <w:b w:val="0"/>
          <w:bCs w:val="0"/>
          <w:sz w:val="24"/>
        </w:rPr>
      </w:pPr>
    </w:p>
    <w:p w:rsidR="00AA1E33" w:rsidP="006734ED" w:rsidRDefault="008B07B4" w14:paraId="7BCEE854" w14:textId="77777777">
      <w:pPr>
        <w:widowControl/>
        <w:ind w:left="720"/>
        <w:rPr>
          <w:b w:val="0"/>
          <w:bCs w:val="0"/>
          <w:sz w:val="24"/>
        </w:rPr>
      </w:pPr>
      <w:bookmarkStart w:name="OLE_LINK1" w:id="6"/>
      <w:bookmarkStart w:name="OLE_LINK2" w:id="7"/>
      <w:r>
        <w:rPr>
          <w:b w:val="0"/>
          <w:bCs w:val="0"/>
          <w:sz w:val="24"/>
        </w:rPr>
        <w:t>There are no costs to the Federal government.</w:t>
      </w:r>
      <w:bookmarkEnd w:id="6"/>
      <w:bookmarkEnd w:id="7"/>
    </w:p>
    <w:p w:rsidRPr="00D006BD" w:rsidR="00FF59F5" w:rsidP="006734ED" w:rsidRDefault="00FF59F5" w14:paraId="4BB3CB50" w14:textId="77777777">
      <w:pPr>
        <w:widowControl/>
        <w:ind w:left="720"/>
        <w:rPr>
          <w:bCs w:val="0"/>
          <w:sz w:val="24"/>
        </w:rPr>
      </w:pPr>
    </w:p>
    <w:p w:rsidRPr="006734ED" w:rsidR="00AA1E33" w:rsidP="006734ED" w:rsidRDefault="00AA1E33" w14:paraId="4B8B8C03" w14:textId="77777777">
      <w:pPr>
        <w:widowControl/>
        <w:numPr>
          <w:ilvl w:val="0"/>
          <w:numId w:val="41"/>
        </w:numPr>
        <w:tabs>
          <w:tab w:val="left" w:pos="-1440"/>
        </w:tabs>
        <w:ind w:hanging="720"/>
        <w:rPr>
          <w:b w:val="0"/>
          <w:bCs w:val="0"/>
          <w:i/>
          <w:iCs/>
          <w:sz w:val="24"/>
          <w:szCs w:val="24"/>
        </w:rPr>
      </w:pPr>
      <w:r w:rsidRPr="00D006BD">
        <w:rPr>
          <w:bCs w:val="0"/>
          <w:iCs/>
          <w:sz w:val="24"/>
          <w:szCs w:val="24"/>
        </w:rPr>
        <w:t>Explain the reasons for any program changes or adjustments reporting in Items 13 or 14</w:t>
      </w:r>
      <w:r w:rsidRPr="00D006BD" w:rsidR="0008341C">
        <w:rPr>
          <w:bCs w:val="0"/>
          <w:iCs/>
          <w:sz w:val="24"/>
          <w:szCs w:val="24"/>
        </w:rPr>
        <w:t>.</w:t>
      </w:r>
    </w:p>
    <w:p w:rsidRPr="006734ED" w:rsidR="005228CC" w:rsidP="006734ED" w:rsidRDefault="005228CC" w14:paraId="438721A9" w14:textId="77777777">
      <w:pPr>
        <w:widowControl/>
        <w:tabs>
          <w:tab w:val="left" w:pos="-1440"/>
        </w:tabs>
        <w:ind w:left="720"/>
        <w:rPr>
          <w:b w:val="0"/>
          <w:bCs w:val="0"/>
          <w:i/>
          <w:iCs/>
          <w:sz w:val="24"/>
          <w:szCs w:val="24"/>
        </w:rPr>
      </w:pPr>
    </w:p>
    <w:p w:rsidR="00E42DAE" w:rsidP="006734ED" w:rsidRDefault="00E42DAE" w14:paraId="322330AE" w14:textId="77777777">
      <w:pPr>
        <w:widowControl/>
        <w:tabs>
          <w:tab w:val="left" w:pos="-1440"/>
        </w:tabs>
        <w:ind w:left="720"/>
        <w:rPr>
          <w:b w:val="0"/>
          <w:iCs/>
          <w:sz w:val="24"/>
          <w:szCs w:val="24"/>
        </w:rPr>
      </w:pPr>
      <w:bookmarkStart w:name="OLE_LINK5" w:id="8"/>
      <w:bookmarkStart w:name="OLE_LINK6" w:id="9"/>
      <w:r w:rsidRPr="00E42DAE">
        <w:rPr>
          <w:b w:val="0"/>
          <w:iCs/>
          <w:sz w:val="24"/>
          <w:szCs w:val="24"/>
        </w:rPr>
        <w:t xml:space="preserve">The No Surprises Act added section 2799A-7 of the PHS Act, which contains the patient protections regarding choice of health care professional from section 2719A of the PHS Act. </w:t>
      </w:r>
      <w:r>
        <w:rPr>
          <w:b w:val="0"/>
          <w:iCs/>
          <w:sz w:val="24"/>
          <w:szCs w:val="24"/>
        </w:rPr>
        <w:t xml:space="preserve"> T</w:t>
      </w:r>
      <w:r w:rsidRPr="00E42DAE">
        <w:rPr>
          <w:b w:val="0"/>
          <w:iCs/>
          <w:sz w:val="24"/>
          <w:szCs w:val="24"/>
        </w:rPr>
        <w:t>he patient protections under the No Surprises Act apply generally to all group health plans and health insurance coverage, including grandfathered health plans.</w:t>
      </w:r>
      <w:r w:rsidRPr="00E42DAE">
        <w:rPr>
          <w:b w:val="0"/>
          <w:bCs w:val="0"/>
          <w:iCs/>
          <w:sz w:val="24"/>
        </w:rPr>
        <w:t xml:space="preserve"> </w:t>
      </w:r>
      <w:r>
        <w:rPr>
          <w:b w:val="0"/>
          <w:bCs w:val="0"/>
          <w:iCs/>
          <w:sz w:val="24"/>
        </w:rPr>
        <w:t xml:space="preserve"> </w:t>
      </w:r>
      <w:r>
        <w:rPr>
          <w:b w:val="0"/>
          <w:iCs/>
          <w:sz w:val="24"/>
          <w:szCs w:val="24"/>
        </w:rPr>
        <w:t>T</w:t>
      </w:r>
      <w:r w:rsidRPr="00E42DAE">
        <w:rPr>
          <w:b w:val="0"/>
          <w:iCs/>
          <w:sz w:val="24"/>
          <w:szCs w:val="24"/>
        </w:rPr>
        <w:t xml:space="preserve">he Department believes that only plans that relinquish their grandfathered status in 2021 and plans that are still grandfathered in 2022 will become subject to this notice requirement for the first time and incur the one-time costs to prepare the notice.  </w:t>
      </w:r>
    </w:p>
    <w:p w:rsidR="00E42DAE" w:rsidP="006734ED" w:rsidRDefault="00E42DAE" w14:paraId="0B0F465A" w14:textId="77777777">
      <w:pPr>
        <w:widowControl/>
        <w:tabs>
          <w:tab w:val="left" w:pos="-1440"/>
        </w:tabs>
        <w:ind w:left="720"/>
        <w:rPr>
          <w:b w:val="0"/>
          <w:iCs/>
          <w:sz w:val="24"/>
          <w:szCs w:val="24"/>
        </w:rPr>
      </w:pPr>
    </w:p>
    <w:p w:rsidR="008B07B4" w:rsidP="006734ED" w:rsidRDefault="008B07B4" w14:paraId="640A9494" w14:textId="77777777">
      <w:pPr>
        <w:widowControl/>
        <w:tabs>
          <w:tab w:val="left" w:pos="-1440"/>
        </w:tabs>
        <w:ind w:left="720"/>
        <w:rPr>
          <w:b w:val="0"/>
          <w:bCs w:val="0"/>
          <w:iCs/>
          <w:sz w:val="24"/>
          <w:szCs w:val="24"/>
        </w:rPr>
      </w:pPr>
      <w:r w:rsidRPr="008B07B4">
        <w:rPr>
          <w:b w:val="0"/>
          <w:bCs w:val="0"/>
          <w:iCs/>
          <w:sz w:val="24"/>
          <w:szCs w:val="24"/>
        </w:rPr>
        <w:t xml:space="preserve">Adjustments to the burden estimates </w:t>
      </w:r>
      <w:r w:rsidR="00E42DAE">
        <w:rPr>
          <w:b w:val="0"/>
          <w:bCs w:val="0"/>
          <w:iCs/>
          <w:sz w:val="24"/>
          <w:szCs w:val="24"/>
        </w:rPr>
        <w:t xml:space="preserve">also </w:t>
      </w:r>
      <w:r w:rsidRPr="008B07B4">
        <w:rPr>
          <w:b w:val="0"/>
          <w:bCs w:val="0"/>
          <w:iCs/>
          <w:sz w:val="24"/>
          <w:szCs w:val="24"/>
        </w:rPr>
        <w:t>result from updated estimates on the</w:t>
      </w:r>
      <w:r>
        <w:rPr>
          <w:b w:val="0"/>
          <w:bCs w:val="0"/>
          <w:iCs/>
          <w:sz w:val="24"/>
          <w:szCs w:val="24"/>
        </w:rPr>
        <w:t xml:space="preserve"> number of plans and policyholders affected by the regulations</w:t>
      </w:r>
      <w:r w:rsidR="00B21A8A">
        <w:rPr>
          <w:b w:val="0"/>
          <w:bCs w:val="0"/>
          <w:iCs/>
          <w:sz w:val="24"/>
          <w:szCs w:val="24"/>
        </w:rPr>
        <w:t>,</w:t>
      </w:r>
      <w:r w:rsidRPr="008B07B4">
        <w:rPr>
          <w:b w:val="0"/>
          <w:bCs w:val="0"/>
          <w:iCs/>
          <w:sz w:val="24"/>
          <w:szCs w:val="24"/>
        </w:rPr>
        <w:t xml:space="preserve"> an increase in the share of notices assumed to be transmitted electronically, and increases in wage rates.  These updated data inputs </w:t>
      </w:r>
      <w:r w:rsidR="00F40623">
        <w:rPr>
          <w:b w:val="0"/>
          <w:bCs w:val="0"/>
          <w:iCs/>
          <w:sz w:val="24"/>
          <w:szCs w:val="24"/>
        </w:rPr>
        <w:t xml:space="preserve">increase </w:t>
      </w:r>
      <w:r w:rsidRPr="008B07B4">
        <w:rPr>
          <w:b w:val="0"/>
          <w:bCs w:val="0"/>
          <w:iCs/>
          <w:sz w:val="24"/>
          <w:szCs w:val="24"/>
        </w:rPr>
        <w:t xml:space="preserve">the hour burden by </w:t>
      </w:r>
      <w:r w:rsidR="00D96E61">
        <w:rPr>
          <w:b w:val="0"/>
          <w:bCs w:val="0"/>
          <w:iCs/>
          <w:sz w:val="24"/>
          <w:szCs w:val="24"/>
        </w:rPr>
        <w:t>522</w:t>
      </w:r>
      <w:r w:rsidR="00CA6378">
        <w:rPr>
          <w:b w:val="0"/>
          <w:bCs w:val="0"/>
          <w:iCs/>
          <w:sz w:val="24"/>
          <w:szCs w:val="24"/>
        </w:rPr>
        <w:t xml:space="preserve"> </w:t>
      </w:r>
      <w:r w:rsidRPr="008B07B4">
        <w:rPr>
          <w:b w:val="0"/>
          <w:bCs w:val="0"/>
          <w:iCs/>
          <w:sz w:val="24"/>
          <w:szCs w:val="24"/>
        </w:rPr>
        <w:t>hours compared with the prior submission and reduce the cost burden by $</w:t>
      </w:r>
      <w:r w:rsidR="00CA6378">
        <w:rPr>
          <w:b w:val="0"/>
          <w:bCs w:val="0"/>
          <w:iCs/>
          <w:sz w:val="24"/>
          <w:szCs w:val="24"/>
        </w:rPr>
        <w:t>802</w:t>
      </w:r>
      <w:r w:rsidRPr="008B07B4">
        <w:rPr>
          <w:b w:val="0"/>
          <w:bCs w:val="0"/>
          <w:iCs/>
          <w:sz w:val="24"/>
          <w:szCs w:val="24"/>
        </w:rPr>
        <w:t xml:space="preserve"> compared with the prior submission.</w:t>
      </w:r>
    </w:p>
    <w:bookmarkEnd w:id="8"/>
    <w:bookmarkEnd w:id="9"/>
    <w:p w:rsidRPr="007946E9" w:rsidR="00AA1E33" w:rsidP="006734ED" w:rsidRDefault="00AA1E33" w14:paraId="04F2E037" w14:textId="77777777">
      <w:pPr>
        <w:widowControl/>
        <w:tabs>
          <w:tab w:val="left" w:pos="-1440"/>
        </w:tabs>
        <w:ind w:left="720"/>
        <w:rPr>
          <w:b w:val="0"/>
          <w:bCs w:val="0"/>
          <w:sz w:val="24"/>
          <w:szCs w:val="24"/>
        </w:rPr>
      </w:pPr>
    </w:p>
    <w:p w:rsidRPr="00D006BD" w:rsidR="00AA1E33" w:rsidP="006734ED" w:rsidRDefault="00AA1E33" w14:paraId="7490476A" w14:textId="77777777">
      <w:pPr>
        <w:widowControl/>
        <w:numPr>
          <w:ilvl w:val="0"/>
          <w:numId w:val="41"/>
        </w:numPr>
        <w:tabs>
          <w:tab w:val="left" w:pos="-1440"/>
        </w:tabs>
        <w:ind w:hanging="720"/>
        <w:rPr>
          <w:bCs w:val="0"/>
          <w:iCs/>
          <w:sz w:val="24"/>
          <w:szCs w:val="24"/>
        </w:rPr>
      </w:pPr>
      <w:r w:rsidRPr="00D006BD">
        <w:rPr>
          <w:bCs w:val="0"/>
          <w:i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A1E33" w:rsidP="006734ED" w:rsidRDefault="00AA1E33" w14:paraId="5E109881" w14:textId="77777777">
      <w:pPr>
        <w:widowControl/>
        <w:ind w:left="720"/>
        <w:rPr>
          <w:b w:val="0"/>
          <w:bCs w:val="0"/>
          <w:sz w:val="24"/>
        </w:rPr>
      </w:pPr>
    </w:p>
    <w:p w:rsidR="00AA1E33" w:rsidP="006734ED" w:rsidRDefault="00AA1E33" w14:paraId="3DB77564" w14:textId="77777777">
      <w:pPr>
        <w:pStyle w:val="BodyText"/>
        <w:ind w:left="720"/>
        <w:outlineLvl w:val="0"/>
      </w:pPr>
      <w:r>
        <w:t>There are no plans to publish the results of this collection of information.</w:t>
      </w:r>
    </w:p>
    <w:p w:rsidR="00AA1E33" w:rsidP="006734ED" w:rsidRDefault="00AA1E33" w14:paraId="421F3FB7" w14:textId="77777777">
      <w:pPr>
        <w:widowControl/>
        <w:ind w:left="720"/>
        <w:rPr>
          <w:b w:val="0"/>
          <w:bCs w:val="0"/>
          <w:sz w:val="24"/>
        </w:rPr>
      </w:pPr>
    </w:p>
    <w:p w:rsidRPr="00D006BD" w:rsidR="00AA1E33" w:rsidP="006734ED" w:rsidRDefault="00AA1E33" w14:paraId="43DC26C6" w14:textId="77777777">
      <w:pPr>
        <w:widowControl/>
        <w:numPr>
          <w:ilvl w:val="0"/>
          <w:numId w:val="41"/>
        </w:numPr>
        <w:tabs>
          <w:tab w:val="left" w:pos="-1440"/>
        </w:tabs>
        <w:ind w:hanging="720"/>
        <w:rPr>
          <w:bCs w:val="0"/>
          <w:iCs/>
          <w:sz w:val="24"/>
          <w:szCs w:val="24"/>
        </w:rPr>
      </w:pPr>
      <w:r w:rsidRPr="00D006BD">
        <w:rPr>
          <w:bCs w:val="0"/>
          <w:iCs/>
          <w:sz w:val="24"/>
          <w:szCs w:val="24"/>
        </w:rPr>
        <w:t>If seeking approval to not display the expiration date for OMB approval of the information collection, explain the reasons that display would be inappropriate.</w:t>
      </w:r>
    </w:p>
    <w:p w:rsidRPr="006734ED" w:rsidR="00A7230A" w:rsidP="006734ED" w:rsidRDefault="00A7230A" w14:paraId="6FC844DB" w14:textId="77777777">
      <w:pPr>
        <w:widowControl/>
        <w:tabs>
          <w:tab w:val="left" w:pos="-1440"/>
        </w:tabs>
        <w:ind w:left="720"/>
        <w:rPr>
          <w:b w:val="0"/>
          <w:bCs w:val="0"/>
          <w:sz w:val="24"/>
          <w:szCs w:val="24"/>
        </w:rPr>
      </w:pPr>
    </w:p>
    <w:p w:rsidRPr="00110716" w:rsidR="00A7230A" w:rsidP="006734ED" w:rsidRDefault="00A7230A" w14:paraId="710677F9" w14:textId="77777777">
      <w:pPr>
        <w:pStyle w:val="BodyText"/>
        <w:ind w:left="720"/>
        <w:rPr>
          <w:szCs w:val="24"/>
        </w:rPr>
      </w:pPr>
      <w:r w:rsidRPr="00110716">
        <w:rPr>
          <w:szCs w:val="24"/>
        </w:rPr>
        <w:t>The OMB expiration date will be published in the Federal Register following OMB approval.</w:t>
      </w:r>
    </w:p>
    <w:p w:rsidRPr="006734ED" w:rsidR="00A7230A" w:rsidP="006734ED" w:rsidRDefault="00A7230A" w14:paraId="20357363" w14:textId="77777777">
      <w:pPr>
        <w:widowControl/>
        <w:tabs>
          <w:tab w:val="left" w:pos="-1440"/>
        </w:tabs>
        <w:ind w:left="720"/>
        <w:rPr>
          <w:b w:val="0"/>
          <w:bCs w:val="0"/>
          <w:sz w:val="24"/>
          <w:szCs w:val="24"/>
        </w:rPr>
      </w:pPr>
    </w:p>
    <w:p w:rsidRPr="00D006BD" w:rsidR="00D006BD" w:rsidP="00D006BD" w:rsidRDefault="00AA1E33" w14:paraId="3D984E0B" w14:textId="77777777">
      <w:pPr>
        <w:widowControl/>
        <w:numPr>
          <w:ilvl w:val="0"/>
          <w:numId w:val="41"/>
        </w:numPr>
        <w:tabs>
          <w:tab w:val="left" w:pos="-1440"/>
        </w:tabs>
        <w:ind w:hanging="720"/>
        <w:rPr>
          <w:sz w:val="24"/>
          <w:szCs w:val="24"/>
        </w:rPr>
      </w:pPr>
      <w:r w:rsidRPr="00D006BD">
        <w:rPr>
          <w:bCs w:val="0"/>
          <w:iCs/>
          <w:sz w:val="24"/>
          <w:szCs w:val="24"/>
        </w:rPr>
        <w:t>Explain each exception to the certification statement identified in Item 19</w:t>
      </w:r>
      <w:r w:rsidRPr="00D006BD" w:rsidR="00D006BD">
        <w:rPr>
          <w:bCs w:val="0"/>
          <w:iCs/>
          <w:sz w:val="24"/>
          <w:szCs w:val="24"/>
        </w:rPr>
        <w:t xml:space="preserve">. </w:t>
      </w:r>
    </w:p>
    <w:p w:rsidRPr="00097BBB" w:rsidR="00AA1E33" w:rsidP="00D006BD" w:rsidRDefault="00D006BD" w14:paraId="16F6D4DD" w14:textId="77777777">
      <w:pPr>
        <w:widowControl/>
        <w:tabs>
          <w:tab w:val="left" w:pos="-1440"/>
        </w:tabs>
        <w:ind w:left="720"/>
        <w:rPr>
          <w:b w:val="0"/>
          <w:sz w:val="24"/>
          <w:szCs w:val="24"/>
        </w:rPr>
      </w:pPr>
      <w:r w:rsidRPr="00097BBB">
        <w:rPr>
          <w:b w:val="0"/>
          <w:sz w:val="24"/>
          <w:szCs w:val="24"/>
        </w:rPr>
        <w:t xml:space="preserve"> </w:t>
      </w:r>
    </w:p>
    <w:p w:rsidR="00AC490B" w:rsidP="00AC490B" w:rsidRDefault="00E77330" w14:paraId="1650E619" w14:textId="77777777">
      <w:pPr>
        <w:widowControl/>
        <w:ind w:left="720"/>
        <w:outlineLvl w:val="0"/>
        <w:rPr>
          <w:b w:val="0"/>
          <w:bCs w:val="0"/>
          <w:sz w:val="24"/>
          <w:szCs w:val="24"/>
        </w:rPr>
      </w:pPr>
      <w:r w:rsidRPr="00E77330">
        <w:rPr>
          <w:b w:val="0"/>
          <w:bCs w:val="0"/>
          <w:sz w:val="24"/>
          <w:szCs w:val="24"/>
        </w:rPr>
        <w:t>There are no exceptions to the certification statement.</w:t>
      </w:r>
    </w:p>
    <w:p w:rsidR="00AC490B" w:rsidP="00AC490B" w:rsidRDefault="00AC490B" w14:paraId="38980F52" w14:textId="77777777">
      <w:pPr>
        <w:widowControl/>
        <w:outlineLvl w:val="0"/>
        <w:rPr>
          <w:b w:val="0"/>
          <w:bCs w:val="0"/>
          <w:sz w:val="24"/>
          <w:szCs w:val="24"/>
        </w:rPr>
      </w:pPr>
    </w:p>
    <w:p w:rsidR="00AC490B" w:rsidP="00AC490B" w:rsidRDefault="00AC490B" w14:paraId="3C908625" w14:textId="77777777">
      <w:pPr>
        <w:widowControl/>
        <w:outlineLvl w:val="0"/>
        <w:rPr>
          <w:sz w:val="24"/>
          <w:szCs w:val="24"/>
        </w:rPr>
      </w:pPr>
      <w:r w:rsidRPr="00AC490B">
        <w:rPr>
          <w:bCs w:val="0"/>
          <w:sz w:val="24"/>
          <w:szCs w:val="24"/>
        </w:rPr>
        <w:t xml:space="preserve">B. </w:t>
      </w:r>
      <w:r>
        <w:rPr>
          <w:bCs w:val="0"/>
          <w:sz w:val="24"/>
          <w:szCs w:val="24"/>
        </w:rPr>
        <w:tab/>
      </w:r>
      <w:r w:rsidRPr="00AC490B">
        <w:rPr>
          <w:bCs w:val="0"/>
          <w:sz w:val="24"/>
          <w:szCs w:val="24"/>
        </w:rPr>
        <w:t>COLLECTIONS OF INFORMATON EMPLOYING STATISTICAL METHODS.</w:t>
      </w:r>
      <w:r w:rsidRPr="00AC490B">
        <w:rPr>
          <w:sz w:val="24"/>
          <w:szCs w:val="24"/>
        </w:rPr>
        <w:t> </w:t>
      </w:r>
    </w:p>
    <w:p w:rsidR="00AC490B" w:rsidP="00AC490B" w:rsidRDefault="00AC490B" w14:paraId="0F770C9D" w14:textId="77777777">
      <w:pPr>
        <w:widowControl/>
        <w:outlineLvl w:val="0"/>
        <w:rPr>
          <w:bCs w:val="0"/>
          <w:sz w:val="24"/>
          <w:szCs w:val="24"/>
        </w:rPr>
      </w:pPr>
    </w:p>
    <w:p w:rsidRPr="00AC490B" w:rsidR="00AC490B" w:rsidP="00AC490B" w:rsidRDefault="00AC490B" w14:paraId="652BAE56" w14:textId="77777777">
      <w:pPr>
        <w:widowControl/>
        <w:ind w:firstLine="720"/>
        <w:outlineLvl w:val="0"/>
        <w:rPr>
          <w:b w:val="0"/>
          <w:bCs w:val="0"/>
          <w:sz w:val="24"/>
          <w:szCs w:val="24"/>
        </w:rPr>
      </w:pPr>
      <w:r w:rsidRPr="00AC490B">
        <w:rPr>
          <w:b w:val="0"/>
          <w:bCs w:val="0"/>
          <w:sz w:val="24"/>
          <w:szCs w:val="24"/>
        </w:rPr>
        <w:t xml:space="preserve">Not applicable. </w:t>
      </w:r>
    </w:p>
    <w:sectPr w:rsidRPr="00AC490B" w:rsidR="00AC490B">
      <w:headerReference w:type="default" r:id="rId11"/>
      <w:footerReference w:type="even" r:id="rId12"/>
      <w:footerReference w:type="default" r:id="rId13"/>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E2282" w14:textId="77777777" w:rsidR="0099012A" w:rsidRDefault="0099012A">
      <w:r>
        <w:separator/>
      </w:r>
    </w:p>
  </w:endnote>
  <w:endnote w:type="continuationSeparator" w:id="0">
    <w:p w14:paraId="2A756F2F" w14:textId="77777777" w:rsidR="0099012A" w:rsidRDefault="00990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36D07" w14:textId="77777777" w:rsidR="00F37BF1" w:rsidRDefault="00F37B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7A635D" w14:textId="77777777" w:rsidR="00F37BF1" w:rsidRDefault="00F37B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D37B6" w14:textId="67E66D83" w:rsidR="00F37BF1" w:rsidRDefault="00F37B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7076">
      <w:rPr>
        <w:rStyle w:val="PageNumber"/>
        <w:noProof/>
      </w:rPr>
      <w:t>1</w:t>
    </w:r>
    <w:r>
      <w:rPr>
        <w:rStyle w:val="PageNumber"/>
      </w:rPr>
      <w:fldChar w:fldCharType="end"/>
    </w:r>
  </w:p>
  <w:p w14:paraId="6E5F1CAD" w14:textId="77777777" w:rsidR="00F37BF1" w:rsidRDefault="00F37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810BC" w14:textId="77777777" w:rsidR="0099012A" w:rsidRDefault="0099012A">
      <w:r>
        <w:separator/>
      </w:r>
    </w:p>
  </w:footnote>
  <w:footnote w:type="continuationSeparator" w:id="0">
    <w:p w14:paraId="55B35F8A" w14:textId="77777777" w:rsidR="0099012A" w:rsidRDefault="0099012A">
      <w:r>
        <w:continuationSeparator/>
      </w:r>
    </w:p>
  </w:footnote>
  <w:footnote w:id="1">
    <w:p w14:paraId="4AE53EEB" w14:textId="77777777" w:rsidR="00790F8F" w:rsidRPr="00D348E9" w:rsidRDefault="00790F8F">
      <w:pPr>
        <w:pStyle w:val="FootnoteText"/>
        <w:rPr>
          <w:b w:val="0"/>
          <w:sz w:val="20"/>
        </w:rPr>
      </w:pPr>
      <w:r w:rsidRPr="00D348E9">
        <w:rPr>
          <w:rStyle w:val="FootnoteReference"/>
          <w:b w:val="0"/>
          <w:sz w:val="20"/>
          <w:vertAlign w:val="superscript"/>
        </w:rPr>
        <w:footnoteRef/>
      </w:r>
      <w:r w:rsidRPr="00D348E9">
        <w:rPr>
          <w:b w:val="0"/>
          <w:sz w:val="20"/>
          <w:vertAlign w:val="superscript"/>
        </w:rPr>
        <w:t xml:space="preserve"> </w:t>
      </w:r>
      <w:r w:rsidR="008B07B4" w:rsidRPr="00D348E9">
        <w:rPr>
          <w:b w:val="0"/>
          <w:sz w:val="20"/>
        </w:rPr>
        <w:t>80 FR 72191</w:t>
      </w:r>
      <w:r w:rsidR="008B07B4">
        <w:rPr>
          <w:b w:val="0"/>
          <w:sz w:val="20"/>
        </w:rPr>
        <w:t>.</w:t>
      </w:r>
    </w:p>
  </w:footnote>
  <w:footnote w:id="2">
    <w:p w14:paraId="57ABA718" w14:textId="77777777" w:rsidR="00A4200B" w:rsidRPr="00FD304A" w:rsidRDefault="00A4200B" w:rsidP="00A4200B">
      <w:pPr>
        <w:pStyle w:val="FootnoteText"/>
        <w:rPr>
          <w:b w:val="0"/>
        </w:rPr>
      </w:pPr>
      <w:r w:rsidRPr="00DA6128">
        <w:rPr>
          <w:rStyle w:val="FootnoteReference"/>
          <w:b w:val="0"/>
          <w:sz w:val="20"/>
          <w:vertAlign w:val="superscript"/>
        </w:rPr>
        <w:footnoteRef/>
      </w:r>
      <w:r w:rsidRPr="00DA6128">
        <w:rPr>
          <w:b w:val="0"/>
          <w:sz w:val="20"/>
        </w:rPr>
        <w:t xml:space="preserve"> 2.</w:t>
      </w:r>
      <w:r w:rsidR="001E25C3">
        <w:rPr>
          <w:b w:val="0"/>
          <w:sz w:val="20"/>
        </w:rPr>
        <w:t>5</w:t>
      </w:r>
      <w:r w:rsidR="001E25C3" w:rsidRPr="00DA6128">
        <w:rPr>
          <w:b w:val="0"/>
          <w:sz w:val="20"/>
        </w:rPr>
        <w:t xml:space="preserve"> </w:t>
      </w:r>
      <w:r w:rsidRPr="00DA6128">
        <w:rPr>
          <w:b w:val="0"/>
          <w:sz w:val="20"/>
        </w:rPr>
        <w:t>million ERISA-covered plans x</w:t>
      </w:r>
      <w:r w:rsidR="006F5B83">
        <w:rPr>
          <w:b w:val="0"/>
          <w:sz w:val="20"/>
        </w:rPr>
        <w:t xml:space="preserve"> 16</w:t>
      </w:r>
      <w:r w:rsidR="00BF5C95">
        <w:rPr>
          <w:b w:val="0"/>
          <w:sz w:val="20"/>
        </w:rPr>
        <w:t>% grandfathered plans x</w:t>
      </w:r>
      <w:r w:rsidRPr="00DA6128">
        <w:rPr>
          <w:b w:val="0"/>
          <w:sz w:val="20"/>
        </w:rPr>
        <w:t xml:space="preserve"> </w:t>
      </w:r>
      <w:r w:rsidR="00D76F11" w:rsidRPr="00DA6128">
        <w:rPr>
          <w:b w:val="0"/>
          <w:sz w:val="20"/>
        </w:rPr>
        <w:t>5</w:t>
      </w:r>
      <w:r w:rsidRPr="00DA6128">
        <w:rPr>
          <w:b w:val="0"/>
          <w:sz w:val="20"/>
        </w:rPr>
        <w:t xml:space="preserve">% </w:t>
      </w:r>
      <w:r w:rsidR="00932AF3" w:rsidRPr="00DA6128">
        <w:rPr>
          <w:b w:val="0"/>
          <w:sz w:val="20"/>
        </w:rPr>
        <w:t>newly non-grandfathered pla</w:t>
      </w:r>
      <w:r w:rsidR="00BB238A">
        <w:rPr>
          <w:b w:val="0"/>
          <w:sz w:val="20"/>
        </w:rPr>
        <w:t>ns</w:t>
      </w:r>
      <w:r w:rsidR="00932AF3" w:rsidRPr="00DA6128">
        <w:rPr>
          <w:b w:val="0"/>
          <w:sz w:val="20"/>
        </w:rPr>
        <w:t xml:space="preserve"> x (</w:t>
      </w:r>
      <w:r w:rsidR="00AA343E">
        <w:rPr>
          <w:b w:val="0"/>
          <w:sz w:val="20"/>
        </w:rPr>
        <w:t>11</w:t>
      </w:r>
      <w:r w:rsidR="00932AF3" w:rsidRPr="00DA6128">
        <w:rPr>
          <w:b w:val="0"/>
          <w:sz w:val="20"/>
        </w:rPr>
        <w:t xml:space="preserve">% HMOs + </w:t>
      </w:r>
      <w:r w:rsidR="00AA343E">
        <w:rPr>
          <w:b w:val="0"/>
          <w:sz w:val="20"/>
        </w:rPr>
        <w:t>31</w:t>
      </w:r>
      <w:r w:rsidR="00932AF3" w:rsidRPr="00DA6128">
        <w:rPr>
          <w:b w:val="0"/>
          <w:sz w:val="20"/>
        </w:rPr>
        <w:t>% POSs)</w:t>
      </w:r>
      <w:r w:rsidRPr="00DA6128">
        <w:rPr>
          <w:b w:val="0"/>
          <w:sz w:val="20"/>
        </w:rPr>
        <w:t xml:space="preserve"> =  </w:t>
      </w:r>
      <w:r w:rsidR="00BF5C95" w:rsidRPr="00FD304A">
        <w:rPr>
          <w:b w:val="0"/>
          <w:sz w:val="20"/>
        </w:rPr>
        <w:t>8,481</w:t>
      </w:r>
      <w:r w:rsidR="005363F7">
        <w:rPr>
          <w:b w:val="0"/>
        </w:rPr>
        <w:t xml:space="preserve"> </w:t>
      </w:r>
      <w:r w:rsidRPr="00DA6128">
        <w:rPr>
          <w:b w:val="0"/>
          <w:sz w:val="20"/>
        </w:rPr>
        <w:t>affected plans.</w:t>
      </w:r>
    </w:p>
  </w:footnote>
  <w:footnote w:id="3">
    <w:p w14:paraId="6F3628DF" w14:textId="77777777" w:rsidR="00BB238A" w:rsidRPr="00FD304A" w:rsidRDefault="00BB238A">
      <w:pPr>
        <w:pStyle w:val="FootnoteText"/>
        <w:rPr>
          <w:b w:val="0"/>
          <w:sz w:val="20"/>
        </w:rPr>
      </w:pPr>
      <w:r w:rsidRPr="00FD304A">
        <w:rPr>
          <w:rStyle w:val="FootnoteReference"/>
          <w:b w:val="0"/>
          <w:sz w:val="20"/>
          <w:vertAlign w:val="superscript"/>
        </w:rPr>
        <w:footnoteRef/>
      </w:r>
      <w:r w:rsidRPr="00FD304A">
        <w:rPr>
          <w:b w:val="0"/>
          <w:sz w:val="20"/>
          <w:vertAlign w:val="superscript"/>
        </w:rPr>
        <w:t xml:space="preserve"> </w:t>
      </w:r>
      <w:r w:rsidRPr="00FD304A">
        <w:rPr>
          <w:b w:val="0"/>
          <w:sz w:val="20"/>
        </w:rPr>
        <w:t xml:space="preserve">2.5 million ERISA-covered plans x </w:t>
      </w:r>
      <w:r w:rsidR="00B96680" w:rsidRPr="00B96680">
        <w:rPr>
          <w:b w:val="0"/>
          <w:sz w:val="20"/>
        </w:rPr>
        <w:t xml:space="preserve">16% grandfathered plans x </w:t>
      </w:r>
      <w:r>
        <w:rPr>
          <w:b w:val="0"/>
          <w:sz w:val="20"/>
        </w:rPr>
        <w:t xml:space="preserve">(100% minus </w:t>
      </w:r>
      <w:r w:rsidRPr="00FD304A">
        <w:rPr>
          <w:b w:val="0"/>
          <w:sz w:val="20"/>
        </w:rPr>
        <w:t xml:space="preserve">5% </w:t>
      </w:r>
      <w:r w:rsidRPr="00BB238A">
        <w:rPr>
          <w:b w:val="0"/>
          <w:sz w:val="20"/>
        </w:rPr>
        <w:t>newly non-grandfathered plans) x</w:t>
      </w:r>
      <w:r w:rsidR="00AA343E" w:rsidRPr="00AA343E">
        <w:rPr>
          <w:b w:val="0"/>
          <w:sz w:val="20"/>
        </w:rPr>
        <w:t xml:space="preserve"> (1</w:t>
      </w:r>
      <w:r w:rsidRPr="00FD304A">
        <w:rPr>
          <w:b w:val="0"/>
          <w:sz w:val="20"/>
        </w:rPr>
        <w:t xml:space="preserve">1% HMOs + </w:t>
      </w:r>
      <w:r w:rsidR="00AA343E">
        <w:rPr>
          <w:b w:val="0"/>
          <w:sz w:val="20"/>
        </w:rPr>
        <w:t>31</w:t>
      </w:r>
      <w:r w:rsidRPr="00FD304A">
        <w:rPr>
          <w:b w:val="0"/>
          <w:sz w:val="20"/>
        </w:rPr>
        <w:t xml:space="preserve">% POSs) = </w:t>
      </w:r>
      <w:r w:rsidR="00B96680" w:rsidRPr="00B96680">
        <w:rPr>
          <w:b w:val="0"/>
          <w:sz w:val="20"/>
        </w:rPr>
        <w:t xml:space="preserve">161,148 </w:t>
      </w:r>
      <w:r w:rsidRPr="00FD304A">
        <w:rPr>
          <w:b w:val="0"/>
          <w:sz w:val="20"/>
        </w:rPr>
        <w:t>affected plans.</w:t>
      </w:r>
    </w:p>
  </w:footnote>
  <w:footnote w:id="4">
    <w:p w14:paraId="0BCAD519" w14:textId="77777777" w:rsidR="00B36E2E" w:rsidRPr="00DA6128" w:rsidRDefault="00B36E2E">
      <w:pPr>
        <w:pStyle w:val="FootnoteText"/>
        <w:rPr>
          <w:b w:val="0"/>
          <w:sz w:val="20"/>
        </w:rPr>
      </w:pPr>
      <w:r w:rsidRPr="00BB238A">
        <w:rPr>
          <w:rStyle w:val="FootnoteReference"/>
          <w:b w:val="0"/>
          <w:sz w:val="20"/>
          <w:vertAlign w:val="superscript"/>
        </w:rPr>
        <w:footnoteRef/>
      </w:r>
      <w:r w:rsidRPr="00BB238A">
        <w:rPr>
          <w:b w:val="0"/>
          <w:sz w:val="20"/>
        </w:rPr>
        <w:t xml:space="preserve"> </w:t>
      </w:r>
      <w:r w:rsidR="001E13AC" w:rsidRPr="00BB238A">
        <w:rPr>
          <w:b w:val="0"/>
          <w:sz w:val="20"/>
        </w:rPr>
        <w:t>For more information on how the Department estimates labor</w:t>
      </w:r>
      <w:r w:rsidR="001E13AC">
        <w:rPr>
          <w:b w:val="0"/>
          <w:sz w:val="20"/>
        </w:rPr>
        <w:t xml:space="preserve"> costs see: </w:t>
      </w:r>
      <w:r w:rsidR="00601F80" w:rsidRPr="00601F80">
        <w:rPr>
          <w:b w:val="0"/>
          <w:sz w:val="20"/>
        </w:rPr>
        <w:t>https://www.dol.gov/sites/dolgov/files/EBSA/laws-and-regulations/rules-and-regulations/technical-appendices/labor-cost-inputs-used-in-ebsa-opr-ria-and-pra-burden-calculations-june-2019.pdf</w:t>
      </w:r>
    </w:p>
  </w:footnote>
  <w:footnote w:id="5">
    <w:p w14:paraId="7F5DCAB6" w14:textId="77777777" w:rsidR="00537EA3" w:rsidRPr="0005154C" w:rsidRDefault="00537EA3" w:rsidP="00537EA3">
      <w:pPr>
        <w:pStyle w:val="FootnoteText"/>
        <w:rPr>
          <w:b w:val="0"/>
          <w:iCs/>
        </w:rPr>
      </w:pPr>
      <w:r w:rsidRPr="00DA6128">
        <w:rPr>
          <w:rStyle w:val="FootnoteReference"/>
          <w:b w:val="0"/>
          <w:sz w:val="20"/>
          <w:vertAlign w:val="superscript"/>
        </w:rPr>
        <w:footnoteRef/>
      </w:r>
      <w:r w:rsidRPr="00DA6128">
        <w:rPr>
          <w:b w:val="0"/>
          <w:sz w:val="20"/>
        </w:rPr>
        <w:t xml:space="preserve"> </w:t>
      </w:r>
      <w:r>
        <w:rPr>
          <w:b w:val="0"/>
          <w:sz w:val="20"/>
        </w:rPr>
        <w:t xml:space="preserve">2021: </w:t>
      </w:r>
      <w:r w:rsidRPr="00DA6128">
        <w:rPr>
          <w:b w:val="0"/>
          <w:sz w:val="20"/>
        </w:rPr>
        <w:t>2.</w:t>
      </w:r>
      <w:r>
        <w:rPr>
          <w:b w:val="0"/>
          <w:sz w:val="20"/>
        </w:rPr>
        <w:t>5</w:t>
      </w:r>
      <w:r w:rsidRPr="00DA6128">
        <w:rPr>
          <w:b w:val="0"/>
          <w:sz w:val="20"/>
        </w:rPr>
        <w:t xml:space="preserve"> million ERISA-covered plans x</w:t>
      </w:r>
      <w:r>
        <w:rPr>
          <w:b w:val="0"/>
          <w:sz w:val="20"/>
        </w:rPr>
        <w:t xml:space="preserve"> 16% grandfathered plans x</w:t>
      </w:r>
      <w:r w:rsidRPr="00DA6128">
        <w:rPr>
          <w:b w:val="0"/>
          <w:sz w:val="20"/>
        </w:rPr>
        <w:t xml:space="preserve"> 5% newly non-grandfathered pla</w:t>
      </w:r>
      <w:r>
        <w:rPr>
          <w:b w:val="0"/>
          <w:sz w:val="20"/>
        </w:rPr>
        <w:t>ns</w:t>
      </w:r>
      <w:r w:rsidRPr="00DA6128">
        <w:rPr>
          <w:b w:val="0"/>
          <w:sz w:val="20"/>
        </w:rPr>
        <w:t xml:space="preserve"> x (</w:t>
      </w:r>
      <w:r>
        <w:rPr>
          <w:b w:val="0"/>
          <w:sz w:val="20"/>
        </w:rPr>
        <w:t>11</w:t>
      </w:r>
      <w:r w:rsidRPr="00DA6128">
        <w:rPr>
          <w:b w:val="0"/>
          <w:sz w:val="20"/>
        </w:rPr>
        <w:t xml:space="preserve">% HMOs + </w:t>
      </w:r>
      <w:r>
        <w:rPr>
          <w:b w:val="0"/>
          <w:sz w:val="20"/>
        </w:rPr>
        <w:t>31</w:t>
      </w:r>
      <w:r w:rsidRPr="00DA6128">
        <w:rPr>
          <w:b w:val="0"/>
          <w:sz w:val="20"/>
        </w:rPr>
        <w:t xml:space="preserve">% POSs) =  </w:t>
      </w:r>
      <w:r w:rsidRPr="00FD304A">
        <w:rPr>
          <w:b w:val="0"/>
          <w:sz w:val="20"/>
        </w:rPr>
        <w:t>8,481</w:t>
      </w:r>
      <w:r>
        <w:rPr>
          <w:b w:val="0"/>
        </w:rPr>
        <w:t xml:space="preserve"> </w:t>
      </w:r>
      <w:r w:rsidRPr="00DA6128">
        <w:rPr>
          <w:b w:val="0"/>
          <w:sz w:val="20"/>
        </w:rPr>
        <w:t>affected plans</w:t>
      </w:r>
      <w:r>
        <w:rPr>
          <w:b w:val="0"/>
          <w:sz w:val="20"/>
        </w:rPr>
        <w:t>; 2022:</w:t>
      </w:r>
      <w:r w:rsidRPr="001213DB">
        <w:rPr>
          <w:b w:val="0"/>
          <w:sz w:val="20"/>
        </w:rPr>
        <w:t xml:space="preserve"> 2.5 million ERISA-covered plans x 16% grandfathered plans x (100% minus 5% newly non-grandfathered plans) x (11% HMOs + 31% POSs) = 161,148 affected plans</w:t>
      </w:r>
      <w:r>
        <w:rPr>
          <w:b w:val="0"/>
          <w:sz w:val="20"/>
        </w:rPr>
        <w:t>; 2023:</w:t>
      </w:r>
      <w:r w:rsidRPr="0005154C">
        <w:rPr>
          <w:b w:val="0"/>
          <w:bCs w:val="0"/>
          <w:iCs/>
          <w:sz w:val="24"/>
          <w:szCs w:val="24"/>
        </w:rPr>
        <w:t xml:space="preserve"> </w:t>
      </w:r>
      <w:r w:rsidRPr="0005154C">
        <w:rPr>
          <w:b w:val="0"/>
          <w:iCs/>
          <w:sz w:val="20"/>
        </w:rPr>
        <w:t>There will be no additional costs in 2023 to prepare the notice, since all plans and issuers will have incurred the cost by 2022.</w:t>
      </w:r>
    </w:p>
  </w:footnote>
  <w:footnote w:id="6">
    <w:p w14:paraId="4C36B5E2" w14:textId="77777777" w:rsidR="00537EA3" w:rsidRPr="00195264" w:rsidRDefault="00537EA3" w:rsidP="00537EA3">
      <w:pPr>
        <w:pStyle w:val="FootnoteText"/>
        <w:rPr>
          <w:b w:val="0"/>
          <w:sz w:val="20"/>
        </w:rPr>
      </w:pPr>
      <w:r w:rsidRPr="000641A7">
        <w:rPr>
          <w:rStyle w:val="FootnoteReference"/>
          <w:b w:val="0"/>
          <w:sz w:val="20"/>
          <w:vertAlign w:val="superscript"/>
        </w:rPr>
        <w:footnoteRef/>
      </w:r>
      <w:r w:rsidRPr="000641A7">
        <w:rPr>
          <w:b w:val="0"/>
          <w:sz w:val="20"/>
          <w:vertAlign w:val="superscript"/>
        </w:rPr>
        <w:t xml:space="preserve"> </w:t>
      </w:r>
      <w:r w:rsidRPr="00195264">
        <w:rPr>
          <w:b w:val="0"/>
          <w:sz w:val="20"/>
        </w:rPr>
        <w:t>2021: 62.6 million ERISA-covered policyholders x 14% of covered employees in grandfathered plans x 5% newly non-grandfathered plans x (13% in HMOs + 8% in POSs)</w:t>
      </w:r>
      <w:r w:rsidRPr="00195264">
        <w:rPr>
          <w:b w:val="0"/>
          <w:iCs/>
          <w:sz w:val="20"/>
        </w:rPr>
        <w:t xml:space="preserve"> *41.8% </w:t>
      </w:r>
      <w:r w:rsidRPr="00195264">
        <w:rPr>
          <w:b w:val="0"/>
          <w:sz w:val="20"/>
        </w:rPr>
        <w:t xml:space="preserve"> = 38,439</w:t>
      </w:r>
      <w:r w:rsidRPr="00195264" w:rsidDel="001C7F0F">
        <w:rPr>
          <w:b w:val="0"/>
          <w:sz w:val="20"/>
        </w:rPr>
        <w:t xml:space="preserve"> </w:t>
      </w:r>
      <w:r w:rsidRPr="00195264">
        <w:rPr>
          <w:b w:val="0"/>
          <w:sz w:val="20"/>
        </w:rPr>
        <w:t>notices; 2022:  62.6 million ERISA-covered policyholders x 14% of covered employees in grandfathered plans x (100% minus 5% newly non-grandfathered plans) x (13% in HMOs + 8% in POSs) *41.8%  = 730,346 notices</w:t>
      </w:r>
      <w:r>
        <w:rPr>
          <w:b w:val="0"/>
          <w:sz w:val="20"/>
        </w:rPr>
        <w:t xml:space="preserve">; 2023: </w:t>
      </w:r>
      <w:r w:rsidRPr="0005154C">
        <w:rPr>
          <w:b w:val="0"/>
          <w:iCs/>
          <w:sz w:val="20"/>
        </w:rPr>
        <w:t>There will be no additional costs in 2023 to prepare the notice, since all plans and issuers will have incurred the cost by 2022.</w:t>
      </w:r>
    </w:p>
    <w:p w14:paraId="69EC6C0D" w14:textId="77777777" w:rsidR="00537EA3" w:rsidRDefault="00537EA3" w:rsidP="00537EA3">
      <w:pPr>
        <w:pStyle w:val="FootnoteText"/>
      </w:pPr>
    </w:p>
  </w:footnote>
  <w:footnote w:id="7">
    <w:p w14:paraId="2DFA1D78" w14:textId="77777777" w:rsidR="001E13AC" w:rsidRDefault="001E13AC" w:rsidP="00D348E9">
      <w:r w:rsidRPr="00D348E9">
        <w:rPr>
          <w:rStyle w:val="FootnoteReference"/>
          <w:b w:val="0"/>
          <w:vertAlign w:val="superscript"/>
        </w:rPr>
        <w:footnoteRef/>
      </w:r>
      <w:r w:rsidRPr="00D348E9">
        <w:rPr>
          <w:b w:val="0"/>
        </w:rPr>
        <w:t xml:space="preserve"> </w:t>
      </w:r>
      <w:r w:rsidR="002E0C41" w:rsidRPr="002E0C41">
        <w:rPr>
          <w:b w:val="0"/>
          <w:color w:val="000000"/>
        </w:rPr>
        <w:t>According to data from the National Telecommunications and Information Agency (NTIA), 40.0 percent of individuals age 25 and over have access to the Internet at work.  According to a Greenwald &amp; Associates survey, 84 percent of plan participants find it acceptable to make electronic delivery the default option, which is used as the proxy for the number of participants who will not opt-out of electronic disclosure that are automatically enrolled (for a total of 33.6 percent receiving electronic disclosure at work).  Additionally, the NTIA reports that 40.4 percent of individuals age 25 and over have access to the internet outside of work.  According to a Pew Research Center survey, 61.0 percent of internet users use online banking, which is used as the proxy for the number of internet users who will affirmatively consent to receiving  electronic disclosures (for a total of 24.7 percent receiving electronic disclosure outside of work).  Combining the 33.6 percent who receive electronic disclosure at work with the 24.7 percent who receive electronic disclosure outside of work produces a total of 58.2 percent who will receive electronic disclosure overall.</w:t>
      </w:r>
    </w:p>
  </w:footnote>
  <w:footnote w:id="8">
    <w:p w14:paraId="6F4949E6" w14:textId="77777777" w:rsidR="006F1E10" w:rsidRPr="00286082" w:rsidRDefault="006F1E10" w:rsidP="006F1E10">
      <w:pPr>
        <w:pStyle w:val="FootnoteText"/>
        <w:rPr>
          <w:b w:val="0"/>
          <w:sz w:val="20"/>
        </w:rPr>
      </w:pPr>
      <w:r w:rsidRPr="00286082">
        <w:rPr>
          <w:rStyle w:val="FootnoteReference"/>
          <w:b w:val="0"/>
          <w:sz w:val="20"/>
          <w:vertAlign w:val="superscript"/>
        </w:rPr>
        <w:footnoteRef/>
      </w:r>
      <w:r w:rsidRPr="00286082">
        <w:rPr>
          <w:b w:val="0"/>
          <w:sz w:val="20"/>
        </w:rPr>
        <w:t xml:space="preserve"> </w:t>
      </w:r>
      <w:r w:rsidR="001C7F0F">
        <w:rPr>
          <w:b w:val="0"/>
          <w:sz w:val="20"/>
        </w:rPr>
        <w:t>2021: 62.6</w:t>
      </w:r>
      <w:r w:rsidR="004E7BB0" w:rsidRPr="00286082">
        <w:rPr>
          <w:b w:val="0"/>
          <w:sz w:val="20"/>
        </w:rPr>
        <w:t xml:space="preserve"> million</w:t>
      </w:r>
      <w:r w:rsidRPr="00286082">
        <w:rPr>
          <w:b w:val="0"/>
          <w:sz w:val="20"/>
        </w:rPr>
        <w:t xml:space="preserve"> ERISA-covered p</w:t>
      </w:r>
      <w:r w:rsidR="009F7D76" w:rsidRPr="00286082">
        <w:rPr>
          <w:b w:val="0"/>
          <w:sz w:val="20"/>
        </w:rPr>
        <w:t>olicyholders</w:t>
      </w:r>
      <w:r w:rsidRPr="00286082">
        <w:rPr>
          <w:b w:val="0"/>
          <w:sz w:val="20"/>
        </w:rPr>
        <w:t xml:space="preserve"> x </w:t>
      </w:r>
      <w:r w:rsidR="00BB0D93">
        <w:rPr>
          <w:b w:val="0"/>
          <w:sz w:val="20"/>
        </w:rPr>
        <w:t xml:space="preserve">14% of covered employees in grandfathered plans x </w:t>
      </w:r>
      <w:r w:rsidR="00E263AD" w:rsidRPr="00286082">
        <w:rPr>
          <w:b w:val="0"/>
          <w:sz w:val="20"/>
        </w:rPr>
        <w:t>5% newly non-grandfathered plans x (</w:t>
      </w:r>
      <w:r w:rsidR="00A54199">
        <w:rPr>
          <w:b w:val="0"/>
          <w:sz w:val="20"/>
        </w:rPr>
        <w:t>13</w:t>
      </w:r>
      <w:r w:rsidR="00E263AD" w:rsidRPr="00286082">
        <w:rPr>
          <w:b w:val="0"/>
          <w:sz w:val="20"/>
        </w:rPr>
        <w:t xml:space="preserve">% in HMOs + </w:t>
      </w:r>
      <w:r w:rsidR="00A54199">
        <w:rPr>
          <w:b w:val="0"/>
          <w:sz w:val="20"/>
        </w:rPr>
        <w:t>8</w:t>
      </w:r>
      <w:r w:rsidR="00E263AD" w:rsidRPr="00286082">
        <w:rPr>
          <w:b w:val="0"/>
          <w:sz w:val="20"/>
        </w:rPr>
        <w:t>% in POSs)</w:t>
      </w:r>
      <w:r w:rsidR="00261A27" w:rsidRPr="00261A27">
        <w:rPr>
          <w:b w:val="0"/>
          <w:bCs w:val="0"/>
          <w:iCs/>
          <w:sz w:val="20"/>
        </w:rPr>
        <w:t xml:space="preserve"> </w:t>
      </w:r>
      <w:r w:rsidR="00261A27" w:rsidRPr="00286082">
        <w:rPr>
          <w:b w:val="0"/>
          <w:bCs w:val="0"/>
          <w:iCs/>
          <w:sz w:val="20"/>
        </w:rPr>
        <w:t>*</w:t>
      </w:r>
      <w:r w:rsidR="00261A27">
        <w:rPr>
          <w:b w:val="0"/>
          <w:bCs w:val="0"/>
          <w:iCs/>
          <w:sz w:val="20"/>
        </w:rPr>
        <w:t>41.8</w:t>
      </w:r>
      <w:r w:rsidR="00261A27" w:rsidRPr="00286082">
        <w:rPr>
          <w:b w:val="0"/>
          <w:bCs w:val="0"/>
          <w:iCs/>
          <w:sz w:val="20"/>
        </w:rPr>
        <w:t xml:space="preserve">% </w:t>
      </w:r>
      <w:r w:rsidR="00E263AD" w:rsidRPr="00286082">
        <w:rPr>
          <w:b w:val="0"/>
          <w:sz w:val="20"/>
        </w:rPr>
        <w:t xml:space="preserve"> </w:t>
      </w:r>
      <w:r w:rsidRPr="00286082">
        <w:rPr>
          <w:b w:val="0"/>
          <w:sz w:val="20"/>
        </w:rPr>
        <w:t xml:space="preserve">= </w:t>
      </w:r>
      <w:r w:rsidR="00BB0D93" w:rsidRPr="00BB0D93">
        <w:rPr>
          <w:b w:val="0"/>
          <w:sz w:val="20"/>
        </w:rPr>
        <w:t>38,439</w:t>
      </w:r>
      <w:r w:rsidR="00BB0D93" w:rsidRPr="00BB0D93" w:rsidDel="001C7F0F">
        <w:rPr>
          <w:b w:val="0"/>
          <w:sz w:val="20"/>
        </w:rPr>
        <w:t xml:space="preserve"> </w:t>
      </w:r>
      <w:r w:rsidR="009F7D76" w:rsidRPr="00286082">
        <w:rPr>
          <w:b w:val="0"/>
          <w:sz w:val="20"/>
        </w:rPr>
        <w:t>notices</w:t>
      </w:r>
      <w:r w:rsidR="000C6525">
        <w:rPr>
          <w:b w:val="0"/>
          <w:sz w:val="20"/>
        </w:rPr>
        <w:t>;</w:t>
      </w:r>
      <w:r w:rsidR="001C7F0F">
        <w:rPr>
          <w:b w:val="0"/>
          <w:sz w:val="20"/>
        </w:rPr>
        <w:t xml:space="preserve"> 2022:</w:t>
      </w:r>
      <w:r w:rsidR="001C7F0F" w:rsidRPr="001C7F0F">
        <w:t xml:space="preserve"> </w:t>
      </w:r>
      <w:r w:rsidR="001C7F0F">
        <w:t xml:space="preserve"> </w:t>
      </w:r>
      <w:r w:rsidR="001C7F0F" w:rsidRPr="001C7F0F">
        <w:rPr>
          <w:b w:val="0"/>
          <w:sz w:val="20"/>
        </w:rPr>
        <w:t xml:space="preserve">62.6 million ERISA-covered policyholders x </w:t>
      </w:r>
      <w:r w:rsidR="00BB0D93" w:rsidRPr="00BB0D93">
        <w:rPr>
          <w:b w:val="0"/>
          <w:sz w:val="20"/>
        </w:rPr>
        <w:t xml:space="preserve">14% of covered employees in grandfathered plans </w:t>
      </w:r>
      <w:r w:rsidR="00BB0D93">
        <w:rPr>
          <w:b w:val="0"/>
          <w:sz w:val="20"/>
        </w:rPr>
        <w:t xml:space="preserve">x </w:t>
      </w:r>
      <w:r w:rsidR="001C7F0F">
        <w:rPr>
          <w:b w:val="0"/>
          <w:sz w:val="20"/>
        </w:rPr>
        <w:t xml:space="preserve">(100% minus </w:t>
      </w:r>
      <w:r w:rsidR="001C7F0F" w:rsidRPr="001C7F0F">
        <w:rPr>
          <w:b w:val="0"/>
          <w:sz w:val="20"/>
        </w:rPr>
        <w:t>5% newly non-grandfathered plans</w:t>
      </w:r>
      <w:r w:rsidR="001C7F0F">
        <w:rPr>
          <w:b w:val="0"/>
          <w:sz w:val="20"/>
        </w:rPr>
        <w:t>)</w:t>
      </w:r>
      <w:r w:rsidR="001C7F0F" w:rsidRPr="001C7F0F">
        <w:rPr>
          <w:b w:val="0"/>
          <w:sz w:val="20"/>
        </w:rPr>
        <w:t xml:space="preserve"> x (</w:t>
      </w:r>
      <w:r w:rsidR="00A54199">
        <w:rPr>
          <w:b w:val="0"/>
          <w:sz w:val="20"/>
        </w:rPr>
        <w:t>13</w:t>
      </w:r>
      <w:r w:rsidR="001C7F0F" w:rsidRPr="001C7F0F">
        <w:rPr>
          <w:b w:val="0"/>
          <w:sz w:val="20"/>
        </w:rPr>
        <w:t xml:space="preserve">% in HMOs + </w:t>
      </w:r>
      <w:r w:rsidR="00A54199">
        <w:rPr>
          <w:b w:val="0"/>
          <w:sz w:val="20"/>
        </w:rPr>
        <w:t>8</w:t>
      </w:r>
      <w:r w:rsidR="001C7F0F" w:rsidRPr="001C7F0F">
        <w:rPr>
          <w:b w:val="0"/>
          <w:sz w:val="20"/>
        </w:rPr>
        <w:t>% in POSs)</w:t>
      </w:r>
      <w:r w:rsidR="00261A27" w:rsidRPr="00261A27">
        <w:t xml:space="preserve"> </w:t>
      </w:r>
      <w:r w:rsidR="00261A27">
        <w:rPr>
          <w:b w:val="0"/>
          <w:sz w:val="20"/>
        </w:rPr>
        <w:t xml:space="preserve">*41.8% </w:t>
      </w:r>
      <w:r w:rsidR="001C7F0F" w:rsidRPr="001C7F0F">
        <w:rPr>
          <w:b w:val="0"/>
          <w:sz w:val="20"/>
        </w:rPr>
        <w:t xml:space="preserve"> = </w:t>
      </w:r>
      <w:r w:rsidR="00BB0D93" w:rsidRPr="00BB0D93">
        <w:rPr>
          <w:b w:val="0"/>
          <w:sz w:val="20"/>
        </w:rPr>
        <w:t xml:space="preserve">730,346 </w:t>
      </w:r>
      <w:r w:rsidR="001C7F0F" w:rsidRPr="001C7F0F">
        <w:rPr>
          <w:b w:val="0"/>
          <w:sz w:val="20"/>
        </w:rPr>
        <w:t>notices</w:t>
      </w:r>
    </w:p>
  </w:footnote>
  <w:footnote w:id="9">
    <w:p w14:paraId="69A4FD6E" w14:textId="77777777" w:rsidR="00355D6B" w:rsidRPr="00286082" w:rsidRDefault="00355D6B">
      <w:pPr>
        <w:pStyle w:val="FootnoteText"/>
        <w:rPr>
          <w:b w:val="0"/>
          <w:sz w:val="20"/>
        </w:rPr>
      </w:pPr>
      <w:r w:rsidRPr="00286082">
        <w:rPr>
          <w:rStyle w:val="FootnoteReference"/>
          <w:b w:val="0"/>
          <w:sz w:val="20"/>
          <w:vertAlign w:val="superscript"/>
        </w:rPr>
        <w:footnoteRef/>
      </w:r>
      <w:r w:rsidRPr="00286082">
        <w:rPr>
          <w:b w:val="0"/>
          <w:sz w:val="20"/>
        </w:rPr>
        <w:t xml:space="preserve"> </w:t>
      </w:r>
      <w:r w:rsidR="000C6525">
        <w:rPr>
          <w:b w:val="0"/>
          <w:sz w:val="20"/>
        </w:rPr>
        <w:t xml:space="preserve">2021: </w:t>
      </w:r>
      <w:r w:rsidRPr="00286082">
        <w:rPr>
          <w:b w:val="0"/>
          <w:bCs w:val="0"/>
          <w:iCs/>
          <w:sz w:val="20"/>
        </w:rPr>
        <w:t xml:space="preserve">$0.05 per page*1/2 pages per notice * </w:t>
      </w:r>
      <w:r w:rsidR="00BB0D93" w:rsidRPr="00BB0D93">
        <w:rPr>
          <w:b w:val="0"/>
          <w:bCs w:val="0"/>
          <w:iCs/>
          <w:sz w:val="20"/>
        </w:rPr>
        <w:t xml:space="preserve">38,439 </w:t>
      </w:r>
      <w:r w:rsidRPr="00286082">
        <w:rPr>
          <w:b w:val="0"/>
          <w:bCs w:val="0"/>
          <w:iCs/>
          <w:sz w:val="20"/>
        </w:rPr>
        <w:t>notices</w:t>
      </w:r>
      <w:r w:rsidR="00242D01">
        <w:rPr>
          <w:b w:val="0"/>
          <w:bCs w:val="0"/>
          <w:iCs/>
          <w:sz w:val="20"/>
        </w:rPr>
        <w:t xml:space="preserve"> </w:t>
      </w:r>
      <w:r w:rsidR="00F80844" w:rsidRPr="00286082">
        <w:rPr>
          <w:b w:val="0"/>
          <w:bCs w:val="0"/>
          <w:iCs/>
          <w:sz w:val="20"/>
        </w:rPr>
        <w:t xml:space="preserve">= </w:t>
      </w:r>
      <w:r w:rsidR="00BB0D93" w:rsidRPr="00BB0D93">
        <w:rPr>
          <w:b w:val="0"/>
          <w:bCs w:val="0"/>
          <w:iCs/>
          <w:sz w:val="20"/>
        </w:rPr>
        <w:t>$961</w:t>
      </w:r>
      <w:r w:rsidR="000C6525">
        <w:rPr>
          <w:b w:val="0"/>
          <w:bCs w:val="0"/>
          <w:iCs/>
          <w:sz w:val="20"/>
        </w:rPr>
        <w:t>; 2022</w:t>
      </w:r>
      <w:r w:rsidR="000C6525" w:rsidRPr="000C6525">
        <w:rPr>
          <w:b w:val="0"/>
          <w:bCs w:val="0"/>
          <w:iCs/>
          <w:sz w:val="20"/>
        </w:rPr>
        <w:t xml:space="preserve">: $0.05 per page*1/2 pages per notice * </w:t>
      </w:r>
      <w:r w:rsidR="00BB0D93" w:rsidRPr="00BB0D93">
        <w:rPr>
          <w:b w:val="0"/>
          <w:bCs w:val="0"/>
          <w:iCs/>
          <w:sz w:val="20"/>
        </w:rPr>
        <w:t xml:space="preserve">730,346 </w:t>
      </w:r>
      <w:r w:rsidR="005777F5">
        <w:rPr>
          <w:b w:val="0"/>
          <w:bCs w:val="0"/>
          <w:iCs/>
          <w:sz w:val="20"/>
        </w:rPr>
        <w:t xml:space="preserve">notices </w:t>
      </w:r>
      <w:r w:rsidR="000C6525" w:rsidRPr="000C6525">
        <w:rPr>
          <w:b w:val="0"/>
          <w:bCs w:val="0"/>
          <w:iCs/>
          <w:sz w:val="20"/>
        </w:rPr>
        <w:t xml:space="preserve">= </w:t>
      </w:r>
      <w:r w:rsidR="00BB0D93" w:rsidRPr="00BB0D93">
        <w:rPr>
          <w:b w:val="0"/>
          <w:bCs w:val="0"/>
          <w:iCs/>
          <w:sz w:val="20"/>
        </w:rPr>
        <w:t>$18,259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61B25" w14:textId="77777777" w:rsidR="00772D76" w:rsidRDefault="00F37BF1" w:rsidP="00C873C1">
    <w:pPr>
      <w:pStyle w:val="Header"/>
      <w:rPr>
        <w:b w:val="0"/>
        <w:bCs w:val="0"/>
      </w:rPr>
    </w:pPr>
    <w:r>
      <w:rPr>
        <w:b w:val="0"/>
        <w:bCs w:val="0"/>
      </w:rPr>
      <w:t>Affordable Care Act Patient Protection Notice</w:t>
    </w:r>
  </w:p>
  <w:p w14:paraId="7CDC32DA" w14:textId="77777777" w:rsidR="00F37BF1" w:rsidRDefault="00772D76" w:rsidP="00C873C1">
    <w:pPr>
      <w:pStyle w:val="Header"/>
      <w:rPr>
        <w:b w:val="0"/>
        <w:bCs w:val="0"/>
      </w:rPr>
    </w:pPr>
    <w:r>
      <w:rPr>
        <w:b w:val="0"/>
        <w:bCs w:val="0"/>
      </w:rPr>
      <w:t>OMB Control Number 1210-0142</w:t>
    </w:r>
  </w:p>
  <w:p w14:paraId="2697E24A" w14:textId="77777777" w:rsidR="00772D76" w:rsidRDefault="00772D7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02CE3F56"/>
    <w:multiLevelType w:val="hybridMultilevel"/>
    <w:tmpl w:val="4C8AA262"/>
    <w:lvl w:ilvl="0" w:tplc="0409000F">
      <w:start w:val="12"/>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E9520A"/>
    <w:multiLevelType w:val="hybridMultilevel"/>
    <w:tmpl w:val="1F6CD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D702F"/>
    <w:multiLevelType w:val="hybridMultilevel"/>
    <w:tmpl w:val="374A7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36435"/>
    <w:multiLevelType w:val="hybridMultilevel"/>
    <w:tmpl w:val="7FCA0D88"/>
    <w:lvl w:ilvl="0" w:tplc="6EE48C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D52C5C"/>
    <w:multiLevelType w:val="hybridMultilevel"/>
    <w:tmpl w:val="FD9E36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C976E0"/>
    <w:multiLevelType w:val="hybridMultilevel"/>
    <w:tmpl w:val="7FCA0D88"/>
    <w:lvl w:ilvl="0" w:tplc="6EE48C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046665"/>
    <w:multiLevelType w:val="hybridMultilevel"/>
    <w:tmpl w:val="DAB4BFAA"/>
    <w:lvl w:ilvl="0" w:tplc="6EE48C1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31B7955"/>
    <w:multiLevelType w:val="hybridMultilevel"/>
    <w:tmpl w:val="EE445E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6776E6A"/>
    <w:multiLevelType w:val="hybridMultilevel"/>
    <w:tmpl w:val="39C23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C43160"/>
    <w:multiLevelType w:val="hybridMultilevel"/>
    <w:tmpl w:val="59800D40"/>
    <w:lvl w:ilvl="0" w:tplc="04090015">
      <w:start w:val="1"/>
      <w:numFmt w:val="upperLetter"/>
      <w:lvlText w:val="%1."/>
      <w:lvlJc w:val="left"/>
      <w:pPr>
        <w:ind w:left="720" w:hanging="360"/>
      </w:pPr>
      <w:rPr>
        <w:rFonts w:hint="default"/>
      </w:rPr>
    </w:lvl>
    <w:lvl w:ilvl="1" w:tplc="B4AA7A96">
      <w:start w:val="1"/>
      <w:numFmt w:val="decimal"/>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1251EF"/>
    <w:multiLevelType w:val="hybridMultilevel"/>
    <w:tmpl w:val="F20A0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744CE3"/>
    <w:multiLevelType w:val="hybridMultilevel"/>
    <w:tmpl w:val="D4B82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DF4E66"/>
    <w:multiLevelType w:val="hybridMultilevel"/>
    <w:tmpl w:val="DAB4BF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45D1452"/>
    <w:multiLevelType w:val="hybridMultilevel"/>
    <w:tmpl w:val="7F6856F4"/>
    <w:lvl w:ilvl="0" w:tplc="0409000F">
      <w:start w:val="3"/>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75C7E3E"/>
    <w:multiLevelType w:val="hybridMultilevel"/>
    <w:tmpl w:val="B6DEF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9F9564E"/>
    <w:multiLevelType w:val="hybridMultilevel"/>
    <w:tmpl w:val="825A324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A77378A"/>
    <w:multiLevelType w:val="hybridMultilevel"/>
    <w:tmpl w:val="B052C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B210FF"/>
    <w:multiLevelType w:val="hybridMultilevel"/>
    <w:tmpl w:val="6BC62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C40C23"/>
    <w:multiLevelType w:val="hybridMultilevel"/>
    <w:tmpl w:val="F1CA5354"/>
    <w:lvl w:ilvl="0" w:tplc="0409000F">
      <w:start w:val="12"/>
      <w:numFmt w:val="decimal"/>
      <w:lvlText w:val="%1."/>
      <w:lvlJc w:val="left"/>
      <w:pPr>
        <w:tabs>
          <w:tab w:val="num" w:pos="720"/>
        </w:tabs>
        <w:ind w:left="720" w:hanging="360"/>
      </w:pPr>
      <w:rPr>
        <w:rFonts w:hint="default"/>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4D2F16"/>
    <w:multiLevelType w:val="hybridMultilevel"/>
    <w:tmpl w:val="51D015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45D5E05"/>
    <w:multiLevelType w:val="hybridMultilevel"/>
    <w:tmpl w:val="6074B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1E7705"/>
    <w:multiLevelType w:val="hybridMultilevel"/>
    <w:tmpl w:val="7332A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5A3AA1"/>
    <w:multiLevelType w:val="hybridMultilevel"/>
    <w:tmpl w:val="684A80C6"/>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9893E43"/>
    <w:multiLevelType w:val="hybridMultilevel"/>
    <w:tmpl w:val="86AAC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7A2FFB"/>
    <w:multiLevelType w:val="hybridMultilevel"/>
    <w:tmpl w:val="C6CE7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D613C92"/>
    <w:multiLevelType w:val="hybridMultilevel"/>
    <w:tmpl w:val="D2CE9F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D980210"/>
    <w:multiLevelType w:val="hybridMultilevel"/>
    <w:tmpl w:val="85406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500C4B"/>
    <w:multiLevelType w:val="hybridMultilevel"/>
    <w:tmpl w:val="A7A26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33596B"/>
    <w:multiLevelType w:val="hybridMultilevel"/>
    <w:tmpl w:val="5EBCA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3E6504"/>
    <w:multiLevelType w:val="hybridMultilevel"/>
    <w:tmpl w:val="2160CE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C7259B"/>
    <w:multiLevelType w:val="hybridMultilevel"/>
    <w:tmpl w:val="E19C9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316EE5"/>
    <w:multiLevelType w:val="hybridMultilevel"/>
    <w:tmpl w:val="5634813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C1548D4"/>
    <w:multiLevelType w:val="hybridMultilevel"/>
    <w:tmpl w:val="577CA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C3EF8"/>
    <w:multiLevelType w:val="hybridMultilevel"/>
    <w:tmpl w:val="DB04E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912CF6"/>
    <w:multiLevelType w:val="hybridMultilevel"/>
    <w:tmpl w:val="3048A8EA"/>
    <w:lvl w:ilvl="0" w:tplc="0409000F">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1AA025A"/>
    <w:multiLevelType w:val="hybridMultilevel"/>
    <w:tmpl w:val="D0B0AE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A1F6E23"/>
    <w:multiLevelType w:val="hybridMultilevel"/>
    <w:tmpl w:val="469AF0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FB67B0F"/>
    <w:multiLevelType w:val="hybridMultilevel"/>
    <w:tmpl w:val="631CA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0B6FE3"/>
    <w:multiLevelType w:val="hybridMultilevel"/>
    <w:tmpl w:val="3F8653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555839"/>
    <w:multiLevelType w:val="hybridMultilevel"/>
    <w:tmpl w:val="981015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1552FF"/>
    <w:multiLevelType w:val="hybridMultilevel"/>
    <w:tmpl w:val="448E853E"/>
    <w:lvl w:ilvl="0" w:tplc="0409000F">
      <w:start w:val="12"/>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86E565B"/>
    <w:multiLevelType w:val="hybridMultilevel"/>
    <w:tmpl w:val="2E8AB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494F7C"/>
    <w:multiLevelType w:val="hybridMultilevel"/>
    <w:tmpl w:val="836E9240"/>
    <w:lvl w:ilvl="0" w:tplc="418A9C14">
      <w:start w:val="13"/>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CB91393"/>
    <w:multiLevelType w:val="hybridMultilevel"/>
    <w:tmpl w:val="37702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FE4577"/>
    <w:multiLevelType w:val="hybridMultilevel"/>
    <w:tmpl w:val="6240B90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7EFB3B6A"/>
    <w:multiLevelType w:val="hybridMultilevel"/>
    <w:tmpl w:val="46187398"/>
    <w:lvl w:ilvl="0" w:tplc="0409000F">
      <w:start w:val="1"/>
      <w:numFmt w:val="decimal"/>
      <w:lvlText w:val="%1."/>
      <w:lvlJc w:val="left"/>
      <w:pPr>
        <w:ind w:left="720" w:hanging="360"/>
      </w:pPr>
    </w:lvl>
    <w:lvl w:ilvl="1" w:tplc="E7B8FFC2">
      <w:start w:val="1"/>
      <w:numFmt w:val="decimal"/>
      <w:lvlText w:val="%2."/>
      <w:lvlJc w:val="left"/>
      <w:pPr>
        <w:ind w:left="1440" w:hanging="360"/>
      </w:pPr>
      <w:rPr>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0"/>
    <w:lvlOverride w:ilvl="0">
      <w:startOverride w:val="3"/>
      <w:lvl w:ilvl="0">
        <w:start w:val="3"/>
        <w:numFmt w:val="decimal"/>
        <w:pStyle w:val="Quick1"/>
        <w:lvlText w:val="%1."/>
        <w:lvlJc w:val="left"/>
      </w:lvl>
    </w:lvlOverride>
  </w:num>
  <w:num w:numId="4">
    <w:abstractNumId w:val="35"/>
  </w:num>
  <w:num w:numId="5">
    <w:abstractNumId w:val="13"/>
  </w:num>
  <w:num w:numId="6">
    <w:abstractNumId w:val="36"/>
  </w:num>
  <w:num w:numId="7">
    <w:abstractNumId w:val="14"/>
  </w:num>
  <w:num w:numId="8">
    <w:abstractNumId w:val="6"/>
  </w:num>
  <w:num w:numId="9">
    <w:abstractNumId w:val="19"/>
  </w:num>
  <w:num w:numId="10">
    <w:abstractNumId w:val="4"/>
  </w:num>
  <w:num w:numId="11">
    <w:abstractNumId w:val="7"/>
  </w:num>
  <w:num w:numId="12">
    <w:abstractNumId w:val="41"/>
  </w:num>
  <w:num w:numId="13">
    <w:abstractNumId w:val="1"/>
  </w:num>
  <w:num w:numId="14">
    <w:abstractNumId w:val="21"/>
  </w:num>
  <w:num w:numId="15">
    <w:abstractNumId w:val="26"/>
  </w:num>
  <w:num w:numId="16">
    <w:abstractNumId w:val="5"/>
  </w:num>
  <w:num w:numId="17">
    <w:abstractNumId w:val="45"/>
  </w:num>
  <w:num w:numId="18">
    <w:abstractNumId w:val="8"/>
  </w:num>
  <w:num w:numId="19">
    <w:abstractNumId w:val="20"/>
  </w:num>
  <w:num w:numId="20">
    <w:abstractNumId w:val="32"/>
  </w:num>
  <w:num w:numId="21">
    <w:abstractNumId w:val="37"/>
  </w:num>
  <w:num w:numId="22">
    <w:abstractNumId w:val="40"/>
  </w:num>
  <w:num w:numId="2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0"/>
  </w:num>
  <w:num w:numId="26">
    <w:abstractNumId w:val="30"/>
  </w:num>
  <w:num w:numId="27">
    <w:abstractNumId w:val="46"/>
  </w:num>
  <w:num w:numId="28">
    <w:abstractNumId w:val="31"/>
  </w:num>
  <w:num w:numId="29">
    <w:abstractNumId w:val="9"/>
  </w:num>
  <w:num w:numId="30">
    <w:abstractNumId w:val="27"/>
  </w:num>
  <w:num w:numId="31">
    <w:abstractNumId w:val="24"/>
  </w:num>
  <w:num w:numId="32">
    <w:abstractNumId w:val="18"/>
  </w:num>
  <w:num w:numId="33">
    <w:abstractNumId w:val="11"/>
  </w:num>
  <w:num w:numId="34">
    <w:abstractNumId w:val="29"/>
  </w:num>
  <w:num w:numId="35">
    <w:abstractNumId w:val="22"/>
  </w:num>
  <w:num w:numId="36">
    <w:abstractNumId w:val="17"/>
  </w:num>
  <w:num w:numId="37">
    <w:abstractNumId w:val="42"/>
  </w:num>
  <w:num w:numId="38">
    <w:abstractNumId w:val="12"/>
  </w:num>
  <w:num w:numId="39">
    <w:abstractNumId w:val="34"/>
  </w:num>
  <w:num w:numId="40">
    <w:abstractNumId w:val="33"/>
  </w:num>
  <w:num w:numId="41">
    <w:abstractNumId w:val="43"/>
  </w:num>
  <w:num w:numId="42">
    <w:abstractNumId w:val="2"/>
  </w:num>
  <w:num w:numId="43">
    <w:abstractNumId w:val="3"/>
  </w:num>
  <w:num w:numId="44">
    <w:abstractNumId w:val="44"/>
  </w:num>
  <w:num w:numId="45">
    <w:abstractNumId w:val="28"/>
  </w:num>
  <w:num w:numId="46">
    <w:abstractNumId w:val="38"/>
  </w:num>
  <w:num w:numId="47">
    <w:abstractNumId w:val="39"/>
  </w:num>
  <w:num w:numId="48">
    <w:abstractNumId w:val="25"/>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A8C"/>
    <w:rsid w:val="0000293D"/>
    <w:rsid w:val="00002C28"/>
    <w:rsid w:val="000148E1"/>
    <w:rsid w:val="00016471"/>
    <w:rsid w:val="00031451"/>
    <w:rsid w:val="00035B44"/>
    <w:rsid w:val="00036592"/>
    <w:rsid w:val="00044933"/>
    <w:rsid w:val="000506A1"/>
    <w:rsid w:val="0005154C"/>
    <w:rsid w:val="00060C17"/>
    <w:rsid w:val="000613CB"/>
    <w:rsid w:val="00063ECB"/>
    <w:rsid w:val="000641A7"/>
    <w:rsid w:val="00065DB6"/>
    <w:rsid w:val="000735EA"/>
    <w:rsid w:val="00076EB4"/>
    <w:rsid w:val="00082771"/>
    <w:rsid w:val="0008341C"/>
    <w:rsid w:val="00092125"/>
    <w:rsid w:val="00097BBB"/>
    <w:rsid w:val="000A0FB5"/>
    <w:rsid w:val="000B41C2"/>
    <w:rsid w:val="000C17A3"/>
    <w:rsid w:val="000C1F27"/>
    <w:rsid w:val="000C450F"/>
    <w:rsid w:val="000C6525"/>
    <w:rsid w:val="000D006B"/>
    <w:rsid w:val="000D3063"/>
    <w:rsid w:val="000E736B"/>
    <w:rsid w:val="000F0248"/>
    <w:rsid w:val="000F19D1"/>
    <w:rsid w:val="000F24C3"/>
    <w:rsid w:val="000F3328"/>
    <w:rsid w:val="000F778A"/>
    <w:rsid w:val="00110716"/>
    <w:rsid w:val="00110A8B"/>
    <w:rsid w:val="00115277"/>
    <w:rsid w:val="001213DB"/>
    <w:rsid w:val="001213F7"/>
    <w:rsid w:val="00123383"/>
    <w:rsid w:val="0014159B"/>
    <w:rsid w:val="00150663"/>
    <w:rsid w:val="0015731A"/>
    <w:rsid w:val="00170248"/>
    <w:rsid w:val="00170CD8"/>
    <w:rsid w:val="00174303"/>
    <w:rsid w:val="0017557D"/>
    <w:rsid w:val="001818F3"/>
    <w:rsid w:val="00181937"/>
    <w:rsid w:val="001912CD"/>
    <w:rsid w:val="00195264"/>
    <w:rsid w:val="001A4462"/>
    <w:rsid w:val="001B37C2"/>
    <w:rsid w:val="001C18D0"/>
    <w:rsid w:val="001C293D"/>
    <w:rsid w:val="001C72CF"/>
    <w:rsid w:val="001C7F0F"/>
    <w:rsid w:val="001D5B76"/>
    <w:rsid w:val="001E0F54"/>
    <w:rsid w:val="001E13AC"/>
    <w:rsid w:val="001E2494"/>
    <w:rsid w:val="001E25C3"/>
    <w:rsid w:val="00200367"/>
    <w:rsid w:val="00203B19"/>
    <w:rsid w:val="00204E75"/>
    <w:rsid w:val="00206798"/>
    <w:rsid w:val="00206DED"/>
    <w:rsid w:val="00215534"/>
    <w:rsid w:val="00232D57"/>
    <w:rsid w:val="00242D01"/>
    <w:rsid w:val="002527A0"/>
    <w:rsid w:val="00261A27"/>
    <w:rsid w:val="00282B87"/>
    <w:rsid w:val="00283957"/>
    <w:rsid w:val="00284D37"/>
    <w:rsid w:val="00286082"/>
    <w:rsid w:val="00292FE6"/>
    <w:rsid w:val="00295560"/>
    <w:rsid w:val="002A3929"/>
    <w:rsid w:val="002A64A9"/>
    <w:rsid w:val="002A749A"/>
    <w:rsid w:val="002B36E2"/>
    <w:rsid w:val="002B48E2"/>
    <w:rsid w:val="002B4BB0"/>
    <w:rsid w:val="002B4F69"/>
    <w:rsid w:val="002B5BA9"/>
    <w:rsid w:val="002C7CB0"/>
    <w:rsid w:val="002D3AE7"/>
    <w:rsid w:val="002E0C41"/>
    <w:rsid w:val="002E3E0D"/>
    <w:rsid w:val="002F6B0D"/>
    <w:rsid w:val="00303003"/>
    <w:rsid w:val="00303F1B"/>
    <w:rsid w:val="0031046A"/>
    <w:rsid w:val="00310FF2"/>
    <w:rsid w:val="003148E9"/>
    <w:rsid w:val="00321123"/>
    <w:rsid w:val="003312F1"/>
    <w:rsid w:val="00345486"/>
    <w:rsid w:val="00355D6B"/>
    <w:rsid w:val="00360FCF"/>
    <w:rsid w:val="00364193"/>
    <w:rsid w:val="0036756A"/>
    <w:rsid w:val="0037793C"/>
    <w:rsid w:val="00380064"/>
    <w:rsid w:val="00380D0F"/>
    <w:rsid w:val="0038773A"/>
    <w:rsid w:val="00390D02"/>
    <w:rsid w:val="003C1CBD"/>
    <w:rsid w:val="003C33DC"/>
    <w:rsid w:val="003C3932"/>
    <w:rsid w:val="003C53F2"/>
    <w:rsid w:val="003E0A27"/>
    <w:rsid w:val="003E1E53"/>
    <w:rsid w:val="003E2784"/>
    <w:rsid w:val="003E65E6"/>
    <w:rsid w:val="004111E2"/>
    <w:rsid w:val="004130DE"/>
    <w:rsid w:val="0042020C"/>
    <w:rsid w:val="004244F4"/>
    <w:rsid w:val="00424E2C"/>
    <w:rsid w:val="00425B89"/>
    <w:rsid w:val="00434AC1"/>
    <w:rsid w:val="00446041"/>
    <w:rsid w:val="00457FA3"/>
    <w:rsid w:val="0046316B"/>
    <w:rsid w:val="00470902"/>
    <w:rsid w:val="0047252F"/>
    <w:rsid w:val="0047302F"/>
    <w:rsid w:val="004773A5"/>
    <w:rsid w:val="004914C3"/>
    <w:rsid w:val="00492D87"/>
    <w:rsid w:val="00492D9A"/>
    <w:rsid w:val="0049601B"/>
    <w:rsid w:val="00497BDE"/>
    <w:rsid w:val="004B1C7A"/>
    <w:rsid w:val="004C770F"/>
    <w:rsid w:val="004E158A"/>
    <w:rsid w:val="004E398C"/>
    <w:rsid w:val="004E7BB0"/>
    <w:rsid w:val="004F340B"/>
    <w:rsid w:val="00517ECB"/>
    <w:rsid w:val="00520331"/>
    <w:rsid w:val="00521438"/>
    <w:rsid w:val="005221FA"/>
    <w:rsid w:val="005228CC"/>
    <w:rsid w:val="005246AB"/>
    <w:rsid w:val="00525212"/>
    <w:rsid w:val="005261DE"/>
    <w:rsid w:val="0053172C"/>
    <w:rsid w:val="00535772"/>
    <w:rsid w:val="005363F7"/>
    <w:rsid w:val="0053655B"/>
    <w:rsid w:val="00537EA3"/>
    <w:rsid w:val="0055244D"/>
    <w:rsid w:val="0056371A"/>
    <w:rsid w:val="00566DEE"/>
    <w:rsid w:val="005736DE"/>
    <w:rsid w:val="005777F5"/>
    <w:rsid w:val="00577D16"/>
    <w:rsid w:val="0058117B"/>
    <w:rsid w:val="00584A89"/>
    <w:rsid w:val="005A4B8C"/>
    <w:rsid w:val="005B3B5A"/>
    <w:rsid w:val="005D3C17"/>
    <w:rsid w:val="005D753E"/>
    <w:rsid w:val="005F0353"/>
    <w:rsid w:val="005F18C8"/>
    <w:rsid w:val="005F4EA5"/>
    <w:rsid w:val="005F5D94"/>
    <w:rsid w:val="00600D15"/>
    <w:rsid w:val="00601F80"/>
    <w:rsid w:val="00611CF8"/>
    <w:rsid w:val="00613109"/>
    <w:rsid w:val="006213C9"/>
    <w:rsid w:val="00623436"/>
    <w:rsid w:val="00637BF8"/>
    <w:rsid w:val="00640AE0"/>
    <w:rsid w:val="00643681"/>
    <w:rsid w:val="00645ADC"/>
    <w:rsid w:val="00645DE7"/>
    <w:rsid w:val="00651AE6"/>
    <w:rsid w:val="00652C4A"/>
    <w:rsid w:val="00667501"/>
    <w:rsid w:val="006734ED"/>
    <w:rsid w:val="00681201"/>
    <w:rsid w:val="00683F65"/>
    <w:rsid w:val="0068484C"/>
    <w:rsid w:val="00684E70"/>
    <w:rsid w:val="00690B0A"/>
    <w:rsid w:val="00696BFE"/>
    <w:rsid w:val="006A0BD2"/>
    <w:rsid w:val="006B0C39"/>
    <w:rsid w:val="006B1D90"/>
    <w:rsid w:val="006C1423"/>
    <w:rsid w:val="006C28F2"/>
    <w:rsid w:val="006D33F9"/>
    <w:rsid w:val="006D6166"/>
    <w:rsid w:val="006F0E4C"/>
    <w:rsid w:val="006F1E10"/>
    <w:rsid w:val="006F5B83"/>
    <w:rsid w:val="007018DF"/>
    <w:rsid w:val="00704DBE"/>
    <w:rsid w:val="007055E6"/>
    <w:rsid w:val="00705B6A"/>
    <w:rsid w:val="00710D1B"/>
    <w:rsid w:val="00711293"/>
    <w:rsid w:val="00720996"/>
    <w:rsid w:val="00722CF4"/>
    <w:rsid w:val="00722D17"/>
    <w:rsid w:val="0072645F"/>
    <w:rsid w:val="00727D81"/>
    <w:rsid w:val="00742A93"/>
    <w:rsid w:val="00742BFF"/>
    <w:rsid w:val="00744BB1"/>
    <w:rsid w:val="00765BE7"/>
    <w:rsid w:val="0077147A"/>
    <w:rsid w:val="00772D76"/>
    <w:rsid w:val="00782EAB"/>
    <w:rsid w:val="00785ED1"/>
    <w:rsid w:val="00790F8F"/>
    <w:rsid w:val="007946E9"/>
    <w:rsid w:val="007A7399"/>
    <w:rsid w:val="007B05BB"/>
    <w:rsid w:val="007B11F3"/>
    <w:rsid w:val="007B62EF"/>
    <w:rsid w:val="007C7910"/>
    <w:rsid w:val="007D31C2"/>
    <w:rsid w:val="007E3948"/>
    <w:rsid w:val="007F0348"/>
    <w:rsid w:val="00800AF8"/>
    <w:rsid w:val="00812DB6"/>
    <w:rsid w:val="00816ABF"/>
    <w:rsid w:val="00822F4C"/>
    <w:rsid w:val="00825B4C"/>
    <w:rsid w:val="00827EB7"/>
    <w:rsid w:val="008324A2"/>
    <w:rsid w:val="00841CA5"/>
    <w:rsid w:val="00846BFD"/>
    <w:rsid w:val="0084773A"/>
    <w:rsid w:val="00855D0F"/>
    <w:rsid w:val="0087097D"/>
    <w:rsid w:val="00876080"/>
    <w:rsid w:val="0087614B"/>
    <w:rsid w:val="00877168"/>
    <w:rsid w:val="00884D13"/>
    <w:rsid w:val="00891FE1"/>
    <w:rsid w:val="008A645C"/>
    <w:rsid w:val="008B07B4"/>
    <w:rsid w:val="008B1062"/>
    <w:rsid w:val="008B32B2"/>
    <w:rsid w:val="008B444B"/>
    <w:rsid w:val="008B58C5"/>
    <w:rsid w:val="008B5B45"/>
    <w:rsid w:val="008C4D5C"/>
    <w:rsid w:val="008C6F2E"/>
    <w:rsid w:val="008D0306"/>
    <w:rsid w:val="008D230B"/>
    <w:rsid w:val="008E22FB"/>
    <w:rsid w:val="008F6D9D"/>
    <w:rsid w:val="00900934"/>
    <w:rsid w:val="00902D27"/>
    <w:rsid w:val="00912617"/>
    <w:rsid w:val="009215E8"/>
    <w:rsid w:val="0092247E"/>
    <w:rsid w:val="00924373"/>
    <w:rsid w:val="00932AF3"/>
    <w:rsid w:val="009346E0"/>
    <w:rsid w:val="00936B6E"/>
    <w:rsid w:val="00941FA3"/>
    <w:rsid w:val="00943844"/>
    <w:rsid w:val="00962A7E"/>
    <w:rsid w:val="00971F14"/>
    <w:rsid w:val="00974F33"/>
    <w:rsid w:val="009825D3"/>
    <w:rsid w:val="0099012A"/>
    <w:rsid w:val="00992B40"/>
    <w:rsid w:val="00995CE3"/>
    <w:rsid w:val="009A08DE"/>
    <w:rsid w:val="009B11BC"/>
    <w:rsid w:val="009D3683"/>
    <w:rsid w:val="009E402B"/>
    <w:rsid w:val="009F7D76"/>
    <w:rsid w:val="00A12A44"/>
    <w:rsid w:val="00A15819"/>
    <w:rsid w:val="00A171CF"/>
    <w:rsid w:val="00A24DEA"/>
    <w:rsid w:val="00A4200B"/>
    <w:rsid w:val="00A43F18"/>
    <w:rsid w:val="00A44FF5"/>
    <w:rsid w:val="00A45DAD"/>
    <w:rsid w:val="00A54199"/>
    <w:rsid w:val="00A6466E"/>
    <w:rsid w:val="00A67A12"/>
    <w:rsid w:val="00A7230A"/>
    <w:rsid w:val="00A73525"/>
    <w:rsid w:val="00A752E0"/>
    <w:rsid w:val="00A857A7"/>
    <w:rsid w:val="00A85E29"/>
    <w:rsid w:val="00A90073"/>
    <w:rsid w:val="00AA1E33"/>
    <w:rsid w:val="00AA343E"/>
    <w:rsid w:val="00AB73A1"/>
    <w:rsid w:val="00AC490B"/>
    <w:rsid w:val="00AE200C"/>
    <w:rsid w:val="00AE7C34"/>
    <w:rsid w:val="00AF047C"/>
    <w:rsid w:val="00AF28C9"/>
    <w:rsid w:val="00AF4EFB"/>
    <w:rsid w:val="00B0011B"/>
    <w:rsid w:val="00B031EF"/>
    <w:rsid w:val="00B05F96"/>
    <w:rsid w:val="00B062B9"/>
    <w:rsid w:val="00B073DA"/>
    <w:rsid w:val="00B114EF"/>
    <w:rsid w:val="00B125C2"/>
    <w:rsid w:val="00B12AE1"/>
    <w:rsid w:val="00B21A8A"/>
    <w:rsid w:val="00B21DE4"/>
    <w:rsid w:val="00B34C10"/>
    <w:rsid w:val="00B36E2E"/>
    <w:rsid w:val="00B448A0"/>
    <w:rsid w:val="00B508FE"/>
    <w:rsid w:val="00B56C1F"/>
    <w:rsid w:val="00B62EB4"/>
    <w:rsid w:val="00B634D0"/>
    <w:rsid w:val="00B67435"/>
    <w:rsid w:val="00B70CDA"/>
    <w:rsid w:val="00B93D10"/>
    <w:rsid w:val="00B96680"/>
    <w:rsid w:val="00BA1AD2"/>
    <w:rsid w:val="00BB0D93"/>
    <w:rsid w:val="00BB1875"/>
    <w:rsid w:val="00BB238A"/>
    <w:rsid w:val="00BB52A2"/>
    <w:rsid w:val="00BC1C6A"/>
    <w:rsid w:val="00BC56D4"/>
    <w:rsid w:val="00BE2F82"/>
    <w:rsid w:val="00BF09EA"/>
    <w:rsid w:val="00BF5C95"/>
    <w:rsid w:val="00C01CB5"/>
    <w:rsid w:val="00C11E41"/>
    <w:rsid w:val="00C159A8"/>
    <w:rsid w:val="00C30C8A"/>
    <w:rsid w:val="00C409E5"/>
    <w:rsid w:val="00C448CF"/>
    <w:rsid w:val="00C50681"/>
    <w:rsid w:val="00C63DF8"/>
    <w:rsid w:val="00C70173"/>
    <w:rsid w:val="00C70BE9"/>
    <w:rsid w:val="00C7252C"/>
    <w:rsid w:val="00C73B72"/>
    <w:rsid w:val="00C80E52"/>
    <w:rsid w:val="00C85D2D"/>
    <w:rsid w:val="00C873C1"/>
    <w:rsid w:val="00CA04EA"/>
    <w:rsid w:val="00CA18CA"/>
    <w:rsid w:val="00CA373C"/>
    <w:rsid w:val="00CA4615"/>
    <w:rsid w:val="00CA6378"/>
    <w:rsid w:val="00CB3B3F"/>
    <w:rsid w:val="00CB6E7A"/>
    <w:rsid w:val="00CC7C51"/>
    <w:rsid w:val="00CF5F16"/>
    <w:rsid w:val="00CF7A23"/>
    <w:rsid w:val="00D006BD"/>
    <w:rsid w:val="00D0110B"/>
    <w:rsid w:val="00D05FF3"/>
    <w:rsid w:val="00D060F9"/>
    <w:rsid w:val="00D073D7"/>
    <w:rsid w:val="00D1578E"/>
    <w:rsid w:val="00D172CA"/>
    <w:rsid w:val="00D25331"/>
    <w:rsid w:val="00D273C6"/>
    <w:rsid w:val="00D27DFC"/>
    <w:rsid w:val="00D348E9"/>
    <w:rsid w:val="00D40DF0"/>
    <w:rsid w:val="00D4116C"/>
    <w:rsid w:val="00D45272"/>
    <w:rsid w:val="00D45E35"/>
    <w:rsid w:val="00D45EF9"/>
    <w:rsid w:val="00D540A9"/>
    <w:rsid w:val="00D55B53"/>
    <w:rsid w:val="00D629F0"/>
    <w:rsid w:val="00D62D12"/>
    <w:rsid w:val="00D6653C"/>
    <w:rsid w:val="00D715B5"/>
    <w:rsid w:val="00D73230"/>
    <w:rsid w:val="00D76F11"/>
    <w:rsid w:val="00D77142"/>
    <w:rsid w:val="00D91761"/>
    <w:rsid w:val="00D96240"/>
    <w:rsid w:val="00D96E61"/>
    <w:rsid w:val="00DA6128"/>
    <w:rsid w:val="00DB582F"/>
    <w:rsid w:val="00E01C03"/>
    <w:rsid w:val="00E05315"/>
    <w:rsid w:val="00E24A23"/>
    <w:rsid w:val="00E263AD"/>
    <w:rsid w:val="00E321A1"/>
    <w:rsid w:val="00E4220C"/>
    <w:rsid w:val="00E42D65"/>
    <w:rsid w:val="00E42DAE"/>
    <w:rsid w:val="00E434B0"/>
    <w:rsid w:val="00E4400D"/>
    <w:rsid w:val="00E4786C"/>
    <w:rsid w:val="00E6436B"/>
    <w:rsid w:val="00E72CA4"/>
    <w:rsid w:val="00E77330"/>
    <w:rsid w:val="00E87B86"/>
    <w:rsid w:val="00E92AF2"/>
    <w:rsid w:val="00E939A6"/>
    <w:rsid w:val="00EB46C0"/>
    <w:rsid w:val="00EB5A4E"/>
    <w:rsid w:val="00ED4177"/>
    <w:rsid w:val="00ED6425"/>
    <w:rsid w:val="00EE278E"/>
    <w:rsid w:val="00EE2D93"/>
    <w:rsid w:val="00EE6077"/>
    <w:rsid w:val="00EF5A8C"/>
    <w:rsid w:val="00F04752"/>
    <w:rsid w:val="00F124F0"/>
    <w:rsid w:val="00F2079B"/>
    <w:rsid w:val="00F32121"/>
    <w:rsid w:val="00F32D85"/>
    <w:rsid w:val="00F37B8A"/>
    <w:rsid w:val="00F37BF1"/>
    <w:rsid w:val="00F40623"/>
    <w:rsid w:val="00F5007C"/>
    <w:rsid w:val="00F5539A"/>
    <w:rsid w:val="00F56CE5"/>
    <w:rsid w:val="00F57B46"/>
    <w:rsid w:val="00F657A8"/>
    <w:rsid w:val="00F65E04"/>
    <w:rsid w:val="00F7076D"/>
    <w:rsid w:val="00F74126"/>
    <w:rsid w:val="00F746FC"/>
    <w:rsid w:val="00F80844"/>
    <w:rsid w:val="00F816B7"/>
    <w:rsid w:val="00F8646E"/>
    <w:rsid w:val="00FA42C1"/>
    <w:rsid w:val="00FB1A6C"/>
    <w:rsid w:val="00FD304A"/>
    <w:rsid w:val="00FD3B92"/>
    <w:rsid w:val="00FE5274"/>
    <w:rsid w:val="00FF4B71"/>
    <w:rsid w:val="00FF59F5"/>
    <w:rsid w:val="00FF7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FDB8375"/>
  <w15:docId w15:val="{4698D49D-57F7-4C77-9EAD-98AF7B679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b/>
      <w:bC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widowControl/>
      <w:ind w:left="720"/>
      <w:outlineLvl w:val="1"/>
    </w:pPr>
    <w:rPr>
      <w:b w:val="0"/>
      <w:bCs w:val="0"/>
      <w:sz w:val="24"/>
    </w:rPr>
  </w:style>
  <w:style w:type="paragraph" w:styleId="Heading3">
    <w:name w:val="heading 3"/>
    <w:basedOn w:val="Normal"/>
    <w:next w:val="Normal"/>
    <w:qFormat/>
    <w:pPr>
      <w:keepNext/>
      <w:widowControl/>
      <w:tabs>
        <w:tab w:val="left" w:pos="-1440"/>
      </w:tabs>
      <w:ind w:left="720" w:hanging="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440"/>
      </w:tabs>
      <w:ind w:left="720"/>
    </w:pPr>
    <w:rPr>
      <w:sz w:val="24"/>
    </w:rPr>
  </w:style>
  <w:style w:type="paragraph" w:styleId="BodyTextIndent2">
    <w:name w:val="Body Text Indent 2"/>
    <w:basedOn w:val="Normal"/>
    <w:pPr>
      <w:tabs>
        <w:tab w:val="left" w:pos="-1440"/>
      </w:tabs>
      <w:ind w:left="1440" w:hanging="720"/>
    </w:pPr>
    <w:rPr>
      <w:sz w:val="24"/>
    </w:rPr>
  </w:style>
  <w:style w:type="paragraph" w:styleId="BodyTextIndent3">
    <w:name w:val="Body Text Indent 3"/>
    <w:basedOn w:val="Normal"/>
    <w:pPr>
      <w:ind w:left="720" w:hanging="720"/>
    </w:pPr>
    <w:rPr>
      <w:i/>
      <w:iCs/>
      <w:sz w:val="24"/>
    </w:rPr>
  </w:style>
  <w:style w:type="paragraph" w:styleId="FootnoteText">
    <w:name w:val="footnote text"/>
    <w:basedOn w:val="Normal"/>
    <w:link w:val="FootnoteTextChar"/>
    <w:semiHidden/>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pPr>
    <w:rPr>
      <w:b w:val="0"/>
      <w:bCs w:val="0"/>
      <w:sz w:val="24"/>
    </w:rPr>
  </w:style>
  <w:style w:type="paragraph" w:styleId="BodyText2">
    <w:name w:val="Body Text 2"/>
    <w:basedOn w:val="Normal"/>
    <w:pPr>
      <w:widowControl/>
      <w:tabs>
        <w:tab w:val="left" w:pos="-1440"/>
      </w:tabs>
    </w:pPr>
    <w:rPr>
      <w:b w:val="0"/>
      <w:bCs w:val="0"/>
      <w:i/>
      <w:iCs/>
    </w:rPr>
  </w:style>
  <w:style w:type="paragraph" w:styleId="BodyText3">
    <w:name w:val="Body Text 3"/>
    <w:basedOn w:val="Normal"/>
    <w:pPr>
      <w:widowControl/>
    </w:pPr>
    <w:rPr>
      <w:i/>
      <w:iCs/>
    </w:rPr>
  </w:style>
  <w:style w:type="character" w:styleId="PageNumber">
    <w:name w:val="page number"/>
    <w:basedOn w:val="DefaultParagraphFont"/>
  </w:style>
  <w:style w:type="paragraph" w:styleId="BalloonText">
    <w:name w:val="Balloon Text"/>
    <w:basedOn w:val="Normal"/>
    <w:semiHidden/>
    <w:rsid w:val="00722CF4"/>
    <w:rPr>
      <w:rFonts w:ascii="Tahoma" w:hAnsi="Tahoma" w:cs="Tahoma"/>
      <w:sz w:val="16"/>
      <w:szCs w:val="16"/>
    </w:rPr>
  </w:style>
  <w:style w:type="character" w:styleId="Hyperlink">
    <w:name w:val="Hyperlink"/>
    <w:rsid w:val="008A645C"/>
    <w:rPr>
      <w:color w:val="0000FF"/>
      <w:u w:val="single"/>
    </w:rPr>
  </w:style>
  <w:style w:type="character" w:styleId="FollowedHyperlink">
    <w:name w:val="FollowedHyperlink"/>
    <w:rsid w:val="008A645C"/>
    <w:rPr>
      <w:color w:val="800080"/>
      <w:u w:val="single"/>
    </w:rPr>
  </w:style>
  <w:style w:type="character" w:customStyle="1" w:styleId="footnoteref">
    <w:name w:val="footnote ref"/>
    <w:rsid w:val="00A73525"/>
  </w:style>
  <w:style w:type="paragraph" w:styleId="Caption">
    <w:name w:val="caption"/>
    <w:basedOn w:val="Normal"/>
    <w:next w:val="Normal"/>
    <w:qFormat/>
    <w:rsid w:val="00A6466E"/>
  </w:style>
  <w:style w:type="character" w:customStyle="1" w:styleId="FootnoteTextChar">
    <w:name w:val="Footnote Text Char"/>
    <w:link w:val="FootnoteText"/>
    <w:semiHidden/>
    <w:rsid w:val="00742A93"/>
    <w:rPr>
      <w:b/>
      <w:bCs/>
      <w:sz w:val="16"/>
      <w:lang w:val="en-US" w:eastAsia="en-US" w:bidi="ar-SA"/>
    </w:rPr>
  </w:style>
  <w:style w:type="character" w:styleId="CommentReference">
    <w:name w:val="annotation reference"/>
    <w:basedOn w:val="DefaultParagraphFont"/>
    <w:rsid w:val="008B5B45"/>
    <w:rPr>
      <w:sz w:val="16"/>
      <w:szCs w:val="16"/>
    </w:rPr>
  </w:style>
  <w:style w:type="paragraph" w:styleId="CommentText">
    <w:name w:val="annotation text"/>
    <w:basedOn w:val="Normal"/>
    <w:link w:val="CommentTextChar"/>
    <w:rsid w:val="008B5B45"/>
  </w:style>
  <w:style w:type="character" w:customStyle="1" w:styleId="CommentTextChar">
    <w:name w:val="Comment Text Char"/>
    <w:basedOn w:val="DefaultParagraphFont"/>
    <w:link w:val="CommentText"/>
    <w:rsid w:val="008B5B45"/>
    <w:rPr>
      <w:b/>
      <w:bCs/>
    </w:rPr>
  </w:style>
  <w:style w:type="paragraph" w:styleId="CommentSubject">
    <w:name w:val="annotation subject"/>
    <w:basedOn w:val="CommentText"/>
    <w:next w:val="CommentText"/>
    <w:link w:val="CommentSubjectChar"/>
    <w:rsid w:val="008B5B45"/>
  </w:style>
  <w:style w:type="character" w:customStyle="1" w:styleId="CommentSubjectChar">
    <w:name w:val="Comment Subject Char"/>
    <w:basedOn w:val="CommentTextChar"/>
    <w:link w:val="CommentSubject"/>
    <w:rsid w:val="008B5B45"/>
    <w:rPr>
      <w:b/>
      <w:bCs/>
    </w:rPr>
  </w:style>
  <w:style w:type="paragraph" w:styleId="Revision">
    <w:name w:val="Revision"/>
    <w:hidden/>
    <w:uiPriority w:val="99"/>
    <w:semiHidden/>
    <w:rsid w:val="006734ED"/>
    <w:rPr>
      <w:b/>
      <w:bCs/>
    </w:rPr>
  </w:style>
  <w:style w:type="paragraph" w:styleId="ListParagraph">
    <w:name w:val="List Paragraph"/>
    <w:basedOn w:val="Normal"/>
    <w:uiPriority w:val="34"/>
    <w:qFormat/>
    <w:rsid w:val="00AC49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64793">
      <w:bodyDiv w:val="1"/>
      <w:marLeft w:val="0"/>
      <w:marRight w:val="0"/>
      <w:marTop w:val="0"/>
      <w:marBottom w:val="0"/>
      <w:divBdr>
        <w:top w:val="none" w:sz="0" w:space="0" w:color="auto"/>
        <w:left w:val="none" w:sz="0" w:space="0" w:color="auto"/>
        <w:bottom w:val="none" w:sz="0" w:space="0" w:color="auto"/>
        <w:right w:val="none" w:sz="0" w:space="0" w:color="auto"/>
      </w:divBdr>
    </w:div>
    <w:div w:id="290020704">
      <w:bodyDiv w:val="1"/>
      <w:marLeft w:val="0"/>
      <w:marRight w:val="0"/>
      <w:marTop w:val="0"/>
      <w:marBottom w:val="0"/>
      <w:divBdr>
        <w:top w:val="none" w:sz="0" w:space="0" w:color="auto"/>
        <w:left w:val="none" w:sz="0" w:space="0" w:color="auto"/>
        <w:bottom w:val="none" w:sz="0" w:space="0" w:color="auto"/>
        <w:right w:val="none" w:sz="0" w:space="0" w:color="auto"/>
      </w:divBdr>
    </w:div>
    <w:div w:id="489293080">
      <w:bodyDiv w:val="1"/>
      <w:marLeft w:val="0"/>
      <w:marRight w:val="0"/>
      <w:marTop w:val="0"/>
      <w:marBottom w:val="0"/>
      <w:divBdr>
        <w:top w:val="none" w:sz="0" w:space="0" w:color="auto"/>
        <w:left w:val="none" w:sz="0" w:space="0" w:color="auto"/>
        <w:bottom w:val="none" w:sz="0" w:space="0" w:color="auto"/>
        <w:right w:val="none" w:sz="0" w:space="0" w:color="auto"/>
      </w:divBdr>
    </w:div>
    <w:div w:id="942880835">
      <w:bodyDiv w:val="1"/>
      <w:marLeft w:val="0"/>
      <w:marRight w:val="0"/>
      <w:marTop w:val="0"/>
      <w:marBottom w:val="0"/>
      <w:divBdr>
        <w:top w:val="none" w:sz="0" w:space="0" w:color="auto"/>
        <w:left w:val="none" w:sz="0" w:space="0" w:color="auto"/>
        <w:bottom w:val="none" w:sz="0" w:space="0" w:color="auto"/>
        <w:right w:val="none" w:sz="0" w:space="0" w:color="auto"/>
      </w:divBdr>
    </w:div>
    <w:div w:id="1088236354">
      <w:bodyDiv w:val="1"/>
      <w:marLeft w:val="0"/>
      <w:marRight w:val="0"/>
      <w:marTop w:val="0"/>
      <w:marBottom w:val="0"/>
      <w:divBdr>
        <w:top w:val="none" w:sz="0" w:space="0" w:color="auto"/>
        <w:left w:val="none" w:sz="0" w:space="0" w:color="auto"/>
        <w:bottom w:val="none" w:sz="0" w:space="0" w:color="auto"/>
        <w:right w:val="none" w:sz="0" w:space="0" w:color="auto"/>
      </w:divBdr>
    </w:div>
    <w:div w:id="1194684077">
      <w:bodyDiv w:val="1"/>
      <w:marLeft w:val="0"/>
      <w:marRight w:val="0"/>
      <w:marTop w:val="0"/>
      <w:marBottom w:val="0"/>
      <w:divBdr>
        <w:top w:val="none" w:sz="0" w:space="0" w:color="auto"/>
        <w:left w:val="none" w:sz="0" w:space="0" w:color="auto"/>
        <w:bottom w:val="none" w:sz="0" w:space="0" w:color="auto"/>
        <w:right w:val="none" w:sz="0" w:space="0" w:color="auto"/>
      </w:divBdr>
    </w:div>
    <w:div w:id="1324895438">
      <w:bodyDiv w:val="1"/>
      <w:marLeft w:val="0"/>
      <w:marRight w:val="0"/>
      <w:marTop w:val="0"/>
      <w:marBottom w:val="0"/>
      <w:divBdr>
        <w:top w:val="none" w:sz="0" w:space="0" w:color="auto"/>
        <w:left w:val="none" w:sz="0" w:space="0" w:color="auto"/>
        <w:bottom w:val="none" w:sz="0" w:space="0" w:color="auto"/>
        <w:right w:val="none" w:sz="0" w:space="0" w:color="auto"/>
      </w:divBdr>
    </w:div>
    <w:div w:id="1450127300">
      <w:bodyDiv w:val="1"/>
      <w:marLeft w:val="0"/>
      <w:marRight w:val="0"/>
      <w:marTop w:val="0"/>
      <w:marBottom w:val="0"/>
      <w:divBdr>
        <w:top w:val="none" w:sz="0" w:space="0" w:color="auto"/>
        <w:left w:val="none" w:sz="0" w:space="0" w:color="auto"/>
        <w:bottom w:val="none" w:sz="0" w:space="0" w:color="auto"/>
        <w:right w:val="none" w:sz="0" w:space="0" w:color="auto"/>
      </w:divBdr>
    </w:div>
    <w:div w:id="187669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F34A5-C0F3-4C0C-A0DC-C46D73262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6DB212-F44F-4552-AE6C-AB05B3F2113A}">
  <ds:schemaRefs>
    <ds:schemaRef ds:uri="http://schemas.microsoft.com/sharepoint/v3/contenttype/forms"/>
  </ds:schemaRefs>
</ds:datastoreItem>
</file>

<file path=customXml/itemProps3.xml><?xml version="1.0" encoding="utf-8"?>
<ds:datastoreItem xmlns:ds="http://schemas.openxmlformats.org/officeDocument/2006/customXml" ds:itemID="{EB41B6F2-0E86-4E53-AE0C-4C006B1B1D2F}">
  <ds:schemaRefs>
    <ds:schemaRef ds:uri="http://purl.org/dc/dcmitype/"/>
    <ds:schemaRef ds:uri="http://schemas.openxmlformats.org/package/2006/metadata/core-properties"/>
    <ds:schemaRef ds:uri="http://schemas.microsoft.com/office/infopath/2007/PartnerControls"/>
    <ds:schemaRef ds:uri="2b487234-2a61-45b0-86e3-998bf12a0e9d"/>
    <ds:schemaRef ds:uri="http://purl.org/dc/terms/"/>
    <ds:schemaRef ds:uri="http://purl.org/dc/elements/1.1/"/>
    <ds:schemaRef ds:uri="http://schemas.microsoft.com/office/2006/metadata/properties"/>
    <ds:schemaRef ds:uri="http://www.w3.org/XML/1998/namespace"/>
    <ds:schemaRef ds:uri="http://schemas.microsoft.com/office/2006/documentManagement/types"/>
    <ds:schemaRef ds:uri="2a1ba486-ff2f-4459-80ac-1ab5aa17f82f"/>
  </ds:schemaRefs>
</ds:datastoreItem>
</file>

<file path=customXml/itemProps4.xml><?xml version="1.0" encoding="utf-8"?>
<ds:datastoreItem xmlns:ds="http://schemas.openxmlformats.org/officeDocument/2006/customXml" ds:itemID="{B7E08BAD-FA78-418C-A702-9C61182DA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11</Pages>
  <Words>3810</Words>
  <Characters>21720</Characters>
  <Application>Microsoft Office Word</Application>
  <DocSecurity>0</DocSecurity>
  <Lines>181</Lines>
  <Paragraphs>50</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SUPPORTING STATEMENT FOR PAPERWORK REDUCTION ACT 1995 SUBMISSIONS</vt:lpstr>
      <vt:lpstr>        Justification</vt:lpstr>
      <vt:lpstr/>
      <vt:lpstr>There are no plans to publish the results of this collection of information.</vt:lpstr>
      <vt:lpstr>There are no exceptions to the certification statement.</vt:lpstr>
      <vt:lpstr/>
      <vt:lpstr>B. 	COLLECTIONS OF INFORMATON EMPLOYING STATISTICAL METHODS. </vt:lpstr>
      <vt:lpstr/>
      <vt:lpstr>Not applicable. </vt:lpstr>
    </vt:vector>
  </TitlesOfParts>
  <Company>U.S. Department of Labor</Company>
  <LinksUpToDate>false</LinksUpToDate>
  <CharactersWithSpaces>25480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MSB</cp:lastModifiedBy>
  <cp:revision>11</cp:revision>
  <cp:lastPrinted>2009-05-11T17:56:00Z</cp:lastPrinted>
  <dcterms:created xsi:type="dcterms:W3CDTF">2021-07-09T16:17:00Z</dcterms:created>
  <dcterms:modified xsi:type="dcterms:W3CDTF">2021-07-13T20:29:00Z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