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3966" w:rsidRDefault="005D3966" w14:paraId="320ED7B0" w14:textId="77777777">
      <w:pPr>
        <w:pStyle w:val="BodyText"/>
        <w:rPr>
          <w:sz w:val="40"/>
        </w:rPr>
      </w:pPr>
    </w:p>
    <w:p w:rsidR="005D3966" w:rsidRDefault="005D3966" w14:paraId="7E753933" w14:textId="77777777">
      <w:pPr>
        <w:pStyle w:val="BodyText"/>
        <w:rPr>
          <w:sz w:val="40"/>
        </w:rPr>
      </w:pPr>
    </w:p>
    <w:p w:rsidR="005D3966" w:rsidRDefault="004C650B" w14:paraId="7220578E" w14:textId="77777777">
      <w:pPr>
        <w:spacing w:before="278"/>
        <w:ind w:left="3212"/>
        <w:rPr>
          <w:rFonts w:ascii="Arial"/>
          <w:b/>
          <w:sz w:val="36"/>
        </w:rPr>
      </w:pPr>
      <w:r>
        <w:pict w14:anchorId="55452106">
          <v:group id="_x0000_s1038" style="position:absolute;left:0;text-align:left;margin-left:166.5pt;margin-top:6.8pt;width:406.8pt;height:5.8pt;z-index:15728640;mso-position-horizontal-relative:page" coordsize="8136,116" coordorigin="3330,136">
            <v:line id="_x0000_s1040" style="position:absolute" strokecolor="#231f20" strokeweight="3pt" from="3330,221" to="11466,221"/>
            <v:line id="_x0000_s1039" style="position:absolute" strokecolor="#231f20" strokeweight=".35347mm" from="3330,146" to="11466,146"/>
            <w10:wrap anchorx="page"/>
          </v:group>
        </w:pict>
      </w:r>
      <w:r>
        <w:pict w14:anchorId="5810CF4D">
          <v:group id="_x0000_s1033" style="position:absolute;left:0;text-align:left;margin-left:46.95pt;margin-top:-32.75pt;width:97pt;height:75.45pt;z-index:15729152;mso-position-horizontal-relative:page" coordsize="1940,1509" coordorigin="939,-655">
            <v:shape id="_x0000_s1037" style="position:absolute;left:1415;top:-655;width:990;height:623" coordsize="990,623" coordorigin="1415,-655" fillcolor="#231f20" stroked="f" o:spt="100" adj="0,,0" path="m1704,-542r-63,38l1583,-456r-50,57l1491,-336r-34,70l1433,-191r-15,78l1415,-33r39,1l1531,-32r38,-1l1575,-119r23,-80l1636,-272r53,-61l1754,-381r-12,-40l1730,-462r-26,-80xm2366,-33r-77,l2328,-32r38,-1xm2112,-543r-49,160l2129,-335r53,62l2221,-200r24,81l2251,-33r154,l2401,-114r-14,-79l2362,-267r-33,-70l2286,-401r-51,-57l2177,-505r-65,-38xm1945,-655r-74,l1799,-645r-68,20l1860,-205r23,-6l1909,-213r51,l2012,-383r-160,l1874,-455r-14,-12l1846,-478r-28,-24l1886,-502r22,-72l1999,-574r,-74l1945,-655xm1960,-213r-51,l1934,-211r24,5l1960,-213xm1909,-428r-14,10l1880,-407r-28,24l1965,-383r-56,-45xm1999,-648r,146l1985,-490r-14,11l1943,-455r22,72l2012,-383r58,-191l2080,-604r5,-22l2017,-646r-18,-2xm1999,-574r-91,l1929,-502r70,l1999,-574xe">
              <v:stroke joinstyle="round"/>
              <v:formulas/>
              <v:path arrowok="t" o:connecttype="segments"/>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6" style="position:absolute;left:2002;top:-337;width:206;height:305" type="#_x0000_t75">
              <v:imagedata o:title="" r:id="rId11"/>
            </v:shape>
            <v:shape id="_x0000_s1035" style="position:absolute;left:1613;top:-336;width:204;height:304" type="#_x0000_t75">
              <v:imagedata o:title="" r:id="rId12"/>
            </v:shape>
            <v:shape id="_x0000_s1034" style="position:absolute;left:939;top:15;width:1940;height:839" alt="PBGC Logo " type="#_x0000_t75">
              <v:imagedata o:title="" r:id="rId13"/>
            </v:shape>
            <w10:wrap anchorx="page"/>
          </v:group>
        </w:pict>
      </w:r>
      <w:r w:rsidR="001C5FE1">
        <w:rPr>
          <w:rFonts w:ascii="Arial"/>
          <w:b/>
          <w:color w:val="231F20"/>
          <w:sz w:val="36"/>
        </w:rPr>
        <w:t>POST-EVENT</w:t>
      </w:r>
      <w:r w:rsidR="001C5FE1">
        <w:rPr>
          <w:rFonts w:ascii="Arial"/>
          <w:b/>
          <w:color w:val="231F20"/>
          <w:spacing w:val="80"/>
          <w:sz w:val="36"/>
        </w:rPr>
        <w:t xml:space="preserve"> </w:t>
      </w:r>
      <w:r w:rsidR="001C5FE1">
        <w:rPr>
          <w:rFonts w:ascii="Arial"/>
          <w:b/>
          <w:color w:val="231F20"/>
          <w:spacing w:val="-4"/>
          <w:sz w:val="36"/>
        </w:rPr>
        <w:t>NOTICE</w:t>
      </w:r>
    </w:p>
    <w:p w:rsidR="005D3966" w:rsidRDefault="001C5FE1" w14:paraId="5DCBD081" w14:textId="77777777">
      <w:pPr>
        <w:spacing w:before="70"/>
        <w:ind w:left="720" w:right="989"/>
        <w:rPr>
          <w:rFonts w:ascii="Arial"/>
          <w:b/>
          <w:sz w:val="36"/>
        </w:rPr>
      </w:pPr>
      <w:r>
        <w:br w:type="column"/>
      </w:r>
      <w:r>
        <w:rPr>
          <w:rFonts w:ascii="Arial"/>
          <w:b/>
          <w:color w:val="231F20"/>
          <w:sz w:val="36"/>
        </w:rPr>
        <w:t>Form 10 Instructions</w:t>
      </w:r>
    </w:p>
    <w:p w:rsidR="005D3966" w:rsidRDefault="005D3966" w14:paraId="6F0AD0AF" w14:textId="77777777">
      <w:pPr>
        <w:rPr>
          <w:rFonts w:ascii="Arial"/>
          <w:sz w:val="36"/>
        </w:rPr>
        <w:sectPr w:rsidR="005D3966">
          <w:type w:val="continuous"/>
          <w:pgSz w:w="12240" w:h="15840"/>
          <w:pgMar w:top="1140" w:right="660" w:bottom="280" w:left="700" w:header="720" w:footer="720" w:gutter="0"/>
          <w:cols w:equalWidth="0" w:space="720" w:num="2">
            <w:col w:w="7050" w:space="40"/>
            <w:col w:w="3790"/>
          </w:cols>
        </w:sectPr>
      </w:pPr>
    </w:p>
    <w:p w:rsidR="005D3966" w:rsidRDefault="001C5FE1" w14:paraId="0CF4B207" w14:textId="77777777">
      <w:pPr>
        <w:spacing w:before="18"/>
        <w:ind w:left="3193" w:right="3025"/>
        <w:jc w:val="center"/>
        <w:rPr>
          <w:rFonts w:ascii="Arial"/>
          <w:b/>
          <w:sz w:val="36"/>
        </w:rPr>
      </w:pPr>
      <w:r>
        <w:rPr>
          <w:rFonts w:ascii="Arial"/>
          <w:b/>
          <w:color w:val="231F20"/>
          <w:sz w:val="36"/>
        </w:rPr>
        <w:t>OF REPORTABLE EVENTS</w:t>
      </w:r>
    </w:p>
    <w:p w:rsidR="005D3966" w:rsidRDefault="005D3966" w14:paraId="225E721D" w14:textId="77777777">
      <w:pPr>
        <w:pStyle w:val="BodyText"/>
        <w:spacing w:before="5"/>
        <w:rPr>
          <w:rFonts w:ascii="Arial"/>
          <w:b/>
          <w:sz w:val="40"/>
        </w:rPr>
      </w:pPr>
    </w:p>
    <w:p w:rsidR="005D3966" w:rsidRDefault="001C5FE1" w14:paraId="1C4C8586" w14:textId="77777777">
      <w:pPr>
        <w:pStyle w:val="BodyText"/>
        <w:spacing w:line="247" w:lineRule="auto"/>
        <w:ind w:left="603" w:right="1167"/>
        <w:jc w:val="both"/>
      </w:pPr>
      <w:r>
        <w:t>The Form 10 is used by a plan administrator or contributing sponsor of a single-employer plan when notifying the Pension Benefit Guaranty Corporation that a reportable event has</w:t>
      </w:r>
      <w:r>
        <w:rPr>
          <w:spacing w:val="-19"/>
        </w:rPr>
        <w:t xml:space="preserve"> </w:t>
      </w:r>
      <w:r>
        <w:t>occurred. For questions regarding this form, contact (202) 326-</w:t>
      </w:r>
      <w:hyperlink r:id="rId14">
        <w:r>
          <w:t>4070 or</w:t>
        </w:r>
        <w:r>
          <w:rPr>
            <w:spacing w:val="-10"/>
          </w:rPr>
          <w:t xml:space="preserve"> </w:t>
        </w:r>
        <w:r>
          <w:t>post-event.report@pbgc.gov.</w:t>
        </w:r>
      </w:hyperlink>
    </w:p>
    <w:p w:rsidR="005D3966" w:rsidRDefault="005D3966" w14:paraId="3EAB27FE" w14:textId="77777777">
      <w:pPr>
        <w:pStyle w:val="BodyText"/>
        <w:spacing w:before="3"/>
        <w:rPr>
          <w:sz w:val="28"/>
        </w:rPr>
      </w:pPr>
    </w:p>
    <w:tbl>
      <w:tblPr>
        <w:tblW w:w="0" w:type="auto"/>
        <w:tblInd w:w="570" w:type="dxa"/>
        <w:tblLayout w:type="fixed"/>
        <w:tblCellMar>
          <w:left w:w="0" w:type="dxa"/>
          <w:right w:w="0" w:type="dxa"/>
        </w:tblCellMar>
        <w:tblLook w:val="01E0" w:firstRow="1" w:lastRow="1" w:firstColumn="1" w:lastColumn="1" w:noHBand="0" w:noVBand="0"/>
      </w:tblPr>
      <w:tblGrid>
        <w:gridCol w:w="3975"/>
        <w:gridCol w:w="1743"/>
      </w:tblGrid>
      <w:tr w:rsidR="005D3966" w14:paraId="642A0187" w14:textId="77777777">
        <w:trPr>
          <w:trHeight w:val="556"/>
        </w:trPr>
        <w:tc>
          <w:tcPr>
            <w:tcW w:w="3975" w:type="dxa"/>
            <w:tcBorders>
              <w:bottom w:val="single" w:color="231F20" w:sz="8" w:space="0"/>
            </w:tcBorders>
          </w:tcPr>
          <w:p w:rsidR="005D3966" w:rsidRDefault="001C5FE1" w14:paraId="472A0B99" w14:textId="77777777">
            <w:pPr>
              <w:pStyle w:val="TableParagraph"/>
              <w:spacing w:line="314" w:lineRule="exact"/>
              <w:ind w:left="213"/>
              <w:rPr>
                <w:rFonts w:ascii="Arial"/>
                <w:b/>
                <w:sz w:val="28"/>
              </w:rPr>
            </w:pPr>
            <w:r>
              <w:rPr>
                <w:rFonts w:ascii="Arial"/>
                <w:b/>
                <w:color w:val="231F20"/>
                <w:sz w:val="28"/>
              </w:rPr>
              <w:t>Table of Contents</w:t>
            </w:r>
          </w:p>
        </w:tc>
        <w:tc>
          <w:tcPr>
            <w:tcW w:w="1743" w:type="dxa"/>
            <w:tcBorders>
              <w:bottom w:val="single" w:color="231F20" w:sz="8" w:space="0"/>
            </w:tcBorders>
          </w:tcPr>
          <w:p w:rsidR="005D3966" w:rsidRDefault="001C5FE1" w14:paraId="330BBBA2" w14:textId="77777777">
            <w:pPr>
              <w:pStyle w:val="TableParagraph"/>
              <w:spacing w:line="314" w:lineRule="exact"/>
              <w:ind w:left="0" w:right="157"/>
              <w:jc w:val="right"/>
              <w:rPr>
                <w:rFonts w:ascii="Arial"/>
                <w:b/>
                <w:sz w:val="28"/>
              </w:rPr>
            </w:pPr>
            <w:r>
              <w:rPr>
                <w:rFonts w:ascii="Arial"/>
                <w:b/>
                <w:color w:val="231F20"/>
                <w:sz w:val="28"/>
              </w:rPr>
              <w:t>Page</w:t>
            </w:r>
          </w:p>
        </w:tc>
      </w:tr>
      <w:tr w:rsidR="005D3966" w14:paraId="23A112B4" w14:textId="77777777">
        <w:trPr>
          <w:trHeight w:val="663"/>
        </w:trPr>
        <w:tc>
          <w:tcPr>
            <w:tcW w:w="3975" w:type="dxa"/>
            <w:tcBorders>
              <w:top w:val="single" w:color="231F20" w:sz="8" w:space="0"/>
              <w:left w:val="single" w:color="231F20" w:sz="8" w:space="0"/>
            </w:tcBorders>
          </w:tcPr>
          <w:p w:rsidR="005D3966" w:rsidRDefault="005D3966" w14:paraId="3A89836A" w14:textId="77777777">
            <w:pPr>
              <w:pStyle w:val="TableParagraph"/>
              <w:spacing w:before="3"/>
              <w:ind w:left="0"/>
              <w:rPr>
                <w:sz w:val="23"/>
              </w:rPr>
            </w:pPr>
          </w:p>
          <w:p w:rsidR="005D3966" w:rsidRDefault="001C5FE1" w14:paraId="48835E83" w14:textId="77777777">
            <w:pPr>
              <w:pStyle w:val="TableParagraph"/>
              <w:ind w:left="205"/>
              <w:rPr>
                <w:sz w:val="24"/>
              </w:rPr>
            </w:pPr>
            <w:r>
              <w:rPr>
                <w:color w:val="231F20"/>
                <w:sz w:val="24"/>
              </w:rPr>
              <w:t>Part I - General Instructions</w:t>
            </w:r>
          </w:p>
        </w:tc>
        <w:tc>
          <w:tcPr>
            <w:tcW w:w="1743" w:type="dxa"/>
            <w:tcBorders>
              <w:top w:val="single" w:color="231F20" w:sz="8" w:space="0"/>
              <w:right w:val="single" w:color="231F20" w:sz="8" w:space="0"/>
            </w:tcBorders>
          </w:tcPr>
          <w:p w:rsidR="005D3966" w:rsidRDefault="005D3966" w14:paraId="72CD9BBB" w14:textId="77777777">
            <w:pPr>
              <w:pStyle w:val="TableParagraph"/>
              <w:spacing w:before="3"/>
              <w:ind w:left="0"/>
              <w:rPr>
                <w:sz w:val="23"/>
              </w:rPr>
            </w:pPr>
          </w:p>
          <w:p w:rsidR="005D3966" w:rsidRDefault="001C5FE1" w14:paraId="54DC5476" w14:textId="77777777">
            <w:pPr>
              <w:pStyle w:val="TableParagraph"/>
              <w:ind w:left="0" w:right="145"/>
              <w:jc w:val="right"/>
              <w:rPr>
                <w:sz w:val="24"/>
              </w:rPr>
            </w:pPr>
            <w:r>
              <w:rPr>
                <w:color w:val="231F20"/>
                <w:sz w:val="24"/>
              </w:rPr>
              <w:t>2</w:t>
            </w:r>
          </w:p>
        </w:tc>
      </w:tr>
      <w:tr w:rsidR="005D3966" w14:paraId="5747F36E" w14:textId="77777777">
        <w:trPr>
          <w:trHeight w:val="514"/>
        </w:trPr>
        <w:tc>
          <w:tcPr>
            <w:tcW w:w="3975" w:type="dxa"/>
            <w:tcBorders>
              <w:left w:val="single" w:color="231F20" w:sz="8" w:space="0"/>
            </w:tcBorders>
          </w:tcPr>
          <w:p w:rsidR="005D3966" w:rsidRDefault="001C5FE1" w14:paraId="75574314" w14:textId="77777777">
            <w:pPr>
              <w:pStyle w:val="TableParagraph"/>
              <w:spacing w:before="110"/>
              <w:ind w:left="205"/>
              <w:rPr>
                <w:sz w:val="24"/>
              </w:rPr>
            </w:pPr>
            <w:r>
              <w:rPr>
                <w:color w:val="231F20"/>
                <w:sz w:val="24"/>
              </w:rPr>
              <w:t>Part II - Definitions</w:t>
            </w:r>
          </w:p>
        </w:tc>
        <w:tc>
          <w:tcPr>
            <w:tcW w:w="1743" w:type="dxa"/>
            <w:tcBorders>
              <w:right w:val="single" w:color="231F20" w:sz="8" w:space="0"/>
            </w:tcBorders>
          </w:tcPr>
          <w:p w:rsidR="005D3966" w:rsidRDefault="001C5FE1" w14:paraId="2FB53F3E" w14:textId="77777777">
            <w:pPr>
              <w:pStyle w:val="TableParagraph"/>
              <w:spacing w:before="110"/>
              <w:ind w:left="0" w:right="145"/>
              <w:jc w:val="right"/>
              <w:rPr>
                <w:sz w:val="24"/>
              </w:rPr>
            </w:pPr>
            <w:r>
              <w:rPr>
                <w:color w:val="231F20"/>
                <w:sz w:val="24"/>
              </w:rPr>
              <w:t>7</w:t>
            </w:r>
          </w:p>
        </w:tc>
      </w:tr>
      <w:tr w:rsidR="005D3966" w14:paraId="50B1B28E" w14:textId="77777777">
        <w:trPr>
          <w:trHeight w:val="404"/>
        </w:trPr>
        <w:tc>
          <w:tcPr>
            <w:tcW w:w="3975" w:type="dxa"/>
            <w:tcBorders>
              <w:left w:val="single" w:color="231F20" w:sz="8" w:space="0"/>
            </w:tcBorders>
          </w:tcPr>
          <w:p w:rsidR="005D3966" w:rsidRDefault="001C5FE1" w14:paraId="7E52AEDB" w14:textId="77777777">
            <w:pPr>
              <w:pStyle w:val="TableParagraph"/>
              <w:spacing w:before="118" w:line="266" w:lineRule="exact"/>
              <w:ind w:left="205"/>
              <w:rPr>
                <w:sz w:val="24"/>
              </w:rPr>
            </w:pPr>
            <w:r>
              <w:rPr>
                <w:color w:val="231F20"/>
                <w:sz w:val="24"/>
              </w:rPr>
              <w:t>Part III - Specific Instructions</w:t>
            </w:r>
          </w:p>
        </w:tc>
        <w:tc>
          <w:tcPr>
            <w:tcW w:w="1743" w:type="dxa"/>
            <w:tcBorders>
              <w:right w:val="single" w:color="231F20" w:sz="8" w:space="0"/>
            </w:tcBorders>
          </w:tcPr>
          <w:p w:rsidR="005D3966" w:rsidRDefault="001C5FE1" w14:paraId="450AF6FA" w14:textId="77777777">
            <w:pPr>
              <w:pStyle w:val="TableParagraph"/>
              <w:spacing w:before="118" w:line="266" w:lineRule="exact"/>
              <w:ind w:left="0" w:right="145"/>
              <w:jc w:val="right"/>
              <w:rPr>
                <w:sz w:val="24"/>
              </w:rPr>
            </w:pPr>
            <w:r>
              <w:rPr>
                <w:color w:val="231F20"/>
                <w:sz w:val="24"/>
              </w:rPr>
              <w:t>10</w:t>
            </w:r>
          </w:p>
        </w:tc>
      </w:tr>
      <w:tr w:rsidR="005D3966" w14:paraId="43103756" w14:textId="77777777">
        <w:trPr>
          <w:trHeight w:val="3986"/>
        </w:trPr>
        <w:tc>
          <w:tcPr>
            <w:tcW w:w="5718" w:type="dxa"/>
            <w:gridSpan w:val="2"/>
            <w:tcBorders>
              <w:left w:val="single" w:color="231F20" w:sz="8" w:space="0"/>
              <w:bottom w:val="single" w:color="231F20" w:sz="8" w:space="0"/>
              <w:right w:val="single" w:color="231F20" w:sz="8" w:space="0"/>
            </w:tcBorders>
          </w:tcPr>
          <w:p w:rsidR="005D3966" w:rsidRDefault="001C5FE1" w14:paraId="4C1BD457" w14:textId="77777777">
            <w:pPr>
              <w:pStyle w:val="TableParagraph"/>
              <w:numPr>
                <w:ilvl w:val="0"/>
                <w:numId w:val="29"/>
              </w:numPr>
              <w:tabs>
                <w:tab w:val="left" w:pos="804"/>
                <w:tab w:val="right" w:pos="5560"/>
              </w:tabs>
              <w:spacing w:line="285" w:lineRule="exact"/>
              <w:ind w:hanging="359"/>
              <w:rPr>
                <w:sz w:val="24"/>
              </w:rPr>
            </w:pPr>
            <w:r>
              <w:rPr>
                <w:color w:val="231F20"/>
                <w:sz w:val="24"/>
              </w:rPr>
              <w:t>Active</w:t>
            </w:r>
            <w:r>
              <w:rPr>
                <w:color w:val="231F20"/>
                <w:spacing w:val="-2"/>
                <w:sz w:val="24"/>
              </w:rPr>
              <w:t xml:space="preserve"> </w:t>
            </w:r>
            <w:r>
              <w:rPr>
                <w:color w:val="231F20"/>
                <w:sz w:val="24"/>
              </w:rPr>
              <w:t>Participant Reduction</w:t>
            </w:r>
            <w:r>
              <w:rPr>
                <w:color w:val="231F20"/>
                <w:sz w:val="24"/>
              </w:rPr>
              <w:tab/>
            </w:r>
            <w:r>
              <w:rPr>
                <w:color w:val="231F20"/>
                <w:position w:val="1"/>
                <w:sz w:val="24"/>
              </w:rPr>
              <w:t>13</w:t>
            </w:r>
          </w:p>
          <w:p w:rsidR="005D3966" w:rsidRDefault="001C5FE1" w14:paraId="62ADF6E1" w14:textId="77777777">
            <w:pPr>
              <w:pStyle w:val="TableParagraph"/>
              <w:numPr>
                <w:ilvl w:val="0"/>
                <w:numId w:val="29"/>
              </w:numPr>
              <w:tabs>
                <w:tab w:val="left" w:pos="804"/>
              </w:tabs>
              <w:spacing w:before="2"/>
              <w:ind w:hanging="359"/>
              <w:rPr>
                <w:sz w:val="24"/>
              </w:rPr>
            </w:pPr>
            <w:r>
              <w:rPr>
                <w:color w:val="231F20"/>
                <w:sz w:val="24"/>
              </w:rPr>
              <w:t>Failure to Make Required</w:t>
            </w:r>
            <w:r>
              <w:rPr>
                <w:color w:val="231F20"/>
                <w:spacing w:val="-3"/>
                <w:sz w:val="24"/>
              </w:rPr>
              <w:t xml:space="preserve"> </w:t>
            </w:r>
            <w:r>
              <w:rPr>
                <w:color w:val="231F20"/>
                <w:sz w:val="24"/>
              </w:rPr>
              <w:t>Minimum</w:t>
            </w:r>
          </w:p>
          <w:p w:rsidR="005D3966" w:rsidRDefault="001C5FE1" w14:paraId="46E4F772" w14:textId="77777777">
            <w:pPr>
              <w:pStyle w:val="TableParagraph"/>
              <w:tabs>
                <w:tab w:val="right" w:pos="5538"/>
              </w:tabs>
              <w:spacing w:before="9"/>
              <w:ind w:left="803"/>
              <w:rPr>
                <w:sz w:val="24"/>
              </w:rPr>
            </w:pPr>
            <w:r>
              <w:rPr>
                <w:color w:val="231F20"/>
                <w:sz w:val="24"/>
              </w:rPr>
              <w:t>Funding</w:t>
            </w:r>
            <w:r>
              <w:rPr>
                <w:color w:val="231F20"/>
                <w:spacing w:val="-23"/>
                <w:sz w:val="24"/>
              </w:rPr>
              <w:t xml:space="preserve"> </w:t>
            </w:r>
            <w:r>
              <w:rPr>
                <w:color w:val="231F20"/>
                <w:sz w:val="24"/>
              </w:rPr>
              <w:t>Payment</w:t>
            </w:r>
            <w:r>
              <w:rPr>
                <w:color w:val="231F20"/>
                <w:sz w:val="24"/>
              </w:rPr>
              <w:tab/>
              <w:t>16</w:t>
            </w:r>
          </w:p>
          <w:p w:rsidR="005D3966" w:rsidRDefault="001C5FE1" w14:paraId="58F5A4DB" w14:textId="77777777">
            <w:pPr>
              <w:pStyle w:val="TableParagraph"/>
              <w:numPr>
                <w:ilvl w:val="0"/>
                <w:numId w:val="29"/>
              </w:numPr>
              <w:tabs>
                <w:tab w:val="left" w:pos="804"/>
                <w:tab w:val="right" w:pos="5545"/>
              </w:tabs>
              <w:spacing w:before="5"/>
              <w:ind w:hanging="354"/>
              <w:rPr>
                <w:sz w:val="24"/>
              </w:rPr>
            </w:pPr>
            <w:r>
              <w:rPr>
                <w:color w:val="231F20"/>
                <w:sz w:val="24"/>
              </w:rPr>
              <w:t>Inability to Pay Benefits</w:t>
            </w:r>
            <w:r>
              <w:rPr>
                <w:color w:val="231F20"/>
                <w:spacing w:val="-2"/>
                <w:sz w:val="24"/>
              </w:rPr>
              <w:t xml:space="preserve"> </w:t>
            </w:r>
            <w:r>
              <w:rPr>
                <w:color w:val="231F20"/>
                <w:sz w:val="24"/>
              </w:rPr>
              <w:t>When</w:t>
            </w:r>
            <w:r>
              <w:rPr>
                <w:color w:val="231F20"/>
                <w:spacing w:val="-1"/>
                <w:sz w:val="24"/>
              </w:rPr>
              <w:t xml:space="preserve"> </w:t>
            </w:r>
            <w:r>
              <w:rPr>
                <w:color w:val="231F20"/>
                <w:sz w:val="24"/>
              </w:rPr>
              <w:t>Due</w:t>
            </w:r>
            <w:r>
              <w:rPr>
                <w:color w:val="231F20"/>
                <w:sz w:val="24"/>
              </w:rPr>
              <w:tab/>
              <w:t>17</w:t>
            </w:r>
          </w:p>
          <w:p w:rsidR="005D3966" w:rsidRDefault="001C5FE1" w14:paraId="62C25A98" w14:textId="77777777">
            <w:pPr>
              <w:pStyle w:val="TableParagraph"/>
              <w:numPr>
                <w:ilvl w:val="0"/>
                <w:numId w:val="29"/>
              </w:numPr>
              <w:tabs>
                <w:tab w:val="left" w:pos="804"/>
                <w:tab w:val="right" w:pos="5543"/>
              </w:tabs>
              <w:spacing w:before="17" w:line="275" w:lineRule="exact"/>
              <w:ind w:hanging="359"/>
              <w:rPr>
                <w:sz w:val="24"/>
              </w:rPr>
            </w:pPr>
            <w:r>
              <w:rPr>
                <w:color w:val="231F20"/>
                <w:sz w:val="24"/>
              </w:rPr>
              <w:t>Distribution to a</w:t>
            </w:r>
            <w:r>
              <w:rPr>
                <w:color w:val="231F20"/>
                <w:spacing w:val="1"/>
                <w:sz w:val="24"/>
              </w:rPr>
              <w:t xml:space="preserve"> </w:t>
            </w:r>
            <w:r>
              <w:rPr>
                <w:color w:val="231F20"/>
                <w:sz w:val="24"/>
              </w:rPr>
              <w:t>Substantial</w:t>
            </w:r>
            <w:r>
              <w:rPr>
                <w:color w:val="231F20"/>
                <w:spacing w:val="2"/>
                <w:sz w:val="24"/>
              </w:rPr>
              <w:t xml:space="preserve"> </w:t>
            </w:r>
            <w:r>
              <w:rPr>
                <w:color w:val="231F20"/>
                <w:sz w:val="24"/>
              </w:rPr>
              <w:t>Owner</w:t>
            </w:r>
            <w:r>
              <w:rPr>
                <w:color w:val="231F20"/>
                <w:sz w:val="24"/>
              </w:rPr>
              <w:tab/>
              <w:t>17</w:t>
            </w:r>
          </w:p>
          <w:p w:rsidR="005D3966" w:rsidRDefault="001C5FE1" w14:paraId="551A6EC8" w14:textId="77777777">
            <w:pPr>
              <w:pStyle w:val="TableParagraph"/>
              <w:numPr>
                <w:ilvl w:val="0"/>
                <w:numId w:val="29"/>
              </w:numPr>
              <w:tabs>
                <w:tab w:val="left" w:pos="804"/>
                <w:tab w:val="right" w:pos="5562"/>
              </w:tabs>
              <w:spacing w:line="298" w:lineRule="exact"/>
              <w:ind w:hanging="359"/>
              <w:rPr>
                <w:sz w:val="26"/>
              </w:rPr>
            </w:pPr>
            <w:r>
              <w:rPr>
                <w:color w:val="231F20"/>
                <w:position w:val="1"/>
                <w:sz w:val="24"/>
              </w:rPr>
              <w:t>Change in</w:t>
            </w:r>
            <w:r>
              <w:rPr>
                <w:color w:val="231F20"/>
                <w:spacing w:val="-2"/>
                <w:position w:val="1"/>
                <w:sz w:val="24"/>
              </w:rPr>
              <w:t xml:space="preserve"> </w:t>
            </w:r>
            <w:r>
              <w:rPr>
                <w:color w:val="231F20"/>
                <w:position w:val="1"/>
                <w:sz w:val="24"/>
              </w:rPr>
              <w:t>Controlled Group</w:t>
            </w:r>
            <w:r>
              <w:rPr>
                <w:color w:val="231F20"/>
                <w:position w:val="1"/>
                <w:sz w:val="24"/>
              </w:rPr>
              <w:tab/>
            </w:r>
            <w:r>
              <w:rPr>
                <w:sz w:val="26"/>
              </w:rPr>
              <w:t>20</w:t>
            </w:r>
          </w:p>
          <w:p w:rsidR="005D3966" w:rsidRDefault="001C5FE1" w14:paraId="7218C845" w14:textId="77777777">
            <w:pPr>
              <w:pStyle w:val="TableParagraph"/>
              <w:numPr>
                <w:ilvl w:val="0"/>
                <w:numId w:val="29"/>
              </w:numPr>
              <w:tabs>
                <w:tab w:val="left" w:pos="804"/>
                <w:tab w:val="right" w:pos="5545"/>
              </w:tabs>
              <w:spacing w:before="286"/>
              <w:ind w:hanging="359"/>
              <w:rPr>
                <w:sz w:val="24"/>
              </w:rPr>
            </w:pPr>
            <w:r>
              <w:rPr>
                <w:color w:val="231F20"/>
                <w:sz w:val="24"/>
              </w:rPr>
              <w:t>Liquidation</w:t>
            </w:r>
            <w:r>
              <w:rPr>
                <w:color w:val="231F20"/>
                <w:sz w:val="24"/>
              </w:rPr>
              <w:tab/>
              <w:t>22</w:t>
            </w:r>
          </w:p>
          <w:p w:rsidR="005D3966" w:rsidRDefault="001C5FE1" w14:paraId="3BC7E232" w14:textId="77777777">
            <w:pPr>
              <w:pStyle w:val="TableParagraph"/>
              <w:numPr>
                <w:ilvl w:val="0"/>
                <w:numId w:val="29"/>
              </w:numPr>
              <w:tabs>
                <w:tab w:val="left" w:pos="804"/>
              </w:tabs>
              <w:spacing w:before="12"/>
              <w:ind w:hanging="356"/>
              <w:rPr>
                <w:sz w:val="24"/>
              </w:rPr>
            </w:pPr>
            <w:r>
              <w:rPr>
                <w:color w:val="231F20"/>
                <w:sz w:val="24"/>
              </w:rPr>
              <w:t>Extraordinary Dividend or Stock Redemption</w:t>
            </w:r>
            <w:r>
              <w:rPr>
                <w:color w:val="231F20"/>
                <w:spacing w:val="50"/>
                <w:sz w:val="24"/>
              </w:rPr>
              <w:t xml:space="preserve"> </w:t>
            </w:r>
            <w:r>
              <w:rPr>
                <w:color w:val="231F20"/>
                <w:sz w:val="24"/>
              </w:rPr>
              <w:t>24</w:t>
            </w:r>
          </w:p>
          <w:p w:rsidR="005D3966" w:rsidRDefault="001C5FE1" w14:paraId="7E3D7DFD" w14:textId="77777777">
            <w:pPr>
              <w:pStyle w:val="TableParagraph"/>
              <w:numPr>
                <w:ilvl w:val="0"/>
                <w:numId w:val="29"/>
              </w:numPr>
              <w:tabs>
                <w:tab w:val="left" w:pos="804"/>
                <w:tab w:val="right" w:pos="5545"/>
              </w:tabs>
              <w:spacing w:before="12"/>
              <w:ind w:hanging="356"/>
              <w:rPr>
                <w:sz w:val="24"/>
              </w:rPr>
            </w:pPr>
            <w:r>
              <w:rPr>
                <w:color w:val="231F20"/>
                <w:sz w:val="24"/>
              </w:rPr>
              <w:t>Transfer of</w:t>
            </w:r>
            <w:r>
              <w:rPr>
                <w:color w:val="231F20"/>
                <w:spacing w:val="-3"/>
                <w:sz w:val="24"/>
              </w:rPr>
              <w:t xml:space="preserve"> </w:t>
            </w:r>
            <w:r>
              <w:rPr>
                <w:color w:val="231F20"/>
                <w:sz w:val="24"/>
              </w:rPr>
              <w:t>Benefit Liabilities</w:t>
            </w:r>
            <w:r>
              <w:rPr>
                <w:color w:val="231F20"/>
                <w:sz w:val="24"/>
              </w:rPr>
              <w:tab/>
              <w:t>26</w:t>
            </w:r>
          </w:p>
          <w:p w:rsidR="005D3966" w:rsidRDefault="001C5FE1" w14:paraId="18174D59" w14:textId="77777777">
            <w:pPr>
              <w:pStyle w:val="TableParagraph"/>
              <w:numPr>
                <w:ilvl w:val="0"/>
                <w:numId w:val="29"/>
              </w:numPr>
              <w:tabs>
                <w:tab w:val="left" w:pos="803"/>
                <w:tab w:val="left" w:pos="804"/>
                <w:tab w:val="right" w:pos="5545"/>
              </w:tabs>
              <w:spacing w:before="12"/>
              <w:ind w:hanging="361"/>
              <w:rPr>
                <w:sz w:val="24"/>
              </w:rPr>
            </w:pPr>
            <w:r>
              <w:rPr>
                <w:color w:val="231F20"/>
                <w:sz w:val="24"/>
              </w:rPr>
              <w:t>Application for Minimum</w:t>
            </w:r>
            <w:r>
              <w:rPr>
                <w:color w:val="231F20"/>
                <w:spacing w:val="-4"/>
                <w:sz w:val="24"/>
              </w:rPr>
              <w:t xml:space="preserve"> </w:t>
            </w:r>
            <w:r>
              <w:rPr>
                <w:color w:val="231F20"/>
                <w:sz w:val="24"/>
              </w:rPr>
              <w:t>Funding</w:t>
            </w:r>
            <w:r>
              <w:rPr>
                <w:color w:val="231F20"/>
                <w:spacing w:val="-13"/>
                <w:sz w:val="24"/>
              </w:rPr>
              <w:t xml:space="preserve"> </w:t>
            </w:r>
            <w:r>
              <w:rPr>
                <w:color w:val="231F20"/>
                <w:sz w:val="24"/>
              </w:rPr>
              <w:t>Waiver</w:t>
            </w:r>
            <w:r>
              <w:rPr>
                <w:color w:val="231F20"/>
                <w:sz w:val="24"/>
              </w:rPr>
              <w:tab/>
              <w:t>27</w:t>
            </w:r>
          </w:p>
          <w:p w:rsidR="005D3966" w:rsidRDefault="001C5FE1" w14:paraId="50FEFB50" w14:textId="77777777">
            <w:pPr>
              <w:pStyle w:val="TableParagraph"/>
              <w:numPr>
                <w:ilvl w:val="0"/>
                <w:numId w:val="29"/>
              </w:numPr>
              <w:tabs>
                <w:tab w:val="left" w:pos="804"/>
                <w:tab w:val="right" w:pos="5545"/>
              </w:tabs>
              <w:spacing w:before="12"/>
              <w:ind w:hanging="351"/>
              <w:rPr>
                <w:sz w:val="24"/>
              </w:rPr>
            </w:pPr>
            <w:r>
              <w:rPr>
                <w:color w:val="231F20"/>
                <w:sz w:val="24"/>
              </w:rPr>
              <w:t>Loan</w:t>
            </w:r>
            <w:r>
              <w:rPr>
                <w:color w:val="231F20"/>
                <w:spacing w:val="-1"/>
                <w:sz w:val="24"/>
              </w:rPr>
              <w:t xml:space="preserve"> </w:t>
            </w:r>
            <w:r>
              <w:rPr>
                <w:color w:val="231F20"/>
                <w:sz w:val="24"/>
              </w:rPr>
              <w:t>Default</w:t>
            </w:r>
            <w:r>
              <w:rPr>
                <w:color w:val="231F20"/>
                <w:sz w:val="24"/>
              </w:rPr>
              <w:tab/>
              <w:t>27</w:t>
            </w:r>
          </w:p>
          <w:p w:rsidR="005D3966" w:rsidRDefault="001C5FE1" w14:paraId="60FC1DCD" w14:textId="77777777">
            <w:pPr>
              <w:pStyle w:val="TableParagraph"/>
              <w:numPr>
                <w:ilvl w:val="0"/>
                <w:numId w:val="29"/>
              </w:numPr>
              <w:tabs>
                <w:tab w:val="left" w:pos="804"/>
                <w:tab w:val="right" w:pos="5545"/>
              </w:tabs>
              <w:spacing w:before="12"/>
              <w:ind w:hanging="356"/>
              <w:rPr>
                <w:sz w:val="24"/>
              </w:rPr>
            </w:pPr>
            <w:r>
              <w:rPr>
                <w:color w:val="231F20"/>
                <w:sz w:val="24"/>
              </w:rPr>
              <w:t>Insolvency or</w:t>
            </w:r>
            <w:r>
              <w:rPr>
                <w:color w:val="231F20"/>
                <w:spacing w:val="-2"/>
                <w:sz w:val="24"/>
              </w:rPr>
              <w:t xml:space="preserve"> </w:t>
            </w:r>
            <w:r>
              <w:rPr>
                <w:color w:val="231F20"/>
                <w:sz w:val="24"/>
              </w:rPr>
              <w:t>Similar</w:t>
            </w:r>
            <w:r>
              <w:rPr>
                <w:color w:val="231F20"/>
                <w:spacing w:val="-1"/>
                <w:sz w:val="24"/>
              </w:rPr>
              <w:t xml:space="preserve"> </w:t>
            </w:r>
            <w:r>
              <w:rPr>
                <w:color w:val="231F20"/>
                <w:sz w:val="24"/>
              </w:rPr>
              <w:t>Settlement</w:t>
            </w:r>
            <w:r>
              <w:rPr>
                <w:color w:val="231F20"/>
                <w:sz w:val="24"/>
              </w:rPr>
              <w:tab/>
              <w:t>28</w:t>
            </w:r>
          </w:p>
        </w:tc>
      </w:tr>
    </w:tbl>
    <w:p w:rsidR="005D3966" w:rsidRDefault="005D3966" w14:paraId="6027AD5D" w14:textId="77777777">
      <w:pPr>
        <w:pStyle w:val="BodyText"/>
        <w:rPr>
          <w:sz w:val="26"/>
        </w:rPr>
      </w:pPr>
    </w:p>
    <w:p w:rsidR="005D3966" w:rsidRDefault="005D3966" w14:paraId="6D32C1CB" w14:textId="77777777">
      <w:pPr>
        <w:pStyle w:val="BodyText"/>
        <w:rPr>
          <w:sz w:val="26"/>
        </w:rPr>
      </w:pPr>
    </w:p>
    <w:p w:rsidR="005D3966" w:rsidRDefault="005D3966" w14:paraId="4F416FFF" w14:textId="77777777">
      <w:pPr>
        <w:pStyle w:val="BodyText"/>
        <w:rPr>
          <w:sz w:val="26"/>
        </w:rPr>
      </w:pPr>
    </w:p>
    <w:p w:rsidR="005D3966" w:rsidRDefault="005D3966" w14:paraId="1C726F2B" w14:textId="77777777">
      <w:pPr>
        <w:pStyle w:val="BodyText"/>
        <w:rPr>
          <w:sz w:val="26"/>
        </w:rPr>
      </w:pPr>
    </w:p>
    <w:p w:rsidR="005D3966" w:rsidRDefault="005D3966" w14:paraId="6D1F7CD1" w14:textId="77777777">
      <w:pPr>
        <w:pStyle w:val="BodyText"/>
        <w:rPr>
          <w:sz w:val="26"/>
        </w:rPr>
      </w:pPr>
    </w:p>
    <w:p w:rsidR="005D3966" w:rsidRDefault="005D3966" w14:paraId="6C04409B" w14:textId="77777777">
      <w:pPr>
        <w:pStyle w:val="BodyText"/>
        <w:rPr>
          <w:sz w:val="26"/>
        </w:rPr>
      </w:pPr>
    </w:p>
    <w:p w:rsidR="005D3966" w:rsidRDefault="005D3966" w14:paraId="7A2F5CB0" w14:textId="77777777">
      <w:pPr>
        <w:pStyle w:val="BodyText"/>
        <w:rPr>
          <w:sz w:val="26"/>
        </w:rPr>
      </w:pPr>
    </w:p>
    <w:p w:rsidR="005D3966" w:rsidRDefault="005D3966" w14:paraId="0603B8D0" w14:textId="77777777">
      <w:pPr>
        <w:pStyle w:val="BodyText"/>
        <w:rPr>
          <w:sz w:val="26"/>
        </w:rPr>
      </w:pPr>
    </w:p>
    <w:p w:rsidR="005D3966" w:rsidRDefault="005D3966" w14:paraId="57D5B431" w14:textId="77777777">
      <w:pPr>
        <w:pStyle w:val="BodyText"/>
        <w:rPr>
          <w:sz w:val="26"/>
        </w:rPr>
      </w:pPr>
    </w:p>
    <w:p w:rsidR="005D3966" w:rsidRDefault="005D3966" w14:paraId="3C6E9138" w14:textId="77777777">
      <w:pPr>
        <w:pStyle w:val="BodyText"/>
        <w:rPr>
          <w:sz w:val="26"/>
        </w:rPr>
      </w:pPr>
    </w:p>
    <w:p w:rsidR="005D3966" w:rsidRDefault="005D3966" w14:paraId="78C5EDE1" w14:textId="77777777">
      <w:pPr>
        <w:pStyle w:val="BodyText"/>
        <w:rPr>
          <w:sz w:val="26"/>
        </w:rPr>
      </w:pPr>
    </w:p>
    <w:p w:rsidR="005D3966" w:rsidRDefault="005D3966" w14:paraId="5C43B717" w14:textId="77777777">
      <w:pPr>
        <w:pStyle w:val="BodyText"/>
        <w:spacing w:before="11"/>
        <w:rPr>
          <w:sz w:val="27"/>
        </w:rPr>
      </w:pPr>
    </w:p>
    <w:p w:rsidR="005D3966" w:rsidRDefault="001C5FE1" w14:paraId="2CD3CBFE" w14:textId="77777777">
      <w:pPr>
        <w:ind w:right="39"/>
        <w:jc w:val="center"/>
      </w:pPr>
      <w:r>
        <w:t>1</w:t>
      </w:r>
    </w:p>
    <w:p w:rsidR="005D3966" w:rsidRDefault="005D3966" w14:paraId="5445928F" w14:textId="77777777">
      <w:pPr>
        <w:jc w:val="center"/>
        <w:sectPr w:rsidR="005D3966">
          <w:type w:val="continuous"/>
          <w:pgSz w:w="12240" w:h="15840"/>
          <w:pgMar w:top="1140" w:right="660" w:bottom="280" w:left="700" w:header="720" w:footer="720" w:gutter="0"/>
          <w:cols w:space="720"/>
        </w:sectPr>
      </w:pPr>
    </w:p>
    <w:p w:rsidR="005D3966" w:rsidRDefault="005D3966" w14:paraId="0C145623" w14:textId="77777777">
      <w:pPr>
        <w:pStyle w:val="BodyText"/>
        <w:spacing w:before="7"/>
        <w:rPr>
          <w:sz w:val="16"/>
        </w:rPr>
      </w:pPr>
    </w:p>
    <w:p w:rsidR="005D3966" w:rsidRDefault="001C5FE1" w14:paraId="03393C8F" w14:textId="77777777">
      <w:pPr>
        <w:pStyle w:val="Heading1"/>
        <w:spacing w:before="92"/>
      </w:pPr>
      <w:r>
        <w:rPr>
          <w:color w:val="231F20"/>
        </w:rPr>
        <w:t>PART I – GENERAL INSTRUCTIONS</w:t>
      </w:r>
    </w:p>
    <w:p w:rsidR="005D3966" w:rsidRDefault="005D3966" w14:paraId="45D4E422" w14:textId="77777777">
      <w:pPr>
        <w:pStyle w:val="BodyText"/>
        <w:spacing w:before="9"/>
        <w:rPr>
          <w:rFonts w:ascii="Arial"/>
          <w:b/>
          <w:sz w:val="25"/>
        </w:rPr>
      </w:pPr>
    </w:p>
    <w:p w:rsidR="005D3966" w:rsidRDefault="001C5FE1" w14:paraId="1340D050" w14:textId="77777777">
      <w:pPr>
        <w:pStyle w:val="BodyText"/>
        <w:spacing w:line="249" w:lineRule="auto"/>
        <w:ind w:left="586" w:right="569"/>
      </w:pPr>
      <w:r>
        <w:rPr>
          <w:color w:val="231F20"/>
        </w:rPr>
        <w:t>Section 4043(a) of the Employee Retirement Income Security Act (ERISA) requires that plan administrators and contributing sponsors notify PBGC within 30 days after the occurrence of certain “reportable events.” PBGC’s regulation on Reportable Events (29 CFR part 4043, Subparts A and B) describes in detail each reportable event and any applicable extension or waiver provisions. The reportable events are:</w:t>
      </w:r>
    </w:p>
    <w:p w:rsidR="005D3966" w:rsidRDefault="005D3966" w14:paraId="38843D04" w14:textId="77777777">
      <w:pPr>
        <w:pStyle w:val="BodyText"/>
        <w:spacing w:before="5"/>
        <w:rPr>
          <w:sz w:val="23"/>
        </w:rPr>
      </w:pPr>
    </w:p>
    <w:p w:rsidR="005D3966" w:rsidRDefault="001C5FE1" w14:paraId="4425A5E2" w14:textId="77777777">
      <w:pPr>
        <w:pStyle w:val="ListParagraph"/>
        <w:numPr>
          <w:ilvl w:val="0"/>
          <w:numId w:val="28"/>
        </w:numPr>
        <w:tabs>
          <w:tab w:val="left" w:pos="1306"/>
          <w:tab w:val="left" w:pos="1307"/>
        </w:tabs>
        <w:ind w:hanging="721"/>
        <w:rPr>
          <w:sz w:val="24"/>
        </w:rPr>
      </w:pPr>
      <w:r>
        <w:rPr>
          <w:color w:val="231F20"/>
          <w:sz w:val="24"/>
        </w:rPr>
        <w:t>Active participant</w:t>
      </w:r>
      <w:r>
        <w:rPr>
          <w:color w:val="231F20"/>
          <w:spacing w:val="1"/>
          <w:sz w:val="24"/>
        </w:rPr>
        <w:t xml:space="preserve"> </w:t>
      </w:r>
      <w:r>
        <w:rPr>
          <w:color w:val="231F20"/>
          <w:spacing w:val="2"/>
          <w:sz w:val="24"/>
        </w:rPr>
        <w:t>reduction</w:t>
      </w:r>
    </w:p>
    <w:p w:rsidR="005D3966" w:rsidRDefault="001C5FE1" w14:paraId="7359AA5D" w14:textId="77777777">
      <w:pPr>
        <w:pStyle w:val="ListParagraph"/>
        <w:numPr>
          <w:ilvl w:val="0"/>
          <w:numId w:val="28"/>
        </w:numPr>
        <w:tabs>
          <w:tab w:val="left" w:pos="1306"/>
          <w:tab w:val="left" w:pos="1307"/>
        </w:tabs>
        <w:spacing w:before="14"/>
        <w:ind w:hanging="721"/>
        <w:rPr>
          <w:sz w:val="24"/>
        </w:rPr>
      </w:pPr>
      <w:r>
        <w:rPr>
          <w:color w:val="231F20"/>
          <w:sz w:val="24"/>
        </w:rPr>
        <w:t xml:space="preserve">Failure to make required </w:t>
      </w:r>
      <w:r>
        <w:rPr>
          <w:color w:val="231F20"/>
          <w:spacing w:val="3"/>
          <w:sz w:val="24"/>
        </w:rPr>
        <w:t xml:space="preserve">minimum </w:t>
      </w:r>
      <w:r>
        <w:rPr>
          <w:color w:val="231F20"/>
          <w:sz w:val="24"/>
        </w:rPr>
        <w:t>funding</w:t>
      </w:r>
      <w:r>
        <w:rPr>
          <w:color w:val="231F20"/>
          <w:spacing w:val="4"/>
          <w:sz w:val="24"/>
        </w:rPr>
        <w:t xml:space="preserve"> </w:t>
      </w:r>
      <w:proofErr w:type="gramStart"/>
      <w:r>
        <w:rPr>
          <w:color w:val="231F20"/>
          <w:spacing w:val="11"/>
          <w:sz w:val="24"/>
        </w:rPr>
        <w:t>payment</w:t>
      </w:r>
      <w:proofErr w:type="gramEnd"/>
    </w:p>
    <w:p w:rsidR="005D3966" w:rsidRDefault="001C5FE1" w14:paraId="51E994C4" w14:textId="77777777">
      <w:pPr>
        <w:pStyle w:val="ListParagraph"/>
        <w:numPr>
          <w:ilvl w:val="0"/>
          <w:numId w:val="28"/>
        </w:numPr>
        <w:tabs>
          <w:tab w:val="left" w:pos="1306"/>
          <w:tab w:val="left" w:pos="1307"/>
        </w:tabs>
        <w:spacing w:before="12"/>
        <w:ind w:hanging="721"/>
        <w:rPr>
          <w:sz w:val="24"/>
        </w:rPr>
      </w:pPr>
      <w:r>
        <w:rPr>
          <w:color w:val="231F20"/>
          <w:sz w:val="24"/>
        </w:rPr>
        <w:t>Inability to pay benefits when</w:t>
      </w:r>
      <w:r>
        <w:rPr>
          <w:color w:val="231F20"/>
          <w:spacing w:val="1"/>
          <w:sz w:val="24"/>
        </w:rPr>
        <w:t xml:space="preserve"> </w:t>
      </w:r>
      <w:proofErr w:type="gramStart"/>
      <w:r>
        <w:rPr>
          <w:color w:val="231F20"/>
          <w:spacing w:val="4"/>
          <w:sz w:val="24"/>
        </w:rPr>
        <w:t>due</w:t>
      </w:r>
      <w:proofErr w:type="gramEnd"/>
    </w:p>
    <w:p w:rsidR="005D3966" w:rsidRDefault="001C5FE1" w14:paraId="08FCFB19" w14:textId="77777777">
      <w:pPr>
        <w:pStyle w:val="ListParagraph"/>
        <w:numPr>
          <w:ilvl w:val="0"/>
          <w:numId w:val="28"/>
        </w:numPr>
        <w:tabs>
          <w:tab w:val="left" w:pos="1306"/>
          <w:tab w:val="left" w:pos="1307"/>
        </w:tabs>
        <w:spacing w:before="7"/>
        <w:ind w:hanging="721"/>
        <w:rPr>
          <w:sz w:val="24"/>
        </w:rPr>
      </w:pPr>
      <w:r>
        <w:rPr>
          <w:color w:val="231F20"/>
          <w:sz w:val="24"/>
        </w:rPr>
        <w:t>Distribution to a substantial</w:t>
      </w:r>
      <w:r>
        <w:rPr>
          <w:color w:val="231F20"/>
          <w:spacing w:val="-2"/>
          <w:sz w:val="24"/>
        </w:rPr>
        <w:t xml:space="preserve"> </w:t>
      </w:r>
      <w:r>
        <w:rPr>
          <w:color w:val="231F20"/>
          <w:spacing w:val="3"/>
          <w:sz w:val="24"/>
        </w:rPr>
        <w:t>owner</w:t>
      </w:r>
    </w:p>
    <w:p w:rsidR="005D3966" w:rsidRDefault="001C5FE1" w14:paraId="6C39A407" w14:textId="77777777">
      <w:pPr>
        <w:pStyle w:val="ListParagraph"/>
        <w:numPr>
          <w:ilvl w:val="0"/>
          <w:numId w:val="28"/>
        </w:numPr>
        <w:tabs>
          <w:tab w:val="left" w:pos="1306"/>
          <w:tab w:val="left" w:pos="1307"/>
        </w:tabs>
        <w:spacing w:before="12"/>
        <w:ind w:hanging="721"/>
        <w:rPr>
          <w:sz w:val="24"/>
        </w:rPr>
      </w:pPr>
      <w:r>
        <w:rPr>
          <w:color w:val="231F20"/>
          <w:sz w:val="24"/>
        </w:rPr>
        <w:t>Change in controlled</w:t>
      </w:r>
      <w:r>
        <w:rPr>
          <w:color w:val="231F20"/>
          <w:spacing w:val="-2"/>
          <w:sz w:val="24"/>
        </w:rPr>
        <w:t xml:space="preserve"> </w:t>
      </w:r>
      <w:r>
        <w:rPr>
          <w:color w:val="231F20"/>
          <w:sz w:val="24"/>
        </w:rPr>
        <w:t>group</w:t>
      </w:r>
    </w:p>
    <w:p w:rsidR="005D3966" w:rsidRDefault="001C5FE1" w14:paraId="7A56985A" w14:textId="77777777">
      <w:pPr>
        <w:pStyle w:val="ListParagraph"/>
        <w:numPr>
          <w:ilvl w:val="0"/>
          <w:numId w:val="28"/>
        </w:numPr>
        <w:tabs>
          <w:tab w:val="left" w:pos="1306"/>
          <w:tab w:val="left" w:pos="1307"/>
        </w:tabs>
        <w:spacing w:before="12"/>
        <w:ind w:hanging="721"/>
        <w:rPr>
          <w:sz w:val="24"/>
        </w:rPr>
      </w:pPr>
      <w:r>
        <w:rPr>
          <w:color w:val="231F20"/>
          <w:sz w:val="24"/>
        </w:rPr>
        <w:t>Liquidation</w:t>
      </w:r>
    </w:p>
    <w:p w:rsidR="005D3966" w:rsidRDefault="001C5FE1" w14:paraId="671F9F9E" w14:textId="77777777">
      <w:pPr>
        <w:pStyle w:val="ListParagraph"/>
        <w:numPr>
          <w:ilvl w:val="0"/>
          <w:numId w:val="28"/>
        </w:numPr>
        <w:tabs>
          <w:tab w:val="left" w:pos="1306"/>
          <w:tab w:val="left" w:pos="1307"/>
        </w:tabs>
        <w:spacing w:before="10"/>
        <w:ind w:hanging="721"/>
        <w:rPr>
          <w:sz w:val="24"/>
        </w:rPr>
      </w:pPr>
      <w:r>
        <w:rPr>
          <w:color w:val="231F20"/>
          <w:sz w:val="24"/>
        </w:rPr>
        <w:t xml:space="preserve">Extraordinary dividend or </w:t>
      </w:r>
      <w:r>
        <w:rPr>
          <w:color w:val="231F20"/>
          <w:spacing w:val="3"/>
          <w:sz w:val="24"/>
        </w:rPr>
        <w:t>stock</w:t>
      </w:r>
      <w:r>
        <w:rPr>
          <w:color w:val="231F20"/>
          <w:spacing w:val="-6"/>
          <w:sz w:val="24"/>
        </w:rPr>
        <w:t xml:space="preserve"> </w:t>
      </w:r>
      <w:r>
        <w:rPr>
          <w:color w:val="231F20"/>
          <w:spacing w:val="4"/>
          <w:sz w:val="24"/>
        </w:rPr>
        <w:t>redemption</w:t>
      </w:r>
    </w:p>
    <w:p w:rsidR="005D3966" w:rsidRDefault="001C5FE1" w14:paraId="433B5208" w14:textId="77777777">
      <w:pPr>
        <w:pStyle w:val="ListParagraph"/>
        <w:numPr>
          <w:ilvl w:val="0"/>
          <w:numId w:val="28"/>
        </w:numPr>
        <w:tabs>
          <w:tab w:val="left" w:pos="1306"/>
          <w:tab w:val="left" w:pos="1307"/>
        </w:tabs>
        <w:spacing w:before="10"/>
        <w:ind w:hanging="721"/>
        <w:rPr>
          <w:sz w:val="24"/>
        </w:rPr>
      </w:pPr>
      <w:r>
        <w:rPr>
          <w:color w:val="231F20"/>
          <w:sz w:val="24"/>
        </w:rPr>
        <w:t>Transfer of benefit</w:t>
      </w:r>
      <w:r>
        <w:rPr>
          <w:color w:val="231F20"/>
          <w:spacing w:val="38"/>
          <w:sz w:val="24"/>
        </w:rPr>
        <w:t xml:space="preserve"> </w:t>
      </w:r>
      <w:r>
        <w:rPr>
          <w:color w:val="231F20"/>
          <w:spacing w:val="4"/>
          <w:sz w:val="24"/>
        </w:rPr>
        <w:t>liabilities</w:t>
      </w:r>
    </w:p>
    <w:p w:rsidR="005D3966" w:rsidRDefault="001C5FE1" w14:paraId="55C6CA62" w14:textId="77777777">
      <w:pPr>
        <w:pStyle w:val="ListParagraph"/>
        <w:numPr>
          <w:ilvl w:val="0"/>
          <w:numId w:val="28"/>
        </w:numPr>
        <w:tabs>
          <w:tab w:val="left" w:pos="1306"/>
          <w:tab w:val="left" w:pos="1307"/>
        </w:tabs>
        <w:spacing w:before="9"/>
        <w:ind w:hanging="721"/>
        <w:rPr>
          <w:sz w:val="24"/>
        </w:rPr>
      </w:pPr>
      <w:r>
        <w:rPr>
          <w:color w:val="231F20"/>
          <w:sz w:val="24"/>
        </w:rPr>
        <w:t>Application for minimum funding</w:t>
      </w:r>
      <w:r>
        <w:rPr>
          <w:color w:val="231F20"/>
          <w:spacing w:val="-1"/>
          <w:sz w:val="24"/>
        </w:rPr>
        <w:t xml:space="preserve"> </w:t>
      </w:r>
      <w:r>
        <w:rPr>
          <w:color w:val="231F20"/>
          <w:sz w:val="24"/>
        </w:rPr>
        <w:t>waiver</w:t>
      </w:r>
    </w:p>
    <w:p w:rsidR="005D3966" w:rsidRDefault="001C5FE1" w14:paraId="464EE466" w14:textId="77777777">
      <w:pPr>
        <w:pStyle w:val="ListParagraph"/>
        <w:numPr>
          <w:ilvl w:val="0"/>
          <w:numId w:val="28"/>
        </w:numPr>
        <w:tabs>
          <w:tab w:val="left" w:pos="1306"/>
          <w:tab w:val="left" w:pos="1307"/>
        </w:tabs>
        <w:spacing w:before="10"/>
        <w:ind w:hanging="721"/>
        <w:rPr>
          <w:sz w:val="24"/>
        </w:rPr>
      </w:pPr>
      <w:r>
        <w:rPr>
          <w:color w:val="231F20"/>
          <w:sz w:val="24"/>
        </w:rPr>
        <w:t>Loan</w:t>
      </w:r>
      <w:r>
        <w:rPr>
          <w:color w:val="231F20"/>
          <w:spacing w:val="7"/>
          <w:sz w:val="24"/>
        </w:rPr>
        <w:t xml:space="preserve"> </w:t>
      </w:r>
      <w:r>
        <w:rPr>
          <w:color w:val="231F20"/>
          <w:sz w:val="24"/>
        </w:rPr>
        <w:t>default</w:t>
      </w:r>
    </w:p>
    <w:p w:rsidR="005D3966" w:rsidRDefault="001C5FE1" w14:paraId="5B9CEBE1" w14:textId="77777777">
      <w:pPr>
        <w:pStyle w:val="ListParagraph"/>
        <w:numPr>
          <w:ilvl w:val="0"/>
          <w:numId w:val="28"/>
        </w:numPr>
        <w:tabs>
          <w:tab w:val="left" w:pos="1306"/>
          <w:tab w:val="left" w:pos="1307"/>
        </w:tabs>
        <w:spacing w:before="12"/>
        <w:ind w:hanging="721"/>
        <w:rPr>
          <w:sz w:val="24"/>
        </w:rPr>
      </w:pPr>
      <w:r>
        <w:rPr>
          <w:color w:val="231F20"/>
          <w:sz w:val="24"/>
        </w:rPr>
        <w:t>Insolvency or similar</w:t>
      </w:r>
      <w:r>
        <w:rPr>
          <w:color w:val="231F20"/>
          <w:spacing w:val="-2"/>
          <w:sz w:val="24"/>
        </w:rPr>
        <w:t xml:space="preserve"> </w:t>
      </w:r>
      <w:r>
        <w:rPr>
          <w:color w:val="231F20"/>
          <w:sz w:val="24"/>
        </w:rPr>
        <w:t>settlement</w:t>
      </w:r>
    </w:p>
    <w:p w:rsidR="005D3966" w:rsidRDefault="005D3966" w14:paraId="2E11F3E0" w14:textId="77777777">
      <w:pPr>
        <w:pStyle w:val="BodyText"/>
        <w:spacing w:before="1"/>
        <w:rPr>
          <w:sz w:val="26"/>
        </w:rPr>
      </w:pPr>
    </w:p>
    <w:p w:rsidR="005D3966" w:rsidRDefault="001C5FE1" w14:paraId="01C5A9C0" w14:textId="77777777">
      <w:pPr>
        <w:pStyle w:val="BodyText"/>
        <w:ind w:left="588"/>
      </w:pPr>
      <w:r>
        <w:rPr>
          <w:color w:val="231F20"/>
        </w:rPr>
        <w:t>Part III of these instructions summarizes the rules for each event.</w:t>
      </w:r>
    </w:p>
    <w:p w:rsidR="005D3966" w:rsidRDefault="005D3966" w14:paraId="170DE845" w14:textId="77777777">
      <w:pPr>
        <w:pStyle w:val="BodyText"/>
        <w:spacing w:before="10"/>
        <w:rPr>
          <w:sz w:val="25"/>
        </w:rPr>
      </w:pPr>
    </w:p>
    <w:p w:rsidR="005D3966" w:rsidRDefault="001C5FE1" w14:paraId="0B94576B" w14:textId="77777777">
      <w:pPr>
        <w:pStyle w:val="BodyText"/>
        <w:spacing w:line="249" w:lineRule="auto"/>
        <w:ind w:left="588" w:right="1061"/>
      </w:pPr>
      <w:r>
        <w:rPr>
          <w:color w:val="231F20"/>
        </w:rPr>
        <w:t>The rules in the reportable events regulation apply only to reportable events involving single- employer plans (which include multiple-employer plans) covered by title IV of ERISA. In these instructions, “plan” always means such a plan.</w:t>
      </w:r>
    </w:p>
    <w:p w:rsidR="005D3966" w:rsidRDefault="005D3966" w14:paraId="54EA5EC4" w14:textId="77777777">
      <w:pPr>
        <w:pStyle w:val="BodyText"/>
        <w:rPr>
          <w:sz w:val="25"/>
        </w:rPr>
      </w:pPr>
    </w:p>
    <w:p w:rsidR="005D3966" w:rsidP="00A07C55" w:rsidRDefault="001C5FE1" w14:paraId="3E425633" w14:textId="77777777">
      <w:pPr>
        <w:pStyle w:val="Heading1"/>
        <w:ind w:left="0" w:firstLine="451"/>
      </w:pPr>
      <w:bookmarkStart w:name="What’s_New" w:id="0"/>
      <w:bookmarkEnd w:id="0"/>
      <w:r>
        <w:rPr>
          <w:color w:val="231F20"/>
        </w:rPr>
        <w:t>What’s New</w:t>
      </w:r>
    </w:p>
    <w:p w:rsidR="005D3966" w:rsidRDefault="005D3966" w14:paraId="11F1C9EE" w14:textId="77777777">
      <w:pPr>
        <w:pStyle w:val="BodyText"/>
        <w:rPr>
          <w:rFonts w:ascii="Arial"/>
          <w:b/>
          <w:sz w:val="26"/>
        </w:rPr>
      </w:pPr>
    </w:p>
    <w:p w:rsidR="00770120" w:rsidP="00D654CE" w:rsidRDefault="001C5FE1" w14:paraId="18FB7C82" w14:textId="24628308">
      <w:pPr>
        <w:pStyle w:val="BodyText"/>
        <w:spacing w:line="247" w:lineRule="auto"/>
        <w:ind w:left="451" w:right="1494"/>
      </w:pPr>
      <w:r>
        <w:rPr>
          <w:color w:val="231F20"/>
        </w:rPr>
        <w:t>The Form 10 and instructions have changed to include an additional information</w:t>
      </w:r>
      <w:r w:rsidR="00770120">
        <w:rPr>
          <w:color w:val="231F20"/>
        </w:rPr>
        <w:t xml:space="preserve"> </w:t>
      </w:r>
      <w:r>
        <w:rPr>
          <w:color w:val="231F20"/>
        </w:rPr>
        <w:t>requirement for the failure to make a required minimum funding payment:</w:t>
      </w:r>
      <w:r w:rsidR="00D209AF">
        <w:t xml:space="preserve">  e</w:t>
      </w:r>
      <w:r w:rsidRPr="001C5FE1">
        <w:t>vidence of any amount paid related to the missed contribution (cancelled check, wire transfer, asset statement)</w:t>
      </w:r>
      <w:r w:rsidR="00D654CE">
        <w:t>.</w:t>
      </w:r>
    </w:p>
    <w:p w:rsidR="00D209AF" w:rsidP="00D654CE" w:rsidRDefault="00D209AF" w14:paraId="4A848C25" w14:textId="77777777">
      <w:pPr>
        <w:pStyle w:val="BodyText"/>
        <w:spacing w:line="247" w:lineRule="auto"/>
        <w:ind w:left="451" w:right="797"/>
      </w:pPr>
    </w:p>
    <w:p w:rsidR="005D3966" w:rsidP="00D654CE" w:rsidRDefault="001C5FE1" w14:paraId="1FF0B0A0" w14:textId="724995F5">
      <w:pPr>
        <w:pStyle w:val="BodyText"/>
        <w:spacing w:line="247" w:lineRule="auto"/>
        <w:ind w:left="451" w:right="797"/>
      </w:pPr>
      <w:r>
        <w:rPr>
          <w:color w:val="231F20"/>
        </w:rPr>
        <w:t xml:space="preserve">PBGC also intends to no longer accept electronic filing by email as of October 1, 2021. </w:t>
      </w:r>
      <w:r w:rsidR="00D654CE">
        <w:rPr>
          <w:color w:val="231F20"/>
        </w:rPr>
        <w:t xml:space="preserve"> </w:t>
      </w:r>
      <w:r>
        <w:rPr>
          <w:color w:val="231F20"/>
        </w:rPr>
        <w:t>PBGC’s e-filing portal, available for reportable events filings since 2016, offers a secure application for submitting required information. The e-filing portal allows filers to:</w:t>
      </w:r>
    </w:p>
    <w:p w:rsidR="005D3966" w:rsidP="00D654CE" w:rsidRDefault="001C5FE1" w14:paraId="02A3E55E" w14:textId="77777777">
      <w:pPr>
        <w:pStyle w:val="ListParagraph"/>
        <w:numPr>
          <w:ilvl w:val="1"/>
          <w:numId w:val="27"/>
        </w:numPr>
        <w:tabs>
          <w:tab w:val="left" w:pos="1407"/>
          <w:tab w:val="left" w:pos="1408"/>
        </w:tabs>
        <w:spacing w:before="90" w:line="244" w:lineRule="auto"/>
        <w:ind w:right="901"/>
        <w:rPr>
          <w:sz w:val="24"/>
        </w:rPr>
      </w:pPr>
      <w:r>
        <w:rPr>
          <w:color w:val="231F20"/>
          <w:sz w:val="24"/>
        </w:rPr>
        <w:t>Review filings and generate a list of omissions and inconsistencies prior to submission to ensure that filings are</w:t>
      </w:r>
      <w:r>
        <w:rPr>
          <w:color w:val="231F20"/>
          <w:spacing w:val="-3"/>
          <w:sz w:val="24"/>
        </w:rPr>
        <w:t xml:space="preserve"> </w:t>
      </w:r>
      <w:r>
        <w:rPr>
          <w:color w:val="231F20"/>
          <w:sz w:val="24"/>
        </w:rPr>
        <w:t>complete.</w:t>
      </w:r>
    </w:p>
    <w:p w:rsidR="005D3966" w:rsidP="00D654CE" w:rsidRDefault="001C5FE1" w14:paraId="64A2EFFC" w14:textId="77777777">
      <w:pPr>
        <w:pStyle w:val="ListParagraph"/>
        <w:numPr>
          <w:ilvl w:val="1"/>
          <w:numId w:val="27"/>
        </w:numPr>
        <w:tabs>
          <w:tab w:val="left" w:pos="1407"/>
          <w:tab w:val="left" w:pos="1408"/>
        </w:tabs>
        <w:spacing w:before="9"/>
        <w:ind w:hanging="361"/>
        <w:rPr>
          <w:sz w:val="24"/>
        </w:rPr>
      </w:pPr>
      <w:r>
        <w:rPr>
          <w:color w:val="231F20"/>
          <w:sz w:val="24"/>
        </w:rPr>
        <w:t>Save a partially completed</w:t>
      </w:r>
      <w:r>
        <w:rPr>
          <w:color w:val="231F20"/>
          <w:spacing w:val="-3"/>
          <w:sz w:val="24"/>
        </w:rPr>
        <w:t xml:space="preserve"> </w:t>
      </w:r>
      <w:r>
        <w:rPr>
          <w:color w:val="231F20"/>
          <w:sz w:val="24"/>
        </w:rPr>
        <w:t>filing.</w:t>
      </w:r>
    </w:p>
    <w:p w:rsidR="005D3966" w:rsidP="00D654CE" w:rsidRDefault="001C5FE1" w14:paraId="59DD702A" w14:textId="77777777">
      <w:pPr>
        <w:pStyle w:val="ListParagraph"/>
        <w:numPr>
          <w:ilvl w:val="1"/>
          <w:numId w:val="27"/>
        </w:numPr>
        <w:tabs>
          <w:tab w:val="left" w:pos="1407"/>
          <w:tab w:val="left" w:pos="1408"/>
        </w:tabs>
        <w:spacing w:before="10"/>
        <w:ind w:hanging="361"/>
        <w:rPr>
          <w:sz w:val="24"/>
        </w:rPr>
      </w:pPr>
      <w:r>
        <w:rPr>
          <w:color w:val="231F20"/>
          <w:sz w:val="24"/>
        </w:rPr>
        <w:t>Modify information any time prior to</w:t>
      </w:r>
      <w:r>
        <w:rPr>
          <w:color w:val="231F20"/>
          <w:spacing w:val="-3"/>
          <w:sz w:val="24"/>
        </w:rPr>
        <w:t xml:space="preserve"> </w:t>
      </w:r>
      <w:r>
        <w:rPr>
          <w:color w:val="231F20"/>
          <w:sz w:val="24"/>
        </w:rPr>
        <w:t>submission.</w:t>
      </w:r>
    </w:p>
    <w:p w:rsidR="005D3966" w:rsidP="00D654CE" w:rsidRDefault="001C5FE1" w14:paraId="1F24CF08" w14:textId="77777777">
      <w:pPr>
        <w:pStyle w:val="ListParagraph"/>
        <w:numPr>
          <w:ilvl w:val="1"/>
          <w:numId w:val="27"/>
        </w:numPr>
        <w:tabs>
          <w:tab w:val="left" w:pos="1407"/>
          <w:tab w:val="left" w:pos="1408"/>
        </w:tabs>
        <w:spacing w:before="11"/>
        <w:ind w:hanging="361"/>
        <w:rPr>
          <w:sz w:val="24"/>
        </w:rPr>
      </w:pPr>
      <w:r>
        <w:rPr>
          <w:color w:val="231F20"/>
          <w:sz w:val="24"/>
        </w:rPr>
        <w:t>Pre-populate a filing with data from a previously submitted</w:t>
      </w:r>
      <w:r>
        <w:rPr>
          <w:color w:val="231F20"/>
          <w:spacing w:val="-2"/>
          <w:sz w:val="24"/>
        </w:rPr>
        <w:t xml:space="preserve"> </w:t>
      </w:r>
      <w:r>
        <w:rPr>
          <w:color w:val="231F20"/>
          <w:sz w:val="24"/>
        </w:rPr>
        <w:t>filing.</w:t>
      </w:r>
    </w:p>
    <w:p w:rsidR="005D3966" w:rsidP="00D654CE" w:rsidRDefault="001C5FE1" w14:paraId="62271C3A" w14:textId="77777777">
      <w:pPr>
        <w:pStyle w:val="ListParagraph"/>
        <w:numPr>
          <w:ilvl w:val="1"/>
          <w:numId w:val="27"/>
        </w:numPr>
        <w:tabs>
          <w:tab w:val="left" w:pos="1407"/>
          <w:tab w:val="left" w:pos="1408"/>
        </w:tabs>
        <w:spacing w:before="9"/>
        <w:ind w:hanging="361"/>
        <w:rPr>
          <w:sz w:val="24"/>
        </w:rPr>
      </w:pPr>
      <w:r>
        <w:rPr>
          <w:color w:val="231F20"/>
          <w:sz w:val="24"/>
        </w:rPr>
        <w:t>Route the filing as needed to facilitate</w:t>
      </w:r>
      <w:r>
        <w:rPr>
          <w:color w:val="231F20"/>
          <w:spacing w:val="-4"/>
          <w:sz w:val="24"/>
        </w:rPr>
        <w:t xml:space="preserve"> </w:t>
      </w:r>
      <w:r>
        <w:rPr>
          <w:color w:val="231F20"/>
          <w:sz w:val="24"/>
        </w:rPr>
        <w:t>e-certifications.</w:t>
      </w:r>
    </w:p>
    <w:p w:rsidR="005D3966" w:rsidP="00D654CE" w:rsidRDefault="001C5FE1" w14:paraId="1172D15D" w14:textId="77777777">
      <w:pPr>
        <w:pStyle w:val="ListParagraph"/>
        <w:numPr>
          <w:ilvl w:val="1"/>
          <w:numId w:val="27"/>
        </w:numPr>
        <w:tabs>
          <w:tab w:val="left" w:pos="1407"/>
          <w:tab w:val="left" w:pos="1408"/>
        </w:tabs>
        <w:spacing w:before="10"/>
        <w:ind w:hanging="361"/>
        <w:rPr>
          <w:sz w:val="24"/>
        </w:rPr>
      </w:pPr>
      <w:r>
        <w:rPr>
          <w:color w:val="231F20"/>
          <w:sz w:val="24"/>
        </w:rPr>
        <w:t>Review prior filings submitted via the e-filing</w:t>
      </w:r>
      <w:r>
        <w:rPr>
          <w:color w:val="231F20"/>
          <w:spacing w:val="-5"/>
          <w:sz w:val="24"/>
        </w:rPr>
        <w:t xml:space="preserve"> </w:t>
      </w:r>
      <w:r>
        <w:rPr>
          <w:color w:val="231F20"/>
          <w:sz w:val="24"/>
        </w:rPr>
        <w:t>portal.</w:t>
      </w:r>
    </w:p>
    <w:p w:rsidR="005D3966" w:rsidP="00D654CE" w:rsidRDefault="005D3966" w14:paraId="7CD68CA9" w14:textId="77777777">
      <w:pPr>
        <w:pStyle w:val="BodyText"/>
        <w:spacing w:before="7"/>
        <w:rPr>
          <w:sz w:val="34"/>
        </w:rPr>
      </w:pPr>
    </w:p>
    <w:p w:rsidR="005D3966" w:rsidP="00D654CE" w:rsidRDefault="001C5FE1" w14:paraId="4DDF3238" w14:textId="77777777">
      <w:pPr>
        <w:pStyle w:val="BodyText"/>
        <w:spacing w:line="247" w:lineRule="auto"/>
        <w:ind w:left="574" w:right="775"/>
      </w:pPr>
      <w:r>
        <w:rPr>
          <w:color w:val="231F20"/>
        </w:rPr>
        <w:t xml:space="preserve">Notification of future changes to any forms and instructions may be found under “What’s New” on the Employers &amp; Practitioners page at </w:t>
      </w:r>
      <w:hyperlink r:id="rId15">
        <w:r>
          <w:rPr>
            <w:color w:val="231F20"/>
          </w:rPr>
          <w:t>www.pbgc.gov/</w:t>
        </w:r>
      </w:hyperlink>
      <w:r>
        <w:rPr>
          <w:color w:val="231F20"/>
        </w:rPr>
        <w:t>prac.</w:t>
      </w:r>
    </w:p>
    <w:p w:rsidR="005D3966" w:rsidRDefault="005D3966" w14:paraId="06966DE2" w14:textId="77777777">
      <w:pPr>
        <w:pStyle w:val="BodyText"/>
        <w:spacing w:before="2"/>
        <w:rPr>
          <w:sz w:val="25"/>
        </w:rPr>
      </w:pPr>
    </w:p>
    <w:p w:rsidR="005D3966" w:rsidRDefault="001C5FE1" w14:paraId="54021AEB" w14:textId="77777777">
      <w:pPr>
        <w:pStyle w:val="Heading1"/>
        <w:ind w:left="574"/>
      </w:pPr>
      <w:bookmarkStart w:name="Advance_Reporting_Rule_for_Non-Public_Co" w:id="1"/>
      <w:bookmarkEnd w:id="1"/>
      <w:r>
        <w:rPr>
          <w:color w:val="231F20"/>
        </w:rPr>
        <w:lastRenderedPageBreak/>
        <w:t>Advance Reporting Rule for Non-Public Companies</w:t>
      </w:r>
    </w:p>
    <w:p w:rsidR="005D3966" w:rsidRDefault="005D3966" w14:paraId="6FCF7C77" w14:textId="77777777">
      <w:pPr>
        <w:pStyle w:val="BodyText"/>
        <w:spacing w:before="9"/>
        <w:rPr>
          <w:rFonts w:ascii="Arial"/>
          <w:b/>
          <w:sz w:val="25"/>
        </w:rPr>
      </w:pPr>
    </w:p>
    <w:p w:rsidR="005D3966" w:rsidRDefault="001C5FE1" w14:paraId="05E6CBEF" w14:textId="77777777">
      <w:pPr>
        <w:pStyle w:val="BodyText"/>
        <w:spacing w:line="249" w:lineRule="auto"/>
        <w:ind w:left="574" w:right="780"/>
      </w:pPr>
      <w:r>
        <w:rPr>
          <w:color w:val="231F20"/>
        </w:rPr>
        <w:t xml:space="preserve">Section 4043(b) of ERISA requires that certain contributing sponsors notify PBGC at least 30 days before the effective date of certain reportable events. If an event is subject to both post-event and advance notice requirements, the notice filed </w:t>
      </w:r>
      <w:r>
        <w:t>first satisfies both filing requirements.</w:t>
      </w:r>
    </w:p>
    <w:p w:rsidR="005D3966" w:rsidRDefault="005D3966" w14:paraId="022A361E" w14:textId="77777777">
      <w:pPr>
        <w:pStyle w:val="BodyText"/>
        <w:spacing w:before="1"/>
        <w:rPr>
          <w:sz w:val="25"/>
        </w:rPr>
      </w:pPr>
    </w:p>
    <w:p w:rsidR="005D3966" w:rsidRDefault="001C5FE1" w14:paraId="286AC968" w14:textId="77777777">
      <w:pPr>
        <w:pStyle w:val="BodyText"/>
        <w:ind w:left="574"/>
      </w:pPr>
      <w:r>
        <w:t>The advance notice requirement applies only to non-public companies that:</w:t>
      </w:r>
    </w:p>
    <w:p w:rsidR="005D3966" w:rsidRDefault="001C5FE1" w14:paraId="23BD7094" w14:textId="77777777">
      <w:pPr>
        <w:pStyle w:val="ListParagraph"/>
        <w:numPr>
          <w:ilvl w:val="0"/>
          <w:numId w:val="26"/>
        </w:numPr>
        <w:tabs>
          <w:tab w:val="left" w:pos="896"/>
        </w:tabs>
        <w:spacing w:before="91" w:line="247" w:lineRule="auto"/>
        <w:ind w:left="895" w:right="1035"/>
        <w:rPr>
          <w:sz w:val="24"/>
        </w:rPr>
      </w:pPr>
      <w:r>
        <w:rPr>
          <w:color w:val="231F20"/>
          <w:sz w:val="24"/>
        </w:rPr>
        <w:t>Are members of a controlled group whose plans (disregarding plans with no unfunded</w:t>
      </w:r>
      <w:r>
        <w:rPr>
          <w:color w:val="231F20"/>
          <w:spacing w:val="-20"/>
          <w:sz w:val="24"/>
        </w:rPr>
        <w:t xml:space="preserve"> </w:t>
      </w:r>
      <w:r>
        <w:rPr>
          <w:color w:val="231F20"/>
          <w:sz w:val="24"/>
        </w:rPr>
        <w:t>vested benefits)</w:t>
      </w:r>
      <w:r>
        <w:rPr>
          <w:color w:val="231F20"/>
          <w:spacing w:val="29"/>
          <w:sz w:val="24"/>
        </w:rPr>
        <w:t xml:space="preserve"> </w:t>
      </w:r>
      <w:r>
        <w:rPr>
          <w:color w:val="231F20"/>
          <w:sz w:val="24"/>
        </w:rPr>
        <w:t>have:</w:t>
      </w:r>
    </w:p>
    <w:p w:rsidR="005D3966" w:rsidRDefault="001C5FE1" w14:paraId="3594A76C" w14:textId="77777777">
      <w:pPr>
        <w:pStyle w:val="ListParagraph"/>
        <w:numPr>
          <w:ilvl w:val="1"/>
          <w:numId w:val="26"/>
        </w:numPr>
        <w:tabs>
          <w:tab w:val="left" w:pos="1375"/>
          <w:tab w:val="left" w:pos="1376"/>
        </w:tabs>
        <w:spacing w:before="5"/>
        <w:ind w:hanging="361"/>
        <w:rPr>
          <w:sz w:val="24"/>
        </w:rPr>
      </w:pPr>
      <w:r>
        <w:rPr>
          <w:color w:val="231F20"/>
          <w:sz w:val="24"/>
        </w:rPr>
        <w:t>aggregate unfunded vested benefits of more than $50 million</w:t>
      </w:r>
      <w:r>
        <w:rPr>
          <w:color w:val="231F20"/>
          <w:spacing w:val="-9"/>
          <w:sz w:val="24"/>
        </w:rPr>
        <w:t xml:space="preserve"> </w:t>
      </w:r>
      <w:r>
        <w:rPr>
          <w:color w:val="231F20"/>
          <w:sz w:val="24"/>
        </w:rPr>
        <w:t>and</w:t>
      </w:r>
    </w:p>
    <w:p w:rsidR="005D3966" w:rsidRDefault="001C5FE1" w14:paraId="22E7A2EB" w14:textId="77777777">
      <w:pPr>
        <w:pStyle w:val="ListParagraph"/>
        <w:numPr>
          <w:ilvl w:val="1"/>
          <w:numId w:val="26"/>
        </w:numPr>
        <w:tabs>
          <w:tab w:val="left" w:pos="1376"/>
        </w:tabs>
        <w:spacing w:before="12"/>
        <w:ind w:hanging="361"/>
        <w:rPr>
          <w:sz w:val="24"/>
        </w:rPr>
      </w:pPr>
      <w:r>
        <w:rPr>
          <w:color w:val="231F20"/>
          <w:sz w:val="24"/>
        </w:rPr>
        <w:t>an aggregate funded vested benefit percentage of less than 90 percent; and</w:t>
      </w:r>
    </w:p>
    <w:p w:rsidR="005D3966" w:rsidRDefault="001C5FE1" w14:paraId="2B61CC31" w14:textId="77777777">
      <w:pPr>
        <w:pStyle w:val="ListParagraph"/>
        <w:numPr>
          <w:ilvl w:val="0"/>
          <w:numId w:val="26"/>
        </w:numPr>
        <w:tabs>
          <w:tab w:val="left" w:pos="896"/>
        </w:tabs>
        <w:spacing w:before="113" w:line="247" w:lineRule="auto"/>
        <w:ind w:left="895" w:right="1653"/>
        <w:rPr>
          <w:sz w:val="24"/>
        </w:rPr>
      </w:pPr>
      <w:r>
        <w:rPr>
          <w:color w:val="231F20"/>
          <w:sz w:val="24"/>
        </w:rPr>
        <w:t>Are reporting about events relating to themselves or other non-public companies in</w:t>
      </w:r>
      <w:r>
        <w:rPr>
          <w:color w:val="231F20"/>
          <w:spacing w:val="-17"/>
          <w:sz w:val="24"/>
        </w:rPr>
        <w:t xml:space="preserve"> </w:t>
      </w:r>
      <w:r>
        <w:rPr>
          <w:color w:val="231F20"/>
          <w:sz w:val="24"/>
        </w:rPr>
        <w:t>the controlled</w:t>
      </w:r>
      <w:r>
        <w:rPr>
          <w:color w:val="231F20"/>
          <w:spacing w:val="15"/>
          <w:sz w:val="24"/>
        </w:rPr>
        <w:t xml:space="preserve"> </w:t>
      </w:r>
      <w:r>
        <w:rPr>
          <w:color w:val="231F20"/>
          <w:sz w:val="24"/>
        </w:rPr>
        <w:t>group.</w:t>
      </w:r>
    </w:p>
    <w:p w:rsidR="005D3966" w:rsidRDefault="001C5FE1" w14:paraId="61E33DD4" w14:textId="77777777">
      <w:pPr>
        <w:pStyle w:val="BodyText"/>
        <w:spacing w:before="109" w:line="247" w:lineRule="auto"/>
        <w:ind w:left="586" w:right="1061"/>
      </w:pPr>
      <w:r>
        <w:rPr>
          <w:color w:val="231F20"/>
          <w:u w:val="single" w:color="231F20"/>
        </w:rPr>
        <w:t>Form 10 and the rules described in these instructions do not apply to advance reporting</w:t>
      </w:r>
      <w:r>
        <w:rPr>
          <w:color w:val="231F20"/>
        </w:rPr>
        <w:t>. See the Form 10-Advance package and 29 CFR part 4043, Subparts A and C, for further information about advance reporting.</w:t>
      </w:r>
    </w:p>
    <w:p w:rsidR="005D3966" w:rsidRDefault="005D3966" w14:paraId="65C7D989" w14:textId="77777777">
      <w:pPr>
        <w:pStyle w:val="BodyText"/>
        <w:spacing w:before="8"/>
        <w:rPr>
          <w:sz w:val="25"/>
        </w:rPr>
      </w:pPr>
    </w:p>
    <w:p w:rsidR="005D3966" w:rsidRDefault="001C5FE1" w14:paraId="3EF14FB6" w14:textId="77777777">
      <w:pPr>
        <w:pStyle w:val="Heading1"/>
      </w:pPr>
      <w:bookmarkStart w:name="Who_Must_Notify_PBGC" w:id="2"/>
      <w:bookmarkEnd w:id="2"/>
      <w:r>
        <w:rPr>
          <w:color w:val="231F20"/>
        </w:rPr>
        <w:t xml:space="preserve">Who Must Notify </w:t>
      </w:r>
      <w:proofErr w:type="gramStart"/>
      <w:r>
        <w:rPr>
          <w:color w:val="231F20"/>
        </w:rPr>
        <w:t>PBGC</w:t>
      </w:r>
      <w:proofErr w:type="gramEnd"/>
    </w:p>
    <w:p w:rsidR="005D3966" w:rsidRDefault="005D3966" w14:paraId="4A8BC505" w14:textId="77777777">
      <w:pPr>
        <w:pStyle w:val="BodyText"/>
        <w:spacing w:before="11"/>
        <w:rPr>
          <w:rFonts w:ascii="Arial"/>
          <w:b/>
          <w:sz w:val="25"/>
        </w:rPr>
      </w:pPr>
    </w:p>
    <w:p w:rsidR="005D3966" w:rsidRDefault="001C5FE1" w14:paraId="6F122ABA" w14:textId="77777777">
      <w:pPr>
        <w:pStyle w:val="BodyText"/>
        <w:spacing w:line="249" w:lineRule="auto"/>
        <w:ind w:left="586" w:right="467"/>
      </w:pPr>
      <w:r>
        <w:rPr>
          <w:color w:val="231F20"/>
        </w:rPr>
        <w:t>The plan administrator and each contributing sponsor of a plan for which a reportable event has occurred must file a post-event reportable event notice with PBGC using the PBGC Form 10. If there is a change in plan administrator or contributing sponsor, the reporting obligation applies to the plan administrator or contributing sponsor(s) on the date the post-event notice is due.</w:t>
      </w:r>
    </w:p>
    <w:p w:rsidR="005D3966" w:rsidRDefault="005D3966" w14:paraId="26FE2093" w14:textId="77777777">
      <w:pPr>
        <w:pStyle w:val="BodyText"/>
        <w:spacing w:before="9"/>
      </w:pPr>
    </w:p>
    <w:p w:rsidR="005D3966" w:rsidRDefault="001C5FE1" w14:paraId="7E347CBE" w14:textId="77777777">
      <w:pPr>
        <w:spacing w:line="249" w:lineRule="auto"/>
        <w:ind w:left="586" w:right="1061"/>
        <w:rPr>
          <w:i/>
          <w:sz w:val="24"/>
        </w:rPr>
      </w:pPr>
      <w:r>
        <w:rPr>
          <w:i/>
          <w:color w:val="231F20"/>
          <w:sz w:val="24"/>
        </w:rPr>
        <w:t>Note: An authorized representative may file a reportable event notice on behalf of a plan administrator, a contributing sponsor or both. PBGC does not need a power-of-attorney or any other form prepared to identify an authorized representative.</w:t>
      </w:r>
    </w:p>
    <w:p w:rsidR="005D3966" w:rsidRDefault="005D3966" w14:paraId="3EA280F5" w14:textId="77777777">
      <w:pPr>
        <w:pStyle w:val="BodyText"/>
        <w:spacing w:before="10"/>
        <w:rPr>
          <w:i/>
        </w:rPr>
      </w:pPr>
    </w:p>
    <w:p w:rsidR="005D3966" w:rsidRDefault="001C5FE1" w14:paraId="7B39FB43" w14:textId="77777777">
      <w:pPr>
        <w:pStyle w:val="BodyText"/>
        <w:spacing w:line="249" w:lineRule="auto"/>
        <w:ind w:left="586" w:right="467" w:firstLine="21"/>
      </w:pPr>
      <w:r>
        <w:rPr>
          <w:color w:val="231F20"/>
        </w:rPr>
        <w:t xml:space="preserve">A single occurrence (such as a controlled group break-up) may be a reportable event for more than one plan in the controlled group. In that case, the reporting requirement applies to the plan administrator and each contributing sponsor of each plan. Any filing will be deemed to be a filing by all persons required to notify </w:t>
      </w:r>
      <w:r>
        <w:rPr>
          <w:color w:val="231F20"/>
          <w:spacing w:val="-11"/>
        </w:rPr>
        <w:t xml:space="preserve">PBGC </w:t>
      </w:r>
      <w:r>
        <w:rPr>
          <w:color w:val="231F20"/>
          <w:spacing w:val="-13"/>
        </w:rPr>
        <w:t xml:space="preserve">(i.e., </w:t>
      </w:r>
      <w:r>
        <w:rPr>
          <w:color w:val="231F20"/>
          <w:spacing w:val="-11"/>
        </w:rPr>
        <w:t xml:space="preserve">PBGC does </w:t>
      </w:r>
      <w:r>
        <w:rPr>
          <w:color w:val="231F20"/>
          <w:spacing w:val="-10"/>
        </w:rPr>
        <w:t xml:space="preserve">not </w:t>
      </w:r>
      <w:r>
        <w:rPr>
          <w:color w:val="231F20"/>
          <w:spacing w:val="-11"/>
        </w:rPr>
        <w:t xml:space="preserve">need </w:t>
      </w:r>
      <w:r>
        <w:rPr>
          <w:color w:val="231F20"/>
          <w:spacing w:val="-13"/>
        </w:rPr>
        <w:t xml:space="preserve">multiple filings providing </w:t>
      </w:r>
      <w:r>
        <w:rPr>
          <w:color w:val="231F20"/>
          <w:spacing w:val="-10"/>
        </w:rPr>
        <w:t xml:space="preserve">the </w:t>
      </w:r>
      <w:r>
        <w:rPr>
          <w:color w:val="231F20"/>
          <w:spacing w:val="-11"/>
        </w:rPr>
        <w:t xml:space="preserve">same </w:t>
      </w:r>
      <w:r>
        <w:rPr>
          <w:color w:val="231F20"/>
          <w:spacing w:val="-14"/>
        </w:rPr>
        <w:t>information).</w:t>
      </w:r>
    </w:p>
    <w:p w:rsidR="005D3966" w:rsidRDefault="005D3966" w14:paraId="7A692562" w14:textId="77777777">
      <w:pPr>
        <w:spacing w:line="249" w:lineRule="auto"/>
        <w:sectPr w:rsidR="005D3966">
          <w:headerReference w:type="default" r:id="rId16"/>
          <w:footerReference w:type="default" r:id="rId17"/>
          <w:pgSz w:w="12240" w:h="15840"/>
          <w:pgMar w:top="1060" w:right="660" w:bottom="720" w:left="700" w:header="318" w:footer="530" w:gutter="0"/>
          <w:cols w:space="720"/>
        </w:sectPr>
      </w:pPr>
    </w:p>
    <w:p w:rsidR="005D3966" w:rsidRDefault="001C5FE1" w14:paraId="2ECC1E1C" w14:textId="77777777">
      <w:pPr>
        <w:spacing w:before="88" w:line="249" w:lineRule="auto"/>
        <w:ind w:left="586" w:right="529"/>
        <w:rPr>
          <w:i/>
          <w:sz w:val="24"/>
        </w:rPr>
      </w:pPr>
      <w:r>
        <w:rPr>
          <w:i/>
          <w:color w:val="231F20"/>
          <w:sz w:val="24"/>
        </w:rPr>
        <w:lastRenderedPageBreak/>
        <w:t xml:space="preserve">Special Rule for Terminating Plans: The fact that a plan is terminating does not excuse a failure to timely file a required reportable event notice. However, no notice is required if the deadline for filing notice is on or after the date on which (1) </w:t>
      </w:r>
      <w:proofErr w:type="gramStart"/>
      <w:r>
        <w:rPr>
          <w:i/>
          <w:color w:val="231F20"/>
          <w:sz w:val="24"/>
        </w:rPr>
        <w:t>all of</w:t>
      </w:r>
      <w:proofErr w:type="gramEnd"/>
      <w:r>
        <w:rPr>
          <w:i/>
          <w:color w:val="231F20"/>
          <w:sz w:val="24"/>
        </w:rPr>
        <w:t xml:space="preserve"> the plan’s assets (other than any excess assets) are distributed pursuant to a termination under 29 CFR part 4041 or (2) a trustee is appointed for the plan under section 4042(c) of ERISA.</w:t>
      </w:r>
    </w:p>
    <w:p w:rsidR="005D3966" w:rsidRDefault="005D3966" w14:paraId="67ABD53D" w14:textId="77777777">
      <w:pPr>
        <w:pStyle w:val="BodyText"/>
        <w:spacing w:before="11"/>
        <w:rPr>
          <w:i/>
        </w:rPr>
      </w:pPr>
    </w:p>
    <w:p w:rsidR="005D3966" w:rsidRDefault="001C5FE1" w14:paraId="4620606C" w14:textId="77777777">
      <w:pPr>
        <w:pStyle w:val="Heading1"/>
      </w:pPr>
      <w:bookmarkStart w:name="Reporting_Waivers" w:id="3"/>
      <w:bookmarkEnd w:id="3"/>
      <w:r>
        <w:rPr>
          <w:color w:val="231F20"/>
        </w:rPr>
        <w:t>Reporting Waivers</w:t>
      </w:r>
    </w:p>
    <w:p w:rsidR="005D3966" w:rsidRDefault="005D3966" w14:paraId="631FF236" w14:textId="77777777">
      <w:pPr>
        <w:pStyle w:val="BodyText"/>
        <w:spacing w:before="2"/>
        <w:rPr>
          <w:rFonts w:ascii="Arial"/>
          <w:b/>
          <w:sz w:val="26"/>
        </w:rPr>
      </w:pPr>
    </w:p>
    <w:p w:rsidR="005D3966" w:rsidRDefault="001C5FE1" w14:paraId="5B9BFFCC" w14:textId="77777777">
      <w:pPr>
        <w:pStyle w:val="BodyText"/>
        <w:spacing w:line="247" w:lineRule="auto"/>
        <w:ind w:left="586" w:right="598"/>
      </w:pPr>
      <w:r>
        <w:rPr>
          <w:color w:val="231F20"/>
        </w:rPr>
        <w:t>Automatic waivers are provided for certain reportable events in certain circumstances (see Part III of these instructions for waivers by event type).</w:t>
      </w:r>
    </w:p>
    <w:p w:rsidR="005D3966" w:rsidRDefault="005D3966" w14:paraId="0AB10A75" w14:textId="77777777">
      <w:pPr>
        <w:pStyle w:val="BodyText"/>
        <w:spacing w:before="3"/>
        <w:rPr>
          <w:sz w:val="25"/>
        </w:rPr>
      </w:pPr>
    </w:p>
    <w:p w:rsidR="005D3966" w:rsidRDefault="001C5FE1" w14:paraId="44EAD9B5" w14:textId="77777777">
      <w:pPr>
        <w:pStyle w:val="BodyText"/>
        <w:spacing w:line="247" w:lineRule="auto"/>
        <w:ind w:left="586" w:right="511"/>
      </w:pPr>
      <w:r>
        <w:rPr>
          <w:color w:val="231F20"/>
        </w:rPr>
        <w:t xml:space="preserve">Post-event reporting is waived for any occurrence that is reportable as more than one reportable event </w:t>
      </w:r>
      <w:r>
        <w:rPr>
          <w:color w:val="231F20"/>
          <w:u w:val="single" w:color="231F20"/>
        </w:rPr>
        <w:t>only</w:t>
      </w:r>
      <w:r>
        <w:rPr>
          <w:color w:val="231F20"/>
        </w:rPr>
        <w:t xml:space="preserve"> if the requirements for a waiver for </w:t>
      </w:r>
      <w:r>
        <w:rPr>
          <w:color w:val="231F20"/>
          <w:u w:val="single" w:color="231F20"/>
        </w:rPr>
        <w:t>each</w:t>
      </w:r>
      <w:r>
        <w:rPr>
          <w:color w:val="231F20"/>
        </w:rPr>
        <w:t xml:space="preserve"> reportable event are met.</w:t>
      </w:r>
    </w:p>
    <w:p w:rsidR="005D3966" w:rsidRDefault="005D3966" w14:paraId="00AEDF3B" w14:textId="77777777">
      <w:pPr>
        <w:pStyle w:val="BodyText"/>
        <w:spacing w:before="5"/>
        <w:rPr>
          <w:sz w:val="17"/>
        </w:rPr>
      </w:pPr>
    </w:p>
    <w:p w:rsidR="005D3966" w:rsidRDefault="001C5FE1" w14:paraId="4FB6922E" w14:textId="77777777">
      <w:pPr>
        <w:pStyle w:val="BodyText"/>
        <w:spacing w:before="90" w:line="249" w:lineRule="auto"/>
        <w:ind w:left="586" w:right="569"/>
      </w:pPr>
      <w:r>
        <w:rPr>
          <w:color w:val="231F20"/>
        </w:rPr>
        <w:t xml:space="preserve">PBGC may also consider a case specific waiver depending on the facts and circumstances of each situation. A request for a case specific waiver can be submitted to </w:t>
      </w:r>
      <w:hyperlink r:id="rId18">
        <w:r>
          <w:rPr>
            <w:color w:val="0000FF"/>
            <w:u w:val="single" w:color="0000FF"/>
          </w:rPr>
          <w:t>post-event.report@pbgc.gov</w:t>
        </w:r>
        <w:r>
          <w:rPr>
            <w:color w:val="231F20"/>
          </w:rPr>
          <w:t>.</w:t>
        </w:r>
      </w:hyperlink>
      <w:r>
        <w:rPr>
          <w:color w:val="231F20"/>
        </w:rPr>
        <w:t xml:space="preserve"> The request should include the name of the plan, EIN/PN, name of the plan sponsor, type of reportable event, and the facts and circumstances on which the request is based.</w:t>
      </w:r>
    </w:p>
    <w:p w:rsidR="005D3966" w:rsidRDefault="005D3966" w14:paraId="2A12CDF3" w14:textId="77777777">
      <w:pPr>
        <w:pStyle w:val="BodyText"/>
        <w:rPr>
          <w:sz w:val="26"/>
        </w:rPr>
      </w:pPr>
    </w:p>
    <w:p w:rsidR="005D3966" w:rsidRDefault="001C5FE1" w14:paraId="2E739D0C" w14:textId="77777777">
      <w:pPr>
        <w:pStyle w:val="Heading1"/>
        <w:spacing w:before="160"/>
      </w:pPr>
      <w:bookmarkStart w:name="How_to_File" w:id="4"/>
      <w:bookmarkEnd w:id="4"/>
      <w:r>
        <w:rPr>
          <w:color w:val="231F20"/>
        </w:rPr>
        <w:t>How to File</w:t>
      </w:r>
    </w:p>
    <w:p w:rsidR="005D3966" w:rsidRDefault="005D3966" w14:paraId="245CB0EC" w14:textId="77777777">
      <w:pPr>
        <w:pStyle w:val="BodyText"/>
        <w:spacing w:before="9"/>
        <w:rPr>
          <w:rFonts w:ascii="Arial"/>
          <w:b/>
          <w:sz w:val="25"/>
        </w:rPr>
      </w:pPr>
    </w:p>
    <w:p w:rsidR="005D3966" w:rsidRDefault="001C5FE1" w14:paraId="12FC263A" w14:textId="77777777">
      <w:pPr>
        <w:pStyle w:val="BodyText"/>
        <w:ind w:left="586"/>
      </w:pPr>
      <w:r>
        <w:rPr>
          <w:color w:val="231F20"/>
        </w:rPr>
        <w:t>Forms must be filed electronically in one of the following two ways.</w:t>
      </w:r>
    </w:p>
    <w:p w:rsidR="005D3966" w:rsidRDefault="005D3966" w14:paraId="6E534666" w14:textId="77777777">
      <w:pPr>
        <w:pStyle w:val="BodyText"/>
        <w:spacing w:before="10"/>
        <w:rPr>
          <w:sz w:val="25"/>
        </w:rPr>
      </w:pPr>
    </w:p>
    <w:p w:rsidR="005D3966" w:rsidRDefault="001C5FE1" w14:paraId="0BC0B443" w14:textId="77777777">
      <w:pPr>
        <w:pStyle w:val="ListParagraph"/>
        <w:numPr>
          <w:ilvl w:val="0"/>
          <w:numId w:val="27"/>
        </w:numPr>
        <w:tabs>
          <w:tab w:val="left" w:pos="1186"/>
          <w:tab w:val="left" w:pos="1187"/>
        </w:tabs>
        <w:ind w:left="1215" w:right="1294" w:hanging="629"/>
        <w:rPr>
          <w:rFonts w:ascii="Symbol" w:hAnsi="Symbol"/>
          <w:color w:val="231F20"/>
          <w:sz w:val="24"/>
        </w:rPr>
      </w:pPr>
      <w:r>
        <w:rPr>
          <w:color w:val="231F20"/>
          <w:sz w:val="24"/>
        </w:rPr>
        <w:t xml:space="preserve">Using the 4043 </w:t>
      </w:r>
      <w:proofErr w:type="gramStart"/>
      <w:r>
        <w:rPr>
          <w:color w:val="231F20"/>
          <w:sz w:val="24"/>
        </w:rPr>
        <w:t>module</w:t>
      </w:r>
      <w:proofErr w:type="gramEnd"/>
      <w:r>
        <w:rPr>
          <w:color w:val="231F20"/>
          <w:sz w:val="24"/>
        </w:rPr>
        <w:t xml:space="preserve"> of PBGC's e-filing portal. The portal can be accessed using this address:</w:t>
      </w:r>
      <w:r>
        <w:rPr>
          <w:color w:val="231F20"/>
          <w:spacing w:val="59"/>
          <w:sz w:val="24"/>
        </w:rPr>
        <w:t xml:space="preserve"> </w:t>
      </w:r>
      <w:r>
        <w:rPr>
          <w:color w:val="231F20"/>
          <w:sz w:val="24"/>
        </w:rPr>
        <w:t>efilingportal.pbgc.gov.</w:t>
      </w:r>
    </w:p>
    <w:p w:rsidR="005D3966" w:rsidRDefault="001C5FE1" w14:paraId="7AD035E5" w14:textId="77777777">
      <w:pPr>
        <w:pStyle w:val="ListParagraph"/>
        <w:numPr>
          <w:ilvl w:val="0"/>
          <w:numId w:val="27"/>
        </w:numPr>
        <w:tabs>
          <w:tab w:val="left" w:pos="1215"/>
          <w:tab w:val="left" w:pos="1216"/>
        </w:tabs>
        <w:spacing w:before="102"/>
        <w:ind w:left="1215" w:right="1044" w:hanging="629"/>
        <w:rPr>
          <w:rFonts w:ascii="Symbol" w:hAnsi="Symbol"/>
          <w:color w:val="231F20"/>
          <w:sz w:val="24"/>
        </w:rPr>
      </w:pPr>
      <w:r>
        <w:rPr>
          <w:color w:val="231F20"/>
          <w:sz w:val="24"/>
        </w:rPr>
        <w:t>Emailing a completed form and any required attachments to</w:t>
      </w:r>
      <w:r>
        <w:rPr>
          <w:color w:val="0000FF"/>
          <w:sz w:val="24"/>
        </w:rPr>
        <w:t xml:space="preserve"> </w:t>
      </w:r>
      <w:hyperlink r:id="rId19">
        <w:r>
          <w:rPr>
            <w:color w:val="0000FF"/>
            <w:sz w:val="24"/>
            <w:u w:val="single" w:color="0000FF"/>
          </w:rPr>
          <w:t>post-event.report@pbgc.gov</w:t>
        </w:r>
      </w:hyperlink>
      <w:r>
        <w:rPr>
          <w:color w:val="231F20"/>
          <w:sz w:val="24"/>
        </w:rPr>
        <w:t>. PBGC intends to no longer accept electronic filing by email as of October 1,</w:t>
      </w:r>
      <w:r>
        <w:rPr>
          <w:color w:val="231F20"/>
          <w:spacing w:val="-10"/>
          <w:sz w:val="24"/>
        </w:rPr>
        <w:t xml:space="preserve"> </w:t>
      </w:r>
      <w:r>
        <w:rPr>
          <w:color w:val="231F20"/>
          <w:sz w:val="24"/>
        </w:rPr>
        <w:t>2021.</w:t>
      </w:r>
    </w:p>
    <w:p w:rsidR="005D3966" w:rsidRDefault="005D3966" w14:paraId="20B07DF1" w14:textId="77777777">
      <w:pPr>
        <w:pStyle w:val="BodyText"/>
        <w:spacing w:before="1"/>
        <w:rPr>
          <w:sz w:val="29"/>
        </w:rPr>
      </w:pPr>
    </w:p>
    <w:p w:rsidR="005D3966" w:rsidRDefault="001C5FE1" w14:paraId="2DDC41D2" w14:textId="77777777">
      <w:pPr>
        <w:pStyle w:val="BodyText"/>
        <w:spacing w:before="1" w:line="249" w:lineRule="auto"/>
        <w:ind w:left="605" w:right="978"/>
      </w:pPr>
      <w:r>
        <w:rPr>
          <w:color w:val="231F20"/>
        </w:rPr>
        <w:t xml:space="preserve">If you are filing materials electronically that are larger than 10 megabytes, please use </w:t>
      </w:r>
      <w:proofErr w:type="spellStart"/>
      <w:r>
        <w:rPr>
          <w:color w:val="231F20"/>
        </w:rPr>
        <w:t>LeapFILE</w:t>
      </w:r>
      <w:proofErr w:type="spellEnd"/>
      <w:r>
        <w:rPr>
          <w:color w:val="231F20"/>
        </w:rPr>
        <w:t>. Enter “pbgc.leapfile.com” in your Internet browser, click on “secure upload,” enter post-</w:t>
      </w:r>
      <w:hyperlink r:id="rId20">
        <w:r>
          <w:rPr>
            <w:color w:val="231F20"/>
          </w:rPr>
          <w:t xml:space="preserve"> event.report@pbgc.gov</w:t>
        </w:r>
      </w:hyperlink>
      <w:r>
        <w:rPr>
          <w:color w:val="231F20"/>
        </w:rPr>
        <w:t xml:space="preserve"> in the “Recipient Email” field, and attach the files.</w:t>
      </w:r>
    </w:p>
    <w:p w:rsidR="005D3966" w:rsidRDefault="005D3966" w14:paraId="75D5E2C3" w14:textId="77777777">
      <w:pPr>
        <w:pStyle w:val="BodyText"/>
        <w:rPr>
          <w:sz w:val="33"/>
        </w:rPr>
      </w:pPr>
    </w:p>
    <w:p w:rsidR="005D3966" w:rsidRDefault="001C5FE1" w14:paraId="29694C00" w14:textId="77777777">
      <w:pPr>
        <w:pStyle w:val="BodyText"/>
        <w:ind w:left="605"/>
      </w:pPr>
      <w:r>
        <w:rPr>
          <w:color w:val="231F20"/>
        </w:rPr>
        <w:t xml:space="preserve">To request an exemption from filing electronically, submit a request to </w:t>
      </w:r>
      <w:hyperlink r:id="rId21">
        <w:r>
          <w:rPr>
            <w:color w:val="0000FF"/>
            <w:u w:val="single" w:color="0000FF"/>
          </w:rPr>
          <w:t>post-event.report@pbgc.gov.</w:t>
        </w:r>
      </w:hyperlink>
    </w:p>
    <w:p w:rsidR="005D3966" w:rsidRDefault="005D3966" w14:paraId="47956AE6" w14:textId="77777777">
      <w:pPr>
        <w:pStyle w:val="BodyText"/>
        <w:spacing w:before="8"/>
        <w:rPr>
          <w:sz w:val="20"/>
        </w:rPr>
      </w:pPr>
    </w:p>
    <w:p w:rsidR="005D3966" w:rsidRDefault="001C5FE1" w14:paraId="4A32DDA9" w14:textId="77777777">
      <w:pPr>
        <w:pStyle w:val="Heading1"/>
        <w:spacing w:before="92"/>
        <w:ind w:left="605"/>
      </w:pPr>
      <w:bookmarkStart w:name="When_to_File" w:id="5"/>
      <w:bookmarkEnd w:id="5"/>
      <w:r>
        <w:rPr>
          <w:color w:val="231F20"/>
        </w:rPr>
        <w:t>When to File</w:t>
      </w:r>
    </w:p>
    <w:p w:rsidR="005D3966" w:rsidRDefault="005D3966" w14:paraId="1C6E69A6" w14:textId="77777777">
      <w:pPr>
        <w:pStyle w:val="BodyText"/>
        <w:spacing w:before="9"/>
        <w:rPr>
          <w:rFonts w:ascii="Arial"/>
          <w:b/>
          <w:sz w:val="30"/>
        </w:rPr>
      </w:pPr>
    </w:p>
    <w:p w:rsidR="005D3966" w:rsidRDefault="001C5FE1" w14:paraId="52D7C332" w14:textId="77777777">
      <w:pPr>
        <w:pStyle w:val="BodyText"/>
        <w:spacing w:line="271" w:lineRule="auto"/>
        <w:ind w:left="605" w:right="658"/>
      </w:pPr>
      <w:r>
        <w:rPr>
          <w:color w:val="231F20"/>
        </w:rPr>
        <w:t>A reportable event notice must be filed within 30 days after a plan administrator or contributing sponsor knows or has reason to know that a reportable event has occurred. If the same occurrence is reportable as two or more reportable events with different filing deadlines, and a separate notice is filed for each event, the notice for each event must be filed by the deadline for that event. If the notices are filed together, or if a single notice is filed for all the events (currently only available by email submission), the filing must be made by the earliest filing deadline.</w:t>
      </w:r>
    </w:p>
    <w:p w:rsidR="005D3966" w:rsidRDefault="005D3966" w14:paraId="3A68305A" w14:textId="77777777">
      <w:pPr>
        <w:pStyle w:val="BodyText"/>
        <w:rPr>
          <w:sz w:val="27"/>
        </w:rPr>
      </w:pPr>
    </w:p>
    <w:p w:rsidR="005D3966" w:rsidRDefault="001C5FE1" w14:paraId="4A13C8B5" w14:textId="77777777">
      <w:pPr>
        <w:pStyle w:val="BodyText"/>
        <w:ind w:left="605"/>
      </w:pPr>
      <w:r>
        <w:rPr>
          <w:color w:val="231F20"/>
        </w:rPr>
        <w:t xml:space="preserve">See 29 CFR 4000.43 to determine how to compute any </w:t>
      </w:r>
      <w:proofErr w:type="gramStart"/>
      <w:r>
        <w:rPr>
          <w:color w:val="231F20"/>
        </w:rPr>
        <w:t>period of time</w:t>
      </w:r>
      <w:proofErr w:type="gramEnd"/>
      <w:r>
        <w:rPr>
          <w:color w:val="231F20"/>
        </w:rPr>
        <w:t>.</w:t>
      </w:r>
    </w:p>
    <w:p w:rsidR="005D3966" w:rsidRDefault="005D3966" w14:paraId="7407A3B0" w14:textId="77777777">
      <w:pPr>
        <w:sectPr w:rsidR="005D3966">
          <w:pgSz w:w="12240" w:h="15840"/>
          <w:pgMar w:top="1060" w:right="660" w:bottom="720" w:left="700" w:header="318" w:footer="530" w:gutter="0"/>
          <w:cols w:space="720"/>
        </w:sectPr>
      </w:pPr>
    </w:p>
    <w:p w:rsidR="005D3966" w:rsidRDefault="005D3966" w14:paraId="641F9245" w14:textId="77777777">
      <w:pPr>
        <w:pStyle w:val="BodyText"/>
        <w:spacing w:before="8"/>
        <w:rPr>
          <w:sz w:val="22"/>
        </w:rPr>
      </w:pPr>
    </w:p>
    <w:p w:rsidR="005D3966" w:rsidRDefault="001C5FE1" w14:paraId="2A3B3A4F" w14:textId="77777777">
      <w:pPr>
        <w:pStyle w:val="Heading1"/>
        <w:spacing w:before="92"/>
        <w:ind w:left="605"/>
      </w:pPr>
      <w:bookmarkStart w:name="Notice_Filing_Date" w:id="6"/>
      <w:bookmarkEnd w:id="6"/>
      <w:r>
        <w:rPr>
          <w:color w:val="231F20"/>
        </w:rPr>
        <w:t>Notice Filing Date</w:t>
      </w:r>
    </w:p>
    <w:p w:rsidR="005D3966" w:rsidRDefault="005D3966" w14:paraId="3D38A8FD" w14:textId="77777777">
      <w:pPr>
        <w:pStyle w:val="BodyText"/>
        <w:rPr>
          <w:rFonts w:ascii="Arial"/>
          <w:b/>
          <w:sz w:val="26"/>
        </w:rPr>
      </w:pPr>
    </w:p>
    <w:p w:rsidR="005D3966" w:rsidRDefault="001C5FE1" w14:paraId="41B7C5E8" w14:textId="77777777">
      <w:pPr>
        <w:pStyle w:val="BodyText"/>
        <w:spacing w:line="242" w:lineRule="auto"/>
        <w:ind w:left="605" w:right="1041"/>
      </w:pPr>
      <w:r>
        <w:rPr>
          <w:color w:val="231F20"/>
        </w:rPr>
        <w:t xml:space="preserve">The date a Form 10 is considered to have been filed is the date the notice and all additional information is submitted to PBGC at </w:t>
      </w:r>
      <w:hyperlink r:id="rId22">
        <w:r>
          <w:t>post-event.report@pbgc.gov</w:t>
        </w:r>
      </w:hyperlink>
      <w:r>
        <w:t xml:space="preserve"> </w:t>
      </w:r>
      <w:r>
        <w:rPr>
          <w:color w:val="231F20"/>
        </w:rPr>
        <w:t>or the date submitted through PBGC’s e-filing portal. See 29 CFR 4000.29.</w:t>
      </w:r>
    </w:p>
    <w:p w:rsidR="005D3966" w:rsidRDefault="005D3966" w14:paraId="42302082" w14:textId="77777777">
      <w:pPr>
        <w:pStyle w:val="BodyText"/>
        <w:spacing w:before="4"/>
        <w:rPr>
          <w:sz w:val="32"/>
        </w:rPr>
      </w:pPr>
    </w:p>
    <w:p w:rsidR="005D3966" w:rsidRDefault="001C5FE1" w14:paraId="4B5C0327" w14:textId="77777777">
      <w:pPr>
        <w:pStyle w:val="Heading1"/>
        <w:ind w:left="591"/>
      </w:pPr>
      <w:bookmarkStart w:name="What_to_File" w:id="7"/>
      <w:bookmarkEnd w:id="7"/>
      <w:r>
        <w:rPr>
          <w:color w:val="231F20"/>
        </w:rPr>
        <w:t>What to File</w:t>
      </w:r>
    </w:p>
    <w:p w:rsidR="005D3966" w:rsidRDefault="005D3966" w14:paraId="23F1C689" w14:textId="77777777">
      <w:pPr>
        <w:pStyle w:val="BodyText"/>
        <w:rPr>
          <w:rFonts w:ascii="Arial"/>
          <w:b/>
          <w:sz w:val="26"/>
        </w:rPr>
      </w:pPr>
    </w:p>
    <w:p w:rsidR="005D3966" w:rsidRDefault="001C5FE1" w14:paraId="0D5A47AB" w14:textId="77777777">
      <w:pPr>
        <w:pStyle w:val="BodyText"/>
        <w:spacing w:line="247" w:lineRule="auto"/>
        <w:ind w:left="586" w:right="482"/>
      </w:pPr>
      <w:r>
        <w:rPr>
          <w:color w:val="231F20"/>
        </w:rPr>
        <w:t xml:space="preserve">A plan administrator or contributing sponsor must include with the Form 10 certain </w:t>
      </w:r>
      <w:r>
        <w:rPr>
          <w:color w:val="231F20"/>
          <w:u w:val="single" w:color="231F20"/>
        </w:rPr>
        <w:t>required</w:t>
      </w:r>
      <w:r>
        <w:rPr>
          <w:color w:val="231F20"/>
        </w:rPr>
        <w:t xml:space="preserve"> information tailored to the </w:t>
      </w:r>
      <w:proofErr w:type="gramStart"/>
      <w:r>
        <w:rPr>
          <w:color w:val="231F20"/>
        </w:rPr>
        <w:t>particular event</w:t>
      </w:r>
      <w:proofErr w:type="gramEnd"/>
      <w:r>
        <w:rPr>
          <w:color w:val="231F20"/>
        </w:rPr>
        <w:t>. This information is listed on pages 2 and 3 of the Form 10 or in the e-filing portal.</w:t>
      </w:r>
    </w:p>
    <w:p w:rsidR="005D3966" w:rsidRDefault="005D3966" w14:paraId="5B7C330D" w14:textId="77777777">
      <w:pPr>
        <w:pStyle w:val="BodyText"/>
        <w:spacing w:before="4"/>
        <w:rPr>
          <w:sz w:val="25"/>
        </w:rPr>
      </w:pPr>
    </w:p>
    <w:p w:rsidR="005D3966" w:rsidRDefault="001C5FE1" w14:paraId="46BF61F3" w14:textId="77777777">
      <w:pPr>
        <w:pStyle w:val="BodyText"/>
        <w:spacing w:line="247" w:lineRule="auto"/>
        <w:ind w:left="586" w:right="1148"/>
      </w:pPr>
      <w:r>
        <w:rPr>
          <w:color w:val="231F20"/>
        </w:rPr>
        <w:t>If any required information has previously been submitted to PBGC, the filer may refer to the previous submission in the missing information section of the filing instead of resubmitting the information.</w:t>
      </w:r>
    </w:p>
    <w:p w:rsidR="005D3966" w:rsidRDefault="005D3966" w14:paraId="371D7428" w14:textId="77777777">
      <w:pPr>
        <w:pStyle w:val="BodyText"/>
        <w:spacing w:before="7"/>
        <w:rPr>
          <w:sz w:val="25"/>
        </w:rPr>
      </w:pPr>
    </w:p>
    <w:p w:rsidR="005D3966" w:rsidRDefault="001C5FE1" w14:paraId="7FFDE3F1" w14:textId="77777777">
      <w:pPr>
        <w:pStyle w:val="BodyText"/>
        <w:spacing w:line="249" w:lineRule="auto"/>
        <w:ind w:left="586" w:right="516"/>
      </w:pPr>
      <w:r>
        <w:rPr>
          <w:color w:val="231F20"/>
        </w:rPr>
        <w:t>If the same occurrence is reportable as more than one reportable event, separate notices may be filed separately or together, or a single notice may be filed covering all of the events (i.e., you can submit one Form 10 and check all event type boxes that apply on page 1 of the form if submitting by email</w:t>
      </w:r>
      <w:proofErr w:type="gramStart"/>
      <w:r>
        <w:rPr>
          <w:color w:val="231F20"/>
        </w:rPr>
        <w:t>) .</w:t>
      </w:r>
      <w:proofErr w:type="gramEnd"/>
      <w:r>
        <w:rPr>
          <w:color w:val="231F20"/>
        </w:rPr>
        <w:t xml:space="preserve"> If a single notice is filed, the notice must include all the required information (or an explanation for why any required information is missing) for each event. Notices for two or more events may be submitted together. (See also “When to File.”)</w:t>
      </w:r>
    </w:p>
    <w:p w:rsidR="005D3966" w:rsidRDefault="005D3966" w14:paraId="4A1E8458" w14:textId="77777777">
      <w:pPr>
        <w:pStyle w:val="BodyText"/>
        <w:spacing w:before="6"/>
      </w:pPr>
    </w:p>
    <w:p w:rsidR="005D3966" w:rsidRDefault="001C5FE1" w14:paraId="0FC7FE1C" w14:textId="77777777">
      <w:pPr>
        <w:pStyle w:val="BodyText"/>
        <w:spacing w:line="249" w:lineRule="auto"/>
        <w:ind w:left="632" w:right="517"/>
      </w:pPr>
      <w:r>
        <w:rPr>
          <w:color w:val="231F20"/>
        </w:rPr>
        <w:t>PBGC may require that a plan administrator or contributing sponsor submit additional relevant information within 30 days after the date of PBGC’s written request. PBGC may shorten this 30-day period where it determines that the interests of PBGC or participants may be prejudiced by a delay in receipt of the information.</w:t>
      </w:r>
    </w:p>
    <w:p w:rsidR="005D3966" w:rsidRDefault="005D3966" w14:paraId="066C3F5C" w14:textId="77777777">
      <w:pPr>
        <w:pStyle w:val="BodyText"/>
        <w:rPr>
          <w:sz w:val="25"/>
        </w:rPr>
      </w:pPr>
    </w:p>
    <w:p w:rsidR="005D3966" w:rsidRDefault="001C5FE1" w14:paraId="01C74EF8" w14:textId="77777777">
      <w:pPr>
        <w:spacing w:line="249" w:lineRule="auto"/>
        <w:ind w:left="586" w:right="696"/>
        <w:rPr>
          <w:i/>
          <w:sz w:val="24"/>
        </w:rPr>
      </w:pPr>
      <w:r>
        <w:rPr>
          <w:i/>
          <w:color w:val="231F20"/>
          <w:sz w:val="24"/>
        </w:rPr>
        <w:t>Note: Any non-public information submitted to PBGC as part of a reportable event notice shall not be made public, except as may be relevant to any administrative or judicial action or proceeding or for disclosure to either body of Congress or any duly authorized committee or subcommittee of the Congress. (See 29 CFR 4043.8 - Confidentiality.)</w:t>
      </w:r>
    </w:p>
    <w:p w:rsidR="005D3966" w:rsidRDefault="005D3966" w14:paraId="562D2974" w14:textId="77777777">
      <w:pPr>
        <w:pStyle w:val="BodyText"/>
        <w:spacing w:before="9"/>
        <w:rPr>
          <w:i/>
          <w:sz w:val="23"/>
        </w:rPr>
      </w:pPr>
    </w:p>
    <w:p w:rsidR="005D3966" w:rsidRDefault="001C5FE1" w14:paraId="1D9C2B2D" w14:textId="77777777">
      <w:pPr>
        <w:pStyle w:val="Heading1"/>
        <w:spacing w:before="1"/>
      </w:pPr>
      <w:bookmarkStart w:name="Information_on_Controlled_Group_Structur" w:id="8"/>
      <w:bookmarkEnd w:id="8"/>
      <w:r>
        <w:rPr>
          <w:color w:val="231F20"/>
        </w:rPr>
        <w:t>Information on Controlled Group Structure</w:t>
      </w:r>
    </w:p>
    <w:p w:rsidR="005D3966" w:rsidRDefault="005D3966" w14:paraId="0B311446" w14:textId="77777777">
      <w:pPr>
        <w:pStyle w:val="BodyText"/>
        <w:spacing w:before="11"/>
        <w:rPr>
          <w:rFonts w:ascii="Arial"/>
          <w:b/>
          <w:sz w:val="25"/>
        </w:rPr>
      </w:pPr>
    </w:p>
    <w:p w:rsidR="005D3966" w:rsidRDefault="001C5FE1" w14:paraId="74E37A5F" w14:textId="77777777">
      <w:pPr>
        <w:pStyle w:val="BodyText"/>
        <w:spacing w:line="249" w:lineRule="auto"/>
        <w:ind w:left="586" w:right="510"/>
      </w:pPr>
      <w:r>
        <w:rPr>
          <w:color w:val="231F20"/>
        </w:rPr>
        <w:t xml:space="preserve">To comply with any requirement that the reportable event notice include a description of the </w:t>
      </w:r>
      <w:proofErr w:type="gramStart"/>
      <w:r>
        <w:rPr>
          <w:color w:val="231F20"/>
        </w:rPr>
        <w:t>plan’s controlled</w:t>
      </w:r>
      <w:proofErr w:type="gramEnd"/>
      <w:r>
        <w:rPr>
          <w:color w:val="231F20"/>
        </w:rPr>
        <w:t xml:space="preserve"> group structure (see page 2 of the Form 10), the filer may submit a copy of an organization chart or other diagram. The description or chart may exclude de minimis 5-percent segments and foreign entities other than foreign parents.</w:t>
      </w:r>
    </w:p>
    <w:p w:rsidR="005D3966" w:rsidRDefault="005D3966" w14:paraId="55DA9083" w14:textId="77777777">
      <w:pPr>
        <w:pStyle w:val="BodyText"/>
        <w:spacing w:before="10"/>
      </w:pPr>
    </w:p>
    <w:p w:rsidR="005D3966" w:rsidRDefault="001C5FE1" w14:paraId="3CE6D120" w14:textId="77777777">
      <w:pPr>
        <w:pStyle w:val="Heading1"/>
      </w:pPr>
      <w:bookmarkStart w:name="Effect_of_Failure_to_File" w:id="9"/>
      <w:bookmarkEnd w:id="9"/>
      <w:r>
        <w:rPr>
          <w:color w:val="231F20"/>
        </w:rPr>
        <w:t>Effect of Failure to File</w:t>
      </w:r>
    </w:p>
    <w:p w:rsidR="005D3966" w:rsidRDefault="005D3966" w14:paraId="7DF182CD" w14:textId="77777777">
      <w:pPr>
        <w:pStyle w:val="BodyText"/>
        <w:spacing w:before="11"/>
        <w:rPr>
          <w:rFonts w:ascii="Arial"/>
          <w:b/>
          <w:sz w:val="25"/>
        </w:rPr>
      </w:pPr>
    </w:p>
    <w:p w:rsidR="005D3966" w:rsidRDefault="001C5FE1" w14:paraId="3533EBEF" w14:textId="77777777">
      <w:pPr>
        <w:pStyle w:val="BodyText"/>
        <w:ind w:left="586" w:right="561"/>
      </w:pPr>
      <w:r>
        <w:rPr>
          <w:color w:val="231F20"/>
        </w:rPr>
        <w:t>If a notice (or any other required information) under section 4043 of ERISA is not provided by the Notice Due Date, PBGC may assess a penalty under section 4071 of ERISA against each plan administrator and contributing sponsor required to provide the notice (see 29 CFR part 4071 and PBGC’s Statement of Policy on Assessment of Penalties for Failure to Provide Required Information</w:t>
      </w:r>
    </w:p>
    <w:p w:rsidR="005D3966" w:rsidRDefault="005D3966" w14:paraId="23EEF43C" w14:textId="77777777">
      <w:pPr>
        <w:sectPr w:rsidR="005D3966">
          <w:pgSz w:w="12240" w:h="15840"/>
          <w:pgMar w:top="1060" w:right="660" w:bottom="720" w:left="700" w:header="318" w:footer="530" w:gutter="0"/>
          <w:cols w:space="720"/>
        </w:sectPr>
      </w:pPr>
    </w:p>
    <w:p w:rsidR="005D3966" w:rsidRDefault="001C5FE1" w14:paraId="211C756B" w14:textId="77777777">
      <w:pPr>
        <w:pStyle w:val="BodyText"/>
        <w:spacing w:before="88"/>
        <w:ind w:left="586" w:right="569"/>
      </w:pPr>
      <w:r>
        <w:rPr>
          <w:color w:val="231F20"/>
        </w:rPr>
        <w:lastRenderedPageBreak/>
        <w:t xml:space="preserve">(60 FR 36837, July 18, 1995)). PBGC may pursue any other equitable or legal remedies available to it under </w:t>
      </w:r>
      <w:proofErr w:type="spellStart"/>
      <w:r>
        <w:rPr>
          <w:color w:val="231F20"/>
        </w:rPr>
        <w:t>thelaw</w:t>
      </w:r>
      <w:proofErr w:type="spellEnd"/>
      <w:r>
        <w:rPr>
          <w:color w:val="231F20"/>
        </w:rPr>
        <w:t>.</w:t>
      </w:r>
    </w:p>
    <w:p w:rsidR="005D3966" w:rsidRDefault="005D3966" w14:paraId="5BD1589F" w14:textId="77777777">
      <w:pPr>
        <w:pStyle w:val="BodyText"/>
        <w:spacing w:before="1"/>
        <w:rPr>
          <w:sz w:val="25"/>
        </w:rPr>
      </w:pPr>
    </w:p>
    <w:p w:rsidR="005D3966" w:rsidRDefault="001C5FE1" w14:paraId="0941A1EF" w14:textId="77777777">
      <w:pPr>
        <w:pStyle w:val="Heading1"/>
        <w:spacing w:before="1"/>
        <w:ind w:left="581"/>
      </w:pPr>
      <w:bookmarkStart w:name="For_Questions,_Problems,_Copies_of_Forms" w:id="10"/>
      <w:bookmarkEnd w:id="10"/>
      <w:r>
        <w:rPr>
          <w:color w:val="231F20"/>
        </w:rPr>
        <w:t>For Questions, Problems, Copies of Forms</w:t>
      </w:r>
    </w:p>
    <w:p w:rsidR="005D3966" w:rsidRDefault="001C5FE1" w14:paraId="35EDFCF4" w14:textId="77777777">
      <w:pPr>
        <w:pStyle w:val="BodyText"/>
        <w:spacing w:before="4" w:line="570" w:lineRule="atLeast"/>
        <w:ind w:left="586" w:right="3436"/>
      </w:pPr>
      <w:r>
        <w:rPr>
          <w:color w:val="231F20"/>
        </w:rPr>
        <w:t>If you have questions or problems regarding reportable events, contact: Pension Benefit Guaranty Corporation</w:t>
      </w:r>
    </w:p>
    <w:p w:rsidR="005D3966" w:rsidRDefault="001C5FE1" w14:paraId="060E0026" w14:textId="77777777">
      <w:pPr>
        <w:pStyle w:val="BodyText"/>
        <w:spacing w:before="11" w:line="256" w:lineRule="auto"/>
        <w:ind w:left="586" w:right="5528"/>
      </w:pPr>
      <w:r>
        <w:rPr>
          <w:color w:val="231F20"/>
        </w:rPr>
        <w:t>Corporate Finance and Restructuring Department 1200 K Street, NW</w:t>
      </w:r>
    </w:p>
    <w:p w:rsidR="005D3966" w:rsidRDefault="001C5FE1" w14:paraId="62286DAC" w14:textId="77777777">
      <w:pPr>
        <w:pStyle w:val="BodyText"/>
        <w:spacing w:line="269" w:lineRule="exact"/>
        <w:ind w:left="586"/>
      </w:pPr>
      <w:r>
        <w:rPr>
          <w:color w:val="231F20"/>
        </w:rPr>
        <w:t>Washington, DC 20005-4026</w:t>
      </w:r>
    </w:p>
    <w:p w:rsidR="005D3966" w:rsidRDefault="005D3966" w14:paraId="44043E58" w14:textId="77777777">
      <w:pPr>
        <w:pStyle w:val="BodyText"/>
        <w:spacing w:before="10"/>
        <w:rPr>
          <w:sz w:val="25"/>
        </w:rPr>
      </w:pPr>
    </w:p>
    <w:p w:rsidR="005D3966" w:rsidRDefault="001C5FE1" w14:paraId="71D88E28" w14:textId="77777777">
      <w:pPr>
        <w:pStyle w:val="BodyText"/>
        <w:ind w:left="586"/>
      </w:pPr>
      <w:r>
        <w:rPr>
          <w:color w:val="231F20"/>
        </w:rPr>
        <w:t>Telephone: 202-326-4070</w:t>
      </w:r>
    </w:p>
    <w:p w:rsidR="005D3966" w:rsidRDefault="005D3966" w14:paraId="1BD28CB8" w14:textId="77777777">
      <w:pPr>
        <w:pStyle w:val="BodyText"/>
        <w:spacing w:before="8"/>
        <w:rPr>
          <w:sz w:val="25"/>
        </w:rPr>
      </w:pPr>
    </w:p>
    <w:p w:rsidR="005D3966" w:rsidRDefault="001C5FE1" w14:paraId="776D2FCE" w14:textId="77777777">
      <w:pPr>
        <w:pStyle w:val="BodyText"/>
        <w:ind w:left="586"/>
      </w:pPr>
      <w:r>
        <w:rPr>
          <w:color w:val="231F20"/>
        </w:rPr>
        <w:t xml:space="preserve">Email: </w:t>
      </w:r>
      <w:hyperlink r:id="rId23">
        <w:r>
          <w:rPr>
            <w:color w:val="231F20"/>
          </w:rPr>
          <w:t>post-event.report@pbgc.gov</w:t>
        </w:r>
      </w:hyperlink>
    </w:p>
    <w:p w:rsidR="005D3966" w:rsidRDefault="005D3966" w14:paraId="32CFDE2F" w14:textId="77777777">
      <w:pPr>
        <w:pStyle w:val="BodyText"/>
        <w:spacing w:before="3"/>
        <w:rPr>
          <w:sz w:val="26"/>
        </w:rPr>
      </w:pPr>
    </w:p>
    <w:p w:rsidR="005D3966" w:rsidRDefault="001C5FE1" w14:paraId="6B8B7DB9" w14:textId="77777777">
      <w:pPr>
        <w:pStyle w:val="BodyText"/>
        <w:ind w:left="586"/>
      </w:pPr>
      <w:r>
        <w:rPr>
          <w:color w:val="231F20"/>
        </w:rPr>
        <w:t xml:space="preserve">If you are having problems using the e-filing portal, contact PBGC at </w:t>
      </w:r>
      <w:hyperlink r:id="rId24">
        <w:r>
          <w:t>efiling.portal@pbgc.gov.</w:t>
        </w:r>
      </w:hyperlink>
    </w:p>
    <w:p w:rsidR="005D3966" w:rsidRDefault="005D3966" w14:paraId="61631B70" w14:textId="77777777">
      <w:pPr>
        <w:pStyle w:val="BodyText"/>
        <w:spacing w:before="10"/>
        <w:rPr>
          <w:sz w:val="25"/>
        </w:rPr>
      </w:pPr>
    </w:p>
    <w:p w:rsidR="005D3966" w:rsidRDefault="001C5FE1" w14:paraId="322093FF" w14:textId="77777777">
      <w:pPr>
        <w:pStyle w:val="BodyText"/>
        <w:spacing w:before="1" w:line="247" w:lineRule="auto"/>
        <w:ind w:left="586" w:right="775"/>
      </w:pPr>
      <w:r>
        <w:rPr>
          <w:color w:val="231F20"/>
        </w:rPr>
        <w:t>TTY users may call the Federal Relay Service toll-free at 1-800-877-8339 and ask to be connected to 202-326-4070.</w:t>
      </w:r>
    </w:p>
    <w:p w:rsidR="005D3966" w:rsidRDefault="005D3966" w14:paraId="26DA5E3A" w14:textId="77777777">
      <w:pPr>
        <w:pStyle w:val="BodyText"/>
        <w:spacing w:before="7"/>
        <w:rPr>
          <w:sz w:val="25"/>
        </w:rPr>
      </w:pPr>
    </w:p>
    <w:p w:rsidR="005D3966" w:rsidRDefault="001C5FE1" w14:paraId="225DA094" w14:textId="77777777">
      <w:pPr>
        <w:pStyle w:val="BodyText"/>
        <w:spacing w:before="1" w:line="247" w:lineRule="auto"/>
        <w:ind w:left="586"/>
      </w:pPr>
      <w:r>
        <w:rPr>
          <w:color w:val="231F20"/>
        </w:rPr>
        <w:t xml:space="preserve">Copies of Form 10 and instructions may be obtained from PBGC’s website at </w:t>
      </w:r>
      <w:hyperlink r:id="rId25">
        <w:r>
          <w:t>http://www.pbgc.gov/prac/</w:t>
        </w:r>
      </w:hyperlink>
      <w:hyperlink r:id="rId26">
        <w:r>
          <w:t>forms.</w:t>
        </w:r>
      </w:hyperlink>
    </w:p>
    <w:p w:rsidR="005D3966" w:rsidRDefault="005D3966" w14:paraId="7CE60882" w14:textId="77777777">
      <w:pPr>
        <w:pStyle w:val="BodyText"/>
        <w:rPr>
          <w:sz w:val="20"/>
        </w:rPr>
      </w:pPr>
    </w:p>
    <w:p w:rsidR="005D3966" w:rsidRDefault="005D3966" w14:paraId="1FE14CA7" w14:textId="77777777">
      <w:pPr>
        <w:pStyle w:val="BodyText"/>
        <w:rPr>
          <w:sz w:val="20"/>
        </w:rPr>
      </w:pPr>
    </w:p>
    <w:p w:rsidR="005D3966" w:rsidRDefault="005D3966" w14:paraId="21466C06" w14:textId="77777777">
      <w:pPr>
        <w:pStyle w:val="BodyText"/>
        <w:rPr>
          <w:sz w:val="20"/>
        </w:rPr>
      </w:pPr>
    </w:p>
    <w:p w:rsidR="005D3966" w:rsidRDefault="005D3966" w14:paraId="25AAF55A" w14:textId="77777777">
      <w:pPr>
        <w:pStyle w:val="BodyText"/>
        <w:rPr>
          <w:sz w:val="20"/>
        </w:rPr>
      </w:pPr>
    </w:p>
    <w:p w:rsidR="005D3966" w:rsidRDefault="005D3966" w14:paraId="2A934900" w14:textId="77777777">
      <w:pPr>
        <w:pStyle w:val="BodyText"/>
        <w:rPr>
          <w:sz w:val="20"/>
        </w:rPr>
      </w:pPr>
    </w:p>
    <w:p w:rsidR="005D3966" w:rsidRDefault="005D3966" w14:paraId="6F644D87" w14:textId="77777777">
      <w:pPr>
        <w:pStyle w:val="BodyText"/>
        <w:rPr>
          <w:sz w:val="20"/>
        </w:rPr>
      </w:pPr>
    </w:p>
    <w:p w:rsidR="005D3966" w:rsidRDefault="005D3966" w14:paraId="75FF2DA6" w14:textId="77777777">
      <w:pPr>
        <w:pStyle w:val="BodyText"/>
        <w:rPr>
          <w:sz w:val="20"/>
        </w:rPr>
      </w:pPr>
    </w:p>
    <w:p w:rsidR="005D3966" w:rsidRDefault="005D3966" w14:paraId="59873203" w14:textId="77777777">
      <w:pPr>
        <w:pStyle w:val="BodyText"/>
        <w:rPr>
          <w:sz w:val="20"/>
        </w:rPr>
      </w:pPr>
    </w:p>
    <w:p w:rsidR="005D3966" w:rsidRDefault="005D3966" w14:paraId="32968EE8" w14:textId="77777777">
      <w:pPr>
        <w:pStyle w:val="BodyText"/>
        <w:rPr>
          <w:sz w:val="20"/>
        </w:rPr>
      </w:pPr>
    </w:p>
    <w:p w:rsidR="005D3966" w:rsidRDefault="005D3966" w14:paraId="54F530BF" w14:textId="77777777">
      <w:pPr>
        <w:pStyle w:val="BodyText"/>
        <w:rPr>
          <w:sz w:val="20"/>
        </w:rPr>
      </w:pPr>
    </w:p>
    <w:p w:rsidR="005D3966" w:rsidRDefault="005D3966" w14:paraId="5D5C00C0" w14:textId="77777777">
      <w:pPr>
        <w:pStyle w:val="BodyText"/>
        <w:rPr>
          <w:sz w:val="20"/>
        </w:rPr>
      </w:pPr>
    </w:p>
    <w:p w:rsidR="005D3966" w:rsidRDefault="005D3966" w14:paraId="2D95BF23" w14:textId="77777777">
      <w:pPr>
        <w:pStyle w:val="BodyText"/>
        <w:rPr>
          <w:sz w:val="20"/>
        </w:rPr>
      </w:pPr>
    </w:p>
    <w:p w:rsidR="005D3966" w:rsidRDefault="005D3966" w14:paraId="64D25F14" w14:textId="77777777">
      <w:pPr>
        <w:pStyle w:val="BodyText"/>
        <w:rPr>
          <w:sz w:val="20"/>
        </w:rPr>
      </w:pPr>
    </w:p>
    <w:p w:rsidR="005D3966" w:rsidRDefault="005D3966" w14:paraId="75967966" w14:textId="77777777">
      <w:pPr>
        <w:pStyle w:val="BodyText"/>
        <w:rPr>
          <w:sz w:val="20"/>
        </w:rPr>
      </w:pPr>
    </w:p>
    <w:p w:rsidR="005D3966" w:rsidRDefault="005D3966" w14:paraId="28BC36EA" w14:textId="77777777">
      <w:pPr>
        <w:pStyle w:val="BodyText"/>
        <w:rPr>
          <w:sz w:val="20"/>
        </w:rPr>
      </w:pPr>
    </w:p>
    <w:p w:rsidR="005D3966" w:rsidRDefault="005D3966" w14:paraId="57938865" w14:textId="77777777">
      <w:pPr>
        <w:pStyle w:val="BodyText"/>
        <w:rPr>
          <w:sz w:val="20"/>
        </w:rPr>
      </w:pPr>
    </w:p>
    <w:p w:rsidR="005D3966" w:rsidRDefault="005D3966" w14:paraId="51E47F47" w14:textId="77777777">
      <w:pPr>
        <w:pStyle w:val="BodyText"/>
        <w:rPr>
          <w:sz w:val="20"/>
        </w:rPr>
      </w:pPr>
    </w:p>
    <w:p w:rsidR="005D3966" w:rsidRDefault="005D3966" w14:paraId="45F3B8E9" w14:textId="77777777">
      <w:pPr>
        <w:pStyle w:val="BodyText"/>
        <w:rPr>
          <w:sz w:val="20"/>
        </w:rPr>
      </w:pPr>
    </w:p>
    <w:p w:rsidR="005D3966" w:rsidRDefault="005D3966" w14:paraId="32098E9F" w14:textId="77777777">
      <w:pPr>
        <w:pStyle w:val="BodyText"/>
        <w:rPr>
          <w:sz w:val="20"/>
        </w:rPr>
      </w:pPr>
    </w:p>
    <w:p w:rsidR="005D3966" w:rsidRDefault="005D3966" w14:paraId="33B14AA5" w14:textId="77777777">
      <w:pPr>
        <w:pStyle w:val="BodyText"/>
        <w:rPr>
          <w:sz w:val="20"/>
        </w:rPr>
      </w:pPr>
    </w:p>
    <w:p w:rsidR="005D3966" w:rsidRDefault="005D3966" w14:paraId="33897076" w14:textId="77777777">
      <w:pPr>
        <w:pStyle w:val="BodyText"/>
        <w:rPr>
          <w:sz w:val="20"/>
        </w:rPr>
      </w:pPr>
    </w:p>
    <w:p w:rsidR="005D3966" w:rsidRDefault="005D3966" w14:paraId="3AAC3483" w14:textId="77777777">
      <w:pPr>
        <w:pStyle w:val="BodyText"/>
        <w:rPr>
          <w:sz w:val="20"/>
        </w:rPr>
      </w:pPr>
    </w:p>
    <w:p w:rsidR="005D3966" w:rsidRDefault="005D3966" w14:paraId="7B6750AA" w14:textId="77777777">
      <w:pPr>
        <w:pStyle w:val="BodyText"/>
        <w:rPr>
          <w:sz w:val="20"/>
        </w:rPr>
      </w:pPr>
    </w:p>
    <w:p w:rsidR="005D3966" w:rsidRDefault="005D3966" w14:paraId="458E8A1C" w14:textId="77777777">
      <w:pPr>
        <w:pStyle w:val="BodyText"/>
        <w:rPr>
          <w:sz w:val="20"/>
        </w:rPr>
      </w:pPr>
    </w:p>
    <w:p w:rsidR="005D3966" w:rsidRDefault="005D3966" w14:paraId="085533DC" w14:textId="77777777">
      <w:pPr>
        <w:pStyle w:val="BodyText"/>
        <w:rPr>
          <w:sz w:val="20"/>
        </w:rPr>
      </w:pPr>
    </w:p>
    <w:p w:rsidR="005D3966" w:rsidRDefault="005D3966" w14:paraId="47B330AD" w14:textId="77777777">
      <w:pPr>
        <w:pStyle w:val="BodyText"/>
        <w:rPr>
          <w:sz w:val="20"/>
        </w:rPr>
      </w:pPr>
    </w:p>
    <w:p w:rsidR="005D3966" w:rsidRDefault="005D3966" w14:paraId="405F27B4" w14:textId="77777777">
      <w:pPr>
        <w:pStyle w:val="BodyText"/>
        <w:rPr>
          <w:sz w:val="20"/>
        </w:rPr>
      </w:pPr>
    </w:p>
    <w:p w:rsidR="005D3966" w:rsidRDefault="005D3966" w14:paraId="1D82E97A" w14:textId="77777777">
      <w:pPr>
        <w:pStyle w:val="BodyText"/>
        <w:rPr>
          <w:sz w:val="20"/>
        </w:rPr>
      </w:pPr>
    </w:p>
    <w:p w:rsidR="005D3966" w:rsidRDefault="005D3966" w14:paraId="4243B2EE" w14:textId="77777777">
      <w:pPr>
        <w:pStyle w:val="BodyText"/>
        <w:spacing w:before="11"/>
        <w:rPr>
          <w:sz w:val="29"/>
        </w:rPr>
      </w:pPr>
    </w:p>
    <w:p w:rsidR="005D3966" w:rsidRDefault="001C5FE1" w14:paraId="3A34247C" w14:textId="77777777">
      <w:pPr>
        <w:spacing w:before="91"/>
        <w:ind w:right="39"/>
        <w:jc w:val="center"/>
      </w:pPr>
      <w:r>
        <w:t>6</w:t>
      </w:r>
    </w:p>
    <w:p w:rsidR="005D3966" w:rsidRDefault="005D3966" w14:paraId="7D688295" w14:textId="77777777">
      <w:pPr>
        <w:jc w:val="center"/>
        <w:sectPr w:rsidR="005D3966">
          <w:headerReference w:type="default" r:id="rId27"/>
          <w:footerReference w:type="default" r:id="rId28"/>
          <w:pgSz w:w="12240" w:h="15840"/>
          <w:pgMar w:top="1060" w:right="660" w:bottom="280" w:left="700" w:header="318" w:footer="0" w:gutter="0"/>
          <w:cols w:space="720"/>
        </w:sectPr>
      </w:pPr>
    </w:p>
    <w:p w:rsidR="005D3966" w:rsidRDefault="005D3966" w14:paraId="2D6690A8" w14:textId="77777777">
      <w:pPr>
        <w:pStyle w:val="BodyText"/>
        <w:spacing w:before="9"/>
      </w:pPr>
    </w:p>
    <w:p w:rsidR="005D3966" w:rsidRDefault="001C5FE1" w14:paraId="52C840B1" w14:textId="77777777">
      <w:pPr>
        <w:pStyle w:val="Heading1"/>
        <w:spacing w:before="92"/>
        <w:ind w:left="591"/>
      </w:pPr>
      <w:bookmarkStart w:name="PART_II_-_DEFINITIONS" w:id="11"/>
      <w:bookmarkEnd w:id="11"/>
      <w:r>
        <w:rPr>
          <w:color w:val="231F20"/>
        </w:rPr>
        <w:t>PART II - DEFINITIONS</w:t>
      </w:r>
    </w:p>
    <w:p w:rsidR="005D3966" w:rsidRDefault="005D3966" w14:paraId="6766A0F6" w14:textId="77777777">
      <w:pPr>
        <w:pStyle w:val="BodyText"/>
        <w:rPr>
          <w:rFonts w:ascii="Arial"/>
          <w:b/>
          <w:sz w:val="26"/>
        </w:rPr>
      </w:pPr>
    </w:p>
    <w:p w:rsidR="005D3966" w:rsidRDefault="001C5FE1" w14:paraId="6739F553" w14:textId="77777777">
      <w:pPr>
        <w:pStyle w:val="BodyText"/>
        <w:spacing w:line="247" w:lineRule="auto"/>
        <w:ind w:left="591" w:right="785"/>
      </w:pPr>
      <w:r>
        <w:rPr>
          <w:b/>
          <w:color w:val="231F20"/>
        </w:rPr>
        <w:t xml:space="preserve">Benefit Liabilities </w:t>
      </w:r>
      <w:r>
        <w:rPr>
          <w:color w:val="231F20"/>
        </w:rPr>
        <w:t>means the benefits of participants and their beneficiaries under the plan (within the meaning of section 401(a)(2) of the Code).</w:t>
      </w:r>
    </w:p>
    <w:p w:rsidR="005D3966" w:rsidRDefault="005D3966" w14:paraId="358569F0" w14:textId="77777777">
      <w:pPr>
        <w:pStyle w:val="BodyText"/>
        <w:spacing w:before="3"/>
        <w:rPr>
          <w:sz w:val="25"/>
        </w:rPr>
      </w:pPr>
    </w:p>
    <w:p w:rsidR="005D3966" w:rsidRDefault="001C5FE1" w14:paraId="5A3DEE88" w14:textId="77777777">
      <w:pPr>
        <w:pStyle w:val="BodyText"/>
        <w:ind w:left="591"/>
      </w:pPr>
      <w:r>
        <w:rPr>
          <w:b/>
          <w:color w:val="231F20"/>
        </w:rPr>
        <w:t xml:space="preserve">Code </w:t>
      </w:r>
      <w:r>
        <w:rPr>
          <w:color w:val="231F20"/>
        </w:rPr>
        <w:t>means the Internal Revenue Code of 1986, as amended.</w:t>
      </w:r>
    </w:p>
    <w:p w:rsidR="005D3966" w:rsidRDefault="005D3966" w14:paraId="14F4C926" w14:textId="77777777">
      <w:pPr>
        <w:pStyle w:val="BodyText"/>
        <w:spacing w:before="1"/>
        <w:rPr>
          <w:sz w:val="26"/>
        </w:rPr>
      </w:pPr>
    </w:p>
    <w:p w:rsidR="005D3966" w:rsidRDefault="001C5FE1" w14:paraId="0DD5864F" w14:textId="77777777">
      <w:pPr>
        <w:pStyle w:val="BodyText"/>
        <w:spacing w:line="247" w:lineRule="auto"/>
        <w:ind w:left="591" w:right="1649"/>
      </w:pPr>
      <w:r>
        <w:rPr>
          <w:b/>
          <w:color w:val="231F20"/>
        </w:rPr>
        <w:t xml:space="preserve">Contributing sponsor </w:t>
      </w:r>
      <w:r>
        <w:rPr>
          <w:color w:val="231F20"/>
        </w:rPr>
        <w:t>means a person that is a contributing sponsor as defined in section 4001(a)(13) of ERISA.</w:t>
      </w:r>
    </w:p>
    <w:p w:rsidR="005D3966" w:rsidRDefault="005D3966" w14:paraId="538E2D76" w14:textId="77777777">
      <w:pPr>
        <w:pStyle w:val="BodyText"/>
        <w:spacing w:before="3"/>
        <w:rPr>
          <w:sz w:val="25"/>
        </w:rPr>
      </w:pPr>
    </w:p>
    <w:p w:rsidR="005D3966" w:rsidRDefault="001C5FE1" w14:paraId="1072DA84" w14:textId="77777777">
      <w:pPr>
        <w:pStyle w:val="BodyText"/>
        <w:spacing w:line="249" w:lineRule="auto"/>
        <w:ind w:left="591" w:right="724"/>
      </w:pPr>
      <w:r>
        <w:rPr>
          <w:b/>
          <w:color w:val="231F20"/>
        </w:rPr>
        <w:t xml:space="preserve">Controlled group </w:t>
      </w:r>
      <w:r>
        <w:rPr>
          <w:color w:val="231F20"/>
        </w:rPr>
        <w:t xml:space="preserve">means, in connection with any person, a group consisting of that person and all other persons under common control with that person (generally 80 percent ownership; see 29 CFR 4001.3). Any reference to a </w:t>
      </w:r>
      <w:proofErr w:type="gramStart"/>
      <w:r>
        <w:rPr>
          <w:color w:val="231F20"/>
        </w:rPr>
        <w:t>plan’s controlled</w:t>
      </w:r>
      <w:proofErr w:type="gramEnd"/>
      <w:r>
        <w:rPr>
          <w:color w:val="231F20"/>
        </w:rPr>
        <w:t xml:space="preserve"> group means all contributing sponsors of the plan and all members of each contributing sponsor’s controlled group.</w:t>
      </w:r>
    </w:p>
    <w:p w:rsidR="005D3966" w:rsidRDefault="005D3966" w14:paraId="2135BAD8" w14:textId="77777777">
      <w:pPr>
        <w:pStyle w:val="BodyText"/>
        <w:rPr>
          <w:sz w:val="25"/>
        </w:rPr>
      </w:pPr>
    </w:p>
    <w:p w:rsidR="005D3966" w:rsidRDefault="001C5FE1" w14:paraId="254DAF7C" w14:textId="77777777">
      <w:pPr>
        <w:pStyle w:val="BodyText"/>
        <w:ind w:left="591"/>
      </w:pPr>
      <w:r>
        <w:rPr>
          <w:b/>
          <w:color w:val="231F20"/>
        </w:rPr>
        <w:t xml:space="preserve">Date of event </w:t>
      </w:r>
      <w:r>
        <w:rPr>
          <w:color w:val="231F20"/>
        </w:rPr>
        <w:t>means the date described in PBGC regulations for the specific reportable event.</w:t>
      </w:r>
    </w:p>
    <w:p w:rsidR="005D3966" w:rsidRDefault="005D3966" w14:paraId="3051F8AC" w14:textId="77777777">
      <w:pPr>
        <w:pStyle w:val="BodyText"/>
        <w:spacing w:before="10"/>
        <w:rPr>
          <w:sz w:val="25"/>
        </w:rPr>
      </w:pPr>
    </w:p>
    <w:p w:rsidR="005D3966" w:rsidRDefault="001C5FE1" w14:paraId="53BDA30B" w14:textId="77777777">
      <w:pPr>
        <w:spacing w:line="247" w:lineRule="auto"/>
        <w:ind w:left="591" w:right="724"/>
        <w:rPr>
          <w:sz w:val="24"/>
        </w:rPr>
      </w:pPr>
      <w:r>
        <w:rPr>
          <w:b/>
          <w:color w:val="231F20"/>
          <w:sz w:val="24"/>
        </w:rPr>
        <w:t xml:space="preserve">De minimis 10-percent segment </w:t>
      </w:r>
      <w:r>
        <w:rPr>
          <w:color w:val="231F20"/>
          <w:sz w:val="24"/>
        </w:rPr>
        <w:t xml:space="preserve">means, in connection with a </w:t>
      </w:r>
      <w:proofErr w:type="gramStart"/>
      <w:r>
        <w:rPr>
          <w:color w:val="231F20"/>
          <w:sz w:val="24"/>
        </w:rPr>
        <w:t>plan’s controlled</w:t>
      </w:r>
      <w:proofErr w:type="gramEnd"/>
      <w:r>
        <w:rPr>
          <w:color w:val="231F20"/>
          <w:sz w:val="24"/>
        </w:rPr>
        <w:t xml:space="preserve"> group, one or more entities that in the aggregate have for a fiscal year:</w:t>
      </w:r>
    </w:p>
    <w:p w:rsidR="005D3966" w:rsidRDefault="001C5FE1" w14:paraId="2D24BE8E" w14:textId="77777777">
      <w:pPr>
        <w:pStyle w:val="ListParagraph"/>
        <w:numPr>
          <w:ilvl w:val="0"/>
          <w:numId w:val="25"/>
        </w:numPr>
        <w:tabs>
          <w:tab w:val="left" w:pos="920"/>
        </w:tabs>
        <w:spacing w:before="75"/>
        <w:rPr>
          <w:sz w:val="24"/>
        </w:rPr>
      </w:pPr>
      <w:r>
        <w:rPr>
          <w:color w:val="231F20"/>
          <w:sz w:val="24"/>
        </w:rPr>
        <w:t xml:space="preserve">Revenue not exceeding 10 percent of </w:t>
      </w:r>
      <w:proofErr w:type="spellStart"/>
      <w:r>
        <w:rPr>
          <w:color w:val="231F20"/>
          <w:sz w:val="24"/>
        </w:rPr>
        <w:t>thecontrolled</w:t>
      </w:r>
      <w:proofErr w:type="spellEnd"/>
      <w:r>
        <w:rPr>
          <w:color w:val="231F20"/>
          <w:sz w:val="24"/>
        </w:rPr>
        <w:t xml:space="preserve"> group’s</w:t>
      </w:r>
      <w:r>
        <w:rPr>
          <w:color w:val="231F20"/>
          <w:spacing w:val="-25"/>
          <w:sz w:val="24"/>
        </w:rPr>
        <w:t xml:space="preserve"> </w:t>
      </w:r>
      <w:proofErr w:type="gramStart"/>
      <w:r>
        <w:rPr>
          <w:color w:val="231F20"/>
          <w:sz w:val="24"/>
        </w:rPr>
        <w:t>revenue;</w:t>
      </w:r>
      <w:proofErr w:type="gramEnd"/>
    </w:p>
    <w:p w:rsidR="005D3966" w:rsidRDefault="001C5FE1" w14:paraId="75AF1417" w14:textId="77777777">
      <w:pPr>
        <w:pStyle w:val="ListParagraph"/>
        <w:numPr>
          <w:ilvl w:val="0"/>
          <w:numId w:val="25"/>
        </w:numPr>
        <w:tabs>
          <w:tab w:val="left" w:pos="920"/>
        </w:tabs>
        <w:spacing w:before="9"/>
        <w:rPr>
          <w:sz w:val="24"/>
        </w:rPr>
      </w:pPr>
      <w:r>
        <w:rPr>
          <w:color w:val="231F20"/>
          <w:sz w:val="24"/>
        </w:rPr>
        <w:t>Annual operating income not exceeding the greater</w:t>
      </w:r>
      <w:r>
        <w:rPr>
          <w:color w:val="231F20"/>
          <w:spacing w:val="-11"/>
          <w:sz w:val="24"/>
        </w:rPr>
        <w:t xml:space="preserve"> </w:t>
      </w:r>
      <w:r>
        <w:rPr>
          <w:color w:val="231F20"/>
          <w:sz w:val="24"/>
        </w:rPr>
        <w:t>of:</w:t>
      </w:r>
    </w:p>
    <w:p w:rsidR="005D3966" w:rsidRDefault="001C5FE1" w14:paraId="58A2B3A2" w14:textId="77777777">
      <w:pPr>
        <w:pStyle w:val="ListParagraph"/>
        <w:numPr>
          <w:ilvl w:val="1"/>
          <w:numId w:val="25"/>
        </w:numPr>
        <w:tabs>
          <w:tab w:val="left" w:pos="1280"/>
        </w:tabs>
        <w:spacing w:before="8"/>
        <w:rPr>
          <w:sz w:val="24"/>
        </w:rPr>
      </w:pPr>
      <w:r>
        <w:rPr>
          <w:color w:val="231F20"/>
          <w:sz w:val="24"/>
        </w:rPr>
        <w:t>10 percent of the controlled group’s annual operating</w:t>
      </w:r>
      <w:r>
        <w:rPr>
          <w:color w:val="231F20"/>
          <w:spacing w:val="-22"/>
          <w:sz w:val="24"/>
        </w:rPr>
        <w:t xml:space="preserve"> </w:t>
      </w:r>
      <w:r>
        <w:rPr>
          <w:color w:val="231F20"/>
          <w:sz w:val="24"/>
        </w:rPr>
        <w:t>income,</w:t>
      </w:r>
    </w:p>
    <w:p w:rsidR="005D3966" w:rsidRDefault="001C5FE1" w14:paraId="74D242A9" w14:textId="77777777">
      <w:pPr>
        <w:pStyle w:val="ListParagraph"/>
        <w:numPr>
          <w:ilvl w:val="1"/>
          <w:numId w:val="25"/>
        </w:numPr>
        <w:tabs>
          <w:tab w:val="left" w:pos="1280"/>
        </w:tabs>
        <w:spacing w:before="7"/>
        <w:ind w:hanging="344"/>
        <w:rPr>
          <w:sz w:val="24"/>
        </w:rPr>
      </w:pPr>
      <w:r>
        <w:rPr>
          <w:color w:val="231F20"/>
          <w:sz w:val="24"/>
        </w:rPr>
        <w:t>$5 million;</w:t>
      </w:r>
      <w:r>
        <w:rPr>
          <w:color w:val="231F20"/>
          <w:spacing w:val="-1"/>
          <w:sz w:val="24"/>
        </w:rPr>
        <w:t xml:space="preserve"> </w:t>
      </w:r>
      <w:r>
        <w:rPr>
          <w:color w:val="231F20"/>
          <w:sz w:val="24"/>
        </w:rPr>
        <w:t>and</w:t>
      </w:r>
    </w:p>
    <w:p w:rsidR="005D3966" w:rsidRDefault="001C5FE1" w14:paraId="4154546A" w14:textId="77777777">
      <w:pPr>
        <w:pStyle w:val="ListParagraph"/>
        <w:numPr>
          <w:ilvl w:val="0"/>
          <w:numId w:val="25"/>
        </w:numPr>
        <w:tabs>
          <w:tab w:val="left" w:pos="920"/>
        </w:tabs>
        <w:rPr>
          <w:sz w:val="24"/>
        </w:rPr>
      </w:pPr>
      <w:r>
        <w:rPr>
          <w:color w:val="231F20"/>
          <w:sz w:val="24"/>
        </w:rPr>
        <w:t>Net</w:t>
      </w:r>
      <w:r>
        <w:rPr>
          <w:color w:val="231F20"/>
          <w:spacing w:val="-6"/>
          <w:sz w:val="24"/>
        </w:rPr>
        <w:t xml:space="preserve"> </w:t>
      </w:r>
      <w:r>
        <w:rPr>
          <w:color w:val="231F20"/>
          <w:sz w:val="24"/>
        </w:rPr>
        <w:t>tangible</w:t>
      </w:r>
      <w:r>
        <w:rPr>
          <w:color w:val="231F20"/>
          <w:spacing w:val="-6"/>
          <w:sz w:val="24"/>
        </w:rPr>
        <w:t xml:space="preserve"> </w:t>
      </w:r>
      <w:r>
        <w:rPr>
          <w:color w:val="231F20"/>
          <w:sz w:val="24"/>
        </w:rPr>
        <w:t>assets</w:t>
      </w:r>
      <w:r>
        <w:rPr>
          <w:color w:val="231F20"/>
          <w:spacing w:val="-5"/>
          <w:sz w:val="24"/>
        </w:rPr>
        <w:t xml:space="preserve"> </w:t>
      </w:r>
      <w:r>
        <w:rPr>
          <w:color w:val="231F20"/>
          <w:sz w:val="24"/>
        </w:rPr>
        <w:t>at</w:t>
      </w:r>
      <w:r>
        <w:rPr>
          <w:color w:val="231F20"/>
          <w:spacing w:val="-2"/>
          <w:sz w:val="24"/>
        </w:rPr>
        <w:t xml:space="preserve"> </w:t>
      </w:r>
      <w:r>
        <w:rPr>
          <w:color w:val="231F20"/>
          <w:sz w:val="24"/>
        </w:rPr>
        <w:t>the</w:t>
      </w:r>
      <w:r>
        <w:rPr>
          <w:color w:val="231F20"/>
          <w:spacing w:val="-5"/>
          <w:sz w:val="24"/>
        </w:rPr>
        <w:t xml:space="preserve"> </w:t>
      </w:r>
      <w:r>
        <w:rPr>
          <w:color w:val="231F20"/>
          <w:sz w:val="24"/>
        </w:rPr>
        <w:t>end</w:t>
      </w:r>
      <w:r>
        <w:rPr>
          <w:color w:val="231F20"/>
          <w:spacing w:val="-5"/>
          <w:sz w:val="24"/>
        </w:rPr>
        <w:t xml:space="preserve"> </w:t>
      </w:r>
      <w:r>
        <w:rPr>
          <w:color w:val="231F20"/>
          <w:sz w:val="24"/>
        </w:rPr>
        <w:t>of</w:t>
      </w:r>
      <w:r>
        <w:rPr>
          <w:color w:val="231F20"/>
          <w:spacing w:val="-6"/>
          <w:sz w:val="24"/>
        </w:rPr>
        <w:t xml:space="preserve"> </w:t>
      </w:r>
      <w:r>
        <w:rPr>
          <w:color w:val="231F20"/>
          <w:sz w:val="24"/>
        </w:rPr>
        <w:t>the</w:t>
      </w:r>
      <w:r>
        <w:rPr>
          <w:color w:val="231F20"/>
          <w:spacing w:val="-6"/>
          <w:sz w:val="24"/>
        </w:rPr>
        <w:t xml:space="preserve"> </w:t>
      </w:r>
      <w:r>
        <w:rPr>
          <w:color w:val="231F20"/>
          <w:sz w:val="24"/>
        </w:rPr>
        <w:t>fiscal</w:t>
      </w:r>
      <w:r>
        <w:rPr>
          <w:color w:val="231F20"/>
          <w:spacing w:val="-38"/>
          <w:sz w:val="24"/>
        </w:rPr>
        <w:t xml:space="preserve"> </w:t>
      </w:r>
      <w:r>
        <w:rPr>
          <w:color w:val="231F20"/>
          <w:sz w:val="24"/>
        </w:rPr>
        <w:t>year(s)</w:t>
      </w:r>
      <w:r>
        <w:rPr>
          <w:color w:val="231F20"/>
          <w:spacing w:val="-2"/>
          <w:sz w:val="24"/>
        </w:rPr>
        <w:t xml:space="preserve"> </w:t>
      </w:r>
      <w:r>
        <w:rPr>
          <w:color w:val="231F20"/>
          <w:sz w:val="24"/>
        </w:rPr>
        <w:t>not exceeding the</w:t>
      </w:r>
      <w:r>
        <w:rPr>
          <w:color w:val="231F20"/>
          <w:spacing w:val="-2"/>
          <w:sz w:val="24"/>
        </w:rPr>
        <w:t xml:space="preserve"> </w:t>
      </w:r>
      <w:r>
        <w:rPr>
          <w:color w:val="231F20"/>
          <w:sz w:val="24"/>
        </w:rPr>
        <w:t>greater</w:t>
      </w:r>
      <w:r>
        <w:rPr>
          <w:color w:val="231F20"/>
          <w:spacing w:val="-20"/>
          <w:sz w:val="24"/>
        </w:rPr>
        <w:t xml:space="preserve"> </w:t>
      </w:r>
      <w:r>
        <w:rPr>
          <w:color w:val="231F20"/>
          <w:sz w:val="24"/>
        </w:rPr>
        <w:t>of:</w:t>
      </w:r>
    </w:p>
    <w:p w:rsidR="005D3966" w:rsidRDefault="001C5FE1" w14:paraId="5B374CA2" w14:textId="77777777">
      <w:pPr>
        <w:pStyle w:val="ListParagraph"/>
        <w:numPr>
          <w:ilvl w:val="1"/>
          <w:numId w:val="25"/>
        </w:numPr>
        <w:tabs>
          <w:tab w:val="left" w:pos="1280"/>
        </w:tabs>
        <w:spacing w:before="9"/>
        <w:rPr>
          <w:sz w:val="24"/>
        </w:rPr>
      </w:pPr>
      <w:r>
        <w:rPr>
          <w:color w:val="231F20"/>
          <w:sz w:val="24"/>
        </w:rPr>
        <w:t>10</w:t>
      </w:r>
      <w:r>
        <w:rPr>
          <w:color w:val="231F20"/>
          <w:spacing w:val="-1"/>
          <w:sz w:val="24"/>
        </w:rPr>
        <w:t xml:space="preserve"> </w:t>
      </w:r>
      <w:r>
        <w:rPr>
          <w:color w:val="231F20"/>
          <w:sz w:val="24"/>
        </w:rPr>
        <w:t>percent of</w:t>
      </w:r>
      <w:r>
        <w:rPr>
          <w:color w:val="231F20"/>
          <w:spacing w:val="-2"/>
          <w:sz w:val="24"/>
        </w:rPr>
        <w:t xml:space="preserve"> </w:t>
      </w:r>
      <w:r>
        <w:rPr>
          <w:color w:val="231F20"/>
          <w:sz w:val="24"/>
        </w:rPr>
        <w:t>the</w:t>
      </w:r>
      <w:r>
        <w:rPr>
          <w:color w:val="231F20"/>
          <w:spacing w:val="-1"/>
          <w:sz w:val="24"/>
        </w:rPr>
        <w:t xml:space="preserve"> </w:t>
      </w:r>
      <w:r>
        <w:rPr>
          <w:color w:val="231F20"/>
          <w:sz w:val="24"/>
        </w:rPr>
        <w:t>controlled group’s</w:t>
      </w:r>
      <w:r>
        <w:rPr>
          <w:color w:val="231F20"/>
          <w:spacing w:val="-1"/>
          <w:sz w:val="24"/>
        </w:rPr>
        <w:t xml:space="preserve"> </w:t>
      </w:r>
      <w:r>
        <w:rPr>
          <w:color w:val="231F20"/>
          <w:sz w:val="24"/>
        </w:rPr>
        <w:t>net tangible</w:t>
      </w:r>
      <w:r>
        <w:rPr>
          <w:color w:val="231F20"/>
          <w:spacing w:val="3"/>
          <w:sz w:val="24"/>
        </w:rPr>
        <w:t xml:space="preserve"> </w:t>
      </w:r>
      <w:r>
        <w:rPr>
          <w:color w:val="231F20"/>
          <w:sz w:val="24"/>
        </w:rPr>
        <w:t>assets</w:t>
      </w:r>
      <w:r>
        <w:rPr>
          <w:color w:val="231F20"/>
          <w:spacing w:val="-7"/>
          <w:sz w:val="24"/>
        </w:rPr>
        <w:t xml:space="preserve"> </w:t>
      </w:r>
      <w:r>
        <w:rPr>
          <w:color w:val="231F20"/>
          <w:sz w:val="24"/>
        </w:rPr>
        <w:t>at</w:t>
      </w:r>
      <w:r>
        <w:rPr>
          <w:color w:val="231F20"/>
          <w:spacing w:val="-10"/>
          <w:sz w:val="24"/>
        </w:rPr>
        <w:t xml:space="preserve"> </w:t>
      </w:r>
      <w:r>
        <w:rPr>
          <w:color w:val="231F20"/>
          <w:sz w:val="24"/>
        </w:rPr>
        <w:t>the</w:t>
      </w:r>
      <w:r>
        <w:rPr>
          <w:color w:val="231F20"/>
          <w:spacing w:val="-13"/>
          <w:sz w:val="24"/>
        </w:rPr>
        <w:t xml:space="preserve"> </w:t>
      </w:r>
      <w:r>
        <w:rPr>
          <w:color w:val="231F20"/>
          <w:sz w:val="24"/>
        </w:rPr>
        <w:t>end</w:t>
      </w:r>
      <w:r>
        <w:rPr>
          <w:color w:val="231F20"/>
          <w:spacing w:val="-9"/>
          <w:sz w:val="24"/>
        </w:rPr>
        <w:t xml:space="preserve"> </w:t>
      </w:r>
      <w:r>
        <w:rPr>
          <w:color w:val="231F20"/>
          <w:sz w:val="24"/>
        </w:rPr>
        <w:t>of</w:t>
      </w:r>
      <w:r>
        <w:rPr>
          <w:color w:val="231F20"/>
          <w:spacing w:val="-8"/>
          <w:sz w:val="24"/>
        </w:rPr>
        <w:t xml:space="preserve"> </w:t>
      </w:r>
      <w:r>
        <w:rPr>
          <w:color w:val="231F20"/>
          <w:sz w:val="24"/>
        </w:rPr>
        <w:t>the</w:t>
      </w:r>
      <w:r>
        <w:rPr>
          <w:color w:val="231F20"/>
          <w:spacing w:val="-13"/>
          <w:sz w:val="24"/>
        </w:rPr>
        <w:t xml:space="preserve"> </w:t>
      </w:r>
      <w:r>
        <w:rPr>
          <w:color w:val="231F20"/>
          <w:sz w:val="24"/>
        </w:rPr>
        <w:t>fiscal</w:t>
      </w:r>
      <w:r>
        <w:rPr>
          <w:color w:val="231F20"/>
          <w:spacing w:val="-3"/>
          <w:sz w:val="24"/>
        </w:rPr>
        <w:t xml:space="preserve"> </w:t>
      </w:r>
      <w:r>
        <w:rPr>
          <w:color w:val="231F20"/>
          <w:sz w:val="24"/>
        </w:rPr>
        <w:t>year(s),</w:t>
      </w:r>
      <w:r>
        <w:rPr>
          <w:color w:val="231F20"/>
          <w:spacing w:val="-8"/>
          <w:sz w:val="24"/>
        </w:rPr>
        <w:t xml:space="preserve"> </w:t>
      </w:r>
      <w:r>
        <w:rPr>
          <w:color w:val="231F20"/>
          <w:sz w:val="24"/>
        </w:rPr>
        <w:t>or</w:t>
      </w:r>
    </w:p>
    <w:p w:rsidR="005D3966" w:rsidRDefault="001C5FE1" w14:paraId="7383D2CB" w14:textId="77777777">
      <w:pPr>
        <w:pStyle w:val="ListParagraph"/>
        <w:numPr>
          <w:ilvl w:val="1"/>
          <w:numId w:val="25"/>
        </w:numPr>
        <w:tabs>
          <w:tab w:val="left" w:pos="1280"/>
        </w:tabs>
        <w:spacing w:before="8"/>
        <w:ind w:hanging="344"/>
        <w:rPr>
          <w:sz w:val="24"/>
        </w:rPr>
      </w:pPr>
      <w:r>
        <w:rPr>
          <w:color w:val="231F20"/>
          <w:sz w:val="24"/>
        </w:rPr>
        <w:t>$5 million.</w:t>
      </w:r>
    </w:p>
    <w:p w:rsidR="005D3966" w:rsidRDefault="005D3966" w14:paraId="233A9DD3" w14:textId="77777777">
      <w:pPr>
        <w:pStyle w:val="BodyText"/>
        <w:spacing w:before="2"/>
      </w:pPr>
    </w:p>
    <w:p w:rsidR="005D3966" w:rsidRDefault="001C5FE1" w14:paraId="1AC566AB" w14:textId="77777777">
      <w:pPr>
        <w:ind w:left="571" w:right="765"/>
      </w:pPr>
      <w:r>
        <w:rPr>
          <w:b/>
          <w:color w:val="231F20"/>
          <w:sz w:val="24"/>
        </w:rPr>
        <w:t xml:space="preserve">De minimis 5-percent segment </w:t>
      </w:r>
      <w:r>
        <w:rPr>
          <w:color w:val="231F20"/>
          <w:sz w:val="24"/>
        </w:rPr>
        <w:t xml:space="preserve">has the same meaning as a de minimis 10-percent segment, except that </w:t>
      </w:r>
      <w:r>
        <w:t>“5%” is substituted for “10%” each time it appears.</w:t>
      </w:r>
    </w:p>
    <w:p w:rsidR="005D3966" w:rsidRDefault="005D3966" w14:paraId="22007EBF" w14:textId="77777777">
      <w:pPr>
        <w:pStyle w:val="BodyText"/>
        <w:rPr>
          <w:sz w:val="26"/>
        </w:rPr>
      </w:pPr>
    </w:p>
    <w:p w:rsidR="005D3966" w:rsidRDefault="001C5FE1" w14:paraId="080B29F3" w14:textId="77777777">
      <w:pPr>
        <w:pStyle w:val="BodyText"/>
        <w:spacing w:before="157"/>
        <w:ind w:left="571" w:right="711"/>
      </w:pPr>
      <w:r>
        <w:rPr>
          <w:b/>
          <w:color w:val="231F20"/>
        </w:rPr>
        <w:t xml:space="preserve">EIN/PN </w:t>
      </w:r>
      <w:r>
        <w:rPr>
          <w:color w:val="231F20"/>
        </w:rPr>
        <w:t>means the nine-digit employer identification number assigned by the Internal Revenue Service to a person and the three-digit plan number assigned to a plan. The EIN/PN reported should be the EIN/PN most recently reported for a PBGC premium filing (if applicable). If the plan has never made a PBGC premium filing, enter the EIN assigned to the contributing sponsor by the IRS for income tax purposes and the PN assigned by the contributing sponsor.</w:t>
      </w:r>
    </w:p>
    <w:p w:rsidR="005D3966" w:rsidRDefault="005D3966" w14:paraId="2F550A79" w14:textId="77777777">
      <w:pPr>
        <w:pStyle w:val="BodyText"/>
        <w:spacing w:before="5"/>
        <w:rPr>
          <w:sz w:val="25"/>
        </w:rPr>
      </w:pPr>
    </w:p>
    <w:p w:rsidR="005D3966" w:rsidRDefault="001C5FE1" w14:paraId="6C7F8A76" w14:textId="77777777">
      <w:pPr>
        <w:pStyle w:val="BodyText"/>
        <w:spacing w:before="1"/>
        <w:ind w:left="572"/>
      </w:pPr>
      <w:r>
        <w:rPr>
          <w:b/>
          <w:color w:val="231F20"/>
        </w:rPr>
        <w:t xml:space="preserve">Event year </w:t>
      </w:r>
      <w:r>
        <w:rPr>
          <w:color w:val="231F20"/>
        </w:rPr>
        <w:t>means the plan year in which a reportable event occurs.</w:t>
      </w:r>
    </w:p>
    <w:p w:rsidR="005D3966" w:rsidRDefault="005D3966" w14:paraId="73EFCE25" w14:textId="77777777">
      <w:pPr>
        <w:pStyle w:val="BodyText"/>
        <w:spacing w:before="1"/>
        <w:rPr>
          <w:sz w:val="26"/>
        </w:rPr>
      </w:pPr>
    </w:p>
    <w:p w:rsidR="005D3966" w:rsidRDefault="001C5FE1" w14:paraId="51C45641" w14:textId="77777777">
      <w:pPr>
        <w:pStyle w:val="BodyText"/>
        <w:spacing w:line="249" w:lineRule="auto"/>
        <w:ind w:left="572" w:right="770"/>
      </w:pPr>
      <w:r>
        <w:rPr>
          <w:b/>
          <w:color w:val="231F20"/>
        </w:rPr>
        <w:t xml:space="preserve">Filing extension claimed </w:t>
      </w:r>
      <w:r>
        <w:rPr>
          <w:color w:val="231F20"/>
        </w:rPr>
        <w:t>means the specific filing extension claimed under the relevant regulation and reflected in the Notice Due Date.</w:t>
      </w:r>
    </w:p>
    <w:p w:rsidR="005D3966" w:rsidRDefault="005D3966" w14:paraId="742DDC58" w14:textId="77777777">
      <w:pPr>
        <w:pStyle w:val="BodyText"/>
        <w:spacing w:before="4"/>
        <w:rPr>
          <w:sz w:val="25"/>
        </w:rPr>
      </w:pPr>
    </w:p>
    <w:p w:rsidR="005D3966" w:rsidRDefault="001C5FE1" w14:paraId="1E6B08EB" w14:textId="77777777">
      <w:pPr>
        <w:spacing w:before="1"/>
        <w:ind w:left="572"/>
        <w:rPr>
          <w:sz w:val="24"/>
        </w:rPr>
      </w:pPr>
      <w:r>
        <w:rPr>
          <w:b/>
          <w:color w:val="231F20"/>
          <w:sz w:val="24"/>
        </w:rPr>
        <w:t xml:space="preserve">Foreign entity </w:t>
      </w:r>
      <w:r>
        <w:rPr>
          <w:color w:val="231F20"/>
          <w:sz w:val="24"/>
        </w:rPr>
        <w:t>means a member of a controlled group that:</w:t>
      </w:r>
    </w:p>
    <w:p w:rsidR="005D3966" w:rsidRDefault="001C5FE1" w14:paraId="0B41D70C" w14:textId="77777777">
      <w:pPr>
        <w:pStyle w:val="ListParagraph"/>
        <w:numPr>
          <w:ilvl w:val="0"/>
          <w:numId w:val="24"/>
        </w:numPr>
        <w:tabs>
          <w:tab w:val="left" w:pos="944"/>
        </w:tabs>
        <w:spacing w:before="139"/>
        <w:rPr>
          <w:sz w:val="24"/>
        </w:rPr>
      </w:pPr>
      <w:r>
        <w:rPr>
          <w:color w:val="231F20"/>
          <w:sz w:val="24"/>
        </w:rPr>
        <w:t xml:space="preserve">Is not a contributing sponsor of </w:t>
      </w:r>
      <w:proofErr w:type="gramStart"/>
      <w:r>
        <w:rPr>
          <w:color w:val="231F20"/>
          <w:sz w:val="24"/>
        </w:rPr>
        <w:t>a</w:t>
      </w:r>
      <w:r>
        <w:rPr>
          <w:color w:val="231F20"/>
          <w:spacing w:val="-10"/>
          <w:sz w:val="24"/>
        </w:rPr>
        <w:t xml:space="preserve"> </w:t>
      </w:r>
      <w:r>
        <w:rPr>
          <w:color w:val="231F20"/>
          <w:sz w:val="24"/>
        </w:rPr>
        <w:t>plan;</w:t>
      </w:r>
      <w:proofErr w:type="gramEnd"/>
    </w:p>
    <w:p w:rsidR="005D3966" w:rsidRDefault="005D3966" w14:paraId="77E39942" w14:textId="77777777">
      <w:pPr>
        <w:pStyle w:val="BodyText"/>
        <w:spacing w:before="1"/>
        <w:rPr>
          <w:sz w:val="26"/>
        </w:rPr>
      </w:pPr>
    </w:p>
    <w:p w:rsidR="005D3966" w:rsidRDefault="001C5FE1" w14:paraId="717B7821" w14:textId="77777777">
      <w:pPr>
        <w:pStyle w:val="ListParagraph"/>
        <w:numPr>
          <w:ilvl w:val="0"/>
          <w:numId w:val="24"/>
        </w:numPr>
        <w:tabs>
          <w:tab w:val="left" w:pos="944"/>
        </w:tabs>
        <w:rPr>
          <w:sz w:val="24"/>
        </w:rPr>
      </w:pPr>
      <w:r>
        <w:rPr>
          <w:color w:val="231F20"/>
          <w:sz w:val="24"/>
        </w:rPr>
        <w:t>Is not organized under the laws of (or, if an individual, is not a domiciliary of) any State</w:t>
      </w:r>
      <w:r>
        <w:rPr>
          <w:color w:val="231F20"/>
          <w:spacing w:val="-14"/>
          <w:sz w:val="24"/>
        </w:rPr>
        <w:t xml:space="preserve"> </w:t>
      </w:r>
      <w:r>
        <w:rPr>
          <w:color w:val="231F20"/>
          <w:sz w:val="24"/>
        </w:rPr>
        <w:t>of</w:t>
      </w:r>
    </w:p>
    <w:p w:rsidR="005D3966" w:rsidRDefault="005D3966" w14:paraId="28BC6D45" w14:textId="77777777">
      <w:pPr>
        <w:rPr>
          <w:sz w:val="24"/>
        </w:rPr>
        <w:sectPr w:rsidR="005D3966">
          <w:headerReference w:type="default" r:id="rId29"/>
          <w:footerReference w:type="default" r:id="rId30"/>
          <w:pgSz w:w="12240" w:h="15840"/>
          <w:pgMar w:top="1060" w:right="660" w:bottom="860" w:left="700" w:header="318" w:footer="671" w:gutter="0"/>
          <w:pgNumType w:start="7"/>
          <w:cols w:space="720"/>
        </w:sectPr>
      </w:pPr>
    </w:p>
    <w:p w:rsidR="005D3966" w:rsidRDefault="001C5FE1" w14:paraId="5FB8BD77" w14:textId="77777777">
      <w:pPr>
        <w:pStyle w:val="BodyText"/>
        <w:spacing w:before="88" w:line="247" w:lineRule="auto"/>
        <w:ind w:left="943" w:right="1061"/>
      </w:pPr>
      <w:r>
        <w:rPr>
          <w:color w:val="231F20"/>
        </w:rPr>
        <w:lastRenderedPageBreak/>
        <w:t>the United States, the District of Columbia, Puerto Rico, the Virgin Islands, American Samoa, Guam, Wake Island, and the Canal Zone; and</w:t>
      </w:r>
    </w:p>
    <w:p w:rsidR="005D3966" w:rsidRDefault="005D3966" w14:paraId="4D49706C" w14:textId="77777777">
      <w:pPr>
        <w:pStyle w:val="BodyText"/>
        <w:spacing w:before="5"/>
        <w:rPr>
          <w:sz w:val="25"/>
        </w:rPr>
      </w:pPr>
    </w:p>
    <w:p w:rsidR="005D3966" w:rsidRDefault="001C5FE1" w14:paraId="156AB22F" w14:textId="77777777">
      <w:pPr>
        <w:pStyle w:val="ListParagraph"/>
        <w:numPr>
          <w:ilvl w:val="0"/>
          <w:numId w:val="24"/>
        </w:numPr>
        <w:tabs>
          <w:tab w:val="left" w:pos="944"/>
        </w:tabs>
        <w:spacing w:line="247" w:lineRule="auto"/>
        <w:ind w:left="943" w:right="1752"/>
        <w:rPr>
          <w:sz w:val="24"/>
        </w:rPr>
      </w:pPr>
      <w:r>
        <w:rPr>
          <w:color w:val="231F20"/>
          <w:sz w:val="24"/>
        </w:rPr>
        <w:t>For the fiscal year that includes the date the reportable event occurs, meets one of</w:t>
      </w:r>
      <w:r>
        <w:rPr>
          <w:color w:val="231F20"/>
          <w:spacing w:val="-17"/>
          <w:sz w:val="24"/>
        </w:rPr>
        <w:t xml:space="preserve"> </w:t>
      </w:r>
      <w:r>
        <w:rPr>
          <w:color w:val="231F20"/>
          <w:sz w:val="24"/>
        </w:rPr>
        <w:t>the following</w:t>
      </w:r>
      <w:r>
        <w:rPr>
          <w:color w:val="231F20"/>
          <w:spacing w:val="47"/>
          <w:sz w:val="24"/>
        </w:rPr>
        <w:t xml:space="preserve"> </w:t>
      </w:r>
      <w:r>
        <w:rPr>
          <w:color w:val="231F20"/>
          <w:sz w:val="24"/>
        </w:rPr>
        <w:t>tests:</w:t>
      </w:r>
    </w:p>
    <w:p w:rsidR="005D3966" w:rsidRDefault="001C5FE1" w14:paraId="39426B79" w14:textId="77777777">
      <w:pPr>
        <w:pStyle w:val="ListParagraph"/>
        <w:numPr>
          <w:ilvl w:val="1"/>
          <w:numId w:val="24"/>
        </w:numPr>
        <w:tabs>
          <w:tab w:val="left" w:pos="1304"/>
        </w:tabs>
        <w:spacing w:before="5"/>
        <w:rPr>
          <w:sz w:val="24"/>
        </w:rPr>
      </w:pPr>
      <w:r>
        <w:rPr>
          <w:color w:val="231F20"/>
          <w:sz w:val="24"/>
        </w:rPr>
        <w:t>Is not required to file any United States federal income tax</w:t>
      </w:r>
      <w:r>
        <w:rPr>
          <w:color w:val="231F20"/>
          <w:spacing w:val="-1"/>
          <w:sz w:val="24"/>
        </w:rPr>
        <w:t xml:space="preserve"> </w:t>
      </w:r>
      <w:r>
        <w:rPr>
          <w:color w:val="231F20"/>
          <w:sz w:val="24"/>
        </w:rPr>
        <w:t>form.</w:t>
      </w:r>
    </w:p>
    <w:p w:rsidR="005D3966" w:rsidRDefault="001C5FE1" w14:paraId="4421D5DA" w14:textId="77777777">
      <w:pPr>
        <w:pStyle w:val="ListParagraph"/>
        <w:numPr>
          <w:ilvl w:val="1"/>
          <w:numId w:val="24"/>
        </w:numPr>
        <w:tabs>
          <w:tab w:val="left" w:pos="1304"/>
        </w:tabs>
        <w:spacing w:before="12" w:line="247" w:lineRule="auto"/>
        <w:ind w:left="1303" w:right="1650" w:hanging="252"/>
        <w:rPr>
          <w:sz w:val="24"/>
        </w:rPr>
      </w:pPr>
      <w:r>
        <w:rPr>
          <w:color w:val="231F20"/>
          <w:sz w:val="24"/>
        </w:rPr>
        <w:t>Has no income reportable on any United States federal income tax form other than passive income not exceeding</w:t>
      </w:r>
      <w:r>
        <w:rPr>
          <w:color w:val="231F20"/>
          <w:spacing w:val="-10"/>
          <w:sz w:val="24"/>
        </w:rPr>
        <w:t xml:space="preserve"> </w:t>
      </w:r>
      <w:r>
        <w:rPr>
          <w:color w:val="231F20"/>
          <w:sz w:val="24"/>
        </w:rPr>
        <w:t>$1,000.</w:t>
      </w:r>
    </w:p>
    <w:p w:rsidR="005D3966" w:rsidRDefault="001C5FE1" w14:paraId="6115DE51" w14:textId="77777777">
      <w:pPr>
        <w:pStyle w:val="ListParagraph"/>
        <w:numPr>
          <w:ilvl w:val="1"/>
          <w:numId w:val="24"/>
        </w:numPr>
        <w:tabs>
          <w:tab w:val="left" w:pos="1304"/>
        </w:tabs>
        <w:spacing w:before="15" w:line="249" w:lineRule="auto"/>
        <w:ind w:left="1303" w:right="815"/>
        <w:rPr>
          <w:sz w:val="24"/>
        </w:rPr>
      </w:pPr>
      <w:r>
        <w:rPr>
          <w:color w:val="231F20"/>
          <w:sz w:val="24"/>
        </w:rPr>
        <w:t>Does not own substantial assets in the United States (disregarding stock of a member of</w:t>
      </w:r>
      <w:r>
        <w:rPr>
          <w:color w:val="231F20"/>
          <w:spacing w:val="-38"/>
          <w:sz w:val="24"/>
        </w:rPr>
        <w:t xml:space="preserve"> </w:t>
      </w:r>
      <w:r>
        <w:rPr>
          <w:color w:val="231F20"/>
          <w:sz w:val="24"/>
        </w:rPr>
        <w:t xml:space="preserve">the </w:t>
      </w:r>
      <w:proofErr w:type="gramStart"/>
      <w:r>
        <w:rPr>
          <w:color w:val="231F20"/>
          <w:sz w:val="24"/>
        </w:rPr>
        <w:t>plan’s controlled</w:t>
      </w:r>
      <w:proofErr w:type="gramEnd"/>
      <w:r>
        <w:rPr>
          <w:color w:val="231F20"/>
          <w:sz w:val="24"/>
        </w:rPr>
        <w:t xml:space="preserve"> group) and is not required to file any quarterly United States tax returns for employee</w:t>
      </w:r>
      <w:r>
        <w:rPr>
          <w:color w:val="231F20"/>
          <w:spacing w:val="-6"/>
          <w:sz w:val="24"/>
        </w:rPr>
        <w:t xml:space="preserve"> </w:t>
      </w:r>
      <w:r>
        <w:rPr>
          <w:color w:val="231F20"/>
          <w:sz w:val="24"/>
        </w:rPr>
        <w:t>withholding.</w:t>
      </w:r>
    </w:p>
    <w:p w:rsidR="005D3966" w:rsidRDefault="001C5FE1" w14:paraId="1EFEA644" w14:textId="77777777">
      <w:pPr>
        <w:pStyle w:val="BodyText"/>
        <w:spacing w:before="147" w:line="247" w:lineRule="auto"/>
        <w:ind w:left="571" w:right="1491"/>
      </w:pPr>
      <w:r>
        <w:rPr>
          <w:b/>
          <w:color w:val="231F20"/>
        </w:rPr>
        <w:t xml:space="preserve">Foreign parent </w:t>
      </w:r>
      <w:r>
        <w:rPr>
          <w:color w:val="231F20"/>
        </w:rPr>
        <w:t>means a foreign entity that is a direct or indirect parent of a person that is a contributing sponsor of a plan.</w:t>
      </w:r>
    </w:p>
    <w:p w:rsidR="005D3966" w:rsidRDefault="001C5FE1" w14:paraId="2A3D3434" w14:textId="77777777">
      <w:pPr>
        <w:pStyle w:val="BodyText"/>
        <w:spacing w:before="152" w:line="249" w:lineRule="auto"/>
        <w:ind w:left="571" w:right="775"/>
      </w:pPr>
      <w:r>
        <w:rPr>
          <w:b/>
          <w:color w:val="231F20"/>
        </w:rPr>
        <w:t xml:space="preserve">Low-default-risk </w:t>
      </w:r>
      <w:r>
        <w:rPr>
          <w:color w:val="231F20"/>
        </w:rPr>
        <w:t>means the contributing sponsor of a plan or the highest U.S parent of a contributing sponsor has adequate capacity to meet its obligations in full and on time as evidenced by satisfying either: (A) the first two or (B) any four of the following seven criteria:</w:t>
      </w:r>
    </w:p>
    <w:p w:rsidR="005D3966" w:rsidRDefault="001C5FE1" w14:paraId="09087CE5" w14:textId="77777777">
      <w:pPr>
        <w:pStyle w:val="ListParagraph"/>
        <w:numPr>
          <w:ilvl w:val="0"/>
          <w:numId w:val="23"/>
        </w:numPr>
        <w:tabs>
          <w:tab w:val="left" w:pos="992"/>
        </w:tabs>
        <w:spacing w:before="226" w:line="247" w:lineRule="auto"/>
        <w:ind w:left="991" w:right="793"/>
        <w:rPr>
          <w:sz w:val="24"/>
        </w:rPr>
      </w:pPr>
      <w:r>
        <w:rPr>
          <w:color w:val="231F20"/>
          <w:sz w:val="24"/>
        </w:rPr>
        <w:t xml:space="preserve">The probability that the company will default on its financial obligations is not more than 4 percent over the next five years or not more than 0.4 percent over the next year, in either case determined on the basis of widely available </w:t>
      </w:r>
      <w:proofErr w:type="gramStart"/>
      <w:r>
        <w:rPr>
          <w:color w:val="231F20"/>
          <w:sz w:val="24"/>
        </w:rPr>
        <w:t>third party</w:t>
      </w:r>
      <w:proofErr w:type="gramEnd"/>
      <w:r>
        <w:rPr>
          <w:color w:val="231F20"/>
          <w:sz w:val="24"/>
        </w:rPr>
        <w:t xml:space="preserve"> financial information on the</w:t>
      </w:r>
      <w:r>
        <w:rPr>
          <w:color w:val="231F20"/>
          <w:spacing w:val="-21"/>
          <w:sz w:val="24"/>
        </w:rPr>
        <w:t xml:space="preserve"> </w:t>
      </w:r>
      <w:r>
        <w:rPr>
          <w:color w:val="231F20"/>
          <w:sz w:val="24"/>
        </w:rPr>
        <w:t>company’s credit</w:t>
      </w:r>
      <w:r>
        <w:rPr>
          <w:color w:val="231F20"/>
          <w:spacing w:val="-37"/>
          <w:sz w:val="24"/>
        </w:rPr>
        <w:t xml:space="preserve"> </w:t>
      </w:r>
      <w:r>
        <w:rPr>
          <w:color w:val="231F20"/>
          <w:sz w:val="24"/>
        </w:rPr>
        <w:t>quality.</w:t>
      </w:r>
    </w:p>
    <w:p w:rsidR="005D3966" w:rsidRDefault="001C5FE1" w14:paraId="25AC140A" w14:textId="77777777">
      <w:pPr>
        <w:pStyle w:val="ListParagraph"/>
        <w:numPr>
          <w:ilvl w:val="0"/>
          <w:numId w:val="23"/>
        </w:numPr>
        <w:tabs>
          <w:tab w:val="left" w:pos="992"/>
        </w:tabs>
        <w:spacing w:before="12" w:line="247" w:lineRule="auto"/>
        <w:ind w:left="991" w:right="642"/>
        <w:rPr>
          <w:sz w:val="24"/>
        </w:rPr>
      </w:pPr>
      <w:r>
        <w:rPr>
          <w:color w:val="231F20"/>
          <w:sz w:val="24"/>
        </w:rPr>
        <w:t>The company’s secured debt (with some exceptions) does not exceed 10 percent of its total</w:t>
      </w:r>
      <w:r>
        <w:rPr>
          <w:color w:val="231F20"/>
          <w:spacing w:val="-43"/>
          <w:sz w:val="24"/>
        </w:rPr>
        <w:t xml:space="preserve"> </w:t>
      </w:r>
      <w:r>
        <w:rPr>
          <w:color w:val="231F20"/>
          <w:sz w:val="24"/>
        </w:rPr>
        <w:t>asset value.</w:t>
      </w:r>
    </w:p>
    <w:p w:rsidR="005D3966" w:rsidRDefault="001C5FE1" w14:paraId="55899BF9" w14:textId="77777777">
      <w:pPr>
        <w:pStyle w:val="ListParagraph"/>
        <w:numPr>
          <w:ilvl w:val="0"/>
          <w:numId w:val="23"/>
        </w:numPr>
        <w:tabs>
          <w:tab w:val="left" w:pos="1009"/>
        </w:tabs>
        <w:spacing w:before="5"/>
        <w:ind w:left="1008" w:hanging="337"/>
        <w:rPr>
          <w:sz w:val="24"/>
        </w:rPr>
      </w:pPr>
      <w:r>
        <w:rPr>
          <w:color w:val="231F20"/>
          <w:sz w:val="24"/>
        </w:rPr>
        <w:t>The company’s ratio of total debt to EBITDA</w:t>
      </w:r>
      <w:hyperlink w:history="1" w:anchor="_bookmark0">
        <w:r>
          <w:rPr>
            <w:color w:val="231F20"/>
            <w:sz w:val="24"/>
            <w:vertAlign w:val="superscript"/>
          </w:rPr>
          <w:t>1</w:t>
        </w:r>
        <w:r>
          <w:rPr>
            <w:color w:val="231F20"/>
            <w:sz w:val="24"/>
          </w:rPr>
          <w:t xml:space="preserve"> </w:t>
        </w:r>
      </w:hyperlink>
      <w:r>
        <w:rPr>
          <w:color w:val="231F20"/>
          <w:sz w:val="24"/>
        </w:rPr>
        <w:t>is 3.0 or less.</w:t>
      </w:r>
    </w:p>
    <w:p w:rsidR="005D3966" w:rsidRDefault="001C5FE1" w14:paraId="1B317F38" w14:textId="77777777">
      <w:pPr>
        <w:pStyle w:val="ListParagraph"/>
        <w:numPr>
          <w:ilvl w:val="0"/>
          <w:numId w:val="23"/>
        </w:numPr>
        <w:tabs>
          <w:tab w:val="left" w:pos="992"/>
        </w:tabs>
        <w:spacing w:before="12"/>
        <w:rPr>
          <w:sz w:val="24"/>
        </w:rPr>
      </w:pPr>
      <w:r>
        <w:rPr>
          <w:color w:val="231F20"/>
          <w:sz w:val="24"/>
        </w:rPr>
        <w:t>The company’s ratio of retained earnings to total assets is 0.25 or</w:t>
      </w:r>
      <w:r>
        <w:rPr>
          <w:color w:val="231F20"/>
          <w:spacing w:val="-6"/>
          <w:sz w:val="24"/>
        </w:rPr>
        <w:t xml:space="preserve"> </w:t>
      </w:r>
      <w:r>
        <w:rPr>
          <w:color w:val="231F20"/>
          <w:sz w:val="24"/>
        </w:rPr>
        <w:t>more.</w:t>
      </w:r>
    </w:p>
    <w:p w:rsidR="005D3966" w:rsidRDefault="001C5FE1" w14:paraId="54EA4010" w14:textId="77777777">
      <w:pPr>
        <w:pStyle w:val="ListParagraph"/>
        <w:numPr>
          <w:ilvl w:val="0"/>
          <w:numId w:val="23"/>
        </w:numPr>
        <w:tabs>
          <w:tab w:val="left" w:pos="992"/>
        </w:tabs>
        <w:spacing w:before="20"/>
        <w:rPr>
          <w:sz w:val="24"/>
        </w:rPr>
      </w:pPr>
      <w:r>
        <w:rPr>
          <w:color w:val="231F20"/>
          <w:sz w:val="24"/>
        </w:rPr>
        <w:t>The company has positive net income for the two most recent completed fiscal</w:t>
      </w:r>
      <w:r>
        <w:rPr>
          <w:color w:val="231F20"/>
          <w:spacing w:val="-31"/>
          <w:sz w:val="24"/>
        </w:rPr>
        <w:t xml:space="preserve"> </w:t>
      </w:r>
      <w:r>
        <w:rPr>
          <w:color w:val="231F20"/>
          <w:sz w:val="24"/>
        </w:rPr>
        <w:t>years.</w:t>
      </w:r>
    </w:p>
    <w:p w:rsidR="005D3966" w:rsidRDefault="001C5FE1" w14:paraId="39A892E9" w14:textId="77777777">
      <w:pPr>
        <w:pStyle w:val="ListParagraph"/>
        <w:numPr>
          <w:ilvl w:val="0"/>
          <w:numId w:val="23"/>
        </w:numPr>
        <w:tabs>
          <w:tab w:val="left" w:pos="992"/>
        </w:tabs>
        <w:spacing w:before="16" w:line="247" w:lineRule="auto"/>
        <w:ind w:left="991" w:right="1097"/>
        <w:rPr>
          <w:sz w:val="24"/>
        </w:rPr>
      </w:pPr>
      <w:r>
        <w:rPr>
          <w:color w:val="231F20"/>
          <w:sz w:val="24"/>
        </w:rPr>
        <w:t>The company has not experienced any loan default event in the past two years regardless</w:t>
      </w:r>
      <w:r>
        <w:rPr>
          <w:color w:val="231F20"/>
          <w:spacing w:val="-15"/>
          <w:sz w:val="24"/>
        </w:rPr>
        <w:t xml:space="preserve"> </w:t>
      </w:r>
      <w:r>
        <w:rPr>
          <w:color w:val="231F20"/>
          <w:sz w:val="24"/>
        </w:rPr>
        <w:t>of whether reporting was waived.</w:t>
      </w:r>
    </w:p>
    <w:p w:rsidR="005D3966" w:rsidRDefault="001C5FE1" w14:paraId="1318BA1B" w14:textId="77777777">
      <w:pPr>
        <w:pStyle w:val="ListParagraph"/>
        <w:numPr>
          <w:ilvl w:val="0"/>
          <w:numId w:val="23"/>
        </w:numPr>
        <w:tabs>
          <w:tab w:val="left" w:pos="992"/>
        </w:tabs>
        <w:spacing w:before="8" w:line="247" w:lineRule="auto"/>
        <w:ind w:right="1359"/>
        <w:rPr>
          <w:sz w:val="24"/>
        </w:rPr>
      </w:pPr>
      <w:r>
        <w:rPr>
          <w:color w:val="231F20"/>
          <w:sz w:val="24"/>
        </w:rPr>
        <w:t>The sponsor has not experienced a missed contribution event in the past two years</w:t>
      </w:r>
      <w:r>
        <w:rPr>
          <w:color w:val="231F20"/>
          <w:spacing w:val="-33"/>
          <w:sz w:val="24"/>
        </w:rPr>
        <w:t xml:space="preserve"> </w:t>
      </w:r>
      <w:r>
        <w:rPr>
          <w:color w:val="231F20"/>
          <w:sz w:val="24"/>
        </w:rPr>
        <w:t>unless reporting was</w:t>
      </w:r>
      <w:r>
        <w:rPr>
          <w:color w:val="231F20"/>
          <w:spacing w:val="-6"/>
          <w:sz w:val="24"/>
        </w:rPr>
        <w:t xml:space="preserve"> </w:t>
      </w:r>
      <w:r>
        <w:rPr>
          <w:color w:val="231F20"/>
          <w:sz w:val="24"/>
        </w:rPr>
        <w:t>waived.</w:t>
      </w:r>
    </w:p>
    <w:p w:rsidR="005D3966" w:rsidRDefault="005D3966" w14:paraId="36A85FE5" w14:textId="77777777">
      <w:pPr>
        <w:pStyle w:val="BodyText"/>
        <w:spacing w:before="5"/>
      </w:pPr>
    </w:p>
    <w:p w:rsidR="005D3966" w:rsidRDefault="001C5FE1" w14:paraId="7473B5F8" w14:textId="77777777">
      <w:pPr>
        <w:pStyle w:val="BodyText"/>
        <w:spacing w:line="249" w:lineRule="auto"/>
        <w:ind w:left="631" w:right="569"/>
      </w:pPr>
      <w:r>
        <w:rPr>
          <w:b/>
          <w:color w:val="231F20"/>
        </w:rPr>
        <w:t xml:space="preserve">Notice due date </w:t>
      </w:r>
      <w:r>
        <w:rPr>
          <w:color w:val="231F20"/>
        </w:rPr>
        <w:t>means the deadline (including extensions) for filing notice of a reportable event with PBGC. If no extension is claimed, the notice due date is 30 days after the date of event. In computing time periods, if for example the due date falls on a weekend or holiday, the date is extended to the next day that is not a weekend or a Federal holiday. (See 29 CFR 4000, subpart D.)</w:t>
      </w:r>
    </w:p>
    <w:p w:rsidR="005D3966" w:rsidRDefault="005D3966" w14:paraId="1618ECDF" w14:textId="77777777">
      <w:pPr>
        <w:pStyle w:val="BodyText"/>
        <w:spacing w:before="11"/>
        <w:rPr>
          <w:sz w:val="23"/>
        </w:rPr>
      </w:pPr>
    </w:p>
    <w:p w:rsidR="005D3966" w:rsidRDefault="001C5FE1" w14:paraId="5543F190" w14:textId="77777777">
      <w:pPr>
        <w:ind w:left="632"/>
        <w:rPr>
          <w:b/>
          <w:sz w:val="24"/>
        </w:rPr>
      </w:pPr>
      <w:r>
        <w:rPr>
          <w:b/>
          <w:color w:val="231F20"/>
          <w:sz w:val="24"/>
        </w:rPr>
        <w:t xml:space="preserve">Notice filing date </w:t>
      </w:r>
      <w:r>
        <w:rPr>
          <w:color w:val="231F20"/>
          <w:sz w:val="24"/>
        </w:rPr>
        <w:t>means the date the notice of a reportable event is submitted to PBGC</w:t>
      </w:r>
      <w:r>
        <w:rPr>
          <w:b/>
          <w:color w:val="231F20"/>
          <w:sz w:val="24"/>
        </w:rPr>
        <w:t>.</w:t>
      </w:r>
    </w:p>
    <w:p w:rsidR="005D3966" w:rsidRDefault="005D3966" w14:paraId="2A971740" w14:textId="77777777">
      <w:pPr>
        <w:pStyle w:val="BodyText"/>
        <w:spacing w:before="10"/>
        <w:rPr>
          <w:b/>
          <w:sz w:val="25"/>
        </w:rPr>
      </w:pPr>
    </w:p>
    <w:p w:rsidR="005D3966" w:rsidRDefault="001C5FE1" w14:paraId="0163C859" w14:textId="77777777">
      <w:pPr>
        <w:pStyle w:val="BodyText"/>
        <w:spacing w:line="249" w:lineRule="auto"/>
        <w:ind w:left="631" w:right="569"/>
      </w:pPr>
      <w:r>
        <w:rPr>
          <w:b/>
          <w:color w:val="231F20"/>
        </w:rPr>
        <w:t xml:space="preserve">Participant </w:t>
      </w:r>
      <w:r>
        <w:rPr>
          <w:color w:val="231F20"/>
        </w:rPr>
        <w:t>has the meaning set forth in § 4006.6 of PBGC’s regulation on Premium Rates (29 CFR part 4006).</w:t>
      </w:r>
    </w:p>
    <w:p w:rsidR="005D3966" w:rsidRDefault="005D3966" w14:paraId="6C09A67E" w14:textId="77777777">
      <w:pPr>
        <w:pStyle w:val="BodyText"/>
        <w:spacing w:before="5"/>
        <w:rPr>
          <w:sz w:val="25"/>
        </w:rPr>
      </w:pPr>
    </w:p>
    <w:p w:rsidR="005D3966" w:rsidRDefault="001C5FE1" w14:paraId="49451766" w14:textId="77777777">
      <w:pPr>
        <w:pStyle w:val="BodyText"/>
        <w:spacing w:line="247" w:lineRule="auto"/>
        <w:ind w:left="632" w:right="890"/>
      </w:pPr>
      <w:r>
        <w:rPr>
          <w:b/>
          <w:color w:val="231F20"/>
        </w:rPr>
        <w:t xml:space="preserve">Person </w:t>
      </w:r>
      <w:r>
        <w:rPr>
          <w:color w:val="231F20"/>
        </w:rPr>
        <w:t>means an individual, partnership, joint venture, corporation, mutual company, joint-stock company, trust, estate, unincorporated organization, association, or employee organization.</w:t>
      </w:r>
    </w:p>
    <w:p w:rsidR="005D3966" w:rsidRDefault="005D3966" w14:paraId="7A9F9186" w14:textId="77777777">
      <w:pPr>
        <w:pStyle w:val="BodyText"/>
        <w:rPr>
          <w:sz w:val="20"/>
        </w:rPr>
      </w:pPr>
    </w:p>
    <w:p w:rsidR="005D3966" w:rsidRDefault="005D3966" w14:paraId="569EA9FB" w14:textId="77777777">
      <w:pPr>
        <w:pStyle w:val="BodyText"/>
        <w:rPr>
          <w:sz w:val="20"/>
        </w:rPr>
      </w:pPr>
    </w:p>
    <w:p w:rsidR="005D3966" w:rsidRDefault="004C650B" w14:paraId="1FEBD608" w14:textId="77777777">
      <w:pPr>
        <w:pStyle w:val="BodyText"/>
        <w:spacing w:before="8"/>
        <w:rPr>
          <w:sz w:val="10"/>
        </w:rPr>
      </w:pPr>
      <w:r>
        <w:pict w14:anchorId="17ED9AEF">
          <v:rect id="_x0000_s1032" style="position:absolute;margin-left:57.6pt;margin-top:8.15pt;width:2in;height:.6pt;z-index:-15727616;mso-wrap-distance-left:0;mso-wrap-distance-right:0;mso-position-horizontal-relative:page" fillcolor="black" stroked="f">
            <w10:wrap type="topAndBottom" anchorx="page"/>
          </v:rect>
        </w:pict>
      </w:r>
    </w:p>
    <w:p w:rsidR="005D3966" w:rsidRDefault="001C5FE1" w14:paraId="357EAE33" w14:textId="77777777">
      <w:pPr>
        <w:spacing w:before="65"/>
        <w:ind w:left="452"/>
        <w:rPr>
          <w:sz w:val="20"/>
        </w:rPr>
      </w:pPr>
      <w:bookmarkStart w:name="_bookmark0" w:id="12"/>
      <w:bookmarkEnd w:id="12"/>
      <w:r>
        <w:rPr>
          <w:sz w:val="20"/>
          <w:vertAlign w:val="superscript"/>
        </w:rPr>
        <w:t>1</w:t>
      </w:r>
      <w:r>
        <w:rPr>
          <w:sz w:val="20"/>
        </w:rPr>
        <w:t xml:space="preserve"> Earnings before interest, taxes, depreciation, and amortization.</w:t>
      </w:r>
    </w:p>
    <w:p w:rsidR="005D3966" w:rsidRDefault="005D3966" w14:paraId="57EDA455" w14:textId="77777777">
      <w:pPr>
        <w:rPr>
          <w:sz w:val="20"/>
        </w:rPr>
        <w:sectPr w:rsidR="005D3966">
          <w:pgSz w:w="12240" w:h="15840"/>
          <w:pgMar w:top="1060" w:right="660" w:bottom="860" w:left="700" w:header="318" w:footer="671" w:gutter="0"/>
          <w:cols w:space="720"/>
        </w:sectPr>
      </w:pPr>
    </w:p>
    <w:p w:rsidR="005D3966" w:rsidRDefault="001C5FE1" w14:paraId="52C6277F" w14:textId="77777777">
      <w:pPr>
        <w:pStyle w:val="BodyText"/>
        <w:spacing w:before="88" w:line="249" w:lineRule="auto"/>
        <w:ind w:left="632" w:right="570"/>
      </w:pPr>
      <w:r>
        <w:rPr>
          <w:b/>
          <w:color w:val="231F20"/>
        </w:rPr>
        <w:lastRenderedPageBreak/>
        <w:t xml:space="preserve">Public company </w:t>
      </w:r>
      <w:r>
        <w:rPr>
          <w:color w:val="231F20"/>
        </w:rPr>
        <w:t>means a person subject to the reporting requirements of section 13 or section 15(d) of the Securities Exchange Act of 1934 or a subsidiary (as defined for purposes of the Securities Exchange Act of 1934) of a person subject to such reporting requirements.</w:t>
      </w:r>
    </w:p>
    <w:p w:rsidR="005D3966" w:rsidRDefault="005D3966" w14:paraId="16E60C14" w14:textId="77777777">
      <w:pPr>
        <w:pStyle w:val="BodyText"/>
        <w:spacing w:before="7"/>
      </w:pPr>
    </w:p>
    <w:p w:rsidR="005D3966" w:rsidRDefault="001C5FE1" w14:paraId="126A260C" w14:textId="77777777">
      <w:pPr>
        <w:pStyle w:val="BodyText"/>
        <w:spacing w:before="1" w:line="249" w:lineRule="auto"/>
        <w:ind w:left="632" w:right="588"/>
        <w:jc w:val="both"/>
      </w:pPr>
      <w:r>
        <w:rPr>
          <w:b/>
          <w:color w:val="231F20"/>
        </w:rPr>
        <w:t xml:space="preserve">Single-employer plan </w:t>
      </w:r>
      <w:r>
        <w:rPr>
          <w:color w:val="231F20"/>
        </w:rPr>
        <w:t>means any defined benefit plan (as defined in section 3(35) of ERISA) that is not a multiemployer plan (as defined in section 4001(a)(3) of ERISA) and that is covered by title IV of ERISA.</w:t>
      </w:r>
    </w:p>
    <w:p w:rsidR="005D3966" w:rsidRDefault="005D3966" w14:paraId="0D42587A" w14:textId="77777777">
      <w:pPr>
        <w:pStyle w:val="BodyText"/>
        <w:rPr>
          <w:sz w:val="25"/>
        </w:rPr>
      </w:pPr>
    </w:p>
    <w:p w:rsidR="005D3966" w:rsidRDefault="001C5FE1" w14:paraId="45490A0D" w14:textId="77777777">
      <w:pPr>
        <w:pStyle w:val="BodyText"/>
        <w:spacing w:before="1" w:line="247" w:lineRule="auto"/>
        <w:ind w:left="631" w:right="1178"/>
      </w:pPr>
      <w:r>
        <w:rPr>
          <w:b/>
          <w:color w:val="231F20"/>
        </w:rPr>
        <w:t xml:space="preserve">Variable-rate premium </w:t>
      </w:r>
      <w:r>
        <w:rPr>
          <w:color w:val="231F20"/>
        </w:rPr>
        <w:t>means the portion of the single-employer premium based on a plan’s unfunded vested benefits.</w:t>
      </w:r>
    </w:p>
    <w:p w:rsidR="005D3966" w:rsidRDefault="005D3966" w14:paraId="1E136460" w14:textId="77777777">
      <w:pPr>
        <w:pStyle w:val="BodyText"/>
        <w:spacing w:before="5"/>
        <w:rPr>
          <w:sz w:val="25"/>
        </w:rPr>
      </w:pPr>
    </w:p>
    <w:p w:rsidR="005D3966" w:rsidRDefault="001C5FE1" w14:paraId="68FE6D92" w14:textId="77777777">
      <w:pPr>
        <w:pStyle w:val="BodyText"/>
        <w:ind w:left="631"/>
      </w:pPr>
      <w:r>
        <w:rPr>
          <w:b/>
          <w:color w:val="231F20"/>
        </w:rPr>
        <w:t xml:space="preserve">U.S. entity </w:t>
      </w:r>
      <w:r>
        <w:rPr>
          <w:color w:val="231F20"/>
        </w:rPr>
        <w:t>means an entity subject to the personal jurisdiction of the U.S. district courts.</w:t>
      </w:r>
    </w:p>
    <w:p w:rsidR="005D3966" w:rsidRDefault="005D3966" w14:paraId="03BE6ACF" w14:textId="77777777">
      <w:pPr>
        <w:pStyle w:val="BodyText"/>
        <w:spacing w:before="1"/>
        <w:rPr>
          <w:sz w:val="26"/>
        </w:rPr>
      </w:pPr>
    </w:p>
    <w:p w:rsidR="005D3966" w:rsidRDefault="001C5FE1" w14:paraId="3B1448D6" w14:textId="77777777">
      <w:pPr>
        <w:pStyle w:val="BodyText"/>
        <w:spacing w:line="247" w:lineRule="auto"/>
        <w:ind w:left="632" w:right="629"/>
        <w:jc w:val="both"/>
      </w:pPr>
      <w:r>
        <w:rPr>
          <w:b/>
          <w:color w:val="231F20"/>
        </w:rPr>
        <w:t xml:space="preserve">Well-funded plan safe harbor </w:t>
      </w:r>
      <w:r>
        <w:rPr>
          <w:color w:val="231F20"/>
        </w:rPr>
        <w:t>means that a plan is in the well-funded plan safe harbor for an event year if no variable-rate premium was required to be paid for the plan for the plan year preceding the event year.</w:t>
      </w:r>
    </w:p>
    <w:p w:rsidR="005D3966" w:rsidRDefault="005D3966" w14:paraId="143B1814" w14:textId="77777777">
      <w:pPr>
        <w:spacing w:line="247" w:lineRule="auto"/>
        <w:jc w:val="both"/>
        <w:sectPr w:rsidR="005D3966">
          <w:pgSz w:w="12240" w:h="15840"/>
          <w:pgMar w:top="1060" w:right="660" w:bottom="860" w:left="700" w:header="318" w:footer="671" w:gutter="0"/>
          <w:cols w:space="720"/>
        </w:sectPr>
      </w:pPr>
    </w:p>
    <w:p w:rsidR="005D3966" w:rsidRDefault="001C5FE1" w14:paraId="3A17850B" w14:textId="77777777">
      <w:pPr>
        <w:pStyle w:val="Heading1"/>
        <w:spacing w:before="190"/>
        <w:ind w:left="593"/>
      </w:pPr>
      <w:r>
        <w:rPr>
          <w:color w:val="231F20"/>
        </w:rPr>
        <w:lastRenderedPageBreak/>
        <w:t>PART III - SPECIFIC INSTRUCTIONS</w:t>
      </w:r>
    </w:p>
    <w:p w:rsidR="005D3966" w:rsidRDefault="005D3966" w14:paraId="3357BF4E" w14:textId="77777777">
      <w:pPr>
        <w:pStyle w:val="BodyText"/>
        <w:spacing w:before="11"/>
        <w:rPr>
          <w:rFonts w:ascii="Arial"/>
          <w:b/>
          <w:sz w:val="25"/>
        </w:rPr>
      </w:pPr>
    </w:p>
    <w:p w:rsidR="005D3966" w:rsidRDefault="001C5FE1" w14:paraId="4852D1AD" w14:textId="77777777">
      <w:pPr>
        <w:pStyle w:val="BodyText"/>
        <w:spacing w:line="247" w:lineRule="auto"/>
        <w:ind w:left="593" w:right="569"/>
      </w:pPr>
      <w:r>
        <w:rPr>
          <w:color w:val="231F20"/>
        </w:rPr>
        <w:t>Please include the following information for all reportable events. See each reportable event listed below for event-specific information required:</w:t>
      </w:r>
    </w:p>
    <w:p w:rsidR="005D3966" w:rsidRDefault="001C5FE1" w14:paraId="2C42B87C" w14:textId="77777777">
      <w:pPr>
        <w:pStyle w:val="ListParagraph"/>
        <w:numPr>
          <w:ilvl w:val="0"/>
          <w:numId w:val="27"/>
        </w:numPr>
        <w:tabs>
          <w:tab w:val="left" w:pos="951"/>
          <w:tab w:val="left" w:pos="952"/>
        </w:tabs>
        <w:spacing w:before="173"/>
        <w:ind w:left="951" w:hanging="359"/>
        <w:rPr>
          <w:rFonts w:ascii="Symbol" w:hAnsi="Symbol"/>
          <w:sz w:val="24"/>
        </w:rPr>
      </w:pPr>
      <w:r>
        <w:rPr>
          <w:color w:val="231F20"/>
          <w:sz w:val="24"/>
        </w:rPr>
        <w:t>The name of the</w:t>
      </w:r>
      <w:r>
        <w:rPr>
          <w:color w:val="231F20"/>
          <w:spacing w:val="-5"/>
          <w:sz w:val="24"/>
        </w:rPr>
        <w:t xml:space="preserve"> </w:t>
      </w:r>
      <w:r>
        <w:rPr>
          <w:color w:val="231F20"/>
          <w:sz w:val="24"/>
        </w:rPr>
        <w:t>plan.</w:t>
      </w:r>
    </w:p>
    <w:p w:rsidR="005D3966" w:rsidRDefault="001C5FE1" w14:paraId="16AC3056" w14:textId="77777777">
      <w:pPr>
        <w:pStyle w:val="ListParagraph"/>
        <w:numPr>
          <w:ilvl w:val="0"/>
          <w:numId w:val="27"/>
        </w:numPr>
        <w:tabs>
          <w:tab w:val="left" w:pos="951"/>
          <w:tab w:val="left" w:pos="952"/>
        </w:tabs>
        <w:spacing w:before="13" w:line="244" w:lineRule="auto"/>
        <w:ind w:left="953" w:right="878"/>
        <w:rPr>
          <w:rFonts w:ascii="Symbol" w:hAnsi="Symbol"/>
          <w:sz w:val="24"/>
        </w:rPr>
      </w:pPr>
      <w:r>
        <w:rPr>
          <w:color w:val="231F20"/>
          <w:sz w:val="24"/>
        </w:rPr>
        <w:t>The</w:t>
      </w:r>
      <w:r>
        <w:rPr>
          <w:color w:val="231F20"/>
          <w:spacing w:val="-3"/>
          <w:sz w:val="24"/>
        </w:rPr>
        <w:t xml:space="preserve"> </w:t>
      </w:r>
      <w:r>
        <w:rPr>
          <w:color w:val="231F20"/>
          <w:sz w:val="24"/>
        </w:rPr>
        <w:t>name</w:t>
      </w:r>
      <w:r>
        <w:rPr>
          <w:color w:val="231F20"/>
          <w:spacing w:val="-2"/>
          <w:sz w:val="24"/>
        </w:rPr>
        <w:t xml:space="preserve"> </w:t>
      </w:r>
      <w:r>
        <w:rPr>
          <w:color w:val="231F20"/>
          <w:sz w:val="24"/>
        </w:rPr>
        <w:t>and</w:t>
      </w:r>
      <w:r>
        <w:rPr>
          <w:color w:val="231F20"/>
          <w:spacing w:val="1"/>
          <w:sz w:val="24"/>
        </w:rPr>
        <w:t xml:space="preserve"> </w:t>
      </w:r>
      <w:r>
        <w:rPr>
          <w:color w:val="231F20"/>
          <w:sz w:val="24"/>
        </w:rPr>
        <w:t>address</w:t>
      </w:r>
      <w:r>
        <w:rPr>
          <w:color w:val="231F20"/>
          <w:spacing w:val="-1"/>
          <w:sz w:val="24"/>
        </w:rPr>
        <w:t xml:space="preserve"> </w:t>
      </w:r>
      <w:r>
        <w:rPr>
          <w:color w:val="231F20"/>
          <w:sz w:val="24"/>
        </w:rPr>
        <w:t>of the</w:t>
      </w:r>
      <w:r>
        <w:rPr>
          <w:color w:val="231F20"/>
          <w:spacing w:val="-2"/>
          <w:sz w:val="24"/>
        </w:rPr>
        <w:t xml:space="preserve"> </w:t>
      </w:r>
      <w:r>
        <w:rPr>
          <w:color w:val="231F20"/>
          <w:sz w:val="24"/>
        </w:rPr>
        <w:t>filer</w:t>
      </w:r>
      <w:r>
        <w:rPr>
          <w:color w:val="231F20"/>
          <w:spacing w:val="-2"/>
          <w:sz w:val="24"/>
        </w:rPr>
        <w:t xml:space="preserve"> </w:t>
      </w:r>
      <w:r>
        <w:rPr>
          <w:color w:val="231F20"/>
          <w:sz w:val="24"/>
        </w:rPr>
        <w:t>and</w:t>
      </w:r>
      <w:r>
        <w:rPr>
          <w:color w:val="231F20"/>
          <w:spacing w:val="-1"/>
          <w:sz w:val="24"/>
        </w:rPr>
        <w:t xml:space="preserve"> </w:t>
      </w:r>
      <w:r>
        <w:rPr>
          <w:color w:val="231F20"/>
          <w:sz w:val="24"/>
        </w:rPr>
        <w:t>whether</w:t>
      </w:r>
      <w:r>
        <w:rPr>
          <w:color w:val="231F20"/>
          <w:spacing w:val="-2"/>
          <w:sz w:val="24"/>
        </w:rPr>
        <w:t xml:space="preserve"> </w:t>
      </w:r>
      <w:r>
        <w:rPr>
          <w:color w:val="231F20"/>
          <w:sz w:val="24"/>
        </w:rPr>
        <w:t>the</w:t>
      </w:r>
      <w:r>
        <w:rPr>
          <w:color w:val="231F20"/>
          <w:spacing w:val="-12"/>
          <w:sz w:val="24"/>
        </w:rPr>
        <w:t xml:space="preserve"> </w:t>
      </w:r>
      <w:r>
        <w:rPr>
          <w:color w:val="231F20"/>
          <w:sz w:val="24"/>
        </w:rPr>
        <w:t>filer</w:t>
      </w:r>
      <w:r>
        <w:rPr>
          <w:color w:val="231F20"/>
          <w:spacing w:val="-17"/>
          <w:sz w:val="24"/>
        </w:rPr>
        <w:t xml:space="preserve"> </w:t>
      </w:r>
      <w:r>
        <w:rPr>
          <w:color w:val="231F20"/>
          <w:sz w:val="24"/>
        </w:rPr>
        <w:t>is</w:t>
      </w:r>
      <w:r>
        <w:rPr>
          <w:color w:val="231F20"/>
          <w:spacing w:val="-13"/>
          <w:sz w:val="24"/>
        </w:rPr>
        <w:t xml:space="preserve"> </w:t>
      </w:r>
      <w:r>
        <w:rPr>
          <w:color w:val="231F20"/>
          <w:sz w:val="24"/>
        </w:rPr>
        <w:t>the</w:t>
      </w:r>
      <w:r>
        <w:rPr>
          <w:color w:val="231F20"/>
          <w:spacing w:val="-17"/>
          <w:sz w:val="24"/>
        </w:rPr>
        <w:t xml:space="preserve"> </w:t>
      </w:r>
      <w:r>
        <w:rPr>
          <w:color w:val="231F20"/>
          <w:sz w:val="24"/>
        </w:rPr>
        <w:t>plan</w:t>
      </w:r>
      <w:r>
        <w:rPr>
          <w:color w:val="231F20"/>
          <w:spacing w:val="-13"/>
          <w:sz w:val="24"/>
        </w:rPr>
        <w:t xml:space="preserve"> </w:t>
      </w:r>
      <w:r>
        <w:rPr>
          <w:color w:val="231F20"/>
          <w:sz w:val="24"/>
        </w:rPr>
        <w:t>administrator</w:t>
      </w:r>
      <w:r>
        <w:rPr>
          <w:color w:val="231F20"/>
          <w:spacing w:val="-16"/>
          <w:sz w:val="24"/>
        </w:rPr>
        <w:t xml:space="preserve"> </w:t>
      </w:r>
      <w:r>
        <w:rPr>
          <w:color w:val="231F20"/>
          <w:sz w:val="24"/>
        </w:rPr>
        <w:t>or</w:t>
      </w:r>
      <w:r>
        <w:rPr>
          <w:color w:val="231F20"/>
          <w:spacing w:val="-17"/>
          <w:sz w:val="24"/>
        </w:rPr>
        <w:t xml:space="preserve"> </w:t>
      </w:r>
      <w:r>
        <w:rPr>
          <w:color w:val="231F20"/>
          <w:sz w:val="24"/>
        </w:rPr>
        <w:t>contributing sponsor.</w:t>
      </w:r>
    </w:p>
    <w:p w:rsidR="005D3966" w:rsidRDefault="001C5FE1" w14:paraId="66C70B10" w14:textId="77777777">
      <w:pPr>
        <w:pStyle w:val="ListParagraph"/>
        <w:numPr>
          <w:ilvl w:val="0"/>
          <w:numId w:val="27"/>
        </w:numPr>
        <w:tabs>
          <w:tab w:val="left" w:pos="951"/>
          <w:tab w:val="left" w:pos="952"/>
        </w:tabs>
        <w:spacing w:before="9" w:line="247" w:lineRule="auto"/>
        <w:ind w:left="953" w:right="786"/>
        <w:rPr>
          <w:rFonts w:ascii="Symbol" w:hAnsi="Symbol"/>
          <w:sz w:val="24"/>
        </w:rPr>
      </w:pPr>
      <w:r>
        <w:rPr>
          <w:color w:val="231F20"/>
          <w:sz w:val="24"/>
        </w:rPr>
        <w:t>The</w:t>
      </w:r>
      <w:r>
        <w:rPr>
          <w:color w:val="231F20"/>
          <w:spacing w:val="-19"/>
          <w:sz w:val="24"/>
        </w:rPr>
        <w:t xml:space="preserve"> </w:t>
      </w:r>
      <w:r>
        <w:rPr>
          <w:color w:val="231F20"/>
          <w:sz w:val="24"/>
        </w:rPr>
        <w:t>name,</w:t>
      </w:r>
      <w:r>
        <w:rPr>
          <w:color w:val="231F20"/>
          <w:spacing w:val="-14"/>
          <w:sz w:val="24"/>
        </w:rPr>
        <w:t xml:space="preserve"> </w:t>
      </w:r>
      <w:r>
        <w:rPr>
          <w:color w:val="231F20"/>
          <w:sz w:val="24"/>
        </w:rPr>
        <w:t>title,</w:t>
      </w:r>
      <w:r>
        <w:rPr>
          <w:color w:val="231F20"/>
          <w:spacing w:val="-18"/>
          <w:sz w:val="24"/>
        </w:rPr>
        <w:t xml:space="preserve"> </w:t>
      </w:r>
      <w:r>
        <w:rPr>
          <w:color w:val="231F20"/>
          <w:sz w:val="24"/>
        </w:rPr>
        <w:t>e-mail</w:t>
      </w:r>
      <w:r>
        <w:rPr>
          <w:color w:val="231F20"/>
          <w:spacing w:val="-15"/>
          <w:sz w:val="24"/>
        </w:rPr>
        <w:t xml:space="preserve"> </w:t>
      </w:r>
      <w:r>
        <w:rPr>
          <w:color w:val="231F20"/>
          <w:sz w:val="24"/>
        </w:rPr>
        <w:t>address,</w:t>
      </w:r>
      <w:r>
        <w:rPr>
          <w:color w:val="231F20"/>
          <w:spacing w:val="-16"/>
          <w:sz w:val="24"/>
        </w:rPr>
        <w:t xml:space="preserve"> </w:t>
      </w:r>
      <w:r>
        <w:rPr>
          <w:color w:val="231F20"/>
          <w:sz w:val="24"/>
        </w:rPr>
        <w:t>and</w:t>
      </w:r>
      <w:r>
        <w:rPr>
          <w:color w:val="231F20"/>
          <w:spacing w:val="-13"/>
          <w:sz w:val="24"/>
        </w:rPr>
        <w:t xml:space="preserve"> </w:t>
      </w:r>
      <w:r>
        <w:rPr>
          <w:color w:val="231F20"/>
          <w:sz w:val="24"/>
        </w:rPr>
        <w:t>phone</w:t>
      </w:r>
      <w:r>
        <w:rPr>
          <w:color w:val="231F20"/>
          <w:spacing w:val="-19"/>
          <w:sz w:val="24"/>
        </w:rPr>
        <w:t xml:space="preserve"> </w:t>
      </w:r>
      <w:r>
        <w:rPr>
          <w:color w:val="231F20"/>
          <w:sz w:val="24"/>
        </w:rPr>
        <w:t>number</w:t>
      </w:r>
      <w:r>
        <w:rPr>
          <w:color w:val="231F20"/>
          <w:spacing w:val="3"/>
          <w:sz w:val="24"/>
        </w:rPr>
        <w:t xml:space="preserve"> </w:t>
      </w:r>
      <w:r>
        <w:rPr>
          <w:color w:val="231F20"/>
          <w:sz w:val="24"/>
        </w:rPr>
        <w:t>of</w:t>
      </w:r>
      <w:r>
        <w:rPr>
          <w:color w:val="231F20"/>
          <w:spacing w:val="-2"/>
          <w:sz w:val="24"/>
        </w:rPr>
        <w:t xml:space="preserve"> </w:t>
      </w:r>
      <w:r>
        <w:rPr>
          <w:color w:val="231F20"/>
          <w:sz w:val="24"/>
        </w:rPr>
        <w:t>an</w:t>
      </w:r>
      <w:r>
        <w:rPr>
          <w:color w:val="231F20"/>
          <w:spacing w:val="-2"/>
          <w:sz w:val="24"/>
        </w:rPr>
        <w:t xml:space="preserve"> </w:t>
      </w:r>
      <w:r>
        <w:rPr>
          <w:color w:val="231F20"/>
          <w:sz w:val="24"/>
        </w:rPr>
        <w:t>individual</w:t>
      </w:r>
      <w:r>
        <w:rPr>
          <w:color w:val="231F20"/>
          <w:spacing w:val="-1"/>
          <w:sz w:val="24"/>
        </w:rPr>
        <w:t xml:space="preserve"> </w:t>
      </w:r>
      <w:r>
        <w:rPr>
          <w:color w:val="231F20"/>
          <w:sz w:val="24"/>
        </w:rPr>
        <w:t>whom</w:t>
      </w:r>
      <w:r>
        <w:rPr>
          <w:color w:val="231F20"/>
          <w:spacing w:val="-2"/>
          <w:sz w:val="24"/>
        </w:rPr>
        <w:t xml:space="preserve"> </w:t>
      </w:r>
      <w:r>
        <w:rPr>
          <w:color w:val="231F20"/>
          <w:sz w:val="24"/>
        </w:rPr>
        <w:t>PBGC</w:t>
      </w:r>
      <w:r>
        <w:rPr>
          <w:color w:val="231F20"/>
          <w:spacing w:val="-1"/>
          <w:sz w:val="24"/>
        </w:rPr>
        <w:t xml:space="preserve"> </w:t>
      </w:r>
      <w:r>
        <w:rPr>
          <w:color w:val="231F20"/>
          <w:sz w:val="24"/>
        </w:rPr>
        <w:t>should</w:t>
      </w:r>
      <w:r>
        <w:rPr>
          <w:color w:val="231F20"/>
          <w:spacing w:val="-1"/>
          <w:sz w:val="24"/>
        </w:rPr>
        <w:t xml:space="preserve"> </w:t>
      </w:r>
      <w:proofErr w:type="gramStart"/>
      <w:r>
        <w:rPr>
          <w:color w:val="231F20"/>
          <w:sz w:val="24"/>
        </w:rPr>
        <w:t>contact with</w:t>
      </w:r>
      <w:proofErr w:type="gramEnd"/>
      <w:r>
        <w:rPr>
          <w:color w:val="231F20"/>
          <w:sz w:val="24"/>
        </w:rPr>
        <w:t xml:space="preserve"> questions about the</w:t>
      </w:r>
      <w:r>
        <w:rPr>
          <w:color w:val="231F20"/>
          <w:spacing w:val="-17"/>
          <w:sz w:val="24"/>
        </w:rPr>
        <w:t xml:space="preserve"> </w:t>
      </w:r>
      <w:r>
        <w:rPr>
          <w:color w:val="231F20"/>
          <w:sz w:val="24"/>
        </w:rPr>
        <w:t>filing.</w:t>
      </w:r>
    </w:p>
    <w:p w:rsidR="005D3966" w:rsidRDefault="001C5FE1" w14:paraId="7D004B03" w14:textId="77777777">
      <w:pPr>
        <w:pStyle w:val="ListParagraph"/>
        <w:numPr>
          <w:ilvl w:val="0"/>
          <w:numId w:val="27"/>
        </w:numPr>
        <w:tabs>
          <w:tab w:val="left" w:pos="951"/>
          <w:tab w:val="left" w:pos="952"/>
        </w:tabs>
        <w:spacing w:before="3" w:line="247" w:lineRule="auto"/>
        <w:ind w:left="953" w:right="586"/>
        <w:rPr>
          <w:rFonts w:ascii="Symbol" w:hAnsi="Symbol"/>
          <w:sz w:val="24"/>
        </w:rPr>
      </w:pPr>
      <w:r>
        <w:rPr>
          <w:color w:val="231F20"/>
          <w:sz w:val="24"/>
        </w:rPr>
        <w:t>The EIN/PN reported should be the EIN/PN most recently reported for a PBGC premium filing (if applicable). If the plan has never made a PBGC premium filing, enter the EIN assigned to the contributing sponsor by the IRS for income tax purposes and the PN assigned by the contributing sponsor.</w:t>
      </w:r>
    </w:p>
    <w:p w:rsidR="005D3966" w:rsidRDefault="001C5FE1" w14:paraId="0F4AA901" w14:textId="77777777">
      <w:pPr>
        <w:pStyle w:val="ListParagraph"/>
        <w:numPr>
          <w:ilvl w:val="0"/>
          <w:numId w:val="27"/>
        </w:numPr>
        <w:tabs>
          <w:tab w:val="left" w:pos="951"/>
          <w:tab w:val="left" w:pos="952"/>
        </w:tabs>
        <w:spacing w:before="9"/>
        <w:ind w:left="951" w:hanging="359"/>
        <w:rPr>
          <w:rFonts w:ascii="Symbol" w:hAnsi="Symbol"/>
          <w:sz w:val="24"/>
        </w:rPr>
      </w:pPr>
      <w:r>
        <w:rPr>
          <w:color w:val="231F20"/>
          <w:sz w:val="24"/>
        </w:rPr>
        <w:t>The type of event that occurred (indicated by marking the appropriate</w:t>
      </w:r>
      <w:r>
        <w:rPr>
          <w:color w:val="231F20"/>
          <w:spacing w:val="-5"/>
          <w:sz w:val="24"/>
        </w:rPr>
        <w:t xml:space="preserve"> </w:t>
      </w:r>
      <w:r>
        <w:rPr>
          <w:color w:val="231F20"/>
          <w:sz w:val="24"/>
        </w:rPr>
        <w:t>box).</w:t>
      </w:r>
    </w:p>
    <w:p w:rsidR="005D3966" w:rsidRDefault="001C5FE1" w14:paraId="3E424908" w14:textId="77777777">
      <w:pPr>
        <w:pStyle w:val="ListParagraph"/>
        <w:numPr>
          <w:ilvl w:val="0"/>
          <w:numId w:val="27"/>
        </w:numPr>
        <w:tabs>
          <w:tab w:val="left" w:pos="951"/>
          <w:tab w:val="left" w:pos="952"/>
        </w:tabs>
        <w:spacing w:before="10"/>
        <w:ind w:left="951" w:hanging="359"/>
        <w:rPr>
          <w:rFonts w:ascii="Symbol" w:hAnsi="Symbol"/>
          <w:sz w:val="24"/>
        </w:rPr>
      </w:pPr>
      <w:r>
        <w:rPr>
          <w:color w:val="231F20"/>
          <w:sz w:val="24"/>
        </w:rPr>
        <w:t>A brief statement of the pertinent facts relating to the reportable</w:t>
      </w:r>
      <w:r>
        <w:rPr>
          <w:color w:val="231F20"/>
          <w:spacing w:val="-7"/>
          <w:sz w:val="24"/>
        </w:rPr>
        <w:t xml:space="preserve"> </w:t>
      </w:r>
      <w:r>
        <w:rPr>
          <w:color w:val="231F20"/>
          <w:sz w:val="24"/>
        </w:rPr>
        <w:t>event.</w:t>
      </w:r>
    </w:p>
    <w:p w:rsidR="005D3966" w:rsidRDefault="001C5FE1" w14:paraId="0FF87E31" w14:textId="77777777">
      <w:pPr>
        <w:pStyle w:val="ListParagraph"/>
        <w:numPr>
          <w:ilvl w:val="0"/>
          <w:numId w:val="27"/>
        </w:numPr>
        <w:tabs>
          <w:tab w:val="left" w:pos="951"/>
          <w:tab w:val="left" w:pos="952"/>
        </w:tabs>
        <w:spacing w:before="11" w:line="244" w:lineRule="auto"/>
        <w:ind w:left="953" w:right="730"/>
        <w:rPr>
          <w:rFonts w:ascii="Symbol" w:hAnsi="Symbol"/>
          <w:sz w:val="24"/>
        </w:rPr>
      </w:pPr>
      <w:r>
        <w:rPr>
          <w:color w:val="231F20"/>
          <w:sz w:val="24"/>
        </w:rPr>
        <w:t>Information required to be filed for each type of event (check all boxes for information</w:t>
      </w:r>
      <w:r>
        <w:rPr>
          <w:color w:val="231F20"/>
          <w:spacing w:val="-25"/>
          <w:sz w:val="24"/>
        </w:rPr>
        <w:t xml:space="preserve"> </w:t>
      </w:r>
      <w:r>
        <w:rPr>
          <w:color w:val="231F20"/>
          <w:sz w:val="24"/>
        </w:rPr>
        <w:t>attached to the</w:t>
      </w:r>
      <w:r>
        <w:rPr>
          <w:color w:val="231F20"/>
          <w:spacing w:val="43"/>
          <w:sz w:val="24"/>
        </w:rPr>
        <w:t xml:space="preserve"> </w:t>
      </w:r>
      <w:r>
        <w:rPr>
          <w:color w:val="231F20"/>
          <w:sz w:val="24"/>
        </w:rPr>
        <w:t>form).</w:t>
      </w:r>
    </w:p>
    <w:p w:rsidR="005D3966" w:rsidRDefault="001C5FE1" w14:paraId="4B0DDFD0" w14:textId="77777777">
      <w:pPr>
        <w:pStyle w:val="ListParagraph"/>
        <w:numPr>
          <w:ilvl w:val="0"/>
          <w:numId w:val="27"/>
        </w:numPr>
        <w:tabs>
          <w:tab w:val="left" w:pos="951"/>
          <w:tab w:val="left" w:pos="952"/>
        </w:tabs>
        <w:spacing w:before="7"/>
        <w:ind w:left="951" w:hanging="359"/>
        <w:rPr>
          <w:rFonts w:ascii="Symbol" w:hAnsi="Symbol"/>
          <w:sz w:val="24"/>
        </w:rPr>
      </w:pPr>
      <w:r>
        <w:rPr>
          <w:color w:val="231F20"/>
          <w:sz w:val="24"/>
        </w:rPr>
        <w:t>An</w:t>
      </w:r>
      <w:r>
        <w:rPr>
          <w:color w:val="231F20"/>
          <w:spacing w:val="-6"/>
          <w:sz w:val="24"/>
        </w:rPr>
        <w:t xml:space="preserve"> </w:t>
      </w:r>
      <w:r>
        <w:rPr>
          <w:color w:val="231F20"/>
          <w:sz w:val="24"/>
        </w:rPr>
        <w:t>explanation</w:t>
      </w:r>
      <w:r>
        <w:rPr>
          <w:color w:val="231F20"/>
          <w:spacing w:val="-5"/>
          <w:sz w:val="24"/>
        </w:rPr>
        <w:t xml:space="preserve"> </w:t>
      </w:r>
      <w:r>
        <w:rPr>
          <w:color w:val="231F20"/>
          <w:sz w:val="24"/>
        </w:rPr>
        <w:t>of</w:t>
      </w:r>
      <w:r>
        <w:rPr>
          <w:color w:val="231F20"/>
          <w:spacing w:val="-8"/>
          <w:sz w:val="24"/>
        </w:rPr>
        <w:t xml:space="preserve"> </w:t>
      </w:r>
      <w:r>
        <w:rPr>
          <w:color w:val="231F20"/>
          <w:sz w:val="24"/>
        </w:rPr>
        <w:t>any</w:t>
      </w:r>
      <w:r>
        <w:rPr>
          <w:color w:val="231F20"/>
          <w:spacing w:val="-12"/>
          <w:sz w:val="24"/>
        </w:rPr>
        <w:t xml:space="preserve"> </w:t>
      </w:r>
      <w:r>
        <w:rPr>
          <w:color w:val="231F20"/>
          <w:sz w:val="24"/>
        </w:rPr>
        <w:t>information</w:t>
      </w:r>
      <w:r>
        <w:rPr>
          <w:color w:val="231F20"/>
          <w:spacing w:val="-11"/>
          <w:sz w:val="24"/>
        </w:rPr>
        <w:t xml:space="preserve"> </w:t>
      </w:r>
      <w:r>
        <w:rPr>
          <w:color w:val="231F20"/>
          <w:sz w:val="24"/>
        </w:rPr>
        <w:t>required</w:t>
      </w:r>
      <w:r>
        <w:rPr>
          <w:color w:val="231F20"/>
          <w:spacing w:val="-3"/>
          <w:sz w:val="24"/>
        </w:rPr>
        <w:t xml:space="preserve"> </w:t>
      </w:r>
      <w:r>
        <w:rPr>
          <w:color w:val="231F20"/>
          <w:sz w:val="24"/>
        </w:rPr>
        <w:t>to</w:t>
      </w:r>
      <w:r>
        <w:rPr>
          <w:color w:val="231F20"/>
          <w:spacing w:val="-8"/>
          <w:sz w:val="24"/>
        </w:rPr>
        <w:t xml:space="preserve"> </w:t>
      </w:r>
      <w:r>
        <w:rPr>
          <w:color w:val="231F20"/>
          <w:sz w:val="24"/>
        </w:rPr>
        <w:t>be</w:t>
      </w:r>
      <w:r>
        <w:rPr>
          <w:color w:val="231F20"/>
          <w:spacing w:val="-1"/>
          <w:sz w:val="24"/>
        </w:rPr>
        <w:t xml:space="preserve"> </w:t>
      </w:r>
      <w:r>
        <w:rPr>
          <w:color w:val="231F20"/>
          <w:sz w:val="24"/>
        </w:rPr>
        <w:t>filed but</w:t>
      </w:r>
      <w:r>
        <w:rPr>
          <w:color w:val="231F20"/>
          <w:spacing w:val="-1"/>
          <w:sz w:val="24"/>
        </w:rPr>
        <w:t xml:space="preserve"> </w:t>
      </w:r>
      <w:r>
        <w:rPr>
          <w:color w:val="231F20"/>
          <w:sz w:val="24"/>
        </w:rPr>
        <w:t>missing from the</w:t>
      </w:r>
      <w:r>
        <w:rPr>
          <w:color w:val="231F20"/>
          <w:spacing w:val="-1"/>
          <w:sz w:val="24"/>
        </w:rPr>
        <w:t xml:space="preserve"> </w:t>
      </w:r>
      <w:r>
        <w:rPr>
          <w:color w:val="231F20"/>
          <w:sz w:val="24"/>
        </w:rPr>
        <w:t>filing</w:t>
      </w:r>
      <w:r>
        <w:rPr>
          <w:color w:val="231F20"/>
        </w:rPr>
        <w:t>.</w:t>
      </w:r>
    </w:p>
    <w:p w:rsidR="005D3966" w:rsidRDefault="001C5FE1" w14:paraId="6E500960" w14:textId="77777777">
      <w:pPr>
        <w:pStyle w:val="ListParagraph"/>
        <w:numPr>
          <w:ilvl w:val="0"/>
          <w:numId w:val="27"/>
        </w:numPr>
        <w:tabs>
          <w:tab w:val="left" w:pos="951"/>
          <w:tab w:val="left" w:pos="952"/>
        </w:tabs>
        <w:spacing w:before="8"/>
        <w:ind w:left="951" w:hanging="359"/>
        <w:rPr>
          <w:rFonts w:ascii="Symbol" w:hAnsi="Symbol"/>
          <w:sz w:val="24"/>
        </w:rPr>
      </w:pPr>
      <w:r>
        <w:rPr>
          <w:color w:val="231F20"/>
          <w:sz w:val="24"/>
        </w:rPr>
        <w:t>The date of event, notice due date, and notice filing</w:t>
      </w:r>
      <w:r>
        <w:rPr>
          <w:color w:val="231F20"/>
          <w:spacing w:val="-6"/>
          <w:sz w:val="24"/>
        </w:rPr>
        <w:t xml:space="preserve"> </w:t>
      </w:r>
      <w:r>
        <w:rPr>
          <w:color w:val="231F20"/>
          <w:sz w:val="24"/>
        </w:rPr>
        <w:t>date.</w:t>
      </w:r>
    </w:p>
    <w:p w:rsidR="005D3966" w:rsidRDefault="001C5FE1" w14:paraId="0F848769" w14:textId="77777777">
      <w:pPr>
        <w:pStyle w:val="ListParagraph"/>
        <w:numPr>
          <w:ilvl w:val="0"/>
          <w:numId w:val="27"/>
        </w:numPr>
        <w:tabs>
          <w:tab w:val="left" w:pos="951"/>
          <w:tab w:val="left" w:pos="952"/>
        </w:tabs>
        <w:spacing w:before="11"/>
        <w:ind w:left="953" w:right="1115"/>
        <w:rPr>
          <w:rFonts w:ascii="Symbol" w:hAnsi="Symbol"/>
          <w:sz w:val="24"/>
        </w:rPr>
      </w:pPr>
      <w:r>
        <w:rPr>
          <w:color w:val="231F20"/>
          <w:sz w:val="24"/>
        </w:rPr>
        <w:t>A brief statement describing the extension claimed (i.e., for notice of an active participant reduction event because of attrition or notice of a liquidation event) or reason for late</w:t>
      </w:r>
      <w:r>
        <w:rPr>
          <w:color w:val="231F20"/>
          <w:spacing w:val="-18"/>
          <w:sz w:val="24"/>
        </w:rPr>
        <w:t xml:space="preserve"> </w:t>
      </w:r>
      <w:r>
        <w:rPr>
          <w:color w:val="231F20"/>
          <w:sz w:val="24"/>
        </w:rPr>
        <w:t>filing.</w:t>
      </w:r>
    </w:p>
    <w:p w:rsidR="005D3966" w:rsidRDefault="001C5FE1" w14:paraId="6A4B9165" w14:textId="77777777">
      <w:pPr>
        <w:pStyle w:val="ListParagraph"/>
        <w:numPr>
          <w:ilvl w:val="0"/>
          <w:numId w:val="27"/>
        </w:numPr>
        <w:tabs>
          <w:tab w:val="left" w:pos="951"/>
          <w:tab w:val="left" w:pos="952"/>
        </w:tabs>
        <w:spacing w:line="293" w:lineRule="exact"/>
        <w:ind w:left="951" w:hanging="359"/>
        <w:rPr>
          <w:rFonts w:ascii="Symbol" w:hAnsi="Symbol"/>
          <w:sz w:val="24"/>
        </w:rPr>
      </w:pPr>
      <w:r>
        <w:rPr>
          <w:color w:val="231F20"/>
          <w:sz w:val="24"/>
        </w:rPr>
        <w:t>Certification by the individual submitting the</w:t>
      </w:r>
      <w:r>
        <w:rPr>
          <w:color w:val="231F20"/>
          <w:spacing w:val="-29"/>
          <w:sz w:val="24"/>
        </w:rPr>
        <w:t xml:space="preserve"> </w:t>
      </w:r>
      <w:r>
        <w:rPr>
          <w:color w:val="231F20"/>
          <w:sz w:val="24"/>
        </w:rPr>
        <w:t>form.</w:t>
      </w:r>
    </w:p>
    <w:p w:rsidR="005D3966" w:rsidRDefault="005D3966" w14:paraId="7015D01E" w14:textId="77777777">
      <w:pPr>
        <w:pStyle w:val="BodyText"/>
        <w:spacing w:before="2"/>
        <w:rPr>
          <w:sz w:val="22"/>
        </w:rPr>
      </w:pPr>
    </w:p>
    <w:p w:rsidR="005D3966" w:rsidRDefault="001C5FE1" w14:paraId="0FDDF57B" w14:textId="77777777">
      <w:pPr>
        <w:pStyle w:val="Heading1"/>
        <w:ind w:left="591"/>
      </w:pPr>
      <w:bookmarkStart w:name="Financial_Information" w:id="13"/>
      <w:bookmarkEnd w:id="13"/>
      <w:r>
        <w:rPr>
          <w:color w:val="231F20"/>
        </w:rPr>
        <w:t>Financial Information</w:t>
      </w:r>
    </w:p>
    <w:p w:rsidR="005D3966" w:rsidRDefault="001C5FE1" w14:paraId="511F166C" w14:textId="77777777">
      <w:pPr>
        <w:pStyle w:val="BodyText"/>
        <w:spacing w:before="210"/>
        <w:ind w:left="591"/>
      </w:pPr>
      <w:r>
        <w:rPr>
          <w:color w:val="231F20"/>
        </w:rPr>
        <w:t xml:space="preserve">Please include the following for </w:t>
      </w:r>
      <w:r w:rsidRPr="00770120">
        <w:rPr>
          <w:b/>
          <w:bCs/>
          <w:color w:val="231F20"/>
          <w:u w:val="single" w:color="231F20"/>
        </w:rPr>
        <w:t>all</w:t>
      </w:r>
      <w:r>
        <w:rPr>
          <w:color w:val="231F20"/>
        </w:rPr>
        <w:t xml:space="preserve"> controlled group members (unless publicly available).</w:t>
      </w:r>
    </w:p>
    <w:p w:rsidR="005D3966" w:rsidRDefault="001C5FE1" w14:paraId="30AC038E" w14:textId="77777777">
      <w:pPr>
        <w:pStyle w:val="ListParagraph"/>
        <w:numPr>
          <w:ilvl w:val="0"/>
          <w:numId w:val="27"/>
        </w:numPr>
        <w:tabs>
          <w:tab w:val="left" w:pos="929"/>
          <w:tab w:val="left" w:pos="930"/>
        </w:tabs>
        <w:spacing w:before="110" w:line="244" w:lineRule="auto"/>
        <w:ind w:left="951" w:right="1065"/>
        <w:rPr>
          <w:rFonts w:ascii="Symbol" w:hAnsi="Symbol"/>
          <w:sz w:val="24"/>
        </w:rPr>
      </w:pPr>
      <w:r>
        <w:rPr>
          <w:color w:val="231F20"/>
          <w:sz w:val="24"/>
        </w:rPr>
        <w:t>Audited financial statements for the most recent fiscal year (including balance sheet, income statement, cash flow statement, and notes to the financial</w:t>
      </w:r>
      <w:r>
        <w:rPr>
          <w:color w:val="231F20"/>
          <w:spacing w:val="9"/>
          <w:sz w:val="24"/>
        </w:rPr>
        <w:t xml:space="preserve"> </w:t>
      </w:r>
      <w:r>
        <w:rPr>
          <w:color w:val="231F20"/>
          <w:sz w:val="24"/>
        </w:rPr>
        <w:t>statements).</w:t>
      </w:r>
    </w:p>
    <w:p w:rsidR="005D3966" w:rsidRDefault="001C5FE1" w14:paraId="52111BA7" w14:textId="77777777">
      <w:pPr>
        <w:pStyle w:val="ListParagraph"/>
        <w:numPr>
          <w:ilvl w:val="0"/>
          <w:numId w:val="27"/>
        </w:numPr>
        <w:tabs>
          <w:tab w:val="left" w:pos="929"/>
          <w:tab w:val="left" w:pos="930"/>
        </w:tabs>
        <w:spacing w:before="107" w:line="244" w:lineRule="auto"/>
        <w:ind w:left="951" w:right="1146"/>
        <w:rPr>
          <w:rFonts w:ascii="Symbol" w:hAnsi="Symbol"/>
          <w:sz w:val="24"/>
        </w:rPr>
      </w:pPr>
      <w:r>
        <w:rPr>
          <w:color w:val="231F20"/>
          <w:sz w:val="24"/>
        </w:rPr>
        <w:t>If audited financial statements are not available, unaudited financial statements for the</w:t>
      </w:r>
      <w:r>
        <w:rPr>
          <w:color w:val="231F20"/>
          <w:spacing w:val="-20"/>
          <w:sz w:val="24"/>
        </w:rPr>
        <w:t xml:space="preserve"> </w:t>
      </w:r>
      <w:r>
        <w:rPr>
          <w:color w:val="231F20"/>
          <w:sz w:val="24"/>
        </w:rPr>
        <w:t>most recent fiscal</w:t>
      </w:r>
      <w:r>
        <w:rPr>
          <w:color w:val="231F20"/>
          <w:spacing w:val="-13"/>
          <w:sz w:val="24"/>
        </w:rPr>
        <w:t xml:space="preserve"> </w:t>
      </w:r>
      <w:r>
        <w:rPr>
          <w:color w:val="231F20"/>
          <w:spacing w:val="-5"/>
          <w:sz w:val="24"/>
        </w:rPr>
        <w:t>year.</w:t>
      </w:r>
    </w:p>
    <w:p w:rsidR="005D3966" w:rsidRDefault="001C5FE1" w14:paraId="755EB0ED" w14:textId="77777777">
      <w:pPr>
        <w:pStyle w:val="ListParagraph"/>
        <w:numPr>
          <w:ilvl w:val="0"/>
          <w:numId w:val="27"/>
        </w:numPr>
        <w:tabs>
          <w:tab w:val="left" w:pos="924"/>
          <w:tab w:val="left" w:pos="925"/>
        </w:tabs>
        <w:spacing w:before="14" w:line="244" w:lineRule="auto"/>
        <w:ind w:left="951" w:right="865"/>
        <w:rPr>
          <w:rFonts w:ascii="Symbol" w:hAnsi="Symbol"/>
          <w:sz w:val="24"/>
        </w:rPr>
      </w:pPr>
      <w:r>
        <w:rPr>
          <w:color w:val="231F20"/>
          <w:sz w:val="24"/>
        </w:rPr>
        <w:t>If neither audited nor unaudited financial statements are available, copies of federal tax</w:t>
      </w:r>
      <w:r>
        <w:rPr>
          <w:color w:val="231F20"/>
          <w:spacing w:val="-20"/>
          <w:sz w:val="24"/>
        </w:rPr>
        <w:t xml:space="preserve"> </w:t>
      </w:r>
      <w:r>
        <w:rPr>
          <w:color w:val="231F20"/>
          <w:sz w:val="24"/>
        </w:rPr>
        <w:t>returns for the most recent tax</w:t>
      </w:r>
      <w:r>
        <w:rPr>
          <w:color w:val="231F20"/>
          <w:spacing w:val="1"/>
          <w:sz w:val="24"/>
        </w:rPr>
        <w:t xml:space="preserve"> </w:t>
      </w:r>
      <w:r>
        <w:rPr>
          <w:color w:val="231F20"/>
          <w:sz w:val="24"/>
        </w:rPr>
        <w:t>year.</w:t>
      </w:r>
    </w:p>
    <w:p w:rsidR="005D3966" w:rsidRDefault="001C5FE1" w14:paraId="4CB67D71" w14:textId="77777777">
      <w:pPr>
        <w:spacing w:before="103" w:line="247" w:lineRule="auto"/>
        <w:ind w:left="567" w:right="975"/>
        <w:jc w:val="both"/>
        <w:rPr>
          <w:i/>
          <w:sz w:val="24"/>
        </w:rPr>
      </w:pPr>
      <w:r>
        <w:rPr>
          <w:i/>
          <w:color w:val="231F20"/>
          <w:sz w:val="24"/>
        </w:rPr>
        <w:t>Note: If the above required financial information is publicly available, please indicate where the financial statements can be obtained (e.g., SEC, company website, and include the exact URL</w:t>
      </w:r>
      <w:r>
        <w:rPr>
          <w:i/>
          <w:color w:val="231F20"/>
          <w:spacing w:val="-19"/>
          <w:sz w:val="24"/>
        </w:rPr>
        <w:t xml:space="preserve"> </w:t>
      </w:r>
      <w:r>
        <w:rPr>
          <w:i/>
          <w:color w:val="231F20"/>
          <w:sz w:val="24"/>
        </w:rPr>
        <w:t>for the</w:t>
      </w:r>
      <w:r>
        <w:rPr>
          <w:i/>
          <w:color w:val="231F20"/>
          <w:spacing w:val="-2"/>
          <w:sz w:val="24"/>
        </w:rPr>
        <w:t xml:space="preserve"> </w:t>
      </w:r>
      <w:r>
        <w:rPr>
          <w:i/>
          <w:color w:val="231F20"/>
          <w:sz w:val="24"/>
        </w:rPr>
        <w:t>webpage).</w:t>
      </w:r>
    </w:p>
    <w:p w:rsidR="005D3966" w:rsidRDefault="005D3966" w14:paraId="0FF72FF2" w14:textId="77777777">
      <w:pPr>
        <w:pStyle w:val="BodyText"/>
        <w:spacing w:before="8"/>
        <w:rPr>
          <w:i/>
          <w:sz w:val="25"/>
        </w:rPr>
      </w:pPr>
    </w:p>
    <w:p w:rsidR="005D3966" w:rsidRDefault="001C5FE1" w14:paraId="18F70CDD" w14:textId="77777777">
      <w:pPr>
        <w:pStyle w:val="Heading1"/>
        <w:ind w:left="567"/>
      </w:pPr>
      <w:r>
        <w:rPr>
          <w:color w:val="231F20"/>
        </w:rPr>
        <w:t>Actuarial Information</w:t>
      </w:r>
    </w:p>
    <w:p w:rsidR="005D3966" w:rsidRDefault="005D3966" w14:paraId="58B54BBB" w14:textId="77777777">
      <w:pPr>
        <w:pStyle w:val="BodyText"/>
        <w:spacing w:before="6"/>
        <w:rPr>
          <w:rFonts w:ascii="Arial"/>
          <w:b/>
          <w:sz w:val="25"/>
        </w:rPr>
      </w:pPr>
    </w:p>
    <w:p w:rsidR="005D3966" w:rsidRDefault="001C5FE1" w14:paraId="3E272FC8" w14:textId="77777777">
      <w:pPr>
        <w:pStyle w:val="BodyText"/>
        <w:spacing w:before="1" w:line="249" w:lineRule="auto"/>
        <w:ind w:left="567" w:right="1061"/>
      </w:pPr>
      <w:r>
        <w:rPr>
          <w:color w:val="231F20"/>
        </w:rPr>
        <w:t xml:space="preserve">Please include the following for </w:t>
      </w:r>
      <w:r w:rsidRPr="00770120">
        <w:rPr>
          <w:b/>
          <w:bCs/>
          <w:color w:val="231F20"/>
          <w:u w:val="single"/>
        </w:rPr>
        <w:t>each plan</w:t>
      </w:r>
      <w:r>
        <w:rPr>
          <w:color w:val="231F20"/>
        </w:rPr>
        <w:t xml:space="preserve"> maintained by any member of the </w:t>
      </w:r>
      <w:proofErr w:type="gramStart"/>
      <w:r>
        <w:rPr>
          <w:color w:val="231F20"/>
        </w:rPr>
        <w:t>plan’s controlled</w:t>
      </w:r>
      <w:proofErr w:type="gramEnd"/>
      <w:r>
        <w:rPr>
          <w:color w:val="231F20"/>
        </w:rPr>
        <w:t xml:space="preserve"> group.</w:t>
      </w:r>
    </w:p>
    <w:p w:rsidR="005D3966" w:rsidRDefault="005D3966" w14:paraId="0060E640" w14:textId="77777777">
      <w:pPr>
        <w:pStyle w:val="BodyText"/>
        <w:spacing w:before="11"/>
      </w:pPr>
    </w:p>
    <w:p w:rsidR="005D3966" w:rsidRDefault="001C5FE1" w14:paraId="206DC984" w14:textId="77777777">
      <w:pPr>
        <w:pStyle w:val="ListParagraph"/>
        <w:numPr>
          <w:ilvl w:val="0"/>
          <w:numId w:val="27"/>
        </w:numPr>
        <w:tabs>
          <w:tab w:val="left" w:pos="927"/>
          <w:tab w:val="left" w:pos="928"/>
        </w:tabs>
        <w:spacing w:line="247" w:lineRule="auto"/>
        <w:ind w:left="927" w:right="898"/>
        <w:rPr>
          <w:rFonts w:ascii="Symbol" w:hAnsi="Symbol"/>
          <w:sz w:val="24"/>
        </w:rPr>
      </w:pPr>
      <w:r>
        <w:rPr>
          <w:color w:val="231F20"/>
          <w:sz w:val="24"/>
        </w:rPr>
        <w:t>A</w:t>
      </w:r>
      <w:r>
        <w:rPr>
          <w:color w:val="231F20"/>
          <w:spacing w:val="-3"/>
          <w:sz w:val="24"/>
        </w:rPr>
        <w:t xml:space="preserve"> </w:t>
      </w:r>
      <w:r>
        <w:rPr>
          <w:color w:val="231F20"/>
          <w:sz w:val="24"/>
        </w:rPr>
        <w:t>copy</w:t>
      </w:r>
      <w:r>
        <w:rPr>
          <w:color w:val="231F20"/>
          <w:spacing w:val="-1"/>
          <w:sz w:val="24"/>
        </w:rPr>
        <w:t xml:space="preserve"> </w:t>
      </w:r>
      <w:r>
        <w:rPr>
          <w:color w:val="231F20"/>
          <w:sz w:val="24"/>
        </w:rPr>
        <w:t>of</w:t>
      </w:r>
      <w:r>
        <w:rPr>
          <w:color w:val="231F20"/>
          <w:spacing w:val="-2"/>
          <w:sz w:val="24"/>
        </w:rPr>
        <w:t xml:space="preserve"> </w:t>
      </w:r>
      <w:r>
        <w:rPr>
          <w:color w:val="231F20"/>
          <w:sz w:val="24"/>
        </w:rPr>
        <w:t>the</w:t>
      </w:r>
      <w:r>
        <w:rPr>
          <w:color w:val="231F20"/>
          <w:spacing w:val="-2"/>
          <w:sz w:val="24"/>
        </w:rPr>
        <w:t xml:space="preserve"> </w:t>
      </w:r>
      <w:r>
        <w:rPr>
          <w:color w:val="231F20"/>
          <w:sz w:val="24"/>
        </w:rPr>
        <w:t>most</w:t>
      </w:r>
      <w:r>
        <w:rPr>
          <w:color w:val="231F20"/>
          <w:spacing w:val="-1"/>
          <w:sz w:val="24"/>
        </w:rPr>
        <w:t xml:space="preserve"> </w:t>
      </w:r>
      <w:r>
        <w:rPr>
          <w:color w:val="231F20"/>
          <w:sz w:val="24"/>
        </w:rPr>
        <w:t>recent</w:t>
      </w:r>
      <w:r>
        <w:rPr>
          <w:color w:val="231F20"/>
          <w:spacing w:val="-1"/>
          <w:sz w:val="24"/>
        </w:rPr>
        <w:t xml:space="preserve"> </w:t>
      </w:r>
      <w:r>
        <w:rPr>
          <w:color w:val="231F20"/>
          <w:sz w:val="24"/>
        </w:rPr>
        <w:t>Actuarial</w:t>
      </w:r>
      <w:r>
        <w:rPr>
          <w:color w:val="231F20"/>
          <w:spacing w:val="-1"/>
          <w:sz w:val="24"/>
        </w:rPr>
        <w:t xml:space="preserve"> </w:t>
      </w:r>
      <w:r>
        <w:rPr>
          <w:color w:val="231F20"/>
          <w:sz w:val="24"/>
        </w:rPr>
        <w:t>Valuation</w:t>
      </w:r>
      <w:r>
        <w:rPr>
          <w:color w:val="231F20"/>
          <w:spacing w:val="-1"/>
          <w:sz w:val="24"/>
        </w:rPr>
        <w:t xml:space="preserve"> </w:t>
      </w:r>
      <w:r>
        <w:rPr>
          <w:color w:val="231F20"/>
          <w:sz w:val="24"/>
        </w:rPr>
        <w:t>Report</w:t>
      </w:r>
      <w:r>
        <w:rPr>
          <w:color w:val="231F20"/>
          <w:spacing w:val="-8"/>
          <w:sz w:val="24"/>
        </w:rPr>
        <w:t xml:space="preserve"> </w:t>
      </w:r>
      <w:r>
        <w:rPr>
          <w:color w:val="231F20"/>
          <w:sz w:val="24"/>
        </w:rPr>
        <w:t>that</w:t>
      </w:r>
      <w:r>
        <w:rPr>
          <w:color w:val="231F20"/>
          <w:spacing w:val="-8"/>
          <w:sz w:val="24"/>
        </w:rPr>
        <w:t xml:space="preserve"> </w:t>
      </w:r>
      <w:r>
        <w:rPr>
          <w:color w:val="231F20"/>
          <w:sz w:val="24"/>
        </w:rPr>
        <w:t>includes</w:t>
      </w:r>
      <w:r>
        <w:rPr>
          <w:color w:val="231F20"/>
          <w:spacing w:val="-6"/>
          <w:sz w:val="24"/>
        </w:rPr>
        <w:t xml:space="preserve"> </w:t>
      </w:r>
      <w:r>
        <w:rPr>
          <w:color w:val="231F20"/>
          <w:sz w:val="24"/>
        </w:rPr>
        <w:t>or</w:t>
      </w:r>
      <w:r>
        <w:rPr>
          <w:color w:val="231F20"/>
          <w:spacing w:val="-9"/>
          <w:sz w:val="24"/>
        </w:rPr>
        <w:t xml:space="preserve"> </w:t>
      </w:r>
      <w:r>
        <w:rPr>
          <w:color w:val="231F20"/>
          <w:sz w:val="24"/>
        </w:rPr>
        <w:t>is</w:t>
      </w:r>
      <w:r>
        <w:rPr>
          <w:color w:val="231F20"/>
          <w:spacing w:val="-6"/>
          <w:sz w:val="24"/>
        </w:rPr>
        <w:t xml:space="preserve"> </w:t>
      </w:r>
      <w:r>
        <w:rPr>
          <w:color w:val="231F20"/>
          <w:sz w:val="24"/>
        </w:rPr>
        <w:t>supplemented</w:t>
      </w:r>
      <w:r>
        <w:rPr>
          <w:color w:val="231F20"/>
          <w:spacing w:val="-8"/>
          <w:sz w:val="24"/>
        </w:rPr>
        <w:t xml:space="preserve"> </w:t>
      </w:r>
      <w:r>
        <w:rPr>
          <w:color w:val="231F20"/>
          <w:sz w:val="24"/>
        </w:rPr>
        <w:t>with</w:t>
      </w:r>
      <w:r>
        <w:rPr>
          <w:color w:val="231F20"/>
          <w:spacing w:val="-9"/>
          <w:sz w:val="24"/>
        </w:rPr>
        <w:t xml:space="preserve"> </w:t>
      </w:r>
      <w:proofErr w:type="gramStart"/>
      <w:r>
        <w:rPr>
          <w:color w:val="231F20"/>
          <w:sz w:val="24"/>
        </w:rPr>
        <w:t>all of</w:t>
      </w:r>
      <w:proofErr w:type="gramEnd"/>
      <w:r>
        <w:rPr>
          <w:color w:val="231F20"/>
          <w:sz w:val="24"/>
        </w:rPr>
        <w:t xml:space="preserve"> the items described</w:t>
      </w:r>
      <w:r>
        <w:rPr>
          <w:color w:val="231F20"/>
          <w:spacing w:val="-1"/>
          <w:sz w:val="24"/>
        </w:rPr>
        <w:t xml:space="preserve"> </w:t>
      </w:r>
      <w:r>
        <w:rPr>
          <w:color w:val="231F20"/>
          <w:sz w:val="24"/>
        </w:rPr>
        <w:t>below.</w:t>
      </w:r>
    </w:p>
    <w:p w:rsidR="005D3966" w:rsidRDefault="001C5FE1" w14:paraId="2ED8A380" w14:textId="77777777">
      <w:pPr>
        <w:pStyle w:val="ListParagraph"/>
        <w:numPr>
          <w:ilvl w:val="0"/>
          <w:numId w:val="22"/>
        </w:numPr>
        <w:tabs>
          <w:tab w:val="left" w:pos="1532"/>
        </w:tabs>
        <w:spacing w:before="1"/>
        <w:ind w:hanging="361"/>
        <w:rPr>
          <w:sz w:val="24"/>
        </w:rPr>
      </w:pPr>
      <w:r>
        <w:rPr>
          <w:color w:val="231F20"/>
          <w:sz w:val="24"/>
        </w:rPr>
        <w:t>The funding target calculated pursuant to section 303 of ERISA without regard</w:t>
      </w:r>
      <w:r>
        <w:rPr>
          <w:color w:val="231F20"/>
          <w:spacing w:val="-7"/>
          <w:sz w:val="24"/>
        </w:rPr>
        <w:t xml:space="preserve"> </w:t>
      </w:r>
      <w:r>
        <w:rPr>
          <w:color w:val="231F20"/>
          <w:sz w:val="24"/>
        </w:rPr>
        <w:t>to</w:t>
      </w:r>
    </w:p>
    <w:p w:rsidR="005D3966" w:rsidRDefault="005D3966" w14:paraId="48051F7F" w14:textId="77777777">
      <w:pPr>
        <w:rPr>
          <w:sz w:val="24"/>
        </w:rPr>
        <w:sectPr w:rsidR="005D3966">
          <w:headerReference w:type="default" r:id="rId31"/>
          <w:footerReference w:type="default" r:id="rId32"/>
          <w:pgSz w:w="12240" w:h="15840"/>
          <w:pgMar w:top="1060" w:right="660" w:bottom="720" w:left="700" w:header="318" w:footer="530" w:gutter="0"/>
          <w:cols w:space="720"/>
        </w:sectPr>
      </w:pPr>
    </w:p>
    <w:p w:rsidR="005D3966" w:rsidRDefault="001C5FE1" w14:paraId="0796153F" w14:textId="77777777">
      <w:pPr>
        <w:pStyle w:val="BodyText"/>
        <w:spacing w:before="88" w:line="249" w:lineRule="auto"/>
        <w:ind w:left="1532" w:right="984"/>
      </w:pPr>
      <w:r>
        <w:rPr>
          <w:color w:val="231F20"/>
        </w:rPr>
        <w:lastRenderedPageBreak/>
        <w:t>subsection 303(i)(1) (and section 430 of the Code without regard to subsection 430(i)(1)), setting forth separately the value of the liabilities attributable to retirees and beneficiaries receiving payment, terminated vested participants, and active participants (showing vested and non-vested benefits separately).</w:t>
      </w:r>
    </w:p>
    <w:p w:rsidR="005D3966" w:rsidRDefault="001C5FE1" w14:paraId="23B9B7A7" w14:textId="77777777">
      <w:pPr>
        <w:pStyle w:val="ListParagraph"/>
        <w:numPr>
          <w:ilvl w:val="0"/>
          <w:numId w:val="22"/>
        </w:numPr>
        <w:tabs>
          <w:tab w:val="left" w:pos="1532"/>
        </w:tabs>
        <w:spacing w:line="249" w:lineRule="auto"/>
        <w:ind w:right="761"/>
        <w:rPr>
          <w:sz w:val="24"/>
        </w:rPr>
      </w:pPr>
      <w:r>
        <w:rPr>
          <w:color w:val="231F20"/>
          <w:sz w:val="24"/>
        </w:rPr>
        <w:t>A summary of the actuarial assumptions and methods used for purposes of section 303 of ERISA and any changes in those assumptions and methods since the previous valuation and justifications for any change. In the case of a plan that provides lump sums, other than de minimis lump sums, the summary must include the assumptions on which participants are assumed to elect a lump sum and how lump sums are</w:t>
      </w:r>
      <w:r>
        <w:rPr>
          <w:color w:val="231F20"/>
          <w:spacing w:val="-6"/>
          <w:sz w:val="24"/>
        </w:rPr>
        <w:t xml:space="preserve"> </w:t>
      </w:r>
      <w:r>
        <w:rPr>
          <w:color w:val="231F20"/>
          <w:sz w:val="24"/>
        </w:rPr>
        <w:t>valued.</w:t>
      </w:r>
    </w:p>
    <w:p w:rsidR="005D3966" w:rsidRDefault="001C5FE1" w14:paraId="26C74A20" w14:textId="77777777">
      <w:pPr>
        <w:pStyle w:val="ListParagraph"/>
        <w:numPr>
          <w:ilvl w:val="0"/>
          <w:numId w:val="22"/>
        </w:numPr>
        <w:tabs>
          <w:tab w:val="left" w:pos="1532"/>
        </w:tabs>
        <w:spacing w:line="247" w:lineRule="auto"/>
        <w:ind w:left="1531" w:right="1308"/>
        <w:rPr>
          <w:sz w:val="24"/>
        </w:rPr>
      </w:pPr>
      <w:r>
        <w:rPr>
          <w:color w:val="231F20"/>
          <w:sz w:val="24"/>
        </w:rPr>
        <w:t>The effective interest rate (as defined in section 303(h)(2)(A) of ERISA and section 430(h)(2) (A) of the</w:t>
      </w:r>
      <w:r>
        <w:rPr>
          <w:color w:val="231F20"/>
          <w:spacing w:val="-3"/>
          <w:sz w:val="24"/>
        </w:rPr>
        <w:t xml:space="preserve"> </w:t>
      </w:r>
      <w:r>
        <w:rPr>
          <w:color w:val="231F20"/>
          <w:sz w:val="24"/>
        </w:rPr>
        <w:t>Code).</w:t>
      </w:r>
    </w:p>
    <w:p w:rsidR="005D3966" w:rsidRDefault="001C5FE1" w14:paraId="467379E7" w14:textId="77777777">
      <w:pPr>
        <w:pStyle w:val="ListParagraph"/>
        <w:numPr>
          <w:ilvl w:val="0"/>
          <w:numId w:val="22"/>
        </w:numPr>
        <w:tabs>
          <w:tab w:val="left" w:pos="1532"/>
        </w:tabs>
        <w:spacing w:line="249" w:lineRule="auto"/>
        <w:ind w:left="1531" w:right="1131"/>
        <w:rPr>
          <w:sz w:val="24"/>
        </w:rPr>
      </w:pPr>
      <w:r>
        <w:rPr>
          <w:color w:val="231F20"/>
          <w:sz w:val="24"/>
        </w:rPr>
        <w:t>The target normal cost calculated pursuant to section 303 of ERISA without regard</w:t>
      </w:r>
      <w:r>
        <w:rPr>
          <w:color w:val="231F20"/>
          <w:spacing w:val="-21"/>
          <w:sz w:val="24"/>
        </w:rPr>
        <w:t xml:space="preserve"> </w:t>
      </w:r>
      <w:r>
        <w:rPr>
          <w:color w:val="231F20"/>
          <w:sz w:val="24"/>
        </w:rPr>
        <w:t>to subsection 303(i)(2) (and section 430 of the Code without regard to subsection 430(i)(2)).</w:t>
      </w:r>
    </w:p>
    <w:p w:rsidR="005D3966" w:rsidRDefault="001C5FE1" w14:paraId="5718694F" w14:textId="77777777">
      <w:pPr>
        <w:pStyle w:val="ListParagraph"/>
        <w:numPr>
          <w:ilvl w:val="0"/>
          <w:numId w:val="22"/>
        </w:numPr>
        <w:tabs>
          <w:tab w:val="left" w:pos="1532"/>
        </w:tabs>
        <w:spacing w:before="86" w:line="247" w:lineRule="auto"/>
        <w:ind w:left="1531" w:right="644"/>
        <w:rPr>
          <w:sz w:val="24"/>
        </w:rPr>
      </w:pPr>
      <w:r>
        <w:rPr>
          <w:color w:val="231F20"/>
          <w:sz w:val="24"/>
        </w:rPr>
        <w:t>For the plan year and the four preceding plan years, a statement as to whether the plan</w:t>
      </w:r>
      <w:r>
        <w:rPr>
          <w:color w:val="231F20"/>
          <w:spacing w:val="-18"/>
          <w:sz w:val="24"/>
        </w:rPr>
        <w:t xml:space="preserve"> </w:t>
      </w:r>
      <w:r>
        <w:rPr>
          <w:color w:val="231F20"/>
          <w:sz w:val="24"/>
        </w:rPr>
        <w:t>was in at-risk status for that plan</w:t>
      </w:r>
      <w:r>
        <w:rPr>
          <w:color w:val="231F20"/>
          <w:spacing w:val="-2"/>
          <w:sz w:val="24"/>
        </w:rPr>
        <w:t xml:space="preserve"> </w:t>
      </w:r>
      <w:r>
        <w:rPr>
          <w:color w:val="231F20"/>
          <w:sz w:val="24"/>
        </w:rPr>
        <w:t>year.</w:t>
      </w:r>
    </w:p>
    <w:p w:rsidR="005D3966" w:rsidRDefault="001C5FE1" w14:paraId="5E8CE619" w14:textId="77777777">
      <w:pPr>
        <w:pStyle w:val="ListParagraph"/>
        <w:numPr>
          <w:ilvl w:val="0"/>
          <w:numId w:val="22"/>
        </w:numPr>
        <w:tabs>
          <w:tab w:val="left" w:pos="1532"/>
        </w:tabs>
        <w:spacing w:before="94" w:line="247" w:lineRule="auto"/>
        <w:ind w:left="1531" w:right="884"/>
        <w:rPr>
          <w:sz w:val="24"/>
        </w:rPr>
      </w:pPr>
      <w:r>
        <w:rPr>
          <w:color w:val="231F20"/>
          <w:sz w:val="24"/>
        </w:rPr>
        <w:t>In the case of a plan that is in at-risk status, the target normal cost calculated pursuant</w:t>
      </w:r>
      <w:r>
        <w:rPr>
          <w:color w:val="231F20"/>
          <w:spacing w:val="-20"/>
          <w:sz w:val="24"/>
        </w:rPr>
        <w:t xml:space="preserve"> </w:t>
      </w:r>
      <w:r>
        <w:rPr>
          <w:color w:val="231F20"/>
          <w:sz w:val="24"/>
        </w:rPr>
        <w:t>to section 303 of ERISA as if the plan has been in at-risk status for five consecutive</w:t>
      </w:r>
      <w:r>
        <w:rPr>
          <w:color w:val="231F20"/>
          <w:spacing w:val="-21"/>
          <w:sz w:val="24"/>
        </w:rPr>
        <w:t xml:space="preserve"> </w:t>
      </w:r>
      <w:r>
        <w:rPr>
          <w:color w:val="231F20"/>
          <w:sz w:val="24"/>
        </w:rPr>
        <w:t>years.</w:t>
      </w:r>
    </w:p>
    <w:p w:rsidR="005D3966" w:rsidRDefault="001C5FE1" w14:paraId="5E642439" w14:textId="77777777">
      <w:pPr>
        <w:pStyle w:val="ListParagraph"/>
        <w:numPr>
          <w:ilvl w:val="0"/>
          <w:numId w:val="22"/>
        </w:numPr>
        <w:tabs>
          <w:tab w:val="left" w:pos="1532"/>
        </w:tabs>
        <w:spacing w:before="94" w:line="247" w:lineRule="auto"/>
        <w:ind w:left="1531" w:right="897"/>
        <w:rPr>
          <w:sz w:val="24"/>
        </w:rPr>
      </w:pPr>
      <w:r>
        <w:rPr>
          <w:color w:val="231F20"/>
          <w:sz w:val="24"/>
        </w:rPr>
        <w:t>The value of the plan’s assets (reflecting any averaging method) as of the valuation</w:t>
      </w:r>
      <w:r>
        <w:rPr>
          <w:color w:val="231F20"/>
          <w:spacing w:val="-17"/>
          <w:sz w:val="24"/>
        </w:rPr>
        <w:t xml:space="preserve"> </w:t>
      </w:r>
      <w:r>
        <w:rPr>
          <w:color w:val="231F20"/>
          <w:sz w:val="24"/>
        </w:rPr>
        <w:t>date and the fair market value of the plan’s assets as of the valuation</w:t>
      </w:r>
      <w:r>
        <w:rPr>
          <w:color w:val="231F20"/>
          <w:spacing w:val="-7"/>
          <w:sz w:val="24"/>
        </w:rPr>
        <w:t xml:space="preserve"> </w:t>
      </w:r>
      <w:r>
        <w:rPr>
          <w:color w:val="231F20"/>
          <w:sz w:val="24"/>
        </w:rPr>
        <w:t>date.</w:t>
      </w:r>
    </w:p>
    <w:p w:rsidR="005D3966" w:rsidRDefault="001C5FE1" w14:paraId="42CE8210" w14:textId="77777777">
      <w:pPr>
        <w:pStyle w:val="ListParagraph"/>
        <w:numPr>
          <w:ilvl w:val="0"/>
          <w:numId w:val="22"/>
        </w:numPr>
        <w:tabs>
          <w:tab w:val="left" w:pos="1532"/>
        </w:tabs>
        <w:spacing w:before="96" w:line="249" w:lineRule="auto"/>
        <w:ind w:left="1531" w:right="614"/>
        <w:rPr>
          <w:sz w:val="24"/>
        </w:rPr>
      </w:pPr>
      <w:r>
        <w:rPr>
          <w:color w:val="231F20"/>
          <w:sz w:val="24"/>
        </w:rPr>
        <w:t>The funding standard carryover balance and the prefunding balance (maintained pursuant to section 303(f)(1) of ERISA and section 430(f)(1) of the Code) as of the beginning of the plan year and a summary of any changes in such balances in the past year (e.g., amounts used to offset minimum funding requirement, amounts reduced in accordance with any elections under section 303(f)(5) of ERISA or section 430(f)(5) of the Code, interest credited to such balances, and excess contributions used to increase such</w:t>
      </w:r>
      <w:r>
        <w:rPr>
          <w:color w:val="231F20"/>
          <w:spacing w:val="-16"/>
          <w:sz w:val="24"/>
        </w:rPr>
        <w:t xml:space="preserve"> </w:t>
      </w:r>
      <w:r>
        <w:rPr>
          <w:color w:val="231F20"/>
          <w:sz w:val="24"/>
        </w:rPr>
        <w:t>balances).</w:t>
      </w:r>
    </w:p>
    <w:p w:rsidR="005D3966" w:rsidRDefault="001C5FE1" w14:paraId="0760741C" w14:textId="77777777">
      <w:pPr>
        <w:pStyle w:val="ListParagraph"/>
        <w:numPr>
          <w:ilvl w:val="0"/>
          <w:numId w:val="22"/>
        </w:numPr>
        <w:tabs>
          <w:tab w:val="left" w:pos="1532"/>
        </w:tabs>
        <w:spacing w:before="85" w:line="247" w:lineRule="auto"/>
        <w:ind w:left="1531" w:right="641"/>
        <w:rPr>
          <w:sz w:val="24"/>
        </w:rPr>
      </w:pPr>
      <w:r>
        <w:rPr>
          <w:color w:val="231F20"/>
          <w:sz w:val="24"/>
        </w:rPr>
        <w:t>A list of amortization bases (shortfall and waiver) under section 303 of ERISA and section 430 of the Code, including the year the base was established, the original amount, the installment amount, and the remaining balance at the beginning of the plan</w:t>
      </w:r>
      <w:r>
        <w:rPr>
          <w:color w:val="231F20"/>
          <w:spacing w:val="-9"/>
          <w:sz w:val="24"/>
        </w:rPr>
        <w:t xml:space="preserve"> </w:t>
      </w:r>
      <w:r>
        <w:rPr>
          <w:color w:val="231F20"/>
          <w:sz w:val="24"/>
        </w:rPr>
        <w:t>year.</w:t>
      </w:r>
    </w:p>
    <w:p w:rsidR="005D3966" w:rsidRDefault="001C5FE1" w14:paraId="1A5316EA" w14:textId="77777777">
      <w:pPr>
        <w:pStyle w:val="ListParagraph"/>
        <w:numPr>
          <w:ilvl w:val="0"/>
          <w:numId w:val="22"/>
        </w:numPr>
        <w:tabs>
          <w:tab w:val="left" w:pos="1532"/>
        </w:tabs>
        <w:spacing w:before="96" w:line="247" w:lineRule="auto"/>
        <w:ind w:left="1531" w:right="716"/>
        <w:rPr>
          <w:sz w:val="24"/>
        </w:rPr>
      </w:pPr>
      <w:r>
        <w:rPr>
          <w:color w:val="231F20"/>
          <w:sz w:val="24"/>
        </w:rPr>
        <w:t xml:space="preserve">An age/service scatter for active participants including average compensation information for pay-related plans and average account balance information for hybrid plans presented in a format </w:t>
      </w:r>
      <w:proofErr w:type="gramStart"/>
      <w:r>
        <w:rPr>
          <w:color w:val="231F20"/>
          <w:sz w:val="24"/>
        </w:rPr>
        <w:t>similar to</w:t>
      </w:r>
      <w:proofErr w:type="gramEnd"/>
      <w:r>
        <w:rPr>
          <w:color w:val="231F20"/>
          <w:sz w:val="24"/>
        </w:rPr>
        <w:t xml:space="preserve"> that described in the instructions to Schedule SB of the Form</w:t>
      </w:r>
      <w:r>
        <w:rPr>
          <w:color w:val="231F20"/>
          <w:spacing w:val="-19"/>
          <w:sz w:val="24"/>
        </w:rPr>
        <w:t xml:space="preserve"> </w:t>
      </w:r>
      <w:r>
        <w:rPr>
          <w:color w:val="231F20"/>
          <w:sz w:val="24"/>
        </w:rPr>
        <w:t>5500.</w:t>
      </w:r>
    </w:p>
    <w:p w:rsidR="005D3966" w:rsidRDefault="001C5FE1" w14:paraId="00A2C017" w14:textId="77777777">
      <w:pPr>
        <w:pStyle w:val="ListParagraph"/>
        <w:numPr>
          <w:ilvl w:val="0"/>
          <w:numId w:val="22"/>
        </w:numPr>
        <w:tabs>
          <w:tab w:val="left" w:pos="1532"/>
        </w:tabs>
        <w:spacing w:before="97"/>
        <w:ind w:hanging="361"/>
        <w:rPr>
          <w:sz w:val="24"/>
        </w:rPr>
      </w:pPr>
      <w:r>
        <w:rPr>
          <w:color w:val="231F20"/>
          <w:sz w:val="24"/>
        </w:rPr>
        <w:t>Expected disbursements (benefit payments and expenses) during the plan</w:t>
      </w:r>
      <w:r>
        <w:rPr>
          <w:color w:val="231F20"/>
          <w:spacing w:val="-6"/>
          <w:sz w:val="24"/>
        </w:rPr>
        <w:t xml:space="preserve"> </w:t>
      </w:r>
      <w:r>
        <w:rPr>
          <w:color w:val="231F20"/>
          <w:sz w:val="24"/>
        </w:rPr>
        <w:t>year.</w:t>
      </w:r>
    </w:p>
    <w:p w:rsidR="005D3966" w:rsidRDefault="001C5FE1" w14:paraId="7EAFE4DB" w14:textId="77777777">
      <w:pPr>
        <w:pStyle w:val="ListParagraph"/>
        <w:numPr>
          <w:ilvl w:val="0"/>
          <w:numId w:val="22"/>
        </w:numPr>
        <w:tabs>
          <w:tab w:val="left" w:pos="1532"/>
        </w:tabs>
        <w:spacing w:before="101" w:line="249" w:lineRule="auto"/>
        <w:ind w:left="1531" w:right="643"/>
        <w:rPr>
          <w:sz w:val="24"/>
        </w:rPr>
      </w:pPr>
      <w:r>
        <w:rPr>
          <w:color w:val="231F20"/>
          <w:sz w:val="24"/>
        </w:rPr>
        <w:t>A summary of the principal eligibility and benefit provisions on which the valuation of</w:t>
      </w:r>
      <w:r>
        <w:rPr>
          <w:color w:val="231F20"/>
          <w:spacing w:val="-18"/>
          <w:sz w:val="24"/>
        </w:rPr>
        <w:t xml:space="preserve"> </w:t>
      </w:r>
      <w:r>
        <w:rPr>
          <w:color w:val="231F20"/>
          <w:sz w:val="24"/>
        </w:rPr>
        <w:t>the plan was based (and any changes to those provisions since the previous valuation), along with descriptions of any benefits not included in the valuation, any significant events that occurred during the plan year, and the plan’s early retirement factors. In the case of a plan that provides lump sums, other than de minimis lump sums, the summary must include information on how annuity benefits are converted to lump sum amounts (e.g., whether early retirement subsidies are</w:t>
      </w:r>
      <w:r>
        <w:rPr>
          <w:color w:val="231F20"/>
          <w:spacing w:val="-2"/>
          <w:sz w:val="24"/>
        </w:rPr>
        <w:t xml:space="preserve"> </w:t>
      </w:r>
      <w:r>
        <w:rPr>
          <w:color w:val="231F20"/>
          <w:sz w:val="24"/>
        </w:rPr>
        <w:t>reflected).</w:t>
      </w:r>
    </w:p>
    <w:p w:rsidR="005D3966" w:rsidRDefault="001C5FE1" w14:paraId="3CEB8FBC" w14:textId="77777777">
      <w:pPr>
        <w:pStyle w:val="ListParagraph"/>
        <w:numPr>
          <w:ilvl w:val="0"/>
          <w:numId w:val="27"/>
        </w:numPr>
        <w:tabs>
          <w:tab w:val="left" w:pos="922"/>
          <w:tab w:val="left" w:pos="923"/>
        </w:tabs>
        <w:spacing w:before="124" w:line="247" w:lineRule="auto"/>
        <w:ind w:right="740"/>
        <w:rPr>
          <w:rFonts w:ascii="Symbol" w:hAnsi="Symbol"/>
          <w:color w:val="231F20"/>
          <w:sz w:val="24"/>
        </w:rPr>
      </w:pPr>
      <w:r>
        <w:rPr>
          <w:color w:val="231F20"/>
          <w:sz w:val="24"/>
        </w:rPr>
        <w:t>If you are reporting a failure to make a required contribution and the amount of the missed contribution is based on a calculation that is not reflected in the most recent Actuarial</w:t>
      </w:r>
      <w:r>
        <w:rPr>
          <w:color w:val="231F20"/>
          <w:spacing w:val="-21"/>
          <w:sz w:val="24"/>
        </w:rPr>
        <w:t xml:space="preserve"> </w:t>
      </w:r>
      <w:r>
        <w:rPr>
          <w:color w:val="231F20"/>
          <w:sz w:val="24"/>
        </w:rPr>
        <w:t xml:space="preserve">Valuation Report, you must also provide all of the information listed above </w:t>
      </w:r>
      <w:proofErr w:type="gramStart"/>
      <w:r>
        <w:rPr>
          <w:color w:val="231F20"/>
          <w:sz w:val="24"/>
        </w:rPr>
        <w:t>that supports</w:t>
      </w:r>
      <w:proofErr w:type="gramEnd"/>
      <w:r>
        <w:rPr>
          <w:color w:val="231F20"/>
          <w:sz w:val="24"/>
        </w:rPr>
        <w:t xml:space="preserve"> the</w:t>
      </w:r>
      <w:r>
        <w:rPr>
          <w:color w:val="231F20"/>
          <w:spacing w:val="-19"/>
          <w:sz w:val="24"/>
        </w:rPr>
        <w:t xml:space="preserve"> </w:t>
      </w:r>
      <w:r>
        <w:rPr>
          <w:color w:val="231F20"/>
          <w:sz w:val="24"/>
        </w:rPr>
        <w:t>calculation.</w:t>
      </w:r>
    </w:p>
    <w:p w:rsidR="005D3966" w:rsidRDefault="001C5FE1" w14:paraId="33F5ED26" w14:textId="77777777">
      <w:pPr>
        <w:pStyle w:val="ListParagraph"/>
        <w:numPr>
          <w:ilvl w:val="0"/>
          <w:numId w:val="27"/>
        </w:numPr>
        <w:tabs>
          <w:tab w:val="left" w:pos="922"/>
          <w:tab w:val="left" w:pos="923"/>
        </w:tabs>
        <w:spacing w:before="7"/>
        <w:ind w:hanging="361"/>
        <w:rPr>
          <w:rFonts w:ascii="Symbol" w:hAnsi="Symbol"/>
          <w:color w:val="231F20"/>
          <w:sz w:val="24"/>
        </w:rPr>
      </w:pPr>
      <w:r>
        <w:rPr>
          <w:color w:val="231F20"/>
          <w:sz w:val="24"/>
        </w:rPr>
        <w:t>Statement of any material change in liabilities of the plan occurring after the date of the</w:t>
      </w:r>
      <w:r>
        <w:rPr>
          <w:color w:val="231F20"/>
          <w:spacing w:val="-16"/>
          <w:sz w:val="24"/>
        </w:rPr>
        <w:t xml:space="preserve"> </w:t>
      </w:r>
      <w:proofErr w:type="gramStart"/>
      <w:r>
        <w:rPr>
          <w:color w:val="231F20"/>
          <w:sz w:val="24"/>
        </w:rPr>
        <w:t>most</w:t>
      </w:r>
      <w:proofErr w:type="gramEnd"/>
    </w:p>
    <w:p w:rsidR="005D3966" w:rsidRDefault="005D3966" w14:paraId="7C979A13" w14:textId="77777777">
      <w:pPr>
        <w:rPr>
          <w:rFonts w:ascii="Symbol" w:hAnsi="Symbol"/>
          <w:sz w:val="24"/>
        </w:rPr>
        <w:sectPr w:rsidR="005D3966">
          <w:pgSz w:w="12240" w:h="15840"/>
          <w:pgMar w:top="1060" w:right="660" w:bottom="720" w:left="700" w:header="318" w:footer="530" w:gutter="0"/>
          <w:cols w:space="720"/>
        </w:sectPr>
      </w:pPr>
    </w:p>
    <w:p w:rsidR="005D3966" w:rsidRDefault="001C5FE1" w14:paraId="5EFED1D9" w14:textId="77777777">
      <w:pPr>
        <w:pStyle w:val="BodyText"/>
        <w:spacing w:before="88"/>
        <w:ind w:left="922"/>
      </w:pPr>
      <w:r>
        <w:rPr>
          <w:color w:val="231F20"/>
        </w:rPr>
        <w:lastRenderedPageBreak/>
        <w:t>recent Actuarial Valuation Report.</w:t>
      </w:r>
    </w:p>
    <w:p w:rsidR="005D3966" w:rsidRDefault="001C5FE1" w14:paraId="70C550EA" w14:textId="77777777">
      <w:pPr>
        <w:pStyle w:val="ListParagraph"/>
        <w:numPr>
          <w:ilvl w:val="0"/>
          <w:numId w:val="27"/>
        </w:numPr>
        <w:tabs>
          <w:tab w:val="left" w:pos="922"/>
          <w:tab w:val="left" w:pos="923"/>
        </w:tabs>
        <w:spacing w:before="11"/>
        <w:ind w:hanging="361"/>
        <w:rPr>
          <w:rFonts w:ascii="Symbol" w:hAnsi="Symbol"/>
          <w:color w:val="231F20"/>
          <w:sz w:val="24"/>
        </w:rPr>
      </w:pPr>
      <w:r>
        <w:rPr>
          <w:color w:val="231F20"/>
          <w:sz w:val="24"/>
        </w:rPr>
        <w:t>Most recent month-end market value of plan</w:t>
      </w:r>
      <w:r>
        <w:rPr>
          <w:color w:val="231F20"/>
          <w:spacing w:val="-21"/>
          <w:sz w:val="24"/>
        </w:rPr>
        <w:t xml:space="preserve"> </w:t>
      </w:r>
      <w:r>
        <w:rPr>
          <w:color w:val="231F20"/>
          <w:sz w:val="24"/>
        </w:rPr>
        <w:t>assets.</w:t>
      </w:r>
    </w:p>
    <w:p w:rsidR="005D3966" w:rsidRDefault="001C5FE1" w14:paraId="5CBE0E1A" w14:textId="77777777">
      <w:pPr>
        <w:pStyle w:val="ListParagraph"/>
        <w:numPr>
          <w:ilvl w:val="0"/>
          <w:numId w:val="27"/>
        </w:numPr>
        <w:tabs>
          <w:tab w:val="left" w:pos="922"/>
          <w:tab w:val="left" w:pos="923"/>
        </w:tabs>
        <w:spacing w:before="16" w:line="244" w:lineRule="auto"/>
        <w:ind w:right="879"/>
        <w:rPr>
          <w:rFonts w:ascii="Symbol" w:hAnsi="Symbol"/>
          <w:color w:val="231F20"/>
          <w:sz w:val="24"/>
        </w:rPr>
      </w:pPr>
      <w:r>
        <w:rPr>
          <w:color w:val="231F20"/>
          <w:sz w:val="24"/>
        </w:rPr>
        <w:t>Contact name, telephone number, and employer of the plan actuary if different from that listed on the most recently filed Schedule SB to Form</w:t>
      </w:r>
      <w:r>
        <w:rPr>
          <w:color w:val="231F20"/>
          <w:spacing w:val="-2"/>
          <w:sz w:val="24"/>
        </w:rPr>
        <w:t xml:space="preserve"> </w:t>
      </w:r>
      <w:r>
        <w:rPr>
          <w:color w:val="231F20"/>
          <w:sz w:val="24"/>
        </w:rPr>
        <w:t>5500.</w:t>
      </w:r>
    </w:p>
    <w:p w:rsidR="005D3966" w:rsidRDefault="005D3966" w14:paraId="022FE745" w14:textId="77777777">
      <w:pPr>
        <w:spacing w:line="244" w:lineRule="auto"/>
        <w:rPr>
          <w:rFonts w:ascii="Symbol" w:hAnsi="Symbol"/>
          <w:sz w:val="24"/>
        </w:rPr>
        <w:sectPr w:rsidR="005D3966">
          <w:pgSz w:w="12240" w:h="15840"/>
          <w:pgMar w:top="1060" w:right="660" w:bottom="720" w:left="700" w:header="318" w:footer="530" w:gutter="0"/>
          <w:cols w:space="720"/>
        </w:sectPr>
      </w:pPr>
    </w:p>
    <w:p w:rsidR="005D3966" w:rsidRDefault="001C5FE1" w14:paraId="02C80428" w14:textId="77777777">
      <w:pPr>
        <w:pStyle w:val="Heading1"/>
        <w:numPr>
          <w:ilvl w:val="0"/>
          <w:numId w:val="21"/>
        </w:numPr>
        <w:tabs>
          <w:tab w:val="left" w:pos="1039"/>
          <w:tab w:val="left" w:pos="1040"/>
        </w:tabs>
        <w:spacing w:before="89"/>
        <w:jc w:val="left"/>
      </w:pPr>
      <w:bookmarkStart w:name="A._Active_Participant_Reduction" w:id="14"/>
      <w:bookmarkEnd w:id="14"/>
      <w:r>
        <w:rPr>
          <w:color w:val="231F20"/>
        </w:rPr>
        <w:lastRenderedPageBreak/>
        <w:t>Active Participant</w:t>
      </w:r>
      <w:r>
        <w:rPr>
          <w:color w:val="231F20"/>
          <w:spacing w:val="19"/>
        </w:rPr>
        <w:t xml:space="preserve"> </w:t>
      </w:r>
      <w:r>
        <w:rPr>
          <w:color w:val="231F20"/>
        </w:rPr>
        <w:t>Reduction</w:t>
      </w:r>
    </w:p>
    <w:p w:rsidR="005D3966" w:rsidRDefault="001C5FE1" w14:paraId="4E542DF4" w14:textId="77777777">
      <w:pPr>
        <w:pStyle w:val="BodyText"/>
        <w:spacing w:before="11"/>
        <w:ind w:left="629"/>
        <w:jc w:val="both"/>
      </w:pPr>
      <w:r>
        <w:rPr>
          <w:color w:val="231F20"/>
        </w:rPr>
        <w:t>(see 29 CFR 4043.23)</w:t>
      </w:r>
    </w:p>
    <w:p w:rsidR="005D3966" w:rsidRDefault="005D3966" w14:paraId="0E73B5B1" w14:textId="77777777">
      <w:pPr>
        <w:pStyle w:val="BodyText"/>
        <w:spacing w:before="10"/>
        <w:rPr>
          <w:sz w:val="25"/>
        </w:rPr>
      </w:pPr>
    </w:p>
    <w:p w:rsidR="005D3966" w:rsidRDefault="001C5FE1" w14:paraId="080E0126" w14:textId="77777777">
      <w:pPr>
        <w:pStyle w:val="BodyText"/>
        <w:spacing w:line="249" w:lineRule="auto"/>
        <w:ind w:left="629" w:right="900"/>
        <w:jc w:val="both"/>
      </w:pPr>
      <w:r>
        <w:rPr>
          <w:b/>
          <w:color w:val="231F20"/>
        </w:rPr>
        <w:t xml:space="preserve">Definition of Event </w:t>
      </w:r>
      <w:r>
        <w:rPr>
          <w:color w:val="231F20"/>
        </w:rPr>
        <w:t>— A reportable event occurs when the number of active participants under a plan is reduced below 80 percent of the number of active participants at the beginning of the plan year because of a “single-cause event” or an “attrition event” as defined below.</w:t>
      </w:r>
    </w:p>
    <w:p w:rsidR="005D3966" w:rsidRDefault="001C5FE1" w14:paraId="1C4ECAFA" w14:textId="77777777">
      <w:pPr>
        <w:pStyle w:val="ListParagraph"/>
        <w:numPr>
          <w:ilvl w:val="0"/>
          <w:numId w:val="20"/>
        </w:numPr>
        <w:tabs>
          <w:tab w:val="left" w:pos="865"/>
        </w:tabs>
        <w:spacing w:before="159" w:line="247" w:lineRule="auto"/>
        <w:ind w:right="758"/>
        <w:rPr>
          <w:sz w:val="24"/>
        </w:rPr>
      </w:pPr>
      <w:r>
        <w:rPr>
          <w:i/>
          <w:color w:val="231F20"/>
          <w:sz w:val="24"/>
        </w:rPr>
        <w:t xml:space="preserve">Single-cause event. </w:t>
      </w:r>
      <w:r>
        <w:rPr>
          <w:color w:val="231F20"/>
          <w:sz w:val="24"/>
        </w:rPr>
        <w:t xml:space="preserve">A “single-cause event” occurs on each date in a plan year when, </w:t>
      </w:r>
      <w:proofErr w:type="gramStart"/>
      <w:r>
        <w:rPr>
          <w:color w:val="231F20"/>
          <w:sz w:val="24"/>
        </w:rPr>
        <w:t>as a result of</w:t>
      </w:r>
      <w:proofErr w:type="gramEnd"/>
      <w:r>
        <w:rPr>
          <w:color w:val="231F20"/>
          <w:sz w:val="24"/>
        </w:rPr>
        <w:t xml:space="preserve"> a new single cause, the ratio of the aggregate number of individuals who ceased to be active participants because of that single-cause, to the number of active participants at the beginning</w:t>
      </w:r>
      <w:r>
        <w:rPr>
          <w:color w:val="231F20"/>
          <w:spacing w:val="-19"/>
          <w:sz w:val="24"/>
        </w:rPr>
        <w:t xml:space="preserve"> </w:t>
      </w:r>
      <w:r>
        <w:rPr>
          <w:color w:val="231F20"/>
          <w:sz w:val="24"/>
        </w:rPr>
        <w:t>of such plan year, exceeds 20</w:t>
      </w:r>
      <w:r>
        <w:rPr>
          <w:color w:val="231F20"/>
          <w:spacing w:val="-1"/>
          <w:sz w:val="24"/>
        </w:rPr>
        <w:t xml:space="preserve"> </w:t>
      </w:r>
      <w:r>
        <w:rPr>
          <w:color w:val="231F20"/>
          <w:sz w:val="24"/>
        </w:rPr>
        <w:t>percent.</w:t>
      </w:r>
    </w:p>
    <w:p w:rsidR="005D3966" w:rsidRDefault="001C5FE1" w14:paraId="15CD86D4" w14:textId="77777777">
      <w:pPr>
        <w:pStyle w:val="BodyText"/>
        <w:spacing w:before="168" w:line="247" w:lineRule="auto"/>
        <w:ind w:left="864" w:right="772"/>
      </w:pPr>
      <w:r>
        <w:rPr>
          <w:color w:val="231F20"/>
        </w:rPr>
        <w:t>Examples of single-cause events include a reorganization or restructuring, the discontinuance of an operation or business, a natural disaster, a mass layoff, or an early retirement incentive program.</w:t>
      </w:r>
    </w:p>
    <w:p w:rsidR="005D3966" w:rsidRDefault="001C5FE1" w14:paraId="08BA3ABA" w14:textId="77777777">
      <w:pPr>
        <w:pStyle w:val="ListParagraph"/>
        <w:numPr>
          <w:ilvl w:val="0"/>
          <w:numId w:val="20"/>
        </w:numPr>
        <w:tabs>
          <w:tab w:val="left" w:pos="865"/>
        </w:tabs>
        <w:spacing w:before="206" w:line="247" w:lineRule="auto"/>
        <w:ind w:right="638"/>
        <w:rPr>
          <w:sz w:val="24"/>
        </w:rPr>
      </w:pPr>
      <w:r>
        <w:rPr>
          <w:i/>
          <w:color w:val="231F20"/>
          <w:sz w:val="24"/>
        </w:rPr>
        <w:t xml:space="preserve">Attrition event. </w:t>
      </w:r>
      <w:r>
        <w:rPr>
          <w:color w:val="231F20"/>
          <w:sz w:val="24"/>
        </w:rPr>
        <w:t>An “attrition event” occurs on the last day of a plan year  if the sum of the number of active participants covered by the plan at the end of such plan year, plus the number</w:t>
      </w:r>
      <w:r>
        <w:rPr>
          <w:color w:val="231F20"/>
          <w:spacing w:val="-16"/>
          <w:sz w:val="24"/>
        </w:rPr>
        <w:t xml:space="preserve"> </w:t>
      </w:r>
      <w:r>
        <w:rPr>
          <w:color w:val="231F20"/>
          <w:sz w:val="24"/>
        </w:rPr>
        <w:t>of individuals who ceased to be active participants during the same plan year that are reported to PBGC in a single-cause event report in that plan year, is less than 80 percent of the number of active participants at the beginning of such plan</w:t>
      </w:r>
      <w:r>
        <w:rPr>
          <w:color w:val="231F20"/>
          <w:spacing w:val="-2"/>
          <w:sz w:val="24"/>
        </w:rPr>
        <w:t xml:space="preserve"> </w:t>
      </w:r>
      <w:r>
        <w:rPr>
          <w:color w:val="231F20"/>
          <w:sz w:val="24"/>
        </w:rPr>
        <w:t>year.</w:t>
      </w:r>
    </w:p>
    <w:p w:rsidR="005D3966" w:rsidRDefault="001C5FE1" w14:paraId="6B6B9E86" w14:textId="77777777">
      <w:pPr>
        <w:pStyle w:val="BodyText"/>
        <w:spacing w:before="211" w:line="247" w:lineRule="auto"/>
        <w:ind w:left="864" w:right="626"/>
      </w:pPr>
      <w:r>
        <w:rPr>
          <w:color w:val="231F20"/>
        </w:rPr>
        <w:t>The reduction may be measured by using the number of active participants on either the last day of the plan year or the participant count date (as defined in 29 CFR 4006.2) for the next plan</w:t>
      </w:r>
      <w:r>
        <w:rPr>
          <w:color w:val="231F20"/>
          <w:spacing w:val="-34"/>
        </w:rPr>
        <w:t xml:space="preserve"> </w:t>
      </w:r>
      <w:r>
        <w:rPr>
          <w:color w:val="231F20"/>
        </w:rPr>
        <w:t>year, but in either case is considered to occur on the last day of the plan year.  Although this is called an attrition event, the event may be a result of general attrition and a single cause event that did not meet the threshold for reporting previously (</w:t>
      </w:r>
      <w:proofErr w:type="gramStart"/>
      <w:r>
        <w:rPr>
          <w:color w:val="231F20"/>
        </w:rPr>
        <w:t>i.e.</w:t>
      </w:r>
      <w:proofErr w:type="gramEnd"/>
      <w:r>
        <w:rPr>
          <w:color w:val="231F20"/>
        </w:rPr>
        <w:t xml:space="preserve"> resulted in a reduction in active participants below</w:t>
      </w:r>
      <w:r>
        <w:rPr>
          <w:color w:val="231F20"/>
          <w:spacing w:val="-2"/>
        </w:rPr>
        <w:t xml:space="preserve"> </w:t>
      </w:r>
      <w:r>
        <w:rPr>
          <w:color w:val="231F20"/>
        </w:rPr>
        <w:t>20%).</w:t>
      </w:r>
    </w:p>
    <w:p w:rsidR="005D3966" w:rsidRDefault="001C5FE1" w14:paraId="1AAD7A49" w14:textId="77777777">
      <w:pPr>
        <w:pStyle w:val="Heading1"/>
        <w:spacing w:before="224"/>
        <w:ind w:left="571"/>
        <w:jc w:val="both"/>
        <w:rPr>
          <w:rFonts w:ascii="Times New Roman"/>
        </w:rPr>
      </w:pPr>
      <w:r>
        <w:rPr>
          <w:rFonts w:ascii="Times New Roman"/>
          <w:color w:val="231F20"/>
        </w:rPr>
        <w:t>For purposes of this reportable event:</w:t>
      </w:r>
    </w:p>
    <w:p w:rsidR="005D3966" w:rsidRDefault="001C5FE1" w14:paraId="0C3902E3" w14:textId="77777777">
      <w:pPr>
        <w:pStyle w:val="BodyText"/>
        <w:spacing w:before="165" w:line="247" w:lineRule="auto"/>
        <w:ind w:left="571" w:right="712"/>
      </w:pPr>
      <w:r>
        <w:rPr>
          <w:color w:val="231F20"/>
        </w:rPr>
        <w:t>Disregard a reduction in the number of active participants to the extent that the reduction is both (1) attributable to a substantial cessation of operations under section 4062(e) of ERISA or to the withdrawal of a substantial employer under section 4063(a) of ERISA, and (2) timely reported to PBGC under section 4062(e) and/or section 4063(a) of ERISA before the timely reporting of an active participant reduction event.</w:t>
      </w:r>
    </w:p>
    <w:p w:rsidR="005D3966" w:rsidRDefault="001C5FE1" w14:paraId="02307312" w14:textId="77777777">
      <w:pPr>
        <w:pStyle w:val="BodyText"/>
        <w:spacing w:before="175" w:line="247" w:lineRule="auto"/>
        <w:ind w:left="571" w:right="572"/>
      </w:pPr>
      <w:r>
        <w:rPr>
          <w:color w:val="231F20"/>
        </w:rPr>
        <w:t>The number of active participants at the beginning of a plan year may be determined by using the number of active participants at the end of the previous plan year, and the number of active participants at the end of a plan year may be determined by using the number of active participants at the beginning of the next plan year.</w:t>
      </w:r>
    </w:p>
    <w:p w:rsidR="005D3966" w:rsidRDefault="001C5FE1" w14:paraId="17BB1A49" w14:textId="77777777">
      <w:pPr>
        <w:pStyle w:val="BodyText"/>
        <w:spacing w:before="171" w:line="249" w:lineRule="auto"/>
        <w:ind w:left="571" w:right="712"/>
      </w:pPr>
      <w:r>
        <w:rPr>
          <w:color w:val="231F20"/>
        </w:rPr>
        <w:t xml:space="preserve">An active participant is a participant who (1) is receiving compensation from any member of the plan’s controlled group for work performed for any member of the plan's controlled group; (2) is on paid or unpaid leave granted for a reason other than a layoff; (3) is laid off from work for a period of time that has lasted less than 30 days; or (4) is absent from work due to a recurring reduction in employment that occurs at least annually. A participant does not cease to be an “active participant” if the participant leaves employment with one member of the </w:t>
      </w:r>
      <w:proofErr w:type="gramStart"/>
      <w:r>
        <w:rPr>
          <w:color w:val="231F20"/>
        </w:rPr>
        <w:t>plan’s controlled</w:t>
      </w:r>
      <w:proofErr w:type="gramEnd"/>
      <w:r>
        <w:rPr>
          <w:color w:val="231F20"/>
        </w:rPr>
        <w:t xml:space="preserve"> group to become employed by another controlled group member.</w:t>
      </w:r>
    </w:p>
    <w:p w:rsidR="005D3966" w:rsidRDefault="005D3966" w14:paraId="7FEC2475" w14:textId="77777777">
      <w:pPr>
        <w:spacing w:line="249" w:lineRule="auto"/>
        <w:sectPr w:rsidR="005D3966">
          <w:pgSz w:w="12240" w:h="15840"/>
          <w:pgMar w:top="1060" w:right="660" w:bottom="720" w:left="700" w:header="318" w:footer="530" w:gutter="0"/>
          <w:cols w:space="720"/>
        </w:sectPr>
      </w:pPr>
    </w:p>
    <w:p w:rsidR="005D3966" w:rsidRDefault="001C5FE1" w14:paraId="213F875B" w14:textId="77777777">
      <w:pPr>
        <w:pStyle w:val="BodyText"/>
        <w:spacing w:before="88"/>
        <w:ind w:left="567"/>
      </w:pPr>
      <w:r>
        <w:rPr>
          <w:b/>
          <w:color w:val="231F20"/>
        </w:rPr>
        <w:lastRenderedPageBreak/>
        <w:t xml:space="preserve">Examples — </w:t>
      </w:r>
      <w:r>
        <w:rPr>
          <w:color w:val="231F20"/>
        </w:rPr>
        <w:t>The following examples assume a waiver does not apply.</w:t>
      </w:r>
    </w:p>
    <w:p w:rsidR="005D3966" w:rsidRDefault="001C5FE1" w14:paraId="1D386270" w14:textId="77777777">
      <w:pPr>
        <w:pStyle w:val="Heading2"/>
        <w:spacing w:before="176"/>
        <w:ind w:left="567" w:firstLine="0"/>
      </w:pPr>
      <w:r>
        <w:t>1. Determining whether a single-cause event occurred</w:t>
      </w:r>
    </w:p>
    <w:p w:rsidR="005D3966" w:rsidRDefault="001C5FE1" w14:paraId="172514E4" w14:textId="77777777">
      <w:pPr>
        <w:pStyle w:val="BodyText"/>
        <w:spacing w:before="177" w:line="247" w:lineRule="auto"/>
        <w:ind w:left="571" w:right="559"/>
      </w:pPr>
      <w:r>
        <w:rPr>
          <w:b/>
        </w:rPr>
        <w:t xml:space="preserve">Facts: </w:t>
      </w:r>
      <w:r>
        <w:t>A calendar-year plan had 1,000 active participants at the beginning of the current plan year. As the result of a business unit being shut down, 160 participants are permanently laid off on July 30. Prior to July 30, and as part of the course of regular business operations, some active participants terminated employment, some retired and some new hires became covered by the plan.</w:t>
      </w:r>
    </w:p>
    <w:p w:rsidR="005D3966" w:rsidRDefault="001C5FE1" w14:paraId="049F3D22" w14:textId="77777777">
      <w:pPr>
        <w:pStyle w:val="BodyText"/>
        <w:spacing w:before="171" w:line="249" w:lineRule="auto"/>
        <w:ind w:left="571" w:right="618"/>
      </w:pPr>
      <w:r>
        <w:rPr>
          <w:b/>
        </w:rPr>
        <w:t xml:space="preserve">Reporting: </w:t>
      </w:r>
      <w:r>
        <w:t xml:space="preserve">Because reductions due to attrition are disregarded for purposes of determining whether a single-cause event has occurred, it is not necessary for the sponsor to tabulate an exact active participant count as of July 30. Rather, the relevant percentage for determining whether a single- cause event occurred is determined by dividing the number of active participants laid-off </w:t>
      </w:r>
      <w:proofErr w:type="gramStart"/>
      <w:r>
        <w:t>as a result of</w:t>
      </w:r>
      <w:proofErr w:type="gramEnd"/>
      <w:r>
        <w:t xml:space="preserve"> the business unit shut down to the beginning of year active participant count. Because that ratio is less than 20 percent (i.e., 160/1,000 = .16, or 16 percent), a single-cause event did not occur </w:t>
      </w:r>
      <w:proofErr w:type="gramStart"/>
      <w:r>
        <w:t>on</w:t>
      </w:r>
      <w:proofErr w:type="gramEnd"/>
      <w:r>
        <w:t xml:space="preserve"> July</w:t>
      </w:r>
    </w:p>
    <w:p w:rsidR="005D3966" w:rsidRDefault="001C5FE1" w14:paraId="6BF8EDB5" w14:textId="77777777">
      <w:pPr>
        <w:pStyle w:val="BodyText"/>
        <w:spacing w:line="247" w:lineRule="auto"/>
        <w:ind w:left="571" w:right="569"/>
      </w:pPr>
      <w:r>
        <w:t xml:space="preserve">30. However, if, </w:t>
      </w:r>
      <w:proofErr w:type="gramStart"/>
      <w:r>
        <w:t>as a result of</w:t>
      </w:r>
      <w:proofErr w:type="gramEnd"/>
      <w:r>
        <w:t xml:space="preserve"> the business unit shutdown, additional layoffs occur later in the same year, a single-cause event may subsequently be triggered (See example 3).</w:t>
      </w:r>
    </w:p>
    <w:p w:rsidR="005D3966" w:rsidRDefault="001C5FE1" w14:paraId="47C426F9" w14:textId="77777777">
      <w:pPr>
        <w:pStyle w:val="Heading2"/>
        <w:numPr>
          <w:ilvl w:val="0"/>
          <w:numId w:val="19"/>
        </w:numPr>
        <w:tabs>
          <w:tab w:val="left" w:pos="841"/>
        </w:tabs>
        <w:spacing w:before="165" w:line="247" w:lineRule="auto"/>
        <w:ind w:left="571" w:right="621" w:firstLine="0"/>
        <w:jc w:val="left"/>
      </w:pPr>
      <w:r>
        <w:t xml:space="preserve">Determining whether an attrition event occurred in year when a single-cause event </w:t>
      </w:r>
      <w:proofErr w:type="gramStart"/>
      <w:r>
        <w:t>occurred</w:t>
      </w:r>
      <w:proofErr w:type="gramEnd"/>
    </w:p>
    <w:p w:rsidR="005D3966" w:rsidRDefault="001C5FE1" w14:paraId="4B17FFCA" w14:textId="77777777">
      <w:pPr>
        <w:pStyle w:val="BodyText"/>
        <w:spacing w:before="167" w:line="247" w:lineRule="auto"/>
        <w:ind w:left="571" w:right="658"/>
      </w:pPr>
      <w:r>
        <w:rPr>
          <w:b/>
        </w:rPr>
        <w:t xml:space="preserve">Facts: </w:t>
      </w:r>
      <w:r>
        <w:t>Assume the same facts as in example 1 except that the number of active participants laid off on July 30 was 230 and thus, a single-cause event occurred. Further, assume that the event was timely reported to PBGC (i.e., on or before August 30). Lastly, assume the active participant count as of year-end is 600.</w:t>
      </w:r>
    </w:p>
    <w:p w:rsidR="005D3966" w:rsidRDefault="001C5FE1" w14:paraId="72BCC059" w14:textId="77777777">
      <w:pPr>
        <w:pStyle w:val="BodyText"/>
        <w:spacing w:before="174" w:line="249" w:lineRule="auto"/>
        <w:ind w:left="571" w:right="686"/>
      </w:pPr>
      <w:r>
        <w:rPr>
          <w:b/>
        </w:rPr>
        <w:t xml:space="preserve">Reporting: </w:t>
      </w:r>
      <w:r>
        <w:t xml:space="preserve">To prevent duplicative reporting (i.e., to ensure that the participants who triggered a single-cause reporting requirement do not also trigger an attrition event), the 230 participants who triggered that single-cause reporting requirement are not </w:t>
      </w:r>
      <w:proofErr w:type="gramStart"/>
      <w:r>
        <w:t>taken into account</w:t>
      </w:r>
      <w:proofErr w:type="gramEnd"/>
      <w:r>
        <w:t xml:space="preserve"> for purposes of determining whether an attrition event occurred. This is accomplished by increasing the year-end count by 230. Therefore, the applicable percentage for the attrition determination is 83 percent (i.e., (600 + 230)/1,000 = .83). Because 83 percent is greater than 80 percent, an attrition event has not occurred.</w:t>
      </w:r>
    </w:p>
    <w:p w:rsidR="005D3966" w:rsidRDefault="001C5FE1" w14:paraId="4E2BF99D" w14:textId="77777777">
      <w:pPr>
        <w:pStyle w:val="Heading2"/>
        <w:numPr>
          <w:ilvl w:val="0"/>
          <w:numId w:val="19"/>
        </w:numPr>
        <w:tabs>
          <w:tab w:val="left" w:pos="841"/>
        </w:tabs>
        <w:spacing w:before="159"/>
        <w:ind w:left="840" w:hanging="270"/>
        <w:jc w:val="left"/>
      </w:pPr>
      <w:r>
        <w:t>Single-cause event spread out over multiple</w:t>
      </w:r>
      <w:r>
        <w:rPr>
          <w:spacing w:val="-5"/>
        </w:rPr>
        <w:t xml:space="preserve"> </w:t>
      </w:r>
      <w:r>
        <w:t>dates.</w:t>
      </w:r>
    </w:p>
    <w:p w:rsidR="005D3966" w:rsidRDefault="001C5FE1" w14:paraId="0813C971" w14:textId="77777777">
      <w:pPr>
        <w:pStyle w:val="BodyText"/>
        <w:spacing w:before="172"/>
        <w:ind w:left="571" w:right="844"/>
      </w:pPr>
      <w:r>
        <w:rPr>
          <w:b/>
        </w:rPr>
        <w:t xml:space="preserve">Facts: </w:t>
      </w:r>
      <w:r>
        <w:t>Assume the same facts as in example 1 except that the layoffs resulting from the business unit shut down are spread out over several months. The following table summarizes the applicable calculations:</w:t>
      </w:r>
    </w:p>
    <w:p w:rsidR="005D3966" w:rsidRDefault="005D3966" w14:paraId="7A239983" w14:textId="77777777">
      <w:pPr>
        <w:pStyle w:val="BodyText"/>
        <w:rPr>
          <w:sz w:val="20"/>
        </w:rPr>
      </w:pPr>
    </w:p>
    <w:p w:rsidR="005D3966" w:rsidRDefault="005D3966" w14:paraId="42C52FE6" w14:textId="77777777">
      <w:pPr>
        <w:pStyle w:val="BodyText"/>
        <w:spacing w:before="3"/>
        <w:rPr>
          <w:sz w:val="19"/>
        </w:rPr>
      </w:pPr>
    </w:p>
    <w:tbl>
      <w:tblPr>
        <w:tblW w:w="0" w:type="auto"/>
        <w:tblInd w:w="102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975"/>
        <w:gridCol w:w="1891"/>
        <w:gridCol w:w="2433"/>
        <w:gridCol w:w="2519"/>
      </w:tblGrid>
      <w:tr w:rsidR="005D3966" w14:paraId="4D078EEA" w14:textId="77777777">
        <w:trPr>
          <w:trHeight w:val="459"/>
        </w:trPr>
        <w:tc>
          <w:tcPr>
            <w:tcW w:w="1975" w:type="dxa"/>
          </w:tcPr>
          <w:p w:rsidR="005D3966" w:rsidRDefault="001C5FE1" w14:paraId="21CB6765" w14:textId="77777777">
            <w:pPr>
              <w:pStyle w:val="TableParagraph"/>
              <w:rPr>
                <w:b/>
                <w:sz w:val="20"/>
              </w:rPr>
            </w:pPr>
            <w:r>
              <w:rPr>
                <w:b/>
                <w:sz w:val="20"/>
              </w:rPr>
              <w:t>Date</w:t>
            </w:r>
          </w:p>
        </w:tc>
        <w:tc>
          <w:tcPr>
            <w:tcW w:w="1891" w:type="dxa"/>
          </w:tcPr>
          <w:p w:rsidR="005D3966" w:rsidRDefault="001C5FE1" w14:paraId="134A4331" w14:textId="77777777">
            <w:pPr>
              <w:pStyle w:val="TableParagraph"/>
              <w:rPr>
                <w:b/>
                <w:sz w:val="20"/>
              </w:rPr>
            </w:pPr>
            <w:r>
              <w:rPr>
                <w:b/>
                <w:sz w:val="20"/>
              </w:rPr>
              <w:t>Number laid-off</w:t>
            </w:r>
          </w:p>
        </w:tc>
        <w:tc>
          <w:tcPr>
            <w:tcW w:w="2433" w:type="dxa"/>
          </w:tcPr>
          <w:p w:rsidR="005D3966" w:rsidRDefault="001C5FE1" w14:paraId="23007CCE" w14:textId="77777777">
            <w:pPr>
              <w:pStyle w:val="TableParagraph"/>
              <w:rPr>
                <w:b/>
                <w:sz w:val="20"/>
              </w:rPr>
            </w:pPr>
            <w:r>
              <w:rPr>
                <w:b/>
                <w:sz w:val="20"/>
              </w:rPr>
              <w:t>Aggregate Reduction</w:t>
            </w:r>
          </w:p>
        </w:tc>
        <w:tc>
          <w:tcPr>
            <w:tcW w:w="2519" w:type="dxa"/>
          </w:tcPr>
          <w:p w:rsidR="005D3966" w:rsidRDefault="001C5FE1" w14:paraId="64C0A1AE" w14:textId="77777777">
            <w:pPr>
              <w:pStyle w:val="TableParagraph"/>
              <w:ind w:left="108"/>
              <w:rPr>
                <w:b/>
                <w:sz w:val="20"/>
              </w:rPr>
            </w:pPr>
            <w:r>
              <w:rPr>
                <w:b/>
                <w:sz w:val="20"/>
              </w:rPr>
              <w:t>Applicable Percentage</w:t>
            </w:r>
          </w:p>
        </w:tc>
      </w:tr>
      <w:tr w:rsidR="005D3966" w14:paraId="25794516" w14:textId="77777777">
        <w:trPr>
          <w:trHeight w:val="630"/>
        </w:trPr>
        <w:tc>
          <w:tcPr>
            <w:tcW w:w="1975" w:type="dxa"/>
          </w:tcPr>
          <w:p w:rsidR="005D3966" w:rsidRDefault="001C5FE1" w14:paraId="360286C4" w14:textId="77777777">
            <w:pPr>
              <w:pStyle w:val="TableParagraph"/>
              <w:rPr>
                <w:sz w:val="20"/>
              </w:rPr>
            </w:pPr>
            <w:r>
              <w:rPr>
                <w:sz w:val="20"/>
              </w:rPr>
              <w:t>February 1</w:t>
            </w:r>
          </w:p>
        </w:tc>
        <w:tc>
          <w:tcPr>
            <w:tcW w:w="1891" w:type="dxa"/>
          </w:tcPr>
          <w:p w:rsidR="005D3966" w:rsidRDefault="001C5FE1" w14:paraId="19F8EC4A" w14:textId="77777777">
            <w:pPr>
              <w:pStyle w:val="TableParagraph"/>
              <w:rPr>
                <w:sz w:val="20"/>
              </w:rPr>
            </w:pPr>
            <w:r>
              <w:rPr>
                <w:sz w:val="20"/>
              </w:rPr>
              <w:t>50</w:t>
            </w:r>
          </w:p>
        </w:tc>
        <w:tc>
          <w:tcPr>
            <w:tcW w:w="2433" w:type="dxa"/>
          </w:tcPr>
          <w:p w:rsidR="005D3966" w:rsidRDefault="001C5FE1" w14:paraId="7D8D999D" w14:textId="77777777">
            <w:pPr>
              <w:pStyle w:val="TableParagraph"/>
              <w:rPr>
                <w:sz w:val="20"/>
              </w:rPr>
            </w:pPr>
            <w:r>
              <w:rPr>
                <w:sz w:val="20"/>
              </w:rPr>
              <w:t>50</w:t>
            </w:r>
          </w:p>
        </w:tc>
        <w:tc>
          <w:tcPr>
            <w:tcW w:w="2519" w:type="dxa"/>
          </w:tcPr>
          <w:p w:rsidR="005D3966" w:rsidRDefault="001C5FE1" w14:paraId="3C4B07DC" w14:textId="77777777">
            <w:pPr>
              <w:pStyle w:val="TableParagraph"/>
              <w:ind w:left="108"/>
              <w:rPr>
                <w:sz w:val="20"/>
              </w:rPr>
            </w:pPr>
            <w:r>
              <w:rPr>
                <w:sz w:val="20"/>
              </w:rPr>
              <w:t>50/1,000 = 5 percent</w:t>
            </w:r>
          </w:p>
        </w:tc>
      </w:tr>
      <w:tr w:rsidR="005D3966" w14:paraId="60257318" w14:textId="77777777">
        <w:trPr>
          <w:trHeight w:val="459"/>
        </w:trPr>
        <w:tc>
          <w:tcPr>
            <w:tcW w:w="1975" w:type="dxa"/>
          </w:tcPr>
          <w:p w:rsidR="005D3966" w:rsidRDefault="001C5FE1" w14:paraId="385C1F61" w14:textId="77777777">
            <w:pPr>
              <w:pStyle w:val="TableParagraph"/>
              <w:rPr>
                <w:sz w:val="20"/>
              </w:rPr>
            </w:pPr>
            <w:r>
              <w:rPr>
                <w:sz w:val="20"/>
              </w:rPr>
              <w:t>May 15</w:t>
            </w:r>
          </w:p>
        </w:tc>
        <w:tc>
          <w:tcPr>
            <w:tcW w:w="1891" w:type="dxa"/>
          </w:tcPr>
          <w:p w:rsidR="005D3966" w:rsidRDefault="001C5FE1" w14:paraId="412CA388" w14:textId="77777777">
            <w:pPr>
              <w:pStyle w:val="TableParagraph"/>
              <w:rPr>
                <w:sz w:val="20"/>
              </w:rPr>
            </w:pPr>
            <w:r>
              <w:rPr>
                <w:sz w:val="20"/>
              </w:rPr>
              <w:t>50</w:t>
            </w:r>
          </w:p>
        </w:tc>
        <w:tc>
          <w:tcPr>
            <w:tcW w:w="2433" w:type="dxa"/>
          </w:tcPr>
          <w:p w:rsidR="005D3966" w:rsidRDefault="001C5FE1" w14:paraId="688A6355" w14:textId="77777777">
            <w:pPr>
              <w:pStyle w:val="TableParagraph"/>
              <w:rPr>
                <w:sz w:val="20"/>
              </w:rPr>
            </w:pPr>
            <w:r>
              <w:rPr>
                <w:sz w:val="20"/>
              </w:rPr>
              <w:t>100</w:t>
            </w:r>
          </w:p>
        </w:tc>
        <w:tc>
          <w:tcPr>
            <w:tcW w:w="2519" w:type="dxa"/>
          </w:tcPr>
          <w:p w:rsidR="005D3966" w:rsidRDefault="001C5FE1" w14:paraId="2011A64C" w14:textId="77777777">
            <w:pPr>
              <w:pStyle w:val="TableParagraph"/>
              <w:ind w:left="108"/>
              <w:rPr>
                <w:sz w:val="20"/>
              </w:rPr>
            </w:pPr>
            <w:r>
              <w:rPr>
                <w:sz w:val="20"/>
              </w:rPr>
              <w:t>100/1,000 = 10 percent</w:t>
            </w:r>
          </w:p>
        </w:tc>
      </w:tr>
      <w:tr w:rsidR="005D3966" w14:paraId="03DD91E1" w14:textId="77777777">
        <w:trPr>
          <w:trHeight w:val="459"/>
        </w:trPr>
        <w:tc>
          <w:tcPr>
            <w:tcW w:w="1975" w:type="dxa"/>
          </w:tcPr>
          <w:p w:rsidR="005D3966" w:rsidRDefault="001C5FE1" w14:paraId="17BD567C" w14:textId="77777777">
            <w:pPr>
              <w:pStyle w:val="TableParagraph"/>
              <w:spacing w:before="2"/>
              <w:rPr>
                <w:sz w:val="20"/>
              </w:rPr>
            </w:pPr>
            <w:r>
              <w:rPr>
                <w:sz w:val="20"/>
              </w:rPr>
              <w:t>September 1</w:t>
            </w:r>
          </w:p>
        </w:tc>
        <w:tc>
          <w:tcPr>
            <w:tcW w:w="1891" w:type="dxa"/>
          </w:tcPr>
          <w:p w:rsidR="005D3966" w:rsidRDefault="001C5FE1" w14:paraId="55AB82B3" w14:textId="77777777">
            <w:pPr>
              <w:pStyle w:val="TableParagraph"/>
              <w:spacing w:before="2"/>
              <w:rPr>
                <w:sz w:val="20"/>
              </w:rPr>
            </w:pPr>
            <w:r>
              <w:rPr>
                <w:sz w:val="20"/>
              </w:rPr>
              <w:t>110</w:t>
            </w:r>
          </w:p>
        </w:tc>
        <w:tc>
          <w:tcPr>
            <w:tcW w:w="2433" w:type="dxa"/>
          </w:tcPr>
          <w:p w:rsidR="005D3966" w:rsidRDefault="001C5FE1" w14:paraId="2FC1FAF3" w14:textId="77777777">
            <w:pPr>
              <w:pStyle w:val="TableParagraph"/>
              <w:spacing w:before="2"/>
              <w:rPr>
                <w:sz w:val="20"/>
              </w:rPr>
            </w:pPr>
            <w:r>
              <w:rPr>
                <w:sz w:val="20"/>
              </w:rPr>
              <w:t>210</w:t>
            </w:r>
          </w:p>
        </w:tc>
        <w:tc>
          <w:tcPr>
            <w:tcW w:w="2519" w:type="dxa"/>
          </w:tcPr>
          <w:p w:rsidR="005D3966" w:rsidRDefault="001C5FE1" w14:paraId="3FC501A9" w14:textId="77777777">
            <w:pPr>
              <w:pStyle w:val="TableParagraph"/>
              <w:spacing w:before="2"/>
              <w:ind w:left="108"/>
              <w:rPr>
                <w:sz w:val="20"/>
              </w:rPr>
            </w:pPr>
            <w:r>
              <w:rPr>
                <w:sz w:val="20"/>
              </w:rPr>
              <w:t>210/1,000 = 21 percent</w:t>
            </w:r>
          </w:p>
        </w:tc>
      </w:tr>
      <w:tr w:rsidR="005D3966" w14:paraId="2C7FA703" w14:textId="77777777">
        <w:trPr>
          <w:trHeight w:val="459"/>
        </w:trPr>
        <w:tc>
          <w:tcPr>
            <w:tcW w:w="1975" w:type="dxa"/>
          </w:tcPr>
          <w:p w:rsidR="005D3966" w:rsidRDefault="001C5FE1" w14:paraId="66322447" w14:textId="77777777">
            <w:pPr>
              <w:pStyle w:val="TableParagraph"/>
              <w:spacing w:before="2"/>
              <w:rPr>
                <w:sz w:val="20"/>
              </w:rPr>
            </w:pPr>
            <w:r>
              <w:rPr>
                <w:sz w:val="20"/>
              </w:rPr>
              <w:t>November 1</w:t>
            </w:r>
          </w:p>
        </w:tc>
        <w:tc>
          <w:tcPr>
            <w:tcW w:w="1891" w:type="dxa"/>
          </w:tcPr>
          <w:p w:rsidR="005D3966" w:rsidRDefault="001C5FE1" w14:paraId="2CA692D5" w14:textId="77777777">
            <w:pPr>
              <w:pStyle w:val="TableParagraph"/>
              <w:spacing w:before="2"/>
              <w:rPr>
                <w:sz w:val="20"/>
              </w:rPr>
            </w:pPr>
            <w:r>
              <w:rPr>
                <w:sz w:val="20"/>
              </w:rPr>
              <w:t>40</w:t>
            </w:r>
          </w:p>
        </w:tc>
        <w:tc>
          <w:tcPr>
            <w:tcW w:w="2433" w:type="dxa"/>
          </w:tcPr>
          <w:p w:rsidR="005D3966" w:rsidRDefault="001C5FE1" w14:paraId="0D5BC375" w14:textId="77777777">
            <w:pPr>
              <w:pStyle w:val="TableParagraph"/>
              <w:spacing w:before="2"/>
              <w:rPr>
                <w:sz w:val="20"/>
              </w:rPr>
            </w:pPr>
            <w:r>
              <w:rPr>
                <w:sz w:val="20"/>
              </w:rPr>
              <w:t>250</w:t>
            </w:r>
          </w:p>
        </w:tc>
        <w:tc>
          <w:tcPr>
            <w:tcW w:w="2519" w:type="dxa"/>
          </w:tcPr>
          <w:p w:rsidR="005D3966" w:rsidRDefault="001C5FE1" w14:paraId="14661D53" w14:textId="77777777">
            <w:pPr>
              <w:pStyle w:val="TableParagraph"/>
              <w:spacing w:before="2"/>
              <w:ind w:left="108"/>
              <w:rPr>
                <w:sz w:val="20"/>
              </w:rPr>
            </w:pPr>
            <w:r>
              <w:rPr>
                <w:sz w:val="20"/>
              </w:rPr>
              <w:t>250/1,000 = 25 percent</w:t>
            </w:r>
          </w:p>
        </w:tc>
      </w:tr>
    </w:tbl>
    <w:p w:rsidR="005D3966" w:rsidRDefault="005D3966" w14:paraId="3836D7DC" w14:textId="77777777">
      <w:pPr>
        <w:rPr>
          <w:sz w:val="20"/>
        </w:rPr>
        <w:sectPr w:rsidR="005D3966">
          <w:pgSz w:w="12240" w:h="15840"/>
          <w:pgMar w:top="1060" w:right="660" w:bottom="720" w:left="700" w:header="318" w:footer="530" w:gutter="0"/>
          <w:cols w:space="720"/>
        </w:sectPr>
      </w:pPr>
    </w:p>
    <w:p w:rsidR="005D3966" w:rsidRDefault="001C5FE1" w14:paraId="2B03EE7C" w14:textId="77777777">
      <w:pPr>
        <w:pStyle w:val="BodyText"/>
        <w:spacing w:before="88"/>
        <w:ind w:left="451" w:right="775"/>
      </w:pPr>
      <w:r>
        <w:rPr>
          <w:b/>
        </w:rPr>
        <w:lastRenderedPageBreak/>
        <w:t xml:space="preserve">Reporting: </w:t>
      </w:r>
      <w:r>
        <w:t>A single-cause event occurs on September 1 because that is the first time the applicable percentage exceeds 20 percent. This event must be reported by October 1. The November 1 layoff does not trigger a subsequent single-cause event because the layoff is part of the same single-cause event already timely reported to PBGC. However, they will be considered in the determination of whether an attrition event occurs at year-end as explained below.</w:t>
      </w:r>
    </w:p>
    <w:p w:rsidR="005D3966" w:rsidRDefault="005D3966" w14:paraId="50E0E389" w14:textId="77777777">
      <w:pPr>
        <w:pStyle w:val="BodyText"/>
      </w:pPr>
    </w:p>
    <w:p w:rsidR="005D3966" w:rsidRDefault="001C5FE1" w14:paraId="5E85EC77" w14:textId="77777777">
      <w:pPr>
        <w:pStyle w:val="BodyText"/>
        <w:ind w:left="451" w:right="532"/>
      </w:pPr>
      <w:r>
        <w:t xml:space="preserve">As illustrated in example 2, for purposes of determining whether an attrition event has occurred, the year-end count is increased by the number of participants that triggered a single-cause event. In this case, that number is 210. The fact that an additional 40 active participants were laid off </w:t>
      </w:r>
      <w:proofErr w:type="gramStart"/>
      <w:r>
        <w:t>as a result of</w:t>
      </w:r>
      <w:proofErr w:type="gramEnd"/>
      <w:r>
        <w:t xml:space="preserve"> the business unit shut down after the single-cause event occurred does not affect the calculation because it was not already reported to PBGC. For example, if the year-end active participant count is 560, the number that gets compared to the beginning-of-year active participant count is 770 (i.e., 560 + 210 = 770). Because 770 is less than 80 percent of 1,000, an attrition event has occurred and must be reported.</w:t>
      </w:r>
    </w:p>
    <w:p w:rsidR="005D3966" w:rsidRDefault="005D3966" w14:paraId="52CD6812" w14:textId="77777777">
      <w:pPr>
        <w:pStyle w:val="BodyText"/>
        <w:spacing w:before="1"/>
      </w:pPr>
    </w:p>
    <w:p w:rsidR="005D3966" w:rsidRDefault="001C5FE1" w14:paraId="2D1E6863" w14:textId="77777777">
      <w:pPr>
        <w:pStyle w:val="Heading2"/>
        <w:numPr>
          <w:ilvl w:val="0"/>
          <w:numId w:val="19"/>
        </w:numPr>
        <w:tabs>
          <w:tab w:val="left" w:pos="721"/>
        </w:tabs>
        <w:ind w:left="720" w:hanging="270"/>
        <w:jc w:val="left"/>
      </w:pPr>
      <w:r>
        <w:t>Multiple single-cause events in same plan</w:t>
      </w:r>
      <w:r>
        <w:rPr>
          <w:spacing w:val="-2"/>
        </w:rPr>
        <w:t xml:space="preserve"> </w:t>
      </w:r>
      <w:r>
        <w:t>year.</w:t>
      </w:r>
    </w:p>
    <w:p w:rsidR="005D3966" w:rsidRDefault="005D3966" w14:paraId="02975C62" w14:textId="77777777">
      <w:pPr>
        <w:pStyle w:val="BodyText"/>
        <w:spacing w:before="10"/>
        <w:rPr>
          <w:rFonts w:ascii="Arial"/>
          <w:b/>
          <w:i/>
          <w:sz w:val="23"/>
        </w:rPr>
      </w:pPr>
    </w:p>
    <w:p w:rsidR="005D3966" w:rsidRDefault="001C5FE1" w14:paraId="03BFDAD8" w14:textId="77777777">
      <w:pPr>
        <w:pStyle w:val="BodyText"/>
        <w:spacing w:before="1"/>
        <w:ind w:left="451" w:right="569"/>
      </w:pPr>
      <w:r>
        <w:rPr>
          <w:b/>
        </w:rPr>
        <w:t xml:space="preserve">Facts: </w:t>
      </w:r>
      <w:r>
        <w:t xml:space="preserve">Assume the same facts as in example 1 except that the July 30 shutdown of the business unit resulted in 205 layoffs on that date. A single-cause event occurred and is timely reported. Later in the same plan year, the company announces an early retirement incentive </w:t>
      </w:r>
      <w:proofErr w:type="gramStart"/>
      <w:r>
        <w:t>program</w:t>
      </w:r>
      <w:proofErr w:type="gramEnd"/>
      <w:r>
        <w:t xml:space="preserve"> and 210 employees participate in the program with the last employees participating in the program retiring on November 15 of the plan year. A new single-cause event has occurred as of November 15 resulting in a reporting obligation of the active participant reduction due to the retirement incentive program (210/1000 = 21 percent).</w:t>
      </w:r>
    </w:p>
    <w:p w:rsidR="005D3966" w:rsidRDefault="005D3966" w14:paraId="723B4FA2" w14:textId="77777777">
      <w:pPr>
        <w:pStyle w:val="BodyText"/>
      </w:pPr>
    </w:p>
    <w:p w:rsidR="005D3966" w:rsidRDefault="001C5FE1" w14:paraId="686AEF67" w14:textId="77777777">
      <w:pPr>
        <w:ind w:left="451" w:right="1290"/>
        <w:rPr>
          <w:sz w:val="24"/>
        </w:rPr>
      </w:pPr>
      <w:r>
        <w:rPr>
          <w:b/>
          <w:color w:val="231F20"/>
          <w:sz w:val="24"/>
        </w:rPr>
        <w:t xml:space="preserve">Reporting Waivers — </w:t>
      </w:r>
      <w:r>
        <w:rPr>
          <w:color w:val="231F20"/>
          <w:sz w:val="24"/>
        </w:rPr>
        <w:t>Reporting of this event is waived under any of the following automatic waivers.</w:t>
      </w:r>
    </w:p>
    <w:p w:rsidR="005D3966" w:rsidRDefault="005D3966" w14:paraId="696F332F" w14:textId="77777777">
      <w:pPr>
        <w:pStyle w:val="BodyText"/>
        <w:spacing w:before="8"/>
        <w:rPr>
          <w:sz w:val="32"/>
        </w:rPr>
      </w:pPr>
    </w:p>
    <w:p w:rsidR="005D3966" w:rsidRDefault="001C5FE1" w14:paraId="6A0B7A13" w14:textId="77777777">
      <w:pPr>
        <w:pStyle w:val="BodyText"/>
        <w:spacing w:before="1" w:line="247" w:lineRule="auto"/>
        <w:ind w:left="452" w:right="569"/>
      </w:pPr>
      <w:r>
        <w:rPr>
          <w:i/>
          <w:color w:val="231F20"/>
        </w:rPr>
        <w:t xml:space="preserve">Small plan. </w:t>
      </w:r>
      <w:r>
        <w:rPr>
          <w:color w:val="231F20"/>
        </w:rPr>
        <w:t>The plan had 100 or fewer participants for whom flat-rate premiums were payable for the plan year preceding the event year.</w:t>
      </w:r>
    </w:p>
    <w:p w:rsidR="005D3966" w:rsidRDefault="005D3966" w14:paraId="5557093C" w14:textId="77777777">
      <w:pPr>
        <w:pStyle w:val="BodyText"/>
        <w:spacing w:before="5"/>
        <w:rPr>
          <w:sz w:val="25"/>
        </w:rPr>
      </w:pPr>
    </w:p>
    <w:p w:rsidR="005D3966" w:rsidRDefault="001C5FE1" w14:paraId="070A36F1" w14:textId="77777777">
      <w:pPr>
        <w:pStyle w:val="BodyText"/>
        <w:spacing w:line="249" w:lineRule="auto"/>
        <w:ind w:left="451" w:right="1117"/>
      </w:pPr>
      <w:r>
        <w:rPr>
          <w:i/>
          <w:color w:val="231F20"/>
        </w:rPr>
        <w:t xml:space="preserve">Low-default-risk. </w:t>
      </w:r>
      <w:r>
        <w:rPr>
          <w:color w:val="231F20"/>
        </w:rPr>
        <w:t>Each contributing sponsor of the plan and the highest-level U.S. parent of each contributing sponsor are low-default-risk on the date of the event.</w:t>
      </w:r>
    </w:p>
    <w:p w:rsidR="005D3966" w:rsidRDefault="001C5FE1" w14:paraId="2DEA5D7F" w14:textId="77777777">
      <w:pPr>
        <w:spacing w:before="108"/>
        <w:ind w:left="452"/>
        <w:rPr>
          <w:i/>
          <w:sz w:val="24"/>
        </w:rPr>
      </w:pPr>
      <w:r>
        <w:rPr>
          <w:i/>
          <w:color w:val="231F20"/>
          <w:sz w:val="24"/>
        </w:rPr>
        <w:t>Special Note for Low-default risk waiver:</w:t>
      </w:r>
    </w:p>
    <w:p w:rsidR="005D3966" w:rsidRDefault="005D3966" w14:paraId="13118F7B" w14:textId="77777777">
      <w:pPr>
        <w:pStyle w:val="BodyText"/>
        <w:spacing w:before="1"/>
        <w:rPr>
          <w:i/>
          <w:sz w:val="26"/>
        </w:rPr>
      </w:pPr>
    </w:p>
    <w:p w:rsidR="005D3966" w:rsidRDefault="001C5FE1" w14:paraId="23BA19F5" w14:textId="77777777">
      <w:pPr>
        <w:spacing w:line="249" w:lineRule="auto"/>
        <w:ind w:left="452" w:right="825"/>
        <w:rPr>
          <w:i/>
          <w:sz w:val="24"/>
        </w:rPr>
      </w:pPr>
      <w:r>
        <w:rPr>
          <w:i/>
          <w:color w:val="231F20"/>
          <w:sz w:val="24"/>
        </w:rPr>
        <w:t>For reporting to be waived for an event to which the safe harbor applies, both the contributing sponsor and the highest-level U.S. parent of the contributing sponsor must satisfy the company low- default-risk waiver.</w:t>
      </w:r>
    </w:p>
    <w:p w:rsidR="005D3966" w:rsidRDefault="005D3966" w14:paraId="35828F4A" w14:textId="77777777">
      <w:pPr>
        <w:pStyle w:val="BodyText"/>
        <w:spacing w:before="8"/>
        <w:rPr>
          <w:i/>
        </w:rPr>
      </w:pPr>
    </w:p>
    <w:p w:rsidR="005D3966" w:rsidRDefault="001C5FE1" w14:paraId="6CBFE811" w14:textId="77777777">
      <w:pPr>
        <w:spacing w:line="249" w:lineRule="auto"/>
        <w:ind w:left="452" w:right="658"/>
        <w:rPr>
          <w:i/>
          <w:sz w:val="24"/>
        </w:rPr>
      </w:pPr>
      <w:r>
        <w:rPr>
          <w:i/>
          <w:color w:val="231F20"/>
          <w:sz w:val="24"/>
        </w:rPr>
        <w:t>A company is to determine whether it qualifies for the low-default-risk waiver once during an annual financial reporting cycle (on a “financial information date”). If it qualifies on that financial information date, its qualification remains in place throughout a “waiver period” that ends 13 months later or on the next financial information date (if earlier).</w:t>
      </w:r>
      <w:hyperlink w:history="1" w:anchor="_bookmark1">
        <w:r>
          <w:rPr>
            <w:i/>
            <w:color w:val="231F20"/>
            <w:sz w:val="24"/>
            <w:vertAlign w:val="superscript"/>
          </w:rPr>
          <w:t>2</w:t>
        </w:r>
        <w:r>
          <w:rPr>
            <w:i/>
            <w:color w:val="231F20"/>
            <w:sz w:val="24"/>
          </w:rPr>
          <w:t xml:space="preserve"> </w:t>
        </w:r>
      </w:hyperlink>
      <w:r>
        <w:rPr>
          <w:i/>
          <w:color w:val="231F20"/>
          <w:sz w:val="24"/>
        </w:rPr>
        <w:t>If it does not qualify, its non- qualified status remains in place until the next financial information date. The financial information date is the date annual financial statements are filed with the SEC or the closing date of the annual</w:t>
      </w:r>
    </w:p>
    <w:p w:rsidR="005D3966" w:rsidRDefault="005D3966" w14:paraId="1936BA61" w14:textId="77777777">
      <w:pPr>
        <w:pStyle w:val="BodyText"/>
        <w:rPr>
          <w:i/>
          <w:sz w:val="20"/>
        </w:rPr>
      </w:pPr>
    </w:p>
    <w:p w:rsidR="005D3966" w:rsidRDefault="004C650B" w14:paraId="6398EBC9" w14:textId="77777777">
      <w:pPr>
        <w:pStyle w:val="BodyText"/>
        <w:spacing w:before="2"/>
        <w:rPr>
          <w:i/>
          <w:sz w:val="10"/>
        </w:rPr>
      </w:pPr>
      <w:r>
        <w:pict w14:anchorId="115D9420">
          <v:rect id="_x0000_s1031" style="position:absolute;margin-left:57.6pt;margin-top:7.8pt;width:2in;height:.6pt;z-index:-15727104;mso-wrap-distance-left:0;mso-wrap-distance-right:0;mso-position-horizontal-relative:page" fillcolor="black" stroked="f">
            <w10:wrap type="topAndBottom" anchorx="page"/>
          </v:rect>
        </w:pict>
      </w:r>
    </w:p>
    <w:p w:rsidR="005D3966" w:rsidRDefault="001C5FE1" w14:paraId="7C9A61F8" w14:textId="77777777">
      <w:pPr>
        <w:spacing w:before="65"/>
        <w:ind w:left="452"/>
        <w:rPr>
          <w:sz w:val="20"/>
        </w:rPr>
      </w:pPr>
      <w:bookmarkStart w:name="_bookmark1" w:id="15"/>
      <w:bookmarkEnd w:id="15"/>
      <w:r>
        <w:rPr>
          <w:sz w:val="20"/>
          <w:vertAlign w:val="superscript"/>
        </w:rPr>
        <w:t>2</w:t>
      </w:r>
      <w:r>
        <w:rPr>
          <w:sz w:val="20"/>
        </w:rPr>
        <w:t xml:space="preserve"> Thirteen months allows for some variation from year to year on the date that annual financials are reported.</w:t>
      </w:r>
    </w:p>
    <w:p w:rsidR="005D3966" w:rsidRDefault="005D3966" w14:paraId="49AD7322" w14:textId="77777777">
      <w:pPr>
        <w:rPr>
          <w:sz w:val="20"/>
        </w:rPr>
        <w:sectPr w:rsidR="005D3966">
          <w:pgSz w:w="12240" w:h="15840"/>
          <w:pgMar w:top="1060" w:right="660" w:bottom="720" w:left="700" w:header="318" w:footer="530" w:gutter="0"/>
          <w:cols w:space="720"/>
        </w:sectPr>
      </w:pPr>
    </w:p>
    <w:p w:rsidR="005D3966" w:rsidRDefault="001C5FE1" w14:paraId="1E26CBED" w14:textId="77777777">
      <w:pPr>
        <w:spacing w:before="88" w:line="249" w:lineRule="auto"/>
        <w:ind w:left="452" w:right="864"/>
        <w:rPr>
          <w:i/>
          <w:sz w:val="24"/>
        </w:rPr>
      </w:pPr>
      <w:r>
        <w:rPr>
          <w:i/>
          <w:color w:val="231F20"/>
          <w:sz w:val="24"/>
        </w:rPr>
        <w:lastRenderedPageBreak/>
        <w:t>accounting cycle. If audited financial information is not available, the date is the date the company files its annual federal in- come tax returns or IRS Form 990. If an accountant’s audit or review report expresses a material adverse view or qualification, the company will not satisfy the low- default-risk standard for the waiver.</w:t>
      </w:r>
    </w:p>
    <w:p w:rsidR="005D3966" w:rsidRDefault="005D3966" w14:paraId="5169FE24" w14:textId="77777777">
      <w:pPr>
        <w:pStyle w:val="BodyText"/>
        <w:rPr>
          <w:i/>
          <w:sz w:val="26"/>
        </w:rPr>
      </w:pPr>
    </w:p>
    <w:p w:rsidR="005D3966" w:rsidRDefault="001C5FE1" w14:paraId="6A478A03" w14:textId="77777777">
      <w:pPr>
        <w:spacing w:before="168"/>
        <w:ind w:left="572"/>
        <w:rPr>
          <w:sz w:val="24"/>
        </w:rPr>
      </w:pPr>
      <w:r>
        <w:rPr>
          <w:i/>
          <w:color w:val="231F20"/>
          <w:sz w:val="24"/>
        </w:rPr>
        <w:t xml:space="preserve">Well-funded plan. </w:t>
      </w:r>
      <w:r>
        <w:rPr>
          <w:color w:val="231F20"/>
          <w:sz w:val="24"/>
        </w:rPr>
        <w:t>The plan is in the well-funded plan safe harbor for the event year.</w:t>
      </w:r>
    </w:p>
    <w:p w:rsidR="005D3966" w:rsidRDefault="005D3966" w14:paraId="5586743F" w14:textId="77777777">
      <w:pPr>
        <w:pStyle w:val="BodyText"/>
        <w:spacing w:before="7"/>
        <w:rPr>
          <w:sz w:val="25"/>
        </w:rPr>
      </w:pPr>
    </w:p>
    <w:p w:rsidR="005D3966" w:rsidRDefault="001C5FE1" w14:paraId="222688F4" w14:textId="77777777">
      <w:pPr>
        <w:pStyle w:val="BodyText"/>
        <w:spacing w:before="1" w:line="249" w:lineRule="auto"/>
        <w:ind w:left="571" w:right="811"/>
      </w:pPr>
      <w:r>
        <w:rPr>
          <w:i/>
          <w:color w:val="231F20"/>
        </w:rPr>
        <w:t xml:space="preserve">Public company. </w:t>
      </w:r>
      <w:r>
        <w:rPr>
          <w:color w:val="231F20"/>
        </w:rPr>
        <w:t>Any contributing sponsor of the plan before the reduction, or the parent company within a parent-subsidiary controlled group of any such contributing sponsor, is a public company and timely files a SEC Form 8-K disclosing the event under an item of the Form 8-K other than under Item 2.02 (Results of Operations and Financial Condition) or in financial statements under Item 9.01 (Financial Statements and Exhibits).</w:t>
      </w:r>
    </w:p>
    <w:p w:rsidR="005D3966" w:rsidRDefault="005D3966" w14:paraId="3B60B9FB" w14:textId="77777777">
      <w:pPr>
        <w:pStyle w:val="BodyText"/>
        <w:spacing w:before="7"/>
      </w:pPr>
    </w:p>
    <w:p w:rsidR="005D3966" w:rsidRDefault="001C5FE1" w14:paraId="08CB94A6" w14:textId="77777777">
      <w:pPr>
        <w:ind w:left="572"/>
        <w:rPr>
          <w:i/>
          <w:sz w:val="24"/>
        </w:rPr>
      </w:pPr>
      <w:r>
        <w:rPr>
          <w:i/>
          <w:color w:val="231F20"/>
          <w:sz w:val="24"/>
        </w:rPr>
        <w:t>Note: Disclosing the following information is sufficient for the public company waiver to apply:</w:t>
      </w:r>
    </w:p>
    <w:p w:rsidR="005D3966" w:rsidRDefault="001C5FE1" w14:paraId="05125C35" w14:textId="77777777">
      <w:pPr>
        <w:pStyle w:val="ListParagraph"/>
        <w:numPr>
          <w:ilvl w:val="0"/>
          <w:numId w:val="18"/>
        </w:numPr>
        <w:tabs>
          <w:tab w:val="left" w:pos="1291"/>
          <w:tab w:val="left" w:pos="1292"/>
        </w:tabs>
        <w:spacing w:before="12"/>
        <w:ind w:hanging="361"/>
        <w:rPr>
          <w:sz w:val="24"/>
        </w:rPr>
      </w:pPr>
      <w:r>
        <w:rPr>
          <w:color w:val="231F20"/>
          <w:sz w:val="24"/>
        </w:rPr>
        <w:t>Plan</w:t>
      </w:r>
      <w:r>
        <w:rPr>
          <w:color w:val="231F20"/>
          <w:spacing w:val="-1"/>
          <w:sz w:val="24"/>
        </w:rPr>
        <w:t xml:space="preserve"> </w:t>
      </w:r>
      <w:r>
        <w:rPr>
          <w:color w:val="231F20"/>
          <w:sz w:val="24"/>
        </w:rPr>
        <w:t>Name.</w:t>
      </w:r>
    </w:p>
    <w:p w:rsidR="005D3966" w:rsidRDefault="001C5FE1" w14:paraId="2C67FDB3" w14:textId="77777777">
      <w:pPr>
        <w:pStyle w:val="ListParagraph"/>
        <w:numPr>
          <w:ilvl w:val="0"/>
          <w:numId w:val="18"/>
        </w:numPr>
        <w:tabs>
          <w:tab w:val="left" w:pos="1291"/>
          <w:tab w:val="left" w:pos="1292"/>
        </w:tabs>
        <w:spacing w:before="8"/>
        <w:ind w:hanging="361"/>
        <w:rPr>
          <w:sz w:val="24"/>
        </w:rPr>
      </w:pPr>
      <w:r>
        <w:rPr>
          <w:color w:val="231F20"/>
          <w:sz w:val="24"/>
        </w:rPr>
        <w:t>Date of the</w:t>
      </w:r>
      <w:r>
        <w:rPr>
          <w:color w:val="231F20"/>
          <w:spacing w:val="-2"/>
          <w:sz w:val="24"/>
        </w:rPr>
        <w:t xml:space="preserve"> </w:t>
      </w:r>
      <w:r>
        <w:rPr>
          <w:color w:val="231F20"/>
          <w:sz w:val="24"/>
        </w:rPr>
        <w:t>event.</w:t>
      </w:r>
    </w:p>
    <w:p w:rsidR="005D3966" w:rsidRDefault="001C5FE1" w14:paraId="2C7C8875" w14:textId="77777777">
      <w:pPr>
        <w:pStyle w:val="ListParagraph"/>
        <w:numPr>
          <w:ilvl w:val="0"/>
          <w:numId w:val="18"/>
        </w:numPr>
        <w:tabs>
          <w:tab w:val="left" w:pos="1291"/>
          <w:tab w:val="left" w:pos="1292"/>
        </w:tabs>
        <w:spacing w:before="11"/>
        <w:ind w:hanging="361"/>
        <w:rPr>
          <w:sz w:val="24"/>
        </w:rPr>
      </w:pPr>
      <w:r>
        <w:rPr>
          <w:color w:val="231F20"/>
          <w:sz w:val="24"/>
        </w:rPr>
        <w:t>Type of</w:t>
      </w:r>
      <w:r>
        <w:rPr>
          <w:color w:val="231F20"/>
          <w:spacing w:val="-3"/>
          <w:sz w:val="24"/>
        </w:rPr>
        <w:t xml:space="preserve"> </w:t>
      </w:r>
      <w:r>
        <w:rPr>
          <w:color w:val="231F20"/>
          <w:sz w:val="24"/>
        </w:rPr>
        <w:t>event.</w:t>
      </w:r>
    </w:p>
    <w:p w:rsidR="005D3966" w:rsidRDefault="001C5FE1" w14:paraId="408BAE78" w14:textId="77777777">
      <w:pPr>
        <w:pStyle w:val="ListParagraph"/>
        <w:numPr>
          <w:ilvl w:val="0"/>
          <w:numId w:val="18"/>
        </w:numPr>
        <w:tabs>
          <w:tab w:val="left" w:pos="1291"/>
          <w:tab w:val="left" w:pos="1292"/>
        </w:tabs>
        <w:spacing w:before="8"/>
        <w:ind w:hanging="361"/>
        <w:rPr>
          <w:sz w:val="24"/>
        </w:rPr>
      </w:pPr>
      <w:r>
        <w:rPr>
          <w:color w:val="231F20"/>
          <w:sz w:val="24"/>
        </w:rPr>
        <w:t>Brief description of the pertinent facts relating to each</w:t>
      </w:r>
      <w:r>
        <w:rPr>
          <w:color w:val="231F20"/>
          <w:spacing w:val="-5"/>
          <w:sz w:val="24"/>
        </w:rPr>
        <w:t xml:space="preserve"> </w:t>
      </w:r>
      <w:r>
        <w:rPr>
          <w:color w:val="231F20"/>
          <w:sz w:val="24"/>
        </w:rPr>
        <w:t>event:</w:t>
      </w:r>
    </w:p>
    <w:p w:rsidR="005D3966" w:rsidRDefault="001C5FE1" w14:paraId="49B113C0" w14:textId="77777777">
      <w:pPr>
        <w:pStyle w:val="ListParagraph"/>
        <w:numPr>
          <w:ilvl w:val="1"/>
          <w:numId w:val="18"/>
        </w:numPr>
        <w:tabs>
          <w:tab w:val="left" w:pos="2012"/>
        </w:tabs>
        <w:spacing w:before="9"/>
        <w:ind w:left="2011" w:right="671"/>
        <w:rPr>
          <w:sz w:val="24"/>
        </w:rPr>
      </w:pPr>
      <w:r>
        <w:rPr>
          <w:b/>
          <w:color w:val="231F20"/>
          <w:sz w:val="24"/>
        </w:rPr>
        <w:t>For a single-cause event</w:t>
      </w:r>
      <w:r>
        <w:rPr>
          <w:color w:val="231F20"/>
          <w:sz w:val="24"/>
        </w:rPr>
        <w:t>. A statement explaining the cause of the reduction, such as a facility shutdown or sale, discontinued operations, winding down of the company, or reduction in</w:t>
      </w:r>
      <w:r>
        <w:rPr>
          <w:color w:val="231F20"/>
          <w:spacing w:val="-2"/>
          <w:sz w:val="24"/>
        </w:rPr>
        <w:t xml:space="preserve"> </w:t>
      </w:r>
      <w:r>
        <w:rPr>
          <w:color w:val="231F20"/>
          <w:sz w:val="24"/>
        </w:rPr>
        <w:t>force.</w:t>
      </w:r>
    </w:p>
    <w:p w:rsidR="005D3966" w:rsidRDefault="001C5FE1" w14:paraId="294F84A5" w14:textId="77777777">
      <w:pPr>
        <w:pStyle w:val="ListParagraph"/>
        <w:numPr>
          <w:ilvl w:val="1"/>
          <w:numId w:val="18"/>
        </w:numPr>
        <w:tabs>
          <w:tab w:val="left" w:pos="2012"/>
        </w:tabs>
        <w:spacing w:before="11"/>
        <w:ind w:left="2011" w:right="603"/>
        <w:rPr>
          <w:sz w:val="24"/>
        </w:rPr>
      </w:pPr>
      <w:r>
        <w:rPr>
          <w:b/>
          <w:color w:val="231F20"/>
          <w:sz w:val="24"/>
        </w:rPr>
        <w:t>For an attrition event</w:t>
      </w:r>
      <w:r>
        <w:rPr>
          <w:color w:val="231F20"/>
          <w:sz w:val="24"/>
        </w:rPr>
        <w:t>. A statement of factors involved in the attrition such as</w:t>
      </w:r>
      <w:r>
        <w:rPr>
          <w:color w:val="231F20"/>
          <w:spacing w:val="-20"/>
          <w:sz w:val="24"/>
        </w:rPr>
        <w:t xml:space="preserve"> </w:t>
      </w:r>
      <w:r>
        <w:rPr>
          <w:color w:val="231F20"/>
          <w:sz w:val="24"/>
        </w:rPr>
        <w:t>frozen plan, aging workforce, or improved operational efficiencies that do not require replacing departing active</w:t>
      </w:r>
      <w:r>
        <w:rPr>
          <w:color w:val="231F20"/>
          <w:spacing w:val="-2"/>
          <w:sz w:val="24"/>
        </w:rPr>
        <w:t xml:space="preserve"> </w:t>
      </w:r>
      <w:r>
        <w:rPr>
          <w:color w:val="231F20"/>
          <w:sz w:val="24"/>
        </w:rPr>
        <w:t>participants.</w:t>
      </w:r>
    </w:p>
    <w:p w:rsidR="005D3966" w:rsidRDefault="005D3966" w14:paraId="6AA063E3" w14:textId="77777777">
      <w:pPr>
        <w:pStyle w:val="BodyText"/>
        <w:spacing w:before="9"/>
        <w:rPr>
          <w:sz w:val="25"/>
        </w:rPr>
      </w:pPr>
    </w:p>
    <w:p w:rsidR="005D3966" w:rsidRDefault="001C5FE1" w14:paraId="2624F347" w14:textId="77777777">
      <w:pPr>
        <w:spacing w:line="247" w:lineRule="auto"/>
        <w:ind w:left="572" w:right="742"/>
        <w:rPr>
          <w:sz w:val="24"/>
        </w:rPr>
      </w:pPr>
      <w:r>
        <w:rPr>
          <w:b/>
          <w:color w:val="231F20"/>
          <w:sz w:val="24"/>
        </w:rPr>
        <w:t xml:space="preserve">Extension of Reporting Deadline for Attrition Events </w:t>
      </w:r>
      <w:r>
        <w:rPr>
          <w:color w:val="231F20"/>
          <w:sz w:val="24"/>
        </w:rPr>
        <w:t>— For an attrition event, the notice date is extended until the premium due date for the plan year following the event year.</w:t>
      </w:r>
    </w:p>
    <w:p w:rsidR="005D3966" w:rsidRDefault="005D3966" w14:paraId="7295AF46" w14:textId="77777777">
      <w:pPr>
        <w:pStyle w:val="BodyText"/>
        <w:spacing w:before="4"/>
        <w:rPr>
          <w:sz w:val="29"/>
        </w:rPr>
      </w:pPr>
    </w:p>
    <w:p w:rsidR="005D3966" w:rsidRDefault="001C5FE1" w14:paraId="73721161" w14:textId="77777777">
      <w:pPr>
        <w:pStyle w:val="Heading1"/>
        <w:numPr>
          <w:ilvl w:val="0"/>
          <w:numId w:val="21"/>
        </w:numPr>
        <w:tabs>
          <w:tab w:val="left" w:pos="992"/>
        </w:tabs>
        <w:ind w:left="992" w:hanging="401"/>
        <w:jc w:val="left"/>
      </w:pPr>
      <w:r>
        <w:rPr>
          <w:color w:val="231F20"/>
        </w:rPr>
        <w:t>Failure to Make Required Minimum Funding</w:t>
      </w:r>
      <w:r>
        <w:rPr>
          <w:color w:val="231F20"/>
          <w:spacing w:val="8"/>
        </w:rPr>
        <w:t xml:space="preserve"> </w:t>
      </w:r>
      <w:r>
        <w:rPr>
          <w:color w:val="231F20"/>
        </w:rPr>
        <w:t>Payment</w:t>
      </w:r>
    </w:p>
    <w:p w:rsidR="005D3966" w:rsidRDefault="001C5FE1" w14:paraId="7A11A74D" w14:textId="77777777">
      <w:pPr>
        <w:pStyle w:val="BodyText"/>
        <w:spacing w:before="9"/>
        <w:ind w:left="591"/>
      </w:pPr>
      <w:r>
        <w:rPr>
          <w:color w:val="231F20"/>
        </w:rPr>
        <w:t>(see 29 CFR 4043.25)</w:t>
      </w:r>
    </w:p>
    <w:p w:rsidR="005D3966" w:rsidRDefault="005D3966" w14:paraId="124C38ED" w14:textId="77777777">
      <w:pPr>
        <w:pStyle w:val="BodyText"/>
        <w:spacing w:before="3"/>
        <w:rPr>
          <w:sz w:val="26"/>
        </w:rPr>
      </w:pPr>
    </w:p>
    <w:p w:rsidR="005D3966" w:rsidRDefault="001C5FE1" w14:paraId="11308AA2" w14:textId="77777777">
      <w:pPr>
        <w:pStyle w:val="BodyText"/>
        <w:spacing w:line="247" w:lineRule="auto"/>
        <w:ind w:left="591" w:right="569"/>
      </w:pPr>
      <w:r>
        <w:rPr>
          <w:b/>
          <w:color w:val="231F20"/>
        </w:rPr>
        <w:t xml:space="preserve">Definition of Event </w:t>
      </w:r>
      <w:r>
        <w:rPr>
          <w:color w:val="231F20"/>
        </w:rPr>
        <w:t>— A reportable event occurs when a contribution required under sections 302 and 303 of ERISA or sections 412 and 430 of the Code is not made by the due date for the payment or any other contribution required as a condition of a funding waiver is not made when due.</w:t>
      </w:r>
    </w:p>
    <w:p w:rsidR="005D3966" w:rsidRDefault="005D3966" w14:paraId="0E43149D" w14:textId="77777777">
      <w:pPr>
        <w:pStyle w:val="BodyText"/>
        <w:spacing w:before="7"/>
        <w:rPr>
          <w:sz w:val="25"/>
        </w:rPr>
      </w:pPr>
    </w:p>
    <w:p w:rsidR="005D3966" w:rsidRDefault="001C5FE1" w14:paraId="3E7A8182" w14:textId="77777777">
      <w:pPr>
        <w:spacing w:line="249" w:lineRule="auto"/>
        <w:ind w:left="591" w:right="589"/>
        <w:rPr>
          <w:i/>
          <w:sz w:val="24"/>
        </w:rPr>
      </w:pPr>
      <w:r>
        <w:rPr>
          <w:i/>
          <w:color w:val="231F20"/>
          <w:sz w:val="24"/>
        </w:rPr>
        <w:t>Note: If a contributing sponsor or controlled group member files a complete Form 200 with PBGC within 10 days of the due date of the payment in accordance with 29 CFR § 4043.81, the Form 200 filing satisfies the notice requirement for this event. However, Form 10 may also be filed if desired. Choosing to rely on Form 200 to satisfy the Form 10 filing requirement does not make the Form 200 a reportable event filing under section 4043 of ERISA and does not give the Form 200 filing the benefit of the confidentiality protection for reportable event notices under section 4043(f) of ERISA.</w:t>
      </w:r>
    </w:p>
    <w:p w:rsidR="005D3966" w:rsidRDefault="005D3966" w14:paraId="7CC73416" w14:textId="77777777">
      <w:pPr>
        <w:pStyle w:val="BodyText"/>
        <w:spacing w:before="11"/>
        <w:rPr>
          <w:i/>
        </w:rPr>
      </w:pPr>
    </w:p>
    <w:p w:rsidR="005D3966" w:rsidRDefault="001C5FE1" w14:paraId="0126245C" w14:textId="77777777">
      <w:pPr>
        <w:spacing w:line="249" w:lineRule="auto"/>
        <w:ind w:left="591" w:right="1150"/>
        <w:rPr>
          <w:sz w:val="24"/>
        </w:rPr>
      </w:pPr>
      <w:r>
        <w:rPr>
          <w:b/>
          <w:color w:val="231F20"/>
          <w:sz w:val="24"/>
        </w:rPr>
        <w:t xml:space="preserve">Reporting Waivers — </w:t>
      </w:r>
      <w:r>
        <w:rPr>
          <w:color w:val="231F20"/>
          <w:sz w:val="24"/>
        </w:rPr>
        <w:t>Reporting of this event is waived under any of the following automatic waivers.</w:t>
      </w:r>
    </w:p>
    <w:p w:rsidR="005D3966" w:rsidRDefault="005D3966" w14:paraId="2F4D9458" w14:textId="77777777">
      <w:pPr>
        <w:pStyle w:val="BodyText"/>
        <w:rPr>
          <w:sz w:val="25"/>
        </w:rPr>
      </w:pPr>
    </w:p>
    <w:p w:rsidR="005D3966" w:rsidRDefault="001C5FE1" w14:paraId="4E40D347" w14:textId="77777777">
      <w:pPr>
        <w:pStyle w:val="BodyText"/>
        <w:ind w:left="591"/>
      </w:pPr>
      <w:r>
        <w:rPr>
          <w:i/>
          <w:color w:val="231F20"/>
        </w:rPr>
        <w:t xml:space="preserve">Small plan. </w:t>
      </w:r>
      <w:r>
        <w:rPr>
          <w:color w:val="231F20"/>
        </w:rPr>
        <w:t>With respect to a failure to make a required quarterly contribution under section</w:t>
      </w:r>
    </w:p>
    <w:p w:rsidR="005D3966" w:rsidRDefault="005D3966" w14:paraId="27F631EF" w14:textId="77777777">
      <w:pPr>
        <w:sectPr w:rsidR="005D3966">
          <w:pgSz w:w="12240" w:h="15840"/>
          <w:pgMar w:top="1060" w:right="660" w:bottom="720" w:left="700" w:header="318" w:footer="530" w:gutter="0"/>
          <w:cols w:space="720"/>
        </w:sectPr>
      </w:pPr>
    </w:p>
    <w:p w:rsidR="005D3966" w:rsidRDefault="001C5FE1" w14:paraId="2AE6659B" w14:textId="77777777">
      <w:pPr>
        <w:pStyle w:val="BodyText"/>
        <w:spacing w:before="88" w:line="249" w:lineRule="auto"/>
        <w:ind w:left="591" w:right="712"/>
        <w:jc w:val="both"/>
      </w:pPr>
      <w:r>
        <w:rPr>
          <w:color w:val="231F20"/>
        </w:rPr>
        <w:lastRenderedPageBreak/>
        <w:t>303(j)(3) of ERISA or section 430(j)(3) of the Code (not an annual catch-up payment), the plan had 100 or fewer participants for whom flat-rate premiums were payable for the plan year preceding the event year.</w:t>
      </w:r>
    </w:p>
    <w:p w:rsidR="005D3966" w:rsidRDefault="005D3966" w14:paraId="63D4C598" w14:textId="77777777">
      <w:pPr>
        <w:pStyle w:val="BodyText"/>
        <w:spacing w:before="7"/>
      </w:pPr>
    </w:p>
    <w:p w:rsidR="005D3966" w:rsidRDefault="001C5FE1" w14:paraId="74AD53B3" w14:textId="77777777">
      <w:pPr>
        <w:spacing w:before="1" w:line="249" w:lineRule="auto"/>
        <w:ind w:left="1172" w:right="467"/>
        <w:rPr>
          <w:i/>
          <w:sz w:val="24"/>
        </w:rPr>
      </w:pPr>
      <w:r>
        <w:rPr>
          <w:i/>
          <w:color w:val="231F20"/>
          <w:sz w:val="24"/>
        </w:rPr>
        <w:t>Note: The small plan waiver does not apply to a minimum required payment due 8 ½ months after the end of the plan year under section 303(j)(1) of ERISA or section 430(j)(1) of the Code.</w:t>
      </w:r>
    </w:p>
    <w:p w:rsidR="005D3966" w:rsidRDefault="005D3966" w14:paraId="3870E10E" w14:textId="77777777">
      <w:pPr>
        <w:pStyle w:val="BodyText"/>
        <w:spacing w:before="2"/>
        <w:rPr>
          <w:i/>
          <w:sz w:val="25"/>
        </w:rPr>
      </w:pPr>
    </w:p>
    <w:p w:rsidR="005D3966" w:rsidRDefault="001C5FE1" w14:paraId="5D76A6A2" w14:textId="77777777">
      <w:pPr>
        <w:ind w:left="591"/>
        <w:rPr>
          <w:sz w:val="24"/>
        </w:rPr>
      </w:pPr>
      <w:r>
        <w:rPr>
          <w:i/>
          <w:color w:val="231F20"/>
          <w:sz w:val="24"/>
        </w:rPr>
        <w:t xml:space="preserve">Made-up contribution. </w:t>
      </w:r>
      <w:r>
        <w:rPr>
          <w:color w:val="231F20"/>
          <w:sz w:val="24"/>
        </w:rPr>
        <w:t>The missed contribution is made by the 30th day after its due date.</w:t>
      </w:r>
    </w:p>
    <w:p w:rsidR="005D3966" w:rsidRDefault="005D3966" w14:paraId="2BE378CF" w14:textId="77777777">
      <w:pPr>
        <w:pStyle w:val="BodyText"/>
        <w:spacing w:before="3"/>
        <w:rPr>
          <w:sz w:val="26"/>
        </w:rPr>
      </w:pPr>
    </w:p>
    <w:p w:rsidR="005D3966" w:rsidRDefault="001C5FE1" w14:paraId="509E5C83" w14:textId="77777777">
      <w:pPr>
        <w:pStyle w:val="BodyText"/>
        <w:spacing w:line="247" w:lineRule="auto"/>
        <w:ind w:left="591" w:right="674"/>
        <w:jc w:val="both"/>
      </w:pPr>
      <w:r>
        <w:rPr>
          <w:i/>
          <w:color w:val="231F20"/>
        </w:rPr>
        <w:t xml:space="preserve">Late funding balance election. </w:t>
      </w:r>
      <w:r>
        <w:rPr>
          <w:color w:val="231F20"/>
        </w:rPr>
        <w:t>If the failure to make a timely required contribution is solely because of the plan sponsor’s failure to timely make a funding balance election.</w:t>
      </w:r>
    </w:p>
    <w:p w:rsidR="005D3966" w:rsidRDefault="005D3966" w14:paraId="664FFA16" w14:textId="77777777">
      <w:pPr>
        <w:pStyle w:val="BodyText"/>
        <w:rPr>
          <w:sz w:val="26"/>
        </w:rPr>
      </w:pPr>
    </w:p>
    <w:p w:rsidR="005D3966" w:rsidRDefault="005D3966" w14:paraId="2539F86F" w14:textId="77777777">
      <w:pPr>
        <w:pStyle w:val="BodyText"/>
        <w:spacing w:before="6"/>
        <w:rPr>
          <w:sz w:val="20"/>
        </w:rPr>
      </w:pPr>
    </w:p>
    <w:p w:rsidR="005D3966" w:rsidRDefault="001C5FE1" w14:paraId="3BFC7704" w14:textId="77777777">
      <w:pPr>
        <w:pStyle w:val="Heading1"/>
        <w:numPr>
          <w:ilvl w:val="0"/>
          <w:numId w:val="21"/>
        </w:numPr>
        <w:tabs>
          <w:tab w:val="left" w:pos="992"/>
        </w:tabs>
        <w:ind w:left="992" w:hanging="401"/>
        <w:jc w:val="left"/>
      </w:pPr>
      <w:bookmarkStart w:name="C._Inability_to_Pay_Benefits_When_Due" w:id="16"/>
      <w:bookmarkEnd w:id="16"/>
      <w:r>
        <w:rPr>
          <w:color w:val="231F20"/>
        </w:rPr>
        <w:t>Inability to Pay Benefits When</w:t>
      </w:r>
      <w:r>
        <w:rPr>
          <w:color w:val="231F20"/>
          <w:spacing w:val="47"/>
        </w:rPr>
        <w:t xml:space="preserve"> </w:t>
      </w:r>
      <w:r>
        <w:rPr>
          <w:color w:val="231F20"/>
        </w:rPr>
        <w:t>Due</w:t>
      </w:r>
    </w:p>
    <w:p w:rsidR="005D3966" w:rsidRDefault="001C5FE1" w14:paraId="5F6EB33C" w14:textId="77777777">
      <w:pPr>
        <w:pStyle w:val="BodyText"/>
        <w:spacing w:before="8"/>
        <w:ind w:left="591"/>
      </w:pPr>
      <w:r>
        <w:rPr>
          <w:color w:val="231F20"/>
        </w:rPr>
        <w:t>(see 29 CFR 4043.26)</w:t>
      </w:r>
    </w:p>
    <w:p w:rsidR="005D3966" w:rsidRDefault="005D3966" w14:paraId="34DEFC62" w14:textId="77777777">
      <w:pPr>
        <w:pStyle w:val="BodyText"/>
        <w:spacing w:before="10"/>
        <w:rPr>
          <w:sz w:val="25"/>
        </w:rPr>
      </w:pPr>
    </w:p>
    <w:p w:rsidR="005D3966" w:rsidRDefault="001C5FE1" w14:paraId="6985118B" w14:textId="77777777">
      <w:pPr>
        <w:pStyle w:val="BodyText"/>
        <w:ind w:left="591" w:right="618"/>
      </w:pPr>
      <w:r>
        <w:rPr>
          <w:b/>
          <w:color w:val="231F20"/>
        </w:rPr>
        <w:t xml:space="preserve">Definition of Event </w:t>
      </w:r>
      <w:r>
        <w:rPr>
          <w:color w:val="231F20"/>
        </w:rPr>
        <w:t>— A reportable event occurs when a plan is currently unable, or projected to be unable, to pay benefits.</w:t>
      </w:r>
    </w:p>
    <w:p w:rsidR="005D3966" w:rsidRDefault="005D3966" w14:paraId="30FEE873" w14:textId="77777777">
      <w:pPr>
        <w:pStyle w:val="BodyText"/>
        <w:spacing w:before="1"/>
        <w:rPr>
          <w:sz w:val="25"/>
        </w:rPr>
      </w:pPr>
    </w:p>
    <w:p w:rsidR="005D3966" w:rsidRDefault="001C5FE1" w14:paraId="3E284D48" w14:textId="77777777">
      <w:pPr>
        <w:pStyle w:val="BodyText"/>
        <w:spacing w:line="247" w:lineRule="auto"/>
        <w:ind w:left="605" w:right="658"/>
      </w:pPr>
      <w:r>
        <w:rPr>
          <w:color w:val="231F20"/>
        </w:rPr>
        <w:t xml:space="preserve">A plan is </w:t>
      </w:r>
      <w:r>
        <w:rPr>
          <w:color w:val="231F20"/>
          <w:u w:val="single" w:color="231F20"/>
        </w:rPr>
        <w:t>currently unable</w:t>
      </w:r>
      <w:r>
        <w:rPr>
          <w:color w:val="231F20"/>
        </w:rPr>
        <w:t xml:space="preserve"> to pay benefits if the plan fails to provide any participant or beneficiary the full benefits to which the person is entitled under the terms of the plan, at the time the benefit is due and in the form in which it is due.</w:t>
      </w:r>
    </w:p>
    <w:p w:rsidR="005D3966" w:rsidRDefault="005D3966" w14:paraId="2B29A444" w14:textId="77777777">
      <w:pPr>
        <w:pStyle w:val="BodyText"/>
        <w:spacing w:before="7"/>
        <w:rPr>
          <w:sz w:val="25"/>
        </w:rPr>
      </w:pPr>
    </w:p>
    <w:p w:rsidR="005D3966" w:rsidRDefault="001C5FE1" w14:paraId="778F87C3" w14:textId="77777777">
      <w:pPr>
        <w:spacing w:line="247" w:lineRule="auto"/>
        <w:ind w:left="605" w:right="716"/>
        <w:rPr>
          <w:i/>
          <w:sz w:val="24"/>
        </w:rPr>
      </w:pPr>
      <w:r>
        <w:rPr>
          <w:i/>
          <w:color w:val="231F20"/>
          <w:sz w:val="24"/>
        </w:rPr>
        <w:t>Note: This does not include a failure or inability to pay benefits caused solely by a limitation under section 436 of the Code and section 206(g) of ERISA (dealing with funding-based limits on benefits and benefit accruals under single-employer plans); the need to verify the person’s eligibility for benefits; the inability to locate the person; or any other administrative delay, if the delay is for less than the shorter of two months or two full benefit payment periods.</w:t>
      </w:r>
    </w:p>
    <w:p w:rsidR="005D3966" w:rsidRDefault="005D3966" w14:paraId="5858337B" w14:textId="77777777">
      <w:pPr>
        <w:pStyle w:val="BodyText"/>
        <w:spacing w:before="6"/>
        <w:rPr>
          <w:i/>
        </w:rPr>
      </w:pPr>
    </w:p>
    <w:p w:rsidR="005D3966" w:rsidRDefault="001C5FE1" w14:paraId="4ABBE866" w14:textId="77777777">
      <w:pPr>
        <w:pStyle w:val="BodyText"/>
        <w:spacing w:before="1"/>
        <w:ind w:left="591" w:right="592"/>
      </w:pPr>
      <w:r>
        <w:t xml:space="preserve">A plan is </w:t>
      </w:r>
      <w:r>
        <w:rPr>
          <w:u w:val="single" w:color="211F1F"/>
        </w:rPr>
        <w:t xml:space="preserve">projected to be unable </w:t>
      </w:r>
      <w:r>
        <w:t>to pay benefits when, as of the last day of any quarter of a plan year, the plan’s liquid assets are less than two times the amount of the disbursements from the plan for such quarter. Liquid assets and disbursements from the plan are defined in section 303(j)(4)(E) of ERISA and section 430(j)(4)(E) of the Code.</w:t>
      </w:r>
    </w:p>
    <w:p w:rsidR="005D3966" w:rsidRDefault="005D3966" w14:paraId="25CF6E6B" w14:textId="77777777">
      <w:pPr>
        <w:pStyle w:val="BodyText"/>
        <w:rPr>
          <w:sz w:val="21"/>
        </w:rPr>
      </w:pPr>
    </w:p>
    <w:p w:rsidR="005D3966" w:rsidRDefault="001C5FE1" w14:paraId="21CBBEC9" w14:textId="77777777">
      <w:pPr>
        <w:pStyle w:val="BodyText"/>
        <w:spacing w:before="1"/>
        <w:ind w:left="591" w:right="569"/>
      </w:pPr>
      <w:r>
        <w:rPr>
          <w:b/>
          <w:color w:val="231F20"/>
        </w:rPr>
        <w:t xml:space="preserve">Reporting Waiver </w:t>
      </w:r>
      <w:r>
        <w:rPr>
          <w:color w:val="231F20"/>
        </w:rPr>
        <w:t>— Plan is subject to liquidity shortfall rules: Reporting of this event is waived if the event occurs during a plan year for which the plan is subject to the liquidity shortfall rules in section 303(j)(4) of ERISA and section 430(j)(4) of the Code because it is described in section 303(g)(2)(B) of ERISA and section 430(g)(2)(B) of the Code.</w:t>
      </w:r>
    </w:p>
    <w:p w:rsidR="005D3966" w:rsidRDefault="005D3966" w14:paraId="2062FC8A" w14:textId="77777777">
      <w:pPr>
        <w:pStyle w:val="BodyText"/>
        <w:rPr>
          <w:sz w:val="26"/>
        </w:rPr>
      </w:pPr>
    </w:p>
    <w:p w:rsidR="005D3966" w:rsidRDefault="005D3966" w14:paraId="107EF39B" w14:textId="77777777">
      <w:pPr>
        <w:pStyle w:val="BodyText"/>
        <w:spacing w:before="2"/>
      </w:pPr>
    </w:p>
    <w:p w:rsidR="005D3966" w:rsidRDefault="001C5FE1" w14:paraId="715440FF" w14:textId="77777777">
      <w:pPr>
        <w:pStyle w:val="Heading1"/>
        <w:numPr>
          <w:ilvl w:val="0"/>
          <w:numId w:val="21"/>
        </w:numPr>
        <w:tabs>
          <w:tab w:val="left" w:pos="932"/>
        </w:tabs>
        <w:ind w:left="932" w:hanging="341"/>
        <w:jc w:val="left"/>
      </w:pPr>
      <w:bookmarkStart w:name="D._Distribution_to_a_Substantial_Owner" w:id="17"/>
      <w:bookmarkEnd w:id="17"/>
      <w:r>
        <w:rPr>
          <w:color w:val="231F20"/>
        </w:rPr>
        <w:t>Distribution to a Substantial</w:t>
      </w:r>
      <w:r>
        <w:rPr>
          <w:color w:val="231F20"/>
          <w:spacing w:val="4"/>
        </w:rPr>
        <w:t xml:space="preserve"> </w:t>
      </w:r>
      <w:r>
        <w:rPr>
          <w:color w:val="231F20"/>
        </w:rPr>
        <w:t>Owner</w:t>
      </w:r>
    </w:p>
    <w:p w:rsidR="005D3966" w:rsidRDefault="001C5FE1" w14:paraId="484E5F9C" w14:textId="77777777">
      <w:pPr>
        <w:pStyle w:val="BodyText"/>
        <w:spacing w:before="11"/>
        <w:ind w:left="591"/>
      </w:pPr>
      <w:r>
        <w:rPr>
          <w:color w:val="231F20"/>
        </w:rPr>
        <w:t>(see 29 CFR</w:t>
      </w:r>
      <w:r>
        <w:rPr>
          <w:color w:val="231F20"/>
          <w:spacing w:val="-6"/>
        </w:rPr>
        <w:t xml:space="preserve"> </w:t>
      </w:r>
      <w:r>
        <w:rPr>
          <w:color w:val="231F20"/>
        </w:rPr>
        <w:t>4043.27)</w:t>
      </w:r>
    </w:p>
    <w:p w:rsidR="005D3966" w:rsidRDefault="005D3966" w14:paraId="01B6CFF3" w14:textId="77777777">
      <w:pPr>
        <w:pStyle w:val="BodyText"/>
        <w:spacing w:before="10"/>
        <w:rPr>
          <w:sz w:val="25"/>
        </w:rPr>
      </w:pPr>
    </w:p>
    <w:p w:rsidR="005D3966" w:rsidRDefault="001C5FE1" w14:paraId="5D543C72" w14:textId="77777777">
      <w:pPr>
        <w:pStyle w:val="BodyText"/>
        <w:spacing w:line="247" w:lineRule="auto"/>
        <w:ind w:left="591" w:right="603"/>
      </w:pPr>
      <w:r>
        <w:rPr>
          <w:color w:val="231F20"/>
        </w:rPr>
        <w:t>A substantial owner (see section 4021(d) of ERISA) is an individual who owns (or owned within the preceding 60</w:t>
      </w:r>
      <w:r>
        <w:rPr>
          <w:color w:val="231F20"/>
          <w:spacing w:val="-1"/>
        </w:rPr>
        <w:t xml:space="preserve"> </w:t>
      </w:r>
      <w:r>
        <w:rPr>
          <w:color w:val="231F20"/>
        </w:rPr>
        <w:t>months):</w:t>
      </w:r>
    </w:p>
    <w:p w:rsidR="005D3966" w:rsidRDefault="005D3966" w14:paraId="039FD0D7" w14:textId="77777777">
      <w:pPr>
        <w:pStyle w:val="BodyText"/>
        <w:spacing w:before="1"/>
        <w:rPr>
          <w:sz w:val="21"/>
        </w:rPr>
      </w:pPr>
    </w:p>
    <w:p w:rsidR="005D3966" w:rsidRDefault="001C5FE1" w14:paraId="251B700B" w14:textId="77777777">
      <w:pPr>
        <w:pStyle w:val="ListParagraph"/>
        <w:numPr>
          <w:ilvl w:val="0"/>
          <w:numId w:val="17"/>
        </w:numPr>
        <w:tabs>
          <w:tab w:val="left" w:pos="916"/>
        </w:tabs>
        <w:rPr>
          <w:sz w:val="24"/>
        </w:rPr>
      </w:pPr>
      <w:r>
        <w:rPr>
          <w:color w:val="231F20"/>
          <w:sz w:val="24"/>
        </w:rPr>
        <w:t>The entire interest in an unincorporated trade or</w:t>
      </w:r>
      <w:r>
        <w:rPr>
          <w:color w:val="231F20"/>
          <w:spacing w:val="-3"/>
          <w:sz w:val="24"/>
        </w:rPr>
        <w:t xml:space="preserve"> </w:t>
      </w:r>
      <w:proofErr w:type="gramStart"/>
      <w:r>
        <w:rPr>
          <w:color w:val="231F20"/>
          <w:sz w:val="24"/>
        </w:rPr>
        <w:t>business;</w:t>
      </w:r>
      <w:proofErr w:type="gramEnd"/>
    </w:p>
    <w:p w:rsidR="005D3966" w:rsidRDefault="005D3966" w14:paraId="28A628B8" w14:textId="77777777">
      <w:pPr>
        <w:rPr>
          <w:sz w:val="24"/>
        </w:rPr>
        <w:sectPr w:rsidR="005D3966">
          <w:pgSz w:w="12240" w:h="15840"/>
          <w:pgMar w:top="1060" w:right="660" w:bottom="720" w:left="700" w:header="318" w:footer="530" w:gutter="0"/>
          <w:cols w:space="720"/>
        </w:sectPr>
      </w:pPr>
    </w:p>
    <w:p w:rsidR="005D3966" w:rsidRDefault="001C5FE1" w14:paraId="0974E2B4" w14:textId="77777777">
      <w:pPr>
        <w:pStyle w:val="ListParagraph"/>
        <w:numPr>
          <w:ilvl w:val="0"/>
          <w:numId w:val="17"/>
        </w:numPr>
        <w:tabs>
          <w:tab w:val="left" w:pos="916"/>
        </w:tabs>
        <w:spacing w:before="88"/>
        <w:ind w:hanging="292"/>
        <w:rPr>
          <w:sz w:val="24"/>
        </w:rPr>
      </w:pPr>
      <w:r>
        <w:rPr>
          <w:color w:val="231F20"/>
          <w:sz w:val="24"/>
        </w:rPr>
        <w:lastRenderedPageBreak/>
        <w:t>Directly or indirectly, more than 10 percent of the capital or profits interest in a partnership;</w:t>
      </w:r>
      <w:r>
        <w:rPr>
          <w:color w:val="231F20"/>
          <w:spacing w:val="-22"/>
          <w:sz w:val="24"/>
        </w:rPr>
        <w:t xml:space="preserve"> </w:t>
      </w:r>
      <w:r>
        <w:rPr>
          <w:color w:val="231F20"/>
          <w:sz w:val="24"/>
        </w:rPr>
        <w:t>or</w:t>
      </w:r>
    </w:p>
    <w:p w:rsidR="005D3966" w:rsidRDefault="005D3966" w14:paraId="6429CE48" w14:textId="77777777">
      <w:pPr>
        <w:pStyle w:val="BodyText"/>
        <w:spacing w:before="7"/>
        <w:rPr>
          <w:sz w:val="25"/>
        </w:rPr>
      </w:pPr>
    </w:p>
    <w:p w:rsidR="005D3966" w:rsidRDefault="001C5FE1" w14:paraId="32DB9785" w14:textId="77777777">
      <w:pPr>
        <w:pStyle w:val="ListParagraph"/>
        <w:numPr>
          <w:ilvl w:val="0"/>
          <w:numId w:val="17"/>
        </w:numPr>
        <w:tabs>
          <w:tab w:val="left" w:pos="916"/>
        </w:tabs>
        <w:ind w:hanging="313"/>
      </w:pPr>
      <w:r>
        <w:rPr>
          <w:color w:val="231F20"/>
          <w:sz w:val="24"/>
        </w:rPr>
        <w:t xml:space="preserve">Directly or indirectly, more than 10 percent of </w:t>
      </w:r>
      <w:r>
        <w:rPr>
          <w:color w:val="231F20"/>
        </w:rPr>
        <w:t>the voting stock or the total stock of a</w:t>
      </w:r>
      <w:r>
        <w:rPr>
          <w:color w:val="231F20"/>
          <w:spacing w:val="12"/>
        </w:rPr>
        <w:t xml:space="preserve"> </w:t>
      </w:r>
      <w:r>
        <w:rPr>
          <w:color w:val="231F20"/>
        </w:rPr>
        <w:t>corporation.</w:t>
      </w:r>
    </w:p>
    <w:p w:rsidR="005D3966" w:rsidRDefault="005D3966" w14:paraId="2D508A5B" w14:textId="77777777">
      <w:pPr>
        <w:pStyle w:val="BodyText"/>
      </w:pPr>
    </w:p>
    <w:p w:rsidR="005D3966" w:rsidRDefault="001C5FE1" w14:paraId="05D89204" w14:textId="77777777">
      <w:pPr>
        <w:spacing w:before="1"/>
        <w:ind w:left="603"/>
        <w:rPr>
          <w:sz w:val="24"/>
        </w:rPr>
      </w:pPr>
      <w:r>
        <w:rPr>
          <w:b/>
          <w:color w:val="231F20"/>
          <w:sz w:val="24"/>
        </w:rPr>
        <w:t xml:space="preserve">Definition of Event </w:t>
      </w:r>
      <w:r>
        <w:rPr>
          <w:color w:val="231F20"/>
          <w:sz w:val="24"/>
        </w:rPr>
        <w:t>— A reportable event occurs for a plan when:</w:t>
      </w:r>
    </w:p>
    <w:p w:rsidR="005D3966" w:rsidRDefault="005D3966" w14:paraId="60664578" w14:textId="77777777">
      <w:pPr>
        <w:pStyle w:val="BodyText"/>
        <w:spacing w:before="2"/>
        <w:rPr>
          <w:sz w:val="25"/>
        </w:rPr>
      </w:pPr>
    </w:p>
    <w:p w:rsidR="005D3966" w:rsidRDefault="001C5FE1" w14:paraId="4E83F844" w14:textId="77777777">
      <w:pPr>
        <w:pStyle w:val="ListParagraph"/>
        <w:numPr>
          <w:ilvl w:val="0"/>
          <w:numId w:val="16"/>
        </w:numPr>
        <w:tabs>
          <w:tab w:val="left" w:pos="1012"/>
        </w:tabs>
        <w:rPr>
          <w:sz w:val="24"/>
        </w:rPr>
      </w:pPr>
      <w:r>
        <w:rPr>
          <w:color w:val="231F20"/>
          <w:sz w:val="24"/>
        </w:rPr>
        <w:t>There is a distribution to a substantial owner of a contributing</w:t>
      </w:r>
      <w:r>
        <w:rPr>
          <w:color w:val="231F20"/>
          <w:spacing w:val="-8"/>
          <w:sz w:val="24"/>
        </w:rPr>
        <w:t xml:space="preserve"> </w:t>
      </w:r>
      <w:proofErr w:type="gramStart"/>
      <w:r>
        <w:rPr>
          <w:color w:val="231F20"/>
          <w:sz w:val="24"/>
        </w:rPr>
        <w:t>sponsor;</w:t>
      </w:r>
      <w:proofErr w:type="gramEnd"/>
    </w:p>
    <w:p w:rsidR="005D3966" w:rsidRDefault="005D3966" w14:paraId="37D82338" w14:textId="77777777">
      <w:pPr>
        <w:pStyle w:val="BodyText"/>
        <w:spacing w:before="10"/>
      </w:pPr>
    </w:p>
    <w:p w:rsidR="005D3966" w:rsidRDefault="001C5FE1" w14:paraId="79CBDF00" w14:textId="77777777">
      <w:pPr>
        <w:pStyle w:val="ListParagraph"/>
        <w:numPr>
          <w:ilvl w:val="0"/>
          <w:numId w:val="16"/>
        </w:numPr>
        <w:tabs>
          <w:tab w:val="left" w:pos="1012"/>
        </w:tabs>
        <w:ind w:right="688" w:hanging="336"/>
        <w:rPr>
          <w:sz w:val="24"/>
        </w:rPr>
      </w:pPr>
      <w:r>
        <w:rPr>
          <w:color w:val="231F20"/>
          <w:sz w:val="24"/>
        </w:rPr>
        <w:t>The total of all distributions to the substantial owner within the one-year period ending with the date of such distribution exceeds</w:t>
      </w:r>
      <w:r>
        <w:rPr>
          <w:color w:val="231F20"/>
          <w:spacing w:val="-8"/>
          <w:sz w:val="24"/>
        </w:rPr>
        <w:t xml:space="preserve"> </w:t>
      </w:r>
      <w:proofErr w:type="gramStart"/>
      <w:r>
        <w:rPr>
          <w:color w:val="231F20"/>
          <w:sz w:val="24"/>
        </w:rPr>
        <w:t>$10,000;</w:t>
      </w:r>
      <w:proofErr w:type="gramEnd"/>
    </w:p>
    <w:p w:rsidR="005D3966" w:rsidRDefault="005D3966" w14:paraId="1D370407" w14:textId="77777777">
      <w:pPr>
        <w:pStyle w:val="BodyText"/>
        <w:rPr>
          <w:sz w:val="25"/>
        </w:rPr>
      </w:pPr>
    </w:p>
    <w:p w:rsidR="005D3966" w:rsidRDefault="001C5FE1" w14:paraId="62A2524A" w14:textId="77777777">
      <w:pPr>
        <w:pStyle w:val="ListParagraph"/>
        <w:numPr>
          <w:ilvl w:val="0"/>
          <w:numId w:val="16"/>
        </w:numPr>
        <w:tabs>
          <w:tab w:val="left" w:pos="1012"/>
        </w:tabs>
        <w:spacing w:before="1"/>
        <w:ind w:hanging="337"/>
        <w:rPr>
          <w:sz w:val="24"/>
        </w:rPr>
      </w:pPr>
      <w:r>
        <w:rPr>
          <w:color w:val="231F20"/>
          <w:sz w:val="24"/>
        </w:rPr>
        <w:t>The distribution is for a reason other than the substantial owner’s death;</w:t>
      </w:r>
      <w:r>
        <w:rPr>
          <w:color w:val="231F20"/>
          <w:spacing w:val="-14"/>
          <w:sz w:val="24"/>
        </w:rPr>
        <w:t xml:space="preserve"> </w:t>
      </w:r>
      <w:r>
        <w:rPr>
          <w:color w:val="231F20"/>
          <w:sz w:val="24"/>
        </w:rPr>
        <w:t>and</w:t>
      </w:r>
    </w:p>
    <w:p w:rsidR="005D3966" w:rsidRDefault="005D3966" w14:paraId="083BC13F" w14:textId="77777777">
      <w:pPr>
        <w:pStyle w:val="BodyText"/>
        <w:spacing w:before="9"/>
      </w:pPr>
    </w:p>
    <w:p w:rsidR="005D3966" w:rsidRDefault="001C5FE1" w14:paraId="777131A0" w14:textId="77777777">
      <w:pPr>
        <w:pStyle w:val="ListParagraph"/>
        <w:numPr>
          <w:ilvl w:val="0"/>
          <w:numId w:val="16"/>
        </w:numPr>
        <w:tabs>
          <w:tab w:val="left" w:pos="1012"/>
        </w:tabs>
        <w:ind w:hanging="332"/>
        <w:rPr>
          <w:sz w:val="24"/>
        </w:rPr>
      </w:pPr>
      <w:r>
        <w:rPr>
          <w:color w:val="231F20"/>
          <w:sz w:val="24"/>
        </w:rPr>
        <w:t>Immediately after the distribution, the plan has unfunded nonforfeitable</w:t>
      </w:r>
      <w:r>
        <w:rPr>
          <w:color w:val="231F20"/>
          <w:spacing w:val="-19"/>
          <w:sz w:val="24"/>
        </w:rPr>
        <w:t xml:space="preserve"> </w:t>
      </w:r>
      <w:r>
        <w:rPr>
          <w:color w:val="231F20"/>
          <w:sz w:val="24"/>
        </w:rPr>
        <w:t>benefits.</w:t>
      </w:r>
    </w:p>
    <w:p w:rsidR="005D3966" w:rsidRDefault="001C5FE1" w14:paraId="4C89B99D" w14:textId="77777777">
      <w:pPr>
        <w:pStyle w:val="ListParagraph"/>
        <w:numPr>
          <w:ilvl w:val="0"/>
          <w:numId w:val="16"/>
        </w:numPr>
        <w:tabs>
          <w:tab w:val="left" w:pos="1012"/>
        </w:tabs>
        <w:spacing w:before="142"/>
        <w:ind w:hanging="359"/>
        <w:rPr>
          <w:sz w:val="24"/>
        </w:rPr>
      </w:pPr>
      <w:r>
        <w:rPr>
          <w:color w:val="231F20"/>
          <w:sz w:val="24"/>
        </w:rPr>
        <w:t>Either</w:t>
      </w:r>
      <w:r>
        <w:rPr>
          <w:color w:val="231F20"/>
          <w:spacing w:val="-5"/>
          <w:sz w:val="24"/>
        </w:rPr>
        <w:t xml:space="preserve"> </w:t>
      </w:r>
      <w:r>
        <w:rPr>
          <w:color w:val="231F20"/>
          <w:sz w:val="24"/>
        </w:rPr>
        <w:t>—</w:t>
      </w:r>
    </w:p>
    <w:p w:rsidR="005D3966" w:rsidRDefault="001C5FE1" w14:paraId="5AA2AADA" w14:textId="77777777">
      <w:pPr>
        <w:pStyle w:val="ListParagraph"/>
        <w:numPr>
          <w:ilvl w:val="1"/>
          <w:numId w:val="16"/>
        </w:numPr>
        <w:tabs>
          <w:tab w:val="left" w:pos="1638"/>
        </w:tabs>
        <w:spacing w:before="154" w:line="247" w:lineRule="auto"/>
        <w:ind w:right="502" w:firstLine="21"/>
        <w:rPr>
          <w:sz w:val="24"/>
        </w:rPr>
      </w:pPr>
      <w:r>
        <w:rPr>
          <w:color w:val="231F20"/>
          <w:sz w:val="24"/>
        </w:rPr>
        <w:t>The sum of the values of all distributions to any one substantial owner within the one-year period ending with the date of the distribution is more than one percent of the end-of-year total amount of the plan’s assets (as required to be reported on Schedule H or I to Form 5500) for each of the two plan years immediately preceding the event year,</w:t>
      </w:r>
      <w:r>
        <w:rPr>
          <w:color w:val="231F20"/>
          <w:spacing w:val="-4"/>
          <w:sz w:val="24"/>
        </w:rPr>
        <w:t xml:space="preserve"> </w:t>
      </w:r>
      <w:r>
        <w:rPr>
          <w:color w:val="231F20"/>
          <w:sz w:val="24"/>
        </w:rPr>
        <w:t>or</w:t>
      </w:r>
    </w:p>
    <w:p w:rsidR="005D3966" w:rsidRDefault="005D3966" w14:paraId="2D815FD6" w14:textId="77777777">
      <w:pPr>
        <w:pStyle w:val="BodyText"/>
        <w:spacing w:before="1"/>
        <w:rPr>
          <w:sz w:val="27"/>
        </w:rPr>
      </w:pPr>
    </w:p>
    <w:p w:rsidR="005D3966" w:rsidRDefault="001C5FE1" w14:paraId="57466B22" w14:textId="77777777">
      <w:pPr>
        <w:pStyle w:val="ListParagraph"/>
        <w:numPr>
          <w:ilvl w:val="1"/>
          <w:numId w:val="16"/>
        </w:numPr>
        <w:tabs>
          <w:tab w:val="left" w:pos="1631"/>
        </w:tabs>
        <w:spacing w:before="1" w:line="249" w:lineRule="auto"/>
        <w:ind w:right="609" w:firstLine="19"/>
        <w:rPr>
          <w:sz w:val="24"/>
        </w:rPr>
      </w:pPr>
      <w:r>
        <w:rPr>
          <w:color w:val="231F20"/>
          <w:sz w:val="24"/>
        </w:rPr>
        <w:t>The sum of the values of all distributions to all substantial owners within the one-year period ending with the date of the distribution is more than five percent of the end-of-year total amount of the plan’s assets (as required to be reported on Schedule H or I to Form</w:t>
      </w:r>
      <w:r>
        <w:rPr>
          <w:color w:val="231F20"/>
          <w:spacing w:val="-20"/>
          <w:sz w:val="24"/>
        </w:rPr>
        <w:t xml:space="preserve"> </w:t>
      </w:r>
      <w:r>
        <w:rPr>
          <w:color w:val="231F20"/>
          <w:sz w:val="24"/>
        </w:rPr>
        <w:t>5500) for each of the two plan years immediately preceding the event</w:t>
      </w:r>
      <w:r>
        <w:rPr>
          <w:color w:val="231F20"/>
          <w:spacing w:val="-4"/>
          <w:sz w:val="24"/>
        </w:rPr>
        <w:t xml:space="preserve"> </w:t>
      </w:r>
      <w:r>
        <w:rPr>
          <w:color w:val="231F20"/>
          <w:sz w:val="24"/>
        </w:rPr>
        <w:t>year.</w:t>
      </w:r>
    </w:p>
    <w:p w:rsidR="005D3966" w:rsidRDefault="005D3966" w14:paraId="4388E1C0" w14:textId="77777777">
      <w:pPr>
        <w:pStyle w:val="BodyText"/>
        <w:spacing w:before="8"/>
        <w:rPr>
          <w:sz w:val="23"/>
        </w:rPr>
      </w:pPr>
    </w:p>
    <w:p w:rsidR="005D3966" w:rsidRDefault="001C5FE1" w14:paraId="754959E4" w14:textId="77777777">
      <w:pPr>
        <w:spacing w:line="247" w:lineRule="auto"/>
        <w:ind w:left="651" w:right="569"/>
        <w:rPr>
          <w:sz w:val="24"/>
        </w:rPr>
      </w:pPr>
      <w:r>
        <w:rPr>
          <w:b/>
          <w:color w:val="231F20"/>
          <w:sz w:val="24"/>
        </w:rPr>
        <w:t xml:space="preserve">Value of the Distribution -— </w:t>
      </w:r>
      <w:r>
        <w:rPr>
          <w:color w:val="231F20"/>
          <w:sz w:val="24"/>
        </w:rPr>
        <w:t>The value of a distribution to a substantial owner is determined as of the date of distribution and is the sum of:</w:t>
      </w:r>
    </w:p>
    <w:p w:rsidR="005D3966" w:rsidRDefault="001C5FE1" w14:paraId="1A0A6330" w14:textId="77777777">
      <w:pPr>
        <w:pStyle w:val="ListParagraph"/>
        <w:numPr>
          <w:ilvl w:val="0"/>
          <w:numId w:val="15"/>
        </w:numPr>
        <w:tabs>
          <w:tab w:val="left" w:pos="1012"/>
        </w:tabs>
        <w:spacing w:before="171" w:line="247" w:lineRule="auto"/>
        <w:ind w:right="866"/>
        <w:rPr>
          <w:sz w:val="24"/>
        </w:rPr>
      </w:pPr>
      <w:r>
        <w:rPr>
          <w:color w:val="231F20"/>
          <w:sz w:val="24"/>
        </w:rPr>
        <w:t xml:space="preserve">The cash </w:t>
      </w:r>
      <w:r>
        <w:rPr>
          <w:color w:val="231F20"/>
          <w:spacing w:val="3"/>
          <w:sz w:val="24"/>
        </w:rPr>
        <w:t xml:space="preserve">amounts </w:t>
      </w:r>
      <w:r>
        <w:rPr>
          <w:color w:val="231F20"/>
          <w:spacing w:val="4"/>
          <w:sz w:val="24"/>
        </w:rPr>
        <w:t xml:space="preserve">actually </w:t>
      </w:r>
      <w:r>
        <w:rPr>
          <w:color w:val="231F20"/>
          <w:spacing w:val="3"/>
          <w:sz w:val="24"/>
        </w:rPr>
        <w:t xml:space="preserve">received </w:t>
      </w:r>
      <w:r>
        <w:rPr>
          <w:color w:val="231F20"/>
          <w:sz w:val="24"/>
        </w:rPr>
        <w:t xml:space="preserve">by </w:t>
      </w:r>
      <w:r>
        <w:rPr>
          <w:color w:val="231F20"/>
          <w:spacing w:val="5"/>
          <w:sz w:val="24"/>
        </w:rPr>
        <w:t xml:space="preserve">the substantial </w:t>
      </w:r>
      <w:r>
        <w:rPr>
          <w:color w:val="231F20"/>
          <w:sz w:val="24"/>
        </w:rPr>
        <w:t xml:space="preserve">owner, </w:t>
      </w:r>
      <w:r>
        <w:rPr>
          <w:color w:val="231F20"/>
          <w:spacing w:val="6"/>
          <w:sz w:val="24"/>
        </w:rPr>
        <w:t xml:space="preserve">determined </w:t>
      </w:r>
      <w:r>
        <w:rPr>
          <w:color w:val="231F20"/>
          <w:sz w:val="24"/>
        </w:rPr>
        <w:t xml:space="preserve">as of the </w:t>
      </w:r>
      <w:r>
        <w:rPr>
          <w:color w:val="231F20"/>
          <w:spacing w:val="5"/>
          <w:sz w:val="24"/>
        </w:rPr>
        <w:t xml:space="preserve">date </w:t>
      </w:r>
      <w:r>
        <w:rPr>
          <w:color w:val="231F20"/>
          <w:sz w:val="24"/>
        </w:rPr>
        <w:t xml:space="preserve">of </w:t>
      </w:r>
      <w:proofErr w:type="gramStart"/>
      <w:r>
        <w:rPr>
          <w:color w:val="231F20"/>
          <w:spacing w:val="7"/>
          <w:sz w:val="24"/>
        </w:rPr>
        <w:t>receipt;</w:t>
      </w:r>
      <w:proofErr w:type="gramEnd"/>
    </w:p>
    <w:p w:rsidR="005D3966" w:rsidRDefault="005D3966" w14:paraId="1B8BD685" w14:textId="77777777">
      <w:pPr>
        <w:pStyle w:val="BodyText"/>
        <w:rPr>
          <w:sz w:val="25"/>
        </w:rPr>
      </w:pPr>
    </w:p>
    <w:p w:rsidR="005D3966" w:rsidRDefault="001C5FE1" w14:paraId="5EB17AFD" w14:textId="77777777">
      <w:pPr>
        <w:pStyle w:val="ListParagraph"/>
        <w:numPr>
          <w:ilvl w:val="0"/>
          <w:numId w:val="15"/>
        </w:numPr>
        <w:tabs>
          <w:tab w:val="left" w:pos="1004"/>
        </w:tabs>
        <w:ind w:left="1004" w:hanging="341"/>
        <w:rPr>
          <w:sz w:val="24"/>
        </w:rPr>
      </w:pPr>
      <w:r>
        <w:rPr>
          <w:color w:val="231F20"/>
          <w:sz w:val="24"/>
        </w:rPr>
        <w:t>The purchase price of any irrevocable commitment, determined as of the date on which</w:t>
      </w:r>
      <w:r>
        <w:rPr>
          <w:color w:val="231F20"/>
          <w:spacing w:val="-13"/>
          <w:sz w:val="24"/>
        </w:rPr>
        <w:t xml:space="preserve"> </w:t>
      </w:r>
      <w:r>
        <w:rPr>
          <w:color w:val="231F20"/>
          <w:spacing w:val="4"/>
          <w:sz w:val="24"/>
        </w:rPr>
        <w:t>the</w:t>
      </w:r>
    </w:p>
    <w:p w:rsidR="005D3966" w:rsidRDefault="001C5FE1" w14:paraId="59C83179" w14:textId="77777777">
      <w:pPr>
        <w:spacing w:before="10"/>
        <w:ind w:left="1011"/>
      </w:pPr>
      <w:r>
        <w:rPr>
          <w:color w:val="231F20"/>
        </w:rPr>
        <w:t>obligation to provide benefits passes from the plan to the insurer; and</w:t>
      </w:r>
    </w:p>
    <w:p w:rsidR="005D3966" w:rsidRDefault="005D3966" w14:paraId="701EC892" w14:textId="77777777">
      <w:pPr>
        <w:pStyle w:val="BodyText"/>
        <w:spacing w:before="2"/>
        <w:rPr>
          <w:sz w:val="25"/>
        </w:rPr>
      </w:pPr>
    </w:p>
    <w:p w:rsidR="005D3966" w:rsidRDefault="001C5FE1" w14:paraId="68016C2B" w14:textId="77777777">
      <w:pPr>
        <w:pStyle w:val="ListParagraph"/>
        <w:numPr>
          <w:ilvl w:val="0"/>
          <w:numId w:val="15"/>
        </w:numPr>
        <w:tabs>
          <w:tab w:val="left" w:pos="1012"/>
        </w:tabs>
        <w:spacing w:line="247" w:lineRule="auto"/>
        <w:ind w:right="930" w:hanging="351"/>
        <w:rPr>
          <w:sz w:val="24"/>
        </w:rPr>
      </w:pPr>
      <w:r>
        <w:rPr>
          <w:color w:val="231F20"/>
          <w:sz w:val="24"/>
        </w:rPr>
        <w:t>The fair market value of any other assets distributed, determined as of the date when the plan relinquishes control over the assets transferred directly or indirectly to the substantial</w:t>
      </w:r>
      <w:r>
        <w:rPr>
          <w:color w:val="231F20"/>
          <w:spacing w:val="-21"/>
          <w:sz w:val="24"/>
        </w:rPr>
        <w:t xml:space="preserve"> </w:t>
      </w:r>
      <w:r>
        <w:rPr>
          <w:color w:val="231F20"/>
          <w:sz w:val="24"/>
        </w:rPr>
        <w:t>owner.</w:t>
      </w:r>
    </w:p>
    <w:p w:rsidR="005D3966" w:rsidRDefault="005D3966" w14:paraId="199F9374" w14:textId="77777777">
      <w:pPr>
        <w:pStyle w:val="BodyText"/>
        <w:spacing w:before="2"/>
        <w:rPr>
          <w:sz w:val="23"/>
        </w:rPr>
      </w:pPr>
    </w:p>
    <w:p w:rsidR="005D3966" w:rsidRDefault="001C5FE1" w14:paraId="19E876D9" w14:textId="77777777">
      <w:pPr>
        <w:pStyle w:val="BodyText"/>
        <w:spacing w:line="249" w:lineRule="auto"/>
        <w:ind w:left="660" w:right="714"/>
      </w:pPr>
      <w:r>
        <w:rPr>
          <w:b/>
          <w:color w:val="231F20"/>
        </w:rPr>
        <w:t xml:space="preserve">Date of Distribution — </w:t>
      </w:r>
      <w:r>
        <w:rPr>
          <w:color w:val="231F20"/>
        </w:rPr>
        <w:t xml:space="preserve">The </w:t>
      </w:r>
      <w:r>
        <w:rPr>
          <w:color w:val="231F20"/>
          <w:u w:val="single" w:color="231F20"/>
        </w:rPr>
        <w:t>date of distribution</w:t>
      </w:r>
      <w:r>
        <w:rPr>
          <w:color w:val="231F20"/>
        </w:rPr>
        <w:t xml:space="preserve"> to a substantial owner of a cash distribution is the date it is received by the substantial owner. The date of distribution to a substantial owner of an irrevocable commitment is the date on which the obligation to provide benefits passes from the plan to the insurer. The date of any other distribution to a substantial owner is the date when the plan relinquishes control over the assets transferred directly or indirectly to the substantial owner.</w:t>
      </w:r>
    </w:p>
    <w:p w:rsidR="005D3966" w:rsidRDefault="005D3966" w14:paraId="06243508" w14:textId="77777777">
      <w:pPr>
        <w:pStyle w:val="BodyText"/>
        <w:spacing w:before="7"/>
      </w:pPr>
    </w:p>
    <w:p w:rsidR="005D3966" w:rsidRDefault="001C5FE1" w14:paraId="36133159" w14:textId="77777777">
      <w:pPr>
        <w:pStyle w:val="BodyText"/>
        <w:spacing w:before="1" w:line="247" w:lineRule="auto"/>
        <w:ind w:left="660" w:right="629"/>
      </w:pPr>
      <w:r>
        <w:rPr>
          <w:color w:val="231F20"/>
        </w:rPr>
        <w:t>The determination of whether a participant is (or has been in the preceding 60 months) a substantial owner is made on the date when there has been a distribution that would be reportable under this section if made to a substantial owner.</w:t>
      </w:r>
    </w:p>
    <w:p w:rsidR="005D3966" w:rsidRDefault="005D3966" w14:paraId="1958FB13" w14:textId="77777777">
      <w:pPr>
        <w:spacing w:line="247" w:lineRule="auto"/>
        <w:sectPr w:rsidR="005D3966">
          <w:pgSz w:w="12240" w:h="15840"/>
          <w:pgMar w:top="1060" w:right="660" w:bottom="720" w:left="700" w:header="318" w:footer="530" w:gutter="0"/>
          <w:cols w:space="720"/>
        </w:sectPr>
      </w:pPr>
    </w:p>
    <w:p w:rsidR="005D3966" w:rsidRDefault="001C5FE1" w14:paraId="05A4D648" w14:textId="77777777">
      <w:pPr>
        <w:spacing w:before="88" w:line="249" w:lineRule="auto"/>
        <w:ind w:left="660" w:right="775"/>
        <w:rPr>
          <w:i/>
          <w:sz w:val="24"/>
        </w:rPr>
      </w:pPr>
      <w:r>
        <w:rPr>
          <w:i/>
          <w:color w:val="231F20"/>
          <w:sz w:val="24"/>
        </w:rPr>
        <w:lastRenderedPageBreak/>
        <w:t>Note: In the case of an annuity for a substantial owner, a filing that satisfies the requirements of this section with respect to any payment under the annuity and that discloses the period, the amount of the payment, and the duration of the annuity satisfies the requirements of this section with respect to all subsequent payments under the</w:t>
      </w:r>
      <w:r>
        <w:rPr>
          <w:i/>
          <w:color w:val="231F20"/>
          <w:spacing w:val="57"/>
          <w:sz w:val="24"/>
        </w:rPr>
        <w:t xml:space="preserve"> </w:t>
      </w:r>
      <w:r>
        <w:rPr>
          <w:i/>
          <w:color w:val="231F20"/>
          <w:sz w:val="24"/>
        </w:rPr>
        <w:t>annuity.</w:t>
      </w:r>
    </w:p>
    <w:p w:rsidR="005D3966" w:rsidRDefault="005D3966" w14:paraId="1FBD3B7C" w14:textId="77777777">
      <w:pPr>
        <w:pStyle w:val="BodyText"/>
        <w:spacing w:before="7"/>
        <w:rPr>
          <w:i/>
          <w:sz w:val="22"/>
        </w:rPr>
      </w:pPr>
    </w:p>
    <w:p w:rsidR="005D3966" w:rsidRDefault="001C5FE1" w14:paraId="399FC7C8" w14:textId="77777777">
      <w:pPr>
        <w:spacing w:line="247" w:lineRule="auto"/>
        <w:ind w:left="660" w:right="1081"/>
        <w:rPr>
          <w:sz w:val="24"/>
        </w:rPr>
      </w:pPr>
      <w:r>
        <w:rPr>
          <w:b/>
          <w:color w:val="231F20"/>
          <w:sz w:val="24"/>
        </w:rPr>
        <w:t xml:space="preserve">Reporting Waivers — </w:t>
      </w:r>
      <w:r>
        <w:rPr>
          <w:color w:val="231F20"/>
          <w:sz w:val="24"/>
        </w:rPr>
        <w:t>Reporting of this event is waived under any of the following automatic waivers.</w:t>
      </w:r>
    </w:p>
    <w:p w:rsidR="005D3966" w:rsidRDefault="005D3966" w14:paraId="41C0254A" w14:textId="77777777">
      <w:pPr>
        <w:pStyle w:val="BodyText"/>
        <w:spacing w:before="1"/>
        <w:rPr>
          <w:sz w:val="25"/>
        </w:rPr>
      </w:pPr>
    </w:p>
    <w:p w:rsidR="005D3966" w:rsidRDefault="001C5FE1" w14:paraId="0363555D" w14:textId="77777777">
      <w:pPr>
        <w:pStyle w:val="BodyText"/>
        <w:spacing w:line="249" w:lineRule="auto"/>
        <w:ind w:left="660"/>
      </w:pPr>
      <w:r>
        <w:rPr>
          <w:i/>
          <w:color w:val="231F20"/>
        </w:rPr>
        <w:t xml:space="preserve">Low-default-risk. </w:t>
      </w:r>
      <w:r>
        <w:rPr>
          <w:color w:val="231F20"/>
        </w:rPr>
        <w:t>Each contributing sponsor of the plan and the highest-level U.S. parent of each contributing sponsor are low-default-risk on the date of the event.</w:t>
      </w:r>
    </w:p>
    <w:p w:rsidR="005D3966" w:rsidRDefault="005D3966" w14:paraId="14CE7D38" w14:textId="77777777">
      <w:pPr>
        <w:pStyle w:val="BodyText"/>
        <w:spacing w:before="2"/>
      </w:pPr>
    </w:p>
    <w:p w:rsidR="005D3966" w:rsidRDefault="001C5FE1" w14:paraId="50A69C2B" w14:textId="77777777">
      <w:pPr>
        <w:ind w:left="1171"/>
        <w:rPr>
          <w:i/>
          <w:sz w:val="24"/>
        </w:rPr>
      </w:pPr>
      <w:r>
        <w:rPr>
          <w:i/>
          <w:color w:val="231F20"/>
          <w:sz w:val="24"/>
        </w:rPr>
        <w:t>Special Note for Low-default risk waiver:</w:t>
      </w:r>
    </w:p>
    <w:p w:rsidR="005D3966" w:rsidRDefault="005D3966" w14:paraId="22C1FAC2" w14:textId="77777777">
      <w:pPr>
        <w:pStyle w:val="BodyText"/>
        <w:spacing w:before="1"/>
        <w:rPr>
          <w:i/>
          <w:sz w:val="26"/>
        </w:rPr>
      </w:pPr>
    </w:p>
    <w:p w:rsidR="005D3966" w:rsidRDefault="001C5FE1" w14:paraId="06BDB5DA" w14:textId="77777777">
      <w:pPr>
        <w:spacing w:line="249" w:lineRule="auto"/>
        <w:ind w:left="1171" w:right="626"/>
        <w:rPr>
          <w:i/>
          <w:sz w:val="24"/>
        </w:rPr>
      </w:pPr>
      <w:r>
        <w:rPr>
          <w:i/>
          <w:color w:val="231F20"/>
          <w:sz w:val="24"/>
        </w:rPr>
        <w:t>For reporting to be waived for an event to which the safe harbor applies, both the contributing sponsor and the highest-level U.S. parent of the contributing sponsor must satisfy the company low-default-risk</w:t>
      </w:r>
      <w:r>
        <w:rPr>
          <w:i/>
          <w:color w:val="231F20"/>
          <w:spacing w:val="-4"/>
          <w:sz w:val="24"/>
        </w:rPr>
        <w:t xml:space="preserve"> </w:t>
      </w:r>
      <w:r>
        <w:rPr>
          <w:i/>
          <w:color w:val="231F20"/>
          <w:sz w:val="24"/>
        </w:rPr>
        <w:t>waiver.</w:t>
      </w:r>
    </w:p>
    <w:p w:rsidR="005D3966" w:rsidRDefault="005D3966" w14:paraId="36F629B6" w14:textId="77777777">
      <w:pPr>
        <w:pStyle w:val="BodyText"/>
        <w:spacing w:before="10"/>
        <w:rPr>
          <w:i/>
        </w:rPr>
      </w:pPr>
    </w:p>
    <w:p w:rsidR="005D3966" w:rsidRDefault="001C5FE1" w14:paraId="1CAB09D4" w14:textId="77777777">
      <w:pPr>
        <w:spacing w:before="1" w:line="249" w:lineRule="auto"/>
        <w:ind w:left="1171" w:right="724"/>
        <w:rPr>
          <w:i/>
          <w:sz w:val="24"/>
        </w:rPr>
      </w:pPr>
      <w:r>
        <w:rPr>
          <w:i/>
          <w:color w:val="231F20"/>
          <w:sz w:val="24"/>
        </w:rPr>
        <w:t>A company is to determine whether it qualifies for the low-default-risk waiver once during</w:t>
      </w:r>
      <w:r>
        <w:rPr>
          <w:i/>
          <w:color w:val="231F20"/>
          <w:spacing w:val="-21"/>
          <w:sz w:val="24"/>
        </w:rPr>
        <w:t xml:space="preserve"> </w:t>
      </w:r>
      <w:r>
        <w:rPr>
          <w:i/>
          <w:color w:val="231F20"/>
          <w:sz w:val="24"/>
        </w:rPr>
        <w:t>an annual financial reporting cycle (on a “financial information date”). If it qualifies on that financial information date, its qualification remains in place throughout a “waiver period” that ends 13 months later or on the next financial information date (if earlier).</w:t>
      </w:r>
      <w:hyperlink w:history="1" w:anchor="_bookmark2">
        <w:r>
          <w:rPr>
            <w:i/>
            <w:color w:val="231F20"/>
            <w:sz w:val="24"/>
            <w:vertAlign w:val="superscript"/>
          </w:rPr>
          <w:t>3</w:t>
        </w:r>
        <w:r>
          <w:rPr>
            <w:i/>
            <w:color w:val="231F20"/>
            <w:sz w:val="24"/>
          </w:rPr>
          <w:t xml:space="preserve"> </w:t>
        </w:r>
      </w:hyperlink>
      <w:proofErr w:type="gramStart"/>
      <w:r>
        <w:rPr>
          <w:i/>
          <w:color w:val="231F20"/>
          <w:sz w:val="24"/>
        </w:rPr>
        <w:t>If  it</w:t>
      </w:r>
      <w:proofErr w:type="gramEnd"/>
      <w:r>
        <w:rPr>
          <w:i/>
          <w:color w:val="231F20"/>
          <w:sz w:val="24"/>
        </w:rPr>
        <w:t xml:space="preserve">  does not  qualify,  its  non-qualified  status  remains  in  place  until   the next financial information date. The financial information date is the date annual financial statements are filed with the SEC or the closing date of the annual accounting cycle. If audited financial information is not available, the date is the date the company files its annual federal income tax returns or IRS Form 990. If an </w:t>
      </w:r>
      <w:r>
        <w:rPr>
          <w:i/>
          <w:color w:val="231F20"/>
          <w:spacing w:val="-3"/>
          <w:sz w:val="24"/>
        </w:rPr>
        <w:t xml:space="preserve">accountant’s </w:t>
      </w:r>
      <w:r>
        <w:rPr>
          <w:i/>
          <w:color w:val="231F20"/>
          <w:sz w:val="24"/>
        </w:rPr>
        <w:t xml:space="preserve">audit or review report expresses a material adverse view or qualification, the company will not satisfy the low-default-risk </w:t>
      </w:r>
      <w:r>
        <w:rPr>
          <w:i/>
          <w:color w:val="231F20"/>
          <w:spacing w:val="-3"/>
          <w:sz w:val="24"/>
        </w:rPr>
        <w:t xml:space="preserve">standard </w:t>
      </w:r>
      <w:r>
        <w:rPr>
          <w:i/>
          <w:color w:val="231F20"/>
          <w:sz w:val="24"/>
        </w:rPr>
        <w:t>for the</w:t>
      </w:r>
      <w:r>
        <w:rPr>
          <w:i/>
          <w:color w:val="231F20"/>
          <w:spacing w:val="-1"/>
          <w:sz w:val="24"/>
        </w:rPr>
        <w:t xml:space="preserve"> </w:t>
      </w:r>
      <w:r>
        <w:rPr>
          <w:i/>
          <w:color w:val="231F20"/>
          <w:spacing w:val="-4"/>
          <w:sz w:val="24"/>
        </w:rPr>
        <w:t>waiver.</w:t>
      </w:r>
    </w:p>
    <w:p w:rsidR="005D3966" w:rsidRDefault="005D3966" w14:paraId="68A4D444" w14:textId="77777777">
      <w:pPr>
        <w:pStyle w:val="BodyText"/>
        <w:spacing w:before="3"/>
        <w:rPr>
          <w:i/>
        </w:rPr>
      </w:pPr>
    </w:p>
    <w:p w:rsidR="005D3966" w:rsidRDefault="001C5FE1" w14:paraId="16703522" w14:textId="77777777">
      <w:pPr>
        <w:ind w:left="451"/>
        <w:rPr>
          <w:sz w:val="24"/>
        </w:rPr>
      </w:pPr>
      <w:r>
        <w:rPr>
          <w:i/>
          <w:color w:val="231F20"/>
          <w:sz w:val="24"/>
        </w:rPr>
        <w:t xml:space="preserve">Well-funded plan. </w:t>
      </w:r>
      <w:r>
        <w:rPr>
          <w:color w:val="231F20"/>
          <w:sz w:val="24"/>
        </w:rPr>
        <w:t>The plan is in the well-funded plan safe harbor for the event year.</w:t>
      </w:r>
    </w:p>
    <w:p w:rsidR="005D3966" w:rsidRDefault="005D3966" w14:paraId="69B31990" w14:textId="77777777">
      <w:pPr>
        <w:pStyle w:val="BodyText"/>
        <w:spacing w:before="7"/>
        <w:rPr>
          <w:sz w:val="25"/>
        </w:rPr>
      </w:pPr>
    </w:p>
    <w:p w:rsidR="005D3966" w:rsidRDefault="001C5FE1" w14:paraId="16E89CB4" w14:textId="77777777">
      <w:pPr>
        <w:spacing w:line="247" w:lineRule="auto"/>
        <w:ind w:left="452" w:right="533"/>
      </w:pPr>
      <w:r>
        <w:rPr>
          <w:i/>
          <w:color w:val="231F20"/>
        </w:rPr>
        <w:t xml:space="preserve">Public company. </w:t>
      </w:r>
      <w:r>
        <w:rPr>
          <w:color w:val="231F20"/>
        </w:rPr>
        <w:t xml:space="preserve">Any contributing sponsor of the plan before the transaction or the parent company within a parent-subsidiary controlled group of any such contributing sponsor, is a public company and timely files a SEC Form 8-K disclosing the event under an item of the Form 8-K other </w:t>
      </w:r>
      <w:proofErr w:type="gramStart"/>
      <w:r>
        <w:rPr>
          <w:color w:val="231F20"/>
        </w:rPr>
        <w:t>than  under</w:t>
      </w:r>
      <w:proofErr w:type="gramEnd"/>
      <w:r>
        <w:rPr>
          <w:color w:val="231F20"/>
        </w:rPr>
        <w:t xml:space="preserve"> Item 2.02 (Results of Operations and Financial Condition) or in financial statements under Item 9.01 (Financial Statements and Exhibits).</w:t>
      </w:r>
    </w:p>
    <w:p w:rsidR="005D3966" w:rsidRDefault="005D3966" w14:paraId="74D074BD" w14:textId="77777777">
      <w:pPr>
        <w:pStyle w:val="BodyText"/>
        <w:spacing w:before="8"/>
      </w:pPr>
    </w:p>
    <w:p w:rsidR="005D3966" w:rsidRDefault="001C5FE1" w14:paraId="7C1B5E35" w14:textId="77777777">
      <w:pPr>
        <w:ind w:left="572"/>
        <w:rPr>
          <w:i/>
          <w:sz w:val="24"/>
        </w:rPr>
      </w:pPr>
      <w:r>
        <w:rPr>
          <w:i/>
          <w:color w:val="231F20"/>
          <w:sz w:val="24"/>
        </w:rPr>
        <w:t>Note: Disclosing the following information is sufficient for the public company waiver to apply:</w:t>
      </w:r>
    </w:p>
    <w:p w:rsidR="005D3966" w:rsidRDefault="001C5FE1" w14:paraId="40FA18A8" w14:textId="77777777">
      <w:pPr>
        <w:pStyle w:val="ListParagraph"/>
        <w:numPr>
          <w:ilvl w:val="0"/>
          <w:numId w:val="14"/>
        </w:numPr>
        <w:tabs>
          <w:tab w:val="left" w:pos="1291"/>
          <w:tab w:val="left" w:pos="1292"/>
        </w:tabs>
        <w:spacing w:before="12"/>
        <w:rPr>
          <w:sz w:val="24"/>
        </w:rPr>
      </w:pPr>
      <w:r>
        <w:rPr>
          <w:color w:val="231F20"/>
          <w:sz w:val="24"/>
        </w:rPr>
        <w:t>Plan</w:t>
      </w:r>
      <w:r>
        <w:rPr>
          <w:color w:val="231F20"/>
          <w:spacing w:val="-1"/>
          <w:sz w:val="24"/>
        </w:rPr>
        <w:t xml:space="preserve"> </w:t>
      </w:r>
      <w:r>
        <w:rPr>
          <w:color w:val="231F20"/>
          <w:sz w:val="24"/>
        </w:rPr>
        <w:t>Name.</w:t>
      </w:r>
    </w:p>
    <w:p w:rsidR="005D3966" w:rsidRDefault="001C5FE1" w14:paraId="5590B32E" w14:textId="77777777">
      <w:pPr>
        <w:pStyle w:val="ListParagraph"/>
        <w:numPr>
          <w:ilvl w:val="0"/>
          <w:numId w:val="14"/>
        </w:numPr>
        <w:tabs>
          <w:tab w:val="left" w:pos="1291"/>
          <w:tab w:val="left" w:pos="1292"/>
        </w:tabs>
        <w:spacing w:before="11"/>
        <w:rPr>
          <w:sz w:val="24"/>
        </w:rPr>
      </w:pPr>
      <w:r>
        <w:rPr>
          <w:color w:val="231F20"/>
          <w:sz w:val="24"/>
        </w:rPr>
        <w:t>Date of the</w:t>
      </w:r>
      <w:r>
        <w:rPr>
          <w:color w:val="231F20"/>
          <w:spacing w:val="-2"/>
          <w:sz w:val="24"/>
        </w:rPr>
        <w:t xml:space="preserve"> </w:t>
      </w:r>
      <w:r>
        <w:rPr>
          <w:color w:val="231F20"/>
          <w:sz w:val="24"/>
        </w:rPr>
        <w:t>event.</w:t>
      </w:r>
    </w:p>
    <w:p w:rsidR="005D3966" w:rsidRDefault="001C5FE1" w14:paraId="2B36D6DC" w14:textId="77777777">
      <w:pPr>
        <w:pStyle w:val="ListParagraph"/>
        <w:numPr>
          <w:ilvl w:val="0"/>
          <w:numId w:val="14"/>
        </w:numPr>
        <w:tabs>
          <w:tab w:val="left" w:pos="1291"/>
          <w:tab w:val="left" w:pos="1292"/>
        </w:tabs>
        <w:spacing w:before="8"/>
        <w:rPr>
          <w:sz w:val="24"/>
        </w:rPr>
      </w:pPr>
      <w:r>
        <w:rPr>
          <w:color w:val="231F20"/>
          <w:sz w:val="24"/>
        </w:rPr>
        <w:t>Type of</w:t>
      </w:r>
      <w:r>
        <w:rPr>
          <w:color w:val="231F20"/>
          <w:spacing w:val="-3"/>
          <w:sz w:val="24"/>
        </w:rPr>
        <w:t xml:space="preserve"> </w:t>
      </w:r>
      <w:r>
        <w:rPr>
          <w:color w:val="231F20"/>
          <w:sz w:val="24"/>
        </w:rPr>
        <w:t>event.</w:t>
      </w:r>
    </w:p>
    <w:p w:rsidR="005D3966" w:rsidRDefault="001C5FE1" w14:paraId="71DD8604" w14:textId="77777777">
      <w:pPr>
        <w:pStyle w:val="ListParagraph"/>
        <w:numPr>
          <w:ilvl w:val="0"/>
          <w:numId w:val="14"/>
        </w:numPr>
        <w:tabs>
          <w:tab w:val="left" w:pos="1291"/>
          <w:tab w:val="left" w:pos="1292"/>
        </w:tabs>
        <w:spacing w:before="9" w:line="247" w:lineRule="auto"/>
        <w:ind w:right="749"/>
        <w:rPr>
          <w:sz w:val="24"/>
        </w:rPr>
      </w:pPr>
      <w:r>
        <w:rPr>
          <w:color w:val="231F20"/>
          <w:sz w:val="24"/>
        </w:rPr>
        <w:t>Amount of distribution, the name of the person receiving the distribution, and the reason</w:t>
      </w:r>
      <w:r>
        <w:rPr>
          <w:color w:val="231F20"/>
          <w:spacing w:val="-16"/>
          <w:sz w:val="24"/>
        </w:rPr>
        <w:t xml:space="preserve"> </w:t>
      </w:r>
      <w:r>
        <w:rPr>
          <w:color w:val="231F20"/>
          <w:sz w:val="24"/>
        </w:rPr>
        <w:t>for the</w:t>
      </w:r>
      <w:r>
        <w:rPr>
          <w:color w:val="231F20"/>
          <w:spacing w:val="-1"/>
          <w:sz w:val="24"/>
        </w:rPr>
        <w:t xml:space="preserve"> </w:t>
      </w:r>
      <w:r>
        <w:rPr>
          <w:color w:val="231F20"/>
          <w:sz w:val="24"/>
        </w:rPr>
        <w:t>distribution.</w:t>
      </w:r>
    </w:p>
    <w:p w:rsidR="005D3966" w:rsidRDefault="005D3966" w14:paraId="5A6B4E53" w14:textId="77777777">
      <w:pPr>
        <w:pStyle w:val="BodyText"/>
        <w:rPr>
          <w:sz w:val="20"/>
        </w:rPr>
      </w:pPr>
    </w:p>
    <w:p w:rsidR="005D3966" w:rsidRDefault="005D3966" w14:paraId="61A89E31" w14:textId="77777777">
      <w:pPr>
        <w:pStyle w:val="BodyText"/>
        <w:rPr>
          <w:sz w:val="20"/>
        </w:rPr>
      </w:pPr>
    </w:p>
    <w:p w:rsidR="005D3966" w:rsidRDefault="005D3966" w14:paraId="1CC9A80D" w14:textId="77777777">
      <w:pPr>
        <w:pStyle w:val="BodyText"/>
        <w:rPr>
          <w:sz w:val="20"/>
        </w:rPr>
      </w:pPr>
    </w:p>
    <w:p w:rsidR="005D3966" w:rsidRDefault="004C650B" w14:paraId="7F40C3ED" w14:textId="77777777">
      <w:pPr>
        <w:pStyle w:val="BodyText"/>
        <w:spacing w:before="10"/>
        <w:rPr>
          <w:sz w:val="21"/>
        </w:rPr>
      </w:pPr>
      <w:r>
        <w:pict w14:anchorId="4E08462C">
          <v:rect id="_x0000_s1030" style="position:absolute;margin-left:57.6pt;margin-top:14.55pt;width:2in;height:.6pt;z-index:-15726592;mso-wrap-distance-left:0;mso-wrap-distance-right:0;mso-position-horizontal-relative:page" fillcolor="black" stroked="f">
            <w10:wrap type="topAndBottom" anchorx="page"/>
          </v:rect>
        </w:pict>
      </w:r>
    </w:p>
    <w:p w:rsidR="005D3966" w:rsidRDefault="001C5FE1" w14:paraId="72A946B1" w14:textId="77777777">
      <w:pPr>
        <w:spacing w:before="65"/>
        <w:ind w:left="452"/>
        <w:rPr>
          <w:sz w:val="20"/>
        </w:rPr>
      </w:pPr>
      <w:bookmarkStart w:name="_bookmark2" w:id="18"/>
      <w:bookmarkEnd w:id="18"/>
      <w:r>
        <w:rPr>
          <w:sz w:val="20"/>
          <w:vertAlign w:val="superscript"/>
        </w:rPr>
        <w:t>3</w:t>
      </w:r>
      <w:r>
        <w:rPr>
          <w:sz w:val="20"/>
        </w:rPr>
        <w:t xml:space="preserve"> Thirteen months allows for some variation from year to year on the date that annual financials are reported.</w:t>
      </w:r>
    </w:p>
    <w:p w:rsidR="005D3966" w:rsidRDefault="005D3966" w14:paraId="6309EE35" w14:textId="77777777">
      <w:pPr>
        <w:rPr>
          <w:sz w:val="20"/>
        </w:rPr>
        <w:sectPr w:rsidR="005D3966">
          <w:pgSz w:w="12240" w:h="15840"/>
          <w:pgMar w:top="1060" w:right="660" w:bottom="720" w:left="700" w:header="318" w:footer="530" w:gutter="0"/>
          <w:cols w:space="720"/>
        </w:sectPr>
      </w:pPr>
    </w:p>
    <w:p w:rsidR="005D3966" w:rsidRDefault="001C5FE1" w14:paraId="0F04557A" w14:textId="77777777">
      <w:pPr>
        <w:pStyle w:val="Heading1"/>
        <w:numPr>
          <w:ilvl w:val="0"/>
          <w:numId w:val="21"/>
        </w:numPr>
        <w:tabs>
          <w:tab w:val="left" w:pos="984"/>
          <w:tab w:val="left" w:pos="985"/>
        </w:tabs>
        <w:spacing w:before="89"/>
        <w:ind w:left="984" w:hanging="397"/>
        <w:jc w:val="left"/>
      </w:pPr>
      <w:bookmarkStart w:name="E._Change_in_Controlled_Group" w:id="19"/>
      <w:bookmarkEnd w:id="19"/>
      <w:r>
        <w:rPr>
          <w:color w:val="231F20"/>
        </w:rPr>
        <w:lastRenderedPageBreak/>
        <w:t>Change in Controlled</w:t>
      </w:r>
      <w:r>
        <w:rPr>
          <w:color w:val="231F20"/>
          <w:spacing w:val="-7"/>
        </w:rPr>
        <w:t xml:space="preserve"> </w:t>
      </w:r>
      <w:r>
        <w:rPr>
          <w:color w:val="231F20"/>
        </w:rPr>
        <w:t>Group</w:t>
      </w:r>
    </w:p>
    <w:p w:rsidR="005D3966" w:rsidRDefault="001C5FE1" w14:paraId="344FE437" w14:textId="77777777">
      <w:pPr>
        <w:pStyle w:val="BodyText"/>
        <w:spacing w:before="8"/>
        <w:ind w:left="588"/>
      </w:pPr>
      <w:r>
        <w:rPr>
          <w:color w:val="231F20"/>
        </w:rPr>
        <w:t>(see 29 CFR 4043.29)</w:t>
      </w:r>
    </w:p>
    <w:p w:rsidR="005D3966" w:rsidRDefault="005D3966" w14:paraId="77F2E2FA" w14:textId="77777777">
      <w:pPr>
        <w:pStyle w:val="BodyText"/>
        <w:spacing w:before="4"/>
        <w:rPr>
          <w:sz w:val="26"/>
        </w:rPr>
      </w:pPr>
    </w:p>
    <w:p w:rsidR="005D3966" w:rsidRDefault="001C5FE1" w14:paraId="3BFA7839" w14:textId="77777777">
      <w:pPr>
        <w:pStyle w:val="BodyText"/>
        <w:spacing w:line="247" w:lineRule="auto"/>
        <w:ind w:left="588" w:right="706"/>
      </w:pPr>
      <w:r>
        <w:rPr>
          <w:b/>
          <w:color w:val="231F20"/>
        </w:rPr>
        <w:t xml:space="preserve">Definition of Event </w:t>
      </w:r>
      <w:r>
        <w:rPr>
          <w:color w:val="231F20"/>
        </w:rPr>
        <w:t xml:space="preserve">— A reportable event occurs for a plan when there is a transaction that results, or will result, in one or more persons (including any person who is or was a contributing sponsor) ceasing to be members of the </w:t>
      </w:r>
      <w:proofErr w:type="gramStart"/>
      <w:r>
        <w:rPr>
          <w:color w:val="231F20"/>
          <w:spacing w:val="-3"/>
        </w:rPr>
        <w:t xml:space="preserve">plan’s </w:t>
      </w:r>
      <w:r>
        <w:rPr>
          <w:color w:val="231F20"/>
          <w:spacing w:val="-4"/>
        </w:rPr>
        <w:t>controlled</w:t>
      </w:r>
      <w:proofErr w:type="gramEnd"/>
      <w:r>
        <w:rPr>
          <w:color w:val="231F20"/>
          <w:spacing w:val="-4"/>
        </w:rPr>
        <w:t xml:space="preserve"> </w:t>
      </w:r>
      <w:r>
        <w:rPr>
          <w:color w:val="231F20"/>
          <w:spacing w:val="-3"/>
        </w:rPr>
        <w:t xml:space="preserve">group </w:t>
      </w:r>
      <w:r>
        <w:rPr>
          <w:color w:val="231F20"/>
          <w:spacing w:val="-4"/>
        </w:rPr>
        <w:t xml:space="preserve">(other </w:t>
      </w:r>
      <w:r>
        <w:rPr>
          <w:color w:val="231F20"/>
          <w:spacing w:val="-3"/>
        </w:rPr>
        <w:t xml:space="preserve">than </w:t>
      </w:r>
      <w:r>
        <w:rPr>
          <w:color w:val="231F20"/>
        </w:rPr>
        <w:t xml:space="preserve">by </w:t>
      </w:r>
      <w:r>
        <w:rPr>
          <w:color w:val="231F20"/>
          <w:spacing w:val="-3"/>
        </w:rPr>
        <w:t xml:space="preserve">merger involving </w:t>
      </w:r>
      <w:r>
        <w:rPr>
          <w:color w:val="231F20"/>
          <w:spacing w:val="-4"/>
        </w:rPr>
        <w:t xml:space="preserve">members </w:t>
      </w:r>
      <w:r>
        <w:rPr>
          <w:color w:val="231F20"/>
        </w:rPr>
        <w:t xml:space="preserve">of </w:t>
      </w:r>
      <w:r>
        <w:rPr>
          <w:color w:val="231F20"/>
          <w:spacing w:val="-3"/>
        </w:rPr>
        <w:t xml:space="preserve">the same </w:t>
      </w:r>
      <w:r>
        <w:rPr>
          <w:color w:val="231F20"/>
          <w:spacing w:val="-4"/>
        </w:rPr>
        <w:t xml:space="preserve">controlled </w:t>
      </w:r>
      <w:r>
        <w:rPr>
          <w:color w:val="231F20"/>
          <w:spacing w:val="-3"/>
        </w:rPr>
        <w:t>group).</w:t>
      </w:r>
    </w:p>
    <w:p w:rsidR="005D3966" w:rsidRDefault="005D3966" w14:paraId="12E2EFA9" w14:textId="77777777">
      <w:pPr>
        <w:pStyle w:val="BodyText"/>
        <w:spacing w:before="3"/>
        <w:rPr>
          <w:sz w:val="25"/>
        </w:rPr>
      </w:pPr>
    </w:p>
    <w:p w:rsidR="005D3966" w:rsidRDefault="001C5FE1" w14:paraId="2710EEC7" w14:textId="77777777">
      <w:pPr>
        <w:pStyle w:val="BodyText"/>
        <w:spacing w:line="247" w:lineRule="auto"/>
        <w:ind w:left="588" w:right="527"/>
      </w:pPr>
      <w:r>
        <w:rPr>
          <w:color w:val="231F20"/>
        </w:rPr>
        <w:t xml:space="preserve">For this purpose, a </w:t>
      </w:r>
      <w:r>
        <w:rPr>
          <w:i/>
          <w:color w:val="231F20"/>
        </w:rPr>
        <w:t xml:space="preserve">transaction </w:t>
      </w:r>
      <w:r>
        <w:rPr>
          <w:color w:val="231F20"/>
        </w:rPr>
        <w:t xml:space="preserve">includes, but is not limited to, a legally binding agreement, </w:t>
      </w:r>
      <w:proofErr w:type="gramStart"/>
      <w:r>
        <w:rPr>
          <w:color w:val="231F20"/>
        </w:rPr>
        <w:t>whether or not</w:t>
      </w:r>
      <w:proofErr w:type="gramEnd"/>
      <w:r>
        <w:rPr>
          <w:color w:val="231F20"/>
        </w:rPr>
        <w:t xml:space="preserve"> written, to transfer ownership, an actual transfer of ownership, and an actual change in ownership that occurs as a matter of law or through the exercise or lapse of pre-existing rights. Whether an agreement is legally binding is to be determined without regard to any conditions in the agreement.</w:t>
      </w:r>
    </w:p>
    <w:p w:rsidR="005D3966" w:rsidRDefault="001C5FE1" w14:paraId="4FA50D9A" w14:textId="77777777">
      <w:pPr>
        <w:spacing w:before="142" w:line="244" w:lineRule="auto"/>
        <w:ind w:left="588" w:right="467"/>
        <w:rPr>
          <w:i/>
          <w:sz w:val="24"/>
        </w:rPr>
      </w:pPr>
      <w:r>
        <w:rPr>
          <w:i/>
          <w:color w:val="231F20"/>
          <w:sz w:val="24"/>
        </w:rPr>
        <w:t>Note: A “change in controlled group” is not a reportable event if it will result solely in a reorganization involving a mere change in identity, form, or place of organization, however effected.</w:t>
      </w:r>
    </w:p>
    <w:p w:rsidR="005D3966" w:rsidRDefault="005D3966" w14:paraId="0A07A776" w14:textId="77777777">
      <w:pPr>
        <w:pStyle w:val="BodyText"/>
        <w:spacing w:before="1"/>
        <w:rPr>
          <w:i/>
          <w:sz w:val="37"/>
        </w:rPr>
      </w:pPr>
    </w:p>
    <w:p w:rsidR="005D3966" w:rsidRDefault="001C5FE1" w14:paraId="62B01D87" w14:textId="77777777">
      <w:pPr>
        <w:spacing w:line="247" w:lineRule="auto"/>
        <w:ind w:left="559" w:right="569"/>
        <w:rPr>
          <w:i/>
          <w:sz w:val="24"/>
        </w:rPr>
      </w:pPr>
      <w:r>
        <w:rPr>
          <w:i/>
          <w:color w:val="231F20"/>
          <w:sz w:val="24"/>
        </w:rPr>
        <w:t>A legally binding agreement means an agreement that provides for obligations that are material to and enforceable by and against the parties to the agreement, regardless of whether any conditions of the agreement have been met or satisfied (in other words, an agreement does not fail to be legally binding solely because it is subject to conditions that have not been performed).</w:t>
      </w:r>
    </w:p>
    <w:p w:rsidR="005D3966" w:rsidRDefault="001C5FE1" w14:paraId="19699EB5" w14:textId="77777777">
      <w:pPr>
        <w:pStyle w:val="BodyText"/>
        <w:spacing w:before="233"/>
        <w:ind w:left="588"/>
      </w:pPr>
      <w:r>
        <w:rPr>
          <w:b/>
          <w:color w:val="231F20"/>
        </w:rPr>
        <w:t xml:space="preserve">Examples </w:t>
      </w:r>
      <w:r>
        <w:rPr>
          <w:color w:val="231F20"/>
        </w:rPr>
        <w:t>— The following examples assume a waiver does not apply.</w:t>
      </w:r>
    </w:p>
    <w:p w:rsidR="005D3966" w:rsidRDefault="005D3966" w14:paraId="03FA575B" w14:textId="77777777">
      <w:pPr>
        <w:pStyle w:val="BodyText"/>
        <w:spacing w:before="2"/>
        <w:rPr>
          <w:sz w:val="26"/>
        </w:rPr>
      </w:pPr>
    </w:p>
    <w:p w:rsidR="005D3966" w:rsidRDefault="001C5FE1" w14:paraId="35F5EA1E" w14:textId="77777777">
      <w:pPr>
        <w:pStyle w:val="Heading2"/>
        <w:numPr>
          <w:ilvl w:val="0"/>
          <w:numId w:val="13"/>
        </w:numPr>
        <w:tabs>
          <w:tab w:val="left" w:pos="858"/>
        </w:tabs>
        <w:spacing w:before="1"/>
        <w:ind w:hanging="270"/>
      </w:pPr>
      <w:bookmarkStart w:name="1._Controlled_Group_Breakup" w:id="20"/>
      <w:bookmarkEnd w:id="20"/>
      <w:r>
        <w:rPr>
          <w:color w:val="231F20"/>
        </w:rPr>
        <w:t>Controlled Group</w:t>
      </w:r>
      <w:r>
        <w:rPr>
          <w:color w:val="231F20"/>
          <w:spacing w:val="-4"/>
        </w:rPr>
        <w:t xml:space="preserve"> </w:t>
      </w:r>
      <w:r>
        <w:rPr>
          <w:color w:val="231F20"/>
        </w:rPr>
        <w:t>Breakup</w:t>
      </w:r>
    </w:p>
    <w:p w:rsidR="005D3966" w:rsidRDefault="005D3966" w14:paraId="3623533F" w14:textId="77777777">
      <w:pPr>
        <w:pStyle w:val="BodyText"/>
        <w:spacing w:before="2"/>
        <w:rPr>
          <w:rFonts w:ascii="Arial"/>
          <w:b/>
          <w:i/>
          <w:sz w:val="26"/>
        </w:rPr>
      </w:pPr>
    </w:p>
    <w:p w:rsidR="005D3966" w:rsidRDefault="001C5FE1" w14:paraId="043D6345" w14:textId="77777777">
      <w:pPr>
        <w:pStyle w:val="BodyText"/>
        <w:spacing w:line="249" w:lineRule="auto"/>
        <w:ind w:left="588" w:right="733"/>
      </w:pPr>
      <w:r>
        <w:rPr>
          <w:b/>
          <w:color w:val="231F20"/>
        </w:rPr>
        <w:t xml:space="preserve">Facts: </w:t>
      </w:r>
      <w:r>
        <w:rPr>
          <w:color w:val="231F20"/>
        </w:rPr>
        <w:t>Company A (the contributing sponsor of Plan A), and Company B (the contributing sponsor of Plan B) are in the same controlled group with Parent Company AB. On March 31, Parent Company AB and Company C enter into an agreement to sell the stock of Company B to Company C, a company outside of the controlled group. The transaction will close on August 31 and Company B will continue to maintain Plan B.</w:t>
      </w:r>
    </w:p>
    <w:p w:rsidR="005D3966" w:rsidRDefault="005D3966" w14:paraId="4215F734" w14:textId="77777777">
      <w:pPr>
        <w:pStyle w:val="BodyText"/>
        <w:spacing w:before="9"/>
      </w:pPr>
    </w:p>
    <w:p w:rsidR="005D3966" w:rsidRDefault="001C5FE1" w14:paraId="5FB95503" w14:textId="77777777">
      <w:pPr>
        <w:pStyle w:val="BodyText"/>
        <w:spacing w:line="249" w:lineRule="auto"/>
        <w:ind w:left="588" w:right="789"/>
      </w:pPr>
      <w:r>
        <w:rPr>
          <w:b/>
          <w:color w:val="231F20"/>
        </w:rPr>
        <w:t xml:space="preserve">Reporting: </w:t>
      </w:r>
      <w:r>
        <w:rPr>
          <w:color w:val="231F20"/>
        </w:rPr>
        <w:t>Both Company A (Plan A's contributing sponsor) and the plan administrator of Plan A are required to report that Company B will leave Plan A's controlled group. Company B (Plan B's contributing sponsor) and the plan administrator of Plan B are required to report that Company A and Parent Company AB are no longer part of Plan B's controlled group. Both reports are due on April 30, 30 days after they entered into the agreement to sell Company B.</w:t>
      </w:r>
    </w:p>
    <w:p w:rsidR="005D3966" w:rsidRDefault="005D3966" w14:paraId="63FF4D19" w14:textId="77777777">
      <w:pPr>
        <w:pStyle w:val="BodyText"/>
        <w:spacing w:before="6"/>
        <w:rPr>
          <w:sz w:val="32"/>
        </w:rPr>
      </w:pPr>
    </w:p>
    <w:p w:rsidR="005D3966" w:rsidRDefault="001C5FE1" w14:paraId="543D9F55" w14:textId="77777777">
      <w:pPr>
        <w:pStyle w:val="Heading2"/>
        <w:numPr>
          <w:ilvl w:val="0"/>
          <w:numId w:val="13"/>
        </w:numPr>
        <w:tabs>
          <w:tab w:val="left" w:pos="858"/>
        </w:tabs>
        <w:ind w:hanging="270"/>
      </w:pPr>
      <w:bookmarkStart w:name="2._Change_in_Contributing_Sponsor" w:id="21"/>
      <w:bookmarkEnd w:id="21"/>
      <w:r>
        <w:rPr>
          <w:color w:val="231F20"/>
        </w:rPr>
        <w:t>Change in Contributing</w:t>
      </w:r>
      <w:r>
        <w:rPr>
          <w:color w:val="231F20"/>
          <w:spacing w:val="-2"/>
        </w:rPr>
        <w:t xml:space="preserve"> </w:t>
      </w:r>
      <w:r>
        <w:rPr>
          <w:color w:val="231F20"/>
        </w:rPr>
        <w:t>Sponsor</w:t>
      </w:r>
    </w:p>
    <w:p w:rsidR="005D3966" w:rsidRDefault="005D3966" w14:paraId="5B166541" w14:textId="77777777">
      <w:pPr>
        <w:pStyle w:val="BodyText"/>
        <w:spacing w:before="9"/>
        <w:rPr>
          <w:rFonts w:ascii="Arial"/>
          <w:b/>
          <w:i/>
          <w:sz w:val="25"/>
        </w:rPr>
      </w:pPr>
    </w:p>
    <w:p w:rsidR="005D3966" w:rsidRDefault="001C5FE1" w14:paraId="0537659A" w14:textId="77777777">
      <w:pPr>
        <w:pStyle w:val="BodyText"/>
        <w:spacing w:line="249" w:lineRule="auto"/>
        <w:ind w:left="588" w:right="775"/>
      </w:pPr>
      <w:r>
        <w:rPr>
          <w:b/>
          <w:color w:val="231F20"/>
        </w:rPr>
        <w:t xml:space="preserve">Facts: </w:t>
      </w:r>
      <w:r>
        <w:rPr>
          <w:color w:val="231F20"/>
        </w:rPr>
        <w:t xml:space="preserve">Plan Q is maintained by Company Q. Company Q </w:t>
      </w:r>
      <w:proofErr w:type="gramStart"/>
      <w:r>
        <w:rPr>
          <w:color w:val="231F20"/>
        </w:rPr>
        <w:t>enters into</w:t>
      </w:r>
      <w:proofErr w:type="gramEnd"/>
      <w:r>
        <w:rPr>
          <w:color w:val="231F20"/>
        </w:rPr>
        <w:t xml:space="preserve"> a binding contract to sell a portion of its assets and to transfer employees participating in Plan Q, along with Plan Q, to Company R, which is not a member of Company Q's controlled group. There will be no change in the structure of Company Q's controlled group. On the effective date of the sale, Company R will become the contributing sponsor of Plan Q.</w:t>
      </w:r>
    </w:p>
    <w:p w:rsidR="005D3966" w:rsidRDefault="005D3966" w14:paraId="39418981" w14:textId="77777777">
      <w:pPr>
        <w:pStyle w:val="BodyText"/>
        <w:spacing w:before="7"/>
      </w:pPr>
    </w:p>
    <w:p w:rsidR="005D3966" w:rsidRDefault="001C5FE1" w14:paraId="2244FB6C" w14:textId="77777777">
      <w:pPr>
        <w:pStyle w:val="BodyText"/>
        <w:spacing w:line="249" w:lineRule="auto"/>
        <w:ind w:left="588" w:right="609"/>
      </w:pPr>
      <w:r>
        <w:rPr>
          <w:b/>
          <w:color w:val="231F20"/>
        </w:rPr>
        <w:t xml:space="preserve">Reporting: </w:t>
      </w:r>
      <w:r>
        <w:rPr>
          <w:color w:val="231F20"/>
        </w:rPr>
        <w:t xml:space="preserve">A reportable event occurs on the date of the transaction (i.e., the date the binding contract was executed), because </w:t>
      </w:r>
      <w:proofErr w:type="gramStart"/>
      <w:r>
        <w:rPr>
          <w:color w:val="231F20"/>
        </w:rPr>
        <w:t>as a result of</w:t>
      </w:r>
      <w:proofErr w:type="gramEnd"/>
      <w:r>
        <w:rPr>
          <w:color w:val="231F20"/>
        </w:rPr>
        <w:t xml:space="preserve"> the transaction, Company Q (and any other member of</w:t>
      </w:r>
    </w:p>
    <w:p w:rsidR="005D3966" w:rsidRDefault="005D3966" w14:paraId="4B6E24BE" w14:textId="77777777">
      <w:pPr>
        <w:spacing w:line="249" w:lineRule="auto"/>
        <w:sectPr w:rsidR="005D3966">
          <w:pgSz w:w="12240" w:h="15840"/>
          <w:pgMar w:top="1060" w:right="660" w:bottom="720" w:left="700" w:header="318" w:footer="530" w:gutter="0"/>
          <w:cols w:space="720"/>
        </w:sectPr>
      </w:pPr>
    </w:p>
    <w:p w:rsidR="005D3966" w:rsidRDefault="001C5FE1" w14:paraId="5B8463F0" w14:textId="77777777">
      <w:pPr>
        <w:pStyle w:val="BodyText"/>
        <w:spacing w:before="88" w:line="249" w:lineRule="auto"/>
        <w:ind w:left="588" w:right="775"/>
      </w:pPr>
      <w:r>
        <w:rPr>
          <w:color w:val="231F20"/>
        </w:rPr>
        <w:lastRenderedPageBreak/>
        <w:t xml:space="preserve">its controlled group) will cease to be a member of Plan Q's controlled group. If on the notice due </w:t>
      </w:r>
      <w:proofErr w:type="gramStart"/>
      <w:r>
        <w:rPr>
          <w:color w:val="231F20"/>
        </w:rPr>
        <w:t>date</w:t>
      </w:r>
      <w:proofErr w:type="gramEnd"/>
      <w:r>
        <w:rPr>
          <w:color w:val="231F20"/>
        </w:rPr>
        <w:t xml:space="preserve"> the change in the contributing sponsor has not yet become effective, Company Q has the reporting obligation. If the change in the contributing sponsor has become effective by the notice due date, Company R has the reporting obligation.</w:t>
      </w:r>
    </w:p>
    <w:p w:rsidR="005D3966" w:rsidRDefault="005D3966" w14:paraId="00FAE301" w14:textId="77777777">
      <w:pPr>
        <w:pStyle w:val="BodyText"/>
        <w:spacing w:before="10"/>
      </w:pPr>
    </w:p>
    <w:p w:rsidR="005D3966" w:rsidRDefault="001C5FE1" w14:paraId="33E357A9" w14:textId="77777777">
      <w:pPr>
        <w:pStyle w:val="Heading2"/>
        <w:numPr>
          <w:ilvl w:val="0"/>
          <w:numId w:val="13"/>
        </w:numPr>
        <w:tabs>
          <w:tab w:val="left" w:pos="858"/>
        </w:tabs>
        <w:ind w:hanging="270"/>
      </w:pPr>
      <w:r>
        <w:rPr>
          <w:color w:val="231F20"/>
        </w:rPr>
        <w:t>Dissolution of Controlled Group</w:t>
      </w:r>
      <w:r>
        <w:rPr>
          <w:color w:val="231F20"/>
          <w:spacing w:val="-2"/>
        </w:rPr>
        <w:t xml:space="preserve"> </w:t>
      </w:r>
      <w:r>
        <w:rPr>
          <w:color w:val="231F20"/>
        </w:rPr>
        <w:t>Member</w:t>
      </w:r>
    </w:p>
    <w:p w:rsidR="005D3966" w:rsidRDefault="005D3966" w14:paraId="33A6AE03" w14:textId="77777777">
      <w:pPr>
        <w:pStyle w:val="BodyText"/>
        <w:spacing w:before="6"/>
        <w:rPr>
          <w:rFonts w:ascii="Arial"/>
          <w:b/>
          <w:i/>
          <w:sz w:val="25"/>
        </w:rPr>
      </w:pPr>
    </w:p>
    <w:p w:rsidR="005D3966" w:rsidRDefault="001C5FE1" w14:paraId="1C6E703D" w14:textId="77777777">
      <w:pPr>
        <w:pStyle w:val="BodyText"/>
        <w:spacing w:line="249" w:lineRule="auto"/>
        <w:ind w:left="588" w:right="634"/>
      </w:pPr>
      <w:r>
        <w:rPr>
          <w:b/>
          <w:color w:val="231F20"/>
        </w:rPr>
        <w:t xml:space="preserve">Facts: </w:t>
      </w:r>
      <w:r>
        <w:rPr>
          <w:color w:val="231F20"/>
        </w:rPr>
        <w:t>Company A (which maintains Plan A) and Company B are in the same controlled group with Parent Company AB. Pursuant to an asset sale agreement, Company B sells its assets to a company outside of the controlled group. After the sale, Company B will be dissolved and no longer operating.</w:t>
      </w:r>
    </w:p>
    <w:p w:rsidR="005D3966" w:rsidRDefault="001C5FE1" w14:paraId="53D48666" w14:textId="77777777">
      <w:pPr>
        <w:pStyle w:val="BodyText"/>
        <w:spacing w:line="249" w:lineRule="auto"/>
        <w:ind w:left="588" w:right="775"/>
      </w:pPr>
      <w:r>
        <w:rPr>
          <w:b/>
          <w:color w:val="231F20"/>
        </w:rPr>
        <w:t xml:space="preserve">Reporting: </w:t>
      </w:r>
      <w:r>
        <w:rPr>
          <w:color w:val="231F20"/>
        </w:rPr>
        <w:t>Since Company B will no longer be a member of Plan A’s controlled group, a reportable event occurs on the date Company B enters into the asset sale agreement. Note that this event may also be required to be reported as a liquidation event under 29 CFR 4043.30.</w:t>
      </w:r>
    </w:p>
    <w:p w:rsidR="005D3966" w:rsidRDefault="005D3966" w14:paraId="1B34DC06" w14:textId="77777777">
      <w:pPr>
        <w:pStyle w:val="BodyText"/>
        <w:spacing w:before="8"/>
      </w:pPr>
    </w:p>
    <w:p w:rsidR="005D3966" w:rsidRDefault="001C5FE1" w14:paraId="55E98F9F" w14:textId="77777777">
      <w:pPr>
        <w:pStyle w:val="Heading2"/>
        <w:numPr>
          <w:ilvl w:val="0"/>
          <w:numId w:val="13"/>
        </w:numPr>
        <w:tabs>
          <w:tab w:val="left" w:pos="858"/>
        </w:tabs>
        <w:ind w:hanging="270"/>
      </w:pPr>
      <w:r>
        <w:rPr>
          <w:color w:val="231F20"/>
        </w:rPr>
        <w:t>Merger of Controlled Group</w:t>
      </w:r>
      <w:r>
        <w:rPr>
          <w:color w:val="231F20"/>
          <w:spacing w:val="-4"/>
        </w:rPr>
        <w:t xml:space="preserve"> </w:t>
      </w:r>
      <w:r>
        <w:rPr>
          <w:color w:val="231F20"/>
        </w:rPr>
        <w:t>Members</w:t>
      </w:r>
    </w:p>
    <w:p w:rsidR="005D3966" w:rsidRDefault="005D3966" w14:paraId="7C379E80" w14:textId="77777777">
      <w:pPr>
        <w:pStyle w:val="BodyText"/>
        <w:spacing w:before="7"/>
        <w:rPr>
          <w:rFonts w:ascii="Arial"/>
          <w:b/>
          <w:i/>
          <w:sz w:val="25"/>
        </w:rPr>
      </w:pPr>
    </w:p>
    <w:p w:rsidR="005D3966" w:rsidRDefault="001C5FE1" w14:paraId="7CC8893C" w14:textId="77777777">
      <w:pPr>
        <w:pStyle w:val="BodyText"/>
        <w:spacing w:line="249" w:lineRule="auto"/>
        <w:ind w:left="588" w:right="634"/>
      </w:pPr>
      <w:r>
        <w:rPr>
          <w:b/>
          <w:color w:val="231F20"/>
        </w:rPr>
        <w:t xml:space="preserve">Facts: </w:t>
      </w:r>
      <w:r>
        <w:t>Company A (which maintains Plan A) and Company B are in the same controlled group with Parent Company AB. Parent Company AB decides to merge the operations of Company B into Company A.</w:t>
      </w:r>
    </w:p>
    <w:p w:rsidR="005D3966" w:rsidRDefault="005D3966" w14:paraId="3445C300" w14:textId="77777777">
      <w:pPr>
        <w:pStyle w:val="BodyText"/>
        <w:spacing w:before="7"/>
      </w:pPr>
    </w:p>
    <w:p w:rsidR="005D3966" w:rsidRDefault="001C5FE1" w14:paraId="7356A8BE" w14:textId="77777777">
      <w:pPr>
        <w:pStyle w:val="BodyText"/>
        <w:spacing w:before="1" w:line="249" w:lineRule="auto"/>
        <w:ind w:left="588" w:right="1100"/>
      </w:pPr>
      <w:r>
        <w:rPr>
          <w:b/>
          <w:color w:val="231F20"/>
        </w:rPr>
        <w:t xml:space="preserve">Reporting: </w:t>
      </w:r>
      <w:r>
        <w:t>Although Company B will no longer be a member of Plan A’s controlled group, no report is due given Company B is merging with Company A.</w:t>
      </w:r>
    </w:p>
    <w:p w:rsidR="005D3966" w:rsidRDefault="001C5FE1" w14:paraId="5E9487BE" w14:textId="77777777">
      <w:pPr>
        <w:spacing w:before="213" w:line="247" w:lineRule="auto"/>
        <w:ind w:left="569" w:right="1172"/>
        <w:rPr>
          <w:sz w:val="24"/>
        </w:rPr>
      </w:pPr>
      <w:r>
        <w:rPr>
          <w:b/>
          <w:color w:val="231F20"/>
          <w:sz w:val="24"/>
        </w:rPr>
        <w:t xml:space="preserve">Reporting Waivers — </w:t>
      </w:r>
      <w:r>
        <w:rPr>
          <w:color w:val="231F20"/>
          <w:sz w:val="24"/>
        </w:rPr>
        <w:t>Reporting of this event is waived under any of the following automatic waivers.</w:t>
      </w:r>
    </w:p>
    <w:p w:rsidR="005D3966" w:rsidRDefault="005D3966" w14:paraId="032874A5" w14:textId="77777777">
      <w:pPr>
        <w:pStyle w:val="BodyText"/>
        <w:spacing w:before="3"/>
        <w:rPr>
          <w:sz w:val="25"/>
        </w:rPr>
      </w:pPr>
    </w:p>
    <w:p w:rsidR="005D3966" w:rsidRDefault="001C5FE1" w14:paraId="420F91A4" w14:textId="77777777">
      <w:pPr>
        <w:pStyle w:val="BodyText"/>
        <w:spacing w:line="249" w:lineRule="auto"/>
        <w:ind w:left="569" w:right="833"/>
      </w:pPr>
      <w:r>
        <w:rPr>
          <w:i/>
          <w:color w:val="231F20"/>
        </w:rPr>
        <w:t xml:space="preserve">De minimis 10-percent segment. </w:t>
      </w:r>
      <w:r>
        <w:rPr>
          <w:color w:val="231F20"/>
        </w:rPr>
        <w:t xml:space="preserve">The person or persons that will cease to be members of the </w:t>
      </w:r>
      <w:proofErr w:type="gramStart"/>
      <w:r>
        <w:rPr>
          <w:color w:val="231F20"/>
        </w:rPr>
        <w:t>plan’s controlled</w:t>
      </w:r>
      <w:proofErr w:type="gramEnd"/>
      <w:r>
        <w:rPr>
          <w:color w:val="231F20"/>
        </w:rPr>
        <w:t xml:space="preserve"> group represent a </w:t>
      </w:r>
      <w:r>
        <w:rPr>
          <w:i/>
          <w:color w:val="231F20"/>
        </w:rPr>
        <w:t xml:space="preserve">de minimis </w:t>
      </w:r>
      <w:r>
        <w:rPr>
          <w:color w:val="231F20"/>
        </w:rPr>
        <w:t>10-percent segment of the plan’s old controlled group for the most recent fiscal year(s) ending on or before the date the reportable event occurs.</w:t>
      </w:r>
    </w:p>
    <w:p w:rsidR="005D3966" w:rsidRDefault="005D3966" w14:paraId="6A532728" w14:textId="77777777">
      <w:pPr>
        <w:pStyle w:val="BodyText"/>
        <w:spacing w:before="10"/>
      </w:pPr>
    </w:p>
    <w:p w:rsidR="005D3966" w:rsidRDefault="001C5FE1" w14:paraId="13120D90" w14:textId="77777777">
      <w:pPr>
        <w:pStyle w:val="BodyText"/>
        <w:spacing w:line="247" w:lineRule="auto"/>
        <w:ind w:left="569" w:right="594"/>
      </w:pPr>
      <w:r>
        <w:rPr>
          <w:i/>
          <w:color w:val="231F20"/>
        </w:rPr>
        <w:t xml:space="preserve">Foreign entity. </w:t>
      </w:r>
      <w:r>
        <w:rPr>
          <w:color w:val="231F20"/>
        </w:rPr>
        <w:t xml:space="preserve">Each person that will cease to be a member of the </w:t>
      </w:r>
      <w:proofErr w:type="gramStart"/>
      <w:r>
        <w:rPr>
          <w:color w:val="231F20"/>
        </w:rPr>
        <w:t>plan’s controlled</w:t>
      </w:r>
      <w:proofErr w:type="gramEnd"/>
      <w:r>
        <w:rPr>
          <w:color w:val="231F20"/>
        </w:rPr>
        <w:t xml:space="preserve"> group is a foreign entity other than a foreign parent.</w:t>
      </w:r>
    </w:p>
    <w:p w:rsidR="005D3966" w:rsidRDefault="005D3966" w14:paraId="369F1399" w14:textId="77777777">
      <w:pPr>
        <w:pStyle w:val="BodyText"/>
        <w:spacing w:before="8"/>
      </w:pPr>
    </w:p>
    <w:p w:rsidR="005D3966" w:rsidRDefault="001C5FE1" w14:paraId="0FBF9699" w14:textId="77777777">
      <w:pPr>
        <w:pStyle w:val="BodyText"/>
        <w:spacing w:line="247" w:lineRule="auto"/>
        <w:ind w:left="569" w:right="554"/>
      </w:pPr>
      <w:r>
        <w:rPr>
          <w:i/>
          <w:color w:val="231F20"/>
        </w:rPr>
        <w:t xml:space="preserve">Small plan. </w:t>
      </w:r>
      <w:r>
        <w:rPr>
          <w:color w:val="231F20"/>
        </w:rPr>
        <w:t>The plan had 100 or fewer participants for whom flat-rate premiums were payable for the plan year preceding the event year.</w:t>
      </w:r>
    </w:p>
    <w:p w:rsidR="005D3966" w:rsidRDefault="005D3966" w14:paraId="44012008" w14:textId="77777777">
      <w:pPr>
        <w:pStyle w:val="BodyText"/>
        <w:spacing w:before="5"/>
        <w:rPr>
          <w:sz w:val="25"/>
        </w:rPr>
      </w:pPr>
    </w:p>
    <w:p w:rsidR="005D3966" w:rsidRDefault="001C5FE1" w14:paraId="7A36B270" w14:textId="77777777">
      <w:pPr>
        <w:spacing w:line="235" w:lineRule="auto"/>
        <w:ind w:left="569" w:right="569" w:hanging="1"/>
      </w:pPr>
      <w:r>
        <w:rPr>
          <w:i/>
          <w:color w:val="231F20"/>
          <w:sz w:val="24"/>
        </w:rPr>
        <w:t xml:space="preserve">Low-default-risk. </w:t>
      </w:r>
      <w:r>
        <w:rPr>
          <w:color w:val="231F20"/>
          <w:sz w:val="24"/>
        </w:rPr>
        <w:t xml:space="preserve">Each contributing sponsor of the </w:t>
      </w:r>
      <w:r>
        <w:rPr>
          <w:color w:val="231F20"/>
        </w:rPr>
        <w:t>plan and the highest-level U.S. parent of each contributing sponsor are low-default-risk on the date of the event.</w:t>
      </w:r>
    </w:p>
    <w:p w:rsidR="005D3966" w:rsidRDefault="005D3966" w14:paraId="1F68633B" w14:textId="77777777">
      <w:pPr>
        <w:pStyle w:val="BodyText"/>
        <w:spacing w:before="1"/>
        <w:rPr>
          <w:sz w:val="25"/>
        </w:rPr>
      </w:pPr>
    </w:p>
    <w:p w:rsidR="005D3966" w:rsidRDefault="001C5FE1" w14:paraId="02B3A1AF" w14:textId="77777777">
      <w:pPr>
        <w:ind w:left="1171"/>
        <w:jc w:val="both"/>
        <w:rPr>
          <w:i/>
          <w:sz w:val="24"/>
        </w:rPr>
      </w:pPr>
      <w:r>
        <w:rPr>
          <w:i/>
          <w:color w:val="231F20"/>
          <w:sz w:val="24"/>
        </w:rPr>
        <w:t>Special Note for Low-default-risk waiver:</w:t>
      </w:r>
    </w:p>
    <w:p w:rsidR="005D3966" w:rsidRDefault="005D3966" w14:paraId="404E627C" w14:textId="77777777">
      <w:pPr>
        <w:pStyle w:val="BodyText"/>
        <w:spacing w:before="1"/>
        <w:rPr>
          <w:i/>
          <w:sz w:val="26"/>
        </w:rPr>
      </w:pPr>
    </w:p>
    <w:p w:rsidR="005D3966" w:rsidRDefault="001C5FE1" w14:paraId="1A24F376" w14:textId="77777777">
      <w:pPr>
        <w:spacing w:line="247" w:lineRule="auto"/>
        <w:ind w:left="1171" w:right="591"/>
        <w:jc w:val="both"/>
        <w:rPr>
          <w:i/>
          <w:sz w:val="24"/>
        </w:rPr>
      </w:pPr>
      <w:r>
        <w:rPr>
          <w:i/>
          <w:color w:val="231F20"/>
          <w:sz w:val="24"/>
        </w:rPr>
        <w:t>For reporting to be waived for an event to which the safe harbor applies, both the contributing sponsor and the highest-level U.S. parent of the contributing sponsor must satisfy the company low-default-risk safe harbor.</w:t>
      </w:r>
    </w:p>
    <w:p w:rsidR="005D3966" w:rsidRDefault="005D3966" w14:paraId="169CBA21" w14:textId="77777777">
      <w:pPr>
        <w:pStyle w:val="BodyText"/>
        <w:spacing w:before="7"/>
        <w:rPr>
          <w:i/>
          <w:sz w:val="25"/>
        </w:rPr>
      </w:pPr>
    </w:p>
    <w:p w:rsidR="005D3966" w:rsidRDefault="001C5FE1" w14:paraId="159D49AD" w14:textId="77777777">
      <w:pPr>
        <w:ind w:left="1171"/>
        <w:jc w:val="both"/>
        <w:rPr>
          <w:i/>
          <w:sz w:val="24"/>
        </w:rPr>
      </w:pPr>
      <w:r>
        <w:rPr>
          <w:i/>
          <w:color w:val="231F20"/>
          <w:sz w:val="24"/>
        </w:rPr>
        <w:t>A company is to determine whether it qualifies for the low-default-risk safe harbor once during</w:t>
      </w:r>
    </w:p>
    <w:p w:rsidR="005D3966" w:rsidRDefault="005D3966" w14:paraId="4E20227A" w14:textId="77777777">
      <w:pPr>
        <w:jc w:val="both"/>
        <w:rPr>
          <w:sz w:val="24"/>
        </w:rPr>
        <w:sectPr w:rsidR="005D3966">
          <w:pgSz w:w="12240" w:h="15840"/>
          <w:pgMar w:top="1060" w:right="660" w:bottom="720" w:left="700" w:header="318" w:footer="530" w:gutter="0"/>
          <w:cols w:space="720"/>
        </w:sectPr>
      </w:pPr>
    </w:p>
    <w:p w:rsidR="005D3966" w:rsidRDefault="001C5FE1" w14:paraId="41D777BD" w14:textId="77777777">
      <w:pPr>
        <w:spacing w:before="88" w:line="249" w:lineRule="auto"/>
        <w:ind w:left="1171" w:right="569"/>
        <w:rPr>
          <w:i/>
          <w:sz w:val="24"/>
        </w:rPr>
      </w:pPr>
      <w:r>
        <w:rPr>
          <w:i/>
          <w:color w:val="231F20"/>
          <w:sz w:val="24"/>
        </w:rPr>
        <w:lastRenderedPageBreak/>
        <w:t>an annual financial reporting cycle (on a “financial information date”). If it qualifies on that financial information date, its qualification remains in place throughout a “safe harbor period” that ends 13 months later or on the next financial information date (if earlier).</w:t>
      </w:r>
      <w:hyperlink w:history="1" w:anchor="_bookmark3">
        <w:r>
          <w:rPr>
            <w:i/>
            <w:color w:val="231F20"/>
            <w:sz w:val="24"/>
            <w:vertAlign w:val="superscript"/>
          </w:rPr>
          <w:t>4</w:t>
        </w:r>
        <w:r>
          <w:rPr>
            <w:i/>
            <w:color w:val="231F20"/>
            <w:sz w:val="24"/>
          </w:rPr>
          <w:t xml:space="preserve"> </w:t>
        </w:r>
      </w:hyperlink>
      <w:r>
        <w:rPr>
          <w:i/>
          <w:color w:val="231F20"/>
          <w:sz w:val="24"/>
        </w:rPr>
        <w:t xml:space="preserve">If it does not qualify, its non-qualified status remains in place until the next financial information date. The financial information date is the date annual financial statements are filed with the SEC or the closing date of the annual accounting cycle. If audited financial information is not available, the date is the date the company files its annual federal income tax returns or IRS Form 990. If an </w:t>
      </w:r>
      <w:r>
        <w:rPr>
          <w:i/>
          <w:color w:val="231F20"/>
          <w:spacing w:val="-3"/>
          <w:sz w:val="24"/>
        </w:rPr>
        <w:t xml:space="preserve">accountant’s </w:t>
      </w:r>
      <w:r>
        <w:rPr>
          <w:i/>
          <w:color w:val="231F20"/>
          <w:sz w:val="24"/>
        </w:rPr>
        <w:t>audit or review report expresses a material adverse view or qualification, the company will not satisfy the low-default-risk standard for the safe</w:t>
      </w:r>
      <w:r>
        <w:rPr>
          <w:i/>
          <w:color w:val="231F20"/>
          <w:spacing w:val="-27"/>
          <w:sz w:val="24"/>
        </w:rPr>
        <w:t xml:space="preserve"> </w:t>
      </w:r>
      <w:r>
        <w:rPr>
          <w:i/>
          <w:color w:val="231F20"/>
          <w:spacing w:val="-5"/>
          <w:sz w:val="24"/>
        </w:rPr>
        <w:t>harbor.</w:t>
      </w:r>
    </w:p>
    <w:p w:rsidR="005D3966" w:rsidRDefault="005D3966" w14:paraId="02196A33" w14:textId="77777777">
      <w:pPr>
        <w:pStyle w:val="BodyText"/>
        <w:spacing w:before="6"/>
        <w:rPr>
          <w:i/>
        </w:rPr>
      </w:pPr>
    </w:p>
    <w:p w:rsidR="005D3966" w:rsidRDefault="001C5FE1" w14:paraId="240BE685" w14:textId="77777777">
      <w:pPr>
        <w:ind w:left="653"/>
        <w:rPr>
          <w:sz w:val="24"/>
        </w:rPr>
      </w:pPr>
      <w:r>
        <w:rPr>
          <w:i/>
          <w:color w:val="231F20"/>
          <w:sz w:val="24"/>
        </w:rPr>
        <w:t xml:space="preserve">Well-funded plan. </w:t>
      </w:r>
      <w:r>
        <w:rPr>
          <w:color w:val="231F20"/>
          <w:sz w:val="24"/>
        </w:rPr>
        <w:t>The plan is in the well-funded plan safe harbor for the event year.</w:t>
      </w:r>
    </w:p>
    <w:p w:rsidR="005D3966" w:rsidRDefault="005D3966" w14:paraId="77973470" w14:textId="77777777">
      <w:pPr>
        <w:pStyle w:val="BodyText"/>
        <w:spacing w:before="1"/>
        <w:rPr>
          <w:sz w:val="26"/>
        </w:rPr>
      </w:pPr>
    </w:p>
    <w:p w:rsidR="005D3966" w:rsidRDefault="001C5FE1" w14:paraId="7EC39F66" w14:textId="77777777">
      <w:pPr>
        <w:pStyle w:val="BodyText"/>
        <w:spacing w:line="249" w:lineRule="auto"/>
        <w:ind w:left="653" w:right="795"/>
      </w:pPr>
      <w:r>
        <w:rPr>
          <w:i/>
          <w:color w:val="231F20"/>
        </w:rPr>
        <w:t xml:space="preserve">Public company. </w:t>
      </w:r>
      <w:r>
        <w:rPr>
          <w:color w:val="231F20"/>
        </w:rPr>
        <w:t>Any contributing sponsor of the plan before the transaction, or the parent company within a parent-subsidiary controlled group of any such contributing sponsor, is a public company and timely files a SEC Form 8-K disclosing the event under an item of the Form 8-K other than under Item 2.02 (Results of Operations and Financial Condition) or in financial statements under Item 9.01 (Financial Statements and Exhibits).</w:t>
      </w:r>
    </w:p>
    <w:p w:rsidR="005D3966" w:rsidRDefault="005D3966" w14:paraId="31C70FDB" w14:textId="77777777">
      <w:pPr>
        <w:pStyle w:val="BodyText"/>
        <w:spacing w:before="7"/>
      </w:pPr>
    </w:p>
    <w:p w:rsidR="005D3966" w:rsidRDefault="001C5FE1" w14:paraId="3CB80B84" w14:textId="77777777">
      <w:pPr>
        <w:spacing w:before="1"/>
        <w:ind w:left="571"/>
        <w:rPr>
          <w:i/>
          <w:sz w:val="24"/>
        </w:rPr>
      </w:pPr>
      <w:r>
        <w:rPr>
          <w:i/>
          <w:color w:val="231F20"/>
          <w:sz w:val="24"/>
        </w:rPr>
        <w:t>Note: Disclosing the following information is sufficient for the public company waiver to apply:</w:t>
      </w:r>
    </w:p>
    <w:p w:rsidR="005D3966" w:rsidRDefault="001C5FE1" w14:paraId="7B9EA150" w14:textId="77777777">
      <w:pPr>
        <w:pStyle w:val="ListParagraph"/>
        <w:numPr>
          <w:ilvl w:val="0"/>
          <w:numId w:val="12"/>
        </w:numPr>
        <w:tabs>
          <w:tab w:val="left" w:pos="1291"/>
          <w:tab w:val="left" w:pos="1292"/>
        </w:tabs>
        <w:spacing w:before="11"/>
        <w:rPr>
          <w:sz w:val="24"/>
        </w:rPr>
      </w:pPr>
      <w:r>
        <w:rPr>
          <w:color w:val="231F20"/>
          <w:sz w:val="24"/>
        </w:rPr>
        <w:t>Plan</w:t>
      </w:r>
      <w:r>
        <w:rPr>
          <w:color w:val="231F20"/>
          <w:spacing w:val="-1"/>
          <w:sz w:val="24"/>
        </w:rPr>
        <w:t xml:space="preserve"> </w:t>
      </w:r>
      <w:r>
        <w:rPr>
          <w:color w:val="231F20"/>
          <w:sz w:val="24"/>
        </w:rPr>
        <w:t>Name.</w:t>
      </w:r>
    </w:p>
    <w:p w:rsidR="005D3966" w:rsidRDefault="001C5FE1" w14:paraId="0F9F7C84" w14:textId="77777777">
      <w:pPr>
        <w:pStyle w:val="ListParagraph"/>
        <w:numPr>
          <w:ilvl w:val="0"/>
          <w:numId w:val="12"/>
        </w:numPr>
        <w:tabs>
          <w:tab w:val="left" w:pos="1291"/>
          <w:tab w:val="left" w:pos="1292"/>
        </w:tabs>
        <w:spacing w:before="9"/>
        <w:rPr>
          <w:sz w:val="24"/>
        </w:rPr>
      </w:pPr>
      <w:r>
        <w:rPr>
          <w:color w:val="231F20"/>
          <w:sz w:val="24"/>
        </w:rPr>
        <w:t>Date of the</w:t>
      </w:r>
      <w:r>
        <w:rPr>
          <w:color w:val="231F20"/>
          <w:spacing w:val="-2"/>
          <w:sz w:val="24"/>
        </w:rPr>
        <w:t xml:space="preserve"> </w:t>
      </w:r>
      <w:r>
        <w:rPr>
          <w:color w:val="231F20"/>
          <w:sz w:val="24"/>
        </w:rPr>
        <w:t>event.</w:t>
      </w:r>
    </w:p>
    <w:p w:rsidR="005D3966" w:rsidRDefault="001C5FE1" w14:paraId="74789091" w14:textId="77777777">
      <w:pPr>
        <w:pStyle w:val="ListParagraph"/>
        <w:numPr>
          <w:ilvl w:val="0"/>
          <w:numId w:val="12"/>
        </w:numPr>
        <w:tabs>
          <w:tab w:val="left" w:pos="1291"/>
          <w:tab w:val="left" w:pos="1292"/>
        </w:tabs>
        <w:spacing w:before="10"/>
        <w:rPr>
          <w:sz w:val="24"/>
        </w:rPr>
      </w:pPr>
      <w:r>
        <w:rPr>
          <w:color w:val="231F20"/>
          <w:sz w:val="24"/>
        </w:rPr>
        <w:t>Type of</w:t>
      </w:r>
      <w:r>
        <w:rPr>
          <w:color w:val="231F20"/>
          <w:spacing w:val="-3"/>
          <w:sz w:val="24"/>
        </w:rPr>
        <w:t xml:space="preserve"> </w:t>
      </w:r>
      <w:r>
        <w:rPr>
          <w:color w:val="231F20"/>
          <w:sz w:val="24"/>
        </w:rPr>
        <w:t>event.</w:t>
      </w:r>
    </w:p>
    <w:p w:rsidR="005D3966" w:rsidRDefault="001C5FE1" w14:paraId="504F08DB" w14:textId="77777777">
      <w:pPr>
        <w:pStyle w:val="ListParagraph"/>
        <w:numPr>
          <w:ilvl w:val="0"/>
          <w:numId w:val="12"/>
        </w:numPr>
        <w:tabs>
          <w:tab w:val="left" w:pos="1291"/>
          <w:tab w:val="left" w:pos="1292"/>
        </w:tabs>
        <w:spacing w:before="9"/>
        <w:rPr>
          <w:sz w:val="24"/>
        </w:rPr>
      </w:pPr>
      <w:r>
        <w:rPr>
          <w:color w:val="231F20"/>
          <w:sz w:val="24"/>
        </w:rPr>
        <w:t>Brief description of the pertinent facts relating to the</w:t>
      </w:r>
      <w:r>
        <w:rPr>
          <w:color w:val="231F20"/>
          <w:spacing w:val="-6"/>
          <w:sz w:val="24"/>
        </w:rPr>
        <w:t xml:space="preserve"> </w:t>
      </w:r>
      <w:r>
        <w:rPr>
          <w:color w:val="231F20"/>
          <w:sz w:val="24"/>
        </w:rPr>
        <w:t>event.</w:t>
      </w:r>
    </w:p>
    <w:p w:rsidR="005D3966" w:rsidRDefault="001C5FE1" w14:paraId="03138EE8" w14:textId="77777777">
      <w:pPr>
        <w:pStyle w:val="ListParagraph"/>
        <w:numPr>
          <w:ilvl w:val="0"/>
          <w:numId w:val="12"/>
        </w:numPr>
        <w:tabs>
          <w:tab w:val="left" w:pos="1291"/>
          <w:tab w:val="left" w:pos="1292"/>
        </w:tabs>
        <w:spacing w:before="11"/>
        <w:rPr>
          <w:sz w:val="24"/>
        </w:rPr>
      </w:pPr>
      <w:r>
        <w:rPr>
          <w:color w:val="231F20"/>
          <w:sz w:val="24"/>
        </w:rPr>
        <w:t>Description of the change in controlled group</w:t>
      </w:r>
      <w:r>
        <w:rPr>
          <w:color w:val="231F20"/>
          <w:spacing w:val="-4"/>
          <w:sz w:val="24"/>
        </w:rPr>
        <w:t xml:space="preserve"> </w:t>
      </w:r>
      <w:r>
        <w:rPr>
          <w:color w:val="231F20"/>
          <w:sz w:val="24"/>
        </w:rPr>
        <w:t>structure.</w:t>
      </w:r>
    </w:p>
    <w:p w:rsidR="005D3966" w:rsidRDefault="001C5FE1" w14:paraId="205E097D" w14:textId="77777777">
      <w:pPr>
        <w:pStyle w:val="ListParagraph"/>
        <w:numPr>
          <w:ilvl w:val="0"/>
          <w:numId w:val="12"/>
        </w:numPr>
        <w:tabs>
          <w:tab w:val="left" w:pos="1291"/>
          <w:tab w:val="left" w:pos="1292"/>
        </w:tabs>
        <w:spacing w:before="8" w:line="247" w:lineRule="auto"/>
        <w:ind w:right="1096"/>
        <w:rPr>
          <w:sz w:val="24"/>
        </w:rPr>
      </w:pPr>
      <w:r>
        <w:rPr>
          <w:color w:val="231F20"/>
          <w:sz w:val="24"/>
        </w:rPr>
        <w:t>Name of each plan maintained by any member of the old and new controlled groups,</w:t>
      </w:r>
      <w:r>
        <w:rPr>
          <w:color w:val="231F20"/>
          <w:spacing w:val="-13"/>
          <w:sz w:val="24"/>
        </w:rPr>
        <w:t xml:space="preserve"> </w:t>
      </w:r>
      <w:r>
        <w:rPr>
          <w:color w:val="231F20"/>
          <w:sz w:val="24"/>
        </w:rPr>
        <w:t>the plan’s contributing sponsor(s), and</w:t>
      </w:r>
      <w:r>
        <w:rPr>
          <w:color w:val="231F20"/>
          <w:spacing w:val="-1"/>
          <w:sz w:val="24"/>
        </w:rPr>
        <w:t xml:space="preserve"> </w:t>
      </w:r>
      <w:r>
        <w:rPr>
          <w:color w:val="231F20"/>
          <w:sz w:val="24"/>
        </w:rPr>
        <w:t>EIN/PN.</w:t>
      </w:r>
    </w:p>
    <w:p w:rsidR="005D3966" w:rsidRDefault="005D3966" w14:paraId="529EC486" w14:textId="77777777">
      <w:pPr>
        <w:pStyle w:val="BodyText"/>
        <w:spacing w:before="3"/>
        <w:rPr>
          <w:sz w:val="25"/>
        </w:rPr>
      </w:pPr>
    </w:p>
    <w:p w:rsidR="005D3966" w:rsidRDefault="001C5FE1" w14:paraId="2FE6176E" w14:textId="77777777">
      <w:pPr>
        <w:pStyle w:val="Heading1"/>
        <w:numPr>
          <w:ilvl w:val="0"/>
          <w:numId w:val="21"/>
        </w:numPr>
        <w:tabs>
          <w:tab w:val="left" w:pos="1002"/>
        </w:tabs>
        <w:ind w:left="1001" w:hanging="349"/>
        <w:jc w:val="left"/>
      </w:pPr>
      <w:bookmarkStart w:name="F._Liquidation" w:id="22"/>
      <w:bookmarkEnd w:id="22"/>
      <w:r>
        <w:rPr>
          <w:color w:val="231F20"/>
        </w:rPr>
        <w:t>Liquidation</w:t>
      </w:r>
    </w:p>
    <w:p w:rsidR="005D3966" w:rsidRDefault="001C5FE1" w14:paraId="291DAD21" w14:textId="77777777">
      <w:pPr>
        <w:pStyle w:val="BodyText"/>
        <w:spacing w:before="11"/>
        <w:ind w:left="653"/>
      </w:pPr>
      <w:r>
        <w:rPr>
          <w:color w:val="231F20"/>
        </w:rPr>
        <w:t>(see 29 CFR 4043.30)</w:t>
      </w:r>
    </w:p>
    <w:p w:rsidR="005D3966" w:rsidRDefault="005D3966" w14:paraId="7287A07B" w14:textId="77777777">
      <w:pPr>
        <w:pStyle w:val="BodyText"/>
        <w:spacing w:before="3"/>
        <w:rPr>
          <w:sz w:val="35"/>
        </w:rPr>
      </w:pPr>
    </w:p>
    <w:p w:rsidR="005D3966" w:rsidRDefault="001C5FE1" w14:paraId="58247230" w14:textId="77777777">
      <w:pPr>
        <w:pStyle w:val="BodyText"/>
        <w:spacing w:line="247" w:lineRule="auto"/>
        <w:ind w:left="665" w:right="1277"/>
      </w:pPr>
      <w:r>
        <w:rPr>
          <w:b/>
          <w:color w:val="211F1F"/>
        </w:rPr>
        <w:t xml:space="preserve">Definition of Event </w:t>
      </w:r>
      <w:r>
        <w:rPr>
          <w:color w:val="211F1F"/>
        </w:rPr>
        <w:t>— A reportable event occurs for a plan under any of the following three scenarios.</w:t>
      </w:r>
    </w:p>
    <w:p w:rsidR="005D3966" w:rsidRDefault="001C5FE1" w14:paraId="093D7DAC" w14:textId="77777777">
      <w:pPr>
        <w:pStyle w:val="ListParagraph"/>
        <w:numPr>
          <w:ilvl w:val="0"/>
          <w:numId w:val="11"/>
        </w:numPr>
        <w:tabs>
          <w:tab w:val="left" w:pos="923"/>
        </w:tabs>
        <w:spacing w:before="99" w:line="249" w:lineRule="auto"/>
        <w:ind w:right="879"/>
        <w:rPr>
          <w:sz w:val="24"/>
        </w:rPr>
      </w:pPr>
      <w:r>
        <w:rPr>
          <w:sz w:val="24"/>
        </w:rPr>
        <w:t>When a member of the plan’s controlled group resolves to cease all revenue-generating business operations, sell substantially all its assets, or otherwise effect or implement its complete liquidation (including liquidation into another controlled group member) by</w:t>
      </w:r>
      <w:r>
        <w:rPr>
          <w:spacing w:val="-19"/>
          <w:sz w:val="24"/>
        </w:rPr>
        <w:t xml:space="preserve"> </w:t>
      </w:r>
      <w:r>
        <w:rPr>
          <w:sz w:val="24"/>
        </w:rPr>
        <w:t>decision of the member’s board of directors (or equivalent body such as the managing partners or owners) or other actor with the power to authorize such cessation of operations, sale, or a liquidation, unless the event would be reported under the second or third scenario</w:t>
      </w:r>
      <w:r>
        <w:rPr>
          <w:spacing w:val="-12"/>
          <w:sz w:val="24"/>
        </w:rPr>
        <w:t xml:space="preserve"> </w:t>
      </w:r>
      <w:r>
        <w:rPr>
          <w:sz w:val="24"/>
        </w:rPr>
        <w:t>below.</w:t>
      </w:r>
    </w:p>
    <w:p w:rsidR="005D3966" w:rsidRDefault="001C5FE1" w14:paraId="170AE7FC" w14:textId="77777777">
      <w:pPr>
        <w:pStyle w:val="ListParagraph"/>
        <w:numPr>
          <w:ilvl w:val="0"/>
          <w:numId w:val="11"/>
        </w:numPr>
        <w:tabs>
          <w:tab w:val="left" w:pos="923"/>
        </w:tabs>
        <w:spacing w:before="87" w:line="247" w:lineRule="auto"/>
        <w:ind w:right="1835"/>
        <w:rPr>
          <w:sz w:val="24"/>
        </w:rPr>
      </w:pPr>
      <w:r>
        <w:rPr>
          <w:color w:val="211F1F"/>
          <w:sz w:val="24"/>
        </w:rPr>
        <w:t xml:space="preserve">When a member of the </w:t>
      </w:r>
      <w:proofErr w:type="gramStart"/>
      <w:r>
        <w:rPr>
          <w:color w:val="211F1F"/>
          <w:sz w:val="24"/>
        </w:rPr>
        <w:t>plan’s controlled</w:t>
      </w:r>
      <w:proofErr w:type="gramEnd"/>
      <w:r>
        <w:rPr>
          <w:color w:val="211F1F"/>
          <w:sz w:val="24"/>
        </w:rPr>
        <w:t xml:space="preserve"> group i</w:t>
      </w:r>
      <w:r>
        <w:rPr>
          <w:sz w:val="24"/>
        </w:rPr>
        <w:t>nstitutes or has instituted against it a proceeding to be dissolved or is dissolved, whichever occurs</w:t>
      </w:r>
      <w:r>
        <w:rPr>
          <w:spacing w:val="-5"/>
          <w:sz w:val="24"/>
        </w:rPr>
        <w:t xml:space="preserve"> </w:t>
      </w:r>
      <w:r>
        <w:rPr>
          <w:sz w:val="24"/>
        </w:rPr>
        <w:t>first.</w:t>
      </w:r>
    </w:p>
    <w:p w:rsidR="005D3966" w:rsidRDefault="001C5FE1" w14:paraId="18726060" w14:textId="77777777">
      <w:pPr>
        <w:pStyle w:val="ListParagraph"/>
        <w:numPr>
          <w:ilvl w:val="0"/>
          <w:numId w:val="11"/>
        </w:numPr>
        <w:tabs>
          <w:tab w:val="left" w:pos="923"/>
        </w:tabs>
        <w:spacing w:before="99" w:line="247" w:lineRule="auto"/>
        <w:ind w:right="814"/>
        <w:rPr>
          <w:sz w:val="24"/>
        </w:rPr>
      </w:pPr>
      <w:r>
        <w:rPr>
          <w:color w:val="211F1F"/>
          <w:sz w:val="24"/>
        </w:rPr>
        <w:t xml:space="preserve">When a member of the </w:t>
      </w:r>
      <w:proofErr w:type="gramStart"/>
      <w:r>
        <w:rPr>
          <w:color w:val="211F1F"/>
          <w:sz w:val="24"/>
        </w:rPr>
        <w:t>plan’s controlled</w:t>
      </w:r>
      <w:proofErr w:type="gramEnd"/>
      <w:r>
        <w:rPr>
          <w:color w:val="211F1F"/>
          <w:sz w:val="24"/>
        </w:rPr>
        <w:t xml:space="preserve"> group l</w:t>
      </w:r>
      <w:r>
        <w:rPr>
          <w:sz w:val="24"/>
        </w:rPr>
        <w:t>iquidates in a case under the Bankruptcy</w:t>
      </w:r>
      <w:r>
        <w:rPr>
          <w:spacing w:val="-17"/>
          <w:sz w:val="24"/>
        </w:rPr>
        <w:t xml:space="preserve"> </w:t>
      </w:r>
      <w:r>
        <w:rPr>
          <w:sz w:val="24"/>
        </w:rPr>
        <w:t>Code, or under any similar</w:t>
      </w:r>
      <w:r>
        <w:rPr>
          <w:spacing w:val="-4"/>
          <w:sz w:val="24"/>
        </w:rPr>
        <w:t xml:space="preserve"> </w:t>
      </w:r>
      <w:r>
        <w:rPr>
          <w:sz w:val="24"/>
        </w:rPr>
        <w:t>law.</w:t>
      </w:r>
    </w:p>
    <w:p w:rsidR="005D3966" w:rsidRDefault="005D3966" w14:paraId="76E814B2" w14:textId="77777777">
      <w:pPr>
        <w:pStyle w:val="BodyText"/>
        <w:rPr>
          <w:sz w:val="20"/>
        </w:rPr>
      </w:pPr>
    </w:p>
    <w:p w:rsidR="005D3966" w:rsidRDefault="005D3966" w14:paraId="406ED7FE" w14:textId="77777777">
      <w:pPr>
        <w:pStyle w:val="BodyText"/>
        <w:rPr>
          <w:sz w:val="20"/>
        </w:rPr>
      </w:pPr>
    </w:p>
    <w:p w:rsidR="005D3966" w:rsidRDefault="004C650B" w14:paraId="7760F154" w14:textId="77777777">
      <w:pPr>
        <w:pStyle w:val="BodyText"/>
        <w:spacing w:before="6"/>
        <w:rPr>
          <w:sz w:val="15"/>
        </w:rPr>
      </w:pPr>
      <w:r>
        <w:pict w14:anchorId="2E78E8D1">
          <v:rect id="_x0000_s1029" style="position:absolute;margin-left:57.6pt;margin-top:10.9pt;width:2in;height:.6pt;z-index:-15726080;mso-wrap-distance-left:0;mso-wrap-distance-right:0;mso-position-horizontal-relative:page" fillcolor="black" stroked="f">
            <w10:wrap type="topAndBottom" anchorx="page"/>
          </v:rect>
        </w:pict>
      </w:r>
    </w:p>
    <w:p w:rsidR="005D3966" w:rsidRDefault="001C5FE1" w14:paraId="5D171D59" w14:textId="77777777">
      <w:pPr>
        <w:spacing w:before="65"/>
        <w:ind w:left="452"/>
        <w:rPr>
          <w:sz w:val="20"/>
        </w:rPr>
      </w:pPr>
      <w:bookmarkStart w:name="_bookmark3" w:id="23"/>
      <w:bookmarkEnd w:id="23"/>
      <w:r>
        <w:rPr>
          <w:sz w:val="20"/>
          <w:vertAlign w:val="superscript"/>
        </w:rPr>
        <w:t>4</w:t>
      </w:r>
      <w:r>
        <w:rPr>
          <w:sz w:val="20"/>
        </w:rPr>
        <w:t xml:space="preserve"> Thirteen months allows for some variation from year to year on the date that annual financials are reported.</w:t>
      </w:r>
    </w:p>
    <w:p w:rsidR="005D3966" w:rsidRDefault="005D3966" w14:paraId="5ACDC6A8" w14:textId="77777777">
      <w:pPr>
        <w:rPr>
          <w:sz w:val="20"/>
        </w:rPr>
        <w:sectPr w:rsidR="005D3966">
          <w:pgSz w:w="12240" w:h="15840"/>
          <w:pgMar w:top="1060" w:right="660" w:bottom="720" w:left="700" w:header="318" w:footer="530" w:gutter="0"/>
          <w:cols w:space="720"/>
        </w:sectPr>
      </w:pPr>
    </w:p>
    <w:p w:rsidR="005D3966" w:rsidRDefault="001C5FE1" w14:paraId="234B0761" w14:textId="77777777">
      <w:pPr>
        <w:spacing w:before="88"/>
        <w:ind w:left="452" w:right="467"/>
        <w:rPr>
          <w:i/>
          <w:sz w:val="24"/>
        </w:rPr>
      </w:pPr>
      <w:r>
        <w:rPr>
          <w:i/>
          <w:sz w:val="24"/>
        </w:rPr>
        <w:lastRenderedPageBreak/>
        <w:t>Note: An event described above may also be reportable under “Insolvency or Similar Settlement” (see Part III.K.).</w:t>
      </w:r>
    </w:p>
    <w:p w:rsidR="005D3966" w:rsidRDefault="005D3966" w14:paraId="1066E0BE" w14:textId="77777777">
      <w:pPr>
        <w:pStyle w:val="BodyText"/>
        <w:spacing w:before="5"/>
        <w:rPr>
          <w:i/>
          <w:sz w:val="20"/>
        </w:rPr>
      </w:pPr>
    </w:p>
    <w:p w:rsidR="005D3966" w:rsidRDefault="001C5FE1" w14:paraId="55C89DF5" w14:textId="77777777">
      <w:pPr>
        <w:pStyle w:val="BodyText"/>
        <w:ind w:left="452"/>
      </w:pPr>
      <w:r>
        <w:rPr>
          <w:b/>
          <w:color w:val="231F20"/>
        </w:rPr>
        <w:t xml:space="preserve">Examples </w:t>
      </w:r>
      <w:r>
        <w:rPr>
          <w:color w:val="231F20"/>
        </w:rPr>
        <w:t>— The following examples assume a waiver does not apply.</w:t>
      </w:r>
    </w:p>
    <w:p w:rsidR="005D3966" w:rsidRDefault="005D3966" w14:paraId="0C609E0B" w14:textId="77777777">
      <w:pPr>
        <w:pStyle w:val="BodyText"/>
        <w:spacing w:before="6"/>
        <w:rPr>
          <w:sz w:val="25"/>
        </w:rPr>
      </w:pPr>
    </w:p>
    <w:p w:rsidR="005D3966" w:rsidRDefault="001C5FE1" w14:paraId="719BBDE5" w14:textId="77777777">
      <w:pPr>
        <w:pStyle w:val="Heading2"/>
        <w:numPr>
          <w:ilvl w:val="0"/>
          <w:numId w:val="10"/>
        </w:numPr>
        <w:tabs>
          <w:tab w:val="left" w:pos="721"/>
        </w:tabs>
        <w:spacing w:before="1"/>
      </w:pPr>
      <w:r>
        <w:t>Liquidation Within a Controlled</w:t>
      </w:r>
      <w:r>
        <w:rPr>
          <w:spacing w:val="-3"/>
        </w:rPr>
        <w:t xml:space="preserve"> </w:t>
      </w:r>
      <w:r>
        <w:t>Group</w:t>
      </w:r>
    </w:p>
    <w:p w:rsidR="005D3966" w:rsidRDefault="005D3966" w14:paraId="7ED0F957" w14:textId="77777777">
      <w:pPr>
        <w:pStyle w:val="BodyText"/>
        <w:spacing w:before="10"/>
        <w:rPr>
          <w:rFonts w:ascii="Arial"/>
          <w:b/>
          <w:i/>
        </w:rPr>
      </w:pPr>
    </w:p>
    <w:p w:rsidR="005D3966" w:rsidRDefault="001C5FE1" w14:paraId="31FA8840" w14:textId="77777777">
      <w:pPr>
        <w:pStyle w:val="BodyText"/>
        <w:ind w:left="451" w:right="569"/>
      </w:pPr>
      <w:r>
        <w:rPr>
          <w:b/>
        </w:rPr>
        <w:t xml:space="preserve">Facts: </w:t>
      </w:r>
      <w:r>
        <w:t>Plan A’s controlled group consists of Company A (its contributing sponsor), Company B, Company Q (the parent of Company A and Company B). Company B represents the most significant portion of cash flow for the controlled group. Company B experiences an unforeseen event that negatively impacts operations and results in an increase in debt. The controlled group liquidates Company B by ceasing all operations, settling its debts, and merging any remaining assets into Company Q. (For purposes of this example, it does not matter under what scenario reporting is triggered). The transaction is to be treated as a tax-free liquidation for tax purposes.</w:t>
      </w:r>
    </w:p>
    <w:p w:rsidR="005D3966" w:rsidRDefault="005D3966" w14:paraId="7349CCA6" w14:textId="77777777">
      <w:pPr>
        <w:pStyle w:val="BodyText"/>
        <w:spacing w:before="10"/>
      </w:pPr>
    </w:p>
    <w:p w:rsidR="005D3966" w:rsidRDefault="001C5FE1" w14:paraId="713CEE7E" w14:textId="77777777">
      <w:pPr>
        <w:pStyle w:val="BodyText"/>
        <w:ind w:left="452"/>
      </w:pPr>
      <w:r>
        <w:rPr>
          <w:b/>
        </w:rPr>
        <w:t xml:space="preserve">Reporting: </w:t>
      </w:r>
      <w:r>
        <w:t>Both Company A (Plan A's contributing sponsor) and the plan administrator of Plan A are required to report that Company B will liquidate within the controlled group.</w:t>
      </w:r>
    </w:p>
    <w:p w:rsidR="005D3966" w:rsidRDefault="005D3966" w14:paraId="49965115" w14:textId="77777777">
      <w:pPr>
        <w:pStyle w:val="BodyText"/>
        <w:spacing w:before="11"/>
      </w:pPr>
    </w:p>
    <w:p w:rsidR="005D3966" w:rsidRDefault="001C5FE1" w14:paraId="26B16F78" w14:textId="77777777">
      <w:pPr>
        <w:pStyle w:val="Heading2"/>
        <w:numPr>
          <w:ilvl w:val="0"/>
          <w:numId w:val="10"/>
        </w:numPr>
        <w:tabs>
          <w:tab w:val="left" w:pos="721"/>
        </w:tabs>
      </w:pPr>
      <w:r>
        <w:t>Cessation of</w:t>
      </w:r>
      <w:r>
        <w:rPr>
          <w:spacing w:val="-2"/>
        </w:rPr>
        <w:t xml:space="preserve"> </w:t>
      </w:r>
      <w:r>
        <w:t>Operations</w:t>
      </w:r>
    </w:p>
    <w:p w:rsidR="005D3966" w:rsidRDefault="005D3966" w14:paraId="000E0419" w14:textId="77777777">
      <w:pPr>
        <w:pStyle w:val="BodyText"/>
        <w:spacing w:before="8"/>
        <w:rPr>
          <w:rFonts w:ascii="Arial"/>
          <w:b/>
          <w:i/>
        </w:rPr>
      </w:pPr>
    </w:p>
    <w:p w:rsidR="005D3966" w:rsidRDefault="001C5FE1" w14:paraId="34BFDAB8" w14:textId="77777777">
      <w:pPr>
        <w:pStyle w:val="BodyText"/>
        <w:ind w:left="451" w:right="569"/>
      </w:pPr>
      <w:r>
        <w:rPr>
          <w:b/>
        </w:rPr>
        <w:t xml:space="preserve">Facts: </w:t>
      </w:r>
      <w:r>
        <w:t>Plan A is sponsored by Company A. The owners of Company A decide to cease all revenue- generating operations. Certain administrative employees will wind down the business and continue to be employed until the wind down is complete, which could take several months.</w:t>
      </w:r>
    </w:p>
    <w:p w:rsidR="005D3966" w:rsidRDefault="005D3966" w14:paraId="3F36A20E" w14:textId="77777777">
      <w:pPr>
        <w:pStyle w:val="BodyText"/>
        <w:spacing w:before="10"/>
      </w:pPr>
    </w:p>
    <w:p w:rsidR="005D3966" w:rsidRDefault="001C5FE1" w14:paraId="2DF3D911" w14:textId="77777777">
      <w:pPr>
        <w:pStyle w:val="BodyText"/>
        <w:ind w:left="452" w:right="490"/>
      </w:pPr>
      <w:r>
        <w:rPr>
          <w:b/>
        </w:rPr>
        <w:t xml:space="preserve">Reporting: </w:t>
      </w:r>
      <w:r>
        <w:t>Company A is required to report a liquidation reportable event 30 days after the decision is made to cease all revenue-generating operations.</w:t>
      </w:r>
    </w:p>
    <w:p w:rsidR="005D3966" w:rsidRDefault="005D3966" w14:paraId="7EDB1CD1" w14:textId="77777777">
      <w:pPr>
        <w:pStyle w:val="BodyText"/>
        <w:spacing w:before="1"/>
      </w:pPr>
    </w:p>
    <w:p w:rsidR="005D3966" w:rsidRDefault="001C5FE1" w14:paraId="36ED6E3F" w14:textId="77777777">
      <w:pPr>
        <w:pStyle w:val="Heading2"/>
        <w:numPr>
          <w:ilvl w:val="0"/>
          <w:numId w:val="10"/>
        </w:numPr>
        <w:tabs>
          <w:tab w:val="left" w:pos="721"/>
        </w:tabs>
        <w:spacing w:before="1"/>
      </w:pPr>
      <w:r>
        <w:t>Sale of</w:t>
      </w:r>
      <w:r>
        <w:rPr>
          <w:spacing w:val="-1"/>
        </w:rPr>
        <w:t xml:space="preserve"> </w:t>
      </w:r>
      <w:r>
        <w:t>Assets</w:t>
      </w:r>
    </w:p>
    <w:p w:rsidR="005D3966" w:rsidRDefault="005D3966" w14:paraId="4DAB2527" w14:textId="77777777">
      <w:pPr>
        <w:pStyle w:val="BodyText"/>
        <w:spacing w:before="10"/>
        <w:rPr>
          <w:rFonts w:ascii="Arial"/>
          <w:b/>
          <w:i/>
          <w:sz w:val="23"/>
        </w:rPr>
      </w:pPr>
    </w:p>
    <w:p w:rsidR="005D3966" w:rsidRDefault="001C5FE1" w14:paraId="39BD20D6" w14:textId="77777777">
      <w:pPr>
        <w:pStyle w:val="BodyText"/>
        <w:ind w:left="451" w:right="651"/>
      </w:pPr>
      <w:r>
        <w:rPr>
          <w:b/>
        </w:rPr>
        <w:t xml:space="preserve">Facts: </w:t>
      </w:r>
      <w:r>
        <w:t>Plan A is sponsored by Company A. In a meeting of the Board of Directors of Company A, the Board resolves to sell all the assets of Company A to Company B. Under the asset sale agreement with Company B, Company B will not assume Plan A; Company A expects to undertake a standard termination of Plan</w:t>
      </w:r>
      <w:r>
        <w:rPr>
          <w:spacing w:val="-2"/>
        </w:rPr>
        <w:t xml:space="preserve"> </w:t>
      </w:r>
      <w:r>
        <w:t>A.</w:t>
      </w:r>
    </w:p>
    <w:p w:rsidR="005D3966" w:rsidRDefault="005D3966" w14:paraId="27A17927" w14:textId="77777777">
      <w:pPr>
        <w:pStyle w:val="BodyText"/>
      </w:pPr>
    </w:p>
    <w:p w:rsidR="005D3966" w:rsidRDefault="001C5FE1" w14:paraId="78B1849D" w14:textId="77777777">
      <w:pPr>
        <w:pStyle w:val="BodyText"/>
        <w:ind w:left="452" w:right="569"/>
      </w:pPr>
      <w:r>
        <w:rPr>
          <w:b/>
        </w:rPr>
        <w:t xml:space="preserve">Reporting: </w:t>
      </w:r>
      <w:r>
        <w:t>Company A is required to report a liquidation event 30 days after the Board resolved to sell the assets of Company A.</w:t>
      </w:r>
    </w:p>
    <w:p w:rsidR="005D3966" w:rsidRDefault="005D3966" w14:paraId="4D3964C2" w14:textId="77777777">
      <w:pPr>
        <w:pStyle w:val="BodyText"/>
      </w:pPr>
    </w:p>
    <w:p w:rsidR="005D3966" w:rsidRDefault="001C5FE1" w14:paraId="2DDB4BB5" w14:textId="77777777">
      <w:pPr>
        <w:ind w:left="452" w:right="1289"/>
        <w:rPr>
          <w:sz w:val="24"/>
        </w:rPr>
      </w:pPr>
      <w:r>
        <w:rPr>
          <w:b/>
          <w:color w:val="231F20"/>
          <w:sz w:val="24"/>
        </w:rPr>
        <w:t xml:space="preserve">Reporting Waivers — </w:t>
      </w:r>
      <w:r>
        <w:rPr>
          <w:color w:val="231F20"/>
          <w:sz w:val="24"/>
        </w:rPr>
        <w:t>Reporting of this event is waived under any of the following automatic waivers.</w:t>
      </w:r>
    </w:p>
    <w:p w:rsidR="005D3966" w:rsidRDefault="005D3966" w14:paraId="50F42170" w14:textId="77777777">
      <w:pPr>
        <w:pStyle w:val="BodyText"/>
        <w:spacing w:before="1"/>
        <w:rPr>
          <w:sz w:val="26"/>
        </w:rPr>
      </w:pPr>
    </w:p>
    <w:p w:rsidR="005D3966" w:rsidRDefault="001C5FE1" w14:paraId="40B3B8DA" w14:textId="77777777">
      <w:pPr>
        <w:pStyle w:val="BodyText"/>
        <w:spacing w:line="247" w:lineRule="auto"/>
        <w:ind w:left="451" w:right="685"/>
        <w:jc w:val="both"/>
      </w:pPr>
      <w:r>
        <w:rPr>
          <w:i/>
          <w:color w:val="231F20"/>
        </w:rPr>
        <w:t xml:space="preserve">De minimis 10-percent segment. </w:t>
      </w:r>
      <w:r>
        <w:rPr>
          <w:color w:val="231F20"/>
        </w:rPr>
        <w:t xml:space="preserve">The person or persons that liquidate do not include any contributing sponsor of the plan and represent a de minimis 10-percent segment of the </w:t>
      </w:r>
      <w:proofErr w:type="gramStart"/>
      <w:r>
        <w:rPr>
          <w:color w:val="231F20"/>
        </w:rPr>
        <w:t>plan’s controlled</w:t>
      </w:r>
      <w:proofErr w:type="gramEnd"/>
      <w:r>
        <w:rPr>
          <w:color w:val="231F20"/>
        </w:rPr>
        <w:t xml:space="preserve"> group for the most recent fiscal year(s) ending on or before the date the reportable event occurs.</w:t>
      </w:r>
    </w:p>
    <w:p w:rsidR="005D3966" w:rsidRDefault="005D3966" w14:paraId="49C76401" w14:textId="77777777">
      <w:pPr>
        <w:pStyle w:val="BodyText"/>
        <w:spacing w:before="2"/>
        <w:rPr>
          <w:sz w:val="25"/>
        </w:rPr>
      </w:pPr>
    </w:p>
    <w:p w:rsidR="005D3966" w:rsidRDefault="001C5FE1" w14:paraId="015447EB" w14:textId="77777777">
      <w:pPr>
        <w:pStyle w:val="BodyText"/>
        <w:ind w:left="452"/>
      </w:pPr>
      <w:r>
        <w:rPr>
          <w:i/>
          <w:color w:val="231F20"/>
        </w:rPr>
        <w:t xml:space="preserve">Foreign entity. </w:t>
      </w:r>
      <w:r>
        <w:rPr>
          <w:color w:val="231F20"/>
        </w:rPr>
        <w:t>Each person that liquidates is a foreign entity other than a foreign parent.</w:t>
      </w:r>
    </w:p>
    <w:p w:rsidR="005D3966" w:rsidRDefault="005D3966" w14:paraId="1957B5C6" w14:textId="77777777">
      <w:pPr>
        <w:pStyle w:val="BodyText"/>
        <w:spacing w:before="5"/>
        <w:rPr>
          <w:sz w:val="25"/>
        </w:rPr>
      </w:pPr>
    </w:p>
    <w:p w:rsidR="005D3966" w:rsidRDefault="001C5FE1" w14:paraId="54E537A2" w14:textId="77777777">
      <w:pPr>
        <w:spacing w:before="1" w:line="247" w:lineRule="auto"/>
        <w:ind w:left="452" w:right="569"/>
        <w:rPr>
          <w:sz w:val="24"/>
        </w:rPr>
      </w:pPr>
      <w:r>
        <w:rPr>
          <w:i/>
          <w:sz w:val="24"/>
        </w:rPr>
        <w:t xml:space="preserve">Reporting Under Insolvency Event. </w:t>
      </w:r>
      <w:r>
        <w:rPr>
          <w:sz w:val="24"/>
        </w:rPr>
        <w:t>Reporting is also required under § 4043.35(a)(3) or (a)(4) and notice has been provided to PBGC for the same event under that section.</w:t>
      </w:r>
    </w:p>
    <w:p w:rsidR="005D3966" w:rsidRDefault="005D3966" w14:paraId="78942ADC" w14:textId="77777777">
      <w:pPr>
        <w:spacing w:line="247" w:lineRule="auto"/>
        <w:rPr>
          <w:sz w:val="24"/>
        </w:rPr>
        <w:sectPr w:rsidR="005D3966">
          <w:pgSz w:w="12240" w:h="15840"/>
          <w:pgMar w:top="1060" w:right="660" w:bottom="720" w:left="700" w:header="318" w:footer="530" w:gutter="0"/>
          <w:cols w:space="720"/>
        </w:sectPr>
      </w:pPr>
    </w:p>
    <w:p w:rsidR="005D3966" w:rsidRDefault="005D3966" w14:paraId="673D3CBF" w14:textId="77777777">
      <w:pPr>
        <w:pStyle w:val="BodyText"/>
        <w:rPr>
          <w:sz w:val="20"/>
        </w:rPr>
      </w:pPr>
    </w:p>
    <w:p w:rsidR="005D3966" w:rsidRDefault="005D3966" w14:paraId="33504AEC" w14:textId="77777777">
      <w:pPr>
        <w:pStyle w:val="BodyText"/>
        <w:spacing w:before="10"/>
        <w:rPr>
          <w:sz w:val="22"/>
        </w:rPr>
      </w:pPr>
    </w:p>
    <w:p w:rsidR="005D3966" w:rsidRDefault="001C5FE1" w14:paraId="2A5709EA" w14:textId="77777777">
      <w:pPr>
        <w:pStyle w:val="BodyText"/>
        <w:ind w:left="452" w:right="996"/>
      </w:pPr>
      <w:r>
        <w:rPr>
          <w:b/>
        </w:rPr>
        <w:t xml:space="preserve">Public Company Reporting Extension </w:t>
      </w:r>
      <w:r>
        <w:t>— If any contributing sponsor of the plan, or the parent company within a parent-subsidiary controlled group of any such contributing sponsor, is a public company, notice under this section is extended until the earlier of —</w:t>
      </w:r>
    </w:p>
    <w:p w:rsidR="005D3966" w:rsidRDefault="001C5FE1" w14:paraId="6824291A" w14:textId="77777777">
      <w:pPr>
        <w:pStyle w:val="ListParagraph"/>
        <w:numPr>
          <w:ilvl w:val="0"/>
          <w:numId w:val="9"/>
        </w:numPr>
        <w:tabs>
          <w:tab w:val="left" w:pos="791"/>
        </w:tabs>
        <w:spacing w:before="128"/>
        <w:ind w:right="709" w:firstLine="0"/>
        <w:rPr>
          <w:sz w:val="24"/>
        </w:rPr>
      </w:pPr>
      <w:r>
        <w:rPr>
          <w:sz w:val="24"/>
        </w:rPr>
        <w:t>The date the contributing sponsor or parent company timely files a SEC Form 8-K disclosing the event under an item of the Form 8-K other than under Item 2.02 (Results of Operations and</w:t>
      </w:r>
      <w:r>
        <w:rPr>
          <w:spacing w:val="-20"/>
          <w:sz w:val="24"/>
        </w:rPr>
        <w:t xml:space="preserve"> </w:t>
      </w:r>
      <w:r>
        <w:rPr>
          <w:sz w:val="24"/>
        </w:rPr>
        <w:t>Financial Condition) or in financial statements under Item 9.01 (Financial Statements and Exhibits);</w:t>
      </w:r>
      <w:r>
        <w:rPr>
          <w:spacing w:val="-11"/>
          <w:sz w:val="24"/>
        </w:rPr>
        <w:t xml:space="preserve"> </w:t>
      </w:r>
      <w:r>
        <w:rPr>
          <w:sz w:val="24"/>
        </w:rPr>
        <w:t>or</w:t>
      </w:r>
    </w:p>
    <w:p w:rsidR="005D3966" w:rsidRDefault="001C5FE1" w14:paraId="4E49B525" w14:textId="77777777">
      <w:pPr>
        <w:pStyle w:val="ListParagraph"/>
        <w:numPr>
          <w:ilvl w:val="0"/>
          <w:numId w:val="9"/>
        </w:numPr>
        <w:tabs>
          <w:tab w:val="left" w:pos="791"/>
        </w:tabs>
        <w:spacing w:before="129"/>
        <w:ind w:right="941" w:firstLine="0"/>
        <w:rPr>
          <w:sz w:val="24"/>
        </w:rPr>
      </w:pPr>
      <w:r>
        <w:rPr>
          <w:sz w:val="24"/>
        </w:rPr>
        <w:t>The date when a press release with respect to the liquidation is issued in the U.S. in the English language.</w:t>
      </w:r>
    </w:p>
    <w:p w:rsidR="005D3966" w:rsidRDefault="005D3966" w14:paraId="7CB71917" w14:textId="77777777">
      <w:pPr>
        <w:pStyle w:val="BodyText"/>
        <w:rPr>
          <w:sz w:val="26"/>
        </w:rPr>
      </w:pPr>
    </w:p>
    <w:p w:rsidR="005D3966" w:rsidRDefault="005D3966" w14:paraId="174A8098" w14:textId="77777777">
      <w:pPr>
        <w:pStyle w:val="BodyText"/>
        <w:spacing w:before="6"/>
        <w:rPr>
          <w:sz w:val="20"/>
        </w:rPr>
      </w:pPr>
    </w:p>
    <w:p w:rsidR="005D3966" w:rsidRDefault="001C5FE1" w14:paraId="2033F6CD" w14:textId="77777777">
      <w:pPr>
        <w:spacing w:before="1"/>
        <w:ind w:left="452" w:right="728"/>
        <w:rPr>
          <w:i/>
          <w:sz w:val="24"/>
        </w:rPr>
      </w:pPr>
      <w:r>
        <w:rPr>
          <w:i/>
          <w:sz w:val="24"/>
        </w:rPr>
        <w:t>Note: Additional Information — Under 29 CFR 4043.3(d), and as noted above under “What to file,” PBGC may request additional information. Items that may be requested for this event include:</w:t>
      </w:r>
    </w:p>
    <w:p w:rsidR="005D3966" w:rsidRDefault="001C5FE1" w14:paraId="048FD711" w14:textId="77777777">
      <w:pPr>
        <w:pStyle w:val="ListParagraph"/>
        <w:numPr>
          <w:ilvl w:val="0"/>
          <w:numId w:val="8"/>
        </w:numPr>
        <w:tabs>
          <w:tab w:val="left" w:pos="907"/>
          <w:tab w:val="left" w:pos="908"/>
        </w:tabs>
        <w:spacing w:before="192" w:line="249" w:lineRule="auto"/>
        <w:ind w:right="977" w:firstLine="9"/>
        <w:rPr>
          <w:i/>
          <w:sz w:val="24"/>
        </w:rPr>
      </w:pPr>
      <w:r>
        <w:rPr>
          <w:i/>
          <w:sz w:val="24"/>
        </w:rPr>
        <w:t>The estimated liquidation proceeds and the controlled group’s anticipated allocation of those proceeds to its</w:t>
      </w:r>
      <w:r>
        <w:rPr>
          <w:i/>
          <w:spacing w:val="-1"/>
          <w:sz w:val="24"/>
        </w:rPr>
        <w:t xml:space="preserve"> </w:t>
      </w:r>
      <w:r>
        <w:rPr>
          <w:i/>
          <w:sz w:val="24"/>
        </w:rPr>
        <w:t>creditors.</w:t>
      </w:r>
    </w:p>
    <w:p w:rsidR="005D3966" w:rsidRDefault="005D3966" w14:paraId="1D3A4A52" w14:textId="77777777">
      <w:pPr>
        <w:pStyle w:val="BodyText"/>
        <w:spacing w:before="6"/>
        <w:rPr>
          <w:i/>
        </w:rPr>
      </w:pPr>
    </w:p>
    <w:p w:rsidR="005D3966" w:rsidRDefault="001C5FE1" w14:paraId="6041E688" w14:textId="77777777">
      <w:pPr>
        <w:pStyle w:val="ListParagraph"/>
        <w:numPr>
          <w:ilvl w:val="0"/>
          <w:numId w:val="8"/>
        </w:numPr>
        <w:tabs>
          <w:tab w:val="left" w:pos="915"/>
          <w:tab w:val="left" w:pos="916"/>
        </w:tabs>
        <w:ind w:left="915" w:hanging="450"/>
        <w:rPr>
          <w:i/>
          <w:sz w:val="24"/>
        </w:rPr>
      </w:pPr>
      <w:r>
        <w:rPr>
          <w:i/>
          <w:sz w:val="24"/>
        </w:rPr>
        <w:t>An itemized list of liquidation expenses the controlled group expects to</w:t>
      </w:r>
      <w:r>
        <w:rPr>
          <w:i/>
          <w:spacing w:val="-3"/>
          <w:sz w:val="24"/>
        </w:rPr>
        <w:t xml:space="preserve"> </w:t>
      </w:r>
      <w:r>
        <w:rPr>
          <w:i/>
          <w:sz w:val="24"/>
        </w:rPr>
        <w:t>incur.</w:t>
      </w:r>
    </w:p>
    <w:p w:rsidR="005D3966" w:rsidRDefault="005D3966" w14:paraId="5B35D8D4" w14:textId="77777777">
      <w:pPr>
        <w:pStyle w:val="BodyText"/>
        <w:spacing w:before="6"/>
        <w:rPr>
          <w:i/>
          <w:sz w:val="26"/>
        </w:rPr>
      </w:pPr>
    </w:p>
    <w:p w:rsidR="005D3966" w:rsidRDefault="001C5FE1" w14:paraId="3BCC2CA9" w14:textId="77777777">
      <w:pPr>
        <w:pStyle w:val="ListParagraph"/>
        <w:numPr>
          <w:ilvl w:val="0"/>
          <w:numId w:val="8"/>
        </w:numPr>
        <w:tabs>
          <w:tab w:val="left" w:pos="915"/>
          <w:tab w:val="left" w:pos="916"/>
        </w:tabs>
        <w:spacing w:line="252" w:lineRule="auto"/>
        <w:ind w:right="594" w:firstLine="14"/>
        <w:rPr>
          <w:i/>
          <w:sz w:val="24"/>
        </w:rPr>
      </w:pPr>
      <w:r>
        <w:rPr>
          <w:i/>
          <w:sz w:val="24"/>
        </w:rPr>
        <w:t>Timing of the expected liquidation of assets, distribution of proceeds, and payment of expenses</w:t>
      </w:r>
      <w:r>
        <w:rPr>
          <w:i/>
          <w:spacing w:val="-20"/>
          <w:sz w:val="24"/>
        </w:rPr>
        <w:t xml:space="preserve"> </w:t>
      </w:r>
      <w:r>
        <w:rPr>
          <w:i/>
          <w:sz w:val="24"/>
        </w:rPr>
        <w:t>as detailed in #1 and</w:t>
      </w:r>
      <w:r>
        <w:rPr>
          <w:i/>
          <w:spacing w:val="-1"/>
          <w:sz w:val="24"/>
        </w:rPr>
        <w:t xml:space="preserve"> </w:t>
      </w:r>
      <w:r>
        <w:rPr>
          <w:i/>
          <w:sz w:val="24"/>
        </w:rPr>
        <w:t>2.</w:t>
      </w:r>
    </w:p>
    <w:p w:rsidR="005D3966" w:rsidRDefault="005D3966" w14:paraId="22DA1B99" w14:textId="77777777">
      <w:pPr>
        <w:pStyle w:val="BodyText"/>
        <w:spacing w:before="2"/>
        <w:rPr>
          <w:i/>
          <w:sz w:val="25"/>
        </w:rPr>
      </w:pPr>
    </w:p>
    <w:p w:rsidR="005D3966" w:rsidRDefault="001C5FE1" w14:paraId="24618C02" w14:textId="77777777">
      <w:pPr>
        <w:pStyle w:val="ListParagraph"/>
        <w:numPr>
          <w:ilvl w:val="0"/>
          <w:numId w:val="8"/>
        </w:numPr>
        <w:tabs>
          <w:tab w:val="left" w:pos="915"/>
          <w:tab w:val="left" w:pos="916"/>
        </w:tabs>
        <w:spacing w:line="252" w:lineRule="auto"/>
        <w:ind w:right="612" w:firstLine="14"/>
        <w:rPr>
          <w:i/>
          <w:sz w:val="24"/>
        </w:rPr>
      </w:pPr>
      <w:r>
        <w:rPr>
          <w:i/>
          <w:sz w:val="24"/>
        </w:rPr>
        <w:t>Details of any prior liquidation proceeds already distributed since the controlled group made</w:t>
      </w:r>
      <w:r>
        <w:rPr>
          <w:i/>
          <w:spacing w:val="-17"/>
          <w:sz w:val="24"/>
        </w:rPr>
        <w:t xml:space="preserve"> </w:t>
      </w:r>
      <w:r>
        <w:rPr>
          <w:i/>
          <w:sz w:val="24"/>
        </w:rPr>
        <w:t>the decision to liquidate, including the name of the creditor, amount, and type of debt (secured or unsecured).</w:t>
      </w:r>
    </w:p>
    <w:p w:rsidR="005D3966" w:rsidRDefault="005D3966" w14:paraId="4D44F0E2" w14:textId="77777777">
      <w:pPr>
        <w:pStyle w:val="BodyText"/>
        <w:rPr>
          <w:i/>
          <w:sz w:val="26"/>
        </w:rPr>
      </w:pPr>
    </w:p>
    <w:p w:rsidR="005D3966" w:rsidRDefault="001C5FE1" w14:paraId="68D9E4DE" w14:textId="77777777">
      <w:pPr>
        <w:pStyle w:val="Heading1"/>
        <w:numPr>
          <w:ilvl w:val="0"/>
          <w:numId w:val="21"/>
        </w:numPr>
        <w:tabs>
          <w:tab w:val="left" w:pos="1112"/>
        </w:tabs>
        <w:spacing w:before="232"/>
        <w:ind w:left="1112" w:hanging="344"/>
        <w:jc w:val="left"/>
      </w:pPr>
      <w:bookmarkStart w:name="G._Extraordinary_Dividend_or_Stock_Redem" w:id="24"/>
      <w:bookmarkEnd w:id="24"/>
      <w:r>
        <w:rPr>
          <w:color w:val="231F20"/>
        </w:rPr>
        <w:t>Extraordinary Dividend or Stock Redemption</w:t>
      </w:r>
    </w:p>
    <w:p w:rsidR="005D3966" w:rsidRDefault="001C5FE1" w14:paraId="0A2DFF87" w14:textId="77777777">
      <w:pPr>
        <w:pStyle w:val="BodyText"/>
        <w:spacing w:before="169"/>
        <w:ind w:left="569"/>
      </w:pPr>
      <w:r>
        <w:rPr>
          <w:color w:val="231F20"/>
        </w:rPr>
        <w:t>(see 29 CFR 4043.31)</w:t>
      </w:r>
    </w:p>
    <w:p w:rsidR="005D3966" w:rsidRDefault="005D3966" w14:paraId="21B0A095" w14:textId="77777777">
      <w:pPr>
        <w:pStyle w:val="BodyText"/>
        <w:spacing w:before="3"/>
        <w:rPr>
          <w:sz w:val="25"/>
        </w:rPr>
      </w:pPr>
    </w:p>
    <w:p w:rsidR="005D3966" w:rsidRDefault="001C5FE1" w14:paraId="100D32FF" w14:textId="77777777">
      <w:pPr>
        <w:pStyle w:val="BodyText"/>
        <w:spacing w:line="249" w:lineRule="auto"/>
        <w:ind w:left="569" w:right="939"/>
      </w:pPr>
      <w:r>
        <w:rPr>
          <w:b/>
          <w:color w:val="231F20"/>
        </w:rPr>
        <w:t xml:space="preserve">ERISA Definition </w:t>
      </w:r>
      <w:r>
        <w:rPr>
          <w:color w:val="231F20"/>
        </w:rPr>
        <w:t>- The reportable event described below replaces the corresponding event for extraordinary dividends and stock redemptions described in section 4043(c)(11) of ERISA. Thus, reporting of any event described under section 4043(c)(11) of ERISA is waived, unless the event would be reportable under this or another reportable event.</w:t>
      </w:r>
    </w:p>
    <w:p w:rsidR="005D3966" w:rsidRDefault="005D3966" w14:paraId="656A2352" w14:textId="77777777">
      <w:pPr>
        <w:pStyle w:val="BodyText"/>
        <w:spacing w:before="9"/>
      </w:pPr>
    </w:p>
    <w:p w:rsidR="005D3966" w:rsidRDefault="001C5FE1" w14:paraId="33D9F3F4" w14:textId="77777777">
      <w:pPr>
        <w:pStyle w:val="BodyText"/>
        <w:tabs>
          <w:tab w:val="left" w:pos="4289"/>
          <w:tab w:val="left" w:pos="5021"/>
          <w:tab w:val="left" w:pos="5681"/>
        </w:tabs>
        <w:spacing w:line="249" w:lineRule="auto"/>
        <w:ind w:left="569" w:right="569"/>
      </w:pPr>
      <w:r>
        <w:rPr>
          <w:b/>
          <w:color w:val="231F20"/>
        </w:rPr>
        <w:t xml:space="preserve">Definition of Event </w:t>
      </w:r>
      <w:r>
        <w:rPr>
          <w:color w:val="231F20"/>
        </w:rPr>
        <w:t xml:space="preserve">— A reportable event occurs for a plan when any member of the </w:t>
      </w:r>
      <w:r>
        <w:rPr>
          <w:color w:val="231F20"/>
          <w:spacing w:val="-3"/>
        </w:rPr>
        <w:t xml:space="preserve">plan’s </w:t>
      </w:r>
      <w:r>
        <w:rPr>
          <w:color w:val="231F20"/>
        </w:rPr>
        <w:t xml:space="preserve">controlled group declares a dividend or redeems its own stock, and the amount or net value of the distribution, when </w:t>
      </w:r>
      <w:r>
        <w:rPr>
          <w:color w:val="231F20"/>
          <w:spacing w:val="57"/>
        </w:rPr>
        <w:t xml:space="preserve"> </w:t>
      </w:r>
      <w:r>
        <w:rPr>
          <w:color w:val="231F20"/>
        </w:rPr>
        <w:t xml:space="preserve">combined </w:t>
      </w:r>
      <w:r>
        <w:rPr>
          <w:color w:val="231F20"/>
          <w:spacing w:val="58"/>
        </w:rPr>
        <w:t xml:space="preserve"> </w:t>
      </w:r>
      <w:r>
        <w:rPr>
          <w:color w:val="231F20"/>
        </w:rPr>
        <w:t>with</w:t>
      </w:r>
      <w:r>
        <w:rPr>
          <w:color w:val="231F20"/>
        </w:rPr>
        <w:tab/>
        <w:t>other</w:t>
      </w:r>
      <w:r>
        <w:rPr>
          <w:color w:val="231F20"/>
        </w:rPr>
        <w:tab/>
        <w:t>such</w:t>
      </w:r>
      <w:r>
        <w:rPr>
          <w:color w:val="231F20"/>
        </w:rPr>
        <w:tab/>
        <w:t xml:space="preserve">distributions </w:t>
      </w:r>
      <w:r>
        <w:t>during the same fiscal year of the person, exceeds the person’s net income before after-tax gain or loss on any sale of assets, as determined in accordance with generally accepted accounting principles and practices, for the prior fiscal year. A distribution by a person to a member of its controlled group is</w:t>
      </w:r>
      <w:r>
        <w:rPr>
          <w:spacing w:val="-13"/>
        </w:rPr>
        <w:t xml:space="preserve"> </w:t>
      </w:r>
      <w:r>
        <w:t>disregarded.</w:t>
      </w:r>
    </w:p>
    <w:p w:rsidR="005D3966" w:rsidRDefault="005D3966" w14:paraId="4B70B873" w14:textId="77777777">
      <w:pPr>
        <w:pStyle w:val="BodyText"/>
        <w:spacing w:before="6"/>
      </w:pPr>
    </w:p>
    <w:p w:rsidR="005D3966" w:rsidRDefault="001C5FE1" w14:paraId="3E60E154" w14:textId="77777777">
      <w:pPr>
        <w:pStyle w:val="BodyText"/>
        <w:spacing w:line="249" w:lineRule="auto"/>
        <w:ind w:left="569" w:right="800"/>
      </w:pPr>
      <w:r>
        <w:rPr>
          <w:b/>
          <w:color w:val="231F20"/>
        </w:rPr>
        <w:t xml:space="preserve">Determination Rules </w:t>
      </w:r>
      <w:r>
        <w:rPr>
          <w:color w:val="231F20"/>
        </w:rPr>
        <w:t>— For purposes of this event, the net value of a non-cash distribution is the fair market value of assets transferred by the person making the distribution, reduced by the fair market value of any liabilities assumed or consideration given by the recipient in connection with the distribution. Net value determinations should be based on readily available fair market value(s)</w:t>
      </w:r>
    </w:p>
    <w:p w:rsidR="005D3966" w:rsidRDefault="005D3966" w14:paraId="25B12D48" w14:textId="77777777">
      <w:pPr>
        <w:spacing w:line="249" w:lineRule="auto"/>
        <w:sectPr w:rsidR="005D3966">
          <w:pgSz w:w="12240" w:h="15840"/>
          <w:pgMar w:top="1060" w:right="660" w:bottom="720" w:left="700" w:header="318" w:footer="530" w:gutter="0"/>
          <w:cols w:space="720"/>
        </w:sectPr>
      </w:pPr>
    </w:p>
    <w:p w:rsidR="005D3966" w:rsidRDefault="001C5FE1" w14:paraId="1922EDDD" w14:textId="77777777">
      <w:pPr>
        <w:pStyle w:val="BodyText"/>
        <w:spacing w:before="88" w:line="249" w:lineRule="auto"/>
        <w:ind w:left="569" w:right="674"/>
      </w:pPr>
      <w:r>
        <w:rPr>
          <w:color w:val="231F20"/>
        </w:rPr>
        <w:lastRenderedPageBreak/>
        <w:t xml:space="preserve">or independent appraisal(s) performed within one year before the distribution is made. </w:t>
      </w:r>
      <w:r>
        <w:rPr>
          <w:color w:val="231F20"/>
          <w:spacing w:val="-3"/>
        </w:rPr>
        <w:t xml:space="preserve">To </w:t>
      </w:r>
      <w:r>
        <w:rPr>
          <w:color w:val="231F20"/>
        </w:rPr>
        <w:t xml:space="preserve">the extent that fair market values are not readily available </w:t>
      </w:r>
      <w:proofErr w:type="gramStart"/>
      <w:r>
        <w:rPr>
          <w:color w:val="231F20"/>
        </w:rPr>
        <w:t>and  no</w:t>
      </w:r>
      <w:proofErr w:type="gramEnd"/>
      <w:r>
        <w:rPr>
          <w:color w:val="231F20"/>
        </w:rPr>
        <w:t xml:space="preserve"> such appraisals exist, the fair market value of an asset transferred in connection with a distribution or a liability assumed by a recipient of a distribution is deemed to be equal to 200 percent of the book value of the asset or liability on the books of the person making the distribution. Stock redeemed is deemed to have no</w:t>
      </w:r>
      <w:r>
        <w:rPr>
          <w:color w:val="231F20"/>
          <w:spacing w:val="-10"/>
        </w:rPr>
        <w:t xml:space="preserve"> </w:t>
      </w:r>
      <w:r>
        <w:rPr>
          <w:color w:val="231F20"/>
        </w:rPr>
        <w:t>value.</w:t>
      </w:r>
    </w:p>
    <w:p w:rsidR="005D3966" w:rsidRDefault="005D3966" w14:paraId="6C0BEE6E" w14:textId="77777777">
      <w:pPr>
        <w:pStyle w:val="BodyText"/>
        <w:spacing w:before="9"/>
        <w:rPr>
          <w:sz w:val="23"/>
        </w:rPr>
      </w:pPr>
    </w:p>
    <w:p w:rsidR="005D3966" w:rsidRDefault="001C5FE1" w14:paraId="20C6E62D" w14:textId="77777777">
      <w:pPr>
        <w:spacing w:line="247" w:lineRule="auto"/>
        <w:ind w:left="569" w:right="1172"/>
        <w:rPr>
          <w:sz w:val="24"/>
        </w:rPr>
      </w:pPr>
      <w:r>
        <w:rPr>
          <w:b/>
          <w:color w:val="231F20"/>
          <w:sz w:val="24"/>
        </w:rPr>
        <w:t xml:space="preserve">Reporting Waivers — </w:t>
      </w:r>
      <w:r>
        <w:rPr>
          <w:color w:val="231F20"/>
          <w:sz w:val="24"/>
        </w:rPr>
        <w:t>Reporting of this event is waived under any of the following automatic waivers.</w:t>
      </w:r>
    </w:p>
    <w:p w:rsidR="005D3966" w:rsidRDefault="005D3966" w14:paraId="09791BB3" w14:textId="77777777">
      <w:pPr>
        <w:pStyle w:val="BodyText"/>
        <w:spacing w:before="5"/>
      </w:pPr>
    </w:p>
    <w:p w:rsidR="005D3966" w:rsidRDefault="001C5FE1" w14:paraId="06286338" w14:textId="77777777">
      <w:pPr>
        <w:pStyle w:val="BodyText"/>
        <w:spacing w:line="249" w:lineRule="auto"/>
        <w:ind w:left="569" w:right="569"/>
      </w:pPr>
      <w:r>
        <w:rPr>
          <w:i/>
          <w:color w:val="231F20"/>
        </w:rPr>
        <w:t xml:space="preserve">De minimis 10-percent segment. </w:t>
      </w:r>
      <w:r>
        <w:rPr>
          <w:color w:val="231F20"/>
        </w:rPr>
        <w:t xml:space="preserve">The person making the distribution is a de minimis 10-percent segment of the </w:t>
      </w:r>
      <w:proofErr w:type="gramStart"/>
      <w:r>
        <w:rPr>
          <w:color w:val="231F20"/>
        </w:rPr>
        <w:t>plan’s controlled</w:t>
      </w:r>
      <w:proofErr w:type="gramEnd"/>
      <w:r>
        <w:rPr>
          <w:color w:val="231F20"/>
        </w:rPr>
        <w:t xml:space="preserve"> group for the most recent fiscal year(s) ending on or before the date the reportable event occurs.</w:t>
      </w:r>
    </w:p>
    <w:p w:rsidR="005D3966" w:rsidRDefault="005D3966" w14:paraId="56730FDE" w14:textId="77777777">
      <w:pPr>
        <w:pStyle w:val="BodyText"/>
        <w:spacing w:before="1"/>
        <w:rPr>
          <w:sz w:val="25"/>
        </w:rPr>
      </w:pPr>
    </w:p>
    <w:p w:rsidR="005D3966" w:rsidRDefault="001C5FE1" w14:paraId="17349E27" w14:textId="77777777">
      <w:pPr>
        <w:pStyle w:val="BodyText"/>
        <w:spacing w:line="247" w:lineRule="auto"/>
        <w:ind w:left="569" w:right="907"/>
      </w:pPr>
      <w:r>
        <w:rPr>
          <w:i/>
          <w:color w:val="231F20"/>
        </w:rPr>
        <w:t xml:space="preserve">Foreign entity. </w:t>
      </w:r>
      <w:r>
        <w:rPr>
          <w:color w:val="231F20"/>
        </w:rPr>
        <w:t xml:space="preserve">The person making the distribution is a foreign entity other than a foreign </w:t>
      </w:r>
      <w:proofErr w:type="gramStart"/>
      <w:r>
        <w:rPr>
          <w:color w:val="231F20"/>
        </w:rPr>
        <w:t>parent;</w:t>
      </w:r>
      <w:proofErr w:type="gramEnd"/>
      <w:r>
        <w:rPr>
          <w:color w:val="231F20"/>
        </w:rPr>
        <w:t xml:space="preserve"> </w:t>
      </w:r>
      <w:r>
        <w:rPr>
          <w:i/>
          <w:color w:val="231F20"/>
        </w:rPr>
        <w:t xml:space="preserve">Small plan. </w:t>
      </w:r>
      <w:r>
        <w:rPr>
          <w:color w:val="231F20"/>
        </w:rPr>
        <w:t>The plan had 100 or fewer participants for whom flat-rate premiums were payable for the plan year preceding the event year.</w:t>
      </w:r>
    </w:p>
    <w:p w:rsidR="005D3966" w:rsidRDefault="005D3966" w14:paraId="58A4043A" w14:textId="77777777">
      <w:pPr>
        <w:pStyle w:val="BodyText"/>
        <w:spacing w:before="2"/>
        <w:rPr>
          <w:sz w:val="25"/>
        </w:rPr>
      </w:pPr>
    </w:p>
    <w:p w:rsidR="005D3966" w:rsidRDefault="001C5FE1" w14:paraId="2742F88B" w14:textId="77777777">
      <w:pPr>
        <w:pStyle w:val="BodyText"/>
        <w:spacing w:line="249" w:lineRule="auto"/>
        <w:ind w:left="569" w:right="999"/>
      </w:pPr>
      <w:r>
        <w:rPr>
          <w:i/>
          <w:color w:val="231F20"/>
        </w:rPr>
        <w:t xml:space="preserve">Low-default-risk. </w:t>
      </w:r>
      <w:r>
        <w:rPr>
          <w:color w:val="231F20"/>
        </w:rPr>
        <w:t>Each contributing sponsor of the plan and the highest-level U.S. parent of each contributing sponsor are low-default-risk on the date of the event.</w:t>
      </w:r>
    </w:p>
    <w:p w:rsidR="005D3966" w:rsidRDefault="005D3966" w14:paraId="4F45AD4F" w14:textId="77777777">
      <w:pPr>
        <w:pStyle w:val="BodyText"/>
        <w:rPr>
          <w:sz w:val="25"/>
        </w:rPr>
      </w:pPr>
    </w:p>
    <w:p w:rsidR="005D3966" w:rsidRDefault="001C5FE1" w14:paraId="3F168E1C" w14:textId="77777777">
      <w:pPr>
        <w:ind w:left="1171"/>
        <w:jc w:val="both"/>
        <w:rPr>
          <w:i/>
          <w:sz w:val="24"/>
        </w:rPr>
      </w:pPr>
      <w:r>
        <w:rPr>
          <w:i/>
          <w:color w:val="231F20"/>
          <w:sz w:val="24"/>
        </w:rPr>
        <w:t>Special Note for Low-default risk waiver:</w:t>
      </w:r>
    </w:p>
    <w:p w:rsidR="005D3966" w:rsidRDefault="005D3966" w14:paraId="5F569CEA" w14:textId="77777777">
      <w:pPr>
        <w:pStyle w:val="BodyText"/>
        <w:spacing w:before="10"/>
        <w:rPr>
          <w:i/>
          <w:sz w:val="25"/>
        </w:rPr>
      </w:pPr>
    </w:p>
    <w:p w:rsidR="005D3966" w:rsidRDefault="001C5FE1" w14:paraId="18CEA78F" w14:textId="77777777">
      <w:pPr>
        <w:spacing w:before="1"/>
        <w:ind w:left="1171" w:right="591"/>
        <w:jc w:val="both"/>
        <w:rPr>
          <w:i/>
          <w:sz w:val="24"/>
        </w:rPr>
      </w:pPr>
      <w:r>
        <w:rPr>
          <w:i/>
          <w:sz w:val="24"/>
        </w:rPr>
        <w:t xml:space="preserve">For reporting to be waived for an event to which the </w:t>
      </w:r>
      <w:r>
        <w:rPr>
          <w:i/>
          <w:color w:val="231F20"/>
          <w:sz w:val="24"/>
        </w:rPr>
        <w:t>safe harbor applies, both the contributing sponsor and the highest-level U.S. parent of the contributing sponsor must satisfy the company low-default-risk safe harbor.</w:t>
      </w:r>
    </w:p>
    <w:p w:rsidR="005D3966" w:rsidRDefault="005D3966" w14:paraId="4AFED7AA" w14:textId="77777777">
      <w:pPr>
        <w:pStyle w:val="BodyText"/>
        <w:spacing w:before="11"/>
        <w:rPr>
          <w:i/>
          <w:sz w:val="23"/>
        </w:rPr>
      </w:pPr>
    </w:p>
    <w:p w:rsidR="005D3966" w:rsidRDefault="001C5FE1" w14:paraId="2DA46FDF" w14:textId="77777777">
      <w:pPr>
        <w:ind w:left="1171" w:right="502"/>
        <w:rPr>
          <w:i/>
          <w:sz w:val="24"/>
        </w:rPr>
      </w:pPr>
      <w:r>
        <w:rPr>
          <w:i/>
          <w:color w:val="231F20"/>
          <w:sz w:val="24"/>
        </w:rPr>
        <w:t>A company is to determine whether it qualifies for the low-default- risk safe harbor once</w:t>
      </w:r>
      <w:r>
        <w:rPr>
          <w:i/>
          <w:color w:val="231F20"/>
          <w:spacing w:val="-21"/>
          <w:sz w:val="24"/>
        </w:rPr>
        <w:t xml:space="preserve"> </w:t>
      </w:r>
      <w:r>
        <w:rPr>
          <w:i/>
          <w:color w:val="231F20"/>
          <w:sz w:val="24"/>
        </w:rPr>
        <w:t xml:space="preserve">during an annual financial reporting cycle </w:t>
      </w:r>
      <w:r>
        <w:rPr>
          <w:i/>
          <w:color w:val="231F20"/>
          <w:spacing w:val="-3"/>
          <w:sz w:val="24"/>
        </w:rPr>
        <w:t xml:space="preserve">(on </w:t>
      </w:r>
      <w:r>
        <w:rPr>
          <w:i/>
          <w:color w:val="231F20"/>
          <w:sz w:val="24"/>
        </w:rPr>
        <w:t xml:space="preserve">a “financial information date”). If it qualifies on that financial information date, its qualification remains in place throughout a “safe harbor period” </w:t>
      </w:r>
      <w:r>
        <w:rPr>
          <w:i/>
          <w:color w:val="231F20"/>
          <w:spacing w:val="-3"/>
          <w:sz w:val="24"/>
        </w:rPr>
        <w:t xml:space="preserve">that </w:t>
      </w:r>
      <w:r>
        <w:rPr>
          <w:i/>
          <w:color w:val="231F20"/>
          <w:sz w:val="24"/>
        </w:rPr>
        <w:t>ends 13 months later or on the next financial information date (if earlier).</w:t>
      </w:r>
      <w:hyperlink w:history="1" w:anchor="_bookmark4">
        <w:r>
          <w:rPr>
            <w:i/>
            <w:color w:val="231F20"/>
            <w:sz w:val="24"/>
            <w:vertAlign w:val="superscript"/>
          </w:rPr>
          <w:t>5</w:t>
        </w:r>
        <w:r>
          <w:rPr>
            <w:i/>
            <w:color w:val="231F20"/>
            <w:sz w:val="24"/>
          </w:rPr>
          <w:t xml:space="preserve"> </w:t>
        </w:r>
      </w:hyperlink>
      <w:r>
        <w:rPr>
          <w:i/>
          <w:color w:val="231F20"/>
          <w:sz w:val="24"/>
        </w:rPr>
        <w:t xml:space="preserve">If it does not qualify, its non- qualified status remains </w:t>
      </w:r>
      <w:proofErr w:type="gramStart"/>
      <w:r>
        <w:rPr>
          <w:i/>
          <w:color w:val="231F20"/>
          <w:sz w:val="24"/>
        </w:rPr>
        <w:t>in  place</w:t>
      </w:r>
      <w:proofErr w:type="gramEnd"/>
      <w:r>
        <w:rPr>
          <w:i/>
          <w:color w:val="231F20"/>
          <w:sz w:val="24"/>
        </w:rPr>
        <w:t xml:space="preserve">  until  the next  financial information date. The financial information date is the date annual financial statements are filed with the SEC or the closing date of the annual accounting cycle. If audited financial information is not available, the date is the date the company files its annual federal income</w:t>
      </w:r>
      <w:r>
        <w:rPr>
          <w:i/>
          <w:color w:val="231F20"/>
          <w:spacing w:val="-19"/>
          <w:sz w:val="24"/>
        </w:rPr>
        <w:t xml:space="preserve"> </w:t>
      </w:r>
      <w:r>
        <w:rPr>
          <w:i/>
          <w:color w:val="231F20"/>
          <w:sz w:val="24"/>
        </w:rPr>
        <w:t xml:space="preserve">tax returns or IRS Form 990. If an </w:t>
      </w:r>
      <w:r>
        <w:rPr>
          <w:i/>
          <w:color w:val="231F20"/>
          <w:spacing w:val="-3"/>
          <w:sz w:val="24"/>
        </w:rPr>
        <w:t xml:space="preserve">accountant’s </w:t>
      </w:r>
      <w:r>
        <w:rPr>
          <w:i/>
          <w:color w:val="231F20"/>
          <w:sz w:val="24"/>
        </w:rPr>
        <w:t xml:space="preserve">audit or review report expresses a material adverse view or qualification, the company will not satisfy the low- default-risk standard for the safe </w:t>
      </w:r>
      <w:r>
        <w:rPr>
          <w:i/>
          <w:color w:val="231F20"/>
          <w:spacing w:val="-5"/>
          <w:sz w:val="24"/>
        </w:rPr>
        <w:t>harbor.</w:t>
      </w:r>
    </w:p>
    <w:p w:rsidR="005D3966" w:rsidRDefault="005D3966" w14:paraId="1864930F" w14:textId="77777777">
      <w:pPr>
        <w:pStyle w:val="BodyText"/>
        <w:spacing w:before="1"/>
        <w:rPr>
          <w:i/>
          <w:sz w:val="25"/>
        </w:rPr>
      </w:pPr>
    </w:p>
    <w:p w:rsidR="005D3966" w:rsidRDefault="001C5FE1" w14:paraId="656A6024" w14:textId="77777777">
      <w:pPr>
        <w:ind w:left="586"/>
        <w:rPr>
          <w:sz w:val="24"/>
        </w:rPr>
      </w:pPr>
      <w:r>
        <w:rPr>
          <w:i/>
          <w:color w:val="231F20"/>
          <w:sz w:val="24"/>
        </w:rPr>
        <w:t xml:space="preserve">Well-funded plan. </w:t>
      </w:r>
      <w:r>
        <w:rPr>
          <w:color w:val="231F20"/>
          <w:sz w:val="24"/>
        </w:rPr>
        <w:t>The plan is in the well-funded plan safe harbor for the event year.</w:t>
      </w:r>
    </w:p>
    <w:p w:rsidR="005D3966" w:rsidRDefault="005D3966" w14:paraId="3CF74009" w14:textId="77777777">
      <w:pPr>
        <w:pStyle w:val="BodyText"/>
        <w:spacing w:before="3"/>
        <w:rPr>
          <w:sz w:val="26"/>
        </w:rPr>
      </w:pPr>
    </w:p>
    <w:p w:rsidR="005D3966" w:rsidRDefault="001C5FE1" w14:paraId="746075E1" w14:textId="77777777">
      <w:pPr>
        <w:pStyle w:val="BodyText"/>
        <w:spacing w:line="247" w:lineRule="auto"/>
        <w:ind w:left="586" w:right="598"/>
      </w:pPr>
      <w:r>
        <w:rPr>
          <w:i/>
          <w:color w:val="231F20"/>
        </w:rPr>
        <w:t xml:space="preserve">Public company. </w:t>
      </w:r>
      <w:r>
        <w:rPr>
          <w:color w:val="231F20"/>
        </w:rPr>
        <w:t>Any contributing sponsor of the plan before the transaction or the parent company within a parent-subsidiary controlled group of any such contributing sponsor, is a public company and timely files a SEC Form 8-K disclosing the event under an item of the Form 8-K other than under Item 2.02 (Results of Operations and Financial Condition) or in financial statements under Item 9.01 (Financial Statements and Exhibits).</w:t>
      </w:r>
    </w:p>
    <w:p w:rsidR="005D3966" w:rsidRDefault="004C650B" w14:paraId="3397260F" w14:textId="77777777">
      <w:pPr>
        <w:pStyle w:val="BodyText"/>
        <w:rPr>
          <w:sz w:val="19"/>
        </w:rPr>
      </w:pPr>
      <w:r>
        <w:pict w14:anchorId="6F8863CD">
          <v:rect id="_x0000_s1028" style="position:absolute;margin-left:57.6pt;margin-top:12.9pt;width:2in;height:.6pt;z-index:-15725568;mso-wrap-distance-left:0;mso-wrap-distance-right:0;mso-position-horizontal-relative:page" fillcolor="black" stroked="f">
            <w10:wrap type="topAndBottom" anchorx="page"/>
          </v:rect>
        </w:pict>
      </w:r>
    </w:p>
    <w:p w:rsidR="005D3966" w:rsidRDefault="001C5FE1" w14:paraId="489BE7E3" w14:textId="77777777">
      <w:pPr>
        <w:spacing w:before="65"/>
        <w:ind w:left="452"/>
        <w:rPr>
          <w:sz w:val="20"/>
        </w:rPr>
      </w:pPr>
      <w:bookmarkStart w:name="_bookmark4" w:id="25"/>
      <w:bookmarkEnd w:id="25"/>
      <w:r>
        <w:rPr>
          <w:sz w:val="20"/>
          <w:vertAlign w:val="superscript"/>
        </w:rPr>
        <w:t>5</w:t>
      </w:r>
      <w:r>
        <w:rPr>
          <w:sz w:val="20"/>
        </w:rPr>
        <w:t xml:space="preserve"> Thirteen months allows for some variation from year to year on the date that annual financials are reported.</w:t>
      </w:r>
    </w:p>
    <w:p w:rsidR="005D3966" w:rsidRDefault="005D3966" w14:paraId="201BD286" w14:textId="77777777">
      <w:pPr>
        <w:rPr>
          <w:sz w:val="20"/>
        </w:rPr>
        <w:sectPr w:rsidR="005D3966">
          <w:pgSz w:w="12240" w:h="15840"/>
          <w:pgMar w:top="1060" w:right="660" w:bottom="720" w:left="700" w:header="318" w:footer="530" w:gutter="0"/>
          <w:cols w:space="720"/>
        </w:sectPr>
      </w:pPr>
    </w:p>
    <w:p w:rsidR="005D3966" w:rsidRDefault="005D3966" w14:paraId="66681719" w14:textId="77777777">
      <w:pPr>
        <w:pStyle w:val="BodyText"/>
        <w:spacing w:before="7"/>
      </w:pPr>
    </w:p>
    <w:p w:rsidR="005D3966" w:rsidRDefault="001C5FE1" w14:paraId="424B11AB" w14:textId="77777777">
      <w:pPr>
        <w:spacing w:before="90"/>
        <w:ind w:left="572"/>
        <w:rPr>
          <w:i/>
          <w:sz w:val="24"/>
        </w:rPr>
      </w:pPr>
      <w:r>
        <w:rPr>
          <w:i/>
          <w:color w:val="231F20"/>
          <w:sz w:val="24"/>
        </w:rPr>
        <w:t>Note: Disclosing the following information is sufficient for the public company waiver to apply:</w:t>
      </w:r>
    </w:p>
    <w:p w:rsidR="005D3966" w:rsidRDefault="001C5FE1" w14:paraId="54F1A310" w14:textId="77777777">
      <w:pPr>
        <w:pStyle w:val="ListParagraph"/>
        <w:numPr>
          <w:ilvl w:val="0"/>
          <w:numId w:val="7"/>
        </w:numPr>
        <w:tabs>
          <w:tab w:val="left" w:pos="1291"/>
          <w:tab w:val="left" w:pos="1292"/>
        </w:tabs>
        <w:spacing w:before="14"/>
        <w:rPr>
          <w:sz w:val="24"/>
        </w:rPr>
      </w:pPr>
      <w:r>
        <w:rPr>
          <w:color w:val="231F20"/>
          <w:sz w:val="24"/>
        </w:rPr>
        <w:t>Plan</w:t>
      </w:r>
      <w:r>
        <w:rPr>
          <w:color w:val="231F20"/>
          <w:spacing w:val="-1"/>
          <w:sz w:val="24"/>
        </w:rPr>
        <w:t xml:space="preserve"> </w:t>
      </w:r>
      <w:r>
        <w:rPr>
          <w:color w:val="231F20"/>
          <w:sz w:val="24"/>
        </w:rPr>
        <w:t>Name.</w:t>
      </w:r>
    </w:p>
    <w:p w:rsidR="005D3966" w:rsidRDefault="001C5FE1" w14:paraId="550983C3" w14:textId="77777777">
      <w:pPr>
        <w:pStyle w:val="ListParagraph"/>
        <w:numPr>
          <w:ilvl w:val="0"/>
          <w:numId w:val="7"/>
        </w:numPr>
        <w:tabs>
          <w:tab w:val="left" w:pos="1291"/>
          <w:tab w:val="left" w:pos="1292"/>
        </w:tabs>
        <w:spacing w:before="9"/>
        <w:rPr>
          <w:sz w:val="24"/>
        </w:rPr>
      </w:pPr>
      <w:r>
        <w:rPr>
          <w:color w:val="231F20"/>
          <w:sz w:val="24"/>
        </w:rPr>
        <w:t>Date of the</w:t>
      </w:r>
      <w:r>
        <w:rPr>
          <w:color w:val="231F20"/>
          <w:spacing w:val="-2"/>
          <w:sz w:val="24"/>
        </w:rPr>
        <w:t xml:space="preserve"> </w:t>
      </w:r>
      <w:r>
        <w:rPr>
          <w:color w:val="231F20"/>
          <w:sz w:val="24"/>
        </w:rPr>
        <w:t>event.</w:t>
      </w:r>
    </w:p>
    <w:p w:rsidR="005D3966" w:rsidRDefault="001C5FE1" w14:paraId="6910BFB5" w14:textId="77777777">
      <w:pPr>
        <w:pStyle w:val="ListParagraph"/>
        <w:numPr>
          <w:ilvl w:val="0"/>
          <w:numId w:val="7"/>
        </w:numPr>
        <w:tabs>
          <w:tab w:val="left" w:pos="1291"/>
          <w:tab w:val="left" w:pos="1292"/>
        </w:tabs>
        <w:spacing w:before="11"/>
        <w:rPr>
          <w:sz w:val="24"/>
        </w:rPr>
      </w:pPr>
      <w:r>
        <w:rPr>
          <w:color w:val="231F20"/>
          <w:sz w:val="24"/>
        </w:rPr>
        <w:t>Type of</w:t>
      </w:r>
      <w:r>
        <w:rPr>
          <w:color w:val="231F20"/>
          <w:spacing w:val="-3"/>
          <w:sz w:val="24"/>
        </w:rPr>
        <w:t xml:space="preserve"> </w:t>
      </w:r>
      <w:r>
        <w:rPr>
          <w:color w:val="231F20"/>
          <w:sz w:val="24"/>
        </w:rPr>
        <w:t>event.</w:t>
      </w:r>
    </w:p>
    <w:p w:rsidR="005D3966" w:rsidRDefault="001C5FE1" w14:paraId="429763DC" w14:textId="77777777">
      <w:pPr>
        <w:pStyle w:val="ListParagraph"/>
        <w:numPr>
          <w:ilvl w:val="0"/>
          <w:numId w:val="7"/>
        </w:numPr>
        <w:tabs>
          <w:tab w:val="left" w:pos="1291"/>
          <w:tab w:val="left" w:pos="1292"/>
        </w:tabs>
        <w:spacing w:before="8"/>
        <w:rPr>
          <w:sz w:val="24"/>
        </w:rPr>
      </w:pPr>
      <w:r>
        <w:rPr>
          <w:color w:val="231F20"/>
          <w:sz w:val="24"/>
        </w:rPr>
        <w:t>Brief description of the pertinent facts relating to the</w:t>
      </w:r>
      <w:r>
        <w:rPr>
          <w:color w:val="231F20"/>
          <w:spacing w:val="-6"/>
          <w:sz w:val="24"/>
        </w:rPr>
        <w:t xml:space="preserve"> </w:t>
      </w:r>
      <w:r>
        <w:rPr>
          <w:color w:val="231F20"/>
          <w:sz w:val="24"/>
        </w:rPr>
        <w:t>event.</w:t>
      </w:r>
    </w:p>
    <w:p w:rsidR="005D3966" w:rsidRDefault="001C5FE1" w14:paraId="44DED859" w14:textId="77777777">
      <w:pPr>
        <w:pStyle w:val="ListParagraph"/>
        <w:numPr>
          <w:ilvl w:val="0"/>
          <w:numId w:val="7"/>
        </w:numPr>
        <w:tabs>
          <w:tab w:val="left" w:pos="1291"/>
          <w:tab w:val="left" w:pos="1292"/>
        </w:tabs>
        <w:spacing w:before="11"/>
        <w:rPr>
          <w:sz w:val="24"/>
        </w:rPr>
      </w:pPr>
      <w:r>
        <w:rPr>
          <w:color w:val="231F20"/>
          <w:sz w:val="24"/>
        </w:rPr>
        <w:t>Name and EIN of person making the</w:t>
      </w:r>
      <w:r>
        <w:rPr>
          <w:color w:val="231F20"/>
          <w:spacing w:val="-3"/>
          <w:sz w:val="24"/>
        </w:rPr>
        <w:t xml:space="preserve"> </w:t>
      </w:r>
      <w:r>
        <w:rPr>
          <w:color w:val="231F20"/>
          <w:sz w:val="24"/>
        </w:rPr>
        <w:t>distribution.</w:t>
      </w:r>
    </w:p>
    <w:p w:rsidR="005D3966" w:rsidRDefault="001C5FE1" w14:paraId="341E979D" w14:textId="77777777">
      <w:pPr>
        <w:pStyle w:val="ListParagraph"/>
        <w:numPr>
          <w:ilvl w:val="0"/>
          <w:numId w:val="7"/>
        </w:numPr>
        <w:tabs>
          <w:tab w:val="left" w:pos="1291"/>
          <w:tab w:val="left" w:pos="1292"/>
        </w:tabs>
        <w:spacing w:before="8"/>
        <w:rPr>
          <w:sz w:val="24"/>
        </w:rPr>
      </w:pPr>
      <w:r>
        <w:rPr>
          <w:color w:val="231F20"/>
          <w:sz w:val="24"/>
        </w:rPr>
        <w:t>Date and amount of cash distribution(s) during fiscal</w:t>
      </w:r>
      <w:r>
        <w:rPr>
          <w:color w:val="231F20"/>
          <w:spacing w:val="-1"/>
          <w:sz w:val="24"/>
        </w:rPr>
        <w:t xml:space="preserve"> </w:t>
      </w:r>
      <w:r>
        <w:rPr>
          <w:color w:val="231F20"/>
          <w:sz w:val="24"/>
        </w:rPr>
        <w:t>year.</w:t>
      </w:r>
    </w:p>
    <w:p w:rsidR="005D3966" w:rsidRDefault="001C5FE1" w14:paraId="14AB2E3D" w14:textId="77777777">
      <w:pPr>
        <w:pStyle w:val="ListParagraph"/>
        <w:numPr>
          <w:ilvl w:val="0"/>
          <w:numId w:val="7"/>
        </w:numPr>
        <w:tabs>
          <w:tab w:val="left" w:pos="1291"/>
          <w:tab w:val="left" w:pos="1292"/>
        </w:tabs>
        <w:spacing w:before="8"/>
        <w:rPr>
          <w:sz w:val="24"/>
        </w:rPr>
      </w:pPr>
      <w:r>
        <w:rPr>
          <w:color w:val="231F20"/>
          <w:sz w:val="24"/>
        </w:rPr>
        <w:t>Description, fair market value, and date or dates of any non-cash</w:t>
      </w:r>
      <w:r>
        <w:rPr>
          <w:color w:val="231F20"/>
          <w:spacing w:val="-5"/>
          <w:sz w:val="24"/>
        </w:rPr>
        <w:t xml:space="preserve"> </w:t>
      </w:r>
      <w:r>
        <w:rPr>
          <w:color w:val="231F20"/>
          <w:sz w:val="24"/>
        </w:rPr>
        <w:t>distributions.</w:t>
      </w:r>
    </w:p>
    <w:p w:rsidR="005D3966" w:rsidRDefault="001C5FE1" w14:paraId="0619A997" w14:textId="77777777">
      <w:pPr>
        <w:pStyle w:val="ListParagraph"/>
        <w:numPr>
          <w:ilvl w:val="0"/>
          <w:numId w:val="7"/>
        </w:numPr>
        <w:tabs>
          <w:tab w:val="left" w:pos="1291"/>
          <w:tab w:val="left" w:pos="1292"/>
        </w:tabs>
        <w:spacing w:before="11"/>
        <w:rPr>
          <w:sz w:val="24"/>
        </w:rPr>
      </w:pPr>
      <w:r>
        <w:rPr>
          <w:color w:val="231F20"/>
          <w:sz w:val="24"/>
        </w:rPr>
        <w:t>Statement as to whether the recipient was a member of the controlled</w:t>
      </w:r>
      <w:r>
        <w:rPr>
          <w:color w:val="231F20"/>
          <w:spacing w:val="-7"/>
          <w:sz w:val="24"/>
        </w:rPr>
        <w:t xml:space="preserve"> </w:t>
      </w:r>
      <w:r>
        <w:rPr>
          <w:color w:val="231F20"/>
          <w:sz w:val="24"/>
        </w:rPr>
        <w:t>group.</w:t>
      </w:r>
    </w:p>
    <w:p w:rsidR="005D3966" w:rsidRDefault="005D3966" w14:paraId="218BA7A6" w14:textId="77777777">
      <w:pPr>
        <w:pStyle w:val="BodyText"/>
        <w:rPr>
          <w:sz w:val="28"/>
        </w:rPr>
      </w:pPr>
    </w:p>
    <w:p w:rsidR="005D3966" w:rsidRDefault="005D3966" w14:paraId="05AB6213" w14:textId="77777777">
      <w:pPr>
        <w:pStyle w:val="BodyText"/>
        <w:rPr>
          <w:sz w:val="23"/>
        </w:rPr>
      </w:pPr>
    </w:p>
    <w:p w:rsidR="005D3966" w:rsidRDefault="001C5FE1" w14:paraId="1ADE336B" w14:textId="77777777">
      <w:pPr>
        <w:pStyle w:val="Heading1"/>
        <w:numPr>
          <w:ilvl w:val="0"/>
          <w:numId w:val="21"/>
        </w:numPr>
        <w:tabs>
          <w:tab w:val="left" w:pos="925"/>
        </w:tabs>
        <w:ind w:left="924" w:hanging="339"/>
        <w:jc w:val="left"/>
      </w:pPr>
      <w:bookmarkStart w:name="H._Transfer_of_Benefit_Liabilities" w:id="26"/>
      <w:bookmarkEnd w:id="26"/>
      <w:r>
        <w:rPr>
          <w:color w:val="231F20"/>
        </w:rPr>
        <w:t>Transfer of Benefit</w:t>
      </w:r>
      <w:r>
        <w:rPr>
          <w:color w:val="231F20"/>
          <w:spacing w:val="-19"/>
        </w:rPr>
        <w:t xml:space="preserve"> </w:t>
      </w:r>
      <w:r>
        <w:rPr>
          <w:color w:val="231F20"/>
        </w:rPr>
        <w:t>Liabilities</w:t>
      </w:r>
    </w:p>
    <w:p w:rsidR="005D3966" w:rsidRDefault="001C5FE1" w14:paraId="59675268" w14:textId="77777777">
      <w:pPr>
        <w:pStyle w:val="BodyText"/>
        <w:spacing w:before="8"/>
        <w:ind w:left="586"/>
      </w:pPr>
      <w:r>
        <w:rPr>
          <w:color w:val="231F20"/>
        </w:rPr>
        <w:t>(see 29 CFR 4043.32)</w:t>
      </w:r>
    </w:p>
    <w:p w:rsidR="005D3966" w:rsidRDefault="005D3966" w14:paraId="6BD14502" w14:textId="77777777">
      <w:pPr>
        <w:pStyle w:val="BodyText"/>
        <w:spacing w:before="1"/>
        <w:rPr>
          <w:sz w:val="26"/>
        </w:rPr>
      </w:pPr>
    </w:p>
    <w:p w:rsidR="005D3966" w:rsidRDefault="001C5FE1" w14:paraId="565146C6" w14:textId="77777777">
      <w:pPr>
        <w:ind w:left="586"/>
        <w:rPr>
          <w:sz w:val="24"/>
        </w:rPr>
      </w:pPr>
      <w:r>
        <w:rPr>
          <w:b/>
          <w:color w:val="231F20"/>
          <w:sz w:val="24"/>
        </w:rPr>
        <w:t xml:space="preserve">Definition of Event </w:t>
      </w:r>
      <w:r>
        <w:rPr>
          <w:color w:val="231F20"/>
          <w:sz w:val="24"/>
        </w:rPr>
        <w:t>— A reportable event occurs for a plan when:</w:t>
      </w:r>
    </w:p>
    <w:p w:rsidR="005D3966" w:rsidRDefault="001C5FE1" w14:paraId="07150D40" w14:textId="77777777">
      <w:pPr>
        <w:pStyle w:val="ListParagraph"/>
        <w:numPr>
          <w:ilvl w:val="0"/>
          <w:numId w:val="6"/>
        </w:numPr>
        <w:tabs>
          <w:tab w:val="left" w:pos="919"/>
          <w:tab w:val="left" w:pos="920"/>
        </w:tabs>
        <w:spacing w:before="120"/>
        <w:ind w:right="494" w:firstLine="0"/>
        <w:rPr>
          <w:sz w:val="24"/>
        </w:rPr>
      </w:pPr>
      <w:r>
        <w:rPr>
          <w:color w:val="231F20"/>
          <w:sz w:val="24"/>
        </w:rPr>
        <w:t xml:space="preserve">The plan makes a transfer of benefit </w:t>
      </w:r>
      <w:r>
        <w:rPr>
          <w:color w:val="231F20"/>
          <w:spacing w:val="4"/>
          <w:sz w:val="24"/>
        </w:rPr>
        <w:t xml:space="preserve">liabilities </w:t>
      </w:r>
      <w:r>
        <w:rPr>
          <w:color w:val="231F20"/>
          <w:spacing w:val="2"/>
          <w:sz w:val="24"/>
        </w:rPr>
        <w:t xml:space="preserve">to </w:t>
      </w:r>
      <w:r>
        <w:rPr>
          <w:color w:val="231F20"/>
          <w:sz w:val="24"/>
        </w:rPr>
        <w:t xml:space="preserve">a </w:t>
      </w:r>
      <w:r>
        <w:rPr>
          <w:color w:val="231F20"/>
          <w:spacing w:val="3"/>
          <w:sz w:val="24"/>
        </w:rPr>
        <w:t xml:space="preserve">person, </w:t>
      </w:r>
      <w:r>
        <w:rPr>
          <w:color w:val="231F20"/>
          <w:sz w:val="24"/>
        </w:rPr>
        <w:t xml:space="preserve">or </w:t>
      </w:r>
      <w:r>
        <w:rPr>
          <w:color w:val="231F20"/>
          <w:spacing w:val="2"/>
          <w:sz w:val="24"/>
        </w:rPr>
        <w:t xml:space="preserve">to </w:t>
      </w:r>
      <w:r>
        <w:rPr>
          <w:color w:val="231F20"/>
          <w:sz w:val="24"/>
        </w:rPr>
        <w:t xml:space="preserve">a </w:t>
      </w:r>
      <w:r>
        <w:rPr>
          <w:color w:val="231F20"/>
          <w:spacing w:val="3"/>
          <w:sz w:val="24"/>
        </w:rPr>
        <w:t xml:space="preserve">plan </w:t>
      </w:r>
      <w:r>
        <w:rPr>
          <w:color w:val="231F20"/>
          <w:sz w:val="24"/>
        </w:rPr>
        <w:t xml:space="preserve">or </w:t>
      </w:r>
      <w:r>
        <w:rPr>
          <w:color w:val="231F20"/>
          <w:spacing w:val="3"/>
          <w:sz w:val="24"/>
        </w:rPr>
        <w:t xml:space="preserve">plans </w:t>
      </w:r>
      <w:r>
        <w:rPr>
          <w:color w:val="231F20"/>
          <w:spacing w:val="4"/>
          <w:sz w:val="24"/>
        </w:rPr>
        <w:t xml:space="preserve">maintained </w:t>
      </w:r>
      <w:r>
        <w:rPr>
          <w:color w:val="231F20"/>
          <w:sz w:val="24"/>
        </w:rPr>
        <w:t xml:space="preserve">by a </w:t>
      </w:r>
      <w:r>
        <w:rPr>
          <w:color w:val="231F20"/>
          <w:spacing w:val="3"/>
          <w:sz w:val="24"/>
        </w:rPr>
        <w:t>person</w:t>
      </w:r>
      <w:r>
        <w:rPr>
          <w:color w:val="231F20"/>
          <w:spacing w:val="10"/>
          <w:sz w:val="24"/>
        </w:rPr>
        <w:t xml:space="preserve"> </w:t>
      </w:r>
      <w:r>
        <w:rPr>
          <w:color w:val="231F20"/>
          <w:spacing w:val="3"/>
          <w:sz w:val="24"/>
        </w:rPr>
        <w:t>or</w:t>
      </w:r>
      <w:r>
        <w:rPr>
          <w:color w:val="231F20"/>
          <w:spacing w:val="9"/>
          <w:sz w:val="24"/>
        </w:rPr>
        <w:t xml:space="preserve"> </w:t>
      </w:r>
      <w:r>
        <w:rPr>
          <w:color w:val="231F20"/>
          <w:spacing w:val="4"/>
          <w:sz w:val="24"/>
        </w:rPr>
        <w:t>persons,</w:t>
      </w:r>
      <w:r>
        <w:rPr>
          <w:color w:val="231F20"/>
          <w:spacing w:val="10"/>
          <w:sz w:val="24"/>
        </w:rPr>
        <w:t xml:space="preserve"> </w:t>
      </w:r>
      <w:r>
        <w:rPr>
          <w:color w:val="231F20"/>
          <w:spacing w:val="3"/>
          <w:sz w:val="24"/>
        </w:rPr>
        <w:t>that</w:t>
      </w:r>
      <w:r>
        <w:rPr>
          <w:color w:val="231F20"/>
          <w:spacing w:val="13"/>
          <w:sz w:val="24"/>
        </w:rPr>
        <w:t xml:space="preserve"> </w:t>
      </w:r>
      <w:r>
        <w:rPr>
          <w:color w:val="231F20"/>
          <w:spacing w:val="2"/>
          <w:sz w:val="24"/>
        </w:rPr>
        <w:t>are</w:t>
      </w:r>
      <w:r>
        <w:rPr>
          <w:color w:val="231F20"/>
          <w:spacing w:val="12"/>
          <w:sz w:val="24"/>
        </w:rPr>
        <w:t xml:space="preserve"> </w:t>
      </w:r>
      <w:r>
        <w:rPr>
          <w:color w:val="231F20"/>
          <w:spacing w:val="2"/>
          <w:sz w:val="24"/>
        </w:rPr>
        <w:t>not</w:t>
      </w:r>
      <w:r>
        <w:rPr>
          <w:color w:val="231F20"/>
          <w:spacing w:val="11"/>
          <w:sz w:val="24"/>
        </w:rPr>
        <w:t xml:space="preserve"> </w:t>
      </w:r>
      <w:r>
        <w:rPr>
          <w:color w:val="231F20"/>
          <w:spacing w:val="3"/>
          <w:sz w:val="24"/>
        </w:rPr>
        <w:t>members</w:t>
      </w:r>
      <w:r>
        <w:rPr>
          <w:color w:val="231F20"/>
          <w:spacing w:val="10"/>
          <w:sz w:val="24"/>
        </w:rPr>
        <w:t xml:space="preserve"> </w:t>
      </w:r>
      <w:r>
        <w:rPr>
          <w:color w:val="231F20"/>
          <w:sz w:val="24"/>
        </w:rPr>
        <w:t>of</w:t>
      </w:r>
      <w:r>
        <w:rPr>
          <w:color w:val="231F20"/>
          <w:spacing w:val="10"/>
          <w:sz w:val="24"/>
        </w:rPr>
        <w:t xml:space="preserve"> </w:t>
      </w:r>
      <w:r>
        <w:rPr>
          <w:color w:val="231F20"/>
          <w:spacing w:val="4"/>
          <w:sz w:val="24"/>
        </w:rPr>
        <w:t>the</w:t>
      </w:r>
      <w:r>
        <w:rPr>
          <w:color w:val="231F20"/>
          <w:spacing w:val="12"/>
          <w:sz w:val="24"/>
        </w:rPr>
        <w:t xml:space="preserve"> </w:t>
      </w:r>
      <w:r>
        <w:rPr>
          <w:color w:val="231F20"/>
          <w:spacing w:val="4"/>
          <w:sz w:val="24"/>
        </w:rPr>
        <w:t>transferor</w:t>
      </w:r>
      <w:r>
        <w:rPr>
          <w:color w:val="231F20"/>
          <w:spacing w:val="9"/>
          <w:sz w:val="24"/>
        </w:rPr>
        <w:t xml:space="preserve"> </w:t>
      </w:r>
      <w:proofErr w:type="gramStart"/>
      <w:r>
        <w:rPr>
          <w:color w:val="231F20"/>
          <w:spacing w:val="3"/>
          <w:sz w:val="24"/>
        </w:rPr>
        <w:t>plan’s</w:t>
      </w:r>
      <w:r>
        <w:rPr>
          <w:color w:val="231F20"/>
          <w:spacing w:val="10"/>
          <w:sz w:val="24"/>
        </w:rPr>
        <w:t xml:space="preserve"> </w:t>
      </w:r>
      <w:r>
        <w:rPr>
          <w:color w:val="231F20"/>
          <w:spacing w:val="3"/>
          <w:sz w:val="24"/>
        </w:rPr>
        <w:t>controlled</w:t>
      </w:r>
      <w:proofErr w:type="gramEnd"/>
      <w:r>
        <w:rPr>
          <w:color w:val="231F20"/>
          <w:spacing w:val="10"/>
          <w:sz w:val="24"/>
        </w:rPr>
        <w:t xml:space="preserve"> </w:t>
      </w:r>
      <w:r>
        <w:rPr>
          <w:color w:val="231F20"/>
          <w:spacing w:val="3"/>
          <w:sz w:val="24"/>
        </w:rPr>
        <w:t>group;</w:t>
      </w:r>
      <w:r>
        <w:rPr>
          <w:color w:val="231F20"/>
          <w:spacing w:val="13"/>
          <w:sz w:val="24"/>
        </w:rPr>
        <w:t xml:space="preserve"> </w:t>
      </w:r>
      <w:r>
        <w:rPr>
          <w:color w:val="231F20"/>
          <w:spacing w:val="3"/>
          <w:sz w:val="24"/>
        </w:rPr>
        <w:t>and</w:t>
      </w:r>
    </w:p>
    <w:p w:rsidR="005D3966" w:rsidRDefault="005D3966" w14:paraId="4DA9F244" w14:textId="77777777">
      <w:pPr>
        <w:pStyle w:val="BodyText"/>
        <w:spacing w:before="10"/>
        <w:rPr>
          <w:sz w:val="25"/>
        </w:rPr>
      </w:pPr>
    </w:p>
    <w:p w:rsidR="005D3966" w:rsidRDefault="001C5FE1" w14:paraId="0BC00661" w14:textId="77777777">
      <w:pPr>
        <w:pStyle w:val="ListParagraph"/>
        <w:numPr>
          <w:ilvl w:val="0"/>
          <w:numId w:val="6"/>
        </w:numPr>
        <w:tabs>
          <w:tab w:val="left" w:pos="924"/>
          <w:tab w:val="left" w:pos="925"/>
        </w:tabs>
        <w:spacing w:line="249" w:lineRule="auto"/>
        <w:ind w:right="681" w:firstLine="0"/>
        <w:rPr>
          <w:sz w:val="24"/>
        </w:rPr>
      </w:pPr>
      <w:r>
        <w:rPr>
          <w:color w:val="231F20"/>
          <w:sz w:val="24"/>
        </w:rPr>
        <w:t>The amount of benefit liabilities transferred, in conjunction with other benefit liabilities transferred during the 12-month period ending on the date of the transfer, is 3 percent or more of</w:t>
      </w:r>
      <w:r>
        <w:rPr>
          <w:color w:val="231F20"/>
          <w:spacing w:val="-18"/>
          <w:sz w:val="24"/>
        </w:rPr>
        <w:t xml:space="preserve"> </w:t>
      </w:r>
      <w:r>
        <w:rPr>
          <w:color w:val="231F20"/>
          <w:sz w:val="24"/>
        </w:rPr>
        <w:t xml:space="preserve">the </w:t>
      </w:r>
      <w:r>
        <w:rPr>
          <w:color w:val="231F20"/>
          <w:spacing w:val="-3"/>
          <w:sz w:val="24"/>
        </w:rPr>
        <w:t xml:space="preserve">plan’s </w:t>
      </w:r>
      <w:r>
        <w:rPr>
          <w:color w:val="231F20"/>
          <w:sz w:val="24"/>
        </w:rPr>
        <w:t xml:space="preserve">total benefit liabilities. For this purpose, value both the benefit liabilities transferred and the </w:t>
      </w:r>
      <w:r>
        <w:rPr>
          <w:color w:val="231F20"/>
          <w:spacing w:val="-3"/>
          <w:sz w:val="24"/>
        </w:rPr>
        <w:t xml:space="preserve">plan’s </w:t>
      </w:r>
      <w:r>
        <w:rPr>
          <w:color w:val="231F20"/>
          <w:sz w:val="24"/>
        </w:rPr>
        <w:t xml:space="preserve">total benefit liabilities as of any one date in the plan </w:t>
      </w:r>
      <w:r>
        <w:rPr>
          <w:color w:val="231F20"/>
          <w:spacing w:val="-4"/>
          <w:sz w:val="24"/>
        </w:rPr>
        <w:t xml:space="preserve">year </w:t>
      </w:r>
      <w:r>
        <w:rPr>
          <w:color w:val="231F20"/>
          <w:sz w:val="24"/>
        </w:rPr>
        <w:t>in which the transfer occurs, using actuarial assumptions that comply with §414(l) of the</w:t>
      </w:r>
      <w:r>
        <w:rPr>
          <w:color w:val="231F20"/>
          <w:spacing w:val="-3"/>
          <w:sz w:val="24"/>
        </w:rPr>
        <w:t xml:space="preserve"> </w:t>
      </w:r>
      <w:r>
        <w:rPr>
          <w:color w:val="231F20"/>
          <w:sz w:val="24"/>
        </w:rPr>
        <w:t>Code.</w:t>
      </w:r>
    </w:p>
    <w:p w:rsidR="005D3966" w:rsidRDefault="005D3966" w14:paraId="60C16B63" w14:textId="77777777">
      <w:pPr>
        <w:pStyle w:val="BodyText"/>
        <w:spacing w:before="5"/>
      </w:pPr>
    </w:p>
    <w:p w:rsidR="005D3966" w:rsidRDefault="001C5FE1" w14:paraId="77419EFC" w14:textId="77777777">
      <w:pPr>
        <w:pStyle w:val="BodyText"/>
        <w:spacing w:line="249" w:lineRule="auto"/>
        <w:ind w:left="567" w:right="618"/>
        <w:jc w:val="both"/>
      </w:pPr>
      <w:r>
        <w:rPr>
          <w:color w:val="231F20"/>
        </w:rPr>
        <w:t xml:space="preserve">The </w:t>
      </w:r>
      <w:r>
        <w:rPr>
          <w:b/>
          <w:color w:val="231F20"/>
        </w:rPr>
        <w:t xml:space="preserve">date of a transfer </w:t>
      </w:r>
      <w:r>
        <w:rPr>
          <w:color w:val="231F20"/>
        </w:rPr>
        <w:t xml:space="preserve">of benefit liabilities is determined </w:t>
      </w:r>
      <w:proofErr w:type="gramStart"/>
      <w:r>
        <w:rPr>
          <w:color w:val="231F20"/>
        </w:rPr>
        <w:t>on the basis of</w:t>
      </w:r>
      <w:proofErr w:type="gramEnd"/>
      <w:r>
        <w:rPr>
          <w:color w:val="231F20"/>
        </w:rPr>
        <w:t xml:space="preserve"> the facts and circumstances of the particular situation. For transfers subject to section 414(l) of the Code, the date determined in accordance with section 414(l) of the Code and 26 CFR 1.414(l)-1(b)(11) will be considered the date of transfer.</w:t>
      </w:r>
    </w:p>
    <w:p w:rsidR="005D3966" w:rsidRDefault="005D3966" w14:paraId="2B7D2A93" w14:textId="77777777">
      <w:pPr>
        <w:pStyle w:val="BodyText"/>
        <w:spacing w:before="6"/>
        <w:rPr>
          <w:sz w:val="32"/>
        </w:rPr>
      </w:pPr>
    </w:p>
    <w:p w:rsidR="005D3966" w:rsidRDefault="001C5FE1" w14:paraId="7BD71B25" w14:textId="77777777">
      <w:pPr>
        <w:spacing w:line="247" w:lineRule="auto"/>
        <w:ind w:left="596" w:right="705"/>
        <w:rPr>
          <w:i/>
          <w:sz w:val="24"/>
        </w:rPr>
      </w:pPr>
      <w:r>
        <w:rPr>
          <w:i/>
          <w:color w:val="231F20"/>
          <w:sz w:val="24"/>
        </w:rPr>
        <w:t>Note: For purposes of this reportable event, the payment of a lump sum, or purchase of an irrevocable commitment to provide an annuity, in satisfaction of benefit liabilities is not considered a transfer of benefit liabilities.</w:t>
      </w:r>
    </w:p>
    <w:p w:rsidR="005D3966" w:rsidRDefault="005D3966" w14:paraId="0639612B" w14:textId="77777777">
      <w:pPr>
        <w:pStyle w:val="BodyText"/>
        <w:spacing w:before="8"/>
        <w:rPr>
          <w:i/>
          <w:sz w:val="33"/>
        </w:rPr>
      </w:pPr>
    </w:p>
    <w:p w:rsidR="005D3966" w:rsidRDefault="001C5FE1" w14:paraId="62515283" w14:textId="77777777">
      <w:pPr>
        <w:pStyle w:val="BodyText"/>
        <w:ind w:left="595" w:right="1146"/>
      </w:pPr>
      <w:r>
        <w:rPr>
          <w:b/>
          <w:color w:val="231F20"/>
        </w:rPr>
        <w:t xml:space="preserve">Reporting Waivers </w:t>
      </w:r>
      <w:r>
        <w:rPr>
          <w:color w:val="231F20"/>
        </w:rPr>
        <w:t>— Reporting of this event is waived under any of the following automatic waivers.</w:t>
      </w:r>
    </w:p>
    <w:p w:rsidR="005D3966" w:rsidRDefault="005D3966" w14:paraId="64D745A7" w14:textId="77777777">
      <w:pPr>
        <w:pStyle w:val="BodyText"/>
      </w:pPr>
    </w:p>
    <w:p w:rsidR="005D3966" w:rsidRDefault="001C5FE1" w14:paraId="3197FE3F" w14:textId="77777777">
      <w:pPr>
        <w:pStyle w:val="BodyText"/>
        <w:spacing w:before="1"/>
        <w:ind w:left="595" w:right="528"/>
      </w:pPr>
      <w:r>
        <w:rPr>
          <w:i/>
          <w:color w:val="231F20"/>
        </w:rPr>
        <w:t xml:space="preserve">Small plan. </w:t>
      </w:r>
      <w:r>
        <w:rPr>
          <w:color w:val="231F20"/>
        </w:rPr>
        <w:t>The plan had 100 or fewer participants for whom flat-rate premiums were payable for the plan year preceding the event year.</w:t>
      </w:r>
    </w:p>
    <w:p w:rsidR="005D3966" w:rsidRDefault="001C5FE1" w14:paraId="2F0183EA" w14:textId="77777777">
      <w:pPr>
        <w:pStyle w:val="BodyText"/>
        <w:spacing w:before="196" w:line="247" w:lineRule="auto"/>
        <w:ind w:left="595" w:right="973"/>
      </w:pPr>
      <w:r>
        <w:rPr>
          <w:i/>
        </w:rPr>
        <w:t xml:space="preserve">Low-default-risk. </w:t>
      </w:r>
      <w:r>
        <w:t>Each contributing sponsor of the plan and the highest-level U.S. parent of each contributing sponsor are low-default-risk on the date of the event.</w:t>
      </w:r>
    </w:p>
    <w:p w:rsidR="005D3966" w:rsidRDefault="005D3966" w14:paraId="682E775B" w14:textId="77777777">
      <w:pPr>
        <w:pStyle w:val="BodyText"/>
        <w:spacing w:before="3"/>
      </w:pPr>
    </w:p>
    <w:p w:rsidR="005D3966" w:rsidRDefault="001C5FE1" w14:paraId="59A5C59C" w14:textId="77777777">
      <w:pPr>
        <w:ind w:left="1171"/>
        <w:rPr>
          <w:i/>
          <w:sz w:val="24"/>
        </w:rPr>
      </w:pPr>
      <w:r>
        <w:rPr>
          <w:i/>
          <w:color w:val="231F20"/>
          <w:sz w:val="24"/>
        </w:rPr>
        <w:t>Special Note for Low-default risk waiver:</w:t>
      </w:r>
    </w:p>
    <w:p w:rsidR="005D3966" w:rsidRDefault="005D3966" w14:paraId="479ACC8F" w14:textId="77777777">
      <w:pPr>
        <w:pStyle w:val="BodyText"/>
        <w:rPr>
          <w:i/>
        </w:rPr>
      </w:pPr>
    </w:p>
    <w:p w:rsidR="005D3966" w:rsidRDefault="001C5FE1" w14:paraId="18A67074" w14:textId="77777777">
      <w:pPr>
        <w:ind w:left="1171"/>
        <w:rPr>
          <w:i/>
          <w:sz w:val="24"/>
        </w:rPr>
      </w:pPr>
      <w:r>
        <w:rPr>
          <w:i/>
          <w:color w:val="231F20"/>
          <w:sz w:val="24"/>
        </w:rPr>
        <w:t>For reporting to be waived for an event to which the safe harbor applies, both the contributing</w:t>
      </w:r>
    </w:p>
    <w:p w:rsidR="005D3966" w:rsidRDefault="005D3966" w14:paraId="4434D833" w14:textId="77777777">
      <w:pPr>
        <w:rPr>
          <w:sz w:val="24"/>
        </w:rPr>
        <w:sectPr w:rsidR="005D3966">
          <w:pgSz w:w="12240" w:h="15840"/>
          <w:pgMar w:top="1060" w:right="660" w:bottom="720" w:left="700" w:header="318" w:footer="530" w:gutter="0"/>
          <w:cols w:space="720"/>
        </w:sectPr>
      </w:pPr>
    </w:p>
    <w:p w:rsidR="005D3966" w:rsidRDefault="001C5FE1" w14:paraId="3A56F000" w14:textId="77777777">
      <w:pPr>
        <w:spacing w:before="88"/>
        <w:ind w:left="1171" w:right="592"/>
        <w:rPr>
          <w:i/>
          <w:sz w:val="24"/>
        </w:rPr>
      </w:pPr>
      <w:r>
        <w:rPr>
          <w:i/>
          <w:color w:val="231F20"/>
          <w:sz w:val="24"/>
        </w:rPr>
        <w:lastRenderedPageBreak/>
        <w:t>sponsor and the highest-level U.S. parent of the contributing sponsor must satisfy the company low-default-risk safe harbor.</w:t>
      </w:r>
    </w:p>
    <w:p w:rsidR="005D3966" w:rsidRDefault="005D3966" w14:paraId="3441F0D0" w14:textId="77777777">
      <w:pPr>
        <w:pStyle w:val="BodyText"/>
        <w:rPr>
          <w:i/>
        </w:rPr>
      </w:pPr>
    </w:p>
    <w:p w:rsidR="005D3966" w:rsidRDefault="001C5FE1" w14:paraId="60C039F8" w14:textId="77777777">
      <w:pPr>
        <w:ind w:left="1171" w:right="502"/>
        <w:rPr>
          <w:i/>
          <w:sz w:val="24"/>
        </w:rPr>
      </w:pPr>
      <w:r>
        <w:rPr>
          <w:i/>
          <w:color w:val="231F20"/>
          <w:sz w:val="24"/>
        </w:rPr>
        <w:t>A company is to determine whether it qualifies for the low-default-risk safe harbor once during an annual financial reporting cycle (on a “financial information date”). If it qualifies on that financial information date, its qualification remains in place throughout a “safe harbor period” that ends 13 months later or on the next financial information date (if earlier).</w:t>
      </w:r>
      <w:hyperlink w:history="1" w:anchor="_bookmark5">
        <w:r>
          <w:rPr>
            <w:i/>
            <w:color w:val="231F20"/>
            <w:sz w:val="24"/>
            <w:vertAlign w:val="superscript"/>
          </w:rPr>
          <w:t>6</w:t>
        </w:r>
      </w:hyperlink>
      <w:r>
        <w:rPr>
          <w:i/>
          <w:color w:val="231F20"/>
          <w:sz w:val="24"/>
        </w:rPr>
        <w:t xml:space="preserve"> If it does not qualify, </w:t>
      </w:r>
      <w:proofErr w:type="gramStart"/>
      <w:r>
        <w:rPr>
          <w:i/>
          <w:color w:val="231F20"/>
          <w:sz w:val="24"/>
        </w:rPr>
        <w:t>its  non</w:t>
      </w:r>
      <w:proofErr w:type="gramEnd"/>
      <w:r>
        <w:rPr>
          <w:i/>
          <w:color w:val="231F20"/>
          <w:sz w:val="24"/>
        </w:rPr>
        <w:t>-qualified  status  remains in place until the  next  financial information date. The financial information date is the date annual financial statements are filed with the SEC or the closing date of the annual accounting cycle. If audited financial information is not available, the date is the date the company files its annual federal income</w:t>
      </w:r>
      <w:r>
        <w:rPr>
          <w:i/>
          <w:color w:val="231F20"/>
          <w:spacing w:val="-19"/>
          <w:sz w:val="24"/>
        </w:rPr>
        <w:t xml:space="preserve"> </w:t>
      </w:r>
      <w:r>
        <w:rPr>
          <w:i/>
          <w:color w:val="231F20"/>
          <w:sz w:val="24"/>
        </w:rPr>
        <w:t xml:space="preserve">tax returns or IRS Form 990. If an </w:t>
      </w:r>
      <w:r>
        <w:rPr>
          <w:i/>
          <w:color w:val="231F20"/>
          <w:spacing w:val="-3"/>
          <w:sz w:val="24"/>
        </w:rPr>
        <w:t xml:space="preserve">accountant’s </w:t>
      </w:r>
      <w:r>
        <w:rPr>
          <w:i/>
          <w:color w:val="231F20"/>
          <w:sz w:val="24"/>
        </w:rPr>
        <w:t>audit or review report expresses a material adverse view or qualification, the company will not satisfy the low-default-risk standard for the safe</w:t>
      </w:r>
      <w:r>
        <w:rPr>
          <w:i/>
          <w:color w:val="231F20"/>
          <w:spacing w:val="-16"/>
          <w:sz w:val="24"/>
        </w:rPr>
        <w:t xml:space="preserve"> </w:t>
      </w:r>
      <w:r>
        <w:rPr>
          <w:i/>
          <w:color w:val="231F20"/>
          <w:spacing w:val="-5"/>
          <w:sz w:val="24"/>
        </w:rPr>
        <w:t>harbor.</w:t>
      </w:r>
    </w:p>
    <w:p w:rsidR="005D3966" w:rsidRDefault="005D3966" w14:paraId="497CDA33" w14:textId="77777777">
      <w:pPr>
        <w:pStyle w:val="BodyText"/>
        <w:spacing w:before="9"/>
        <w:rPr>
          <w:i/>
        </w:rPr>
      </w:pPr>
    </w:p>
    <w:p w:rsidR="005D3966" w:rsidRDefault="001C5FE1" w14:paraId="55CBC113" w14:textId="77777777">
      <w:pPr>
        <w:spacing w:before="1"/>
        <w:ind w:left="634"/>
      </w:pPr>
      <w:r>
        <w:rPr>
          <w:i/>
          <w:color w:val="231F20"/>
          <w:sz w:val="24"/>
        </w:rPr>
        <w:t xml:space="preserve">Well-funded plan. </w:t>
      </w:r>
      <w:r>
        <w:rPr>
          <w:color w:val="231F20"/>
          <w:sz w:val="24"/>
        </w:rPr>
        <w:t xml:space="preserve">The plan is in the well-funded </w:t>
      </w:r>
      <w:r>
        <w:rPr>
          <w:color w:val="231F20"/>
        </w:rPr>
        <w:t>plan safe harbor for the event year.</w:t>
      </w:r>
    </w:p>
    <w:p w:rsidR="005D3966" w:rsidRDefault="005D3966" w14:paraId="04BADAFC" w14:textId="77777777">
      <w:pPr>
        <w:pStyle w:val="BodyText"/>
        <w:spacing w:before="7"/>
        <w:rPr>
          <w:sz w:val="25"/>
        </w:rPr>
      </w:pPr>
    </w:p>
    <w:p w:rsidR="005D3966" w:rsidRDefault="001C5FE1" w14:paraId="0F6FAA4D" w14:textId="77777777">
      <w:pPr>
        <w:pStyle w:val="BodyText"/>
        <w:spacing w:line="249" w:lineRule="auto"/>
        <w:ind w:left="634" w:right="602"/>
      </w:pPr>
      <w:r>
        <w:rPr>
          <w:i/>
          <w:color w:val="231F20"/>
        </w:rPr>
        <w:t xml:space="preserve">Public company. </w:t>
      </w:r>
      <w:r>
        <w:rPr>
          <w:color w:val="231F20"/>
        </w:rPr>
        <w:t>Any contributing sponsor of the plan before the transaction, or the parent company within a parent-subsidiary controlled group of any such contributing sponsor, is a public company and timely files a SEC Form 8-K disclosing the event under an item of the Form 8-K other than under Item 2.02 (Results of Operations and Financial Condition) or in financial statements under Item 9.01 (Financial Statements and Exhibits).</w:t>
      </w:r>
    </w:p>
    <w:p w:rsidR="005D3966" w:rsidRDefault="005D3966" w14:paraId="49E4FAA7" w14:textId="77777777">
      <w:pPr>
        <w:pStyle w:val="BodyText"/>
        <w:spacing w:before="8"/>
      </w:pPr>
    </w:p>
    <w:p w:rsidR="005D3966" w:rsidRDefault="001C5FE1" w14:paraId="7070B8B9" w14:textId="77777777">
      <w:pPr>
        <w:ind w:left="572"/>
        <w:rPr>
          <w:i/>
          <w:sz w:val="24"/>
        </w:rPr>
      </w:pPr>
      <w:r>
        <w:rPr>
          <w:i/>
          <w:color w:val="231F20"/>
          <w:sz w:val="24"/>
        </w:rPr>
        <w:t>Note: Disclosing the following information is sufficient for the public company waiver to apply:</w:t>
      </w:r>
    </w:p>
    <w:p w:rsidR="005D3966" w:rsidRDefault="001C5FE1" w14:paraId="2F6B8C2A" w14:textId="77777777">
      <w:pPr>
        <w:pStyle w:val="ListParagraph"/>
        <w:numPr>
          <w:ilvl w:val="0"/>
          <w:numId w:val="5"/>
        </w:numPr>
        <w:tabs>
          <w:tab w:val="left" w:pos="1291"/>
          <w:tab w:val="left" w:pos="1292"/>
        </w:tabs>
        <w:spacing w:before="11"/>
        <w:ind w:hanging="361"/>
        <w:rPr>
          <w:sz w:val="24"/>
        </w:rPr>
      </w:pPr>
      <w:r>
        <w:rPr>
          <w:color w:val="231F20"/>
          <w:sz w:val="24"/>
        </w:rPr>
        <w:t>Plan</w:t>
      </w:r>
      <w:r>
        <w:rPr>
          <w:color w:val="231F20"/>
          <w:spacing w:val="-1"/>
          <w:sz w:val="24"/>
        </w:rPr>
        <w:t xml:space="preserve"> </w:t>
      </w:r>
      <w:r>
        <w:rPr>
          <w:color w:val="231F20"/>
          <w:sz w:val="24"/>
        </w:rPr>
        <w:t>Name.</w:t>
      </w:r>
    </w:p>
    <w:p w:rsidR="005D3966" w:rsidRDefault="001C5FE1" w14:paraId="4BED03F2" w14:textId="77777777">
      <w:pPr>
        <w:pStyle w:val="ListParagraph"/>
        <w:numPr>
          <w:ilvl w:val="0"/>
          <w:numId w:val="5"/>
        </w:numPr>
        <w:tabs>
          <w:tab w:val="left" w:pos="1291"/>
          <w:tab w:val="left" w:pos="1292"/>
        </w:tabs>
        <w:spacing w:before="9"/>
        <w:ind w:hanging="361"/>
        <w:rPr>
          <w:sz w:val="24"/>
        </w:rPr>
      </w:pPr>
      <w:r>
        <w:rPr>
          <w:color w:val="231F20"/>
          <w:sz w:val="24"/>
        </w:rPr>
        <w:t>Date of the</w:t>
      </w:r>
      <w:r>
        <w:rPr>
          <w:color w:val="231F20"/>
          <w:spacing w:val="-2"/>
          <w:sz w:val="24"/>
        </w:rPr>
        <w:t xml:space="preserve"> </w:t>
      </w:r>
      <w:r>
        <w:rPr>
          <w:color w:val="231F20"/>
          <w:sz w:val="24"/>
        </w:rPr>
        <w:t>event.</w:t>
      </w:r>
    </w:p>
    <w:p w:rsidR="005D3966" w:rsidRDefault="001C5FE1" w14:paraId="5EBD28D7" w14:textId="77777777">
      <w:pPr>
        <w:pStyle w:val="ListParagraph"/>
        <w:numPr>
          <w:ilvl w:val="0"/>
          <w:numId w:val="5"/>
        </w:numPr>
        <w:tabs>
          <w:tab w:val="left" w:pos="1291"/>
          <w:tab w:val="left" w:pos="1292"/>
        </w:tabs>
        <w:spacing w:before="11"/>
        <w:ind w:hanging="361"/>
        <w:rPr>
          <w:sz w:val="24"/>
        </w:rPr>
      </w:pPr>
      <w:r>
        <w:rPr>
          <w:color w:val="231F20"/>
          <w:sz w:val="24"/>
        </w:rPr>
        <w:t>Type of</w:t>
      </w:r>
      <w:r>
        <w:rPr>
          <w:color w:val="231F20"/>
          <w:spacing w:val="-3"/>
          <w:sz w:val="24"/>
        </w:rPr>
        <w:t xml:space="preserve"> </w:t>
      </w:r>
      <w:r>
        <w:rPr>
          <w:color w:val="231F20"/>
          <w:sz w:val="24"/>
        </w:rPr>
        <w:t>event.</w:t>
      </w:r>
    </w:p>
    <w:p w:rsidR="005D3966" w:rsidRDefault="001C5FE1" w14:paraId="19D4965A" w14:textId="77777777">
      <w:pPr>
        <w:pStyle w:val="ListParagraph"/>
        <w:numPr>
          <w:ilvl w:val="0"/>
          <w:numId w:val="5"/>
        </w:numPr>
        <w:tabs>
          <w:tab w:val="left" w:pos="1291"/>
          <w:tab w:val="left" w:pos="1292"/>
        </w:tabs>
        <w:spacing w:before="8"/>
        <w:ind w:hanging="361"/>
        <w:rPr>
          <w:sz w:val="24"/>
        </w:rPr>
      </w:pPr>
      <w:r>
        <w:rPr>
          <w:color w:val="231F20"/>
          <w:sz w:val="24"/>
        </w:rPr>
        <w:t>Brief description of the pertinent facts relating to the</w:t>
      </w:r>
      <w:r>
        <w:rPr>
          <w:color w:val="231F20"/>
          <w:spacing w:val="-6"/>
          <w:sz w:val="24"/>
        </w:rPr>
        <w:t xml:space="preserve"> </w:t>
      </w:r>
      <w:r>
        <w:rPr>
          <w:color w:val="231F20"/>
          <w:sz w:val="24"/>
        </w:rPr>
        <w:t>event.</w:t>
      </w:r>
    </w:p>
    <w:p w:rsidR="005D3966" w:rsidRDefault="001C5FE1" w14:paraId="0B98B0CC" w14:textId="77777777">
      <w:pPr>
        <w:pStyle w:val="ListParagraph"/>
        <w:numPr>
          <w:ilvl w:val="0"/>
          <w:numId w:val="5"/>
        </w:numPr>
        <w:tabs>
          <w:tab w:val="left" w:pos="1291"/>
          <w:tab w:val="left" w:pos="1292"/>
        </w:tabs>
        <w:spacing w:before="11"/>
        <w:ind w:hanging="361"/>
        <w:rPr>
          <w:sz w:val="24"/>
        </w:rPr>
      </w:pPr>
      <w:r>
        <w:rPr>
          <w:color w:val="231F20"/>
          <w:sz w:val="24"/>
        </w:rPr>
        <w:t>Name, contributing sponsor, and EIN/PN of the transferee</w:t>
      </w:r>
      <w:r>
        <w:rPr>
          <w:color w:val="231F20"/>
          <w:spacing w:val="-6"/>
          <w:sz w:val="24"/>
        </w:rPr>
        <w:t xml:space="preserve"> </w:t>
      </w:r>
      <w:r>
        <w:rPr>
          <w:color w:val="231F20"/>
          <w:sz w:val="24"/>
        </w:rPr>
        <w:t>plan.</w:t>
      </w:r>
    </w:p>
    <w:p w:rsidR="005D3966" w:rsidRDefault="001C5FE1" w14:paraId="7BC33B20" w14:textId="77777777">
      <w:pPr>
        <w:pStyle w:val="ListParagraph"/>
        <w:numPr>
          <w:ilvl w:val="0"/>
          <w:numId w:val="5"/>
        </w:numPr>
        <w:tabs>
          <w:tab w:val="left" w:pos="1291"/>
          <w:tab w:val="left" w:pos="1292"/>
        </w:tabs>
        <w:spacing w:before="8"/>
        <w:ind w:hanging="361"/>
        <w:rPr>
          <w:sz w:val="24"/>
        </w:rPr>
      </w:pPr>
      <w:r>
        <w:rPr>
          <w:color w:val="231F20"/>
          <w:sz w:val="24"/>
        </w:rPr>
        <w:t>Name of the transferor plan and its plan administrator or contributing</w:t>
      </w:r>
      <w:r>
        <w:rPr>
          <w:color w:val="231F20"/>
          <w:spacing w:val="-8"/>
          <w:sz w:val="24"/>
        </w:rPr>
        <w:t xml:space="preserve"> </w:t>
      </w:r>
      <w:r>
        <w:rPr>
          <w:color w:val="231F20"/>
          <w:sz w:val="24"/>
        </w:rPr>
        <w:t>sponsor.</w:t>
      </w:r>
    </w:p>
    <w:p w:rsidR="005D3966" w:rsidRDefault="001C5FE1" w14:paraId="0BC04399" w14:textId="77777777">
      <w:pPr>
        <w:pStyle w:val="ListParagraph"/>
        <w:numPr>
          <w:ilvl w:val="0"/>
          <w:numId w:val="5"/>
        </w:numPr>
        <w:tabs>
          <w:tab w:val="left" w:pos="1291"/>
          <w:tab w:val="left" w:pos="1292"/>
        </w:tabs>
        <w:spacing w:before="11" w:line="244" w:lineRule="auto"/>
        <w:ind w:left="1291" w:right="946"/>
        <w:rPr>
          <w:sz w:val="24"/>
        </w:rPr>
      </w:pPr>
      <w:r>
        <w:rPr>
          <w:color w:val="231F20"/>
          <w:sz w:val="24"/>
        </w:rPr>
        <w:t xml:space="preserve">Description of the transferor </w:t>
      </w:r>
      <w:proofErr w:type="gramStart"/>
      <w:r>
        <w:rPr>
          <w:color w:val="231F20"/>
          <w:sz w:val="24"/>
        </w:rPr>
        <w:t>plan’s controlled</w:t>
      </w:r>
      <w:proofErr w:type="gramEnd"/>
      <w:r>
        <w:rPr>
          <w:color w:val="231F20"/>
          <w:sz w:val="24"/>
        </w:rPr>
        <w:t xml:space="preserve"> group structure, including the name of</w:t>
      </w:r>
      <w:r>
        <w:rPr>
          <w:color w:val="231F20"/>
          <w:spacing w:val="-20"/>
          <w:sz w:val="24"/>
        </w:rPr>
        <w:t xml:space="preserve"> </w:t>
      </w:r>
      <w:r>
        <w:rPr>
          <w:color w:val="231F20"/>
          <w:sz w:val="24"/>
        </w:rPr>
        <w:t>each controlled group</w:t>
      </w:r>
      <w:r>
        <w:rPr>
          <w:color w:val="231F20"/>
          <w:spacing w:val="-1"/>
          <w:sz w:val="24"/>
        </w:rPr>
        <w:t xml:space="preserve"> </w:t>
      </w:r>
      <w:r>
        <w:rPr>
          <w:color w:val="231F20"/>
          <w:sz w:val="24"/>
        </w:rPr>
        <w:t>member.</w:t>
      </w:r>
    </w:p>
    <w:p w:rsidR="005D3966" w:rsidRDefault="005D3966" w14:paraId="69EDF98E" w14:textId="77777777">
      <w:pPr>
        <w:pStyle w:val="BodyText"/>
        <w:spacing w:before="8"/>
        <w:rPr>
          <w:sz w:val="33"/>
        </w:rPr>
      </w:pPr>
    </w:p>
    <w:p w:rsidR="005D3966" w:rsidRDefault="001C5FE1" w14:paraId="698BA688" w14:textId="77777777">
      <w:pPr>
        <w:pStyle w:val="Heading1"/>
        <w:numPr>
          <w:ilvl w:val="0"/>
          <w:numId w:val="4"/>
        </w:numPr>
        <w:tabs>
          <w:tab w:val="left" w:pos="989"/>
          <w:tab w:val="left" w:pos="990"/>
        </w:tabs>
      </w:pPr>
      <w:bookmarkStart w:name="I._Application_for_Minimum_Funding_Waive" w:id="27"/>
      <w:bookmarkEnd w:id="27"/>
      <w:r>
        <w:rPr>
          <w:color w:val="231F20"/>
        </w:rPr>
        <w:t>Application for Minimum Funding</w:t>
      </w:r>
      <w:r>
        <w:rPr>
          <w:color w:val="231F20"/>
          <w:spacing w:val="23"/>
        </w:rPr>
        <w:t xml:space="preserve"> </w:t>
      </w:r>
      <w:r>
        <w:rPr>
          <w:color w:val="231F20"/>
          <w:spacing w:val="-3"/>
        </w:rPr>
        <w:t>Waiver</w:t>
      </w:r>
    </w:p>
    <w:p w:rsidR="005D3966" w:rsidRDefault="001C5FE1" w14:paraId="2D80A977" w14:textId="77777777">
      <w:pPr>
        <w:pStyle w:val="BodyText"/>
        <w:spacing w:before="78"/>
        <w:ind w:left="708"/>
      </w:pPr>
      <w:r>
        <w:rPr>
          <w:color w:val="231F20"/>
        </w:rPr>
        <w:t>(see 29 CFR 4043.33)</w:t>
      </w:r>
    </w:p>
    <w:p w:rsidR="005D3966" w:rsidRDefault="005D3966" w14:paraId="3BF20FF3" w14:textId="77777777">
      <w:pPr>
        <w:pStyle w:val="BodyText"/>
        <w:spacing w:before="7"/>
        <w:rPr>
          <w:sz w:val="25"/>
        </w:rPr>
      </w:pPr>
    </w:p>
    <w:p w:rsidR="005D3966" w:rsidRDefault="001C5FE1" w14:paraId="505AAF53" w14:textId="77777777">
      <w:pPr>
        <w:pStyle w:val="BodyText"/>
        <w:spacing w:before="1" w:line="247" w:lineRule="auto"/>
        <w:ind w:left="641" w:right="1141"/>
      </w:pPr>
      <w:r>
        <w:rPr>
          <w:b/>
          <w:color w:val="231F20"/>
        </w:rPr>
        <w:t xml:space="preserve">Definition of Event </w:t>
      </w:r>
      <w:r>
        <w:rPr>
          <w:color w:val="231F20"/>
        </w:rPr>
        <w:t>— A reportable event occurs when an application for a minimum funding waiver is submitted for a plan under section 302(c) of ERISA or section 412(c) of the Code.</w:t>
      </w:r>
    </w:p>
    <w:p w:rsidR="005D3966" w:rsidRDefault="005D3966" w14:paraId="4204D905" w14:textId="77777777">
      <w:pPr>
        <w:pStyle w:val="BodyText"/>
        <w:spacing w:before="4"/>
        <w:rPr>
          <w:sz w:val="25"/>
        </w:rPr>
      </w:pPr>
    </w:p>
    <w:p w:rsidR="005D3966" w:rsidRDefault="001C5FE1" w14:paraId="4F0674CD" w14:textId="77777777">
      <w:pPr>
        <w:pStyle w:val="Heading1"/>
        <w:numPr>
          <w:ilvl w:val="0"/>
          <w:numId w:val="4"/>
        </w:numPr>
        <w:tabs>
          <w:tab w:val="left" w:pos="1004"/>
        </w:tabs>
        <w:ind w:left="1004" w:hanging="363"/>
      </w:pPr>
      <w:bookmarkStart w:name="J._Loan_Default" w:id="28"/>
      <w:bookmarkEnd w:id="28"/>
      <w:r>
        <w:rPr>
          <w:color w:val="231F20"/>
        </w:rPr>
        <w:t>Loan</w:t>
      </w:r>
      <w:r>
        <w:rPr>
          <w:color w:val="231F20"/>
          <w:spacing w:val="-11"/>
        </w:rPr>
        <w:t xml:space="preserve"> </w:t>
      </w:r>
      <w:r>
        <w:rPr>
          <w:color w:val="231F20"/>
        </w:rPr>
        <w:t>Default</w:t>
      </w:r>
    </w:p>
    <w:p w:rsidR="005D3966" w:rsidRDefault="001C5FE1" w14:paraId="45BBAA19" w14:textId="77777777">
      <w:pPr>
        <w:pStyle w:val="BodyText"/>
        <w:spacing w:before="8"/>
        <w:ind w:left="641"/>
      </w:pPr>
      <w:r>
        <w:rPr>
          <w:color w:val="231F20"/>
        </w:rPr>
        <w:t>(see 29 CFR 4043.34)</w:t>
      </w:r>
    </w:p>
    <w:p w:rsidR="005D3966" w:rsidRDefault="005D3966" w14:paraId="4B7961D0" w14:textId="77777777">
      <w:pPr>
        <w:pStyle w:val="BodyText"/>
        <w:spacing w:before="10"/>
        <w:rPr>
          <w:sz w:val="25"/>
        </w:rPr>
      </w:pPr>
    </w:p>
    <w:p w:rsidR="005D3966" w:rsidRDefault="001C5FE1" w14:paraId="0AAA5583" w14:textId="77777777">
      <w:pPr>
        <w:pStyle w:val="BodyText"/>
        <w:spacing w:before="1" w:line="247" w:lineRule="auto"/>
        <w:ind w:left="641"/>
      </w:pPr>
      <w:r>
        <w:rPr>
          <w:b/>
          <w:color w:val="231F20"/>
        </w:rPr>
        <w:t xml:space="preserve">Definition of Event </w:t>
      </w:r>
      <w:r>
        <w:rPr>
          <w:color w:val="231F20"/>
        </w:rPr>
        <w:t xml:space="preserve">— A reportable event occurs for a plan when, with respect to a loan with an outstanding balance of $10 million or more to a member of the </w:t>
      </w:r>
      <w:proofErr w:type="gramStart"/>
      <w:r>
        <w:rPr>
          <w:color w:val="231F20"/>
        </w:rPr>
        <w:t>plan’s controlled</w:t>
      </w:r>
      <w:proofErr w:type="gramEnd"/>
      <w:r>
        <w:rPr>
          <w:color w:val="231F20"/>
        </w:rPr>
        <w:t xml:space="preserve"> group:</w:t>
      </w:r>
    </w:p>
    <w:p w:rsidR="005D3966" w:rsidRDefault="005D3966" w14:paraId="439F3A1D" w14:textId="77777777">
      <w:pPr>
        <w:pStyle w:val="BodyText"/>
        <w:rPr>
          <w:sz w:val="20"/>
        </w:rPr>
      </w:pPr>
    </w:p>
    <w:p w:rsidR="005D3966" w:rsidRDefault="004C650B" w14:paraId="4E8534DD" w14:textId="77777777">
      <w:pPr>
        <w:pStyle w:val="BodyText"/>
        <w:spacing w:before="6"/>
        <w:rPr>
          <w:sz w:val="17"/>
        </w:rPr>
      </w:pPr>
      <w:r>
        <w:pict w14:anchorId="5E69B36B">
          <v:rect id="_x0000_s1027" style="position:absolute;margin-left:57.6pt;margin-top:12.05pt;width:2in;height:.6pt;z-index:-15725056;mso-wrap-distance-left:0;mso-wrap-distance-right:0;mso-position-horizontal-relative:page" fillcolor="black" stroked="f">
            <w10:wrap type="topAndBottom" anchorx="page"/>
          </v:rect>
        </w:pict>
      </w:r>
    </w:p>
    <w:p w:rsidR="005D3966" w:rsidRDefault="001C5FE1" w14:paraId="6749E351" w14:textId="77777777">
      <w:pPr>
        <w:spacing w:before="65"/>
        <w:ind w:left="452"/>
        <w:rPr>
          <w:sz w:val="20"/>
        </w:rPr>
      </w:pPr>
      <w:bookmarkStart w:name="_bookmark5" w:id="29"/>
      <w:bookmarkEnd w:id="29"/>
      <w:r>
        <w:rPr>
          <w:sz w:val="20"/>
          <w:vertAlign w:val="superscript"/>
        </w:rPr>
        <w:t>6</w:t>
      </w:r>
      <w:r>
        <w:rPr>
          <w:sz w:val="20"/>
        </w:rPr>
        <w:t xml:space="preserve"> Thirteen months allows for some variation from year to year on the date that annual financials are reported.</w:t>
      </w:r>
    </w:p>
    <w:p w:rsidR="005D3966" w:rsidRDefault="005D3966" w14:paraId="18A27CE2" w14:textId="77777777">
      <w:pPr>
        <w:rPr>
          <w:sz w:val="20"/>
        </w:rPr>
        <w:sectPr w:rsidR="005D3966">
          <w:pgSz w:w="12240" w:h="15840"/>
          <w:pgMar w:top="1060" w:right="660" w:bottom="720" w:left="700" w:header="318" w:footer="530" w:gutter="0"/>
          <w:cols w:space="720"/>
        </w:sectPr>
      </w:pPr>
    </w:p>
    <w:p w:rsidR="005D3966" w:rsidRDefault="001C5FE1" w14:paraId="2C9DB781" w14:textId="77777777">
      <w:pPr>
        <w:pStyle w:val="ListParagraph"/>
        <w:numPr>
          <w:ilvl w:val="0"/>
          <w:numId w:val="3"/>
        </w:numPr>
        <w:tabs>
          <w:tab w:val="left" w:pos="942"/>
        </w:tabs>
        <w:spacing w:before="90"/>
        <w:rPr>
          <w:sz w:val="24"/>
        </w:rPr>
      </w:pPr>
      <w:r>
        <w:rPr>
          <w:color w:val="231F20"/>
          <w:sz w:val="24"/>
        </w:rPr>
        <w:lastRenderedPageBreak/>
        <w:t>There is an acceleration of payment or a default under the loan agreement;</w:t>
      </w:r>
      <w:r>
        <w:rPr>
          <w:color w:val="231F20"/>
          <w:spacing w:val="-8"/>
          <w:sz w:val="24"/>
        </w:rPr>
        <w:t xml:space="preserve"> </w:t>
      </w:r>
      <w:r>
        <w:rPr>
          <w:color w:val="231F20"/>
          <w:sz w:val="24"/>
        </w:rPr>
        <w:t>or</w:t>
      </w:r>
    </w:p>
    <w:p w:rsidR="005D3966" w:rsidRDefault="005D3966" w14:paraId="39959BB1" w14:textId="77777777">
      <w:pPr>
        <w:pStyle w:val="BodyText"/>
        <w:spacing w:before="10"/>
        <w:rPr>
          <w:sz w:val="25"/>
        </w:rPr>
      </w:pPr>
    </w:p>
    <w:p w:rsidR="005D3966" w:rsidRDefault="001C5FE1" w14:paraId="3B82A83F" w14:textId="77777777">
      <w:pPr>
        <w:pStyle w:val="ListParagraph"/>
        <w:numPr>
          <w:ilvl w:val="0"/>
          <w:numId w:val="3"/>
        </w:numPr>
        <w:tabs>
          <w:tab w:val="left" w:pos="913"/>
        </w:tabs>
        <w:spacing w:line="247" w:lineRule="auto"/>
        <w:ind w:left="639" w:right="617" w:firstLine="0"/>
        <w:rPr>
          <w:sz w:val="24"/>
        </w:rPr>
      </w:pPr>
      <w:r>
        <w:rPr>
          <w:color w:val="231F20"/>
          <w:sz w:val="24"/>
        </w:rPr>
        <w:t>The lender waives or agrees to an amendment of any covenant in the loan agreement the effect</w:t>
      </w:r>
      <w:r>
        <w:rPr>
          <w:color w:val="231F20"/>
          <w:spacing w:val="-17"/>
          <w:sz w:val="24"/>
        </w:rPr>
        <w:t xml:space="preserve"> </w:t>
      </w:r>
      <w:r>
        <w:rPr>
          <w:color w:val="231F20"/>
          <w:sz w:val="24"/>
        </w:rPr>
        <w:t>of which is to cure or avoid a breach that would trigger a</w:t>
      </w:r>
      <w:r>
        <w:rPr>
          <w:color w:val="231F20"/>
          <w:spacing w:val="-5"/>
          <w:sz w:val="24"/>
        </w:rPr>
        <w:t xml:space="preserve"> </w:t>
      </w:r>
      <w:r>
        <w:rPr>
          <w:color w:val="231F20"/>
          <w:sz w:val="24"/>
        </w:rPr>
        <w:t>default.</w:t>
      </w:r>
    </w:p>
    <w:p w:rsidR="005D3966" w:rsidRDefault="005D3966" w14:paraId="1E7D55A6" w14:textId="77777777">
      <w:pPr>
        <w:pStyle w:val="BodyText"/>
        <w:spacing w:before="3"/>
        <w:rPr>
          <w:sz w:val="25"/>
        </w:rPr>
      </w:pPr>
    </w:p>
    <w:p w:rsidR="005D3966" w:rsidRDefault="001C5FE1" w14:paraId="494B9633" w14:textId="77777777">
      <w:pPr>
        <w:spacing w:line="249" w:lineRule="auto"/>
        <w:ind w:left="639" w:right="902"/>
        <w:rPr>
          <w:i/>
          <w:sz w:val="24"/>
        </w:rPr>
      </w:pPr>
      <w:r>
        <w:rPr>
          <w:i/>
          <w:color w:val="231F20"/>
          <w:sz w:val="24"/>
        </w:rPr>
        <w:t>Note – A default on a loan between controlled group members is not excluded from the reporting requirement.</w:t>
      </w:r>
    </w:p>
    <w:p w:rsidR="005D3966" w:rsidRDefault="005D3966" w14:paraId="73CDF4A5" w14:textId="77777777">
      <w:pPr>
        <w:pStyle w:val="BodyText"/>
        <w:rPr>
          <w:i/>
          <w:sz w:val="25"/>
        </w:rPr>
      </w:pPr>
    </w:p>
    <w:p w:rsidR="005D3966" w:rsidRDefault="001C5FE1" w14:paraId="3F2F6124" w14:textId="77777777">
      <w:pPr>
        <w:pStyle w:val="BodyText"/>
        <w:spacing w:before="1" w:line="247" w:lineRule="auto"/>
        <w:ind w:left="639" w:right="1102"/>
      </w:pPr>
      <w:r>
        <w:rPr>
          <w:b/>
          <w:color w:val="231F20"/>
        </w:rPr>
        <w:t xml:space="preserve">Reporting Waivers </w:t>
      </w:r>
      <w:r>
        <w:rPr>
          <w:color w:val="231F20"/>
        </w:rPr>
        <w:t>— Reporting of this event is waived under any of the following automatic waivers.</w:t>
      </w:r>
    </w:p>
    <w:p w:rsidR="005D3966" w:rsidRDefault="005D3966" w14:paraId="17AE7E05" w14:textId="77777777">
      <w:pPr>
        <w:pStyle w:val="BodyText"/>
        <w:spacing w:before="5"/>
        <w:rPr>
          <w:sz w:val="25"/>
        </w:rPr>
      </w:pPr>
    </w:p>
    <w:p w:rsidR="005D3966" w:rsidRDefault="001C5FE1" w14:paraId="1C25346D" w14:textId="77777777">
      <w:pPr>
        <w:pStyle w:val="BodyText"/>
        <w:spacing w:line="249" w:lineRule="auto"/>
        <w:ind w:left="639" w:right="658"/>
      </w:pPr>
      <w:r>
        <w:rPr>
          <w:i/>
          <w:color w:val="231F20"/>
        </w:rPr>
        <w:t xml:space="preserve">De minimis 10-percent segment. </w:t>
      </w:r>
      <w:r>
        <w:t xml:space="preserve">The debtor is not a contributing sponsor of the plan and represents a de minimis 10-percent segment of the </w:t>
      </w:r>
      <w:proofErr w:type="gramStart"/>
      <w:r>
        <w:t>plan’s controlled</w:t>
      </w:r>
      <w:proofErr w:type="gramEnd"/>
      <w:r>
        <w:t xml:space="preserve"> group for the most recent fiscal year(s) ending on or before the date the reportable event occurs.</w:t>
      </w:r>
    </w:p>
    <w:p w:rsidR="005D3966" w:rsidRDefault="005D3966" w14:paraId="5A58EC53" w14:textId="77777777">
      <w:pPr>
        <w:pStyle w:val="BodyText"/>
        <w:spacing w:before="10"/>
      </w:pPr>
    </w:p>
    <w:p w:rsidR="005D3966" w:rsidRDefault="001C5FE1" w14:paraId="206F04DF" w14:textId="77777777">
      <w:pPr>
        <w:ind w:left="639"/>
        <w:rPr>
          <w:sz w:val="24"/>
        </w:rPr>
      </w:pPr>
      <w:r>
        <w:rPr>
          <w:i/>
          <w:color w:val="231F20"/>
          <w:sz w:val="24"/>
        </w:rPr>
        <w:t xml:space="preserve">Foreign entity. </w:t>
      </w:r>
      <w:r>
        <w:rPr>
          <w:color w:val="231F20"/>
          <w:sz w:val="24"/>
        </w:rPr>
        <w:t>The debtor is a foreign entity other than a foreign parent.</w:t>
      </w:r>
    </w:p>
    <w:p w:rsidR="005D3966" w:rsidRDefault="005D3966" w14:paraId="5E1A94E2" w14:textId="77777777">
      <w:pPr>
        <w:pStyle w:val="BodyText"/>
        <w:spacing w:before="5"/>
        <w:rPr>
          <w:sz w:val="27"/>
        </w:rPr>
      </w:pPr>
    </w:p>
    <w:p w:rsidR="005D3966" w:rsidRDefault="001C5FE1" w14:paraId="3CCE92F2" w14:textId="77777777">
      <w:pPr>
        <w:pStyle w:val="Heading1"/>
        <w:numPr>
          <w:ilvl w:val="0"/>
          <w:numId w:val="4"/>
        </w:numPr>
        <w:tabs>
          <w:tab w:val="left" w:pos="1000"/>
        </w:tabs>
        <w:spacing w:before="1"/>
        <w:ind w:left="999" w:hanging="361"/>
      </w:pPr>
      <w:bookmarkStart w:name="K._Insolvency_or_Similar_Settlement" w:id="30"/>
      <w:bookmarkEnd w:id="30"/>
      <w:r>
        <w:rPr>
          <w:color w:val="231F20"/>
        </w:rPr>
        <w:t>Insolvency or Similar</w:t>
      </w:r>
      <w:r>
        <w:rPr>
          <w:color w:val="231F20"/>
          <w:spacing w:val="-16"/>
        </w:rPr>
        <w:t xml:space="preserve"> </w:t>
      </w:r>
      <w:r>
        <w:rPr>
          <w:color w:val="231F20"/>
        </w:rPr>
        <w:t>Settlement</w:t>
      </w:r>
    </w:p>
    <w:p w:rsidR="005D3966" w:rsidRDefault="001C5FE1" w14:paraId="5BE81685" w14:textId="77777777">
      <w:pPr>
        <w:pStyle w:val="BodyText"/>
        <w:spacing w:before="10"/>
        <w:ind w:left="639"/>
      </w:pPr>
      <w:r>
        <w:rPr>
          <w:color w:val="231F20"/>
        </w:rPr>
        <w:t>(see 29 CFR 4043.35)</w:t>
      </w:r>
    </w:p>
    <w:p w:rsidR="005D3966" w:rsidRDefault="005D3966" w14:paraId="71B4C687" w14:textId="77777777">
      <w:pPr>
        <w:pStyle w:val="BodyText"/>
        <w:spacing w:before="10"/>
        <w:rPr>
          <w:sz w:val="25"/>
        </w:rPr>
      </w:pPr>
    </w:p>
    <w:p w:rsidR="005D3966" w:rsidRDefault="001C5FE1" w14:paraId="3F311D8F" w14:textId="77777777">
      <w:pPr>
        <w:pStyle w:val="BodyText"/>
        <w:spacing w:line="249" w:lineRule="auto"/>
        <w:ind w:left="639" w:right="569"/>
      </w:pPr>
      <w:r>
        <w:rPr>
          <w:b/>
          <w:color w:val="231F20"/>
        </w:rPr>
        <w:t xml:space="preserve">Definition of Event </w:t>
      </w:r>
      <w:r>
        <w:rPr>
          <w:color w:val="231F20"/>
        </w:rPr>
        <w:t xml:space="preserve">— A reportable event occurs with respect to a plan when any member of the </w:t>
      </w:r>
      <w:proofErr w:type="gramStart"/>
      <w:r>
        <w:rPr>
          <w:color w:val="231F20"/>
        </w:rPr>
        <w:t>plan’s controlled</w:t>
      </w:r>
      <w:proofErr w:type="gramEnd"/>
      <w:r>
        <w:rPr>
          <w:color w:val="231F20"/>
        </w:rPr>
        <w:t xml:space="preserve"> group commences or has commenced against it:</w:t>
      </w:r>
    </w:p>
    <w:p w:rsidR="005D3966" w:rsidRDefault="001C5FE1" w14:paraId="5A47BBCF" w14:textId="77777777">
      <w:pPr>
        <w:pStyle w:val="ListParagraph"/>
        <w:numPr>
          <w:ilvl w:val="0"/>
          <w:numId w:val="2"/>
        </w:numPr>
        <w:tabs>
          <w:tab w:val="left" w:pos="1012"/>
        </w:tabs>
        <w:spacing w:before="77" w:line="247" w:lineRule="auto"/>
        <w:ind w:right="838" w:firstLine="31"/>
        <w:rPr>
          <w:sz w:val="24"/>
        </w:rPr>
      </w:pPr>
      <w:r>
        <w:rPr>
          <w:sz w:val="24"/>
        </w:rPr>
        <w:t>Any insolvency proceeding (including, but not limited to, the appointment of a receiver)</w:t>
      </w:r>
      <w:r>
        <w:rPr>
          <w:spacing w:val="-17"/>
          <w:sz w:val="24"/>
        </w:rPr>
        <w:t xml:space="preserve"> </w:t>
      </w:r>
      <w:r>
        <w:rPr>
          <w:sz w:val="24"/>
        </w:rPr>
        <w:t>other than a bankruptcy case under the Bankruptcy</w:t>
      </w:r>
      <w:r>
        <w:rPr>
          <w:spacing w:val="-3"/>
          <w:sz w:val="24"/>
        </w:rPr>
        <w:t xml:space="preserve"> </w:t>
      </w:r>
      <w:r>
        <w:rPr>
          <w:sz w:val="24"/>
        </w:rPr>
        <w:t>Code.</w:t>
      </w:r>
    </w:p>
    <w:p w:rsidR="005D3966" w:rsidRDefault="005D3966" w14:paraId="0CFCCB45" w14:textId="77777777">
      <w:pPr>
        <w:pStyle w:val="BodyText"/>
        <w:spacing w:before="3"/>
        <w:rPr>
          <w:sz w:val="25"/>
        </w:rPr>
      </w:pPr>
    </w:p>
    <w:p w:rsidR="005D3966" w:rsidRDefault="001C5FE1" w14:paraId="590ECC17" w14:textId="77777777">
      <w:pPr>
        <w:pStyle w:val="ListParagraph"/>
        <w:numPr>
          <w:ilvl w:val="0"/>
          <w:numId w:val="2"/>
        </w:numPr>
        <w:tabs>
          <w:tab w:val="left" w:pos="980"/>
        </w:tabs>
        <w:spacing w:line="247" w:lineRule="auto"/>
        <w:ind w:right="2178" w:firstLine="0"/>
        <w:rPr>
          <w:sz w:val="24"/>
        </w:rPr>
      </w:pPr>
      <w:r>
        <w:rPr>
          <w:sz w:val="24"/>
        </w:rPr>
        <w:t>Commences, or has commenced against it, a proceeding to affect a composition, extension, or settlement with creditors.</w:t>
      </w:r>
    </w:p>
    <w:p w:rsidR="005D3966" w:rsidRDefault="005D3966" w14:paraId="27B866C6" w14:textId="77777777">
      <w:pPr>
        <w:pStyle w:val="BodyText"/>
        <w:spacing w:before="5"/>
        <w:rPr>
          <w:sz w:val="25"/>
        </w:rPr>
      </w:pPr>
    </w:p>
    <w:p w:rsidR="005D3966" w:rsidRDefault="001C5FE1" w14:paraId="684B7A4A" w14:textId="77777777">
      <w:pPr>
        <w:pStyle w:val="ListParagraph"/>
        <w:numPr>
          <w:ilvl w:val="0"/>
          <w:numId w:val="2"/>
        </w:numPr>
        <w:tabs>
          <w:tab w:val="left" w:pos="980"/>
        </w:tabs>
        <w:spacing w:before="1"/>
        <w:ind w:left="980"/>
        <w:rPr>
          <w:sz w:val="24"/>
        </w:rPr>
      </w:pPr>
      <w:r>
        <w:rPr>
          <w:sz w:val="24"/>
        </w:rPr>
        <w:t>Executes a general assignment for the benefit of</w:t>
      </w:r>
      <w:r>
        <w:rPr>
          <w:spacing w:val="-5"/>
          <w:sz w:val="24"/>
        </w:rPr>
        <w:t xml:space="preserve"> </w:t>
      </w:r>
      <w:r>
        <w:rPr>
          <w:sz w:val="24"/>
        </w:rPr>
        <w:t>creditors.</w:t>
      </w:r>
    </w:p>
    <w:p w:rsidR="005D3966" w:rsidRDefault="005D3966" w14:paraId="329F6A36" w14:textId="77777777">
      <w:pPr>
        <w:pStyle w:val="BodyText"/>
        <w:spacing w:before="10"/>
        <w:rPr>
          <w:sz w:val="25"/>
        </w:rPr>
      </w:pPr>
    </w:p>
    <w:p w:rsidR="005D3966" w:rsidRDefault="001C5FE1" w14:paraId="28BA60BA" w14:textId="77777777">
      <w:pPr>
        <w:pStyle w:val="ListParagraph"/>
        <w:numPr>
          <w:ilvl w:val="0"/>
          <w:numId w:val="2"/>
        </w:numPr>
        <w:tabs>
          <w:tab w:val="left" w:pos="980"/>
        </w:tabs>
        <w:spacing w:line="249" w:lineRule="auto"/>
        <w:ind w:right="1712" w:firstLine="0"/>
        <w:rPr>
          <w:sz w:val="24"/>
        </w:rPr>
      </w:pPr>
      <w:r>
        <w:rPr>
          <w:sz w:val="24"/>
        </w:rPr>
        <w:t>Undertakes to affect any other nonjudicial composition, extension, or settlement with substantially all its</w:t>
      </w:r>
      <w:r>
        <w:rPr>
          <w:spacing w:val="-1"/>
          <w:sz w:val="24"/>
        </w:rPr>
        <w:t xml:space="preserve"> </w:t>
      </w:r>
      <w:r>
        <w:rPr>
          <w:sz w:val="24"/>
        </w:rPr>
        <w:t>creditors.</w:t>
      </w:r>
    </w:p>
    <w:p w:rsidR="005D3966" w:rsidRDefault="005D3966" w14:paraId="111D8183" w14:textId="77777777">
      <w:pPr>
        <w:pStyle w:val="BodyText"/>
        <w:spacing w:before="9"/>
      </w:pPr>
    </w:p>
    <w:p w:rsidR="005D3966" w:rsidRDefault="001C5FE1" w14:paraId="33FE2C13" w14:textId="77777777">
      <w:pPr>
        <w:pStyle w:val="BodyText"/>
        <w:spacing w:line="249" w:lineRule="auto"/>
        <w:ind w:left="634" w:right="1107"/>
      </w:pPr>
      <w:r>
        <w:rPr>
          <w:b/>
        </w:rPr>
        <w:t xml:space="preserve">Reporting Waivers </w:t>
      </w:r>
      <w:r>
        <w:t xml:space="preserve">— Reporting of this event is waived </w:t>
      </w:r>
      <w:r>
        <w:rPr>
          <w:color w:val="231F20"/>
        </w:rPr>
        <w:t>under any of the following automatic waivers.</w:t>
      </w:r>
    </w:p>
    <w:p w:rsidR="005D3966" w:rsidRDefault="005D3966" w14:paraId="38ED9232" w14:textId="77777777">
      <w:pPr>
        <w:pStyle w:val="BodyText"/>
        <w:spacing w:before="9"/>
      </w:pPr>
    </w:p>
    <w:p w:rsidR="005D3966" w:rsidRDefault="001C5FE1" w14:paraId="0D0E51F9" w14:textId="77777777">
      <w:pPr>
        <w:pStyle w:val="BodyText"/>
        <w:spacing w:line="249" w:lineRule="auto"/>
        <w:ind w:left="634" w:right="736"/>
      </w:pPr>
      <w:r>
        <w:rPr>
          <w:i/>
        </w:rPr>
        <w:t xml:space="preserve">De minimis 10-percent segment: </w:t>
      </w:r>
      <w:r>
        <w:t xml:space="preserve">The controlled group member described above is not a contributing sponsor of the plan and represents a de minimis 10-percent segment of the </w:t>
      </w:r>
      <w:proofErr w:type="gramStart"/>
      <w:r>
        <w:t>plan’s controlled</w:t>
      </w:r>
      <w:proofErr w:type="gramEnd"/>
      <w:r>
        <w:t xml:space="preserve"> group for the most recent fiscal year(s) ending on or before the date the reportable event occurs.</w:t>
      </w:r>
    </w:p>
    <w:p w:rsidR="005D3966" w:rsidRDefault="005D3966" w14:paraId="796B6DB5" w14:textId="77777777">
      <w:pPr>
        <w:pStyle w:val="BodyText"/>
        <w:spacing w:before="9"/>
      </w:pPr>
    </w:p>
    <w:p w:rsidR="005D3966" w:rsidRDefault="001C5FE1" w14:paraId="295CB80F" w14:textId="77777777">
      <w:pPr>
        <w:pStyle w:val="BodyText"/>
        <w:spacing w:line="247" w:lineRule="auto"/>
        <w:ind w:left="634" w:right="1295"/>
      </w:pPr>
      <w:r>
        <w:rPr>
          <w:i/>
        </w:rPr>
        <w:t xml:space="preserve">Foreign entity: </w:t>
      </w:r>
      <w:r>
        <w:t>The controlled group member described above is a foreign entity other than a foreign parent.</w:t>
      </w:r>
    </w:p>
    <w:p w:rsidR="005D3966" w:rsidRDefault="005D3966" w14:paraId="650DE24D" w14:textId="77777777">
      <w:pPr>
        <w:pStyle w:val="BodyText"/>
        <w:spacing w:before="3"/>
        <w:rPr>
          <w:sz w:val="25"/>
        </w:rPr>
      </w:pPr>
    </w:p>
    <w:p w:rsidR="005D3966" w:rsidRDefault="001C5FE1" w14:paraId="60AF8F6B" w14:textId="77777777">
      <w:pPr>
        <w:pStyle w:val="BodyText"/>
        <w:spacing w:line="247" w:lineRule="auto"/>
        <w:ind w:left="634" w:right="1061"/>
      </w:pPr>
      <w:r>
        <w:rPr>
          <w:i/>
        </w:rPr>
        <w:t>Liquidation event</w:t>
      </w:r>
      <w:r>
        <w:t>. Reporting is also required under § 4043.30 and notice has been provided to PBGC for the same event under that section.</w:t>
      </w:r>
    </w:p>
    <w:p w:rsidR="005D3966" w:rsidRDefault="005D3966" w14:paraId="4A1DE7D8" w14:textId="77777777">
      <w:pPr>
        <w:spacing w:line="247" w:lineRule="auto"/>
        <w:sectPr w:rsidR="005D3966">
          <w:pgSz w:w="12240" w:h="15840"/>
          <w:pgMar w:top="1060" w:right="660" w:bottom="720" w:left="700" w:header="318" w:footer="530" w:gutter="0"/>
          <w:cols w:space="720"/>
        </w:sectPr>
      </w:pPr>
    </w:p>
    <w:p w:rsidR="005D3966" w:rsidRDefault="005D3966" w14:paraId="7854197D" w14:textId="77777777">
      <w:pPr>
        <w:pStyle w:val="BodyText"/>
        <w:spacing w:before="7"/>
      </w:pPr>
    </w:p>
    <w:p w:rsidR="005D3966" w:rsidRDefault="001C5FE1" w14:paraId="4D62D050" w14:textId="77777777">
      <w:pPr>
        <w:spacing w:before="90" w:line="249" w:lineRule="auto"/>
        <w:ind w:left="634" w:right="1106"/>
        <w:rPr>
          <w:i/>
          <w:sz w:val="24"/>
        </w:rPr>
      </w:pPr>
      <w:r>
        <w:rPr>
          <w:i/>
          <w:sz w:val="24"/>
        </w:rPr>
        <w:t>Note: Additional Information — Under 29 CFR 4043.3(d), and as noted above under “What to File,” PBGC may request additional information for this event. Items that may be requested include:</w:t>
      </w:r>
    </w:p>
    <w:p w:rsidR="005D3966" w:rsidRDefault="005D3966" w14:paraId="62DE694C" w14:textId="77777777">
      <w:pPr>
        <w:pStyle w:val="BodyText"/>
        <w:spacing w:before="10"/>
        <w:rPr>
          <w:i/>
        </w:rPr>
      </w:pPr>
    </w:p>
    <w:p w:rsidR="005D3966" w:rsidRDefault="001C5FE1" w14:paraId="097A7974" w14:textId="77777777">
      <w:pPr>
        <w:pStyle w:val="ListParagraph"/>
        <w:numPr>
          <w:ilvl w:val="0"/>
          <w:numId w:val="1"/>
        </w:numPr>
        <w:tabs>
          <w:tab w:val="left" w:pos="875"/>
        </w:tabs>
        <w:spacing w:before="1" w:line="247" w:lineRule="auto"/>
        <w:ind w:right="745" w:firstLine="0"/>
        <w:rPr>
          <w:i/>
          <w:sz w:val="24"/>
        </w:rPr>
      </w:pPr>
      <w:r>
        <w:rPr>
          <w:i/>
          <w:sz w:val="24"/>
        </w:rPr>
        <w:t>The estimated proceeds from the sale of assets and the controlled group’s anticipated allocation of those proceeds to its</w:t>
      </w:r>
      <w:r>
        <w:rPr>
          <w:i/>
          <w:spacing w:val="-12"/>
          <w:sz w:val="24"/>
        </w:rPr>
        <w:t xml:space="preserve"> </w:t>
      </w:r>
      <w:r>
        <w:rPr>
          <w:i/>
          <w:sz w:val="24"/>
        </w:rPr>
        <w:t>creditors.</w:t>
      </w:r>
    </w:p>
    <w:p w:rsidR="005D3966" w:rsidRDefault="005D3966" w14:paraId="3A921FBF" w14:textId="77777777">
      <w:pPr>
        <w:pStyle w:val="BodyText"/>
        <w:rPr>
          <w:i/>
          <w:sz w:val="25"/>
        </w:rPr>
      </w:pPr>
    </w:p>
    <w:p w:rsidR="005D3966" w:rsidRDefault="001C5FE1" w14:paraId="12D8BC9A" w14:textId="77777777">
      <w:pPr>
        <w:pStyle w:val="ListParagraph"/>
        <w:numPr>
          <w:ilvl w:val="0"/>
          <w:numId w:val="1"/>
        </w:numPr>
        <w:tabs>
          <w:tab w:val="left" w:pos="935"/>
        </w:tabs>
        <w:ind w:left="934" w:hanging="301"/>
        <w:rPr>
          <w:i/>
          <w:sz w:val="24"/>
        </w:rPr>
      </w:pPr>
      <w:r>
        <w:rPr>
          <w:i/>
          <w:sz w:val="24"/>
        </w:rPr>
        <w:t>An itemized list of asset sale expenses the controlled group expects to</w:t>
      </w:r>
      <w:r>
        <w:rPr>
          <w:i/>
          <w:spacing w:val="-14"/>
          <w:sz w:val="24"/>
        </w:rPr>
        <w:t xml:space="preserve"> </w:t>
      </w:r>
      <w:r>
        <w:rPr>
          <w:i/>
          <w:sz w:val="24"/>
        </w:rPr>
        <w:t>incur.</w:t>
      </w:r>
    </w:p>
    <w:p w:rsidR="005D3966" w:rsidRDefault="005D3966" w14:paraId="1FC82E19" w14:textId="77777777">
      <w:pPr>
        <w:pStyle w:val="BodyText"/>
        <w:spacing w:before="10"/>
        <w:rPr>
          <w:i/>
          <w:sz w:val="25"/>
        </w:rPr>
      </w:pPr>
    </w:p>
    <w:p w:rsidR="005D3966" w:rsidRDefault="001C5FE1" w14:paraId="5D9D39DD" w14:textId="77777777">
      <w:pPr>
        <w:pStyle w:val="ListParagraph"/>
        <w:numPr>
          <w:ilvl w:val="0"/>
          <w:numId w:val="1"/>
        </w:numPr>
        <w:tabs>
          <w:tab w:val="left" w:pos="935"/>
        </w:tabs>
        <w:spacing w:line="247" w:lineRule="auto"/>
        <w:ind w:right="1239" w:firstLine="0"/>
        <w:rPr>
          <w:i/>
          <w:sz w:val="24"/>
        </w:rPr>
      </w:pPr>
      <w:r>
        <w:rPr>
          <w:i/>
          <w:sz w:val="24"/>
        </w:rPr>
        <w:t>Timing of the expected sale of assets, distribution of proceeds, and payment of expenses</w:t>
      </w:r>
      <w:r>
        <w:rPr>
          <w:i/>
          <w:spacing w:val="-16"/>
          <w:sz w:val="24"/>
        </w:rPr>
        <w:t xml:space="preserve"> </w:t>
      </w:r>
      <w:r>
        <w:rPr>
          <w:i/>
          <w:sz w:val="24"/>
        </w:rPr>
        <w:t>as detailed in #1 and</w:t>
      </w:r>
      <w:r>
        <w:rPr>
          <w:i/>
          <w:spacing w:val="-28"/>
          <w:sz w:val="24"/>
        </w:rPr>
        <w:t xml:space="preserve"> </w:t>
      </w:r>
      <w:r>
        <w:rPr>
          <w:i/>
          <w:sz w:val="24"/>
        </w:rPr>
        <w:t>2.</w:t>
      </w:r>
    </w:p>
    <w:p w:rsidR="005D3966" w:rsidRDefault="005D3966" w14:paraId="73C1C9BE" w14:textId="77777777">
      <w:pPr>
        <w:pStyle w:val="BodyText"/>
        <w:spacing w:before="4"/>
        <w:rPr>
          <w:i/>
          <w:sz w:val="25"/>
        </w:rPr>
      </w:pPr>
    </w:p>
    <w:p w:rsidR="005D3966" w:rsidRDefault="001C5FE1" w14:paraId="6C6584E4" w14:textId="77777777">
      <w:pPr>
        <w:pStyle w:val="ListParagraph"/>
        <w:numPr>
          <w:ilvl w:val="0"/>
          <w:numId w:val="1"/>
        </w:numPr>
        <w:tabs>
          <w:tab w:val="left" w:pos="935"/>
        </w:tabs>
        <w:spacing w:line="247" w:lineRule="auto"/>
        <w:ind w:right="1160" w:firstLine="0"/>
        <w:rPr>
          <w:i/>
          <w:sz w:val="24"/>
        </w:rPr>
      </w:pPr>
      <w:r>
        <w:rPr>
          <w:i/>
          <w:sz w:val="24"/>
        </w:rPr>
        <w:t>Details of any prior asset sale proceeds already distributed since the reportable event</w:t>
      </w:r>
      <w:r>
        <w:rPr>
          <w:i/>
          <w:spacing w:val="-17"/>
          <w:sz w:val="24"/>
        </w:rPr>
        <w:t xml:space="preserve"> </w:t>
      </w:r>
      <w:r>
        <w:rPr>
          <w:i/>
          <w:sz w:val="24"/>
        </w:rPr>
        <w:t>date, including the name of the creditor, amount, and of debt (secured or</w:t>
      </w:r>
      <w:r>
        <w:rPr>
          <w:i/>
          <w:spacing w:val="-7"/>
          <w:sz w:val="24"/>
        </w:rPr>
        <w:t xml:space="preserve"> </w:t>
      </w:r>
      <w:r>
        <w:rPr>
          <w:i/>
          <w:sz w:val="24"/>
        </w:rPr>
        <w:t>unsecured).</w:t>
      </w:r>
    </w:p>
    <w:p w:rsidR="005D3966" w:rsidRDefault="005D3966" w14:paraId="0DA81D3C" w14:textId="77777777">
      <w:pPr>
        <w:spacing w:line="247" w:lineRule="auto"/>
        <w:rPr>
          <w:sz w:val="24"/>
        </w:rPr>
        <w:sectPr w:rsidR="005D3966">
          <w:pgSz w:w="12240" w:h="15840"/>
          <w:pgMar w:top="1060" w:right="660" w:bottom="720" w:left="700" w:header="318" w:footer="530" w:gutter="0"/>
          <w:cols w:space="720"/>
        </w:sectPr>
      </w:pPr>
    </w:p>
    <w:p w:rsidR="005D3966" w:rsidRDefault="005D3966" w14:paraId="05764AC3" w14:textId="77777777">
      <w:pPr>
        <w:pStyle w:val="BodyText"/>
        <w:rPr>
          <w:i/>
          <w:sz w:val="20"/>
        </w:rPr>
      </w:pPr>
    </w:p>
    <w:p w:rsidR="005D3966" w:rsidRDefault="005D3966" w14:paraId="261EC4A7" w14:textId="77777777">
      <w:pPr>
        <w:pStyle w:val="BodyText"/>
        <w:rPr>
          <w:i/>
          <w:sz w:val="20"/>
        </w:rPr>
      </w:pPr>
    </w:p>
    <w:p w:rsidR="005D3966" w:rsidRDefault="005D3966" w14:paraId="056AFBC9" w14:textId="77777777">
      <w:pPr>
        <w:pStyle w:val="BodyText"/>
        <w:spacing w:before="11"/>
        <w:rPr>
          <w:i/>
          <w:sz w:val="25"/>
        </w:rPr>
      </w:pPr>
    </w:p>
    <w:p w:rsidR="005D3966" w:rsidRDefault="004C650B" w14:paraId="7449FB93" w14:textId="77777777">
      <w:pPr>
        <w:pStyle w:val="BodyText"/>
        <w:ind w:left="94"/>
        <w:rPr>
          <w:sz w:val="20"/>
        </w:rPr>
      </w:pPr>
      <w:r>
        <w:rPr>
          <w:sz w:val="20"/>
        </w:rPr>
      </w:r>
      <w:r>
        <w:rPr>
          <w:sz w:val="20"/>
        </w:rPr>
        <w:pict w14:anchorId="7A58C31B">
          <v:shapetype id="_x0000_t202" coordsize="21600,21600" o:spt="202" path="m,l,21600r21600,l21600,xe">
            <v:stroke joinstyle="miter"/>
            <v:path gradientshapeok="t" o:connecttype="rect"/>
          </v:shapetype>
          <v:shape id="_x0000_s1041" style="width:533.1pt;height:198pt;mso-left-percent:-10001;mso-top-percent:-10001;mso-position-horizontal:absolute;mso-position-horizontal-relative:char;mso-position-vertical:absolute;mso-position-vertical-relative:line;mso-left-percent:-10001;mso-top-percent:-10001" filled="f" strokecolor="#231f20" strokeweight=".36194mm" type="#_x0000_t202">
            <v:textbox inset="0,0,0,0">
              <w:txbxContent>
                <w:p w:rsidR="005D3966" w:rsidRDefault="001C5FE1" w14:paraId="6429B358" w14:textId="77777777">
                  <w:pPr>
                    <w:spacing w:before="169"/>
                    <w:ind w:left="106"/>
                    <w:jc w:val="both"/>
                    <w:rPr>
                      <w:rFonts w:ascii="Arial"/>
                      <w:b/>
                      <w:sz w:val="28"/>
                    </w:rPr>
                  </w:pPr>
                  <w:r>
                    <w:rPr>
                      <w:rFonts w:ascii="Arial"/>
                      <w:b/>
                      <w:color w:val="231F20"/>
                      <w:sz w:val="28"/>
                    </w:rPr>
                    <w:t>PAPERWORK REDUCTION ACT NOTICE</w:t>
                  </w:r>
                </w:p>
                <w:p w:rsidR="005D3966" w:rsidRDefault="001C5FE1" w14:paraId="2ED21CB9" w14:textId="77777777">
                  <w:pPr>
                    <w:pStyle w:val="BodyText"/>
                    <w:spacing w:before="185" w:line="249" w:lineRule="auto"/>
                    <w:ind w:left="106" w:right="77"/>
                    <w:jc w:val="both"/>
                  </w:pPr>
                  <w:r>
                    <w:rPr>
                      <w:color w:val="231F20"/>
                    </w:rPr>
                    <w:t>PBGC needs this information, which is required to be filed under section 4043 of the Employee Retirement Income Security Act (ERISA) and 29 CFR Part 4043, Subparts A and B, so that it can take action to protect participants and the termination insurance program in appropriate cases. Information provided to PBGC pursuant to section 4043 of ERISA is confidential to the extent provided by the Freedom of Information Act, the Privacy Act, and section 4043(f) of ERISA. PBGC estimates that it will take an average of 3 hours and</w:t>
                  </w:r>
                </w:p>
                <w:p w:rsidR="005D3966" w:rsidRDefault="001C5FE1" w14:paraId="4DA4B24F" w14:textId="5555EF4A">
                  <w:pPr>
                    <w:pStyle w:val="BodyText"/>
                    <w:spacing w:line="249" w:lineRule="auto"/>
                    <w:ind w:left="106" w:right="77"/>
                    <w:jc w:val="both"/>
                  </w:pPr>
                  <w:r>
                    <w:rPr>
                      <w:color w:val="231F20"/>
                    </w:rPr>
                    <w:t>$745</w:t>
                  </w:r>
                  <w:r>
                    <w:rPr>
                      <w:color w:val="231F20"/>
                      <w:spacing w:val="-12"/>
                    </w:rPr>
                    <w:t xml:space="preserve"> </w:t>
                  </w:r>
                  <w:r>
                    <w:rPr>
                      <w:color w:val="231F20"/>
                    </w:rPr>
                    <w:t>to</w:t>
                  </w:r>
                  <w:r>
                    <w:rPr>
                      <w:color w:val="231F20"/>
                      <w:spacing w:val="-11"/>
                    </w:rPr>
                    <w:t xml:space="preserve"> </w:t>
                  </w:r>
                  <w:r>
                    <w:rPr>
                      <w:color w:val="231F20"/>
                    </w:rPr>
                    <w:t>comply</w:t>
                  </w:r>
                  <w:r>
                    <w:rPr>
                      <w:color w:val="231F20"/>
                      <w:spacing w:val="-11"/>
                    </w:rPr>
                    <w:t xml:space="preserve"> </w:t>
                  </w:r>
                  <w:r>
                    <w:rPr>
                      <w:color w:val="231F20"/>
                    </w:rPr>
                    <w:t>with</w:t>
                  </w:r>
                  <w:r>
                    <w:rPr>
                      <w:color w:val="231F20"/>
                      <w:spacing w:val="-13"/>
                    </w:rPr>
                    <w:t xml:space="preserve"> </w:t>
                  </w:r>
                  <w:r>
                    <w:rPr>
                      <w:color w:val="231F20"/>
                    </w:rPr>
                    <w:t>these</w:t>
                  </w:r>
                  <w:r>
                    <w:rPr>
                      <w:color w:val="231F20"/>
                      <w:spacing w:val="-13"/>
                    </w:rPr>
                    <w:t xml:space="preserve"> </w:t>
                  </w:r>
                  <w:r>
                    <w:rPr>
                      <w:color w:val="231F20"/>
                    </w:rPr>
                    <w:t>requirements.</w:t>
                  </w:r>
                  <w:r>
                    <w:rPr>
                      <w:color w:val="231F20"/>
                      <w:spacing w:val="37"/>
                    </w:rPr>
                    <w:t xml:space="preserve"> </w:t>
                  </w:r>
                  <w:r>
                    <w:rPr>
                      <w:color w:val="231F20"/>
                    </w:rPr>
                    <w:t>If</w:t>
                  </w:r>
                  <w:r>
                    <w:rPr>
                      <w:color w:val="231F20"/>
                      <w:spacing w:val="-12"/>
                    </w:rPr>
                    <w:t xml:space="preserve"> </w:t>
                  </w:r>
                  <w:r>
                    <w:rPr>
                      <w:color w:val="231F20"/>
                    </w:rPr>
                    <w:t>you</w:t>
                  </w:r>
                  <w:r>
                    <w:rPr>
                      <w:color w:val="231F20"/>
                      <w:spacing w:val="-11"/>
                    </w:rPr>
                    <w:t xml:space="preserve"> </w:t>
                  </w:r>
                  <w:r>
                    <w:rPr>
                      <w:color w:val="231F20"/>
                    </w:rPr>
                    <w:t>have</w:t>
                  </w:r>
                  <w:r>
                    <w:rPr>
                      <w:color w:val="231F20"/>
                      <w:spacing w:val="-12"/>
                    </w:rPr>
                    <w:t xml:space="preserve"> </w:t>
                  </w:r>
                  <w:r>
                    <w:rPr>
                      <w:color w:val="231F20"/>
                    </w:rPr>
                    <w:t>any</w:t>
                  </w:r>
                  <w:r>
                    <w:rPr>
                      <w:color w:val="231F20"/>
                      <w:spacing w:val="-12"/>
                    </w:rPr>
                    <w:t xml:space="preserve"> </w:t>
                  </w:r>
                  <w:r>
                    <w:rPr>
                      <w:color w:val="231F20"/>
                    </w:rPr>
                    <w:t>comments</w:t>
                  </w:r>
                  <w:r>
                    <w:rPr>
                      <w:color w:val="231F20"/>
                      <w:spacing w:val="-11"/>
                    </w:rPr>
                    <w:t xml:space="preserve"> </w:t>
                  </w:r>
                  <w:r>
                    <w:rPr>
                      <w:color w:val="231F20"/>
                    </w:rPr>
                    <w:t>concerning</w:t>
                  </w:r>
                  <w:r>
                    <w:rPr>
                      <w:color w:val="231F20"/>
                      <w:spacing w:val="-11"/>
                    </w:rPr>
                    <w:t xml:space="preserve"> </w:t>
                  </w:r>
                  <w:r>
                    <w:rPr>
                      <w:color w:val="231F20"/>
                    </w:rPr>
                    <w:t>the</w:t>
                  </w:r>
                  <w:r>
                    <w:rPr>
                      <w:color w:val="231F20"/>
                      <w:spacing w:val="-12"/>
                    </w:rPr>
                    <w:t xml:space="preserve"> </w:t>
                  </w:r>
                  <w:r>
                    <w:rPr>
                      <w:color w:val="231F20"/>
                    </w:rPr>
                    <w:t>accuracy</w:t>
                  </w:r>
                  <w:r>
                    <w:rPr>
                      <w:color w:val="231F20"/>
                      <w:spacing w:val="-12"/>
                    </w:rPr>
                    <w:t xml:space="preserve"> </w:t>
                  </w:r>
                  <w:r>
                    <w:rPr>
                      <w:color w:val="231F20"/>
                    </w:rPr>
                    <w:t>of</w:t>
                  </w:r>
                  <w:r>
                    <w:rPr>
                      <w:color w:val="231F20"/>
                      <w:spacing w:val="-12"/>
                    </w:rPr>
                    <w:t xml:space="preserve"> </w:t>
                  </w:r>
                  <w:r>
                    <w:rPr>
                      <w:color w:val="231F20"/>
                    </w:rPr>
                    <w:t>this</w:t>
                  </w:r>
                  <w:r>
                    <w:rPr>
                      <w:color w:val="231F20"/>
                      <w:spacing w:val="-13"/>
                    </w:rPr>
                    <w:t xml:space="preserve"> </w:t>
                  </w:r>
                  <w:r>
                    <w:rPr>
                      <w:color w:val="231F20"/>
                    </w:rPr>
                    <w:t xml:space="preserve">estimate or suggestions for improving this form, please send your comments to the Pension Benefit Guaranty Corporation, Regulatory Affairs Group, Office of the General Counsel, 1200 K Street, </w:t>
                  </w:r>
                  <w:r>
                    <w:rPr>
                      <w:color w:val="231F20"/>
                      <w:spacing w:val="-5"/>
                    </w:rPr>
                    <w:t xml:space="preserve">NW, </w:t>
                  </w:r>
                  <w:r>
                    <w:rPr>
                      <w:color w:val="231F20"/>
                    </w:rPr>
                    <w:t>Washington,</w:t>
                  </w:r>
                  <w:r>
                    <w:rPr>
                      <w:color w:val="231F20"/>
                      <w:spacing w:val="-29"/>
                    </w:rPr>
                    <w:t xml:space="preserve"> </w:t>
                  </w:r>
                  <w:r>
                    <w:rPr>
                      <w:color w:val="231F20"/>
                    </w:rPr>
                    <w:t>DC 20005-4026. This collection of information has been approved by the Office of Management and Budget (OMB)</w:t>
                  </w:r>
                  <w:r>
                    <w:rPr>
                      <w:color w:val="231F20"/>
                      <w:spacing w:val="-14"/>
                    </w:rPr>
                    <w:t xml:space="preserve"> </w:t>
                  </w:r>
                  <w:r>
                    <w:rPr>
                      <w:color w:val="231F20"/>
                    </w:rPr>
                    <w:t>under</w:t>
                  </w:r>
                  <w:r>
                    <w:rPr>
                      <w:color w:val="231F20"/>
                      <w:spacing w:val="-12"/>
                    </w:rPr>
                    <w:t xml:space="preserve"> </w:t>
                  </w:r>
                  <w:r>
                    <w:rPr>
                      <w:color w:val="231F20"/>
                    </w:rPr>
                    <w:t>control</w:t>
                  </w:r>
                  <w:r>
                    <w:rPr>
                      <w:color w:val="231F20"/>
                      <w:spacing w:val="-12"/>
                    </w:rPr>
                    <w:t xml:space="preserve"> </w:t>
                  </w:r>
                  <w:r>
                    <w:rPr>
                      <w:color w:val="231F20"/>
                    </w:rPr>
                    <w:t>number</w:t>
                  </w:r>
                  <w:r>
                    <w:rPr>
                      <w:color w:val="231F20"/>
                      <w:spacing w:val="-14"/>
                    </w:rPr>
                    <w:t xml:space="preserve"> </w:t>
                  </w:r>
                  <w:r>
                    <w:rPr>
                      <w:color w:val="231F20"/>
                    </w:rPr>
                    <w:t>1212-0013.</w:t>
                  </w:r>
                  <w:r>
                    <w:rPr>
                      <w:color w:val="231F20"/>
                      <w:spacing w:val="37"/>
                    </w:rPr>
                    <w:t xml:space="preserve"> </w:t>
                  </w:r>
                  <w:r>
                    <w:rPr>
                      <w:color w:val="231F20"/>
                    </w:rPr>
                    <w:t>An</w:t>
                  </w:r>
                  <w:r>
                    <w:rPr>
                      <w:color w:val="231F20"/>
                      <w:spacing w:val="-12"/>
                    </w:rPr>
                    <w:t xml:space="preserve"> </w:t>
                  </w:r>
                  <w:r>
                    <w:rPr>
                      <w:color w:val="231F20"/>
                    </w:rPr>
                    <w:t>agency</w:t>
                  </w:r>
                  <w:r>
                    <w:rPr>
                      <w:color w:val="231F20"/>
                      <w:spacing w:val="-13"/>
                    </w:rPr>
                    <w:t xml:space="preserve"> </w:t>
                  </w:r>
                  <w:r>
                    <w:rPr>
                      <w:color w:val="231F20"/>
                    </w:rPr>
                    <w:t>may</w:t>
                  </w:r>
                  <w:r>
                    <w:rPr>
                      <w:color w:val="231F20"/>
                      <w:spacing w:val="-13"/>
                    </w:rPr>
                    <w:t xml:space="preserve"> </w:t>
                  </w:r>
                  <w:r>
                    <w:rPr>
                      <w:color w:val="231F20"/>
                    </w:rPr>
                    <w:t>not</w:t>
                  </w:r>
                  <w:r>
                    <w:rPr>
                      <w:color w:val="231F20"/>
                      <w:spacing w:val="-12"/>
                    </w:rPr>
                    <w:t xml:space="preserve"> </w:t>
                  </w:r>
                  <w:r>
                    <w:rPr>
                      <w:color w:val="231F20"/>
                    </w:rPr>
                    <w:t>conduct</w:t>
                  </w:r>
                  <w:r>
                    <w:rPr>
                      <w:color w:val="231F20"/>
                      <w:spacing w:val="-13"/>
                    </w:rPr>
                    <w:t xml:space="preserve"> </w:t>
                  </w:r>
                  <w:r>
                    <w:rPr>
                      <w:color w:val="231F20"/>
                    </w:rPr>
                    <w:t>or</w:t>
                  </w:r>
                  <w:r>
                    <w:rPr>
                      <w:color w:val="231F20"/>
                      <w:spacing w:val="-13"/>
                    </w:rPr>
                    <w:t xml:space="preserve"> </w:t>
                  </w:r>
                  <w:r>
                    <w:rPr>
                      <w:color w:val="231F20"/>
                    </w:rPr>
                    <w:t>sponsor,</w:t>
                  </w:r>
                  <w:r>
                    <w:rPr>
                      <w:color w:val="231F20"/>
                      <w:spacing w:val="-13"/>
                    </w:rPr>
                    <w:t xml:space="preserve"> </w:t>
                  </w:r>
                  <w:r>
                    <w:rPr>
                      <w:color w:val="231F20"/>
                    </w:rPr>
                    <w:t>and</w:t>
                  </w:r>
                  <w:r>
                    <w:rPr>
                      <w:color w:val="231F20"/>
                      <w:spacing w:val="-12"/>
                    </w:rPr>
                    <w:t xml:space="preserve"> </w:t>
                  </w:r>
                  <w:r>
                    <w:rPr>
                      <w:color w:val="231F20"/>
                    </w:rPr>
                    <w:t>a</w:t>
                  </w:r>
                  <w:r>
                    <w:rPr>
                      <w:color w:val="231F20"/>
                      <w:spacing w:val="-12"/>
                    </w:rPr>
                    <w:t xml:space="preserve"> </w:t>
                  </w:r>
                  <w:r>
                    <w:rPr>
                      <w:color w:val="231F20"/>
                    </w:rPr>
                    <w:t>person</w:t>
                  </w:r>
                  <w:r>
                    <w:rPr>
                      <w:color w:val="231F20"/>
                      <w:spacing w:val="-13"/>
                    </w:rPr>
                    <w:t xml:space="preserve"> </w:t>
                  </w:r>
                  <w:r>
                    <w:rPr>
                      <w:color w:val="231F20"/>
                    </w:rPr>
                    <w:t>is</w:t>
                  </w:r>
                  <w:r>
                    <w:rPr>
                      <w:color w:val="231F20"/>
                      <w:spacing w:val="-12"/>
                    </w:rPr>
                    <w:t xml:space="preserve"> </w:t>
                  </w:r>
                  <w:r>
                    <w:rPr>
                      <w:color w:val="231F20"/>
                    </w:rPr>
                    <w:t>not</w:t>
                  </w:r>
                  <w:r>
                    <w:rPr>
                      <w:color w:val="231F20"/>
                      <w:spacing w:val="-13"/>
                    </w:rPr>
                    <w:t xml:space="preserve"> </w:t>
                  </w:r>
                  <w:r>
                    <w:rPr>
                      <w:color w:val="231F20"/>
                    </w:rPr>
                    <w:t>required to respond to, a collection of information unless it displays a currently valid OMB control</w:t>
                  </w:r>
                  <w:r>
                    <w:rPr>
                      <w:color w:val="231F20"/>
                      <w:spacing w:val="-21"/>
                    </w:rPr>
                    <w:t xml:space="preserve"> </w:t>
                  </w:r>
                  <w:r>
                    <w:rPr>
                      <w:color w:val="231F20"/>
                      <w:spacing w:val="-3"/>
                    </w:rPr>
                    <w:t>number.</w:t>
                  </w:r>
                </w:p>
              </w:txbxContent>
            </v:textbox>
            <w10:anchorlock/>
          </v:shape>
        </w:pict>
      </w:r>
    </w:p>
    <w:sectPr w:rsidR="005D3966">
      <w:pgSz w:w="12240" w:h="15840"/>
      <w:pgMar w:top="1060" w:right="660" w:bottom="720" w:left="700" w:header="318" w:footer="5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DBA57" w14:textId="77777777" w:rsidR="004C650B" w:rsidRDefault="004C650B">
      <w:r>
        <w:separator/>
      </w:r>
    </w:p>
  </w:endnote>
  <w:endnote w:type="continuationSeparator" w:id="0">
    <w:p w14:paraId="3C5CA003" w14:textId="77777777" w:rsidR="004C650B" w:rsidRDefault="004C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F4C9" w14:textId="77777777" w:rsidR="005D3966" w:rsidRDefault="004C650B">
    <w:pPr>
      <w:pStyle w:val="BodyText"/>
      <w:spacing w:line="14" w:lineRule="auto"/>
      <w:rPr>
        <w:sz w:val="20"/>
      </w:rPr>
    </w:pPr>
    <w:r>
      <w:pict w14:anchorId="4C0DBB98">
        <v:shapetype id="_x0000_t202" coordsize="21600,21600" o:spt="202" path="m,l,21600r21600,l21600,xe">
          <v:stroke joinstyle="miter"/>
          <v:path gradientshapeok="t" o:connecttype="rect"/>
        </v:shapetype>
        <v:shape id="_x0000_s2057" type="#_x0000_t202" style="position:absolute;margin-left:300.25pt;margin-top:754.5pt;width:11.55pt;height:14.25pt;z-index:-16278528;mso-position-horizontal-relative:page;mso-position-vertical-relative:page" filled="f" stroked="f">
          <v:textbox inset="0,0,0,0">
            <w:txbxContent>
              <w:p w14:paraId="0D72F4C4" w14:textId="77777777" w:rsidR="005D3966" w:rsidRDefault="001C5FE1">
                <w:pPr>
                  <w:spacing w:before="11"/>
                  <w:ind w:left="60"/>
                </w:pPr>
                <w:r>
                  <w:fldChar w:fldCharType="begin"/>
                </w:r>
                <w: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4340" w14:textId="77777777" w:rsidR="005D3966" w:rsidRDefault="005D396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309B" w14:textId="77777777" w:rsidR="005D3966" w:rsidRDefault="004C650B">
    <w:pPr>
      <w:pStyle w:val="BodyText"/>
      <w:spacing w:line="14" w:lineRule="auto"/>
      <w:rPr>
        <w:sz w:val="20"/>
      </w:rPr>
    </w:pPr>
    <w:r>
      <w:pict w14:anchorId="204DB322">
        <v:shapetype id="_x0000_t202" coordsize="21600,21600" o:spt="202" path="m,l,21600r21600,l21600,xe">
          <v:stroke joinstyle="miter"/>
          <v:path gradientshapeok="t" o:connecttype="rect"/>
        </v:shapetype>
        <v:shape id="_x0000_s2052" type="#_x0000_t202" style="position:absolute;margin-left:300.25pt;margin-top:747.45pt;width:11.55pt;height:14.25pt;z-index:-16275968;mso-position-horizontal-relative:page;mso-position-vertical-relative:page" filled="f" stroked="f">
          <v:textbox inset="0,0,0,0">
            <w:txbxContent>
              <w:p w14:paraId="40A8F3CF" w14:textId="77777777" w:rsidR="005D3966" w:rsidRDefault="001C5FE1">
                <w:pPr>
                  <w:spacing w:before="11"/>
                  <w:ind w:left="60"/>
                </w:pPr>
                <w:r>
                  <w:fldChar w:fldCharType="begin"/>
                </w:r>
                <w:r>
                  <w:instrText xml:space="preserve"> PAGE </w:instrText>
                </w:r>
                <w:r>
                  <w:fldChar w:fldCharType="separate"/>
                </w:r>
                <w:r>
                  <w:t>7</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5700" w14:textId="77777777" w:rsidR="005D3966" w:rsidRDefault="004C650B">
    <w:pPr>
      <w:pStyle w:val="BodyText"/>
      <w:spacing w:line="14" w:lineRule="auto"/>
      <w:rPr>
        <w:sz w:val="20"/>
      </w:rPr>
    </w:pPr>
    <w:r>
      <w:pict w14:anchorId="2DA9BFA4">
        <v:shapetype id="_x0000_t202" coordsize="21600,21600" o:spt="202" path="m,l,21600r21600,l21600,xe">
          <v:stroke joinstyle="miter"/>
          <v:path gradientshapeok="t" o:connecttype="rect"/>
        </v:shapetype>
        <v:shape id="_x0000_s2049" type="#_x0000_t202" style="position:absolute;margin-left:297.5pt;margin-top:754.5pt;width:17.05pt;height:14.25pt;z-index:-16274432;mso-position-horizontal-relative:page;mso-position-vertical-relative:page" filled="f" stroked="f">
          <v:textbox inset="0,0,0,0">
            <w:txbxContent>
              <w:p w14:paraId="743EA7C4" w14:textId="77777777" w:rsidR="005D3966" w:rsidRDefault="001C5FE1">
                <w:pPr>
                  <w:spacing w:before="11"/>
                  <w:ind w:left="60"/>
                </w:pPr>
                <w:r>
                  <w:fldChar w:fldCharType="begin"/>
                </w:r>
                <w:r>
                  <w:instrText xml:space="preserve"> PAGE </w:instrText>
                </w:r>
                <w:r>
                  <w:fldChar w:fldCharType="separate"/>
                </w:r>
                <w:r>
                  <w:t>30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B00A1" w14:textId="77777777" w:rsidR="004C650B" w:rsidRDefault="004C650B">
      <w:r>
        <w:separator/>
      </w:r>
    </w:p>
  </w:footnote>
  <w:footnote w:type="continuationSeparator" w:id="0">
    <w:p w14:paraId="00FC11BB" w14:textId="77777777" w:rsidR="004C650B" w:rsidRDefault="004C6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A627" w14:textId="77777777" w:rsidR="005D3966" w:rsidRDefault="004C650B">
    <w:pPr>
      <w:pStyle w:val="BodyText"/>
      <w:spacing w:line="14" w:lineRule="auto"/>
      <w:rPr>
        <w:sz w:val="20"/>
      </w:rPr>
    </w:pPr>
    <w:r>
      <w:pict w14:anchorId="6680FCA6">
        <v:line id="_x0000_s2059" style="position:absolute;z-index:-16279552;mso-position-horizontal-relative:page;mso-position-vertical-relative:page" from="36pt,34.5pt" to="8in,34.5pt" strokecolor="#231f20" strokeweight="3pt">
          <w10:wrap anchorx="page" anchory="page"/>
        </v:line>
      </w:pict>
    </w:r>
    <w:r>
      <w:pict w14:anchorId="7D694F22">
        <v:shapetype id="_x0000_t202" coordsize="21600,21600" o:spt="202" path="m,l,21600r21600,l21600,xe">
          <v:stroke joinstyle="miter"/>
          <v:path gradientshapeok="t" o:connecttype="rect"/>
        </v:shapetype>
        <v:shape id="_x0000_s2058" type="#_x0000_t202" style="position:absolute;margin-left:465.55pt;margin-top:14.9pt;width:111.5pt;height:15.45pt;z-index:-16279040;mso-position-horizontal-relative:page;mso-position-vertical-relative:page" filled="f" stroked="f">
          <v:textbox inset="0,0,0,0">
            <w:txbxContent>
              <w:p w14:paraId="65DD145D" w14:textId="77777777" w:rsidR="005D3966" w:rsidRDefault="001C5FE1">
                <w:pPr>
                  <w:pStyle w:val="BodyText"/>
                  <w:spacing w:before="12"/>
                  <w:ind w:left="20"/>
                  <w:rPr>
                    <w:rFonts w:ascii="Arial"/>
                  </w:rPr>
                </w:pPr>
                <w:r>
                  <w:rPr>
                    <w:rFonts w:ascii="Arial"/>
                    <w:color w:val="231F20"/>
                  </w:rPr>
                  <w:t>Form 10 Instructions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8444" w14:textId="77777777" w:rsidR="005D3966" w:rsidRDefault="004C650B">
    <w:pPr>
      <w:pStyle w:val="BodyText"/>
      <w:spacing w:line="14" w:lineRule="auto"/>
      <w:rPr>
        <w:sz w:val="20"/>
      </w:rPr>
    </w:pPr>
    <w:r>
      <w:pict w14:anchorId="45E293F4">
        <v:line id="_x0000_s2056" style="position:absolute;z-index:-16278016;mso-position-horizontal-relative:page;mso-position-vertical-relative:page" from="36pt,34.5pt" to="8in,34.5pt" strokecolor="#231f20" strokeweight="3pt">
          <w10:wrap anchorx="page" anchory="page"/>
        </v:line>
      </w:pict>
    </w:r>
    <w:r>
      <w:pict w14:anchorId="2052DA66">
        <v:shapetype id="_x0000_t202" coordsize="21600,21600" o:spt="202" path="m,l,21600r21600,l21600,xe">
          <v:stroke joinstyle="miter"/>
          <v:path gradientshapeok="t" o:connecttype="rect"/>
        </v:shapetype>
        <v:shape id="_x0000_s2055" type="#_x0000_t202" style="position:absolute;margin-left:465.55pt;margin-top:14.9pt;width:111.5pt;height:15.45pt;z-index:-16277504;mso-position-horizontal-relative:page;mso-position-vertical-relative:page" filled="f" stroked="f">
          <v:textbox inset="0,0,0,0">
            <w:txbxContent>
              <w:p w14:paraId="2F9E189C" w14:textId="77777777" w:rsidR="005D3966" w:rsidRDefault="001C5FE1">
                <w:pPr>
                  <w:pStyle w:val="BodyText"/>
                  <w:spacing w:before="12"/>
                  <w:ind w:left="20"/>
                  <w:rPr>
                    <w:rFonts w:ascii="Arial"/>
                  </w:rPr>
                </w:pPr>
                <w:r>
                  <w:rPr>
                    <w:rFonts w:ascii="Arial"/>
                    <w:color w:val="231F20"/>
                  </w:rPr>
                  <w:t>Form 10 Instructions</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6A4E" w14:textId="77777777" w:rsidR="005D3966" w:rsidRDefault="004C650B">
    <w:pPr>
      <w:pStyle w:val="BodyText"/>
      <w:spacing w:line="14" w:lineRule="auto"/>
      <w:rPr>
        <w:sz w:val="20"/>
      </w:rPr>
    </w:pPr>
    <w:r>
      <w:pict w14:anchorId="25913DF8">
        <v:line id="_x0000_s2054" style="position:absolute;z-index:-16276992;mso-position-horizontal-relative:page;mso-position-vertical-relative:page" from="36pt,34.5pt" to="8in,34.5pt" strokecolor="#231f20" strokeweight="3pt">
          <w10:wrap anchorx="page" anchory="page"/>
        </v:line>
      </w:pict>
    </w:r>
    <w:r>
      <w:pict w14:anchorId="50030E70">
        <v:shapetype id="_x0000_t202" coordsize="21600,21600" o:spt="202" path="m,l,21600r21600,l21600,xe">
          <v:stroke joinstyle="miter"/>
          <v:path gradientshapeok="t" o:connecttype="rect"/>
        </v:shapetype>
        <v:shape id="_x0000_s2053" type="#_x0000_t202" style="position:absolute;margin-left:465.55pt;margin-top:14.9pt;width:111.5pt;height:15.45pt;z-index:-16276480;mso-position-horizontal-relative:page;mso-position-vertical-relative:page" filled="f" stroked="f">
          <v:textbox inset="0,0,0,0">
            <w:txbxContent>
              <w:p w14:paraId="5AF21AEF" w14:textId="77777777" w:rsidR="005D3966" w:rsidRDefault="001C5FE1">
                <w:pPr>
                  <w:pStyle w:val="BodyText"/>
                  <w:spacing w:before="12"/>
                  <w:ind w:left="20"/>
                  <w:rPr>
                    <w:rFonts w:ascii="Arial"/>
                  </w:rPr>
                </w:pPr>
                <w:r>
                  <w:rPr>
                    <w:rFonts w:ascii="Arial"/>
                    <w:color w:val="231F20"/>
                  </w:rPr>
                  <w:t>Form 10 Instructions</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127A5" w14:textId="77777777" w:rsidR="005D3966" w:rsidRDefault="004C650B">
    <w:pPr>
      <w:pStyle w:val="BodyText"/>
      <w:spacing w:line="14" w:lineRule="auto"/>
      <w:rPr>
        <w:sz w:val="20"/>
      </w:rPr>
    </w:pPr>
    <w:r>
      <w:pict w14:anchorId="5FDDEE06">
        <v:line id="_x0000_s2051" style="position:absolute;z-index:-16275456;mso-position-horizontal-relative:page;mso-position-vertical-relative:page" from="36pt,34.5pt" to="8in,34.5pt" strokecolor="#231f20" strokeweight="3pt">
          <w10:wrap anchorx="page" anchory="page"/>
        </v:line>
      </w:pict>
    </w:r>
    <w:r>
      <w:pict w14:anchorId="600151BE">
        <v:shapetype id="_x0000_t202" coordsize="21600,21600" o:spt="202" path="m,l,21600r21600,l21600,xe">
          <v:stroke joinstyle="miter"/>
          <v:path gradientshapeok="t" o:connecttype="rect"/>
        </v:shapetype>
        <v:shape id="_x0000_s2050" type="#_x0000_t202" style="position:absolute;margin-left:465.55pt;margin-top:14.9pt;width:111.5pt;height:15.45pt;z-index:-16274944;mso-position-horizontal-relative:page;mso-position-vertical-relative:page" filled="f" stroked="f">
          <v:textbox inset="0,0,0,0">
            <w:txbxContent>
              <w:p w14:paraId="4A096099" w14:textId="77777777" w:rsidR="005D3966" w:rsidRDefault="001C5FE1">
                <w:pPr>
                  <w:pStyle w:val="BodyText"/>
                  <w:spacing w:before="12"/>
                  <w:ind w:left="20"/>
                  <w:rPr>
                    <w:rFonts w:ascii="Arial"/>
                  </w:rPr>
                </w:pPr>
                <w:r>
                  <w:rPr>
                    <w:rFonts w:ascii="Arial"/>
                    <w:color w:val="231F20"/>
                  </w:rPr>
                  <w:t>Form 10 Instructions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7769F"/>
    <w:multiLevelType w:val="hybridMultilevel"/>
    <w:tmpl w:val="F48AD5BC"/>
    <w:lvl w:ilvl="0" w:tplc="16D414F4">
      <w:start w:val="1"/>
      <w:numFmt w:val="decimal"/>
      <w:lvlText w:val="%1."/>
      <w:lvlJc w:val="left"/>
      <w:pPr>
        <w:ind w:left="1011" w:hanging="348"/>
        <w:jc w:val="left"/>
      </w:pPr>
      <w:rPr>
        <w:rFonts w:ascii="Times New Roman" w:eastAsia="Times New Roman" w:hAnsi="Times New Roman" w:cs="Times New Roman" w:hint="default"/>
        <w:color w:val="231F20"/>
        <w:spacing w:val="-13"/>
        <w:w w:val="98"/>
        <w:sz w:val="24"/>
        <w:szCs w:val="24"/>
        <w:lang w:val="en-US" w:eastAsia="en-US" w:bidi="ar-SA"/>
      </w:rPr>
    </w:lvl>
    <w:lvl w:ilvl="1" w:tplc="111CA850">
      <w:numFmt w:val="bullet"/>
      <w:lvlText w:val="•"/>
      <w:lvlJc w:val="left"/>
      <w:pPr>
        <w:ind w:left="2006" w:hanging="348"/>
      </w:pPr>
      <w:rPr>
        <w:rFonts w:hint="default"/>
        <w:lang w:val="en-US" w:eastAsia="en-US" w:bidi="ar-SA"/>
      </w:rPr>
    </w:lvl>
    <w:lvl w:ilvl="2" w:tplc="B7B29BF8">
      <w:numFmt w:val="bullet"/>
      <w:lvlText w:val="•"/>
      <w:lvlJc w:val="left"/>
      <w:pPr>
        <w:ind w:left="2992" w:hanging="348"/>
      </w:pPr>
      <w:rPr>
        <w:rFonts w:hint="default"/>
        <w:lang w:val="en-US" w:eastAsia="en-US" w:bidi="ar-SA"/>
      </w:rPr>
    </w:lvl>
    <w:lvl w:ilvl="3" w:tplc="E6ACD68A">
      <w:numFmt w:val="bullet"/>
      <w:lvlText w:val="•"/>
      <w:lvlJc w:val="left"/>
      <w:pPr>
        <w:ind w:left="3978" w:hanging="348"/>
      </w:pPr>
      <w:rPr>
        <w:rFonts w:hint="default"/>
        <w:lang w:val="en-US" w:eastAsia="en-US" w:bidi="ar-SA"/>
      </w:rPr>
    </w:lvl>
    <w:lvl w:ilvl="4" w:tplc="011833B4">
      <w:numFmt w:val="bullet"/>
      <w:lvlText w:val="•"/>
      <w:lvlJc w:val="left"/>
      <w:pPr>
        <w:ind w:left="4964" w:hanging="348"/>
      </w:pPr>
      <w:rPr>
        <w:rFonts w:hint="default"/>
        <w:lang w:val="en-US" w:eastAsia="en-US" w:bidi="ar-SA"/>
      </w:rPr>
    </w:lvl>
    <w:lvl w:ilvl="5" w:tplc="E8664A68">
      <w:numFmt w:val="bullet"/>
      <w:lvlText w:val="•"/>
      <w:lvlJc w:val="left"/>
      <w:pPr>
        <w:ind w:left="5950" w:hanging="348"/>
      </w:pPr>
      <w:rPr>
        <w:rFonts w:hint="default"/>
        <w:lang w:val="en-US" w:eastAsia="en-US" w:bidi="ar-SA"/>
      </w:rPr>
    </w:lvl>
    <w:lvl w:ilvl="6" w:tplc="CE4487AC">
      <w:numFmt w:val="bullet"/>
      <w:lvlText w:val="•"/>
      <w:lvlJc w:val="left"/>
      <w:pPr>
        <w:ind w:left="6936" w:hanging="348"/>
      </w:pPr>
      <w:rPr>
        <w:rFonts w:hint="default"/>
        <w:lang w:val="en-US" w:eastAsia="en-US" w:bidi="ar-SA"/>
      </w:rPr>
    </w:lvl>
    <w:lvl w:ilvl="7" w:tplc="61F67630">
      <w:numFmt w:val="bullet"/>
      <w:lvlText w:val="•"/>
      <w:lvlJc w:val="left"/>
      <w:pPr>
        <w:ind w:left="7922" w:hanging="348"/>
      </w:pPr>
      <w:rPr>
        <w:rFonts w:hint="default"/>
        <w:lang w:val="en-US" w:eastAsia="en-US" w:bidi="ar-SA"/>
      </w:rPr>
    </w:lvl>
    <w:lvl w:ilvl="8" w:tplc="7B46BC90">
      <w:numFmt w:val="bullet"/>
      <w:lvlText w:val="•"/>
      <w:lvlJc w:val="left"/>
      <w:pPr>
        <w:ind w:left="8908" w:hanging="348"/>
      </w:pPr>
      <w:rPr>
        <w:rFonts w:hint="default"/>
        <w:lang w:val="en-US" w:eastAsia="en-US" w:bidi="ar-SA"/>
      </w:rPr>
    </w:lvl>
  </w:abstractNum>
  <w:abstractNum w:abstractNumId="1" w15:restartNumberingAfterBreak="0">
    <w:nsid w:val="11FD3D32"/>
    <w:multiLevelType w:val="hybridMultilevel"/>
    <w:tmpl w:val="B584FC1E"/>
    <w:lvl w:ilvl="0" w:tplc="C24EC60E">
      <w:start w:val="2"/>
      <w:numFmt w:val="decimal"/>
      <w:lvlText w:val="%1."/>
      <w:lvlJc w:val="left"/>
      <w:pPr>
        <w:ind w:left="572" w:hanging="269"/>
        <w:jc w:val="right"/>
      </w:pPr>
      <w:rPr>
        <w:rFonts w:ascii="Arial" w:eastAsia="Arial" w:hAnsi="Arial" w:cs="Arial" w:hint="default"/>
        <w:b/>
        <w:bCs/>
        <w:i/>
        <w:w w:val="99"/>
        <w:sz w:val="24"/>
        <w:szCs w:val="24"/>
        <w:lang w:val="en-US" w:eastAsia="en-US" w:bidi="ar-SA"/>
      </w:rPr>
    </w:lvl>
    <w:lvl w:ilvl="1" w:tplc="8A348B42">
      <w:numFmt w:val="bullet"/>
      <w:lvlText w:val="•"/>
      <w:lvlJc w:val="left"/>
      <w:pPr>
        <w:ind w:left="1610" w:hanging="269"/>
      </w:pPr>
      <w:rPr>
        <w:rFonts w:hint="default"/>
        <w:lang w:val="en-US" w:eastAsia="en-US" w:bidi="ar-SA"/>
      </w:rPr>
    </w:lvl>
    <w:lvl w:ilvl="2" w:tplc="0E7E34A2">
      <w:numFmt w:val="bullet"/>
      <w:lvlText w:val="•"/>
      <w:lvlJc w:val="left"/>
      <w:pPr>
        <w:ind w:left="2640" w:hanging="269"/>
      </w:pPr>
      <w:rPr>
        <w:rFonts w:hint="default"/>
        <w:lang w:val="en-US" w:eastAsia="en-US" w:bidi="ar-SA"/>
      </w:rPr>
    </w:lvl>
    <w:lvl w:ilvl="3" w:tplc="7BF85D60">
      <w:numFmt w:val="bullet"/>
      <w:lvlText w:val="•"/>
      <w:lvlJc w:val="left"/>
      <w:pPr>
        <w:ind w:left="3670" w:hanging="269"/>
      </w:pPr>
      <w:rPr>
        <w:rFonts w:hint="default"/>
        <w:lang w:val="en-US" w:eastAsia="en-US" w:bidi="ar-SA"/>
      </w:rPr>
    </w:lvl>
    <w:lvl w:ilvl="4" w:tplc="ADB6D1CC">
      <w:numFmt w:val="bullet"/>
      <w:lvlText w:val="•"/>
      <w:lvlJc w:val="left"/>
      <w:pPr>
        <w:ind w:left="4700" w:hanging="269"/>
      </w:pPr>
      <w:rPr>
        <w:rFonts w:hint="default"/>
        <w:lang w:val="en-US" w:eastAsia="en-US" w:bidi="ar-SA"/>
      </w:rPr>
    </w:lvl>
    <w:lvl w:ilvl="5" w:tplc="1F988CE8">
      <w:numFmt w:val="bullet"/>
      <w:lvlText w:val="•"/>
      <w:lvlJc w:val="left"/>
      <w:pPr>
        <w:ind w:left="5730" w:hanging="269"/>
      </w:pPr>
      <w:rPr>
        <w:rFonts w:hint="default"/>
        <w:lang w:val="en-US" w:eastAsia="en-US" w:bidi="ar-SA"/>
      </w:rPr>
    </w:lvl>
    <w:lvl w:ilvl="6" w:tplc="2D9653EE">
      <w:numFmt w:val="bullet"/>
      <w:lvlText w:val="•"/>
      <w:lvlJc w:val="left"/>
      <w:pPr>
        <w:ind w:left="6760" w:hanging="269"/>
      </w:pPr>
      <w:rPr>
        <w:rFonts w:hint="default"/>
        <w:lang w:val="en-US" w:eastAsia="en-US" w:bidi="ar-SA"/>
      </w:rPr>
    </w:lvl>
    <w:lvl w:ilvl="7" w:tplc="67E8936A">
      <w:numFmt w:val="bullet"/>
      <w:lvlText w:val="•"/>
      <w:lvlJc w:val="left"/>
      <w:pPr>
        <w:ind w:left="7790" w:hanging="269"/>
      </w:pPr>
      <w:rPr>
        <w:rFonts w:hint="default"/>
        <w:lang w:val="en-US" w:eastAsia="en-US" w:bidi="ar-SA"/>
      </w:rPr>
    </w:lvl>
    <w:lvl w:ilvl="8" w:tplc="DDD02B7C">
      <w:numFmt w:val="bullet"/>
      <w:lvlText w:val="•"/>
      <w:lvlJc w:val="left"/>
      <w:pPr>
        <w:ind w:left="8820" w:hanging="269"/>
      </w:pPr>
      <w:rPr>
        <w:rFonts w:hint="default"/>
        <w:lang w:val="en-US" w:eastAsia="en-US" w:bidi="ar-SA"/>
      </w:rPr>
    </w:lvl>
  </w:abstractNum>
  <w:abstractNum w:abstractNumId="2" w15:restartNumberingAfterBreak="0">
    <w:nsid w:val="14912683"/>
    <w:multiLevelType w:val="hybridMultilevel"/>
    <w:tmpl w:val="6CA0B646"/>
    <w:lvl w:ilvl="0" w:tplc="4058C3B6">
      <w:numFmt w:val="bullet"/>
      <w:lvlText w:val=""/>
      <w:lvlJc w:val="left"/>
      <w:pPr>
        <w:ind w:left="1292" w:hanging="360"/>
      </w:pPr>
      <w:rPr>
        <w:rFonts w:ascii="Symbol" w:eastAsia="Symbol" w:hAnsi="Symbol" w:cs="Symbol" w:hint="default"/>
        <w:color w:val="231F20"/>
        <w:w w:val="100"/>
        <w:sz w:val="24"/>
        <w:szCs w:val="24"/>
        <w:lang w:val="en-US" w:eastAsia="en-US" w:bidi="ar-SA"/>
      </w:rPr>
    </w:lvl>
    <w:lvl w:ilvl="1" w:tplc="B736109E">
      <w:numFmt w:val="bullet"/>
      <w:lvlText w:val="•"/>
      <w:lvlJc w:val="left"/>
      <w:pPr>
        <w:ind w:left="2258" w:hanging="360"/>
      </w:pPr>
      <w:rPr>
        <w:rFonts w:hint="default"/>
        <w:lang w:val="en-US" w:eastAsia="en-US" w:bidi="ar-SA"/>
      </w:rPr>
    </w:lvl>
    <w:lvl w:ilvl="2" w:tplc="E20434DA">
      <w:numFmt w:val="bullet"/>
      <w:lvlText w:val="•"/>
      <w:lvlJc w:val="left"/>
      <w:pPr>
        <w:ind w:left="3216" w:hanging="360"/>
      </w:pPr>
      <w:rPr>
        <w:rFonts w:hint="default"/>
        <w:lang w:val="en-US" w:eastAsia="en-US" w:bidi="ar-SA"/>
      </w:rPr>
    </w:lvl>
    <w:lvl w:ilvl="3" w:tplc="FC5C105C">
      <w:numFmt w:val="bullet"/>
      <w:lvlText w:val="•"/>
      <w:lvlJc w:val="left"/>
      <w:pPr>
        <w:ind w:left="4174" w:hanging="360"/>
      </w:pPr>
      <w:rPr>
        <w:rFonts w:hint="default"/>
        <w:lang w:val="en-US" w:eastAsia="en-US" w:bidi="ar-SA"/>
      </w:rPr>
    </w:lvl>
    <w:lvl w:ilvl="4" w:tplc="0DA26EF0">
      <w:numFmt w:val="bullet"/>
      <w:lvlText w:val="•"/>
      <w:lvlJc w:val="left"/>
      <w:pPr>
        <w:ind w:left="5132" w:hanging="360"/>
      </w:pPr>
      <w:rPr>
        <w:rFonts w:hint="default"/>
        <w:lang w:val="en-US" w:eastAsia="en-US" w:bidi="ar-SA"/>
      </w:rPr>
    </w:lvl>
    <w:lvl w:ilvl="5" w:tplc="7CE61E52">
      <w:numFmt w:val="bullet"/>
      <w:lvlText w:val="•"/>
      <w:lvlJc w:val="left"/>
      <w:pPr>
        <w:ind w:left="6090" w:hanging="360"/>
      </w:pPr>
      <w:rPr>
        <w:rFonts w:hint="default"/>
        <w:lang w:val="en-US" w:eastAsia="en-US" w:bidi="ar-SA"/>
      </w:rPr>
    </w:lvl>
    <w:lvl w:ilvl="6" w:tplc="8708D72A">
      <w:numFmt w:val="bullet"/>
      <w:lvlText w:val="•"/>
      <w:lvlJc w:val="left"/>
      <w:pPr>
        <w:ind w:left="7048" w:hanging="360"/>
      </w:pPr>
      <w:rPr>
        <w:rFonts w:hint="default"/>
        <w:lang w:val="en-US" w:eastAsia="en-US" w:bidi="ar-SA"/>
      </w:rPr>
    </w:lvl>
    <w:lvl w:ilvl="7" w:tplc="1F8CBD28">
      <w:numFmt w:val="bullet"/>
      <w:lvlText w:val="•"/>
      <w:lvlJc w:val="left"/>
      <w:pPr>
        <w:ind w:left="8006" w:hanging="360"/>
      </w:pPr>
      <w:rPr>
        <w:rFonts w:hint="default"/>
        <w:lang w:val="en-US" w:eastAsia="en-US" w:bidi="ar-SA"/>
      </w:rPr>
    </w:lvl>
    <w:lvl w:ilvl="8" w:tplc="1B40CC6A">
      <w:numFmt w:val="bullet"/>
      <w:lvlText w:val="•"/>
      <w:lvlJc w:val="left"/>
      <w:pPr>
        <w:ind w:left="8964" w:hanging="360"/>
      </w:pPr>
      <w:rPr>
        <w:rFonts w:hint="default"/>
        <w:lang w:val="en-US" w:eastAsia="en-US" w:bidi="ar-SA"/>
      </w:rPr>
    </w:lvl>
  </w:abstractNum>
  <w:abstractNum w:abstractNumId="3" w15:restartNumberingAfterBreak="0">
    <w:nsid w:val="1B7C237B"/>
    <w:multiLevelType w:val="hybridMultilevel"/>
    <w:tmpl w:val="A54E11D8"/>
    <w:lvl w:ilvl="0" w:tplc="CDB8AF26">
      <w:start w:val="1"/>
      <w:numFmt w:val="decimal"/>
      <w:lvlText w:val="%1."/>
      <w:lvlJc w:val="left"/>
      <w:pPr>
        <w:ind w:left="567" w:hanging="353"/>
        <w:jc w:val="left"/>
      </w:pPr>
      <w:rPr>
        <w:rFonts w:ascii="Times New Roman" w:eastAsia="Times New Roman" w:hAnsi="Times New Roman" w:cs="Times New Roman" w:hint="default"/>
        <w:color w:val="231F20"/>
        <w:spacing w:val="-25"/>
        <w:w w:val="88"/>
        <w:sz w:val="24"/>
        <w:szCs w:val="24"/>
        <w:lang w:val="en-US" w:eastAsia="en-US" w:bidi="ar-SA"/>
      </w:rPr>
    </w:lvl>
    <w:lvl w:ilvl="1" w:tplc="C65A06AE">
      <w:numFmt w:val="bullet"/>
      <w:lvlText w:val="•"/>
      <w:lvlJc w:val="left"/>
      <w:pPr>
        <w:ind w:left="1592" w:hanging="353"/>
      </w:pPr>
      <w:rPr>
        <w:rFonts w:hint="default"/>
        <w:lang w:val="en-US" w:eastAsia="en-US" w:bidi="ar-SA"/>
      </w:rPr>
    </w:lvl>
    <w:lvl w:ilvl="2" w:tplc="BB22B114">
      <w:numFmt w:val="bullet"/>
      <w:lvlText w:val="•"/>
      <w:lvlJc w:val="left"/>
      <w:pPr>
        <w:ind w:left="2624" w:hanging="353"/>
      </w:pPr>
      <w:rPr>
        <w:rFonts w:hint="default"/>
        <w:lang w:val="en-US" w:eastAsia="en-US" w:bidi="ar-SA"/>
      </w:rPr>
    </w:lvl>
    <w:lvl w:ilvl="3" w:tplc="C722F64A">
      <w:numFmt w:val="bullet"/>
      <w:lvlText w:val="•"/>
      <w:lvlJc w:val="left"/>
      <w:pPr>
        <w:ind w:left="3656" w:hanging="353"/>
      </w:pPr>
      <w:rPr>
        <w:rFonts w:hint="default"/>
        <w:lang w:val="en-US" w:eastAsia="en-US" w:bidi="ar-SA"/>
      </w:rPr>
    </w:lvl>
    <w:lvl w:ilvl="4" w:tplc="0FC205E2">
      <w:numFmt w:val="bullet"/>
      <w:lvlText w:val="•"/>
      <w:lvlJc w:val="left"/>
      <w:pPr>
        <w:ind w:left="4688" w:hanging="353"/>
      </w:pPr>
      <w:rPr>
        <w:rFonts w:hint="default"/>
        <w:lang w:val="en-US" w:eastAsia="en-US" w:bidi="ar-SA"/>
      </w:rPr>
    </w:lvl>
    <w:lvl w:ilvl="5" w:tplc="EB2E02E6">
      <w:numFmt w:val="bullet"/>
      <w:lvlText w:val="•"/>
      <w:lvlJc w:val="left"/>
      <w:pPr>
        <w:ind w:left="5720" w:hanging="353"/>
      </w:pPr>
      <w:rPr>
        <w:rFonts w:hint="default"/>
        <w:lang w:val="en-US" w:eastAsia="en-US" w:bidi="ar-SA"/>
      </w:rPr>
    </w:lvl>
    <w:lvl w:ilvl="6" w:tplc="6902D858">
      <w:numFmt w:val="bullet"/>
      <w:lvlText w:val="•"/>
      <w:lvlJc w:val="left"/>
      <w:pPr>
        <w:ind w:left="6752" w:hanging="353"/>
      </w:pPr>
      <w:rPr>
        <w:rFonts w:hint="default"/>
        <w:lang w:val="en-US" w:eastAsia="en-US" w:bidi="ar-SA"/>
      </w:rPr>
    </w:lvl>
    <w:lvl w:ilvl="7" w:tplc="38269268">
      <w:numFmt w:val="bullet"/>
      <w:lvlText w:val="•"/>
      <w:lvlJc w:val="left"/>
      <w:pPr>
        <w:ind w:left="7784" w:hanging="353"/>
      </w:pPr>
      <w:rPr>
        <w:rFonts w:hint="default"/>
        <w:lang w:val="en-US" w:eastAsia="en-US" w:bidi="ar-SA"/>
      </w:rPr>
    </w:lvl>
    <w:lvl w:ilvl="8" w:tplc="3CFAB4FE">
      <w:numFmt w:val="bullet"/>
      <w:lvlText w:val="•"/>
      <w:lvlJc w:val="left"/>
      <w:pPr>
        <w:ind w:left="8816" w:hanging="353"/>
      </w:pPr>
      <w:rPr>
        <w:rFonts w:hint="default"/>
        <w:lang w:val="en-US" w:eastAsia="en-US" w:bidi="ar-SA"/>
      </w:rPr>
    </w:lvl>
  </w:abstractNum>
  <w:abstractNum w:abstractNumId="4" w15:restartNumberingAfterBreak="0">
    <w:nsid w:val="1FEE3216"/>
    <w:multiLevelType w:val="hybridMultilevel"/>
    <w:tmpl w:val="5EE601D0"/>
    <w:lvl w:ilvl="0" w:tplc="F2983EB8">
      <w:numFmt w:val="bullet"/>
      <w:lvlText w:val=""/>
      <w:lvlJc w:val="left"/>
      <w:pPr>
        <w:ind w:left="922" w:hanging="360"/>
      </w:pPr>
      <w:rPr>
        <w:rFonts w:hint="default"/>
        <w:w w:val="97"/>
        <w:lang w:val="en-US" w:eastAsia="en-US" w:bidi="ar-SA"/>
      </w:rPr>
    </w:lvl>
    <w:lvl w:ilvl="1" w:tplc="98463266">
      <w:numFmt w:val="bullet"/>
      <w:lvlText w:val=""/>
      <w:lvlJc w:val="left"/>
      <w:pPr>
        <w:ind w:left="1407" w:hanging="360"/>
      </w:pPr>
      <w:rPr>
        <w:rFonts w:ascii="Symbol" w:eastAsia="Symbol" w:hAnsi="Symbol" w:cs="Symbol" w:hint="default"/>
        <w:color w:val="231F20"/>
        <w:w w:val="97"/>
        <w:sz w:val="24"/>
        <w:szCs w:val="24"/>
        <w:lang w:val="en-US" w:eastAsia="en-US" w:bidi="ar-SA"/>
      </w:rPr>
    </w:lvl>
    <w:lvl w:ilvl="2" w:tplc="C234FB2A">
      <w:numFmt w:val="bullet"/>
      <w:lvlText w:val="•"/>
      <w:lvlJc w:val="left"/>
      <w:pPr>
        <w:ind w:left="2453" w:hanging="360"/>
      </w:pPr>
      <w:rPr>
        <w:rFonts w:hint="default"/>
        <w:lang w:val="en-US" w:eastAsia="en-US" w:bidi="ar-SA"/>
      </w:rPr>
    </w:lvl>
    <w:lvl w:ilvl="3" w:tplc="1EB8C7F4">
      <w:numFmt w:val="bullet"/>
      <w:lvlText w:val="•"/>
      <w:lvlJc w:val="left"/>
      <w:pPr>
        <w:ind w:left="3506" w:hanging="360"/>
      </w:pPr>
      <w:rPr>
        <w:rFonts w:hint="default"/>
        <w:lang w:val="en-US" w:eastAsia="en-US" w:bidi="ar-SA"/>
      </w:rPr>
    </w:lvl>
    <w:lvl w:ilvl="4" w:tplc="8F9AA62E">
      <w:numFmt w:val="bullet"/>
      <w:lvlText w:val="•"/>
      <w:lvlJc w:val="left"/>
      <w:pPr>
        <w:ind w:left="4560" w:hanging="360"/>
      </w:pPr>
      <w:rPr>
        <w:rFonts w:hint="default"/>
        <w:lang w:val="en-US" w:eastAsia="en-US" w:bidi="ar-SA"/>
      </w:rPr>
    </w:lvl>
    <w:lvl w:ilvl="5" w:tplc="E2A69C0A">
      <w:numFmt w:val="bullet"/>
      <w:lvlText w:val="•"/>
      <w:lvlJc w:val="left"/>
      <w:pPr>
        <w:ind w:left="5613" w:hanging="360"/>
      </w:pPr>
      <w:rPr>
        <w:rFonts w:hint="default"/>
        <w:lang w:val="en-US" w:eastAsia="en-US" w:bidi="ar-SA"/>
      </w:rPr>
    </w:lvl>
    <w:lvl w:ilvl="6" w:tplc="BB74FEB6">
      <w:numFmt w:val="bullet"/>
      <w:lvlText w:val="•"/>
      <w:lvlJc w:val="left"/>
      <w:pPr>
        <w:ind w:left="6666" w:hanging="360"/>
      </w:pPr>
      <w:rPr>
        <w:rFonts w:hint="default"/>
        <w:lang w:val="en-US" w:eastAsia="en-US" w:bidi="ar-SA"/>
      </w:rPr>
    </w:lvl>
    <w:lvl w:ilvl="7" w:tplc="163A2C56">
      <w:numFmt w:val="bullet"/>
      <w:lvlText w:val="•"/>
      <w:lvlJc w:val="left"/>
      <w:pPr>
        <w:ind w:left="7720" w:hanging="360"/>
      </w:pPr>
      <w:rPr>
        <w:rFonts w:hint="default"/>
        <w:lang w:val="en-US" w:eastAsia="en-US" w:bidi="ar-SA"/>
      </w:rPr>
    </w:lvl>
    <w:lvl w:ilvl="8" w:tplc="4606E486">
      <w:numFmt w:val="bullet"/>
      <w:lvlText w:val="•"/>
      <w:lvlJc w:val="left"/>
      <w:pPr>
        <w:ind w:left="8773" w:hanging="360"/>
      </w:pPr>
      <w:rPr>
        <w:rFonts w:hint="default"/>
        <w:lang w:val="en-US" w:eastAsia="en-US" w:bidi="ar-SA"/>
      </w:rPr>
    </w:lvl>
  </w:abstractNum>
  <w:abstractNum w:abstractNumId="5" w15:restartNumberingAfterBreak="0">
    <w:nsid w:val="2BCF4E19"/>
    <w:multiLevelType w:val="hybridMultilevel"/>
    <w:tmpl w:val="BC64E0CA"/>
    <w:lvl w:ilvl="0" w:tplc="42287D0A">
      <w:start w:val="1"/>
      <w:numFmt w:val="upperLetter"/>
      <w:lvlText w:val="%1."/>
      <w:lvlJc w:val="left"/>
      <w:pPr>
        <w:ind w:left="1040" w:hanging="411"/>
        <w:jc w:val="right"/>
      </w:pPr>
      <w:rPr>
        <w:rFonts w:ascii="Arial" w:eastAsia="Arial" w:hAnsi="Arial" w:cs="Arial" w:hint="default"/>
        <w:b/>
        <w:bCs/>
        <w:color w:val="231F20"/>
        <w:spacing w:val="-33"/>
        <w:w w:val="98"/>
        <w:sz w:val="24"/>
        <w:szCs w:val="24"/>
        <w:lang w:val="en-US" w:eastAsia="en-US" w:bidi="ar-SA"/>
      </w:rPr>
    </w:lvl>
    <w:lvl w:ilvl="1" w:tplc="8D84AC8E">
      <w:numFmt w:val="bullet"/>
      <w:lvlText w:val="•"/>
      <w:lvlJc w:val="left"/>
      <w:pPr>
        <w:ind w:left="2024" w:hanging="411"/>
      </w:pPr>
      <w:rPr>
        <w:rFonts w:hint="default"/>
        <w:lang w:val="en-US" w:eastAsia="en-US" w:bidi="ar-SA"/>
      </w:rPr>
    </w:lvl>
    <w:lvl w:ilvl="2" w:tplc="6B4CDF50">
      <w:numFmt w:val="bullet"/>
      <w:lvlText w:val="•"/>
      <w:lvlJc w:val="left"/>
      <w:pPr>
        <w:ind w:left="3008" w:hanging="411"/>
      </w:pPr>
      <w:rPr>
        <w:rFonts w:hint="default"/>
        <w:lang w:val="en-US" w:eastAsia="en-US" w:bidi="ar-SA"/>
      </w:rPr>
    </w:lvl>
    <w:lvl w:ilvl="3" w:tplc="BCDCCD5A">
      <w:numFmt w:val="bullet"/>
      <w:lvlText w:val="•"/>
      <w:lvlJc w:val="left"/>
      <w:pPr>
        <w:ind w:left="3992" w:hanging="411"/>
      </w:pPr>
      <w:rPr>
        <w:rFonts w:hint="default"/>
        <w:lang w:val="en-US" w:eastAsia="en-US" w:bidi="ar-SA"/>
      </w:rPr>
    </w:lvl>
    <w:lvl w:ilvl="4" w:tplc="9D3A442E">
      <w:numFmt w:val="bullet"/>
      <w:lvlText w:val="•"/>
      <w:lvlJc w:val="left"/>
      <w:pPr>
        <w:ind w:left="4976" w:hanging="411"/>
      </w:pPr>
      <w:rPr>
        <w:rFonts w:hint="default"/>
        <w:lang w:val="en-US" w:eastAsia="en-US" w:bidi="ar-SA"/>
      </w:rPr>
    </w:lvl>
    <w:lvl w:ilvl="5" w:tplc="24E48BDA">
      <w:numFmt w:val="bullet"/>
      <w:lvlText w:val="•"/>
      <w:lvlJc w:val="left"/>
      <w:pPr>
        <w:ind w:left="5960" w:hanging="411"/>
      </w:pPr>
      <w:rPr>
        <w:rFonts w:hint="default"/>
        <w:lang w:val="en-US" w:eastAsia="en-US" w:bidi="ar-SA"/>
      </w:rPr>
    </w:lvl>
    <w:lvl w:ilvl="6" w:tplc="A99E8D04">
      <w:numFmt w:val="bullet"/>
      <w:lvlText w:val="•"/>
      <w:lvlJc w:val="left"/>
      <w:pPr>
        <w:ind w:left="6944" w:hanging="411"/>
      </w:pPr>
      <w:rPr>
        <w:rFonts w:hint="default"/>
        <w:lang w:val="en-US" w:eastAsia="en-US" w:bidi="ar-SA"/>
      </w:rPr>
    </w:lvl>
    <w:lvl w:ilvl="7" w:tplc="66F2E8B6">
      <w:numFmt w:val="bullet"/>
      <w:lvlText w:val="•"/>
      <w:lvlJc w:val="left"/>
      <w:pPr>
        <w:ind w:left="7928" w:hanging="411"/>
      </w:pPr>
      <w:rPr>
        <w:rFonts w:hint="default"/>
        <w:lang w:val="en-US" w:eastAsia="en-US" w:bidi="ar-SA"/>
      </w:rPr>
    </w:lvl>
    <w:lvl w:ilvl="8" w:tplc="2ACC634C">
      <w:numFmt w:val="bullet"/>
      <w:lvlText w:val="•"/>
      <w:lvlJc w:val="left"/>
      <w:pPr>
        <w:ind w:left="8912" w:hanging="411"/>
      </w:pPr>
      <w:rPr>
        <w:rFonts w:hint="default"/>
        <w:lang w:val="en-US" w:eastAsia="en-US" w:bidi="ar-SA"/>
      </w:rPr>
    </w:lvl>
  </w:abstractNum>
  <w:abstractNum w:abstractNumId="6" w15:restartNumberingAfterBreak="0">
    <w:nsid w:val="2C614EBC"/>
    <w:multiLevelType w:val="hybridMultilevel"/>
    <w:tmpl w:val="AA725B5A"/>
    <w:lvl w:ilvl="0" w:tplc="02FE3E1E">
      <w:start w:val="1"/>
      <w:numFmt w:val="decimal"/>
      <w:lvlText w:val="%1."/>
      <w:lvlJc w:val="left"/>
      <w:pPr>
        <w:ind w:left="944" w:hanging="358"/>
        <w:jc w:val="left"/>
      </w:pPr>
      <w:rPr>
        <w:rFonts w:ascii="Times New Roman" w:eastAsia="Times New Roman" w:hAnsi="Times New Roman" w:cs="Times New Roman" w:hint="default"/>
        <w:color w:val="231F20"/>
        <w:spacing w:val="-1"/>
        <w:w w:val="98"/>
        <w:sz w:val="24"/>
        <w:szCs w:val="24"/>
        <w:lang w:val="en-US" w:eastAsia="en-US" w:bidi="ar-SA"/>
      </w:rPr>
    </w:lvl>
    <w:lvl w:ilvl="1" w:tplc="949838B8">
      <w:start w:val="1"/>
      <w:numFmt w:val="lowerLetter"/>
      <w:lvlText w:val="%2."/>
      <w:lvlJc w:val="left"/>
      <w:pPr>
        <w:ind w:left="1304" w:hanging="238"/>
        <w:jc w:val="left"/>
      </w:pPr>
      <w:rPr>
        <w:rFonts w:ascii="Times New Roman" w:eastAsia="Times New Roman" w:hAnsi="Times New Roman" w:cs="Times New Roman" w:hint="default"/>
        <w:color w:val="231F20"/>
        <w:spacing w:val="-1"/>
        <w:w w:val="100"/>
        <w:sz w:val="24"/>
        <w:szCs w:val="24"/>
        <w:lang w:val="en-US" w:eastAsia="en-US" w:bidi="ar-SA"/>
      </w:rPr>
    </w:lvl>
    <w:lvl w:ilvl="2" w:tplc="3E4A2998">
      <w:numFmt w:val="bullet"/>
      <w:lvlText w:val="•"/>
      <w:lvlJc w:val="left"/>
      <w:pPr>
        <w:ind w:left="2364" w:hanging="238"/>
      </w:pPr>
      <w:rPr>
        <w:rFonts w:hint="default"/>
        <w:lang w:val="en-US" w:eastAsia="en-US" w:bidi="ar-SA"/>
      </w:rPr>
    </w:lvl>
    <w:lvl w:ilvl="3" w:tplc="F1BEA620">
      <w:numFmt w:val="bullet"/>
      <w:lvlText w:val="•"/>
      <w:lvlJc w:val="left"/>
      <w:pPr>
        <w:ind w:left="3428" w:hanging="238"/>
      </w:pPr>
      <w:rPr>
        <w:rFonts w:hint="default"/>
        <w:lang w:val="en-US" w:eastAsia="en-US" w:bidi="ar-SA"/>
      </w:rPr>
    </w:lvl>
    <w:lvl w:ilvl="4" w:tplc="AEBC0572">
      <w:numFmt w:val="bullet"/>
      <w:lvlText w:val="•"/>
      <w:lvlJc w:val="left"/>
      <w:pPr>
        <w:ind w:left="4493" w:hanging="238"/>
      </w:pPr>
      <w:rPr>
        <w:rFonts w:hint="default"/>
        <w:lang w:val="en-US" w:eastAsia="en-US" w:bidi="ar-SA"/>
      </w:rPr>
    </w:lvl>
    <w:lvl w:ilvl="5" w:tplc="22B6F558">
      <w:numFmt w:val="bullet"/>
      <w:lvlText w:val="•"/>
      <w:lvlJc w:val="left"/>
      <w:pPr>
        <w:ind w:left="5557" w:hanging="238"/>
      </w:pPr>
      <w:rPr>
        <w:rFonts w:hint="default"/>
        <w:lang w:val="en-US" w:eastAsia="en-US" w:bidi="ar-SA"/>
      </w:rPr>
    </w:lvl>
    <w:lvl w:ilvl="6" w:tplc="E95ACD4A">
      <w:numFmt w:val="bullet"/>
      <w:lvlText w:val="•"/>
      <w:lvlJc w:val="left"/>
      <w:pPr>
        <w:ind w:left="6622" w:hanging="238"/>
      </w:pPr>
      <w:rPr>
        <w:rFonts w:hint="default"/>
        <w:lang w:val="en-US" w:eastAsia="en-US" w:bidi="ar-SA"/>
      </w:rPr>
    </w:lvl>
    <w:lvl w:ilvl="7" w:tplc="1DF80724">
      <w:numFmt w:val="bullet"/>
      <w:lvlText w:val="•"/>
      <w:lvlJc w:val="left"/>
      <w:pPr>
        <w:ind w:left="7686" w:hanging="238"/>
      </w:pPr>
      <w:rPr>
        <w:rFonts w:hint="default"/>
        <w:lang w:val="en-US" w:eastAsia="en-US" w:bidi="ar-SA"/>
      </w:rPr>
    </w:lvl>
    <w:lvl w:ilvl="8" w:tplc="3BA8F99C">
      <w:numFmt w:val="bullet"/>
      <w:lvlText w:val="•"/>
      <w:lvlJc w:val="left"/>
      <w:pPr>
        <w:ind w:left="8751" w:hanging="238"/>
      </w:pPr>
      <w:rPr>
        <w:rFonts w:hint="default"/>
        <w:lang w:val="en-US" w:eastAsia="en-US" w:bidi="ar-SA"/>
      </w:rPr>
    </w:lvl>
  </w:abstractNum>
  <w:abstractNum w:abstractNumId="7" w15:restartNumberingAfterBreak="0">
    <w:nsid w:val="2FBD136E"/>
    <w:multiLevelType w:val="hybridMultilevel"/>
    <w:tmpl w:val="411885DC"/>
    <w:lvl w:ilvl="0" w:tplc="E8B0509C">
      <w:start w:val="1"/>
      <w:numFmt w:val="decimal"/>
      <w:lvlText w:val="%1."/>
      <w:lvlJc w:val="left"/>
      <w:pPr>
        <w:ind w:left="857" w:hanging="269"/>
        <w:jc w:val="left"/>
      </w:pPr>
      <w:rPr>
        <w:rFonts w:ascii="Arial" w:eastAsia="Arial" w:hAnsi="Arial" w:cs="Arial" w:hint="default"/>
        <w:b/>
        <w:bCs/>
        <w:i/>
        <w:color w:val="231F20"/>
        <w:w w:val="99"/>
        <w:sz w:val="24"/>
        <w:szCs w:val="24"/>
        <w:lang w:val="en-US" w:eastAsia="en-US" w:bidi="ar-SA"/>
      </w:rPr>
    </w:lvl>
    <w:lvl w:ilvl="1" w:tplc="D2CA4430">
      <w:numFmt w:val="bullet"/>
      <w:lvlText w:val="•"/>
      <w:lvlJc w:val="left"/>
      <w:pPr>
        <w:ind w:left="1862" w:hanging="269"/>
      </w:pPr>
      <w:rPr>
        <w:rFonts w:hint="default"/>
        <w:lang w:val="en-US" w:eastAsia="en-US" w:bidi="ar-SA"/>
      </w:rPr>
    </w:lvl>
    <w:lvl w:ilvl="2" w:tplc="5574C56A">
      <w:numFmt w:val="bullet"/>
      <w:lvlText w:val="•"/>
      <w:lvlJc w:val="left"/>
      <w:pPr>
        <w:ind w:left="2864" w:hanging="269"/>
      </w:pPr>
      <w:rPr>
        <w:rFonts w:hint="default"/>
        <w:lang w:val="en-US" w:eastAsia="en-US" w:bidi="ar-SA"/>
      </w:rPr>
    </w:lvl>
    <w:lvl w:ilvl="3" w:tplc="FDAEC378">
      <w:numFmt w:val="bullet"/>
      <w:lvlText w:val="•"/>
      <w:lvlJc w:val="left"/>
      <w:pPr>
        <w:ind w:left="3866" w:hanging="269"/>
      </w:pPr>
      <w:rPr>
        <w:rFonts w:hint="default"/>
        <w:lang w:val="en-US" w:eastAsia="en-US" w:bidi="ar-SA"/>
      </w:rPr>
    </w:lvl>
    <w:lvl w:ilvl="4" w:tplc="882ED944">
      <w:numFmt w:val="bullet"/>
      <w:lvlText w:val="•"/>
      <w:lvlJc w:val="left"/>
      <w:pPr>
        <w:ind w:left="4868" w:hanging="269"/>
      </w:pPr>
      <w:rPr>
        <w:rFonts w:hint="default"/>
        <w:lang w:val="en-US" w:eastAsia="en-US" w:bidi="ar-SA"/>
      </w:rPr>
    </w:lvl>
    <w:lvl w:ilvl="5" w:tplc="A5649660">
      <w:numFmt w:val="bullet"/>
      <w:lvlText w:val="•"/>
      <w:lvlJc w:val="left"/>
      <w:pPr>
        <w:ind w:left="5870" w:hanging="269"/>
      </w:pPr>
      <w:rPr>
        <w:rFonts w:hint="default"/>
        <w:lang w:val="en-US" w:eastAsia="en-US" w:bidi="ar-SA"/>
      </w:rPr>
    </w:lvl>
    <w:lvl w:ilvl="6" w:tplc="86422B12">
      <w:numFmt w:val="bullet"/>
      <w:lvlText w:val="•"/>
      <w:lvlJc w:val="left"/>
      <w:pPr>
        <w:ind w:left="6872" w:hanging="269"/>
      </w:pPr>
      <w:rPr>
        <w:rFonts w:hint="default"/>
        <w:lang w:val="en-US" w:eastAsia="en-US" w:bidi="ar-SA"/>
      </w:rPr>
    </w:lvl>
    <w:lvl w:ilvl="7" w:tplc="BC160F06">
      <w:numFmt w:val="bullet"/>
      <w:lvlText w:val="•"/>
      <w:lvlJc w:val="left"/>
      <w:pPr>
        <w:ind w:left="7874" w:hanging="269"/>
      </w:pPr>
      <w:rPr>
        <w:rFonts w:hint="default"/>
        <w:lang w:val="en-US" w:eastAsia="en-US" w:bidi="ar-SA"/>
      </w:rPr>
    </w:lvl>
    <w:lvl w:ilvl="8" w:tplc="C2BAD932">
      <w:numFmt w:val="bullet"/>
      <w:lvlText w:val="•"/>
      <w:lvlJc w:val="left"/>
      <w:pPr>
        <w:ind w:left="8876" w:hanging="269"/>
      </w:pPr>
      <w:rPr>
        <w:rFonts w:hint="default"/>
        <w:lang w:val="en-US" w:eastAsia="en-US" w:bidi="ar-SA"/>
      </w:rPr>
    </w:lvl>
  </w:abstractNum>
  <w:abstractNum w:abstractNumId="8" w15:restartNumberingAfterBreak="0">
    <w:nsid w:val="30ED3C89"/>
    <w:multiLevelType w:val="hybridMultilevel"/>
    <w:tmpl w:val="0C10097A"/>
    <w:lvl w:ilvl="0" w:tplc="0E7E5EB6">
      <w:numFmt w:val="bullet"/>
      <w:lvlText w:val=""/>
      <w:lvlJc w:val="left"/>
      <w:pPr>
        <w:ind w:left="1292" w:hanging="360"/>
      </w:pPr>
      <w:rPr>
        <w:rFonts w:ascii="Symbol" w:eastAsia="Symbol" w:hAnsi="Symbol" w:cs="Symbol" w:hint="default"/>
        <w:color w:val="231F20"/>
        <w:w w:val="100"/>
        <w:sz w:val="24"/>
        <w:szCs w:val="24"/>
        <w:lang w:val="en-US" w:eastAsia="en-US" w:bidi="ar-SA"/>
      </w:rPr>
    </w:lvl>
    <w:lvl w:ilvl="1" w:tplc="DF9AC2D2">
      <w:numFmt w:val="bullet"/>
      <w:lvlText w:val="o"/>
      <w:lvlJc w:val="left"/>
      <w:pPr>
        <w:ind w:left="2012" w:hanging="360"/>
      </w:pPr>
      <w:rPr>
        <w:rFonts w:ascii="Courier New" w:eastAsia="Courier New" w:hAnsi="Courier New" w:cs="Courier New" w:hint="default"/>
        <w:color w:val="231F20"/>
        <w:w w:val="99"/>
        <w:sz w:val="24"/>
        <w:szCs w:val="24"/>
        <w:lang w:val="en-US" w:eastAsia="en-US" w:bidi="ar-SA"/>
      </w:rPr>
    </w:lvl>
    <w:lvl w:ilvl="2" w:tplc="70C0ED82">
      <w:numFmt w:val="bullet"/>
      <w:lvlText w:val="•"/>
      <w:lvlJc w:val="left"/>
      <w:pPr>
        <w:ind w:left="3004" w:hanging="360"/>
      </w:pPr>
      <w:rPr>
        <w:rFonts w:hint="default"/>
        <w:lang w:val="en-US" w:eastAsia="en-US" w:bidi="ar-SA"/>
      </w:rPr>
    </w:lvl>
    <w:lvl w:ilvl="3" w:tplc="4E102C32">
      <w:numFmt w:val="bullet"/>
      <w:lvlText w:val="•"/>
      <w:lvlJc w:val="left"/>
      <w:pPr>
        <w:ind w:left="3988" w:hanging="360"/>
      </w:pPr>
      <w:rPr>
        <w:rFonts w:hint="default"/>
        <w:lang w:val="en-US" w:eastAsia="en-US" w:bidi="ar-SA"/>
      </w:rPr>
    </w:lvl>
    <w:lvl w:ilvl="4" w:tplc="0246AE32">
      <w:numFmt w:val="bullet"/>
      <w:lvlText w:val="•"/>
      <w:lvlJc w:val="left"/>
      <w:pPr>
        <w:ind w:left="4973" w:hanging="360"/>
      </w:pPr>
      <w:rPr>
        <w:rFonts w:hint="default"/>
        <w:lang w:val="en-US" w:eastAsia="en-US" w:bidi="ar-SA"/>
      </w:rPr>
    </w:lvl>
    <w:lvl w:ilvl="5" w:tplc="37C607B0">
      <w:numFmt w:val="bullet"/>
      <w:lvlText w:val="•"/>
      <w:lvlJc w:val="left"/>
      <w:pPr>
        <w:ind w:left="5957" w:hanging="360"/>
      </w:pPr>
      <w:rPr>
        <w:rFonts w:hint="default"/>
        <w:lang w:val="en-US" w:eastAsia="en-US" w:bidi="ar-SA"/>
      </w:rPr>
    </w:lvl>
    <w:lvl w:ilvl="6" w:tplc="455C6F5E">
      <w:numFmt w:val="bullet"/>
      <w:lvlText w:val="•"/>
      <w:lvlJc w:val="left"/>
      <w:pPr>
        <w:ind w:left="6942" w:hanging="360"/>
      </w:pPr>
      <w:rPr>
        <w:rFonts w:hint="default"/>
        <w:lang w:val="en-US" w:eastAsia="en-US" w:bidi="ar-SA"/>
      </w:rPr>
    </w:lvl>
    <w:lvl w:ilvl="7" w:tplc="DEB0C092">
      <w:numFmt w:val="bullet"/>
      <w:lvlText w:val="•"/>
      <w:lvlJc w:val="left"/>
      <w:pPr>
        <w:ind w:left="7926" w:hanging="360"/>
      </w:pPr>
      <w:rPr>
        <w:rFonts w:hint="default"/>
        <w:lang w:val="en-US" w:eastAsia="en-US" w:bidi="ar-SA"/>
      </w:rPr>
    </w:lvl>
    <w:lvl w:ilvl="8" w:tplc="147ADB3C">
      <w:numFmt w:val="bullet"/>
      <w:lvlText w:val="•"/>
      <w:lvlJc w:val="left"/>
      <w:pPr>
        <w:ind w:left="8911" w:hanging="360"/>
      </w:pPr>
      <w:rPr>
        <w:rFonts w:hint="default"/>
        <w:lang w:val="en-US" w:eastAsia="en-US" w:bidi="ar-SA"/>
      </w:rPr>
    </w:lvl>
  </w:abstractNum>
  <w:abstractNum w:abstractNumId="9" w15:restartNumberingAfterBreak="0">
    <w:nsid w:val="34706BC2"/>
    <w:multiLevelType w:val="hybridMultilevel"/>
    <w:tmpl w:val="7D443F7A"/>
    <w:lvl w:ilvl="0" w:tplc="A5448E3C">
      <w:start w:val="1"/>
      <w:numFmt w:val="decimal"/>
      <w:lvlText w:val="%1."/>
      <w:lvlJc w:val="left"/>
      <w:pPr>
        <w:ind w:left="920" w:hanging="341"/>
        <w:jc w:val="left"/>
      </w:pPr>
      <w:rPr>
        <w:rFonts w:ascii="Times New Roman" w:eastAsia="Times New Roman" w:hAnsi="Times New Roman" w:cs="Times New Roman" w:hint="default"/>
        <w:color w:val="231F20"/>
        <w:spacing w:val="-23"/>
        <w:w w:val="98"/>
        <w:sz w:val="24"/>
        <w:szCs w:val="24"/>
        <w:lang w:val="en-US" w:eastAsia="en-US" w:bidi="ar-SA"/>
      </w:rPr>
    </w:lvl>
    <w:lvl w:ilvl="1" w:tplc="3AAC4D3A">
      <w:start w:val="1"/>
      <w:numFmt w:val="lowerLetter"/>
      <w:lvlText w:val="%2."/>
      <w:lvlJc w:val="left"/>
      <w:pPr>
        <w:ind w:left="1280" w:hanging="329"/>
        <w:jc w:val="left"/>
      </w:pPr>
      <w:rPr>
        <w:rFonts w:ascii="Times New Roman" w:eastAsia="Times New Roman" w:hAnsi="Times New Roman" w:cs="Times New Roman" w:hint="default"/>
        <w:color w:val="231F20"/>
        <w:spacing w:val="-34"/>
        <w:w w:val="98"/>
        <w:sz w:val="24"/>
        <w:szCs w:val="24"/>
        <w:lang w:val="en-US" w:eastAsia="en-US" w:bidi="ar-SA"/>
      </w:rPr>
    </w:lvl>
    <w:lvl w:ilvl="2" w:tplc="20549DA6">
      <w:numFmt w:val="bullet"/>
      <w:lvlText w:val="•"/>
      <w:lvlJc w:val="left"/>
      <w:pPr>
        <w:ind w:left="2346" w:hanging="329"/>
      </w:pPr>
      <w:rPr>
        <w:rFonts w:hint="default"/>
        <w:lang w:val="en-US" w:eastAsia="en-US" w:bidi="ar-SA"/>
      </w:rPr>
    </w:lvl>
    <w:lvl w:ilvl="3" w:tplc="59CEC62E">
      <w:numFmt w:val="bullet"/>
      <w:lvlText w:val="•"/>
      <w:lvlJc w:val="left"/>
      <w:pPr>
        <w:ind w:left="3413" w:hanging="329"/>
      </w:pPr>
      <w:rPr>
        <w:rFonts w:hint="default"/>
        <w:lang w:val="en-US" w:eastAsia="en-US" w:bidi="ar-SA"/>
      </w:rPr>
    </w:lvl>
    <w:lvl w:ilvl="4" w:tplc="8362CBA0">
      <w:numFmt w:val="bullet"/>
      <w:lvlText w:val="•"/>
      <w:lvlJc w:val="left"/>
      <w:pPr>
        <w:ind w:left="4480" w:hanging="329"/>
      </w:pPr>
      <w:rPr>
        <w:rFonts w:hint="default"/>
        <w:lang w:val="en-US" w:eastAsia="en-US" w:bidi="ar-SA"/>
      </w:rPr>
    </w:lvl>
    <w:lvl w:ilvl="5" w:tplc="54A25392">
      <w:numFmt w:val="bullet"/>
      <w:lvlText w:val="•"/>
      <w:lvlJc w:val="left"/>
      <w:pPr>
        <w:ind w:left="5546" w:hanging="329"/>
      </w:pPr>
      <w:rPr>
        <w:rFonts w:hint="default"/>
        <w:lang w:val="en-US" w:eastAsia="en-US" w:bidi="ar-SA"/>
      </w:rPr>
    </w:lvl>
    <w:lvl w:ilvl="6" w:tplc="749E2CDA">
      <w:numFmt w:val="bullet"/>
      <w:lvlText w:val="•"/>
      <w:lvlJc w:val="left"/>
      <w:pPr>
        <w:ind w:left="6613" w:hanging="329"/>
      </w:pPr>
      <w:rPr>
        <w:rFonts w:hint="default"/>
        <w:lang w:val="en-US" w:eastAsia="en-US" w:bidi="ar-SA"/>
      </w:rPr>
    </w:lvl>
    <w:lvl w:ilvl="7" w:tplc="0620796E">
      <w:numFmt w:val="bullet"/>
      <w:lvlText w:val="•"/>
      <w:lvlJc w:val="left"/>
      <w:pPr>
        <w:ind w:left="7680" w:hanging="329"/>
      </w:pPr>
      <w:rPr>
        <w:rFonts w:hint="default"/>
        <w:lang w:val="en-US" w:eastAsia="en-US" w:bidi="ar-SA"/>
      </w:rPr>
    </w:lvl>
    <w:lvl w:ilvl="8" w:tplc="E2C40DAA">
      <w:numFmt w:val="bullet"/>
      <w:lvlText w:val="•"/>
      <w:lvlJc w:val="left"/>
      <w:pPr>
        <w:ind w:left="8746" w:hanging="329"/>
      </w:pPr>
      <w:rPr>
        <w:rFonts w:hint="default"/>
        <w:lang w:val="en-US" w:eastAsia="en-US" w:bidi="ar-SA"/>
      </w:rPr>
    </w:lvl>
  </w:abstractNum>
  <w:abstractNum w:abstractNumId="10" w15:restartNumberingAfterBreak="0">
    <w:nsid w:val="38EB4989"/>
    <w:multiLevelType w:val="hybridMultilevel"/>
    <w:tmpl w:val="B86A4352"/>
    <w:lvl w:ilvl="0" w:tplc="1E28690E">
      <w:start w:val="1"/>
      <w:numFmt w:val="decimal"/>
      <w:lvlText w:val="%1."/>
      <w:lvlJc w:val="left"/>
      <w:pPr>
        <w:ind w:left="1011" w:hanging="356"/>
        <w:jc w:val="left"/>
      </w:pPr>
      <w:rPr>
        <w:rFonts w:ascii="Times New Roman" w:eastAsia="Times New Roman" w:hAnsi="Times New Roman" w:cs="Times New Roman" w:hint="default"/>
        <w:color w:val="231F20"/>
        <w:spacing w:val="-4"/>
        <w:w w:val="98"/>
        <w:sz w:val="24"/>
        <w:szCs w:val="24"/>
        <w:lang w:val="en-US" w:eastAsia="en-US" w:bidi="ar-SA"/>
      </w:rPr>
    </w:lvl>
    <w:lvl w:ilvl="1" w:tplc="9FDE87B8">
      <w:start w:val="1"/>
      <w:numFmt w:val="lowerRoman"/>
      <w:lvlText w:val="(%2)"/>
      <w:lvlJc w:val="left"/>
      <w:pPr>
        <w:ind w:left="1272" w:hanging="344"/>
        <w:jc w:val="left"/>
      </w:pPr>
      <w:rPr>
        <w:rFonts w:ascii="Times New Roman" w:eastAsia="Times New Roman" w:hAnsi="Times New Roman" w:cs="Times New Roman" w:hint="default"/>
        <w:color w:val="231F20"/>
        <w:spacing w:val="-3"/>
        <w:w w:val="98"/>
        <w:sz w:val="24"/>
        <w:szCs w:val="24"/>
        <w:lang w:val="en-US" w:eastAsia="en-US" w:bidi="ar-SA"/>
      </w:rPr>
    </w:lvl>
    <w:lvl w:ilvl="2" w:tplc="19AEA6D6">
      <w:numFmt w:val="bullet"/>
      <w:lvlText w:val="•"/>
      <w:lvlJc w:val="left"/>
      <w:pPr>
        <w:ind w:left="2346" w:hanging="344"/>
      </w:pPr>
      <w:rPr>
        <w:rFonts w:hint="default"/>
        <w:lang w:val="en-US" w:eastAsia="en-US" w:bidi="ar-SA"/>
      </w:rPr>
    </w:lvl>
    <w:lvl w:ilvl="3" w:tplc="08B216B0">
      <w:numFmt w:val="bullet"/>
      <w:lvlText w:val="•"/>
      <w:lvlJc w:val="left"/>
      <w:pPr>
        <w:ind w:left="3413" w:hanging="344"/>
      </w:pPr>
      <w:rPr>
        <w:rFonts w:hint="default"/>
        <w:lang w:val="en-US" w:eastAsia="en-US" w:bidi="ar-SA"/>
      </w:rPr>
    </w:lvl>
    <w:lvl w:ilvl="4" w:tplc="BE0ECDA2">
      <w:numFmt w:val="bullet"/>
      <w:lvlText w:val="•"/>
      <w:lvlJc w:val="left"/>
      <w:pPr>
        <w:ind w:left="4480" w:hanging="344"/>
      </w:pPr>
      <w:rPr>
        <w:rFonts w:hint="default"/>
        <w:lang w:val="en-US" w:eastAsia="en-US" w:bidi="ar-SA"/>
      </w:rPr>
    </w:lvl>
    <w:lvl w:ilvl="5" w:tplc="7C3EC9C6">
      <w:numFmt w:val="bullet"/>
      <w:lvlText w:val="•"/>
      <w:lvlJc w:val="left"/>
      <w:pPr>
        <w:ind w:left="5546" w:hanging="344"/>
      </w:pPr>
      <w:rPr>
        <w:rFonts w:hint="default"/>
        <w:lang w:val="en-US" w:eastAsia="en-US" w:bidi="ar-SA"/>
      </w:rPr>
    </w:lvl>
    <w:lvl w:ilvl="6" w:tplc="3BB4E8BA">
      <w:numFmt w:val="bullet"/>
      <w:lvlText w:val="•"/>
      <w:lvlJc w:val="left"/>
      <w:pPr>
        <w:ind w:left="6613" w:hanging="344"/>
      </w:pPr>
      <w:rPr>
        <w:rFonts w:hint="default"/>
        <w:lang w:val="en-US" w:eastAsia="en-US" w:bidi="ar-SA"/>
      </w:rPr>
    </w:lvl>
    <w:lvl w:ilvl="7" w:tplc="C5AAA00E">
      <w:numFmt w:val="bullet"/>
      <w:lvlText w:val="•"/>
      <w:lvlJc w:val="left"/>
      <w:pPr>
        <w:ind w:left="7680" w:hanging="344"/>
      </w:pPr>
      <w:rPr>
        <w:rFonts w:hint="default"/>
        <w:lang w:val="en-US" w:eastAsia="en-US" w:bidi="ar-SA"/>
      </w:rPr>
    </w:lvl>
    <w:lvl w:ilvl="8" w:tplc="CEECC660">
      <w:numFmt w:val="bullet"/>
      <w:lvlText w:val="•"/>
      <w:lvlJc w:val="left"/>
      <w:pPr>
        <w:ind w:left="8746" w:hanging="344"/>
      </w:pPr>
      <w:rPr>
        <w:rFonts w:hint="default"/>
        <w:lang w:val="en-US" w:eastAsia="en-US" w:bidi="ar-SA"/>
      </w:rPr>
    </w:lvl>
  </w:abstractNum>
  <w:abstractNum w:abstractNumId="11" w15:restartNumberingAfterBreak="0">
    <w:nsid w:val="3A23183F"/>
    <w:multiLevelType w:val="hybridMultilevel"/>
    <w:tmpl w:val="A90CBA88"/>
    <w:lvl w:ilvl="0" w:tplc="9648F3D4">
      <w:start w:val="1"/>
      <w:numFmt w:val="decimal"/>
      <w:lvlText w:val="%1."/>
      <w:lvlJc w:val="left"/>
      <w:pPr>
        <w:ind w:left="896" w:hanging="293"/>
        <w:jc w:val="left"/>
      </w:pPr>
      <w:rPr>
        <w:rFonts w:ascii="Times New Roman" w:eastAsia="Times New Roman" w:hAnsi="Times New Roman" w:cs="Times New Roman" w:hint="default"/>
        <w:color w:val="231F20"/>
        <w:spacing w:val="-28"/>
        <w:w w:val="98"/>
        <w:sz w:val="24"/>
        <w:szCs w:val="24"/>
        <w:lang w:val="en-US" w:eastAsia="en-US" w:bidi="ar-SA"/>
      </w:rPr>
    </w:lvl>
    <w:lvl w:ilvl="1" w:tplc="D6924024">
      <w:start w:val="1"/>
      <w:numFmt w:val="lowerRoman"/>
      <w:lvlText w:val="%2."/>
      <w:lvlJc w:val="left"/>
      <w:pPr>
        <w:ind w:left="1376" w:hanging="360"/>
        <w:jc w:val="left"/>
      </w:pPr>
      <w:rPr>
        <w:rFonts w:ascii="Times New Roman" w:eastAsia="Times New Roman" w:hAnsi="Times New Roman" w:cs="Times New Roman" w:hint="default"/>
        <w:color w:val="231F20"/>
        <w:w w:val="100"/>
        <w:sz w:val="24"/>
        <w:szCs w:val="24"/>
        <w:lang w:val="en-US" w:eastAsia="en-US" w:bidi="ar-SA"/>
      </w:rPr>
    </w:lvl>
    <w:lvl w:ilvl="2" w:tplc="08AE5FEE">
      <w:numFmt w:val="bullet"/>
      <w:lvlText w:val="•"/>
      <w:lvlJc w:val="left"/>
      <w:pPr>
        <w:ind w:left="2435" w:hanging="360"/>
      </w:pPr>
      <w:rPr>
        <w:rFonts w:hint="default"/>
        <w:lang w:val="en-US" w:eastAsia="en-US" w:bidi="ar-SA"/>
      </w:rPr>
    </w:lvl>
    <w:lvl w:ilvl="3" w:tplc="B9488576">
      <w:numFmt w:val="bullet"/>
      <w:lvlText w:val="•"/>
      <w:lvlJc w:val="left"/>
      <w:pPr>
        <w:ind w:left="3491" w:hanging="360"/>
      </w:pPr>
      <w:rPr>
        <w:rFonts w:hint="default"/>
        <w:lang w:val="en-US" w:eastAsia="en-US" w:bidi="ar-SA"/>
      </w:rPr>
    </w:lvl>
    <w:lvl w:ilvl="4" w:tplc="6AC0A2DE">
      <w:numFmt w:val="bullet"/>
      <w:lvlText w:val="•"/>
      <w:lvlJc w:val="left"/>
      <w:pPr>
        <w:ind w:left="4546" w:hanging="360"/>
      </w:pPr>
      <w:rPr>
        <w:rFonts w:hint="default"/>
        <w:lang w:val="en-US" w:eastAsia="en-US" w:bidi="ar-SA"/>
      </w:rPr>
    </w:lvl>
    <w:lvl w:ilvl="5" w:tplc="B13E4B8A">
      <w:numFmt w:val="bullet"/>
      <w:lvlText w:val="•"/>
      <w:lvlJc w:val="left"/>
      <w:pPr>
        <w:ind w:left="5602" w:hanging="360"/>
      </w:pPr>
      <w:rPr>
        <w:rFonts w:hint="default"/>
        <w:lang w:val="en-US" w:eastAsia="en-US" w:bidi="ar-SA"/>
      </w:rPr>
    </w:lvl>
    <w:lvl w:ilvl="6" w:tplc="5A9A5268">
      <w:numFmt w:val="bullet"/>
      <w:lvlText w:val="•"/>
      <w:lvlJc w:val="left"/>
      <w:pPr>
        <w:ind w:left="6657" w:hanging="360"/>
      </w:pPr>
      <w:rPr>
        <w:rFonts w:hint="default"/>
        <w:lang w:val="en-US" w:eastAsia="en-US" w:bidi="ar-SA"/>
      </w:rPr>
    </w:lvl>
    <w:lvl w:ilvl="7" w:tplc="F8F0C096">
      <w:numFmt w:val="bullet"/>
      <w:lvlText w:val="•"/>
      <w:lvlJc w:val="left"/>
      <w:pPr>
        <w:ind w:left="7713" w:hanging="360"/>
      </w:pPr>
      <w:rPr>
        <w:rFonts w:hint="default"/>
        <w:lang w:val="en-US" w:eastAsia="en-US" w:bidi="ar-SA"/>
      </w:rPr>
    </w:lvl>
    <w:lvl w:ilvl="8" w:tplc="DF6848AC">
      <w:numFmt w:val="bullet"/>
      <w:lvlText w:val="•"/>
      <w:lvlJc w:val="left"/>
      <w:pPr>
        <w:ind w:left="8768" w:hanging="360"/>
      </w:pPr>
      <w:rPr>
        <w:rFonts w:hint="default"/>
        <w:lang w:val="en-US" w:eastAsia="en-US" w:bidi="ar-SA"/>
      </w:rPr>
    </w:lvl>
  </w:abstractNum>
  <w:abstractNum w:abstractNumId="12" w15:restartNumberingAfterBreak="0">
    <w:nsid w:val="4086136B"/>
    <w:multiLevelType w:val="hybridMultilevel"/>
    <w:tmpl w:val="411667BA"/>
    <w:lvl w:ilvl="0" w:tplc="DE3EA776">
      <w:start w:val="1"/>
      <w:numFmt w:val="upperLetter"/>
      <w:lvlText w:val="%1."/>
      <w:lvlJc w:val="left"/>
      <w:pPr>
        <w:ind w:left="1306" w:hanging="720"/>
        <w:jc w:val="left"/>
      </w:pPr>
      <w:rPr>
        <w:rFonts w:ascii="Times New Roman" w:eastAsia="Times New Roman" w:hAnsi="Times New Roman" w:cs="Times New Roman" w:hint="default"/>
        <w:color w:val="231F20"/>
        <w:spacing w:val="-4"/>
        <w:w w:val="98"/>
        <w:sz w:val="24"/>
        <w:szCs w:val="24"/>
        <w:lang w:val="en-US" w:eastAsia="en-US" w:bidi="ar-SA"/>
      </w:rPr>
    </w:lvl>
    <w:lvl w:ilvl="1" w:tplc="D0B08758">
      <w:numFmt w:val="bullet"/>
      <w:lvlText w:val="•"/>
      <w:lvlJc w:val="left"/>
      <w:pPr>
        <w:ind w:left="2258" w:hanging="720"/>
      </w:pPr>
      <w:rPr>
        <w:rFonts w:hint="default"/>
        <w:lang w:val="en-US" w:eastAsia="en-US" w:bidi="ar-SA"/>
      </w:rPr>
    </w:lvl>
    <w:lvl w:ilvl="2" w:tplc="D32862A0">
      <w:numFmt w:val="bullet"/>
      <w:lvlText w:val="•"/>
      <w:lvlJc w:val="left"/>
      <w:pPr>
        <w:ind w:left="3216" w:hanging="720"/>
      </w:pPr>
      <w:rPr>
        <w:rFonts w:hint="default"/>
        <w:lang w:val="en-US" w:eastAsia="en-US" w:bidi="ar-SA"/>
      </w:rPr>
    </w:lvl>
    <w:lvl w:ilvl="3" w:tplc="ED1E52B4">
      <w:numFmt w:val="bullet"/>
      <w:lvlText w:val="•"/>
      <w:lvlJc w:val="left"/>
      <w:pPr>
        <w:ind w:left="4174" w:hanging="720"/>
      </w:pPr>
      <w:rPr>
        <w:rFonts w:hint="default"/>
        <w:lang w:val="en-US" w:eastAsia="en-US" w:bidi="ar-SA"/>
      </w:rPr>
    </w:lvl>
    <w:lvl w:ilvl="4" w:tplc="395CDE58">
      <w:numFmt w:val="bullet"/>
      <w:lvlText w:val="•"/>
      <w:lvlJc w:val="left"/>
      <w:pPr>
        <w:ind w:left="5132" w:hanging="720"/>
      </w:pPr>
      <w:rPr>
        <w:rFonts w:hint="default"/>
        <w:lang w:val="en-US" w:eastAsia="en-US" w:bidi="ar-SA"/>
      </w:rPr>
    </w:lvl>
    <w:lvl w:ilvl="5" w:tplc="8B70D3AE">
      <w:numFmt w:val="bullet"/>
      <w:lvlText w:val="•"/>
      <w:lvlJc w:val="left"/>
      <w:pPr>
        <w:ind w:left="6090" w:hanging="720"/>
      </w:pPr>
      <w:rPr>
        <w:rFonts w:hint="default"/>
        <w:lang w:val="en-US" w:eastAsia="en-US" w:bidi="ar-SA"/>
      </w:rPr>
    </w:lvl>
    <w:lvl w:ilvl="6" w:tplc="65A25E5E">
      <w:numFmt w:val="bullet"/>
      <w:lvlText w:val="•"/>
      <w:lvlJc w:val="left"/>
      <w:pPr>
        <w:ind w:left="7048" w:hanging="720"/>
      </w:pPr>
      <w:rPr>
        <w:rFonts w:hint="default"/>
        <w:lang w:val="en-US" w:eastAsia="en-US" w:bidi="ar-SA"/>
      </w:rPr>
    </w:lvl>
    <w:lvl w:ilvl="7" w:tplc="C8B457FE">
      <w:numFmt w:val="bullet"/>
      <w:lvlText w:val="•"/>
      <w:lvlJc w:val="left"/>
      <w:pPr>
        <w:ind w:left="8006" w:hanging="720"/>
      </w:pPr>
      <w:rPr>
        <w:rFonts w:hint="default"/>
        <w:lang w:val="en-US" w:eastAsia="en-US" w:bidi="ar-SA"/>
      </w:rPr>
    </w:lvl>
    <w:lvl w:ilvl="8" w:tplc="066EFB8A">
      <w:numFmt w:val="bullet"/>
      <w:lvlText w:val="•"/>
      <w:lvlJc w:val="left"/>
      <w:pPr>
        <w:ind w:left="8964" w:hanging="720"/>
      </w:pPr>
      <w:rPr>
        <w:rFonts w:hint="default"/>
        <w:lang w:val="en-US" w:eastAsia="en-US" w:bidi="ar-SA"/>
      </w:rPr>
    </w:lvl>
  </w:abstractNum>
  <w:abstractNum w:abstractNumId="13" w15:restartNumberingAfterBreak="0">
    <w:nsid w:val="436D7C9E"/>
    <w:multiLevelType w:val="hybridMultilevel"/>
    <w:tmpl w:val="364EAF6C"/>
    <w:lvl w:ilvl="0" w:tplc="3BEAFC68">
      <w:numFmt w:val="bullet"/>
      <w:lvlText w:val=""/>
      <w:lvlJc w:val="left"/>
      <w:pPr>
        <w:ind w:left="1292" w:hanging="360"/>
      </w:pPr>
      <w:rPr>
        <w:rFonts w:ascii="Symbol" w:eastAsia="Symbol" w:hAnsi="Symbol" w:cs="Symbol" w:hint="default"/>
        <w:color w:val="231F20"/>
        <w:w w:val="100"/>
        <w:sz w:val="24"/>
        <w:szCs w:val="24"/>
        <w:lang w:val="en-US" w:eastAsia="en-US" w:bidi="ar-SA"/>
      </w:rPr>
    </w:lvl>
    <w:lvl w:ilvl="1" w:tplc="A8322004">
      <w:numFmt w:val="bullet"/>
      <w:lvlText w:val="•"/>
      <w:lvlJc w:val="left"/>
      <w:pPr>
        <w:ind w:left="2258" w:hanging="360"/>
      </w:pPr>
      <w:rPr>
        <w:rFonts w:hint="default"/>
        <w:lang w:val="en-US" w:eastAsia="en-US" w:bidi="ar-SA"/>
      </w:rPr>
    </w:lvl>
    <w:lvl w:ilvl="2" w:tplc="AA0E740A">
      <w:numFmt w:val="bullet"/>
      <w:lvlText w:val="•"/>
      <w:lvlJc w:val="left"/>
      <w:pPr>
        <w:ind w:left="3216" w:hanging="360"/>
      </w:pPr>
      <w:rPr>
        <w:rFonts w:hint="default"/>
        <w:lang w:val="en-US" w:eastAsia="en-US" w:bidi="ar-SA"/>
      </w:rPr>
    </w:lvl>
    <w:lvl w:ilvl="3" w:tplc="3A7C105E">
      <w:numFmt w:val="bullet"/>
      <w:lvlText w:val="•"/>
      <w:lvlJc w:val="left"/>
      <w:pPr>
        <w:ind w:left="4174" w:hanging="360"/>
      </w:pPr>
      <w:rPr>
        <w:rFonts w:hint="default"/>
        <w:lang w:val="en-US" w:eastAsia="en-US" w:bidi="ar-SA"/>
      </w:rPr>
    </w:lvl>
    <w:lvl w:ilvl="4" w:tplc="4B045652">
      <w:numFmt w:val="bullet"/>
      <w:lvlText w:val="•"/>
      <w:lvlJc w:val="left"/>
      <w:pPr>
        <w:ind w:left="5132" w:hanging="360"/>
      </w:pPr>
      <w:rPr>
        <w:rFonts w:hint="default"/>
        <w:lang w:val="en-US" w:eastAsia="en-US" w:bidi="ar-SA"/>
      </w:rPr>
    </w:lvl>
    <w:lvl w:ilvl="5" w:tplc="FC70215E">
      <w:numFmt w:val="bullet"/>
      <w:lvlText w:val="•"/>
      <w:lvlJc w:val="left"/>
      <w:pPr>
        <w:ind w:left="6090" w:hanging="360"/>
      </w:pPr>
      <w:rPr>
        <w:rFonts w:hint="default"/>
        <w:lang w:val="en-US" w:eastAsia="en-US" w:bidi="ar-SA"/>
      </w:rPr>
    </w:lvl>
    <w:lvl w:ilvl="6" w:tplc="5EE27704">
      <w:numFmt w:val="bullet"/>
      <w:lvlText w:val="•"/>
      <w:lvlJc w:val="left"/>
      <w:pPr>
        <w:ind w:left="7048" w:hanging="360"/>
      </w:pPr>
      <w:rPr>
        <w:rFonts w:hint="default"/>
        <w:lang w:val="en-US" w:eastAsia="en-US" w:bidi="ar-SA"/>
      </w:rPr>
    </w:lvl>
    <w:lvl w:ilvl="7" w:tplc="547EBCA2">
      <w:numFmt w:val="bullet"/>
      <w:lvlText w:val="•"/>
      <w:lvlJc w:val="left"/>
      <w:pPr>
        <w:ind w:left="8006" w:hanging="360"/>
      </w:pPr>
      <w:rPr>
        <w:rFonts w:hint="default"/>
        <w:lang w:val="en-US" w:eastAsia="en-US" w:bidi="ar-SA"/>
      </w:rPr>
    </w:lvl>
    <w:lvl w:ilvl="8" w:tplc="06CE6926">
      <w:numFmt w:val="bullet"/>
      <w:lvlText w:val="•"/>
      <w:lvlJc w:val="left"/>
      <w:pPr>
        <w:ind w:left="8964" w:hanging="360"/>
      </w:pPr>
      <w:rPr>
        <w:rFonts w:hint="default"/>
        <w:lang w:val="en-US" w:eastAsia="en-US" w:bidi="ar-SA"/>
      </w:rPr>
    </w:lvl>
  </w:abstractNum>
  <w:abstractNum w:abstractNumId="14" w15:restartNumberingAfterBreak="0">
    <w:nsid w:val="43972B4E"/>
    <w:multiLevelType w:val="hybridMultilevel"/>
    <w:tmpl w:val="FB4073AE"/>
    <w:lvl w:ilvl="0" w:tplc="557878BE">
      <w:numFmt w:val="bullet"/>
      <w:lvlText w:val=""/>
      <w:lvlJc w:val="left"/>
      <w:pPr>
        <w:ind w:left="1292" w:hanging="360"/>
      </w:pPr>
      <w:rPr>
        <w:rFonts w:ascii="Symbol" w:eastAsia="Symbol" w:hAnsi="Symbol" w:cs="Symbol" w:hint="default"/>
        <w:color w:val="231F20"/>
        <w:w w:val="100"/>
        <w:sz w:val="24"/>
        <w:szCs w:val="24"/>
        <w:lang w:val="en-US" w:eastAsia="en-US" w:bidi="ar-SA"/>
      </w:rPr>
    </w:lvl>
    <w:lvl w:ilvl="1" w:tplc="8502187C">
      <w:numFmt w:val="bullet"/>
      <w:lvlText w:val="•"/>
      <w:lvlJc w:val="left"/>
      <w:pPr>
        <w:ind w:left="2258" w:hanging="360"/>
      </w:pPr>
      <w:rPr>
        <w:rFonts w:hint="default"/>
        <w:lang w:val="en-US" w:eastAsia="en-US" w:bidi="ar-SA"/>
      </w:rPr>
    </w:lvl>
    <w:lvl w:ilvl="2" w:tplc="93382DE6">
      <w:numFmt w:val="bullet"/>
      <w:lvlText w:val="•"/>
      <w:lvlJc w:val="left"/>
      <w:pPr>
        <w:ind w:left="3216" w:hanging="360"/>
      </w:pPr>
      <w:rPr>
        <w:rFonts w:hint="default"/>
        <w:lang w:val="en-US" w:eastAsia="en-US" w:bidi="ar-SA"/>
      </w:rPr>
    </w:lvl>
    <w:lvl w:ilvl="3" w:tplc="3F76F1E6">
      <w:numFmt w:val="bullet"/>
      <w:lvlText w:val="•"/>
      <w:lvlJc w:val="left"/>
      <w:pPr>
        <w:ind w:left="4174" w:hanging="360"/>
      </w:pPr>
      <w:rPr>
        <w:rFonts w:hint="default"/>
        <w:lang w:val="en-US" w:eastAsia="en-US" w:bidi="ar-SA"/>
      </w:rPr>
    </w:lvl>
    <w:lvl w:ilvl="4" w:tplc="974CC06C">
      <w:numFmt w:val="bullet"/>
      <w:lvlText w:val="•"/>
      <w:lvlJc w:val="left"/>
      <w:pPr>
        <w:ind w:left="5132" w:hanging="360"/>
      </w:pPr>
      <w:rPr>
        <w:rFonts w:hint="default"/>
        <w:lang w:val="en-US" w:eastAsia="en-US" w:bidi="ar-SA"/>
      </w:rPr>
    </w:lvl>
    <w:lvl w:ilvl="5" w:tplc="7676F626">
      <w:numFmt w:val="bullet"/>
      <w:lvlText w:val="•"/>
      <w:lvlJc w:val="left"/>
      <w:pPr>
        <w:ind w:left="6090" w:hanging="360"/>
      </w:pPr>
      <w:rPr>
        <w:rFonts w:hint="default"/>
        <w:lang w:val="en-US" w:eastAsia="en-US" w:bidi="ar-SA"/>
      </w:rPr>
    </w:lvl>
    <w:lvl w:ilvl="6" w:tplc="D3E821BC">
      <w:numFmt w:val="bullet"/>
      <w:lvlText w:val="•"/>
      <w:lvlJc w:val="left"/>
      <w:pPr>
        <w:ind w:left="7048" w:hanging="360"/>
      </w:pPr>
      <w:rPr>
        <w:rFonts w:hint="default"/>
        <w:lang w:val="en-US" w:eastAsia="en-US" w:bidi="ar-SA"/>
      </w:rPr>
    </w:lvl>
    <w:lvl w:ilvl="7" w:tplc="A52E3EE8">
      <w:numFmt w:val="bullet"/>
      <w:lvlText w:val="•"/>
      <w:lvlJc w:val="left"/>
      <w:pPr>
        <w:ind w:left="8006" w:hanging="360"/>
      </w:pPr>
      <w:rPr>
        <w:rFonts w:hint="default"/>
        <w:lang w:val="en-US" w:eastAsia="en-US" w:bidi="ar-SA"/>
      </w:rPr>
    </w:lvl>
    <w:lvl w:ilvl="8" w:tplc="A69A0AA2">
      <w:numFmt w:val="bullet"/>
      <w:lvlText w:val="•"/>
      <w:lvlJc w:val="left"/>
      <w:pPr>
        <w:ind w:left="8964" w:hanging="360"/>
      </w:pPr>
      <w:rPr>
        <w:rFonts w:hint="default"/>
        <w:lang w:val="en-US" w:eastAsia="en-US" w:bidi="ar-SA"/>
      </w:rPr>
    </w:lvl>
  </w:abstractNum>
  <w:abstractNum w:abstractNumId="15" w15:restartNumberingAfterBreak="0">
    <w:nsid w:val="504C2EE8"/>
    <w:multiLevelType w:val="hybridMultilevel"/>
    <w:tmpl w:val="68D652CE"/>
    <w:lvl w:ilvl="0" w:tplc="2C7ABC9A">
      <w:start w:val="1"/>
      <w:numFmt w:val="decimal"/>
      <w:lvlText w:val="%1."/>
      <w:lvlJc w:val="left"/>
      <w:pPr>
        <w:ind w:left="720" w:hanging="269"/>
        <w:jc w:val="left"/>
      </w:pPr>
      <w:rPr>
        <w:rFonts w:ascii="Arial" w:eastAsia="Arial" w:hAnsi="Arial" w:cs="Arial" w:hint="default"/>
        <w:b/>
        <w:bCs/>
        <w:i/>
        <w:w w:val="99"/>
        <w:sz w:val="24"/>
        <w:szCs w:val="24"/>
        <w:lang w:val="en-US" w:eastAsia="en-US" w:bidi="ar-SA"/>
      </w:rPr>
    </w:lvl>
    <w:lvl w:ilvl="1" w:tplc="CF3CE702">
      <w:numFmt w:val="bullet"/>
      <w:lvlText w:val="•"/>
      <w:lvlJc w:val="left"/>
      <w:pPr>
        <w:ind w:left="1736" w:hanging="269"/>
      </w:pPr>
      <w:rPr>
        <w:rFonts w:hint="default"/>
        <w:lang w:val="en-US" w:eastAsia="en-US" w:bidi="ar-SA"/>
      </w:rPr>
    </w:lvl>
    <w:lvl w:ilvl="2" w:tplc="D31A32D0">
      <w:numFmt w:val="bullet"/>
      <w:lvlText w:val="•"/>
      <w:lvlJc w:val="left"/>
      <w:pPr>
        <w:ind w:left="2752" w:hanging="269"/>
      </w:pPr>
      <w:rPr>
        <w:rFonts w:hint="default"/>
        <w:lang w:val="en-US" w:eastAsia="en-US" w:bidi="ar-SA"/>
      </w:rPr>
    </w:lvl>
    <w:lvl w:ilvl="3" w:tplc="BC6C2198">
      <w:numFmt w:val="bullet"/>
      <w:lvlText w:val="•"/>
      <w:lvlJc w:val="left"/>
      <w:pPr>
        <w:ind w:left="3768" w:hanging="269"/>
      </w:pPr>
      <w:rPr>
        <w:rFonts w:hint="default"/>
        <w:lang w:val="en-US" w:eastAsia="en-US" w:bidi="ar-SA"/>
      </w:rPr>
    </w:lvl>
    <w:lvl w:ilvl="4" w:tplc="0F7A1C66">
      <w:numFmt w:val="bullet"/>
      <w:lvlText w:val="•"/>
      <w:lvlJc w:val="left"/>
      <w:pPr>
        <w:ind w:left="4784" w:hanging="269"/>
      </w:pPr>
      <w:rPr>
        <w:rFonts w:hint="default"/>
        <w:lang w:val="en-US" w:eastAsia="en-US" w:bidi="ar-SA"/>
      </w:rPr>
    </w:lvl>
    <w:lvl w:ilvl="5" w:tplc="D37CBF46">
      <w:numFmt w:val="bullet"/>
      <w:lvlText w:val="•"/>
      <w:lvlJc w:val="left"/>
      <w:pPr>
        <w:ind w:left="5800" w:hanging="269"/>
      </w:pPr>
      <w:rPr>
        <w:rFonts w:hint="default"/>
        <w:lang w:val="en-US" w:eastAsia="en-US" w:bidi="ar-SA"/>
      </w:rPr>
    </w:lvl>
    <w:lvl w:ilvl="6" w:tplc="5CBABBD0">
      <w:numFmt w:val="bullet"/>
      <w:lvlText w:val="•"/>
      <w:lvlJc w:val="left"/>
      <w:pPr>
        <w:ind w:left="6816" w:hanging="269"/>
      </w:pPr>
      <w:rPr>
        <w:rFonts w:hint="default"/>
        <w:lang w:val="en-US" w:eastAsia="en-US" w:bidi="ar-SA"/>
      </w:rPr>
    </w:lvl>
    <w:lvl w:ilvl="7" w:tplc="CC520CF8">
      <w:numFmt w:val="bullet"/>
      <w:lvlText w:val="•"/>
      <w:lvlJc w:val="left"/>
      <w:pPr>
        <w:ind w:left="7832" w:hanging="269"/>
      </w:pPr>
      <w:rPr>
        <w:rFonts w:hint="default"/>
        <w:lang w:val="en-US" w:eastAsia="en-US" w:bidi="ar-SA"/>
      </w:rPr>
    </w:lvl>
    <w:lvl w:ilvl="8" w:tplc="C6F2E00C">
      <w:numFmt w:val="bullet"/>
      <w:lvlText w:val="•"/>
      <w:lvlJc w:val="left"/>
      <w:pPr>
        <w:ind w:left="8848" w:hanging="269"/>
      </w:pPr>
      <w:rPr>
        <w:rFonts w:hint="default"/>
        <w:lang w:val="en-US" w:eastAsia="en-US" w:bidi="ar-SA"/>
      </w:rPr>
    </w:lvl>
  </w:abstractNum>
  <w:abstractNum w:abstractNumId="16" w15:restartNumberingAfterBreak="0">
    <w:nsid w:val="53227683"/>
    <w:multiLevelType w:val="hybridMultilevel"/>
    <w:tmpl w:val="90D24E46"/>
    <w:lvl w:ilvl="0" w:tplc="3F840ECE">
      <w:start w:val="1"/>
      <w:numFmt w:val="decimal"/>
      <w:lvlText w:val="%1."/>
      <w:lvlJc w:val="left"/>
      <w:pPr>
        <w:ind w:left="452" w:hanging="447"/>
        <w:jc w:val="left"/>
      </w:pPr>
      <w:rPr>
        <w:rFonts w:ascii="Times New Roman" w:eastAsia="Times New Roman" w:hAnsi="Times New Roman" w:cs="Times New Roman" w:hint="default"/>
        <w:i/>
        <w:w w:val="100"/>
        <w:sz w:val="22"/>
        <w:szCs w:val="22"/>
        <w:lang w:val="en-US" w:eastAsia="en-US" w:bidi="ar-SA"/>
      </w:rPr>
    </w:lvl>
    <w:lvl w:ilvl="1" w:tplc="31281836">
      <w:numFmt w:val="bullet"/>
      <w:lvlText w:val="•"/>
      <w:lvlJc w:val="left"/>
      <w:pPr>
        <w:ind w:left="1502" w:hanging="447"/>
      </w:pPr>
      <w:rPr>
        <w:rFonts w:hint="default"/>
        <w:lang w:val="en-US" w:eastAsia="en-US" w:bidi="ar-SA"/>
      </w:rPr>
    </w:lvl>
    <w:lvl w:ilvl="2" w:tplc="5928B860">
      <w:numFmt w:val="bullet"/>
      <w:lvlText w:val="•"/>
      <w:lvlJc w:val="left"/>
      <w:pPr>
        <w:ind w:left="2544" w:hanging="447"/>
      </w:pPr>
      <w:rPr>
        <w:rFonts w:hint="default"/>
        <w:lang w:val="en-US" w:eastAsia="en-US" w:bidi="ar-SA"/>
      </w:rPr>
    </w:lvl>
    <w:lvl w:ilvl="3" w:tplc="E85EE492">
      <w:numFmt w:val="bullet"/>
      <w:lvlText w:val="•"/>
      <w:lvlJc w:val="left"/>
      <w:pPr>
        <w:ind w:left="3586" w:hanging="447"/>
      </w:pPr>
      <w:rPr>
        <w:rFonts w:hint="default"/>
        <w:lang w:val="en-US" w:eastAsia="en-US" w:bidi="ar-SA"/>
      </w:rPr>
    </w:lvl>
    <w:lvl w:ilvl="4" w:tplc="5FCA273C">
      <w:numFmt w:val="bullet"/>
      <w:lvlText w:val="•"/>
      <w:lvlJc w:val="left"/>
      <w:pPr>
        <w:ind w:left="4628" w:hanging="447"/>
      </w:pPr>
      <w:rPr>
        <w:rFonts w:hint="default"/>
        <w:lang w:val="en-US" w:eastAsia="en-US" w:bidi="ar-SA"/>
      </w:rPr>
    </w:lvl>
    <w:lvl w:ilvl="5" w:tplc="A0E60DD6">
      <w:numFmt w:val="bullet"/>
      <w:lvlText w:val="•"/>
      <w:lvlJc w:val="left"/>
      <w:pPr>
        <w:ind w:left="5670" w:hanging="447"/>
      </w:pPr>
      <w:rPr>
        <w:rFonts w:hint="default"/>
        <w:lang w:val="en-US" w:eastAsia="en-US" w:bidi="ar-SA"/>
      </w:rPr>
    </w:lvl>
    <w:lvl w:ilvl="6" w:tplc="076AD680">
      <w:numFmt w:val="bullet"/>
      <w:lvlText w:val="•"/>
      <w:lvlJc w:val="left"/>
      <w:pPr>
        <w:ind w:left="6712" w:hanging="447"/>
      </w:pPr>
      <w:rPr>
        <w:rFonts w:hint="default"/>
        <w:lang w:val="en-US" w:eastAsia="en-US" w:bidi="ar-SA"/>
      </w:rPr>
    </w:lvl>
    <w:lvl w:ilvl="7" w:tplc="AB382550">
      <w:numFmt w:val="bullet"/>
      <w:lvlText w:val="•"/>
      <w:lvlJc w:val="left"/>
      <w:pPr>
        <w:ind w:left="7754" w:hanging="447"/>
      </w:pPr>
      <w:rPr>
        <w:rFonts w:hint="default"/>
        <w:lang w:val="en-US" w:eastAsia="en-US" w:bidi="ar-SA"/>
      </w:rPr>
    </w:lvl>
    <w:lvl w:ilvl="8" w:tplc="BD9CC3F4">
      <w:numFmt w:val="bullet"/>
      <w:lvlText w:val="•"/>
      <w:lvlJc w:val="left"/>
      <w:pPr>
        <w:ind w:left="8796" w:hanging="447"/>
      </w:pPr>
      <w:rPr>
        <w:rFonts w:hint="default"/>
        <w:lang w:val="en-US" w:eastAsia="en-US" w:bidi="ar-SA"/>
      </w:rPr>
    </w:lvl>
  </w:abstractNum>
  <w:abstractNum w:abstractNumId="17" w15:restartNumberingAfterBreak="0">
    <w:nsid w:val="5407638C"/>
    <w:multiLevelType w:val="hybridMultilevel"/>
    <w:tmpl w:val="61521AAC"/>
    <w:lvl w:ilvl="0" w:tplc="A3D4673A">
      <w:start w:val="1"/>
      <w:numFmt w:val="decimal"/>
      <w:lvlText w:val="%1."/>
      <w:lvlJc w:val="left"/>
      <w:pPr>
        <w:ind w:left="992" w:hanging="322"/>
        <w:jc w:val="left"/>
      </w:pPr>
      <w:rPr>
        <w:rFonts w:ascii="Times New Roman" w:eastAsia="Times New Roman" w:hAnsi="Times New Roman" w:cs="Times New Roman" w:hint="default"/>
        <w:color w:val="231F20"/>
        <w:spacing w:val="-17"/>
        <w:w w:val="93"/>
        <w:sz w:val="24"/>
        <w:szCs w:val="24"/>
        <w:lang w:val="en-US" w:eastAsia="en-US" w:bidi="ar-SA"/>
      </w:rPr>
    </w:lvl>
    <w:lvl w:ilvl="1" w:tplc="9FA64704">
      <w:numFmt w:val="bullet"/>
      <w:lvlText w:val="•"/>
      <w:lvlJc w:val="left"/>
      <w:pPr>
        <w:ind w:left="1988" w:hanging="322"/>
      </w:pPr>
      <w:rPr>
        <w:rFonts w:hint="default"/>
        <w:lang w:val="en-US" w:eastAsia="en-US" w:bidi="ar-SA"/>
      </w:rPr>
    </w:lvl>
    <w:lvl w:ilvl="2" w:tplc="BD32965C">
      <w:numFmt w:val="bullet"/>
      <w:lvlText w:val="•"/>
      <w:lvlJc w:val="left"/>
      <w:pPr>
        <w:ind w:left="2976" w:hanging="322"/>
      </w:pPr>
      <w:rPr>
        <w:rFonts w:hint="default"/>
        <w:lang w:val="en-US" w:eastAsia="en-US" w:bidi="ar-SA"/>
      </w:rPr>
    </w:lvl>
    <w:lvl w:ilvl="3" w:tplc="CB66BDAA">
      <w:numFmt w:val="bullet"/>
      <w:lvlText w:val="•"/>
      <w:lvlJc w:val="left"/>
      <w:pPr>
        <w:ind w:left="3964" w:hanging="322"/>
      </w:pPr>
      <w:rPr>
        <w:rFonts w:hint="default"/>
        <w:lang w:val="en-US" w:eastAsia="en-US" w:bidi="ar-SA"/>
      </w:rPr>
    </w:lvl>
    <w:lvl w:ilvl="4" w:tplc="CDB4FFEC">
      <w:numFmt w:val="bullet"/>
      <w:lvlText w:val="•"/>
      <w:lvlJc w:val="left"/>
      <w:pPr>
        <w:ind w:left="4952" w:hanging="322"/>
      </w:pPr>
      <w:rPr>
        <w:rFonts w:hint="default"/>
        <w:lang w:val="en-US" w:eastAsia="en-US" w:bidi="ar-SA"/>
      </w:rPr>
    </w:lvl>
    <w:lvl w:ilvl="5" w:tplc="C95C7D96">
      <w:numFmt w:val="bullet"/>
      <w:lvlText w:val="•"/>
      <w:lvlJc w:val="left"/>
      <w:pPr>
        <w:ind w:left="5940" w:hanging="322"/>
      </w:pPr>
      <w:rPr>
        <w:rFonts w:hint="default"/>
        <w:lang w:val="en-US" w:eastAsia="en-US" w:bidi="ar-SA"/>
      </w:rPr>
    </w:lvl>
    <w:lvl w:ilvl="6" w:tplc="5A9EC592">
      <w:numFmt w:val="bullet"/>
      <w:lvlText w:val="•"/>
      <w:lvlJc w:val="left"/>
      <w:pPr>
        <w:ind w:left="6928" w:hanging="322"/>
      </w:pPr>
      <w:rPr>
        <w:rFonts w:hint="default"/>
        <w:lang w:val="en-US" w:eastAsia="en-US" w:bidi="ar-SA"/>
      </w:rPr>
    </w:lvl>
    <w:lvl w:ilvl="7" w:tplc="0400E36C">
      <w:numFmt w:val="bullet"/>
      <w:lvlText w:val="•"/>
      <w:lvlJc w:val="left"/>
      <w:pPr>
        <w:ind w:left="7916" w:hanging="322"/>
      </w:pPr>
      <w:rPr>
        <w:rFonts w:hint="default"/>
        <w:lang w:val="en-US" w:eastAsia="en-US" w:bidi="ar-SA"/>
      </w:rPr>
    </w:lvl>
    <w:lvl w:ilvl="8" w:tplc="24DEA9DE">
      <w:numFmt w:val="bullet"/>
      <w:lvlText w:val="•"/>
      <w:lvlJc w:val="left"/>
      <w:pPr>
        <w:ind w:left="8904" w:hanging="322"/>
      </w:pPr>
      <w:rPr>
        <w:rFonts w:hint="default"/>
        <w:lang w:val="en-US" w:eastAsia="en-US" w:bidi="ar-SA"/>
      </w:rPr>
    </w:lvl>
  </w:abstractNum>
  <w:abstractNum w:abstractNumId="18" w15:restartNumberingAfterBreak="0">
    <w:nsid w:val="55544789"/>
    <w:multiLevelType w:val="hybridMultilevel"/>
    <w:tmpl w:val="37FAE476"/>
    <w:lvl w:ilvl="0" w:tplc="0C6267F6">
      <w:start w:val="1"/>
      <w:numFmt w:val="upperLetter"/>
      <w:lvlText w:val="%1."/>
      <w:lvlJc w:val="left"/>
      <w:pPr>
        <w:ind w:left="803" w:hanging="358"/>
        <w:jc w:val="left"/>
      </w:pPr>
      <w:rPr>
        <w:rFonts w:ascii="Times New Roman" w:eastAsia="Times New Roman" w:hAnsi="Times New Roman" w:cs="Times New Roman" w:hint="default"/>
        <w:color w:val="231F20"/>
        <w:spacing w:val="-1"/>
        <w:w w:val="99"/>
        <w:position w:val="1"/>
        <w:sz w:val="24"/>
        <w:szCs w:val="24"/>
        <w:lang w:val="en-US" w:eastAsia="en-US" w:bidi="ar-SA"/>
      </w:rPr>
    </w:lvl>
    <w:lvl w:ilvl="1" w:tplc="9F22458A">
      <w:numFmt w:val="bullet"/>
      <w:lvlText w:val="•"/>
      <w:lvlJc w:val="left"/>
      <w:pPr>
        <w:ind w:left="1289" w:hanging="358"/>
      </w:pPr>
      <w:rPr>
        <w:rFonts w:hint="default"/>
        <w:lang w:val="en-US" w:eastAsia="en-US" w:bidi="ar-SA"/>
      </w:rPr>
    </w:lvl>
    <w:lvl w:ilvl="2" w:tplc="2960C916">
      <w:numFmt w:val="bullet"/>
      <w:lvlText w:val="•"/>
      <w:lvlJc w:val="left"/>
      <w:pPr>
        <w:ind w:left="1779" w:hanging="358"/>
      </w:pPr>
      <w:rPr>
        <w:rFonts w:hint="default"/>
        <w:lang w:val="en-US" w:eastAsia="en-US" w:bidi="ar-SA"/>
      </w:rPr>
    </w:lvl>
    <w:lvl w:ilvl="3" w:tplc="D4381DB4">
      <w:numFmt w:val="bullet"/>
      <w:lvlText w:val="•"/>
      <w:lvlJc w:val="left"/>
      <w:pPr>
        <w:ind w:left="2269" w:hanging="358"/>
      </w:pPr>
      <w:rPr>
        <w:rFonts w:hint="default"/>
        <w:lang w:val="en-US" w:eastAsia="en-US" w:bidi="ar-SA"/>
      </w:rPr>
    </w:lvl>
    <w:lvl w:ilvl="4" w:tplc="F9A4BDFC">
      <w:numFmt w:val="bullet"/>
      <w:lvlText w:val="•"/>
      <w:lvlJc w:val="left"/>
      <w:pPr>
        <w:ind w:left="2759" w:hanging="358"/>
      </w:pPr>
      <w:rPr>
        <w:rFonts w:hint="default"/>
        <w:lang w:val="en-US" w:eastAsia="en-US" w:bidi="ar-SA"/>
      </w:rPr>
    </w:lvl>
    <w:lvl w:ilvl="5" w:tplc="197C2110">
      <w:numFmt w:val="bullet"/>
      <w:lvlText w:val="•"/>
      <w:lvlJc w:val="left"/>
      <w:pPr>
        <w:ind w:left="3249" w:hanging="358"/>
      </w:pPr>
      <w:rPr>
        <w:rFonts w:hint="default"/>
        <w:lang w:val="en-US" w:eastAsia="en-US" w:bidi="ar-SA"/>
      </w:rPr>
    </w:lvl>
    <w:lvl w:ilvl="6" w:tplc="C22A6F90">
      <w:numFmt w:val="bullet"/>
      <w:lvlText w:val="•"/>
      <w:lvlJc w:val="left"/>
      <w:pPr>
        <w:ind w:left="3738" w:hanging="358"/>
      </w:pPr>
      <w:rPr>
        <w:rFonts w:hint="default"/>
        <w:lang w:val="en-US" w:eastAsia="en-US" w:bidi="ar-SA"/>
      </w:rPr>
    </w:lvl>
    <w:lvl w:ilvl="7" w:tplc="69A0BA6A">
      <w:numFmt w:val="bullet"/>
      <w:lvlText w:val="•"/>
      <w:lvlJc w:val="left"/>
      <w:pPr>
        <w:ind w:left="4228" w:hanging="358"/>
      </w:pPr>
      <w:rPr>
        <w:rFonts w:hint="default"/>
        <w:lang w:val="en-US" w:eastAsia="en-US" w:bidi="ar-SA"/>
      </w:rPr>
    </w:lvl>
    <w:lvl w:ilvl="8" w:tplc="0AACEA2E">
      <w:numFmt w:val="bullet"/>
      <w:lvlText w:val="•"/>
      <w:lvlJc w:val="left"/>
      <w:pPr>
        <w:ind w:left="4718" w:hanging="358"/>
      </w:pPr>
      <w:rPr>
        <w:rFonts w:hint="default"/>
        <w:lang w:val="en-US" w:eastAsia="en-US" w:bidi="ar-SA"/>
      </w:rPr>
    </w:lvl>
  </w:abstractNum>
  <w:abstractNum w:abstractNumId="19" w15:restartNumberingAfterBreak="0">
    <w:nsid w:val="584E77F5"/>
    <w:multiLevelType w:val="hybridMultilevel"/>
    <w:tmpl w:val="97702E10"/>
    <w:lvl w:ilvl="0" w:tplc="85B6FE04">
      <w:start w:val="1"/>
      <w:numFmt w:val="decimal"/>
      <w:lvlText w:val="%1."/>
      <w:lvlJc w:val="left"/>
      <w:pPr>
        <w:ind w:left="1532" w:hanging="360"/>
        <w:jc w:val="left"/>
      </w:pPr>
      <w:rPr>
        <w:rFonts w:ascii="Times New Roman" w:eastAsia="Times New Roman" w:hAnsi="Times New Roman" w:cs="Times New Roman" w:hint="default"/>
        <w:w w:val="100"/>
        <w:sz w:val="24"/>
        <w:szCs w:val="24"/>
        <w:lang w:val="en-US" w:eastAsia="en-US" w:bidi="ar-SA"/>
      </w:rPr>
    </w:lvl>
    <w:lvl w:ilvl="1" w:tplc="789A33FA">
      <w:numFmt w:val="bullet"/>
      <w:lvlText w:val="•"/>
      <w:lvlJc w:val="left"/>
      <w:pPr>
        <w:ind w:left="2474" w:hanging="360"/>
      </w:pPr>
      <w:rPr>
        <w:rFonts w:hint="default"/>
        <w:lang w:val="en-US" w:eastAsia="en-US" w:bidi="ar-SA"/>
      </w:rPr>
    </w:lvl>
    <w:lvl w:ilvl="2" w:tplc="5872A594">
      <w:numFmt w:val="bullet"/>
      <w:lvlText w:val="•"/>
      <w:lvlJc w:val="left"/>
      <w:pPr>
        <w:ind w:left="3408" w:hanging="360"/>
      </w:pPr>
      <w:rPr>
        <w:rFonts w:hint="default"/>
        <w:lang w:val="en-US" w:eastAsia="en-US" w:bidi="ar-SA"/>
      </w:rPr>
    </w:lvl>
    <w:lvl w:ilvl="3" w:tplc="A1DE3FAA">
      <w:numFmt w:val="bullet"/>
      <w:lvlText w:val="•"/>
      <w:lvlJc w:val="left"/>
      <w:pPr>
        <w:ind w:left="4342" w:hanging="360"/>
      </w:pPr>
      <w:rPr>
        <w:rFonts w:hint="default"/>
        <w:lang w:val="en-US" w:eastAsia="en-US" w:bidi="ar-SA"/>
      </w:rPr>
    </w:lvl>
    <w:lvl w:ilvl="4" w:tplc="DC846A16">
      <w:numFmt w:val="bullet"/>
      <w:lvlText w:val="•"/>
      <w:lvlJc w:val="left"/>
      <w:pPr>
        <w:ind w:left="5276" w:hanging="360"/>
      </w:pPr>
      <w:rPr>
        <w:rFonts w:hint="default"/>
        <w:lang w:val="en-US" w:eastAsia="en-US" w:bidi="ar-SA"/>
      </w:rPr>
    </w:lvl>
    <w:lvl w:ilvl="5" w:tplc="5E241F40">
      <w:numFmt w:val="bullet"/>
      <w:lvlText w:val="•"/>
      <w:lvlJc w:val="left"/>
      <w:pPr>
        <w:ind w:left="6210" w:hanging="360"/>
      </w:pPr>
      <w:rPr>
        <w:rFonts w:hint="default"/>
        <w:lang w:val="en-US" w:eastAsia="en-US" w:bidi="ar-SA"/>
      </w:rPr>
    </w:lvl>
    <w:lvl w:ilvl="6" w:tplc="30EE7A66">
      <w:numFmt w:val="bullet"/>
      <w:lvlText w:val="•"/>
      <w:lvlJc w:val="left"/>
      <w:pPr>
        <w:ind w:left="7144" w:hanging="360"/>
      </w:pPr>
      <w:rPr>
        <w:rFonts w:hint="default"/>
        <w:lang w:val="en-US" w:eastAsia="en-US" w:bidi="ar-SA"/>
      </w:rPr>
    </w:lvl>
    <w:lvl w:ilvl="7" w:tplc="0C5211BE">
      <w:numFmt w:val="bullet"/>
      <w:lvlText w:val="•"/>
      <w:lvlJc w:val="left"/>
      <w:pPr>
        <w:ind w:left="8078" w:hanging="360"/>
      </w:pPr>
      <w:rPr>
        <w:rFonts w:hint="default"/>
        <w:lang w:val="en-US" w:eastAsia="en-US" w:bidi="ar-SA"/>
      </w:rPr>
    </w:lvl>
    <w:lvl w:ilvl="8" w:tplc="10F87DEE">
      <w:numFmt w:val="bullet"/>
      <w:lvlText w:val="•"/>
      <w:lvlJc w:val="left"/>
      <w:pPr>
        <w:ind w:left="9012" w:hanging="360"/>
      </w:pPr>
      <w:rPr>
        <w:rFonts w:hint="default"/>
        <w:lang w:val="en-US" w:eastAsia="en-US" w:bidi="ar-SA"/>
      </w:rPr>
    </w:lvl>
  </w:abstractNum>
  <w:abstractNum w:abstractNumId="20" w15:restartNumberingAfterBreak="0">
    <w:nsid w:val="5CE75A12"/>
    <w:multiLevelType w:val="hybridMultilevel"/>
    <w:tmpl w:val="4A04CE3E"/>
    <w:lvl w:ilvl="0" w:tplc="C2A85FC2">
      <w:start w:val="1"/>
      <w:numFmt w:val="decimal"/>
      <w:lvlText w:val="%1."/>
      <w:lvlJc w:val="left"/>
      <w:pPr>
        <w:ind w:left="864" w:hanging="195"/>
        <w:jc w:val="left"/>
      </w:pPr>
      <w:rPr>
        <w:rFonts w:ascii="Times New Roman" w:eastAsia="Times New Roman" w:hAnsi="Times New Roman" w:cs="Times New Roman" w:hint="default"/>
        <w:color w:val="231F20"/>
        <w:spacing w:val="-25"/>
        <w:w w:val="88"/>
        <w:sz w:val="24"/>
        <w:szCs w:val="24"/>
        <w:lang w:val="en-US" w:eastAsia="en-US" w:bidi="ar-SA"/>
      </w:rPr>
    </w:lvl>
    <w:lvl w:ilvl="1" w:tplc="20D25C16">
      <w:numFmt w:val="bullet"/>
      <w:lvlText w:val="•"/>
      <w:lvlJc w:val="left"/>
      <w:pPr>
        <w:ind w:left="1862" w:hanging="195"/>
      </w:pPr>
      <w:rPr>
        <w:rFonts w:hint="default"/>
        <w:lang w:val="en-US" w:eastAsia="en-US" w:bidi="ar-SA"/>
      </w:rPr>
    </w:lvl>
    <w:lvl w:ilvl="2" w:tplc="4BAC7246">
      <w:numFmt w:val="bullet"/>
      <w:lvlText w:val="•"/>
      <w:lvlJc w:val="left"/>
      <w:pPr>
        <w:ind w:left="2864" w:hanging="195"/>
      </w:pPr>
      <w:rPr>
        <w:rFonts w:hint="default"/>
        <w:lang w:val="en-US" w:eastAsia="en-US" w:bidi="ar-SA"/>
      </w:rPr>
    </w:lvl>
    <w:lvl w:ilvl="3" w:tplc="89C00100">
      <w:numFmt w:val="bullet"/>
      <w:lvlText w:val="•"/>
      <w:lvlJc w:val="left"/>
      <w:pPr>
        <w:ind w:left="3866" w:hanging="195"/>
      </w:pPr>
      <w:rPr>
        <w:rFonts w:hint="default"/>
        <w:lang w:val="en-US" w:eastAsia="en-US" w:bidi="ar-SA"/>
      </w:rPr>
    </w:lvl>
    <w:lvl w:ilvl="4" w:tplc="B44A04E4">
      <w:numFmt w:val="bullet"/>
      <w:lvlText w:val="•"/>
      <w:lvlJc w:val="left"/>
      <w:pPr>
        <w:ind w:left="4868" w:hanging="195"/>
      </w:pPr>
      <w:rPr>
        <w:rFonts w:hint="default"/>
        <w:lang w:val="en-US" w:eastAsia="en-US" w:bidi="ar-SA"/>
      </w:rPr>
    </w:lvl>
    <w:lvl w:ilvl="5" w:tplc="E40E8348">
      <w:numFmt w:val="bullet"/>
      <w:lvlText w:val="•"/>
      <w:lvlJc w:val="left"/>
      <w:pPr>
        <w:ind w:left="5870" w:hanging="195"/>
      </w:pPr>
      <w:rPr>
        <w:rFonts w:hint="default"/>
        <w:lang w:val="en-US" w:eastAsia="en-US" w:bidi="ar-SA"/>
      </w:rPr>
    </w:lvl>
    <w:lvl w:ilvl="6" w:tplc="E7BE0582">
      <w:numFmt w:val="bullet"/>
      <w:lvlText w:val="•"/>
      <w:lvlJc w:val="left"/>
      <w:pPr>
        <w:ind w:left="6872" w:hanging="195"/>
      </w:pPr>
      <w:rPr>
        <w:rFonts w:hint="default"/>
        <w:lang w:val="en-US" w:eastAsia="en-US" w:bidi="ar-SA"/>
      </w:rPr>
    </w:lvl>
    <w:lvl w:ilvl="7" w:tplc="A82E75C2">
      <w:numFmt w:val="bullet"/>
      <w:lvlText w:val="•"/>
      <w:lvlJc w:val="left"/>
      <w:pPr>
        <w:ind w:left="7874" w:hanging="195"/>
      </w:pPr>
      <w:rPr>
        <w:rFonts w:hint="default"/>
        <w:lang w:val="en-US" w:eastAsia="en-US" w:bidi="ar-SA"/>
      </w:rPr>
    </w:lvl>
    <w:lvl w:ilvl="8" w:tplc="2D486808">
      <w:numFmt w:val="bullet"/>
      <w:lvlText w:val="•"/>
      <w:lvlJc w:val="left"/>
      <w:pPr>
        <w:ind w:left="8876" w:hanging="195"/>
      </w:pPr>
      <w:rPr>
        <w:rFonts w:hint="default"/>
        <w:lang w:val="en-US" w:eastAsia="en-US" w:bidi="ar-SA"/>
      </w:rPr>
    </w:lvl>
  </w:abstractNum>
  <w:abstractNum w:abstractNumId="21" w15:restartNumberingAfterBreak="0">
    <w:nsid w:val="62897854"/>
    <w:multiLevelType w:val="hybridMultilevel"/>
    <w:tmpl w:val="E77E6E76"/>
    <w:lvl w:ilvl="0" w:tplc="2948F24A">
      <w:start w:val="1"/>
      <w:numFmt w:val="decimal"/>
      <w:lvlText w:val="%1."/>
      <w:lvlJc w:val="left"/>
      <w:pPr>
        <w:ind w:left="915" w:hanging="296"/>
        <w:jc w:val="left"/>
      </w:pPr>
      <w:rPr>
        <w:rFonts w:ascii="Times New Roman" w:eastAsia="Times New Roman" w:hAnsi="Times New Roman" w:cs="Times New Roman" w:hint="default"/>
        <w:color w:val="231F20"/>
        <w:spacing w:val="-25"/>
        <w:w w:val="88"/>
        <w:sz w:val="24"/>
        <w:szCs w:val="24"/>
        <w:lang w:val="en-US" w:eastAsia="en-US" w:bidi="ar-SA"/>
      </w:rPr>
    </w:lvl>
    <w:lvl w:ilvl="1" w:tplc="A5A66A3A">
      <w:numFmt w:val="bullet"/>
      <w:lvlText w:val="•"/>
      <w:lvlJc w:val="left"/>
      <w:pPr>
        <w:ind w:left="1916" w:hanging="296"/>
      </w:pPr>
      <w:rPr>
        <w:rFonts w:hint="default"/>
        <w:lang w:val="en-US" w:eastAsia="en-US" w:bidi="ar-SA"/>
      </w:rPr>
    </w:lvl>
    <w:lvl w:ilvl="2" w:tplc="AF78448E">
      <w:numFmt w:val="bullet"/>
      <w:lvlText w:val="•"/>
      <w:lvlJc w:val="left"/>
      <w:pPr>
        <w:ind w:left="2912" w:hanging="296"/>
      </w:pPr>
      <w:rPr>
        <w:rFonts w:hint="default"/>
        <w:lang w:val="en-US" w:eastAsia="en-US" w:bidi="ar-SA"/>
      </w:rPr>
    </w:lvl>
    <w:lvl w:ilvl="3" w:tplc="6028357A">
      <w:numFmt w:val="bullet"/>
      <w:lvlText w:val="•"/>
      <w:lvlJc w:val="left"/>
      <w:pPr>
        <w:ind w:left="3908" w:hanging="296"/>
      </w:pPr>
      <w:rPr>
        <w:rFonts w:hint="default"/>
        <w:lang w:val="en-US" w:eastAsia="en-US" w:bidi="ar-SA"/>
      </w:rPr>
    </w:lvl>
    <w:lvl w:ilvl="4" w:tplc="FB2A1E6A">
      <w:numFmt w:val="bullet"/>
      <w:lvlText w:val="•"/>
      <w:lvlJc w:val="left"/>
      <w:pPr>
        <w:ind w:left="4904" w:hanging="296"/>
      </w:pPr>
      <w:rPr>
        <w:rFonts w:hint="default"/>
        <w:lang w:val="en-US" w:eastAsia="en-US" w:bidi="ar-SA"/>
      </w:rPr>
    </w:lvl>
    <w:lvl w:ilvl="5" w:tplc="179C3B04">
      <w:numFmt w:val="bullet"/>
      <w:lvlText w:val="•"/>
      <w:lvlJc w:val="left"/>
      <w:pPr>
        <w:ind w:left="5900" w:hanging="296"/>
      </w:pPr>
      <w:rPr>
        <w:rFonts w:hint="default"/>
        <w:lang w:val="en-US" w:eastAsia="en-US" w:bidi="ar-SA"/>
      </w:rPr>
    </w:lvl>
    <w:lvl w:ilvl="6" w:tplc="540CD6E0">
      <w:numFmt w:val="bullet"/>
      <w:lvlText w:val="•"/>
      <w:lvlJc w:val="left"/>
      <w:pPr>
        <w:ind w:left="6896" w:hanging="296"/>
      </w:pPr>
      <w:rPr>
        <w:rFonts w:hint="default"/>
        <w:lang w:val="en-US" w:eastAsia="en-US" w:bidi="ar-SA"/>
      </w:rPr>
    </w:lvl>
    <w:lvl w:ilvl="7" w:tplc="C5F85A14">
      <w:numFmt w:val="bullet"/>
      <w:lvlText w:val="•"/>
      <w:lvlJc w:val="left"/>
      <w:pPr>
        <w:ind w:left="7892" w:hanging="296"/>
      </w:pPr>
      <w:rPr>
        <w:rFonts w:hint="default"/>
        <w:lang w:val="en-US" w:eastAsia="en-US" w:bidi="ar-SA"/>
      </w:rPr>
    </w:lvl>
    <w:lvl w:ilvl="8" w:tplc="408A53C6">
      <w:numFmt w:val="bullet"/>
      <w:lvlText w:val="•"/>
      <w:lvlJc w:val="left"/>
      <w:pPr>
        <w:ind w:left="8888" w:hanging="296"/>
      </w:pPr>
      <w:rPr>
        <w:rFonts w:hint="default"/>
        <w:lang w:val="en-US" w:eastAsia="en-US" w:bidi="ar-SA"/>
      </w:rPr>
    </w:lvl>
  </w:abstractNum>
  <w:abstractNum w:abstractNumId="22" w15:restartNumberingAfterBreak="0">
    <w:nsid w:val="67951B9F"/>
    <w:multiLevelType w:val="hybridMultilevel"/>
    <w:tmpl w:val="9510051C"/>
    <w:lvl w:ilvl="0" w:tplc="4E38146C">
      <w:start w:val="1"/>
      <w:numFmt w:val="decimal"/>
      <w:lvlText w:val="%1."/>
      <w:lvlJc w:val="left"/>
      <w:pPr>
        <w:ind w:left="634" w:hanging="346"/>
        <w:jc w:val="left"/>
      </w:pPr>
      <w:rPr>
        <w:rFonts w:ascii="Times New Roman" w:eastAsia="Times New Roman" w:hAnsi="Times New Roman" w:cs="Times New Roman" w:hint="default"/>
        <w:spacing w:val="-17"/>
        <w:w w:val="100"/>
        <w:sz w:val="24"/>
        <w:szCs w:val="24"/>
        <w:lang w:val="en-US" w:eastAsia="en-US" w:bidi="ar-SA"/>
      </w:rPr>
    </w:lvl>
    <w:lvl w:ilvl="1" w:tplc="BF34B0E2">
      <w:numFmt w:val="bullet"/>
      <w:lvlText w:val="•"/>
      <w:lvlJc w:val="left"/>
      <w:pPr>
        <w:ind w:left="1664" w:hanging="346"/>
      </w:pPr>
      <w:rPr>
        <w:rFonts w:hint="default"/>
        <w:lang w:val="en-US" w:eastAsia="en-US" w:bidi="ar-SA"/>
      </w:rPr>
    </w:lvl>
    <w:lvl w:ilvl="2" w:tplc="56764100">
      <w:numFmt w:val="bullet"/>
      <w:lvlText w:val="•"/>
      <w:lvlJc w:val="left"/>
      <w:pPr>
        <w:ind w:left="2688" w:hanging="346"/>
      </w:pPr>
      <w:rPr>
        <w:rFonts w:hint="default"/>
        <w:lang w:val="en-US" w:eastAsia="en-US" w:bidi="ar-SA"/>
      </w:rPr>
    </w:lvl>
    <w:lvl w:ilvl="3" w:tplc="1AA480EA">
      <w:numFmt w:val="bullet"/>
      <w:lvlText w:val="•"/>
      <w:lvlJc w:val="left"/>
      <w:pPr>
        <w:ind w:left="3712" w:hanging="346"/>
      </w:pPr>
      <w:rPr>
        <w:rFonts w:hint="default"/>
        <w:lang w:val="en-US" w:eastAsia="en-US" w:bidi="ar-SA"/>
      </w:rPr>
    </w:lvl>
    <w:lvl w:ilvl="4" w:tplc="099046D6">
      <w:numFmt w:val="bullet"/>
      <w:lvlText w:val="•"/>
      <w:lvlJc w:val="left"/>
      <w:pPr>
        <w:ind w:left="4736" w:hanging="346"/>
      </w:pPr>
      <w:rPr>
        <w:rFonts w:hint="default"/>
        <w:lang w:val="en-US" w:eastAsia="en-US" w:bidi="ar-SA"/>
      </w:rPr>
    </w:lvl>
    <w:lvl w:ilvl="5" w:tplc="E006F558">
      <w:numFmt w:val="bullet"/>
      <w:lvlText w:val="•"/>
      <w:lvlJc w:val="left"/>
      <w:pPr>
        <w:ind w:left="5760" w:hanging="346"/>
      </w:pPr>
      <w:rPr>
        <w:rFonts w:hint="default"/>
        <w:lang w:val="en-US" w:eastAsia="en-US" w:bidi="ar-SA"/>
      </w:rPr>
    </w:lvl>
    <w:lvl w:ilvl="6" w:tplc="D96ECB7A">
      <w:numFmt w:val="bullet"/>
      <w:lvlText w:val="•"/>
      <w:lvlJc w:val="left"/>
      <w:pPr>
        <w:ind w:left="6784" w:hanging="346"/>
      </w:pPr>
      <w:rPr>
        <w:rFonts w:hint="default"/>
        <w:lang w:val="en-US" w:eastAsia="en-US" w:bidi="ar-SA"/>
      </w:rPr>
    </w:lvl>
    <w:lvl w:ilvl="7" w:tplc="86A85812">
      <w:numFmt w:val="bullet"/>
      <w:lvlText w:val="•"/>
      <w:lvlJc w:val="left"/>
      <w:pPr>
        <w:ind w:left="7808" w:hanging="346"/>
      </w:pPr>
      <w:rPr>
        <w:rFonts w:hint="default"/>
        <w:lang w:val="en-US" w:eastAsia="en-US" w:bidi="ar-SA"/>
      </w:rPr>
    </w:lvl>
    <w:lvl w:ilvl="8" w:tplc="09D6A1D6">
      <w:numFmt w:val="bullet"/>
      <w:lvlText w:val="•"/>
      <w:lvlJc w:val="left"/>
      <w:pPr>
        <w:ind w:left="8832" w:hanging="346"/>
      </w:pPr>
      <w:rPr>
        <w:rFonts w:hint="default"/>
        <w:lang w:val="en-US" w:eastAsia="en-US" w:bidi="ar-SA"/>
      </w:rPr>
    </w:lvl>
  </w:abstractNum>
  <w:abstractNum w:abstractNumId="23" w15:restartNumberingAfterBreak="0">
    <w:nsid w:val="70EC59D0"/>
    <w:multiLevelType w:val="hybridMultilevel"/>
    <w:tmpl w:val="B9767744"/>
    <w:lvl w:ilvl="0" w:tplc="FBB861BE">
      <w:numFmt w:val="bullet"/>
      <w:lvlText w:val=""/>
      <w:lvlJc w:val="left"/>
      <w:pPr>
        <w:ind w:left="1292" w:hanging="360"/>
      </w:pPr>
      <w:rPr>
        <w:rFonts w:ascii="Symbol" w:eastAsia="Symbol" w:hAnsi="Symbol" w:cs="Symbol" w:hint="default"/>
        <w:color w:val="231F20"/>
        <w:w w:val="100"/>
        <w:sz w:val="24"/>
        <w:szCs w:val="24"/>
        <w:lang w:val="en-US" w:eastAsia="en-US" w:bidi="ar-SA"/>
      </w:rPr>
    </w:lvl>
    <w:lvl w:ilvl="1" w:tplc="12B2A1D2">
      <w:numFmt w:val="bullet"/>
      <w:lvlText w:val="•"/>
      <w:lvlJc w:val="left"/>
      <w:pPr>
        <w:ind w:left="2258" w:hanging="360"/>
      </w:pPr>
      <w:rPr>
        <w:rFonts w:hint="default"/>
        <w:lang w:val="en-US" w:eastAsia="en-US" w:bidi="ar-SA"/>
      </w:rPr>
    </w:lvl>
    <w:lvl w:ilvl="2" w:tplc="5F969994">
      <w:numFmt w:val="bullet"/>
      <w:lvlText w:val="•"/>
      <w:lvlJc w:val="left"/>
      <w:pPr>
        <w:ind w:left="3216" w:hanging="360"/>
      </w:pPr>
      <w:rPr>
        <w:rFonts w:hint="default"/>
        <w:lang w:val="en-US" w:eastAsia="en-US" w:bidi="ar-SA"/>
      </w:rPr>
    </w:lvl>
    <w:lvl w:ilvl="3" w:tplc="54747ECC">
      <w:numFmt w:val="bullet"/>
      <w:lvlText w:val="•"/>
      <w:lvlJc w:val="left"/>
      <w:pPr>
        <w:ind w:left="4174" w:hanging="360"/>
      </w:pPr>
      <w:rPr>
        <w:rFonts w:hint="default"/>
        <w:lang w:val="en-US" w:eastAsia="en-US" w:bidi="ar-SA"/>
      </w:rPr>
    </w:lvl>
    <w:lvl w:ilvl="4" w:tplc="B89CB038">
      <w:numFmt w:val="bullet"/>
      <w:lvlText w:val="•"/>
      <w:lvlJc w:val="left"/>
      <w:pPr>
        <w:ind w:left="5132" w:hanging="360"/>
      </w:pPr>
      <w:rPr>
        <w:rFonts w:hint="default"/>
        <w:lang w:val="en-US" w:eastAsia="en-US" w:bidi="ar-SA"/>
      </w:rPr>
    </w:lvl>
    <w:lvl w:ilvl="5" w:tplc="D08E93C6">
      <w:numFmt w:val="bullet"/>
      <w:lvlText w:val="•"/>
      <w:lvlJc w:val="left"/>
      <w:pPr>
        <w:ind w:left="6090" w:hanging="360"/>
      </w:pPr>
      <w:rPr>
        <w:rFonts w:hint="default"/>
        <w:lang w:val="en-US" w:eastAsia="en-US" w:bidi="ar-SA"/>
      </w:rPr>
    </w:lvl>
    <w:lvl w:ilvl="6" w:tplc="96DCE3FA">
      <w:numFmt w:val="bullet"/>
      <w:lvlText w:val="•"/>
      <w:lvlJc w:val="left"/>
      <w:pPr>
        <w:ind w:left="7048" w:hanging="360"/>
      </w:pPr>
      <w:rPr>
        <w:rFonts w:hint="default"/>
        <w:lang w:val="en-US" w:eastAsia="en-US" w:bidi="ar-SA"/>
      </w:rPr>
    </w:lvl>
    <w:lvl w:ilvl="7" w:tplc="82F43BF0">
      <w:numFmt w:val="bullet"/>
      <w:lvlText w:val="•"/>
      <w:lvlJc w:val="left"/>
      <w:pPr>
        <w:ind w:left="8006" w:hanging="360"/>
      </w:pPr>
      <w:rPr>
        <w:rFonts w:hint="default"/>
        <w:lang w:val="en-US" w:eastAsia="en-US" w:bidi="ar-SA"/>
      </w:rPr>
    </w:lvl>
    <w:lvl w:ilvl="8" w:tplc="B158EE56">
      <w:numFmt w:val="bullet"/>
      <w:lvlText w:val="•"/>
      <w:lvlJc w:val="left"/>
      <w:pPr>
        <w:ind w:left="8964" w:hanging="360"/>
      </w:pPr>
      <w:rPr>
        <w:rFonts w:hint="default"/>
        <w:lang w:val="en-US" w:eastAsia="en-US" w:bidi="ar-SA"/>
      </w:rPr>
    </w:lvl>
  </w:abstractNum>
  <w:abstractNum w:abstractNumId="24" w15:restartNumberingAfterBreak="0">
    <w:nsid w:val="76F72E02"/>
    <w:multiLevelType w:val="hybridMultilevel"/>
    <w:tmpl w:val="66264F0C"/>
    <w:lvl w:ilvl="0" w:tplc="DA5CBBB2">
      <w:start w:val="1"/>
      <w:numFmt w:val="decimal"/>
      <w:lvlText w:val="%1."/>
      <w:lvlJc w:val="left"/>
      <w:pPr>
        <w:ind w:left="922" w:hanging="300"/>
        <w:jc w:val="left"/>
      </w:pPr>
      <w:rPr>
        <w:rFonts w:ascii="Times New Roman" w:eastAsia="Times New Roman" w:hAnsi="Times New Roman" w:cs="Times New Roman" w:hint="default"/>
        <w:color w:val="231F20"/>
        <w:spacing w:val="-25"/>
        <w:w w:val="88"/>
        <w:sz w:val="24"/>
        <w:szCs w:val="24"/>
        <w:lang w:val="en-US" w:eastAsia="en-US" w:bidi="ar-SA"/>
      </w:rPr>
    </w:lvl>
    <w:lvl w:ilvl="1" w:tplc="3B8838CA">
      <w:numFmt w:val="bullet"/>
      <w:lvlText w:val="•"/>
      <w:lvlJc w:val="left"/>
      <w:pPr>
        <w:ind w:left="1916" w:hanging="300"/>
      </w:pPr>
      <w:rPr>
        <w:rFonts w:hint="default"/>
        <w:lang w:val="en-US" w:eastAsia="en-US" w:bidi="ar-SA"/>
      </w:rPr>
    </w:lvl>
    <w:lvl w:ilvl="2" w:tplc="F68CFDAC">
      <w:numFmt w:val="bullet"/>
      <w:lvlText w:val="•"/>
      <w:lvlJc w:val="left"/>
      <w:pPr>
        <w:ind w:left="2912" w:hanging="300"/>
      </w:pPr>
      <w:rPr>
        <w:rFonts w:hint="default"/>
        <w:lang w:val="en-US" w:eastAsia="en-US" w:bidi="ar-SA"/>
      </w:rPr>
    </w:lvl>
    <w:lvl w:ilvl="3" w:tplc="3A621E1C">
      <w:numFmt w:val="bullet"/>
      <w:lvlText w:val="•"/>
      <w:lvlJc w:val="left"/>
      <w:pPr>
        <w:ind w:left="3908" w:hanging="300"/>
      </w:pPr>
      <w:rPr>
        <w:rFonts w:hint="default"/>
        <w:lang w:val="en-US" w:eastAsia="en-US" w:bidi="ar-SA"/>
      </w:rPr>
    </w:lvl>
    <w:lvl w:ilvl="4" w:tplc="8B56D196">
      <w:numFmt w:val="bullet"/>
      <w:lvlText w:val="•"/>
      <w:lvlJc w:val="left"/>
      <w:pPr>
        <w:ind w:left="4904" w:hanging="300"/>
      </w:pPr>
      <w:rPr>
        <w:rFonts w:hint="default"/>
        <w:lang w:val="en-US" w:eastAsia="en-US" w:bidi="ar-SA"/>
      </w:rPr>
    </w:lvl>
    <w:lvl w:ilvl="5" w:tplc="EFBA670E">
      <w:numFmt w:val="bullet"/>
      <w:lvlText w:val="•"/>
      <w:lvlJc w:val="left"/>
      <w:pPr>
        <w:ind w:left="5900" w:hanging="300"/>
      </w:pPr>
      <w:rPr>
        <w:rFonts w:hint="default"/>
        <w:lang w:val="en-US" w:eastAsia="en-US" w:bidi="ar-SA"/>
      </w:rPr>
    </w:lvl>
    <w:lvl w:ilvl="6" w:tplc="1A8AA470">
      <w:numFmt w:val="bullet"/>
      <w:lvlText w:val="•"/>
      <w:lvlJc w:val="left"/>
      <w:pPr>
        <w:ind w:left="6896" w:hanging="300"/>
      </w:pPr>
      <w:rPr>
        <w:rFonts w:hint="default"/>
        <w:lang w:val="en-US" w:eastAsia="en-US" w:bidi="ar-SA"/>
      </w:rPr>
    </w:lvl>
    <w:lvl w:ilvl="7" w:tplc="C4E89992">
      <w:numFmt w:val="bullet"/>
      <w:lvlText w:val="•"/>
      <w:lvlJc w:val="left"/>
      <w:pPr>
        <w:ind w:left="7892" w:hanging="300"/>
      </w:pPr>
      <w:rPr>
        <w:rFonts w:hint="default"/>
        <w:lang w:val="en-US" w:eastAsia="en-US" w:bidi="ar-SA"/>
      </w:rPr>
    </w:lvl>
    <w:lvl w:ilvl="8" w:tplc="078E4432">
      <w:numFmt w:val="bullet"/>
      <w:lvlText w:val="•"/>
      <w:lvlJc w:val="left"/>
      <w:pPr>
        <w:ind w:left="8888" w:hanging="300"/>
      </w:pPr>
      <w:rPr>
        <w:rFonts w:hint="default"/>
        <w:lang w:val="en-US" w:eastAsia="en-US" w:bidi="ar-SA"/>
      </w:rPr>
    </w:lvl>
  </w:abstractNum>
  <w:abstractNum w:abstractNumId="25" w15:restartNumberingAfterBreak="0">
    <w:nsid w:val="79E22E8B"/>
    <w:multiLevelType w:val="hybridMultilevel"/>
    <w:tmpl w:val="AA9C94D6"/>
    <w:lvl w:ilvl="0" w:tplc="44D648D8">
      <w:start w:val="1"/>
      <w:numFmt w:val="decimal"/>
      <w:lvlText w:val="%1."/>
      <w:lvlJc w:val="left"/>
      <w:pPr>
        <w:ind w:left="634" w:hanging="240"/>
        <w:jc w:val="left"/>
      </w:pPr>
      <w:rPr>
        <w:rFonts w:hint="default"/>
        <w:i/>
        <w:w w:val="100"/>
        <w:lang w:val="en-US" w:eastAsia="en-US" w:bidi="ar-SA"/>
      </w:rPr>
    </w:lvl>
    <w:lvl w:ilvl="1" w:tplc="08E464A2">
      <w:numFmt w:val="bullet"/>
      <w:lvlText w:val="•"/>
      <w:lvlJc w:val="left"/>
      <w:pPr>
        <w:ind w:left="1664" w:hanging="240"/>
      </w:pPr>
      <w:rPr>
        <w:rFonts w:hint="default"/>
        <w:lang w:val="en-US" w:eastAsia="en-US" w:bidi="ar-SA"/>
      </w:rPr>
    </w:lvl>
    <w:lvl w:ilvl="2" w:tplc="09D46C88">
      <w:numFmt w:val="bullet"/>
      <w:lvlText w:val="•"/>
      <w:lvlJc w:val="left"/>
      <w:pPr>
        <w:ind w:left="2688" w:hanging="240"/>
      </w:pPr>
      <w:rPr>
        <w:rFonts w:hint="default"/>
        <w:lang w:val="en-US" w:eastAsia="en-US" w:bidi="ar-SA"/>
      </w:rPr>
    </w:lvl>
    <w:lvl w:ilvl="3" w:tplc="29423A92">
      <w:numFmt w:val="bullet"/>
      <w:lvlText w:val="•"/>
      <w:lvlJc w:val="left"/>
      <w:pPr>
        <w:ind w:left="3712" w:hanging="240"/>
      </w:pPr>
      <w:rPr>
        <w:rFonts w:hint="default"/>
        <w:lang w:val="en-US" w:eastAsia="en-US" w:bidi="ar-SA"/>
      </w:rPr>
    </w:lvl>
    <w:lvl w:ilvl="4" w:tplc="3C50408A">
      <w:numFmt w:val="bullet"/>
      <w:lvlText w:val="•"/>
      <w:lvlJc w:val="left"/>
      <w:pPr>
        <w:ind w:left="4736" w:hanging="240"/>
      </w:pPr>
      <w:rPr>
        <w:rFonts w:hint="default"/>
        <w:lang w:val="en-US" w:eastAsia="en-US" w:bidi="ar-SA"/>
      </w:rPr>
    </w:lvl>
    <w:lvl w:ilvl="5" w:tplc="6194EBF8">
      <w:numFmt w:val="bullet"/>
      <w:lvlText w:val="•"/>
      <w:lvlJc w:val="left"/>
      <w:pPr>
        <w:ind w:left="5760" w:hanging="240"/>
      </w:pPr>
      <w:rPr>
        <w:rFonts w:hint="default"/>
        <w:lang w:val="en-US" w:eastAsia="en-US" w:bidi="ar-SA"/>
      </w:rPr>
    </w:lvl>
    <w:lvl w:ilvl="6" w:tplc="2B3877F4">
      <w:numFmt w:val="bullet"/>
      <w:lvlText w:val="•"/>
      <w:lvlJc w:val="left"/>
      <w:pPr>
        <w:ind w:left="6784" w:hanging="240"/>
      </w:pPr>
      <w:rPr>
        <w:rFonts w:hint="default"/>
        <w:lang w:val="en-US" w:eastAsia="en-US" w:bidi="ar-SA"/>
      </w:rPr>
    </w:lvl>
    <w:lvl w:ilvl="7" w:tplc="31482204">
      <w:numFmt w:val="bullet"/>
      <w:lvlText w:val="•"/>
      <w:lvlJc w:val="left"/>
      <w:pPr>
        <w:ind w:left="7808" w:hanging="240"/>
      </w:pPr>
      <w:rPr>
        <w:rFonts w:hint="default"/>
        <w:lang w:val="en-US" w:eastAsia="en-US" w:bidi="ar-SA"/>
      </w:rPr>
    </w:lvl>
    <w:lvl w:ilvl="8" w:tplc="6E9245B0">
      <w:numFmt w:val="bullet"/>
      <w:lvlText w:val="•"/>
      <w:lvlJc w:val="left"/>
      <w:pPr>
        <w:ind w:left="8832" w:hanging="240"/>
      </w:pPr>
      <w:rPr>
        <w:rFonts w:hint="default"/>
        <w:lang w:val="en-US" w:eastAsia="en-US" w:bidi="ar-SA"/>
      </w:rPr>
    </w:lvl>
  </w:abstractNum>
  <w:abstractNum w:abstractNumId="26" w15:restartNumberingAfterBreak="0">
    <w:nsid w:val="7CCE4662"/>
    <w:multiLevelType w:val="hybridMultilevel"/>
    <w:tmpl w:val="9FE20994"/>
    <w:lvl w:ilvl="0" w:tplc="D68C6174">
      <w:start w:val="1"/>
      <w:numFmt w:val="decimal"/>
      <w:lvlText w:val="(%1)"/>
      <w:lvlJc w:val="left"/>
      <w:pPr>
        <w:ind w:left="452" w:hanging="339"/>
        <w:jc w:val="left"/>
      </w:pPr>
      <w:rPr>
        <w:rFonts w:ascii="Times New Roman" w:eastAsia="Times New Roman" w:hAnsi="Times New Roman" w:cs="Times New Roman" w:hint="default"/>
        <w:spacing w:val="-1"/>
        <w:w w:val="99"/>
        <w:sz w:val="24"/>
        <w:szCs w:val="24"/>
        <w:lang w:val="en-US" w:eastAsia="en-US" w:bidi="ar-SA"/>
      </w:rPr>
    </w:lvl>
    <w:lvl w:ilvl="1" w:tplc="F35CAE00">
      <w:numFmt w:val="bullet"/>
      <w:lvlText w:val="•"/>
      <w:lvlJc w:val="left"/>
      <w:pPr>
        <w:ind w:left="1502" w:hanging="339"/>
      </w:pPr>
      <w:rPr>
        <w:rFonts w:hint="default"/>
        <w:lang w:val="en-US" w:eastAsia="en-US" w:bidi="ar-SA"/>
      </w:rPr>
    </w:lvl>
    <w:lvl w:ilvl="2" w:tplc="E4C639AA">
      <w:numFmt w:val="bullet"/>
      <w:lvlText w:val="•"/>
      <w:lvlJc w:val="left"/>
      <w:pPr>
        <w:ind w:left="2544" w:hanging="339"/>
      </w:pPr>
      <w:rPr>
        <w:rFonts w:hint="default"/>
        <w:lang w:val="en-US" w:eastAsia="en-US" w:bidi="ar-SA"/>
      </w:rPr>
    </w:lvl>
    <w:lvl w:ilvl="3" w:tplc="85B269D2">
      <w:numFmt w:val="bullet"/>
      <w:lvlText w:val="•"/>
      <w:lvlJc w:val="left"/>
      <w:pPr>
        <w:ind w:left="3586" w:hanging="339"/>
      </w:pPr>
      <w:rPr>
        <w:rFonts w:hint="default"/>
        <w:lang w:val="en-US" w:eastAsia="en-US" w:bidi="ar-SA"/>
      </w:rPr>
    </w:lvl>
    <w:lvl w:ilvl="4" w:tplc="231068B2">
      <w:numFmt w:val="bullet"/>
      <w:lvlText w:val="•"/>
      <w:lvlJc w:val="left"/>
      <w:pPr>
        <w:ind w:left="4628" w:hanging="339"/>
      </w:pPr>
      <w:rPr>
        <w:rFonts w:hint="default"/>
        <w:lang w:val="en-US" w:eastAsia="en-US" w:bidi="ar-SA"/>
      </w:rPr>
    </w:lvl>
    <w:lvl w:ilvl="5" w:tplc="04B8812A">
      <w:numFmt w:val="bullet"/>
      <w:lvlText w:val="•"/>
      <w:lvlJc w:val="left"/>
      <w:pPr>
        <w:ind w:left="5670" w:hanging="339"/>
      </w:pPr>
      <w:rPr>
        <w:rFonts w:hint="default"/>
        <w:lang w:val="en-US" w:eastAsia="en-US" w:bidi="ar-SA"/>
      </w:rPr>
    </w:lvl>
    <w:lvl w:ilvl="6" w:tplc="CEFC0E08">
      <w:numFmt w:val="bullet"/>
      <w:lvlText w:val="•"/>
      <w:lvlJc w:val="left"/>
      <w:pPr>
        <w:ind w:left="6712" w:hanging="339"/>
      </w:pPr>
      <w:rPr>
        <w:rFonts w:hint="default"/>
        <w:lang w:val="en-US" w:eastAsia="en-US" w:bidi="ar-SA"/>
      </w:rPr>
    </w:lvl>
    <w:lvl w:ilvl="7" w:tplc="AD1A4184">
      <w:numFmt w:val="bullet"/>
      <w:lvlText w:val="•"/>
      <w:lvlJc w:val="left"/>
      <w:pPr>
        <w:ind w:left="7754" w:hanging="339"/>
      </w:pPr>
      <w:rPr>
        <w:rFonts w:hint="default"/>
        <w:lang w:val="en-US" w:eastAsia="en-US" w:bidi="ar-SA"/>
      </w:rPr>
    </w:lvl>
    <w:lvl w:ilvl="8" w:tplc="CBB0B5EC">
      <w:numFmt w:val="bullet"/>
      <w:lvlText w:val="•"/>
      <w:lvlJc w:val="left"/>
      <w:pPr>
        <w:ind w:left="8796" w:hanging="339"/>
      </w:pPr>
      <w:rPr>
        <w:rFonts w:hint="default"/>
        <w:lang w:val="en-US" w:eastAsia="en-US" w:bidi="ar-SA"/>
      </w:rPr>
    </w:lvl>
  </w:abstractNum>
  <w:abstractNum w:abstractNumId="27" w15:restartNumberingAfterBreak="0">
    <w:nsid w:val="7DEF7B41"/>
    <w:multiLevelType w:val="hybridMultilevel"/>
    <w:tmpl w:val="6B784B20"/>
    <w:lvl w:ilvl="0" w:tplc="868884B0">
      <w:start w:val="1"/>
      <w:numFmt w:val="decimal"/>
      <w:lvlText w:val="%1."/>
      <w:lvlJc w:val="left"/>
      <w:pPr>
        <w:ind w:left="941" w:hanging="303"/>
        <w:jc w:val="left"/>
      </w:pPr>
      <w:rPr>
        <w:rFonts w:ascii="Times New Roman" w:eastAsia="Times New Roman" w:hAnsi="Times New Roman" w:cs="Times New Roman" w:hint="default"/>
        <w:color w:val="231F20"/>
        <w:spacing w:val="-17"/>
        <w:w w:val="100"/>
        <w:sz w:val="24"/>
        <w:szCs w:val="24"/>
        <w:lang w:val="en-US" w:eastAsia="en-US" w:bidi="ar-SA"/>
      </w:rPr>
    </w:lvl>
    <w:lvl w:ilvl="1" w:tplc="B41C090E">
      <w:numFmt w:val="bullet"/>
      <w:lvlText w:val="•"/>
      <w:lvlJc w:val="left"/>
      <w:pPr>
        <w:ind w:left="1934" w:hanging="303"/>
      </w:pPr>
      <w:rPr>
        <w:rFonts w:hint="default"/>
        <w:lang w:val="en-US" w:eastAsia="en-US" w:bidi="ar-SA"/>
      </w:rPr>
    </w:lvl>
    <w:lvl w:ilvl="2" w:tplc="C4F45C58">
      <w:numFmt w:val="bullet"/>
      <w:lvlText w:val="•"/>
      <w:lvlJc w:val="left"/>
      <w:pPr>
        <w:ind w:left="2928" w:hanging="303"/>
      </w:pPr>
      <w:rPr>
        <w:rFonts w:hint="default"/>
        <w:lang w:val="en-US" w:eastAsia="en-US" w:bidi="ar-SA"/>
      </w:rPr>
    </w:lvl>
    <w:lvl w:ilvl="3" w:tplc="EF2C2EE8">
      <w:numFmt w:val="bullet"/>
      <w:lvlText w:val="•"/>
      <w:lvlJc w:val="left"/>
      <w:pPr>
        <w:ind w:left="3922" w:hanging="303"/>
      </w:pPr>
      <w:rPr>
        <w:rFonts w:hint="default"/>
        <w:lang w:val="en-US" w:eastAsia="en-US" w:bidi="ar-SA"/>
      </w:rPr>
    </w:lvl>
    <w:lvl w:ilvl="4" w:tplc="D40C6B8E">
      <w:numFmt w:val="bullet"/>
      <w:lvlText w:val="•"/>
      <w:lvlJc w:val="left"/>
      <w:pPr>
        <w:ind w:left="4916" w:hanging="303"/>
      </w:pPr>
      <w:rPr>
        <w:rFonts w:hint="default"/>
        <w:lang w:val="en-US" w:eastAsia="en-US" w:bidi="ar-SA"/>
      </w:rPr>
    </w:lvl>
    <w:lvl w:ilvl="5" w:tplc="B672A9E6">
      <w:numFmt w:val="bullet"/>
      <w:lvlText w:val="•"/>
      <w:lvlJc w:val="left"/>
      <w:pPr>
        <w:ind w:left="5910" w:hanging="303"/>
      </w:pPr>
      <w:rPr>
        <w:rFonts w:hint="default"/>
        <w:lang w:val="en-US" w:eastAsia="en-US" w:bidi="ar-SA"/>
      </w:rPr>
    </w:lvl>
    <w:lvl w:ilvl="6" w:tplc="5BDEA978">
      <w:numFmt w:val="bullet"/>
      <w:lvlText w:val="•"/>
      <w:lvlJc w:val="left"/>
      <w:pPr>
        <w:ind w:left="6904" w:hanging="303"/>
      </w:pPr>
      <w:rPr>
        <w:rFonts w:hint="default"/>
        <w:lang w:val="en-US" w:eastAsia="en-US" w:bidi="ar-SA"/>
      </w:rPr>
    </w:lvl>
    <w:lvl w:ilvl="7" w:tplc="EADC9404">
      <w:numFmt w:val="bullet"/>
      <w:lvlText w:val="•"/>
      <w:lvlJc w:val="left"/>
      <w:pPr>
        <w:ind w:left="7898" w:hanging="303"/>
      </w:pPr>
      <w:rPr>
        <w:rFonts w:hint="default"/>
        <w:lang w:val="en-US" w:eastAsia="en-US" w:bidi="ar-SA"/>
      </w:rPr>
    </w:lvl>
    <w:lvl w:ilvl="8" w:tplc="04023F40">
      <w:numFmt w:val="bullet"/>
      <w:lvlText w:val="•"/>
      <w:lvlJc w:val="left"/>
      <w:pPr>
        <w:ind w:left="8892" w:hanging="303"/>
      </w:pPr>
      <w:rPr>
        <w:rFonts w:hint="default"/>
        <w:lang w:val="en-US" w:eastAsia="en-US" w:bidi="ar-SA"/>
      </w:rPr>
    </w:lvl>
  </w:abstractNum>
  <w:abstractNum w:abstractNumId="28" w15:restartNumberingAfterBreak="0">
    <w:nsid w:val="7ECD53F5"/>
    <w:multiLevelType w:val="hybridMultilevel"/>
    <w:tmpl w:val="4CCA36E2"/>
    <w:lvl w:ilvl="0" w:tplc="EDF20F32">
      <w:start w:val="9"/>
      <w:numFmt w:val="upperLetter"/>
      <w:lvlText w:val="%1."/>
      <w:lvlJc w:val="left"/>
      <w:pPr>
        <w:ind w:left="989" w:hanging="346"/>
        <w:jc w:val="left"/>
      </w:pPr>
      <w:rPr>
        <w:rFonts w:ascii="Arial" w:eastAsia="Arial" w:hAnsi="Arial" w:cs="Arial" w:hint="default"/>
        <w:b/>
        <w:bCs/>
        <w:color w:val="231F20"/>
        <w:spacing w:val="-10"/>
        <w:w w:val="100"/>
        <w:sz w:val="24"/>
        <w:szCs w:val="24"/>
        <w:lang w:val="en-US" w:eastAsia="en-US" w:bidi="ar-SA"/>
      </w:rPr>
    </w:lvl>
    <w:lvl w:ilvl="1" w:tplc="44A86DE8">
      <w:numFmt w:val="bullet"/>
      <w:lvlText w:val="•"/>
      <w:lvlJc w:val="left"/>
      <w:pPr>
        <w:ind w:left="1970" w:hanging="346"/>
      </w:pPr>
      <w:rPr>
        <w:rFonts w:hint="default"/>
        <w:lang w:val="en-US" w:eastAsia="en-US" w:bidi="ar-SA"/>
      </w:rPr>
    </w:lvl>
    <w:lvl w:ilvl="2" w:tplc="B72A39F4">
      <w:numFmt w:val="bullet"/>
      <w:lvlText w:val="•"/>
      <w:lvlJc w:val="left"/>
      <w:pPr>
        <w:ind w:left="2960" w:hanging="346"/>
      </w:pPr>
      <w:rPr>
        <w:rFonts w:hint="default"/>
        <w:lang w:val="en-US" w:eastAsia="en-US" w:bidi="ar-SA"/>
      </w:rPr>
    </w:lvl>
    <w:lvl w:ilvl="3" w:tplc="C23646B8">
      <w:numFmt w:val="bullet"/>
      <w:lvlText w:val="•"/>
      <w:lvlJc w:val="left"/>
      <w:pPr>
        <w:ind w:left="3950" w:hanging="346"/>
      </w:pPr>
      <w:rPr>
        <w:rFonts w:hint="default"/>
        <w:lang w:val="en-US" w:eastAsia="en-US" w:bidi="ar-SA"/>
      </w:rPr>
    </w:lvl>
    <w:lvl w:ilvl="4" w:tplc="72A462DE">
      <w:numFmt w:val="bullet"/>
      <w:lvlText w:val="•"/>
      <w:lvlJc w:val="left"/>
      <w:pPr>
        <w:ind w:left="4940" w:hanging="346"/>
      </w:pPr>
      <w:rPr>
        <w:rFonts w:hint="default"/>
        <w:lang w:val="en-US" w:eastAsia="en-US" w:bidi="ar-SA"/>
      </w:rPr>
    </w:lvl>
    <w:lvl w:ilvl="5" w:tplc="38E4EBCC">
      <w:numFmt w:val="bullet"/>
      <w:lvlText w:val="•"/>
      <w:lvlJc w:val="left"/>
      <w:pPr>
        <w:ind w:left="5930" w:hanging="346"/>
      </w:pPr>
      <w:rPr>
        <w:rFonts w:hint="default"/>
        <w:lang w:val="en-US" w:eastAsia="en-US" w:bidi="ar-SA"/>
      </w:rPr>
    </w:lvl>
    <w:lvl w:ilvl="6" w:tplc="7504795E">
      <w:numFmt w:val="bullet"/>
      <w:lvlText w:val="•"/>
      <w:lvlJc w:val="left"/>
      <w:pPr>
        <w:ind w:left="6920" w:hanging="346"/>
      </w:pPr>
      <w:rPr>
        <w:rFonts w:hint="default"/>
        <w:lang w:val="en-US" w:eastAsia="en-US" w:bidi="ar-SA"/>
      </w:rPr>
    </w:lvl>
    <w:lvl w:ilvl="7" w:tplc="A1BAE684">
      <w:numFmt w:val="bullet"/>
      <w:lvlText w:val="•"/>
      <w:lvlJc w:val="left"/>
      <w:pPr>
        <w:ind w:left="7910" w:hanging="346"/>
      </w:pPr>
      <w:rPr>
        <w:rFonts w:hint="default"/>
        <w:lang w:val="en-US" w:eastAsia="en-US" w:bidi="ar-SA"/>
      </w:rPr>
    </w:lvl>
    <w:lvl w:ilvl="8" w:tplc="EEACC044">
      <w:numFmt w:val="bullet"/>
      <w:lvlText w:val="•"/>
      <w:lvlJc w:val="left"/>
      <w:pPr>
        <w:ind w:left="8900" w:hanging="346"/>
      </w:pPr>
      <w:rPr>
        <w:rFonts w:hint="default"/>
        <w:lang w:val="en-US" w:eastAsia="en-US" w:bidi="ar-SA"/>
      </w:rPr>
    </w:lvl>
  </w:abstractNum>
  <w:num w:numId="1">
    <w:abstractNumId w:val="25"/>
  </w:num>
  <w:num w:numId="2">
    <w:abstractNumId w:val="22"/>
  </w:num>
  <w:num w:numId="3">
    <w:abstractNumId w:val="27"/>
  </w:num>
  <w:num w:numId="4">
    <w:abstractNumId w:val="28"/>
  </w:num>
  <w:num w:numId="5">
    <w:abstractNumId w:val="13"/>
  </w:num>
  <w:num w:numId="6">
    <w:abstractNumId w:val="3"/>
  </w:num>
  <w:num w:numId="7">
    <w:abstractNumId w:val="2"/>
  </w:num>
  <w:num w:numId="8">
    <w:abstractNumId w:val="16"/>
  </w:num>
  <w:num w:numId="9">
    <w:abstractNumId w:val="26"/>
  </w:num>
  <w:num w:numId="10">
    <w:abstractNumId w:val="15"/>
  </w:num>
  <w:num w:numId="11">
    <w:abstractNumId w:val="24"/>
  </w:num>
  <w:num w:numId="12">
    <w:abstractNumId w:val="14"/>
  </w:num>
  <w:num w:numId="13">
    <w:abstractNumId w:val="7"/>
  </w:num>
  <w:num w:numId="14">
    <w:abstractNumId w:val="23"/>
  </w:num>
  <w:num w:numId="15">
    <w:abstractNumId w:val="0"/>
  </w:num>
  <w:num w:numId="16">
    <w:abstractNumId w:val="10"/>
  </w:num>
  <w:num w:numId="17">
    <w:abstractNumId w:val="21"/>
  </w:num>
  <w:num w:numId="18">
    <w:abstractNumId w:val="8"/>
  </w:num>
  <w:num w:numId="19">
    <w:abstractNumId w:val="1"/>
  </w:num>
  <w:num w:numId="20">
    <w:abstractNumId w:val="20"/>
  </w:num>
  <w:num w:numId="21">
    <w:abstractNumId w:val="5"/>
  </w:num>
  <w:num w:numId="22">
    <w:abstractNumId w:val="19"/>
  </w:num>
  <w:num w:numId="23">
    <w:abstractNumId w:val="17"/>
  </w:num>
  <w:num w:numId="24">
    <w:abstractNumId w:val="6"/>
  </w:num>
  <w:num w:numId="25">
    <w:abstractNumId w:val="9"/>
  </w:num>
  <w:num w:numId="26">
    <w:abstractNumId w:val="11"/>
  </w:num>
  <w:num w:numId="27">
    <w:abstractNumId w:val="4"/>
  </w:num>
  <w:num w:numId="28">
    <w:abstractNumId w:val="1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D3966"/>
    <w:rsid w:val="00067348"/>
    <w:rsid w:val="001C5FE1"/>
    <w:rsid w:val="004C650B"/>
    <w:rsid w:val="004E10E2"/>
    <w:rsid w:val="005D3966"/>
    <w:rsid w:val="006A27DA"/>
    <w:rsid w:val="00770120"/>
    <w:rsid w:val="00A07C55"/>
    <w:rsid w:val="00D209AF"/>
    <w:rsid w:val="00D65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6F500AE2"/>
  <w15:docId w15:val="{D682AEEE-7E47-46BB-93EA-799B5B7C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86"/>
      <w:outlineLvl w:val="0"/>
    </w:pPr>
    <w:rPr>
      <w:rFonts w:ascii="Arial" w:eastAsia="Arial" w:hAnsi="Arial" w:cs="Arial"/>
      <w:b/>
      <w:bCs/>
      <w:sz w:val="24"/>
      <w:szCs w:val="24"/>
    </w:rPr>
  </w:style>
  <w:style w:type="paragraph" w:styleId="Heading2">
    <w:name w:val="heading 2"/>
    <w:basedOn w:val="Normal"/>
    <w:uiPriority w:val="9"/>
    <w:unhideWhenUsed/>
    <w:qFormat/>
    <w:pPr>
      <w:ind w:left="720" w:hanging="270"/>
      <w:outlineLvl w:val="1"/>
    </w:pPr>
    <w:rPr>
      <w:rFonts w:ascii="Arial" w:eastAsia="Arial" w:hAnsi="Arial" w:cs="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2"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post-event.report@pbgc.gov" TargetMode="External"/><Relationship Id="rId26" Type="http://schemas.openxmlformats.org/officeDocument/2006/relationships/hyperlink" Target="http://www.pbgc.gov/prac/forms" TargetMode="External"/><Relationship Id="rId3" Type="http://schemas.openxmlformats.org/officeDocument/2006/relationships/customXml" Target="../customXml/item3.xml"/><Relationship Id="rId21" Type="http://schemas.openxmlformats.org/officeDocument/2006/relationships/hyperlink" Target="mailto:post-event.report@pbgc.go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www.pbgc.gov/prac/form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event.report@pbgc.gov"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filing.portal@pbgc.gov"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pbgc.gov/" TargetMode="External"/><Relationship Id="rId23" Type="http://schemas.openxmlformats.org/officeDocument/2006/relationships/hyperlink" Target="mailto:post-event.report@pbgc.gov"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ost-event.report@pbgc.gov"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st-event.report@pbgc.gov" TargetMode="External"/><Relationship Id="rId22" Type="http://schemas.openxmlformats.org/officeDocument/2006/relationships/hyperlink" Target="mailto:post-event.report@pbgc.gov" TargetMode="External"/><Relationship Id="rId27" Type="http://schemas.openxmlformats.org/officeDocument/2006/relationships/header" Target="header2.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04b9a93-b54f-4549-9b70-040003075d6a" ContentTypeId="0x010100E09C6A4FD85CD94DB99934580C23925719" PreviousValue="false"/>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Props1.xml><?xml version="1.0" encoding="utf-8"?>
<ds:datastoreItem xmlns:ds="http://schemas.openxmlformats.org/officeDocument/2006/customXml" ds:itemID="{2AE3F83B-5254-4C45-BD1E-7D165319163D}">
  <ds:schemaRefs>
    <ds:schemaRef ds:uri="http://schemas.microsoft.com/sharepoint/v3/contenttype/forms"/>
  </ds:schemaRefs>
</ds:datastoreItem>
</file>

<file path=customXml/itemProps2.xml><?xml version="1.0" encoding="utf-8"?>
<ds:datastoreItem xmlns:ds="http://schemas.openxmlformats.org/officeDocument/2006/customXml" ds:itemID="{2118D27A-2618-4685-9F48-00A38BBB8A35}">
  <ds:schemaRefs>
    <ds:schemaRef ds:uri="Microsoft.SharePoint.Taxonomy.ContentTypeSync"/>
  </ds:schemaRefs>
</ds:datastoreItem>
</file>

<file path=customXml/itemProps3.xml><?xml version="1.0" encoding="utf-8"?>
<ds:datastoreItem xmlns:ds="http://schemas.openxmlformats.org/officeDocument/2006/customXml" ds:itemID="{62D4A0BE-4D80-41E6-9D17-6F5C30991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13F19-B248-4D4B-BC0D-BB5774117F52}">
  <ds:schemaRefs>
    <ds:schemaRef ds:uri="http://schemas.microsoft.com/office/2006/metadata/properties"/>
    <ds:schemaRef ds:uri="http://schemas.microsoft.com/office/infopath/2007/PartnerControls"/>
    <ds:schemaRef ds:uri="42a8a83a-5e27-410c-a1fc-7c5ac4e503f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10258</Words>
  <Characters>58477</Characters>
  <Application>Microsoft Office Word</Application>
  <DocSecurity>0</DocSecurity>
  <Lines>487</Lines>
  <Paragraphs>137</Paragraphs>
  <ScaleCrop>false</ScaleCrop>
  <Company/>
  <LinksUpToDate>false</LinksUpToDate>
  <CharactersWithSpaces>68598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 Instructions</dc:title>
  <dc:subject>Form 10 Instructions</dc:subject>
  <dc:creator>PBGC</dc:creator>
  <cp:keywords>Form 10 Instructions</cp:keywords>
  <cp:lastModifiedBy>Cibinic Stephanie</cp:lastModifiedBy>
  <cp:revision>7</cp:revision>
  <dcterms:created xsi:type="dcterms:W3CDTF">2021-06-02T15:38:00Z</dcterms:created>
  <dcterms:modified xsi:type="dcterms:W3CDTF">2021-06-02T15:43:00Z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2020-02-25T00:00:00Z</vt:filetime>
  </property>
  <property fmtid="{D5CDD505-2E9C-101B-9397-08002B2CF9AE}" pid="3" name="Creator">
    <vt:lpwstr>Acrobat PDFMaker 15 for Word</vt:lpwstr>
  </property>
  <property fmtid="{D5CDD505-2E9C-101B-9397-08002B2CF9AE}" pid="4" name="LastSaved">
    <vt:filetime>2021-01-15T00:00:00Z</vt:filetime>
  </property>
  <property fmtid="{D5CDD505-2E9C-101B-9397-08002B2CF9AE}" pid="5" name="ContentTypeId">
    <vt:lpwstr>0x010100E09C6A4FD85CD94DB99934580C23925719009E795238C0C6B148A3B44436766A1E14</vt:lpwstr>
  </property>
  <property fmtid="{D5CDD505-2E9C-101B-9397-08002B2CF9AE}" pid="6" name="OGC Document Status">
    <vt:lpwstr>6;#Draft|4e9a4bc7-9032-4d66-87ab-b16dbcbcd63b</vt:lpwstr>
  </property>
</Properties>
</file>