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59E" w:rsidP="00E35242" w:rsidRDefault="00E35242" w14:paraId="7E252A16" w14:textId="03AAD505">
      <w:pPr>
        <w:pStyle w:val="Title"/>
        <w:rPr>
          <w:color w:val="auto"/>
          <w:lang w:val="x-none"/>
        </w:rPr>
      </w:pPr>
      <w:r>
        <w:rPr>
          <w:color w:val="auto"/>
          <w:lang w:val="x-none"/>
        </w:rPr>
        <w:t xml:space="preserve">SUPPORTING STATEMENT FOR </w:t>
      </w:r>
      <w:r>
        <w:rPr>
          <w:color w:val="auto"/>
          <w:lang w:val="x-none"/>
        </w:rPr>
        <w:br/>
        <w:t>THE INFOR</w:t>
      </w:r>
      <w:r w:rsidR="000F459E">
        <w:rPr>
          <w:color w:val="auto"/>
          <w:lang w:val="x-none"/>
        </w:rPr>
        <w:t xml:space="preserve">MATION COLLECTION REQUIREMENTS </w:t>
      </w:r>
      <w:r>
        <w:rPr>
          <w:color w:val="auto"/>
          <w:lang w:val="x-none"/>
        </w:rPr>
        <w:t xml:space="preserve">IN THE </w:t>
      </w:r>
    </w:p>
    <w:p w:rsidR="00E35242" w:rsidP="003F1D7F" w:rsidRDefault="000A7879" w14:paraId="4ED77DE3" w14:textId="7E6C4A5B">
      <w:pPr>
        <w:pStyle w:val="Title"/>
        <w:rPr>
          <w:color w:val="auto"/>
        </w:rPr>
      </w:pPr>
      <w:r>
        <w:rPr>
          <w:color w:val="auto"/>
        </w:rPr>
        <w:t>COVID-19</w:t>
      </w:r>
      <w:r w:rsidR="004C3FE1">
        <w:rPr>
          <w:color w:val="auto"/>
        </w:rPr>
        <w:t xml:space="preserve"> </w:t>
      </w:r>
      <w:r w:rsidR="00493C25">
        <w:rPr>
          <w:color w:val="auto"/>
        </w:rPr>
        <w:t xml:space="preserve">EMERGENCY TEMPORARY </w:t>
      </w:r>
      <w:r w:rsidR="00665D8C">
        <w:rPr>
          <w:color w:val="auto"/>
        </w:rPr>
        <w:t xml:space="preserve">STANDARD FOR </w:t>
      </w:r>
      <w:r>
        <w:rPr>
          <w:color w:val="auto"/>
        </w:rPr>
        <w:t>HEALTHCARE AND ASSOCIATED INDUSTRIES</w:t>
      </w:r>
      <w:r w:rsidR="00AF5EF1">
        <w:rPr>
          <w:color w:val="auto"/>
        </w:rPr>
        <w:t xml:space="preserve"> </w:t>
      </w:r>
      <w:r w:rsidR="00E35242">
        <w:rPr>
          <w:color w:val="auto"/>
          <w:lang w:val="x-none"/>
        </w:rPr>
        <w:t>(29 CFR 1910</w:t>
      </w:r>
      <w:r w:rsidR="00E23314">
        <w:rPr>
          <w:color w:val="auto"/>
        </w:rPr>
        <w:t xml:space="preserve">, </w:t>
      </w:r>
      <w:r w:rsidRPr="003D353B" w:rsidR="00E23314">
        <w:rPr>
          <w:color w:val="auto"/>
        </w:rPr>
        <w:t>Subpart U</w:t>
      </w:r>
      <w:r w:rsidRPr="003D353B" w:rsidR="00E35242">
        <w:rPr>
          <w:color w:val="auto"/>
          <w:lang w:val="x-none"/>
        </w:rPr>
        <w:t>)</w:t>
      </w:r>
      <w:r w:rsidRPr="003D353B" w:rsidDel="000A7879">
        <w:rPr>
          <w:rStyle w:val="FootnoteReference"/>
          <w:color w:val="auto"/>
          <w:lang w:val="x-none"/>
        </w:rPr>
        <w:t xml:space="preserve"> </w:t>
      </w:r>
    </w:p>
    <w:p w:rsidR="004C3FE1" w:rsidP="00E35242" w:rsidRDefault="00E35242" w14:paraId="7B66E41F" w14:textId="026DC2CD">
      <w:pPr>
        <w:pStyle w:val="Title"/>
        <w:rPr>
          <w:color w:val="auto"/>
        </w:rPr>
      </w:pPr>
      <w:r>
        <w:rPr>
          <w:color w:val="auto"/>
          <w:lang w:val="x-none"/>
        </w:rPr>
        <w:t>OMB CONTROL NO. 1218-</w:t>
      </w:r>
      <w:r>
        <w:rPr>
          <w:color w:val="auto"/>
        </w:rPr>
        <w:t>0</w:t>
      </w:r>
      <w:r w:rsidR="00792F85">
        <w:rPr>
          <w:color w:val="auto"/>
        </w:rPr>
        <w:t>277</w:t>
      </w:r>
    </w:p>
    <w:p w:rsidR="00E35242" w:rsidP="00E35242" w:rsidRDefault="00E35242" w14:paraId="6F18B783" w14:textId="7A502A10">
      <w:pPr>
        <w:pStyle w:val="Title"/>
        <w:rPr>
          <w:color w:val="auto"/>
          <w:lang w:val="x-none"/>
        </w:rPr>
      </w:pPr>
      <w:r>
        <w:rPr>
          <w:color w:val="auto"/>
          <w:lang w:val="x-none"/>
        </w:rPr>
        <w:t>(</w:t>
      </w:r>
      <w:r w:rsidR="00C24A27">
        <w:rPr>
          <w:color w:val="auto"/>
        </w:rPr>
        <w:t>June</w:t>
      </w:r>
      <w:r w:rsidR="003C616E">
        <w:rPr>
          <w:color w:val="auto"/>
        </w:rPr>
        <w:t xml:space="preserve"> </w:t>
      </w:r>
      <w:r w:rsidR="00F54ECD">
        <w:rPr>
          <w:color w:val="auto"/>
        </w:rPr>
        <w:t>2021</w:t>
      </w:r>
      <w:r>
        <w:rPr>
          <w:color w:val="auto"/>
          <w:lang w:val="x-none"/>
        </w:rPr>
        <w:t xml:space="preserve">) </w:t>
      </w:r>
    </w:p>
    <w:p w:rsidR="00A147F8" w:rsidP="00E35242" w:rsidRDefault="00A147F8" w14:paraId="0AF316A4" w14:textId="70856250">
      <w:pPr>
        <w:pStyle w:val="Title"/>
        <w:rPr>
          <w:color w:val="auto"/>
          <w:lang w:val="x-none"/>
        </w:rPr>
      </w:pPr>
    </w:p>
    <w:p w:rsidRPr="00A147F8" w:rsidR="00A147F8" w:rsidP="00A147F8" w:rsidRDefault="00A147F8" w14:paraId="6B8EB0C7" w14:textId="19EDAFB3">
      <w:pPr>
        <w:autoSpaceDE/>
        <w:autoSpaceDN/>
        <w:rPr>
          <w:rFonts w:eastAsia="Times New Roman"/>
          <w:lang w:eastAsia="en-US"/>
        </w:rPr>
      </w:pPr>
      <w:r w:rsidRPr="00A147F8">
        <w:rPr>
          <w:rFonts w:eastAsia="Times New Roman"/>
          <w:lang w:eastAsia="en-US"/>
        </w:rPr>
        <w:t xml:space="preserve">This is a new </w:t>
      </w:r>
      <w:r w:rsidR="00222385">
        <w:rPr>
          <w:rFonts w:eastAsia="Times New Roman"/>
          <w:lang w:eastAsia="en-US"/>
        </w:rPr>
        <w:t>Information Collection Request (</w:t>
      </w:r>
      <w:r w:rsidRPr="00A147F8">
        <w:rPr>
          <w:rFonts w:eastAsia="Times New Roman"/>
          <w:lang w:eastAsia="en-US"/>
        </w:rPr>
        <w:t>ICR</w:t>
      </w:r>
      <w:r w:rsidR="00222385">
        <w:rPr>
          <w:rFonts w:eastAsia="Times New Roman"/>
          <w:lang w:eastAsia="en-US"/>
        </w:rPr>
        <w:t>)</w:t>
      </w:r>
      <w:r w:rsidRPr="00A147F8">
        <w:rPr>
          <w:rFonts w:eastAsia="Times New Roman"/>
          <w:lang w:eastAsia="en-US"/>
        </w:rPr>
        <w:t xml:space="preserve"> being submitted for the information collect</w:t>
      </w:r>
      <w:r w:rsidR="007C7599">
        <w:rPr>
          <w:rFonts w:eastAsia="Times New Roman"/>
          <w:lang w:eastAsia="en-US"/>
        </w:rPr>
        <w:t>ed</w:t>
      </w:r>
      <w:r w:rsidRPr="00A147F8">
        <w:rPr>
          <w:rFonts w:eastAsia="Times New Roman"/>
          <w:lang w:eastAsia="en-US"/>
        </w:rPr>
        <w:t xml:space="preserve"> in OSHA’s Emergency Temporary Standard (ETS) for Covid-19 in furtherance of the OSH Act and Executive Order 13999. The Department requests</w:t>
      </w:r>
      <w:r w:rsidRPr="00A147F8">
        <w:rPr>
          <w:rFonts w:eastAsia="Times New Roman"/>
          <w:b/>
          <w:lang w:eastAsia="en-US"/>
        </w:rPr>
        <w:t xml:space="preserve"> EMERGENCY CLEARANCE</w:t>
      </w:r>
      <w:r w:rsidRPr="00A147F8">
        <w:rPr>
          <w:rFonts w:eastAsia="Times New Roman"/>
          <w:lang w:eastAsia="en-US"/>
        </w:rPr>
        <w:t xml:space="preserve"> pursuant to 5 CFR 1320.13.</w:t>
      </w:r>
    </w:p>
    <w:p w:rsidR="00E35242" w:rsidP="00E35242" w:rsidRDefault="00E35242" w14:paraId="224500C5" w14:textId="16598611">
      <w:pPr>
        <w:pStyle w:val="Default"/>
        <w:jc w:val="center"/>
        <w:rPr>
          <w:color w:val="auto"/>
        </w:rPr>
      </w:pPr>
    </w:p>
    <w:p w:rsidR="00E35242" w:rsidP="00E35242" w:rsidRDefault="00E35242" w14:paraId="4C3B59DC" w14:textId="77777777">
      <w:pPr>
        <w:pStyle w:val="Heading1"/>
        <w:rPr>
          <w:rFonts w:hint="eastAsia"/>
          <w:lang w:val="x-none"/>
        </w:rPr>
      </w:pPr>
      <w:r>
        <w:rPr>
          <w:lang w:val="x-none"/>
        </w:rPr>
        <w:t xml:space="preserve">Justification </w:t>
      </w:r>
    </w:p>
    <w:p w:rsidR="00E35242" w:rsidP="00E35242" w:rsidRDefault="00E35242" w14:paraId="1BF33407" w14:textId="77777777">
      <w:pPr>
        <w:pStyle w:val="Default"/>
        <w:rPr>
          <w:color w:val="auto"/>
        </w:rPr>
      </w:pPr>
      <w:r>
        <w:rPr>
          <w:color w:val="auto"/>
        </w:rPr>
        <w:t xml:space="preserve">                                                                                                                              </w:t>
      </w:r>
    </w:p>
    <w:p w:rsidR="00E35242" w:rsidP="00E35242" w:rsidRDefault="00E35242" w14:paraId="5C1FA19F" w14:textId="77777777">
      <w:pPr>
        <w:pStyle w:val="Heading2"/>
        <w:ind w:left="0" w:firstLine="0"/>
        <w:rPr>
          <w:sz w:val="22"/>
          <w:szCs w:val="22"/>
          <w:lang w:val="x-none"/>
        </w:rPr>
      </w:pPr>
      <w:r>
        <w:rPr>
          <w:sz w:val="22"/>
          <w:szCs w:val="22"/>
          <w:lang w:val="x-none"/>
        </w:rPr>
        <w:t>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35242" w:rsidP="00E35242" w:rsidRDefault="00E35242" w14:paraId="448829A0" w14:textId="3F7986B6">
      <w:pPr>
        <w:pStyle w:val="BodyTextFirstIndent"/>
        <w:ind w:firstLine="0"/>
        <w:rPr>
          <w:sz w:val="24"/>
          <w:szCs w:val="24"/>
          <w:lang w:val="x-none"/>
        </w:rPr>
      </w:pPr>
      <w:r>
        <w:rPr>
          <w:sz w:val="24"/>
          <w:szCs w:val="24"/>
          <w:lang w:val="x-none"/>
        </w:rPr>
        <w:t>The main objective of the Occupational Safety and Health Act (“OSH Act” or “Act”) is to “assure so far as possible every working man and woman in the Nation safe and healthful working conditions and to preserve our human resources” (29 U.S.C. 651</w:t>
      </w:r>
      <w:r>
        <w:rPr>
          <w:sz w:val="24"/>
          <w:szCs w:val="24"/>
        </w:rPr>
        <w:t>(a)</w:t>
      </w:r>
      <w:r>
        <w:rPr>
          <w:sz w:val="24"/>
          <w:szCs w:val="24"/>
          <w:lang w:val="x-none"/>
        </w:rPr>
        <w:t xml:space="preserve">).  To achieve this objective, the OSH Act specifically authorizes </w:t>
      </w:r>
      <w:r>
        <w:rPr>
          <w:sz w:val="24"/>
          <w:szCs w:val="24"/>
        </w:rPr>
        <w:t>“</w:t>
      </w:r>
      <w:r>
        <w:rPr>
          <w:sz w:val="24"/>
          <w:szCs w:val="24"/>
          <w:lang w:val="x-none"/>
        </w:rPr>
        <w:t>the development and promulgation of occupational safety and health standards</w:t>
      </w:r>
      <w:r>
        <w:rPr>
          <w:sz w:val="24"/>
          <w:szCs w:val="24"/>
        </w:rPr>
        <w:t>”</w:t>
      </w:r>
      <w:r>
        <w:rPr>
          <w:sz w:val="24"/>
          <w:szCs w:val="24"/>
          <w:lang w:val="x-none"/>
        </w:rPr>
        <w:t xml:space="preserve"> (29 U.S.C. 651</w:t>
      </w:r>
      <w:r>
        <w:rPr>
          <w:sz w:val="24"/>
          <w:szCs w:val="24"/>
        </w:rPr>
        <w:t>(b)(9)</w:t>
      </w:r>
      <w:r>
        <w:rPr>
          <w:sz w:val="24"/>
          <w:szCs w:val="24"/>
          <w:lang w:val="x-none"/>
        </w:rPr>
        <w:t xml:space="preserve">).  The Act further states that “[t]he Secretary . . . shall </w:t>
      </w:r>
      <w:r>
        <w:rPr>
          <w:sz w:val="24"/>
          <w:szCs w:val="24"/>
        </w:rPr>
        <w:t xml:space="preserve">. . . </w:t>
      </w:r>
      <w:r>
        <w:rPr>
          <w:sz w:val="24"/>
          <w:szCs w:val="24"/>
          <w:lang w:val="x-none"/>
        </w:rPr>
        <w:t>prescribe such rules and regulations as [he/she] may deem necessary to carry out [his/her] responsibilities under this Act, including rules and regulations dealing with the inspection of an employer’s establishment” (29 U.S.C. 65</w:t>
      </w:r>
      <w:r>
        <w:rPr>
          <w:sz w:val="24"/>
          <w:szCs w:val="24"/>
        </w:rPr>
        <w:t>7(g)(2)</w:t>
      </w:r>
      <w:r>
        <w:rPr>
          <w:sz w:val="24"/>
          <w:szCs w:val="24"/>
          <w:lang w:val="x-none"/>
        </w:rPr>
        <w:t xml:space="preserve">). </w:t>
      </w:r>
    </w:p>
    <w:p w:rsidRPr="001745C1" w:rsidR="001745C1" w:rsidP="001745C1" w:rsidRDefault="001745C1" w14:paraId="7622D53D" w14:textId="609BE963">
      <w:pPr>
        <w:suppressAutoHyphens/>
        <w:rPr>
          <w:rFonts w:eastAsia="Times New Roman"/>
          <w:lang w:eastAsia="en-US"/>
        </w:rPr>
      </w:pPr>
      <w:r w:rsidRPr="001745C1">
        <w:rPr>
          <w:rFonts w:eastAsia="Times New Roman"/>
          <w:lang w:eastAsia="en-US"/>
        </w:rPr>
        <w:t xml:space="preserve">In addition, the OSH Act requires the Occupational Safety and Health Administration (“OSHA” or “the </w:t>
      </w:r>
      <w:r w:rsidRPr="001745C1">
        <w:rPr>
          <w:rFonts w:eastAsia="Times New Roman"/>
          <w:lang w:val="x-none" w:eastAsia="en-US"/>
        </w:rPr>
        <w:t>agency</w:t>
      </w:r>
      <w:r w:rsidRPr="001745C1">
        <w:rPr>
          <w:rFonts w:eastAsia="Times New Roman"/>
          <w:lang w:eastAsia="en-US"/>
        </w:rPr>
        <w:t xml:space="preserve">”) to issue an Emergency Temporary Standard (ETS) if OSHA determines that </w:t>
      </w:r>
      <w:bookmarkStart w:name="Section6(c)(1)" w:id="0"/>
      <w:bookmarkStart w:name="Section6(c)(1)(A)" w:id="1"/>
      <w:bookmarkEnd w:id="0"/>
      <w:bookmarkEnd w:id="1"/>
      <w:r w:rsidRPr="001745C1">
        <w:rPr>
          <w:rFonts w:eastAsia="Times New Roman"/>
          <w:lang w:val="en" w:eastAsia="en-US"/>
        </w:rPr>
        <w:t>“employees are exposed to grave danger from exposure to substances or agents determined to be toxic or physically harmful or from new hazards,” and</w:t>
      </w:r>
      <w:bookmarkStart w:name="Section6(c)(1)(B)" w:id="2"/>
      <w:bookmarkEnd w:id="2"/>
      <w:r w:rsidRPr="001745C1">
        <w:rPr>
          <w:rFonts w:eastAsia="Times New Roman"/>
          <w:lang w:val="en" w:eastAsia="en-US"/>
        </w:rPr>
        <w:t xml:space="preserve"> an ETS is “necessary to protect employees from such danger.”</w:t>
      </w:r>
      <w:bookmarkStart w:name="Section6(c)(2)" w:id="3"/>
      <w:bookmarkStart w:name="Section6(c)(3)" w:id="4"/>
      <w:bookmarkEnd w:id="3"/>
      <w:bookmarkEnd w:id="4"/>
      <w:r w:rsidRPr="001745C1">
        <w:rPr>
          <w:rFonts w:eastAsia="Times New Roman"/>
          <w:lang w:val="en" w:eastAsia="en-US"/>
        </w:rPr>
        <w:t xml:space="preserve"> </w:t>
      </w:r>
      <w:r w:rsidRPr="001745C1">
        <w:rPr>
          <w:rFonts w:eastAsia="Times New Roman"/>
          <w:lang w:eastAsia="en-US"/>
        </w:rPr>
        <w:t>29 U.S.C. 655(c)(1). </w:t>
      </w:r>
    </w:p>
    <w:p w:rsidRPr="001745C1" w:rsidR="001745C1" w:rsidP="001745C1" w:rsidRDefault="001745C1" w14:paraId="315B7986" w14:textId="77777777">
      <w:pPr>
        <w:suppressAutoHyphens/>
        <w:autoSpaceDE/>
        <w:autoSpaceDN/>
        <w:rPr>
          <w:rFonts w:eastAsia="Times New Roman"/>
          <w:lang w:eastAsia="en-US"/>
        </w:rPr>
      </w:pPr>
    </w:p>
    <w:p w:rsidR="001745C1" w:rsidP="00692532" w:rsidRDefault="001745C1" w14:paraId="3431D6CC" w14:textId="614D6C87">
      <w:pPr>
        <w:pStyle w:val="BodyTextFirstIndent"/>
        <w:spacing w:after="0"/>
        <w:ind w:firstLine="0"/>
        <w:rPr>
          <w:sz w:val="24"/>
          <w:szCs w:val="24"/>
          <w:lang w:val="x-none"/>
        </w:rPr>
      </w:pPr>
      <w:r w:rsidRPr="00A222D4">
        <w:rPr>
          <w:rFonts w:eastAsia="Times New Roman"/>
          <w:sz w:val="24"/>
          <w:szCs w:val="24"/>
          <w:lang w:val="en" w:eastAsia="en-US"/>
        </w:rPr>
        <w:t xml:space="preserve">On January 21, 2021, President Biden issued Executive Order 13999, which directed OSHA to consider </w:t>
      </w:r>
      <w:r w:rsidRPr="00A222D4" w:rsidR="00A21684">
        <w:rPr>
          <w:rFonts w:eastAsia="Times New Roman"/>
          <w:sz w:val="24"/>
          <w:szCs w:val="24"/>
          <w:lang w:val="en" w:eastAsia="en-US"/>
        </w:rPr>
        <w:t xml:space="preserve">whether </w:t>
      </w:r>
      <w:r w:rsidRPr="00A222D4">
        <w:rPr>
          <w:rFonts w:eastAsia="Times New Roman"/>
          <w:sz w:val="24"/>
          <w:szCs w:val="24"/>
          <w:lang w:val="en" w:eastAsia="en-US"/>
        </w:rPr>
        <w:t>an Emergency Temporary Standard (ETS)</w:t>
      </w:r>
      <w:r w:rsidRPr="00A222D4" w:rsidR="00A21684">
        <w:rPr>
          <w:rFonts w:eastAsia="Times New Roman"/>
          <w:sz w:val="24"/>
          <w:szCs w:val="24"/>
          <w:lang w:val="en" w:eastAsia="en-US"/>
        </w:rPr>
        <w:t xml:space="preserve"> is necessary</w:t>
      </w:r>
      <w:r w:rsidRPr="00A222D4">
        <w:rPr>
          <w:rFonts w:eastAsia="Times New Roman"/>
          <w:sz w:val="24"/>
          <w:szCs w:val="24"/>
          <w:lang w:val="en" w:eastAsia="en-US"/>
        </w:rPr>
        <w:t xml:space="preserve"> to protect “healthcare workers and other essential workers” from the coronavirus disease 2019 (COVID-19) pandemic.  </w:t>
      </w:r>
      <w:r w:rsidRPr="00D417F2">
        <w:rPr>
          <w:rFonts w:eastAsia="Times New Roman"/>
          <w:sz w:val="24"/>
          <w:szCs w:val="24"/>
          <w:lang w:eastAsia="en-US"/>
        </w:rPr>
        <w:t>OSHA</w:t>
      </w:r>
      <w:r w:rsidRPr="001745C1">
        <w:rPr>
          <w:rFonts w:eastAsia="Times New Roman"/>
          <w:sz w:val="24"/>
          <w:szCs w:val="24"/>
          <w:lang w:eastAsia="en-US"/>
        </w:rPr>
        <w:t xml:space="preserve"> has determined that an ETS is necessary to protect workers from the grave danger posed by COVID-19 and is issuing an ETS for Healthcare and Associated Industries (29 CFR 1910.502).  </w:t>
      </w:r>
      <w:r w:rsidR="004014E1">
        <w:rPr>
          <w:rFonts w:eastAsia="Times New Roman"/>
          <w:sz w:val="24"/>
          <w:szCs w:val="24"/>
          <w:lang w:eastAsia="en-US"/>
        </w:rPr>
        <w:t>Section 1910.502 contain</w:t>
      </w:r>
      <w:r w:rsidR="004C3FE1">
        <w:rPr>
          <w:rFonts w:eastAsia="Times New Roman"/>
          <w:sz w:val="24"/>
          <w:szCs w:val="24"/>
          <w:lang w:eastAsia="en-US"/>
        </w:rPr>
        <w:t>s</w:t>
      </w:r>
      <w:r w:rsidRPr="001745C1">
        <w:rPr>
          <w:rFonts w:eastAsia="Times New Roman"/>
          <w:sz w:val="24"/>
          <w:szCs w:val="24"/>
          <w:lang w:eastAsia="en-US"/>
        </w:rPr>
        <w:t xml:space="preserve"> collections of information necessary to effectuate the purpose of the ETS.</w:t>
      </w:r>
    </w:p>
    <w:p w:rsidR="00E35242" w:rsidP="00692532" w:rsidRDefault="00E35242" w14:paraId="16B81CA1" w14:textId="78AF430B">
      <w:r>
        <w:t xml:space="preserve">  </w:t>
      </w:r>
    </w:p>
    <w:p w:rsidR="00E35242" w:rsidP="00E35242" w:rsidRDefault="00E35242" w14:paraId="302F17CB" w14:textId="77777777">
      <w:pPr>
        <w:pStyle w:val="Heading2"/>
        <w:ind w:left="0" w:firstLine="0"/>
        <w:rPr>
          <w:sz w:val="22"/>
          <w:szCs w:val="22"/>
          <w:lang w:val="x-none"/>
        </w:rPr>
      </w:pPr>
      <w:r>
        <w:rPr>
          <w:sz w:val="22"/>
          <w:szCs w:val="22"/>
          <w:lang w:val="x-none"/>
        </w:rPr>
        <w:lastRenderedPageBreak/>
        <w:t>Indicate how, by whom, and for what purpose the information is to be used.  Except for a new collection, indicate the actual use the agency has made of the information received from the current collection.</w:t>
      </w:r>
    </w:p>
    <w:p w:rsidR="00937508" w:rsidP="005E536A" w:rsidRDefault="00166679" w14:paraId="6DCE8AFD" w14:textId="55294B47">
      <w:pPr>
        <w:pStyle w:val="BodyTextIndent"/>
        <w:ind w:left="0"/>
        <w:rPr>
          <w:rFonts w:ascii="Times New Roman" w:hAnsi="Times New Roman"/>
        </w:rPr>
      </w:pPr>
      <w:bookmarkStart w:name="ExposureAssessment_2" w:id="5"/>
      <w:bookmarkEnd w:id="5"/>
      <w:r w:rsidRPr="00166679">
        <w:rPr>
          <w:rFonts w:ascii="Times New Roman" w:hAnsi="Times New Roman"/>
        </w:rPr>
        <w:t xml:space="preserve">The </w:t>
      </w:r>
      <w:r w:rsidR="00136898">
        <w:rPr>
          <w:rFonts w:ascii="Times New Roman" w:hAnsi="Times New Roman"/>
        </w:rPr>
        <w:t xml:space="preserve">COVID-19 </w:t>
      </w:r>
      <w:r w:rsidRPr="00166679">
        <w:rPr>
          <w:rFonts w:ascii="Times New Roman" w:hAnsi="Times New Roman"/>
        </w:rPr>
        <w:t>ETS contains the following collections of information:</w:t>
      </w:r>
    </w:p>
    <w:p w:rsidR="00124EF1" w:rsidP="005E536A" w:rsidRDefault="006714DE" w14:paraId="60A1FA85" w14:textId="4AAC59B2">
      <w:pPr>
        <w:spacing w:line="480" w:lineRule="auto"/>
        <w:outlineLvl w:val="4"/>
        <w:rPr>
          <w:rFonts w:eastAsia="Arial Unicode MS"/>
          <w:b/>
          <w:color w:val="000000"/>
        </w:rPr>
      </w:pPr>
      <w:r w:rsidRPr="006714DE">
        <w:rPr>
          <w:rFonts w:eastAsia="Arial Unicode MS"/>
          <w:b/>
          <w:color w:val="000000"/>
          <w:u w:val="single"/>
        </w:rPr>
        <w:t>29 CF</w:t>
      </w:r>
      <w:r w:rsidRPr="003D353B" w:rsidR="00D91F3C">
        <w:rPr>
          <w:rFonts w:eastAsia="Arial Unicode MS"/>
          <w:b/>
          <w:color w:val="000000"/>
          <w:u w:val="single"/>
        </w:rPr>
        <w:t xml:space="preserve">R </w:t>
      </w:r>
      <w:r w:rsidRPr="003D353B" w:rsidR="00124EF1">
        <w:rPr>
          <w:rFonts w:eastAsia="Arial Unicode MS"/>
          <w:b/>
          <w:color w:val="000000"/>
          <w:u w:val="single"/>
        </w:rPr>
        <w:t>§</w:t>
      </w:r>
      <w:r w:rsidRPr="003D353B" w:rsidR="00134257">
        <w:rPr>
          <w:rFonts w:eastAsia="Arial Unicode MS"/>
          <w:b/>
          <w:color w:val="000000"/>
          <w:u w:val="single"/>
        </w:rPr>
        <w:t xml:space="preserve"> </w:t>
      </w:r>
      <w:r w:rsidRPr="003D353B" w:rsidR="00124EF1">
        <w:rPr>
          <w:rFonts w:eastAsia="Arial Unicode MS"/>
          <w:b/>
          <w:color w:val="000000"/>
          <w:u w:val="single"/>
        </w:rPr>
        <w:t>1910.502</w:t>
      </w:r>
      <w:r w:rsidRPr="003D353B" w:rsidR="00E47E50">
        <w:rPr>
          <w:rFonts w:eastAsia="Arial Unicode MS"/>
          <w:b/>
          <w:color w:val="000000"/>
          <w:u w:val="single"/>
        </w:rPr>
        <w:t xml:space="preserve"> – Healthcare and Associate Industries</w:t>
      </w:r>
      <w:r w:rsidRPr="00394886" w:rsidR="00124EF1">
        <w:rPr>
          <w:rFonts w:eastAsia="Arial Unicode MS"/>
          <w:b/>
          <w:color w:val="000000"/>
        </w:rPr>
        <w:t>.</w:t>
      </w:r>
      <w:r w:rsidR="00EF7032">
        <w:rPr>
          <w:rStyle w:val="FootnoteReference"/>
          <w:rFonts w:eastAsia="Arial Unicode MS"/>
          <w:b/>
          <w:color w:val="000000"/>
        </w:rPr>
        <w:footnoteReference w:id="2"/>
      </w:r>
    </w:p>
    <w:p w:rsidR="005E536A" w:rsidP="005E536A" w:rsidRDefault="005E536A" w14:paraId="721E9B4E" w14:textId="77777777">
      <w:pPr>
        <w:pStyle w:val="NoSpacing"/>
        <w:keepNext/>
        <w:keepLines/>
        <w:rPr>
          <w:rFonts w:ascii="Times New Roman" w:hAnsi="Times New Roman" w:cs="Times New Roman"/>
          <w:b/>
          <w:sz w:val="24"/>
          <w:szCs w:val="24"/>
        </w:rPr>
      </w:pPr>
      <w:r w:rsidRPr="00001769">
        <w:rPr>
          <w:rFonts w:ascii="Times New Roman" w:hAnsi="Times New Roman" w:cs="Times New Roman"/>
          <w:b/>
          <w:sz w:val="24"/>
          <w:szCs w:val="24"/>
        </w:rPr>
        <w:lastRenderedPageBreak/>
        <w:t>§ 1910.502(</w:t>
      </w:r>
      <w:r>
        <w:rPr>
          <w:rFonts w:ascii="Times New Roman" w:hAnsi="Times New Roman" w:cs="Times New Roman"/>
          <w:b/>
          <w:sz w:val="24"/>
          <w:szCs w:val="24"/>
        </w:rPr>
        <w:t>a</w:t>
      </w:r>
      <w:r w:rsidRPr="00001769">
        <w:rPr>
          <w:rFonts w:ascii="Times New Roman" w:hAnsi="Times New Roman" w:cs="Times New Roman"/>
          <w:b/>
          <w:sz w:val="24"/>
          <w:szCs w:val="24"/>
        </w:rPr>
        <w:t>)</w:t>
      </w:r>
      <w:r>
        <w:rPr>
          <w:rFonts w:ascii="Times New Roman" w:hAnsi="Times New Roman" w:cs="Times New Roman"/>
          <w:b/>
          <w:sz w:val="24"/>
          <w:szCs w:val="24"/>
        </w:rPr>
        <w:t xml:space="preserve"> Scope and Application</w:t>
      </w:r>
    </w:p>
    <w:p w:rsidR="005E536A" w:rsidP="00785030" w:rsidRDefault="005E536A" w14:paraId="1B3905E9" w14:textId="77777777">
      <w:pPr>
        <w:pStyle w:val="NoSpacing"/>
        <w:keepNext/>
        <w:keepLines/>
        <w:rPr>
          <w:rFonts w:ascii="Times New Roman" w:hAnsi="Times New Roman" w:cs="Times New Roman"/>
          <w:b/>
          <w:sz w:val="24"/>
          <w:szCs w:val="24"/>
        </w:rPr>
      </w:pPr>
    </w:p>
    <w:p w:rsidR="005E536A" w:rsidP="00785030" w:rsidRDefault="005E536A" w14:paraId="75A477CF" w14:textId="0FA888E8">
      <w:pPr>
        <w:pStyle w:val="NoSpacing"/>
        <w:keepNext/>
        <w:keepLines/>
        <w:rPr>
          <w:rFonts w:ascii="Times New Roman" w:hAnsi="Times New Roman" w:cs="Times New Roman"/>
          <w:sz w:val="24"/>
          <w:szCs w:val="24"/>
        </w:rPr>
      </w:pPr>
      <w:r w:rsidRPr="00001769">
        <w:rPr>
          <w:rFonts w:ascii="Times New Roman" w:hAnsi="Times New Roman" w:cs="Times New Roman"/>
          <w:sz w:val="24"/>
          <w:szCs w:val="24"/>
        </w:rPr>
        <w:t>Section 1910.502</w:t>
      </w:r>
      <w:r>
        <w:rPr>
          <w:rFonts w:ascii="Times New Roman" w:hAnsi="Times New Roman" w:cs="Times New Roman"/>
          <w:sz w:val="24"/>
          <w:szCs w:val="24"/>
        </w:rPr>
        <w:t>(a)</w:t>
      </w:r>
      <w:r w:rsidRPr="00001769">
        <w:rPr>
          <w:rFonts w:ascii="Times New Roman" w:hAnsi="Times New Roman" w:cs="Times New Roman"/>
          <w:sz w:val="24"/>
          <w:szCs w:val="24"/>
        </w:rPr>
        <w:t xml:space="preserve"> </w:t>
      </w:r>
      <w:r>
        <w:rPr>
          <w:rFonts w:ascii="Times New Roman" w:hAnsi="Times New Roman" w:cs="Times New Roman"/>
          <w:sz w:val="24"/>
          <w:szCs w:val="24"/>
        </w:rPr>
        <w:t xml:space="preserve">excludes from the scope of the standard: </w:t>
      </w:r>
    </w:p>
    <w:p w:rsidR="005E536A" w:rsidP="00785030" w:rsidRDefault="005E536A" w14:paraId="41953AEF" w14:textId="77777777">
      <w:pPr>
        <w:pStyle w:val="NoSpacing"/>
        <w:keepNext/>
        <w:keepLines/>
        <w:rPr>
          <w:rFonts w:ascii="Times New Roman" w:hAnsi="Times New Roman" w:cs="Times New Roman"/>
          <w:sz w:val="24"/>
          <w:szCs w:val="24"/>
        </w:rPr>
      </w:pPr>
    </w:p>
    <w:p w:rsidR="005E536A" w:rsidP="00785030" w:rsidRDefault="005E536A" w14:paraId="1502AAAF" w14:textId="77777777">
      <w:pPr>
        <w:pStyle w:val="NoSpacing"/>
        <w:keepNext/>
        <w:keepLines/>
        <w:rPr>
          <w:rFonts w:ascii="Times New Roman" w:hAnsi="Times New Roman" w:cs="Times New Roman"/>
          <w:sz w:val="24"/>
          <w:szCs w:val="24"/>
        </w:rPr>
      </w:pPr>
      <w:r>
        <w:rPr>
          <w:rFonts w:ascii="Times New Roman" w:hAnsi="Times New Roman" w:cs="Times New Roman"/>
          <w:sz w:val="24"/>
          <w:szCs w:val="24"/>
        </w:rPr>
        <w:t>…</w:t>
      </w:r>
    </w:p>
    <w:p w:rsidR="005E536A" w:rsidP="00785030" w:rsidRDefault="005E536A" w14:paraId="225AB678" w14:textId="18DB21FB">
      <w:pPr>
        <w:pStyle w:val="NoSpacing"/>
        <w:keepNext/>
        <w:keepLines/>
        <w:ind w:left="360"/>
        <w:rPr>
          <w:rFonts w:ascii="Times New Roman" w:hAnsi="Times New Roman" w:cs="Times New Roman"/>
          <w:sz w:val="24"/>
          <w:szCs w:val="24"/>
        </w:rPr>
      </w:pPr>
      <w:r w:rsidRPr="00001769">
        <w:rPr>
          <w:rFonts w:ascii="Times New Roman" w:hAnsi="Times New Roman" w:cs="Times New Roman"/>
          <w:sz w:val="24"/>
          <w:szCs w:val="24"/>
        </w:rPr>
        <w:t>(</w:t>
      </w:r>
      <w:r>
        <w:rPr>
          <w:rFonts w:ascii="Times New Roman" w:hAnsi="Times New Roman" w:cs="Times New Roman"/>
          <w:sz w:val="24"/>
          <w:szCs w:val="24"/>
        </w:rPr>
        <w:t>iii</w:t>
      </w:r>
      <w:r w:rsidRPr="00001769">
        <w:rPr>
          <w:rFonts w:ascii="Times New Roman" w:hAnsi="Times New Roman" w:cs="Times New Roman"/>
          <w:sz w:val="24"/>
          <w:szCs w:val="24"/>
        </w:rPr>
        <w:t xml:space="preserve">) non-hospital ambulatory care settings where all non-employees are screened prior to entry and people with suspected or confirmed COVID-19 are not permitted to enter those settings; </w:t>
      </w:r>
    </w:p>
    <w:p w:rsidRPr="00001769" w:rsidR="005E536A" w:rsidP="00785030" w:rsidRDefault="005E536A" w14:paraId="29B36184" w14:textId="77777777">
      <w:pPr>
        <w:pStyle w:val="NoSpacing"/>
        <w:keepNext/>
        <w:keepLines/>
        <w:ind w:left="360"/>
        <w:rPr>
          <w:rFonts w:ascii="Times New Roman" w:hAnsi="Times New Roman" w:cs="Times New Roman"/>
          <w:sz w:val="24"/>
          <w:szCs w:val="24"/>
        </w:rPr>
      </w:pPr>
    </w:p>
    <w:p w:rsidR="005E536A" w:rsidP="00785030" w:rsidRDefault="005E536A" w14:paraId="0D16EA98" w14:textId="0A33F53B">
      <w:pPr>
        <w:pStyle w:val="NoSpacing"/>
        <w:keepNext/>
        <w:keepLines/>
        <w:ind w:left="360"/>
        <w:rPr>
          <w:rFonts w:ascii="Times New Roman" w:hAnsi="Times New Roman" w:cs="Times New Roman"/>
          <w:sz w:val="24"/>
          <w:szCs w:val="24"/>
        </w:rPr>
      </w:pPr>
      <w:r w:rsidRPr="00001769">
        <w:rPr>
          <w:rFonts w:ascii="Times New Roman" w:hAnsi="Times New Roman" w:cs="Times New Roman"/>
          <w:sz w:val="24"/>
          <w:szCs w:val="24"/>
        </w:rPr>
        <w:t>(</w:t>
      </w:r>
      <w:r>
        <w:rPr>
          <w:rFonts w:ascii="Times New Roman" w:hAnsi="Times New Roman" w:cs="Times New Roman"/>
          <w:sz w:val="24"/>
          <w:szCs w:val="24"/>
        </w:rPr>
        <w:t>iv</w:t>
      </w:r>
      <w:r w:rsidRPr="00001769">
        <w:rPr>
          <w:rFonts w:ascii="Times New Roman" w:hAnsi="Times New Roman" w:cs="Times New Roman"/>
          <w:sz w:val="24"/>
          <w:szCs w:val="24"/>
        </w:rPr>
        <w:t xml:space="preserve">) well-defined hospital ambulatory care settings where all employees are fully vaccinated and all non-employees are screened prior to entry and people with suspected or confirmed COVID-19 are not permitted to enter those settings; and </w:t>
      </w:r>
    </w:p>
    <w:p w:rsidRPr="00001769" w:rsidR="005E536A" w:rsidP="005E536A" w:rsidRDefault="005E536A" w14:paraId="06539C06" w14:textId="77777777">
      <w:pPr>
        <w:pStyle w:val="NoSpacing"/>
        <w:ind w:left="360"/>
        <w:rPr>
          <w:rFonts w:ascii="Times New Roman" w:hAnsi="Times New Roman" w:cs="Times New Roman"/>
          <w:sz w:val="24"/>
          <w:szCs w:val="24"/>
        </w:rPr>
      </w:pPr>
    </w:p>
    <w:p w:rsidRPr="00001769" w:rsidR="005E536A" w:rsidP="005E536A" w:rsidRDefault="005E536A" w14:paraId="43328A42" w14:textId="77777777">
      <w:pPr>
        <w:pStyle w:val="NoSpacing"/>
        <w:ind w:left="360"/>
        <w:rPr>
          <w:rFonts w:ascii="Times New Roman" w:hAnsi="Times New Roman" w:cs="Times New Roman"/>
          <w:sz w:val="24"/>
          <w:szCs w:val="24"/>
        </w:rPr>
      </w:pPr>
      <w:r w:rsidRPr="00001769">
        <w:rPr>
          <w:rFonts w:ascii="Times New Roman" w:hAnsi="Times New Roman" w:cs="Times New Roman"/>
          <w:sz w:val="24"/>
          <w:szCs w:val="24"/>
        </w:rPr>
        <w:t>(</w:t>
      </w:r>
      <w:r>
        <w:rPr>
          <w:rFonts w:ascii="Times New Roman" w:hAnsi="Times New Roman" w:cs="Times New Roman"/>
          <w:sz w:val="24"/>
          <w:szCs w:val="24"/>
        </w:rPr>
        <w:t>v</w:t>
      </w:r>
      <w:r w:rsidRPr="00001769">
        <w:rPr>
          <w:rFonts w:ascii="Times New Roman" w:hAnsi="Times New Roman" w:cs="Times New Roman"/>
          <w:sz w:val="24"/>
          <w:szCs w:val="24"/>
        </w:rPr>
        <w:t xml:space="preserve">) home healthcare settings where all employees are fully vaccinated and all non-employees are screened prior to entry and people with suspected or confirmed COVID-19 are not present. </w:t>
      </w:r>
    </w:p>
    <w:p w:rsidR="005E536A" w:rsidP="005E536A" w:rsidRDefault="005E536A" w14:paraId="04EED2EF" w14:textId="77777777">
      <w:pPr>
        <w:pStyle w:val="NoSpacing"/>
        <w:rPr>
          <w:rFonts w:ascii="Times New Roman" w:hAnsi="Times New Roman" w:cs="Times New Roman"/>
          <w:sz w:val="24"/>
          <w:szCs w:val="24"/>
        </w:rPr>
      </w:pPr>
    </w:p>
    <w:p w:rsidR="005E536A" w:rsidP="005E536A" w:rsidRDefault="005E536A" w14:paraId="591EBCD7" w14:textId="5DCF57E7">
      <w:pPr>
        <w:pStyle w:val="NoSpacing"/>
        <w:rPr>
          <w:rFonts w:ascii="Times New Roman" w:hAnsi="Times New Roman" w:cs="Times New Roman"/>
          <w:sz w:val="24"/>
          <w:szCs w:val="24"/>
        </w:rPr>
      </w:pPr>
      <w:r w:rsidRPr="00001769">
        <w:rPr>
          <w:rFonts w:ascii="Times New Roman" w:hAnsi="Times New Roman" w:cs="Times New Roman"/>
          <w:b/>
          <w:i/>
          <w:sz w:val="24"/>
          <w:szCs w:val="24"/>
          <w:u w:val="single"/>
        </w:rPr>
        <w:t>Purpose</w:t>
      </w:r>
      <w:r w:rsidRPr="00001769">
        <w:rPr>
          <w:rFonts w:ascii="Times New Roman" w:hAnsi="Times New Roman" w:cs="Times New Roman"/>
          <w:b/>
          <w:sz w:val="24"/>
          <w:szCs w:val="24"/>
          <w:u w:val="single"/>
        </w:rPr>
        <w:t>:</w:t>
      </w:r>
      <w:r w:rsidRPr="00001769">
        <w:rPr>
          <w:rFonts w:ascii="Times New Roman" w:hAnsi="Times New Roman" w:cs="Times New Roman"/>
          <w:sz w:val="24"/>
          <w:szCs w:val="24"/>
        </w:rPr>
        <w:t xml:space="preserve"> </w:t>
      </w:r>
      <w:r>
        <w:rPr>
          <w:rFonts w:ascii="Times New Roman" w:hAnsi="Times New Roman" w:cs="Times New Roman"/>
          <w:sz w:val="24"/>
          <w:szCs w:val="24"/>
        </w:rPr>
        <w:t>Requiring employers in these settings to screen all non-employees for COVID-19 to establish exclusion from the standard ensures that only those workplaces where employees are not at significant risk of contracting COVID-19 may forego the precautions required by the standard.</w:t>
      </w:r>
    </w:p>
    <w:p w:rsidR="005E536A" w:rsidP="005E536A" w:rsidRDefault="005E536A" w14:paraId="0B3F6FC8" w14:textId="77777777">
      <w:pPr>
        <w:pStyle w:val="NoSpacing"/>
        <w:rPr>
          <w:rFonts w:ascii="Times New Roman" w:hAnsi="Times New Roman" w:cs="Times New Roman"/>
          <w:sz w:val="24"/>
          <w:szCs w:val="24"/>
        </w:rPr>
      </w:pPr>
    </w:p>
    <w:p w:rsidR="005E536A" w:rsidP="005E536A" w:rsidRDefault="005E536A" w14:paraId="7AA6D023" w14:textId="0AE90F34">
      <w:pPr>
        <w:pStyle w:val="NoSpacing"/>
        <w:rPr>
          <w:rFonts w:ascii="Times New Roman" w:hAnsi="Times New Roman" w:cs="Times New Roman"/>
          <w:b/>
          <w:sz w:val="24"/>
          <w:szCs w:val="24"/>
        </w:rPr>
      </w:pPr>
      <w:r w:rsidRPr="00001769">
        <w:rPr>
          <w:rFonts w:ascii="Times New Roman" w:hAnsi="Times New Roman" w:cs="Times New Roman"/>
          <w:sz w:val="24"/>
          <w:szCs w:val="24"/>
        </w:rPr>
        <w:t xml:space="preserve">OSHA has not </w:t>
      </w:r>
      <w:r>
        <w:rPr>
          <w:rFonts w:ascii="Times New Roman" w:hAnsi="Times New Roman" w:cs="Times New Roman"/>
          <w:sz w:val="24"/>
          <w:szCs w:val="24"/>
        </w:rPr>
        <w:t>included a separate burden estimate for these collections under Item 12 of this ICR</w:t>
      </w:r>
      <w:r w:rsidRPr="00001769">
        <w:rPr>
          <w:rFonts w:ascii="Times New Roman" w:hAnsi="Times New Roman" w:cs="Times New Roman"/>
          <w:sz w:val="24"/>
          <w:szCs w:val="24"/>
        </w:rPr>
        <w:t>. Rather, OSHA</w:t>
      </w:r>
      <w:r>
        <w:rPr>
          <w:rFonts w:ascii="Times New Roman" w:hAnsi="Times New Roman" w:cs="Times New Roman"/>
          <w:sz w:val="24"/>
          <w:szCs w:val="24"/>
        </w:rPr>
        <w:t xml:space="preserve"> based its </w:t>
      </w:r>
      <w:r w:rsidRPr="00001769">
        <w:rPr>
          <w:rFonts w:ascii="Times New Roman" w:hAnsi="Times New Roman" w:cs="Times New Roman"/>
          <w:sz w:val="24"/>
          <w:szCs w:val="24"/>
        </w:rPr>
        <w:t xml:space="preserve">burden estimate </w:t>
      </w:r>
      <w:r>
        <w:rPr>
          <w:rFonts w:ascii="Times New Roman" w:hAnsi="Times New Roman" w:cs="Times New Roman"/>
          <w:sz w:val="24"/>
          <w:szCs w:val="24"/>
        </w:rPr>
        <w:t xml:space="preserve">for § 1910.502(d), </w:t>
      </w:r>
      <w:r w:rsidRPr="00A64597">
        <w:rPr>
          <w:rFonts w:ascii="Times New Roman" w:hAnsi="Times New Roman" w:cs="Times New Roman"/>
          <w:sz w:val="24"/>
          <w:szCs w:val="24"/>
        </w:rPr>
        <w:t>Patient screening and management</w:t>
      </w:r>
      <w:r>
        <w:rPr>
          <w:rFonts w:ascii="Times New Roman" w:hAnsi="Times New Roman" w:cs="Times New Roman"/>
          <w:sz w:val="24"/>
          <w:szCs w:val="24"/>
        </w:rPr>
        <w:t>, on the total number of affected establishments, even though some number of those establishments will ultimately be excluded from the standard under paragraph</w:t>
      </w:r>
      <w:r w:rsidR="00785030">
        <w:rPr>
          <w:rFonts w:ascii="Times New Roman" w:hAnsi="Times New Roman" w:cs="Times New Roman"/>
          <w:sz w:val="24"/>
          <w:szCs w:val="24"/>
        </w:rPr>
        <w:t xml:space="preserve"> </w:t>
      </w:r>
      <w:r>
        <w:rPr>
          <w:rFonts w:ascii="Times New Roman" w:hAnsi="Times New Roman" w:cs="Times New Roman"/>
          <w:sz w:val="24"/>
          <w:szCs w:val="24"/>
        </w:rPr>
        <w:t xml:space="preserve">(a). Accordingly, OSHA’s burden estimate for </w:t>
      </w:r>
      <w:r w:rsidR="008644D1">
        <w:rPr>
          <w:rFonts w:ascii="Times New Roman" w:hAnsi="Times New Roman" w:cs="Times New Roman"/>
          <w:sz w:val="24"/>
          <w:szCs w:val="24"/>
        </w:rPr>
        <w:t xml:space="preserve">screening under </w:t>
      </w:r>
      <w:r>
        <w:rPr>
          <w:rFonts w:ascii="Times New Roman" w:hAnsi="Times New Roman" w:cs="Times New Roman"/>
          <w:sz w:val="24"/>
          <w:szCs w:val="24"/>
        </w:rPr>
        <w:t>paragraph (d) is over-inclusive and accounts for any non-employee screening cost that would otherwise be accounted for under paragraph (a).</w:t>
      </w:r>
    </w:p>
    <w:p w:rsidR="005E536A" w:rsidP="003D353B" w:rsidRDefault="005E536A" w14:paraId="421A806F" w14:textId="77777777">
      <w:pPr>
        <w:pStyle w:val="NoSpacing"/>
        <w:keepNext/>
        <w:keepLines/>
        <w:rPr>
          <w:rFonts w:ascii="Times New Roman" w:hAnsi="Times New Roman" w:cs="Times New Roman"/>
          <w:b/>
          <w:sz w:val="24"/>
          <w:szCs w:val="24"/>
        </w:rPr>
      </w:pPr>
    </w:p>
    <w:p w:rsidRPr="00394886" w:rsidR="00E47E50" w:rsidP="003D353B" w:rsidRDefault="00E47E50" w14:paraId="526A05D8" w14:textId="1D041EB3">
      <w:pPr>
        <w:pStyle w:val="NoSpacing"/>
        <w:keepNext/>
        <w:keepLines/>
        <w:rPr>
          <w:rFonts w:ascii="Times New Roman" w:hAnsi="Times New Roman" w:cs="Times New Roman"/>
          <w:sz w:val="24"/>
          <w:szCs w:val="24"/>
        </w:rPr>
      </w:pPr>
      <w:r w:rsidRPr="001401D5">
        <w:rPr>
          <w:rFonts w:ascii="Times New Roman" w:hAnsi="Times New Roman" w:cs="Times New Roman"/>
          <w:b/>
          <w:sz w:val="24"/>
          <w:szCs w:val="24"/>
        </w:rPr>
        <w:t>§</w:t>
      </w:r>
      <w:r w:rsidR="00134257">
        <w:rPr>
          <w:rFonts w:ascii="Times New Roman" w:hAnsi="Times New Roman" w:cs="Times New Roman"/>
          <w:b/>
          <w:sz w:val="24"/>
          <w:szCs w:val="24"/>
        </w:rPr>
        <w:t xml:space="preserve"> </w:t>
      </w:r>
      <w:r w:rsidRPr="001401D5">
        <w:rPr>
          <w:rFonts w:ascii="Times New Roman" w:hAnsi="Times New Roman" w:cs="Times New Roman"/>
          <w:b/>
          <w:sz w:val="24"/>
          <w:szCs w:val="24"/>
        </w:rPr>
        <w:t>1910.502(c) COVID-19 plan</w:t>
      </w:r>
      <w:r w:rsidRPr="00394886">
        <w:rPr>
          <w:rFonts w:ascii="Times New Roman" w:hAnsi="Times New Roman" w:cs="Times New Roman"/>
          <w:sz w:val="24"/>
          <w:szCs w:val="24"/>
        </w:rPr>
        <w:t xml:space="preserve">. </w:t>
      </w:r>
    </w:p>
    <w:p w:rsidRPr="00394886" w:rsidR="00E47E50" w:rsidP="003D353B" w:rsidRDefault="00E47E50" w14:paraId="486F1CDD" w14:textId="77777777">
      <w:pPr>
        <w:pStyle w:val="NoSpacing"/>
        <w:keepNext/>
        <w:keepLines/>
        <w:rPr>
          <w:rFonts w:ascii="Times New Roman" w:hAnsi="Times New Roman" w:cs="Times New Roman"/>
          <w:sz w:val="24"/>
          <w:szCs w:val="24"/>
        </w:rPr>
      </w:pPr>
    </w:p>
    <w:p w:rsidR="00E47E50" w:rsidP="003D353B" w:rsidRDefault="00E47E50" w14:paraId="69B32B9D" w14:textId="21E57C1F">
      <w:pPr>
        <w:pStyle w:val="NoSpacing"/>
        <w:keepNext/>
        <w:keepLines/>
        <w:ind w:left="720" w:hanging="360"/>
        <w:rPr>
          <w:rFonts w:ascii="Times New Roman" w:hAnsi="Times New Roman" w:cs="Times New Roman"/>
          <w:b/>
          <w:sz w:val="24"/>
          <w:szCs w:val="24"/>
        </w:rPr>
      </w:pPr>
      <w:r w:rsidRPr="00394886">
        <w:rPr>
          <w:rFonts w:ascii="Times New Roman" w:hAnsi="Times New Roman" w:cs="Times New Roman"/>
          <w:sz w:val="24"/>
          <w:szCs w:val="24"/>
        </w:rPr>
        <w:t xml:space="preserve">(1) </w:t>
      </w:r>
      <w:r w:rsidRPr="00730250" w:rsidR="00730250">
        <w:rPr>
          <w:rFonts w:ascii="Times New Roman" w:hAnsi="Times New Roman" w:cs="Times New Roman"/>
          <w:sz w:val="24"/>
          <w:szCs w:val="24"/>
        </w:rPr>
        <w:t>The employer must develop</w:t>
      </w:r>
      <w:r w:rsidR="00842A89">
        <w:rPr>
          <w:rFonts w:ascii="Times New Roman" w:hAnsi="Times New Roman" w:cs="Times New Roman"/>
          <w:sz w:val="24"/>
          <w:szCs w:val="24"/>
        </w:rPr>
        <w:t xml:space="preserve"> and</w:t>
      </w:r>
      <w:r w:rsidRPr="00730250" w:rsidR="00842A89">
        <w:rPr>
          <w:rFonts w:ascii="Times New Roman" w:hAnsi="Times New Roman" w:cs="Times New Roman"/>
          <w:sz w:val="24"/>
          <w:szCs w:val="24"/>
        </w:rPr>
        <w:t xml:space="preserve"> </w:t>
      </w:r>
      <w:r w:rsidRPr="00730250" w:rsidR="00730250">
        <w:rPr>
          <w:rFonts w:ascii="Times New Roman" w:hAnsi="Times New Roman" w:cs="Times New Roman"/>
          <w:sz w:val="24"/>
          <w:szCs w:val="24"/>
        </w:rPr>
        <w:t xml:space="preserve">implement a COVID-19 plan for each workplace.  If the employer has multiple </w:t>
      </w:r>
      <w:r w:rsidR="006359C8">
        <w:rPr>
          <w:rFonts w:ascii="Times New Roman" w:hAnsi="Times New Roman" w:cs="Times New Roman"/>
          <w:sz w:val="24"/>
          <w:szCs w:val="24"/>
        </w:rPr>
        <w:t>workplaces</w:t>
      </w:r>
      <w:r w:rsidRPr="00730250" w:rsidR="006359C8">
        <w:rPr>
          <w:rFonts w:ascii="Times New Roman" w:hAnsi="Times New Roman" w:cs="Times New Roman"/>
          <w:sz w:val="24"/>
          <w:szCs w:val="24"/>
        </w:rPr>
        <w:t xml:space="preserve"> </w:t>
      </w:r>
      <w:r w:rsidRPr="00730250" w:rsidR="00730250">
        <w:rPr>
          <w:rFonts w:ascii="Times New Roman" w:hAnsi="Times New Roman" w:cs="Times New Roman"/>
          <w:sz w:val="24"/>
          <w:szCs w:val="24"/>
        </w:rPr>
        <w:t xml:space="preserve">that are substantially similar, its COVID-19 plan may be developed by </w:t>
      </w:r>
      <w:r w:rsidR="006359C8">
        <w:rPr>
          <w:rFonts w:ascii="Times New Roman" w:hAnsi="Times New Roman" w:cs="Times New Roman"/>
          <w:sz w:val="24"/>
          <w:szCs w:val="24"/>
        </w:rPr>
        <w:t>workplace</w:t>
      </w:r>
      <w:r w:rsidRPr="00730250" w:rsidR="006359C8">
        <w:rPr>
          <w:rFonts w:ascii="Times New Roman" w:hAnsi="Times New Roman" w:cs="Times New Roman"/>
          <w:sz w:val="24"/>
          <w:szCs w:val="24"/>
        </w:rPr>
        <w:t xml:space="preserve"> </w:t>
      </w:r>
      <w:r w:rsidRPr="00730250" w:rsidR="00730250">
        <w:rPr>
          <w:rFonts w:ascii="Times New Roman" w:hAnsi="Times New Roman" w:cs="Times New Roman"/>
          <w:sz w:val="24"/>
          <w:szCs w:val="24"/>
        </w:rPr>
        <w:t>type rather than by individual workplace so long as all required site-specific information is included in the plan.</w:t>
      </w:r>
      <w:r w:rsidRPr="00394886">
        <w:rPr>
          <w:rFonts w:ascii="Times New Roman" w:hAnsi="Times New Roman" w:cs="Times New Roman"/>
          <w:b/>
          <w:sz w:val="24"/>
          <w:szCs w:val="24"/>
        </w:rPr>
        <w:t xml:space="preserve"> </w:t>
      </w:r>
    </w:p>
    <w:p w:rsidR="00AB5D5D" w:rsidP="00AB5D5D" w:rsidRDefault="00AB5D5D" w14:paraId="06B504C1" w14:textId="77777777">
      <w:pPr>
        <w:spacing w:line="480" w:lineRule="auto"/>
        <w:ind w:left="360"/>
        <w:rPr>
          <w:b/>
        </w:rPr>
      </w:pPr>
    </w:p>
    <w:p w:rsidRPr="00671A78" w:rsidR="00AB5D5D" w:rsidP="00313268" w:rsidRDefault="00AB5D5D" w14:paraId="456C5790" w14:textId="53B2A01B">
      <w:pPr>
        <w:ind w:left="360"/>
      </w:pPr>
      <w:r w:rsidRPr="00313268">
        <w:rPr>
          <w:b/>
        </w:rPr>
        <w:t>Note to paragraph (c)(1)</w:t>
      </w:r>
      <w:r w:rsidRPr="00BC512D">
        <w:t>:  For those employers who do not already have a COVID-19 plan in place, OSHA's website contains significant compliance assistance materials, including a model plan.</w:t>
      </w:r>
    </w:p>
    <w:p w:rsidRPr="00394886" w:rsidR="00E47E50" w:rsidP="00E47E50" w:rsidRDefault="00E47E50" w14:paraId="199D245E" w14:textId="77777777">
      <w:pPr>
        <w:pStyle w:val="NoSpacing"/>
        <w:rPr>
          <w:rFonts w:ascii="Times New Roman" w:hAnsi="Times New Roman" w:cs="Times New Roman"/>
          <w:sz w:val="24"/>
          <w:szCs w:val="24"/>
        </w:rPr>
      </w:pPr>
    </w:p>
    <w:p w:rsidRPr="00394886" w:rsidR="00E47E50" w:rsidP="00E47E50" w:rsidRDefault="00E47E50" w14:paraId="3C88E711" w14:textId="77777777">
      <w:pPr>
        <w:ind w:left="720" w:hanging="360"/>
      </w:pPr>
      <w:r w:rsidRPr="00394886">
        <w:t xml:space="preserve">(2) If the employer has more than 10 employees, the COVID-19 plan must be written.  </w:t>
      </w:r>
    </w:p>
    <w:p w:rsidRPr="00394886" w:rsidR="00E47E50" w:rsidP="00E47E50" w:rsidRDefault="00E47E50" w14:paraId="6B154480" w14:textId="77777777">
      <w:pPr>
        <w:ind w:left="720" w:hanging="360"/>
      </w:pPr>
    </w:p>
    <w:p w:rsidR="00E47E50" w:rsidP="00730250" w:rsidRDefault="00E47E50" w14:paraId="29F1CDB9" w14:textId="05F326F5">
      <w:pPr>
        <w:tabs>
          <w:tab w:val="left" w:pos="720"/>
        </w:tabs>
        <w:ind w:left="720" w:hanging="360"/>
      </w:pPr>
      <w:r w:rsidRPr="00394886">
        <w:t>(3) The employer must designate one or more work</w:t>
      </w:r>
      <w:r w:rsidR="00BB5C86">
        <w:t>place</w:t>
      </w:r>
      <w:r w:rsidRPr="00394886">
        <w:t xml:space="preserve"> COVID-19 safety coordinators to implement</w:t>
      </w:r>
      <w:r w:rsidR="00842A89">
        <w:t xml:space="preserve"> and</w:t>
      </w:r>
      <w:r w:rsidRPr="00394886" w:rsidR="00842A89">
        <w:t xml:space="preserve"> </w:t>
      </w:r>
      <w:r w:rsidRPr="00394886">
        <w:t xml:space="preserve">monitor the COVID-19 plan developed under this section.  The COVID-19 safety coordinator(s) must be knowledgeable in infection control principles and practices as they apply to the workplace and employee job operations. The </w:t>
      </w:r>
      <w:r w:rsidR="00842A89">
        <w:t>identity</w:t>
      </w:r>
      <w:r w:rsidRPr="00394886">
        <w:t xml:space="preserve"> of the safety coordinator(s) must be documented in </w:t>
      </w:r>
      <w:r w:rsidR="003035DD">
        <w:t>any</w:t>
      </w:r>
      <w:r w:rsidRPr="00394886" w:rsidR="003035DD">
        <w:t xml:space="preserve"> </w:t>
      </w:r>
      <w:r w:rsidRPr="00394886">
        <w:t>written COVID-19 plan. The safety coordinator(s) must have the authority to ensure compliance with all aspects of the COVID-19 plan.</w:t>
      </w:r>
    </w:p>
    <w:p w:rsidRPr="00394886" w:rsidR="00730250" w:rsidP="00730250" w:rsidRDefault="00730250" w14:paraId="7DB45CE2" w14:textId="77777777">
      <w:pPr>
        <w:tabs>
          <w:tab w:val="left" w:pos="720"/>
        </w:tabs>
        <w:ind w:left="720" w:hanging="360"/>
      </w:pPr>
    </w:p>
    <w:p w:rsidR="00E47E50" w:rsidP="00E47E50" w:rsidRDefault="00E47E50" w14:paraId="3C6E0959" w14:textId="0E2A5409">
      <w:pPr>
        <w:ind w:left="720" w:hanging="360"/>
        <w:rPr>
          <w:color w:val="333333"/>
          <w:shd w:val="clear" w:color="auto" w:fill="FFFFFF"/>
        </w:rPr>
      </w:pPr>
      <w:r w:rsidRPr="00394886">
        <w:t>(4)</w:t>
      </w:r>
      <w:r w:rsidRPr="00394886">
        <w:rPr>
          <w:color w:val="333333"/>
          <w:shd w:val="clear" w:color="auto" w:fill="FFFFFF"/>
        </w:rPr>
        <w:t xml:space="preserve"> </w:t>
      </w:r>
      <w:r w:rsidR="006359C8">
        <w:rPr>
          <w:color w:val="333333"/>
          <w:shd w:val="clear" w:color="auto" w:fill="FFFFFF"/>
        </w:rPr>
        <w:t xml:space="preserve">(i) </w:t>
      </w:r>
      <w:r w:rsidRPr="00394886">
        <w:rPr>
          <w:color w:val="333333"/>
          <w:shd w:val="clear" w:color="auto" w:fill="FFFFFF"/>
        </w:rPr>
        <w:t>The employer must conduct a work</w:t>
      </w:r>
      <w:r w:rsidR="00BB5C86">
        <w:rPr>
          <w:color w:val="333333"/>
          <w:shd w:val="clear" w:color="auto" w:fill="FFFFFF"/>
        </w:rPr>
        <w:t>place</w:t>
      </w:r>
      <w:r w:rsidRPr="00394886">
        <w:rPr>
          <w:color w:val="333333"/>
          <w:shd w:val="clear" w:color="auto" w:fill="FFFFFF"/>
        </w:rPr>
        <w:t xml:space="preserve">-specific hazard assessment to </w:t>
      </w:r>
      <w:r w:rsidRPr="00394886">
        <w:t>identify potential workplace hazards related to COVID-19</w:t>
      </w:r>
      <w:r w:rsidR="006359C8">
        <w:t>.</w:t>
      </w:r>
    </w:p>
    <w:p w:rsidR="006359C8" w:rsidP="00313268" w:rsidRDefault="006359C8" w14:paraId="03AAE70D" w14:textId="77777777">
      <w:pPr>
        <w:ind w:left="720"/>
      </w:pPr>
    </w:p>
    <w:p w:rsidR="00AB5D5D" w:rsidP="00313268" w:rsidRDefault="006359C8" w14:paraId="1EE3AA7E" w14:textId="7067425E">
      <w:pPr>
        <w:ind w:left="1080" w:hanging="360"/>
      </w:pPr>
      <w:r>
        <w:t xml:space="preserve">(ii) In order for an employer to be exempt from </w:t>
      </w:r>
      <w:r w:rsidR="00AB5D5D">
        <w:t>this section under paragraph (a)(2)(iv) or (a)(2)(v) or from providing controls in a well-defined area under paragraph (a)(4) of this section based on employees’ fully vaccinated status, the COVID-19 plan must include policies and procedures to determine employees’ vaccination status.</w:t>
      </w:r>
    </w:p>
    <w:p w:rsidRPr="00394886" w:rsidR="006359C8" w:rsidP="00313268" w:rsidRDefault="006359C8" w14:paraId="31F9A972" w14:textId="102662BE">
      <w:pPr>
        <w:ind w:left="720"/>
      </w:pPr>
    </w:p>
    <w:p w:rsidRPr="00394886" w:rsidR="00E47E50" w:rsidP="00E47E50" w:rsidRDefault="00E47E50" w14:paraId="3E2DFA3B" w14:textId="0E6A0D38">
      <w:pPr>
        <w:ind w:left="720" w:hanging="360"/>
        <w:rPr>
          <w:shd w:val="clear" w:color="auto" w:fill="FFFFFF"/>
        </w:rPr>
      </w:pPr>
      <w:r w:rsidRPr="00394886">
        <w:t xml:space="preserve">(5) </w:t>
      </w:r>
      <w:r w:rsidRPr="00394886">
        <w:rPr>
          <w:shd w:val="clear" w:color="auto" w:fill="FFFFFF"/>
        </w:rPr>
        <w:t xml:space="preserve">The employer must seek the input and involvement of non-managerial employees </w:t>
      </w:r>
      <w:r w:rsidR="00BB5C86">
        <w:rPr>
          <w:shd w:val="clear" w:color="auto" w:fill="FFFFFF"/>
        </w:rPr>
        <w:t>and</w:t>
      </w:r>
      <w:r w:rsidRPr="00394886">
        <w:rPr>
          <w:shd w:val="clear" w:color="auto" w:fill="FFFFFF"/>
        </w:rPr>
        <w:t xml:space="preserve"> their representatives</w:t>
      </w:r>
      <w:r w:rsidR="0077238B">
        <w:rPr>
          <w:shd w:val="clear" w:color="auto" w:fill="FFFFFF"/>
        </w:rPr>
        <w:t>, if any,</w:t>
      </w:r>
      <w:r w:rsidRPr="00394886">
        <w:rPr>
          <w:shd w:val="clear" w:color="auto" w:fill="FFFFFF"/>
        </w:rPr>
        <w:t xml:space="preserve"> in the hazard assessment and the development and implementation of the COVID-19 plan. </w:t>
      </w:r>
    </w:p>
    <w:p w:rsidRPr="00394886" w:rsidR="00E47E50" w:rsidP="00E47E50" w:rsidRDefault="00E47E50" w14:paraId="04E5908A" w14:textId="77777777">
      <w:pPr>
        <w:ind w:left="720" w:hanging="360"/>
        <w:rPr>
          <w:shd w:val="clear" w:color="auto" w:fill="FFFFFF"/>
        </w:rPr>
      </w:pPr>
    </w:p>
    <w:p w:rsidRPr="00394886" w:rsidR="00E47E50" w:rsidP="00E47E50" w:rsidRDefault="00E47E50" w14:paraId="75E6AF35" w14:textId="77777777">
      <w:pPr>
        <w:ind w:left="720" w:hanging="360"/>
      </w:pPr>
      <w:r w:rsidRPr="00394886">
        <w:t>(6)</w:t>
      </w:r>
      <w:r w:rsidRPr="00394886">
        <w:tab/>
        <w:t xml:space="preserve">The employer must monitor each workplace to ensure the ongoing effectiveness of the COVID-19 plan and update it as needed. </w:t>
      </w:r>
    </w:p>
    <w:p w:rsidRPr="00394886" w:rsidR="00E47E50" w:rsidP="00E47E50" w:rsidRDefault="00E47E50" w14:paraId="2DDC837C" w14:textId="77777777">
      <w:pPr>
        <w:ind w:left="720" w:hanging="360"/>
      </w:pPr>
    </w:p>
    <w:p w:rsidRPr="00394886" w:rsidR="00E47E50" w:rsidP="00E47E50" w:rsidRDefault="00E47E50" w14:paraId="7FACF001" w14:textId="7913644C">
      <w:pPr>
        <w:ind w:left="720" w:hanging="360"/>
      </w:pPr>
      <w:r w:rsidRPr="00394886">
        <w:t xml:space="preserve">(7) The COVID-19 plan must address the hazards identified </w:t>
      </w:r>
      <w:r w:rsidR="00842A89">
        <w:t>by</w:t>
      </w:r>
      <w:r w:rsidRPr="00394886" w:rsidR="00842A89">
        <w:t xml:space="preserve"> </w:t>
      </w:r>
      <w:r w:rsidRPr="00394886">
        <w:t>the assessment required by paragraph (c)(4)</w:t>
      </w:r>
      <w:r w:rsidR="00842A89">
        <w:t xml:space="preserve"> of this section</w:t>
      </w:r>
      <w:r w:rsidRPr="00394886">
        <w:t>, including policies and procedures to:</w:t>
      </w:r>
    </w:p>
    <w:p w:rsidR="00BB5C86" w:rsidP="00E47E50" w:rsidRDefault="00BB5C86" w14:paraId="1BF65C5C" w14:textId="77777777">
      <w:pPr>
        <w:ind w:left="1080" w:hanging="360"/>
        <w:rPr>
          <w:color w:val="333333"/>
          <w:shd w:val="clear" w:color="auto" w:fill="FFFFFF"/>
        </w:rPr>
      </w:pPr>
    </w:p>
    <w:p w:rsidRPr="00394886" w:rsidR="00E47E50" w:rsidP="00E47E50" w:rsidRDefault="00E47E50" w14:paraId="28804CE7" w14:textId="049B9631">
      <w:pPr>
        <w:ind w:left="1080" w:hanging="360"/>
        <w:rPr>
          <w:b/>
        </w:rPr>
      </w:pPr>
      <w:r w:rsidRPr="00394886">
        <w:rPr>
          <w:color w:val="333333"/>
          <w:shd w:val="clear" w:color="auto" w:fill="FFFFFF"/>
        </w:rPr>
        <w:t xml:space="preserve">(i) </w:t>
      </w:r>
      <w:r w:rsidR="00730250">
        <w:rPr>
          <w:color w:val="333333"/>
          <w:shd w:val="clear" w:color="auto" w:fill="FFFFFF"/>
        </w:rPr>
        <w:t xml:space="preserve"> </w:t>
      </w:r>
      <w:r w:rsidRPr="00394886">
        <w:rPr>
          <w:color w:val="333333"/>
          <w:shd w:val="clear" w:color="auto" w:fill="FFFFFF"/>
        </w:rPr>
        <w:t>M</w:t>
      </w:r>
      <w:r w:rsidRPr="00394886">
        <w:t xml:space="preserve">inimize the risk of transmission of COVID-19 for each employee, as required by paragraphs (d) through (n) of this section; </w:t>
      </w:r>
    </w:p>
    <w:p w:rsidR="00704C04" w:rsidP="00E47E50" w:rsidRDefault="00704C04" w14:paraId="10B1C937" w14:textId="77777777">
      <w:pPr>
        <w:ind w:left="720"/>
        <w:rPr>
          <w:b/>
        </w:rPr>
      </w:pPr>
    </w:p>
    <w:p w:rsidRPr="00394886" w:rsidR="00E47E50" w:rsidP="00826881" w:rsidRDefault="00E47E50" w14:paraId="5D12FB2E" w14:textId="7D708BCF">
      <w:r w:rsidRPr="00394886">
        <w:rPr>
          <w:b/>
        </w:rPr>
        <w:t>Note to paragraph (c)(</w:t>
      </w:r>
      <w:r w:rsidR="00BB5C86">
        <w:rPr>
          <w:b/>
        </w:rPr>
        <w:t>7</w:t>
      </w:r>
      <w:r w:rsidRPr="00394886">
        <w:rPr>
          <w:b/>
        </w:rPr>
        <w:t>)(i):</w:t>
      </w:r>
      <w:r w:rsidRPr="00394886">
        <w:t xml:space="preserve"> Although the employer’s COVID-19 plan must account for the potential COVID-19 exposures to each employee, the plan can do so generally and need not address each employee individually.</w:t>
      </w:r>
    </w:p>
    <w:p w:rsidR="00BB5C86" w:rsidP="00730250" w:rsidRDefault="00BB5C86" w14:paraId="3DAFBA52" w14:textId="77777777">
      <w:pPr>
        <w:tabs>
          <w:tab w:val="left" w:pos="1080"/>
        </w:tabs>
        <w:ind w:left="1080" w:hanging="360"/>
      </w:pPr>
    </w:p>
    <w:p w:rsidR="00B9544C" w:rsidP="00E47E50" w:rsidRDefault="00B9544C" w14:paraId="53776428" w14:textId="77777777">
      <w:pPr>
        <w:tabs>
          <w:tab w:val="left" w:pos="720"/>
        </w:tabs>
        <w:ind w:left="720"/>
      </w:pPr>
    </w:p>
    <w:p w:rsidRPr="00394886" w:rsidR="00E47E50" w:rsidP="00E47E50" w:rsidRDefault="00E47E50" w14:paraId="361B6BE2" w14:textId="4BB183E9">
      <w:pPr>
        <w:tabs>
          <w:tab w:val="left" w:pos="720"/>
        </w:tabs>
        <w:ind w:left="720"/>
      </w:pPr>
      <w:r w:rsidRPr="00394886">
        <w:t xml:space="preserve">(ii) Effectively communicate and coordinate with other employers; </w:t>
      </w:r>
    </w:p>
    <w:p w:rsidR="00B9544C" w:rsidP="00E47E50" w:rsidRDefault="00B9544C" w14:paraId="38179EA9" w14:textId="77777777">
      <w:pPr>
        <w:ind w:left="1440" w:hanging="360"/>
      </w:pPr>
    </w:p>
    <w:p w:rsidR="0006190D" w:rsidP="00E47E50" w:rsidRDefault="00E47E50" w14:paraId="59F058AE" w14:textId="741E5483">
      <w:pPr>
        <w:ind w:left="1440" w:hanging="360"/>
      </w:pPr>
      <w:r w:rsidRPr="00394886">
        <w:t xml:space="preserve">(A) When employees of different employers share the same physical location, each employer must effectively communicate its COVID-19 plan to all other employers, coordinate to ensure that each of its employees is protected as required by this section, and adjust its COVID-19 plan to address any particular COVID-19 hazards presented by the other employees.  This requirement does not apply to delivery people, messengers, and other employees who </w:t>
      </w:r>
      <w:r w:rsidR="00CF2436">
        <w:t xml:space="preserve">only </w:t>
      </w:r>
      <w:r w:rsidRPr="00394886">
        <w:t>enter a workspace briefly to drop off or pick up items.</w:t>
      </w:r>
    </w:p>
    <w:p w:rsidRPr="00394886" w:rsidR="00E47E50" w:rsidP="00E47E50" w:rsidRDefault="00E47E50" w14:paraId="55068D0D" w14:textId="1C96A2CD">
      <w:pPr>
        <w:ind w:left="1440" w:hanging="360"/>
      </w:pPr>
      <w:r w:rsidRPr="00394886">
        <w:t xml:space="preserve">   </w:t>
      </w:r>
    </w:p>
    <w:p w:rsidR="00E47E50" w:rsidP="00E47E50" w:rsidRDefault="00E47E50" w14:paraId="775DFE4A" w14:textId="431A66BC">
      <w:pPr>
        <w:ind w:left="1440" w:hanging="360"/>
      </w:pPr>
      <w:r w:rsidRPr="00394886">
        <w:t>(B) An employer with one or more employees working in a physical location controlled by another employer must notify the controlling employer when those employees are exposed to conditions at that location that do not meet the requirements of this section</w:t>
      </w:r>
      <w:r w:rsidR="009F1BF3">
        <w:t>; and</w:t>
      </w:r>
      <w:r w:rsidRPr="00394886">
        <w:t xml:space="preserve">  </w:t>
      </w:r>
    </w:p>
    <w:p w:rsidRPr="00394886" w:rsidR="004E09B5" w:rsidP="00E47E50" w:rsidRDefault="004E09B5" w14:paraId="68EBF304" w14:textId="77777777">
      <w:pPr>
        <w:ind w:left="1440" w:hanging="360"/>
      </w:pPr>
    </w:p>
    <w:p w:rsidR="00B860AB" w:rsidP="00B860AB" w:rsidRDefault="00E47E50" w14:paraId="1BE71699" w14:textId="0913B8B5">
      <w:pPr>
        <w:ind w:left="1170" w:hanging="450"/>
      </w:pPr>
      <w:r w:rsidRPr="00394886">
        <w:t xml:space="preserve"> (i</w:t>
      </w:r>
      <w:r w:rsidR="001F56DD">
        <w:t>ii</w:t>
      </w:r>
      <w:r w:rsidRPr="00394886">
        <w:t xml:space="preserve">) Protect employees who </w:t>
      </w:r>
      <w:r w:rsidR="009F1BF3">
        <w:t xml:space="preserve">in the course of their employment </w:t>
      </w:r>
      <w:r w:rsidRPr="00394886">
        <w:t>enter into private residences or other physical locations controlled by a person not covered by the OSH Act (e.g., homeowners, sole proprietors).  This must include procedures for employee withdrawal from that location if those protections are inadequate</w:t>
      </w:r>
      <w:r w:rsidR="009F1BF3">
        <w:t>.</w:t>
      </w:r>
      <w:r w:rsidR="00CF2436">
        <w:t xml:space="preserve"> </w:t>
      </w:r>
    </w:p>
    <w:p w:rsidR="00B860AB" w:rsidP="00B860AB" w:rsidRDefault="00B860AB" w14:paraId="2D738B4D" w14:textId="77777777">
      <w:pPr>
        <w:ind w:left="1170" w:hanging="450"/>
      </w:pPr>
    </w:p>
    <w:p w:rsidRPr="00394886" w:rsidR="00E47E50" w:rsidP="00B860AB" w:rsidRDefault="00E47E50" w14:paraId="352453B1" w14:textId="7D3957B8">
      <w:pPr>
        <w:spacing w:after="120"/>
      </w:pPr>
      <w:r w:rsidRPr="00394886">
        <w:rPr>
          <w:b/>
        </w:rPr>
        <w:t>Note to paragraph (c)</w:t>
      </w:r>
      <w:r w:rsidRPr="00394886">
        <w:t>:  The employer may include other policies, procedures, or information necessary to comply with any applicable federal, state, or local public health laws, standards, and guidelines in their COVID-19 plan.</w:t>
      </w:r>
    </w:p>
    <w:p w:rsidR="00AA4D02" w:rsidP="00B860AB" w:rsidRDefault="00AA4D02" w14:paraId="04F4DFFF" w14:textId="0A49F381">
      <w:pPr>
        <w:spacing w:before="240" w:after="240"/>
        <w:outlineLvl w:val="4"/>
        <w:rPr>
          <w:rFonts w:eastAsia="Arial Unicode MS"/>
          <w:color w:val="000000"/>
        </w:rPr>
      </w:pPr>
      <w:r w:rsidRPr="00B860AB">
        <w:rPr>
          <w:rFonts w:eastAsia="Arial Unicode MS"/>
          <w:b/>
          <w:i/>
          <w:color w:val="000000"/>
          <w:u w:val="single"/>
        </w:rPr>
        <w:t>Purpose</w:t>
      </w:r>
      <w:r w:rsidRPr="000A528E">
        <w:rPr>
          <w:rFonts w:eastAsia="Arial Unicode MS"/>
          <w:b/>
          <w:color w:val="000000"/>
          <w:u w:val="single"/>
        </w:rPr>
        <w:t>:</w:t>
      </w:r>
      <w:r>
        <w:rPr>
          <w:rFonts w:eastAsia="Arial Unicode MS"/>
          <w:color w:val="000000"/>
        </w:rPr>
        <w:t xml:space="preserve"> The requirement that employers develop a COVID-19 plan with input and participation from employees is essential to ensuring that each employer adequately identif</w:t>
      </w:r>
      <w:r w:rsidR="004E09B5">
        <w:rPr>
          <w:rFonts w:eastAsia="Arial Unicode MS"/>
          <w:color w:val="000000"/>
        </w:rPr>
        <w:t>ies employee</w:t>
      </w:r>
      <w:r>
        <w:rPr>
          <w:rFonts w:eastAsia="Arial Unicode MS"/>
          <w:color w:val="000000"/>
        </w:rPr>
        <w:t xml:space="preserve"> exposures </w:t>
      </w:r>
      <w:r w:rsidR="004E09B5">
        <w:rPr>
          <w:rFonts w:eastAsia="Arial Unicode MS"/>
          <w:color w:val="000000"/>
        </w:rPr>
        <w:t>o</w:t>
      </w:r>
      <w:r>
        <w:rPr>
          <w:rFonts w:eastAsia="Arial Unicode MS"/>
          <w:color w:val="000000"/>
        </w:rPr>
        <w:t>n an ongoing basis and institutes policies and procedures to address those exposures.</w:t>
      </w:r>
      <w:r w:rsidRPr="000C05B8" w:rsidR="000C05B8">
        <w:rPr>
          <w:color w:val="000000"/>
          <w:shd w:val="clear" w:color="auto" w:fill="FFFFFF"/>
        </w:rPr>
        <w:t xml:space="preserve"> </w:t>
      </w:r>
      <w:r w:rsidRPr="000C05B8" w:rsidR="000C05B8">
        <w:rPr>
          <w:rFonts w:eastAsia="Arial Unicode MS"/>
          <w:color w:val="000000"/>
        </w:rPr>
        <w:t xml:space="preserve">The hazard assessment process furthers this goal by ensuring employers understand where or how controls required by the ETS must be implemented in their workplace in order to minimize the risk of transmission of COVID-19. </w:t>
      </w:r>
      <w:r>
        <w:rPr>
          <w:rFonts w:eastAsia="Arial Unicode MS"/>
          <w:color w:val="000000"/>
        </w:rPr>
        <w:t xml:space="preserve">   </w:t>
      </w:r>
    </w:p>
    <w:p w:rsidRPr="00E47E50" w:rsidR="00E47E50" w:rsidP="00E47E50" w:rsidRDefault="00E47E50" w14:paraId="65B5978A" w14:textId="4C34D71C">
      <w:pPr>
        <w:pStyle w:val="NoSpacing"/>
        <w:rPr>
          <w:rFonts w:ascii="Times New Roman" w:hAnsi="Times New Roman" w:cs="Times New Roman"/>
          <w:sz w:val="24"/>
          <w:szCs w:val="24"/>
        </w:rPr>
      </w:pPr>
      <w:r>
        <w:rPr>
          <w:rFonts w:ascii="Times New Roman" w:hAnsi="Times New Roman" w:eastAsia="Arial Unicode MS" w:cs="Times New Roman"/>
          <w:b/>
          <w:color w:val="000000"/>
          <w:sz w:val="24"/>
          <w:szCs w:val="24"/>
        </w:rPr>
        <w:t>§</w:t>
      </w:r>
      <w:r w:rsidR="00134257">
        <w:rPr>
          <w:rFonts w:ascii="Times New Roman" w:hAnsi="Times New Roman" w:eastAsia="Arial Unicode MS" w:cs="Times New Roman"/>
          <w:b/>
          <w:color w:val="000000"/>
          <w:sz w:val="24"/>
          <w:szCs w:val="24"/>
        </w:rPr>
        <w:t xml:space="preserve"> </w:t>
      </w:r>
      <w:r w:rsidRPr="001401D5">
        <w:rPr>
          <w:rFonts w:ascii="Times New Roman" w:hAnsi="Times New Roman" w:eastAsia="Arial Unicode MS" w:cs="Times New Roman"/>
          <w:b/>
          <w:color w:val="000000"/>
          <w:sz w:val="24"/>
          <w:szCs w:val="24"/>
        </w:rPr>
        <w:t>1910.502(d)</w:t>
      </w:r>
      <w:r w:rsidRPr="001401D5">
        <w:rPr>
          <w:rFonts w:ascii="Times New Roman" w:hAnsi="Times New Roman" w:cs="Times New Roman"/>
          <w:b/>
          <w:sz w:val="24"/>
          <w:szCs w:val="24"/>
        </w:rPr>
        <w:t xml:space="preserve"> Patient screening and management. </w:t>
      </w:r>
    </w:p>
    <w:p w:rsidRPr="00363BA1" w:rsidR="00E47E50" w:rsidP="00E47E50" w:rsidRDefault="00E47E50" w14:paraId="7D60497F" w14:textId="77777777">
      <w:pPr>
        <w:pStyle w:val="NoSpacing"/>
        <w:rPr>
          <w:rFonts w:ascii="Times New Roman" w:hAnsi="Times New Roman" w:cs="Times New Roman"/>
          <w:sz w:val="24"/>
          <w:szCs w:val="24"/>
        </w:rPr>
      </w:pPr>
    </w:p>
    <w:p w:rsidR="007D1B35" w:rsidP="00B860AB" w:rsidRDefault="003035DD" w14:paraId="48AA58C1" w14:textId="621BF0B0">
      <w:pPr>
        <w:pStyle w:val="NoSpacing"/>
        <w:rPr>
          <w:rFonts w:ascii="Times New Roman" w:hAnsi="Times New Roman" w:cs="Times New Roman"/>
          <w:sz w:val="24"/>
          <w:szCs w:val="24"/>
        </w:rPr>
      </w:pPr>
      <w:r>
        <w:rPr>
          <w:rFonts w:ascii="Times New Roman" w:hAnsi="Times New Roman" w:cs="Times New Roman"/>
          <w:sz w:val="24"/>
          <w:szCs w:val="24"/>
        </w:rPr>
        <w:t>(d)</w:t>
      </w:r>
      <w:r w:rsidRPr="009175FD" w:rsidR="00E47E50">
        <w:rPr>
          <w:rFonts w:ascii="Times New Roman" w:hAnsi="Times New Roman" w:cs="Times New Roman"/>
          <w:sz w:val="24"/>
          <w:szCs w:val="24"/>
        </w:rPr>
        <w:t xml:space="preserve"> In settings where direct patient care is provided, the employer must:</w:t>
      </w:r>
    </w:p>
    <w:p w:rsidR="003035DD" w:rsidP="00B860AB" w:rsidRDefault="003035DD" w14:paraId="1EF4FB19" w14:textId="5E6E34A1">
      <w:pPr>
        <w:pStyle w:val="NoSpacing"/>
        <w:rPr>
          <w:rFonts w:ascii="Times New Roman" w:hAnsi="Times New Roman" w:cs="Times New Roman"/>
          <w:sz w:val="24"/>
          <w:szCs w:val="24"/>
        </w:rPr>
      </w:pPr>
      <w:r>
        <w:rPr>
          <w:rFonts w:ascii="Times New Roman" w:hAnsi="Times New Roman" w:cs="Times New Roman"/>
          <w:sz w:val="24"/>
          <w:szCs w:val="24"/>
        </w:rPr>
        <w:t>…</w:t>
      </w:r>
    </w:p>
    <w:p w:rsidR="00E47E50" w:rsidP="00B860AB" w:rsidRDefault="00E47E50" w14:paraId="0F7AC805" w14:textId="756AF706">
      <w:pPr>
        <w:pStyle w:val="NoSpacing"/>
        <w:rPr>
          <w:rFonts w:ascii="Times New Roman" w:hAnsi="Times New Roman" w:cs="Times New Roman"/>
          <w:sz w:val="24"/>
          <w:szCs w:val="24"/>
        </w:rPr>
      </w:pPr>
      <w:r w:rsidRPr="00394886">
        <w:rPr>
          <w:rFonts w:ascii="Times New Roman" w:hAnsi="Times New Roman" w:cs="Times New Roman"/>
          <w:sz w:val="24"/>
          <w:szCs w:val="24"/>
        </w:rPr>
        <w:t>(2) Screen and triage all clients, patients, residents, delivery people and other visitors, and other non-employees entering the setting for symptoms of COVID-19.</w:t>
      </w:r>
    </w:p>
    <w:p w:rsidR="00B860AB" w:rsidP="00B860AB" w:rsidRDefault="00B55E7E" w14:paraId="59A82EFE" w14:textId="4219913B">
      <w:pPr>
        <w:pStyle w:val="NoSpacing"/>
      </w:pPr>
      <w:r>
        <w:t>. . .</w:t>
      </w:r>
    </w:p>
    <w:p w:rsidRPr="00313268" w:rsidR="0098104F" w:rsidP="00B860AB" w:rsidRDefault="0098104F" w14:paraId="7D7F7CA9" w14:textId="573BEE31">
      <w:pPr>
        <w:pStyle w:val="NoSpacing"/>
        <w:rPr>
          <w:rFonts w:ascii="Times New Roman" w:hAnsi="Times New Roman" w:cs="Times New Roman"/>
          <w:sz w:val="24"/>
          <w:szCs w:val="24"/>
        </w:rPr>
      </w:pPr>
      <w:r w:rsidRPr="00313268">
        <w:rPr>
          <w:rFonts w:ascii="Times New Roman" w:hAnsi="Times New Roman" w:cs="Times New Roman"/>
          <w:b/>
          <w:sz w:val="24"/>
          <w:szCs w:val="24"/>
        </w:rPr>
        <w:t>Note to paragraph (d)</w:t>
      </w:r>
      <w:r w:rsidRPr="00313268">
        <w:rPr>
          <w:rFonts w:ascii="Times New Roman" w:hAnsi="Times New Roman" w:cs="Times New Roman"/>
          <w:sz w:val="24"/>
          <w:szCs w:val="24"/>
        </w:rPr>
        <w:t>:  The employer is encouraged to use telehealth services where available and appropriate in order to limit the number of people entering the workplace.</w:t>
      </w:r>
    </w:p>
    <w:p w:rsidR="0098104F" w:rsidP="00B860AB" w:rsidRDefault="0098104F" w14:paraId="312DAD43" w14:textId="77777777">
      <w:pPr>
        <w:pStyle w:val="NoSpacing"/>
      </w:pPr>
    </w:p>
    <w:p w:rsidRPr="00E63125" w:rsidR="00B36C74" w:rsidP="007332EC" w:rsidRDefault="00B36C74" w14:paraId="6F85D9DB" w14:textId="2D044912">
      <w:pPr>
        <w:rPr>
          <w:rFonts w:eastAsia="Arial Unicode MS"/>
          <w:b/>
          <w:color w:val="000000"/>
        </w:rPr>
      </w:pPr>
      <w:r w:rsidRPr="00B860AB">
        <w:rPr>
          <w:rFonts w:eastAsia="Arial Unicode MS"/>
          <w:b/>
          <w:i/>
          <w:color w:val="000000"/>
          <w:u w:val="single"/>
        </w:rPr>
        <w:t>Purpose</w:t>
      </w:r>
      <w:r w:rsidRPr="00B860AB">
        <w:rPr>
          <w:rFonts w:eastAsia="Arial Unicode MS"/>
          <w:b/>
          <w:color w:val="000000"/>
          <w:u w:val="single"/>
        </w:rPr>
        <w:t>:</w:t>
      </w:r>
      <w:r w:rsidRPr="00B860AB">
        <w:rPr>
          <w:rFonts w:eastAsia="Arial Unicode MS"/>
          <w:b/>
          <w:color w:val="000000"/>
        </w:rPr>
        <w:t xml:space="preserve">   </w:t>
      </w:r>
      <w:r w:rsidR="007332EC">
        <w:rPr>
          <w:rFonts w:eastAsia="Arial Unicode MS"/>
          <w:color w:val="000000"/>
        </w:rPr>
        <w:t>The requirement that employers providing direct patient care conduct screening and triage of individuals entering their facility is essential to ensuring that potential exposures are identified and measures are taken to avoid or limit additional exposures to the virus.</w:t>
      </w:r>
    </w:p>
    <w:p w:rsidR="00B36C74" w:rsidP="00363BA1" w:rsidRDefault="00B36C74" w14:paraId="391574EE" w14:textId="77777777">
      <w:pPr>
        <w:ind w:left="360" w:hanging="360"/>
        <w:rPr>
          <w:rFonts w:eastAsia="Arial Unicode MS"/>
          <w:b/>
          <w:color w:val="000000"/>
        </w:rPr>
      </w:pPr>
    </w:p>
    <w:p w:rsidRPr="00B860AB" w:rsidR="008B502D" w:rsidP="008B502D" w:rsidRDefault="008D7936" w14:paraId="3414D950" w14:textId="54A1C082">
      <w:pPr>
        <w:pStyle w:val="paragraph"/>
        <w:spacing w:before="0" w:beforeAutospacing="0" w:after="0" w:afterAutospacing="0"/>
        <w:ind w:left="360" w:hanging="360"/>
        <w:textAlignment w:val="baseline"/>
        <w:rPr>
          <w:rFonts w:ascii="Segoe UI" w:hAnsi="Segoe UI" w:cs="Segoe UI"/>
          <w:b/>
          <w:sz w:val="18"/>
          <w:szCs w:val="18"/>
        </w:rPr>
      </w:pPr>
      <w:r>
        <w:rPr>
          <w:rFonts w:eastAsia="Arial Unicode MS"/>
          <w:b/>
          <w:color w:val="000000"/>
        </w:rPr>
        <w:t>§ 1910.502</w:t>
      </w:r>
      <w:r w:rsidRPr="00FF2F46">
        <w:rPr>
          <w:rFonts w:eastAsia="Arial Unicode MS"/>
          <w:b/>
          <w:color w:val="000000"/>
        </w:rPr>
        <w:t>(e)</w:t>
      </w:r>
      <w:r w:rsidRPr="00B860AB" w:rsidR="008B502D">
        <w:rPr>
          <w:rStyle w:val="normaltextrun"/>
          <w:rFonts w:eastAsia="Gulim"/>
          <w:b/>
          <w:sz w:val="22"/>
          <w:szCs w:val="22"/>
        </w:rPr>
        <w:t> </w:t>
      </w:r>
      <w:r w:rsidRPr="00B860AB" w:rsidR="008B502D">
        <w:rPr>
          <w:rStyle w:val="normaltextrun"/>
          <w:rFonts w:eastAsia="Gulim"/>
          <w:b/>
          <w:iCs/>
          <w:sz w:val="22"/>
          <w:szCs w:val="22"/>
        </w:rPr>
        <w:t>Standard and Transmission-Based Precautions</w:t>
      </w:r>
      <w:r w:rsidRPr="00B860AB" w:rsidR="008B502D">
        <w:rPr>
          <w:rStyle w:val="normaltextrun"/>
          <w:rFonts w:eastAsia="Gulim"/>
          <w:b/>
          <w:sz w:val="22"/>
          <w:szCs w:val="22"/>
        </w:rPr>
        <w:t>.  </w:t>
      </w:r>
      <w:r w:rsidRPr="00B860AB" w:rsidR="008B502D">
        <w:rPr>
          <w:rStyle w:val="eop"/>
          <w:rFonts w:eastAsia="Gulim"/>
          <w:b/>
          <w:sz w:val="22"/>
          <w:szCs w:val="22"/>
        </w:rPr>
        <w:t> </w:t>
      </w:r>
    </w:p>
    <w:p w:rsidR="008B502D" w:rsidP="008B502D" w:rsidRDefault="008B502D" w14:paraId="1EE1AADB" w14:textId="77777777">
      <w:pPr>
        <w:pStyle w:val="paragraph"/>
        <w:spacing w:before="0" w:beforeAutospacing="0" w:after="0" w:afterAutospacing="0"/>
        <w:ind w:left="360" w:hanging="360"/>
        <w:textAlignment w:val="baseline"/>
        <w:rPr>
          <w:rFonts w:ascii="Segoe UI" w:hAnsi="Segoe UI" w:cs="Segoe UI"/>
          <w:sz w:val="18"/>
          <w:szCs w:val="18"/>
        </w:rPr>
      </w:pPr>
      <w:r>
        <w:rPr>
          <w:rStyle w:val="eop"/>
          <w:rFonts w:eastAsia="Gulim"/>
          <w:sz w:val="22"/>
          <w:szCs w:val="22"/>
        </w:rPr>
        <w:t> </w:t>
      </w:r>
    </w:p>
    <w:p w:rsidRPr="0006190D" w:rsidR="0006190D" w:rsidP="00962E19" w:rsidRDefault="00477324" w14:paraId="502154A9" w14:textId="5C632360">
      <w:pPr>
        <w:pStyle w:val="paragraph"/>
        <w:spacing w:before="0" w:beforeAutospacing="0"/>
        <w:ind w:left="360"/>
        <w:textAlignment w:val="baseline"/>
      </w:pPr>
      <w:r>
        <w:t>E</w:t>
      </w:r>
      <w:r w:rsidRPr="0006190D" w:rsidR="0006190D">
        <w:t>mployer</w:t>
      </w:r>
      <w:r>
        <w:t>s</w:t>
      </w:r>
      <w:r w:rsidRPr="0006190D" w:rsidR="0006190D">
        <w:t xml:space="preserve"> must develop and implement policies and procedures to adhere to Standard and Transmission-Based Precautions in accordance with CDC’s “Guidelines for Isolation Precautions” (incorporated by reference, § 1910.509).</w:t>
      </w:r>
    </w:p>
    <w:p w:rsidRPr="003D353B" w:rsidR="003D353B" w:rsidP="003D353B" w:rsidRDefault="00B860AB" w14:paraId="5ACAE303" w14:textId="34B5FB3C">
      <w:r>
        <w:rPr>
          <w:rFonts w:eastAsia="Arial Unicode MS"/>
          <w:b/>
          <w:i/>
          <w:color w:val="000000"/>
          <w:u w:val="single"/>
        </w:rPr>
        <w:t>Purpose</w:t>
      </w:r>
      <w:r>
        <w:rPr>
          <w:rFonts w:eastAsia="Arial Unicode MS"/>
          <w:b/>
          <w:color w:val="000000"/>
          <w:u w:val="single"/>
        </w:rPr>
        <w:t>:</w:t>
      </w:r>
      <w:r>
        <w:rPr>
          <w:rFonts w:eastAsia="Arial Unicode MS"/>
          <w:color w:val="000000"/>
        </w:rPr>
        <w:t xml:space="preserve"> </w:t>
      </w:r>
      <w:r w:rsidR="00DF7A8B">
        <w:rPr>
          <w:rFonts w:eastAsia="Arial Unicode MS"/>
          <w:color w:val="000000"/>
        </w:rPr>
        <w:t xml:space="preserve"> </w:t>
      </w:r>
      <w:r w:rsidRPr="003D353B" w:rsidR="003D353B">
        <w:t>The requirement to develop and implement policies and procedures consistent with CDC guidelines for standard and transmission-based precautions ensures that employers are following recognized practices to protect workers. These practices are important and effective at lowering the risk of transmission of COVID-19.</w:t>
      </w:r>
      <w:r w:rsidR="0097336B">
        <w:t xml:space="preserve"> This burden is included under the COVID-19 plan.</w:t>
      </w:r>
    </w:p>
    <w:p w:rsidR="00A33326" w:rsidP="00363BA1" w:rsidRDefault="00A33326" w14:paraId="38010E86" w14:textId="77777777">
      <w:pPr>
        <w:ind w:left="360" w:hanging="360"/>
        <w:rPr>
          <w:rFonts w:eastAsia="Arial Unicode MS"/>
          <w:b/>
          <w:color w:val="000000"/>
        </w:rPr>
      </w:pPr>
    </w:p>
    <w:p w:rsidR="008D20D5" w:rsidP="0070588B" w:rsidRDefault="008D20D5" w14:paraId="4C82CDF0" w14:textId="5640F37A">
      <w:r>
        <w:rPr>
          <w:rFonts w:eastAsia="Arial Unicode MS"/>
          <w:b/>
          <w:color w:val="000000"/>
        </w:rPr>
        <w:t>§ 1910.50</w:t>
      </w:r>
      <w:r w:rsidRPr="008D20D5">
        <w:rPr>
          <w:rFonts w:eastAsia="Arial Unicode MS"/>
          <w:b/>
          <w:color w:val="000000"/>
        </w:rPr>
        <w:t>2</w:t>
      </w:r>
      <w:r w:rsidRPr="0070588B">
        <w:rPr>
          <w:b/>
        </w:rPr>
        <w:t>(h) Physical distancing</w:t>
      </w:r>
      <w:r w:rsidRPr="00BC6051">
        <w:t xml:space="preserve">. </w:t>
      </w:r>
    </w:p>
    <w:p w:rsidRPr="00BC6051" w:rsidR="008D20D5" w:rsidP="0070588B" w:rsidRDefault="008D20D5" w14:paraId="14C9821D" w14:textId="77777777"/>
    <w:p w:rsidR="008D20D5" w:rsidP="0070588B" w:rsidRDefault="008D20D5" w14:paraId="51234707" w14:textId="324AB09E">
      <w:pPr>
        <w:ind w:left="720" w:hanging="360"/>
      </w:pPr>
      <w:r w:rsidRPr="00BC6051">
        <w:t xml:space="preserve">(1) The employer must ensure that each employee is separated from all other people by at least 6 feet </w:t>
      </w:r>
      <w:r w:rsidR="00D17018">
        <w:t xml:space="preserve">when indoors </w:t>
      </w:r>
      <w:r w:rsidRPr="00BC6051">
        <w:t xml:space="preserve">unless the employer can demonstrate that such physical distancing is not feasible for a specific activity (e.g., hands-on medical care).  This provision does not apply to momentary exposure while people are in movement (e.g., passing in hallways or aisles).  </w:t>
      </w:r>
    </w:p>
    <w:p w:rsidRPr="00BC6051" w:rsidR="008D20D5" w:rsidP="0070588B" w:rsidRDefault="008D20D5" w14:paraId="19405EC0" w14:textId="77777777">
      <w:pPr>
        <w:ind w:left="720" w:hanging="360"/>
      </w:pPr>
    </w:p>
    <w:p w:rsidR="008D20D5" w:rsidP="0070588B" w:rsidRDefault="008D20D5" w14:paraId="5168C563" w14:textId="4473FC5F">
      <w:pPr>
        <w:ind w:left="720" w:hanging="360"/>
      </w:pPr>
      <w:r w:rsidRPr="00BC6051">
        <w:t>(2) When the employer establishes it is not feasible for an employee to maintain a distance of at least 6 feet from all other people, the employer must ensure that the employee is as far apart from all other people as feasible.</w:t>
      </w:r>
    </w:p>
    <w:p w:rsidRPr="00BC6051" w:rsidR="008D20D5" w:rsidP="0070588B" w:rsidRDefault="008D20D5" w14:paraId="11704293" w14:textId="77777777">
      <w:pPr>
        <w:ind w:left="720" w:hanging="360"/>
      </w:pPr>
    </w:p>
    <w:p w:rsidRPr="00BC6051" w:rsidR="008D20D5" w:rsidP="0070588B" w:rsidRDefault="008D20D5" w14:paraId="3B694BBE" w14:textId="24C91468">
      <w:pPr>
        <w:ind w:left="360"/>
      </w:pPr>
      <w:r w:rsidRPr="0070588B">
        <w:rPr>
          <w:b/>
        </w:rPr>
        <w:t>Note to paragraph (h)</w:t>
      </w:r>
      <w:r w:rsidRPr="004B143A">
        <w:t>:</w:t>
      </w:r>
      <w:r w:rsidRPr="00BC6051">
        <w:t xml:space="preserve">  Physical distancing can include methods such as: telehealth; telework or other remote work arrangements; reducing the number of people, including non-employees, in an area at one time; visual cues such as signs and floor markings to indicate where employees and others should be located or their direction and path of travel; staggered arrival, departure, work, and break times; and adjusted work processes or procedures to allow greater distance between employees.</w:t>
      </w:r>
    </w:p>
    <w:p w:rsidR="008D20D5" w:rsidP="008D20D5" w:rsidRDefault="008D20D5" w14:paraId="7317F5C0" w14:textId="57411E47">
      <w:pPr>
        <w:keepNext/>
        <w:ind w:left="360" w:hanging="360"/>
        <w:rPr>
          <w:rFonts w:eastAsia="Arial Unicode MS"/>
          <w:b/>
          <w:color w:val="000000"/>
        </w:rPr>
      </w:pPr>
    </w:p>
    <w:p w:rsidR="00BD20AB" w:rsidP="00BD20AB" w:rsidRDefault="008D20D5" w14:paraId="43760785" w14:textId="0C574607">
      <w:pPr>
        <w:spacing w:before="240"/>
        <w:rPr>
          <w:b/>
        </w:rPr>
      </w:pPr>
      <w:r w:rsidRPr="00A222D4">
        <w:rPr>
          <w:rFonts w:eastAsia="Arial Unicode MS"/>
          <w:b/>
          <w:i/>
          <w:color w:val="000000"/>
          <w:u w:val="single"/>
        </w:rPr>
        <w:t>Purpose</w:t>
      </w:r>
      <w:r w:rsidRPr="00381729">
        <w:rPr>
          <w:rFonts w:eastAsia="Arial Unicode MS"/>
          <w:b/>
          <w:color w:val="000000"/>
        </w:rPr>
        <w:t>:</w:t>
      </w:r>
      <w:r w:rsidR="00BD20AB">
        <w:rPr>
          <w:rFonts w:eastAsia="Arial Unicode MS"/>
          <w:b/>
          <w:color w:val="000000"/>
        </w:rPr>
        <w:t xml:space="preserve"> </w:t>
      </w:r>
      <w:r w:rsidRPr="00CC33B4" w:rsidR="00BD20AB">
        <w:t>T</w:t>
      </w:r>
      <w:r w:rsidR="00BD20AB">
        <w:t>he purpose of implementing physical distancing is to minimize COVID-19 transmission in the workplace.</w:t>
      </w:r>
      <w:r w:rsidRPr="00BD20AB" w:rsidR="00BD20AB">
        <w:t xml:space="preserve"> </w:t>
      </w:r>
      <w:r w:rsidRPr="00CC33B4" w:rsidR="00BD20AB">
        <w:rPr>
          <w:rStyle w:val="normaltextrun"/>
          <w:color w:val="000000"/>
          <w:shd w:val="clear" w:color="auto" w:fill="FFFFFF"/>
        </w:rPr>
        <w:t>OSHA defines physical distancing as “maintaining a sufficient distance between two people -- generally considered to be at least six feet of separation -- such that the risk of viral transmission through inhalation of virus-containing particles from an infected individual is significantly reduced.”</w:t>
      </w:r>
      <w:r w:rsidRPr="00CC33B4" w:rsidR="00BD20AB">
        <w:rPr>
          <w:rStyle w:val="eop"/>
          <w:color w:val="000000"/>
          <w:shd w:val="clear" w:color="auto" w:fill="FFFFFF"/>
        </w:rPr>
        <w:t> </w:t>
      </w:r>
      <w:r w:rsidRPr="00CC33B4" w:rsidR="00BD20AB">
        <w:rPr>
          <w:rStyle w:val="normaltextrun"/>
          <w:color w:val="000000"/>
          <w:shd w:val="clear" w:color="auto" w:fill="FFFFFF"/>
        </w:rPr>
        <w:t xml:space="preserve">To determine when and where physical distancing is necessary in the workplace, employers must rely on the results of the hazard assessment. </w:t>
      </w:r>
      <w:r w:rsidRPr="0070588B" w:rsidR="0070588B">
        <w:rPr>
          <w:color w:val="000000"/>
          <w:shd w:val="clear" w:color="auto" w:fill="FFFFFF"/>
        </w:rPr>
        <w:t>One method for implementing physical distancing is to utilize visual cues such as signs and floor markings to indicate where employees and other</w:t>
      </w:r>
      <w:r w:rsidR="0061736F">
        <w:rPr>
          <w:color w:val="000000"/>
          <w:shd w:val="clear" w:color="auto" w:fill="FFFFFF"/>
        </w:rPr>
        <w:t>s</w:t>
      </w:r>
      <w:r w:rsidRPr="0070588B" w:rsidR="0070588B">
        <w:rPr>
          <w:color w:val="000000"/>
          <w:shd w:val="clear" w:color="auto" w:fill="FFFFFF"/>
        </w:rPr>
        <w:t xml:space="preserve"> should be located or their direction and path of travel.</w:t>
      </w:r>
    </w:p>
    <w:p w:rsidRPr="0070588B" w:rsidR="00381729" w:rsidP="008D20D5" w:rsidRDefault="00381729" w14:paraId="268522B3" w14:textId="77777777">
      <w:pPr>
        <w:keepNext/>
        <w:ind w:left="360" w:hanging="360"/>
        <w:rPr>
          <w:rFonts w:eastAsia="Arial Unicode MS"/>
          <w:b/>
          <w:i/>
          <w:color w:val="000000"/>
        </w:rPr>
      </w:pPr>
    </w:p>
    <w:p w:rsidR="00363BA1" w:rsidP="003D353B" w:rsidRDefault="00134257" w14:paraId="24920B5B" w14:textId="6EDB6E00">
      <w:pPr>
        <w:keepNext/>
        <w:ind w:left="360" w:hanging="360"/>
      </w:pPr>
      <w:r>
        <w:rPr>
          <w:rFonts w:eastAsia="Arial Unicode MS"/>
          <w:b/>
          <w:color w:val="000000"/>
        </w:rPr>
        <w:t xml:space="preserve">§ </w:t>
      </w:r>
      <w:r w:rsidR="00363BA1">
        <w:rPr>
          <w:rFonts w:eastAsia="Arial Unicode MS"/>
          <w:b/>
          <w:color w:val="000000"/>
        </w:rPr>
        <w:t>1910.502(l)</w:t>
      </w:r>
      <w:r w:rsidR="00B11712">
        <w:rPr>
          <w:rFonts w:eastAsia="Arial Unicode MS"/>
          <w:b/>
          <w:color w:val="000000"/>
        </w:rPr>
        <w:t>(1),(2)&amp;(3)</w:t>
      </w:r>
      <w:r w:rsidRPr="00363BA1" w:rsidR="00363BA1">
        <w:t xml:space="preserve"> </w:t>
      </w:r>
      <w:r w:rsidRPr="001401D5" w:rsidR="00363BA1">
        <w:rPr>
          <w:b/>
        </w:rPr>
        <w:t>Health screening and medical management</w:t>
      </w:r>
      <w:r w:rsidRPr="00394886" w:rsidR="00363BA1">
        <w:t xml:space="preserve">. </w:t>
      </w:r>
    </w:p>
    <w:p w:rsidRPr="00394886" w:rsidR="00363BA1" w:rsidP="003D353B" w:rsidRDefault="00363BA1" w14:paraId="3B529FF5" w14:textId="77777777">
      <w:pPr>
        <w:keepNext/>
        <w:ind w:left="360" w:hanging="360"/>
      </w:pPr>
    </w:p>
    <w:p w:rsidRPr="00834D37" w:rsidR="00834D37" w:rsidP="003D353B" w:rsidRDefault="00834D37" w14:paraId="313ED893" w14:textId="48F4C44C">
      <w:pPr>
        <w:pStyle w:val="ListParagraph"/>
        <w:keepNext/>
        <w:numPr>
          <w:ilvl w:val="0"/>
          <w:numId w:val="11"/>
        </w:numPr>
      </w:pPr>
      <w:r w:rsidRPr="007A2CCF">
        <w:rPr>
          <w:rFonts w:ascii="Times New Roman" w:hAnsi="Times New Roman"/>
          <w:sz w:val="24"/>
          <w:szCs w:val="24"/>
        </w:rPr>
        <w:t>Screening</w:t>
      </w:r>
      <w:r w:rsidRPr="00834D37">
        <w:rPr>
          <w:rFonts w:ascii="Times New Roman" w:hAnsi="Times New Roman"/>
          <w:sz w:val="24"/>
          <w:szCs w:val="24"/>
        </w:rPr>
        <w:t>.</w:t>
      </w:r>
    </w:p>
    <w:p w:rsidRPr="00834D37" w:rsidR="00363BA1" w:rsidP="003035DD" w:rsidRDefault="00834D37" w14:paraId="11CA5550" w14:textId="54C0AF74">
      <w:pPr>
        <w:pStyle w:val="ListParagraph"/>
        <w:spacing w:after="0"/>
        <w:ind w:left="990" w:hanging="270"/>
      </w:pPr>
      <w:r w:rsidRPr="00834D37">
        <w:rPr>
          <w:rFonts w:ascii="Times New Roman" w:hAnsi="Times New Roman"/>
          <w:sz w:val="24"/>
          <w:szCs w:val="24"/>
        </w:rPr>
        <w:t>(i)</w:t>
      </w:r>
      <w:r w:rsidR="007A2CCF">
        <w:rPr>
          <w:rFonts w:ascii="Times New Roman" w:hAnsi="Times New Roman"/>
          <w:sz w:val="24"/>
          <w:szCs w:val="24"/>
        </w:rPr>
        <w:t xml:space="preserve"> </w:t>
      </w:r>
      <w:r w:rsidRPr="00834D37" w:rsidR="00363BA1">
        <w:rPr>
          <w:rFonts w:ascii="Times New Roman" w:hAnsi="Times New Roman"/>
          <w:sz w:val="24"/>
          <w:szCs w:val="24"/>
        </w:rPr>
        <w:t xml:space="preserve">The employer must screen each employee before each workday and each shift.  Screening may be conducted by asking employees to self-monitor before reporting to work or </w:t>
      </w:r>
      <w:r w:rsidR="00962E19">
        <w:rPr>
          <w:rFonts w:ascii="Times New Roman" w:hAnsi="Times New Roman"/>
          <w:sz w:val="24"/>
          <w:szCs w:val="24"/>
        </w:rPr>
        <w:t xml:space="preserve">may be </w:t>
      </w:r>
      <w:r w:rsidRPr="00834D37" w:rsidR="00363BA1">
        <w:rPr>
          <w:rFonts w:ascii="Times New Roman" w:hAnsi="Times New Roman"/>
          <w:sz w:val="24"/>
          <w:szCs w:val="24"/>
        </w:rPr>
        <w:t xml:space="preserve">conducted in-person by the employer.   </w:t>
      </w:r>
    </w:p>
    <w:p w:rsidRPr="00834D37" w:rsidR="00363BA1" w:rsidP="00363BA1" w:rsidRDefault="00363BA1" w14:paraId="60C453EE" w14:textId="77777777">
      <w:pPr>
        <w:pStyle w:val="NoSpacing"/>
        <w:ind w:left="720" w:hanging="360"/>
        <w:rPr>
          <w:rFonts w:ascii="Times New Roman" w:hAnsi="Times New Roman" w:cs="Times New Roman"/>
          <w:sz w:val="24"/>
          <w:szCs w:val="24"/>
        </w:rPr>
      </w:pPr>
    </w:p>
    <w:p w:rsidRPr="00394886" w:rsidR="00363BA1" w:rsidP="007A2CCF" w:rsidRDefault="00834D37" w14:paraId="1A379AD5" w14:textId="579C4861">
      <w:pPr>
        <w:pStyle w:val="NoSpacing"/>
        <w:ind w:left="1080" w:hanging="360"/>
        <w:rPr>
          <w:rFonts w:ascii="Times New Roman" w:hAnsi="Times New Roman" w:cs="Times New Roman"/>
          <w:sz w:val="24"/>
          <w:szCs w:val="24"/>
        </w:rPr>
      </w:pPr>
      <w:r>
        <w:rPr>
          <w:rFonts w:ascii="Times New Roman" w:hAnsi="Times New Roman" w:cs="Times New Roman"/>
          <w:sz w:val="24"/>
          <w:szCs w:val="24"/>
        </w:rPr>
        <w:t>(ii)</w:t>
      </w:r>
      <w:r w:rsidRPr="00394886" w:rsidR="00363BA1">
        <w:rPr>
          <w:rFonts w:ascii="Times New Roman" w:hAnsi="Times New Roman" w:cs="Times New Roman"/>
          <w:sz w:val="24"/>
          <w:szCs w:val="24"/>
        </w:rPr>
        <w:t xml:space="preserve"> If a COVID-19 test is required by the employer</w:t>
      </w:r>
      <w:r w:rsidR="003035DD">
        <w:rPr>
          <w:rFonts w:ascii="Times New Roman" w:hAnsi="Times New Roman" w:cs="Times New Roman"/>
          <w:sz w:val="24"/>
          <w:szCs w:val="24"/>
        </w:rPr>
        <w:t xml:space="preserve"> for screening purposes</w:t>
      </w:r>
      <w:r w:rsidRPr="00394886" w:rsidR="00363BA1">
        <w:rPr>
          <w:rFonts w:ascii="Times New Roman" w:hAnsi="Times New Roman" w:cs="Times New Roman"/>
          <w:sz w:val="24"/>
          <w:szCs w:val="24"/>
        </w:rPr>
        <w:t>, the employer must provide the test to each employee at no cost to the employee.</w:t>
      </w:r>
    </w:p>
    <w:p w:rsidRPr="00394886" w:rsidR="00363BA1" w:rsidP="00363BA1" w:rsidRDefault="00363BA1" w14:paraId="623B9CC4" w14:textId="77777777">
      <w:pPr>
        <w:pStyle w:val="NoSpacing"/>
        <w:ind w:left="720" w:hanging="360"/>
        <w:rPr>
          <w:rFonts w:ascii="Times New Roman" w:hAnsi="Times New Roman" w:cs="Times New Roman"/>
          <w:sz w:val="24"/>
          <w:szCs w:val="24"/>
        </w:rPr>
      </w:pPr>
    </w:p>
    <w:p w:rsidR="003035DD" w:rsidP="00D2448B" w:rsidRDefault="00363BA1" w14:paraId="57EB0215" w14:textId="3EB9353F">
      <w:pPr>
        <w:ind w:left="720" w:hanging="360"/>
        <w:rPr>
          <w:rFonts w:cstheme="minorHAnsi"/>
        </w:rPr>
      </w:pPr>
      <w:r w:rsidRPr="00394886">
        <w:t>(</w:t>
      </w:r>
      <w:r w:rsidR="00834D37">
        <w:t>2</w:t>
      </w:r>
      <w:r w:rsidRPr="00394886">
        <w:t xml:space="preserve">) </w:t>
      </w:r>
      <w:r w:rsidR="003035DD">
        <w:rPr>
          <w:rFonts w:cstheme="minorHAnsi"/>
        </w:rPr>
        <w:t>Employee notification of COVID-19 illness or symptoms.</w:t>
      </w:r>
      <w:r w:rsidR="002A61D1">
        <w:rPr>
          <w:rFonts w:cstheme="minorHAnsi"/>
        </w:rPr>
        <w:t xml:space="preserve"> </w:t>
      </w:r>
      <w:r w:rsidRPr="00D93F07" w:rsidR="003035DD">
        <w:rPr>
          <w:rFonts w:cstheme="minorHAnsi"/>
        </w:rPr>
        <w:t xml:space="preserve">The employer must require </w:t>
      </w:r>
      <w:r w:rsidR="003035DD">
        <w:rPr>
          <w:rFonts w:cstheme="minorHAnsi"/>
        </w:rPr>
        <w:t xml:space="preserve">each </w:t>
      </w:r>
      <w:r w:rsidRPr="00D93F07" w:rsidR="003035DD">
        <w:rPr>
          <w:rFonts w:cstheme="minorHAnsi"/>
        </w:rPr>
        <w:t>employee to promptly notify the employer when the</w:t>
      </w:r>
      <w:r w:rsidR="003035DD">
        <w:rPr>
          <w:rFonts w:cstheme="minorHAnsi"/>
        </w:rPr>
        <w:t xml:space="preserve"> employee</w:t>
      </w:r>
      <w:r w:rsidRPr="00D93F07" w:rsidR="003035DD">
        <w:rPr>
          <w:rFonts w:cstheme="minorHAnsi"/>
        </w:rPr>
        <w:t>:</w:t>
      </w:r>
    </w:p>
    <w:p w:rsidR="002A61D1" w:rsidP="00D2448B" w:rsidRDefault="002A61D1" w14:paraId="554F1C93" w14:textId="77777777">
      <w:pPr>
        <w:ind w:left="720" w:hanging="360"/>
        <w:rPr>
          <w:rFonts w:cstheme="minorHAnsi"/>
        </w:rPr>
      </w:pPr>
    </w:p>
    <w:p w:rsidR="002A61D1" w:rsidP="002A61D1" w:rsidRDefault="002A61D1" w14:paraId="6457B8B4" w14:textId="12DC83BC">
      <w:pPr>
        <w:ind w:left="1080" w:hanging="360"/>
        <w:rPr>
          <w:rFonts w:cstheme="minorHAnsi"/>
        </w:rPr>
      </w:pPr>
      <w:r w:rsidRPr="002A61D1">
        <w:rPr>
          <w:rFonts w:cstheme="minorHAnsi"/>
        </w:rPr>
        <w:t xml:space="preserve">(i) is COVID-19 positive (i.e., </w:t>
      </w:r>
      <w:r w:rsidRPr="002A61D1">
        <w:rPr>
          <w:rFonts w:cstheme="minorHAnsi"/>
          <w:bCs/>
        </w:rPr>
        <w:t>confirmed positive t</w:t>
      </w:r>
      <w:r w:rsidRPr="002A61D1">
        <w:rPr>
          <w:rFonts w:cstheme="minorHAnsi"/>
        </w:rPr>
        <w:t>est for, or has been diagnosed by a licensed healthcare provider with, COVID-19); or</w:t>
      </w:r>
    </w:p>
    <w:p w:rsidRPr="002A61D1" w:rsidR="002A61D1" w:rsidP="002A61D1" w:rsidRDefault="002A61D1" w14:paraId="30B68CCE" w14:textId="764B7682">
      <w:pPr>
        <w:ind w:left="1080" w:hanging="360"/>
        <w:rPr>
          <w:rFonts w:cstheme="minorHAnsi"/>
        </w:rPr>
      </w:pPr>
    </w:p>
    <w:p w:rsidR="002A61D1" w:rsidP="002A61D1" w:rsidRDefault="002A61D1" w14:paraId="1455B306" w14:textId="51F9EB6F">
      <w:pPr>
        <w:ind w:left="1080" w:hanging="360"/>
        <w:rPr>
          <w:rFonts w:cstheme="minorHAnsi"/>
        </w:rPr>
      </w:pPr>
      <w:r w:rsidRPr="002A61D1">
        <w:rPr>
          <w:rFonts w:cstheme="minorHAnsi"/>
        </w:rPr>
        <w:t>(ii) has been told by a licensed healthcare provider that they are suspected to have COVID-19; or</w:t>
      </w:r>
    </w:p>
    <w:p w:rsidRPr="002A61D1" w:rsidR="002A61D1" w:rsidP="002A61D1" w:rsidRDefault="002A61D1" w14:paraId="7BC9F011" w14:textId="77777777">
      <w:pPr>
        <w:ind w:left="1080" w:hanging="360"/>
        <w:rPr>
          <w:rFonts w:cstheme="minorHAnsi"/>
        </w:rPr>
      </w:pPr>
    </w:p>
    <w:p w:rsidR="002A61D1" w:rsidP="002A61D1" w:rsidRDefault="002A61D1" w14:paraId="36C1BAA8" w14:textId="0436EC18">
      <w:pPr>
        <w:ind w:left="1080" w:hanging="360"/>
        <w:rPr>
          <w:rFonts w:cstheme="minorHAnsi"/>
        </w:rPr>
      </w:pPr>
      <w:r w:rsidRPr="002A61D1">
        <w:rPr>
          <w:rFonts w:cstheme="minorHAnsi"/>
        </w:rPr>
        <w:t>(iii) is experiencing recent loss of taste and/or smell with no other explanation; or</w:t>
      </w:r>
    </w:p>
    <w:p w:rsidRPr="002A61D1" w:rsidR="002A61D1" w:rsidP="002A61D1" w:rsidRDefault="002A61D1" w14:paraId="4A0C0798" w14:textId="77777777">
      <w:pPr>
        <w:ind w:left="1080" w:hanging="360"/>
        <w:rPr>
          <w:rFonts w:cstheme="minorHAnsi"/>
        </w:rPr>
      </w:pPr>
    </w:p>
    <w:p w:rsidRPr="002A61D1" w:rsidR="002A61D1" w:rsidP="002A61D1" w:rsidRDefault="002A61D1" w14:paraId="412291D4" w14:textId="77777777">
      <w:pPr>
        <w:ind w:left="1080" w:hanging="360"/>
        <w:rPr>
          <w:rFonts w:cstheme="minorHAnsi"/>
        </w:rPr>
      </w:pPr>
      <w:r w:rsidRPr="002A61D1">
        <w:rPr>
          <w:rFonts w:cstheme="minorHAnsi"/>
        </w:rPr>
        <w:t>(iv) is experiencing both fever (≥100.4° F) and new unexplained cough associated with shortness of breath.</w:t>
      </w:r>
    </w:p>
    <w:p w:rsidR="003035DD" w:rsidP="003035DD" w:rsidRDefault="002A61D1" w14:paraId="373F2B72" w14:textId="6B79D514">
      <w:pPr>
        <w:ind w:left="360"/>
        <w:rPr>
          <w:rFonts w:cstheme="minorHAnsi"/>
        </w:rPr>
      </w:pPr>
      <w:r w:rsidRPr="002A61D1" w:rsidDel="002A61D1">
        <w:rPr>
          <w:rFonts w:cstheme="minorHAnsi"/>
        </w:rPr>
        <w:t xml:space="preserve"> </w:t>
      </w:r>
    </w:p>
    <w:p w:rsidR="003035DD" w:rsidP="003035DD" w:rsidRDefault="003035DD" w14:paraId="2B392C4B" w14:textId="1C7107A6">
      <w:pPr>
        <w:ind w:left="360"/>
        <w:rPr>
          <w:rFonts w:cstheme="minorHAnsi"/>
        </w:rPr>
      </w:pPr>
      <w:r>
        <w:rPr>
          <w:rFonts w:cstheme="minorHAnsi"/>
        </w:rPr>
        <w:t>(3) Employer notification to employees of COVID-19 exposure in the workplace.</w:t>
      </w:r>
      <w:r w:rsidRPr="00D93F07">
        <w:rPr>
          <w:rFonts w:cstheme="minorHAnsi"/>
        </w:rPr>
        <w:t xml:space="preserve"> </w:t>
      </w:r>
    </w:p>
    <w:p w:rsidR="00363BA1" w:rsidP="007A2CCF" w:rsidRDefault="00363BA1" w14:paraId="31D472B1" w14:textId="0ABDF06B">
      <w:pPr>
        <w:ind w:left="360"/>
      </w:pPr>
    </w:p>
    <w:p w:rsidRPr="00394886" w:rsidR="00363BA1" w:rsidP="00DB7D97" w:rsidRDefault="00363BA1" w14:paraId="6F6E6A4E" w14:textId="13860D39">
      <w:pPr>
        <w:ind w:left="990" w:hanging="270"/>
      </w:pPr>
      <w:r w:rsidRPr="00394886">
        <w:t xml:space="preserve">(i) </w:t>
      </w:r>
      <w:r w:rsidRPr="00DB7D97" w:rsidR="00DB7D97">
        <w:t>Except as provided for in paragraph (l)(</w:t>
      </w:r>
      <w:r w:rsidR="00F07D38">
        <w:t>3</w:t>
      </w:r>
      <w:r w:rsidRPr="00DB7D97" w:rsidR="00DB7D97">
        <w:t>)(iii) of this section, when</w:t>
      </w:r>
      <w:r w:rsidRPr="00DB7D97" w:rsidDel="00DB7D97" w:rsidR="00DB7D97">
        <w:t xml:space="preserve"> </w:t>
      </w:r>
      <w:r w:rsidRPr="003035DD" w:rsidR="003035DD">
        <w:t xml:space="preserve">the employer is notified that a person </w:t>
      </w:r>
      <w:r w:rsidR="0098104F">
        <w:t>who has been in the</w:t>
      </w:r>
      <w:r w:rsidRPr="003035DD" w:rsidR="003035DD">
        <w:t xml:space="preserve"> workplace(s) (including employees, clients, patients, residents, vendors, contractors, customers, delivery people and other visitors, or other non-employees) is COVID-19 positive, the employer must, within 24 hours:</w:t>
      </w:r>
    </w:p>
    <w:p w:rsidR="00E659F7" w:rsidP="00363BA1" w:rsidRDefault="00E659F7" w14:paraId="00CC9D0F" w14:textId="77777777">
      <w:pPr>
        <w:ind w:left="1440" w:hanging="360"/>
      </w:pPr>
    </w:p>
    <w:p w:rsidR="00DB7D97" w:rsidP="00DB7D97" w:rsidRDefault="00DB7D97" w14:paraId="3BDCA82B" w14:textId="3D76E467">
      <w:pPr>
        <w:ind w:left="1440" w:hanging="360"/>
      </w:pPr>
      <w:r w:rsidRPr="00DB7D97">
        <w:t>(A) Notify each employee who was not wearing a respirator and any other required PPE and has been in close contact with that person</w:t>
      </w:r>
      <w:r w:rsidR="0098104F">
        <w:t xml:space="preserve"> in the workplace</w:t>
      </w:r>
      <w:r w:rsidRPr="00DB7D97">
        <w:t>. The notification must state the fact that the employee was in close contact with someone with COVID-19 along with the date(s) that contact occurred.</w:t>
      </w:r>
    </w:p>
    <w:p w:rsidRPr="00DB7D97" w:rsidR="00DB7D97" w:rsidP="00DB7D97" w:rsidRDefault="00DB7D97" w14:paraId="6E8B4DD5" w14:textId="3EC73506">
      <w:pPr>
        <w:ind w:left="1440" w:hanging="360"/>
      </w:pPr>
    </w:p>
    <w:p w:rsidR="00DB7D97" w:rsidP="00DB7D97" w:rsidRDefault="00DB7D97" w14:paraId="1B2C4646" w14:textId="18B5FFBA">
      <w:pPr>
        <w:ind w:left="1440" w:hanging="360"/>
      </w:pPr>
      <w:r w:rsidRPr="00DB7D97">
        <w:t xml:space="preserve">(B) Notify all other employees who were not wearing a respirator and any other required PPE and worked in </w:t>
      </w:r>
      <w:r w:rsidR="00F07D38">
        <w:t>a</w:t>
      </w:r>
      <w:r w:rsidRPr="00DB7D97">
        <w:t xml:space="preserve"> well-defined portion of a </w:t>
      </w:r>
      <w:r w:rsidR="0098104F">
        <w:t>workplace</w:t>
      </w:r>
      <w:r w:rsidRPr="00DB7D97">
        <w:t xml:space="preserve">(e.g., a particular floor) </w:t>
      </w:r>
      <w:r w:rsidR="00F07D38">
        <w:t>in which</w:t>
      </w:r>
      <w:r w:rsidRPr="00DB7D97">
        <w:t xml:space="preserve"> that person </w:t>
      </w:r>
      <w:r w:rsidR="00F07D38">
        <w:t xml:space="preserve">was present </w:t>
      </w:r>
      <w:r w:rsidRPr="00DB7D97">
        <w:t xml:space="preserve">during the potential transmission period.  The potential transmission period </w:t>
      </w:r>
      <w:r w:rsidR="00F07D38">
        <w:t>runs from</w:t>
      </w:r>
      <w:r w:rsidRPr="00DB7D97">
        <w:t xml:space="preserve"> 2 days before the person felt sick (or, for asymptomatic people, 2 days prior to test specimen collection) until the time the person is isolated.  The notification must specify the date(s) the person with COVID-19 was in the workplace during the potential transmission period.</w:t>
      </w:r>
    </w:p>
    <w:p w:rsidRPr="00DB7D97" w:rsidR="00DB7D97" w:rsidP="00DB7D97" w:rsidRDefault="00DB7D97" w14:paraId="4A705FBB" w14:textId="77777777">
      <w:pPr>
        <w:ind w:left="1440" w:hanging="360"/>
      </w:pPr>
    </w:p>
    <w:p w:rsidRPr="00DB7D97" w:rsidR="00DB7D97" w:rsidP="00DB7D97" w:rsidRDefault="00DB7D97" w14:paraId="0C90BE4E" w14:textId="19204901">
      <w:pPr>
        <w:ind w:left="1440" w:hanging="360"/>
      </w:pPr>
      <w:r w:rsidRPr="00DB7D97">
        <w:t xml:space="preserve"> (C) Notify other employers whose employees were not wearing respirators and any  other required PPE and has been in close contact with</w:t>
      </w:r>
      <w:r w:rsidR="00F07D38">
        <w:t xml:space="preserve"> that person</w:t>
      </w:r>
      <w:r w:rsidRPr="00DB7D97">
        <w:t xml:space="preserve">, or worked in </w:t>
      </w:r>
      <w:r w:rsidR="00F07D38">
        <w:t>a</w:t>
      </w:r>
      <w:r w:rsidRPr="00DB7D97">
        <w:t xml:space="preserve"> well-defined portion of </w:t>
      </w:r>
      <w:r w:rsidR="004C7452">
        <w:t>a workplace</w:t>
      </w:r>
      <w:r w:rsidRPr="00DB7D97">
        <w:t xml:space="preserve"> (e.g., a particular floor) </w:t>
      </w:r>
      <w:r w:rsidR="00F07D38">
        <w:t>in which</w:t>
      </w:r>
      <w:r w:rsidRPr="00DB7D97">
        <w:t xml:space="preserve"> that person </w:t>
      </w:r>
      <w:r w:rsidR="00F07D38">
        <w:t xml:space="preserve">was present </w:t>
      </w:r>
      <w:r w:rsidRPr="00DB7D97">
        <w:t xml:space="preserve">during the potential transmission period.  The potential transmission period </w:t>
      </w:r>
      <w:r w:rsidR="00F07D38">
        <w:t>runs from</w:t>
      </w:r>
      <w:r w:rsidRPr="00DB7D97">
        <w:t xml:space="preserve"> 2 days before the person felt sick (or, for asymptomatic people, 2 days prior to test specimen collection) until the time the person is isolated.  The notification must specify the date(s) the person with COVID-19 was in the workplace during the potential transmission period and the location(s) where the person with COVID-19 was in the workplace.</w:t>
      </w:r>
    </w:p>
    <w:p w:rsidR="00E659F7" w:rsidP="00A222D4" w:rsidRDefault="00E659F7" w14:paraId="340408CB" w14:textId="19847CE9"/>
    <w:p w:rsidR="001F71E1" w:rsidP="001F71E1" w:rsidRDefault="00363BA1" w14:paraId="1E63A9B5" w14:textId="14DCB4E6">
      <w:pPr>
        <w:ind w:left="1170" w:hanging="450"/>
      </w:pPr>
      <w:r w:rsidRPr="00394886">
        <w:t xml:space="preserve">(ii) </w:t>
      </w:r>
      <w:r w:rsidRPr="001F71E1" w:rsidR="001F71E1">
        <w:t>The notifications required by paragraph (l)(3)(i) of this section must not include any employee’s name, contact information</w:t>
      </w:r>
      <w:r w:rsidR="00F07D38">
        <w:t xml:space="preserve"> </w:t>
      </w:r>
      <w:r w:rsidR="00F07D38">
        <w:rPr>
          <w:rFonts w:eastAsia="Times New Roman"/>
        </w:rPr>
        <w:t>(e.g., phone number, email address)</w:t>
      </w:r>
      <w:r w:rsidRPr="00340451" w:rsidR="00F07D38">
        <w:rPr>
          <w:rFonts w:eastAsia="Times New Roman"/>
        </w:rPr>
        <w:t>,</w:t>
      </w:r>
      <w:r w:rsidRPr="001F71E1" w:rsidR="001F71E1">
        <w:t xml:space="preserve"> or occupation.</w:t>
      </w:r>
    </w:p>
    <w:p w:rsidR="00F07D38" w:rsidP="001F71E1" w:rsidRDefault="00F07D38" w14:paraId="05E8DBFA" w14:textId="33FF7E79">
      <w:pPr>
        <w:ind w:left="1170" w:hanging="450"/>
      </w:pPr>
    </w:p>
    <w:p w:rsidRPr="001F71E1" w:rsidR="00F07D38" w:rsidP="001F71E1" w:rsidRDefault="00F07D38" w14:paraId="6BA3B6EE" w14:textId="41D8D175">
      <w:pPr>
        <w:ind w:left="1170" w:hanging="450"/>
      </w:pPr>
      <w:r w:rsidRPr="00340451">
        <w:rPr>
          <w:rFonts w:eastAsia="Times New Roman"/>
        </w:rPr>
        <w:t xml:space="preserve">(iii) The notification provisions are not triggered by the presence of a patient with confirmed COVID-19 in a workplace where services are normally provided to suspected or confirmed COVID-19 patients (e.g., emergency rooms, urgent care facilities, COVID-19 testing sites, COVID-19 wards in hospitals).  </w:t>
      </w:r>
    </w:p>
    <w:p w:rsidRPr="00957A4B" w:rsidR="00541CC0" w:rsidP="00541CC0" w:rsidRDefault="00541CC0" w14:paraId="719348F6" w14:textId="51F54F33">
      <w:pPr>
        <w:pStyle w:val="paragraph"/>
        <w:spacing w:before="0" w:beforeAutospacing="0" w:after="0" w:afterAutospacing="0"/>
        <w:ind w:left="720" w:hanging="360"/>
        <w:textAlignment w:val="baseline"/>
        <w:rPr>
          <w:rStyle w:val="normaltextrun"/>
          <w:rFonts w:eastAsia="Gulim"/>
          <w:highlight w:val="yellow"/>
        </w:rPr>
      </w:pPr>
    </w:p>
    <w:p w:rsidRPr="00F52C02" w:rsidR="00F52C02" w:rsidP="00F52C02" w:rsidRDefault="00F52C02" w14:paraId="51816D28" w14:textId="77777777">
      <w:pPr>
        <w:autoSpaceDE/>
        <w:autoSpaceDN/>
        <w:spacing w:after="160" w:line="259" w:lineRule="auto"/>
        <w:rPr>
          <w:rFonts w:eastAsia="Times New Roman"/>
          <w:lang w:eastAsia="en-US"/>
        </w:rPr>
      </w:pPr>
      <w:r w:rsidRPr="00F52C02">
        <w:rPr>
          <w:rFonts w:eastAsia="Times New Roman"/>
          <w:b/>
          <w:i/>
          <w:u w:val="single"/>
          <w:lang w:eastAsia="en-US"/>
        </w:rPr>
        <w:t>Purpose</w:t>
      </w:r>
      <w:r w:rsidRPr="00F52C02">
        <w:rPr>
          <w:rFonts w:eastAsia="Times New Roman"/>
          <w:b/>
          <w:lang w:eastAsia="en-US"/>
        </w:rPr>
        <w:t xml:space="preserve">: </w:t>
      </w:r>
      <w:r w:rsidRPr="00F52C02">
        <w:rPr>
          <w:rFonts w:eastAsia="Times New Roman"/>
          <w:lang w:eastAsia="en-US"/>
        </w:rPr>
        <w:t>The health screening and medical management requirements of the ETS ensure that each employer maintains awareness of potential COVID-19 exposures in their facility so that they can take steps to limit the spread of the virus among their employees. The requirement to notify employees of their potential exposure further allows those employees to take steps to monitor their own health and prevent further spread within the facility.</w:t>
      </w:r>
    </w:p>
    <w:p w:rsidR="00957A4B" w:rsidP="00F52C02" w:rsidRDefault="00F52C02" w14:paraId="5EBB29C8" w14:textId="139FF680">
      <w:pPr>
        <w:autoSpaceDE/>
        <w:autoSpaceDN/>
        <w:spacing w:after="160" w:line="259" w:lineRule="auto"/>
        <w:rPr>
          <w:rFonts w:eastAsia="Times New Roman"/>
          <w:b/>
          <w:lang w:eastAsia="en-US"/>
        </w:rPr>
      </w:pPr>
      <w:r w:rsidRPr="00F52C02">
        <w:rPr>
          <w:rFonts w:eastAsia="Times New Roman"/>
          <w:b/>
          <w:lang w:eastAsia="en-US"/>
        </w:rPr>
        <w:t>§ 1910.502</w:t>
      </w:r>
      <w:r w:rsidR="00E64E93">
        <w:rPr>
          <w:rFonts w:eastAsia="Times New Roman"/>
          <w:b/>
          <w:lang w:eastAsia="en-US"/>
        </w:rPr>
        <w:t>(l)</w:t>
      </w:r>
      <w:r w:rsidRPr="00F52C02" w:rsidR="00957A4B">
        <w:rPr>
          <w:rFonts w:eastAsia="Times New Roman"/>
          <w:b/>
          <w:lang w:eastAsia="en-US"/>
        </w:rPr>
        <w:t>(4)</w:t>
      </w:r>
      <w:r w:rsidR="0064403A">
        <w:rPr>
          <w:rFonts w:eastAsia="Times New Roman"/>
          <w:b/>
          <w:lang w:eastAsia="en-US"/>
        </w:rPr>
        <w:t>(ii)</w:t>
      </w:r>
      <w:r w:rsidR="00BB2448">
        <w:rPr>
          <w:rFonts w:eastAsia="Times New Roman"/>
          <w:b/>
          <w:lang w:eastAsia="en-US"/>
        </w:rPr>
        <w:t xml:space="preserve"> &amp;</w:t>
      </w:r>
      <w:r w:rsidR="0064403A">
        <w:rPr>
          <w:rFonts w:eastAsia="Times New Roman"/>
          <w:b/>
          <w:lang w:eastAsia="en-US"/>
        </w:rPr>
        <w:t xml:space="preserve"> </w:t>
      </w:r>
      <w:r w:rsidR="00F615B0">
        <w:rPr>
          <w:rFonts w:eastAsia="Times New Roman"/>
          <w:b/>
          <w:lang w:eastAsia="en-US"/>
        </w:rPr>
        <w:t>(iii)</w:t>
      </w:r>
      <w:r w:rsidR="00BB2448">
        <w:rPr>
          <w:rFonts w:eastAsia="Times New Roman"/>
          <w:b/>
          <w:lang w:eastAsia="en-US"/>
        </w:rPr>
        <w:t xml:space="preserve"> –</w:t>
      </w:r>
      <w:r w:rsidRPr="00F52C02" w:rsidR="00957A4B">
        <w:rPr>
          <w:rFonts w:eastAsia="Times New Roman"/>
          <w:b/>
          <w:lang w:eastAsia="en-US"/>
        </w:rPr>
        <w:t xml:space="preserve"> Medical</w:t>
      </w:r>
      <w:r w:rsidR="00BB2448">
        <w:rPr>
          <w:rFonts w:eastAsia="Times New Roman"/>
          <w:b/>
          <w:lang w:eastAsia="en-US"/>
        </w:rPr>
        <w:t xml:space="preserve"> </w:t>
      </w:r>
      <w:r w:rsidRPr="00F52C02" w:rsidR="00957A4B">
        <w:rPr>
          <w:rFonts w:eastAsia="Times New Roman"/>
          <w:b/>
          <w:lang w:eastAsia="en-US"/>
        </w:rPr>
        <w:t>removal</w:t>
      </w:r>
      <w:r>
        <w:rPr>
          <w:rFonts w:eastAsia="Times New Roman"/>
          <w:b/>
          <w:lang w:eastAsia="en-US"/>
        </w:rPr>
        <w:t xml:space="preserve"> </w:t>
      </w:r>
      <w:r w:rsidR="00093A1D">
        <w:rPr>
          <w:rFonts w:eastAsia="Times New Roman"/>
          <w:b/>
          <w:lang w:eastAsia="en-US"/>
        </w:rPr>
        <w:t>from the workplace</w:t>
      </w:r>
      <w:r w:rsidRPr="00F52C02" w:rsidR="00957A4B">
        <w:rPr>
          <w:rFonts w:eastAsia="Times New Roman"/>
          <w:b/>
          <w:lang w:eastAsia="en-US"/>
        </w:rPr>
        <w:t xml:space="preserve">. </w:t>
      </w:r>
    </w:p>
    <w:p w:rsidRPr="00F52C02" w:rsidR="00F52C02" w:rsidP="00F52C02" w:rsidRDefault="00F52C02" w14:paraId="03748076" w14:textId="288BB314">
      <w:pPr>
        <w:autoSpaceDE/>
        <w:autoSpaceDN/>
        <w:spacing w:after="160" w:line="259" w:lineRule="auto"/>
        <w:rPr>
          <w:rFonts w:eastAsia="Times New Roman"/>
          <w:b/>
          <w:lang w:eastAsia="en-US"/>
        </w:rPr>
      </w:pPr>
      <w:r>
        <w:rPr>
          <w:rFonts w:eastAsia="Times New Roman"/>
          <w:b/>
          <w:lang w:eastAsia="en-US"/>
        </w:rPr>
        <w:t>…</w:t>
      </w:r>
    </w:p>
    <w:p w:rsidRPr="00093A1D" w:rsidR="00093A1D" w:rsidP="00C80093" w:rsidRDefault="00F52C02" w14:paraId="3A8AC700" w14:textId="7AC035EF">
      <w:pPr>
        <w:autoSpaceDE/>
        <w:autoSpaceDN/>
        <w:spacing w:after="160" w:line="259" w:lineRule="auto"/>
        <w:ind w:left="1080" w:hanging="360"/>
        <w:rPr>
          <w:rFonts w:eastAsia="Times New Roman"/>
          <w:lang w:eastAsia="en-US"/>
        </w:rPr>
      </w:pPr>
      <w:r>
        <w:rPr>
          <w:rFonts w:eastAsia="Times New Roman"/>
          <w:lang w:eastAsia="en-US"/>
        </w:rPr>
        <w:t>(</w:t>
      </w:r>
      <w:r w:rsidR="00890CAF">
        <w:rPr>
          <w:rFonts w:eastAsia="Times New Roman"/>
          <w:lang w:eastAsia="en-US"/>
        </w:rPr>
        <w:t>4</w:t>
      </w:r>
      <w:r>
        <w:rPr>
          <w:rFonts w:eastAsia="Times New Roman"/>
          <w:lang w:eastAsia="en-US"/>
        </w:rPr>
        <w:t>)</w:t>
      </w:r>
      <w:r w:rsidRPr="00957A4B" w:rsidR="00957A4B">
        <w:rPr>
          <w:rFonts w:eastAsia="Times New Roman"/>
          <w:lang w:eastAsia="en-US"/>
        </w:rPr>
        <w:t xml:space="preserve">(ii) </w:t>
      </w:r>
      <w:r w:rsidRPr="00093A1D" w:rsidR="00093A1D">
        <w:rPr>
          <w:rFonts w:eastAsia="Times New Roman"/>
          <w:lang w:eastAsia="en-US"/>
        </w:rPr>
        <w:t xml:space="preserve">If the employer knows an employee meets the criteria listed in paragraph (l)(2)(ii) </w:t>
      </w:r>
      <w:r w:rsidR="004C7452">
        <w:rPr>
          <w:rFonts w:eastAsia="Times New Roman"/>
          <w:lang w:eastAsia="en-US"/>
        </w:rPr>
        <w:t>through</w:t>
      </w:r>
      <w:r w:rsidRPr="00093A1D" w:rsidR="00093A1D">
        <w:rPr>
          <w:rFonts w:eastAsia="Times New Roman"/>
          <w:lang w:eastAsia="en-US"/>
        </w:rPr>
        <w:t xml:space="preserve"> (l)(2)(iv) of this section, then the employer must immediately remove that employee and either:</w:t>
      </w:r>
    </w:p>
    <w:p w:rsidRPr="00093A1D" w:rsidR="00093A1D" w:rsidP="00A222D4" w:rsidRDefault="00093A1D" w14:paraId="79010B5C" w14:textId="4DD7809D">
      <w:pPr>
        <w:autoSpaceDE/>
        <w:autoSpaceDN/>
        <w:spacing w:after="160" w:line="259" w:lineRule="auto"/>
        <w:ind w:left="1080" w:hanging="360"/>
        <w:rPr>
          <w:rFonts w:eastAsia="Times New Roman"/>
          <w:lang w:eastAsia="en-US"/>
        </w:rPr>
      </w:pPr>
      <w:r w:rsidRPr="00093A1D">
        <w:rPr>
          <w:rFonts w:eastAsia="Times New Roman"/>
          <w:lang w:eastAsia="en-US"/>
        </w:rPr>
        <w:t>(A) Keep the employee removed until they meet the return to work criteria in paragraph (l)(6) of this section; or</w:t>
      </w:r>
    </w:p>
    <w:p w:rsidRPr="00093A1D" w:rsidR="00093A1D" w:rsidP="00A222D4" w:rsidRDefault="00093A1D" w14:paraId="381DC9C0" w14:textId="2F54621E">
      <w:pPr>
        <w:autoSpaceDE/>
        <w:autoSpaceDN/>
        <w:spacing w:after="160" w:line="259" w:lineRule="auto"/>
        <w:ind w:left="1080" w:hanging="360"/>
        <w:rPr>
          <w:rFonts w:eastAsia="Times New Roman"/>
          <w:lang w:eastAsia="en-US"/>
        </w:rPr>
      </w:pPr>
      <w:r w:rsidRPr="00093A1D">
        <w:rPr>
          <w:rFonts w:eastAsia="Times New Roman"/>
          <w:lang w:eastAsia="en-US"/>
        </w:rPr>
        <w:t xml:space="preserve">(B) Keep the employee removed and provide a COVID-19 </w:t>
      </w:r>
      <w:r w:rsidR="004C7452">
        <w:t xml:space="preserve">polymerase chain reaction (PCR) </w:t>
      </w:r>
      <w:r w:rsidRPr="00093A1D">
        <w:rPr>
          <w:rFonts w:eastAsia="Times New Roman"/>
          <w:lang w:eastAsia="en-US"/>
        </w:rPr>
        <w:t>test at no cost to the employee.</w:t>
      </w:r>
    </w:p>
    <w:p w:rsidRPr="00093A1D" w:rsidR="00093A1D" w:rsidP="00A222D4" w:rsidRDefault="00093A1D" w14:paraId="69D19201" w14:textId="706BE280">
      <w:pPr>
        <w:autoSpaceDE/>
        <w:autoSpaceDN/>
        <w:spacing w:after="160" w:line="259" w:lineRule="auto"/>
        <w:ind w:left="1080"/>
        <w:rPr>
          <w:rFonts w:eastAsia="Times New Roman"/>
          <w:lang w:eastAsia="en-US"/>
        </w:rPr>
      </w:pPr>
      <w:r w:rsidRPr="00093A1D">
        <w:rPr>
          <w:rFonts w:eastAsia="Times New Roman"/>
          <w:lang w:eastAsia="en-US"/>
        </w:rPr>
        <w:t>(</w:t>
      </w:r>
      <w:r w:rsidRPr="00093A1D">
        <w:rPr>
          <w:rFonts w:eastAsia="Times New Roman"/>
          <w:i/>
          <w:lang w:eastAsia="en-US"/>
        </w:rPr>
        <w:t>1</w:t>
      </w:r>
      <w:r w:rsidRPr="00093A1D">
        <w:rPr>
          <w:rFonts w:eastAsia="Times New Roman"/>
          <w:lang w:eastAsia="en-US"/>
        </w:rPr>
        <w:t>)</w:t>
      </w:r>
      <w:r w:rsidRPr="00093A1D">
        <w:rPr>
          <w:rFonts w:eastAsia="Times New Roman"/>
          <w:lang w:eastAsia="en-US"/>
        </w:rPr>
        <w:tab/>
        <w:t xml:space="preserve">If the test results are negative, the employee may return to work immediately. </w:t>
      </w:r>
    </w:p>
    <w:p w:rsidRPr="00093A1D" w:rsidR="00093A1D" w:rsidP="00A222D4" w:rsidRDefault="00093A1D" w14:paraId="27DB269A" w14:textId="7408DE65">
      <w:pPr>
        <w:autoSpaceDE/>
        <w:autoSpaceDN/>
        <w:spacing w:after="160" w:line="259" w:lineRule="auto"/>
        <w:ind w:left="1080"/>
        <w:rPr>
          <w:rFonts w:eastAsia="Times New Roman"/>
          <w:lang w:eastAsia="en-US"/>
        </w:rPr>
      </w:pPr>
      <w:r w:rsidRPr="00093A1D">
        <w:rPr>
          <w:rFonts w:eastAsia="Times New Roman"/>
          <w:lang w:eastAsia="en-US"/>
        </w:rPr>
        <w:t>(</w:t>
      </w:r>
      <w:r w:rsidRPr="00093A1D">
        <w:rPr>
          <w:rFonts w:eastAsia="Times New Roman"/>
          <w:i/>
          <w:lang w:eastAsia="en-US"/>
        </w:rPr>
        <w:t>2</w:t>
      </w:r>
      <w:r w:rsidRPr="00093A1D">
        <w:rPr>
          <w:rFonts w:eastAsia="Times New Roman"/>
          <w:lang w:eastAsia="en-US"/>
        </w:rPr>
        <w:t>)</w:t>
      </w:r>
      <w:r w:rsidRPr="00093A1D">
        <w:rPr>
          <w:rFonts w:eastAsia="Times New Roman"/>
          <w:lang w:eastAsia="en-US"/>
        </w:rPr>
        <w:tab/>
        <w:t xml:space="preserve">If the test results are positive, the employer must comply with paragraph (l)(4)(i) of this section.  </w:t>
      </w:r>
    </w:p>
    <w:p w:rsidR="00093A1D" w:rsidP="00A222D4" w:rsidRDefault="00093A1D" w14:paraId="1D64AD8D" w14:textId="0AACECD1">
      <w:pPr>
        <w:autoSpaceDE/>
        <w:autoSpaceDN/>
        <w:spacing w:after="160" w:line="259" w:lineRule="auto"/>
        <w:ind w:left="1080"/>
        <w:rPr>
          <w:rFonts w:eastAsia="Times New Roman"/>
          <w:lang w:eastAsia="en-US"/>
        </w:rPr>
      </w:pPr>
      <w:r w:rsidRPr="00093A1D">
        <w:rPr>
          <w:rFonts w:eastAsia="Times New Roman"/>
          <w:lang w:eastAsia="en-US"/>
        </w:rPr>
        <w:t>(</w:t>
      </w:r>
      <w:r w:rsidRPr="00093A1D">
        <w:rPr>
          <w:rFonts w:eastAsia="Times New Roman"/>
          <w:i/>
          <w:lang w:eastAsia="en-US"/>
        </w:rPr>
        <w:t>3</w:t>
      </w:r>
      <w:r w:rsidRPr="00093A1D">
        <w:rPr>
          <w:rFonts w:eastAsia="Times New Roman"/>
          <w:lang w:eastAsia="en-US"/>
        </w:rPr>
        <w:t>)</w:t>
      </w:r>
      <w:r w:rsidRPr="00093A1D">
        <w:rPr>
          <w:rFonts w:eastAsia="Times New Roman"/>
          <w:lang w:eastAsia="en-US"/>
        </w:rPr>
        <w:tab/>
        <w:t xml:space="preserve">If the employee refuses to take the test, the employer must continue to </w:t>
      </w:r>
      <w:r w:rsidR="009111D8">
        <w:rPr>
          <w:rFonts w:eastAsia="Times New Roman"/>
          <w:lang w:eastAsia="en-US"/>
        </w:rPr>
        <w:t>keep the</w:t>
      </w:r>
      <w:r w:rsidRPr="00093A1D">
        <w:rPr>
          <w:rFonts w:eastAsia="Times New Roman"/>
          <w:lang w:eastAsia="en-US"/>
        </w:rPr>
        <w:t xml:space="preserve"> employee </w:t>
      </w:r>
      <w:r w:rsidR="009111D8">
        <w:rPr>
          <w:rFonts w:eastAsia="Times New Roman"/>
          <w:lang w:eastAsia="en-US"/>
        </w:rPr>
        <w:t xml:space="preserve">removed </w:t>
      </w:r>
      <w:r w:rsidRPr="00093A1D">
        <w:rPr>
          <w:rFonts w:eastAsia="Times New Roman"/>
          <w:lang w:eastAsia="en-US"/>
        </w:rPr>
        <w:t>from the workplace consistent with paragraph (l)(4)(ii)(A) of this section, but the employer is not obligated to provide medical removal protection benefits in accordance with paragraph (l)(5)(iii) of this section. Absent undue hardship, employers must make reasonable accommodations for employees who cannot take the test for religious or disability</w:t>
      </w:r>
      <w:r w:rsidR="004C7452">
        <w:rPr>
          <w:rFonts w:eastAsia="Times New Roman"/>
          <w:lang w:eastAsia="en-US"/>
        </w:rPr>
        <w:t>-</w:t>
      </w:r>
      <w:r w:rsidRPr="00093A1D">
        <w:rPr>
          <w:rFonts w:eastAsia="Times New Roman"/>
          <w:lang w:eastAsia="en-US"/>
        </w:rPr>
        <w:t xml:space="preserve">related medical reasons.  </w:t>
      </w:r>
    </w:p>
    <w:p w:rsidRPr="00093A1D" w:rsidR="009111D8" w:rsidP="00A222D4" w:rsidRDefault="009111D8" w14:paraId="1D080F08" w14:textId="50EF19AC">
      <w:pPr>
        <w:autoSpaceDE/>
        <w:autoSpaceDN/>
        <w:spacing w:after="160" w:line="259" w:lineRule="auto"/>
        <w:rPr>
          <w:rFonts w:eastAsia="Times New Roman"/>
          <w:lang w:eastAsia="en-US"/>
        </w:rPr>
      </w:pPr>
      <w:r w:rsidRPr="00A222D4">
        <w:rPr>
          <w:rFonts w:eastAsia="Times New Roman"/>
          <w:b/>
        </w:rPr>
        <w:t>Note to paragraph (l)(4)(ii)</w:t>
      </w:r>
      <w:r w:rsidRPr="00340451">
        <w:rPr>
          <w:rFonts w:eastAsia="Times New Roman"/>
        </w:rPr>
        <w:t xml:space="preserve">:  This partial symptom list in paragraph (l)(2)(iii) and (l)(2)(iv) of this section informs the employer of the minimum requirements for compliance. The full list of COVID-19 symptoms provided by CDC includes additional symptoms not listed in paragraphs (l)(2)(iii) </w:t>
      </w:r>
      <w:r w:rsidR="004C7452">
        <w:rPr>
          <w:rFonts w:eastAsia="Times New Roman"/>
        </w:rPr>
        <w:t>through</w:t>
      </w:r>
      <w:r w:rsidRPr="00340451">
        <w:rPr>
          <w:rFonts w:eastAsia="Times New Roman"/>
        </w:rPr>
        <w:t xml:space="preserve"> (l)(2)(iv) of this section.  Employers may choose to </w:t>
      </w:r>
      <w:r>
        <w:rPr>
          <w:rFonts w:eastAsia="Times New Roman"/>
        </w:rPr>
        <w:t>remove</w:t>
      </w:r>
      <w:r w:rsidRPr="00340451">
        <w:rPr>
          <w:rFonts w:eastAsia="Times New Roman"/>
        </w:rPr>
        <w:t xml:space="preserve"> or test employees </w:t>
      </w:r>
    </w:p>
    <w:p w:rsidRPr="00093A1D" w:rsidR="00093A1D" w:rsidP="00093A1D" w:rsidRDefault="00093A1D" w14:paraId="3A62B844" w14:textId="6DB4AFF1">
      <w:pPr>
        <w:autoSpaceDE/>
        <w:autoSpaceDN/>
        <w:spacing w:after="160" w:line="259" w:lineRule="auto"/>
        <w:ind w:left="1080" w:hanging="360"/>
        <w:rPr>
          <w:rFonts w:eastAsia="Times New Roman"/>
          <w:lang w:eastAsia="en-US"/>
        </w:rPr>
      </w:pPr>
      <w:r w:rsidRPr="00093A1D">
        <w:rPr>
          <w:rFonts w:eastAsia="Times New Roman"/>
          <w:lang w:eastAsia="en-US"/>
        </w:rPr>
        <w:t xml:space="preserve">(iii) (A) If the employer is required to notify the employee of close contact in the workplace to a person who is COVID-19 positive in accordance with paragraph </w:t>
      </w:r>
      <w:r w:rsidRPr="00340451" w:rsidR="0059218E">
        <w:rPr>
          <w:rFonts w:eastAsia="Times New Roman"/>
        </w:rPr>
        <w:t>with additional symptoms from the CDC list, or refer the employees to a healthcare provider.</w:t>
      </w:r>
      <w:r w:rsidRPr="00093A1D" w:rsidR="0059218E">
        <w:rPr>
          <w:rFonts w:eastAsia="Times New Roman"/>
          <w:lang w:eastAsia="en-US"/>
        </w:rPr>
        <w:t xml:space="preserve"> </w:t>
      </w:r>
      <w:r w:rsidRPr="00093A1D">
        <w:rPr>
          <w:rFonts w:eastAsia="Times New Roman"/>
          <w:lang w:eastAsia="en-US"/>
        </w:rPr>
        <w:t>(l)(3)(i)(A) of this section, then the employer must immediately remove that employee and either:</w:t>
      </w:r>
    </w:p>
    <w:p w:rsidRPr="00093A1D" w:rsidR="00093A1D" w:rsidP="008D5766" w:rsidRDefault="00093A1D" w14:paraId="7843CB76" w14:textId="2515645B">
      <w:pPr>
        <w:autoSpaceDE/>
        <w:autoSpaceDN/>
        <w:spacing w:after="160" w:line="259" w:lineRule="auto"/>
        <w:ind w:left="1800" w:hanging="360"/>
        <w:rPr>
          <w:rFonts w:eastAsia="Times New Roman"/>
          <w:lang w:eastAsia="en-US"/>
        </w:rPr>
      </w:pPr>
      <w:r w:rsidRPr="00093A1D">
        <w:rPr>
          <w:rFonts w:eastAsia="Times New Roman"/>
          <w:lang w:eastAsia="en-US"/>
        </w:rPr>
        <w:t>(</w:t>
      </w:r>
      <w:r w:rsidRPr="00093A1D">
        <w:rPr>
          <w:rFonts w:eastAsia="Times New Roman"/>
          <w:i/>
          <w:lang w:eastAsia="en-US"/>
        </w:rPr>
        <w:t>1</w:t>
      </w:r>
      <w:r w:rsidRPr="00093A1D">
        <w:rPr>
          <w:rFonts w:eastAsia="Times New Roman"/>
          <w:lang w:eastAsia="en-US"/>
        </w:rPr>
        <w:t>) Keep the employee removed for at least 1</w:t>
      </w:r>
      <w:r w:rsidR="001C3549">
        <w:rPr>
          <w:rFonts w:eastAsia="Times New Roman"/>
          <w:lang w:eastAsia="en-US"/>
        </w:rPr>
        <w:t>4</w:t>
      </w:r>
      <w:r w:rsidRPr="00093A1D">
        <w:rPr>
          <w:rFonts w:eastAsia="Times New Roman"/>
          <w:lang w:eastAsia="en-US"/>
        </w:rPr>
        <w:t xml:space="preserve"> days; or</w:t>
      </w:r>
    </w:p>
    <w:p w:rsidRPr="00093A1D" w:rsidR="00093A1D" w:rsidP="008D5766" w:rsidRDefault="00093A1D" w14:paraId="5BE16800" w14:textId="77777777">
      <w:pPr>
        <w:autoSpaceDE/>
        <w:autoSpaceDN/>
        <w:spacing w:after="160" w:line="259" w:lineRule="auto"/>
        <w:ind w:left="1800" w:hanging="360"/>
        <w:rPr>
          <w:rFonts w:eastAsia="Times New Roman"/>
          <w:lang w:eastAsia="en-US"/>
        </w:rPr>
      </w:pPr>
      <w:r w:rsidRPr="00093A1D">
        <w:rPr>
          <w:rFonts w:eastAsia="Times New Roman"/>
          <w:lang w:eastAsia="en-US"/>
        </w:rPr>
        <w:t>(</w:t>
      </w:r>
      <w:r w:rsidRPr="00093A1D">
        <w:rPr>
          <w:rFonts w:eastAsia="Times New Roman"/>
          <w:i/>
          <w:lang w:eastAsia="en-US"/>
        </w:rPr>
        <w:t>2</w:t>
      </w:r>
      <w:r w:rsidRPr="00093A1D">
        <w:rPr>
          <w:rFonts w:eastAsia="Times New Roman"/>
          <w:lang w:eastAsia="en-US"/>
        </w:rPr>
        <w:t>) Keep the employee removed and provide a COVID-19 test at least five days after the exposure at no cost to the employee.</w:t>
      </w:r>
    </w:p>
    <w:p w:rsidRPr="00093A1D" w:rsidR="00093A1D" w:rsidP="008D5766" w:rsidRDefault="00093A1D" w14:paraId="715FA4D5" w14:textId="77777777">
      <w:pPr>
        <w:autoSpaceDE/>
        <w:autoSpaceDN/>
        <w:spacing w:after="160" w:line="259" w:lineRule="auto"/>
        <w:ind w:left="2160" w:hanging="360"/>
        <w:rPr>
          <w:rFonts w:eastAsia="Times New Roman"/>
          <w:lang w:eastAsia="en-US"/>
        </w:rPr>
      </w:pPr>
      <w:r w:rsidRPr="00093A1D">
        <w:rPr>
          <w:rFonts w:eastAsia="Times New Roman"/>
          <w:lang w:eastAsia="en-US"/>
        </w:rPr>
        <w:t>(</w:t>
      </w:r>
      <w:r w:rsidRPr="00093A1D">
        <w:rPr>
          <w:rFonts w:eastAsia="Times New Roman"/>
          <w:i/>
          <w:lang w:eastAsia="en-US"/>
        </w:rPr>
        <w:t>i</w:t>
      </w:r>
      <w:r w:rsidRPr="00093A1D">
        <w:rPr>
          <w:rFonts w:eastAsia="Times New Roman"/>
          <w:lang w:eastAsia="en-US"/>
        </w:rPr>
        <w:t>)</w:t>
      </w:r>
      <w:r w:rsidRPr="00093A1D">
        <w:rPr>
          <w:rFonts w:eastAsia="Times New Roman"/>
          <w:lang w:eastAsia="en-US"/>
        </w:rPr>
        <w:tab/>
        <w:t>If the test results are negative, the employee may return to work after seven days following exposure.</w:t>
      </w:r>
    </w:p>
    <w:p w:rsidRPr="00093A1D" w:rsidR="00093A1D" w:rsidP="008D5766" w:rsidRDefault="00093A1D" w14:paraId="7D43819A" w14:textId="77777777">
      <w:pPr>
        <w:autoSpaceDE/>
        <w:autoSpaceDN/>
        <w:spacing w:after="160" w:line="259" w:lineRule="auto"/>
        <w:ind w:left="2160" w:hanging="360"/>
        <w:rPr>
          <w:rFonts w:eastAsia="Times New Roman"/>
          <w:lang w:eastAsia="en-US"/>
        </w:rPr>
      </w:pPr>
      <w:r w:rsidRPr="00093A1D">
        <w:rPr>
          <w:rFonts w:eastAsia="Times New Roman"/>
          <w:lang w:eastAsia="en-US"/>
        </w:rPr>
        <w:t>(</w:t>
      </w:r>
      <w:r w:rsidRPr="00093A1D">
        <w:rPr>
          <w:rFonts w:eastAsia="Times New Roman"/>
          <w:i/>
          <w:lang w:eastAsia="en-US"/>
        </w:rPr>
        <w:t>ii</w:t>
      </w:r>
      <w:r w:rsidRPr="00093A1D">
        <w:rPr>
          <w:rFonts w:eastAsia="Times New Roman"/>
          <w:lang w:eastAsia="en-US"/>
        </w:rPr>
        <w:t xml:space="preserve">) If the test results are positive, the employer must comply with paragraph (l)(4)(i) of this section.  </w:t>
      </w:r>
    </w:p>
    <w:p w:rsidR="008D5766" w:rsidP="00A222D4" w:rsidRDefault="00093A1D" w14:paraId="5ED1F87B" w14:textId="6499D2F6">
      <w:pPr>
        <w:autoSpaceDE/>
        <w:autoSpaceDN/>
        <w:spacing w:after="160" w:line="259" w:lineRule="auto"/>
        <w:ind w:left="1800"/>
        <w:rPr>
          <w:rFonts w:eastAsia="Times New Roman"/>
          <w:lang w:eastAsia="en-US"/>
        </w:rPr>
      </w:pPr>
      <w:r w:rsidRPr="00093A1D">
        <w:rPr>
          <w:rFonts w:eastAsia="Times New Roman"/>
          <w:lang w:eastAsia="en-US"/>
        </w:rPr>
        <w:t>(</w:t>
      </w:r>
      <w:r w:rsidRPr="00093A1D">
        <w:rPr>
          <w:rFonts w:eastAsia="Times New Roman"/>
          <w:i/>
          <w:lang w:eastAsia="en-US"/>
        </w:rPr>
        <w:t>iii</w:t>
      </w:r>
      <w:r w:rsidRPr="00093A1D">
        <w:rPr>
          <w:rFonts w:eastAsia="Times New Roman"/>
          <w:lang w:eastAsia="en-US"/>
        </w:rPr>
        <w:t xml:space="preserve">) If the employee refuses to take the test, the employer must continue to </w:t>
      </w:r>
      <w:r w:rsidR="00D12C2F">
        <w:rPr>
          <w:rFonts w:eastAsia="Times New Roman"/>
          <w:lang w:eastAsia="en-US"/>
        </w:rPr>
        <w:t>keep the</w:t>
      </w:r>
      <w:r w:rsidRPr="00093A1D">
        <w:rPr>
          <w:rFonts w:eastAsia="Times New Roman"/>
          <w:lang w:eastAsia="en-US"/>
        </w:rPr>
        <w:t xml:space="preserve"> employee </w:t>
      </w:r>
      <w:r w:rsidR="00D12C2F">
        <w:rPr>
          <w:rFonts w:eastAsia="Times New Roman"/>
          <w:lang w:eastAsia="en-US"/>
        </w:rPr>
        <w:t xml:space="preserve">removed </w:t>
      </w:r>
      <w:r w:rsidRPr="00093A1D">
        <w:rPr>
          <w:rFonts w:eastAsia="Times New Roman"/>
          <w:lang w:eastAsia="en-US"/>
        </w:rPr>
        <w:t>from the workplace consistent with paragraph (l)(4)(iii)(A)(</w:t>
      </w:r>
      <w:r w:rsidRPr="00093A1D">
        <w:rPr>
          <w:rFonts w:eastAsia="Times New Roman"/>
          <w:i/>
          <w:lang w:eastAsia="en-US"/>
        </w:rPr>
        <w:t>1</w:t>
      </w:r>
      <w:r w:rsidRPr="00093A1D">
        <w:rPr>
          <w:rFonts w:eastAsia="Times New Roman"/>
          <w:lang w:eastAsia="en-US"/>
        </w:rPr>
        <w:t>) of this section, but the employer is not obligated to provide medical removal protection benefits in accordance with paragraph (l)(5)(iii) of this section. Absent undue hardship, employers must make reasonable accommodations for employees who cannot take the test for religious or disability</w:t>
      </w:r>
      <w:r w:rsidR="004C7452">
        <w:rPr>
          <w:rFonts w:eastAsia="Times New Roman"/>
          <w:lang w:eastAsia="en-US"/>
        </w:rPr>
        <w:t>-</w:t>
      </w:r>
      <w:r w:rsidRPr="00093A1D">
        <w:rPr>
          <w:rFonts w:eastAsia="Times New Roman"/>
          <w:lang w:eastAsia="en-US"/>
        </w:rPr>
        <w:t>related medical reasons</w:t>
      </w:r>
      <w:r w:rsidR="00653712">
        <w:rPr>
          <w:rFonts w:eastAsia="Times New Roman"/>
          <w:lang w:eastAsia="en-US"/>
        </w:rPr>
        <w:t>, consistent with applicable non-discrimination laws</w:t>
      </w:r>
      <w:r w:rsidRPr="00093A1D">
        <w:rPr>
          <w:rFonts w:eastAsia="Times New Roman"/>
          <w:lang w:eastAsia="en-US"/>
        </w:rPr>
        <w:t>.</w:t>
      </w:r>
    </w:p>
    <w:p w:rsidRPr="00340451" w:rsidR="00D12C2F" w:rsidP="00A222D4" w:rsidRDefault="00D12C2F" w14:paraId="0BC83D30" w14:textId="69170F6B">
      <w:pPr>
        <w:ind w:left="720"/>
        <w:rPr>
          <w:rFonts w:eastAsia="Times New Roman"/>
        </w:rPr>
      </w:pPr>
      <w:r w:rsidRPr="00340451">
        <w:rPr>
          <w:rFonts w:eastAsia="Times New Roman"/>
        </w:rPr>
        <w:t>(B) Employers are not required to remove a</w:t>
      </w:r>
      <w:r>
        <w:rPr>
          <w:rFonts w:eastAsia="Times New Roman"/>
        </w:rPr>
        <w:t xml:space="preserve">ny employee who would otherwise </w:t>
      </w:r>
      <w:r w:rsidRPr="00340451">
        <w:rPr>
          <w:rFonts w:eastAsia="Times New Roman"/>
        </w:rPr>
        <w:t>be required to be removed under paragraph (i)(4)(iii)(A) of this section if the employee does not experience the symptoms in paragraph (l)(2)(iii) or (l)(2)(iv) of this section and has:</w:t>
      </w:r>
    </w:p>
    <w:p w:rsidR="00D12C2F" w:rsidP="00A222D4" w:rsidRDefault="00D12C2F" w14:paraId="3E844782" w14:textId="77777777">
      <w:pPr>
        <w:ind w:left="2160" w:hanging="360"/>
        <w:rPr>
          <w:rFonts w:eastAsia="Times New Roman"/>
        </w:rPr>
      </w:pPr>
    </w:p>
    <w:p w:rsidRPr="00340451" w:rsidR="00D12C2F" w:rsidP="00A222D4" w:rsidRDefault="00D12C2F" w14:paraId="1BE0109D" w14:textId="7C3F0F37">
      <w:pPr>
        <w:ind w:left="2160" w:hanging="360"/>
        <w:rPr>
          <w:rFonts w:eastAsia="Times New Roman"/>
        </w:rPr>
      </w:pPr>
      <w:r w:rsidRPr="00340451">
        <w:rPr>
          <w:rFonts w:eastAsia="Times New Roman"/>
        </w:rPr>
        <w:t>(</w:t>
      </w:r>
      <w:r w:rsidRPr="00340451">
        <w:rPr>
          <w:rFonts w:eastAsia="Times New Roman"/>
          <w:i/>
        </w:rPr>
        <w:t>1</w:t>
      </w:r>
      <w:r w:rsidRPr="00340451">
        <w:rPr>
          <w:rFonts w:eastAsia="Times New Roman"/>
        </w:rPr>
        <w:t>) been fully vaccinated against COVID-19 (i.e., 2 weeks</w:t>
      </w:r>
      <w:r w:rsidR="004C7452">
        <w:rPr>
          <w:rFonts w:eastAsia="Times New Roman"/>
        </w:rPr>
        <w:t xml:space="preserve"> or more </w:t>
      </w:r>
      <w:r w:rsidRPr="00340451">
        <w:rPr>
          <w:rFonts w:eastAsia="Times New Roman"/>
        </w:rPr>
        <w:t xml:space="preserve"> following the final dose); or</w:t>
      </w:r>
    </w:p>
    <w:p w:rsidR="00D12C2F" w:rsidP="00A222D4" w:rsidRDefault="00D12C2F" w14:paraId="38467743" w14:textId="77777777">
      <w:pPr>
        <w:autoSpaceDE/>
        <w:autoSpaceDN/>
        <w:spacing w:after="160"/>
        <w:ind w:left="1800"/>
        <w:rPr>
          <w:rFonts w:eastAsia="Times New Roman"/>
        </w:rPr>
      </w:pPr>
    </w:p>
    <w:p w:rsidR="00F52C02" w:rsidP="00A222D4" w:rsidRDefault="00D12C2F" w14:paraId="59DDFFFB" w14:textId="1A37A7BF">
      <w:pPr>
        <w:autoSpaceDE/>
        <w:autoSpaceDN/>
        <w:spacing w:after="160" w:line="259" w:lineRule="auto"/>
        <w:ind w:left="1800"/>
        <w:rPr>
          <w:rFonts w:eastAsia="Times New Roman"/>
          <w:lang w:eastAsia="en-US"/>
        </w:rPr>
      </w:pPr>
      <w:r w:rsidRPr="00340451">
        <w:rPr>
          <w:rFonts w:eastAsia="Times New Roman"/>
        </w:rPr>
        <w:t>(</w:t>
      </w:r>
      <w:r w:rsidRPr="00340451">
        <w:rPr>
          <w:rFonts w:eastAsia="Times New Roman"/>
          <w:i/>
        </w:rPr>
        <w:t>2</w:t>
      </w:r>
      <w:r w:rsidRPr="00340451">
        <w:rPr>
          <w:rFonts w:eastAsia="Times New Roman"/>
        </w:rPr>
        <w:t>) had COVID-19 and recovered within the past 3 months.</w:t>
      </w:r>
      <w:r w:rsidRPr="00957A4B" w:rsidDel="00260DE8" w:rsidR="00260DE8">
        <w:rPr>
          <w:rFonts w:eastAsia="Times New Roman"/>
          <w:lang w:eastAsia="en-US"/>
        </w:rPr>
        <w:t xml:space="preserve"> </w:t>
      </w:r>
    </w:p>
    <w:p w:rsidRPr="00957A4B" w:rsidR="00957A4B" w:rsidP="00957A4B" w:rsidRDefault="008D5766" w14:paraId="70A3D190" w14:textId="4A68E7ED">
      <w:pPr>
        <w:autoSpaceDE/>
        <w:autoSpaceDN/>
        <w:spacing w:after="160" w:line="259" w:lineRule="auto"/>
        <w:ind w:left="720" w:hanging="360"/>
        <w:rPr>
          <w:rFonts w:eastAsia="Times New Roman"/>
          <w:lang w:eastAsia="en-US"/>
        </w:rPr>
      </w:pPr>
      <w:r w:rsidRPr="008D5766">
        <w:rPr>
          <w:rFonts w:eastAsia="Times New Roman"/>
          <w:lang w:eastAsia="en-US"/>
        </w:rPr>
        <w:t xml:space="preserve">  </w:t>
      </w:r>
    </w:p>
    <w:p w:rsidR="004E09B5" w:rsidP="004E09B5" w:rsidRDefault="004E09B5" w14:paraId="60DF76FE" w14:textId="3619F0F6">
      <w:pPr>
        <w:outlineLvl w:val="4"/>
        <w:rPr>
          <w:rFonts w:eastAsia="Arial Unicode MS"/>
          <w:b/>
          <w:color w:val="000000"/>
        </w:rPr>
      </w:pPr>
    </w:p>
    <w:p w:rsidR="00EB476E" w:rsidP="00161E58" w:rsidRDefault="00F52C02" w14:paraId="3B8A9292" w14:textId="21EE7421">
      <w:pPr>
        <w:rPr>
          <w:rFonts w:eastAsia="Arial Unicode MS"/>
          <w:b/>
          <w:color w:val="000000"/>
        </w:rPr>
      </w:pPr>
      <w:r w:rsidRPr="00161E58">
        <w:rPr>
          <w:rFonts w:eastAsia="Arial Unicode MS"/>
          <w:b/>
          <w:i/>
          <w:color w:val="000000"/>
          <w:u w:val="single"/>
        </w:rPr>
        <w:t>Purpose</w:t>
      </w:r>
      <w:r>
        <w:rPr>
          <w:rFonts w:eastAsia="Arial Unicode MS"/>
          <w:b/>
          <w:color w:val="000000"/>
          <w:u w:val="single"/>
        </w:rPr>
        <w:t>:</w:t>
      </w:r>
      <w:r>
        <w:rPr>
          <w:rFonts w:eastAsia="Arial Unicode MS"/>
          <w:color w:val="000000"/>
        </w:rPr>
        <w:t xml:space="preserve"> </w:t>
      </w:r>
      <w:r w:rsidR="00F23C2C">
        <w:rPr>
          <w:rStyle w:val="normaltextrun"/>
          <w:color w:val="000000"/>
          <w:bdr w:val="none" w:color="auto" w:sz="0" w:space="0" w:frame="1"/>
        </w:rPr>
        <w:t>Employers can substantially reduce disease transmission in the workplace by removing employees who are suspected or confirmed to have COVID-19, or who have developed certain symptoms or combinations of symptoms associated with COVID-19. Employers can also reduce the risk of COVID-19 in the workplace by removing employees who are at risk of developing COVID-19 because they were recently exposed to someone with COVID-19 in the workplace.</w:t>
      </w:r>
      <w:r w:rsidR="00F23C2C">
        <w:rPr>
          <w:rStyle w:val="normaltextrun"/>
          <w:color w:val="000000"/>
          <w:shd w:val="clear" w:color="auto" w:fill="FFFFFF"/>
        </w:rPr>
        <w:t xml:space="preserve"> </w:t>
      </w:r>
    </w:p>
    <w:p w:rsidRPr="00F52C02" w:rsidR="009F4F97" w:rsidP="004E09B5" w:rsidRDefault="009F4F97" w14:paraId="1C3DD4A0" w14:textId="5FA26463">
      <w:pPr>
        <w:outlineLvl w:val="4"/>
        <w:rPr>
          <w:rFonts w:eastAsia="Arial Unicode MS"/>
          <w:b/>
          <w:color w:val="000000"/>
          <w:u w:val="single"/>
        </w:rPr>
      </w:pPr>
    </w:p>
    <w:p w:rsidR="00363BA1" w:rsidP="00266F71" w:rsidRDefault="00363BA1" w14:paraId="548F8457" w14:textId="0905FBCC">
      <w:pPr>
        <w:spacing w:before="240" w:line="480" w:lineRule="auto"/>
        <w:outlineLvl w:val="4"/>
      </w:pPr>
      <w:r>
        <w:rPr>
          <w:rFonts w:eastAsia="Arial Unicode MS"/>
          <w:b/>
          <w:color w:val="000000"/>
        </w:rPr>
        <w:t>§</w:t>
      </w:r>
      <w:r w:rsidR="00134257">
        <w:rPr>
          <w:rFonts w:eastAsia="Arial Unicode MS"/>
          <w:b/>
          <w:color w:val="000000"/>
        </w:rPr>
        <w:t xml:space="preserve"> </w:t>
      </w:r>
      <w:r>
        <w:rPr>
          <w:rFonts w:eastAsia="Arial Unicode MS"/>
          <w:b/>
          <w:color w:val="000000"/>
        </w:rPr>
        <w:t>1910.502</w:t>
      </w:r>
      <w:r w:rsidRPr="001401D5">
        <w:rPr>
          <w:b/>
        </w:rPr>
        <w:t>(o) Anti-Retaliation.</w:t>
      </w:r>
      <w:r w:rsidRPr="00394886">
        <w:t xml:space="preserve">  </w:t>
      </w:r>
    </w:p>
    <w:p w:rsidRPr="00266F71" w:rsidR="00F55E63" w:rsidP="00F55E63" w:rsidRDefault="00F55E63" w14:paraId="5F998815" w14:textId="77777777">
      <w:pPr>
        <w:pStyle w:val="paragraph"/>
        <w:spacing w:before="0" w:beforeAutospacing="0" w:after="0" w:afterAutospacing="0"/>
        <w:ind w:left="360"/>
        <w:textAlignment w:val="baseline"/>
        <w:rPr>
          <w:rFonts w:ascii="Segoe UI" w:hAnsi="Segoe UI" w:cs="Segoe UI"/>
        </w:rPr>
      </w:pPr>
      <w:r w:rsidRPr="00266F71">
        <w:rPr>
          <w:rStyle w:val="normaltextrun"/>
          <w:rFonts w:eastAsia="Gulim"/>
        </w:rPr>
        <w:t>(1) The employer must inform each employee that:</w:t>
      </w:r>
      <w:r w:rsidRPr="00266F71">
        <w:rPr>
          <w:rStyle w:val="eop"/>
          <w:rFonts w:eastAsia="Gulim"/>
        </w:rPr>
        <w:t> </w:t>
      </w:r>
    </w:p>
    <w:p w:rsidRPr="00266F71" w:rsidR="007E77D4" w:rsidP="00F55E63" w:rsidRDefault="007E77D4" w14:paraId="553CAD69" w14:textId="77777777">
      <w:pPr>
        <w:pStyle w:val="paragraph"/>
        <w:spacing w:before="0" w:beforeAutospacing="0" w:after="0" w:afterAutospacing="0"/>
        <w:ind w:left="1080" w:hanging="360"/>
        <w:textAlignment w:val="baseline"/>
        <w:rPr>
          <w:rStyle w:val="normaltextrun"/>
          <w:rFonts w:eastAsia="Gulim"/>
        </w:rPr>
      </w:pPr>
    </w:p>
    <w:p w:rsidRPr="00266F71" w:rsidR="00F55E63" w:rsidP="00F55E63" w:rsidRDefault="00F55E63" w14:paraId="20067E06" w14:textId="4B0D387B">
      <w:pPr>
        <w:pStyle w:val="paragraph"/>
        <w:spacing w:before="0" w:beforeAutospacing="0" w:after="0" w:afterAutospacing="0"/>
        <w:ind w:left="1080" w:hanging="360"/>
        <w:textAlignment w:val="baseline"/>
        <w:rPr>
          <w:rFonts w:ascii="Segoe UI" w:hAnsi="Segoe UI" w:cs="Segoe UI"/>
        </w:rPr>
      </w:pPr>
      <w:r w:rsidRPr="00266F71">
        <w:rPr>
          <w:rStyle w:val="normaltextrun"/>
          <w:rFonts w:eastAsia="Gulim"/>
        </w:rPr>
        <w:t>(</w:t>
      </w:r>
      <w:r w:rsidRPr="00266F71">
        <w:rPr>
          <w:rStyle w:val="spellingerror"/>
          <w:rFonts w:eastAsia="Gulim"/>
        </w:rPr>
        <w:t>i</w:t>
      </w:r>
      <w:r w:rsidRPr="00266F71">
        <w:rPr>
          <w:rStyle w:val="normaltextrun"/>
          <w:rFonts w:eastAsia="Gulim"/>
        </w:rPr>
        <w:t>) employees have a right to the protections required by this section; and</w:t>
      </w:r>
      <w:r w:rsidRPr="00266F71">
        <w:rPr>
          <w:rStyle w:val="eop"/>
          <w:rFonts w:eastAsia="Gulim"/>
        </w:rPr>
        <w:t> </w:t>
      </w:r>
    </w:p>
    <w:p w:rsidRPr="00266F71" w:rsidR="007E77D4" w:rsidP="00F55E63" w:rsidRDefault="007E77D4" w14:paraId="01C60DAC" w14:textId="77777777">
      <w:pPr>
        <w:pStyle w:val="paragraph"/>
        <w:spacing w:before="0" w:beforeAutospacing="0" w:after="0" w:afterAutospacing="0"/>
        <w:ind w:left="1080" w:hanging="360"/>
        <w:textAlignment w:val="baseline"/>
        <w:rPr>
          <w:rStyle w:val="normaltextrun"/>
          <w:rFonts w:eastAsia="Gulim"/>
        </w:rPr>
      </w:pPr>
    </w:p>
    <w:p w:rsidRPr="00266F71" w:rsidR="00F55E63" w:rsidP="00F55E63" w:rsidRDefault="00F55E63" w14:paraId="341D7157" w14:textId="729592AC">
      <w:pPr>
        <w:pStyle w:val="paragraph"/>
        <w:spacing w:before="0" w:beforeAutospacing="0" w:after="0" w:afterAutospacing="0"/>
        <w:ind w:left="1080" w:hanging="360"/>
        <w:textAlignment w:val="baseline"/>
        <w:rPr>
          <w:rFonts w:ascii="Segoe UI" w:hAnsi="Segoe UI" w:cs="Segoe UI"/>
        </w:rPr>
      </w:pPr>
      <w:r w:rsidRPr="00266F71">
        <w:rPr>
          <w:rStyle w:val="normaltextrun"/>
          <w:rFonts w:eastAsia="Gulim"/>
        </w:rPr>
        <w:t>(ii) employers are prohibited from discharging or in any manner discriminating against any employee for exercising their right to the protections required by this section, or for engaging in actions that are required by this section. </w:t>
      </w:r>
      <w:r w:rsidRPr="00266F71">
        <w:rPr>
          <w:rStyle w:val="eop"/>
          <w:rFonts w:eastAsia="Gulim"/>
        </w:rPr>
        <w:t> </w:t>
      </w:r>
    </w:p>
    <w:p w:rsidR="007332EC" w:rsidP="00266F71" w:rsidRDefault="007332EC" w14:paraId="1AC4EE76" w14:textId="23B76282">
      <w:pPr>
        <w:spacing w:before="240" w:after="240"/>
        <w:outlineLvl w:val="4"/>
        <w:rPr>
          <w:color w:val="000000"/>
          <w:shd w:val="clear" w:color="auto" w:fill="FFFFFF"/>
        </w:rPr>
      </w:pPr>
      <w:r w:rsidRPr="00266F71">
        <w:rPr>
          <w:rFonts w:eastAsia="Arial Unicode MS"/>
          <w:b/>
          <w:i/>
          <w:color w:val="000000"/>
          <w:u w:val="single"/>
        </w:rPr>
        <w:t>Purpose</w:t>
      </w:r>
      <w:r w:rsidRPr="00266F71">
        <w:rPr>
          <w:rFonts w:eastAsia="Arial Unicode MS"/>
          <w:b/>
          <w:color w:val="000000"/>
          <w:u w:val="single"/>
        </w:rPr>
        <w:t>:</w:t>
      </w:r>
      <w:r w:rsidRPr="00266F71">
        <w:rPr>
          <w:rFonts w:eastAsia="Arial Unicode MS"/>
          <w:color w:val="000000"/>
        </w:rPr>
        <w:t xml:space="preserve"> </w:t>
      </w:r>
      <w:r w:rsidRPr="00692532" w:rsidR="00266F71">
        <w:t xml:space="preserve"> </w:t>
      </w:r>
      <w:r w:rsidRPr="00692532" w:rsidR="00266F71">
        <w:rPr>
          <w:color w:val="000000"/>
          <w:shd w:val="clear" w:color="auto" w:fill="FFFFFF"/>
        </w:rPr>
        <w:t>The requirement that employers inform employees of their right to be free from retaliation ensures that employees are able to exercise their rights under the ETS and, likewise, encourages employee compliance with the standard’s requirements.</w:t>
      </w:r>
    </w:p>
    <w:p w:rsidRPr="00D2448B" w:rsidR="00D2448B" w:rsidP="00D2448B" w:rsidRDefault="00D2448B" w14:paraId="68CCB483" w14:textId="77777777">
      <w:pPr>
        <w:spacing w:before="240" w:after="240"/>
        <w:outlineLvl w:val="4"/>
        <w:rPr>
          <w:rFonts w:eastAsia="Arial Unicode MS"/>
          <w:color w:val="000000"/>
        </w:rPr>
      </w:pPr>
      <w:r w:rsidRPr="00D2448B">
        <w:rPr>
          <w:rFonts w:eastAsia="Arial Unicode MS"/>
          <w:color w:val="000000"/>
        </w:rPr>
        <w:t>OSHA expects that employers will provide this notification to employees during their normal and customary training. Accordingly, OSHA is not taking burden hours for this requirement under Item 12 of this ICR.</w:t>
      </w:r>
    </w:p>
    <w:p w:rsidR="00363BA1" w:rsidP="00363BA1" w:rsidRDefault="00363BA1" w14:paraId="054A5AD5" w14:textId="71ACD32C">
      <w:pPr>
        <w:rPr>
          <w:bCs/>
        </w:rPr>
      </w:pPr>
      <w:r w:rsidRPr="00363BA1">
        <w:rPr>
          <w:rFonts w:eastAsia="Arial Unicode MS"/>
          <w:b/>
          <w:color w:val="000000"/>
        </w:rPr>
        <w:t>§</w:t>
      </w:r>
      <w:r w:rsidR="00134257">
        <w:rPr>
          <w:rFonts w:eastAsia="Arial Unicode MS"/>
          <w:b/>
          <w:color w:val="000000"/>
        </w:rPr>
        <w:t xml:space="preserve"> </w:t>
      </w:r>
      <w:r w:rsidRPr="001401D5">
        <w:rPr>
          <w:b/>
        </w:rPr>
        <w:t>1910.502(q)</w:t>
      </w:r>
      <w:r w:rsidRPr="001401D5">
        <w:rPr>
          <w:b/>
          <w:bCs/>
        </w:rPr>
        <w:t xml:space="preserve"> Recordkeeping</w:t>
      </w:r>
      <w:r w:rsidRPr="00394886">
        <w:rPr>
          <w:bCs/>
        </w:rPr>
        <w:t xml:space="preserve">.  </w:t>
      </w:r>
    </w:p>
    <w:p w:rsidRPr="00394886" w:rsidR="00363BA1" w:rsidP="00363BA1" w:rsidRDefault="00363BA1" w14:paraId="445772D1" w14:textId="77777777">
      <w:pPr>
        <w:rPr>
          <w:bCs/>
        </w:rPr>
      </w:pPr>
    </w:p>
    <w:p w:rsidR="00363BA1" w:rsidP="00363BA1" w:rsidRDefault="00363BA1" w14:paraId="108B5B33" w14:textId="04D19173">
      <w:pPr>
        <w:ind w:left="720" w:hanging="360"/>
        <w:rPr>
          <w:bCs/>
        </w:rPr>
      </w:pPr>
      <w:r w:rsidRPr="00394886">
        <w:rPr>
          <w:bCs/>
        </w:rPr>
        <w:t>(1) Small employer exclusion.  Employers with 10 or fewer employees on the effective date of this section are not required to comply with paragraph (q)(2)</w:t>
      </w:r>
      <w:r w:rsidR="00BD7923">
        <w:rPr>
          <w:bCs/>
        </w:rPr>
        <w:t xml:space="preserve"> or (q)(3)</w:t>
      </w:r>
      <w:r w:rsidR="00D2448B">
        <w:rPr>
          <w:bCs/>
        </w:rPr>
        <w:t xml:space="preserve"> of this section</w:t>
      </w:r>
      <w:r w:rsidRPr="00394886">
        <w:rPr>
          <w:bCs/>
        </w:rPr>
        <w:t>.</w:t>
      </w:r>
    </w:p>
    <w:p w:rsidRPr="00394886" w:rsidR="00363BA1" w:rsidP="00363BA1" w:rsidRDefault="00363BA1" w14:paraId="5F3C4A37" w14:textId="77777777">
      <w:pPr>
        <w:ind w:left="720" w:hanging="360"/>
        <w:rPr>
          <w:bCs/>
        </w:rPr>
      </w:pPr>
    </w:p>
    <w:p w:rsidRPr="00394886" w:rsidR="00363BA1" w:rsidP="00363BA1" w:rsidRDefault="00363BA1" w14:paraId="4D366162" w14:textId="77777777">
      <w:pPr>
        <w:ind w:left="720" w:hanging="360"/>
        <w:rPr>
          <w:bCs/>
        </w:rPr>
      </w:pPr>
      <w:r w:rsidRPr="00394886">
        <w:rPr>
          <w:bCs/>
        </w:rPr>
        <w:t xml:space="preserve">(2) Required records.  Employers with more than 10 employees on the effective date of this section must: </w:t>
      </w:r>
    </w:p>
    <w:p w:rsidR="00F41E24" w:rsidP="00363BA1" w:rsidRDefault="00F41E24" w14:paraId="3E87FB1C" w14:textId="77777777">
      <w:pPr>
        <w:ind w:left="1080" w:hanging="360"/>
        <w:rPr>
          <w:bCs/>
        </w:rPr>
      </w:pPr>
    </w:p>
    <w:p w:rsidRPr="00394886" w:rsidR="00363BA1" w:rsidP="00363BA1" w:rsidRDefault="00363BA1" w14:paraId="3A42CCBC" w14:textId="1C02783A">
      <w:pPr>
        <w:ind w:left="1080" w:hanging="360"/>
        <w:rPr>
          <w:bCs/>
        </w:rPr>
      </w:pPr>
      <w:r w:rsidRPr="00394886">
        <w:rPr>
          <w:bCs/>
        </w:rPr>
        <w:t xml:space="preserve">(i) </w:t>
      </w:r>
      <w:r w:rsidR="00266F71">
        <w:rPr>
          <w:bCs/>
        </w:rPr>
        <w:t xml:space="preserve"> </w:t>
      </w:r>
      <w:r w:rsidRPr="00394886" w:rsidR="00EE3CA0">
        <w:rPr>
          <w:bCs/>
        </w:rPr>
        <w:t>retain</w:t>
      </w:r>
      <w:r w:rsidRPr="00394886">
        <w:rPr>
          <w:bCs/>
        </w:rPr>
        <w:t xml:space="preserve"> all versions of the COVID-19 plan implemented to comply with this section while this section remains in effect.</w:t>
      </w:r>
    </w:p>
    <w:p w:rsidR="00F41E24" w:rsidP="00363BA1" w:rsidRDefault="00F41E24" w14:paraId="26DAAE72" w14:textId="77777777">
      <w:pPr>
        <w:ind w:left="1080" w:hanging="360"/>
        <w:rPr>
          <w:bCs/>
        </w:rPr>
      </w:pPr>
    </w:p>
    <w:p w:rsidRPr="00394886" w:rsidR="00363BA1" w:rsidP="00363BA1" w:rsidRDefault="00363BA1" w14:paraId="2FB523DC" w14:textId="0C02166B">
      <w:pPr>
        <w:ind w:left="1080" w:hanging="360"/>
        <w:rPr>
          <w:bCs/>
        </w:rPr>
      </w:pPr>
      <w:r w:rsidRPr="00394886">
        <w:rPr>
          <w:bCs/>
        </w:rPr>
        <w:t xml:space="preserve">(ii) </w:t>
      </w:r>
      <w:r w:rsidR="00EE3CA0">
        <w:rPr>
          <w:bCs/>
        </w:rPr>
        <w:t>e</w:t>
      </w:r>
      <w:r w:rsidRPr="00394886">
        <w:rPr>
          <w:bCs/>
        </w:rPr>
        <w:t xml:space="preserve">stablish and maintain a COVID-19 log to record each instance identified by the employer in which an employee is COVID-19 positive, </w:t>
      </w:r>
      <w:r w:rsidRPr="00394886">
        <w:t>regardless of whether the instance is connected to exposure to COVID-19 at work</w:t>
      </w:r>
      <w:r w:rsidRPr="00394886">
        <w:rPr>
          <w:bCs/>
        </w:rPr>
        <w:t xml:space="preserve">.  </w:t>
      </w:r>
    </w:p>
    <w:p w:rsidR="00F41E24" w:rsidP="00363BA1" w:rsidRDefault="00F41E24" w14:paraId="3C14D91B" w14:textId="77777777">
      <w:pPr>
        <w:shd w:val="clear" w:color="auto" w:fill="FFFFFF"/>
        <w:ind w:left="1530" w:hanging="450"/>
        <w:rPr>
          <w:bCs/>
        </w:rPr>
      </w:pPr>
    </w:p>
    <w:p w:rsidRPr="00394886" w:rsidR="00363BA1" w:rsidP="00363BA1" w:rsidRDefault="00363BA1" w14:paraId="532D8769" w14:textId="0C90F1A0">
      <w:pPr>
        <w:shd w:val="clear" w:color="auto" w:fill="FFFFFF"/>
        <w:ind w:left="1530" w:hanging="450"/>
        <w:rPr>
          <w:bCs/>
        </w:rPr>
      </w:pPr>
      <w:r w:rsidRPr="00394886">
        <w:rPr>
          <w:bCs/>
        </w:rPr>
        <w:t>(A)  The COVID-19 log must contain, for each instance</w:t>
      </w:r>
      <w:r w:rsidR="00D2448B">
        <w:rPr>
          <w:bCs/>
        </w:rPr>
        <w:t>,</w:t>
      </w:r>
      <w:r w:rsidRPr="00394886">
        <w:rPr>
          <w:bCs/>
        </w:rPr>
        <w:t xml:space="preserve"> the employee’s name,</w:t>
      </w:r>
      <w:r w:rsidR="004C7452">
        <w:rPr>
          <w:bCs/>
        </w:rPr>
        <w:t xml:space="preserve"> one form of</w:t>
      </w:r>
      <w:r w:rsidRPr="00394886">
        <w:rPr>
          <w:bCs/>
        </w:rPr>
        <w:t xml:space="preserve"> contact information, occupation, location where the employee worked, the date of the employee’s last day at the workplace, the date of the positive test for, or diagnosis of, COVID-19, and the date the employee first had one or more COVID-19 symptoms, if any were experienced.  </w:t>
      </w:r>
    </w:p>
    <w:p w:rsidR="00F41E24" w:rsidP="00363BA1" w:rsidRDefault="00F41E24" w14:paraId="095B7259" w14:textId="77777777">
      <w:pPr>
        <w:ind w:left="1440" w:hanging="360"/>
        <w:rPr>
          <w:rFonts w:eastAsia="Times New Roman"/>
        </w:rPr>
      </w:pPr>
    </w:p>
    <w:p w:rsidRPr="00394886" w:rsidR="00363BA1" w:rsidP="00363BA1" w:rsidRDefault="00363BA1" w14:paraId="14B0B4D8" w14:textId="23E9650A">
      <w:pPr>
        <w:ind w:left="1440" w:hanging="360"/>
        <w:rPr>
          <w:rFonts w:eastAsia="Times New Roman"/>
        </w:rPr>
      </w:pPr>
      <w:r w:rsidRPr="00394886">
        <w:rPr>
          <w:rFonts w:eastAsia="Times New Roman"/>
        </w:rPr>
        <w:t xml:space="preserve">(B) The information in the COVID-19 log must be recorded within 24 hours of the employer learning that the employee is COVID-19 positive and must be maintained </w:t>
      </w:r>
      <w:r w:rsidRPr="00D2448B" w:rsidR="00D2448B">
        <w:rPr>
          <w:rFonts w:eastAsia="Times New Roman"/>
        </w:rPr>
        <w:t>as though it is a confidential medical record and must not be disclosed except as required by this ETS or other federal law.</w:t>
      </w:r>
      <w:r w:rsidRPr="00394886">
        <w:rPr>
          <w:rFonts w:eastAsia="Times New Roman"/>
        </w:rPr>
        <w:t>.</w:t>
      </w:r>
    </w:p>
    <w:p w:rsidR="00F41E24" w:rsidP="00363BA1" w:rsidRDefault="00F41E24" w14:paraId="152F9591" w14:textId="77777777">
      <w:pPr>
        <w:ind w:left="1440" w:hanging="360"/>
        <w:rPr>
          <w:rFonts w:eastAsia="Times New Roman"/>
        </w:rPr>
      </w:pPr>
    </w:p>
    <w:p w:rsidRPr="00394886" w:rsidR="00363BA1" w:rsidP="00363BA1" w:rsidRDefault="00363BA1" w14:paraId="5A1672F2" w14:textId="11BF75AA">
      <w:pPr>
        <w:ind w:left="1440" w:hanging="360"/>
        <w:rPr>
          <w:rFonts w:eastAsia="Times New Roman"/>
        </w:rPr>
      </w:pPr>
      <w:r w:rsidRPr="00394886">
        <w:rPr>
          <w:rFonts w:eastAsia="Times New Roman"/>
        </w:rPr>
        <w:t xml:space="preserve">(C) The COVID-19 log must be maintained </w:t>
      </w:r>
      <w:r w:rsidR="009D0484">
        <w:rPr>
          <w:rFonts w:eastAsia="Times New Roman"/>
        </w:rPr>
        <w:t xml:space="preserve">and preserved </w:t>
      </w:r>
      <w:r w:rsidRPr="00394886">
        <w:rPr>
          <w:rFonts w:eastAsia="Times New Roman"/>
        </w:rPr>
        <w:t>while this section remains in effect.</w:t>
      </w:r>
    </w:p>
    <w:p w:rsidR="00F41E24" w:rsidP="00F41E24" w:rsidRDefault="00F41E24" w14:paraId="289872F1" w14:textId="77777777">
      <w:pPr>
        <w:ind w:left="720"/>
        <w:rPr>
          <w:rFonts w:eastAsia="Times New Roman"/>
          <w:b/>
        </w:rPr>
      </w:pPr>
    </w:p>
    <w:p w:rsidR="00363BA1" w:rsidP="007B67F5" w:rsidRDefault="00363BA1" w14:paraId="2A449BC3" w14:textId="59D360BE">
      <w:pPr>
        <w:rPr>
          <w:bCs/>
        </w:rPr>
      </w:pPr>
      <w:r w:rsidRPr="00394886">
        <w:rPr>
          <w:rFonts w:eastAsia="Times New Roman"/>
          <w:b/>
        </w:rPr>
        <w:t xml:space="preserve">Note to paragraph (q)(2)(ii): </w:t>
      </w:r>
      <w:r w:rsidRPr="00394886">
        <w:rPr>
          <w:bCs/>
        </w:rPr>
        <w:t xml:space="preserve">The COVID-19 log is intended to assist employers with tracking and evaluating instances of employees who </w:t>
      </w:r>
      <w:r w:rsidRPr="00394886">
        <w:t>are COVID-19 positive</w:t>
      </w:r>
      <w:r w:rsidRPr="00394886">
        <w:rPr>
          <w:bCs/>
        </w:rPr>
        <w:t xml:space="preserve"> without regard to whether those employees were infected at work.  The tracking will help evaluate potential workplace exposure to other employees.  </w:t>
      </w:r>
    </w:p>
    <w:p w:rsidRPr="00394886" w:rsidR="007B67F5" w:rsidP="007B67F5" w:rsidRDefault="007B67F5" w14:paraId="1D334E10" w14:textId="77777777">
      <w:pPr>
        <w:rPr>
          <w:bCs/>
        </w:rPr>
      </w:pPr>
    </w:p>
    <w:p w:rsidRPr="00394886" w:rsidR="00363BA1" w:rsidP="00363BA1" w:rsidRDefault="00EE3CA0" w14:paraId="2F4C1138" w14:textId="1D6FF26C">
      <w:pPr>
        <w:ind w:left="720" w:hanging="360"/>
        <w:rPr>
          <w:bCs/>
        </w:rPr>
      </w:pPr>
      <w:r w:rsidRPr="00394886" w:rsidDel="00EE3CA0">
        <w:rPr>
          <w:rFonts w:eastAsia="Times New Roman"/>
        </w:rPr>
        <w:t xml:space="preserve"> </w:t>
      </w:r>
      <w:r w:rsidRPr="00394886" w:rsidR="00363BA1">
        <w:rPr>
          <w:bCs/>
        </w:rPr>
        <w:t xml:space="preserve">(3) Availability of records.  </w:t>
      </w:r>
      <w:r w:rsidRPr="009D0484" w:rsidR="009D0484">
        <w:rPr>
          <w:bCs/>
        </w:rPr>
        <w:t>By the end of the next business day after</w:t>
      </w:r>
      <w:r w:rsidRPr="00394886" w:rsidR="00363BA1">
        <w:rPr>
          <w:bCs/>
        </w:rPr>
        <w:t xml:space="preserve"> a request, the employer must provide, for examination and copying:</w:t>
      </w:r>
    </w:p>
    <w:p w:rsidR="00F41E24" w:rsidP="00363BA1" w:rsidRDefault="00F41E24" w14:paraId="219CF7A4" w14:textId="77777777">
      <w:pPr>
        <w:ind w:left="1080" w:hanging="360"/>
        <w:rPr>
          <w:bCs/>
        </w:rPr>
      </w:pPr>
    </w:p>
    <w:p w:rsidRPr="00394886" w:rsidR="00363BA1" w:rsidP="00363BA1" w:rsidRDefault="00363BA1" w14:paraId="143D5083" w14:textId="5BEA1B26">
      <w:pPr>
        <w:ind w:left="1080" w:hanging="360"/>
        <w:rPr>
          <w:bCs/>
        </w:rPr>
      </w:pPr>
      <w:r w:rsidRPr="00394886">
        <w:rPr>
          <w:bCs/>
        </w:rPr>
        <w:t>(i)  All versions of the written COVID-19 plan to</w:t>
      </w:r>
      <w:r w:rsidR="00EE3CA0">
        <w:rPr>
          <w:bCs/>
        </w:rPr>
        <w:t xml:space="preserve"> all of the following: </w:t>
      </w:r>
      <w:r w:rsidRPr="00394886">
        <w:rPr>
          <w:bCs/>
        </w:rPr>
        <w:t>any employee</w:t>
      </w:r>
      <w:r w:rsidR="007B67F5">
        <w:rPr>
          <w:bCs/>
        </w:rPr>
        <w:t>s,</w:t>
      </w:r>
      <w:r w:rsidRPr="00394886" w:rsidR="007B67F5">
        <w:rPr>
          <w:bCs/>
        </w:rPr>
        <w:t xml:space="preserve"> their</w:t>
      </w:r>
      <w:r w:rsidRPr="00394886">
        <w:rPr>
          <w:bCs/>
        </w:rPr>
        <w:t xml:space="preserve"> </w:t>
      </w:r>
      <w:r w:rsidR="00EE3CA0">
        <w:rPr>
          <w:bCs/>
        </w:rPr>
        <w:t xml:space="preserve">personal </w:t>
      </w:r>
      <w:r w:rsidRPr="00394886">
        <w:rPr>
          <w:bCs/>
        </w:rPr>
        <w:t>representatives</w:t>
      </w:r>
      <w:r w:rsidR="00EE3CA0">
        <w:rPr>
          <w:bCs/>
        </w:rPr>
        <w:t>, and their authorized representatives</w:t>
      </w:r>
      <w:r w:rsidRPr="00394886">
        <w:rPr>
          <w:bCs/>
        </w:rPr>
        <w:t>.</w:t>
      </w:r>
    </w:p>
    <w:p w:rsidR="00F41E24" w:rsidP="00363BA1" w:rsidRDefault="00F41E24" w14:paraId="0352D0C5" w14:textId="77777777">
      <w:pPr>
        <w:ind w:left="1080" w:hanging="360"/>
        <w:rPr>
          <w:bCs/>
        </w:rPr>
      </w:pPr>
    </w:p>
    <w:p w:rsidR="009D0484" w:rsidP="009D0484" w:rsidRDefault="00363BA1" w14:paraId="0753881E" w14:textId="293F0AD4">
      <w:pPr>
        <w:ind w:left="1080" w:hanging="360"/>
        <w:rPr>
          <w:bCs/>
        </w:rPr>
      </w:pPr>
      <w:r w:rsidRPr="00394886">
        <w:rPr>
          <w:bCs/>
        </w:rPr>
        <w:t xml:space="preserve">(ii)  </w:t>
      </w:r>
      <w:r w:rsidRPr="009D0484" w:rsidR="009D0484">
        <w:rPr>
          <w:bCs/>
        </w:rPr>
        <w:t>The individual COVID-19 log entry for a particular employee to that employee and to anyone having written authorized consent of that employee.</w:t>
      </w:r>
    </w:p>
    <w:p w:rsidRPr="009D0484" w:rsidR="009D0484" w:rsidP="009D0484" w:rsidRDefault="009D0484" w14:paraId="728F2B92" w14:textId="77777777">
      <w:pPr>
        <w:ind w:left="1080" w:hanging="360"/>
        <w:rPr>
          <w:bCs/>
        </w:rPr>
      </w:pPr>
    </w:p>
    <w:p w:rsidRPr="009D0484" w:rsidR="009D0484" w:rsidP="009D0484" w:rsidRDefault="009D0484" w14:paraId="2A998C4A" w14:textId="642AFA1D">
      <w:pPr>
        <w:ind w:left="1080" w:hanging="360"/>
        <w:rPr>
          <w:bCs/>
        </w:rPr>
      </w:pPr>
      <w:r w:rsidRPr="009D0484">
        <w:rPr>
          <w:bCs/>
        </w:rPr>
        <w:t xml:space="preserve">(iii) A version of the COVID-19 log </w:t>
      </w:r>
      <w:r w:rsidR="00621FBC">
        <w:t>that removes the names of employees, contact information, and occupation, and only includes, for each employee in the COVID-19 log, the location where the employee worked, the last day that the employee was at the workplace before removal, the date of that employee’s positive test for, or diagnosis of, COVID-19, and the date the employee first had one or more COVID-19 symptoms, if any were experienced</w:t>
      </w:r>
      <w:r w:rsidRPr="009D0484">
        <w:rPr>
          <w:bCs/>
        </w:rPr>
        <w:t xml:space="preserve">, to all of the following:  any employees, their personal representatives, and their authorized representatives.  </w:t>
      </w:r>
    </w:p>
    <w:p w:rsidR="00F41E24" w:rsidP="00363BA1" w:rsidRDefault="00F41E24" w14:paraId="5A0D9FEF" w14:textId="77777777">
      <w:pPr>
        <w:ind w:left="1080" w:hanging="360"/>
        <w:rPr>
          <w:bCs/>
        </w:rPr>
      </w:pPr>
    </w:p>
    <w:p w:rsidRPr="00394886" w:rsidR="00363BA1" w:rsidP="00363BA1" w:rsidRDefault="00363BA1" w14:paraId="2CBA8356" w14:textId="62405BC6">
      <w:pPr>
        <w:ind w:left="1080" w:hanging="360"/>
        <w:rPr>
          <w:bCs/>
        </w:rPr>
      </w:pPr>
      <w:r w:rsidRPr="00394886">
        <w:rPr>
          <w:bCs/>
        </w:rPr>
        <w:t>(iv) All records required to be maintained by this section to the Assistant Secretary.</w:t>
      </w:r>
    </w:p>
    <w:p w:rsidR="00704C04" w:rsidP="00363BA1" w:rsidRDefault="00704C04" w14:paraId="5FECFC1A" w14:textId="77777777">
      <w:pPr>
        <w:rPr>
          <w:b/>
        </w:rPr>
      </w:pPr>
    </w:p>
    <w:p w:rsidRPr="00394886" w:rsidR="00363BA1" w:rsidP="00363BA1" w:rsidRDefault="00363BA1" w14:paraId="0A4D39B6" w14:textId="49DEBF8F">
      <w:pPr>
        <w:rPr>
          <w:color w:val="1F497D"/>
        </w:rPr>
      </w:pPr>
      <w:r w:rsidRPr="00394886">
        <w:rPr>
          <w:b/>
        </w:rPr>
        <w:t xml:space="preserve">Note to paragraph (q): </w:t>
      </w:r>
      <w:r w:rsidRPr="00394886">
        <w:rPr>
          <w:color w:val="201F1E"/>
          <w:shd w:val="clear" w:color="auto" w:fill="FFFFFF"/>
        </w:rPr>
        <w:t>Employers must continue to record all work-related confirmed cases of COVID-19 on their OSHA Forms 300, 300A, and 301</w:t>
      </w:r>
      <w:r w:rsidR="002D6981">
        <w:rPr>
          <w:color w:val="201F1E"/>
          <w:shd w:val="clear" w:color="auto" w:fill="FFFFFF"/>
        </w:rPr>
        <w:t>,</w:t>
      </w:r>
      <w:r w:rsidRPr="00394886">
        <w:rPr>
          <w:color w:val="201F1E"/>
          <w:shd w:val="clear" w:color="auto" w:fill="FFFFFF"/>
        </w:rPr>
        <w:t xml:space="preserve"> or the equivalent forms</w:t>
      </w:r>
      <w:r w:rsidR="002D6981">
        <w:rPr>
          <w:color w:val="201F1E"/>
          <w:shd w:val="clear" w:color="auto" w:fill="FFFFFF"/>
        </w:rPr>
        <w:t>,</w:t>
      </w:r>
      <w:r w:rsidRPr="00394886">
        <w:rPr>
          <w:color w:val="201F1E"/>
          <w:shd w:val="clear" w:color="auto" w:fill="FFFFFF"/>
        </w:rPr>
        <w:t xml:space="preserve"> if required to do so under 29 CFR Part 1904.</w:t>
      </w:r>
    </w:p>
    <w:p w:rsidRPr="001401D5" w:rsidR="00363BA1" w:rsidP="001401D5" w:rsidRDefault="00363BA1" w14:paraId="7BAE4795" w14:textId="3BB5DEA6">
      <w:pPr>
        <w:outlineLvl w:val="4"/>
        <w:rPr>
          <w:b/>
        </w:rPr>
      </w:pPr>
    </w:p>
    <w:p w:rsidRPr="00675DA4" w:rsidR="00E63125" w:rsidP="00E63125" w:rsidRDefault="00E63125" w14:paraId="5FCAAE03" w14:textId="55982EC7">
      <w:pPr>
        <w:pStyle w:val="NoSpacing"/>
        <w:rPr>
          <w:rFonts w:ascii="Times New Roman" w:hAnsi="Times New Roman" w:eastAsia="Arial Unicode MS" w:cs="Times New Roman"/>
          <w:color w:val="000000"/>
          <w:sz w:val="24"/>
          <w:szCs w:val="24"/>
        </w:rPr>
      </w:pPr>
      <w:r w:rsidRPr="00BD1D95">
        <w:rPr>
          <w:rFonts w:ascii="Times New Roman" w:hAnsi="Times New Roman" w:eastAsia="Arial Unicode MS" w:cs="Times New Roman"/>
          <w:b/>
          <w:i/>
          <w:color w:val="000000"/>
          <w:sz w:val="24"/>
          <w:szCs w:val="24"/>
          <w:u w:val="single"/>
        </w:rPr>
        <w:t>Purpose</w:t>
      </w:r>
      <w:r>
        <w:rPr>
          <w:rFonts w:ascii="Times New Roman" w:hAnsi="Times New Roman" w:eastAsia="Arial Unicode MS" w:cs="Times New Roman"/>
          <w:b/>
          <w:color w:val="000000"/>
          <w:sz w:val="24"/>
          <w:szCs w:val="24"/>
          <w:u w:val="single"/>
        </w:rPr>
        <w:t>:</w:t>
      </w:r>
      <w:r w:rsidRPr="00675DA4">
        <w:rPr>
          <w:rFonts w:ascii="Times New Roman" w:hAnsi="Times New Roman" w:eastAsia="Arial Unicode MS" w:cs="Times New Roman"/>
          <w:color w:val="000000"/>
          <w:sz w:val="24"/>
          <w:szCs w:val="24"/>
        </w:rPr>
        <w:t xml:space="preserve"> The requirement that employers establish and maintain records of their COVID-19 plans</w:t>
      </w:r>
      <w:r w:rsidR="009D0484">
        <w:rPr>
          <w:rFonts w:ascii="Times New Roman" w:hAnsi="Times New Roman" w:eastAsia="Arial Unicode MS" w:cs="Times New Roman"/>
          <w:color w:val="000000"/>
          <w:sz w:val="24"/>
          <w:szCs w:val="24"/>
        </w:rPr>
        <w:t xml:space="preserve"> and </w:t>
      </w:r>
      <w:r w:rsidRPr="00675DA4">
        <w:rPr>
          <w:rFonts w:ascii="Times New Roman" w:hAnsi="Times New Roman" w:eastAsia="Arial Unicode MS" w:cs="Times New Roman"/>
          <w:color w:val="000000"/>
          <w:sz w:val="24"/>
          <w:szCs w:val="24"/>
        </w:rPr>
        <w:t>COVID-19 logs</w:t>
      </w:r>
      <w:r w:rsidR="00B33103">
        <w:rPr>
          <w:rFonts w:ascii="Times New Roman" w:hAnsi="Times New Roman" w:eastAsia="Arial Unicode MS" w:cs="Times New Roman"/>
          <w:color w:val="000000"/>
          <w:sz w:val="24"/>
          <w:szCs w:val="24"/>
        </w:rPr>
        <w:t xml:space="preserve"> </w:t>
      </w:r>
      <w:r w:rsidR="009D0484">
        <w:rPr>
          <w:rFonts w:ascii="Times New Roman" w:hAnsi="Times New Roman" w:eastAsia="Arial Unicode MS" w:cs="Times New Roman"/>
          <w:color w:val="000000"/>
          <w:sz w:val="24"/>
          <w:szCs w:val="24"/>
        </w:rPr>
        <w:t>is</w:t>
      </w:r>
      <w:r w:rsidRPr="00675DA4">
        <w:rPr>
          <w:rFonts w:ascii="Times New Roman" w:hAnsi="Times New Roman" w:eastAsia="Arial Unicode MS" w:cs="Times New Roman"/>
          <w:color w:val="000000"/>
          <w:sz w:val="24"/>
          <w:szCs w:val="24"/>
        </w:rPr>
        <w:t xml:space="preserve"> essential for effective implementation and enforcement of the ETS. The information will assist OSHA in evaluating employer compliance with the ETS, thereby ensuring workers are receiving adequate protection. This information can also be used by employers, workers, and OSHA to monitor exposures, evaluate the effectiveness of the employer’s COVID-19 plan, and identify potential high risk areas. The availability of records provisions ensure that these benefits are realized by providing employees, their representatives, and OSHA access to these records.</w:t>
      </w:r>
    </w:p>
    <w:p w:rsidR="0023323B" w:rsidP="00330A6D" w:rsidRDefault="0023323B" w14:paraId="5DDF6AC1" w14:textId="77777777">
      <w:pPr>
        <w:pStyle w:val="NoSpacing"/>
        <w:rPr>
          <w:rFonts w:ascii="Times New Roman" w:hAnsi="Times New Roman" w:cs="Times New Roman"/>
          <w:b/>
          <w:sz w:val="24"/>
          <w:szCs w:val="24"/>
        </w:rPr>
      </w:pPr>
    </w:p>
    <w:p w:rsidRPr="00394886" w:rsidR="00330A6D" w:rsidP="00330A6D" w:rsidRDefault="00330A6D" w14:paraId="4CBE8475" w14:textId="018FA2EB">
      <w:pPr>
        <w:pStyle w:val="NoSpacing"/>
        <w:rPr>
          <w:rFonts w:ascii="Times New Roman" w:hAnsi="Times New Roman" w:cs="Times New Roman"/>
          <w:sz w:val="24"/>
          <w:szCs w:val="24"/>
        </w:rPr>
      </w:pPr>
      <w:r w:rsidRPr="001401D5">
        <w:rPr>
          <w:rFonts w:ascii="Times New Roman" w:hAnsi="Times New Roman" w:cs="Times New Roman"/>
          <w:b/>
          <w:sz w:val="24"/>
          <w:szCs w:val="24"/>
        </w:rPr>
        <w:t>§</w:t>
      </w:r>
      <w:r w:rsidR="00134257">
        <w:rPr>
          <w:rFonts w:ascii="Times New Roman" w:hAnsi="Times New Roman" w:cs="Times New Roman"/>
          <w:b/>
          <w:sz w:val="24"/>
          <w:szCs w:val="24"/>
        </w:rPr>
        <w:t xml:space="preserve"> </w:t>
      </w:r>
      <w:r w:rsidRPr="001401D5">
        <w:rPr>
          <w:rFonts w:ascii="Times New Roman" w:hAnsi="Times New Roman" w:cs="Times New Roman"/>
          <w:b/>
          <w:sz w:val="24"/>
          <w:szCs w:val="24"/>
        </w:rPr>
        <w:t>1910.502(r) Reporting COVID-19 fatalities and hospitalizations to OSHA</w:t>
      </w:r>
      <w:r w:rsidRPr="00394886">
        <w:rPr>
          <w:rFonts w:ascii="Times New Roman" w:hAnsi="Times New Roman" w:cs="Times New Roman"/>
          <w:sz w:val="24"/>
          <w:szCs w:val="24"/>
        </w:rPr>
        <w:t xml:space="preserve">. </w:t>
      </w:r>
    </w:p>
    <w:p w:rsidRPr="00394886" w:rsidR="00330A6D" w:rsidP="00330A6D" w:rsidRDefault="00330A6D" w14:paraId="4D5ADDE2" w14:textId="77777777">
      <w:pPr>
        <w:pStyle w:val="NoSpacing"/>
        <w:ind w:left="720" w:hanging="360"/>
        <w:rPr>
          <w:rFonts w:ascii="Times New Roman" w:hAnsi="Times New Roman" w:cs="Times New Roman"/>
          <w:sz w:val="24"/>
          <w:szCs w:val="24"/>
        </w:rPr>
      </w:pPr>
    </w:p>
    <w:p w:rsidRPr="00394886" w:rsidR="00330A6D" w:rsidP="00330A6D" w:rsidRDefault="00330A6D" w14:paraId="31FEF447" w14:textId="4C6D0DD5">
      <w:pPr>
        <w:pStyle w:val="NoSpacing"/>
        <w:ind w:left="720" w:hanging="360"/>
        <w:rPr>
          <w:rFonts w:ascii="Times New Roman" w:hAnsi="Times New Roman" w:cs="Times New Roman"/>
          <w:sz w:val="24"/>
          <w:szCs w:val="24"/>
        </w:rPr>
      </w:pPr>
      <w:r w:rsidRPr="00394886">
        <w:rPr>
          <w:rFonts w:ascii="Times New Roman" w:hAnsi="Times New Roman" w:cs="Times New Roman"/>
          <w:sz w:val="24"/>
          <w:szCs w:val="24"/>
        </w:rPr>
        <w:t>(</w:t>
      </w:r>
      <w:r w:rsidR="006A5128">
        <w:rPr>
          <w:rFonts w:ascii="Times New Roman" w:hAnsi="Times New Roman" w:cs="Times New Roman"/>
          <w:sz w:val="24"/>
          <w:szCs w:val="24"/>
        </w:rPr>
        <w:t>1</w:t>
      </w:r>
      <w:r w:rsidRPr="00394886">
        <w:rPr>
          <w:rFonts w:ascii="Times New Roman" w:hAnsi="Times New Roman" w:cs="Times New Roman"/>
          <w:sz w:val="24"/>
          <w:szCs w:val="24"/>
        </w:rPr>
        <w:t>) The employer must report</w:t>
      </w:r>
      <w:r w:rsidR="008574DE">
        <w:rPr>
          <w:rFonts w:ascii="Times New Roman" w:hAnsi="Times New Roman" w:cs="Times New Roman"/>
          <w:sz w:val="24"/>
          <w:szCs w:val="24"/>
        </w:rPr>
        <w:t xml:space="preserve"> to OSHA</w:t>
      </w:r>
      <w:r w:rsidRPr="00394886">
        <w:rPr>
          <w:rFonts w:ascii="Times New Roman" w:hAnsi="Times New Roman" w:cs="Times New Roman"/>
          <w:sz w:val="24"/>
          <w:szCs w:val="24"/>
        </w:rPr>
        <w:t>:</w:t>
      </w:r>
    </w:p>
    <w:p w:rsidRPr="00394886" w:rsidR="00330A6D" w:rsidP="00330A6D" w:rsidRDefault="00330A6D" w14:paraId="1CEE2515" w14:textId="77777777">
      <w:pPr>
        <w:pStyle w:val="NoSpacing"/>
        <w:rPr>
          <w:rFonts w:ascii="Times New Roman" w:hAnsi="Times New Roman" w:cs="Times New Roman"/>
          <w:sz w:val="24"/>
          <w:szCs w:val="24"/>
        </w:rPr>
      </w:pPr>
    </w:p>
    <w:p w:rsidRPr="00394886" w:rsidR="00330A6D" w:rsidP="00330A6D" w:rsidRDefault="00330A6D" w14:paraId="77114F92" w14:textId="55F2C0D1">
      <w:pPr>
        <w:pStyle w:val="NoSpacing"/>
        <w:ind w:left="1080" w:hanging="360"/>
        <w:rPr>
          <w:rFonts w:ascii="Times New Roman" w:hAnsi="Times New Roman" w:cs="Times New Roman"/>
          <w:sz w:val="24"/>
          <w:szCs w:val="24"/>
        </w:rPr>
      </w:pPr>
      <w:r w:rsidRPr="00394886">
        <w:rPr>
          <w:rFonts w:ascii="Times New Roman" w:hAnsi="Times New Roman" w:cs="Times New Roman"/>
          <w:sz w:val="24"/>
          <w:szCs w:val="24"/>
        </w:rPr>
        <w:t xml:space="preserve">(i) </w:t>
      </w:r>
      <w:r w:rsidR="008574DE">
        <w:rPr>
          <w:rFonts w:ascii="Times New Roman" w:hAnsi="Times New Roman" w:cs="Times New Roman"/>
          <w:sz w:val="24"/>
          <w:szCs w:val="24"/>
        </w:rPr>
        <w:t xml:space="preserve"> </w:t>
      </w:r>
      <w:r w:rsidRPr="00313268" w:rsidR="008574DE">
        <w:rPr>
          <w:rFonts w:ascii="Times New Roman" w:hAnsi="Times New Roman" w:cs="Times New Roman"/>
          <w:sz w:val="24"/>
          <w:szCs w:val="24"/>
        </w:rPr>
        <w:t xml:space="preserve">Each </w:t>
      </w:r>
      <w:r w:rsidR="00653712">
        <w:rPr>
          <w:rFonts w:ascii="Times New Roman" w:hAnsi="Times New Roman" w:cs="Times New Roman"/>
          <w:sz w:val="24"/>
          <w:szCs w:val="24"/>
        </w:rPr>
        <w:t xml:space="preserve">work-related </w:t>
      </w:r>
      <w:r w:rsidRPr="00313268" w:rsidR="008574DE">
        <w:rPr>
          <w:rFonts w:ascii="Times New Roman" w:hAnsi="Times New Roman" w:cs="Times New Roman"/>
          <w:sz w:val="24"/>
          <w:szCs w:val="24"/>
        </w:rPr>
        <w:t xml:space="preserve">COVID-19 fatality </w:t>
      </w:r>
      <w:r w:rsidRPr="008574DE">
        <w:rPr>
          <w:rFonts w:ascii="Times New Roman" w:hAnsi="Times New Roman" w:cs="Times New Roman"/>
          <w:sz w:val="24"/>
          <w:szCs w:val="24"/>
        </w:rPr>
        <w:t xml:space="preserve">within 8 hours of the </w:t>
      </w:r>
      <w:r w:rsidRPr="00394886">
        <w:rPr>
          <w:rFonts w:ascii="Times New Roman" w:hAnsi="Times New Roman" w:cs="Times New Roman"/>
          <w:sz w:val="24"/>
          <w:szCs w:val="24"/>
        </w:rPr>
        <w:t xml:space="preserve">employer learning about the fatality.       </w:t>
      </w:r>
    </w:p>
    <w:p w:rsidRPr="00394886" w:rsidR="00330A6D" w:rsidP="00330A6D" w:rsidRDefault="00330A6D" w14:paraId="6E26960A" w14:textId="77777777">
      <w:pPr>
        <w:pStyle w:val="NoSpacing"/>
        <w:ind w:left="1080" w:hanging="360"/>
        <w:rPr>
          <w:rFonts w:ascii="Times New Roman" w:hAnsi="Times New Roman" w:cs="Times New Roman"/>
          <w:sz w:val="24"/>
          <w:szCs w:val="24"/>
        </w:rPr>
      </w:pPr>
    </w:p>
    <w:p w:rsidR="00330A6D" w:rsidP="00330A6D" w:rsidRDefault="00330A6D" w14:paraId="5956DD2A" w14:textId="5CDBE638">
      <w:pPr>
        <w:pStyle w:val="NoSpacing"/>
        <w:ind w:left="1080" w:hanging="360"/>
        <w:rPr>
          <w:rFonts w:ascii="Times New Roman" w:hAnsi="Times New Roman" w:cs="Times New Roman"/>
          <w:sz w:val="24"/>
          <w:szCs w:val="24"/>
        </w:rPr>
      </w:pPr>
      <w:r w:rsidRPr="00394886">
        <w:rPr>
          <w:rFonts w:ascii="Times New Roman" w:hAnsi="Times New Roman" w:cs="Times New Roman"/>
          <w:sz w:val="24"/>
          <w:szCs w:val="24"/>
        </w:rPr>
        <w:t xml:space="preserve">(ii) </w:t>
      </w:r>
      <w:r w:rsidRPr="00313268" w:rsidR="008574DE">
        <w:rPr>
          <w:rFonts w:ascii="Times New Roman" w:hAnsi="Times New Roman" w:cs="Times New Roman"/>
          <w:sz w:val="24"/>
          <w:szCs w:val="24"/>
        </w:rPr>
        <w:t xml:space="preserve">Each </w:t>
      </w:r>
      <w:r w:rsidR="00607C4C">
        <w:rPr>
          <w:rFonts w:ascii="Times New Roman" w:hAnsi="Times New Roman" w:cs="Times New Roman"/>
          <w:sz w:val="24"/>
          <w:szCs w:val="24"/>
        </w:rPr>
        <w:t xml:space="preserve">work-related </w:t>
      </w:r>
      <w:r w:rsidRPr="00313268" w:rsidR="008574DE">
        <w:rPr>
          <w:rFonts w:ascii="Times New Roman" w:hAnsi="Times New Roman" w:cs="Times New Roman"/>
          <w:sz w:val="24"/>
          <w:szCs w:val="24"/>
        </w:rPr>
        <w:t>COVID-19 in-patient hospitalization</w:t>
      </w:r>
      <w:r w:rsidRPr="008574DE">
        <w:rPr>
          <w:rFonts w:ascii="Times New Roman" w:hAnsi="Times New Roman" w:cs="Times New Roman"/>
          <w:sz w:val="24"/>
          <w:szCs w:val="24"/>
        </w:rPr>
        <w:t xml:space="preserve"> within 24 hours of the employer learning about the in-</w:t>
      </w:r>
      <w:r w:rsidRPr="00394886">
        <w:rPr>
          <w:rFonts w:ascii="Times New Roman" w:hAnsi="Times New Roman" w:cs="Times New Roman"/>
          <w:sz w:val="24"/>
          <w:szCs w:val="24"/>
        </w:rPr>
        <w:t>patient hospitalization.</w:t>
      </w:r>
    </w:p>
    <w:p w:rsidRPr="00394886" w:rsidR="006A5128" w:rsidP="00330A6D" w:rsidRDefault="006A5128" w14:paraId="3470EB7E" w14:textId="77777777">
      <w:pPr>
        <w:pStyle w:val="NoSpacing"/>
        <w:ind w:left="1080" w:hanging="360"/>
        <w:rPr>
          <w:rFonts w:ascii="Times New Roman" w:hAnsi="Times New Roman" w:cs="Times New Roman"/>
          <w:sz w:val="24"/>
          <w:szCs w:val="24"/>
        </w:rPr>
      </w:pPr>
    </w:p>
    <w:p w:rsidRPr="00394886" w:rsidR="006A5128" w:rsidP="006A5128" w:rsidRDefault="006A5128" w14:paraId="62518755" w14:textId="2950A47B">
      <w:pPr>
        <w:pStyle w:val="NoSpacing"/>
        <w:ind w:left="720" w:hanging="360"/>
        <w:rPr>
          <w:rFonts w:ascii="Times New Roman" w:hAnsi="Times New Roman" w:cs="Times New Roman"/>
          <w:sz w:val="24"/>
          <w:szCs w:val="24"/>
        </w:rPr>
      </w:pPr>
      <w:r w:rsidRPr="00394886">
        <w:rPr>
          <w:rFonts w:ascii="Times New Roman" w:hAnsi="Times New Roman" w:cs="Times New Roman"/>
          <w:sz w:val="24"/>
          <w:szCs w:val="24"/>
        </w:rPr>
        <w:t>(</w:t>
      </w:r>
      <w:r>
        <w:rPr>
          <w:rFonts w:ascii="Times New Roman" w:hAnsi="Times New Roman" w:cs="Times New Roman"/>
          <w:sz w:val="24"/>
          <w:szCs w:val="24"/>
        </w:rPr>
        <w:t>2</w:t>
      </w:r>
      <w:r w:rsidRPr="00394886">
        <w:rPr>
          <w:rFonts w:ascii="Times New Roman" w:hAnsi="Times New Roman" w:cs="Times New Roman"/>
          <w:sz w:val="24"/>
          <w:szCs w:val="24"/>
        </w:rPr>
        <w:t>) When reporting COVID-19 fatalities and in-patient hospitalizations to OSHA</w:t>
      </w:r>
      <w:r w:rsidRPr="008574DE" w:rsidR="008574DE">
        <w:t xml:space="preserve"> </w:t>
      </w:r>
      <w:r w:rsidRPr="00313268" w:rsidR="008574DE">
        <w:rPr>
          <w:rFonts w:ascii="Times New Roman" w:hAnsi="Times New Roman" w:cs="Times New Roman"/>
          <w:sz w:val="24"/>
          <w:szCs w:val="24"/>
        </w:rPr>
        <w:t>in accordance with paragraph (</w:t>
      </w:r>
      <w:r w:rsidR="00841945">
        <w:rPr>
          <w:rFonts w:ascii="Times New Roman" w:hAnsi="Times New Roman" w:cs="Times New Roman"/>
          <w:sz w:val="24"/>
          <w:szCs w:val="24"/>
        </w:rPr>
        <w:t>r</w:t>
      </w:r>
      <w:r w:rsidRPr="00313268" w:rsidR="008574DE">
        <w:rPr>
          <w:rFonts w:ascii="Times New Roman" w:hAnsi="Times New Roman" w:cs="Times New Roman"/>
          <w:sz w:val="24"/>
          <w:szCs w:val="24"/>
        </w:rPr>
        <w:t>)(1) of this section</w:t>
      </w:r>
      <w:r w:rsidRPr="00394886">
        <w:rPr>
          <w:rFonts w:ascii="Times New Roman" w:hAnsi="Times New Roman" w:cs="Times New Roman"/>
          <w:sz w:val="24"/>
          <w:szCs w:val="24"/>
        </w:rPr>
        <w:t>, the employer must follow the requirements in 29 CFR 1904.39, except for 29 CFR 1904.39(a)(1</w:t>
      </w:r>
      <w:r w:rsidRPr="00394886" w:rsidR="009D0484">
        <w:rPr>
          <w:rFonts w:ascii="Times New Roman" w:hAnsi="Times New Roman" w:cs="Times New Roman"/>
          <w:sz w:val="24"/>
          <w:szCs w:val="24"/>
        </w:rPr>
        <w:t>)</w:t>
      </w:r>
      <w:r w:rsidR="009D0484">
        <w:rPr>
          <w:rFonts w:ascii="Times New Roman" w:hAnsi="Times New Roman" w:cs="Times New Roman"/>
          <w:sz w:val="24"/>
          <w:szCs w:val="24"/>
        </w:rPr>
        <w:t xml:space="preserve"> and </w:t>
      </w:r>
      <w:r w:rsidRPr="00394886" w:rsidR="009D0484">
        <w:rPr>
          <w:rFonts w:ascii="Times New Roman" w:hAnsi="Times New Roman" w:cs="Times New Roman"/>
          <w:sz w:val="24"/>
          <w:szCs w:val="24"/>
        </w:rPr>
        <w:t>(</w:t>
      </w:r>
      <w:r w:rsidRPr="00394886">
        <w:rPr>
          <w:rFonts w:ascii="Times New Roman" w:hAnsi="Times New Roman" w:cs="Times New Roman"/>
          <w:sz w:val="24"/>
          <w:szCs w:val="24"/>
        </w:rPr>
        <w:t>2) and (b)(6)</w:t>
      </w:r>
      <w:r w:rsidR="009E7EC3">
        <w:rPr>
          <w:rFonts w:ascii="Times New Roman" w:hAnsi="Times New Roman" w:cs="Times New Roman"/>
          <w:sz w:val="24"/>
          <w:szCs w:val="24"/>
        </w:rPr>
        <w:t>.</w:t>
      </w:r>
    </w:p>
    <w:p w:rsidRPr="00394886" w:rsidR="00E63125" w:rsidP="00E63125" w:rsidRDefault="00E63125" w14:paraId="753BF8AB" w14:textId="766C1F7E">
      <w:pPr>
        <w:spacing w:before="240" w:after="240"/>
        <w:outlineLvl w:val="4"/>
        <w:rPr>
          <w:rFonts w:eastAsia="Arial Unicode MS"/>
          <w:color w:val="000000"/>
        </w:rPr>
      </w:pPr>
      <w:r w:rsidRPr="009E7EC3">
        <w:rPr>
          <w:rFonts w:eastAsia="Arial Unicode MS"/>
          <w:b/>
          <w:i/>
          <w:color w:val="000000"/>
          <w:u w:val="single"/>
        </w:rPr>
        <w:t>Purpose</w:t>
      </w:r>
      <w:r>
        <w:rPr>
          <w:rFonts w:eastAsia="Arial Unicode MS"/>
          <w:b/>
          <w:color w:val="000000"/>
          <w:u w:val="single"/>
        </w:rPr>
        <w:t>:</w:t>
      </w:r>
      <w:r>
        <w:rPr>
          <w:rFonts w:eastAsia="Arial Unicode MS"/>
          <w:color w:val="000000"/>
        </w:rPr>
        <w:t xml:space="preserve"> The requirement that employers report all COVID-19 fatalities and hospitalizations to OSHA is essential to enforcement of the ETS, as it allows the agency to identify employers who may not </w:t>
      </w:r>
      <w:r w:rsidR="0016615A">
        <w:rPr>
          <w:rFonts w:eastAsia="Arial Unicode MS"/>
          <w:color w:val="000000"/>
        </w:rPr>
        <w:t>comply</w:t>
      </w:r>
      <w:r>
        <w:rPr>
          <w:rFonts w:eastAsia="Arial Unicode MS"/>
          <w:color w:val="000000"/>
        </w:rPr>
        <w:t xml:space="preserve"> with the ETS or who may not be effectively controlling exposures. This requirement will also provide OSHA with valuable information to evaluate the effectiveness of particular control measures and to identify jobs, workplaces, and industries with high exposure risk.</w:t>
      </w:r>
    </w:p>
    <w:p w:rsidR="00746CDE" w:rsidP="001401D5" w:rsidRDefault="00746CDE" w14:paraId="7A33DD3F" w14:textId="68CDE4D9">
      <w:pPr>
        <w:rPr>
          <w:rFonts w:eastAsia="Arial Unicode MS"/>
          <w:b/>
          <w:color w:val="000000"/>
        </w:rPr>
      </w:pPr>
      <w:r w:rsidRPr="008C149A">
        <w:rPr>
          <w:rFonts w:eastAsia="Arial Unicode MS"/>
          <w:b/>
          <w:color w:val="000000"/>
        </w:rPr>
        <w:t>§</w:t>
      </w:r>
      <w:r w:rsidR="00134257">
        <w:rPr>
          <w:rFonts w:eastAsia="Arial Unicode MS"/>
          <w:b/>
          <w:color w:val="000000"/>
        </w:rPr>
        <w:t xml:space="preserve"> </w:t>
      </w:r>
      <w:r w:rsidRPr="008C149A">
        <w:rPr>
          <w:rFonts w:eastAsia="Arial Unicode MS"/>
          <w:b/>
          <w:color w:val="000000"/>
        </w:rPr>
        <w:t>1910.504</w:t>
      </w:r>
      <w:r>
        <w:rPr>
          <w:rFonts w:eastAsia="Arial Unicode MS"/>
          <w:b/>
          <w:color w:val="000000"/>
        </w:rPr>
        <w:t xml:space="preserve"> – Mini Respirator Protection Program.</w:t>
      </w:r>
      <w:r w:rsidR="009B3370">
        <w:rPr>
          <w:rStyle w:val="FootnoteReference"/>
          <w:rFonts w:eastAsia="Arial Unicode MS"/>
          <w:b/>
          <w:color w:val="000000"/>
        </w:rPr>
        <w:footnoteReference w:id="3"/>
      </w:r>
    </w:p>
    <w:p w:rsidRPr="001401D5" w:rsidR="00746CDE" w:rsidP="001401D5" w:rsidRDefault="00746CDE" w14:paraId="401AD680" w14:textId="77777777"/>
    <w:p w:rsidRPr="009F4F97" w:rsidR="00746CDE" w:rsidP="00124EF1" w:rsidRDefault="00746CDE" w14:paraId="47B8F13E" w14:textId="738B37F7">
      <w:pPr>
        <w:spacing w:line="480" w:lineRule="auto"/>
        <w:outlineLvl w:val="4"/>
        <w:rPr>
          <w:rFonts w:eastAsia="Times New Roman"/>
        </w:rPr>
      </w:pPr>
      <w:r w:rsidRPr="009F4F97">
        <w:rPr>
          <w:rFonts w:eastAsia="Arial Unicode MS"/>
          <w:b/>
          <w:color w:val="000000"/>
        </w:rPr>
        <w:t>§</w:t>
      </w:r>
      <w:r w:rsidRPr="009F4F97" w:rsidR="00134257">
        <w:rPr>
          <w:rFonts w:eastAsia="Arial Unicode MS"/>
          <w:b/>
          <w:color w:val="000000"/>
        </w:rPr>
        <w:t xml:space="preserve"> </w:t>
      </w:r>
      <w:r w:rsidRPr="009F4F97">
        <w:rPr>
          <w:rFonts w:eastAsia="Arial Unicode MS"/>
          <w:b/>
          <w:color w:val="000000"/>
        </w:rPr>
        <w:t>1910.504</w:t>
      </w:r>
      <w:r w:rsidRPr="009F4F97">
        <w:rPr>
          <w:rFonts w:eastAsia="Times New Roman"/>
          <w:b/>
        </w:rPr>
        <w:t>(</w:t>
      </w:r>
      <w:r w:rsidR="000B2FE5">
        <w:rPr>
          <w:rFonts w:eastAsia="Times New Roman"/>
          <w:b/>
        </w:rPr>
        <w:t>c</w:t>
      </w:r>
      <w:r w:rsidRPr="009F4F97">
        <w:rPr>
          <w:rFonts w:eastAsia="Times New Roman"/>
          <w:b/>
        </w:rPr>
        <w:t xml:space="preserve">) -- </w:t>
      </w:r>
      <w:r w:rsidR="000B2FE5">
        <w:rPr>
          <w:rFonts w:eastAsia="Times New Roman"/>
          <w:b/>
        </w:rPr>
        <w:t>Respirators provided by employees</w:t>
      </w:r>
      <w:r w:rsidRPr="009F4F97">
        <w:rPr>
          <w:rFonts w:eastAsia="Times New Roman"/>
        </w:rPr>
        <w:t xml:space="preserve">. </w:t>
      </w:r>
    </w:p>
    <w:p w:rsidRPr="000B2FE5" w:rsidR="000B2FE5" w:rsidP="000B2FE5" w:rsidRDefault="000B2FE5" w14:paraId="1BEF0757" w14:textId="7E164B57">
      <w:pPr>
        <w:outlineLvl w:val="4"/>
        <w:rPr>
          <w:shd w:val="clear" w:color="auto" w:fill="FFFFFF"/>
        </w:rPr>
      </w:pPr>
      <w:r>
        <w:rPr>
          <w:shd w:val="clear" w:color="auto" w:fill="FFFFFF"/>
        </w:rPr>
        <w:t xml:space="preserve">(c) </w:t>
      </w:r>
      <w:r w:rsidRPr="000B2FE5">
        <w:rPr>
          <w:shd w:val="clear" w:color="auto" w:fill="FFFFFF"/>
        </w:rPr>
        <w:t>Where employees provide and use their own respirators, the employer must provide each employee with the following notice:</w:t>
      </w:r>
    </w:p>
    <w:p w:rsidRPr="000B2FE5" w:rsidR="000B2FE5" w:rsidP="000B2FE5" w:rsidRDefault="000B2FE5" w14:paraId="3BF961C8" w14:textId="77777777">
      <w:pPr>
        <w:outlineLvl w:val="4"/>
        <w:rPr>
          <w:shd w:val="clear" w:color="auto" w:fill="FFFFFF"/>
        </w:rPr>
      </w:pPr>
    </w:p>
    <w:p w:rsidRPr="000B2FE5" w:rsidR="000B2FE5" w:rsidP="000B2FE5" w:rsidRDefault="000B2FE5" w14:paraId="692912F1" w14:textId="77777777">
      <w:pPr>
        <w:ind w:left="720" w:right="720"/>
        <w:outlineLvl w:val="4"/>
        <w:rPr>
          <w:shd w:val="clear" w:color="auto" w:fill="FFFFFF"/>
        </w:rPr>
      </w:pPr>
      <w:r w:rsidRPr="000B2FE5">
        <w:rPr>
          <w:shd w:val="clear" w:color="auto" w:fill="FFFFFF"/>
        </w:rPr>
        <w:t>Respirators can be an effective method of protection against COVID-19 hazards when properly selected and worn.  Respirator use is encouraged to provide an additional level of comfort and protection for workers even in circumstances that do not require a respirator to be used. However, if a respirator is used improperly or not kept clean, the respirator itself can become a hazard to the worker. If your employer allows you to provide and use your own respirator, you need to take certain precautions to be sure that the respirator itself does not present a hazard.</w:t>
      </w:r>
      <w:r w:rsidRPr="000B2FE5">
        <w:rPr>
          <w:shd w:val="clear" w:color="auto" w:fill="FFFFFF"/>
        </w:rPr>
        <w:br/>
      </w:r>
      <w:r w:rsidRPr="000B2FE5">
        <w:rPr>
          <w:shd w:val="clear" w:color="auto" w:fill="FFFFFF"/>
        </w:rPr>
        <w:br/>
        <w:t>You should do the following:</w:t>
      </w:r>
    </w:p>
    <w:p w:rsidRPr="000B2FE5" w:rsidR="000B2FE5" w:rsidP="000B2FE5" w:rsidRDefault="000B2FE5" w14:paraId="67C886DC" w14:textId="77777777">
      <w:pPr>
        <w:ind w:left="720" w:right="720"/>
        <w:outlineLvl w:val="4"/>
        <w:rPr>
          <w:shd w:val="clear" w:color="auto" w:fill="FFFFFF"/>
        </w:rPr>
      </w:pPr>
    </w:p>
    <w:p w:rsidRPr="000B2FE5" w:rsidR="000B2FE5" w:rsidP="000B2FE5" w:rsidRDefault="000B2FE5" w14:paraId="12EA8190" w14:textId="77777777">
      <w:pPr>
        <w:ind w:left="720" w:right="720"/>
        <w:outlineLvl w:val="4"/>
        <w:rPr>
          <w:shd w:val="clear" w:color="auto" w:fill="FFFFFF"/>
        </w:rPr>
      </w:pPr>
      <w:r w:rsidRPr="000B2FE5">
        <w:rPr>
          <w:shd w:val="clear" w:color="auto" w:fill="FFFFFF"/>
        </w:rPr>
        <w:t xml:space="preserve">(1) Read and follow all instructions provided by the manufacturer on use, maintenance, cleaning and care, and warnings regarding the respirator’s limitations.  </w:t>
      </w:r>
    </w:p>
    <w:p w:rsidRPr="000B2FE5" w:rsidR="000B2FE5" w:rsidP="000B2FE5" w:rsidRDefault="000B2FE5" w14:paraId="49792A68" w14:textId="77777777">
      <w:pPr>
        <w:ind w:left="720" w:right="720"/>
        <w:outlineLvl w:val="4"/>
        <w:rPr>
          <w:shd w:val="clear" w:color="auto" w:fill="FFFFFF"/>
        </w:rPr>
      </w:pPr>
    </w:p>
    <w:p w:rsidRPr="000B2FE5" w:rsidR="000B2FE5" w:rsidP="000B2FE5" w:rsidRDefault="000B2FE5" w14:paraId="485CC15B" w14:textId="77777777">
      <w:pPr>
        <w:ind w:left="720" w:right="720"/>
        <w:outlineLvl w:val="4"/>
        <w:rPr>
          <w:shd w:val="clear" w:color="auto" w:fill="FFFFFF"/>
        </w:rPr>
      </w:pPr>
      <w:r w:rsidRPr="000B2FE5">
        <w:rPr>
          <w:shd w:val="clear" w:color="auto" w:fill="FFFFFF"/>
        </w:rPr>
        <w:t>(2) Keep track of your respirator so that you do not mistakenly use someone else’s respirator.</w:t>
      </w:r>
    </w:p>
    <w:p w:rsidRPr="000B2FE5" w:rsidR="000B2FE5" w:rsidP="000B2FE5" w:rsidRDefault="000B2FE5" w14:paraId="29729747" w14:textId="77777777">
      <w:pPr>
        <w:ind w:left="720" w:right="720"/>
        <w:outlineLvl w:val="4"/>
        <w:rPr>
          <w:shd w:val="clear" w:color="auto" w:fill="FFFFFF"/>
        </w:rPr>
      </w:pPr>
      <w:r w:rsidRPr="000B2FE5">
        <w:rPr>
          <w:shd w:val="clear" w:color="auto" w:fill="FFFFFF"/>
        </w:rPr>
        <w:t xml:space="preserve">  </w:t>
      </w:r>
    </w:p>
    <w:p w:rsidRPr="000B2FE5" w:rsidR="000B2FE5" w:rsidP="000B2FE5" w:rsidRDefault="000B2FE5" w14:paraId="2C2242C1" w14:textId="77777777">
      <w:pPr>
        <w:ind w:left="720" w:right="720"/>
        <w:outlineLvl w:val="4"/>
        <w:rPr>
          <w:shd w:val="clear" w:color="auto" w:fill="FFFFFF"/>
        </w:rPr>
      </w:pPr>
      <w:r w:rsidRPr="000B2FE5">
        <w:rPr>
          <w:shd w:val="clear" w:color="auto" w:fill="FFFFFF"/>
        </w:rPr>
        <w:t>(3) Do not wear your respirator where other workplace hazards (e.g., chemical exposures) require use of a respirator. In such cases, your employer must provide you with a respirator that is used in accordance with OSHA’s respiratory protection standard (29 CFR 1910.134).</w:t>
      </w:r>
      <w:r w:rsidRPr="000B2FE5">
        <w:rPr>
          <w:shd w:val="clear" w:color="auto" w:fill="FFFFFF"/>
        </w:rPr>
        <w:br/>
      </w:r>
    </w:p>
    <w:p w:rsidR="007D1B35" w:rsidP="00DA0410" w:rsidRDefault="000B2FE5" w14:paraId="598559A8" w14:textId="16F64C39">
      <w:pPr>
        <w:ind w:left="720"/>
        <w:rPr>
          <w:rFonts w:cstheme="minorHAnsi"/>
        </w:rPr>
      </w:pPr>
      <w:r w:rsidRPr="000B2FE5">
        <w:rPr>
          <w:shd w:val="clear" w:color="auto" w:fill="FFFFFF"/>
        </w:rPr>
        <w:t>For more information about using a respirator, see OSHA’s respiratory protection safety and health topics page (</w:t>
      </w:r>
      <w:hyperlink w:history="1" r:id="rId11">
        <w:r w:rsidRPr="000B2FE5">
          <w:rPr>
            <w:rStyle w:val="Hyperlink"/>
            <w:shd w:val="clear" w:color="auto" w:fill="FFFFFF"/>
          </w:rPr>
          <w:t>https://www.osha.gov/respiratory-protection</w:t>
        </w:r>
      </w:hyperlink>
      <w:r w:rsidRPr="000B2FE5">
        <w:rPr>
          <w:shd w:val="clear" w:color="auto" w:fill="FFFFFF"/>
        </w:rPr>
        <w:t xml:space="preserve">). </w:t>
      </w:r>
    </w:p>
    <w:p w:rsidR="00F52C02" w:rsidP="000B2FE5" w:rsidRDefault="00F52C02" w14:paraId="0157C8F7" w14:textId="77777777">
      <w:pPr>
        <w:rPr>
          <w:rFonts w:cstheme="minorHAnsi"/>
          <w:b/>
          <w:u w:val="single"/>
        </w:rPr>
      </w:pPr>
    </w:p>
    <w:p w:rsidRPr="000B2FE5" w:rsidR="000B2FE5" w:rsidP="000B2FE5" w:rsidRDefault="000B2FE5" w14:paraId="5F271FE2" w14:textId="5B4F03F6">
      <w:pPr>
        <w:rPr>
          <w:rFonts w:cstheme="minorHAnsi"/>
        </w:rPr>
      </w:pPr>
      <w:r w:rsidRPr="00313268">
        <w:rPr>
          <w:rFonts w:cstheme="minorHAnsi"/>
          <w:b/>
          <w:i/>
          <w:u w:val="single"/>
        </w:rPr>
        <w:t>Purpose</w:t>
      </w:r>
      <w:r>
        <w:rPr>
          <w:rFonts w:cstheme="minorHAnsi"/>
          <w:b/>
          <w:u w:val="single"/>
        </w:rPr>
        <w:t>:</w:t>
      </w:r>
      <w:r>
        <w:rPr>
          <w:rFonts w:cstheme="minorHAnsi"/>
        </w:rPr>
        <w:t xml:space="preserve"> </w:t>
      </w:r>
      <w:r w:rsidRPr="000B2FE5">
        <w:rPr>
          <w:rFonts w:cstheme="minorHAnsi"/>
        </w:rPr>
        <w:t xml:space="preserve">The requirement </w:t>
      </w:r>
      <w:r>
        <w:rPr>
          <w:rFonts w:cstheme="minorHAnsi"/>
        </w:rPr>
        <w:t xml:space="preserve">that employers provide a written notice to employees supplying their own respirators ensures </w:t>
      </w:r>
      <w:r w:rsidRPr="000B2FE5">
        <w:rPr>
          <w:rFonts w:cstheme="minorHAnsi"/>
        </w:rPr>
        <w:t xml:space="preserve">that employees </w:t>
      </w:r>
      <w:r>
        <w:rPr>
          <w:rFonts w:cstheme="minorHAnsi"/>
        </w:rPr>
        <w:t>are aware of both the benefits of respirator use as well as the need for proper respirator fit, handling, cleaning, and use.</w:t>
      </w:r>
      <w:r w:rsidRPr="000B2FE5">
        <w:rPr>
          <w:rFonts w:cstheme="minorHAnsi"/>
        </w:rPr>
        <w:t xml:space="preserve"> </w:t>
      </w:r>
    </w:p>
    <w:p w:rsidR="000B2FE5" w:rsidP="000B2FE5" w:rsidRDefault="000B2FE5" w14:paraId="2C28BE73" w14:textId="77777777">
      <w:pPr>
        <w:rPr>
          <w:rFonts w:cstheme="minorHAnsi"/>
        </w:rPr>
      </w:pPr>
    </w:p>
    <w:p w:rsidRPr="000B2FE5" w:rsidR="000B2FE5" w:rsidP="000B2FE5" w:rsidRDefault="000B2FE5" w14:paraId="7AFF0979" w14:textId="18124815">
      <w:pPr>
        <w:rPr>
          <w:rFonts w:cstheme="minorHAnsi"/>
        </w:rPr>
      </w:pPr>
      <w:r w:rsidRPr="000B2FE5">
        <w:rPr>
          <w:rFonts w:cstheme="minorHAnsi"/>
        </w:rPr>
        <w:t xml:space="preserve">OSHA takes no burden </w:t>
      </w:r>
      <w:r w:rsidR="00DA0410">
        <w:rPr>
          <w:rFonts w:cstheme="minorHAnsi"/>
        </w:rPr>
        <w:t>for</w:t>
      </w:r>
      <w:r w:rsidRPr="000B2FE5" w:rsidR="00DA0410">
        <w:rPr>
          <w:rFonts w:cstheme="minorHAnsi"/>
        </w:rPr>
        <w:t xml:space="preserve"> </w:t>
      </w:r>
      <w:r w:rsidRPr="000B2FE5">
        <w:rPr>
          <w:rFonts w:cstheme="minorHAnsi"/>
        </w:rPr>
        <w:t xml:space="preserve">this requirement </w:t>
      </w:r>
      <w:r w:rsidR="00DA0410">
        <w:rPr>
          <w:rFonts w:cstheme="minorHAnsi"/>
        </w:rPr>
        <w:t>u</w:t>
      </w:r>
      <w:r w:rsidRPr="000B2FE5" w:rsidR="00DA0410">
        <w:rPr>
          <w:rFonts w:cstheme="minorHAnsi"/>
        </w:rPr>
        <w:t xml:space="preserve">nder </w:t>
      </w:r>
      <w:r w:rsidRPr="000B2FE5">
        <w:rPr>
          <w:rFonts w:cstheme="minorHAnsi"/>
        </w:rPr>
        <w:t>PRA</w:t>
      </w:r>
      <w:r w:rsidR="00DA0410">
        <w:rPr>
          <w:rFonts w:cstheme="minorHAnsi"/>
        </w:rPr>
        <w:t xml:space="preserve"> because the agency is providing the text of the required notice. I</w:t>
      </w:r>
      <w:r w:rsidRPr="000B2FE5">
        <w:rPr>
          <w:rFonts w:cstheme="minorHAnsi"/>
        </w:rPr>
        <w:t xml:space="preserve">nformation originally supplied by the Federal government to the employer for the purpose of disclosure to the public is not considered to be a collection of information (5 CFR 1320.3(c)(2)).  </w:t>
      </w:r>
    </w:p>
    <w:p w:rsidR="000B2FE5" w:rsidP="008B2BB0" w:rsidRDefault="000B2FE5" w14:paraId="040740CB" w14:textId="5F0014D8">
      <w:pPr>
        <w:rPr>
          <w:rFonts w:cstheme="minorHAnsi"/>
        </w:rPr>
      </w:pPr>
    </w:p>
    <w:p w:rsidR="00E35242" w:rsidP="00E35242" w:rsidRDefault="00E35242" w14:paraId="12F4A201" w14:textId="77777777">
      <w:pPr>
        <w:pStyle w:val="Heading2"/>
        <w:ind w:left="0" w:firstLine="0"/>
        <w:rPr>
          <w:sz w:val="22"/>
          <w:szCs w:val="22"/>
          <w:lang w:val="x-none"/>
        </w:rPr>
      </w:pPr>
      <w:r>
        <w:rPr>
          <w:sz w:val="22"/>
          <w:szCs w:val="22"/>
          <w:lang w:val="x-none"/>
        </w:rPr>
        <w:t>Describe whether, and to what extent, the collection of information involves the use of automated, electronic, mechanical, or other technological collection techniques or other forms of information technology, e.g., permitting electronic submission of responses, and</w:t>
      </w:r>
      <w:r>
        <w:rPr>
          <w:lang w:val="x-none"/>
        </w:rPr>
        <w:t xml:space="preserve"> the basis for the </w:t>
      </w:r>
      <w:r>
        <w:rPr>
          <w:sz w:val="22"/>
          <w:szCs w:val="22"/>
          <w:lang w:val="x-none"/>
        </w:rPr>
        <w:t>decision for adopting this means of collection.  Also, describe any consideration of using information technology to reduce the burden.</w:t>
      </w:r>
    </w:p>
    <w:p w:rsidR="00E35242" w:rsidP="00E35242" w:rsidRDefault="001B2E41" w14:paraId="4DF7B6FC" w14:textId="6A55B115">
      <w:pPr>
        <w:pStyle w:val="BodyTextFirstIndent"/>
        <w:ind w:firstLine="0"/>
        <w:rPr>
          <w:sz w:val="24"/>
          <w:szCs w:val="24"/>
          <w:lang w:val="x-none"/>
        </w:rPr>
      </w:pPr>
      <w:r>
        <w:rPr>
          <w:sz w:val="24"/>
          <w:szCs w:val="24"/>
        </w:rPr>
        <w:t>For most of the paperwork requirements</w:t>
      </w:r>
      <w:r w:rsidR="00B20A68">
        <w:rPr>
          <w:sz w:val="24"/>
          <w:szCs w:val="24"/>
        </w:rPr>
        <w:t xml:space="preserve"> in the ETS</w:t>
      </w:r>
      <w:r>
        <w:rPr>
          <w:sz w:val="24"/>
          <w:szCs w:val="24"/>
        </w:rPr>
        <w:t>, t</w:t>
      </w:r>
      <w:r w:rsidR="00E35242">
        <w:rPr>
          <w:sz w:val="24"/>
          <w:szCs w:val="24"/>
          <w:lang w:val="x-none"/>
        </w:rPr>
        <w:t xml:space="preserve">he Agency wrote the requirements in performance-oriented language, i.e., in terms of </w:t>
      </w:r>
      <w:r w:rsidR="00E35242">
        <w:rPr>
          <w:sz w:val="24"/>
          <w:szCs w:val="24"/>
          <w:u w:val="single"/>
          <w:lang w:val="x-none"/>
        </w:rPr>
        <w:t>what</w:t>
      </w:r>
      <w:r w:rsidR="00E35242">
        <w:rPr>
          <w:sz w:val="24"/>
          <w:szCs w:val="24"/>
          <w:lang w:val="x-none"/>
        </w:rPr>
        <w:t xml:space="preserve"> data to collect, not </w:t>
      </w:r>
      <w:r w:rsidR="00E35242">
        <w:rPr>
          <w:sz w:val="24"/>
          <w:szCs w:val="24"/>
          <w:u w:val="single"/>
          <w:lang w:val="x-none"/>
        </w:rPr>
        <w:t>how</w:t>
      </w:r>
      <w:r w:rsidR="00E35242">
        <w:rPr>
          <w:sz w:val="24"/>
          <w:szCs w:val="24"/>
          <w:lang w:val="x-none"/>
        </w:rPr>
        <w:t xml:space="preserve"> to record the data. </w:t>
      </w:r>
      <w:r>
        <w:rPr>
          <w:sz w:val="24"/>
          <w:szCs w:val="24"/>
        </w:rPr>
        <w:t xml:space="preserve">So long as the records are maintained in a manner consistent with federal and state privacy requirements and made available to employees, their representatives, and OSHA in accordance with the ETS’s availability of records provisions, the employer </w:t>
      </w:r>
      <w:r w:rsidRPr="001B2E41">
        <w:rPr>
          <w:sz w:val="24"/>
          <w:szCs w:val="24"/>
          <w:lang w:val="x-none"/>
        </w:rPr>
        <w:t>may use improved information technology when establishing and maintaining the required records. </w:t>
      </w:r>
    </w:p>
    <w:p w:rsidRPr="001B2E41" w:rsidR="001B2E41" w:rsidP="00E35242" w:rsidRDefault="00806FFC" w14:paraId="14F95103" w14:textId="53846BDC">
      <w:pPr>
        <w:pStyle w:val="BodyTextFirstIndent"/>
        <w:ind w:firstLine="0"/>
        <w:rPr>
          <w:sz w:val="24"/>
          <w:szCs w:val="24"/>
        </w:rPr>
      </w:pPr>
      <w:r>
        <w:rPr>
          <w:sz w:val="24"/>
          <w:szCs w:val="24"/>
        </w:rPr>
        <w:t xml:space="preserve">For the requirement that employers report work-related COVID-19 fatalities and hospitalization to OSHA, employers must follow the requirements in 29 CFR 1904.39. That provision allows employers to report to OSHA by telephone or by </w:t>
      </w:r>
      <w:r w:rsidRPr="00806FFC">
        <w:rPr>
          <w:sz w:val="24"/>
          <w:szCs w:val="24"/>
        </w:rPr>
        <w:t xml:space="preserve">electronic submission using </w:t>
      </w:r>
      <w:r>
        <w:rPr>
          <w:sz w:val="24"/>
          <w:szCs w:val="24"/>
        </w:rPr>
        <w:t>a</w:t>
      </w:r>
      <w:r w:rsidRPr="00806FFC">
        <w:rPr>
          <w:sz w:val="24"/>
          <w:szCs w:val="24"/>
        </w:rPr>
        <w:t xml:space="preserve"> reporting applic</w:t>
      </w:r>
      <w:r>
        <w:rPr>
          <w:sz w:val="24"/>
          <w:szCs w:val="24"/>
        </w:rPr>
        <w:t>ation located on OSHA's public w</w:t>
      </w:r>
      <w:r w:rsidRPr="00806FFC">
        <w:rPr>
          <w:sz w:val="24"/>
          <w:szCs w:val="24"/>
        </w:rPr>
        <w:t>ebsite</w:t>
      </w:r>
      <w:r w:rsidR="00162270">
        <w:rPr>
          <w:sz w:val="24"/>
          <w:szCs w:val="24"/>
        </w:rPr>
        <w:t xml:space="preserve"> (</w:t>
      </w:r>
      <w:r w:rsidRPr="00135D71" w:rsidR="00135D71">
        <w:rPr>
          <w:sz w:val="24"/>
          <w:szCs w:val="24"/>
        </w:rPr>
        <w:t>Recordkeeping and Reporting Occupational Injuries and Illnesses (29 CFR Part 1904)</w:t>
      </w:r>
      <w:r w:rsidR="00DC4805">
        <w:rPr>
          <w:sz w:val="24"/>
          <w:szCs w:val="24"/>
        </w:rPr>
        <w:t xml:space="preserve">, </w:t>
      </w:r>
      <w:r w:rsidR="00162270">
        <w:rPr>
          <w:sz w:val="24"/>
          <w:szCs w:val="24"/>
        </w:rPr>
        <w:t>OMB Control No. 1218-0176)</w:t>
      </w:r>
      <w:r w:rsidR="00135D71">
        <w:rPr>
          <w:sz w:val="24"/>
          <w:szCs w:val="24"/>
        </w:rPr>
        <w:t xml:space="preserve"> Exp. Date 3/31/2022.</w:t>
      </w:r>
    </w:p>
    <w:p w:rsidR="00E35242" w:rsidP="00E35242" w:rsidRDefault="00E35242" w14:paraId="3333CB59" w14:textId="77777777">
      <w:pPr>
        <w:pStyle w:val="Heading2"/>
        <w:ind w:left="0" w:firstLine="0"/>
        <w:rPr>
          <w:sz w:val="22"/>
          <w:szCs w:val="22"/>
          <w:lang w:val="x-none"/>
        </w:rPr>
      </w:pPr>
      <w:r>
        <w:rPr>
          <w:sz w:val="22"/>
          <w:szCs w:val="22"/>
          <w:lang w:val="x-none"/>
        </w:rPr>
        <w:t>Describe efforts to identify duplication.  Show specifically why any similar information already available cannot be used or modified for use of the purposes described in Item 2 above.</w:t>
      </w:r>
    </w:p>
    <w:p w:rsidR="00E35242" w:rsidP="00E35242" w:rsidRDefault="00E35242" w14:paraId="650CDB17" w14:textId="521B0499">
      <w:pPr>
        <w:pStyle w:val="BodyTextFirstIndent"/>
        <w:ind w:firstLine="0"/>
        <w:rPr>
          <w:sz w:val="24"/>
          <w:szCs w:val="24"/>
          <w:lang w:val="x-none"/>
        </w:rPr>
      </w:pPr>
      <w:r>
        <w:rPr>
          <w:sz w:val="24"/>
          <w:szCs w:val="24"/>
          <w:lang w:val="x-none"/>
        </w:rPr>
        <w:t xml:space="preserve">The information collection requirements of the </w:t>
      </w:r>
      <w:r w:rsidR="007F28AC">
        <w:rPr>
          <w:sz w:val="24"/>
          <w:szCs w:val="24"/>
        </w:rPr>
        <w:t>ETS</w:t>
      </w:r>
      <w:r w:rsidR="00BF3415">
        <w:rPr>
          <w:sz w:val="24"/>
          <w:szCs w:val="24"/>
          <w:lang w:val="x-none"/>
        </w:rPr>
        <w:t xml:space="preserve"> </w:t>
      </w:r>
      <w:r>
        <w:rPr>
          <w:sz w:val="24"/>
          <w:szCs w:val="24"/>
          <w:lang w:val="x-none"/>
        </w:rPr>
        <w:t xml:space="preserve">are specific to each employer and worker involved, and no other source or agency duplicates these requirements or can make the required information available to the Agency (i.e., the required information is available only from employers). </w:t>
      </w:r>
    </w:p>
    <w:p w:rsidRPr="00313268" w:rsidR="00B05A83" w:rsidP="00B05A83" w:rsidRDefault="00E35242" w14:paraId="393DDF51" w14:textId="77777777">
      <w:pPr>
        <w:pStyle w:val="Heading2"/>
        <w:ind w:left="0" w:firstLine="0"/>
        <w:rPr>
          <w:sz w:val="22"/>
          <w:szCs w:val="22"/>
          <w:lang w:val="x-none"/>
        </w:rPr>
      </w:pPr>
      <w:r w:rsidRPr="00313268">
        <w:rPr>
          <w:sz w:val="22"/>
          <w:szCs w:val="22"/>
          <w:lang w:val="x-none"/>
        </w:rPr>
        <w:t>If the collection of information impacts small businesses or other small entities, describe any methods used to minimize burden.</w:t>
      </w:r>
    </w:p>
    <w:p w:rsidR="005505AB" w:rsidP="005505AB" w:rsidRDefault="005505AB" w14:paraId="272A330C" w14:textId="1A2AB1D0">
      <w:r>
        <w:t xml:space="preserve">Although OSHA has determined that the ETS is not subject to the requirement of the Regulatory Flexibility Act to prepare an initial regulatory flexibility analysis, the agency has nevertheless examined the impact of the ETS on small and very small entities as part of OSHA’s analysis of feasibility. OSHA has determined that the information collection requirements of the ETS do not have a significant impact on a substantial number of small entities.  </w:t>
      </w:r>
    </w:p>
    <w:p w:rsidR="005505AB" w:rsidP="005505AB" w:rsidRDefault="005505AB" w14:paraId="18F50E68" w14:textId="77777777"/>
    <w:p w:rsidR="000D278C" w:rsidP="000D278C" w:rsidRDefault="005505AB" w14:paraId="019B3CCE" w14:textId="0AECBF61">
      <w:r>
        <w:t>Even so, OSHA has included provisions in the ETS to minimize the burden on small employers. Employers with 10 or fewer employees are not required to maintain their COVID-19 plan in writing. Similarly, the ETS exempts employers with 10 or fewer employers from the standard’s recordkeeping requirements</w:t>
      </w:r>
      <w:r w:rsidR="003901EB">
        <w:t>.</w:t>
      </w:r>
    </w:p>
    <w:p w:rsidRPr="00237440" w:rsidR="00A372CB" w:rsidP="000D278C" w:rsidRDefault="00A372CB" w14:paraId="37769D9E" w14:textId="77777777"/>
    <w:p w:rsidR="00E35242" w:rsidP="00E35242" w:rsidRDefault="00E35242" w14:paraId="7F3CCEBA" w14:textId="77777777">
      <w:pPr>
        <w:pStyle w:val="Heading2"/>
        <w:ind w:left="0" w:firstLine="0"/>
        <w:rPr>
          <w:sz w:val="22"/>
          <w:szCs w:val="22"/>
          <w:lang w:val="x-none"/>
        </w:rPr>
      </w:pPr>
      <w:r>
        <w:rPr>
          <w:sz w:val="22"/>
          <w:szCs w:val="22"/>
          <w:lang w:val="x-none"/>
        </w:rPr>
        <w:t>Describe the consequences to Federal program or policy activities if the collection is not conducted or is conducted less frequently, as well as any technical or legal obstacles to reducing burden.</w:t>
      </w:r>
    </w:p>
    <w:p w:rsidR="00E35242" w:rsidP="00E35242" w:rsidRDefault="00E35242" w14:paraId="5AD3A5D0" w14:textId="6628BE23">
      <w:pPr>
        <w:pStyle w:val="BodyTextFirstIndent"/>
        <w:ind w:firstLine="0"/>
        <w:rPr>
          <w:sz w:val="24"/>
          <w:szCs w:val="24"/>
        </w:rPr>
      </w:pPr>
      <w:r>
        <w:rPr>
          <w:sz w:val="24"/>
          <w:szCs w:val="24"/>
          <w:lang w:val="x-none"/>
        </w:rPr>
        <w:t>The information collection frequencies specified by the</w:t>
      </w:r>
      <w:r w:rsidR="00134257">
        <w:rPr>
          <w:sz w:val="24"/>
          <w:szCs w:val="24"/>
        </w:rPr>
        <w:t xml:space="preserve"> ETS</w:t>
      </w:r>
      <w:r>
        <w:rPr>
          <w:sz w:val="24"/>
          <w:szCs w:val="24"/>
          <w:lang w:val="x-none"/>
        </w:rPr>
        <w:t xml:space="preserve"> are the minimum frequencies that the Agency believes are necessary to ensure that employers and OSHA can effectively monitor the exposure and health status of workers, thereby </w:t>
      </w:r>
      <w:r w:rsidR="00DE43C6">
        <w:rPr>
          <w:sz w:val="24"/>
          <w:szCs w:val="24"/>
        </w:rPr>
        <w:t xml:space="preserve">helping to </w:t>
      </w:r>
      <w:r>
        <w:rPr>
          <w:sz w:val="24"/>
          <w:szCs w:val="24"/>
          <w:lang w:val="x-none"/>
        </w:rPr>
        <w:t xml:space="preserve">prevent serious illness or death resulting from hazardous </w:t>
      </w:r>
      <w:r w:rsidR="00DE43C6">
        <w:rPr>
          <w:sz w:val="24"/>
          <w:szCs w:val="24"/>
        </w:rPr>
        <w:t xml:space="preserve">occupational </w:t>
      </w:r>
      <w:r>
        <w:rPr>
          <w:sz w:val="24"/>
          <w:szCs w:val="24"/>
          <w:lang w:val="x-none"/>
        </w:rPr>
        <w:t>exposure</w:t>
      </w:r>
      <w:r w:rsidR="00DE43C6">
        <w:rPr>
          <w:sz w:val="24"/>
          <w:szCs w:val="24"/>
        </w:rPr>
        <w:t>s</w:t>
      </w:r>
      <w:r w:rsidR="00134257">
        <w:rPr>
          <w:sz w:val="24"/>
          <w:szCs w:val="24"/>
        </w:rPr>
        <w:t xml:space="preserve"> to COVID-19</w:t>
      </w:r>
      <w:r>
        <w:rPr>
          <w:sz w:val="24"/>
          <w:szCs w:val="24"/>
          <w:lang w:val="x-none"/>
        </w:rPr>
        <w:t xml:space="preserve">. </w:t>
      </w:r>
    </w:p>
    <w:p w:rsidR="00E35242" w:rsidP="00E35242" w:rsidRDefault="00E35242" w14:paraId="048CFA4D" w14:textId="77777777">
      <w:pPr>
        <w:pStyle w:val="Heading2"/>
        <w:ind w:left="0" w:firstLine="0"/>
        <w:rPr>
          <w:sz w:val="22"/>
          <w:szCs w:val="22"/>
          <w:lang w:val="x-none"/>
        </w:rPr>
      </w:pPr>
      <w:r>
        <w:rPr>
          <w:sz w:val="22"/>
          <w:szCs w:val="22"/>
          <w:lang w:val="x-none"/>
        </w:rPr>
        <w:t>Explain any special circumstances that would cause an information collection to be conducted in a manner:</w:t>
      </w:r>
    </w:p>
    <w:p w:rsidR="00E35242" w:rsidP="00E35242" w:rsidRDefault="00E35242" w14:paraId="2F6B185E" w14:textId="77777777">
      <w:pPr>
        <w:ind w:left="288"/>
        <w:rPr>
          <w:b/>
          <w:bCs/>
          <w:sz w:val="22"/>
          <w:szCs w:val="22"/>
        </w:rPr>
      </w:pPr>
      <w:r>
        <w:rPr>
          <w:sz w:val="22"/>
          <w:szCs w:val="22"/>
        </w:rPr>
        <w:t xml:space="preserve">·  </w:t>
      </w:r>
      <w:r>
        <w:rPr>
          <w:b/>
          <w:bCs/>
          <w:sz w:val="22"/>
          <w:szCs w:val="22"/>
        </w:rPr>
        <w:t>Requiring respondents to report information to the agency more often than quarterly;</w:t>
      </w:r>
    </w:p>
    <w:p w:rsidR="00E35242" w:rsidP="00E35242" w:rsidRDefault="00E35242" w14:paraId="3A92910F" w14:textId="77777777">
      <w:pPr>
        <w:rPr>
          <w:b/>
          <w:bCs/>
          <w:sz w:val="22"/>
          <w:szCs w:val="22"/>
        </w:rPr>
      </w:pPr>
    </w:p>
    <w:p w:rsidR="00E35242" w:rsidP="00E35242" w:rsidRDefault="00E35242" w14:paraId="23D3CE28" w14:textId="77777777">
      <w:pPr>
        <w:ind w:left="450" w:hanging="162"/>
        <w:rPr>
          <w:b/>
          <w:bCs/>
          <w:sz w:val="22"/>
          <w:szCs w:val="22"/>
        </w:rPr>
      </w:pPr>
      <w:r>
        <w:rPr>
          <w:sz w:val="22"/>
          <w:szCs w:val="22"/>
        </w:rPr>
        <w:t xml:space="preserve">·  </w:t>
      </w:r>
      <w:r>
        <w:rPr>
          <w:b/>
          <w:bCs/>
          <w:sz w:val="22"/>
          <w:szCs w:val="22"/>
        </w:rPr>
        <w:t>Requiring respondents to prepare a written response to a collection of information in fewer than 30 days after receipt of it;</w:t>
      </w:r>
    </w:p>
    <w:p w:rsidR="00E35242" w:rsidP="00E35242" w:rsidRDefault="00E35242" w14:paraId="0F98A8FB" w14:textId="77777777">
      <w:pPr>
        <w:rPr>
          <w:b/>
          <w:bCs/>
          <w:sz w:val="22"/>
          <w:szCs w:val="22"/>
        </w:rPr>
      </w:pPr>
    </w:p>
    <w:p w:rsidR="00E35242" w:rsidP="00E35242" w:rsidRDefault="00E35242" w14:paraId="6E974D7E" w14:textId="77777777">
      <w:pPr>
        <w:ind w:left="288"/>
        <w:rPr>
          <w:b/>
          <w:bCs/>
          <w:sz w:val="22"/>
          <w:szCs w:val="22"/>
        </w:rPr>
      </w:pPr>
      <w:r>
        <w:rPr>
          <w:sz w:val="22"/>
          <w:szCs w:val="22"/>
        </w:rPr>
        <w:t xml:space="preserve">·  </w:t>
      </w:r>
      <w:r>
        <w:rPr>
          <w:b/>
          <w:bCs/>
          <w:sz w:val="22"/>
          <w:szCs w:val="22"/>
        </w:rPr>
        <w:t>Requiring respondents to submit more than an original and two copies of any</w:t>
      </w:r>
    </w:p>
    <w:p w:rsidR="00E35242" w:rsidP="00E35242" w:rsidRDefault="00E35242" w14:paraId="3D84D056" w14:textId="77777777">
      <w:pPr>
        <w:ind w:left="288"/>
        <w:rPr>
          <w:b/>
          <w:bCs/>
          <w:sz w:val="22"/>
          <w:szCs w:val="22"/>
        </w:rPr>
      </w:pPr>
      <w:r>
        <w:rPr>
          <w:b/>
          <w:bCs/>
          <w:sz w:val="22"/>
          <w:szCs w:val="22"/>
        </w:rPr>
        <w:t>   document;</w:t>
      </w:r>
    </w:p>
    <w:p w:rsidR="00E35242" w:rsidP="00E35242" w:rsidRDefault="00E35242" w14:paraId="2B394CEF" w14:textId="77777777">
      <w:pPr>
        <w:rPr>
          <w:b/>
          <w:bCs/>
          <w:sz w:val="22"/>
          <w:szCs w:val="22"/>
        </w:rPr>
      </w:pPr>
    </w:p>
    <w:p w:rsidR="00E35242" w:rsidP="00E35242" w:rsidRDefault="00E35242" w14:paraId="5049308F" w14:textId="77777777">
      <w:pPr>
        <w:ind w:left="432" w:hanging="144"/>
        <w:rPr>
          <w:b/>
          <w:bCs/>
          <w:sz w:val="22"/>
          <w:szCs w:val="22"/>
        </w:rPr>
      </w:pPr>
      <w:r>
        <w:rPr>
          <w:sz w:val="22"/>
          <w:szCs w:val="22"/>
        </w:rPr>
        <w:t xml:space="preserve">·  </w:t>
      </w:r>
      <w:r>
        <w:rPr>
          <w:b/>
          <w:bCs/>
          <w:sz w:val="22"/>
          <w:szCs w:val="22"/>
        </w:rPr>
        <w:t>Requiring respondents to retain records, other than health, medical, government contract, grant-in-aid, or tax records, for more than three years;</w:t>
      </w:r>
    </w:p>
    <w:p w:rsidR="00E35242" w:rsidP="00E35242" w:rsidRDefault="00E35242" w14:paraId="22D8BF95" w14:textId="77777777">
      <w:pPr>
        <w:rPr>
          <w:b/>
          <w:bCs/>
          <w:sz w:val="22"/>
          <w:szCs w:val="22"/>
        </w:rPr>
      </w:pPr>
    </w:p>
    <w:p w:rsidR="00E35242" w:rsidP="00E35242" w:rsidRDefault="00E35242" w14:paraId="703A849A" w14:textId="77777777">
      <w:pPr>
        <w:ind w:left="432" w:hanging="144"/>
        <w:rPr>
          <w:b/>
          <w:bCs/>
          <w:sz w:val="22"/>
          <w:szCs w:val="22"/>
        </w:rPr>
      </w:pPr>
      <w:r>
        <w:rPr>
          <w:sz w:val="22"/>
          <w:szCs w:val="22"/>
        </w:rPr>
        <w:t xml:space="preserve">·  </w:t>
      </w:r>
      <w:r>
        <w:rPr>
          <w:b/>
          <w:bCs/>
          <w:sz w:val="22"/>
          <w:szCs w:val="22"/>
        </w:rPr>
        <w:t>In connection with a statistical survey, that is not designed to produce valid and reliable results that can be generalized to the universe of study;</w:t>
      </w:r>
    </w:p>
    <w:p w:rsidR="00E35242" w:rsidP="00E35242" w:rsidRDefault="00E35242" w14:paraId="0FFE011C" w14:textId="77777777">
      <w:pPr>
        <w:ind w:left="720"/>
        <w:rPr>
          <w:b/>
          <w:bCs/>
          <w:sz w:val="22"/>
          <w:szCs w:val="22"/>
        </w:rPr>
      </w:pPr>
    </w:p>
    <w:p w:rsidR="00E35242" w:rsidP="00E35242" w:rsidRDefault="00E35242" w14:paraId="1E7D37B6" w14:textId="77777777">
      <w:pPr>
        <w:ind w:left="432" w:hanging="144"/>
        <w:rPr>
          <w:b/>
          <w:bCs/>
          <w:sz w:val="22"/>
          <w:szCs w:val="22"/>
        </w:rPr>
      </w:pPr>
      <w:r>
        <w:rPr>
          <w:sz w:val="22"/>
          <w:szCs w:val="22"/>
        </w:rPr>
        <w:t xml:space="preserve">·  </w:t>
      </w:r>
      <w:r>
        <w:rPr>
          <w:b/>
          <w:bCs/>
          <w:sz w:val="22"/>
          <w:szCs w:val="22"/>
        </w:rPr>
        <w:t>Requiring the use of a statistical data classification that has not been approved by OMB;</w:t>
      </w:r>
    </w:p>
    <w:p w:rsidR="00E35242" w:rsidP="00E35242" w:rsidRDefault="00E35242" w14:paraId="44CEFEDC" w14:textId="77777777">
      <w:pPr>
        <w:ind w:left="432" w:hanging="144"/>
        <w:rPr>
          <w:b/>
          <w:bCs/>
          <w:sz w:val="22"/>
          <w:szCs w:val="22"/>
        </w:rPr>
      </w:pPr>
    </w:p>
    <w:p w:rsidR="00E35242" w:rsidP="00E35242" w:rsidRDefault="00E35242" w14:paraId="54140B2C" w14:textId="77777777">
      <w:pPr>
        <w:ind w:left="432" w:hanging="144"/>
        <w:rPr>
          <w:b/>
          <w:bCs/>
          <w:sz w:val="22"/>
          <w:szCs w:val="22"/>
        </w:rPr>
      </w:pPr>
      <w:r>
        <w:rPr>
          <w:sz w:val="22"/>
          <w:szCs w:val="22"/>
        </w:rPr>
        <w:t>·</w:t>
      </w:r>
      <w:r>
        <w:rPr>
          <w:b/>
          <w:bCs/>
          <w:sz w:val="22"/>
          <w:szCs w:val="22"/>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35242" w:rsidP="00E35242" w:rsidRDefault="00E35242" w14:paraId="1FFD7B3E" w14:textId="77777777">
      <w:pPr>
        <w:rPr>
          <w:b/>
          <w:bCs/>
          <w:sz w:val="22"/>
          <w:szCs w:val="22"/>
        </w:rPr>
      </w:pPr>
    </w:p>
    <w:p w:rsidR="00E35242" w:rsidP="00E35242" w:rsidRDefault="00E35242" w14:paraId="5A6DAE59" w14:textId="77777777">
      <w:pPr>
        <w:ind w:left="432" w:hanging="144"/>
        <w:rPr>
          <w:b/>
          <w:bCs/>
          <w:sz w:val="22"/>
          <w:szCs w:val="22"/>
        </w:rPr>
      </w:pPr>
      <w:r>
        <w:rPr>
          <w:sz w:val="22"/>
          <w:szCs w:val="22"/>
        </w:rPr>
        <w:t xml:space="preserve">·  </w:t>
      </w:r>
      <w:r>
        <w:rPr>
          <w:b/>
          <w:bCs/>
          <w:sz w:val="22"/>
          <w:szCs w:val="22"/>
        </w:rPr>
        <w:t>Requiring respondents to submit proprietary trade secret, or other confidential information unless the agency can demonstrate that it has instituted procedures to protect the information's confidentiality to the extent permitted by law.</w:t>
      </w:r>
    </w:p>
    <w:p w:rsidR="00E35242" w:rsidP="00E35242" w:rsidRDefault="00E35242" w14:paraId="3CC66858" w14:textId="5C666A30">
      <w:pPr>
        <w:ind w:left="432" w:hanging="144"/>
        <w:rPr>
          <w:b/>
          <w:bCs/>
          <w:sz w:val="22"/>
          <w:szCs w:val="22"/>
        </w:rPr>
      </w:pPr>
    </w:p>
    <w:p w:rsidRPr="00722CB0" w:rsidR="00BD0FA1" w:rsidP="00BD0FA1" w:rsidRDefault="00BD0FA1" w14:paraId="113E8573" w14:textId="616FED66">
      <w:r w:rsidRPr="00722CB0">
        <w:t>Under § 1910.502(r)(</w:t>
      </w:r>
      <w:r w:rsidR="00B52510">
        <w:t>1</w:t>
      </w:r>
      <w:r w:rsidRPr="00722CB0">
        <w:t xml:space="preserve">), the employer must report </w:t>
      </w:r>
      <w:r w:rsidR="008A395D">
        <w:t>e</w:t>
      </w:r>
      <w:r w:rsidRPr="008A395D" w:rsidR="008A395D">
        <w:t>ach work-related COVID-19 fatality within 8 hours of the emplo</w:t>
      </w:r>
      <w:r w:rsidR="008A395D">
        <w:t>yer learning about the fatality</w:t>
      </w:r>
      <w:r w:rsidR="00350B06">
        <w:t xml:space="preserve"> and </w:t>
      </w:r>
      <w:r w:rsidR="008A395D">
        <w:t>e</w:t>
      </w:r>
      <w:r w:rsidRPr="008A395D" w:rsidR="008A395D">
        <w:t>ach work-related COVID-19 in-patient hospitalization within 24 hours of the employer learning about the in-patient hospitalization.</w:t>
      </w:r>
      <w:r w:rsidRPr="00722CB0">
        <w:t>.</w:t>
      </w:r>
    </w:p>
    <w:p w:rsidRPr="000F459E" w:rsidR="000F459E" w:rsidP="00722CB0" w:rsidRDefault="000F459E" w14:paraId="1A5D5F9D" w14:textId="1041344B">
      <w:pPr>
        <w:ind w:left="432" w:hanging="144"/>
        <w:rPr>
          <w:bCs/>
        </w:rPr>
      </w:pPr>
    </w:p>
    <w:p w:rsidRPr="007D1B35" w:rsidR="00E35242" w:rsidP="00BD0FA1" w:rsidRDefault="00E35242" w14:paraId="1BD74041" w14:textId="77777777">
      <w:pPr>
        <w:pStyle w:val="Heading2"/>
        <w:ind w:left="0" w:firstLine="0"/>
      </w:pPr>
      <w:r w:rsidRPr="007D1B35">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7D1B35" w:rsidR="00E35242" w:rsidP="00E35242" w:rsidRDefault="00E35242" w14:paraId="2BC8B057" w14:textId="77777777">
      <w:pPr>
        <w:rPr>
          <w:b/>
          <w:bCs/>
        </w:rPr>
      </w:pPr>
      <w:r w:rsidRPr="007D1B35">
        <w:rPr>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7D1B35" w:rsidR="00E35242" w:rsidP="00E35242" w:rsidRDefault="00E35242" w14:paraId="4D21D252" w14:textId="77777777">
      <w:pPr>
        <w:rPr>
          <w:b/>
          <w:bCs/>
        </w:rPr>
      </w:pPr>
    </w:p>
    <w:p w:rsidRPr="007D1B35" w:rsidR="00E35242" w:rsidP="00E35242" w:rsidRDefault="00E35242" w14:paraId="258E7007" w14:textId="77777777">
      <w:pPr>
        <w:rPr>
          <w:b/>
          <w:bCs/>
        </w:rPr>
      </w:pPr>
      <w:r w:rsidRPr="007D1B35">
        <w:rPr>
          <w:b/>
          <w:bCs/>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E35242" w:rsidP="00E35242" w:rsidRDefault="00E35242" w14:paraId="646C8705" w14:textId="77777777"/>
    <w:p w:rsidRPr="0099138D" w:rsidR="007D1B35" w:rsidP="007D1B35" w:rsidRDefault="002F62D6" w14:paraId="41D8B1BF" w14:textId="3CF065BF">
      <w:pPr>
        <w:pStyle w:val="Heading2"/>
        <w:numPr>
          <w:ilvl w:val="0"/>
          <w:numId w:val="0"/>
        </w:numPr>
        <w:rPr>
          <w:b w:val="0"/>
        </w:rPr>
      </w:pPr>
      <w:r w:rsidRPr="007D1B35">
        <w:rPr>
          <w:rFonts w:cs="Shruti"/>
          <w:b w:val="0"/>
        </w:rPr>
        <w:t>OSHA</w:t>
      </w:r>
      <w:r w:rsidRPr="007D1B35" w:rsidR="005C6417">
        <w:rPr>
          <w:rFonts w:cs="Shruti"/>
          <w:b w:val="0"/>
        </w:rPr>
        <w:t xml:space="preserve"> is requesting an emergency clearance for this information collection</w:t>
      </w:r>
      <w:r w:rsidR="00221CA0">
        <w:rPr>
          <w:rFonts w:cs="Shruti"/>
          <w:b w:val="0"/>
        </w:rPr>
        <w:t xml:space="preserve"> pursuant to 5 CFR 1320.13</w:t>
      </w:r>
      <w:r w:rsidRPr="007D1B35" w:rsidR="005C6417">
        <w:rPr>
          <w:rFonts w:cs="Shruti"/>
          <w:b w:val="0"/>
        </w:rPr>
        <w:t xml:space="preserve">. As such, the </w:t>
      </w:r>
      <w:r w:rsidRPr="007D1B35">
        <w:rPr>
          <w:rFonts w:cs="Shruti"/>
          <w:b w:val="0"/>
        </w:rPr>
        <w:t>agency</w:t>
      </w:r>
      <w:r w:rsidRPr="007D1B35">
        <w:rPr>
          <w:b w:val="0"/>
        </w:rPr>
        <w:t xml:space="preserve"> is requesting </w:t>
      </w:r>
      <w:r w:rsidR="00A42BB3">
        <w:rPr>
          <w:b w:val="0"/>
        </w:rPr>
        <w:t>that OMB</w:t>
      </w:r>
      <w:r w:rsidRPr="007D1B35">
        <w:rPr>
          <w:b w:val="0"/>
        </w:rPr>
        <w:t xml:space="preserve"> </w:t>
      </w:r>
      <w:r w:rsidR="00A42BB3">
        <w:rPr>
          <w:b w:val="0"/>
        </w:rPr>
        <w:t xml:space="preserve">waive its normal </w:t>
      </w:r>
      <w:r w:rsidRPr="007D1B35">
        <w:rPr>
          <w:b w:val="0"/>
        </w:rPr>
        <w:t>clearance procedures for this ETS</w:t>
      </w:r>
      <w:r w:rsidR="00A42BB3">
        <w:rPr>
          <w:b w:val="0"/>
        </w:rPr>
        <w:t xml:space="preserve">, </w:t>
      </w:r>
      <w:r w:rsidR="00221CA0">
        <w:rPr>
          <w:b w:val="0"/>
        </w:rPr>
        <w:t xml:space="preserve">including the </w:t>
      </w:r>
      <w:r w:rsidRPr="00221CA0" w:rsidR="00221CA0">
        <w:rPr>
          <w:b w:val="0"/>
        </w:rPr>
        <w:t>Federal Register Notice requirements</w:t>
      </w:r>
      <w:r w:rsidRPr="00A42BB3" w:rsidR="00A42BB3">
        <w:rPr>
          <w:b w:val="0"/>
        </w:rPr>
        <w:t xml:space="preserve"> in 5 CFR 1320.</w:t>
      </w:r>
      <w:r w:rsidR="00221CA0">
        <w:rPr>
          <w:b w:val="0"/>
        </w:rPr>
        <w:t>8(d)</w:t>
      </w:r>
      <w:r w:rsidR="00A42BB3">
        <w:rPr>
          <w:b w:val="0"/>
        </w:rPr>
        <w:t>,</w:t>
      </w:r>
      <w:r w:rsidRPr="007D1B35">
        <w:rPr>
          <w:b w:val="0"/>
        </w:rPr>
        <w:t xml:space="preserve"> because </w:t>
      </w:r>
      <w:r w:rsidRPr="00221CA0" w:rsidR="00221CA0">
        <w:rPr>
          <w:rFonts w:eastAsia="Times New Roman"/>
          <w:b w:val="0"/>
          <w:bCs w:val="0"/>
          <w:lang w:eastAsia="en-US"/>
        </w:rPr>
        <w:t xml:space="preserve">this collection of information is essential to OSHA’s mission </w:t>
      </w:r>
      <w:r w:rsidR="00BA7AD7">
        <w:rPr>
          <w:rFonts w:eastAsia="Times New Roman"/>
          <w:b w:val="0"/>
          <w:bCs w:val="0"/>
          <w:lang w:eastAsia="en-US"/>
        </w:rPr>
        <w:t>to</w:t>
      </w:r>
      <w:r w:rsidRPr="00221CA0" w:rsidR="00221CA0">
        <w:rPr>
          <w:rFonts w:eastAsia="Times New Roman"/>
          <w:b w:val="0"/>
          <w:bCs w:val="0"/>
          <w:lang w:eastAsia="en-US"/>
        </w:rPr>
        <w:t xml:space="preserve"> protecting the health and safety of workers affected by the COVID-19 pandemic</w:t>
      </w:r>
      <w:r w:rsidRPr="007D1B35">
        <w:rPr>
          <w:b w:val="0"/>
        </w:rPr>
        <w:t xml:space="preserve"> and employee health will be harmed if this ETS is not issued in an expeditious manner.</w:t>
      </w:r>
      <w:r w:rsidR="00221CA0">
        <w:rPr>
          <w:b w:val="0"/>
        </w:rPr>
        <w:t xml:space="preserve"> </w:t>
      </w:r>
      <w:r w:rsidR="002D041B">
        <w:rPr>
          <w:b w:val="0"/>
        </w:rPr>
        <w:t xml:space="preserve">Although OSHA is requesting that OMB approve the </w:t>
      </w:r>
      <w:r w:rsidR="00EC1EBD">
        <w:rPr>
          <w:b w:val="0"/>
        </w:rPr>
        <w:t xml:space="preserve">information </w:t>
      </w:r>
      <w:r w:rsidR="002D041B">
        <w:rPr>
          <w:b w:val="0"/>
        </w:rPr>
        <w:t>collections</w:t>
      </w:r>
      <w:r w:rsidR="00EC1EBD">
        <w:rPr>
          <w:b w:val="0"/>
        </w:rPr>
        <w:t xml:space="preserve"> in this ICR</w:t>
      </w:r>
      <w:r w:rsidR="002D041B">
        <w:rPr>
          <w:b w:val="0"/>
        </w:rPr>
        <w:t xml:space="preserve"> on an emergency basis</w:t>
      </w:r>
      <w:r w:rsidR="00953856">
        <w:rPr>
          <w:b w:val="0"/>
        </w:rPr>
        <w:t xml:space="preserve"> and assign them a</w:t>
      </w:r>
      <w:r w:rsidR="00135D71">
        <w:rPr>
          <w:b w:val="0"/>
        </w:rPr>
        <w:t xml:space="preserve">n </w:t>
      </w:r>
      <w:r w:rsidR="00953856">
        <w:rPr>
          <w:b w:val="0"/>
        </w:rPr>
        <w:t>OMB control number</w:t>
      </w:r>
      <w:r w:rsidR="002D041B">
        <w:rPr>
          <w:b w:val="0"/>
        </w:rPr>
        <w:t>, OSHA is</w:t>
      </w:r>
      <w:r w:rsidR="00953856">
        <w:rPr>
          <w:b w:val="0"/>
        </w:rPr>
        <w:t xml:space="preserve"> nonetheless</w:t>
      </w:r>
      <w:r w:rsidR="002D041B">
        <w:rPr>
          <w:b w:val="0"/>
        </w:rPr>
        <w:t xml:space="preserve"> soliciting comments on this ICR for a period of 60 days following publication of the ETS</w:t>
      </w:r>
      <w:r w:rsidR="00EC1EBD">
        <w:rPr>
          <w:b w:val="0"/>
        </w:rPr>
        <w:t>. This request for comments is included in the interim final rule</w:t>
      </w:r>
      <w:r w:rsidR="005A38B0">
        <w:rPr>
          <w:b w:val="0"/>
        </w:rPr>
        <w:t xml:space="preserve"> published on June 21, 2021 (86 FR </w:t>
      </w:r>
      <w:bookmarkStart w:name="_GoBack" w:id="6"/>
      <w:bookmarkEnd w:id="6"/>
      <w:r w:rsidR="005A38B0">
        <w:rPr>
          <w:b w:val="0"/>
        </w:rPr>
        <w:t>32376)</w:t>
      </w:r>
      <w:r w:rsidR="00EC1EBD">
        <w:rPr>
          <w:b w:val="0"/>
        </w:rPr>
        <w:t>.</w:t>
      </w:r>
    </w:p>
    <w:p w:rsidR="00E35242" w:rsidP="00E35242" w:rsidRDefault="00E35242" w14:paraId="087281F3" w14:textId="647A45E8">
      <w:pPr>
        <w:pStyle w:val="Heading2"/>
        <w:ind w:left="0" w:firstLine="0"/>
        <w:rPr>
          <w:sz w:val="22"/>
          <w:szCs w:val="22"/>
          <w:lang w:val="x-none"/>
        </w:rPr>
      </w:pPr>
      <w:r>
        <w:rPr>
          <w:sz w:val="22"/>
          <w:szCs w:val="22"/>
          <w:lang w:val="x-none"/>
        </w:rPr>
        <w:t>Explain any decision to provide any payment or gift to respondents, other than remuneration of contractors or grantees.</w:t>
      </w:r>
    </w:p>
    <w:p w:rsidR="00E35242" w:rsidP="00E35242" w:rsidRDefault="00E35242" w14:paraId="2BF00C10" w14:textId="77777777">
      <w:pPr>
        <w:pStyle w:val="BodyTextFirstIndent"/>
        <w:ind w:firstLine="0"/>
        <w:rPr>
          <w:sz w:val="24"/>
          <w:szCs w:val="24"/>
          <w:lang w:val="x-none"/>
        </w:rPr>
      </w:pPr>
      <w:r>
        <w:rPr>
          <w:sz w:val="24"/>
          <w:szCs w:val="24"/>
          <w:lang w:val="x-none"/>
        </w:rPr>
        <w:t xml:space="preserve">The Agency will </w:t>
      </w:r>
      <w:r>
        <w:rPr>
          <w:sz w:val="24"/>
          <w:szCs w:val="24"/>
          <w:u w:val="single"/>
          <w:lang w:val="x-none"/>
        </w:rPr>
        <w:t>not</w:t>
      </w:r>
      <w:r>
        <w:rPr>
          <w:sz w:val="24"/>
          <w:szCs w:val="24"/>
          <w:lang w:val="x-none"/>
        </w:rPr>
        <w:t xml:space="preserve"> provide payments or gifts to the respondents.  </w:t>
      </w:r>
    </w:p>
    <w:p w:rsidR="00E35242" w:rsidP="00E35242" w:rsidRDefault="00E35242" w14:paraId="330B91E9" w14:textId="77777777">
      <w:pPr>
        <w:pStyle w:val="Heading2"/>
        <w:ind w:left="0" w:firstLine="0"/>
        <w:rPr>
          <w:sz w:val="22"/>
          <w:szCs w:val="22"/>
          <w:lang w:val="x-none"/>
        </w:rPr>
      </w:pPr>
      <w:r>
        <w:rPr>
          <w:sz w:val="22"/>
          <w:szCs w:val="22"/>
          <w:lang w:val="x-none"/>
        </w:rPr>
        <w:t>Describe any assurance of confidentiality provided to respondents and the basis for the assurance in statute, regulation, or agency policy.</w:t>
      </w:r>
    </w:p>
    <w:p w:rsidR="00E35242" w:rsidP="00E35242" w:rsidRDefault="00A16968" w14:paraId="5DE97827" w14:textId="7C4E63DA">
      <w:pPr>
        <w:pStyle w:val="BodyTextFirstIndent"/>
        <w:ind w:firstLine="0"/>
        <w:rPr>
          <w:sz w:val="24"/>
          <w:szCs w:val="24"/>
          <w:lang w:val="x-none"/>
        </w:rPr>
      </w:pPr>
      <w:r>
        <w:rPr>
          <w:sz w:val="24"/>
          <w:szCs w:val="24"/>
        </w:rPr>
        <w:t xml:space="preserve">The ETS contains </w:t>
      </w:r>
      <w:r w:rsidR="00E771DB">
        <w:rPr>
          <w:sz w:val="24"/>
          <w:szCs w:val="24"/>
        </w:rPr>
        <w:t xml:space="preserve">several </w:t>
      </w:r>
      <w:r>
        <w:rPr>
          <w:sz w:val="24"/>
          <w:szCs w:val="24"/>
        </w:rPr>
        <w:t xml:space="preserve">provisions </w:t>
      </w:r>
      <w:r w:rsidR="00722CB0">
        <w:rPr>
          <w:sz w:val="24"/>
          <w:szCs w:val="24"/>
        </w:rPr>
        <w:t xml:space="preserve">aimed at </w:t>
      </w:r>
      <w:r>
        <w:rPr>
          <w:sz w:val="24"/>
          <w:szCs w:val="24"/>
        </w:rPr>
        <w:t>maintain</w:t>
      </w:r>
      <w:r w:rsidR="00722CB0">
        <w:rPr>
          <w:sz w:val="24"/>
          <w:szCs w:val="24"/>
        </w:rPr>
        <w:t>ing</w:t>
      </w:r>
      <w:r>
        <w:rPr>
          <w:sz w:val="24"/>
          <w:szCs w:val="24"/>
        </w:rPr>
        <w:t xml:space="preserve"> employee privacy. These include the requirement that notifications of employee exposure to COVID-19 “</w:t>
      </w:r>
      <w:r w:rsidRPr="007A5E4A" w:rsidR="007A5E4A">
        <w:rPr>
          <w:sz w:val="24"/>
          <w:szCs w:val="24"/>
        </w:rPr>
        <w:t>must not include any employee’s name, contact information</w:t>
      </w:r>
      <w:r w:rsidR="008812A5">
        <w:rPr>
          <w:sz w:val="24"/>
          <w:szCs w:val="24"/>
        </w:rPr>
        <w:t xml:space="preserve"> (e.g., phone number, email address)</w:t>
      </w:r>
      <w:r w:rsidRPr="007A5E4A" w:rsidR="007A5E4A">
        <w:rPr>
          <w:sz w:val="24"/>
          <w:szCs w:val="24"/>
        </w:rPr>
        <w:t>, or occupation</w:t>
      </w:r>
      <w:r>
        <w:rPr>
          <w:sz w:val="24"/>
          <w:szCs w:val="24"/>
        </w:rPr>
        <w:t>”</w:t>
      </w:r>
      <w:r w:rsidR="00E771DB">
        <w:rPr>
          <w:sz w:val="24"/>
          <w:szCs w:val="24"/>
        </w:rPr>
        <w:t xml:space="preserve"> and the requirement that COVID-19 log </w:t>
      </w:r>
      <w:r w:rsidR="007A5E4A">
        <w:rPr>
          <w:sz w:val="24"/>
          <w:szCs w:val="24"/>
        </w:rPr>
        <w:t xml:space="preserve">must be maintained </w:t>
      </w:r>
      <w:r w:rsidRPr="007A5E4A" w:rsidR="007A5E4A">
        <w:rPr>
          <w:sz w:val="24"/>
          <w:szCs w:val="24"/>
        </w:rPr>
        <w:t>as though it is a confidential medical record and must not be disclosed except as required by this ETS or other federal law</w:t>
      </w:r>
      <w:r w:rsidR="007A5E4A">
        <w:rPr>
          <w:sz w:val="24"/>
          <w:szCs w:val="24"/>
        </w:rPr>
        <w:t>, including limiting access to an</w:t>
      </w:r>
      <w:r w:rsidRPr="007A5E4A" w:rsidR="007A5E4A">
        <w:rPr>
          <w:sz w:val="24"/>
          <w:szCs w:val="24"/>
        </w:rPr>
        <w:t xml:space="preserve"> individual COVID-19 log entry for a particular employee to that employee and to anyone having written authorized consent of that employee</w:t>
      </w:r>
      <w:r w:rsidR="007A5E4A">
        <w:rPr>
          <w:sz w:val="24"/>
          <w:szCs w:val="24"/>
        </w:rPr>
        <w:t>.</w:t>
      </w:r>
      <w:r w:rsidRPr="007A5E4A" w:rsidR="007A5E4A">
        <w:rPr>
          <w:sz w:val="24"/>
          <w:szCs w:val="24"/>
        </w:rPr>
        <w:t xml:space="preserve"> </w:t>
      </w:r>
      <w:r>
        <w:rPr>
          <w:sz w:val="24"/>
          <w:szCs w:val="24"/>
        </w:rPr>
        <w:t>In addition, OSHA</w:t>
      </w:r>
      <w:r w:rsidR="00E35242">
        <w:rPr>
          <w:sz w:val="24"/>
          <w:szCs w:val="24"/>
          <w:lang w:val="x-none"/>
        </w:rPr>
        <w:t xml:space="preserve"> </w:t>
      </w:r>
      <w:r>
        <w:rPr>
          <w:sz w:val="24"/>
          <w:szCs w:val="24"/>
        </w:rPr>
        <w:t xml:space="preserve">has </w:t>
      </w:r>
      <w:r w:rsidR="00E35242">
        <w:rPr>
          <w:sz w:val="24"/>
          <w:szCs w:val="24"/>
          <w:lang w:val="x-none"/>
        </w:rPr>
        <w:t xml:space="preserve">developed and implemented 29 CFR 1913.10 (“Rules of Agency Practice and Procedure Concerning OSHA Access to Employee Medical Records”) to regulate access to </w:t>
      </w:r>
      <w:r>
        <w:rPr>
          <w:sz w:val="24"/>
          <w:szCs w:val="24"/>
        </w:rPr>
        <w:t xml:space="preserve">employee medical </w:t>
      </w:r>
      <w:r w:rsidR="00E35242">
        <w:rPr>
          <w:sz w:val="24"/>
          <w:szCs w:val="24"/>
          <w:lang w:val="x-none"/>
        </w:rPr>
        <w:t xml:space="preserve">records. </w:t>
      </w:r>
    </w:p>
    <w:p w:rsidR="00E35242" w:rsidP="00E35242" w:rsidRDefault="00E35242" w14:paraId="60B34835" w14:textId="77777777">
      <w:pPr>
        <w:pStyle w:val="Heading2"/>
        <w:ind w:left="0" w:firstLine="0"/>
        <w:rPr>
          <w:sz w:val="22"/>
          <w:szCs w:val="22"/>
          <w:lang w:val="x-none"/>
        </w:rPr>
      </w:pPr>
      <w:r>
        <w:rPr>
          <w:sz w:val="22"/>
          <w:szCs w:val="22"/>
          <w:lang w:val="x-non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35242" w:rsidP="00E35242" w:rsidRDefault="00E35242" w14:paraId="58E60380" w14:textId="4E722592">
      <w:pPr>
        <w:pStyle w:val="BodyTextFirstIndent"/>
        <w:ind w:firstLine="0"/>
        <w:rPr>
          <w:sz w:val="24"/>
          <w:szCs w:val="24"/>
          <w:lang w:val="x-none"/>
        </w:rPr>
      </w:pPr>
      <w:r w:rsidRPr="00CB0BB0">
        <w:rPr>
          <w:sz w:val="24"/>
          <w:szCs w:val="24"/>
          <w:lang w:val="x-none"/>
        </w:rPr>
        <w:t xml:space="preserve">Perceived questions of a sensitive nature may be included in </w:t>
      </w:r>
      <w:r w:rsidRPr="001401D5" w:rsidR="00FC3529">
        <w:rPr>
          <w:sz w:val="24"/>
          <w:szCs w:val="24"/>
        </w:rPr>
        <w:t xml:space="preserve">diagnosing whether an employee is showing signs or symptoms of the coronavirus when </w:t>
      </w:r>
      <w:r w:rsidRPr="00CB0BB0">
        <w:rPr>
          <w:sz w:val="24"/>
          <w:szCs w:val="24"/>
          <w:lang w:val="x-none"/>
        </w:rPr>
        <w:t>medical question</w:t>
      </w:r>
      <w:r w:rsidRPr="00CB0BB0">
        <w:rPr>
          <w:sz w:val="24"/>
          <w:szCs w:val="24"/>
        </w:rPr>
        <w:t xml:space="preserve">s </w:t>
      </w:r>
      <w:r w:rsidRPr="001401D5" w:rsidR="00FC3529">
        <w:rPr>
          <w:sz w:val="24"/>
          <w:szCs w:val="24"/>
        </w:rPr>
        <w:t xml:space="preserve">are </w:t>
      </w:r>
      <w:r w:rsidRPr="00CB0BB0">
        <w:rPr>
          <w:sz w:val="24"/>
          <w:szCs w:val="24"/>
        </w:rPr>
        <w:t xml:space="preserve">posed </w:t>
      </w:r>
      <w:r w:rsidRPr="00CB0BB0">
        <w:rPr>
          <w:sz w:val="24"/>
          <w:szCs w:val="24"/>
          <w:lang w:val="x-none"/>
        </w:rPr>
        <w:t xml:space="preserve">to </w:t>
      </w:r>
      <w:r w:rsidRPr="00CB0BB0">
        <w:rPr>
          <w:sz w:val="24"/>
          <w:szCs w:val="24"/>
        </w:rPr>
        <w:t xml:space="preserve">properly diagnose the patient and make appropriate recommendations regarding further testing and the employee’s </w:t>
      </w:r>
      <w:r w:rsidRPr="00CB0BB0">
        <w:rPr>
          <w:sz w:val="24"/>
          <w:szCs w:val="24"/>
          <w:lang w:val="x-none"/>
        </w:rPr>
        <w:t>occupational exposure to</w:t>
      </w:r>
      <w:r w:rsidRPr="00CB0BB0">
        <w:rPr>
          <w:sz w:val="24"/>
          <w:szCs w:val="24"/>
        </w:rPr>
        <w:t xml:space="preserve"> </w:t>
      </w:r>
      <w:r w:rsidR="00531937">
        <w:rPr>
          <w:sz w:val="24"/>
          <w:szCs w:val="24"/>
        </w:rPr>
        <w:t>COVID-19</w:t>
      </w:r>
      <w:r w:rsidRPr="001401D5" w:rsidR="00FC3529">
        <w:rPr>
          <w:sz w:val="24"/>
          <w:szCs w:val="24"/>
        </w:rPr>
        <w:t>.</w:t>
      </w:r>
    </w:p>
    <w:p w:rsidR="00E35242" w:rsidP="00E35242" w:rsidRDefault="00E35242" w14:paraId="0B213512" w14:textId="2A47B6A3">
      <w:pPr>
        <w:pStyle w:val="Heading2"/>
        <w:ind w:left="0" w:firstLine="0"/>
        <w:rPr>
          <w:sz w:val="22"/>
          <w:szCs w:val="22"/>
          <w:lang w:val="x-none"/>
        </w:rPr>
      </w:pPr>
      <w:bookmarkStart w:name="_Ref406584848" w:id="7"/>
      <w:r>
        <w:rPr>
          <w:sz w:val="22"/>
          <w:szCs w:val="22"/>
          <w:lang w:val="x-none"/>
        </w:rPr>
        <w:t>Provide estimates of the hour burden of the collection of information.  The statement should:</w:t>
      </w:r>
      <w:bookmarkEnd w:id="7"/>
    </w:p>
    <w:p w:rsidR="00E35242" w:rsidP="00E35242" w:rsidRDefault="00E35242" w14:paraId="13FDB8C7" w14:textId="647CAC79">
      <w:pPr>
        <w:ind w:left="432" w:hanging="144"/>
        <w:rPr>
          <w:sz w:val="22"/>
          <w:szCs w:val="22"/>
        </w:rPr>
      </w:pPr>
      <w:r>
        <w:rPr>
          <w:sz w:val="22"/>
          <w:szCs w:val="22"/>
        </w:rPr>
        <w:t xml:space="preserve">  </w:t>
      </w:r>
      <w:r w:rsidR="00E2437D">
        <w:rPr>
          <w:sz w:val="22"/>
          <w:szCs w:val="22"/>
        </w:rPr>
        <w:t xml:space="preserve"> </w:t>
      </w:r>
      <w:r>
        <w:rPr>
          <w:b/>
          <w:bCs/>
          <w:sz w:val="22"/>
          <w:szCs w:val="22"/>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35242" w:rsidP="00E35242" w:rsidRDefault="00E35242" w14:paraId="07A6577A" w14:textId="77777777">
      <w:pPr>
        <w:rPr>
          <w:sz w:val="22"/>
          <w:szCs w:val="22"/>
        </w:rPr>
      </w:pPr>
    </w:p>
    <w:p w:rsidR="00E35242" w:rsidP="00E35242" w:rsidRDefault="00E35242" w14:paraId="1376AB1B" w14:textId="063C4C38">
      <w:pPr>
        <w:ind w:left="432" w:hanging="144"/>
        <w:rPr>
          <w:b/>
          <w:bCs/>
          <w:sz w:val="22"/>
          <w:szCs w:val="22"/>
        </w:rPr>
      </w:pPr>
      <w:r>
        <w:rPr>
          <w:sz w:val="22"/>
          <w:szCs w:val="22"/>
        </w:rPr>
        <w:t xml:space="preserve">· </w:t>
      </w:r>
      <w:r>
        <w:rPr>
          <w:b/>
          <w:bCs/>
          <w:sz w:val="22"/>
          <w:szCs w:val="22"/>
        </w:rPr>
        <w:t>If this request for approval covers more than one form, provide separate hour burden estimates for each form and aggregate the hour burdens.</w:t>
      </w:r>
    </w:p>
    <w:p w:rsidR="00E35242" w:rsidP="00E35242" w:rsidRDefault="00E35242" w14:paraId="4A8EDEBC" w14:textId="77777777">
      <w:pPr>
        <w:rPr>
          <w:b/>
          <w:bCs/>
          <w:sz w:val="22"/>
          <w:szCs w:val="22"/>
        </w:rPr>
      </w:pPr>
    </w:p>
    <w:p w:rsidR="00E35242" w:rsidP="00E35242" w:rsidRDefault="00E35242" w14:paraId="6603A76A" w14:textId="58C34EA5">
      <w:pPr>
        <w:ind w:left="432" w:hanging="144"/>
        <w:rPr>
          <w:b/>
          <w:bCs/>
          <w:sz w:val="22"/>
          <w:szCs w:val="22"/>
        </w:rPr>
      </w:pPr>
      <w:r>
        <w:rPr>
          <w:b/>
          <w:bCs/>
          <w:sz w:val="22"/>
          <w:szCs w:val="22"/>
        </w:rPr>
        <w:t>· Provide estimates of annualized costs to respondents for the hour burdens for collections of information, identifying and using appropriate wage rate categories.</w:t>
      </w:r>
    </w:p>
    <w:p w:rsidR="00C05411" w:rsidP="00C05411" w:rsidRDefault="00C05411" w14:paraId="67EC7D80" w14:textId="77777777">
      <w:pPr>
        <w:spacing w:after="240"/>
        <w:outlineLvl w:val="0"/>
        <w:rPr>
          <w:rFonts w:hint="eastAsia" w:ascii="Times New Roman Bold" w:hAnsi="Times New Roman Bold"/>
          <w:b/>
          <w:bCs/>
          <w:smallCaps/>
        </w:rPr>
      </w:pPr>
    </w:p>
    <w:p w:rsidRPr="0071745D" w:rsidR="00C05411" w:rsidP="00C05411" w:rsidRDefault="00C05411" w14:paraId="769789B0" w14:textId="77777777">
      <w:pPr>
        <w:spacing w:after="240"/>
        <w:outlineLvl w:val="0"/>
        <w:rPr>
          <w:rFonts w:hint="eastAsia" w:ascii="Times New Roman Bold" w:hAnsi="Times New Roman Bold"/>
          <w:smallCaps/>
        </w:rPr>
      </w:pPr>
      <w:r w:rsidRPr="0071745D">
        <w:rPr>
          <w:rFonts w:ascii="Times New Roman Bold" w:hAnsi="Times New Roman Bold"/>
          <w:b/>
          <w:bCs/>
          <w:smallCaps/>
        </w:rPr>
        <w:t>Respondent Burden-Hour and Cost burden Determinations</w:t>
      </w:r>
    </w:p>
    <w:p w:rsidRPr="00D50F20" w:rsidR="00C05411" w:rsidP="00C05411" w:rsidRDefault="00C05411" w14:paraId="2E8A1E3F" w14:textId="149A0453">
      <w:pPr>
        <w:pStyle w:val="CommentText"/>
        <w:rPr>
          <w:sz w:val="24"/>
          <w:szCs w:val="24"/>
        </w:rPr>
      </w:pPr>
      <w:r w:rsidRPr="00266C72">
        <w:rPr>
          <w:sz w:val="24"/>
          <w:szCs w:val="24"/>
          <w:lang w:val="x-none"/>
        </w:rPr>
        <w:t xml:space="preserve">OSHA estimates that a total of </w:t>
      </w:r>
      <w:r w:rsidR="0077457B">
        <w:rPr>
          <w:sz w:val="24"/>
          <w:szCs w:val="24"/>
        </w:rPr>
        <w:t>10,338,353</w:t>
      </w:r>
      <w:r w:rsidRPr="00EE5771" w:rsidR="00DC5497">
        <w:rPr>
          <w:sz w:val="24"/>
          <w:szCs w:val="24"/>
          <w:lang w:val="x-none"/>
        </w:rPr>
        <w:t xml:space="preserve"> employees in </w:t>
      </w:r>
      <w:r w:rsidR="0077457B">
        <w:rPr>
          <w:sz w:val="24"/>
          <w:szCs w:val="24"/>
        </w:rPr>
        <w:t>748,816</w:t>
      </w:r>
      <w:r w:rsidRPr="00F21E79" w:rsidR="00DC5497">
        <w:rPr>
          <w:sz w:val="24"/>
          <w:szCs w:val="24"/>
          <w:lang w:val="x-none"/>
        </w:rPr>
        <w:t xml:space="preserve"> establishments</w:t>
      </w:r>
      <w:r w:rsidRPr="00DC5497">
        <w:rPr>
          <w:sz w:val="24"/>
          <w:szCs w:val="24"/>
          <w:lang w:val="x-none"/>
        </w:rPr>
        <w:t xml:space="preserve"> are potentially at risk from exposure to </w:t>
      </w:r>
      <w:r w:rsidRPr="00DC5497">
        <w:rPr>
          <w:sz w:val="24"/>
          <w:szCs w:val="24"/>
        </w:rPr>
        <w:t>COVID-19 in the healthcare and associate industries</w:t>
      </w:r>
      <w:r w:rsidR="00DC5497">
        <w:rPr>
          <w:sz w:val="24"/>
          <w:szCs w:val="24"/>
        </w:rPr>
        <w:t>.</w:t>
      </w:r>
    </w:p>
    <w:p w:rsidRPr="00266C72" w:rsidR="00C05411" w:rsidP="00C05411" w:rsidRDefault="00C05411" w14:paraId="03B733BA" w14:textId="77777777">
      <w:pPr>
        <w:pStyle w:val="CommentText"/>
        <w:rPr>
          <w:sz w:val="24"/>
          <w:szCs w:val="24"/>
        </w:rPr>
      </w:pPr>
    </w:p>
    <w:p w:rsidR="00C05411" w:rsidP="00C05411" w:rsidRDefault="00C05411" w14:paraId="26481C12" w14:textId="3F3D5E37">
      <w:pPr>
        <w:pStyle w:val="BodyTextFirstIndent"/>
        <w:ind w:firstLine="0"/>
        <w:rPr>
          <w:sz w:val="24"/>
          <w:szCs w:val="24"/>
        </w:rPr>
      </w:pPr>
      <w:r>
        <w:rPr>
          <w:sz w:val="24"/>
          <w:szCs w:val="24"/>
          <w:lang w:val="x-none"/>
        </w:rPr>
        <w:t xml:space="preserve">For the sole purpose of calculating burden hours and costs under the Paperwork Reduction Act, this supporting statement has rounded </w:t>
      </w:r>
      <w:r>
        <w:rPr>
          <w:sz w:val="24"/>
          <w:szCs w:val="24"/>
        </w:rPr>
        <w:t xml:space="preserve">the totals found in </w:t>
      </w:r>
      <w:r w:rsidRPr="00C36D5A">
        <w:rPr>
          <w:sz w:val="24"/>
          <w:szCs w:val="24"/>
        </w:rPr>
        <w:t>Table</w:t>
      </w:r>
      <w:r w:rsidRPr="00C36D5A" w:rsidR="005B18DD">
        <w:rPr>
          <w:sz w:val="24"/>
          <w:szCs w:val="24"/>
        </w:rPr>
        <w:t>s</w:t>
      </w:r>
      <w:r w:rsidRPr="00C36D5A">
        <w:rPr>
          <w:sz w:val="24"/>
          <w:szCs w:val="24"/>
        </w:rPr>
        <w:t xml:space="preserve"> B</w:t>
      </w:r>
      <w:r w:rsidRPr="00C36D5A" w:rsidR="005B18DD">
        <w:rPr>
          <w:sz w:val="24"/>
          <w:szCs w:val="24"/>
        </w:rPr>
        <w:t>,</w:t>
      </w:r>
      <w:r w:rsidRPr="00C36D5A">
        <w:rPr>
          <w:sz w:val="24"/>
          <w:szCs w:val="24"/>
        </w:rPr>
        <w:t xml:space="preserve"> the </w:t>
      </w:r>
      <w:r w:rsidRPr="00C36D5A">
        <w:rPr>
          <w:bCs/>
          <w:i/>
          <w:color w:val="000000"/>
        </w:rPr>
        <w:t>Summary of Burden Hours and Cost Under Item 12 of this Supporting Statement</w:t>
      </w:r>
      <w:r w:rsidRPr="00C36D5A">
        <w:rPr>
          <w:sz w:val="24"/>
          <w:szCs w:val="24"/>
        </w:rPr>
        <w:t>.</w:t>
      </w:r>
      <w:r>
        <w:rPr>
          <w:sz w:val="24"/>
          <w:szCs w:val="24"/>
        </w:rPr>
        <w:t xml:space="preserve">  </w:t>
      </w:r>
    </w:p>
    <w:p w:rsidR="00C05411" w:rsidP="00C05411" w:rsidRDefault="00C05411" w14:paraId="3769AC8A" w14:textId="77777777">
      <w:pPr>
        <w:rPr>
          <w:b/>
          <w:bCs/>
        </w:rPr>
      </w:pPr>
      <w:r>
        <w:rPr>
          <w:b/>
          <w:bCs/>
        </w:rPr>
        <w:t>Wage Rates</w:t>
      </w:r>
    </w:p>
    <w:p w:rsidR="00C05411" w:rsidP="00C05411" w:rsidRDefault="00C05411" w14:paraId="6C0D0757" w14:textId="77777777">
      <w:pPr>
        <w:pStyle w:val="Default"/>
        <w:rPr>
          <w:b/>
          <w:bCs/>
          <w:color w:val="auto"/>
        </w:rPr>
      </w:pPr>
    </w:p>
    <w:p w:rsidRPr="00C05411" w:rsidR="00C05411" w:rsidP="00C05411" w:rsidRDefault="00C05411" w14:paraId="4ADF934F" w14:textId="5F47D649">
      <w:pPr>
        <w:pStyle w:val="BodyText"/>
        <w:spacing w:after="0"/>
        <w:rPr>
          <w:rFonts w:ascii="Times New Roman" w:hAnsi="Times New Roman"/>
        </w:rPr>
      </w:pPr>
      <w:r w:rsidRPr="00C05411">
        <w:rPr>
          <w:rFonts w:ascii="Times New Roman" w:hAnsi="Times New Roman"/>
        </w:rPr>
        <w:t xml:space="preserve">OSHA used occupation-specific wage rates from </w:t>
      </w:r>
      <w:r w:rsidR="0016615A">
        <w:rPr>
          <w:rFonts w:ascii="Times New Roman" w:hAnsi="Times New Roman"/>
        </w:rPr>
        <w:t>Bureau of Labor Statistics (</w:t>
      </w:r>
      <w:r w:rsidRPr="00C05411">
        <w:rPr>
          <w:rFonts w:ascii="Times New Roman" w:hAnsi="Times New Roman"/>
        </w:rPr>
        <w:t>BLS</w:t>
      </w:r>
      <w:r w:rsidR="0016615A">
        <w:rPr>
          <w:rFonts w:ascii="Times New Roman" w:hAnsi="Times New Roman"/>
        </w:rPr>
        <w:t>)</w:t>
      </w:r>
      <w:r w:rsidRPr="00C05411">
        <w:rPr>
          <w:rFonts w:ascii="Times New Roman" w:hAnsi="Times New Roman"/>
        </w:rPr>
        <w:t xml:space="preserve"> 2018 Occupational Employment Statistics data </w:t>
      </w:r>
      <w:r w:rsidRPr="00C05411">
        <w:rPr>
          <w:rFonts w:ascii="Times New Roman" w:hAnsi="Times New Roman"/>
        </w:rPr>
        <w:fldChar w:fldCharType="begin"/>
      </w:r>
      <w:r w:rsidRPr="00C05411">
        <w:rPr>
          <w:rFonts w:ascii="Times New Roman" w:hAnsi="Times New Roman"/>
        </w:rPr>
        <w:instrText xml:space="preserve"> ADDIN EN.CITE &lt;EndNote&gt;&lt;Cite ExcludeAuth="1"&gt;&lt;Author&gt;U.S Bureau of Labor Statistics&lt;/Author&gt;&lt;Year&gt;2019&lt;/Year&gt;&lt;RecNum&gt;8&lt;/RecNum&gt;&lt;Prefix&gt;BLS`, &lt;/Prefix&gt;&lt;DisplayText&gt;(BLS, 2019)&lt;/DisplayText&gt;&lt;record&gt;&lt;rec-number&gt;8&lt;/rec-number&gt;&lt;foreign-keys&gt;&lt;key app="EN" db-id="vfe9ex5pfaz5fce0zeovarzl5ttwd0w9vs9a" timestamp="1603392688"&gt;8&lt;/key&gt;&lt;/foreign-keys&gt;&lt;ref-type name="Journal Article"&gt;17&lt;/ref-type&gt;&lt;contributors&gt;&lt;authors&gt;&lt;author&gt;U.S Bureau of Labor Statistics,&lt;/author&gt;&lt;/authors&gt;&lt;/contributors&gt;&lt;titles&gt;&lt;title&gt;Occupational Employment Statistics (OES) Survey, May 2018&lt;/title&gt;&lt;/titles&gt;&lt;dates&gt;&lt;year&gt;2019&lt;/year&gt;&lt;/dates&gt;&lt;urls&gt;&lt;/urls&gt;&lt;/record&gt;&lt;/Cite&gt;&lt;/EndNote&gt;</w:instrText>
      </w:r>
      <w:r w:rsidRPr="00C05411">
        <w:rPr>
          <w:rFonts w:ascii="Times New Roman" w:hAnsi="Times New Roman"/>
        </w:rPr>
        <w:fldChar w:fldCharType="separate"/>
      </w:r>
      <w:r w:rsidRPr="00C05411">
        <w:rPr>
          <w:rFonts w:ascii="Times New Roman" w:hAnsi="Times New Roman"/>
          <w:noProof/>
        </w:rPr>
        <w:t>(BLS, 2019)</w:t>
      </w:r>
      <w:r w:rsidRPr="00C05411">
        <w:rPr>
          <w:rFonts w:ascii="Times New Roman" w:hAnsi="Times New Roman"/>
        </w:rPr>
        <w:fldChar w:fldCharType="end"/>
      </w:r>
      <w:r w:rsidRPr="00C05411">
        <w:rPr>
          <w:rFonts w:ascii="Times New Roman" w:hAnsi="Times New Roman"/>
        </w:rPr>
        <w:t xml:space="preserve">. </w:t>
      </w:r>
      <w:r w:rsidR="003941A4">
        <w:rPr>
          <w:rFonts w:ascii="Times New Roman" w:hAnsi="Times New Roman"/>
        </w:rPr>
        <w:t xml:space="preserve"> The </w:t>
      </w:r>
      <w:r w:rsidRPr="00C05411">
        <w:rPr>
          <w:rFonts w:ascii="Times New Roman" w:hAnsi="Times New Roman"/>
        </w:rPr>
        <w:t>estimated loaded wage</w:t>
      </w:r>
      <w:r w:rsidR="003941A4">
        <w:rPr>
          <w:rFonts w:ascii="Times New Roman" w:hAnsi="Times New Roman"/>
        </w:rPr>
        <w:t xml:space="preserve"> rates are calculated</w:t>
      </w:r>
      <w:r w:rsidRPr="00C05411">
        <w:rPr>
          <w:rFonts w:ascii="Times New Roman" w:hAnsi="Times New Roman"/>
        </w:rPr>
        <w:t xml:space="preserve"> using industry-specific fringe benefit rates for all civilian workers as reported in the BLS 2018 Employer Costs for Employee Compensation data, as well as OSHA’s standard estimate for overhead of 17 percent times the base wage </w:t>
      </w:r>
      <w:r w:rsidRPr="00C05411">
        <w:rPr>
          <w:rFonts w:ascii="Times New Roman" w:hAnsi="Times New Roman"/>
        </w:rPr>
        <w:fldChar w:fldCharType="begin"/>
      </w:r>
      <w:r w:rsidRPr="00C05411">
        <w:rPr>
          <w:rFonts w:ascii="Times New Roman" w:hAnsi="Times New Roman"/>
        </w:rPr>
        <w:instrText xml:space="preserve"> ADDIN EN.CITE &lt;EndNote&gt;&lt;Cite ExcludeAuth="1"&gt;&lt;Author&gt;U.S. Bureau of Labor Statistics&lt;/Author&gt;&lt;Year&gt;2018&lt;/Year&gt;&lt;RecNum&gt;24&lt;/RecNum&gt;&lt;Prefix&gt;BLS`, &lt;/Prefix&gt;&lt;DisplayText&gt;(BLS, 2018)&lt;/DisplayText&gt;&lt;record&gt;&lt;rec-number&gt;24&lt;/rec-number&gt;&lt;foreign-keys&gt;&lt;key app="EN" db-id="vfe9ex5pfaz5fce0zeovarzl5ttwd0w9vs9a" timestamp="1604086038"&gt;24&lt;/key&gt;&lt;/foreign-keys&gt;&lt;ref-type name="Journal Article"&gt;17&lt;/ref-type&gt;&lt;contributors&gt;&lt;authors&gt;&lt;author&gt;U.S. Bureau of Labor Statistics,&lt;/author&gt;&lt;/authors&gt;&lt;/contributors&gt;&lt;titles&gt;&lt;title&gt;Employer Costs for Employee Compensation Data Series CMU1026220000000P, All 2018 Civilian Wages and Salaries for the Healthcare and Social Assistance Industry&lt;/title&gt;&lt;/titles&gt;&lt;dates&gt;&lt;year&gt;2018&lt;/year&gt;&lt;/dates&gt;&lt;urls&gt;&lt;/urls&gt;&lt;/record&gt;&lt;/Cite&gt;&lt;/EndNote&gt;</w:instrText>
      </w:r>
      <w:r w:rsidRPr="00C05411">
        <w:rPr>
          <w:rFonts w:ascii="Times New Roman" w:hAnsi="Times New Roman"/>
        </w:rPr>
        <w:fldChar w:fldCharType="separate"/>
      </w:r>
      <w:r w:rsidRPr="00C05411">
        <w:rPr>
          <w:rFonts w:ascii="Times New Roman" w:hAnsi="Times New Roman"/>
          <w:noProof/>
        </w:rPr>
        <w:t>(BLS, 2018)</w:t>
      </w:r>
      <w:r w:rsidRPr="00C05411">
        <w:rPr>
          <w:rFonts w:ascii="Times New Roman" w:hAnsi="Times New Roman"/>
        </w:rPr>
        <w:fldChar w:fldCharType="end"/>
      </w:r>
      <w:r w:rsidR="003941A4">
        <w:rPr>
          <w:rFonts w:ascii="Times New Roman" w:hAnsi="Times New Roman"/>
        </w:rPr>
        <w:t xml:space="preserve"> to arrive at the loaded wage rate</w:t>
      </w:r>
      <w:r w:rsidRPr="00C05411">
        <w:rPr>
          <w:rFonts w:ascii="Times New Roman" w:hAnsi="Times New Roman"/>
        </w:rPr>
        <w:t>.</w:t>
      </w:r>
    </w:p>
    <w:p w:rsidR="00C05411" w:rsidP="00C05411" w:rsidRDefault="00C05411" w14:paraId="7E231D87" w14:textId="77777777">
      <w:pPr>
        <w:pStyle w:val="Default"/>
        <w:rPr>
          <w:b/>
          <w:bCs/>
          <w:color w:val="auto"/>
        </w:rPr>
      </w:pPr>
    </w:p>
    <w:p w:rsidR="00C05411" w:rsidP="00C05411" w:rsidRDefault="00C05411" w14:paraId="2430D076" w14:textId="77777777">
      <w:pPr>
        <w:tabs>
          <w:tab w:val="left" w:pos="-1440"/>
        </w:tabs>
      </w:pPr>
      <w:r>
        <w:t xml:space="preserve">In Table A is a </w:t>
      </w:r>
      <w:r w:rsidRPr="007F313E">
        <w:t>summary of</w:t>
      </w:r>
      <w:r>
        <w:t xml:space="preserve"> the how the wage rate</w:t>
      </w:r>
      <w:r w:rsidRPr="007F313E">
        <w:t xml:space="preserve"> estimates </w:t>
      </w:r>
      <w:r>
        <w:t xml:space="preserve">were derived </w:t>
      </w:r>
      <w:r w:rsidRPr="007F313E">
        <w:t>for the information collection requirements specified by the Standard.</w:t>
      </w:r>
    </w:p>
    <w:p w:rsidR="0020767A" w:rsidRDefault="0020767A" w14:paraId="44DA187F" w14:textId="33D41B50">
      <w:pPr>
        <w:autoSpaceDE/>
        <w:autoSpaceDN/>
        <w:spacing w:after="200" w:line="276" w:lineRule="auto"/>
        <w:rPr>
          <w:szCs w:val="22"/>
        </w:rPr>
      </w:pPr>
      <w:r>
        <w:rPr>
          <w:szCs w:val="22"/>
        </w:rPr>
        <w:br w:type="page"/>
      </w:r>
    </w:p>
    <w:p w:rsidRPr="000109E2" w:rsidR="00C05411" w:rsidP="00C05411" w:rsidRDefault="00C05411" w14:paraId="1981606D" w14:textId="281E72EE">
      <w:pPr>
        <w:tabs>
          <w:tab w:val="left" w:pos="-1440"/>
        </w:tabs>
        <w:rPr>
          <w:b/>
        </w:rPr>
      </w:pPr>
      <w:r>
        <w:rPr>
          <w:szCs w:val="22"/>
        </w:rPr>
        <w:t xml:space="preserve"> </w:t>
      </w:r>
      <w:r>
        <w:rPr>
          <w:b/>
          <w:szCs w:val="22"/>
        </w:rPr>
        <w:tab/>
      </w:r>
      <w:r>
        <w:rPr>
          <w:b/>
          <w:szCs w:val="22"/>
        </w:rPr>
        <w:tab/>
      </w:r>
      <w:r>
        <w:rPr>
          <w:b/>
          <w:szCs w:val="22"/>
        </w:rPr>
        <w:tab/>
      </w:r>
      <w:r>
        <w:rPr>
          <w:b/>
          <w:szCs w:val="22"/>
        </w:rPr>
        <w:tab/>
        <w:t>Table A</w:t>
      </w:r>
      <w:r w:rsidRPr="00216462">
        <w:rPr>
          <w:b/>
          <w:szCs w:val="22"/>
        </w:rPr>
        <w:t xml:space="preserve"> – Estimated Wage Rates</w:t>
      </w:r>
    </w:p>
    <w:tbl>
      <w:tblPr>
        <w:tblW w:w="8990" w:type="dxa"/>
        <w:tblLook w:val="04A0" w:firstRow="1" w:lastRow="0" w:firstColumn="1" w:lastColumn="0" w:noHBand="0" w:noVBand="1"/>
      </w:tblPr>
      <w:tblGrid>
        <w:gridCol w:w="2925"/>
        <w:gridCol w:w="1205"/>
        <w:gridCol w:w="1031"/>
        <w:gridCol w:w="1309"/>
        <w:gridCol w:w="1179"/>
        <w:gridCol w:w="1341"/>
      </w:tblGrid>
      <w:tr w:rsidRPr="001635D6" w:rsidR="00BD20AB" w:rsidTr="007576C4" w14:paraId="151894FC" w14:textId="77777777">
        <w:trPr>
          <w:trHeight w:val="880"/>
          <w:tblHeader/>
        </w:trPr>
        <w:tc>
          <w:tcPr>
            <w:tcW w:w="2925" w:type="dxa"/>
            <w:tcBorders>
              <w:top w:val="single" w:color="auto" w:sz="8" w:space="0"/>
              <w:left w:val="single" w:color="auto" w:sz="8" w:space="0"/>
              <w:bottom w:val="single" w:color="auto" w:sz="8" w:space="0"/>
              <w:right w:val="single" w:color="auto" w:sz="8" w:space="0"/>
            </w:tcBorders>
            <w:shd w:val="clear" w:color="000000" w:fill="92D050"/>
            <w:vAlign w:val="center"/>
            <w:hideMark/>
          </w:tcPr>
          <w:p w:rsidRPr="001635D6" w:rsidR="001635D6" w:rsidRDefault="001635D6" w14:paraId="157F3CFC" w14:textId="77777777">
            <w:pPr>
              <w:autoSpaceDE/>
              <w:autoSpaceDN/>
              <w:rPr>
                <w:rFonts w:ascii="Calibri" w:hAnsi="Calibri" w:eastAsia="Times New Roman" w:cs="Calibri"/>
                <w:b/>
                <w:bCs/>
                <w:color w:val="000000"/>
                <w:sz w:val="22"/>
                <w:szCs w:val="22"/>
                <w:lang w:eastAsia="en-US"/>
              </w:rPr>
            </w:pPr>
            <w:r w:rsidRPr="001635D6">
              <w:rPr>
                <w:rFonts w:ascii="Calibri" w:hAnsi="Calibri" w:eastAsia="Times New Roman" w:cs="Calibri"/>
                <w:b/>
                <w:bCs/>
                <w:color w:val="000000"/>
                <w:sz w:val="22"/>
                <w:szCs w:val="22"/>
                <w:lang w:eastAsia="en-US"/>
              </w:rPr>
              <w:t>Occupation</w:t>
            </w:r>
          </w:p>
        </w:tc>
        <w:tc>
          <w:tcPr>
            <w:tcW w:w="1205" w:type="dxa"/>
            <w:tcBorders>
              <w:top w:val="single" w:color="auto" w:sz="8" w:space="0"/>
              <w:left w:val="nil"/>
              <w:bottom w:val="single" w:color="auto" w:sz="8" w:space="0"/>
              <w:right w:val="single" w:color="auto" w:sz="8" w:space="0"/>
            </w:tcBorders>
            <w:shd w:val="clear" w:color="000000" w:fill="92D050"/>
            <w:vAlign w:val="center"/>
            <w:hideMark/>
          </w:tcPr>
          <w:p w:rsidRPr="001635D6" w:rsidR="001635D6" w:rsidP="001635D6" w:rsidRDefault="001635D6" w14:paraId="4D534917" w14:textId="77777777">
            <w:pPr>
              <w:autoSpaceDE/>
              <w:autoSpaceDN/>
              <w:rPr>
                <w:rFonts w:ascii="Calibri" w:hAnsi="Calibri" w:eastAsia="Times New Roman" w:cs="Calibri"/>
                <w:b/>
                <w:bCs/>
                <w:color w:val="000000"/>
                <w:sz w:val="22"/>
                <w:szCs w:val="22"/>
                <w:lang w:eastAsia="en-US"/>
              </w:rPr>
            </w:pPr>
            <w:r w:rsidRPr="001635D6">
              <w:rPr>
                <w:rFonts w:ascii="Calibri" w:hAnsi="Calibri" w:eastAsia="Times New Roman" w:cs="Calibri"/>
                <w:b/>
                <w:bCs/>
                <w:color w:val="000000"/>
                <w:sz w:val="22"/>
                <w:szCs w:val="22"/>
                <w:lang w:eastAsia="en-US"/>
              </w:rPr>
              <w:t>SOC</w:t>
            </w:r>
          </w:p>
        </w:tc>
        <w:tc>
          <w:tcPr>
            <w:tcW w:w="1031" w:type="dxa"/>
            <w:tcBorders>
              <w:top w:val="single" w:color="auto" w:sz="8" w:space="0"/>
              <w:left w:val="nil"/>
              <w:bottom w:val="single" w:color="auto" w:sz="8" w:space="0"/>
              <w:right w:val="single" w:color="auto" w:sz="8" w:space="0"/>
            </w:tcBorders>
            <w:shd w:val="clear" w:color="000000" w:fill="92D050"/>
            <w:vAlign w:val="center"/>
            <w:hideMark/>
          </w:tcPr>
          <w:p w:rsidRPr="001635D6" w:rsidR="001635D6" w:rsidP="001635D6" w:rsidRDefault="001635D6" w14:paraId="0F27E461" w14:textId="77777777">
            <w:pPr>
              <w:autoSpaceDE/>
              <w:autoSpaceDN/>
              <w:rPr>
                <w:rFonts w:ascii="Calibri" w:hAnsi="Calibri" w:eastAsia="Times New Roman" w:cs="Calibri"/>
                <w:b/>
                <w:bCs/>
                <w:color w:val="000000"/>
                <w:sz w:val="22"/>
                <w:szCs w:val="22"/>
                <w:lang w:eastAsia="en-US"/>
              </w:rPr>
            </w:pPr>
            <w:r w:rsidRPr="001635D6">
              <w:rPr>
                <w:rFonts w:ascii="Calibri" w:hAnsi="Calibri" w:eastAsia="Times New Roman" w:cs="Calibri"/>
                <w:b/>
                <w:bCs/>
                <w:color w:val="000000"/>
                <w:sz w:val="22"/>
                <w:szCs w:val="22"/>
                <w:lang w:eastAsia="en-US"/>
              </w:rPr>
              <w:t>Mean hourly rate</w:t>
            </w:r>
          </w:p>
        </w:tc>
        <w:tc>
          <w:tcPr>
            <w:tcW w:w="1309" w:type="dxa"/>
            <w:tcBorders>
              <w:top w:val="single" w:color="auto" w:sz="8" w:space="0"/>
              <w:left w:val="nil"/>
              <w:bottom w:val="single" w:color="auto" w:sz="8" w:space="0"/>
              <w:right w:val="single" w:color="auto" w:sz="8" w:space="0"/>
            </w:tcBorders>
            <w:shd w:val="clear" w:color="000000" w:fill="92D050"/>
            <w:vAlign w:val="center"/>
            <w:hideMark/>
          </w:tcPr>
          <w:p w:rsidRPr="001635D6" w:rsidR="001635D6" w:rsidP="001635D6" w:rsidRDefault="001635D6" w14:paraId="08711BBB" w14:textId="77777777">
            <w:pPr>
              <w:autoSpaceDE/>
              <w:autoSpaceDN/>
              <w:rPr>
                <w:rFonts w:ascii="Calibri" w:hAnsi="Calibri" w:eastAsia="Times New Roman" w:cs="Calibri"/>
                <w:b/>
                <w:bCs/>
                <w:color w:val="000000"/>
                <w:sz w:val="22"/>
                <w:szCs w:val="22"/>
                <w:lang w:eastAsia="en-US"/>
              </w:rPr>
            </w:pPr>
            <w:r w:rsidRPr="001635D6">
              <w:rPr>
                <w:rFonts w:ascii="Calibri" w:hAnsi="Calibri" w:eastAsia="Times New Roman" w:cs="Calibri"/>
                <w:b/>
                <w:bCs/>
                <w:color w:val="000000"/>
                <w:sz w:val="22"/>
                <w:szCs w:val="22"/>
                <w:lang w:eastAsia="en-US"/>
              </w:rPr>
              <w:t>Fringe Benefits</w:t>
            </w:r>
          </w:p>
        </w:tc>
        <w:tc>
          <w:tcPr>
            <w:tcW w:w="1179" w:type="dxa"/>
            <w:tcBorders>
              <w:top w:val="single" w:color="auto" w:sz="8" w:space="0"/>
              <w:left w:val="nil"/>
              <w:bottom w:val="single" w:color="auto" w:sz="8" w:space="0"/>
              <w:right w:val="single" w:color="auto" w:sz="8" w:space="0"/>
            </w:tcBorders>
            <w:shd w:val="clear" w:color="000000" w:fill="92D050"/>
            <w:vAlign w:val="center"/>
            <w:hideMark/>
          </w:tcPr>
          <w:p w:rsidRPr="001635D6" w:rsidR="001635D6" w:rsidP="001635D6" w:rsidRDefault="001635D6" w14:paraId="76419B23" w14:textId="77777777">
            <w:pPr>
              <w:autoSpaceDE/>
              <w:autoSpaceDN/>
              <w:rPr>
                <w:rFonts w:ascii="Calibri" w:hAnsi="Calibri" w:eastAsia="Times New Roman" w:cs="Calibri"/>
                <w:b/>
                <w:bCs/>
                <w:color w:val="000000"/>
                <w:sz w:val="22"/>
                <w:szCs w:val="22"/>
                <w:lang w:eastAsia="en-US"/>
              </w:rPr>
            </w:pPr>
            <w:r w:rsidRPr="001635D6">
              <w:rPr>
                <w:rFonts w:ascii="Calibri" w:hAnsi="Calibri" w:eastAsia="Times New Roman" w:cs="Calibri"/>
                <w:b/>
                <w:bCs/>
                <w:color w:val="000000"/>
                <w:sz w:val="22"/>
                <w:szCs w:val="22"/>
                <w:lang w:eastAsia="en-US"/>
              </w:rPr>
              <w:t>Overhead Loading</w:t>
            </w:r>
          </w:p>
        </w:tc>
        <w:tc>
          <w:tcPr>
            <w:tcW w:w="1341" w:type="dxa"/>
            <w:tcBorders>
              <w:top w:val="single" w:color="auto" w:sz="8" w:space="0"/>
              <w:left w:val="nil"/>
              <w:bottom w:val="single" w:color="auto" w:sz="8" w:space="0"/>
              <w:right w:val="single" w:color="auto" w:sz="8" w:space="0"/>
            </w:tcBorders>
            <w:shd w:val="clear" w:color="000000" w:fill="92D050"/>
            <w:vAlign w:val="center"/>
            <w:hideMark/>
          </w:tcPr>
          <w:p w:rsidRPr="001635D6" w:rsidR="001635D6" w:rsidP="001635D6" w:rsidRDefault="001635D6" w14:paraId="4DE9957C" w14:textId="77777777">
            <w:pPr>
              <w:autoSpaceDE/>
              <w:autoSpaceDN/>
              <w:rPr>
                <w:rFonts w:ascii="Calibri" w:hAnsi="Calibri" w:eastAsia="Times New Roman" w:cs="Calibri"/>
                <w:b/>
                <w:bCs/>
                <w:color w:val="000000"/>
                <w:sz w:val="22"/>
                <w:szCs w:val="22"/>
                <w:lang w:eastAsia="en-US"/>
              </w:rPr>
            </w:pPr>
            <w:r w:rsidRPr="001635D6">
              <w:rPr>
                <w:rFonts w:ascii="Calibri" w:hAnsi="Calibri" w:eastAsia="Times New Roman" w:cs="Calibri"/>
                <w:b/>
                <w:bCs/>
                <w:color w:val="000000"/>
                <w:sz w:val="22"/>
                <w:szCs w:val="22"/>
                <w:lang w:eastAsia="en-US"/>
              </w:rPr>
              <w:t>Wage rate</w:t>
            </w:r>
          </w:p>
        </w:tc>
      </w:tr>
      <w:tr w:rsidRPr="001635D6" w:rsidR="001635D6" w:rsidTr="007576C4" w14:paraId="6CA5CE2A" w14:textId="77777777">
        <w:trPr>
          <w:trHeight w:val="590"/>
        </w:trPr>
        <w:tc>
          <w:tcPr>
            <w:tcW w:w="2925" w:type="dxa"/>
            <w:tcBorders>
              <w:top w:val="nil"/>
              <w:left w:val="single" w:color="auto" w:sz="8" w:space="0"/>
              <w:bottom w:val="single" w:color="auto" w:sz="8" w:space="0"/>
              <w:right w:val="single" w:color="auto" w:sz="8" w:space="0"/>
            </w:tcBorders>
            <w:shd w:val="clear" w:color="auto" w:fill="auto"/>
            <w:vAlign w:val="center"/>
            <w:hideMark/>
          </w:tcPr>
          <w:p w:rsidRPr="001635D6" w:rsidR="001635D6" w:rsidP="001635D6" w:rsidRDefault="001635D6" w14:paraId="6B184057" w14:textId="77777777">
            <w:pPr>
              <w:autoSpaceDE/>
              <w:autoSpaceDN/>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Physicians and Nurse Practitioners</w:t>
            </w:r>
          </w:p>
        </w:tc>
        <w:tc>
          <w:tcPr>
            <w:tcW w:w="1205" w:type="dxa"/>
            <w:tcBorders>
              <w:top w:val="nil"/>
              <w:left w:val="nil"/>
              <w:bottom w:val="single" w:color="auto" w:sz="8" w:space="0"/>
              <w:right w:val="single" w:color="auto" w:sz="8" w:space="0"/>
            </w:tcBorders>
            <w:shd w:val="clear" w:color="auto" w:fill="auto"/>
            <w:vAlign w:val="center"/>
            <w:hideMark/>
          </w:tcPr>
          <w:p w:rsidRPr="001635D6" w:rsidR="001635D6" w:rsidP="001635D6" w:rsidRDefault="001635D6" w14:paraId="1C693DAC" w14:textId="77777777">
            <w:pPr>
              <w:autoSpaceDE/>
              <w:autoSpaceDN/>
              <w:jc w:val="center"/>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29-1210 29-1170</w:t>
            </w:r>
          </w:p>
        </w:tc>
        <w:tc>
          <w:tcPr>
            <w:tcW w:w="1031" w:type="dxa"/>
            <w:tcBorders>
              <w:top w:val="nil"/>
              <w:left w:val="nil"/>
              <w:bottom w:val="single" w:color="auto" w:sz="8" w:space="0"/>
              <w:right w:val="single" w:color="auto" w:sz="8" w:space="0"/>
            </w:tcBorders>
            <w:shd w:val="clear" w:color="auto" w:fill="auto"/>
            <w:vAlign w:val="center"/>
            <w:hideMark/>
          </w:tcPr>
          <w:p w:rsidRPr="001635D6" w:rsidR="001635D6" w:rsidP="001635D6" w:rsidRDefault="001635D6" w14:paraId="0C6FB0E6" w14:textId="77777777">
            <w:pPr>
              <w:autoSpaceDE/>
              <w:autoSpaceDN/>
              <w:jc w:val="center"/>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 xml:space="preserve">$95.85 </w:t>
            </w:r>
          </w:p>
        </w:tc>
        <w:tc>
          <w:tcPr>
            <w:tcW w:w="1309" w:type="dxa"/>
            <w:tcBorders>
              <w:top w:val="nil"/>
              <w:left w:val="nil"/>
              <w:bottom w:val="single" w:color="auto" w:sz="8" w:space="0"/>
              <w:right w:val="single" w:color="auto" w:sz="8" w:space="0"/>
            </w:tcBorders>
            <w:shd w:val="clear" w:color="auto" w:fill="auto"/>
            <w:vAlign w:val="center"/>
            <w:hideMark/>
          </w:tcPr>
          <w:p w:rsidRPr="001635D6" w:rsidR="001635D6" w:rsidP="001635D6" w:rsidRDefault="001635D6" w14:paraId="33E230FC" w14:textId="77777777">
            <w:pPr>
              <w:autoSpaceDE/>
              <w:autoSpaceDN/>
              <w:jc w:val="center"/>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0.6925</w:t>
            </w:r>
          </w:p>
        </w:tc>
        <w:tc>
          <w:tcPr>
            <w:tcW w:w="1179" w:type="dxa"/>
            <w:tcBorders>
              <w:top w:val="nil"/>
              <w:left w:val="nil"/>
              <w:bottom w:val="single" w:color="auto" w:sz="8" w:space="0"/>
              <w:right w:val="single" w:color="auto" w:sz="8" w:space="0"/>
            </w:tcBorders>
            <w:shd w:val="clear" w:color="auto" w:fill="auto"/>
            <w:vAlign w:val="center"/>
            <w:hideMark/>
          </w:tcPr>
          <w:p w:rsidRPr="001635D6" w:rsidR="001635D6" w:rsidP="001635D6" w:rsidRDefault="001635D6" w14:paraId="077E0DB0" w14:textId="77777777">
            <w:pPr>
              <w:autoSpaceDE/>
              <w:autoSpaceDN/>
              <w:jc w:val="center"/>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0.17</w:t>
            </w:r>
          </w:p>
        </w:tc>
        <w:tc>
          <w:tcPr>
            <w:tcW w:w="1341" w:type="dxa"/>
            <w:tcBorders>
              <w:top w:val="nil"/>
              <w:left w:val="nil"/>
              <w:bottom w:val="single" w:color="auto" w:sz="8" w:space="0"/>
              <w:right w:val="single" w:color="auto" w:sz="8" w:space="0"/>
            </w:tcBorders>
            <w:shd w:val="clear" w:color="auto" w:fill="auto"/>
            <w:vAlign w:val="center"/>
            <w:hideMark/>
          </w:tcPr>
          <w:p w:rsidRPr="001635D6" w:rsidR="001635D6" w:rsidP="001635D6" w:rsidRDefault="001635D6" w14:paraId="09DFE01F" w14:textId="77777777">
            <w:pPr>
              <w:autoSpaceDE/>
              <w:autoSpaceDN/>
              <w:jc w:val="center"/>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 xml:space="preserve">$154.71 </w:t>
            </w:r>
          </w:p>
        </w:tc>
      </w:tr>
      <w:tr w:rsidRPr="001635D6" w:rsidR="001635D6" w:rsidTr="007576C4" w14:paraId="668DD7EA" w14:textId="77777777">
        <w:trPr>
          <w:trHeight w:val="590"/>
        </w:trPr>
        <w:tc>
          <w:tcPr>
            <w:tcW w:w="2925" w:type="dxa"/>
            <w:tcBorders>
              <w:top w:val="nil"/>
              <w:left w:val="single" w:color="auto" w:sz="8" w:space="0"/>
              <w:bottom w:val="single" w:color="auto" w:sz="8" w:space="0"/>
              <w:right w:val="single" w:color="auto" w:sz="8" w:space="0"/>
            </w:tcBorders>
            <w:shd w:val="clear" w:color="auto" w:fill="auto"/>
            <w:vAlign w:val="center"/>
            <w:hideMark/>
          </w:tcPr>
          <w:p w:rsidRPr="001635D6" w:rsidR="001635D6" w:rsidP="001635D6" w:rsidRDefault="001635D6" w14:paraId="2FE31759" w14:textId="77777777">
            <w:pPr>
              <w:autoSpaceDE/>
              <w:autoSpaceDN/>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Occupational Health and Safety (OHS) Specialists</w:t>
            </w:r>
          </w:p>
        </w:tc>
        <w:tc>
          <w:tcPr>
            <w:tcW w:w="1205" w:type="dxa"/>
            <w:tcBorders>
              <w:top w:val="nil"/>
              <w:left w:val="nil"/>
              <w:bottom w:val="single" w:color="auto" w:sz="8" w:space="0"/>
              <w:right w:val="single" w:color="auto" w:sz="8" w:space="0"/>
            </w:tcBorders>
            <w:shd w:val="clear" w:color="auto" w:fill="auto"/>
            <w:vAlign w:val="center"/>
            <w:hideMark/>
          </w:tcPr>
          <w:p w:rsidRPr="001635D6" w:rsidR="001635D6" w:rsidP="001635D6" w:rsidRDefault="001635D6" w14:paraId="36036F00" w14:textId="77777777">
            <w:pPr>
              <w:autoSpaceDE/>
              <w:autoSpaceDN/>
              <w:jc w:val="center"/>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19-5011</w:t>
            </w:r>
          </w:p>
        </w:tc>
        <w:tc>
          <w:tcPr>
            <w:tcW w:w="1031" w:type="dxa"/>
            <w:tcBorders>
              <w:top w:val="nil"/>
              <w:left w:val="nil"/>
              <w:bottom w:val="single" w:color="auto" w:sz="8" w:space="0"/>
              <w:right w:val="single" w:color="auto" w:sz="8" w:space="0"/>
            </w:tcBorders>
            <w:shd w:val="clear" w:color="auto" w:fill="auto"/>
            <w:vAlign w:val="center"/>
            <w:hideMark/>
          </w:tcPr>
          <w:p w:rsidRPr="001635D6" w:rsidR="001635D6" w:rsidP="001635D6" w:rsidRDefault="001635D6" w14:paraId="3CC61949" w14:textId="77777777">
            <w:pPr>
              <w:autoSpaceDE/>
              <w:autoSpaceDN/>
              <w:jc w:val="center"/>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 xml:space="preserve">$36.68 </w:t>
            </w:r>
          </w:p>
        </w:tc>
        <w:tc>
          <w:tcPr>
            <w:tcW w:w="1309" w:type="dxa"/>
            <w:tcBorders>
              <w:top w:val="nil"/>
              <w:left w:val="nil"/>
              <w:bottom w:val="single" w:color="auto" w:sz="8" w:space="0"/>
              <w:right w:val="single" w:color="auto" w:sz="8" w:space="0"/>
            </w:tcBorders>
            <w:shd w:val="clear" w:color="auto" w:fill="auto"/>
            <w:vAlign w:val="center"/>
            <w:hideMark/>
          </w:tcPr>
          <w:p w:rsidRPr="001635D6" w:rsidR="001635D6" w:rsidP="001635D6" w:rsidRDefault="001635D6" w14:paraId="16C4C789" w14:textId="77777777">
            <w:pPr>
              <w:autoSpaceDE/>
              <w:autoSpaceDN/>
              <w:jc w:val="center"/>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0.6925</w:t>
            </w:r>
          </w:p>
        </w:tc>
        <w:tc>
          <w:tcPr>
            <w:tcW w:w="1179" w:type="dxa"/>
            <w:tcBorders>
              <w:top w:val="nil"/>
              <w:left w:val="nil"/>
              <w:bottom w:val="single" w:color="auto" w:sz="8" w:space="0"/>
              <w:right w:val="single" w:color="auto" w:sz="8" w:space="0"/>
            </w:tcBorders>
            <w:shd w:val="clear" w:color="auto" w:fill="auto"/>
            <w:vAlign w:val="center"/>
            <w:hideMark/>
          </w:tcPr>
          <w:p w:rsidRPr="001635D6" w:rsidR="001635D6" w:rsidP="001635D6" w:rsidRDefault="001635D6" w14:paraId="16278739" w14:textId="77777777">
            <w:pPr>
              <w:autoSpaceDE/>
              <w:autoSpaceDN/>
              <w:jc w:val="center"/>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0.17</w:t>
            </w:r>
          </w:p>
        </w:tc>
        <w:tc>
          <w:tcPr>
            <w:tcW w:w="1341" w:type="dxa"/>
            <w:tcBorders>
              <w:top w:val="nil"/>
              <w:left w:val="nil"/>
              <w:bottom w:val="single" w:color="auto" w:sz="8" w:space="0"/>
              <w:right w:val="single" w:color="auto" w:sz="8" w:space="0"/>
            </w:tcBorders>
            <w:shd w:val="clear" w:color="auto" w:fill="auto"/>
            <w:vAlign w:val="center"/>
            <w:hideMark/>
          </w:tcPr>
          <w:p w:rsidRPr="001635D6" w:rsidR="001635D6" w:rsidP="001635D6" w:rsidRDefault="001635D6" w14:paraId="057B4EE2" w14:textId="77777777">
            <w:pPr>
              <w:autoSpaceDE/>
              <w:autoSpaceDN/>
              <w:jc w:val="center"/>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 xml:space="preserve">$59.20 </w:t>
            </w:r>
          </w:p>
        </w:tc>
      </w:tr>
      <w:tr w:rsidRPr="001635D6" w:rsidR="001635D6" w:rsidTr="007576C4" w14:paraId="443EAB9E" w14:textId="257757AA">
        <w:trPr>
          <w:trHeight w:val="300"/>
        </w:trPr>
        <w:tc>
          <w:tcPr>
            <w:tcW w:w="2925" w:type="dxa"/>
            <w:tcBorders>
              <w:top w:val="nil"/>
              <w:left w:val="single" w:color="auto" w:sz="4" w:space="0"/>
              <w:bottom w:val="single" w:color="auto" w:sz="8" w:space="0"/>
              <w:right w:val="single" w:color="auto" w:sz="4" w:space="0"/>
            </w:tcBorders>
            <w:shd w:val="clear" w:color="auto" w:fill="auto"/>
            <w:vAlign w:val="center"/>
            <w:hideMark/>
          </w:tcPr>
          <w:p w:rsidRPr="001635D6" w:rsidR="001635D6" w:rsidP="003C0E43" w:rsidRDefault="002847D3" w14:paraId="6AA12577" w14:textId="2BDC1499">
            <w:pPr>
              <w:autoSpaceDE/>
              <w:autoSpaceDN/>
              <w:rPr>
                <w:rFonts w:ascii="Calibri" w:hAnsi="Calibri" w:eastAsia="Times New Roman" w:cs="Calibri"/>
                <w:color w:val="000000"/>
                <w:sz w:val="22"/>
                <w:szCs w:val="22"/>
                <w:lang w:eastAsia="en-US"/>
              </w:rPr>
            </w:pPr>
            <w:r>
              <w:rPr>
                <w:rFonts w:ascii="Calibri" w:hAnsi="Calibri" w:eastAsia="Times New Roman" w:cs="Calibri"/>
                <w:color w:val="000000"/>
                <w:sz w:val="22"/>
                <w:szCs w:val="22"/>
                <w:lang w:eastAsia="en-US"/>
              </w:rPr>
              <w:t>General</w:t>
            </w:r>
            <w:r w:rsidRPr="001635D6">
              <w:rPr>
                <w:rFonts w:ascii="Calibri" w:hAnsi="Calibri" w:eastAsia="Times New Roman" w:cs="Calibri"/>
                <w:color w:val="000000"/>
                <w:sz w:val="22"/>
                <w:szCs w:val="22"/>
                <w:lang w:eastAsia="en-US"/>
              </w:rPr>
              <w:t xml:space="preserve"> </w:t>
            </w:r>
            <w:r w:rsidRPr="001635D6" w:rsidR="001635D6">
              <w:rPr>
                <w:rFonts w:ascii="Calibri" w:hAnsi="Calibri" w:eastAsia="Times New Roman" w:cs="Calibri"/>
                <w:color w:val="000000"/>
                <w:sz w:val="22"/>
                <w:szCs w:val="22"/>
                <w:lang w:eastAsia="en-US"/>
              </w:rPr>
              <w:t>W</w:t>
            </w:r>
            <w:r w:rsidR="003C0E43">
              <w:rPr>
                <w:rFonts w:ascii="Calibri" w:hAnsi="Calibri" w:eastAsia="Times New Roman" w:cs="Calibri"/>
                <w:color w:val="000000"/>
                <w:sz w:val="22"/>
                <w:szCs w:val="22"/>
                <w:lang w:eastAsia="en-US"/>
              </w:rPr>
              <w:t>orker</w:t>
            </w:r>
            <w:r w:rsidR="00D417F2">
              <w:rPr>
                <w:rFonts w:ascii="Calibri" w:hAnsi="Calibri" w:eastAsia="Times New Roman" w:cs="Calibri"/>
                <w:color w:val="000000"/>
                <w:sz w:val="22"/>
                <w:szCs w:val="22"/>
                <w:lang w:eastAsia="en-US"/>
              </w:rPr>
              <w:t>*</w:t>
            </w:r>
          </w:p>
        </w:tc>
        <w:tc>
          <w:tcPr>
            <w:tcW w:w="1205" w:type="dxa"/>
            <w:tcBorders>
              <w:top w:val="nil"/>
              <w:left w:val="nil"/>
              <w:bottom w:val="single" w:color="auto" w:sz="8" w:space="0"/>
              <w:right w:val="single" w:color="auto" w:sz="4" w:space="0"/>
            </w:tcBorders>
            <w:shd w:val="clear" w:color="auto" w:fill="auto"/>
            <w:noWrap/>
            <w:vAlign w:val="bottom"/>
            <w:hideMark/>
          </w:tcPr>
          <w:p w:rsidRPr="001635D6" w:rsidR="001635D6" w:rsidP="001635D6" w:rsidRDefault="001635D6" w14:paraId="432730EE" w14:textId="10D6BE6A">
            <w:pPr>
              <w:autoSpaceDE/>
              <w:autoSpaceDN/>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 </w:t>
            </w:r>
            <w:r w:rsidR="003C0E43">
              <w:rPr>
                <w:rFonts w:ascii="Calibri" w:hAnsi="Calibri" w:eastAsia="Times New Roman" w:cs="Calibri"/>
                <w:color w:val="000000"/>
                <w:sz w:val="22"/>
                <w:szCs w:val="22"/>
                <w:lang w:eastAsia="en-US"/>
              </w:rPr>
              <w:t>-------</w:t>
            </w:r>
          </w:p>
        </w:tc>
        <w:tc>
          <w:tcPr>
            <w:tcW w:w="1031" w:type="dxa"/>
            <w:tcBorders>
              <w:top w:val="nil"/>
              <w:left w:val="nil"/>
              <w:bottom w:val="single" w:color="auto" w:sz="8" w:space="0"/>
              <w:right w:val="single" w:color="auto" w:sz="4" w:space="0"/>
            </w:tcBorders>
            <w:shd w:val="clear" w:color="auto" w:fill="auto"/>
            <w:vAlign w:val="center"/>
            <w:hideMark/>
          </w:tcPr>
          <w:p w:rsidRPr="001635D6" w:rsidR="001635D6" w:rsidP="001635D6" w:rsidRDefault="001635D6" w14:paraId="518CE71D" w14:textId="37D04181">
            <w:pPr>
              <w:autoSpaceDE/>
              <w:autoSpaceDN/>
              <w:jc w:val="center"/>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 xml:space="preserve">$21.61 </w:t>
            </w:r>
          </w:p>
        </w:tc>
        <w:tc>
          <w:tcPr>
            <w:tcW w:w="1309" w:type="dxa"/>
            <w:tcBorders>
              <w:top w:val="nil"/>
              <w:left w:val="nil"/>
              <w:bottom w:val="single" w:color="auto" w:sz="8" w:space="0"/>
              <w:right w:val="single" w:color="auto" w:sz="4" w:space="0"/>
            </w:tcBorders>
            <w:shd w:val="clear" w:color="auto" w:fill="auto"/>
            <w:vAlign w:val="center"/>
            <w:hideMark/>
          </w:tcPr>
          <w:p w:rsidRPr="001635D6" w:rsidR="001635D6" w:rsidP="001635D6" w:rsidRDefault="001635D6" w14:paraId="258B1668" w14:textId="4CA2BBC8">
            <w:pPr>
              <w:autoSpaceDE/>
              <w:autoSpaceDN/>
              <w:jc w:val="center"/>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0.7</w:t>
            </w:r>
          </w:p>
        </w:tc>
        <w:tc>
          <w:tcPr>
            <w:tcW w:w="1179" w:type="dxa"/>
            <w:tcBorders>
              <w:top w:val="nil"/>
              <w:left w:val="nil"/>
              <w:bottom w:val="single" w:color="auto" w:sz="8" w:space="0"/>
              <w:right w:val="single" w:color="auto" w:sz="4" w:space="0"/>
            </w:tcBorders>
            <w:shd w:val="clear" w:color="auto" w:fill="auto"/>
            <w:vAlign w:val="center"/>
            <w:hideMark/>
          </w:tcPr>
          <w:p w:rsidRPr="001635D6" w:rsidR="001635D6" w:rsidP="001635D6" w:rsidRDefault="001635D6" w14:paraId="63E76993" w14:textId="27FBEA57">
            <w:pPr>
              <w:autoSpaceDE/>
              <w:autoSpaceDN/>
              <w:jc w:val="center"/>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0.17</w:t>
            </w:r>
          </w:p>
        </w:tc>
        <w:tc>
          <w:tcPr>
            <w:tcW w:w="1341" w:type="dxa"/>
            <w:tcBorders>
              <w:top w:val="nil"/>
              <w:left w:val="nil"/>
              <w:bottom w:val="single" w:color="auto" w:sz="8" w:space="0"/>
              <w:right w:val="single" w:color="auto" w:sz="4" w:space="0"/>
            </w:tcBorders>
            <w:shd w:val="clear" w:color="000000" w:fill="FFFFFF"/>
            <w:vAlign w:val="center"/>
            <w:hideMark/>
          </w:tcPr>
          <w:p w:rsidRPr="001635D6" w:rsidR="001635D6" w:rsidP="001635D6" w:rsidRDefault="001635D6" w14:paraId="3FCA056B" w14:textId="3D37EC77">
            <w:pPr>
              <w:autoSpaceDE/>
              <w:autoSpaceDN/>
              <w:jc w:val="center"/>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 xml:space="preserve">$35.60 </w:t>
            </w:r>
          </w:p>
        </w:tc>
      </w:tr>
      <w:tr w:rsidRPr="001635D6" w:rsidR="00BD20AB" w:rsidTr="00D417F2" w14:paraId="22ED21A4" w14:textId="77777777">
        <w:trPr>
          <w:trHeight w:val="590"/>
        </w:trPr>
        <w:tc>
          <w:tcPr>
            <w:tcW w:w="2925" w:type="dxa"/>
            <w:tcBorders>
              <w:top w:val="nil"/>
              <w:left w:val="single" w:color="auto" w:sz="8" w:space="0"/>
              <w:bottom w:val="single" w:color="auto" w:sz="8" w:space="0"/>
              <w:right w:val="single" w:color="auto" w:sz="8" w:space="0"/>
            </w:tcBorders>
            <w:shd w:val="clear" w:color="auto" w:fill="auto"/>
            <w:vAlign w:val="center"/>
            <w:hideMark/>
          </w:tcPr>
          <w:p w:rsidRPr="001635D6" w:rsidR="001635D6" w:rsidP="001635D6" w:rsidRDefault="001635D6" w14:paraId="334AACC2" w14:textId="77777777">
            <w:pPr>
              <w:autoSpaceDE/>
              <w:autoSpaceDN/>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Human Resources (HR) Manager</w:t>
            </w:r>
          </w:p>
        </w:tc>
        <w:tc>
          <w:tcPr>
            <w:tcW w:w="1205" w:type="dxa"/>
            <w:tcBorders>
              <w:top w:val="nil"/>
              <w:left w:val="nil"/>
              <w:bottom w:val="single" w:color="auto" w:sz="8" w:space="0"/>
              <w:right w:val="single" w:color="auto" w:sz="8" w:space="0"/>
            </w:tcBorders>
            <w:shd w:val="clear" w:color="auto" w:fill="auto"/>
            <w:vAlign w:val="center"/>
            <w:hideMark/>
          </w:tcPr>
          <w:p w:rsidRPr="001635D6" w:rsidR="001635D6" w:rsidP="00D417F2" w:rsidRDefault="00AA6319" w14:paraId="52D25894" w14:textId="7D83001D">
            <w:pPr>
              <w:autoSpaceDE/>
              <w:autoSpaceDN/>
              <w:jc w:val="center"/>
              <w:rPr>
                <w:rFonts w:ascii="Calibri" w:hAnsi="Calibri" w:eastAsia="Times New Roman" w:cs="Calibri"/>
                <w:color w:val="000000"/>
                <w:sz w:val="22"/>
                <w:szCs w:val="22"/>
                <w:lang w:eastAsia="en-US"/>
              </w:rPr>
            </w:pPr>
            <w:r>
              <w:rPr>
                <w:rFonts w:ascii="Calibri" w:hAnsi="Calibri" w:eastAsia="Times New Roman" w:cs="Calibri"/>
                <w:color w:val="000000"/>
                <w:sz w:val="22"/>
                <w:szCs w:val="22"/>
                <w:lang w:eastAsia="en-US"/>
              </w:rPr>
              <w:t>11-3121</w:t>
            </w:r>
          </w:p>
        </w:tc>
        <w:tc>
          <w:tcPr>
            <w:tcW w:w="1031" w:type="dxa"/>
            <w:tcBorders>
              <w:top w:val="nil"/>
              <w:left w:val="nil"/>
              <w:bottom w:val="single" w:color="auto" w:sz="8" w:space="0"/>
              <w:right w:val="single" w:color="auto" w:sz="8" w:space="0"/>
            </w:tcBorders>
            <w:shd w:val="clear" w:color="auto" w:fill="auto"/>
            <w:vAlign w:val="center"/>
            <w:hideMark/>
          </w:tcPr>
          <w:p w:rsidRPr="001635D6" w:rsidR="001635D6" w:rsidP="001635D6" w:rsidRDefault="001635D6" w14:paraId="6A9D1841" w14:textId="77777777">
            <w:pPr>
              <w:autoSpaceDE/>
              <w:autoSpaceDN/>
              <w:jc w:val="center"/>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 xml:space="preserve">$62.29 </w:t>
            </w:r>
          </w:p>
        </w:tc>
        <w:tc>
          <w:tcPr>
            <w:tcW w:w="1309" w:type="dxa"/>
            <w:tcBorders>
              <w:top w:val="nil"/>
              <w:left w:val="nil"/>
              <w:bottom w:val="single" w:color="auto" w:sz="8" w:space="0"/>
              <w:right w:val="single" w:color="auto" w:sz="8" w:space="0"/>
            </w:tcBorders>
            <w:shd w:val="clear" w:color="auto" w:fill="auto"/>
            <w:vAlign w:val="center"/>
            <w:hideMark/>
          </w:tcPr>
          <w:p w:rsidRPr="001635D6" w:rsidR="001635D6" w:rsidP="001635D6" w:rsidRDefault="001635D6" w14:paraId="27B8646F" w14:textId="77777777">
            <w:pPr>
              <w:autoSpaceDE/>
              <w:autoSpaceDN/>
              <w:jc w:val="center"/>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0.6925</w:t>
            </w:r>
          </w:p>
        </w:tc>
        <w:tc>
          <w:tcPr>
            <w:tcW w:w="1179" w:type="dxa"/>
            <w:tcBorders>
              <w:top w:val="nil"/>
              <w:left w:val="nil"/>
              <w:bottom w:val="single" w:color="auto" w:sz="8" w:space="0"/>
              <w:right w:val="single" w:color="auto" w:sz="8" w:space="0"/>
            </w:tcBorders>
            <w:shd w:val="clear" w:color="auto" w:fill="auto"/>
            <w:vAlign w:val="center"/>
            <w:hideMark/>
          </w:tcPr>
          <w:p w:rsidRPr="001635D6" w:rsidR="001635D6" w:rsidP="001635D6" w:rsidRDefault="001635D6" w14:paraId="67F1C299" w14:textId="77777777">
            <w:pPr>
              <w:autoSpaceDE/>
              <w:autoSpaceDN/>
              <w:jc w:val="center"/>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0.17</w:t>
            </w:r>
          </w:p>
        </w:tc>
        <w:tc>
          <w:tcPr>
            <w:tcW w:w="1341" w:type="dxa"/>
            <w:tcBorders>
              <w:top w:val="nil"/>
              <w:left w:val="nil"/>
              <w:bottom w:val="single" w:color="auto" w:sz="8" w:space="0"/>
              <w:right w:val="single" w:color="auto" w:sz="8" w:space="0"/>
            </w:tcBorders>
            <w:shd w:val="clear" w:color="auto" w:fill="auto"/>
            <w:vAlign w:val="center"/>
            <w:hideMark/>
          </w:tcPr>
          <w:p w:rsidRPr="001635D6" w:rsidR="001635D6" w:rsidP="001635D6" w:rsidRDefault="001635D6" w14:paraId="40C36457" w14:textId="77777777">
            <w:pPr>
              <w:autoSpaceDE/>
              <w:autoSpaceDN/>
              <w:jc w:val="center"/>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 xml:space="preserve">$100.54 </w:t>
            </w:r>
          </w:p>
        </w:tc>
      </w:tr>
      <w:tr w:rsidRPr="001635D6" w:rsidR="001635D6" w:rsidTr="007576C4" w14:paraId="44775A55" w14:textId="77777777">
        <w:trPr>
          <w:trHeight w:val="590"/>
        </w:trPr>
        <w:tc>
          <w:tcPr>
            <w:tcW w:w="2925" w:type="dxa"/>
            <w:tcBorders>
              <w:top w:val="nil"/>
              <w:left w:val="single" w:color="auto" w:sz="4" w:space="0"/>
              <w:bottom w:val="single" w:color="auto" w:sz="8" w:space="0"/>
              <w:right w:val="single" w:color="auto" w:sz="4" w:space="0"/>
            </w:tcBorders>
            <w:shd w:val="clear" w:color="auto" w:fill="auto"/>
            <w:vAlign w:val="center"/>
            <w:hideMark/>
          </w:tcPr>
          <w:p w:rsidRPr="001635D6" w:rsidR="001635D6" w:rsidP="001635D6" w:rsidRDefault="001635D6" w14:paraId="7FD821C3" w14:textId="77777777">
            <w:pPr>
              <w:autoSpaceDE/>
              <w:autoSpaceDN/>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General and Operation (GO) Manager</w:t>
            </w:r>
          </w:p>
        </w:tc>
        <w:tc>
          <w:tcPr>
            <w:tcW w:w="1205" w:type="dxa"/>
            <w:tcBorders>
              <w:top w:val="nil"/>
              <w:left w:val="nil"/>
              <w:bottom w:val="single" w:color="auto" w:sz="8" w:space="0"/>
              <w:right w:val="single" w:color="auto" w:sz="4" w:space="0"/>
            </w:tcBorders>
            <w:shd w:val="clear" w:color="auto" w:fill="auto"/>
            <w:noWrap/>
            <w:vAlign w:val="bottom"/>
            <w:hideMark/>
          </w:tcPr>
          <w:p w:rsidRPr="001635D6" w:rsidR="001635D6" w:rsidP="00D417F2" w:rsidRDefault="001635D6" w14:paraId="2194294E" w14:textId="77777777">
            <w:pPr>
              <w:autoSpaceDE/>
              <w:autoSpaceDN/>
              <w:jc w:val="center"/>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11-1020</w:t>
            </w:r>
          </w:p>
        </w:tc>
        <w:tc>
          <w:tcPr>
            <w:tcW w:w="1031" w:type="dxa"/>
            <w:tcBorders>
              <w:top w:val="nil"/>
              <w:left w:val="nil"/>
              <w:bottom w:val="single" w:color="auto" w:sz="8" w:space="0"/>
              <w:right w:val="single" w:color="auto" w:sz="4" w:space="0"/>
            </w:tcBorders>
            <w:shd w:val="clear" w:color="auto" w:fill="auto"/>
            <w:vAlign w:val="center"/>
            <w:hideMark/>
          </w:tcPr>
          <w:p w:rsidRPr="001635D6" w:rsidR="001635D6" w:rsidP="001635D6" w:rsidRDefault="001635D6" w14:paraId="4C016BBA" w14:textId="77777777">
            <w:pPr>
              <w:autoSpaceDE/>
              <w:autoSpaceDN/>
              <w:jc w:val="center"/>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 xml:space="preserve">$53.58 </w:t>
            </w:r>
          </w:p>
        </w:tc>
        <w:tc>
          <w:tcPr>
            <w:tcW w:w="1309" w:type="dxa"/>
            <w:tcBorders>
              <w:top w:val="nil"/>
              <w:left w:val="nil"/>
              <w:bottom w:val="single" w:color="auto" w:sz="8" w:space="0"/>
              <w:right w:val="single" w:color="auto" w:sz="4" w:space="0"/>
            </w:tcBorders>
            <w:shd w:val="clear" w:color="auto" w:fill="auto"/>
            <w:vAlign w:val="center"/>
            <w:hideMark/>
          </w:tcPr>
          <w:p w:rsidRPr="001635D6" w:rsidR="001635D6" w:rsidP="001635D6" w:rsidRDefault="001635D6" w14:paraId="6D8EA8F7" w14:textId="77777777">
            <w:pPr>
              <w:autoSpaceDE/>
              <w:autoSpaceDN/>
              <w:jc w:val="center"/>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0.7</w:t>
            </w:r>
          </w:p>
        </w:tc>
        <w:tc>
          <w:tcPr>
            <w:tcW w:w="1179" w:type="dxa"/>
            <w:tcBorders>
              <w:top w:val="nil"/>
              <w:left w:val="nil"/>
              <w:bottom w:val="single" w:color="auto" w:sz="8" w:space="0"/>
              <w:right w:val="single" w:color="auto" w:sz="4" w:space="0"/>
            </w:tcBorders>
            <w:shd w:val="clear" w:color="auto" w:fill="auto"/>
            <w:vAlign w:val="center"/>
            <w:hideMark/>
          </w:tcPr>
          <w:p w:rsidRPr="001635D6" w:rsidR="001635D6" w:rsidP="001635D6" w:rsidRDefault="001635D6" w14:paraId="14F5093D" w14:textId="77777777">
            <w:pPr>
              <w:autoSpaceDE/>
              <w:autoSpaceDN/>
              <w:jc w:val="center"/>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0.17</w:t>
            </w:r>
          </w:p>
        </w:tc>
        <w:tc>
          <w:tcPr>
            <w:tcW w:w="1341" w:type="dxa"/>
            <w:tcBorders>
              <w:top w:val="nil"/>
              <w:left w:val="nil"/>
              <w:bottom w:val="single" w:color="auto" w:sz="8" w:space="0"/>
              <w:right w:val="single" w:color="auto" w:sz="4" w:space="0"/>
            </w:tcBorders>
            <w:shd w:val="clear" w:color="000000" w:fill="FFFFFF"/>
            <w:vAlign w:val="center"/>
            <w:hideMark/>
          </w:tcPr>
          <w:p w:rsidRPr="001635D6" w:rsidR="001635D6" w:rsidP="001635D6" w:rsidRDefault="001635D6" w14:paraId="1770263B" w14:textId="77777777">
            <w:pPr>
              <w:autoSpaceDE/>
              <w:autoSpaceDN/>
              <w:jc w:val="center"/>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 xml:space="preserve">$88.16 </w:t>
            </w:r>
          </w:p>
        </w:tc>
      </w:tr>
      <w:tr w:rsidRPr="001635D6" w:rsidR="001635D6" w:rsidTr="007576C4" w14:paraId="23D714EE" w14:textId="77777777">
        <w:trPr>
          <w:trHeight w:val="590"/>
        </w:trPr>
        <w:tc>
          <w:tcPr>
            <w:tcW w:w="2925" w:type="dxa"/>
            <w:tcBorders>
              <w:top w:val="nil"/>
              <w:left w:val="single" w:color="auto" w:sz="4" w:space="0"/>
              <w:bottom w:val="single" w:color="auto" w:sz="8" w:space="0"/>
              <w:right w:val="single" w:color="auto" w:sz="4" w:space="0"/>
            </w:tcBorders>
            <w:shd w:val="clear" w:color="auto" w:fill="auto"/>
            <w:vAlign w:val="center"/>
            <w:hideMark/>
          </w:tcPr>
          <w:p w:rsidRPr="001635D6" w:rsidR="001635D6" w:rsidP="001635D6" w:rsidRDefault="001635D6" w14:paraId="31D151DC" w14:textId="77777777">
            <w:pPr>
              <w:autoSpaceDE/>
              <w:autoSpaceDN/>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Information and Records (IR) Clerk</w:t>
            </w:r>
          </w:p>
        </w:tc>
        <w:tc>
          <w:tcPr>
            <w:tcW w:w="1205" w:type="dxa"/>
            <w:tcBorders>
              <w:top w:val="nil"/>
              <w:left w:val="nil"/>
              <w:bottom w:val="single" w:color="auto" w:sz="8" w:space="0"/>
              <w:right w:val="single" w:color="auto" w:sz="4" w:space="0"/>
            </w:tcBorders>
            <w:shd w:val="clear" w:color="auto" w:fill="auto"/>
            <w:vAlign w:val="center"/>
            <w:hideMark/>
          </w:tcPr>
          <w:p w:rsidRPr="001635D6" w:rsidR="001635D6" w:rsidP="00D417F2" w:rsidRDefault="001635D6" w14:paraId="463E3CBD" w14:textId="77777777">
            <w:pPr>
              <w:autoSpaceDE/>
              <w:autoSpaceDN/>
              <w:jc w:val="center"/>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43-4000</w:t>
            </w:r>
          </w:p>
        </w:tc>
        <w:tc>
          <w:tcPr>
            <w:tcW w:w="1031" w:type="dxa"/>
            <w:tcBorders>
              <w:top w:val="nil"/>
              <w:left w:val="nil"/>
              <w:bottom w:val="single" w:color="auto" w:sz="8" w:space="0"/>
              <w:right w:val="single" w:color="auto" w:sz="4" w:space="0"/>
            </w:tcBorders>
            <w:shd w:val="clear" w:color="auto" w:fill="auto"/>
            <w:vAlign w:val="center"/>
            <w:hideMark/>
          </w:tcPr>
          <w:p w:rsidRPr="001635D6" w:rsidR="001635D6" w:rsidP="001635D6" w:rsidRDefault="001635D6" w14:paraId="5CACF401" w14:textId="77777777">
            <w:pPr>
              <w:autoSpaceDE/>
              <w:autoSpaceDN/>
              <w:jc w:val="center"/>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 xml:space="preserve">$21.47 </w:t>
            </w:r>
          </w:p>
        </w:tc>
        <w:tc>
          <w:tcPr>
            <w:tcW w:w="1309" w:type="dxa"/>
            <w:tcBorders>
              <w:top w:val="nil"/>
              <w:left w:val="nil"/>
              <w:bottom w:val="single" w:color="auto" w:sz="8" w:space="0"/>
              <w:right w:val="single" w:color="auto" w:sz="4" w:space="0"/>
            </w:tcBorders>
            <w:shd w:val="clear" w:color="auto" w:fill="auto"/>
            <w:vAlign w:val="center"/>
            <w:hideMark/>
          </w:tcPr>
          <w:p w:rsidRPr="001635D6" w:rsidR="001635D6" w:rsidP="001635D6" w:rsidRDefault="001635D6" w14:paraId="72199FEE" w14:textId="77777777">
            <w:pPr>
              <w:autoSpaceDE/>
              <w:autoSpaceDN/>
              <w:jc w:val="center"/>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0.7</w:t>
            </w:r>
          </w:p>
        </w:tc>
        <w:tc>
          <w:tcPr>
            <w:tcW w:w="1179" w:type="dxa"/>
            <w:tcBorders>
              <w:top w:val="nil"/>
              <w:left w:val="nil"/>
              <w:bottom w:val="single" w:color="auto" w:sz="8" w:space="0"/>
              <w:right w:val="single" w:color="auto" w:sz="4" w:space="0"/>
            </w:tcBorders>
            <w:shd w:val="clear" w:color="auto" w:fill="auto"/>
            <w:vAlign w:val="center"/>
            <w:hideMark/>
          </w:tcPr>
          <w:p w:rsidRPr="001635D6" w:rsidR="001635D6" w:rsidP="001635D6" w:rsidRDefault="001635D6" w14:paraId="5C1957EF" w14:textId="77777777">
            <w:pPr>
              <w:autoSpaceDE/>
              <w:autoSpaceDN/>
              <w:jc w:val="center"/>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0.17</w:t>
            </w:r>
          </w:p>
        </w:tc>
        <w:tc>
          <w:tcPr>
            <w:tcW w:w="1341" w:type="dxa"/>
            <w:tcBorders>
              <w:top w:val="nil"/>
              <w:left w:val="nil"/>
              <w:bottom w:val="single" w:color="auto" w:sz="8" w:space="0"/>
              <w:right w:val="single" w:color="auto" w:sz="4" w:space="0"/>
            </w:tcBorders>
            <w:shd w:val="clear" w:color="000000" w:fill="FFFFFF"/>
            <w:vAlign w:val="center"/>
            <w:hideMark/>
          </w:tcPr>
          <w:p w:rsidRPr="001635D6" w:rsidR="001635D6" w:rsidP="001635D6" w:rsidRDefault="001635D6" w14:paraId="534F4A02" w14:textId="77777777">
            <w:pPr>
              <w:autoSpaceDE/>
              <w:autoSpaceDN/>
              <w:jc w:val="center"/>
              <w:rPr>
                <w:rFonts w:ascii="Calibri" w:hAnsi="Calibri" w:eastAsia="Times New Roman" w:cs="Calibri"/>
                <w:color w:val="000000"/>
                <w:sz w:val="22"/>
                <w:szCs w:val="22"/>
                <w:lang w:eastAsia="en-US"/>
              </w:rPr>
            </w:pPr>
            <w:r w:rsidRPr="001635D6">
              <w:rPr>
                <w:rFonts w:ascii="Calibri" w:hAnsi="Calibri" w:eastAsia="Times New Roman" w:cs="Calibri"/>
                <w:color w:val="000000"/>
                <w:sz w:val="22"/>
                <w:szCs w:val="22"/>
                <w:lang w:eastAsia="en-US"/>
              </w:rPr>
              <w:t xml:space="preserve">$36.94 </w:t>
            </w:r>
          </w:p>
        </w:tc>
      </w:tr>
      <w:tr w:rsidRPr="001635D6" w:rsidR="00BD20AB" w:rsidTr="00D417F2" w14:paraId="08D3149E" w14:textId="45AE79C1">
        <w:trPr>
          <w:trHeight w:val="300"/>
        </w:trPr>
        <w:tc>
          <w:tcPr>
            <w:tcW w:w="2925" w:type="dxa"/>
            <w:tcBorders>
              <w:top w:val="nil"/>
              <w:left w:val="single" w:color="auto" w:sz="8" w:space="0"/>
              <w:bottom w:val="single" w:color="auto" w:sz="8" w:space="0"/>
              <w:right w:val="single" w:color="auto" w:sz="8" w:space="0"/>
            </w:tcBorders>
            <w:shd w:val="clear" w:color="auto" w:fill="auto"/>
            <w:vAlign w:val="center"/>
            <w:hideMark/>
          </w:tcPr>
          <w:p w:rsidRPr="0020767A" w:rsidR="001635D6" w:rsidP="001635D6" w:rsidRDefault="001635D6" w14:paraId="0D4ABF03" w14:textId="76DDFB05">
            <w:pPr>
              <w:autoSpaceDE/>
              <w:autoSpaceDN/>
              <w:rPr>
                <w:rFonts w:ascii="Calibri" w:hAnsi="Calibri" w:eastAsia="Times New Roman" w:cs="Calibri"/>
                <w:color w:val="000000"/>
                <w:sz w:val="22"/>
                <w:szCs w:val="22"/>
                <w:lang w:eastAsia="en-US"/>
              </w:rPr>
            </w:pPr>
            <w:r w:rsidRPr="0020767A">
              <w:rPr>
                <w:rFonts w:ascii="Calibri" w:hAnsi="Calibri" w:eastAsia="Times New Roman" w:cs="Calibri"/>
                <w:color w:val="000000"/>
                <w:sz w:val="22"/>
                <w:szCs w:val="22"/>
                <w:lang w:eastAsia="en-US"/>
              </w:rPr>
              <w:t>General Office Clerk</w:t>
            </w:r>
          </w:p>
        </w:tc>
        <w:tc>
          <w:tcPr>
            <w:tcW w:w="1205" w:type="dxa"/>
            <w:tcBorders>
              <w:top w:val="nil"/>
              <w:left w:val="nil"/>
              <w:bottom w:val="single" w:color="auto" w:sz="8" w:space="0"/>
              <w:right w:val="single" w:color="auto" w:sz="8" w:space="0"/>
            </w:tcBorders>
            <w:shd w:val="clear" w:color="auto" w:fill="auto"/>
            <w:vAlign w:val="center"/>
            <w:hideMark/>
          </w:tcPr>
          <w:p w:rsidRPr="0020767A" w:rsidR="001635D6" w:rsidP="00D417F2" w:rsidRDefault="001635D6" w14:paraId="078E93AF" w14:textId="765616DA">
            <w:pPr>
              <w:autoSpaceDE/>
              <w:autoSpaceDN/>
              <w:jc w:val="center"/>
              <w:rPr>
                <w:rFonts w:ascii="Calibri" w:hAnsi="Calibri" w:eastAsia="Times New Roman" w:cs="Calibri"/>
                <w:color w:val="000000"/>
                <w:sz w:val="22"/>
                <w:szCs w:val="22"/>
                <w:lang w:eastAsia="en-US"/>
              </w:rPr>
            </w:pPr>
            <w:r w:rsidRPr="0020767A">
              <w:rPr>
                <w:rFonts w:ascii="Calibri" w:hAnsi="Calibri" w:eastAsia="Times New Roman" w:cs="Calibri"/>
                <w:color w:val="000000"/>
                <w:sz w:val="22"/>
                <w:szCs w:val="22"/>
                <w:lang w:eastAsia="en-US"/>
              </w:rPr>
              <w:t>43-9061</w:t>
            </w:r>
          </w:p>
        </w:tc>
        <w:tc>
          <w:tcPr>
            <w:tcW w:w="1031" w:type="dxa"/>
            <w:tcBorders>
              <w:top w:val="nil"/>
              <w:left w:val="nil"/>
              <w:bottom w:val="single" w:color="auto" w:sz="8" w:space="0"/>
              <w:right w:val="single" w:color="auto" w:sz="8" w:space="0"/>
            </w:tcBorders>
            <w:shd w:val="clear" w:color="auto" w:fill="auto"/>
            <w:vAlign w:val="center"/>
            <w:hideMark/>
          </w:tcPr>
          <w:p w:rsidRPr="0020767A" w:rsidR="001635D6" w:rsidP="001635D6" w:rsidRDefault="001635D6" w14:paraId="03C45FE5" w14:textId="22AB6E15">
            <w:pPr>
              <w:autoSpaceDE/>
              <w:autoSpaceDN/>
              <w:jc w:val="center"/>
              <w:rPr>
                <w:rFonts w:ascii="Calibri" w:hAnsi="Calibri" w:eastAsia="Times New Roman" w:cs="Calibri"/>
                <w:color w:val="000000"/>
                <w:sz w:val="22"/>
                <w:szCs w:val="22"/>
                <w:lang w:eastAsia="en-US"/>
              </w:rPr>
            </w:pPr>
            <w:r w:rsidRPr="0020767A">
              <w:rPr>
                <w:rFonts w:ascii="Calibri" w:hAnsi="Calibri" w:eastAsia="Times New Roman" w:cs="Calibri"/>
                <w:color w:val="000000"/>
                <w:sz w:val="22"/>
                <w:szCs w:val="22"/>
                <w:lang w:eastAsia="en-US"/>
              </w:rPr>
              <w:t xml:space="preserve">$17.48 </w:t>
            </w:r>
          </w:p>
        </w:tc>
        <w:tc>
          <w:tcPr>
            <w:tcW w:w="1309" w:type="dxa"/>
            <w:tcBorders>
              <w:top w:val="nil"/>
              <w:left w:val="nil"/>
              <w:bottom w:val="single" w:color="auto" w:sz="8" w:space="0"/>
              <w:right w:val="single" w:color="auto" w:sz="8" w:space="0"/>
            </w:tcBorders>
            <w:shd w:val="clear" w:color="auto" w:fill="auto"/>
            <w:vAlign w:val="center"/>
            <w:hideMark/>
          </w:tcPr>
          <w:p w:rsidRPr="00D417F2" w:rsidR="001635D6" w:rsidP="001635D6" w:rsidRDefault="001635D6" w14:paraId="1F9F73F7" w14:textId="2A167416">
            <w:pPr>
              <w:autoSpaceDE/>
              <w:autoSpaceDN/>
              <w:jc w:val="center"/>
              <w:rPr>
                <w:rFonts w:ascii="Calibri" w:hAnsi="Calibri" w:eastAsia="Times New Roman" w:cs="Calibri"/>
                <w:color w:val="000000"/>
                <w:sz w:val="22"/>
                <w:szCs w:val="22"/>
                <w:lang w:eastAsia="en-US"/>
              </w:rPr>
            </w:pPr>
            <w:r w:rsidRPr="00D417F2">
              <w:rPr>
                <w:rFonts w:ascii="Calibri" w:hAnsi="Calibri" w:eastAsia="Times New Roman" w:cs="Calibri"/>
                <w:color w:val="000000"/>
                <w:sz w:val="22"/>
                <w:szCs w:val="22"/>
                <w:lang w:eastAsia="en-US"/>
              </w:rPr>
              <w:t>0.6925</w:t>
            </w:r>
          </w:p>
        </w:tc>
        <w:tc>
          <w:tcPr>
            <w:tcW w:w="1179" w:type="dxa"/>
            <w:tcBorders>
              <w:top w:val="nil"/>
              <w:left w:val="nil"/>
              <w:bottom w:val="single" w:color="auto" w:sz="8" w:space="0"/>
              <w:right w:val="single" w:color="auto" w:sz="8" w:space="0"/>
            </w:tcBorders>
            <w:shd w:val="clear" w:color="auto" w:fill="auto"/>
            <w:vAlign w:val="center"/>
            <w:hideMark/>
          </w:tcPr>
          <w:p w:rsidRPr="00D417F2" w:rsidR="001635D6" w:rsidP="001635D6" w:rsidRDefault="001635D6" w14:paraId="43307ECE" w14:textId="7FC7ADD1">
            <w:pPr>
              <w:autoSpaceDE/>
              <w:autoSpaceDN/>
              <w:jc w:val="center"/>
              <w:rPr>
                <w:rFonts w:ascii="Calibri" w:hAnsi="Calibri" w:eastAsia="Times New Roman" w:cs="Calibri"/>
                <w:color w:val="000000"/>
                <w:sz w:val="22"/>
                <w:szCs w:val="22"/>
                <w:lang w:eastAsia="en-US"/>
              </w:rPr>
            </w:pPr>
            <w:r w:rsidRPr="00D417F2">
              <w:rPr>
                <w:rFonts w:ascii="Calibri" w:hAnsi="Calibri" w:eastAsia="Times New Roman" w:cs="Calibri"/>
                <w:color w:val="000000"/>
                <w:sz w:val="22"/>
                <w:szCs w:val="22"/>
                <w:lang w:eastAsia="en-US"/>
              </w:rPr>
              <w:t>0.17</w:t>
            </w:r>
          </w:p>
        </w:tc>
        <w:tc>
          <w:tcPr>
            <w:tcW w:w="1341" w:type="dxa"/>
            <w:tcBorders>
              <w:top w:val="nil"/>
              <w:left w:val="nil"/>
              <w:bottom w:val="single" w:color="auto" w:sz="8" w:space="0"/>
              <w:right w:val="single" w:color="auto" w:sz="8" w:space="0"/>
            </w:tcBorders>
            <w:shd w:val="clear" w:color="auto" w:fill="auto"/>
            <w:vAlign w:val="center"/>
            <w:hideMark/>
          </w:tcPr>
          <w:p w:rsidRPr="00D417F2" w:rsidR="001635D6" w:rsidP="001635D6" w:rsidRDefault="001635D6" w14:paraId="367D87E4" w14:textId="5E7B9275">
            <w:pPr>
              <w:autoSpaceDE/>
              <w:autoSpaceDN/>
              <w:jc w:val="center"/>
              <w:rPr>
                <w:rFonts w:ascii="Calibri" w:hAnsi="Calibri" w:eastAsia="Times New Roman" w:cs="Calibri"/>
                <w:color w:val="000000"/>
                <w:sz w:val="22"/>
                <w:szCs w:val="22"/>
                <w:lang w:eastAsia="en-US"/>
              </w:rPr>
            </w:pPr>
            <w:r w:rsidRPr="00D417F2">
              <w:rPr>
                <w:rFonts w:ascii="Calibri" w:hAnsi="Calibri" w:eastAsia="Times New Roman" w:cs="Calibri"/>
                <w:color w:val="000000"/>
                <w:sz w:val="22"/>
                <w:szCs w:val="22"/>
                <w:lang w:eastAsia="en-US"/>
              </w:rPr>
              <w:t xml:space="preserve">$28.21 </w:t>
            </w:r>
          </w:p>
        </w:tc>
      </w:tr>
    </w:tbl>
    <w:p w:rsidR="006C2FC3" w:rsidP="00A222D4" w:rsidRDefault="00D417F2" w14:paraId="4459AF73" w14:textId="0D29D3E9">
      <w:pPr>
        <w:outlineLvl w:val="4"/>
        <w:rPr>
          <w:rFonts w:eastAsia="Arial Unicode MS"/>
          <w:color w:val="000000"/>
        </w:rPr>
      </w:pPr>
      <w:r>
        <w:rPr>
          <w:rFonts w:eastAsia="Arial Unicode MS"/>
          <w:color w:val="000000"/>
        </w:rPr>
        <w:t xml:space="preserve">* </w:t>
      </w:r>
      <w:r w:rsidR="003941A4">
        <w:rPr>
          <w:rFonts w:eastAsia="Arial Unicode MS"/>
          <w:color w:val="000000"/>
        </w:rPr>
        <w:t xml:space="preserve">This wage rate is a </w:t>
      </w:r>
      <w:r w:rsidR="009D1FB5">
        <w:rPr>
          <w:rFonts w:eastAsia="Arial Unicode MS"/>
          <w:color w:val="000000"/>
        </w:rPr>
        <w:t xml:space="preserve">weighted average </w:t>
      </w:r>
      <w:r w:rsidR="00770034">
        <w:rPr>
          <w:rFonts w:eastAsia="Arial Unicode MS"/>
          <w:color w:val="000000"/>
        </w:rPr>
        <w:t>of all employees across all industries</w:t>
      </w:r>
      <w:r w:rsidR="009D1FB5">
        <w:rPr>
          <w:rFonts w:eastAsia="Arial Unicode MS"/>
          <w:color w:val="000000"/>
        </w:rPr>
        <w:t>.</w:t>
      </w:r>
      <w:r w:rsidR="00B63C7C">
        <w:rPr>
          <w:rFonts w:eastAsia="Arial Unicode MS"/>
          <w:color w:val="000000"/>
        </w:rPr>
        <w:t xml:space="preserve"> Source: ETS Economic Analysis Spreadsheets</w:t>
      </w:r>
      <w:r w:rsidR="00770034">
        <w:rPr>
          <w:rFonts w:eastAsia="Arial Unicode MS"/>
          <w:color w:val="000000"/>
        </w:rPr>
        <w:t>,</w:t>
      </w:r>
      <w:r w:rsidR="00B63C7C">
        <w:rPr>
          <w:rFonts w:eastAsia="Arial Unicode MS"/>
          <w:color w:val="000000"/>
        </w:rPr>
        <w:t xml:space="preserve"> under the “Labor Wage” tab.</w:t>
      </w:r>
    </w:p>
    <w:p w:rsidRPr="00D417F2" w:rsidR="009D1FB5" w:rsidP="00A222D4" w:rsidRDefault="009D1FB5" w14:paraId="326CE016" w14:textId="63EB1EA0">
      <w:pPr>
        <w:outlineLvl w:val="4"/>
        <w:rPr>
          <w:rFonts w:eastAsia="Arial Unicode MS"/>
          <w:color w:val="000000"/>
        </w:rPr>
      </w:pPr>
      <w:r>
        <w:rPr>
          <w:rFonts w:eastAsia="Arial Unicode MS"/>
          <w:color w:val="000000"/>
        </w:rPr>
        <w:t xml:space="preserve"> </w:t>
      </w:r>
    </w:p>
    <w:p w:rsidRPr="00394886" w:rsidR="0046649C" w:rsidP="00225FD4" w:rsidRDefault="0046649C" w14:paraId="6182222A" w14:textId="3CE61CE2">
      <w:pPr>
        <w:ind w:left="360"/>
        <w:rPr>
          <w:rFonts w:eastAsia="Arial Unicode MS"/>
          <w:color w:val="000000"/>
        </w:rPr>
      </w:pPr>
    </w:p>
    <w:p w:rsidR="00C05411" w:rsidP="00915585" w:rsidRDefault="00C05411" w14:paraId="52A87D6D" w14:textId="1C341D11">
      <w:pPr>
        <w:outlineLvl w:val="4"/>
        <w:rPr>
          <w:rFonts w:eastAsia="Arial Unicode MS"/>
          <w:b/>
          <w:color w:val="000000"/>
        </w:rPr>
      </w:pPr>
      <w:r w:rsidRPr="00394886">
        <w:rPr>
          <w:rFonts w:eastAsia="Arial Unicode MS"/>
          <w:b/>
          <w:color w:val="000000"/>
        </w:rPr>
        <w:t>§1910.502</w:t>
      </w:r>
      <w:r>
        <w:rPr>
          <w:rFonts w:eastAsia="Arial Unicode MS"/>
          <w:b/>
          <w:color w:val="000000"/>
        </w:rPr>
        <w:t xml:space="preserve"> – Healthcare and Associate Industries</w:t>
      </w:r>
      <w:r w:rsidRPr="00394886">
        <w:rPr>
          <w:rFonts w:eastAsia="Arial Unicode MS"/>
          <w:b/>
          <w:color w:val="000000"/>
        </w:rPr>
        <w:t>.</w:t>
      </w:r>
    </w:p>
    <w:p w:rsidRPr="00631E3D" w:rsidR="00C05411" w:rsidP="00631E3D" w:rsidRDefault="00C05411" w14:paraId="24E09F55" w14:textId="77777777">
      <w:pPr>
        <w:pStyle w:val="Heading7"/>
        <w:numPr>
          <w:ilvl w:val="6"/>
          <w:numId w:val="20"/>
        </w:numPr>
        <w:rPr>
          <w:rFonts w:ascii="Times New Roman" w:hAnsi="Times New Roman"/>
        </w:rPr>
      </w:pPr>
      <w:r w:rsidRPr="00631E3D">
        <w:rPr>
          <w:rFonts w:ascii="Times New Roman" w:hAnsi="Times New Roman"/>
          <w:b/>
        </w:rPr>
        <w:t>COVID-19 plan</w:t>
      </w:r>
      <w:r w:rsidRPr="00631E3D">
        <w:rPr>
          <w:rFonts w:ascii="Times New Roman" w:hAnsi="Times New Roman"/>
        </w:rPr>
        <w:t xml:space="preserve">. </w:t>
      </w:r>
    </w:p>
    <w:p w:rsidR="00C05411" w:rsidP="00C05411" w:rsidRDefault="00C05411" w14:paraId="584D4676" w14:textId="77777777">
      <w:pPr>
        <w:pStyle w:val="NoSpacing"/>
        <w:rPr>
          <w:rFonts w:ascii="Times New Roman" w:hAnsi="Times New Roman" w:cs="Times New Roman"/>
          <w:sz w:val="24"/>
          <w:szCs w:val="24"/>
        </w:rPr>
      </w:pPr>
    </w:p>
    <w:p w:rsidRPr="00394886" w:rsidR="00C05411" w:rsidP="00C05411" w:rsidRDefault="00C05411" w14:paraId="2794FAC1" w14:textId="77777777">
      <w:pPr>
        <w:pStyle w:val="NoSpacing"/>
        <w:rPr>
          <w:rFonts w:ascii="Times New Roman" w:hAnsi="Times New Roman" w:cs="Times New Roman"/>
          <w:sz w:val="24"/>
          <w:szCs w:val="24"/>
        </w:rPr>
      </w:pPr>
      <w:r w:rsidRPr="001401D5">
        <w:rPr>
          <w:rFonts w:ascii="Times New Roman" w:hAnsi="Times New Roman" w:cs="Times New Roman"/>
          <w:b/>
          <w:sz w:val="24"/>
          <w:szCs w:val="24"/>
        </w:rPr>
        <w:t>§1910.502(c)</w:t>
      </w:r>
      <w:r>
        <w:rPr>
          <w:rFonts w:ascii="Times New Roman" w:hAnsi="Times New Roman" w:cs="Times New Roman"/>
          <w:b/>
          <w:sz w:val="24"/>
          <w:szCs w:val="24"/>
        </w:rPr>
        <w:t>(1)(2)&amp;(3)</w:t>
      </w:r>
    </w:p>
    <w:p w:rsidRPr="00394886" w:rsidR="00C05411" w:rsidP="00C05411" w:rsidRDefault="00C05411" w14:paraId="19648872" w14:textId="77777777">
      <w:pPr>
        <w:pStyle w:val="NoSpacing"/>
        <w:rPr>
          <w:rFonts w:ascii="Times New Roman" w:hAnsi="Times New Roman" w:cs="Times New Roman"/>
          <w:sz w:val="24"/>
          <w:szCs w:val="24"/>
        </w:rPr>
      </w:pPr>
    </w:p>
    <w:p w:rsidR="00C05411" w:rsidP="00C05411" w:rsidRDefault="00C05411" w14:paraId="40D33815" w14:textId="6E8B5650">
      <w:pPr>
        <w:pStyle w:val="NoSpacing"/>
        <w:ind w:left="360"/>
        <w:rPr>
          <w:rFonts w:ascii="Times New Roman" w:hAnsi="Times New Roman" w:cs="Times New Roman"/>
          <w:sz w:val="24"/>
          <w:szCs w:val="24"/>
        </w:rPr>
      </w:pPr>
      <w:r w:rsidRPr="00394886">
        <w:rPr>
          <w:rFonts w:ascii="Times New Roman" w:hAnsi="Times New Roman" w:cs="Times New Roman"/>
          <w:sz w:val="24"/>
          <w:szCs w:val="24"/>
        </w:rPr>
        <w:t>The employer must develop</w:t>
      </w:r>
      <w:r w:rsidR="00495DE2">
        <w:rPr>
          <w:rFonts w:ascii="Times New Roman" w:hAnsi="Times New Roman" w:cs="Times New Roman"/>
          <w:sz w:val="24"/>
          <w:szCs w:val="24"/>
        </w:rPr>
        <w:t xml:space="preserve"> and </w:t>
      </w:r>
      <w:r w:rsidRPr="00394886">
        <w:rPr>
          <w:rFonts w:ascii="Times New Roman" w:hAnsi="Times New Roman" w:cs="Times New Roman"/>
          <w:sz w:val="24"/>
          <w:szCs w:val="24"/>
        </w:rPr>
        <w:t xml:space="preserve">implement a COVID-19 plan for each workplace. If the employer has multiple </w:t>
      </w:r>
      <w:r w:rsidR="00BA39BC">
        <w:rPr>
          <w:rFonts w:ascii="Times New Roman" w:hAnsi="Times New Roman" w:cs="Times New Roman"/>
          <w:sz w:val="24"/>
          <w:szCs w:val="24"/>
        </w:rPr>
        <w:t>workplaces</w:t>
      </w:r>
      <w:r w:rsidRPr="00394886">
        <w:rPr>
          <w:rFonts w:ascii="Times New Roman" w:hAnsi="Times New Roman" w:cs="Times New Roman"/>
          <w:sz w:val="24"/>
          <w:szCs w:val="24"/>
        </w:rPr>
        <w:t xml:space="preserve"> that are substantially similar, its COVID-19 plan may be developed </w:t>
      </w:r>
      <w:r w:rsidRPr="003B6D6D">
        <w:rPr>
          <w:rFonts w:ascii="Times New Roman" w:hAnsi="Times New Roman" w:cs="Times New Roman"/>
          <w:sz w:val="24"/>
          <w:szCs w:val="24"/>
        </w:rPr>
        <w:t xml:space="preserve">by </w:t>
      </w:r>
      <w:r w:rsidR="00BA39BC">
        <w:rPr>
          <w:rFonts w:ascii="Times New Roman" w:hAnsi="Times New Roman" w:cs="Times New Roman"/>
          <w:sz w:val="24"/>
          <w:szCs w:val="24"/>
        </w:rPr>
        <w:t>workplace</w:t>
      </w:r>
      <w:r w:rsidRPr="003B6D6D">
        <w:rPr>
          <w:rFonts w:ascii="Times New Roman" w:hAnsi="Times New Roman" w:cs="Times New Roman"/>
          <w:sz w:val="24"/>
          <w:szCs w:val="24"/>
        </w:rPr>
        <w:t xml:space="preserve"> type rather than by individual workplace so long as all required site-specific information is included in the plan.</w:t>
      </w:r>
      <w:r w:rsidRPr="003B6D6D">
        <w:rPr>
          <w:rFonts w:ascii="Times New Roman" w:hAnsi="Times New Roman" w:cs="Times New Roman"/>
          <w:b/>
          <w:sz w:val="24"/>
          <w:szCs w:val="24"/>
        </w:rPr>
        <w:t xml:space="preserve"> </w:t>
      </w:r>
      <w:r w:rsidRPr="003B6D6D">
        <w:rPr>
          <w:rFonts w:ascii="Times New Roman" w:hAnsi="Times New Roman" w:cs="Times New Roman"/>
          <w:sz w:val="24"/>
          <w:szCs w:val="24"/>
        </w:rPr>
        <w:t>The employer must designate one or more work</w:t>
      </w:r>
      <w:r>
        <w:rPr>
          <w:rFonts w:ascii="Times New Roman" w:hAnsi="Times New Roman" w:cs="Times New Roman"/>
          <w:sz w:val="24"/>
          <w:szCs w:val="24"/>
        </w:rPr>
        <w:t>place</w:t>
      </w:r>
      <w:r w:rsidRPr="003B6D6D">
        <w:rPr>
          <w:rFonts w:ascii="Times New Roman" w:hAnsi="Times New Roman" w:cs="Times New Roman"/>
          <w:sz w:val="24"/>
          <w:szCs w:val="24"/>
        </w:rPr>
        <w:t xml:space="preserve"> COVID-19 safety coordinators to implement</w:t>
      </w:r>
      <w:r w:rsidR="00495DE2">
        <w:rPr>
          <w:rFonts w:ascii="Times New Roman" w:hAnsi="Times New Roman" w:cs="Times New Roman"/>
          <w:sz w:val="24"/>
          <w:szCs w:val="24"/>
        </w:rPr>
        <w:t xml:space="preserve"> and</w:t>
      </w:r>
      <w:r w:rsidRPr="003B6D6D" w:rsidR="00495DE2">
        <w:rPr>
          <w:rFonts w:ascii="Times New Roman" w:hAnsi="Times New Roman" w:cs="Times New Roman"/>
          <w:sz w:val="24"/>
          <w:szCs w:val="24"/>
        </w:rPr>
        <w:t xml:space="preserve"> </w:t>
      </w:r>
      <w:r w:rsidRPr="003B6D6D">
        <w:rPr>
          <w:rFonts w:ascii="Times New Roman" w:hAnsi="Times New Roman" w:cs="Times New Roman"/>
          <w:sz w:val="24"/>
          <w:szCs w:val="24"/>
        </w:rPr>
        <w:t xml:space="preserve">monitor the COVID-19 plan developed under this section.  The COVID-19 safety coordinator(s) must be knowledgeable in infection control principles and practices as they apply to the workplace and employee job operations. The </w:t>
      </w:r>
      <w:r w:rsidR="00495DE2">
        <w:rPr>
          <w:rFonts w:ascii="Times New Roman" w:hAnsi="Times New Roman" w:cs="Times New Roman"/>
          <w:sz w:val="24"/>
          <w:szCs w:val="24"/>
        </w:rPr>
        <w:t>identity</w:t>
      </w:r>
      <w:r w:rsidRPr="003B6D6D">
        <w:rPr>
          <w:rFonts w:ascii="Times New Roman" w:hAnsi="Times New Roman" w:cs="Times New Roman"/>
          <w:sz w:val="24"/>
          <w:szCs w:val="24"/>
        </w:rPr>
        <w:t xml:space="preserve"> of the safety coordinator(s) must be documented in the written COVID-19 plan. The safety coordinator(s) must have the authority to ensure compliance with all aspects of the COVID-19 plan.</w:t>
      </w:r>
    </w:p>
    <w:p w:rsidR="00C05411" w:rsidP="00C05411" w:rsidRDefault="00C05411" w14:paraId="021B6017" w14:textId="77777777">
      <w:pPr>
        <w:pStyle w:val="NoSpacing"/>
        <w:ind w:left="360"/>
        <w:rPr>
          <w:rFonts w:ascii="Times New Roman" w:hAnsi="Times New Roman" w:cs="Times New Roman"/>
          <w:sz w:val="24"/>
          <w:szCs w:val="24"/>
        </w:rPr>
      </w:pPr>
    </w:p>
    <w:p w:rsidRPr="000F5323" w:rsidR="00C05411" w:rsidP="00C05411" w:rsidRDefault="00C05411" w14:paraId="6F41F964" w14:textId="2073E6F4">
      <w:pPr>
        <w:pStyle w:val="NoSpacing"/>
        <w:ind w:left="360"/>
        <w:rPr>
          <w:rFonts w:ascii="Times New Roman" w:hAnsi="Times New Roman" w:cs="Times New Roman"/>
          <w:sz w:val="24"/>
          <w:szCs w:val="24"/>
        </w:rPr>
      </w:pPr>
      <w:r w:rsidRPr="00120094">
        <w:rPr>
          <w:rFonts w:ascii="Times New Roman" w:hAnsi="Times New Roman" w:cs="Times New Roman"/>
          <w:sz w:val="24"/>
          <w:szCs w:val="24"/>
        </w:rPr>
        <w:t xml:space="preserve">OSHA estimated that </w:t>
      </w:r>
      <w:r w:rsidR="00523003">
        <w:rPr>
          <w:rFonts w:ascii="Times New Roman" w:hAnsi="Times New Roman" w:cs="Times New Roman"/>
          <w:sz w:val="24"/>
          <w:szCs w:val="24"/>
        </w:rPr>
        <w:t>it will take employers in healthcare and associated industries between 5 and 40 hours to</w:t>
      </w:r>
      <w:r w:rsidRPr="00120094">
        <w:rPr>
          <w:rFonts w:ascii="Times New Roman" w:hAnsi="Times New Roman" w:cs="Times New Roman"/>
          <w:sz w:val="24"/>
          <w:szCs w:val="24"/>
        </w:rPr>
        <w:t xml:space="preserve"> develop</w:t>
      </w:r>
      <w:r w:rsidR="000C1F86">
        <w:rPr>
          <w:rFonts w:ascii="Times New Roman" w:hAnsi="Times New Roman" w:cs="Times New Roman"/>
          <w:sz w:val="24"/>
          <w:szCs w:val="24"/>
        </w:rPr>
        <w:t xml:space="preserve"> </w:t>
      </w:r>
      <w:r w:rsidRPr="00120094">
        <w:rPr>
          <w:rFonts w:ascii="Times New Roman" w:hAnsi="Times New Roman" w:cs="Times New Roman"/>
          <w:sz w:val="24"/>
          <w:szCs w:val="24"/>
        </w:rPr>
        <w:t>a COVID-19 Plan</w:t>
      </w:r>
      <w:r w:rsidR="00523003">
        <w:rPr>
          <w:rFonts w:ascii="Times New Roman" w:hAnsi="Times New Roman" w:cs="Times New Roman"/>
          <w:sz w:val="24"/>
          <w:szCs w:val="24"/>
        </w:rPr>
        <w:t>,</w:t>
      </w:r>
      <w:r w:rsidRPr="00120094">
        <w:rPr>
          <w:rFonts w:ascii="Times New Roman" w:hAnsi="Times New Roman" w:cs="Times New Roman"/>
          <w:sz w:val="24"/>
          <w:szCs w:val="24"/>
        </w:rPr>
        <w:t xml:space="preserve"> </w:t>
      </w:r>
      <w:r>
        <w:rPr>
          <w:rFonts w:ascii="Times New Roman" w:hAnsi="Times New Roman" w:cs="Times New Roman"/>
          <w:sz w:val="24"/>
          <w:szCs w:val="24"/>
        </w:rPr>
        <w:t>depending on the facility</w:t>
      </w:r>
      <w:r w:rsidRPr="00120094">
        <w:rPr>
          <w:rFonts w:ascii="Times New Roman" w:hAnsi="Times New Roman" w:cs="Times New Roman"/>
          <w:sz w:val="24"/>
          <w:szCs w:val="24"/>
        </w:rPr>
        <w:t xml:space="preserve">. </w:t>
      </w:r>
      <w:r>
        <w:rPr>
          <w:rFonts w:ascii="Times New Roman" w:hAnsi="Times New Roman" w:cs="Times New Roman"/>
          <w:sz w:val="24"/>
          <w:szCs w:val="24"/>
        </w:rPr>
        <w:t>The hazard assessment is included in the initial development. OSHA estimate</w:t>
      </w:r>
      <w:r w:rsidR="00523003">
        <w:rPr>
          <w:rFonts w:ascii="Times New Roman" w:hAnsi="Times New Roman" w:cs="Times New Roman"/>
          <w:sz w:val="24"/>
          <w:szCs w:val="24"/>
        </w:rPr>
        <w:t>s</w:t>
      </w:r>
      <w:r>
        <w:rPr>
          <w:rFonts w:ascii="Times New Roman" w:hAnsi="Times New Roman" w:cs="Times New Roman"/>
          <w:sz w:val="24"/>
          <w:szCs w:val="24"/>
        </w:rPr>
        <w:t xml:space="preserve"> that</w:t>
      </w:r>
      <w:r w:rsidR="00523003">
        <w:rPr>
          <w:rFonts w:ascii="Times New Roman" w:hAnsi="Times New Roman" w:cs="Times New Roman"/>
          <w:sz w:val="24"/>
          <w:szCs w:val="24"/>
        </w:rPr>
        <w:t xml:space="preserve"> the plan will be developed by a</w:t>
      </w:r>
      <w:r>
        <w:rPr>
          <w:rFonts w:ascii="Times New Roman" w:hAnsi="Times New Roman" w:cs="Times New Roman"/>
          <w:sz w:val="24"/>
          <w:szCs w:val="24"/>
        </w:rPr>
        <w:t xml:space="preserve"> physician making </w:t>
      </w:r>
      <w:r w:rsidRPr="00832A09">
        <w:rPr>
          <w:rFonts w:ascii="Times New Roman" w:hAnsi="Times New Roman" w:cs="Times New Roman"/>
          <w:sz w:val="24"/>
          <w:szCs w:val="24"/>
        </w:rPr>
        <w:t>$154.71</w:t>
      </w:r>
      <w:r>
        <w:rPr>
          <w:rFonts w:ascii="Times New Roman" w:hAnsi="Times New Roman" w:cs="Times New Roman"/>
          <w:sz w:val="24"/>
          <w:szCs w:val="24"/>
        </w:rPr>
        <w:t xml:space="preserve"> an hour.</w:t>
      </w:r>
    </w:p>
    <w:p w:rsidRPr="00120094" w:rsidR="00C05411" w:rsidP="00C05411" w:rsidRDefault="00C05411" w14:paraId="703BCF56" w14:textId="68E0E59F">
      <w:pPr>
        <w:pStyle w:val="Heading8"/>
        <w:rPr>
          <w:rFonts w:ascii="Times New Roman" w:hAnsi="Times New Roman"/>
        </w:rPr>
      </w:pPr>
      <w:r w:rsidRPr="00120094">
        <w:rPr>
          <w:rFonts w:ascii="Times New Roman" w:hAnsi="Times New Roman"/>
          <w:u w:val="single"/>
        </w:rPr>
        <w:t>Develop</w:t>
      </w:r>
      <w:r w:rsidR="0086251D">
        <w:rPr>
          <w:rFonts w:ascii="Times New Roman" w:hAnsi="Times New Roman"/>
          <w:u w:val="single"/>
        </w:rPr>
        <w:t xml:space="preserve"> and Implement</w:t>
      </w:r>
      <w:r w:rsidRPr="00120094">
        <w:rPr>
          <w:rFonts w:ascii="Times New Roman" w:hAnsi="Times New Roman"/>
          <w:u w:val="single"/>
        </w:rPr>
        <w:t xml:space="preserve"> Plan</w:t>
      </w:r>
      <w:r w:rsidRPr="00120094">
        <w:rPr>
          <w:rFonts w:ascii="Times New Roman" w:hAnsi="Times New Roman"/>
        </w:rPr>
        <w:t>:</w:t>
      </w:r>
    </w:p>
    <w:p w:rsidR="00C05411" w:rsidP="00C05411" w:rsidRDefault="00C05411" w14:paraId="418E1745" w14:textId="77777777">
      <w:pPr>
        <w:ind w:firstLine="360"/>
      </w:pPr>
    </w:p>
    <w:p w:rsidRPr="00544A1E" w:rsidR="00C05411" w:rsidP="00C05411" w:rsidRDefault="00C05411" w14:paraId="031F83D1" w14:textId="77777777">
      <w:pPr>
        <w:ind w:firstLine="360"/>
        <w:rPr>
          <w:b/>
        </w:rPr>
      </w:pPr>
      <w:r w:rsidRPr="00544A1E">
        <w:rPr>
          <w:b/>
        </w:rPr>
        <w:t xml:space="preserve">Table 1 – Burden Hours and Cost </w:t>
      </w:r>
      <w:r>
        <w:rPr>
          <w:b/>
        </w:rPr>
        <w:t>for</w:t>
      </w:r>
      <w:r w:rsidRPr="00544A1E">
        <w:rPr>
          <w:b/>
        </w:rPr>
        <w:t xml:space="preserve"> the Development of COVID-19 Plan</w:t>
      </w:r>
    </w:p>
    <w:p w:rsidR="00C05411" w:rsidP="00C05411" w:rsidRDefault="00C05411" w14:paraId="6B10A2EB" w14:textId="77777777">
      <w:pPr>
        <w:ind w:firstLine="360"/>
      </w:pPr>
    </w:p>
    <w:tbl>
      <w:tblPr>
        <w:tblStyle w:val="TableGrid"/>
        <w:tblpPr w:leftFromText="180" w:rightFromText="180" w:vertAnchor="text" w:tblpX="-730" w:tblpY="1"/>
        <w:tblOverlap w:val="never"/>
        <w:tblW w:w="11075" w:type="dxa"/>
        <w:tblLayout w:type="fixed"/>
        <w:tblLook w:val="04A0" w:firstRow="1" w:lastRow="0" w:firstColumn="1" w:lastColumn="0" w:noHBand="0" w:noVBand="1"/>
      </w:tblPr>
      <w:tblGrid>
        <w:gridCol w:w="275"/>
        <w:gridCol w:w="1980"/>
        <w:gridCol w:w="1530"/>
        <w:gridCol w:w="1170"/>
        <w:gridCol w:w="1170"/>
        <w:gridCol w:w="990"/>
        <w:gridCol w:w="1350"/>
        <w:gridCol w:w="990"/>
        <w:gridCol w:w="1620"/>
      </w:tblGrid>
      <w:tr w:rsidR="009303F3" w:rsidTr="00972A90" w14:paraId="5DFBB679" w14:textId="77777777">
        <w:trPr>
          <w:tblHeader/>
        </w:trPr>
        <w:tc>
          <w:tcPr>
            <w:tcW w:w="275" w:type="dxa"/>
            <w:shd w:val="clear" w:color="auto" w:fill="B8CCE4" w:themeFill="accent1" w:themeFillTint="66"/>
          </w:tcPr>
          <w:p w:rsidRPr="00120094" w:rsidR="00C05411" w:rsidP="000C1F86" w:rsidRDefault="00C05411" w14:paraId="784701D6" w14:textId="77777777">
            <w:pPr>
              <w:rPr>
                <w:rFonts w:asciiTheme="minorHAnsi" w:hAnsiTheme="minorHAnsi" w:cstheme="minorHAnsi"/>
                <w:b/>
              </w:rPr>
            </w:pPr>
          </w:p>
        </w:tc>
        <w:tc>
          <w:tcPr>
            <w:tcW w:w="1980" w:type="dxa"/>
            <w:shd w:val="clear" w:color="auto" w:fill="B8CCE4" w:themeFill="accent1" w:themeFillTint="66"/>
          </w:tcPr>
          <w:p w:rsidRPr="009A2AE8" w:rsidR="00C05411" w:rsidP="000C1F86" w:rsidRDefault="000C1F86" w14:paraId="571E783C" w14:textId="11C8D2D5">
            <w:pPr>
              <w:rPr>
                <w:rFonts w:asciiTheme="minorHAnsi" w:hAnsiTheme="minorHAnsi" w:cstheme="minorHAnsi"/>
                <w:b/>
                <w:sz w:val="20"/>
                <w:szCs w:val="20"/>
              </w:rPr>
            </w:pPr>
            <w:r>
              <w:rPr>
                <w:rFonts w:asciiTheme="minorHAnsi" w:hAnsiTheme="minorHAnsi" w:cstheme="minorHAnsi"/>
                <w:b/>
                <w:sz w:val="20"/>
                <w:szCs w:val="20"/>
              </w:rPr>
              <w:t xml:space="preserve">Type of </w:t>
            </w:r>
            <w:r w:rsidRPr="009A2AE8" w:rsidR="00C05411">
              <w:rPr>
                <w:rFonts w:asciiTheme="minorHAnsi" w:hAnsiTheme="minorHAnsi" w:cstheme="minorHAnsi"/>
                <w:b/>
                <w:sz w:val="20"/>
                <w:szCs w:val="20"/>
              </w:rPr>
              <w:t>Establishment</w:t>
            </w:r>
          </w:p>
        </w:tc>
        <w:tc>
          <w:tcPr>
            <w:tcW w:w="1530" w:type="dxa"/>
            <w:shd w:val="clear" w:color="auto" w:fill="B8CCE4" w:themeFill="accent1" w:themeFillTint="66"/>
          </w:tcPr>
          <w:p w:rsidRPr="009A2AE8" w:rsidR="00C05411" w:rsidP="000C1F86" w:rsidRDefault="00972A90" w14:paraId="46F77BA0" w14:textId="3CFF07D1">
            <w:pPr>
              <w:rPr>
                <w:rFonts w:asciiTheme="minorHAnsi" w:hAnsiTheme="minorHAnsi" w:cstheme="minorHAnsi"/>
                <w:b/>
                <w:sz w:val="20"/>
                <w:szCs w:val="20"/>
              </w:rPr>
            </w:pPr>
            <w:r>
              <w:rPr>
                <w:rFonts w:asciiTheme="minorHAnsi" w:hAnsiTheme="minorHAnsi" w:cstheme="minorHAnsi"/>
                <w:b/>
                <w:sz w:val="20"/>
                <w:szCs w:val="20"/>
              </w:rPr>
              <w:t>Total</w:t>
            </w:r>
            <w:r w:rsidRPr="009A2AE8" w:rsidR="00C05411">
              <w:rPr>
                <w:rFonts w:asciiTheme="minorHAnsi" w:hAnsiTheme="minorHAnsi" w:cstheme="minorHAnsi"/>
                <w:b/>
                <w:sz w:val="20"/>
                <w:szCs w:val="20"/>
              </w:rPr>
              <w:t xml:space="preserve"> Establishment</w:t>
            </w:r>
            <w:r w:rsidR="00A119EA">
              <w:rPr>
                <w:rFonts w:asciiTheme="minorHAnsi" w:hAnsiTheme="minorHAnsi" w:cstheme="minorHAnsi"/>
                <w:b/>
                <w:sz w:val="20"/>
                <w:szCs w:val="20"/>
              </w:rPr>
              <w:t>s</w:t>
            </w:r>
          </w:p>
        </w:tc>
        <w:tc>
          <w:tcPr>
            <w:tcW w:w="1170" w:type="dxa"/>
            <w:shd w:val="clear" w:color="auto" w:fill="B8CCE4" w:themeFill="accent1" w:themeFillTint="66"/>
          </w:tcPr>
          <w:p w:rsidRPr="009A2AE8" w:rsidR="00C05411" w:rsidP="000C1F86" w:rsidRDefault="00C05411" w14:paraId="1F4E7D32" w14:textId="77777777">
            <w:pPr>
              <w:rPr>
                <w:rFonts w:asciiTheme="minorHAnsi" w:hAnsiTheme="minorHAnsi" w:cstheme="minorHAnsi"/>
                <w:b/>
                <w:sz w:val="20"/>
                <w:szCs w:val="20"/>
              </w:rPr>
            </w:pPr>
            <w:r w:rsidRPr="009A2AE8">
              <w:rPr>
                <w:rFonts w:asciiTheme="minorHAnsi" w:hAnsiTheme="minorHAnsi" w:cstheme="minorHAnsi"/>
                <w:b/>
                <w:sz w:val="20"/>
                <w:szCs w:val="20"/>
              </w:rPr>
              <w:t>Non-compliance Rate</w:t>
            </w:r>
          </w:p>
        </w:tc>
        <w:tc>
          <w:tcPr>
            <w:tcW w:w="1170" w:type="dxa"/>
            <w:shd w:val="clear" w:color="auto" w:fill="B8CCE4" w:themeFill="accent1" w:themeFillTint="66"/>
          </w:tcPr>
          <w:p w:rsidRPr="009A2AE8" w:rsidR="00C05411" w:rsidP="000C1F86" w:rsidRDefault="00972A90" w14:paraId="2125B95D" w14:textId="6258DCC3">
            <w:pPr>
              <w:rPr>
                <w:rFonts w:asciiTheme="minorHAnsi" w:hAnsiTheme="minorHAnsi" w:cstheme="minorHAnsi"/>
                <w:b/>
                <w:sz w:val="20"/>
                <w:szCs w:val="20"/>
              </w:rPr>
            </w:pPr>
            <w:r>
              <w:rPr>
                <w:rFonts w:asciiTheme="minorHAnsi" w:hAnsiTheme="minorHAnsi" w:cstheme="minorHAnsi"/>
                <w:b/>
                <w:sz w:val="20"/>
                <w:szCs w:val="20"/>
              </w:rPr>
              <w:t xml:space="preserve">Affected </w:t>
            </w:r>
            <w:r w:rsidR="000C1F86">
              <w:rPr>
                <w:rFonts w:asciiTheme="minorHAnsi" w:hAnsiTheme="minorHAnsi" w:cstheme="minorHAnsi"/>
                <w:b/>
                <w:sz w:val="20"/>
                <w:szCs w:val="20"/>
              </w:rPr>
              <w:t>Establishments</w:t>
            </w:r>
          </w:p>
        </w:tc>
        <w:tc>
          <w:tcPr>
            <w:tcW w:w="990" w:type="dxa"/>
            <w:shd w:val="clear" w:color="auto" w:fill="B8CCE4" w:themeFill="accent1" w:themeFillTint="66"/>
          </w:tcPr>
          <w:p w:rsidRPr="009A2AE8" w:rsidR="00C05411" w:rsidP="000C1F86" w:rsidRDefault="00C05411" w14:paraId="3F44E23A" w14:textId="3C41F274">
            <w:pPr>
              <w:rPr>
                <w:rFonts w:asciiTheme="minorHAnsi" w:hAnsiTheme="minorHAnsi" w:cstheme="minorHAnsi"/>
                <w:b/>
                <w:sz w:val="20"/>
                <w:szCs w:val="20"/>
              </w:rPr>
            </w:pPr>
            <w:r w:rsidRPr="009A2AE8">
              <w:rPr>
                <w:rFonts w:asciiTheme="minorHAnsi" w:hAnsiTheme="minorHAnsi" w:cstheme="minorHAnsi"/>
                <w:b/>
                <w:sz w:val="20"/>
                <w:szCs w:val="20"/>
              </w:rPr>
              <w:t xml:space="preserve">Time to </w:t>
            </w:r>
            <w:r w:rsidR="004E14E5">
              <w:rPr>
                <w:rFonts w:asciiTheme="minorHAnsi" w:hAnsiTheme="minorHAnsi" w:cstheme="minorHAnsi"/>
                <w:b/>
                <w:sz w:val="20"/>
                <w:szCs w:val="20"/>
              </w:rPr>
              <w:t>D</w:t>
            </w:r>
            <w:r w:rsidRPr="009A2AE8" w:rsidR="004E14E5">
              <w:rPr>
                <w:rFonts w:asciiTheme="minorHAnsi" w:hAnsiTheme="minorHAnsi" w:cstheme="minorHAnsi"/>
                <w:b/>
                <w:sz w:val="20"/>
                <w:szCs w:val="20"/>
              </w:rPr>
              <w:t>evelop</w:t>
            </w:r>
            <w:r w:rsidR="004E14E5">
              <w:rPr>
                <w:rFonts w:asciiTheme="minorHAnsi" w:hAnsiTheme="minorHAnsi" w:cstheme="minorHAnsi"/>
                <w:b/>
                <w:sz w:val="20"/>
                <w:szCs w:val="20"/>
              </w:rPr>
              <w:t xml:space="preserve"> (Hrs)</w:t>
            </w:r>
          </w:p>
        </w:tc>
        <w:tc>
          <w:tcPr>
            <w:tcW w:w="1350" w:type="dxa"/>
            <w:shd w:val="clear" w:color="auto" w:fill="B8CCE4" w:themeFill="accent1" w:themeFillTint="66"/>
          </w:tcPr>
          <w:p w:rsidRPr="009A2AE8" w:rsidR="00C05411" w:rsidP="000C1F86" w:rsidRDefault="00C05411" w14:paraId="50A7A2D0" w14:textId="77777777">
            <w:pPr>
              <w:rPr>
                <w:rFonts w:asciiTheme="minorHAnsi" w:hAnsiTheme="minorHAnsi" w:cstheme="minorHAnsi"/>
                <w:b/>
                <w:sz w:val="20"/>
                <w:szCs w:val="20"/>
              </w:rPr>
            </w:pPr>
            <w:r w:rsidRPr="009A2AE8">
              <w:rPr>
                <w:rFonts w:asciiTheme="minorHAnsi" w:hAnsiTheme="minorHAnsi" w:cstheme="minorHAnsi"/>
                <w:b/>
                <w:sz w:val="20"/>
                <w:szCs w:val="20"/>
              </w:rPr>
              <w:t>Burden Hours</w:t>
            </w:r>
          </w:p>
        </w:tc>
        <w:tc>
          <w:tcPr>
            <w:tcW w:w="990" w:type="dxa"/>
            <w:shd w:val="clear" w:color="auto" w:fill="B8CCE4" w:themeFill="accent1" w:themeFillTint="66"/>
          </w:tcPr>
          <w:p w:rsidRPr="009A2AE8" w:rsidR="00C05411" w:rsidP="000C1F86" w:rsidRDefault="00C05411" w14:paraId="4A1DD3F0" w14:textId="77777777">
            <w:pPr>
              <w:rPr>
                <w:rFonts w:asciiTheme="minorHAnsi" w:hAnsiTheme="minorHAnsi" w:cstheme="minorHAnsi"/>
                <w:b/>
                <w:sz w:val="20"/>
                <w:szCs w:val="20"/>
              </w:rPr>
            </w:pPr>
            <w:r w:rsidRPr="009A2AE8">
              <w:rPr>
                <w:rFonts w:asciiTheme="minorHAnsi" w:hAnsiTheme="minorHAnsi" w:cstheme="minorHAnsi"/>
                <w:b/>
                <w:sz w:val="20"/>
                <w:szCs w:val="20"/>
              </w:rPr>
              <w:t>Loaded Hourly Wage</w:t>
            </w:r>
          </w:p>
        </w:tc>
        <w:tc>
          <w:tcPr>
            <w:tcW w:w="1620" w:type="dxa"/>
            <w:shd w:val="clear" w:color="auto" w:fill="B8CCE4" w:themeFill="accent1" w:themeFillTint="66"/>
          </w:tcPr>
          <w:p w:rsidRPr="009A2AE8" w:rsidR="00C05411" w:rsidP="000C1F86" w:rsidRDefault="00C05411" w14:paraId="755877E0" w14:textId="77777777">
            <w:pPr>
              <w:rPr>
                <w:rFonts w:asciiTheme="minorHAnsi" w:hAnsiTheme="minorHAnsi" w:cstheme="minorHAnsi"/>
                <w:b/>
                <w:sz w:val="20"/>
                <w:szCs w:val="20"/>
              </w:rPr>
            </w:pPr>
            <w:r w:rsidRPr="009A2AE8">
              <w:rPr>
                <w:rFonts w:asciiTheme="minorHAnsi" w:hAnsiTheme="minorHAnsi" w:cstheme="minorHAnsi"/>
                <w:b/>
                <w:sz w:val="20"/>
                <w:szCs w:val="20"/>
              </w:rPr>
              <w:t>Cost</w:t>
            </w:r>
          </w:p>
        </w:tc>
      </w:tr>
      <w:tr w:rsidR="009303F3" w:rsidTr="00972A90" w14:paraId="0D8E1050" w14:textId="77777777">
        <w:tc>
          <w:tcPr>
            <w:tcW w:w="275" w:type="dxa"/>
          </w:tcPr>
          <w:p w:rsidRPr="007B566C" w:rsidR="00C05411" w:rsidP="000C1F86" w:rsidRDefault="00C05411" w14:paraId="1C942197" w14:textId="77777777">
            <w:pPr>
              <w:rPr>
                <w:rFonts w:asciiTheme="minorHAnsi" w:hAnsiTheme="minorHAnsi" w:cstheme="minorHAnsi"/>
                <w:sz w:val="22"/>
                <w:szCs w:val="22"/>
              </w:rPr>
            </w:pPr>
            <w:r w:rsidRPr="007B566C">
              <w:rPr>
                <w:rFonts w:asciiTheme="minorHAnsi" w:hAnsiTheme="minorHAnsi" w:cstheme="minorHAnsi"/>
                <w:sz w:val="22"/>
                <w:szCs w:val="22"/>
              </w:rPr>
              <w:t>1</w:t>
            </w:r>
          </w:p>
        </w:tc>
        <w:tc>
          <w:tcPr>
            <w:tcW w:w="1980" w:type="dxa"/>
            <w:vAlign w:val="center"/>
          </w:tcPr>
          <w:p w:rsidR="00C05411" w:rsidP="000C1F86" w:rsidRDefault="00C05411" w14:paraId="79D96B54" w14:textId="77777777">
            <w:pPr>
              <w:rPr>
                <w:rFonts w:ascii="Calibri" w:hAnsi="Calibri"/>
                <w:sz w:val="20"/>
                <w:szCs w:val="20"/>
              </w:rPr>
            </w:pPr>
            <w:r>
              <w:rPr>
                <w:rFonts w:ascii="Calibri" w:hAnsi="Calibri"/>
                <w:sz w:val="20"/>
                <w:szCs w:val="20"/>
              </w:rPr>
              <w:t>Develop Plan -</w:t>
            </w:r>
          </w:p>
          <w:p w:rsidR="00C05411" w:rsidP="000C1F86" w:rsidRDefault="00C05411" w14:paraId="24F76EAD" w14:textId="77777777">
            <w:r>
              <w:rPr>
                <w:rFonts w:ascii="Calibri" w:hAnsi="Calibri"/>
                <w:sz w:val="20"/>
                <w:szCs w:val="20"/>
              </w:rPr>
              <w:t>General and Other Hospitals</w:t>
            </w:r>
          </w:p>
        </w:tc>
        <w:tc>
          <w:tcPr>
            <w:tcW w:w="1530" w:type="dxa"/>
            <w:vAlign w:val="center"/>
          </w:tcPr>
          <w:p w:rsidR="00C05411" w:rsidP="000C1F86" w:rsidRDefault="00C05411" w14:paraId="435DB1BF" w14:textId="77777777">
            <w:r>
              <w:rPr>
                <w:rFonts w:ascii="Calibri" w:hAnsi="Calibri"/>
                <w:sz w:val="20"/>
                <w:szCs w:val="20"/>
              </w:rPr>
              <w:t>7,644</w:t>
            </w:r>
          </w:p>
        </w:tc>
        <w:tc>
          <w:tcPr>
            <w:tcW w:w="1170" w:type="dxa"/>
            <w:vAlign w:val="center"/>
          </w:tcPr>
          <w:p w:rsidR="00C05411" w:rsidP="000C1F86" w:rsidRDefault="00C05411" w14:paraId="7C78D07D" w14:textId="77777777">
            <w:r>
              <w:rPr>
                <w:rFonts w:ascii="Calibri" w:hAnsi="Calibri"/>
                <w:sz w:val="20"/>
                <w:szCs w:val="20"/>
              </w:rPr>
              <w:t>6%</w:t>
            </w:r>
          </w:p>
        </w:tc>
        <w:tc>
          <w:tcPr>
            <w:tcW w:w="1170" w:type="dxa"/>
            <w:vAlign w:val="center"/>
          </w:tcPr>
          <w:p w:rsidR="00C05411" w:rsidP="009B63D2" w:rsidRDefault="00C05411" w14:paraId="41E33F06" w14:textId="727B2861">
            <w:r>
              <w:rPr>
                <w:rFonts w:ascii="Calibri" w:hAnsi="Calibri"/>
                <w:sz w:val="20"/>
                <w:szCs w:val="20"/>
              </w:rPr>
              <w:t>45</w:t>
            </w:r>
            <w:r w:rsidR="009B63D2">
              <w:rPr>
                <w:rFonts w:ascii="Calibri" w:hAnsi="Calibri"/>
                <w:sz w:val="20"/>
                <w:szCs w:val="20"/>
              </w:rPr>
              <w:t>9</w:t>
            </w:r>
          </w:p>
        </w:tc>
        <w:tc>
          <w:tcPr>
            <w:tcW w:w="990" w:type="dxa"/>
            <w:vAlign w:val="center"/>
          </w:tcPr>
          <w:p w:rsidR="00C05411" w:rsidP="000C1F86" w:rsidRDefault="00C05411" w14:paraId="45F5AD82" w14:textId="77777777">
            <w:r>
              <w:rPr>
                <w:rFonts w:ascii="Calibri" w:hAnsi="Calibri"/>
                <w:sz w:val="20"/>
                <w:szCs w:val="20"/>
              </w:rPr>
              <w:t>40</w:t>
            </w:r>
          </w:p>
        </w:tc>
        <w:tc>
          <w:tcPr>
            <w:tcW w:w="1350" w:type="dxa"/>
            <w:vAlign w:val="center"/>
          </w:tcPr>
          <w:p w:rsidR="00C05411" w:rsidP="000C1F86" w:rsidRDefault="00C05411" w14:paraId="7D0E3661" w14:textId="77777777">
            <w:r>
              <w:rPr>
                <w:rFonts w:ascii="Calibri" w:hAnsi="Calibri"/>
                <w:color w:val="000000"/>
                <w:sz w:val="20"/>
                <w:szCs w:val="20"/>
              </w:rPr>
              <w:t>18,345.6</w:t>
            </w:r>
          </w:p>
        </w:tc>
        <w:tc>
          <w:tcPr>
            <w:tcW w:w="990" w:type="dxa"/>
            <w:vAlign w:val="center"/>
          </w:tcPr>
          <w:p w:rsidR="00C05411" w:rsidP="000C1F86" w:rsidRDefault="00C05411" w14:paraId="2549257F" w14:textId="77777777">
            <w:r>
              <w:rPr>
                <w:rFonts w:ascii="Calibri" w:hAnsi="Calibri"/>
                <w:sz w:val="20"/>
                <w:szCs w:val="20"/>
              </w:rPr>
              <w:t>$154.71</w:t>
            </w:r>
          </w:p>
        </w:tc>
        <w:tc>
          <w:tcPr>
            <w:tcW w:w="1620" w:type="dxa"/>
            <w:vAlign w:val="center"/>
          </w:tcPr>
          <w:p w:rsidR="00C05411" w:rsidP="000C1F86" w:rsidRDefault="00C05411" w14:paraId="02302F2A" w14:textId="77777777">
            <w:r>
              <w:rPr>
                <w:rFonts w:ascii="Calibri" w:hAnsi="Calibri"/>
                <w:color w:val="000000"/>
                <w:sz w:val="20"/>
                <w:szCs w:val="20"/>
              </w:rPr>
              <w:t>$2,838,247.78</w:t>
            </w:r>
          </w:p>
        </w:tc>
      </w:tr>
      <w:tr w:rsidR="009303F3" w:rsidTr="00972A90" w14:paraId="78150484" w14:textId="77777777">
        <w:tc>
          <w:tcPr>
            <w:tcW w:w="275" w:type="dxa"/>
          </w:tcPr>
          <w:p w:rsidRPr="007B566C" w:rsidR="00C05411" w:rsidP="000C1F86" w:rsidRDefault="00C05411" w14:paraId="1E148D6E" w14:textId="77777777">
            <w:pPr>
              <w:rPr>
                <w:rFonts w:asciiTheme="minorHAnsi" w:hAnsiTheme="minorHAnsi" w:cstheme="minorHAnsi"/>
                <w:sz w:val="22"/>
                <w:szCs w:val="22"/>
              </w:rPr>
            </w:pPr>
            <w:r w:rsidRPr="007B566C">
              <w:rPr>
                <w:rFonts w:asciiTheme="minorHAnsi" w:hAnsiTheme="minorHAnsi" w:cstheme="minorHAnsi"/>
                <w:sz w:val="22"/>
                <w:szCs w:val="22"/>
              </w:rPr>
              <w:t>2</w:t>
            </w:r>
          </w:p>
        </w:tc>
        <w:tc>
          <w:tcPr>
            <w:tcW w:w="1980" w:type="dxa"/>
            <w:vAlign w:val="center"/>
          </w:tcPr>
          <w:p w:rsidR="00C05411" w:rsidP="000C1F86" w:rsidRDefault="00C05411" w14:paraId="15828091" w14:textId="77777777">
            <w:pPr>
              <w:rPr>
                <w:rFonts w:ascii="Calibri" w:hAnsi="Calibri"/>
                <w:sz w:val="20"/>
                <w:szCs w:val="20"/>
              </w:rPr>
            </w:pPr>
            <w:r>
              <w:rPr>
                <w:rFonts w:ascii="Calibri" w:hAnsi="Calibri"/>
                <w:sz w:val="20"/>
                <w:szCs w:val="20"/>
              </w:rPr>
              <w:t>Develop Plan –</w:t>
            </w:r>
          </w:p>
          <w:p w:rsidR="00C05411" w:rsidP="00330D33" w:rsidRDefault="00C05411" w14:paraId="4A8AF8B7" w14:textId="55BAF23F">
            <w:r>
              <w:rPr>
                <w:rFonts w:ascii="Calibri" w:hAnsi="Calibri"/>
                <w:sz w:val="20"/>
                <w:szCs w:val="20"/>
              </w:rPr>
              <w:t>Nursing Homes</w:t>
            </w:r>
            <w:r w:rsidR="00330D33">
              <w:rPr>
                <w:rFonts w:ascii="Calibri" w:hAnsi="Calibri"/>
                <w:sz w:val="20"/>
                <w:szCs w:val="20"/>
              </w:rPr>
              <w:t xml:space="preserve"> and</w:t>
            </w:r>
            <w:r>
              <w:rPr>
                <w:rFonts w:ascii="Calibri" w:hAnsi="Calibri"/>
                <w:sz w:val="20"/>
                <w:szCs w:val="20"/>
              </w:rPr>
              <w:t xml:space="preserve"> Long Term Care</w:t>
            </w:r>
          </w:p>
        </w:tc>
        <w:tc>
          <w:tcPr>
            <w:tcW w:w="1530" w:type="dxa"/>
            <w:vAlign w:val="center"/>
          </w:tcPr>
          <w:p w:rsidR="00C05411" w:rsidP="00330D33" w:rsidRDefault="00330D33" w14:paraId="50746D9B" w14:textId="3F51DFD1">
            <w:r>
              <w:rPr>
                <w:rFonts w:ascii="Calibri" w:hAnsi="Calibri"/>
                <w:sz w:val="20"/>
                <w:szCs w:val="20"/>
              </w:rPr>
              <w:t>91</w:t>
            </w:r>
            <w:r w:rsidR="00E857D5">
              <w:rPr>
                <w:rFonts w:ascii="Calibri" w:hAnsi="Calibri"/>
                <w:sz w:val="20"/>
                <w:szCs w:val="20"/>
              </w:rPr>
              <w:t>,</w:t>
            </w:r>
            <w:r>
              <w:rPr>
                <w:rFonts w:ascii="Calibri" w:hAnsi="Calibri"/>
                <w:sz w:val="20"/>
                <w:szCs w:val="20"/>
              </w:rPr>
              <w:t>416</w:t>
            </w:r>
          </w:p>
        </w:tc>
        <w:tc>
          <w:tcPr>
            <w:tcW w:w="1170" w:type="dxa"/>
            <w:vAlign w:val="center"/>
          </w:tcPr>
          <w:p w:rsidR="00C05411" w:rsidP="000C1F86" w:rsidRDefault="00C05411" w14:paraId="1D9DA715" w14:textId="77777777">
            <w:r>
              <w:rPr>
                <w:rFonts w:ascii="Calibri" w:hAnsi="Calibri"/>
                <w:sz w:val="20"/>
                <w:szCs w:val="20"/>
              </w:rPr>
              <w:t>10%</w:t>
            </w:r>
          </w:p>
        </w:tc>
        <w:tc>
          <w:tcPr>
            <w:tcW w:w="1170" w:type="dxa"/>
            <w:vAlign w:val="center"/>
          </w:tcPr>
          <w:p w:rsidR="00C05411" w:rsidP="00E857D5" w:rsidRDefault="00E857D5" w14:paraId="441F86F4" w14:textId="0C9BE05A">
            <w:r>
              <w:rPr>
                <w:rFonts w:ascii="Calibri" w:hAnsi="Calibri"/>
                <w:sz w:val="20"/>
                <w:szCs w:val="20"/>
              </w:rPr>
              <w:t>9,142</w:t>
            </w:r>
          </w:p>
        </w:tc>
        <w:tc>
          <w:tcPr>
            <w:tcW w:w="990" w:type="dxa"/>
            <w:vAlign w:val="center"/>
          </w:tcPr>
          <w:p w:rsidR="00C05411" w:rsidP="000C1F86" w:rsidRDefault="00C05411" w14:paraId="08890C92" w14:textId="77777777">
            <w:r>
              <w:rPr>
                <w:rFonts w:ascii="Calibri" w:hAnsi="Calibri"/>
                <w:sz w:val="20"/>
                <w:szCs w:val="20"/>
              </w:rPr>
              <w:t>10</w:t>
            </w:r>
          </w:p>
        </w:tc>
        <w:tc>
          <w:tcPr>
            <w:tcW w:w="1350" w:type="dxa"/>
            <w:vAlign w:val="center"/>
          </w:tcPr>
          <w:p w:rsidR="00C05411" w:rsidP="00E857D5" w:rsidRDefault="00E857D5" w14:paraId="0CB3ECEC" w14:textId="009A5515">
            <w:r>
              <w:rPr>
                <w:rFonts w:ascii="Calibri" w:hAnsi="Calibri"/>
                <w:color w:val="000000"/>
                <w:sz w:val="20"/>
                <w:szCs w:val="20"/>
              </w:rPr>
              <w:t>91,416</w:t>
            </w:r>
          </w:p>
        </w:tc>
        <w:tc>
          <w:tcPr>
            <w:tcW w:w="990" w:type="dxa"/>
            <w:vAlign w:val="center"/>
          </w:tcPr>
          <w:p w:rsidR="00C05411" w:rsidP="000C1F86" w:rsidRDefault="00C05411" w14:paraId="6D94CFD5" w14:textId="77777777">
            <w:r>
              <w:rPr>
                <w:rFonts w:ascii="Calibri" w:hAnsi="Calibri"/>
                <w:sz w:val="20"/>
                <w:szCs w:val="20"/>
              </w:rPr>
              <w:t>$154.71</w:t>
            </w:r>
          </w:p>
        </w:tc>
        <w:tc>
          <w:tcPr>
            <w:tcW w:w="1620" w:type="dxa"/>
            <w:vAlign w:val="center"/>
          </w:tcPr>
          <w:p w:rsidR="00C05411" w:rsidP="00E857D5" w:rsidRDefault="00C05411" w14:paraId="00F5FDC4" w14:textId="00603D3A">
            <w:r>
              <w:rPr>
                <w:rFonts w:ascii="Calibri" w:hAnsi="Calibri"/>
                <w:color w:val="000000"/>
                <w:sz w:val="20"/>
                <w:szCs w:val="20"/>
              </w:rPr>
              <w:t>$</w:t>
            </w:r>
            <w:r w:rsidR="00E857D5">
              <w:rPr>
                <w:rFonts w:ascii="Calibri" w:hAnsi="Calibri"/>
                <w:color w:val="000000"/>
                <w:sz w:val="20"/>
                <w:szCs w:val="20"/>
              </w:rPr>
              <w:t>14,142,969.36</w:t>
            </w:r>
          </w:p>
        </w:tc>
      </w:tr>
      <w:tr w:rsidR="009303F3" w:rsidTr="00972A90" w14:paraId="4CD1F9E4" w14:textId="77777777">
        <w:tc>
          <w:tcPr>
            <w:tcW w:w="275" w:type="dxa"/>
          </w:tcPr>
          <w:p w:rsidRPr="007B566C" w:rsidR="00C05411" w:rsidP="000C1F86" w:rsidRDefault="00C05411" w14:paraId="595B449F" w14:textId="77777777">
            <w:pPr>
              <w:rPr>
                <w:rFonts w:asciiTheme="minorHAnsi" w:hAnsiTheme="minorHAnsi" w:cstheme="minorHAnsi"/>
                <w:sz w:val="22"/>
                <w:szCs w:val="22"/>
              </w:rPr>
            </w:pPr>
            <w:r w:rsidRPr="007B566C">
              <w:rPr>
                <w:rFonts w:asciiTheme="minorHAnsi" w:hAnsiTheme="minorHAnsi" w:cstheme="minorHAnsi"/>
                <w:sz w:val="22"/>
                <w:szCs w:val="22"/>
              </w:rPr>
              <w:t>3</w:t>
            </w:r>
          </w:p>
        </w:tc>
        <w:tc>
          <w:tcPr>
            <w:tcW w:w="1980" w:type="dxa"/>
            <w:vAlign w:val="center"/>
          </w:tcPr>
          <w:p w:rsidR="00C05411" w:rsidP="000C1F86" w:rsidRDefault="00C05411" w14:paraId="1D647921" w14:textId="77777777">
            <w:pPr>
              <w:rPr>
                <w:rFonts w:ascii="Calibri" w:hAnsi="Calibri"/>
                <w:sz w:val="20"/>
                <w:szCs w:val="20"/>
              </w:rPr>
            </w:pPr>
            <w:r>
              <w:rPr>
                <w:rFonts w:ascii="Calibri" w:hAnsi="Calibri"/>
                <w:sz w:val="20"/>
                <w:szCs w:val="20"/>
              </w:rPr>
              <w:t>Develop Plan –</w:t>
            </w:r>
          </w:p>
          <w:p w:rsidR="00C05411" w:rsidP="000C1F86" w:rsidRDefault="00C05411" w14:paraId="3287BA03" w14:textId="77777777">
            <w:r>
              <w:rPr>
                <w:rFonts w:ascii="Calibri" w:hAnsi="Calibri"/>
                <w:sz w:val="20"/>
                <w:szCs w:val="20"/>
              </w:rPr>
              <w:t>Other Patient Care</w:t>
            </w:r>
          </w:p>
        </w:tc>
        <w:tc>
          <w:tcPr>
            <w:tcW w:w="1530" w:type="dxa"/>
            <w:vAlign w:val="center"/>
          </w:tcPr>
          <w:p w:rsidR="00C05411" w:rsidP="000C1F86" w:rsidRDefault="00C05411" w14:paraId="1BF7C275" w14:textId="77777777">
            <w:r>
              <w:rPr>
                <w:rFonts w:ascii="Calibri" w:hAnsi="Calibri"/>
                <w:sz w:val="20"/>
                <w:szCs w:val="20"/>
              </w:rPr>
              <w:t>558,576</w:t>
            </w:r>
          </w:p>
        </w:tc>
        <w:tc>
          <w:tcPr>
            <w:tcW w:w="1170" w:type="dxa"/>
            <w:vAlign w:val="center"/>
          </w:tcPr>
          <w:p w:rsidR="00C05411" w:rsidP="000C1F86" w:rsidRDefault="00C05411" w14:paraId="0AEBD348" w14:textId="77777777">
            <w:r>
              <w:rPr>
                <w:rFonts w:ascii="Calibri" w:hAnsi="Calibri"/>
                <w:sz w:val="20"/>
                <w:szCs w:val="20"/>
              </w:rPr>
              <w:t>44%</w:t>
            </w:r>
          </w:p>
        </w:tc>
        <w:tc>
          <w:tcPr>
            <w:tcW w:w="1170" w:type="dxa"/>
            <w:vAlign w:val="center"/>
          </w:tcPr>
          <w:p w:rsidR="00C05411" w:rsidP="009B63D2" w:rsidRDefault="00C05411" w14:paraId="14151D4B" w14:textId="31C5ECC4">
            <w:r>
              <w:rPr>
                <w:rFonts w:ascii="Calibri" w:hAnsi="Calibri"/>
                <w:sz w:val="20"/>
                <w:szCs w:val="20"/>
              </w:rPr>
              <w:t>245,773</w:t>
            </w:r>
          </w:p>
        </w:tc>
        <w:tc>
          <w:tcPr>
            <w:tcW w:w="990" w:type="dxa"/>
            <w:vAlign w:val="center"/>
          </w:tcPr>
          <w:p w:rsidR="00C05411" w:rsidP="000C1F86" w:rsidRDefault="00C05411" w14:paraId="09117933" w14:textId="77777777">
            <w:r>
              <w:rPr>
                <w:rFonts w:ascii="Calibri" w:hAnsi="Calibri"/>
                <w:sz w:val="20"/>
                <w:szCs w:val="20"/>
              </w:rPr>
              <w:t>5</w:t>
            </w:r>
          </w:p>
        </w:tc>
        <w:tc>
          <w:tcPr>
            <w:tcW w:w="1350" w:type="dxa"/>
            <w:vAlign w:val="center"/>
          </w:tcPr>
          <w:p w:rsidR="00C05411" w:rsidP="000C1F86" w:rsidRDefault="00C05411" w14:paraId="7E6360C8" w14:textId="77777777">
            <w:r>
              <w:rPr>
                <w:rFonts w:ascii="Calibri" w:hAnsi="Calibri"/>
                <w:color w:val="000000"/>
                <w:sz w:val="20"/>
                <w:szCs w:val="20"/>
              </w:rPr>
              <w:t>1,228,867.2</w:t>
            </w:r>
          </w:p>
        </w:tc>
        <w:tc>
          <w:tcPr>
            <w:tcW w:w="990" w:type="dxa"/>
            <w:vAlign w:val="center"/>
          </w:tcPr>
          <w:p w:rsidR="00C05411" w:rsidP="000C1F86" w:rsidRDefault="00C05411" w14:paraId="4584CEE5" w14:textId="77777777">
            <w:r>
              <w:rPr>
                <w:rFonts w:ascii="Calibri" w:hAnsi="Calibri"/>
                <w:sz w:val="20"/>
                <w:szCs w:val="20"/>
              </w:rPr>
              <w:t>$154.71</w:t>
            </w:r>
          </w:p>
        </w:tc>
        <w:tc>
          <w:tcPr>
            <w:tcW w:w="1620" w:type="dxa"/>
            <w:vAlign w:val="center"/>
          </w:tcPr>
          <w:p w:rsidR="00C05411" w:rsidP="000C1F86" w:rsidRDefault="00C05411" w14:paraId="1301F2F2" w14:textId="0B242292">
            <w:r>
              <w:rPr>
                <w:rFonts w:ascii="Calibri" w:hAnsi="Calibri"/>
                <w:color w:val="000000"/>
                <w:sz w:val="20"/>
                <w:szCs w:val="20"/>
              </w:rPr>
              <w:t>$190,118,04</w:t>
            </w:r>
            <w:r w:rsidR="00A119EA">
              <w:rPr>
                <w:rFonts w:ascii="Calibri" w:hAnsi="Calibri"/>
                <w:color w:val="000000"/>
                <w:sz w:val="20"/>
                <w:szCs w:val="20"/>
              </w:rPr>
              <w:t>4.51</w:t>
            </w:r>
          </w:p>
        </w:tc>
      </w:tr>
      <w:tr w:rsidR="009303F3" w:rsidTr="00972A90" w14:paraId="7C90F4C3" w14:textId="77777777">
        <w:tc>
          <w:tcPr>
            <w:tcW w:w="275" w:type="dxa"/>
          </w:tcPr>
          <w:p w:rsidRPr="007B566C" w:rsidR="00C05411" w:rsidP="000C1F86" w:rsidRDefault="00C05411" w14:paraId="2E6C80B6" w14:textId="77777777">
            <w:pPr>
              <w:rPr>
                <w:rFonts w:asciiTheme="minorHAnsi" w:hAnsiTheme="minorHAnsi" w:cstheme="minorHAnsi"/>
                <w:sz w:val="22"/>
                <w:szCs w:val="22"/>
              </w:rPr>
            </w:pPr>
            <w:r w:rsidRPr="007B566C">
              <w:rPr>
                <w:rFonts w:asciiTheme="minorHAnsi" w:hAnsiTheme="minorHAnsi" w:cstheme="minorHAnsi"/>
                <w:sz w:val="22"/>
                <w:szCs w:val="22"/>
              </w:rPr>
              <w:t>4</w:t>
            </w:r>
          </w:p>
        </w:tc>
        <w:tc>
          <w:tcPr>
            <w:tcW w:w="1980" w:type="dxa"/>
            <w:vAlign w:val="center"/>
          </w:tcPr>
          <w:p w:rsidR="00C05411" w:rsidP="000C1F86" w:rsidRDefault="00C05411" w14:paraId="13929AA4" w14:textId="77777777">
            <w:pPr>
              <w:rPr>
                <w:rFonts w:ascii="Calibri" w:hAnsi="Calibri"/>
                <w:sz w:val="20"/>
                <w:szCs w:val="20"/>
              </w:rPr>
            </w:pPr>
            <w:r>
              <w:rPr>
                <w:rFonts w:ascii="Calibri" w:hAnsi="Calibri"/>
                <w:sz w:val="20"/>
                <w:szCs w:val="20"/>
              </w:rPr>
              <w:t>Develop Plan –</w:t>
            </w:r>
          </w:p>
          <w:p w:rsidR="00C05411" w:rsidP="000C1F86" w:rsidRDefault="00C05411" w14:paraId="7A4334DB" w14:textId="77777777">
            <w:r>
              <w:rPr>
                <w:rFonts w:ascii="Calibri" w:hAnsi="Calibri"/>
                <w:sz w:val="20"/>
                <w:szCs w:val="20"/>
              </w:rPr>
              <w:t>Home Health Care</w:t>
            </w:r>
          </w:p>
        </w:tc>
        <w:tc>
          <w:tcPr>
            <w:tcW w:w="1530" w:type="dxa"/>
            <w:vAlign w:val="center"/>
          </w:tcPr>
          <w:p w:rsidR="00C05411" w:rsidP="000C1F86" w:rsidRDefault="00C05411" w14:paraId="7F4FA6FF" w14:textId="77777777">
            <w:r>
              <w:rPr>
                <w:rFonts w:ascii="Calibri" w:hAnsi="Calibri"/>
                <w:sz w:val="20"/>
                <w:szCs w:val="20"/>
              </w:rPr>
              <w:t>35,169</w:t>
            </w:r>
          </w:p>
        </w:tc>
        <w:tc>
          <w:tcPr>
            <w:tcW w:w="1170" w:type="dxa"/>
            <w:vAlign w:val="center"/>
          </w:tcPr>
          <w:p w:rsidR="00C05411" w:rsidP="000C1F86" w:rsidRDefault="00C05411" w14:paraId="2DC68524" w14:textId="77777777">
            <w:r>
              <w:rPr>
                <w:rFonts w:ascii="Calibri" w:hAnsi="Calibri"/>
                <w:sz w:val="20"/>
                <w:szCs w:val="20"/>
              </w:rPr>
              <w:t>36%</w:t>
            </w:r>
          </w:p>
        </w:tc>
        <w:tc>
          <w:tcPr>
            <w:tcW w:w="1170" w:type="dxa"/>
            <w:vAlign w:val="center"/>
          </w:tcPr>
          <w:p w:rsidR="00C05411" w:rsidP="009B63D2" w:rsidRDefault="00C05411" w14:paraId="33EE7D56" w14:textId="1118DAAC">
            <w:r>
              <w:rPr>
                <w:rFonts w:ascii="Calibri" w:hAnsi="Calibri"/>
                <w:sz w:val="20"/>
                <w:szCs w:val="20"/>
              </w:rPr>
              <w:t>12,66</w:t>
            </w:r>
            <w:r w:rsidR="009B63D2">
              <w:rPr>
                <w:rFonts w:ascii="Calibri" w:hAnsi="Calibri"/>
                <w:sz w:val="20"/>
                <w:szCs w:val="20"/>
              </w:rPr>
              <w:t>1</w:t>
            </w:r>
          </w:p>
        </w:tc>
        <w:tc>
          <w:tcPr>
            <w:tcW w:w="990" w:type="dxa"/>
            <w:vAlign w:val="center"/>
          </w:tcPr>
          <w:p w:rsidR="00C05411" w:rsidP="000C1F86" w:rsidRDefault="00C05411" w14:paraId="5F4B1C1D" w14:textId="77777777">
            <w:r>
              <w:rPr>
                <w:rFonts w:ascii="Calibri" w:hAnsi="Calibri"/>
                <w:sz w:val="20"/>
                <w:szCs w:val="20"/>
              </w:rPr>
              <w:t>10</w:t>
            </w:r>
          </w:p>
        </w:tc>
        <w:tc>
          <w:tcPr>
            <w:tcW w:w="1350" w:type="dxa"/>
            <w:vAlign w:val="center"/>
          </w:tcPr>
          <w:p w:rsidR="00C05411" w:rsidP="000C1F86" w:rsidRDefault="00C05411" w14:paraId="5F827680" w14:textId="77777777">
            <w:r>
              <w:rPr>
                <w:rFonts w:ascii="Calibri" w:hAnsi="Calibri"/>
                <w:color w:val="000000"/>
                <w:sz w:val="20"/>
                <w:szCs w:val="20"/>
              </w:rPr>
              <w:t>126,608.4</w:t>
            </w:r>
          </w:p>
        </w:tc>
        <w:tc>
          <w:tcPr>
            <w:tcW w:w="990" w:type="dxa"/>
            <w:vAlign w:val="center"/>
          </w:tcPr>
          <w:p w:rsidR="00C05411" w:rsidP="000C1F86" w:rsidRDefault="00C05411" w14:paraId="2B08F0E8" w14:textId="77777777">
            <w:r>
              <w:rPr>
                <w:rFonts w:ascii="Calibri" w:hAnsi="Calibri"/>
                <w:sz w:val="20"/>
                <w:szCs w:val="20"/>
              </w:rPr>
              <w:t>$154.71</w:t>
            </w:r>
          </w:p>
        </w:tc>
        <w:tc>
          <w:tcPr>
            <w:tcW w:w="1620" w:type="dxa"/>
            <w:vAlign w:val="center"/>
          </w:tcPr>
          <w:p w:rsidR="00C05411" w:rsidP="000C1F86" w:rsidRDefault="00C05411" w14:paraId="110EB70C" w14:textId="22E0F657">
            <w:r>
              <w:rPr>
                <w:rFonts w:ascii="Calibri" w:hAnsi="Calibri"/>
                <w:color w:val="000000"/>
                <w:sz w:val="20"/>
                <w:szCs w:val="20"/>
              </w:rPr>
              <w:t>$19,587,585.</w:t>
            </w:r>
            <w:r w:rsidR="00A119EA">
              <w:rPr>
                <w:rFonts w:ascii="Calibri" w:hAnsi="Calibri"/>
                <w:color w:val="000000"/>
                <w:sz w:val="20"/>
                <w:szCs w:val="20"/>
              </w:rPr>
              <w:t>5</w:t>
            </w:r>
            <w:r>
              <w:rPr>
                <w:rFonts w:ascii="Calibri" w:hAnsi="Calibri"/>
                <w:color w:val="000000"/>
                <w:sz w:val="20"/>
                <w:szCs w:val="20"/>
              </w:rPr>
              <w:t>6</w:t>
            </w:r>
          </w:p>
        </w:tc>
      </w:tr>
      <w:tr w:rsidR="009303F3" w:rsidTr="00972A90" w14:paraId="21F227CD" w14:textId="77777777">
        <w:tc>
          <w:tcPr>
            <w:tcW w:w="275" w:type="dxa"/>
          </w:tcPr>
          <w:p w:rsidRPr="007B566C" w:rsidR="00C05411" w:rsidP="000C1F86" w:rsidRDefault="00C05411" w14:paraId="600ADFE3" w14:textId="77777777">
            <w:pPr>
              <w:rPr>
                <w:rFonts w:asciiTheme="minorHAnsi" w:hAnsiTheme="minorHAnsi" w:cstheme="minorHAnsi"/>
                <w:sz w:val="22"/>
                <w:szCs w:val="22"/>
              </w:rPr>
            </w:pPr>
            <w:r w:rsidRPr="007B566C">
              <w:rPr>
                <w:rFonts w:asciiTheme="minorHAnsi" w:hAnsiTheme="minorHAnsi" w:cstheme="minorHAnsi"/>
                <w:sz w:val="22"/>
                <w:szCs w:val="22"/>
              </w:rPr>
              <w:t>5</w:t>
            </w:r>
          </w:p>
        </w:tc>
        <w:tc>
          <w:tcPr>
            <w:tcW w:w="1980" w:type="dxa"/>
            <w:vAlign w:val="center"/>
          </w:tcPr>
          <w:p w:rsidR="00C05411" w:rsidP="000C1F86" w:rsidRDefault="00C05411" w14:paraId="1C3BFBD5" w14:textId="77777777">
            <w:pPr>
              <w:rPr>
                <w:rFonts w:ascii="Calibri" w:hAnsi="Calibri"/>
                <w:sz w:val="20"/>
                <w:szCs w:val="20"/>
              </w:rPr>
            </w:pPr>
            <w:r>
              <w:rPr>
                <w:rFonts w:ascii="Calibri" w:hAnsi="Calibri"/>
                <w:sz w:val="20"/>
                <w:szCs w:val="20"/>
              </w:rPr>
              <w:t>Develop Plan –</w:t>
            </w:r>
          </w:p>
          <w:p w:rsidR="00C05411" w:rsidP="000C1F86" w:rsidRDefault="00C05411" w14:paraId="4438D13A" w14:textId="77777777">
            <w:r>
              <w:rPr>
                <w:rFonts w:ascii="Calibri" w:hAnsi="Calibri"/>
                <w:sz w:val="20"/>
                <w:szCs w:val="20"/>
              </w:rPr>
              <w:t>First Aid and Emergency Response</w:t>
            </w:r>
          </w:p>
        </w:tc>
        <w:tc>
          <w:tcPr>
            <w:tcW w:w="1530" w:type="dxa"/>
            <w:vAlign w:val="center"/>
          </w:tcPr>
          <w:p w:rsidR="00C05411" w:rsidP="000C1F86" w:rsidRDefault="00C05411" w14:paraId="52BF7669" w14:textId="77777777">
            <w:r>
              <w:rPr>
                <w:rFonts w:ascii="Calibri" w:hAnsi="Calibri"/>
                <w:sz w:val="20"/>
                <w:szCs w:val="20"/>
              </w:rPr>
              <w:t>35,375</w:t>
            </w:r>
          </w:p>
        </w:tc>
        <w:tc>
          <w:tcPr>
            <w:tcW w:w="1170" w:type="dxa"/>
            <w:vAlign w:val="center"/>
          </w:tcPr>
          <w:p w:rsidR="00C05411" w:rsidP="000C1F86" w:rsidRDefault="00C05411" w14:paraId="162E79E8" w14:textId="77777777">
            <w:r>
              <w:rPr>
                <w:rFonts w:ascii="Calibri" w:hAnsi="Calibri"/>
                <w:sz w:val="20"/>
                <w:szCs w:val="20"/>
              </w:rPr>
              <w:t>34%</w:t>
            </w:r>
          </w:p>
        </w:tc>
        <w:tc>
          <w:tcPr>
            <w:tcW w:w="1170" w:type="dxa"/>
            <w:vAlign w:val="center"/>
          </w:tcPr>
          <w:p w:rsidR="00C05411" w:rsidP="009B63D2" w:rsidRDefault="00C05411" w14:paraId="10077201" w14:textId="0189A632">
            <w:r>
              <w:rPr>
                <w:rFonts w:ascii="Calibri" w:hAnsi="Calibri"/>
                <w:sz w:val="20"/>
                <w:szCs w:val="20"/>
              </w:rPr>
              <w:t>12,02</w:t>
            </w:r>
            <w:r w:rsidR="009B63D2">
              <w:rPr>
                <w:rFonts w:ascii="Calibri" w:hAnsi="Calibri"/>
                <w:sz w:val="20"/>
                <w:szCs w:val="20"/>
              </w:rPr>
              <w:t>8</w:t>
            </w:r>
          </w:p>
        </w:tc>
        <w:tc>
          <w:tcPr>
            <w:tcW w:w="990" w:type="dxa"/>
            <w:vAlign w:val="center"/>
          </w:tcPr>
          <w:p w:rsidR="00C05411" w:rsidP="000C1F86" w:rsidRDefault="00C05411" w14:paraId="08AD5719" w14:textId="77777777">
            <w:r>
              <w:rPr>
                <w:rFonts w:ascii="Calibri" w:hAnsi="Calibri"/>
                <w:sz w:val="20"/>
                <w:szCs w:val="20"/>
              </w:rPr>
              <w:t>10</w:t>
            </w:r>
          </w:p>
        </w:tc>
        <w:tc>
          <w:tcPr>
            <w:tcW w:w="1350" w:type="dxa"/>
            <w:vAlign w:val="center"/>
          </w:tcPr>
          <w:p w:rsidR="00C05411" w:rsidP="000C1F86" w:rsidRDefault="00C05411" w14:paraId="7CF31F8A" w14:textId="77777777">
            <w:r>
              <w:rPr>
                <w:rFonts w:ascii="Calibri" w:hAnsi="Calibri"/>
                <w:color w:val="000000"/>
                <w:sz w:val="20"/>
                <w:szCs w:val="20"/>
              </w:rPr>
              <w:t>120,275</w:t>
            </w:r>
          </w:p>
        </w:tc>
        <w:tc>
          <w:tcPr>
            <w:tcW w:w="990" w:type="dxa"/>
            <w:vAlign w:val="center"/>
          </w:tcPr>
          <w:p w:rsidR="00C05411" w:rsidP="000C1F86" w:rsidRDefault="00C05411" w14:paraId="160DD996" w14:textId="77777777">
            <w:r>
              <w:rPr>
                <w:rFonts w:ascii="Calibri" w:hAnsi="Calibri"/>
                <w:sz w:val="20"/>
                <w:szCs w:val="20"/>
              </w:rPr>
              <w:t>$154.71</w:t>
            </w:r>
          </w:p>
        </w:tc>
        <w:tc>
          <w:tcPr>
            <w:tcW w:w="1620" w:type="dxa"/>
            <w:vAlign w:val="center"/>
          </w:tcPr>
          <w:p w:rsidR="00C05411" w:rsidP="000C1F86" w:rsidRDefault="00C05411" w14:paraId="2C610B10" w14:textId="02852F0D">
            <w:r>
              <w:rPr>
                <w:rFonts w:ascii="Calibri" w:hAnsi="Calibri"/>
                <w:color w:val="000000"/>
                <w:sz w:val="20"/>
                <w:szCs w:val="20"/>
              </w:rPr>
              <w:t>$18,607,745.2</w:t>
            </w:r>
            <w:r w:rsidR="00A119EA">
              <w:rPr>
                <w:rFonts w:ascii="Calibri" w:hAnsi="Calibri"/>
                <w:color w:val="000000"/>
                <w:sz w:val="20"/>
                <w:szCs w:val="20"/>
              </w:rPr>
              <w:t>5</w:t>
            </w:r>
          </w:p>
        </w:tc>
      </w:tr>
      <w:tr w:rsidR="009303F3" w:rsidTr="00972A90" w14:paraId="0EBF6B7C" w14:textId="77777777">
        <w:tc>
          <w:tcPr>
            <w:tcW w:w="275" w:type="dxa"/>
          </w:tcPr>
          <w:p w:rsidRPr="007B566C" w:rsidR="00C05411" w:rsidP="005E6312" w:rsidRDefault="005E6312" w14:paraId="060E392B" w14:textId="6CBB46CD">
            <w:pPr>
              <w:rPr>
                <w:rFonts w:asciiTheme="minorHAnsi" w:hAnsiTheme="minorHAnsi" w:cstheme="minorHAnsi"/>
                <w:sz w:val="22"/>
                <w:szCs w:val="22"/>
              </w:rPr>
            </w:pPr>
            <w:r>
              <w:rPr>
                <w:rFonts w:asciiTheme="minorHAnsi" w:hAnsiTheme="minorHAnsi" w:cstheme="minorHAnsi"/>
                <w:sz w:val="22"/>
                <w:szCs w:val="22"/>
              </w:rPr>
              <w:t>6</w:t>
            </w:r>
          </w:p>
        </w:tc>
        <w:tc>
          <w:tcPr>
            <w:tcW w:w="1980" w:type="dxa"/>
            <w:vAlign w:val="center"/>
          </w:tcPr>
          <w:p w:rsidR="00C05411" w:rsidP="000C1F86" w:rsidRDefault="00C05411" w14:paraId="6AB3CABC" w14:textId="77777777">
            <w:r>
              <w:rPr>
                <w:rFonts w:ascii="Calibri" w:hAnsi="Calibri"/>
                <w:sz w:val="20"/>
                <w:szCs w:val="20"/>
              </w:rPr>
              <w:t>Develop Plan – School/ Industry Clinics</w:t>
            </w:r>
          </w:p>
        </w:tc>
        <w:tc>
          <w:tcPr>
            <w:tcW w:w="1530" w:type="dxa"/>
            <w:vAlign w:val="center"/>
          </w:tcPr>
          <w:p w:rsidR="00C05411" w:rsidP="004D49D0" w:rsidRDefault="004D49D0" w14:paraId="0E757D45" w14:textId="7DDB6E40">
            <w:r>
              <w:rPr>
                <w:rFonts w:ascii="Calibri" w:hAnsi="Calibri"/>
                <w:sz w:val="20"/>
                <w:szCs w:val="20"/>
              </w:rPr>
              <w:t>18,954</w:t>
            </w:r>
          </w:p>
        </w:tc>
        <w:tc>
          <w:tcPr>
            <w:tcW w:w="1170" w:type="dxa"/>
            <w:vAlign w:val="center"/>
          </w:tcPr>
          <w:p w:rsidR="00C05411" w:rsidP="000C1F86" w:rsidRDefault="00C05411" w14:paraId="4C5373EB" w14:textId="77777777">
            <w:r>
              <w:rPr>
                <w:rFonts w:ascii="Calibri" w:hAnsi="Calibri"/>
                <w:sz w:val="20"/>
                <w:szCs w:val="20"/>
              </w:rPr>
              <w:t>35%</w:t>
            </w:r>
          </w:p>
        </w:tc>
        <w:tc>
          <w:tcPr>
            <w:tcW w:w="1170" w:type="dxa"/>
            <w:vAlign w:val="center"/>
          </w:tcPr>
          <w:p w:rsidR="00C05411" w:rsidP="009B63D2" w:rsidRDefault="004D49D0" w14:paraId="3892CC86" w14:textId="0AB864E1">
            <w:r>
              <w:rPr>
                <w:rFonts w:ascii="Calibri" w:hAnsi="Calibri"/>
                <w:sz w:val="20"/>
                <w:szCs w:val="20"/>
              </w:rPr>
              <w:t>6,634</w:t>
            </w:r>
          </w:p>
        </w:tc>
        <w:tc>
          <w:tcPr>
            <w:tcW w:w="990" w:type="dxa"/>
            <w:vAlign w:val="center"/>
          </w:tcPr>
          <w:p w:rsidR="00C05411" w:rsidP="000C1F86" w:rsidRDefault="00C05411" w14:paraId="72BCF576" w14:textId="77777777">
            <w:r>
              <w:rPr>
                <w:rFonts w:ascii="Calibri" w:hAnsi="Calibri"/>
                <w:sz w:val="20"/>
                <w:szCs w:val="20"/>
              </w:rPr>
              <w:t>5</w:t>
            </w:r>
          </w:p>
        </w:tc>
        <w:tc>
          <w:tcPr>
            <w:tcW w:w="1350" w:type="dxa"/>
            <w:vAlign w:val="center"/>
          </w:tcPr>
          <w:p w:rsidR="00C05411" w:rsidP="004D49D0" w:rsidRDefault="004D49D0" w14:paraId="5621A654" w14:textId="2A938D20">
            <w:r>
              <w:rPr>
                <w:rFonts w:ascii="Calibri" w:hAnsi="Calibri"/>
                <w:color w:val="000000"/>
                <w:sz w:val="20"/>
                <w:szCs w:val="20"/>
              </w:rPr>
              <w:t>33,170</w:t>
            </w:r>
          </w:p>
        </w:tc>
        <w:tc>
          <w:tcPr>
            <w:tcW w:w="990" w:type="dxa"/>
            <w:vAlign w:val="center"/>
          </w:tcPr>
          <w:p w:rsidR="00C05411" w:rsidP="000C1F86" w:rsidRDefault="00C05411" w14:paraId="63F6C519" w14:textId="77777777">
            <w:r>
              <w:rPr>
                <w:rFonts w:ascii="Calibri" w:hAnsi="Calibri"/>
                <w:sz w:val="20"/>
                <w:szCs w:val="20"/>
              </w:rPr>
              <w:t>$154.71</w:t>
            </w:r>
          </w:p>
        </w:tc>
        <w:tc>
          <w:tcPr>
            <w:tcW w:w="1620" w:type="dxa"/>
            <w:vAlign w:val="center"/>
          </w:tcPr>
          <w:p w:rsidR="00C05411" w:rsidP="004D49D0" w:rsidRDefault="00C05411" w14:paraId="0CF42F18" w14:textId="4D6B97C0">
            <w:r>
              <w:rPr>
                <w:rFonts w:ascii="Calibri" w:hAnsi="Calibri"/>
                <w:color w:val="000000"/>
                <w:sz w:val="20"/>
                <w:szCs w:val="20"/>
              </w:rPr>
              <w:t>$</w:t>
            </w:r>
            <w:r w:rsidR="004D49D0">
              <w:rPr>
                <w:rFonts w:ascii="Calibri" w:hAnsi="Calibri"/>
                <w:color w:val="000000"/>
                <w:sz w:val="20"/>
                <w:szCs w:val="20"/>
              </w:rPr>
              <w:t>5,131,730.70</w:t>
            </w:r>
          </w:p>
        </w:tc>
      </w:tr>
      <w:tr w:rsidR="009303F3" w:rsidTr="00972A90" w14:paraId="7112D180" w14:textId="77777777">
        <w:tc>
          <w:tcPr>
            <w:tcW w:w="275" w:type="dxa"/>
          </w:tcPr>
          <w:p w:rsidRPr="007B566C" w:rsidR="00C05411" w:rsidP="000C1F86" w:rsidRDefault="005E6312" w14:paraId="608B3DA0" w14:textId="325359BB">
            <w:pPr>
              <w:rPr>
                <w:rFonts w:asciiTheme="minorHAnsi" w:hAnsiTheme="minorHAnsi" w:cstheme="minorHAnsi"/>
                <w:sz w:val="22"/>
                <w:szCs w:val="22"/>
              </w:rPr>
            </w:pPr>
            <w:r>
              <w:rPr>
                <w:rFonts w:asciiTheme="minorHAnsi" w:hAnsiTheme="minorHAnsi" w:cstheme="minorHAnsi"/>
                <w:sz w:val="22"/>
                <w:szCs w:val="22"/>
              </w:rPr>
              <w:t>7</w:t>
            </w:r>
          </w:p>
        </w:tc>
        <w:tc>
          <w:tcPr>
            <w:tcW w:w="1980" w:type="dxa"/>
            <w:vAlign w:val="center"/>
          </w:tcPr>
          <w:p w:rsidR="00C05411" w:rsidP="000C1F86" w:rsidRDefault="00C05411" w14:paraId="58C80B33" w14:textId="77777777">
            <w:r>
              <w:rPr>
                <w:rFonts w:ascii="Calibri" w:hAnsi="Calibri"/>
                <w:sz w:val="20"/>
                <w:szCs w:val="20"/>
              </w:rPr>
              <w:t>Develop Plan – Correctional Facilities</w:t>
            </w:r>
          </w:p>
        </w:tc>
        <w:tc>
          <w:tcPr>
            <w:tcW w:w="1530" w:type="dxa"/>
            <w:vAlign w:val="center"/>
          </w:tcPr>
          <w:p w:rsidR="00C05411" w:rsidP="000C1F86" w:rsidRDefault="00C05411" w14:paraId="0D6288D5" w14:textId="77777777">
            <w:r>
              <w:rPr>
                <w:rFonts w:ascii="Calibri" w:hAnsi="Calibri"/>
                <w:sz w:val="20"/>
                <w:szCs w:val="20"/>
              </w:rPr>
              <w:t>1,680</w:t>
            </w:r>
          </w:p>
        </w:tc>
        <w:tc>
          <w:tcPr>
            <w:tcW w:w="1170" w:type="dxa"/>
            <w:vAlign w:val="center"/>
          </w:tcPr>
          <w:p w:rsidR="00C05411" w:rsidP="000C1F86" w:rsidRDefault="00C05411" w14:paraId="18281D09" w14:textId="77777777">
            <w:r>
              <w:rPr>
                <w:rFonts w:ascii="Calibri" w:hAnsi="Calibri"/>
                <w:sz w:val="20"/>
                <w:szCs w:val="20"/>
              </w:rPr>
              <w:t>29%</w:t>
            </w:r>
          </w:p>
        </w:tc>
        <w:tc>
          <w:tcPr>
            <w:tcW w:w="1170" w:type="dxa"/>
            <w:vAlign w:val="center"/>
          </w:tcPr>
          <w:p w:rsidR="00C05411" w:rsidP="009B63D2" w:rsidRDefault="00C05411" w14:paraId="55EEAAF3" w14:textId="3203B34B">
            <w:r>
              <w:rPr>
                <w:rFonts w:ascii="Calibri" w:hAnsi="Calibri"/>
                <w:sz w:val="20"/>
                <w:szCs w:val="20"/>
              </w:rPr>
              <w:t>487</w:t>
            </w:r>
          </w:p>
        </w:tc>
        <w:tc>
          <w:tcPr>
            <w:tcW w:w="990" w:type="dxa"/>
            <w:vAlign w:val="center"/>
          </w:tcPr>
          <w:p w:rsidR="00C05411" w:rsidP="000C1F86" w:rsidRDefault="00C05411" w14:paraId="40210D76" w14:textId="77777777">
            <w:r>
              <w:rPr>
                <w:rFonts w:ascii="Calibri" w:hAnsi="Calibri"/>
                <w:sz w:val="20"/>
                <w:szCs w:val="20"/>
              </w:rPr>
              <w:t>5</w:t>
            </w:r>
          </w:p>
        </w:tc>
        <w:tc>
          <w:tcPr>
            <w:tcW w:w="1350" w:type="dxa"/>
            <w:vAlign w:val="center"/>
          </w:tcPr>
          <w:p w:rsidR="00C05411" w:rsidP="000C1F86" w:rsidRDefault="00C05411" w14:paraId="4F0E31E5" w14:textId="77777777">
            <w:r>
              <w:rPr>
                <w:rFonts w:ascii="Calibri" w:hAnsi="Calibri"/>
                <w:color w:val="000000"/>
                <w:sz w:val="20"/>
                <w:szCs w:val="20"/>
              </w:rPr>
              <w:t>2,436</w:t>
            </w:r>
          </w:p>
        </w:tc>
        <w:tc>
          <w:tcPr>
            <w:tcW w:w="990" w:type="dxa"/>
            <w:vAlign w:val="center"/>
          </w:tcPr>
          <w:p w:rsidR="00C05411" w:rsidP="000C1F86" w:rsidRDefault="00C05411" w14:paraId="6E9D09B6" w14:textId="77777777">
            <w:r>
              <w:rPr>
                <w:rFonts w:ascii="Calibri" w:hAnsi="Calibri"/>
                <w:sz w:val="20"/>
                <w:szCs w:val="20"/>
              </w:rPr>
              <w:t>$154.71</w:t>
            </w:r>
          </w:p>
        </w:tc>
        <w:tc>
          <w:tcPr>
            <w:tcW w:w="1620" w:type="dxa"/>
            <w:vAlign w:val="center"/>
          </w:tcPr>
          <w:p w:rsidR="00C05411" w:rsidP="000C1F86" w:rsidRDefault="00C05411" w14:paraId="198A7E0F" w14:textId="77777777">
            <w:r>
              <w:rPr>
                <w:rFonts w:ascii="Calibri" w:hAnsi="Calibri"/>
                <w:color w:val="000000"/>
                <w:sz w:val="20"/>
                <w:szCs w:val="20"/>
              </w:rPr>
              <w:t>$376,873.56</w:t>
            </w:r>
          </w:p>
        </w:tc>
      </w:tr>
      <w:tr w:rsidR="009303F3" w:rsidTr="00972A90" w14:paraId="21CF5BDD" w14:textId="77777777">
        <w:tc>
          <w:tcPr>
            <w:tcW w:w="275" w:type="dxa"/>
            <w:shd w:val="clear" w:color="auto" w:fill="F2F2F2" w:themeFill="background1" w:themeFillShade="F2"/>
          </w:tcPr>
          <w:p w:rsidRPr="007B566C" w:rsidR="00C05411" w:rsidP="000C1F86" w:rsidRDefault="00C05411" w14:paraId="644483E0" w14:textId="77777777">
            <w:pPr>
              <w:rPr>
                <w:b/>
              </w:rPr>
            </w:pPr>
          </w:p>
        </w:tc>
        <w:tc>
          <w:tcPr>
            <w:tcW w:w="1980" w:type="dxa"/>
            <w:shd w:val="clear" w:color="auto" w:fill="F2F2F2" w:themeFill="background1" w:themeFillShade="F2"/>
            <w:vAlign w:val="center"/>
          </w:tcPr>
          <w:p w:rsidRPr="007B566C" w:rsidR="00C05411" w:rsidP="000C1F86" w:rsidRDefault="00C05411" w14:paraId="33840C55" w14:textId="77777777">
            <w:pPr>
              <w:rPr>
                <w:rFonts w:ascii="Calibri" w:hAnsi="Calibri"/>
                <w:b/>
                <w:sz w:val="20"/>
                <w:szCs w:val="20"/>
              </w:rPr>
            </w:pPr>
            <w:r w:rsidRPr="007B566C">
              <w:rPr>
                <w:rFonts w:ascii="Calibri" w:hAnsi="Calibri"/>
                <w:b/>
                <w:sz w:val="20"/>
                <w:szCs w:val="20"/>
              </w:rPr>
              <w:t>Total</w:t>
            </w:r>
          </w:p>
        </w:tc>
        <w:tc>
          <w:tcPr>
            <w:tcW w:w="1530" w:type="dxa"/>
            <w:shd w:val="clear" w:color="auto" w:fill="F2F2F2" w:themeFill="background1" w:themeFillShade="F2"/>
            <w:vAlign w:val="center"/>
          </w:tcPr>
          <w:p w:rsidRPr="007B566C" w:rsidR="00C05411" w:rsidP="004D49D0" w:rsidRDefault="004D49D0" w14:paraId="6BD9E3A8" w14:textId="6C1F3F05">
            <w:pPr>
              <w:rPr>
                <w:rFonts w:ascii="Calibri" w:hAnsi="Calibri"/>
                <w:b/>
                <w:sz w:val="20"/>
                <w:szCs w:val="20"/>
              </w:rPr>
            </w:pPr>
            <w:r>
              <w:rPr>
                <w:rFonts w:ascii="Calibri" w:hAnsi="Calibri"/>
                <w:b/>
                <w:sz w:val="20"/>
                <w:szCs w:val="20"/>
              </w:rPr>
              <w:t>748,816</w:t>
            </w:r>
            <w:r w:rsidR="001E251A">
              <w:rPr>
                <w:rFonts w:ascii="Calibri" w:hAnsi="Calibri"/>
                <w:b/>
                <w:sz w:val="20"/>
                <w:szCs w:val="20"/>
              </w:rPr>
              <w:t>2</w:t>
            </w:r>
          </w:p>
        </w:tc>
        <w:tc>
          <w:tcPr>
            <w:tcW w:w="1170" w:type="dxa"/>
            <w:shd w:val="clear" w:color="auto" w:fill="F2F2F2" w:themeFill="background1" w:themeFillShade="F2"/>
            <w:vAlign w:val="center"/>
          </w:tcPr>
          <w:p w:rsidRPr="007B566C" w:rsidR="00C05411" w:rsidP="000C1F86" w:rsidRDefault="00C05411" w14:paraId="20FF8883" w14:textId="77777777">
            <w:pPr>
              <w:rPr>
                <w:rFonts w:ascii="Calibri" w:hAnsi="Calibri"/>
                <w:b/>
                <w:sz w:val="20"/>
                <w:szCs w:val="20"/>
              </w:rPr>
            </w:pPr>
          </w:p>
        </w:tc>
        <w:tc>
          <w:tcPr>
            <w:tcW w:w="1170" w:type="dxa"/>
            <w:shd w:val="clear" w:color="auto" w:fill="F2F2F2" w:themeFill="background1" w:themeFillShade="F2"/>
            <w:vAlign w:val="center"/>
          </w:tcPr>
          <w:p w:rsidRPr="007B566C" w:rsidR="00C05411" w:rsidP="009B63D2" w:rsidRDefault="00EC4B25" w14:paraId="0624D366" w14:textId="5F6D50A1">
            <w:pPr>
              <w:rPr>
                <w:rFonts w:ascii="Calibri" w:hAnsi="Calibri"/>
                <w:b/>
                <w:sz w:val="20"/>
                <w:szCs w:val="20"/>
              </w:rPr>
            </w:pPr>
            <w:r>
              <w:rPr>
                <w:rFonts w:ascii="Calibri" w:hAnsi="Calibri"/>
                <w:b/>
                <w:sz w:val="20"/>
                <w:szCs w:val="20"/>
              </w:rPr>
              <w:t>287,184</w:t>
            </w:r>
          </w:p>
        </w:tc>
        <w:tc>
          <w:tcPr>
            <w:tcW w:w="990" w:type="dxa"/>
            <w:shd w:val="clear" w:color="auto" w:fill="F2F2F2" w:themeFill="background1" w:themeFillShade="F2"/>
            <w:vAlign w:val="center"/>
          </w:tcPr>
          <w:p w:rsidRPr="007B566C" w:rsidR="00C05411" w:rsidP="000C1F86" w:rsidRDefault="00C05411" w14:paraId="4DCEA04F" w14:textId="77777777">
            <w:pPr>
              <w:rPr>
                <w:rFonts w:ascii="Calibri" w:hAnsi="Calibri"/>
                <w:b/>
                <w:sz w:val="20"/>
                <w:szCs w:val="20"/>
              </w:rPr>
            </w:pPr>
          </w:p>
        </w:tc>
        <w:tc>
          <w:tcPr>
            <w:tcW w:w="1350" w:type="dxa"/>
            <w:shd w:val="clear" w:color="auto" w:fill="F2F2F2" w:themeFill="background1" w:themeFillShade="F2"/>
            <w:vAlign w:val="center"/>
          </w:tcPr>
          <w:p w:rsidRPr="007B566C" w:rsidR="00C05411" w:rsidP="001E251A" w:rsidRDefault="00EC4B25" w14:paraId="0AE8CFA5" w14:textId="65226065">
            <w:pPr>
              <w:rPr>
                <w:rFonts w:ascii="Calibri" w:hAnsi="Calibri"/>
                <w:b/>
                <w:color w:val="000000"/>
                <w:sz w:val="20"/>
                <w:szCs w:val="20"/>
              </w:rPr>
            </w:pPr>
            <w:r>
              <w:rPr>
                <w:rFonts w:ascii="Calibri" w:hAnsi="Calibri"/>
                <w:b/>
                <w:color w:val="000000"/>
                <w:sz w:val="20"/>
                <w:szCs w:val="20"/>
              </w:rPr>
              <w:t>1,621,118.2</w:t>
            </w:r>
          </w:p>
        </w:tc>
        <w:tc>
          <w:tcPr>
            <w:tcW w:w="990" w:type="dxa"/>
            <w:shd w:val="clear" w:color="auto" w:fill="F2F2F2" w:themeFill="background1" w:themeFillShade="F2"/>
            <w:vAlign w:val="center"/>
          </w:tcPr>
          <w:p w:rsidRPr="007B566C" w:rsidR="00C05411" w:rsidP="000C1F86" w:rsidRDefault="00C05411" w14:paraId="2072915C" w14:textId="77777777">
            <w:pPr>
              <w:rPr>
                <w:rFonts w:ascii="Calibri" w:hAnsi="Calibri"/>
                <w:b/>
                <w:sz w:val="20"/>
                <w:szCs w:val="20"/>
              </w:rPr>
            </w:pPr>
          </w:p>
        </w:tc>
        <w:tc>
          <w:tcPr>
            <w:tcW w:w="1620" w:type="dxa"/>
            <w:shd w:val="clear" w:color="auto" w:fill="F2F2F2" w:themeFill="background1" w:themeFillShade="F2"/>
            <w:vAlign w:val="center"/>
          </w:tcPr>
          <w:p w:rsidRPr="007B566C" w:rsidR="00C05411" w:rsidP="001E251A" w:rsidRDefault="002C42D1" w14:paraId="663F3489" w14:textId="361B14B6">
            <w:pPr>
              <w:rPr>
                <w:rFonts w:ascii="Calibri" w:hAnsi="Calibri"/>
                <w:b/>
                <w:color w:val="000000"/>
                <w:sz w:val="20"/>
                <w:szCs w:val="20"/>
              </w:rPr>
            </w:pPr>
            <w:r>
              <w:rPr>
                <w:rFonts w:ascii="Calibri" w:hAnsi="Calibri"/>
                <w:b/>
                <w:color w:val="000000"/>
                <w:sz w:val="20"/>
                <w:szCs w:val="20"/>
              </w:rPr>
              <w:t>$250,803,196.15</w:t>
            </w:r>
          </w:p>
        </w:tc>
      </w:tr>
    </w:tbl>
    <w:p w:rsidR="00C05411" w:rsidP="00C05411" w:rsidRDefault="00C05411" w14:paraId="2B03FCEF" w14:textId="77777777">
      <w:pPr>
        <w:ind w:firstLine="360"/>
      </w:pPr>
    </w:p>
    <w:p w:rsidRPr="00120094" w:rsidR="00C05411" w:rsidP="00C05411" w:rsidRDefault="000917B5" w14:paraId="538FE5E2" w14:textId="162DF79B">
      <w:pPr>
        <w:pStyle w:val="Heading8"/>
        <w:rPr>
          <w:rFonts w:ascii="Times New Roman" w:hAnsi="Times New Roman"/>
          <w:u w:val="single"/>
        </w:rPr>
      </w:pPr>
      <w:r>
        <w:rPr>
          <w:rFonts w:ascii="Times New Roman" w:hAnsi="Times New Roman"/>
          <w:u w:val="single"/>
        </w:rPr>
        <w:t>Maintain</w:t>
      </w:r>
      <w:r w:rsidRPr="00120094" w:rsidR="00A77905">
        <w:rPr>
          <w:rFonts w:ascii="Times New Roman" w:hAnsi="Times New Roman"/>
          <w:u w:val="single"/>
        </w:rPr>
        <w:t xml:space="preserve"> </w:t>
      </w:r>
      <w:r w:rsidRPr="00120094" w:rsidR="00C05411">
        <w:rPr>
          <w:rFonts w:ascii="Times New Roman" w:hAnsi="Times New Roman"/>
          <w:u w:val="single"/>
        </w:rPr>
        <w:t>Plan:</w:t>
      </w:r>
    </w:p>
    <w:p w:rsidR="007B387C" w:rsidP="00E149C3" w:rsidRDefault="007B387C" w14:paraId="0933033B" w14:textId="77777777">
      <w:pPr>
        <w:ind w:left="360"/>
      </w:pPr>
    </w:p>
    <w:p w:rsidR="007B387C" w:rsidP="00E149C3" w:rsidRDefault="007B387C" w14:paraId="0D1D5C4B" w14:textId="43823AD9">
      <w:pPr>
        <w:ind w:left="360"/>
      </w:pPr>
      <w:r w:rsidRPr="00E149C3">
        <w:t>As part of the plan</w:t>
      </w:r>
      <w:r w:rsidR="0080165E">
        <w:t xml:space="preserve">, the employer will have to monitor the on-going effectiveness of the COVID-19 plan on a daily basis </w:t>
      </w:r>
      <w:r w:rsidR="00F95C42">
        <w:t>to ensure the plan is being</w:t>
      </w:r>
      <w:r w:rsidR="0080165E">
        <w:t xml:space="preserve"> maintain</w:t>
      </w:r>
      <w:r w:rsidR="005C04CF">
        <w:t>ed</w:t>
      </w:r>
      <w:r w:rsidR="00F95C42">
        <w:t>.  OSHA assumes a</w:t>
      </w:r>
      <w:r w:rsidR="009261EE">
        <w:t>n on-going daily over a 6</w:t>
      </w:r>
      <w:r w:rsidR="0016615A">
        <w:t>-</w:t>
      </w:r>
      <w:r w:rsidR="009261EE">
        <w:t xml:space="preserve">month period to maintain the plan on average </w:t>
      </w:r>
      <w:r w:rsidR="005C04CF">
        <w:t xml:space="preserve">labor </w:t>
      </w:r>
      <w:r w:rsidR="009261EE">
        <w:t>to be from 18.31 to 30.13 hours.</w:t>
      </w:r>
      <w:r w:rsidR="00357141">
        <w:rPr>
          <w:rStyle w:val="FootnoteReference"/>
        </w:rPr>
        <w:footnoteReference w:id="4"/>
      </w:r>
      <w:r w:rsidR="009261EE">
        <w:t xml:space="preserve"> </w:t>
      </w:r>
      <w:r w:rsidR="004F688A">
        <w:t>For purposes of this ICR, OSHA will be using an occupational health and safety specialist (19-5011) to perform this task.</w:t>
      </w:r>
    </w:p>
    <w:p w:rsidR="000B71A8" w:rsidP="00E149C3" w:rsidRDefault="000B71A8" w14:paraId="4021C8A0" w14:textId="05FD7296">
      <w:pPr>
        <w:ind w:left="360"/>
      </w:pPr>
    </w:p>
    <w:p w:rsidR="000B71A8" w:rsidP="00E149C3" w:rsidRDefault="000B71A8" w14:paraId="42F4D586" w14:textId="77777777">
      <w:pPr>
        <w:ind w:left="360"/>
        <w:sectPr w:rsidR="000B71A8" w:rsidSect="003F2E8F">
          <w:headerReference w:type="default" r:id="rId12"/>
          <w:footerReference w:type="default" r:id="rId13"/>
          <w:pgSz w:w="12240" w:h="15840"/>
          <w:pgMar w:top="1440" w:right="1440" w:bottom="1440" w:left="1440" w:header="720" w:footer="720" w:gutter="0"/>
          <w:cols w:space="720"/>
          <w:docGrid w:linePitch="360"/>
        </w:sectPr>
      </w:pPr>
    </w:p>
    <w:p w:rsidR="0086251D" w:rsidP="0086251D" w:rsidRDefault="0086251D" w14:paraId="781B15E0" w14:textId="77777777">
      <w:pPr>
        <w:ind w:firstLine="360"/>
        <w:rPr>
          <w:b/>
        </w:rPr>
      </w:pPr>
      <w:r w:rsidRPr="00544A1E">
        <w:rPr>
          <w:b/>
        </w:rPr>
        <w:t xml:space="preserve">Table </w:t>
      </w:r>
      <w:r>
        <w:rPr>
          <w:b/>
        </w:rPr>
        <w:t>2</w:t>
      </w:r>
      <w:r w:rsidRPr="00544A1E">
        <w:rPr>
          <w:b/>
        </w:rPr>
        <w:t xml:space="preserve"> – Burden Hours and Cost </w:t>
      </w:r>
      <w:r>
        <w:rPr>
          <w:b/>
        </w:rPr>
        <w:t>of</w:t>
      </w:r>
      <w:r w:rsidRPr="00544A1E">
        <w:rPr>
          <w:b/>
        </w:rPr>
        <w:t xml:space="preserve"> </w:t>
      </w:r>
      <w:r>
        <w:rPr>
          <w:b/>
        </w:rPr>
        <w:t xml:space="preserve">Maintaining the </w:t>
      </w:r>
      <w:r w:rsidRPr="00544A1E">
        <w:rPr>
          <w:b/>
        </w:rPr>
        <w:t>COVID-19 Plan</w:t>
      </w:r>
    </w:p>
    <w:p w:rsidR="000B71A8" w:rsidP="00E149C3" w:rsidRDefault="000B71A8" w14:paraId="67218B4E" w14:textId="160F9A4D">
      <w:pPr>
        <w:ind w:left="360"/>
      </w:pPr>
    </w:p>
    <w:tbl>
      <w:tblPr>
        <w:tblStyle w:val="TableGrid"/>
        <w:tblW w:w="13495" w:type="dxa"/>
        <w:jc w:val="center"/>
        <w:tblLayout w:type="fixed"/>
        <w:tblLook w:val="04A0" w:firstRow="1" w:lastRow="0" w:firstColumn="1" w:lastColumn="0" w:noHBand="0" w:noVBand="1"/>
      </w:tblPr>
      <w:tblGrid>
        <w:gridCol w:w="445"/>
        <w:gridCol w:w="2639"/>
        <w:gridCol w:w="1600"/>
        <w:gridCol w:w="1261"/>
        <w:gridCol w:w="1600"/>
        <w:gridCol w:w="1630"/>
        <w:gridCol w:w="1440"/>
        <w:gridCol w:w="990"/>
        <w:gridCol w:w="1890"/>
      </w:tblGrid>
      <w:tr w:rsidR="00AD5F80" w:rsidTr="00F120BA" w14:paraId="26BBA1DD" w14:textId="77777777">
        <w:trPr>
          <w:tblHeader/>
          <w:jc w:val="center"/>
        </w:trPr>
        <w:tc>
          <w:tcPr>
            <w:tcW w:w="445" w:type="dxa"/>
            <w:shd w:val="clear" w:color="auto" w:fill="B8CCE4" w:themeFill="accent1" w:themeFillTint="66"/>
          </w:tcPr>
          <w:p w:rsidRPr="00CF3BCF" w:rsidR="00BF7B7C" w:rsidP="00CF3BCF" w:rsidRDefault="00BF7B7C" w14:paraId="2A649C93" w14:textId="3F5D5839">
            <w:pPr>
              <w:rPr>
                <w:rFonts w:asciiTheme="minorHAnsi" w:hAnsiTheme="minorHAnsi" w:cstheme="minorHAnsi"/>
                <w:sz w:val="22"/>
                <w:szCs w:val="22"/>
              </w:rPr>
            </w:pPr>
          </w:p>
        </w:tc>
        <w:tc>
          <w:tcPr>
            <w:tcW w:w="2639" w:type="dxa"/>
            <w:shd w:val="clear" w:color="auto" w:fill="B8CCE4" w:themeFill="accent1" w:themeFillTint="66"/>
          </w:tcPr>
          <w:p w:rsidRPr="00CF3BCF" w:rsidR="00BF7B7C" w:rsidP="000C126F" w:rsidRDefault="00BF7B7C" w14:paraId="70D77A35" w14:textId="06CC2B60">
            <w:pPr>
              <w:rPr>
                <w:rFonts w:asciiTheme="minorHAnsi" w:hAnsiTheme="minorHAnsi" w:cstheme="minorHAnsi"/>
                <w:b/>
                <w:sz w:val="22"/>
                <w:szCs w:val="22"/>
              </w:rPr>
            </w:pPr>
            <w:r w:rsidRPr="00CF3BCF">
              <w:rPr>
                <w:rFonts w:asciiTheme="minorHAnsi" w:hAnsiTheme="minorHAnsi" w:cstheme="minorHAnsi"/>
                <w:b/>
                <w:sz w:val="22"/>
                <w:szCs w:val="22"/>
              </w:rPr>
              <w:t>Establishment</w:t>
            </w:r>
          </w:p>
        </w:tc>
        <w:tc>
          <w:tcPr>
            <w:tcW w:w="1600" w:type="dxa"/>
            <w:shd w:val="clear" w:color="auto" w:fill="B8CCE4" w:themeFill="accent1" w:themeFillTint="66"/>
          </w:tcPr>
          <w:p w:rsidRPr="00CF3BCF" w:rsidR="00BF7B7C" w:rsidP="000C126F" w:rsidRDefault="00BF7B7C" w14:paraId="1578360C" w14:textId="66C9E405">
            <w:pPr>
              <w:rPr>
                <w:rFonts w:asciiTheme="minorHAnsi" w:hAnsiTheme="minorHAnsi" w:cstheme="minorHAnsi"/>
                <w:sz w:val="22"/>
                <w:szCs w:val="22"/>
              </w:rPr>
            </w:pPr>
            <w:r w:rsidRPr="00CF3BCF">
              <w:rPr>
                <w:rFonts w:eastAsia="Times New Roman" w:asciiTheme="minorHAnsi" w:hAnsiTheme="minorHAnsi" w:cstheme="minorHAnsi"/>
                <w:b/>
                <w:bCs/>
                <w:iCs/>
                <w:color w:val="000000"/>
                <w:sz w:val="22"/>
                <w:szCs w:val="22"/>
                <w:lang w:eastAsia="en-US"/>
              </w:rPr>
              <w:t>Number of Establishments</w:t>
            </w:r>
          </w:p>
        </w:tc>
        <w:tc>
          <w:tcPr>
            <w:tcW w:w="1261" w:type="dxa"/>
            <w:shd w:val="clear" w:color="auto" w:fill="B8CCE4" w:themeFill="accent1" w:themeFillTint="66"/>
          </w:tcPr>
          <w:p w:rsidRPr="00CF3BCF" w:rsidR="00BF7B7C" w:rsidP="000C126F" w:rsidRDefault="00BF7B7C" w14:paraId="3FBE2853" w14:textId="42215741">
            <w:pPr>
              <w:rPr>
                <w:rFonts w:asciiTheme="minorHAnsi" w:hAnsiTheme="minorHAnsi" w:cstheme="minorHAnsi"/>
                <w:sz w:val="22"/>
                <w:szCs w:val="22"/>
              </w:rPr>
            </w:pPr>
            <w:r w:rsidRPr="00CF3BCF">
              <w:rPr>
                <w:rFonts w:eastAsia="Times New Roman" w:asciiTheme="minorHAnsi" w:hAnsiTheme="minorHAnsi" w:cstheme="minorHAnsi"/>
                <w:b/>
                <w:bCs/>
                <w:iCs/>
                <w:color w:val="000000"/>
                <w:sz w:val="22"/>
                <w:szCs w:val="22"/>
                <w:lang w:eastAsia="en-US"/>
              </w:rPr>
              <w:t>Non-compliance Rate</w:t>
            </w:r>
          </w:p>
        </w:tc>
        <w:tc>
          <w:tcPr>
            <w:tcW w:w="1600" w:type="dxa"/>
            <w:shd w:val="clear" w:color="auto" w:fill="B8CCE4" w:themeFill="accent1" w:themeFillTint="66"/>
          </w:tcPr>
          <w:p w:rsidRPr="00CF3BCF" w:rsidR="00BF7B7C" w:rsidP="000C126F" w:rsidRDefault="00BF7B7C" w14:paraId="7D1DDA4E" w14:textId="21D8765A">
            <w:pPr>
              <w:rPr>
                <w:rFonts w:asciiTheme="minorHAnsi" w:hAnsiTheme="minorHAnsi" w:cstheme="minorHAnsi"/>
                <w:sz w:val="22"/>
                <w:szCs w:val="22"/>
              </w:rPr>
            </w:pPr>
            <w:r w:rsidRPr="00CF3BCF">
              <w:rPr>
                <w:rFonts w:eastAsia="Times New Roman" w:asciiTheme="minorHAnsi" w:hAnsiTheme="minorHAnsi" w:cstheme="minorHAnsi"/>
                <w:b/>
                <w:bCs/>
                <w:iCs/>
                <w:color w:val="000000"/>
                <w:sz w:val="22"/>
                <w:szCs w:val="22"/>
                <w:lang w:eastAsia="en-US"/>
              </w:rPr>
              <w:t>Total Establishments</w:t>
            </w:r>
          </w:p>
        </w:tc>
        <w:tc>
          <w:tcPr>
            <w:tcW w:w="1630" w:type="dxa"/>
            <w:shd w:val="clear" w:color="auto" w:fill="B8CCE4" w:themeFill="accent1" w:themeFillTint="66"/>
          </w:tcPr>
          <w:p w:rsidRPr="00CF3BCF" w:rsidR="00BF7B7C" w:rsidP="000C126F" w:rsidRDefault="00BF7B7C" w14:paraId="7D4CE096" w14:textId="302B5604">
            <w:pPr>
              <w:rPr>
                <w:rFonts w:asciiTheme="minorHAnsi" w:hAnsiTheme="minorHAnsi" w:cstheme="minorHAnsi"/>
                <w:sz w:val="22"/>
                <w:szCs w:val="22"/>
              </w:rPr>
            </w:pPr>
            <w:r w:rsidRPr="00CF3BCF">
              <w:rPr>
                <w:rFonts w:eastAsia="Times New Roman" w:asciiTheme="minorHAnsi" w:hAnsiTheme="minorHAnsi" w:cstheme="minorHAnsi"/>
                <w:b/>
                <w:bCs/>
                <w:iCs/>
                <w:color w:val="000000"/>
                <w:sz w:val="22"/>
                <w:szCs w:val="22"/>
                <w:lang w:eastAsia="en-US"/>
              </w:rPr>
              <w:t>Time per Establishment (Hrs)</w:t>
            </w:r>
          </w:p>
        </w:tc>
        <w:tc>
          <w:tcPr>
            <w:tcW w:w="1440" w:type="dxa"/>
            <w:shd w:val="clear" w:color="auto" w:fill="B8CCE4" w:themeFill="accent1" w:themeFillTint="66"/>
          </w:tcPr>
          <w:p w:rsidRPr="00CF3BCF" w:rsidR="00BF7B7C" w:rsidP="000C126F" w:rsidRDefault="00BF7B7C" w14:paraId="0950DD3F" w14:textId="28586738">
            <w:pPr>
              <w:rPr>
                <w:rFonts w:asciiTheme="minorHAnsi" w:hAnsiTheme="minorHAnsi" w:cstheme="minorHAnsi"/>
                <w:sz w:val="22"/>
                <w:szCs w:val="22"/>
              </w:rPr>
            </w:pPr>
            <w:r w:rsidRPr="00CF3BCF">
              <w:rPr>
                <w:rFonts w:eastAsia="Times New Roman" w:asciiTheme="minorHAnsi" w:hAnsiTheme="minorHAnsi" w:cstheme="minorHAnsi"/>
                <w:b/>
                <w:bCs/>
                <w:iCs/>
                <w:color w:val="000000"/>
                <w:sz w:val="22"/>
                <w:szCs w:val="22"/>
                <w:lang w:eastAsia="en-US"/>
              </w:rPr>
              <w:t>Burden Hours</w:t>
            </w:r>
          </w:p>
        </w:tc>
        <w:tc>
          <w:tcPr>
            <w:tcW w:w="990" w:type="dxa"/>
            <w:shd w:val="clear" w:color="auto" w:fill="B8CCE4" w:themeFill="accent1" w:themeFillTint="66"/>
          </w:tcPr>
          <w:p w:rsidRPr="00CF3BCF" w:rsidR="00BF7B7C" w:rsidP="000C126F" w:rsidRDefault="00BF7B7C" w14:paraId="7E446C03" w14:textId="627CA270">
            <w:pPr>
              <w:rPr>
                <w:rFonts w:asciiTheme="minorHAnsi" w:hAnsiTheme="minorHAnsi" w:cstheme="minorHAnsi"/>
                <w:sz w:val="22"/>
                <w:szCs w:val="22"/>
              </w:rPr>
            </w:pPr>
            <w:r w:rsidRPr="00CF3BCF">
              <w:rPr>
                <w:rFonts w:eastAsia="Times New Roman" w:asciiTheme="minorHAnsi" w:hAnsiTheme="minorHAnsi" w:cstheme="minorHAnsi"/>
                <w:b/>
                <w:bCs/>
                <w:iCs/>
                <w:color w:val="000000"/>
                <w:sz w:val="22"/>
                <w:szCs w:val="22"/>
                <w:lang w:eastAsia="en-US"/>
              </w:rPr>
              <w:t>Loaded Hourly Wage</w:t>
            </w:r>
          </w:p>
        </w:tc>
        <w:tc>
          <w:tcPr>
            <w:tcW w:w="1890" w:type="dxa"/>
            <w:shd w:val="clear" w:color="auto" w:fill="B8CCE4" w:themeFill="accent1" w:themeFillTint="66"/>
          </w:tcPr>
          <w:p w:rsidRPr="00CF3BCF" w:rsidR="00BF7B7C" w:rsidP="000C126F" w:rsidRDefault="00BF7B7C" w14:paraId="21F09CC9" w14:textId="62708D62">
            <w:pPr>
              <w:rPr>
                <w:rFonts w:asciiTheme="minorHAnsi" w:hAnsiTheme="minorHAnsi" w:cstheme="minorHAnsi"/>
                <w:sz w:val="22"/>
                <w:szCs w:val="22"/>
              </w:rPr>
            </w:pPr>
            <w:r w:rsidRPr="00CF3BCF">
              <w:rPr>
                <w:rFonts w:eastAsia="Times New Roman" w:asciiTheme="minorHAnsi" w:hAnsiTheme="minorHAnsi" w:cstheme="minorHAnsi"/>
                <w:b/>
                <w:bCs/>
                <w:iCs/>
                <w:color w:val="000000"/>
                <w:sz w:val="22"/>
                <w:szCs w:val="22"/>
                <w:lang w:eastAsia="en-US"/>
              </w:rPr>
              <w:t>Cost</w:t>
            </w:r>
          </w:p>
        </w:tc>
      </w:tr>
      <w:tr w:rsidR="00C9257F" w:rsidTr="00F120BA" w14:paraId="63B0D4D3" w14:textId="77777777">
        <w:trPr>
          <w:jc w:val="center"/>
        </w:trPr>
        <w:tc>
          <w:tcPr>
            <w:tcW w:w="445" w:type="dxa"/>
          </w:tcPr>
          <w:p w:rsidRPr="00CF3BCF" w:rsidR="00C9257F" w:rsidP="00C9257F" w:rsidRDefault="00C9257F" w14:paraId="073D62C5" w14:textId="70F6E492">
            <w:pPr>
              <w:rPr>
                <w:rFonts w:asciiTheme="minorHAnsi" w:hAnsiTheme="minorHAnsi" w:cstheme="minorHAnsi"/>
                <w:sz w:val="22"/>
                <w:szCs w:val="22"/>
              </w:rPr>
            </w:pPr>
            <w:r w:rsidRPr="00CF3BCF">
              <w:rPr>
                <w:rFonts w:asciiTheme="minorHAnsi" w:hAnsiTheme="minorHAnsi" w:cstheme="minorHAnsi"/>
                <w:sz w:val="22"/>
                <w:szCs w:val="22"/>
              </w:rPr>
              <w:t>1</w:t>
            </w:r>
          </w:p>
        </w:tc>
        <w:tc>
          <w:tcPr>
            <w:tcW w:w="2639" w:type="dxa"/>
            <w:vAlign w:val="bottom"/>
          </w:tcPr>
          <w:p w:rsidRPr="00CF3BCF" w:rsidR="00C9257F" w:rsidP="00C9257F" w:rsidRDefault="00C9257F" w14:paraId="5902DDFB" w14:textId="730A7A56">
            <w:pPr>
              <w:rPr>
                <w:rFonts w:asciiTheme="minorHAnsi" w:hAnsiTheme="minorHAnsi" w:cstheme="minorHAnsi"/>
                <w:sz w:val="22"/>
                <w:szCs w:val="22"/>
              </w:rPr>
            </w:pPr>
            <w:r w:rsidRPr="00CF3BCF">
              <w:rPr>
                <w:rFonts w:asciiTheme="minorHAnsi" w:hAnsiTheme="minorHAnsi" w:cstheme="minorHAnsi"/>
                <w:color w:val="000000"/>
                <w:sz w:val="22"/>
                <w:szCs w:val="22"/>
              </w:rPr>
              <w:t>General Hospitals</w:t>
            </w:r>
          </w:p>
        </w:tc>
        <w:tc>
          <w:tcPr>
            <w:tcW w:w="1600" w:type="dxa"/>
            <w:vAlign w:val="center"/>
          </w:tcPr>
          <w:p w:rsidRPr="00CF3BCF" w:rsidR="00C9257F" w:rsidP="00CF3BCF" w:rsidRDefault="00C9257F" w14:paraId="5E0ACBC9" w14:textId="41CEFE8A">
            <w:pPr>
              <w:jc w:val="center"/>
              <w:rPr>
                <w:rFonts w:asciiTheme="minorHAnsi" w:hAnsiTheme="minorHAnsi" w:cstheme="minorHAnsi"/>
                <w:sz w:val="22"/>
                <w:szCs w:val="22"/>
              </w:rPr>
            </w:pPr>
            <w:r w:rsidRPr="00CF3BCF">
              <w:rPr>
                <w:rFonts w:asciiTheme="minorHAnsi" w:hAnsiTheme="minorHAnsi" w:cstheme="minorHAnsi"/>
                <w:sz w:val="22"/>
                <w:szCs w:val="22"/>
              </w:rPr>
              <w:t>5,281</w:t>
            </w:r>
          </w:p>
        </w:tc>
        <w:tc>
          <w:tcPr>
            <w:tcW w:w="1261" w:type="dxa"/>
            <w:vAlign w:val="center"/>
          </w:tcPr>
          <w:p w:rsidRPr="00CF3BCF" w:rsidR="00C9257F" w:rsidP="00CF3BCF" w:rsidRDefault="00C9257F" w14:paraId="5F38C38C" w14:textId="2032168C">
            <w:pPr>
              <w:jc w:val="center"/>
              <w:rPr>
                <w:rFonts w:asciiTheme="minorHAnsi" w:hAnsiTheme="minorHAnsi" w:cstheme="minorHAnsi"/>
                <w:sz w:val="22"/>
                <w:szCs w:val="22"/>
              </w:rPr>
            </w:pPr>
            <w:r>
              <w:rPr>
                <w:rFonts w:ascii="Calibri" w:hAnsi="Calibri" w:cs="Calibri"/>
                <w:color w:val="000000"/>
                <w:sz w:val="22"/>
                <w:szCs w:val="22"/>
              </w:rPr>
              <w:t>6%</w:t>
            </w:r>
          </w:p>
        </w:tc>
        <w:tc>
          <w:tcPr>
            <w:tcW w:w="1600" w:type="dxa"/>
            <w:vAlign w:val="center"/>
          </w:tcPr>
          <w:p w:rsidRPr="00972A90" w:rsidR="00C9257F" w:rsidP="00CF3BCF" w:rsidRDefault="00C9257F" w14:paraId="1FB2B06C" w14:textId="68FC0748">
            <w:pPr>
              <w:jc w:val="center"/>
              <w:rPr>
                <w:rFonts w:asciiTheme="minorHAnsi" w:hAnsiTheme="minorHAnsi" w:cstheme="minorHAnsi"/>
                <w:sz w:val="22"/>
                <w:szCs w:val="22"/>
              </w:rPr>
            </w:pPr>
            <w:r>
              <w:rPr>
                <w:rFonts w:asciiTheme="minorHAnsi" w:hAnsiTheme="minorHAnsi" w:cstheme="minorHAnsi"/>
                <w:sz w:val="22"/>
                <w:szCs w:val="22"/>
              </w:rPr>
              <w:t>31</w:t>
            </w:r>
            <w:r w:rsidR="006A6CD6">
              <w:rPr>
                <w:rFonts w:asciiTheme="minorHAnsi" w:hAnsiTheme="minorHAnsi" w:cstheme="minorHAnsi"/>
                <w:sz w:val="22"/>
                <w:szCs w:val="22"/>
              </w:rPr>
              <w:t>7</w:t>
            </w:r>
          </w:p>
        </w:tc>
        <w:tc>
          <w:tcPr>
            <w:tcW w:w="1630" w:type="dxa"/>
            <w:vAlign w:val="center"/>
          </w:tcPr>
          <w:p w:rsidRPr="00972A90" w:rsidR="00C9257F" w:rsidP="00CF3BCF" w:rsidRDefault="00C9257F" w14:paraId="2526DB8E" w14:textId="715E335F">
            <w:pPr>
              <w:jc w:val="center"/>
              <w:rPr>
                <w:rFonts w:asciiTheme="minorHAnsi" w:hAnsiTheme="minorHAnsi" w:cstheme="minorHAnsi"/>
                <w:sz w:val="22"/>
                <w:szCs w:val="22"/>
              </w:rPr>
            </w:pPr>
            <w:r>
              <w:rPr>
                <w:rFonts w:ascii="Calibri" w:hAnsi="Calibri" w:cs="Calibri"/>
                <w:color w:val="000000"/>
                <w:sz w:val="22"/>
                <w:szCs w:val="22"/>
              </w:rPr>
              <w:t>30.14</w:t>
            </w:r>
          </w:p>
        </w:tc>
        <w:tc>
          <w:tcPr>
            <w:tcW w:w="1440" w:type="dxa"/>
            <w:vAlign w:val="center"/>
          </w:tcPr>
          <w:p w:rsidRPr="00972A90" w:rsidR="00C9257F" w:rsidP="00B240B6" w:rsidRDefault="00C9257F" w14:paraId="5EC19287" w14:textId="30CF0270">
            <w:pPr>
              <w:jc w:val="center"/>
              <w:rPr>
                <w:rFonts w:asciiTheme="minorHAnsi" w:hAnsiTheme="minorHAnsi" w:cstheme="minorHAnsi"/>
                <w:sz w:val="22"/>
                <w:szCs w:val="22"/>
              </w:rPr>
            </w:pPr>
            <w:r>
              <w:rPr>
                <w:rFonts w:asciiTheme="minorHAnsi" w:hAnsiTheme="minorHAnsi" w:cstheme="minorHAnsi"/>
                <w:sz w:val="22"/>
                <w:szCs w:val="22"/>
              </w:rPr>
              <w:t>9,550.</w:t>
            </w:r>
            <w:r w:rsidR="00B240B6">
              <w:rPr>
                <w:rFonts w:asciiTheme="minorHAnsi" w:hAnsiTheme="minorHAnsi" w:cstheme="minorHAnsi"/>
                <w:sz w:val="22"/>
                <w:szCs w:val="22"/>
              </w:rPr>
              <w:t>52</w:t>
            </w:r>
          </w:p>
        </w:tc>
        <w:tc>
          <w:tcPr>
            <w:tcW w:w="990" w:type="dxa"/>
            <w:vAlign w:val="center"/>
          </w:tcPr>
          <w:p w:rsidRPr="00972A90" w:rsidR="00C9257F" w:rsidP="00CF3BCF" w:rsidRDefault="00C9257F" w14:paraId="431F2ADF" w14:textId="695800B2">
            <w:pPr>
              <w:jc w:val="center"/>
              <w:rPr>
                <w:rFonts w:asciiTheme="minorHAnsi" w:hAnsiTheme="minorHAnsi" w:cstheme="minorHAnsi"/>
                <w:sz w:val="22"/>
                <w:szCs w:val="22"/>
              </w:rPr>
            </w:pPr>
            <w:r w:rsidRPr="00773045">
              <w:rPr>
                <w:rFonts w:asciiTheme="minorHAnsi" w:hAnsiTheme="minorHAnsi" w:cstheme="minorHAnsi"/>
                <w:sz w:val="22"/>
                <w:szCs w:val="22"/>
              </w:rPr>
              <w:t>$59.20</w:t>
            </w:r>
          </w:p>
        </w:tc>
        <w:tc>
          <w:tcPr>
            <w:tcW w:w="1890" w:type="dxa"/>
            <w:vAlign w:val="center"/>
          </w:tcPr>
          <w:p w:rsidRPr="00972A90" w:rsidR="00C9257F" w:rsidP="00B240B6" w:rsidRDefault="00C9257F" w14:paraId="1DBC8115" w14:textId="5816F74D">
            <w:pPr>
              <w:jc w:val="center"/>
              <w:rPr>
                <w:rFonts w:asciiTheme="minorHAnsi" w:hAnsiTheme="minorHAnsi" w:cstheme="minorHAnsi"/>
                <w:sz w:val="22"/>
                <w:szCs w:val="22"/>
              </w:rPr>
            </w:pPr>
            <w:r>
              <w:rPr>
                <w:rFonts w:ascii="Calibri" w:hAnsi="Calibri" w:cs="Calibri"/>
                <w:color w:val="000000"/>
                <w:sz w:val="22"/>
                <w:szCs w:val="22"/>
              </w:rPr>
              <w:t>$565,3</w:t>
            </w:r>
            <w:r w:rsidR="00B240B6">
              <w:rPr>
                <w:rFonts w:ascii="Calibri" w:hAnsi="Calibri" w:cs="Calibri"/>
                <w:color w:val="000000"/>
                <w:sz w:val="22"/>
                <w:szCs w:val="22"/>
              </w:rPr>
              <w:t>90.91</w:t>
            </w:r>
            <w:r>
              <w:rPr>
                <w:rFonts w:ascii="Calibri" w:hAnsi="Calibri" w:cs="Calibri"/>
                <w:color w:val="000000"/>
                <w:sz w:val="22"/>
                <w:szCs w:val="22"/>
              </w:rPr>
              <w:t xml:space="preserve"> </w:t>
            </w:r>
          </w:p>
        </w:tc>
      </w:tr>
      <w:tr w:rsidR="00C9257F" w:rsidTr="00F120BA" w14:paraId="391568C5" w14:textId="77777777">
        <w:trPr>
          <w:jc w:val="center"/>
        </w:trPr>
        <w:tc>
          <w:tcPr>
            <w:tcW w:w="445" w:type="dxa"/>
          </w:tcPr>
          <w:p w:rsidRPr="00972A90" w:rsidR="00C9257F" w:rsidP="00C9257F" w:rsidRDefault="00C9257F" w14:paraId="11E18676" w14:textId="66C300F2">
            <w:pPr>
              <w:rPr>
                <w:rFonts w:asciiTheme="minorHAnsi" w:hAnsiTheme="minorHAnsi" w:cstheme="minorHAnsi"/>
                <w:sz w:val="22"/>
                <w:szCs w:val="22"/>
              </w:rPr>
            </w:pPr>
            <w:r w:rsidRPr="00972A90">
              <w:rPr>
                <w:rFonts w:asciiTheme="minorHAnsi" w:hAnsiTheme="minorHAnsi" w:cstheme="minorHAnsi"/>
                <w:sz w:val="22"/>
                <w:szCs w:val="22"/>
              </w:rPr>
              <w:t>2</w:t>
            </w:r>
          </w:p>
        </w:tc>
        <w:tc>
          <w:tcPr>
            <w:tcW w:w="2639" w:type="dxa"/>
            <w:vAlign w:val="bottom"/>
          </w:tcPr>
          <w:p w:rsidRPr="00972A90" w:rsidR="00C9257F" w:rsidP="00C9257F" w:rsidRDefault="00C9257F" w14:paraId="13F00E3F" w14:textId="740432F8">
            <w:pPr>
              <w:rPr>
                <w:rFonts w:asciiTheme="minorHAnsi" w:hAnsiTheme="minorHAnsi" w:cstheme="minorHAnsi"/>
                <w:sz w:val="22"/>
                <w:szCs w:val="22"/>
              </w:rPr>
            </w:pPr>
            <w:r w:rsidRPr="00972A90">
              <w:rPr>
                <w:rFonts w:asciiTheme="minorHAnsi" w:hAnsiTheme="minorHAnsi" w:cstheme="minorHAnsi"/>
                <w:color w:val="000000"/>
                <w:sz w:val="22"/>
                <w:szCs w:val="22"/>
              </w:rPr>
              <w:t>Other Hospitals</w:t>
            </w:r>
          </w:p>
        </w:tc>
        <w:tc>
          <w:tcPr>
            <w:tcW w:w="1600" w:type="dxa"/>
            <w:vAlign w:val="center"/>
          </w:tcPr>
          <w:p w:rsidRPr="00972A90" w:rsidR="00C9257F" w:rsidP="00972A90" w:rsidRDefault="00C9257F" w14:paraId="7B5F5542" w14:textId="3D07C295">
            <w:pPr>
              <w:jc w:val="center"/>
              <w:rPr>
                <w:rFonts w:asciiTheme="minorHAnsi" w:hAnsiTheme="minorHAnsi" w:cstheme="minorHAnsi"/>
                <w:sz w:val="22"/>
                <w:szCs w:val="22"/>
              </w:rPr>
            </w:pPr>
            <w:r w:rsidRPr="00972A90">
              <w:rPr>
                <w:rFonts w:asciiTheme="minorHAnsi" w:hAnsiTheme="minorHAnsi" w:cstheme="minorHAnsi"/>
                <w:sz w:val="22"/>
                <w:szCs w:val="22"/>
              </w:rPr>
              <w:t>2,363</w:t>
            </w:r>
          </w:p>
        </w:tc>
        <w:tc>
          <w:tcPr>
            <w:tcW w:w="1261" w:type="dxa"/>
            <w:vAlign w:val="center"/>
          </w:tcPr>
          <w:p w:rsidRPr="00972A90" w:rsidR="00C9257F" w:rsidP="00972A90" w:rsidRDefault="00C9257F" w14:paraId="1356C508" w14:textId="3C97AC43">
            <w:pPr>
              <w:jc w:val="center"/>
              <w:rPr>
                <w:rFonts w:asciiTheme="minorHAnsi" w:hAnsiTheme="minorHAnsi" w:cstheme="minorHAnsi"/>
                <w:sz w:val="22"/>
                <w:szCs w:val="22"/>
              </w:rPr>
            </w:pPr>
            <w:r>
              <w:rPr>
                <w:rFonts w:ascii="Calibri" w:hAnsi="Calibri" w:cs="Calibri"/>
                <w:color w:val="000000"/>
                <w:sz w:val="22"/>
                <w:szCs w:val="22"/>
              </w:rPr>
              <w:t>6%</w:t>
            </w:r>
          </w:p>
        </w:tc>
        <w:tc>
          <w:tcPr>
            <w:tcW w:w="1600" w:type="dxa"/>
            <w:vAlign w:val="center"/>
          </w:tcPr>
          <w:p w:rsidRPr="00972A90" w:rsidR="00C9257F" w:rsidP="006A6CD6" w:rsidRDefault="00C9257F" w14:paraId="02D187B8" w14:textId="53859BF5">
            <w:pPr>
              <w:jc w:val="center"/>
              <w:rPr>
                <w:rFonts w:asciiTheme="minorHAnsi" w:hAnsiTheme="minorHAnsi" w:cstheme="minorHAnsi"/>
                <w:sz w:val="22"/>
                <w:szCs w:val="22"/>
              </w:rPr>
            </w:pPr>
            <w:r>
              <w:rPr>
                <w:rFonts w:asciiTheme="minorHAnsi" w:hAnsiTheme="minorHAnsi" w:cstheme="minorHAnsi"/>
                <w:sz w:val="22"/>
                <w:szCs w:val="22"/>
              </w:rPr>
              <w:t>14</w:t>
            </w:r>
            <w:r w:rsidR="006A6CD6">
              <w:rPr>
                <w:rFonts w:asciiTheme="minorHAnsi" w:hAnsiTheme="minorHAnsi" w:cstheme="minorHAnsi"/>
                <w:sz w:val="22"/>
                <w:szCs w:val="22"/>
              </w:rPr>
              <w:t>2</w:t>
            </w:r>
          </w:p>
        </w:tc>
        <w:tc>
          <w:tcPr>
            <w:tcW w:w="1630" w:type="dxa"/>
            <w:vAlign w:val="center"/>
          </w:tcPr>
          <w:p w:rsidRPr="00972A90" w:rsidR="00C9257F" w:rsidP="00972A90" w:rsidRDefault="00C9257F" w14:paraId="3B506015" w14:textId="2BABB7C3">
            <w:pPr>
              <w:jc w:val="center"/>
              <w:rPr>
                <w:rFonts w:asciiTheme="minorHAnsi" w:hAnsiTheme="minorHAnsi" w:cstheme="minorHAnsi"/>
                <w:sz w:val="22"/>
                <w:szCs w:val="22"/>
              </w:rPr>
            </w:pPr>
            <w:r>
              <w:rPr>
                <w:rFonts w:ascii="Calibri" w:hAnsi="Calibri" w:cs="Calibri"/>
                <w:color w:val="000000"/>
                <w:sz w:val="22"/>
                <w:szCs w:val="22"/>
              </w:rPr>
              <w:t>29.92</w:t>
            </w:r>
          </w:p>
        </w:tc>
        <w:tc>
          <w:tcPr>
            <w:tcW w:w="1440" w:type="dxa"/>
            <w:vAlign w:val="center"/>
          </w:tcPr>
          <w:p w:rsidRPr="00972A90" w:rsidR="00C9257F" w:rsidP="00B240B6" w:rsidRDefault="00C9257F" w14:paraId="1582CEFD" w14:textId="1716A792">
            <w:pPr>
              <w:jc w:val="center"/>
              <w:rPr>
                <w:rFonts w:asciiTheme="minorHAnsi" w:hAnsiTheme="minorHAnsi" w:cstheme="minorHAnsi"/>
                <w:sz w:val="22"/>
                <w:szCs w:val="22"/>
              </w:rPr>
            </w:pPr>
            <w:r>
              <w:rPr>
                <w:rFonts w:asciiTheme="minorHAnsi" w:hAnsiTheme="minorHAnsi" w:cstheme="minorHAnsi"/>
                <w:sz w:val="22"/>
                <w:szCs w:val="22"/>
              </w:rPr>
              <w:t>4,242.</w:t>
            </w:r>
            <w:r w:rsidR="00B240B6">
              <w:rPr>
                <w:rFonts w:asciiTheme="minorHAnsi" w:hAnsiTheme="minorHAnsi" w:cstheme="minorHAnsi"/>
                <w:sz w:val="22"/>
                <w:szCs w:val="22"/>
              </w:rPr>
              <w:t>29</w:t>
            </w:r>
          </w:p>
        </w:tc>
        <w:tc>
          <w:tcPr>
            <w:tcW w:w="990" w:type="dxa"/>
            <w:vAlign w:val="center"/>
          </w:tcPr>
          <w:p w:rsidRPr="00972A90" w:rsidR="00C9257F" w:rsidP="00972A90" w:rsidRDefault="00C9257F" w14:paraId="564B83B8" w14:textId="00C5F3A4">
            <w:pPr>
              <w:jc w:val="center"/>
              <w:rPr>
                <w:rFonts w:asciiTheme="minorHAnsi" w:hAnsiTheme="minorHAnsi" w:cstheme="minorHAnsi"/>
                <w:sz w:val="22"/>
                <w:szCs w:val="22"/>
              </w:rPr>
            </w:pPr>
            <w:r w:rsidRPr="00773045">
              <w:rPr>
                <w:rFonts w:asciiTheme="minorHAnsi" w:hAnsiTheme="minorHAnsi" w:cstheme="minorHAnsi"/>
                <w:sz w:val="22"/>
                <w:szCs w:val="22"/>
              </w:rPr>
              <w:t>$59.20</w:t>
            </w:r>
          </w:p>
        </w:tc>
        <w:tc>
          <w:tcPr>
            <w:tcW w:w="1890" w:type="dxa"/>
            <w:vAlign w:val="center"/>
          </w:tcPr>
          <w:p w:rsidRPr="00972A90" w:rsidR="00C9257F" w:rsidP="00B240B6" w:rsidRDefault="00C9257F" w14:paraId="2A091272" w14:textId="0B8660F3">
            <w:pPr>
              <w:jc w:val="center"/>
              <w:rPr>
                <w:rFonts w:asciiTheme="minorHAnsi" w:hAnsiTheme="minorHAnsi" w:cstheme="minorHAnsi"/>
                <w:sz w:val="22"/>
                <w:szCs w:val="22"/>
              </w:rPr>
            </w:pPr>
            <w:r>
              <w:rPr>
                <w:rFonts w:ascii="Calibri" w:hAnsi="Calibri" w:cs="Calibri"/>
                <w:color w:val="000000"/>
                <w:sz w:val="22"/>
                <w:szCs w:val="22"/>
              </w:rPr>
              <w:t>$251,14</w:t>
            </w:r>
            <w:r w:rsidR="00B240B6">
              <w:rPr>
                <w:rFonts w:ascii="Calibri" w:hAnsi="Calibri" w:cs="Calibri"/>
                <w:color w:val="000000"/>
                <w:sz w:val="22"/>
                <w:szCs w:val="22"/>
              </w:rPr>
              <w:t>3.63</w:t>
            </w:r>
            <w:r>
              <w:rPr>
                <w:rFonts w:ascii="Calibri" w:hAnsi="Calibri" w:cs="Calibri"/>
                <w:color w:val="000000"/>
                <w:sz w:val="22"/>
                <w:szCs w:val="22"/>
              </w:rPr>
              <w:t xml:space="preserve"> </w:t>
            </w:r>
          </w:p>
        </w:tc>
      </w:tr>
      <w:tr w:rsidR="00C9257F" w:rsidTr="00F120BA" w14:paraId="6E023C25" w14:textId="77777777">
        <w:trPr>
          <w:jc w:val="center"/>
        </w:trPr>
        <w:tc>
          <w:tcPr>
            <w:tcW w:w="445" w:type="dxa"/>
          </w:tcPr>
          <w:p w:rsidRPr="00972A90" w:rsidR="00C9257F" w:rsidP="00C9257F" w:rsidRDefault="00C9257F" w14:paraId="056120BE" w14:textId="705CE9F7">
            <w:pPr>
              <w:rPr>
                <w:rFonts w:asciiTheme="minorHAnsi" w:hAnsiTheme="minorHAnsi" w:cstheme="minorHAnsi"/>
                <w:sz w:val="22"/>
                <w:szCs w:val="22"/>
              </w:rPr>
            </w:pPr>
            <w:r w:rsidRPr="00972A90">
              <w:rPr>
                <w:rFonts w:asciiTheme="minorHAnsi" w:hAnsiTheme="minorHAnsi" w:cstheme="minorHAnsi"/>
                <w:sz w:val="22"/>
                <w:szCs w:val="22"/>
              </w:rPr>
              <w:t>3</w:t>
            </w:r>
          </w:p>
        </w:tc>
        <w:tc>
          <w:tcPr>
            <w:tcW w:w="2639" w:type="dxa"/>
            <w:vAlign w:val="bottom"/>
          </w:tcPr>
          <w:p w:rsidRPr="00972A90" w:rsidR="00C9257F" w:rsidP="00C9257F" w:rsidRDefault="00C9257F" w14:paraId="7A31BDF6" w14:textId="60244C80">
            <w:pPr>
              <w:rPr>
                <w:rFonts w:asciiTheme="minorHAnsi" w:hAnsiTheme="minorHAnsi" w:cstheme="minorHAnsi"/>
                <w:sz w:val="22"/>
                <w:szCs w:val="22"/>
              </w:rPr>
            </w:pPr>
            <w:r w:rsidRPr="00972A90">
              <w:rPr>
                <w:rFonts w:asciiTheme="minorHAnsi" w:hAnsiTheme="minorHAnsi" w:cstheme="minorHAnsi"/>
                <w:color w:val="000000"/>
                <w:sz w:val="22"/>
                <w:szCs w:val="22"/>
              </w:rPr>
              <w:t>Nursing Homes</w:t>
            </w:r>
          </w:p>
        </w:tc>
        <w:tc>
          <w:tcPr>
            <w:tcW w:w="1600" w:type="dxa"/>
            <w:vAlign w:val="center"/>
          </w:tcPr>
          <w:p w:rsidRPr="00972A90" w:rsidR="00C9257F" w:rsidP="00972A90" w:rsidRDefault="00C9257F" w14:paraId="61517542" w14:textId="6DC0AEC9">
            <w:pPr>
              <w:jc w:val="center"/>
              <w:rPr>
                <w:rFonts w:asciiTheme="minorHAnsi" w:hAnsiTheme="minorHAnsi" w:cstheme="minorHAnsi"/>
                <w:sz w:val="22"/>
                <w:szCs w:val="22"/>
              </w:rPr>
            </w:pPr>
            <w:r w:rsidRPr="00972A90">
              <w:rPr>
                <w:rFonts w:asciiTheme="minorHAnsi" w:hAnsiTheme="minorHAnsi" w:cstheme="minorHAnsi"/>
                <w:sz w:val="22"/>
                <w:szCs w:val="22"/>
              </w:rPr>
              <w:t>42,759</w:t>
            </w:r>
          </w:p>
        </w:tc>
        <w:tc>
          <w:tcPr>
            <w:tcW w:w="1261" w:type="dxa"/>
            <w:vAlign w:val="center"/>
          </w:tcPr>
          <w:p w:rsidRPr="00972A90" w:rsidR="00C9257F" w:rsidP="00972A90" w:rsidRDefault="00C9257F" w14:paraId="0D0C5E97" w14:textId="21B8510C">
            <w:pPr>
              <w:jc w:val="center"/>
              <w:rPr>
                <w:rFonts w:asciiTheme="minorHAnsi" w:hAnsiTheme="minorHAnsi" w:cstheme="minorHAnsi"/>
                <w:sz w:val="22"/>
                <w:szCs w:val="22"/>
              </w:rPr>
            </w:pPr>
            <w:r>
              <w:rPr>
                <w:rFonts w:ascii="Calibri" w:hAnsi="Calibri" w:cs="Calibri"/>
                <w:color w:val="000000"/>
                <w:sz w:val="22"/>
                <w:szCs w:val="22"/>
              </w:rPr>
              <w:t>10%</w:t>
            </w:r>
          </w:p>
        </w:tc>
        <w:tc>
          <w:tcPr>
            <w:tcW w:w="1600" w:type="dxa"/>
            <w:vAlign w:val="center"/>
          </w:tcPr>
          <w:p w:rsidRPr="00972A90" w:rsidR="00C9257F" w:rsidP="006A6CD6" w:rsidRDefault="00C9257F" w14:paraId="2E9572C4" w14:textId="76EBAB44">
            <w:pPr>
              <w:jc w:val="center"/>
              <w:rPr>
                <w:rFonts w:asciiTheme="minorHAnsi" w:hAnsiTheme="minorHAnsi" w:cstheme="minorHAnsi"/>
                <w:sz w:val="22"/>
                <w:szCs w:val="22"/>
              </w:rPr>
            </w:pPr>
            <w:r>
              <w:rPr>
                <w:rFonts w:asciiTheme="minorHAnsi" w:hAnsiTheme="minorHAnsi" w:cstheme="minorHAnsi"/>
                <w:sz w:val="22"/>
                <w:szCs w:val="22"/>
              </w:rPr>
              <w:t>4,27</w:t>
            </w:r>
            <w:r w:rsidR="006A6CD6">
              <w:rPr>
                <w:rFonts w:asciiTheme="minorHAnsi" w:hAnsiTheme="minorHAnsi" w:cstheme="minorHAnsi"/>
                <w:sz w:val="22"/>
                <w:szCs w:val="22"/>
              </w:rPr>
              <w:t>6</w:t>
            </w:r>
          </w:p>
        </w:tc>
        <w:tc>
          <w:tcPr>
            <w:tcW w:w="1630" w:type="dxa"/>
            <w:vAlign w:val="center"/>
          </w:tcPr>
          <w:p w:rsidRPr="00972A90" w:rsidR="00C9257F" w:rsidP="00972A90" w:rsidRDefault="00C9257F" w14:paraId="36608D9D" w14:textId="6C1813BC">
            <w:pPr>
              <w:jc w:val="center"/>
              <w:rPr>
                <w:rFonts w:asciiTheme="minorHAnsi" w:hAnsiTheme="minorHAnsi" w:cstheme="minorHAnsi"/>
                <w:sz w:val="22"/>
                <w:szCs w:val="22"/>
              </w:rPr>
            </w:pPr>
            <w:r>
              <w:rPr>
                <w:rFonts w:ascii="Calibri" w:hAnsi="Calibri" w:cs="Calibri"/>
                <w:color w:val="000000"/>
                <w:sz w:val="22"/>
                <w:szCs w:val="22"/>
              </w:rPr>
              <w:t>25.27</w:t>
            </w:r>
          </w:p>
        </w:tc>
        <w:tc>
          <w:tcPr>
            <w:tcW w:w="1440" w:type="dxa"/>
            <w:vAlign w:val="center"/>
          </w:tcPr>
          <w:p w:rsidRPr="00972A90" w:rsidR="00C9257F" w:rsidP="009B0EAB" w:rsidRDefault="00C9257F" w14:paraId="312593A8" w14:textId="6E6E3B90">
            <w:pPr>
              <w:jc w:val="center"/>
              <w:rPr>
                <w:rFonts w:asciiTheme="minorHAnsi" w:hAnsiTheme="minorHAnsi" w:cstheme="minorHAnsi"/>
                <w:sz w:val="22"/>
                <w:szCs w:val="22"/>
              </w:rPr>
            </w:pPr>
            <w:r>
              <w:rPr>
                <w:rFonts w:asciiTheme="minorHAnsi" w:hAnsiTheme="minorHAnsi" w:cstheme="minorHAnsi"/>
                <w:sz w:val="22"/>
                <w:szCs w:val="22"/>
              </w:rPr>
              <w:t>108,052.</w:t>
            </w:r>
            <w:r w:rsidR="009B0EAB">
              <w:rPr>
                <w:rFonts w:asciiTheme="minorHAnsi" w:hAnsiTheme="minorHAnsi" w:cstheme="minorHAnsi"/>
                <w:sz w:val="22"/>
                <w:szCs w:val="22"/>
              </w:rPr>
              <w:t>85</w:t>
            </w:r>
          </w:p>
        </w:tc>
        <w:tc>
          <w:tcPr>
            <w:tcW w:w="990" w:type="dxa"/>
            <w:vAlign w:val="center"/>
          </w:tcPr>
          <w:p w:rsidRPr="00972A90" w:rsidR="00C9257F" w:rsidP="00972A90" w:rsidRDefault="00C9257F" w14:paraId="099E62C9" w14:textId="4520788D">
            <w:pPr>
              <w:jc w:val="center"/>
              <w:rPr>
                <w:rFonts w:asciiTheme="minorHAnsi" w:hAnsiTheme="minorHAnsi" w:cstheme="minorHAnsi"/>
                <w:sz w:val="22"/>
                <w:szCs w:val="22"/>
              </w:rPr>
            </w:pPr>
            <w:r w:rsidRPr="00773045">
              <w:rPr>
                <w:rFonts w:asciiTheme="minorHAnsi" w:hAnsiTheme="minorHAnsi" w:cstheme="minorHAnsi"/>
                <w:sz w:val="22"/>
                <w:szCs w:val="22"/>
              </w:rPr>
              <w:t>$59.20</w:t>
            </w:r>
          </w:p>
        </w:tc>
        <w:tc>
          <w:tcPr>
            <w:tcW w:w="1890" w:type="dxa"/>
            <w:vAlign w:val="center"/>
          </w:tcPr>
          <w:p w:rsidRPr="00972A90" w:rsidR="00C9257F" w:rsidP="009B0EAB" w:rsidRDefault="00C9257F" w14:paraId="1C4068D4" w14:textId="781CB03E">
            <w:pPr>
              <w:jc w:val="center"/>
              <w:rPr>
                <w:rFonts w:asciiTheme="minorHAnsi" w:hAnsiTheme="minorHAnsi" w:cstheme="minorHAnsi"/>
                <w:sz w:val="22"/>
                <w:szCs w:val="22"/>
              </w:rPr>
            </w:pPr>
            <w:r>
              <w:rPr>
                <w:rFonts w:ascii="Calibri" w:hAnsi="Calibri" w:cs="Calibri"/>
                <w:color w:val="000000"/>
                <w:sz w:val="22"/>
                <w:szCs w:val="22"/>
              </w:rPr>
              <w:t>$6,396,72</w:t>
            </w:r>
            <w:r w:rsidR="009B0EAB">
              <w:rPr>
                <w:rFonts w:ascii="Calibri" w:hAnsi="Calibri" w:cs="Calibri"/>
                <w:color w:val="000000"/>
                <w:sz w:val="22"/>
                <w:szCs w:val="22"/>
              </w:rPr>
              <w:t>8.85</w:t>
            </w:r>
            <w:r>
              <w:rPr>
                <w:rFonts w:ascii="Calibri" w:hAnsi="Calibri" w:cs="Calibri"/>
                <w:color w:val="000000"/>
                <w:sz w:val="22"/>
                <w:szCs w:val="22"/>
              </w:rPr>
              <w:t xml:space="preserve"> </w:t>
            </w:r>
          </w:p>
        </w:tc>
      </w:tr>
      <w:tr w:rsidR="00C9257F" w:rsidTr="00F120BA" w14:paraId="1D605D36" w14:textId="77777777">
        <w:trPr>
          <w:jc w:val="center"/>
        </w:trPr>
        <w:tc>
          <w:tcPr>
            <w:tcW w:w="445" w:type="dxa"/>
          </w:tcPr>
          <w:p w:rsidRPr="00972A90" w:rsidR="00C9257F" w:rsidP="00C9257F" w:rsidRDefault="00C9257F" w14:paraId="66CA3AF2" w14:textId="60F62C44">
            <w:pPr>
              <w:rPr>
                <w:rFonts w:asciiTheme="minorHAnsi" w:hAnsiTheme="minorHAnsi" w:cstheme="minorHAnsi"/>
                <w:sz w:val="22"/>
                <w:szCs w:val="22"/>
              </w:rPr>
            </w:pPr>
            <w:r w:rsidRPr="00972A90">
              <w:rPr>
                <w:rFonts w:asciiTheme="minorHAnsi" w:hAnsiTheme="minorHAnsi" w:cstheme="minorHAnsi"/>
                <w:sz w:val="22"/>
                <w:szCs w:val="22"/>
              </w:rPr>
              <w:t>4</w:t>
            </w:r>
          </w:p>
        </w:tc>
        <w:tc>
          <w:tcPr>
            <w:tcW w:w="2639" w:type="dxa"/>
            <w:vAlign w:val="bottom"/>
          </w:tcPr>
          <w:p w:rsidR="00C9257F" w:rsidP="00C9257F" w:rsidRDefault="00C9257F" w14:paraId="225BA159" w14:textId="6F25EB3B">
            <w:pPr>
              <w:rPr>
                <w:rFonts w:asciiTheme="minorHAnsi" w:hAnsiTheme="minorHAnsi" w:cstheme="minorHAnsi"/>
                <w:color w:val="000000"/>
                <w:sz w:val="22"/>
                <w:szCs w:val="22"/>
              </w:rPr>
            </w:pPr>
            <w:r w:rsidRPr="00972A90">
              <w:rPr>
                <w:rFonts w:asciiTheme="minorHAnsi" w:hAnsiTheme="minorHAnsi" w:cstheme="minorHAnsi"/>
                <w:color w:val="000000"/>
                <w:sz w:val="22"/>
                <w:szCs w:val="22"/>
              </w:rPr>
              <w:t xml:space="preserve">Long Term Care </w:t>
            </w:r>
          </w:p>
          <w:p w:rsidRPr="00972A90" w:rsidR="00C9257F" w:rsidP="00C9257F" w:rsidRDefault="00C9257F" w14:paraId="77443824" w14:textId="5001C66C">
            <w:pPr>
              <w:rPr>
                <w:rFonts w:asciiTheme="minorHAnsi" w:hAnsiTheme="minorHAnsi" w:cstheme="minorHAnsi"/>
                <w:sz w:val="18"/>
                <w:szCs w:val="18"/>
              </w:rPr>
            </w:pPr>
            <w:r w:rsidRPr="00972A90">
              <w:rPr>
                <w:rFonts w:asciiTheme="minorHAnsi" w:hAnsiTheme="minorHAnsi" w:cstheme="minorHAnsi"/>
                <w:color w:val="000000"/>
                <w:sz w:val="18"/>
                <w:szCs w:val="18"/>
              </w:rPr>
              <w:t>(excluding nursing homes)</w:t>
            </w:r>
          </w:p>
        </w:tc>
        <w:tc>
          <w:tcPr>
            <w:tcW w:w="1600" w:type="dxa"/>
            <w:vAlign w:val="center"/>
          </w:tcPr>
          <w:p w:rsidRPr="00972A90" w:rsidR="00C9257F" w:rsidP="0059543C" w:rsidRDefault="00C9257F" w14:paraId="0F2AC24E" w14:textId="206D7092">
            <w:pPr>
              <w:jc w:val="center"/>
              <w:rPr>
                <w:rFonts w:asciiTheme="minorHAnsi" w:hAnsiTheme="minorHAnsi" w:cstheme="minorHAnsi"/>
                <w:sz w:val="22"/>
                <w:szCs w:val="22"/>
              </w:rPr>
            </w:pPr>
            <w:r w:rsidRPr="00972A90">
              <w:rPr>
                <w:rFonts w:asciiTheme="minorHAnsi" w:hAnsiTheme="minorHAnsi" w:cstheme="minorHAnsi"/>
                <w:sz w:val="22"/>
                <w:szCs w:val="22"/>
              </w:rPr>
              <w:t>48,65</w:t>
            </w:r>
            <w:r w:rsidR="00023635">
              <w:rPr>
                <w:rFonts w:asciiTheme="minorHAnsi" w:hAnsiTheme="minorHAnsi" w:cstheme="minorHAnsi"/>
                <w:sz w:val="22"/>
                <w:szCs w:val="22"/>
              </w:rPr>
              <w:t>7</w:t>
            </w:r>
          </w:p>
        </w:tc>
        <w:tc>
          <w:tcPr>
            <w:tcW w:w="1261" w:type="dxa"/>
            <w:vAlign w:val="center"/>
          </w:tcPr>
          <w:p w:rsidRPr="00972A90" w:rsidR="00C9257F" w:rsidP="00972A90" w:rsidRDefault="00C9257F" w14:paraId="766CDC4F" w14:textId="3709F082">
            <w:pPr>
              <w:jc w:val="center"/>
              <w:rPr>
                <w:rFonts w:asciiTheme="minorHAnsi" w:hAnsiTheme="minorHAnsi" w:cstheme="minorHAnsi"/>
                <w:sz w:val="22"/>
                <w:szCs w:val="22"/>
              </w:rPr>
            </w:pPr>
            <w:r>
              <w:rPr>
                <w:rFonts w:ascii="Calibri" w:hAnsi="Calibri" w:cs="Calibri"/>
                <w:color w:val="000000"/>
                <w:sz w:val="22"/>
                <w:szCs w:val="22"/>
              </w:rPr>
              <w:t>10%</w:t>
            </w:r>
          </w:p>
        </w:tc>
        <w:tc>
          <w:tcPr>
            <w:tcW w:w="1600" w:type="dxa"/>
            <w:vAlign w:val="center"/>
          </w:tcPr>
          <w:p w:rsidRPr="00972A90" w:rsidR="00C9257F" w:rsidP="00F357E5" w:rsidRDefault="00C9257F" w14:paraId="494CC8D2" w14:textId="0C4774AC">
            <w:pPr>
              <w:jc w:val="center"/>
              <w:rPr>
                <w:rFonts w:asciiTheme="minorHAnsi" w:hAnsiTheme="minorHAnsi" w:cstheme="minorHAnsi"/>
                <w:sz w:val="22"/>
                <w:szCs w:val="22"/>
              </w:rPr>
            </w:pPr>
            <w:r>
              <w:rPr>
                <w:rFonts w:asciiTheme="minorHAnsi" w:hAnsiTheme="minorHAnsi" w:cstheme="minorHAnsi"/>
                <w:sz w:val="22"/>
                <w:szCs w:val="22"/>
              </w:rPr>
              <w:t>4,86</w:t>
            </w:r>
            <w:r w:rsidR="00F357E5">
              <w:rPr>
                <w:rFonts w:asciiTheme="minorHAnsi" w:hAnsiTheme="minorHAnsi" w:cstheme="minorHAnsi"/>
                <w:sz w:val="22"/>
                <w:szCs w:val="22"/>
              </w:rPr>
              <w:t>6</w:t>
            </w:r>
          </w:p>
        </w:tc>
        <w:tc>
          <w:tcPr>
            <w:tcW w:w="1630" w:type="dxa"/>
            <w:vAlign w:val="center"/>
          </w:tcPr>
          <w:p w:rsidRPr="00972A90" w:rsidR="00C9257F" w:rsidP="00972A90" w:rsidRDefault="00C9257F" w14:paraId="21C0FF86" w14:textId="51BEE2E6">
            <w:pPr>
              <w:jc w:val="center"/>
              <w:rPr>
                <w:rFonts w:asciiTheme="minorHAnsi" w:hAnsiTheme="minorHAnsi" w:cstheme="minorHAnsi"/>
                <w:sz w:val="22"/>
                <w:szCs w:val="22"/>
              </w:rPr>
            </w:pPr>
            <w:r>
              <w:rPr>
                <w:rFonts w:ascii="Calibri" w:hAnsi="Calibri" w:cs="Calibri"/>
                <w:color w:val="000000"/>
                <w:sz w:val="22"/>
                <w:szCs w:val="22"/>
              </w:rPr>
              <w:t>27.91</w:t>
            </w:r>
          </w:p>
        </w:tc>
        <w:tc>
          <w:tcPr>
            <w:tcW w:w="1440" w:type="dxa"/>
            <w:vAlign w:val="center"/>
          </w:tcPr>
          <w:p w:rsidRPr="00972A90" w:rsidR="00C9257F" w:rsidP="00612EFF" w:rsidRDefault="00C9257F" w14:paraId="04178C5A" w14:textId="3A6675E9">
            <w:pPr>
              <w:jc w:val="center"/>
              <w:rPr>
                <w:rFonts w:asciiTheme="minorHAnsi" w:hAnsiTheme="minorHAnsi" w:cstheme="minorHAnsi"/>
                <w:sz w:val="22"/>
                <w:szCs w:val="22"/>
              </w:rPr>
            </w:pPr>
            <w:r>
              <w:rPr>
                <w:rFonts w:asciiTheme="minorHAnsi" w:hAnsiTheme="minorHAnsi" w:cstheme="minorHAnsi"/>
                <w:sz w:val="22"/>
                <w:szCs w:val="22"/>
              </w:rPr>
              <w:t>135,</w:t>
            </w:r>
            <w:r w:rsidR="00612EFF">
              <w:rPr>
                <w:rFonts w:asciiTheme="minorHAnsi" w:hAnsiTheme="minorHAnsi" w:cstheme="minorHAnsi"/>
                <w:sz w:val="22"/>
                <w:szCs w:val="22"/>
              </w:rPr>
              <w:t>802.13</w:t>
            </w:r>
          </w:p>
        </w:tc>
        <w:tc>
          <w:tcPr>
            <w:tcW w:w="990" w:type="dxa"/>
            <w:vAlign w:val="center"/>
          </w:tcPr>
          <w:p w:rsidRPr="00972A90" w:rsidR="00C9257F" w:rsidP="00972A90" w:rsidRDefault="00C9257F" w14:paraId="167015EA" w14:textId="09BD9CE0">
            <w:pPr>
              <w:jc w:val="center"/>
              <w:rPr>
                <w:rFonts w:asciiTheme="minorHAnsi" w:hAnsiTheme="minorHAnsi" w:cstheme="minorHAnsi"/>
                <w:sz w:val="22"/>
                <w:szCs w:val="22"/>
              </w:rPr>
            </w:pPr>
            <w:r w:rsidRPr="00773045">
              <w:rPr>
                <w:rFonts w:asciiTheme="minorHAnsi" w:hAnsiTheme="minorHAnsi" w:cstheme="minorHAnsi"/>
                <w:sz w:val="22"/>
                <w:szCs w:val="22"/>
              </w:rPr>
              <w:t>$59.20</w:t>
            </w:r>
          </w:p>
        </w:tc>
        <w:tc>
          <w:tcPr>
            <w:tcW w:w="1890" w:type="dxa"/>
            <w:vAlign w:val="center"/>
          </w:tcPr>
          <w:p w:rsidRPr="00972A90" w:rsidR="00C9257F" w:rsidP="00612EFF" w:rsidRDefault="00C9257F" w14:paraId="650574D8" w14:textId="6DD39171">
            <w:pPr>
              <w:jc w:val="center"/>
              <w:rPr>
                <w:rFonts w:asciiTheme="minorHAnsi" w:hAnsiTheme="minorHAnsi" w:cstheme="minorHAnsi"/>
                <w:sz w:val="22"/>
                <w:szCs w:val="22"/>
              </w:rPr>
            </w:pPr>
            <w:r>
              <w:rPr>
                <w:rFonts w:ascii="Calibri" w:hAnsi="Calibri" w:cs="Calibri"/>
                <w:color w:val="000000"/>
                <w:sz w:val="22"/>
                <w:szCs w:val="22"/>
              </w:rPr>
              <w:t>$8,039,</w:t>
            </w:r>
            <w:r w:rsidR="00612EFF">
              <w:rPr>
                <w:rFonts w:ascii="Calibri" w:hAnsi="Calibri" w:cs="Calibri"/>
                <w:color w:val="000000"/>
                <w:sz w:val="22"/>
                <w:szCs w:val="22"/>
              </w:rPr>
              <w:t>486.31</w:t>
            </w:r>
            <w:r>
              <w:rPr>
                <w:rFonts w:ascii="Calibri" w:hAnsi="Calibri" w:cs="Calibri"/>
                <w:color w:val="000000"/>
                <w:sz w:val="22"/>
                <w:szCs w:val="22"/>
              </w:rPr>
              <w:t xml:space="preserve"> </w:t>
            </w:r>
          </w:p>
        </w:tc>
      </w:tr>
      <w:tr w:rsidR="00C9257F" w:rsidTr="00F120BA" w14:paraId="028AC89E" w14:textId="77777777">
        <w:trPr>
          <w:jc w:val="center"/>
        </w:trPr>
        <w:tc>
          <w:tcPr>
            <w:tcW w:w="445" w:type="dxa"/>
          </w:tcPr>
          <w:p w:rsidRPr="00972A90" w:rsidR="00C9257F" w:rsidP="00C9257F" w:rsidRDefault="00C9257F" w14:paraId="14E492D2" w14:textId="26C51225">
            <w:pPr>
              <w:rPr>
                <w:rFonts w:asciiTheme="minorHAnsi" w:hAnsiTheme="minorHAnsi" w:cstheme="minorHAnsi"/>
                <w:sz w:val="22"/>
                <w:szCs w:val="22"/>
              </w:rPr>
            </w:pPr>
            <w:r w:rsidRPr="00972A90">
              <w:rPr>
                <w:rFonts w:asciiTheme="minorHAnsi" w:hAnsiTheme="minorHAnsi" w:cstheme="minorHAnsi"/>
                <w:sz w:val="22"/>
                <w:szCs w:val="22"/>
              </w:rPr>
              <w:t>5</w:t>
            </w:r>
          </w:p>
        </w:tc>
        <w:tc>
          <w:tcPr>
            <w:tcW w:w="2639" w:type="dxa"/>
            <w:vAlign w:val="bottom"/>
          </w:tcPr>
          <w:p w:rsidRPr="00972A90" w:rsidR="00C9257F" w:rsidP="00C9257F" w:rsidRDefault="00C9257F" w14:paraId="1FE15097" w14:textId="38B2B3CA">
            <w:pPr>
              <w:rPr>
                <w:rFonts w:asciiTheme="minorHAnsi" w:hAnsiTheme="minorHAnsi" w:cstheme="minorHAnsi"/>
                <w:sz w:val="22"/>
                <w:szCs w:val="22"/>
              </w:rPr>
            </w:pPr>
            <w:r w:rsidRPr="00972A90">
              <w:rPr>
                <w:rFonts w:asciiTheme="minorHAnsi" w:hAnsiTheme="minorHAnsi" w:cstheme="minorHAnsi"/>
                <w:color w:val="000000"/>
                <w:sz w:val="22"/>
                <w:szCs w:val="22"/>
              </w:rPr>
              <w:t>Other Patient Care</w:t>
            </w:r>
          </w:p>
        </w:tc>
        <w:tc>
          <w:tcPr>
            <w:tcW w:w="1600" w:type="dxa"/>
            <w:vAlign w:val="center"/>
          </w:tcPr>
          <w:p w:rsidRPr="00972A90" w:rsidR="00C9257F" w:rsidP="0059543C" w:rsidRDefault="00C9257F" w14:paraId="21DD8394" w14:textId="1936ED14">
            <w:pPr>
              <w:jc w:val="center"/>
              <w:rPr>
                <w:rFonts w:asciiTheme="minorHAnsi" w:hAnsiTheme="minorHAnsi" w:cstheme="minorHAnsi"/>
                <w:sz w:val="22"/>
                <w:szCs w:val="22"/>
              </w:rPr>
            </w:pPr>
            <w:r w:rsidRPr="00972A90">
              <w:rPr>
                <w:rFonts w:asciiTheme="minorHAnsi" w:hAnsiTheme="minorHAnsi" w:cstheme="minorHAnsi"/>
                <w:sz w:val="22"/>
                <w:szCs w:val="22"/>
              </w:rPr>
              <w:t>558,57</w:t>
            </w:r>
            <w:r w:rsidR="006A6CD6">
              <w:rPr>
                <w:rFonts w:asciiTheme="minorHAnsi" w:hAnsiTheme="minorHAnsi" w:cstheme="minorHAnsi"/>
                <w:sz w:val="22"/>
                <w:szCs w:val="22"/>
              </w:rPr>
              <w:t>6</w:t>
            </w:r>
          </w:p>
        </w:tc>
        <w:tc>
          <w:tcPr>
            <w:tcW w:w="1261" w:type="dxa"/>
            <w:vAlign w:val="center"/>
          </w:tcPr>
          <w:p w:rsidRPr="00972A90" w:rsidR="00C9257F" w:rsidP="00972A90" w:rsidRDefault="00C9257F" w14:paraId="4A0D8C9F" w14:textId="135C7915">
            <w:pPr>
              <w:jc w:val="center"/>
              <w:rPr>
                <w:rFonts w:asciiTheme="minorHAnsi" w:hAnsiTheme="minorHAnsi" w:cstheme="minorHAnsi"/>
                <w:sz w:val="22"/>
                <w:szCs w:val="22"/>
              </w:rPr>
            </w:pPr>
            <w:r>
              <w:rPr>
                <w:rFonts w:ascii="Calibri" w:hAnsi="Calibri" w:cs="Calibri"/>
                <w:color w:val="000000"/>
                <w:sz w:val="22"/>
                <w:szCs w:val="22"/>
              </w:rPr>
              <w:t>41%</w:t>
            </w:r>
          </w:p>
        </w:tc>
        <w:tc>
          <w:tcPr>
            <w:tcW w:w="1600" w:type="dxa"/>
            <w:vAlign w:val="center"/>
          </w:tcPr>
          <w:p w:rsidRPr="00972A90" w:rsidR="00C9257F" w:rsidP="00F357E5" w:rsidRDefault="00C9257F" w14:paraId="04D89106" w14:textId="50211FA1">
            <w:pPr>
              <w:jc w:val="center"/>
              <w:rPr>
                <w:rFonts w:asciiTheme="minorHAnsi" w:hAnsiTheme="minorHAnsi" w:cstheme="minorHAnsi"/>
                <w:sz w:val="22"/>
                <w:szCs w:val="22"/>
              </w:rPr>
            </w:pPr>
            <w:r>
              <w:rPr>
                <w:rFonts w:asciiTheme="minorHAnsi" w:hAnsiTheme="minorHAnsi" w:cstheme="minorHAnsi"/>
                <w:sz w:val="22"/>
                <w:szCs w:val="22"/>
              </w:rPr>
              <w:t>229,01</w:t>
            </w:r>
            <w:r w:rsidR="00F357E5">
              <w:rPr>
                <w:rFonts w:asciiTheme="minorHAnsi" w:hAnsiTheme="minorHAnsi" w:cstheme="minorHAnsi"/>
                <w:sz w:val="22"/>
                <w:szCs w:val="22"/>
              </w:rPr>
              <w:t>6</w:t>
            </w:r>
          </w:p>
        </w:tc>
        <w:tc>
          <w:tcPr>
            <w:tcW w:w="1630" w:type="dxa"/>
            <w:vAlign w:val="center"/>
          </w:tcPr>
          <w:p w:rsidRPr="00972A90" w:rsidR="00C9257F" w:rsidP="00972A90" w:rsidRDefault="00C9257F" w14:paraId="03403DD1" w14:textId="03976F06">
            <w:pPr>
              <w:jc w:val="center"/>
              <w:rPr>
                <w:rFonts w:asciiTheme="minorHAnsi" w:hAnsiTheme="minorHAnsi" w:cstheme="minorHAnsi"/>
                <w:sz w:val="22"/>
                <w:szCs w:val="22"/>
              </w:rPr>
            </w:pPr>
            <w:r>
              <w:rPr>
                <w:rFonts w:ascii="Calibri" w:hAnsi="Calibri" w:cs="Calibri"/>
                <w:color w:val="000000"/>
                <w:sz w:val="22"/>
                <w:szCs w:val="22"/>
              </w:rPr>
              <w:t>18.31</w:t>
            </w:r>
          </w:p>
        </w:tc>
        <w:tc>
          <w:tcPr>
            <w:tcW w:w="1440" w:type="dxa"/>
            <w:vAlign w:val="center"/>
          </w:tcPr>
          <w:p w:rsidRPr="00972A90" w:rsidR="00C9257F" w:rsidP="000F757C" w:rsidRDefault="00C9257F" w14:paraId="52903BF6" w14:textId="1FD8F0C3">
            <w:pPr>
              <w:jc w:val="center"/>
              <w:rPr>
                <w:rFonts w:asciiTheme="minorHAnsi" w:hAnsiTheme="minorHAnsi" w:cstheme="minorHAnsi"/>
                <w:sz w:val="22"/>
                <w:szCs w:val="22"/>
              </w:rPr>
            </w:pPr>
            <w:r>
              <w:rPr>
                <w:rFonts w:asciiTheme="minorHAnsi" w:hAnsiTheme="minorHAnsi" w:cstheme="minorHAnsi"/>
                <w:sz w:val="22"/>
                <w:szCs w:val="22"/>
              </w:rPr>
              <w:t>4,193,2</w:t>
            </w:r>
            <w:r w:rsidR="00612EFF">
              <w:rPr>
                <w:rFonts w:asciiTheme="minorHAnsi" w:hAnsiTheme="minorHAnsi" w:cstheme="minorHAnsi"/>
                <w:sz w:val="22"/>
                <w:szCs w:val="22"/>
              </w:rPr>
              <w:t>88.</w:t>
            </w:r>
            <w:r w:rsidR="000F757C">
              <w:rPr>
                <w:rFonts w:asciiTheme="minorHAnsi" w:hAnsiTheme="minorHAnsi" w:cstheme="minorHAnsi"/>
                <w:sz w:val="22"/>
                <w:szCs w:val="22"/>
              </w:rPr>
              <w:t>97</w:t>
            </w:r>
          </w:p>
        </w:tc>
        <w:tc>
          <w:tcPr>
            <w:tcW w:w="990" w:type="dxa"/>
            <w:vAlign w:val="center"/>
          </w:tcPr>
          <w:p w:rsidRPr="00972A90" w:rsidR="00C9257F" w:rsidP="00972A90" w:rsidRDefault="00C9257F" w14:paraId="02593FB0" w14:textId="4A37F413">
            <w:pPr>
              <w:jc w:val="center"/>
              <w:rPr>
                <w:rFonts w:asciiTheme="minorHAnsi" w:hAnsiTheme="minorHAnsi" w:cstheme="minorHAnsi"/>
                <w:sz w:val="22"/>
                <w:szCs w:val="22"/>
              </w:rPr>
            </w:pPr>
            <w:r w:rsidRPr="00773045">
              <w:rPr>
                <w:rFonts w:asciiTheme="minorHAnsi" w:hAnsiTheme="minorHAnsi" w:cstheme="minorHAnsi"/>
                <w:sz w:val="22"/>
                <w:szCs w:val="22"/>
              </w:rPr>
              <w:t>$59.20</w:t>
            </w:r>
          </w:p>
        </w:tc>
        <w:tc>
          <w:tcPr>
            <w:tcW w:w="1890" w:type="dxa"/>
            <w:vAlign w:val="center"/>
          </w:tcPr>
          <w:p w:rsidRPr="00972A90" w:rsidR="00C9257F" w:rsidP="000F757C" w:rsidRDefault="00C9257F" w14:paraId="34ECFBF5" w14:textId="55678C2F">
            <w:pPr>
              <w:jc w:val="center"/>
              <w:rPr>
                <w:rFonts w:asciiTheme="minorHAnsi" w:hAnsiTheme="minorHAnsi" w:cstheme="minorHAnsi"/>
                <w:sz w:val="22"/>
                <w:szCs w:val="22"/>
              </w:rPr>
            </w:pPr>
            <w:r>
              <w:rPr>
                <w:rFonts w:ascii="Calibri" w:hAnsi="Calibri" w:cs="Calibri"/>
                <w:color w:val="000000"/>
                <w:sz w:val="22"/>
                <w:szCs w:val="22"/>
              </w:rPr>
              <w:t>$248,242,</w:t>
            </w:r>
            <w:r w:rsidR="000F757C">
              <w:rPr>
                <w:rFonts w:ascii="Calibri" w:hAnsi="Calibri" w:cs="Calibri"/>
                <w:color w:val="000000"/>
                <w:sz w:val="22"/>
                <w:szCs w:val="22"/>
              </w:rPr>
              <w:t>706.88</w:t>
            </w:r>
            <w:r>
              <w:rPr>
                <w:rFonts w:ascii="Calibri" w:hAnsi="Calibri" w:cs="Calibri"/>
                <w:color w:val="000000"/>
                <w:sz w:val="22"/>
                <w:szCs w:val="22"/>
              </w:rPr>
              <w:t xml:space="preserve"> </w:t>
            </w:r>
          </w:p>
        </w:tc>
      </w:tr>
      <w:tr w:rsidR="00C9257F" w:rsidTr="00F120BA" w14:paraId="4906AF88" w14:textId="77777777">
        <w:trPr>
          <w:jc w:val="center"/>
        </w:trPr>
        <w:tc>
          <w:tcPr>
            <w:tcW w:w="445" w:type="dxa"/>
          </w:tcPr>
          <w:p w:rsidRPr="00972A90" w:rsidR="00C9257F" w:rsidP="00C9257F" w:rsidRDefault="00C9257F" w14:paraId="213EFB04" w14:textId="5F4EF3A6">
            <w:pPr>
              <w:rPr>
                <w:rFonts w:asciiTheme="minorHAnsi" w:hAnsiTheme="minorHAnsi" w:cstheme="minorHAnsi"/>
                <w:sz w:val="22"/>
                <w:szCs w:val="22"/>
              </w:rPr>
            </w:pPr>
            <w:r w:rsidRPr="00972A90">
              <w:rPr>
                <w:rFonts w:asciiTheme="minorHAnsi" w:hAnsiTheme="minorHAnsi" w:cstheme="minorHAnsi"/>
                <w:sz w:val="22"/>
                <w:szCs w:val="22"/>
              </w:rPr>
              <w:t>6</w:t>
            </w:r>
          </w:p>
        </w:tc>
        <w:tc>
          <w:tcPr>
            <w:tcW w:w="2639" w:type="dxa"/>
            <w:vAlign w:val="bottom"/>
          </w:tcPr>
          <w:p w:rsidRPr="00972A90" w:rsidR="00C9257F" w:rsidP="00C9257F" w:rsidRDefault="00C9257F" w14:paraId="083082FA" w14:textId="3AA8160A">
            <w:pPr>
              <w:rPr>
                <w:rFonts w:asciiTheme="minorHAnsi" w:hAnsiTheme="minorHAnsi" w:cstheme="minorHAnsi"/>
                <w:sz w:val="22"/>
                <w:szCs w:val="22"/>
              </w:rPr>
            </w:pPr>
            <w:r w:rsidRPr="00972A90">
              <w:rPr>
                <w:rFonts w:asciiTheme="minorHAnsi" w:hAnsiTheme="minorHAnsi" w:cstheme="minorHAnsi"/>
                <w:color w:val="000000"/>
                <w:sz w:val="22"/>
                <w:szCs w:val="22"/>
              </w:rPr>
              <w:t>Home Health Care and Temp Labor</w:t>
            </w:r>
          </w:p>
        </w:tc>
        <w:tc>
          <w:tcPr>
            <w:tcW w:w="1600" w:type="dxa"/>
            <w:vAlign w:val="center"/>
          </w:tcPr>
          <w:p w:rsidRPr="00972A90" w:rsidR="00C9257F" w:rsidP="00972A90" w:rsidRDefault="00C9257F" w14:paraId="481D75FB" w14:textId="3BB5A5C4">
            <w:pPr>
              <w:jc w:val="center"/>
              <w:rPr>
                <w:rFonts w:asciiTheme="minorHAnsi" w:hAnsiTheme="minorHAnsi" w:cstheme="minorHAnsi"/>
                <w:sz w:val="22"/>
                <w:szCs w:val="22"/>
              </w:rPr>
            </w:pPr>
            <w:r w:rsidRPr="00972A90">
              <w:rPr>
                <w:rFonts w:asciiTheme="minorHAnsi" w:hAnsiTheme="minorHAnsi" w:cstheme="minorHAnsi"/>
                <w:sz w:val="22"/>
                <w:szCs w:val="22"/>
              </w:rPr>
              <w:t>35,169</w:t>
            </w:r>
          </w:p>
        </w:tc>
        <w:tc>
          <w:tcPr>
            <w:tcW w:w="1261" w:type="dxa"/>
            <w:vAlign w:val="center"/>
          </w:tcPr>
          <w:p w:rsidRPr="00972A90" w:rsidR="00C9257F" w:rsidP="00972A90" w:rsidRDefault="00C9257F" w14:paraId="2D43EAC3" w14:textId="5D9DC38A">
            <w:pPr>
              <w:jc w:val="center"/>
              <w:rPr>
                <w:rFonts w:asciiTheme="minorHAnsi" w:hAnsiTheme="minorHAnsi" w:cstheme="minorHAnsi"/>
                <w:sz w:val="22"/>
                <w:szCs w:val="22"/>
              </w:rPr>
            </w:pPr>
            <w:r>
              <w:rPr>
                <w:rFonts w:ascii="Calibri" w:hAnsi="Calibri" w:cs="Calibri"/>
                <w:color w:val="000000"/>
                <w:sz w:val="22"/>
                <w:szCs w:val="22"/>
              </w:rPr>
              <w:t>34%</w:t>
            </w:r>
          </w:p>
        </w:tc>
        <w:tc>
          <w:tcPr>
            <w:tcW w:w="1600" w:type="dxa"/>
            <w:vAlign w:val="center"/>
          </w:tcPr>
          <w:p w:rsidRPr="00972A90" w:rsidR="00C9257F" w:rsidP="00B240B6" w:rsidRDefault="00C9257F" w14:paraId="219206BF" w14:textId="5703D87C">
            <w:pPr>
              <w:jc w:val="center"/>
              <w:rPr>
                <w:rFonts w:asciiTheme="minorHAnsi" w:hAnsiTheme="minorHAnsi" w:cstheme="minorHAnsi"/>
                <w:sz w:val="22"/>
                <w:szCs w:val="22"/>
              </w:rPr>
            </w:pPr>
            <w:r>
              <w:rPr>
                <w:rFonts w:asciiTheme="minorHAnsi" w:hAnsiTheme="minorHAnsi" w:cstheme="minorHAnsi"/>
                <w:sz w:val="22"/>
                <w:szCs w:val="22"/>
              </w:rPr>
              <w:t>11,95</w:t>
            </w:r>
            <w:r w:rsidR="00B240B6">
              <w:rPr>
                <w:rFonts w:asciiTheme="minorHAnsi" w:hAnsiTheme="minorHAnsi" w:cstheme="minorHAnsi"/>
                <w:sz w:val="22"/>
                <w:szCs w:val="22"/>
              </w:rPr>
              <w:t>8</w:t>
            </w:r>
          </w:p>
        </w:tc>
        <w:tc>
          <w:tcPr>
            <w:tcW w:w="1630" w:type="dxa"/>
            <w:vAlign w:val="center"/>
          </w:tcPr>
          <w:p w:rsidRPr="00972A90" w:rsidR="00C9257F" w:rsidP="00972A90" w:rsidRDefault="00C9257F" w14:paraId="7A1980EF" w14:textId="27316715">
            <w:pPr>
              <w:jc w:val="center"/>
              <w:rPr>
                <w:rFonts w:asciiTheme="minorHAnsi" w:hAnsiTheme="minorHAnsi" w:cstheme="minorHAnsi"/>
                <w:sz w:val="22"/>
                <w:szCs w:val="22"/>
              </w:rPr>
            </w:pPr>
            <w:r>
              <w:rPr>
                <w:rFonts w:ascii="Calibri" w:hAnsi="Calibri" w:cs="Calibri"/>
                <w:color w:val="000000"/>
                <w:sz w:val="22"/>
                <w:szCs w:val="22"/>
              </w:rPr>
              <w:t>22.55</w:t>
            </w:r>
          </w:p>
        </w:tc>
        <w:tc>
          <w:tcPr>
            <w:tcW w:w="1440" w:type="dxa"/>
            <w:vAlign w:val="center"/>
          </w:tcPr>
          <w:p w:rsidRPr="00972A90" w:rsidR="00C9257F" w:rsidP="000F757C" w:rsidRDefault="00C9257F" w14:paraId="3F744FD4" w14:textId="34D816B1">
            <w:pPr>
              <w:jc w:val="center"/>
              <w:rPr>
                <w:rFonts w:asciiTheme="minorHAnsi" w:hAnsiTheme="minorHAnsi" w:cstheme="minorHAnsi"/>
                <w:sz w:val="22"/>
                <w:szCs w:val="22"/>
              </w:rPr>
            </w:pPr>
            <w:r>
              <w:rPr>
                <w:rFonts w:asciiTheme="minorHAnsi" w:hAnsiTheme="minorHAnsi" w:cstheme="minorHAnsi"/>
                <w:sz w:val="22"/>
                <w:szCs w:val="22"/>
              </w:rPr>
              <w:t>269,644.</w:t>
            </w:r>
            <w:r w:rsidR="000F757C">
              <w:rPr>
                <w:rFonts w:asciiTheme="minorHAnsi" w:hAnsiTheme="minorHAnsi" w:cstheme="minorHAnsi"/>
                <w:sz w:val="22"/>
                <w:szCs w:val="22"/>
              </w:rPr>
              <w:t>25</w:t>
            </w:r>
          </w:p>
        </w:tc>
        <w:tc>
          <w:tcPr>
            <w:tcW w:w="990" w:type="dxa"/>
            <w:vAlign w:val="center"/>
          </w:tcPr>
          <w:p w:rsidRPr="00972A90" w:rsidR="00C9257F" w:rsidP="00972A90" w:rsidRDefault="00C9257F" w14:paraId="6C274D5B" w14:textId="5F9B474E">
            <w:pPr>
              <w:jc w:val="center"/>
              <w:rPr>
                <w:rFonts w:asciiTheme="minorHAnsi" w:hAnsiTheme="minorHAnsi" w:cstheme="minorHAnsi"/>
                <w:sz w:val="22"/>
                <w:szCs w:val="22"/>
              </w:rPr>
            </w:pPr>
            <w:r w:rsidRPr="00773045">
              <w:rPr>
                <w:rFonts w:asciiTheme="minorHAnsi" w:hAnsiTheme="minorHAnsi" w:cstheme="minorHAnsi"/>
                <w:sz w:val="22"/>
                <w:szCs w:val="22"/>
              </w:rPr>
              <w:t>$59.20</w:t>
            </w:r>
          </w:p>
        </w:tc>
        <w:tc>
          <w:tcPr>
            <w:tcW w:w="1890" w:type="dxa"/>
            <w:vAlign w:val="center"/>
          </w:tcPr>
          <w:p w:rsidRPr="00972A90" w:rsidR="00C9257F" w:rsidP="000F757C" w:rsidRDefault="00C9257F" w14:paraId="3ACF97FE" w14:textId="717D2B2E">
            <w:pPr>
              <w:jc w:val="center"/>
              <w:rPr>
                <w:rFonts w:asciiTheme="minorHAnsi" w:hAnsiTheme="minorHAnsi" w:cstheme="minorHAnsi"/>
                <w:sz w:val="22"/>
                <w:szCs w:val="22"/>
              </w:rPr>
            </w:pPr>
            <w:r>
              <w:rPr>
                <w:rFonts w:ascii="Calibri" w:hAnsi="Calibri" w:cs="Calibri"/>
                <w:color w:val="000000"/>
                <w:sz w:val="22"/>
                <w:szCs w:val="22"/>
              </w:rPr>
              <w:t>$15,962,9</w:t>
            </w:r>
            <w:r w:rsidR="000F757C">
              <w:rPr>
                <w:rFonts w:ascii="Calibri" w:hAnsi="Calibri" w:cs="Calibri"/>
                <w:color w:val="000000"/>
                <w:sz w:val="22"/>
                <w:szCs w:val="22"/>
              </w:rPr>
              <w:t>39.59</w:t>
            </w:r>
            <w:r>
              <w:rPr>
                <w:rFonts w:ascii="Calibri" w:hAnsi="Calibri" w:cs="Calibri"/>
                <w:color w:val="000000"/>
                <w:sz w:val="22"/>
                <w:szCs w:val="22"/>
              </w:rPr>
              <w:t xml:space="preserve"> </w:t>
            </w:r>
          </w:p>
        </w:tc>
      </w:tr>
      <w:tr w:rsidR="00C9257F" w:rsidTr="00F120BA" w14:paraId="753A37B3" w14:textId="77777777">
        <w:trPr>
          <w:jc w:val="center"/>
        </w:trPr>
        <w:tc>
          <w:tcPr>
            <w:tcW w:w="445" w:type="dxa"/>
          </w:tcPr>
          <w:p w:rsidRPr="00505851" w:rsidR="00C9257F" w:rsidP="00C9257F" w:rsidRDefault="00C9257F" w14:paraId="2088E075" w14:textId="0D0AE1D3">
            <w:pPr>
              <w:rPr>
                <w:rFonts w:asciiTheme="minorHAnsi" w:hAnsiTheme="minorHAnsi" w:cstheme="minorHAnsi"/>
                <w:sz w:val="22"/>
                <w:szCs w:val="22"/>
              </w:rPr>
            </w:pPr>
            <w:r w:rsidRPr="00505851">
              <w:rPr>
                <w:rFonts w:asciiTheme="minorHAnsi" w:hAnsiTheme="minorHAnsi" w:cstheme="minorHAnsi"/>
                <w:sz w:val="22"/>
                <w:szCs w:val="22"/>
              </w:rPr>
              <w:t>7</w:t>
            </w:r>
          </w:p>
        </w:tc>
        <w:tc>
          <w:tcPr>
            <w:tcW w:w="2639" w:type="dxa"/>
            <w:vAlign w:val="bottom"/>
          </w:tcPr>
          <w:p w:rsidRPr="00505851" w:rsidR="00C9257F" w:rsidP="00C9257F" w:rsidRDefault="00C9257F" w14:paraId="3E179922" w14:textId="5D624650">
            <w:pPr>
              <w:rPr>
                <w:rFonts w:asciiTheme="minorHAnsi" w:hAnsiTheme="minorHAnsi" w:cstheme="minorHAnsi"/>
                <w:sz w:val="22"/>
                <w:szCs w:val="22"/>
              </w:rPr>
            </w:pPr>
            <w:r w:rsidRPr="00505851">
              <w:rPr>
                <w:rFonts w:asciiTheme="minorHAnsi" w:hAnsiTheme="minorHAnsi" w:cstheme="minorHAnsi"/>
                <w:color w:val="000000"/>
                <w:sz w:val="22"/>
                <w:szCs w:val="22"/>
              </w:rPr>
              <w:t>First Aid and Emergency Care</w:t>
            </w:r>
          </w:p>
        </w:tc>
        <w:tc>
          <w:tcPr>
            <w:tcW w:w="1600" w:type="dxa"/>
            <w:vAlign w:val="center"/>
          </w:tcPr>
          <w:p w:rsidRPr="00505851" w:rsidR="00C9257F" w:rsidP="0059543C" w:rsidRDefault="00C9257F" w14:paraId="2A5A82C5" w14:textId="39247636">
            <w:pPr>
              <w:jc w:val="center"/>
              <w:rPr>
                <w:rFonts w:asciiTheme="minorHAnsi" w:hAnsiTheme="minorHAnsi" w:cstheme="minorHAnsi"/>
                <w:sz w:val="22"/>
                <w:szCs w:val="22"/>
              </w:rPr>
            </w:pPr>
            <w:r w:rsidRPr="00505851">
              <w:rPr>
                <w:rFonts w:asciiTheme="minorHAnsi" w:hAnsiTheme="minorHAnsi" w:cstheme="minorHAnsi"/>
                <w:sz w:val="22"/>
                <w:szCs w:val="22"/>
              </w:rPr>
              <w:t>35,37</w:t>
            </w:r>
            <w:r w:rsidR="006A6CD6">
              <w:rPr>
                <w:rFonts w:asciiTheme="minorHAnsi" w:hAnsiTheme="minorHAnsi" w:cstheme="minorHAnsi"/>
                <w:sz w:val="22"/>
                <w:szCs w:val="22"/>
              </w:rPr>
              <w:t>5</w:t>
            </w:r>
          </w:p>
        </w:tc>
        <w:tc>
          <w:tcPr>
            <w:tcW w:w="1261" w:type="dxa"/>
            <w:vAlign w:val="center"/>
          </w:tcPr>
          <w:p w:rsidRPr="00505851" w:rsidR="00C9257F" w:rsidP="00972A90" w:rsidRDefault="00C9257F" w14:paraId="6D579C1A" w14:textId="086365B8">
            <w:pPr>
              <w:jc w:val="center"/>
              <w:rPr>
                <w:rFonts w:asciiTheme="minorHAnsi" w:hAnsiTheme="minorHAnsi" w:cstheme="minorHAnsi"/>
                <w:sz w:val="22"/>
                <w:szCs w:val="22"/>
              </w:rPr>
            </w:pPr>
            <w:r>
              <w:rPr>
                <w:rFonts w:ascii="Calibri" w:hAnsi="Calibri" w:cs="Calibri"/>
                <w:color w:val="000000"/>
                <w:sz w:val="22"/>
                <w:szCs w:val="22"/>
              </w:rPr>
              <w:t>32%</w:t>
            </w:r>
          </w:p>
        </w:tc>
        <w:tc>
          <w:tcPr>
            <w:tcW w:w="1600" w:type="dxa"/>
            <w:vAlign w:val="center"/>
          </w:tcPr>
          <w:p w:rsidRPr="00505851" w:rsidR="00C9257F" w:rsidP="00B240B6" w:rsidRDefault="00C9257F" w14:paraId="550C77CC" w14:textId="52A1D5F2">
            <w:pPr>
              <w:jc w:val="center"/>
              <w:rPr>
                <w:rFonts w:asciiTheme="minorHAnsi" w:hAnsiTheme="minorHAnsi" w:cstheme="minorHAnsi"/>
                <w:sz w:val="22"/>
                <w:szCs w:val="22"/>
              </w:rPr>
            </w:pPr>
            <w:r>
              <w:rPr>
                <w:rFonts w:asciiTheme="minorHAnsi" w:hAnsiTheme="minorHAnsi" w:cstheme="minorHAnsi"/>
                <w:sz w:val="22"/>
                <w:szCs w:val="22"/>
              </w:rPr>
              <w:t>11,3</w:t>
            </w:r>
            <w:r w:rsidR="00B240B6">
              <w:rPr>
                <w:rFonts w:asciiTheme="minorHAnsi" w:hAnsiTheme="minorHAnsi" w:cstheme="minorHAnsi"/>
                <w:sz w:val="22"/>
                <w:szCs w:val="22"/>
              </w:rPr>
              <w:t>20</w:t>
            </w:r>
          </w:p>
        </w:tc>
        <w:tc>
          <w:tcPr>
            <w:tcW w:w="1630" w:type="dxa"/>
            <w:vAlign w:val="center"/>
          </w:tcPr>
          <w:p w:rsidRPr="002A7477" w:rsidR="00C9257F" w:rsidP="00972A90" w:rsidRDefault="00C9257F" w14:paraId="5A5CABBE" w14:textId="7B1F9FD1">
            <w:pPr>
              <w:jc w:val="center"/>
              <w:rPr>
                <w:rFonts w:asciiTheme="minorHAnsi" w:hAnsiTheme="minorHAnsi" w:cstheme="minorHAnsi"/>
                <w:sz w:val="22"/>
                <w:szCs w:val="22"/>
              </w:rPr>
            </w:pPr>
            <w:r>
              <w:rPr>
                <w:rFonts w:ascii="Calibri" w:hAnsi="Calibri" w:cs="Calibri"/>
                <w:color w:val="000000"/>
                <w:sz w:val="22"/>
                <w:szCs w:val="22"/>
              </w:rPr>
              <w:t>24.03</w:t>
            </w:r>
          </w:p>
        </w:tc>
        <w:tc>
          <w:tcPr>
            <w:tcW w:w="1440" w:type="dxa"/>
            <w:vAlign w:val="center"/>
          </w:tcPr>
          <w:p w:rsidRPr="002A7477" w:rsidR="00C9257F" w:rsidP="000F757C" w:rsidRDefault="00C9257F" w14:paraId="303581AC" w14:textId="639799D3">
            <w:pPr>
              <w:jc w:val="center"/>
              <w:rPr>
                <w:rFonts w:asciiTheme="minorHAnsi" w:hAnsiTheme="minorHAnsi" w:cstheme="minorHAnsi"/>
                <w:sz w:val="22"/>
                <w:szCs w:val="22"/>
              </w:rPr>
            </w:pPr>
            <w:r>
              <w:rPr>
                <w:rFonts w:asciiTheme="minorHAnsi" w:hAnsiTheme="minorHAnsi" w:cstheme="minorHAnsi"/>
                <w:sz w:val="22"/>
                <w:szCs w:val="22"/>
              </w:rPr>
              <w:t>272,01</w:t>
            </w:r>
            <w:r w:rsidR="000F757C">
              <w:rPr>
                <w:rFonts w:asciiTheme="minorHAnsi" w:hAnsiTheme="minorHAnsi" w:cstheme="minorHAnsi"/>
                <w:sz w:val="22"/>
                <w:szCs w:val="22"/>
              </w:rPr>
              <w:t>8.75</w:t>
            </w:r>
          </w:p>
        </w:tc>
        <w:tc>
          <w:tcPr>
            <w:tcW w:w="990" w:type="dxa"/>
            <w:vAlign w:val="center"/>
          </w:tcPr>
          <w:p w:rsidRPr="002A7477" w:rsidR="00C9257F" w:rsidP="00972A90" w:rsidRDefault="00C9257F" w14:paraId="0FBC81AC" w14:textId="630B6356">
            <w:pPr>
              <w:jc w:val="center"/>
              <w:rPr>
                <w:rFonts w:asciiTheme="minorHAnsi" w:hAnsiTheme="minorHAnsi" w:cstheme="minorHAnsi"/>
                <w:sz w:val="22"/>
                <w:szCs w:val="22"/>
              </w:rPr>
            </w:pPr>
            <w:r w:rsidRPr="00773045">
              <w:rPr>
                <w:rFonts w:asciiTheme="minorHAnsi" w:hAnsiTheme="minorHAnsi" w:cstheme="minorHAnsi"/>
                <w:sz w:val="22"/>
                <w:szCs w:val="22"/>
              </w:rPr>
              <w:t>$59.20</w:t>
            </w:r>
          </w:p>
        </w:tc>
        <w:tc>
          <w:tcPr>
            <w:tcW w:w="1890" w:type="dxa"/>
            <w:vAlign w:val="center"/>
          </w:tcPr>
          <w:p w:rsidRPr="002A7477" w:rsidR="00C9257F" w:rsidP="000F757C" w:rsidRDefault="00C9257F" w14:paraId="4DC76353" w14:textId="4D1CD9D5">
            <w:pPr>
              <w:jc w:val="center"/>
              <w:rPr>
                <w:rFonts w:asciiTheme="minorHAnsi" w:hAnsiTheme="minorHAnsi" w:cstheme="minorHAnsi"/>
                <w:sz w:val="22"/>
                <w:szCs w:val="22"/>
              </w:rPr>
            </w:pPr>
            <w:r>
              <w:rPr>
                <w:rFonts w:ascii="Calibri" w:hAnsi="Calibri" w:cs="Calibri"/>
                <w:color w:val="000000"/>
                <w:sz w:val="22"/>
                <w:szCs w:val="22"/>
              </w:rPr>
              <w:t>$16,103,</w:t>
            </w:r>
            <w:r w:rsidR="000F757C">
              <w:rPr>
                <w:rFonts w:ascii="Calibri" w:hAnsi="Calibri" w:cs="Calibri"/>
                <w:color w:val="000000"/>
                <w:sz w:val="22"/>
                <w:szCs w:val="22"/>
              </w:rPr>
              <w:t>510.25</w:t>
            </w:r>
            <w:r>
              <w:rPr>
                <w:rFonts w:ascii="Calibri" w:hAnsi="Calibri" w:cs="Calibri"/>
                <w:color w:val="000000"/>
                <w:sz w:val="22"/>
                <w:szCs w:val="22"/>
              </w:rPr>
              <w:t xml:space="preserve"> </w:t>
            </w:r>
          </w:p>
        </w:tc>
      </w:tr>
      <w:tr w:rsidR="00C9257F" w:rsidTr="00F120BA" w14:paraId="175110EF" w14:textId="77777777">
        <w:trPr>
          <w:jc w:val="center"/>
        </w:trPr>
        <w:tc>
          <w:tcPr>
            <w:tcW w:w="445" w:type="dxa"/>
          </w:tcPr>
          <w:p w:rsidRPr="00972A90" w:rsidR="00C9257F" w:rsidP="00C9257F" w:rsidRDefault="00594FCF" w14:paraId="5B42FFF2" w14:textId="6876AFDD">
            <w:pPr>
              <w:rPr>
                <w:rFonts w:asciiTheme="minorHAnsi" w:hAnsiTheme="minorHAnsi" w:cstheme="minorHAnsi"/>
                <w:sz w:val="22"/>
                <w:szCs w:val="22"/>
              </w:rPr>
            </w:pPr>
            <w:r>
              <w:rPr>
                <w:rFonts w:asciiTheme="minorHAnsi" w:hAnsiTheme="minorHAnsi" w:cstheme="minorHAnsi"/>
                <w:sz w:val="22"/>
                <w:szCs w:val="22"/>
              </w:rPr>
              <w:t>9</w:t>
            </w:r>
          </w:p>
        </w:tc>
        <w:tc>
          <w:tcPr>
            <w:tcW w:w="2639" w:type="dxa"/>
            <w:vAlign w:val="bottom"/>
          </w:tcPr>
          <w:p w:rsidRPr="00972A90" w:rsidR="00C9257F" w:rsidP="00C9257F" w:rsidRDefault="00C9257F" w14:paraId="3461DDC0" w14:textId="048EBFFD">
            <w:pPr>
              <w:rPr>
                <w:rFonts w:asciiTheme="minorHAnsi" w:hAnsiTheme="minorHAnsi" w:cstheme="minorHAnsi"/>
                <w:sz w:val="22"/>
                <w:szCs w:val="22"/>
              </w:rPr>
            </w:pPr>
            <w:r w:rsidRPr="00972A90">
              <w:rPr>
                <w:rFonts w:asciiTheme="minorHAnsi" w:hAnsiTheme="minorHAnsi" w:cstheme="minorHAnsi"/>
                <w:color w:val="000000"/>
                <w:sz w:val="22"/>
                <w:szCs w:val="22"/>
              </w:rPr>
              <w:t>School/Industry Clinics</w:t>
            </w:r>
          </w:p>
        </w:tc>
        <w:tc>
          <w:tcPr>
            <w:tcW w:w="1600" w:type="dxa"/>
            <w:vAlign w:val="center"/>
          </w:tcPr>
          <w:p w:rsidRPr="00972A90" w:rsidR="00987354" w:rsidP="0059543C" w:rsidRDefault="00987354" w14:paraId="2984EBBD" w14:textId="622FFAF0">
            <w:pPr>
              <w:jc w:val="center"/>
              <w:rPr>
                <w:rFonts w:asciiTheme="minorHAnsi" w:hAnsiTheme="minorHAnsi" w:cstheme="minorHAnsi"/>
                <w:sz w:val="22"/>
                <w:szCs w:val="22"/>
              </w:rPr>
            </w:pPr>
            <w:r>
              <w:rPr>
                <w:rFonts w:asciiTheme="minorHAnsi" w:hAnsiTheme="minorHAnsi" w:cstheme="minorHAnsi"/>
                <w:sz w:val="22"/>
                <w:szCs w:val="22"/>
              </w:rPr>
              <w:t xml:space="preserve"> 18,954</w:t>
            </w:r>
          </w:p>
        </w:tc>
        <w:tc>
          <w:tcPr>
            <w:tcW w:w="1261" w:type="dxa"/>
            <w:vAlign w:val="center"/>
          </w:tcPr>
          <w:p w:rsidRPr="00972A90" w:rsidR="00C9257F" w:rsidP="00972A90" w:rsidRDefault="00C9257F" w14:paraId="6B547518" w14:textId="7CD6BE30">
            <w:pPr>
              <w:jc w:val="center"/>
              <w:rPr>
                <w:rFonts w:asciiTheme="minorHAnsi" w:hAnsiTheme="minorHAnsi" w:cstheme="minorHAnsi"/>
                <w:sz w:val="22"/>
                <w:szCs w:val="22"/>
              </w:rPr>
            </w:pPr>
            <w:r>
              <w:rPr>
                <w:rFonts w:ascii="Calibri" w:hAnsi="Calibri" w:cs="Calibri"/>
                <w:color w:val="000000"/>
                <w:sz w:val="22"/>
                <w:szCs w:val="22"/>
              </w:rPr>
              <w:t>33%</w:t>
            </w:r>
          </w:p>
        </w:tc>
        <w:tc>
          <w:tcPr>
            <w:tcW w:w="1600" w:type="dxa"/>
            <w:vAlign w:val="center"/>
          </w:tcPr>
          <w:p w:rsidRPr="00972A90" w:rsidR="00C9257F" w:rsidP="00B240B6" w:rsidRDefault="0059543C" w14:paraId="221D05D8" w14:textId="237B15D6">
            <w:pPr>
              <w:jc w:val="center"/>
              <w:rPr>
                <w:rFonts w:asciiTheme="minorHAnsi" w:hAnsiTheme="minorHAnsi" w:cstheme="minorHAnsi"/>
                <w:sz w:val="22"/>
                <w:szCs w:val="22"/>
              </w:rPr>
            </w:pPr>
            <w:r>
              <w:rPr>
                <w:rFonts w:asciiTheme="minorHAnsi" w:hAnsiTheme="minorHAnsi" w:cstheme="minorHAnsi"/>
                <w:sz w:val="22"/>
                <w:szCs w:val="22"/>
              </w:rPr>
              <w:t>6,25</w:t>
            </w:r>
            <w:r w:rsidR="00B240B6">
              <w:rPr>
                <w:rFonts w:asciiTheme="minorHAnsi" w:hAnsiTheme="minorHAnsi" w:cstheme="minorHAnsi"/>
                <w:sz w:val="22"/>
                <w:szCs w:val="22"/>
              </w:rPr>
              <w:t>5</w:t>
            </w:r>
          </w:p>
        </w:tc>
        <w:tc>
          <w:tcPr>
            <w:tcW w:w="1630" w:type="dxa"/>
            <w:vAlign w:val="center"/>
          </w:tcPr>
          <w:p w:rsidRPr="00972A90" w:rsidR="00C9257F" w:rsidP="00972A90" w:rsidRDefault="00C9257F" w14:paraId="4E75E724" w14:textId="4BFD6E07">
            <w:pPr>
              <w:jc w:val="center"/>
              <w:rPr>
                <w:rFonts w:asciiTheme="minorHAnsi" w:hAnsiTheme="minorHAnsi" w:cstheme="minorHAnsi"/>
                <w:sz w:val="22"/>
                <w:szCs w:val="22"/>
              </w:rPr>
            </w:pPr>
            <w:r>
              <w:rPr>
                <w:rFonts w:ascii="Calibri" w:hAnsi="Calibri" w:cs="Calibri"/>
                <w:color w:val="000000"/>
                <w:sz w:val="22"/>
                <w:szCs w:val="22"/>
              </w:rPr>
              <w:t>23.33</w:t>
            </w:r>
          </w:p>
        </w:tc>
        <w:tc>
          <w:tcPr>
            <w:tcW w:w="1440" w:type="dxa"/>
            <w:vAlign w:val="center"/>
          </w:tcPr>
          <w:p w:rsidRPr="00972A90" w:rsidR="00C9257F" w:rsidP="004C493B" w:rsidRDefault="0059543C" w14:paraId="1C312859" w14:textId="2D2EB662">
            <w:pPr>
              <w:jc w:val="center"/>
              <w:rPr>
                <w:rFonts w:asciiTheme="minorHAnsi" w:hAnsiTheme="minorHAnsi" w:cstheme="minorHAnsi"/>
                <w:sz w:val="22"/>
                <w:szCs w:val="22"/>
              </w:rPr>
            </w:pPr>
            <w:r>
              <w:rPr>
                <w:rFonts w:asciiTheme="minorHAnsi" w:hAnsiTheme="minorHAnsi" w:cstheme="minorHAnsi"/>
                <w:sz w:val="22"/>
                <w:szCs w:val="22"/>
              </w:rPr>
              <w:t>145</w:t>
            </w:r>
            <w:r w:rsidR="004C493B">
              <w:rPr>
                <w:rFonts w:asciiTheme="minorHAnsi" w:hAnsiTheme="minorHAnsi" w:cstheme="minorHAnsi"/>
                <w:sz w:val="22"/>
                <w:szCs w:val="22"/>
              </w:rPr>
              <w:t>,924.95</w:t>
            </w:r>
          </w:p>
        </w:tc>
        <w:tc>
          <w:tcPr>
            <w:tcW w:w="990" w:type="dxa"/>
            <w:vAlign w:val="center"/>
          </w:tcPr>
          <w:p w:rsidRPr="00972A90" w:rsidR="00C9257F" w:rsidP="00972A90" w:rsidRDefault="00C9257F" w14:paraId="24E590C3" w14:textId="64B8F42D">
            <w:pPr>
              <w:jc w:val="center"/>
              <w:rPr>
                <w:rFonts w:asciiTheme="minorHAnsi" w:hAnsiTheme="minorHAnsi" w:cstheme="minorHAnsi"/>
                <w:sz w:val="22"/>
                <w:szCs w:val="22"/>
              </w:rPr>
            </w:pPr>
            <w:r w:rsidRPr="00773045">
              <w:rPr>
                <w:rFonts w:asciiTheme="minorHAnsi" w:hAnsiTheme="minorHAnsi" w:cstheme="minorHAnsi"/>
                <w:sz w:val="22"/>
                <w:szCs w:val="22"/>
              </w:rPr>
              <w:t>$59.20</w:t>
            </w:r>
          </w:p>
        </w:tc>
        <w:tc>
          <w:tcPr>
            <w:tcW w:w="1890" w:type="dxa"/>
            <w:vAlign w:val="center"/>
          </w:tcPr>
          <w:p w:rsidRPr="00972A90" w:rsidR="00C9257F" w:rsidP="000F757C" w:rsidRDefault="00C9257F" w14:paraId="15EF45AF" w14:textId="051419F3">
            <w:pPr>
              <w:jc w:val="center"/>
              <w:rPr>
                <w:rFonts w:asciiTheme="minorHAnsi" w:hAnsiTheme="minorHAnsi" w:cstheme="minorHAnsi"/>
                <w:sz w:val="22"/>
                <w:szCs w:val="22"/>
              </w:rPr>
            </w:pPr>
            <w:r>
              <w:rPr>
                <w:rFonts w:ascii="Calibri" w:hAnsi="Calibri" w:cs="Calibri"/>
                <w:color w:val="000000"/>
                <w:sz w:val="22"/>
                <w:szCs w:val="22"/>
              </w:rPr>
              <w:t>$</w:t>
            </w:r>
            <w:r w:rsidR="004C493B">
              <w:rPr>
                <w:rFonts w:ascii="Calibri" w:hAnsi="Calibri" w:cs="Calibri"/>
                <w:color w:val="000000"/>
                <w:sz w:val="22"/>
                <w:szCs w:val="22"/>
              </w:rPr>
              <w:t>8,638,757.0</w:t>
            </w:r>
            <w:r w:rsidR="000F757C">
              <w:rPr>
                <w:rFonts w:ascii="Calibri" w:hAnsi="Calibri" w:cs="Calibri"/>
                <w:color w:val="000000"/>
                <w:sz w:val="22"/>
                <w:szCs w:val="22"/>
              </w:rPr>
              <w:t>8</w:t>
            </w:r>
            <w:r>
              <w:rPr>
                <w:rFonts w:ascii="Calibri" w:hAnsi="Calibri" w:cs="Calibri"/>
                <w:color w:val="000000"/>
                <w:sz w:val="22"/>
                <w:szCs w:val="22"/>
              </w:rPr>
              <w:t xml:space="preserve"> </w:t>
            </w:r>
          </w:p>
        </w:tc>
      </w:tr>
      <w:tr w:rsidR="00C9257F" w:rsidTr="00F120BA" w14:paraId="074572B8" w14:textId="77777777">
        <w:trPr>
          <w:jc w:val="center"/>
        </w:trPr>
        <w:tc>
          <w:tcPr>
            <w:tcW w:w="445" w:type="dxa"/>
          </w:tcPr>
          <w:p w:rsidRPr="00972A90" w:rsidR="00C9257F" w:rsidP="00C9257F" w:rsidRDefault="00594FCF" w14:paraId="1C0369CF" w14:textId="0423BEDA">
            <w:pPr>
              <w:rPr>
                <w:rFonts w:asciiTheme="minorHAnsi" w:hAnsiTheme="minorHAnsi" w:cstheme="minorHAnsi"/>
                <w:sz w:val="22"/>
                <w:szCs w:val="22"/>
              </w:rPr>
            </w:pPr>
            <w:r>
              <w:rPr>
                <w:rFonts w:asciiTheme="minorHAnsi" w:hAnsiTheme="minorHAnsi" w:cstheme="minorHAnsi"/>
                <w:sz w:val="22"/>
                <w:szCs w:val="22"/>
              </w:rPr>
              <w:t>10</w:t>
            </w:r>
          </w:p>
        </w:tc>
        <w:tc>
          <w:tcPr>
            <w:tcW w:w="2639" w:type="dxa"/>
            <w:vAlign w:val="bottom"/>
          </w:tcPr>
          <w:p w:rsidRPr="00972A90" w:rsidR="00C9257F" w:rsidP="00C9257F" w:rsidRDefault="00C9257F" w14:paraId="49FEDA87" w14:textId="7367F272">
            <w:pPr>
              <w:rPr>
                <w:rFonts w:asciiTheme="minorHAnsi" w:hAnsiTheme="minorHAnsi" w:cstheme="minorHAnsi"/>
                <w:sz w:val="22"/>
                <w:szCs w:val="22"/>
              </w:rPr>
            </w:pPr>
            <w:r w:rsidRPr="00972A90">
              <w:rPr>
                <w:rFonts w:asciiTheme="minorHAnsi" w:hAnsiTheme="minorHAnsi" w:cstheme="minorHAnsi"/>
                <w:color w:val="000000"/>
                <w:sz w:val="22"/>
                <w:szCs w:val="22"/>
              </w:rPr>
              <w:t>Correctional Facility Clinics</w:t>
            </w:r>
          </w:p>
        </w:tc>
        <w:tc>
          <w:tcPr>
            <w:tcW w:w="1600" w:type="dxa"/>
            <w:vAlign w:val="center"/>
          </w:tcPr>
          <w:p w:rsidRPr="00972A90" w:rsidR="00C9257F" w:rsidP="00972A90" w:rsidRDefault="00C9257F" w14:paraId="51124CF3" w14:textId="6DF74D18">
            <w:pPr>
              <w:jc w:val="center"/>
              <w:rPr>
                <w:rFonts w:asciiTheme="minorHAnsi" w:hAnsiTheme="minorHAnsi" w:cstheme="minorHAnsi"/>
                <w:sz w:val="22"/>
                <w:szCs w:val="22"/>
              </w:rPr>
            </w:pPr>
            <w:r w:rsidRPr="0015391B">
              <w:rPr>
                <w:rFonts w:asciiTheme="minorHAnsi" w:hAnsiTheme="minorHAnsi" w:cstheme="minorHAnsi"/>
                <w:sz w:val="22"/>
                <w:szCs w:val="22"/>
              </w:rPr>
              <w:t>1680</w:t>
            </w:r>
          </w:p>
        </w:tc>
        <w:tc>
          <w:tcPr>
            <w:tcW w:w="1261" w:type="dxa"/>
            <w:vAlign w:val="center"/>
          </w:tcPr>
          <w:p w:rsidRPr="00972A90" w:rsidR="00C9257F" w:rsidP="00972A90" w:rsidRDefault="00C9257F" w14:paraId="461EF34C" w14:textId="554B431A">
            <w:pPr>
              <w:jc w:val="center"/>
              <w:rPr>
                <w:rFonts w:asciiTheme="minorHAnsi" w:hAnsiTheme="minorHAnsi" w:cstheme="minorHAnsi"/>
                <w:sz w:val="22"/>
                <w:szCs w:val="22"/>
              </w:rPr>
            </w:pPr>
            <w:r>
              <w:rPr>
                <w:rFonts w:ascii="Calibri" w:hAnsi="Calibri" w:cs="Calibri"/>
                <w:color w:val="000000"/>
                <w:sz w:val="22"/>
                <w:szCs w:val="22"/>
              </w:rPr>
              <w:t>28%</w:t>
            </w:r>
          </w:p>
        </w:tc>
        <w:tc>
          <w:tcPr>
            <w:tcW w:w="1600" w:type="dxa"/>
            <w:vAlign w:val="center"/>
          </w:tcPr>
          <w:p w:rsidRPr="00972A90" w:rsidR="00C9257F" w:rsidP="00B240B6" w:rsidRDefault="00C9257F" w14:paraId="2C688F77" w14:textId="69EDCD9C">
            <w:pPr>
              <w:jc w:val="center"/>
              <w:rPr>
                <w:rFonts w:asciiTheme="minorHAnsi" w:hAnsiTheme="minorHAnsi" w:cstheme="minorHAnsi"/>
                <w:sz w:val="22"/>
                <w:szCs w:val="22"/>
              </w:rPr>
            </w:pPr>
            <w:r>
              <w:rPr>
                <w:rFonts w:asciiTheme="minorHAnsi" w:hAnsiTheme="minorHAnsi" w:cstheme="minorHAnsi"/>
                <w:sz w:val="22"/>
                <w:szCs w:val="22"/>
              </w:rPr>
              <w:t>470</w:t>
            </w:r>
          </w:p>
        </w:tc>
        <w:tc>
          <w:tcPr>
            <w:tcW w:w="1630" w:type="dxa"/>
            <w:vAlign w:val="center"/>
          </w:tcPr>
          <w:p w:rsidRPr="00972A90" w:rsidR="00C9257F" w:rsidP="00972A90" w:rsidRDefault="00C9257F" w14:paraId="42548E70" w14:textId="6ECBA430">
            <w:pPr>
              <w:jc w:val="center"/>
              <w:rPr>
                <w:rFonts w:asciiTheme="minorHAnsi" w:hAnsiTheme="minorHAnsi" w:cstheme="minorHAnsi"/>
                <w:sz w:val="22"/>
                <w:szCs w:val="22"/>
              </w:rPr>
            </w:pPr>
            <w:r>
              <w:rPr>
                <w:rFonts w:ascii="Calibri" w:hAnsi="Calibri" w:cs="Calibri"/>
                <w:color w:val="000000"/>
                <w:sz w:val="22"/>
                <w:szCs w:val="22"/>
              </w:rPr>
              <w:t>27.47</w:t>
            </w:r>
          </w:p>
        </w:tc>
        <w:tc>
          <w:tcPr>
            <w:tcW w:w="1440" w:type="dxa"/>
            <w:vAlign w:val="center"/>
          </w:tcPr>
          <w:p w:rsidRPr="00972A90" w:rsidR="00C9257F" w:rsidP="00972A90" w:rsidRDefault="00C9257F" w14:paraId="40E94018" w14:textId="4FEAE2AC">
            <w:pPr>
              <w:jc w:val="center"/>
              <w:rPr>
                <w:rFonts w:asciiTheme="minorHAnsi" w:hAnsiTheme="minorHAnsi" w:cstheme="minorHAnsi"/>
                <w:sz w:val="22"/>
                <w:szCs w:val="22"/>
              </w:rPr>
            </w:pPr>
            <w:r>
              <w:rPr>
                <w:rFonts w:asciiTheme="minorHAnsi" w:hAnsiTheme="minorHAnsi" w:cstheme="minorHAnsi"/>
                <w:sz w:val="22"/>
                <w:szCs w:val="22"/>
              </w:rPr>
              <w:t>12,921.89</w:t>
            </w:r>
          </w:p>
        </w:tc>
        <w:tc>
          <w:tcPr>
            <w:tcW w:w="990" w:type="dxa"/>
            <w:vAlign w:val="center"/>
          </w:tcPr>
          <w:p w:rsidRPr="00972A90" w:rsidR="00C9257F" w:rsidP="00972A90" w:rsidRDefault="00C9257F" w14:paraId="4F4CB7A7" w14:textId="267C40FC">
            <w:pPr>
              <w:jc w:val="center"/>
              <w:rPr>
                <w:rFonts w:asciiTheme="minorHAnsi" w:hAnsiTheme="minorHAnsi" w:cstheme="minorHAnsi"/>
                <w:sz w:val="22"/>
                <w:szCs w:val="22"/>
              </w:rPr>
            </w:pPr>
            <w:r w:rsidRPr="00773045">
              <w:rPr>
                <w:rFonts w:asciiTheme="minorHAnsi" w:hAnsiTheme="minorHAnsi" w:cstheme="minorHAnsi"/>
                <w:sz w:val="22"/>
                <w:szCs w:val="22"/>
              </w:rPr>
              <w:t>$59.20</w:t>
            </w:r>
          </w:p>
        </w:tc>
        <w:tc>
          <w:tcPr>
            <w:tcW w:w="1890" w:type="dxa"/>
            <w:vAlign w:val="center"/>
          </w:tcPr>
          <w:p w:rsidRPr="00972A90" w:rsidR="00C9257F" w:rsidP="000F757C" w:rsidRDefault="00C9257F" w14:paraId="4D2E60D4" w14:textId="3B20F164">
            <w:pPr>
              <w:jc w:val="center"/>
              <w:rPr>
                <w:rFonts w:asciiTheme="minorHAnsi" w:hAnsiTheme="minorHAnsi" w:cstheme="minorHAnsi"/>
                <w:sz w:val="22"/>
                <w:szCs w:val="22"/>
              </w:rPr>
            </w:pPr>
            <w:r>
              <w:rPr>
                <w:rFonts w:ascii="Calibri" w:hAnsi="Calibri" w:cs="Calibri"/>
                <w:color w:val="000000"/>
                <w:sz w:val="22"/>
                <w:szCs w:val="22"/>
              </w:rPr>
              <w:t>$764,975.</w:t>
            </w:r>
            <w:r w:rsidR="000F757C">
              <w:rPr>
                <w:rFonts w:ascii="Calibri" w:hAnsi="Calibri" w:cs="Calibri"/>
                <w:color w:val="000000"/>
                <w:sz w:val="22"/>
                <w:szCs w:val="22"/>
              </w:rPr>
              <w:t>77</w:t>
            </w:r>
            <w:r>
              <w:rPr>
                <w:rFonts w:ascii="Calibri" w:hAnsi="Calibri" w:cs="Calibri"/>
                <w:color w:val="000000"/>
                <w:sz w:val="22"/>
                <w:szCs w:val="22"/>
              </w:rPr>
              <w:t xml:space="preserve"> </w:t>
            </w:r>
          </w:p>
        </w:tc>
      </w:tr>
      <w:tr w:rsidR="00C9257F" w:rsidTr="00F120BA" w14:paraId="60BE6B5A" w14:textId="77777777">
        <w:trPr>
          <w:trHeight w:val="755"/>
          <w:jc w:val="center"/>
        </w:trPr>
        <w:tc>
          <w:tcPr>
            <w:tcW w:w="445" w:type="dxa"/>
          </w:tcPr>
          <w:p w:rsidRPr="00972A90" w:rsidR="00C9257F" w:rsidP="00C9257F" w:rsidRDefault="00C9257F" w14:paraId="54612E82" w14:textId="77777777">
            <w:pPr>
              <w:rPr>
                <w:rFonts w:asciiTheme="minorHAnsi" w:hAnsiTheme="minorHAnsi" w:cstheme="minorHAnsi"/>
                <w:sz w:val="22"/>
                <w:szCs w:val="22"/>
              </w:rPr>
            </w:pPr>
          </w:p>
        </w:tc>
        <w:tc>
          <w:tcPr>
            <w:tcW w:w="2639" w:type="dxa"/>
          </w:tcPr>
          <w:p w:rsidRPr="00972A90" w:rsidR="00C9257F" w:rsidP="00C9257F" w:rsidRDefault="00C9257F" w14:paraId="2F422451" w14:textId="783059C5">
            <w:pPr>
              <w:rPr>
                <w:rFonts w:asciiTheme="minorHAnsi" w:hAnsiTheme="minorHAnsi" w:cstheme="minorHAnsi"/>
                <w:b/>
                <w:sz w:val="22"/>
                <w:szCs w:val="22"/>
              </w:rPr>
            </w:pPr>
            <w:r w:rsidRPr="00972A90">
              <w:rPr>
                <w:rFonts w:asciiTheme="minorHAnsi" w:hAnsiTheme="minorHAnsi" w:cstheme="minorHAnsi"/>
                <w:b/>
                <w:sz w:val="22"/>
                <w:szCs w:val="22"/>
              </w:rPr>
              <w:t xml:space="preserve">Total </w:t>
            </w:r>
          </w:p>
        </w:tc>
        <w:tc>
          <w:tcPr>
            <w:tcW w:w="1600" w:type="dxa"/>
          </w:tcPr>
          <w:p w:rsidRPr="00972A90" w:rsidR="00C9257F" w:rsidP="00C9257F" w:rsidRDefault="00C9257F" w14:paraId="17781145" w14:textId="77777777">
            <w:pPr>
              <w:rPr>
                <w:rFonts w:asciiTheme="minorHAnsi" w:hAnsiTheme="minorHAnsi" w:cstheme="minorHAnsi"/>
                <w:sz w:val="22"/>
                <w:szCs w:val="22"/>
              </w:rPr>
            </w:pPr>
          </w:p>
        </w:tc>
        <w:tc>
          <w:tcPr>
            <w:tcW w:w="1261" w:type="dxa"/>
            <w:vAlign w:val="center"/>
          </w:tcPr>
          <w:p w:rsidRPr="00972A90" w:rsidR="00C9257F" w:rsidP="00972A90" w:rsidRDefault="00C9257F" w14:paraId="743B2F5F" w14:textId="77777777">
            <w:pPr>
              <w:jc w:val="center"/>
              <w:rPr>
                <w:rFonts w:asciiTheme="minorHAnsi" w:hAnsiTheme="minorHAnsi" w:cstheme="minorHAnsi"/>
                <w:sz w:val="22"/>
                <w:szCs w:val="22"/>
              </w:rPr>
            </w:pPr>
          </w:p>
        </w:tc>
        <w:tc>
          <w:tcPr>
            <w:tcW w:w="1600" w:type="dxa"/>
            <w:vAlign w:val="center"/>
          </w:tcPr>
          <w:p w:rsidRPr="00972A90" w:rsidR="00C9257F" w:rsidP="00F97A60" w:rsidRDefault="00D36EF8" w14:paraId="1D954F44" w14:textId="557C825E">
            <w:pPr>
              <w:jc w:val="center"/>
              <w:rPr>
                <w:rFonts w:asciiTheme="minorHAnsi" w:hAnsiTheme="minorHAnsi" w:cstheme="minorHAnsi"/>
                <w:b/>
                <w:sz w:val="22"/>
                <w:szCs w:val="22"/>
              </w:rPr>
            </w:pPr>
            <w:r>
              <w:rPr>
                <w:rFonts w:asciiTheme="minorHAnsi" w:hAnsiTheme="minorHAnsi" w:cstheme="minorHAnsi"/>
                <w:b/>
                <w:sz w:val="22"/>
                <w:szCs w:val="22"/>
              </w:rPr>
              <w:t>256,662</w:t>
            </w:r>
          </w:p>
        </w:tc>
        <w:tc>
          <w:tcPr>
            <w:tcW w:w="1630" w:type="dxa"/>
          </w:tcPr>
          <w:p w:rsidRPr="00972A90" w:rsidR="00C9257F" w:rsidP="00C9257F" w:rsidRDefault="00C9257F" w14:paraId="040EB202" w14:textId="77777777">
            <w:pPr>
              <w:rPr>
                <w:rFonts w:asciiTheme="minorHAnsi" w:hAnsiTheme="minorHAnsi" w:cstheme="minorHAnsi"/>
                <w:b/>
                <w:sz w:val="22"/>
                <w:szCs w:val="22"/>
              </w:rPr>
            </w:pPr>
          </w:p>
        </w:tc>
        <w:tc>
          <w:tcPr>
            <w:tcW w:w="1440" w:type="dxa"/>
            <w:vAlign w:val="center"/>
          </w:tcPr>
          <w:p w:rsidRPr="00972A90" w:rsidR="00C9257F" w:rsidP="003D1CCE" w:rsidRDefault="009A7BE2" w14:paraId="42CFA316" w14:textId="56CDEEA7">
            <w:pPr>
              <w:jc w:val="center"/>
              <w:rPr>
                <w:rFonts w:asciiTheme="minorHAnsi" w:hAnsiTheme="minorHAnsi" w:cstheme="minorHAnsi"/>
                <w:b/>
                <w:sz w:val="22"/>
                <w:szCs w:val="22"/>
              </w:rPr>
            </w:pPr>
            <w:r>
              <w:rPr>
                <w:rFonts w:asciiTheme="minorHAnsi" w:hAnsiTheme="minorHAnsi" w:cstheme="minorHAnsi"/>
                <w:b/>
                <w:sz w:val="22"/>
                <w:szCs w:val="22"/>
              </w:rPr>
              <w:t>5,151,446.6</w:t>
            </w:r>
          </w:p>
        </w:tc>
        <w:tc>
          <w:tcPr>
            <w:tcW w:w="990" w:type="dxa"/>
            <w:vAlign w:val="center"/>
          </w:tcPr>
          <w:p w:rsidRPr="00972A90" w:rsidR="00C9257F" w:rsidP="00972A90" w:rsidRDefault="00C9257F" w14:paraId="32B04AD9" w14:textId="77777777">
            <w:pPr>
              <w:jc w:val="center"/>
              <w:rPr>
                <w:rFonts w:asciiTheme="minorHAnsi" w:hAnsiTheme="minorHAnsi" w:cstheme="minorHAnsi"/>
                <w:b/>
                <w:sz w:val="22"/>
                <w:szCs w:val="22"/>
              </w:rPr>
            </w:pPr>
          </w:p>
        </w:tc>
        <w:tc>
          <w:tcPr>
            <w:tcW w:w="1890" w:type="dxa"/>
            <w:vAlign w:val="center"/>
          </w:tcPr>
          <w:p w:rsidRPr="00972A90" w:rsidR="00C9257F" w:rsidP="00F97A60" w:rsidRDefault="00C9257F" w14:paraId="30344817" w14:textId="10099284">
            <w:pPr>
              <w:jc w:val="center"/>
              <w:rPr>
                <w:rFonts w:asciiTheme="minorHAnsi" w:hAnsiTheme="minorHAnsi" w:cstheme="minorHAnsi"/>
                <w:b/>
                <w:sz w:val="22"/>
                <w:szCs w:val="22"/>
              </w:rPr>
            </w:pPr>
            <w:r w:rsidRPr="00972A90">
              <w:rPr>
                <w:rFonts w:ascii="Calibri" w:hAnsi="Calibri" w:cs="Calibri"/>
                <w:b/>
                <w:color w:val="000000"/>
                <w:sz w:val="22"/>
                <w:szCs w:val="22"/>
              </w:rPr>
              <w:t>$</w:t>
            </w:r>
            <w:r w:rsidR="00FF3242">
              <w:rPr>
                <w:rFonts w:ascii="Calibri" w:hAnsi="Calibri" w:cs="Calibri"/>
                <w:b/>
                <w:color w:val="000000"/>
                <w:sz w:val="22"/>
                <w:szCs w:val="22"/>
              </w:rPr>
              <w:t xml:space="preserve"> </w:t>
            </w:r>
            <w:r w:rsidR="00F97A60">
              <w:rPr>
                <w:rFonts w:ascii="Calibri" w:hAnsi="Calibri" w:cs="Calibri"/>
                <w:b/>
                <w:color w:val="000000"/>
                <w:sz w:val="22"/>
                <w:szCs w:val="22"/>
              </w:rPr>
              <w:t>304,965,639.27</w:t>
            </w:r>
          </w:p>
        </w:tc>
      </w:tr>
    </w:tbl>
    <w:p w:rsidR="007B387C" w:rsidP="00E149C3" w:rsidRDefault="007B387C" w14:paraId="2084E456" w14:textId="77777777">
      <w:pPr>
        <w:ind w:left="360"/>
      </w:pPr>
    </w:p>
    <w:p w:rsidR="007B387C" w:rsidP="00E149C3" w:rsidRDefault="007B387C" w14:paraId="79D949AC" w14:textId="77777777">
      <w:pPr>
        <w:ind w:left="360"/>
      </w:pPr>
    </w:p>
    <w:p w:rsidR="007B387C" w:rsidP="00E149C3" w:rsidRDefault="007B387C" w14:paraId="2D52893D" w14:textId="77777777">
      <w:pPr>
        <w:ind w:left="360"/>
      </w:pPr>
    </w:p>
    <w:p w:rsidR="007B387C" w:rsidP="00E149C3" w:rsidRDefault="007B387C" w14:paraId="7AD54B7B" w14:textId="77777777">
      <w:pPr>
        <w:ind w:left="360"/>
      </w:pPr>
    </w:p>
    <w:p w:rsidR="009801AE" w:rsidP="00C05411" w:rsidRDefault="009801AE" w14:paraId="7C407019" w14:textId="77777777">
      <w:pPr>
        <w:ind w:left="360"/>
        <w:sectPr w:rsidR="009801AE" w:rsidSect="003F2E8F">
          <w:pgSz w:w="15840" w:h="12240" w:orient="landscape"/>
          <w:pgMar w:top="1440" w:right="1440" w:bottom="1440" w:left="1440" w:header="720" w:footer="720" w:gutter="0"/>
          <w:cols w:space="720"/>
          <w:docGrid w:linePitch="360"/>
        </w:sectPr>
      </w:pPr>
    </w:p>
    <w:p w:rsidRPr="00443155" w:rsidR="00443155" w:rsidP="00443155" w:rsidRDefault="00443155" w14:paraId="3DECC0E9" w14:textId="59A3B383">
      <w:pPr>
        <w:pStyle w:val="Heading8"/>
        <w:ind w:firstLine="0"/>
        <w:rPr>
          <w:rFonts w:ascii="Times New Roman" w:hAnsi="Times New Roman"/>
          <w:i w:val="0"/>
        </w:rPr>
      </w:pPr>
      <w:r>
        <w:rPr>
          <w:rFonts w:ascii="Times New Roman" w:hAnsi="Times New Roman"/>
        </w:rPr>
        <w:t>Communicate Plan</w:t>
      </w:r>
      <w:r w:rsidRPr="00443155">
        <w:rPr>
          <w:rFonts w:ascii="Times New Roman" w:hAnsi="Times New Roman"/>
          <w:i w:val="0"/>
        </w:rPr>
        <w:t>:</w:t>
      </w:r>
    </w:p>
    <w:p w:rsidR="007B387C" w:rsidP="00C05411" w:rsidRDefault="007B387C" w14:paraId="110999DA" w14:textId="77777777">
      <w:pPr>
        <w:ind w:left="360"/>
      </w:pPr>
    </w:p>
    <w:p w:rsidRPr="00E149C3" w:rsidR="00E149C3" w:rsidP="00E149C3" w:rsidRDefault="007B387C" w14:paraId="3A87B3EB" w14:textId="5A468521">
      <w:pPr>
        <w:ind w:left="360"/>
      </w:pPr>
      <w:r>
        <w:t>In addition</w:t>
      </w:r>
      <w:r w:rsidR="00443155">
        <w:t xml:space="preserve"> to developing and maintain</w:t>
      </w:r>
      <w:r w:rsidR="00770034">
        <w:t>ing</w:t>
      </w:r>
      <w:r w:rsidR="00443155">
        <w:t xml:space="preserve"> their COVID-19 plans</w:t>
      </w:r>
      <w:r w:rsidR="00A61FBB">
        <w:t>,</w:t>
      </w:r>
      <w:r>
        <w:t xml:space="preserve"> </w:t>
      </w:r>
      <w:r w:rsidR="00253BAA">
        <w:t xml:space="preserve">general hospitals, other hospitals, nursing homes, and </w:t>
      </w:r>
      <w:r w:rsidR="0016615A">
        <w:t>long-term</w:t>
      </w:r>
      <w:r w:rsidR="00253BAA">
        <w:t xml:space="preserve"> care facilities will </w:t>
      </w:r>
      <w:r w:rsidR="002336B6">
        <w:t>have</w:t>
      </w:r>
      <w:r w:rsidR="00253BAA">
        <w:t xml:space="preserve"> to communicate </w:t>
      </w:r>
      <w:r w:rsidR="00443155">
        <w:t xml:space="preserve">the plan and any </w:t>
      </w:r>
      <w:r w:rsidR="00E2059F">
        <w:t>additional information</w:t>
      </w:r>
      <w:r w:rsidR="00443155">
        <w:t xml:space="preserve"> on an on-going basis </w:t>
      </w:r>
      <w:r w:rsidR="00A61FBB">
        <w:t>to</w:t>
      </w:r>
      <w:r w:rsidR="00253BAA">
        <w:t xml:space="preserve"> other employers (e.g., contractors, vendors) who have employees at the worksite</w:t>
      </w:r>
      <w:r w:rsidRPr="00E149C3" w:rsidR="006A7868">
        <w:t>.</w:t>
      </w:r>
      <w:r w:rsidR="006A7868">
        <w:t xml:space="preserve"> </w:t>
      </w:r>
      <w:r w:rsidRPr="00E149C3" w:rsidR="00E149C3">
        <w:t xml:space="preserve">OSHA estimates that </w:t>
      </w:r>
      <w:r w:rsidR="009801AE">
        <w:t>these healthcare</w:t>
      </w:r>
      <w:r w:rsidRPr="00E149C3" w:rsidR="00E149C3">
        <w:t xml:space="preserve"> facilities will spend 30 minutes one time after the promulgation of this ETS to communicate with contractors and others regarding </w:t>
      </w:r>
      <w:r w:rsidR="00443155">
        <w:t>the COVID-19 plan</w:t>
      </w:r>
      <w:r w:rsidR="009801AE">
        <w:t xml:space="preserve"> and</w:t>
      </w:r>
      <w:r w:rsidRPr="00E149C3" w:rsidR="00E149C3">
        <w:t xml:space="preserve">, on average, 15 minutes </w:t>
      </w:r>
      <w:r w:rsidR="00502E70">
        <w:t xml:space="preserve">(0.25 hours) </w:t>
      </w:r>
      <w:r w:rsidRPr="00E149C3" w:rsidR="00E149C3">
        <w:t xml:space="preserve">every week engaging in on-going communication with </w:t>
      </w:r>
      <w:r w:rsidR="00443155">
        <w:t>other employers</w:t>
      </w:r>
      <w:r w:rsidRPr="00E149C3" w:rsidR="00E149C3">
        <w:t xml:space="preserve">. </w:t>
      </w:r>
      <w:r w:rsidR="00443155">
        <w:t>T</w:t>
      </w:r>
      <w:r w:rsidR="00502E70">
        <w:t>he</w:t>
      </w:r>
      <w:r w:rsidR="00443155">
        <w:t>se establishments will therefo</w:t>
      </w:r>
      <w:r w:rsidRPr="00770034" w:rsidR="00443155">
        <w:t>re</w:t>
      </w:r>
      <w:r w:rsidRPr="00770034" w:rsidR="00502E70">
        <w:t xml:space="preserve"> </w:t>
      </w:r>
      <w:r w:rsidRPr="00770034" w:rsidR="00EF634F">
        <w:t>incur</w:t>
      </w:r>
      <w:r w:rsidRPr="00770034" w:rsidR="00443155">
        <w:t xml:space="preserve"> an addition</w:t>
      </w:r>
      <w:r w:rsidR="00770034">
        <w:t>al</w:t>
      </w:r>
      <w:r w:rsidRPr="00770034" w:rsidR="00443155">
        <w:t xml:space="preserve"> </w:t>
      </w:r>
      <w:r w:rsidRPr="00770034" w:rsidR="00874E81">
        <w:t>6.5</w:t>
      </w:r>
      <w:r w:rsidRPr="00770034" w:rsidR="00443155">
        <w:t xml:space="preserve"> hours</w:t>
      </w:r>
      <w:r w:rsidRPr="00770034" w:rsidR="00EF634F">
        <w:rPr>
          <w:rStyle w:val="FootnoteReference"/>
        </w:rPr>
        <w:footnoteReference w:id="5"/>
      </w:r>
      <w:r w:rsidRPr="00770034" w:rsidR="00502E70">
        <w:t xml:space="preserve"> (0.25 hours weekly communication x 26 weeks)</w:t>
      </w:r>
      <w:r w:rsidRPr="00770034" w:rsidR="00AA63E2">
        <w:t xml:space="preserve"> </w:t>
      </w:r>
      <w:r w:rsidRPr="00770034" w:rsidR="00EF634F">
        <w:t>for communicating th</w:t>
      </w:r>
      <w:r w:rsidR="00EF634F">
        <w:t xml:space="preserve">e </w:t>
      </w:r>
      <w:r w:rsidR="00443155">
        <w:t xml:space="preserve">COVID-19 </w:t>
      </w:r>
      <w:r w:rsidR="00EF634F">
        <w:t>plan on an on-going basis</w:t>
      </w:r>
      <w:r w:rsidR="00502E70">
        <w:t xml:space="preserve">. </w:t>
      </w:r>
      <w:r w:rsidRPr="00E149C3" w:rsidR="00E149C3">
        <w:t>Other settings are estimated to only rarely use contractors, and so their time burden is set to zero for both initial and on-going communication.</w:t>
      </w:r>
      <w:r w:rsidR="00E149C3">
        <w:t xml:space="preserve"> </w:t>
      </w:r>
    </w:p>
    <w:p w:rsidR="00E149C3" w:rsidP="00C05411" w:rsidRDefault="00E149C3" w14:paraId="5A3BD24D" w14:textId="77777777">
      <w:pPr>
        <w:ind w:left="360"/>
      </w:pPr>
    </w:p>
    <w:p w:rsidR="0041073D" w:rsidP="0041073D" w:rsidRDefault="0041073D" w14:paraId="672D8E66" w14:textId="419DC74A">
      <w:pPr>
        <w:ind w:firstLine="360"/>
        <w:rPr>
          <w:b/>
        </w:rPr>
      </w:pPr>
      <w:r w:rsidRPr="00544A1E">
        <w:rPr>
          <w:b/>
        </w:rPr>
        <w:t xml:space="preserve">Table </w:t>
      </w:r>
      <w:r>
        <w:rPr>
          <w:b/>
        </w:rPr>
        <w:t>3</w:t>
      </w:r>
      <w:r w:rsidRPr="00544A1E">
        <w:rPr>
          <w:b/>
        </w:rPr>
        <w:t xml:space="preserve"> – Burden Hours and Cost </w:t>
      </w:r>
      <w:r>
        <w:rPr>
          <w:b/>
        </w:rPr>
        <w:t>of</w:t>
      </w:r>
      <w:r w:rsidRPr="00544A1E">
        <w:rPr>
          <w:b/>
        </w:rPr>
        <w:t xml:space="preserve"> </w:t>
      </w:r>
      <w:r>
        <w:rPr>
          <w:b/>
        </w:rPr>
        <w:t xml:space="preserve">Communicating the </w:t>
      </w:r>
      <w:r w:rsidRPr="00544A1E">
        <w:rPr>
          <w:b/>
        </w:rPr>
        <w:t>COVID-19 Plan</w:t>
      </w:r>
      <w:r>
        <w:rPr>
          <w:b/>
        </w:rPr>
        <w:t xml:space="preserve"> to Host Employers</w:t>
      </w:r>
    </w:p>
    <w:p w:rsidR="00F67AFF" w:rsidP="00C05411" w:rsidRDefault="00F67AFF" w14:paraId="4BE6ABD7" w14:textId="02B6DA33">
      <w:pPr>
        <w:ind w:left="360"/>
      </w:pPr>
    </w:p>
    <w:tbl>
      <w:tblPr>
        <w:tblStyle w:val="TableGrid"/>
        <w:tblW w:w="11245" w:type="dxa"/>
        <w:tblLayout w:type="fixed"/>
        <w:tblLook w:val="04A0" w:firstRow="1" w:lastRow="0" w:firstColumn="1" w:lastColumn="0" w:noHBand="0" w:noVBand="1"/>
      </w:tblPr>
      <w:tblGrid>
        <w:gridCol w:w="265"/>
        <w:gridCol w:w="1620"/>
        <w:gridCol w:w="1530"/>
        <w:gridCol w:w="1170"/>
        <w:gridCol w:w="1530"/>
        <w:gridCol w:w="1440"/>
        <w:gridCol w:w="1170"/>
        <w:gridCol w:w="990"/>
        <w:gridCol w:w="1530"/>
      </w:tblGrid>
      <w:tr w:rsidRPr="00CF243A" w:rsidR="003F2E8F" w:rsidTr="00CE7C8C" w14:paraId="7435B542" w14:textId="77777777">
        <w:trPr>
          <w:tblHeader/>
        </w:trPr>
        <w:tc>
          <w:tcPr>
            <w:tcW w:w="265" w:type="dxa"/>
            <w:shd w:val="clear" w:color="auto" w:fill="B8CCE4" w:themeFill="accent1" w:themeFillTint="66"/>
          </w:tcPr>
          <w:p w:rsidRPr="00CF243A" w:rsidR="00F67AFF" w:rsidP="00640CA6" w:rsidRDefault="00F67AFF" w14:paraId="71F61EA2" w14:textId="77777777">
            <w:pPr>
              <w:rPr>
                <w:rFonts w:asciiTheme="minorHAnsi" w:hAnsiTheme="minorHAnsi" w:cstheme="minorHAnsi"/>
                <w:sz w:val="22"/>
                <w:szCs w:val="22"/>
              </w:rPr>
            </w:pPr>
          </w:p>
        </w:tc>
        <w:tc>
          <w:tcPr>
            <w:tcW w:w="1620" w:type="dxa"/>
            <w:shd w:val="clear" w:color="auto" w:fill="B8CCE4" w:themeFill="accent1" w:themeFillTint="66"/>
          </w:tcPr>
          <w:p w:rsidRPr="00CE7C8C" w:rsidR="00F67AFF" w:rsidP="00640CA6" w:rsidRDefault="00F67AFF" w14:paraId="0A022950" w14:textId="77777777">
            <w:pPr>
              <w:rPr>
                <w:rFonts w:asciiTheme="minorHAnsi" w:hAnsiTheme="minorHAnsi" w:cstheme="minorHAnsi"/>
                <w:b/>
                <w:sz w:val="20"/>
                <w:szCs w:val="20"/>
              </w:rPr>
            </w:pPr>
            <w:r w:rsidRPr="00CE7C8C">
              <w:rPr>
                <w:rFonts w:asciiTheme="minorHAnsi" w:hAnsiTheme="minorHAnsi" w:cstheme="minorHAnsi"/>
                <w:b/>
                <w:sz w:val="20"/>
                <w:szCs w:val="20"/>
              </w:rPr>
              <w:t>Establishment</w:t>
            </w:r>
          </w:p>
        </w:tc>
        <w:tc>
          <w:tcPr>
            <w:tcW w:w="1530" w:type="dxa"/>
            <w:shd w:val="clear" w:color="auto" w:fill="B8CCE4" w:themeFill="accent1" w:themeFillTint="66"/>
          </w:tcPr>
          <w:p w:rsidRPr="00CE7C8C" w:rsidR="00F67AFF" w:rsidP="00640CA6" w:rsidRDefault="00F67AFF" w14:paraId="0FF78A4D" w14:textId="77777777">
            <w:pPr>
              <w:rPr>
                <w:rFonts w:asciiTheme="minorHAnsi" w:hAnsiTheme="minorHAnsi" w:cstheme="minorHAnsi"/>
                <w:sz w:val="20"/>
                <w:szCs w:val="20"/>
              </w:rPr>
            </w:pPr>
            <w:r w:rsidRPr="00CE7C8C">
              <w:rPr>
                <w:rFonts w:eastAsia="Times New Roman" w:asciiTheme="minorHAnsi" w:hAnsiTheme="minorHAnsi" w:cstheme="minorHAnsi"/>
                <w:b/>
                <w:bCs/>
                <w:iCs/>
                <w:color w:val="000000"/>
                <w:sz w:val="20"/>
                <w:szCs w:val="20"/>
                <w:lang w:eastAsia="en-US"/>
              </w:rPr>
              <w:t>Number of Establishments</w:t>
            </w:r>
          </w:p>
        </w:tc>
        <w:tc>
          <w:tcPr>
            <w:tcW w:w="1170" w:type="dxa"/>
            <w:shd w:val="clear" w:color="auto" w:fill="B8CCE4" w:themeFill="accent1" w:themeFillTint="66"/>
          </w:tcPr>
          <w:p w:rsidRPr="00CE7C8C" w:rsidR="00F67AFF" w:rsidP="00640CA6" w:rsidRDefault="00F67AFF" w14:paraId="26817435" w14:textId="77777777">
            <w:pPr>
              <w:rPr>
                <w:rFonts w:asciiTheme="minorHAnsi" w:hAnsiTheme="minorHAnsi" w:cstheme="minorHAnsi"/>
                <w:sz w:val="20"/>
                <w:szCs w:val="20"/>
              </w:rPr>
            </w:pPr>
            <w:r w:rsidRPr="00CE7C8C">
              <w:rPr>
                <w:rFonts w:eastAsia="Times New Roman" w:asciiTheme="minorHAnsi" w:hAnsiTheme="minorHAnsi" w:cstheme="minorHAnsi"/>
                <w:b/>
                <w:bCs/>
                <w:iCs/>
                <w:color w:val="000000"/>
                <w:sz w:val="20"/>
                <w:szCs w:val="20"/>
                <w:lang w:eastAsia="en-US"/>
              </w:rPr>
              <w:t>Non-compliance Rate</w:t>
            </w:r>
          </w:p>
        </w:tc>
        <w:tc>
          <w:tcPr>
            <w:tcW w:w="1530" w:type="dxa"/>
            <w:shd w:val="clear" w:color="auto" w:fill="B8CCE4" w:themeFill="accent1" w:themeFillTint="66"/>
          </w:tcPr>
          <w:p w:rsidRPr="00CE7C8C" w:rsidR="00F67AFF" w:rsidP="00640CA6" w:rsidRDefault="00F67AFF" w14:paraId="4F53CCA0" w14:textId="77777777">
            <w:pPr>
              <w:rPr>
                <w:rFonts w:asciiTheme="minorHAnsi" w:hAnsiTheme="minorHAnsi" w:cstheme="minorHAnsi"/>
                <w:sz w:val="20"/>
                <w:szCs w:val="20"/>
              </w:rPr>
            </w:pPr>
            <w:r w:rsidRPr="00CE7C8C">
              <w:rPr>
                <w:rFonts w:eastAsia="Times New Roman" w:asciiTheme="minorHAnsi" w:hAnsiTheme="minorHAnsi" w:cstheme="minorHAnsi"/>
                <w:b/>
                <w:bCs/>
                <w:iCs/>
                <w:color w:val="000000"/>
                <w:sz w:val="20"/>
                <w:szCs w:val="20"/>
                <w:lang w:eastAsia="en-US"/>
              </w:rPr>
              <w:t>Total Establishments</w:t>
            </w:r>
          </w:p>
        </w:tc>
        <w:tc>
          <w:tcPr>
            <w:tcW w:w="1440" w:type="dxa"/>
            <w:shd w:val="clear" w:color="auto" w:fill="B8CCE4" w:themeFill="accent1" w:themeFillTint="66"/>
          </w:tcPr>
          <w:p w:rsidRPr="00CE7C8C" w:rsidR="00F67AFF" w:rsidP="00640CA6" w:rsidRDefault="00F67AFF" w14:paraId="5CDDF8E1" w14:textId="77777777">
            <w:pPr>
              <w:rPr>
                <w:rFonts w:asciiTheme="minorHAnsi" w:hAnsiTheme="minorHAnsi" w:cstheme="minorHAnsi"/>
                <w:sz w:val="20"/>
                <w:szCs w:val="20"/>
              </w:rPr>
            </w:pPr>
            <w:r w:rsidRPr="00CE7C8C">
              <w:rPr>
                <w:rFonts w:eastAsia="Times New Roman" w:asciiTheme="minorHAnsi" w:hAnsiTheme="minorHAnsi" w:cstheme="minorHAnsi"/>
                <w:b/>
                <w:bCs/>
                <w:iCs/>
                <w:color w:val="000000"/>
                <w:sz w:val="20"/>
                <w:szCs w:val="20"/>
                <w:lang w:eastAsia="en-US"/>
              </w:rPr>
              <w:t>Time per Establishment (Hrs)</w:t>
            </w:r>
          </w:p>
        </w:tc>
        <w:tc>
          <w:tcPr>
            <w:tcW w:w="1170" w:type="dxa"/>
            <w:shd w:val="clear" w:color="auto" w:fill="B8CCE4" w:themeFill="accent1" w:themeFillTint="66"/>
          </w:tcPr>
          <w:p w:rsidRPr="00CE7C8C" w:rsidR="00F67AFF" w:rsidP="00640CA6" w:rsidRDefault="00F67AFF" w14:paraId="4AA1B903" w14:textId="77777777">
            <w:pPr>
              <w:rPr>
                <w:rFonts w:asciiTheme="minorHAnsi" w:hAnsiTheme="minorHAnsi" w:cstheme="minorHAnsi"/>
                <w:sz w:val="20"/>
                <w:szCs w:val="20"/>
              </w:rPr>
            </w:pPr>
            <w:r w:rsidRPr="00CE7C8C">
              <w:rPr>
                <w:rFonts w:eastAsia="Times New Roman" w:asciiTheme="minorHAnsi" w:hAnsiTheme="minorHAnsi" w:cstheme="minorHAnsi"/>
                <w:b/>
                <w:bCs/>
                <w:iCs/>
                <w:color w:val="000000"/>
                <w:sz w:val="20"/>
                <w:szCs w:val="20"/>
                <w:lang w:eastAsia="en-US"/>
              </w:rPr>
              <w:t>Burden Hours</w:t>
            </w:r>
          </w:p>
        </w:tc>
        <w:tc>
          <w:tcPr>
            <w:tcW w:w="990" w:type="dxa"/>
            <w:shd w:val="clear" w:color="auto" w:fill="B8CCE4" w:themeFill="accent1" w:themeFillTint="66"/>
          </w:tcPr>
          <w:p w:rsidRPr="00CE7C8C" w:rsidR="00F67AFF" w:rsidP="00640CA6" w:rsidRDefault="00F67AFF" w14:paraId="394389CC" w14:textId="77777777">
            <w:pPr>
              <w:rPr>
                <w:rFonts w:asciiTheme="minorHAnsi" w:hAnsiTheme="minorHAnsi" w:cstheme="minorHAnsi"/>
                <w:sz w:val="20"/>
                <w:szCs w:val="20"/>
              </w:rPr>
            </w:pPr>
            <w:r w:rsidRPr="00CE7C8C">
              <w:rPr>
                <w:rFonts w:eastAsia="Times New Roman" w:asciiTheme="minorHAnsi" w:hAnsiTheme="minorHAnsi" w:cstheme="minorHAnsi"/>
                <w:b/>
                <w:bCs/>
                <w:iCs/>
                <w:color w:val="000000"/>
                <w:sz w:val="20"/>
                <w:szCs w:val="20"/>
                <w:lang w:eastAsia="en-US"/>
              </w:rPr>
              <w:t>Loaded Hourly Wage</w:t>
            </w:r>
          </w:p>
        </w:tc>
        <w:tc>
          <w:tcPr>
            <w:tcW w:w="1530" w:type="dxa"/>
            <w:shd w:val="clear" w:color="auto" w:fill="B8CCE4" w:themeFill="accent1" w:themeFillTint="66"/>
          </w:tcPr>
          <w:p w:rsidRPr="00CE7C8C" w:rsidR="00F67AFF" w:rsidP="00640CA6" w:rsidRDefault="00F67AFF" w14:paraId="6F0A2B8D" w14:textId="77777777">
            <w:pPr>
              <w:rPr>
                <w:rFonts w:asciiTheme="minorHAnsi" w:hAnsiTheme="minorHAnsi" w:cstheme="minorHAnsi"/>
                <w:sz w:val="20"/>
                <w:szCs w:val="20"/>
              </w:rPr>
            </w:pPr>
            <w:r w:rsidRPr="00CE7C8C">
              <w:rPr>
                <w:rFonts w:eastAsia="Times New Roman" w:asciiTheme="minorHAnsi" w:hAnsiTheme="minorHAnsi" w:cstheme="minorHAnsi"/>
                <w:b/>
                <w:bCs/>
                <w:iCs/>
                <w:color w:val="000000"/>
                <w:sz w:val="20"/>
                <w:szCs w:val="20"/>
                <w:lang w:eastAsia="en-US"/>
              </w:rPr>
              <w:t>Cost</w:t>
            </w:r>
          </w:p>
        </w:tc>
      </w:tr>
      <w:tr w:rsidRPr="00CF243A" w:rsidR="003F2E8F" w:rsidTr="00CE7C8C" w14:paraId="23CD3329" w14:textId="77777777">
        <w:tc>
          <w:tcPr>
            <w:tcW w:w="265" w:type="dxa"/>
          </w:tcPr>
          <w:p w:rsidRPr="00CF243A" w:rsidR="00F67AFF" w:rsidP="00640CA6" w:rsidRDefault="00F67AFF" w14:paraId="4B779AB0" w14:textId="77777777">
            <w:pPr>
              <w:rPr>
                <w:rFonts w:asciiTheme="minorHAnsi" w:hAnsiTheme="minorHAnsi" w:cstheme="minorHAnsi"/>
                <w:sz w:val="22"/>
                <w:szCs w:val="22"/>
              </w:rPr>
            </w:pPr>
            <w:r w:rsidRPr="00CF243A">
              <w:rPr>
                <w:rFonts w:asciiTheme="minorHAnsi" w:hAnsiTheme="minorHAnsi" w:cstheme="minorHAnsi"/>
                <w:sz w:val="22"/>
                <w:szCs w:val="22"/>
              </w:rPr>
              <w:t>1</w:t>
            </w:r>
          </w:p>
        </w:tc>
        <w:tc>
          <w:tcPr>
            <w:tcW w:w="1620" w:type="dxa"/>
            <w:vAlign w:val="bottom"/>
          </w:tcPr>
          <w:p w:rsidRPr="00CF243A" w:rsidR="00F67AFF" w:rsidP="00640CA6" w:rsidRDefault="00F67AFF" w14:paraId="46763990" w14:textId="77777777">
            <w:pPr>
              <w:rPr>
                <w:rFonts w:asciiTheme="minorHAnsi" w:hAnsiTheme="minorHAnsi" w:cstheme="minorHAnsi"/>
                <w:sz w:val="22"/>
                <w:szCs w:val="22"/>
              </w:rPr>
            </w:pPr>
            <w:r w:rsidRPr="00CF243A">
              <w:rPr>
                <w:rFonts w:asciiTheme="minorHAnsi" w:hAnsiTheme="minorHAnsi" w:cstheme="minorHAnsi"/>
                <w:color w:val="000000"/>
                <w:sz w:val="22"/>
                <w:szCs w:val="22"/>
              </w:rPr>
              <w:t>General Hospitals</w:t>
            </w:r>
          </w:p>
        </w:tc>
        <w:tc>
          <w:tcPr>
            <w:tcW w:w="1530" w:type="dxa"/>
            <w:vAlign w:val="center"/>
          </w:tcPr>
          <w:p w:rsidRPr="00CF243A" w:rsidR="00F67AFF" w:rsidP="00520C25" w:rsidRDefault="00F67AFF" w14:paraId="408B2B2B" w14:textId="1CC4F508">
            <w:pPr>
              <w:jc w:val="center"/>
              <w:rPr>
                <w:rFonts w:asciiTheme="minorHAnsi" w:hAnsiTheme="minorHAnsi" w:cstheme="minorHAnsi"/>
                <w:sz w:val="22"/>
                <w:szCs w:val="22"/>
              </w:rPr>
            </w:pPr>
            <w:r w:rsidRPr="00CF243A">
              <w:rPr>
                <w:rFonts w:asciiTheme="minorHAnsi" w:hAnsiTheme="minorHAnsi" w:cstheme="minorHAnsi"/>
                <w:sz w:val="22"/>
                <w:szCs w:val="22"/>
              </w:rPr>
              <w:t>5,281</w:t>
            </w:r>
          </w:p>
        </w:tc>
        <w:tc>
          <w:tcPr>
            <w:tcW w:w="1170" w:type="dxa"/>
            <w:vAlign w:val="center"/>
          </w:tcPr>
          <w:p w:rsidRPr="00CF243A" w:rsidR="00F67AFF" w:rsidP="00AB1E6C" w:rsidRDefault="00F67AFF" w14:paraId="3603F301" w14:textId="77777777">
            <w:pPr>
              <w:jc w:val="center"/>
              <w:rPr>
                <w:rFonts w:asciiTheme="minorHAnsi" w:hAnsiTheme="minorHAnsi" w:cstheme="minorHAnsi"/>
                <w:sz w:val="22"/>
                <w:szCs w:val="22"/>
              </w:rPr>
            </w:pPr>
            <w:r>
              <w:rPr>
                <w:rFonts w:ascii="Calibri" w:hAnsi="Calibri" w:cs="Calibri"/>
                <w:color w:val="000000"/>
                <w:sz w:val="22"/>
                <w:szCs w:val="22"/>
              </w:rPr>
              <w:t>6%</w:t>
            </w:r>
          </w:p>
        </w:tc>
        <w:tc>
          <w:tcPr>
            <w:tcW w:w="1530" w:type="dxa"/>
            <w:vAlign w:val="center"/>
          </w:tcPr>
          <w:p w:rsidRPr="00CF243A" w:rsidR="00F67AFF" w:rsidP="009B63D2" w:rsidRDefault="00F67AFF" w14:paraId="508E33CC" w14:textId="4AF900C8">
            <w:pPr>
              <w:jc w:val="center"/>
              <w:rPr>
                <w:rFonts w:asciiTheme="minorHAnsi" w:hAnsiTheme="minorHAnsi" w:cstheme="minorHAnsi"/>
                <w:sz w:val="22"/>
                <w:szCs w:val="22"/>
              </w:rPr>
            </w:pPr>
            <w:r>
              <w:rPr>
                <w:rFonts w:asciiTheme="minorHAnsi" w:hAnsiTheme="minorHAnsi" w:cstheme="minorHAnsi"/>
                <w:sz w:val="22"/>
                <w:szCs w:val="22"/>
              </w:rPr>
              <w:t>31</w:t>
            </w:r>
            <w:r w:rsidR="009B63D2">
              <w:rPr>
                <w:rFonts w:asciiTheme="minorHAnsi" w:hAnsiTheme="minorHAnsi" w:cstheme="minorHAnsi"/>
                <w:sz w:val="22"/>
                <w:szCs w:val="22"/>
              </w:rPr>
              <w:t>7</w:t>
            </w:r>
          </w:p>
        </w:tc>
        <w:tc>
          <w:tcPr>
            <w:tcW w:w="1440" w:type="dxa"/>
            <w:vAlign w:val="center"/>
          </w:tcPr>
          <w:p w:rsidRPr="00CF243A" w:rsidR="00F67AFF" w:rsidP="003340D7" w:rsidRDefault="002E2FE6" w14:paraId="7A65E90E" w14:textId="3B0CCC73">
            <w:pPr>
              <w:jc w:val="center"/>
              <w:rPr>
                <w:rFonts w:asciiTheme="minorHAnsi" w:hAnsiTheme="minorHAnsi" w:cstheme="minorHAnsi"/>
                <w:sz w:val="22"/>
                <w:szCs w:val="22"/>
              </w:rPr>
            </w:pPr>
            <w:r>
              <w:rPr>
                <w:rFonts w:asciiTheme="minorHAnsi" w:hAnsiTheme="minorHAnsi" w:cstheme="minorHAnsi"/>
                <w:sz w:val="22"/>
                <w:szCs w:val="22"/>
              </w:rPr>
              <w:t>6.5</w:t>
            </w:r>
          </w:p>
        </w:tc>
        <w:tc>
          <w:tcPr>
            <w:tcW w:w="1170" w:type="dxa"/>
            <w:vAlign w:val="center"/>
          </w:tcPr>
          <w:p w:rsidRPr="00CF243A" w:rsidR="00F67AFF" w:rsidP="001D0186" w:rsidRDefault="00337744" w14:paraId="32AAB705" w14:textId="6B9CAB3A">
            <w:pPr>
              <w:jc w:val="center"/>
              <w:rPr>
                <w:rFonts w:asciiTheme="minorHAnsi" w:hAnsiTheme="minorHAnsi" w:cstheme="minorHAnsi"/>
                <w:sz w:val="22"/>
                <w:szCs w:val="22"/>
              </w:rPr>
            </w:pPr>
            <w:r>
              <w:rPr>
                <w:rFonts w:asciiTheme="minorHAnsi" w:hAnsiTheme="minorHAnsi" w:cstheme="minorHAnsi"/>
                <w:sz w:val="22"/>
                <w:szCs w:val="22"/>
              </w:rPr>
              <w:t>2,059.66</w:t>
            </w:r>
          </w:p>
        </w:tc>
        <w:tc>
          <w:tcPr>
            <w:tcW w:w="990" w:type="dxa"/>
            <w:vAlign w:val="center"/>
          </w:tcPr>
          <w:p w:rsidRPr="00CF243A" w:rsidR="00F67AFF" w:rsidP="00187B33" w:rsidRDefault="00F67AFF" w14:paraId="5A3C1B3F" w14:textId="77777777">
            <w:pPr>
              <w:jc w:val="center"/>
              <w:rPr>
                <w:rFonts w:asciiTheme="minorHAnsi" w:hAnsiTheme="minorHAnsi" w:cstheme="minorHAnsi"/>
                <w:sz w:val="22"/>
                <w:szCs w:val="22"/>
              </w:rPr>
            </w:pPr>
            <w:r w:rsidRPr="00773045">
              <w:rPr>
                <w:rFonts w:asciiTheme="minorHAnsi" w:hAnsiTheme="minorHAnsi" w:cstheme="minorHAnsi"/>
                <w:sz w:val="22"/>
                <w:szCs w:val="22"/>
              </w:rPr>
              <w:t>$59.20</w:t>
            </w:r>
          </w:p>
        </w:tc>
        <w:tc>
          <w:tcPr>
            <w:tcW w:w="1530" w:type="dxa"/>
            <w:vAlign w:val="center"/>
          </w:tcPr>
          <w:p w:rsidRPr="00CF243A" w:rsidR="00F67AFF" w:rsidP="00187B33" w:rsidRDefault="00AA63E2" w14:paraId="4EEE3752" w14:textId="6D4E1E0A">
            <w:pPr>
              <w:jc w:val="center"/>
              <w:rPr>
                <w:rFonts w:asciiTheme="minorHAnsi" w:hAnsiTheme="minorHAnsi" w:cstheme="minorHAnsi"/>
                <w:sz w:val="22"/>
                <w:szCs w:val="22"/>
              </w:rPr>
            </w:pPr>
            <w:r>
              <w:rPr>
                <w:rFonts w:asciiTheme="minorHAnsi" w:hAnsiTheme="minorHAnsi" w:cstheme="minorHAnsi"/>
                <w:sz w:val="22"/>
                <w:szCs w:val="22"/>
              </w:rPr>
              <w:t>$</w:t>
            </w:r>
            <w:r w:rsidR="00874E81">
              <w:rPr>
                <w:rFonts w:asciiTheme="minorHAnsi" w:hAnsiTheme="minorHAnsi" w:cstheme="minorHAnsi"/>
                <w:sz w:val="22"/>
                <w:szCs w:val="22"/>
              </w:rPr>
              <w:t>121,931.87</w:t>
            </w:r>
          </w:p>
        </w:tc>
      </w:tr>
      <w:tr w:rsidRPr="00CF243A" w:rsidR="003F2E8F" w:rsidTr="00CE7C8C" w14:paraId="7B64F18D" w14:textId="77777777">
        <w:tc>
          <w:tcPr>
            <w:tcW w:w="265" w:type="dxa"/>
          </w:tcPr>
          <w:p w:rsidRPr="00CF243A" w:rsidR="00F67AFF" w:rsidP="00640CA6" w:rsidRDefault="00F67AFF" w14:paraId="123074BA" w14:textId="77777777">
            <w:pPr>
              <w:rPr>
                <w:rFonts w:asciiTheme="minorHAnsi" w:hAnsiTheme="minorHAnsi" w:cstheme="minorHAnsi"/>
                <w:sz w:val="22"/>
                <w:szCs w:val="22"/>
              </w:rPr>
            </w:pPr>
            <w:r w:rsidRPr="00CF243A">
              <w:rPr>
                <w:rFonts w:asciiTheme="minorHAnsi" w:hAnsiTheme="minorHAnsi" w:cstheme="minorHAnsi"/>
                <w:sz w:val="22"/>
                <w:szCs w:val="22"/>
              </w:rPr>
              <w:t>2</w:t>
            </w:r>
          </w:p>
        </w:tc>
        <w:tc>
          <w:tcPr>
            <w:tcW w:w="1620" w:type="dxa"/>
            <w:vAlign w:val="bottom"/>
          </w:tcPr>
          <w:p w:rsidRPr="00CF243A" w:rsidR="00F67AFF" w:rsidP="00640CA6" w:rsidRDefault="00F67AFF" w14:paraId="67FACC53" w14:textId="77777777">
            <w:pPr>
              <w:rPr>
                <w:rFonts w:asciiTheme="minorHAnsi" w:hAnsiTheme="minorHAnsi" w:cstheme="minorHAnsi"/>
                <w:sz w:val="22"/>
                <w:szCs w:val="22"/>
              </w:rPr>
            </w:pPr>
            <w:r w:rsidRPr="00CF243A">
              <w:rPr>
                <w:rFonts w:asciiTheme="minorHAnsi" w:hAnsiTheme="minorHAnsi" w:cstheme="minorHAnsi"/>
                <w:color w:val="000000"/>
                <w:sz w:val="22"/>
                <w:szCs w:val="22"/>
              </w:rPr>
              <w:t>Other Hospitals</w:t>
            </w:r>
          </w:p>
        </w:tc>
        <w:tc>
          <w:tcPr>
            <w:tcW w:w="1530" w:type="dxa"/>
            <w:vAlign w:val="center"/>
          </w:tcPr>
          <w:p w:rsidRPr="00CF243A" w:rsidR="00F67AFF" w:rsidP="00520C25" w:rsidRDefault="00F67AFF" w14:paraId="1B7D744E" w14:textId="4D9FE06E">
            <w:pPr>
              <w:jc w:val="center"/>
              <w:rPr>
                <w:rFonts w:asciiTheme="minorHAnsi" w:hAnsiTheme="minorHAnsi" w:cstheme="minorHAnsi"/>
                <w:sz w:val="22"/>
                <w:szCs w:val="22"/>
              </w:rPr>
            </w:pPr>
            <w:r w:rsidRPr="00CF243A">
              <w:rPr>
                <w:rFonts w:asciiTheme="minorHAnsi" w:hAnsiTheme="minorHAnsi" w:cstheme="minorHAnsi"/>
                <w:sz w:val="22"/>
                <w:szCs w:val="22"/>
              </w:rPr>
              <w:t>2,363</w:t>
            </w:r>
          </w:p>
        </w:tc>
        <w:tc>
          <w:tcPr>
            <w:tcW w:w="1170" w:type="dxa"/>
            <w:vAlign w:val="center"/>
          </w:tcPr>
          <w:p w:rsidRPr="00CF243A" w:rsidR="00F67AFF" w:rsidP="00AB1E6C" w:rsidRDefault="00F67AFF" w14:paraId="36E39A3F" w14:textId="77777777">
            <w:pPr>
              <w:jc w:val="center"/>
              <w:rPr>
                <w:rFonts w:asciiTheme="minorHAnsi" w:hAnsiTheme="minorHAnsi" w:cstheme="minorHAnsi"/>
                <w:sz w:val="22"/>
                <w:szCs w:val="22"/>
              </w:rPr>
            </w:pPr>
            <w:r>
              <w:rPr>
                <w:rFonts w:ascii="Calibri" w:hAnsi="Calibri" w:cs="Calibri"/>
                <w:color w:val="000000"/>
                <w:sz w:val="22"/>
                <w:szCs w:val="22"/>
              </w:rPr>
              <w:t>6%</w:t>
            </w:r>
          </w:p>
        </w:tc>
        <w:tc>
          <w:tcPr>
            <w:tcW w:w="1530" w:type="dxa"/>
            <w:vAlign w:val="center"/>
          </w:tcPr>
          <w:p w:rsidRPr="00CF243A" w:rsidR="00F67AFF" w:rsidP="009B63D2" w:rsidRDefault="00F67AFF" w14:paraId="54A1286B" w14:textId="0971CBC2">
            <w:pPr>
              <w:jc w:val="center"/>
              <w:rPr>
                <w:rFonts w:asciiTheme="minorHAnsi" w:hAnsiTheme="minorHAnsi" w:cstheme="minorHAnsi"/>
                <w:sz w:val="22"/>
                <w:szCs w:val="22"/>
              </w:rPr>
            </w:pPr>
            <w:r>
              <w:rPr>
                <w:rFonts w:asciiTheme="minorHAnsi" w:hAnsiTheme="minorHAnsi" w:cstheme="minorHAnsi"/>
                <w:sz w:val="22"/>
                <w:szCs w:val="22"/>
              </w:rPr>
              <w:t>14</w:t>
            </w:r>
            <w:r w:rsidR="009B63D2">
              <w:rPr>
                <w:rFonts w:asciiTheme="minorHAnsi" w:hAnsiTheme="minorHAnsi" w:cstheme="minorHAnsi"/>
                <w:sz w:val="22"/>
                <w:szCs w:val="22"/>
              </w:rPr>
              <w:t>2</w:t>
            </w:r>
          </w:p>
        </w:tc>
        <w:tc>
          <w:tcPr>
            <w:tcW w:w="1440" w:type="dxa"/>
            <w:vAlign w:val="center"/>
          </w:tcPr>
          <w:p w:rsidRPr="00CF243A" w:rsidR="00F67AFF" w:rsidP="003340D7" w:rsidRDefault="002E2FE6" w14:paraId="4598804A" w14:textId="44A50DF9">
            <w:pPr>
              <w:jc w:val="center"/>
              <w:rPr>
                <w:rFonts w:asciiTheme="minorHAnsi" w:hAnsiTheme="minorHAnsi" w:cstheme="minorHAnsi"/>
                <w:sz w:val="22"/>
                <w:szCs w:val="22"/>
              </w:rPr>
            </w:pPr>
            <w:r>
              <w:rPr>
                <w:rFonts w:asciiTheme="minorHAnsi" w:hAnsiTheme="minorHAnsi" w:cstheme="minorHAnsi"/>
                <w:sz w:val="22"/>
                <w:szCs w:val="22"/>
              </w:rPr>
              <w:t>6.5</w:t>
            </w:r>
          </w:p>
        </w:tc>
        <w:tc>
          <w:tcPr>
            <w:tcW w:w="1170" w:type="dxa"/>
            <w:vAlign w:val="center"/>
          </w:tcPr>
          <w:p w:rsidRPr="00CF243A" w:rsidR="00F67AFF" w:rsidP="001D0186" w:rsidRDefault="00337744" w14:paraId="067E748C" w14:textId="398674A2">
            <w:pPr>
              <w:jc w:val="center"/>
              <w:rPr>
                <w:rFonts w:asciiTheme="minorHAnsi" w:hAnsiTheme="minorHAnsi" w:cstheme="minorHAnsi"/>
                <w:sz w:val="22"/>
                <w:szCs w:val="22"/>
              </w:rPr>
            </w:pPr>
            <w:r>
              <w:rPr>
                <w:rFonts w:asciiTheme="minorHAnsi" w:hAnsiTheme="minorHAnsi" w:cstheme="minorHAnsi"/>
                <w:sz w:val="22"/>
                <w:szCs w:val="22"/>
              </w:rPr>
              <w:t>921.64</w:t>
            </w:r>
          </w:p>
        </w:tc>
        <w:tc>
          <w:tcPr>
            <w:tcW w:w="990" w:type="dxa"/>
            <w:vAlign w:val="center"/>
          </w:tcPr>
          <w:p w:rsidRPr="00CF243A" w:rsidR="00F67AFF" w:rsidP="00187B33" w:rsidRDefault="00F67AFF" w14:paraId="3C49D449" w14:textId="77777777">
            <w:pPr>
              <w:jc w:val="center"/>
              <w:rPr>
                <w:rFonts w:asciiTheme="minorHAnsi" w:hAnsiTheme="minorHAnsi" w:cstheme="minorHAnsi"/>
                <w:sz w:val="22"/>
                <w:szCs w:val="22"/>
              </w:rPr>
            </w:pPr>
            <w:r w:rsidRPr="00773045">
              <w:rPr>
                <w:rFonts w:asciiTheme="minorHAnsi" w:hAnsiTheme="minorHAnsi" w:cstheme="minorHAnsi"/>
                <w:sz w:val="22"/>
                <w:szCs w:val="22"/>
              </w:rPr>
              <w:t>$59.20</w:t>
            </w:r>
          </w:p>
        </w:tc>
        <w:tc>
          <w:tcPr>
            <w:tcW w:w="1530" w:type="dxa"/>
            <w:vAlign w:val="center"/>
          </w:tcPr>
          <w:p w:rsidRPr="00CF243A" w:rsidR="00F67AFF" w:rsidP="00187B33" w:rsidRDefault="00AA63E2" w14:paraId="7761BB8C" w14:textId="3F21E31C">
            <w:pPr>
              <w:jc w:val="center"/>
              <w:rPr>
                <w:rFonts w:asciiTheme="minorHAnsi" w:hAnsiTheme="minorHAnsi" w:cstheme="minorHAnsi"/>
                <w:sz w:val="22"/>
                <w:szCs w:val="22"/>
              </w:rPr>
            </w:pPr>
            <w:r>
              <w:rPr>
                <w:rFonts w:asciiTheme="minorHAnsi" w:hAnsiTheme="minorHAnsi" w:cstheme="minorHAnsi"/>
                <w:sz w:val="22"/>
                <w:szCs w:val="22"/>
              </w:rPr>
              <w:t>$</w:t>
            </w:r>
            <w:r w:rsidR="0067323A">
              <w:rPr>
                <w:rFonts w:asciiTheme="minorHAnsi" w:hAnsiTheme="minorHAnsi" w:cstheme="minorHAnsi"/>
                <w:sz w:val="22"/>
                <w:szCs w:val="22"/>
              </w:rPr>
              <w:t>54,561.09</w:t>
            </w:r>
          </w:p>
        </w:tc>
      </w:tr>
      <w:tr w:rsidRPr="00CF243A" w:rsidR="003F2E8F" w:rsidTr="00CE7C8C" w14:paraId="6FA89F15" w14:textId="77777777">
        <w:tc>
          <w:tcPr>
            <w:tcW w:w="265" w:type="dxa"/>
          </w:tcPr>
          <w:p w:rsidRPr="00CF243A" w:rsidR="00F67AFF" w:rsidP="00640CA6" w:rsidRDefault="00F67AFF" w14:paraId="6A93ACA0" w14:textId="77777777">
            <w:pPr>
              <w:rPr>
                <w:rFonts w:asciiTheme="minorHAnsi" w:hAnsiTheme="minorHAnsi" w:cstheme="minorHAnsi"/>
                <w:sz w:val="22"/>
                <w:szCs w:val="22"/>
              </w:rPr>
            </w:pPr>
            <w:r w:rsidRPr="00CF243A">
              <w:rPr>
                <w:rFonts w:asciiTheme="minorHAnsi" w:hAnsiTheme="minorHAnsi" w:cstheme="minorHAnsi"/>
                <w:sz w:val="22"/>
                <w:szCs w:val="22"/>
              </w:rPr>
              <w:t>3</w:t>
            </w:r>
          </w:p>
        </w:tc>
        <w:tc>
          <w:tcPr>
            <w:tcW w:w="1620" w:type="dxa"/>
            <w:vAlign w:val="bottom"/>
          </w:tcPr>
          <w:p w:rsidRPr="00CF243A" w:rsidR="00F67AFF" w:rsidP="00640CA6" w:rsidRDefault="00F67AFF" w14:paraId="3E526073" w14:textId="77777777">
            <w:pPr>
              <w:rPr>
                <w:rFonts w:asciiTheme="minorHAnsi" w:hAnsiTheme="minorHAnsi" w:cstheme="minorHAnsi"/>
                <w:sz w:val="22"/>
                <w:szCs w:val="22"/>
              </w:rPr>
            </w:pPr>
            <w:r w:rsidRPr="00CF243A">
              <w:rPr>
                <w:rFonts w:asciiTheme="minorHAnsi" w:hAnsiTheme="minorHAnsi" w:cstheme="minorHAnsi"/>
                <w:color w:val="000000"/>
                <w:sz w:val="22"/>
                <w:szCs w:val="22"/>
              </w:rPr>
              <w:t>Nursing Homes</w:t>
            </w:r>
          </w:p>
        </w:tc>
        <w:tc>
          <w:tcPr>
            <w:tcW w:w="1530" w:type="dxa"/>
            <w:vAlign w:val="center"/>
          </w:tcPr>
          <w:p w:rsidRPr="00CF243A" w:rsidR="00F67AFF" w:rsidP="00520C25" w:rsidRDefault="00F67AFF" w14:paraId="794AEBF3" w14:textId="6DA28540">
            <w:pPr>
              <w:jc w:val="center"/>
              <w:rPr>
                <w:rFonts w:asciiTheme="minorHAnsi" w:hAnsiTheme="minorHAnsi" w:cstheme="minorHAnsi"/>
                <w:sz w:val="22"/>
                <w:szCs w:val="22"/>
              </w:rPr>
            </w:pPr>
            <w:r w:rsidRPr="00CF243A">
              <w:rPr>
                <w:rFonts w:asciiTheme="minorHAnsi" w:hAnsiTheme="minorHAnsi" w:cstheme="minorHAnsi"/>
                <w:sz w:val="22"/>
                <w:szCs w:val="22"/>
              </w:rPr>
              <w:t>42,759</w:t>
            </w:r>
          </w:p>
        </w:tc>
        <w:tc>
          <w:tcPr>
            <w:tcW w:w="1170" w:type="dxa"/>
            <w:vAlign w:val="center"/>
          </w:tcPr>
          <w:p w:rsidRPr="00CF243A" w:rsidR="00F67AFF" w:rsidP="00AB1E6C" w:rsidRDefault="00F67AFF" w14:paraId="4A4AB0C1" w14:textId="77777777">
            <w:pPr>
              <w:jc w:val="center"/>
              <w:rPr>
                <w:rFonts w:asciiTheme="minorHAnsi" w:hAnsiTheme="minorHAnsi" w:cstheme="minorHAnsi"/>
                <w:sz w:val="22"/>
                <w:szCs w:val="22"/>
              </w:rPr>
            </w:pPr>
            <w:r>
              <w:rPr>
                <w:rFonts w:ascii="Calibri" w:hAnsi="Calibri" w:cs="Calibri"/>
                <w:color w:val="000000"/>
                <w:sz w:val="22"/>
                <w:szCs w:val="22"/>
              </w:rPr>
              <w:t>10%</w:t>
            </w:r>
          </w:p>
        </w:tc>
        <w:tc>
          <w:tcPr>
            <w:tcW w:w="1530" w:type="dxa"/>
            <w:vAlign w:val="center"/>
          </w:tcPr>
          <w:p w:rsidRPr="00CF243A" w:rsidR="00F67AFF" w:rsidP="009B63D2" w:rsidRDefault="00F67AFF" w14:paraId="2E6BB01C" w14:textId="0EDED5CC">
            <w:pPr>
              <w:jc w:val="center"/>
              <w:rPr>
                <w:rFonts w:asciiTheme="minorHAnsi" w:hAnsiTheme="minorHAnsi" w:cstheme="minorHAnsi"/>
                <w:sz w:val="22"/>
                <w:szCs w:val="22"/>
              </w:rPr>
            </w:pPr>
            <w:r>
              <w:rPr>
                <w:rFonts w:asciiTheme="minorHAnsi" w:hAnsiTheme="minorHAnsi" w:cstheme="minorHAnsi"/>
                <w:sz w:val="22"/>
                <w:szCs w:val="22"/>
              </w:rPr>
              <w:t>4,27</w:t>
            </w:r>
            <w:r w:rsidR="009B63D2">
              <w:rPr>
                <w:rFonts w:asciiTheme="minorHAnsi" w:hAnsiTheme="minorHAnsi" w:cstheme="minorHAnsi"/>
                <w:sz w:val="22"/>
                <w:szCs w:val="22"/>
              </w:rPr>
              <w:t>6</w:t>
            </w:r>
          </w:p>
        </w:tc>
        <w:tc>
          <w:tcPr>
            <w:tcW w:w="1440" w:type="dxa"/>
            <w:vAlign w:val="center"/>
          </w:tcPr>
          <w:p w:rsidRPr="00CF243A" w:rsidR="00F67AFF" w:rsidP="003340D7" w:rsidRDefault="002E2FE6" w14:paraId="744FED66" w14:textId="589BC8AC">
            <w:pPr>
              <w:jc w:val="center"/>
              <w:rPr>
                <w:rFonts w:asciiTheme="minorHAnsi" w:hAnsiTheme="minorHAnsi" w:cstheme="minorHAnsi"/>
                <w:sz w:val="22"/>
                <w:szCs w:val="22"/>
              </w:rPr>
            </w:pPr>
            <w:r>
              <w:rPr>
                <w:rFonts w:asciiTheme="minorHAnsi" w:hAnsiTheme="minorHAnsi" w:cstheme="minorHAnsi"/>
                <w:sz w:val="22"/>
                <w:szCs w:val="22"/>
              </w:rPr>
              <w:t>6.5</w:t>
            </w:r>
          </w:p>
        </w:tc>
        <w:tc>
          <w:tcPr>
            <w:tcW w:w="1170" w:type="dxa"/>
            <w:vAlign w:val="center"/>
          </w:tcPr>
          <w:p w:rsidRPr="00CF243A" w:rsidR="00F67AFF" w:rsidP="001D0186" w:rsidRDefault="00337744" w14:paraId="395349FB" w14:textId="1BF85EA2">
            <w:pPr>
              <w:jc w:val="center"/>
              <w:rPr>
                <w:rFonts w:asciiTheme="minorHAnsi" w:hAnsiTheme="minorHAnsi" w:cstheme="minorHAnsi"/>
                <w:sz w:val="22"/>
                <w:szCs w:val="22"/>
              </w:rPr>
            </w:pPr>
            <w:r>
              <w:rPr>
                <w:rFonts w:asciiTheme="minorHAnsi" w:hAnsiTheme="minorHAnsi" w:cstheme="minorHAnsi"/>
                <w:sz w:val="22"/>
                <w:szCs w:val="22"/>
              </w:rPr>
              <w:t>27,793.55</w:t>
            </w:r>
          </w:p>
        </w:tc>
        <w:tc>
          <w:tcPr>
            <w:tcW w:w="990" w:type="dxa"/>
            <w:vAlign w:val="center"/>
          </w:tcPr>
          <w:p w:rsidRPr="00CF243A" w:rsidR="00F67AFF" w:rsidP="00187B33" w:rsidRDefault="00F67AFF" w14:paraId="4B49F9A0" w14:textId="77777777">
            <w:pPr>
              <w:jc w:val="center"/>
              <w:rPr>
                <w:rFonts w:asciiTheme="minorHAnsi" w:hAnsiTheme="minorHAnsi" w:cstheme="minorHAnsi"/>
                <w:sz w:val="22"/>
                <w:szCs w:val="22"/>
              </w:rPr>
            </w:pPr>
            <w:r w:rsidRPr="00773045">
              <w:rPr>
                <w:rFonts w:asciiTheme="minorHAnsi" w:hAnsiTheme="minorHAnsi" w:cstheme="minorHAnsi"/>
                <w:sz w:val="22"/>
                <w:szCs w:val="22"/>
              </w:rPr>
              <w:t>$59.20</w:t>
            </w:r>
          </w:p>
        </w:tc>
        <w:tc>
          <w:tcPr>
            <w:tcW w:w="1530" w:type="dxa"/>
            <w:vAlign w:val="center"/>
          </w:tcPr>
          <w:p w:rsidRPr="00CF243A" w:rsidR="00F67AFF" w:rsidP="00187B33" w:rsidRDefault="00AA63E2" w14:paraId="6FFA47FD" w14:textId="222EE596">
            <w:pPr>
              <w:jc w:val="center"/>
              <w:rPr>
                <w:rFonts w:asciiTheme="minorHAnsi" w:hAnsiTheme="minorHAnsi" w:cstheme="minorHAnsi"/>
                <w:sz w:val="22"/>
                <w:szCs w:val="22"/>
              </w:rPr>
            </w:pPr>
            <w:r>
              <w:rPr>
                <w:rFonts w:asciiTheme="minorHAnsi" w:hAnsiTheme="minorHAnsi" w:cstheme="minorHAnsi"/>
                <w:sz w:val="22"/>
                <w:szCs w:val="22"/>
              </w:rPr>
              <w:t>$</w:t>
            </w:r>
            <w:r w:rsidR="0067323A">
              <w:rPr>
                <w:rFonts w:asciiTheme="minorHAnsi" w:hAnsiTheme="minorHAnsi" w:cstheme="minorHAnsi"/>
                <w:sz w:val="22"/>
                <w:szCs w:val="22"/>
              </w:rPr>
              <w:t>1,645,378.16</w:t>
            </w:r>
          </w:p>
        </w:tc>
      </w:tr>
      <w:tr w:rsidRPr="00CF243A" w:rsidR="003F2E8F" w:rsidTr="00CE7C8C" w14:paraId="4461711E" w14:textId="77777777">
        <w:tc>
          <w:tcPr>
            <w:tcW w:w="265" w:type="dxa"/>
          </w:tcPr>
          <w:p w:rsidRPr="00CF243A" w:rsidR="00F67AFF" w:rsidP="00640CA6" w:rsidRDefault="00F67AFF" w14:paraId="32EBD14E" w14:textId="77777777">
            <w:pPr>
              <w:rPr>
                <w:rFonts w:asciiTheme="minorHAnsi" w:hAnsiTheme="minorHAnsi" w:cstheme="minorHAnsi"/>
                <w:sz w:val="22"/>
                <w:szCs w:val="22"/>
              </w:rPr>
            </w:pPr>
            <w:r w:rsidRPr="00CF243A">
              <w:rPr>
                <w:rFonts w:asciiTheme="minorHAnsi" w:hAnsiTheme="minorHAnsi" w:cstheme="minorHAnsi"/>
                <w:sz w:val="22"/>
                <w:szCs w:val="22"/>
              </w:rPr>
              <w:t>4</w:t>
            </w:r>
          </w:p>
        </w:tc>
        <w:tc>
          <w:tcPr>
            <w:tcW w:w="1620" w:type="dxa"/>
            <w:vAlign w:val="bottom"/>
          </w:tcPr>
          <w:p w:rsidR="00F67AFF" w:rsidP="00640CA6" w:rsidRDefault="00F67AFF" w14:paraId="1BC96DBD" w14:textId="77777777">
            <w:pPr>
              <w:rPr>
                <w:rFonts w:asciiTheme="minorHAnsi" w:hAnsiTheme="minorHAnsi" w:cstheme="minorHAnsi"/>
                <w:color w:val="000000"/>
                <w:sz w:val="22"/>
                <w:szCs w:val="22"/>
              </w:rPr>
            </w:pPr>
            <w:r w:rsidRPr="00CF243A">
              <w:rPr>
                <w:rFonts w:asciiTheme="minorHAnsi" w:hAnsiTheme="minorHAnsi" w:cstheme="minorHAnsi"/>
                <w:color w:val="000000"/>
                <w:sz w:val="22"/>
                <w:szCs w:val="22"/>
              </w:rPr>
              <w:t xml:space="preserve">Long Term Care </w:t>
            </w:r>
          </w:p>
          <w:p w:rsidRPr="00CF243A" w:rsidR="00F67AFF" w:rsidP="00640CA6" w:rsidRDefault="00F67AFF" w14:paraId="19839B51" w14:textId="77777777">
            <w:pPr>
              <w:rPr>
                <w:rFonts w:asciiTheme="minorHAnsi" w:hAnsiTheme="minorHAnsi" w:cstheme="minorHAnsi"/>
                <w:sz w:val="18"/>
                <w:szCs w:val="18"/>
              </w:rPr>
            </w:pPr>
            <w:r w:rsidRPr="00CF243A">
              <w:rPr>
                <w:rFonts w:asciiTheme="minorHAnsi" w:hAnsiTheme="minorHAnsi" w:cstheme="minorHAnsi"/>
                <w:color w:val="000000"/>
                <w:sz w:val="18"/>
                <w:szCs w:val="18"/>
              </w:rPr>
              <w:t>(excluding nursing homes)</w:t>
            </w:r>
          </w:p>
        </w:tc>
        <w:tc>
          <w:tcPr>
            <w:tcW w:w="1530" w:type="dxa"/>
            <w:vAlign w:val="center"/>
          </w:tcPr>
          <w:p w:rsidRPr="00CF243A" w:rsidR="00F67AFF" w:rsidP="004C493B" w:rsidRDefault="00F67AFF" w14:paraId="68EA39FB" w14:textId="0AB8D37D">
            <w:pPr>
              <w:jc w:val="center"/>
              <w:rPr>
                <w:rFonts w:asciiTheme="minorHAnsi" w:hAnsiTheme="minorHAnsi" w:cstheme="minorHAnsi"/>
                <w:sz w:val="22"/>
                <w:szCs w:val="22"/>
              </w:rPr>
            </w:pPr>
            <w:r w:rsidRPr="00CF243A">
              <w:rPr>
                <w:rFonts w:asciiTheme="minorHAnsi" w:hAnsiTheme="minorHAnsi" w:cstheme="minorHAnsi"/>
                <w:sz w:val="22"/>
                <w:szCs w:val="22"/>
              </w:rPr>
              <w:t>48,65</w:t>
            </w:r>
            <w:r w:rsidR="004C493B">
              <w:rPr>
                <w:rFonts w:asciiTheme="minorHAnsi" w:hAnsiTheme="minorHAnsi" w:cstheme="minorHAnsi"/>
                <w:sz w:val="22"/>
                <w:szCs w:val="22"/>
              </w:rPr>
              <w:t>6</w:t>
            </w:r>
          </w:p>
        </w:tc>
        <w:tc>
          <w:tcPr>
            <w:tcW w:w="1170" w:type="dxa"/>
            <w:vAlign w:val="center"/>
          </w:tcPr>
          <w:p w:rsidRPr="00CF243A" w:rsidR="00F67AFF" w:rsidP="00AB1E6C" w:rsidRDefault="00F67AFF" w14:paraId="7CBF3DED" w14:textId="77777777">
            <w:pPr>
              <w:jc w:val="center"/>
              <w:rPr>
                <w:rFonts w:asciiTheme="minorHAnsi" w:hAnsiTheme="minorHAnsi" w:cstheme="minorHAnsi"/>
                <w:sz w:val="22"/>
                <w:szCs w:val="22"/>
              </w:rPr>
            </w:pPr>
            <w:r>
              <w:rPr>
                <w:rFonts w:ascii="Calibri" w:hAnsi="Calibri" w:cs="Calibri"/>
                <w:color w:val="000000"/>
                <w:sz w:val="22"/>
                <w:szCs w:val="22"/>
              </w:rPr>
              <w:t>10%</w:t>
            </w:r>
          </w:p>
        </w:tc>
        <w:tc>
          <w:tcPr>
            <w:tcW w:w="1530" w:type="dxa"/>
            <w:vAlign w:val="center"/>
          </w:tcPr>
          <w:p w:rsidRPr="00CF243A" w:rsidR="00F67AFF" w:rsidP="009B63D2" w:rsidRDefault="00F67AFF" w14:paraId="4FB7B4F1" w14:textId="048B74EC">
            <w:pPr>
              <w:jc w:val="center"/>
              <w:rPr>
                <w:rFonts w:asciiTheme="minorHAnsi" w:hAnsiTheme="minorHAnsi" w:cstheme="minorHAnsi"/>
                <w:sz w:val="22"/>
                <w:szCs w:val="22"/>
              </w:rPr>
            </w:pPr>
            <w:r>
              <w:rPr>
                <w:rFonts w:asciiTheme="minorHAnsi" w:hAnsiTheme="minorHAnsi" w:cstheme="minorHAnsi"/>
                <w:sz w:val="22"/>
                <w:szCs w:val="22"/>
              </w:rPr>
              <w:t>4,86</w:t>
            </w:r>
            <w:r w:rsidR="009B63D2">
              <w:rPr>
                <w:rFonts w:asciiTheme="minorHAnsi" w:hAnsiTheme="minorHAnsi" w:cstheme="minorHAnsi"/>
                <w:sz w:val="22"/>
                <w:szCs w:val="22"/>
              </w:rPr>
              <w:t>6</w:t>
            </w:r>
          </w:p>
        </w:tc>
        <w:tc>
          <w:tcPr>
            <w:tcW w:w="1440" w:type="dxa"/>
            <w:vAlign w:val="center"/>
          </w:tcPr>
          <w:p w:rsidRPr="00CF243A" w:rsidR="00F67AFF" w:rsidP="003340D7" w:rsidRDefault="002E2FE6" w14:paraId="55A56787" w14:textId="2692B777">
            <w:pPr>
              <w:jc w:val="center"/>
              <w:rPr>
                <w:rFonts w:asciiTheme="minorHAnsi" w:hAnsiTheme="minorHAnsi" w:cstheme="minorHAnsi"/>
                <w:sz w:val="22"/>
                <w:szCs w:val="22"/>
              </w:rPr>
            </w:pPr>
            <w:r>
              <w:rPr>
                <w:rFonts w:asciiTheme="minorHAnsi" w:hAnsiTheme="minorHAnsi" w:cstheme="minorHAnsi"/>
                <w:sz w:val="22"/>
                <w:szCs w:val="22"/>
              </w:rPr>
              <w:t>6.5</w:t>
            </w:r>
          </w:p>
        </w:tc>
        <w:tc>
          <w:tcPr>
            <w:tcW w:w="1170" w:type="dxa"/>
            <w:vAlign w:val="center"/>
          </w:tcPr>
          <w:p w:rsidRPr="00CF243A" w:rsidR="00F67AFF" w:rsidP="001D0186" w:rsidRDefault="00337744" w14:paraId="4581880D" w14:textId="553ECC51">
            <w:pPr>
              <w:jc w:val="center"/>
              <w:rPr>
                <w:rFonts w:asciiTheme="minorHAnsi" w:hAnsiTheme="minorHAnsi" w:cstheme="minorHAnsi"/>
                <w:sz w:val="22"/>
                <w:szCs w:val="22"/>
              </w:rPr>
            </w:pPr>
            <w:r>
              <w:rPr>
                <w:rFonts w:asciiTheme="minorHAnsi" w:hAnsiTheme="minorHAnsi" w:cstheme="minorHAnsi"/>
                <w:sz w:val="22"/>
                <w:szCs w:val="22"/>
              </w:rPr>
              <w:t>31,627.12</w:t>
            </w:r>
          </w:p>
        </w:tc>
        <w:tc>
          <w:tcPr>
            <w:tcW w:w="990" w:type="dxa"/>
            <w:vAlign w:val="center"/>
          </w:tcPr>
          <w:p w:rsidRPr="00CF243A" w:rsidR="00F67AFF" w:rsidP="00187B33" w:rsidRDefault="00F67AFF" w14:paraId="154D24AE" w14:textId="77777777">
            <w:pPr>
              <w:jc w:val="center"/>
              <w:rPr>
                <w:rFonts w:asciiTheme="minorHAnsi" w:hAnsiTheme="minorHAnsi" w:cstheme="minorHAnsi"/>
                <w:sz w:val="22"/>
                <w:szCs w:val="22"/>
              </w:rPr>
            </w:pPr>
            <w:r w:rsidRPr="00773045">
              <w:rPr>
                <w:rFonts w:asciiTheme="minorHAnsi" w:hAnsiTheme="minorHAnsi" w:cstheme="minorHAnsi"/>
                <w:sz w:val="22"/>
                <w:szCs w:val="22"/>
              </w:rPr>
              <w:t>$59.20</w:t>
            </w:r>
          </w:p>
        </w:tc>
        <w:tc>
          <w:tcPr>
            <w:tcW w:w="1530" w:type="dxa"/>
            <w:vAlign w:val="center"/>
          </w:tcPr>
          <w:p w:rsidRPr="00CF243A" w:rsidR="00F67AFF" w:rsidP="00187B33" w:rsidRDefault="00AA63E2" w14:paraId="4B84E567" w14:textId="711131E1">
            <w:pPr>
              <w:jc w:val="center"/>
              <w:rPr>
                <w:rFonts w:asciiTheme="minorHAnsi" w:hAnsiTheme="minorHAnsi" w:cstheme="minorHAnsi"/>
                <w:sz w:val="22"/>
                <w:szCs w:val="22"/>
              </w:rPr>
            </w:pPr>
            <w:r>
              <w:rPr>
                <w:rFonts w:asciiTheme="minorHAnsi" w:hAnsiTheme="minorHAnsi" w:cstheme="minorHAnsi"/>
                <w:sz w:val="22"/>
                <w:szCs w:val="22"/>
              </w:rPr>
              <w:t>$</w:t>
            </w:r>
            <w:r w:rsidR="00337744">
              <w:rPr>
                <w:rFonts w:asciiTheme="minorHAnsi" w:hAnsiTheme="minorHAnsi" w:cstheme="minorHAnsi"/>
                <w:sz w:val="22"/>
                <w:szCs w:val="22"/>
              </w:rPr>
              <w:t>1,872,325.5</w:t>
            </w:r>
          </w:p>
        </w:tc>
      </w:tr>
      <w:tr w:rsidRPr="00CF243A" w:rsidR="003F2E8F" w:rsidTr="00CE7C8C" w14:paraId="68A65B5C" w14:textId="77777777">
        <w:trPr>
          <w:trHeight w:val="134"/>
        </w:trPr>
        <w:tc>
          <w:tcPr>
            <w:tcW w:w="265" w:type="dxa"/>
          </w:tcPr>
          <w:p w:rsidRPr="00CF243A" w:rsidR="00F67AFF" w:rsidP="00640CA6" w:rsidRDefault="00F67AFF" w14:paraId="20D6E1B0" w14:textId="77777777">
            <w:pPr>
              <w:rPr>
                <w:rFonts w:asciiTheme="minorHAnsi" w:hAnsiTheme="minorHAnsi" w:cstheme="minorHAnsi"/>
                <w:sz w:val="22"/>
                <w:szCs w:val="22"/>
              </w:rPr>
            </w:pPr>
          </w:p>
        </w:tc>
        <w:tc>
          <w:tcPr>
            <w:tcW w:w="1620" w:type="dxa"/>
            <w:vAlign w:val="bottom"/>
          </w:tcPr>
          <w:p w:rsidRPr="000917B5" w:rsidR="00F67AFF" w:rsidP="00640CA6" w:rsidRDefault="0041073D" w14:paraId="6E9CD043" w14:textId="1A4F7278">
            <w:pPr>
              <w:rPr>
                <w:rFonts w:asciiTheme="minorHAnsi" w:hAnsiTheme="minorHAnsi" w:cstheme="minorHAnsi"/>
                <w:b/>
                <w:color w:val="000000"/>
                <w:sz w:val="22"/>
                <w:szCs w:val="22"/>
              </w:rPr>
            </w:pPr>
            <w:r w:rsidRPr="000917B5">
              <w:rPr>
                <w:rFonts w:asciiTheme="minorHAnsi" w:hAnsiTheme="minorHAnsi" w:cstheme="minorHAnsi"/>
                <w:b/>
                <w:color w:val="000000"/>
                <w:sz w:val="22"/>
                <w:szCs w:val="22"/>
              </w:rPr>
              <w:t>Total</w:t>
            </w:r>
          </w:p>
        </w:tc>
        <w:tc>
          <w:tcPr>
            <w:tcW w:w="1530" w:type="dxa"/>
            <w:vAlign w:val="center"/>
          </w:tcPr>
          <w:p w:rsidRPr="000917B5" w:rsidR="00F67AFF" w:rsidP="00640CA6" w:rsidRDefault="00F67AFF" w14:paraId="10EE8471" w14:textId="77777777">
            <w:pPr>
              <w:jc w:val="center"/>
              <w:rPr>
                <w:rFonts w:asciiTheme="minorHAnsi" w:hAnsiTheme="minorHAnsi" w:cstheme="minorHAnsi"/>
                <w:b/>
                <w:sz w:val="22"/>
                <w:szCs w:val="22"/>
              </w:rPr>
            </w:pPr>
          </w:p>
        </w:tc>
        <w:tc>
          <w:tcPr>
            <w:tcW w:w="1170" w:type="dxa"/>
            <w:vAlign w:val="center"/>
          </w:tcPr>
          <w:p w:rsidRPr="000917B5" w:rsidR="00F67AFF" w:rsidP="00640CA6" w:rsidRDefault="00F67AFF" w14:paraId="295B9E52" w14:textId="77777777">
            <w:pPr>
              <w:jc w:val="center"/>
              <w:rPr>
                <w:rFonts w:ascii="Calibri" w:hAnsi="Calibri" w:cs="Calibri"/>
                <w:b/>
                <w:color w:val="000000"/>
                <w:sz w:val="22"/>
                <w:szCs w:val="22"/>
              </w:rPr>
            </w:pPr>
          </w:p>
        </w:tc>
        <w:tc>
          <w:tcPr>
            <w:tcW w:w="1530" w:type="dxa"/>
            <w:vAlign w:val="center"/>
          </w:tcPr>
          <w:p w:rsidRPr="000917B5" w:rsidR="00F67AFF" w:rsidP="00640CA6" w:rsidRDefault="0041073D" w14:paraId="3AD57D44" w14:textId="75113728">
            <w:pPr>
              <w:jc w:val="center"/>
              <w:rPr>
                <w:rFonts w:asciiTheme="minorHAnsi" w:hAnsiTheme="minorHAnsi" w:cstheme="minorHAnsi"/>
                <w:b/>
                <w:sz w:val="22"/>
                <w:szCs w:val="22"/>
              </w:rPr>
            </w:pPr>
            <w:r w:rsidRPr="000917B5">
              <w:rPr>
                <w:rFonts w:asciiTheme="minorHAnsi" w:hAnsiTheme="minorHAnsi" w:cstheme="minorHAnsi"/>
                <w:b/>
                <w:sz w:val="22"/>
                <w:szCs w:val="22"/>
              </w:rPr>
              <w:t>9,600</w:t>
            </w:r>
          </w:p>
        </w:tc>
        <w:tc>
          <w:tcPr>
            <w:tcW w:w="1440" w:type="dxa"/>
            <w:vAlign w:val="center"/>
          </w:tcPr>
          <w:p w:rsidRPr="000917B5" w:rsidR="00F67AFF" w:rsidP="00640CA6" w:rsidRDefault="00F67AFF" w14:paraId="2B336C80" w14:textId="77777777">
            <w:pPr>
              <w:jc w:val="center"/>
              <w:rPr>
                <w:rFonts w:asciiTheme="minorHAnsi" w:hAnsiTheme="minorHAnsi" w:cstheme="minorHAnsi"/>
                <w:b/>
                <w:sz w:val="22"/>
                <w:szCs w:val="22"/>
              </w:rPr>
            </w:pPr>
          </w:p>
        </w:tc>
        <w:tc>
          <w:tcPr>
            <w:tcW w:w="1170" w:type="dxa"/>
            <w:vAlign w:val="center"/>
          </w:tcPr>
          <w:p w:rsidRPr="000917B5" w:rsidR="00F67AFF" w:rsidP="00874E81" w:rsidRDefault="00874E81" w14:paraId="6ED63952" w14:textId="6FCE56EB">
            <w:pPr>
              <w:jc w:val="center"/>
              <w:rPr>
                <w:rFonts w:asciiTheme="minorHAnsi" w:hAnsiTheme="minorHAnsi" w:cstheme="minorHAnsi"/>
                <w:b/>
                <w:sz w:val="22"/>
                <w:szCs w:val="22"/>
              </w:rPr>
            </w:pPr>
            <w:r>
              <w:rPr>
                <w:rFonts w:asciiTheme="minorHAnsi" w:hAnsiTheme="minorHAnsi" w:cstheme="minorHAnsi"/>
                <w:b/>
                <w:sz w:val="22"/>
                <w:szCs w:val="22"/>
              </w:rPr>
              <w:t>62,401.97</w:t>
            </w:r>
          </w:p>
        </w:tc>
        <w:tc>
          <w:tcPr>
            <w:tcW w:w="990" w:type="dxa"/>
          </w:tcPr>
          <w:p w:rsidRPr="000917B5" w:rsidR="00F67AFF" w:rsidP="00640CA6" w:rsidRDefault="00F67AFF" w14:paraId="2B62024A" w14:textId="77777777">
            <w:pPr>
              <w:jc w:val="center"/>
              <w:rPr>
                <w:rFonts w:asciiTheme="minorHAnsi" w:hAnsiTheme="minorHAnsi" w:cstheme="minorHAnsi"/>
                <w:b/>
                <w:sz w:val="22"/>
                <w:szCs w:val="22"/>
              </w:rPr>
            </w:pPr>
          </w:p>
        </w:tc>
        <w:tc>
          <w:tcPr>
            <w:tcW w:w="1530" w:type="dxa"/>
            <w:vAlign w:val="center"/>
          </w:tcPr>
          <w:p w:rsidRPr="000917B5" w:rsidR="00F67AFF" w:rsidP="00874E81" w:rsidRDefault="00AA63E2" w14:paraId="69FEA254" w14:textId="57605AEB">
            <w:pPr>
              <w:jc w:val="center"/>
              <w:rPr>
                <w:rFonts w:asciiTheme="minorHAnsi" w:hAnsiTheme="minorHAnsi" w:cstheme="minorHAnsi"/>
                <w:b/>
                <w:sz w:val="22"/>
                <w:szCs w:val="22"/>
              </w:rPr>
            </w:pPr>
            <w:r>
              <w:rPr>
                <w:rFonts w:asciiTheme="minorHAnsi" w:hAnsiTheme="minorHAnsi" w:cstheme="minorHAnsi"/>
                <w:b/>
                <w:sz w:val="22"/>
                <w:szCs w:val="22"/>
              </w:rPr>
              <w:t>$</w:t>
            </w:r>
            <w:r w:rsidR="00874E81">
              <w:rPr>
                <w:rFonts w:asciiTheme="minorHAnsi" w:hAnsiTheme="minorHAnsi" w:cstheme="minorHAnsi"/>
                <w:b/>
                <w:sz w:val="22"/>
                <w:szCs w:val="22"/>
              </w:rPr>
              <w:t>3,694,196.62</w:t>
            </w:r>
          </w:p>
        </w:tc>
      </w:tr>
    </w:tbl>
    <w:p w:rsidRPr="00470487" w:rsidR="00C1309B" w:rsidP="00C05411" w:rsidRDefault="00C1309B" w14:paraId="7025A184" w14:textId="782525CB">
      <w:pPr>
        <w:ind w:firstLine="360"/>
        <w:rPr>
          <w:b/>
          <w:highlight w:val="yellow"/>
        </w:rPr>
      </w:pPr>
    </w:p>
    <w:p w:rsidR="00D0585C" w:rsidP="00C05411" w:rsidRDefault="00D0585C" w14:paraId="127701C2" w14:textId="77777777">
      <w:pPr>
        <w:ind w:left="360"/>
        <w:sectPr w:rsidR="00D0585C" w:rsidSect="00CE7C8C">
          <w:pgSz w:w="12240" w:h="15840"/>
          <w:pgMar w:top="720" w:right="720" w:bottom="720" w:left="720" w:header="720" w:footer="720" w:gutter="0"/>
          <w:cols w:space="720"/>
          <w:docGrid w:linePitch="360"/>
        </w:sectPr>
      </w:pPr>
    </w:p>
    <w:p w:rsidR="00C05411" w:rsidP="00C05411" w:rsidRDefault="00C05411" w14:paraId="797B51A9" w14:textId="78EF615C">
      <w:pPr>
        <w:ind w:left="360"/>
      </w:pPr>
    </w:p>
    <w:p w:rsidRPr="00120094" w:rsidR="00C05411" w:rsidP="00C05411" w:rsidRDefault="00C05411" w14:paraId="3BF31A68" w14:textId="77777777">
      <w:pPr>
        <w:pStyle w:val="Heading2"/>
      </w:pPr>
      <w:r w:rsidRPr="00120094">
        <w:t xml:space="preserve">Patient screening and management. </w:t>
      </w:r>
    </w:p>
    <w:p w:rsidRPr="00164562" w:rsidR="00C05411" w:rsidP="00C05411" w:rsidRDefault="00C05411" w14:paraId="7848D6D4" w14:textId="77777777">
      <w:pPr>
        <w:pStyle w:val="Heading7"/>
        <w:numPr>
          <w:ilvl w:val="0"/>
          <w:numId w:val="0"/>
        </w:numPr>
        <w:ind w:left="360"/>
        <w:rPr>
          <w:rFonts w:ascii="Times New Roman" w:hAnsi="Times New Roman"/>
        </w:rPr>
      </w:pPr>
      <w:r>
        <w:rPr>
          <w:rFonts w:ascii="Times New Roman" w:hAnsi="Times New Roman" w:eastAsia="Arial Unicode MS"/>
          <w:b/>
          <w:color w:val="000000"/>
        </w:rPr>
        <w:t>§</w:t>
      </w:r>
      <w:r w:rsidRPr="001401D5">
        <w:rPr>
          <w:rFonts w:ascii="Times New Roman" w:hAnsi="Times New Roman" w:eastAsia="Arial Unicode MS"/>
          <w:b/>
          <w:color w:val="000000"/>
        </w:rPr>
        <w:t>1910.502(d)</w:t>
      </w:r>
      <w:r>
        <w:rPr>
          <w:rFonts w:ascii="Times New Roman" w:hAnsi="Times New Roman" w:eastAsia="Arial Unicode MS"/>
          <w:b/>
          <w:color w:val="000000"/>
        </w:rPr>
        <w:t>(2)</w:t>
      </w:r>
    </w:p>
    <w:p w:rsidRPr="00363BA1" w:rsidR="00C05411" w:rsidP="00C05411" w:rsidRDefault="00C05411" w14:paraId="1D66750F" w14:textId="77777777">
      <w:pPr>
        <w:pStyle w:val="NoSpacing"/>
        <w:rPr>
          <w:rFonts w:ascii="Times New Roman" w:hAnsi="Times New Roman" w:cs="Times New Roman"/>
          <w:sz w:val="24"/>
          <w:szCs w:val="24"/>
        </w:rPr>
      </w:pPr>
    </w:p>
    <w:p w:rsidR="00C05411" w:rsidP="00470487" w:rsidRDefault="00C05411" w14:paraId="7EA5859B" w14:textId="48BECC0A">
      <w:pPr>
        <w:pStyle w:val="NoSpacing"/>
        <w:rPr>
          <w:rFonts w:ascii="Times New Roman" w:hAnsi="Times New Roman" w:cs="Times New Roman"/>
          <w:sz w:val="24"/>
          <w:szCs w:val="24"/>
        </w:rPr>
      </w:pPr>
      <w:r w:rsidRPr="009175FD">
        <w:rPr>
          <w:rFonts w:ascii="Times New Roman" w:hAnsi="Times New Roman" w:cs="Times New Roman"/>
          <w:sz w:val="24"/>
          <w:szCs w:val="24"/>
        </w:rPr>
        <w:t>In settings where direct patient care is provided, the employer must:</w:t>
      </w:r>
      <w:r>
        <w:rPr>
          <w:rFonts w:ascii="Times New Roman" w:hAnsi="Times New Roman" w:cs="Times New Roman"/>
          <w:sz w:val="24"/>
          <w:szCs w:val="24"/>
        </w:rPr>
        <w:t xml:space="preserve"> </w:t>
      </w:r>
      <w:r w:rsidRPr="00394886">
        <w:rPr>
          <w:rFonts w:ascii="Times New Roman" w:hAnsi="Times New Roman" w:cs="Times New Roman"/>
          <w:sz w:val="24"/>
          <w:szCs w:val="24"/>
        </w:rPr>
        <w:t>Screen and triage all clients, patients, residents, delivery people and other visitors, and other non-employees entering the setting for symptoms of COVID-19.</w:t>
      </w:r>
    </w:p>
    <w:p w:rsidR="00E05CA9" w:rsidP="00C05411" w:rsidRDefault="00E05CA9" w14:paraId="5AA670E6" w14:textId="44944DD6">
      <w:pPr>
        <w:pStyle w:val="NoSpacing"/>
        <w:ind w:left="360"/>
        <w:rPr>
          <w:rFonts w:ascii="Times New Roman" w:hAnsi="Times New Roman" w:cs="Times New Roman"/>
          <w:sz w:val="24"/>
          <w:szCs w:val="24"/>
        </w:rPr>
      </w:pPr>
    </w:p>
    <w:p w:rsidRPr="00E05CA9" w:rsidR="00E05CA9" w:rsidP="00E05CA9" w:rsidRDefault="00E05CA9" w14:paraId="3EE5D3FE" w14:textId="41ADDEAE">
      <w:pPr>
        <w:autoSpaceDE/>
        <w:autoSpaceDN/>
        <w:spacing w:after="160" w:line="276" w:lineRule="auto"/>
        <w:rPr>
          <w:rFonts w:eastAsia="Calibri"/>
          <w:lang w:eastAsia="en-US"/>
        </w:rPr>
      </w:pPr>
      <w:r w:rsidRPr="00E05CA9">
        <w:rPr>
          <w:rFonts w:eastAsia="Calibri"/>
          <w:lang w:eastAsia="en-US"/>
        </w:rPr>
        <w:t xml:space="preserve">This requirement does not apply to laboratories, morgue/mortuaries, medical equipment activities, waste collection and handling, and commercial laundries, since it only applies to settings where direct patient care is provided. </w:t>
      </w:r>
      <w:r w:rsidR="009C6F35">
        <w:rPr>
          <w:rFonts w:eastAsia="Calibri"/>
          <w:lang w:eastAsia="en-US"/>
        </w:rPr>
        <w:t xml:space="preserve">This provision only applies to general hospitals, other hospitals, nursing homes, and </w:t>
      </w:r>
      <w:r w:rsidR="0016615A">
        <w:rPr>
          <w:rFonts w:eastAsia="Calibri"/>
          <w:lang w:eastAsia="en-US"/>
        </w:rPr>
        <w:t>long-term</w:t>
      </w:r>
      <w:r w:rsidR="009C6F35">
        <w:rPr>
          <w:rFonts w:eastAsia="Calibri"/>
          <w:lang w:eastAsia="en-US"/>
        </w:rPr>
        <w:t xml:space="preserve"> care facilities where the labor incurs for entering the facility. </w:t>
      </w:r>
      <w:r w:rsidRPr="00E05CA9">
        <w:rPr>
          <w:rFonts w:eastAsia="Calibri"/>
          <w:lang w:eastAsia="en-US"/>
        </w:rPr>
        <w:t xml:space="preserve">In settings where this requirement applies, OSHA estimates the </w:t>
      </w:r>
      <w:r w:rsidRPr="00E05CA9" w:rsidR="0016615A">
        <w:rPr>
          <w:rFonts w:eastAsia="Calibri"/>
          <w:lang w:eastAsia="en-US"/>
        </w:rPr>
        <w:t>six-month</w:t>
      </w:r>
      <w:r w:rsidRPr="00E05CA9">
        <w:rPr>
          <w:rFonts w:eastAsia="Calibri"/>
          <w:lang w:eastAsia="en-US"/>
        </w:rPr>
        <w:t xml:space="preserve"> incremental time burden per facility for screening and triaging non-employees for symptoms of COVID-19 as follows:</w:t>
      </w:r>
    </w:p>
    <w:p w:rsidRPr="00E05CA9" w:rsidR="00E05CA9" w:rsidP="00E05CA9" w:rsidRDefault="00E05CA9" w14:paraId="120290E4" w14:textId="77777777">
      <w:pPr>
        <w:numPr>
          <w:ilvl w:val="0"/>
          <w:numId w:val="22"/>
        </w:numPr>
        <w:autoSpaceDE/>
        <w:autoSpaceDN/>
        <w:spacing w:after="160" w:line="276" w:lineRule="auto"/>
        <w:rPr>
          <w:rFonts w:eastAsia="Calibri"/>
          <w:lang w:eastAsia="en-US"/>
        </w:rPr>
      </w:pPr>
      <w:r w:rsidRPr="00E05CA9">
        <w:rPr>
          <w:rFonts w:eastAsia="Calibri"/>
          <w:lang w:eastAsia="en-US"/>
        </w:rPr>
        <w:t>General Hospitals: An incremental burden of 385.1 hours is estimated based on a burden of 1 minute per patient each day for an average of 1 patient per employee</w:t>
      </w:r>
      <w:bookmarkStart w:name="_Ref63929775" w:id="8"/>
      <w:r w:rsidRPr="00E05CA9">
        <w:rPr>
          <w:rFonts w:eastAsia="Calibri"/>
          <w:vertAlign w:val="superscript"/>
          <w:lang w:eastAsia="en-US"/>
        </w:rPr>
        <w:footnoteReference w:id="6"/>
      </w:r>
      <w:bookmarkEnd w:id="8"/>
      <w:r w:rsidRPr="00E05CA9">
        <w:rPr>
          <w:rFonts w:eastAsia="Calibri"/>
          <w:lang w:eastAsia="en-US"/>
        </w:rPr>
        <w:t xml:space="preserve"> and a baseline compliance rate of 81%. [385.1 = (1-81%)*666.3/60*365/2]</w:t>
      </w:r>
    </w:p>
    <w:p w:rsidRPr="00E05CA9" w:rsidR="00E05CA9" w:rsidP="00E05CA9" w:rsidRDefault="00E05CA9" w14:paraId="077D3799" w14:textId="77777777">
      <w:pPr>
        <w:numPr>
          <w:ilvl w:val="0"/>
          <w:numId w:val="22"/>
        </w:numPr>
        <w:autoSpaceDE/>
        <w:autoSpaceDN/>
        <w:spacing w:after="160" w:line="276" w:lineRule="auto"/>
        <w:rPr>
          <w:rFonts w:eastAsia="Calibri"/>
          <w:lang w:eastAsia="en-US"/>
        </w:rPr>
      </w:pPr>
      <w:r w:rsidRPr="00E05CA9">
        <w:rPr>
          <w:rFonts w:eastAsia="Calibri"/>
          <w:lang w:eastAsia="en-US"/>
        </w:rPr>
        <w:t>Other Hospitals: An incremental burden of 60.4 hours is estimated based on a burden of 1 minute per patient each day for an average of 1 patient per employee</w:t>
      </w:r>
      <w:r w:rsidRPr="00E05CA9">
        <w:rPr>
          <w:rFonts w:eastAsia="Calibri"/>
          <w:vertAlign w:val="superscript"/>
          <w:lang w:eastAsia="en-US"/>
        </w:rPr>
        <w:fldChar w:fldCharType="begin"/>
      </w:r>
      <w:r w:rsidRPr="00E05CA9">
        <w:rPr>
          <w:rFonts w:eastAsia="Calibri"/>
          <w:vertAlign w:val="superscript"/>
          <w:lang w:eastAsia="en-US"/>
        </w:rPr>
        <w:instrText xml:space="preserve"> NOTEREF _Ref63929775 \h  \* MERGEFORMAT </w:instrText>
      </w:r>
      <w:r w:rsidRPr="00E05CA9">
        <w:rPr>
          <w:rFonts w:eastAsia="Calibri"/>
          <w:vertAlign w:val="superscript"/>
          <w:lang w:eastAsia="en-US"/>
        </w:rPr>
      </w:r>
      <w:r w:rsidRPr="00E05CA9">
        <w:rPr>
          <w:rFonts w:eastAsia="Calibri"/>
          <w:vertAlign w:val="superscript"/>
          <w:lang w:eastAsia="en-US"/>
        </w:rPr>
        <w:fldChar w:fldCharType="separate"/>
      </w:r>
      <w:r w:rsidRPr="00E05CA9">
        <w:rPr>
          <w:rFonts w:eastAsia="Calibri"/>
          <w:vertAlign w:val="superscript"/>
          <w:lang w:eastAsia="en-US"/>
        </w:rPr>
        <w:t>31</w:t>
      </w:r>
      <w:r w:rsidRPr="00E05CA9">
        <w:rPr>
          <w:rFonts w:eastAsia="Calibri"/>
          <w:vertAlign w:val="superscript"/>
          <w:lang w:eastAsia="en-US"/>
        </w:rPr>
        <w:fldChar w:fldCharType="end"/>
      </w:r>
      <w:r w:rsidRPr="00E05CA9">
        <w:rPr>
          <w:rFonts w:eastAsia="Calibri"/>
          <w:lang w:eastAsia="en-US"/>
        </w:rPr>
        <w:t xml:space="preserve"> and a baseline compliance rate of 81%. [60.4 = (1-81%)*104.5/60*365/2]</w:t>
      </w:r>
    </w:p>
    <w:p w:rsidRPr="00E05CA9" w:rsidR="00E05CA9" w:rsidP="00E05CA9" w:rsidRDefault="00E05CA9" w14:paraId="69CAA7F8" w14:textId="77777777">
      <w:pPr>
        <w:numPr>
          <w:ilvl w:val="0"/>
          <w:numId w:val="22"/>
        </w:numPr>
        <w:autoSpaceDE/>
        <w:autoSpaceDN/>
        <w:spacing w:after="160" w:line="276" w:lineRule="auto"/>
        <w:rPr>
          <w:rFonts w:eastAsia="Calibri"/>
          <w:lang w:eastAsia="en-US"/>
        </w:rPr>
      </w:pPr>
      <w:r w:rsidRPr="00E05CA9">
        <w:rPr>
          <w:rFonts w:eastAsia="Calibri"/>
          <w:lang w:eastAsia="en-US"/>
        </w:rPr>
        <w:t>Nursing Homes: An incremental burden of 20.4 hours is estimated based on a burden of 1 minute per patient each day for an average of 32 patients per facility</w:t>
      </w:r>
      <w:bookmarkStart w:name="_Ref65407614" w:id="9"/>
      <w:r w:rsidRPr="00E05CA9">
        <w:rPr>
          <w:rFonts w:eastAsia="Calibri"/>
          <w:vertAlign w:val="superscript"/>
          <w:lang w:eastAsia="en-US"/>
        </w:rPr>
        <w:footnoteReference w:id="7"/>
      </w:r>
      <w:bookmarkEnd w:id="9"/>
      <w:r w:rsidRPr="00E05CA9">
        <w:rPr>
          <w:rFonts w:eastAsia="Calibri"/>
          <w:lang w:eastAsia="en-US"/>
        </w:rPr>
        <w:t xml:space="preserve"> and a baseline compliance rate of 79%. [20.4 = (1-79%)*32/60*365/2]</w:t>
      </w:r>
    </w:p>
    <w:p w:rsidR="00470487" w:rsidP="00E05CA9" w:rsidRDefault="00E05CA9" w14:paraId="02DDB1B0" w14:textId="65DE3C9B">
      <w:pPr>
        <w:numPr>
          <w:ilvl w:val="0"/>
          <w:numId w:val="22"/>
        </w:numPr>
        <w:autoSpaceDE/>
        <w:autoSpaceDN/>
        <w:spacing w:after="160" w:line="276" w:lineRule="auto"/>
        <w:rPr>
          <w:rFonts w:eastAsia="Calibri"/>
          <w:lang w:eastAsia="en-US"/>
        </w:rPr>
        <w:sectPr w:rsidR="00470487" w:rsidSect="003F2E8F">
          <w:pgSz w:w="12240" w:h="15840"/>
          <w:pgMar w:top="1440" w:right="1440" w:bottom="1440" w:left="1440" w:header="720" w:footer="720" w:gutter="0"/>
          <w:cols w:space="720"/>
          <w:docGrid w:linePitch="360"/>
        </w:sectPr>
      </w:pPr>
      <w:r w:rsidRPr="00E05CA9">
        <w:rPr>
          <w:rFonts w:eastAsia="Calibri"/>
          <w:lang w:eastAsia="en-US"/>
        </w:rPr>
        <w:t>Long Term Care (excluding nursing homes): An incremental burden of 14.7 hours is</w:t>
      </w:r>
      <w:r w:rsidR="0024741E">
        <w:rPr>
          <w:rFonts w:eastAsia="Calibri"/>
          <w:lang w:eastAsia="en-US"/>
        </w:rPr>
        <w:t xml:space="preserve"> </w:t>
      </w:r>
      <w:r w:rsidRPr="00E05CA9">
        <w:rPr>
          <w:rFonts w:eastAsia="Calibri"/>
          <w:lang w:eastAsia="en-US"/>
        </w:rPr>
        <w:t>estimated based on a burden of 1 minute per patient each day for an average of 23 patients per facility</w:t>
      </w:r>
      <w:r w:rsidRPr="00E05CA9">
        <w:rPr>
          <w:rFonts w:eastAsia="Calibri"/>
          <w:vertAlign w:val="superscript"/>
          <w:lang w:eastAsia="en-US"/>
        </w:rPr>
        <w:fldChar w:fldCharType="begin"/>
      </w:r>
      <w:r w:rsidRPr="00E05CA9">
        <w:rPr>
          <w:rFonts w:eastAsia="Calibri"/>
          <w:vertAlign w:val="superscript"/>
          <w:lang w:eastAsia="en-US"/>
        </w:rPr>
        <w:instrText xml:space="preserve"> NOTEREF _Ref65407614 \h  \* MERGEFORMAT </w:instrText>
      </w:r>
      <w:r w:rsidRPr="00E05CA9">
        <w:rPr>
          <w:rFonts w:eastAsia="Calibri"/>
          <w:vertAlign w:val="superscript"/>
          <w:lang w:eastAsia="en-US"/>
        </w:rPr>
      </w:r>
      <w:r w:rsidRPr="00E05CA9">
        <w:rPr>
          <w:rFonts w:eastAsia="Calibri"/>
          <w:vertAlign w:val="superscript"/>
          <w:lang w:eastAsia="en-US"/>
        </w:rPr>
        <w:fldChar w:fldCharType="separate"/>
      </w:r>
      <w:r w:rsidRPr="00E05CA9">
        <w:rPr>
          <w:rFonts w:eastAsia="Calibri"/>
          <w:vertAlign w:val="superscript"/>
          <w:lang w:eastAsia="en-US"/>
        </w:rPr>
        <w:t>28</w:t>
      </w:r>
      <w:r w:rsidRPr="00E05CA9">
        <w:rPr>
          <w:rFonts w:eastAsia="Calibri"/>
          <w:vertAlign w:val="superscript"/>
          <w:lang w:eastAsia="en-US"/>
        </w:rPr>
        <w:fldChar w:fldCharType="end"/>
      </w:r>
      <w:r w:rsidRPr="00E05CA9">
        <w:rPr>
          <w:rFonts w:eastAsia="Calibri"/>
          <w:lang w:eastAsia="en-US"/>
        </w:rPr>
        <w:t xml:space="preserve"> and a baseline compliance rate of 79%. [14.7 = (1-79%)*23/60*365/2]</w:t>
      </w:r>
    </w:p>
    <w:p w:rsidRPr="00E05CA9" w:rsidR="00E05CA9" w:rsidP="00E05CA9" w:rsidRDefault="00E05CA9" w14:paraId="330CEC45" w14:textId="77777777">
      <w:pPr>
        <w:numPr>
          <w:ilvl w:val="0"/>
          <w:numId w:val="22"/>
        </w:numPr>
        <w:autoSpaceDE/>
        <w:autoSpaceDN/>
        <w:spacing w:after="160" w:line="276" w:lineRule="auto"/>
        <w:rPr>
          <w:rFonts w:eastAsia="Calibri"/>
          <w:lang w:eastAsia="en-US"/>
        </w:rPr>
      </w:pPr>
      <w:r w:rsidRPr="00E05CA9">
        <w:rPr>
          <w:rFonts w:eastAsia="Calibri"/>
          <w:lang w:eastAsia="en-US"/>
        </w:rPr>
        <w:t>Other Patient Care: An incremental burden of 39.9 hours is estimated as 30 minutes per day</w:t>
      </w:r>
      <w:r w:rsidRPr="00E05CA9">
        <w:rPr>
          <w:rFonts w:eastAsia="Calibri"/>
          <w:vertAlign w:val="superscript"/>
          <w:lang w:eastAsia="en-US"/>
        </w:rPr>
        <w:footnoteReference w:id="8"/>
      </w:r>
      <w:r w:rsidRPr="00E05CA9">
        <w:rPr>
          <w:rFonts w:eastAsia="Calibri"/>
          <w:lang w:eastAsia="en-US"/>
        </w:rPr>
        <w:t xml:space="preserve"> and a baseline compliance rate of 56% [39.9= (1-56%)*30/60*365/2]</w:t>
      </w:r>
    </w:p>
    <w:p w:rsidRPr="00E05CA9" w:rsidR="00E05CA9" w:rsidP="00E05CA9" w:rsidRDefault="00E05CA9" w14:paraId="11D0D023" w14:textId="77777777">
      <w:pPr>
        <w:numPr>
          <w:ilvl w:val="0"/>
          <w:numId w:val="22"/>
        </w:numPr>
        <w:autoSpaceDE/>
        <w:autoSpaceDN/>
        <w:spacing w:after="160" w:line="276" w:lineRule="auto"/>
        <w:rPr>
          <w:rFonts w:eastAsia="Calibri"/>
          <w:lang w:eastAsia="en-US"/>
        </w:rPr>
      </w:pPr>
      <w:r w:rsidRPr="00E05CA9">
        <w:rPr>
          <w:rFonts w:eastAsia="Calibri"/>
          <w:lang w:eastAsia="en-US"/>
        </w:rPr>
        <w:t>Correctional Facility Clinics: An incremental burden of 18.25 hours is estimated as 30 minutes per day and a baseline compliance rate of 80% [18.25 = (1-80%)*30/60*365/2]</w:t>
      </w:r>
    </w:p>
    <w:p w:rsidRPr="00544A1E" w:rsidR="00C05411" w:rsidP="00CE7C8C" w:rsidRDefault="00C05411" w14:paraId="340F294E" w14:textId="4177CCC5">
      <w:pPr>
        <w:spacing w:after="240"/>
        <w:rPr>
          <w:b/>
        </w:rPr>
      </w:pPr>
      <w:r w:rsidRPr="00544A1E">
        <w:rPr>
          <w:b/>
        </w:rPr>
        <w:t xml:space="preserve">Table </w:t>
      </w:r>
      <w:r w:rsidR="004C40F3">
        <w:rPr>
          <w:b/>
        </w:rPr>
        <w:t>4</w:t>
      </w:r>
      <w:r w:rsidRPr="00544A1E">
        <w:rPr>
          <w:b/>
        </w:rPr>
        <w:t xml:space="preserve"> – Burden Hours and Cost </w:t>
      </w:r>
      <w:r>
        <w:rPr>
          <w:b/>
        </w:rPr>
        <w:t>of</w:t>
      </w:r>
      <w:r w:rsidRPr="00544A1E">
        <w:rPr>
          <w:b/>
        </w:rPr>
        <w:t xml:space="preserve"> </w:t>
      </w:r>
      <w:r>
        <w:rPr>
          <w:b/>
        </w:rPr>
        <w:t>Patient Screening and Management</w:t>
      </w:r>
      <w:r w:rsidR="00CB3695">
        <w:rPr>
          <w:b/>
        </w:rPr>
        <w:t xml:space="preserve"> per 6-Month Period</w:t>
      </w:r>
    </w:p>
    <w:tbl>
      <w:tblPr>
        <w:tblStyle w:val="TableGrid"/>
        <w:tblW w:w="10890" w:type="dxa"/>
        <w:tblInd w:w="-635" w:type="dxa"/>
        <w:tblLayout w:type="fixed"/>
        <w:tblLook w:val="04A0" w:firstRow="1" w:lastRow="0" w:firstColumn="1" w:lastColumn="0" w:noHBand="0" w:noVBand="1"/>
      </w:tblPr>
      <w:tblGrid>
        <w:gridCol w:w="1530"/>
        <w:gridCol w:w="1170"/>
        <w:gridCol w:w="1170"/>
        <w:gridCol w:w="1530"/>
        <w:gridCol w:w="1440"/>
        <w:gridCol w:w="1440"/>
        <w:gridCol w:w="943"/>
        <w:gridCol w:w="1667"/>
      </w:tblGrid>
      <w:tr w:rsidR="00A26D69" w:rsidTr="00CE7C8C" w14:paraId="72B45389" w14:textId="77777777">
        <w:trPr>
          <w:trHeight w:val="797"/>
        </w:trPr>
        <w:tc>
          <w:tcPr>
            <w:tcW w:w="1530" w:type="dxa"/>
            <w:shd w:val="clear" w:color="auto" w:fill="B8CCE4" w:themeFill="accent1" w:themeFillTint="66"/>
          </w:tcPr>
          <w:p w:rsidRPr="00CE7C8C" w:rsidR="00C05411" w:rsidP="00995DA4" w:rsidRDefault="00C05411" w14:paraId="3BFFAD0D" w14:textId="7BB0EECC">
            <w:pPr>
              <w:rPr>
                <w:rFonts w:asciiTheme="minorHAnsi" w:hAnsiTheme="minorHAnsi" w:cstheme="minorHAnsi"/>
                <w:b/>
                <w:sz w:val="20"/>
                <w:szCs w:val="20"/>
              </w:rPr>
            </w:pPr>
            <w:r w:rsidRPr="00CE7C8C">
              <w:rPr>
                <w:rFonts w:asciiTheme="minorHAnsi" w:hAnsiTheme="minorHAnsi" w:cstheme="minorHAnsi"/>
                <w:b/>
                <w:sz w:val="20"/>
                <w:szCs w:val="20"/>
              </w:rPr>
              <w:t>Establishments</w:t>
            </w:r>
          </w:p>
        </w:tc>
        <w:tc>
          <w:tcPr>
            <w:tcW w:w="1170" w:type="dxa"/>
            <w:shd w:val="clear" w:color="auto" w:fill="B8CCE4" w:themeFill="accent1" w:themeFillTint="66"/>
          </w:tcPr>
          <w:p w:rsidRPr="00CE7C8C" w:rsidR="00C05411" w:rsidP="00995DA4" w:rsidRDefault="00470487" w14:paraId="5A9EA1BD" w14:textId="628F8529">
            <w:pPr>
              <w:rPr>
                <w:rFonts w:asciiTheme="minorHAnsi" w:hAnsiTheme="minorHAnsi" w:cstheme="minorHAnsi"/>
                <w:b/>
                <w:sz w:val="20"/>
                <w:szCs w:val="20"/>
              </w:rPr>
            </w:pPr>
            <w:r w:rsidRPr="00CE7C8C">
              <w:rPr>
                <w:rFonts w:asciiTheme="minorHAnsi" w:hAnsiTheme="minorHAnsi" w:cstheme="minorHAnsi"/>
                <w:b/>
                <w:sz w:val="20"/>
                <w:szCs w:val="20"/>
              </w:rPr>
              <w:t xml:space="preserve">Total </w:t>
            </w:r>
            <w:r w:rsidRPr="00CE7C8C" w:rsidR="00C05411">
              <w:rPr>
                <w:rFonts w:asciiTheme="minorHAnsi" w:hAnsiTheme="minorHAnsi" w:cstheme="minorHAnsi"/>
                <w:b/>
                <w:sz w:val="20"/>
                <w:szCs w:val="20"/>
              </w:rPr>
              <w:t>of Establishments</w:t>
            </w:r>
          </w:p>
        </w:tc>
        <w:tc>
          <w:tcPr>
            <w:tcW w:w="1170" w:type="dxa"/>
            <w:shd w:val="clear" w:color="auto" w:fill="B8CCE4" w:themeFill="accent1" w:themeFillTint="66"/>
          </w:tcPr>
          <w:p w:rsidRPr="00CE7C8C" w:rsidR="00C05411" w:rsidP="00995DA4" w:rsidRDefault="00C05411" w14:paraId="12AFBD95" w14:textId="4EE28184">
            <w:pPr>
              <w:rPr>
                <w:rFonts w:asciiTheme="minorHAnsi" w:hAnsiTheme="minorHAnsi" w:cstheme="minorHAnsi"/>
                <w:b/>
                <w:sz w:val="20"/>
                <w:szCs w:val="20"/>
              </w:rPr>
            </w:pPr>
            <w:r w:rsidRPr="00CE7C8C">
              <w:rPr>
                <w:rFonts w:asciiTheme="minorHAnsi" w:hAnsiTheme="minorHAnsi" w:cstheme="minorHAnsi"/>
                <w:b/>
                <w:sz w:val="20"/>
                <w:szCs w:val="20"/>
              </w:rPr>
              <w:t>Non-compliance Rate</w:t>
            </w:r>
          </w:p>
        </w:tc>
        <w:tc>
          <w:tcPr>
            <w:tcW w:w="1530" w:type="dxa"/>
            <w:shd w:val="clear" w:color="auto" w:fill="B8CCE4" w:themeFill="accent1" w:themeFillTint="66"/>
          </w:tcPr>
          <w:p w:rsidRPr="00CE7C8C" w:rsidR="00C05411" w:rsidP="009F6D65" w:rsidRDefault="00C05411" w14:paraId="7B08C282" w14:textId="79F3B8F3">
            <w:pPr>
              <w:rPr>
                <w:rFonts w:asciiTheme="minorHAnsi" w:hAnsiTheme="minorHAnsi" w:cstheme="minorHAnsi"/>
                <w:b/>
                <w:sz w:val="20"/>
                <w:szCs w:val="20"/>
              </w:rPr>
            </w:pPr>
            <w:r w:rsidRPr="00CE7C8C">
              <w:rPr>
                <w:rFonts w:asciiTheme="minorHAnsi" w:hAnsiTheme="minorHAnsi" w:cstheme="minorHAnsi"/>
                <w:b/>
                <w:sz w:val="20"/>
                <w:szCs w:val="20"/>
              </w:rPr>
              <w:t xml:space="preserve"> </w:t>
            </w:r>
            <w:r w:rsidRPr="00CE7C8C" w:rsidR="00470487">
              <w:rPr>
                <w:rFonts w:asciiTheme="minorHAnsi" w:hAnsiTheme="minorHAnsi" w:cstheme="minorHAnsi"/>
                <w:b/>
                <w:sz w:val="20"/>
                <w:szCs w:val="20"/>
              </w:rPr>
              <w:t xml:space="preserve">Affected </w:t>
            </w:r>
            <w:r w:rsidRPr="00CE7C8C" w:rsidR="009F6D65">
              <w:rPr>
                <w:rFonts w:asciiTheme="minorHAnsi" w:hAnsiTheme="minorHAnsi" w:cstheme="minorHAnsi"/>
                <w:b/>
                <w:sz w:val="20"/>
                <w:szCs w:val="20"/>
              </w:rPr>
              <w:t>Establishments</w:t>
            </w:r>
            <w:r w:rsidRPr="00CE7C8C" w:rsidR="00F662E5">
              <w:rPr>
                <w:rFonts w:asciiTheme="minorHAnsi" w:hAnsiTheme="minorHAnsi" w:cstheme="minorHAnsi"/>
                <w:b/>
                <w:sz w:val="20"/>
                <w:szCs w:val="20"/>
              </w:rPr>
              <w:t xml:space="preserve"> </w:t>
            </w:r>
          </w:p>
        </w:tc>
        <w:tc>
          <w:tcPr>
            <w:tcW w:w="1440" w:type="dxa"/>
            <w:shd w:val="clear" w:color="auto" w:fill="B8CCE4" w:themeFill="accent1" w:themeFillTint="66"/>
          </w:tcPr>
          <w:p w:rsidRPr="00CE7C8C" w:rsidR="00C05411" w:rsidP="0024741E" w:rsidRDefault="0024741E" w14:paraId="1A1AFD13" w14:textId="22532C06">
            <w:pPr>
              <w:rPr>
                <w:rFonts w:asciiTheme="minorHAnsi" w:hAnsiTheme="minorHAnsi" w:cstheme="minorHAnsi"/>
                <w:b/>
                <w:sz w:val="20"/>
                <w:szCs w:val="20"/>
              </w:rPr>
            </w:pPr>
            <w:r w:rsidRPr="0024741E">
              <w:rPr>
                <w:rFonts w:asciiTheme="minorHAnsi" w:hAnsiTheme="minorHAnsi" w:cstheme="minorHAnsi"/>
                <w:b/>
                <w:sz w:val="20"/>
                <w:szCs w:val="20"/>
              </w:rPr>
              <w:t>Time per Establishment (Hrs)</w:t>
            </w:r>
          </w:p>
        </w:tc>
        <w:tc>
          <w:tcPr>
            <w:tcW w:w="1440" w:type="dxa"/>
            <w:shd w:val="clear" w:color="auto" w:fill="B8CCE4" w:themeFill="accent1" w:themeFillTint="66"/>
          </w:tcPr>
          <w:p w:rsidRPr="00CE7C8C" w:rsidR="00C05411" w:rsidP="00995DA4" w:rsidRDefault="00C05411" w14:paraId="186B8185" w14:textId="572866B4">
            <w:pPr>
              <w:rPr>
                <w:rFonts w:asciiTheme="minorHAnsi" w:hAnsiTheme="minorHAnsi" w:cstheme="minorHAnsi"/>
                <w:b/>
                <w:sz w:val="20"/>
                <w:szCs w:val="20"/>
              </w:rPr>
            </w:pPr>
            <w:r w:rsidRPr="00CE7C8C">
              <w:rPr>
                <w:rFonts w:asciiTheme="minorHAnsi" w:hAnsiTheme="minorHAnsi" w:cstheme="minorHAnsi"/>
                <w:b/>
                <w:sz w:val="20"/>
                <w:szCs w:val="20"/>
              </w:rPr>
              <w:t>Burden Hours</w:t>
            </w:r>
          </w:p>
        </w:tc>
        <w:tc>
          <w:tcPr>
            <w:tcW w:w="943" w:type="dxa"/>
            <w:shd w:val="clear" w:color="auto" w:fill="B8CCE4" w:themeFill="accent1" w:themeFillTint="66"/>
          </w:tcPr>
          <w:p w:rsidRPr="00CE7C8C" w:rsidR="00C05411" w:rsidP="00995DA4" w:rsidRDefault="00C05411" w14:paraId="6F5486F5" w14:textId="2BAB0F5C">
            <w:pPr>
              <w:rPr>
                <w:rFonts w:asciiTheme="minorHAnsi" w:hAnsiTheme="minorHAnsi" w:cstheme="minorHAnsi"/>
                <w:b/>
                <w:sz w:val="20"/>
                <w:szCs w:val="20"/>
              </w:rPr>
            </w:pPr>
            <w:r w:rsidRPr="00CE7C8C">
              <w:rPr>
                <w:rFonts w:asciiTheme="minorHAnsi" w:hAnsiTheme="minorHAnsi" w:cstheme="minorHAnsi"/>
                <w:b/>
                <w:sz w:val="20"/>
                <w:szCs w:val="20"/>
              </w:rPr>
              <w:t xml:space="preserve">Loaded Hourly </w:t>
            </w:r>
          </w:p>
          <w:p w:rsidRPr="00CE7C8C" w:rsidR="00C05411" w:rsidP="00995DA4" w:rsidRDefault="00C05411" w14:paraId="18CA5553" w14:textId="77777777">
            <w:pPr>
              <w:rPr>
                <w:rFonts w:asciiTheme="minorHAnsi" w:hAnsiTheme="minorHAnsi" w:cstheme="minorHAnsi"/>
                <w:b/>
                <w:sz w:val="20"/>
                <w:szCs w:val="20"/>
              </w:rPr>
            </w:pPr>
            <w:r w:rsidRPr="00CE7C8C">
              <w:rPr>
                <w:rFonts w:asciiTheme="minorHAnsi" w:hAnsiTheme="minorHAnsi" w:cstheme="minorHAnsi"/>
                <w:b/>
                <w:sz w:val="20"/>
                <w:szCs w:val="20"/>
              </w:rPr>
              <w:t xml:space="preserve">Wage </w:t>
            </w:r>
          </w:p>
        </w:tc>
        <w:tc>
          <w:tcPr>
            <w:tcW w:w="1667" w:type="dxa"/>
            <w:tcBorders>
              <w:bottom w:val="single" w:color="auto" w:sz="4" w:space="0"/>
            </w:tcBorders>
            <w:shd w:val="clear" w:color="auto" w:fill="B8CCE4" w:themeFill="accent1" w:themeFillTint="66"/>
          </w:tcPr>
          <w:p w:rsidRPr="00CE7C8C" w:rsidR="00C05411" w:rsidP="00995DA4" w:rsidRDefault="00C05411" w14:paraId="25380F6B" w14:textId="174894F1">
            <w:pPr>
              <w:rPr>
                <w:rFonts w:asciiTheme="minorHAnsi" w:hAnsiTheme="minorHAnsi" w:cstheme="minorHAnsi"/>
                <w:b/>
                <w:sz w:val="20"/>
                <w:szCs w:val="20"/>
              </w:rPr>
            </w:pPr>
            <w:r w:rsidRPr="00CE7C8C">
              <w:rPr>
                <w:rFonts w:asciiTheme="minorHAnsi" w:hAnsiTheme="minorHAnsi" w:cstheme="minorHAnsi"/>
                <w:b/>
                <w:sz w:val="20"/>
                <w:szCs w:val="20"/>
              </w:rPr>
              <w:t>Cost</w:t>
            </w:r>
          </w:p>
        </w:tc>
      </w:tr>
      <w:tr w:rsidR="00A26D69" w:rsidTr="00CE7C8C" w14:paraId="7B8BC1AD" w14:textId="77777777">
        <w:trPr>
          <w:trHeight w:val="475"/>
        </w:trPr>
        <w:tc>
          <w:tcPr>
            <w:tcW w:w="1530" w:type="dxa"/>
          </w:tcPr>
          <w:p w:rsidR="00B22954" w:rsidP="00B22954" w:rsidRDefault="00B22954" w14:paraId="0AF59C8B" w14:textId="77777777">
            <w:r w:rsidRPr="0004103B">
              <w:rPr>
                <w:rFonts w:asciiTheme="minorHAnsi" w:hAnsiTheme="minorHAnsi" w:cstheme="minorHAnsi"/>
                <w:sz w:val="20"/>
                <w:szCs w:val="20"/>
              </w:rPr>
              <w:t>General Hospitals</w:t>
            </w:r>
          </w:p>
        </w:tc>
        <w:tc>
          <w:tcPr>
            <w:tcW w:w="1170" w:type="dxa"/>
          </w:tcPr>
          <w:p w:rsidR="0059218E" w:rsidP="00CA3FE7" w:rsidRDefault="0059218E" w14:paraId="6544FF19" w14:textId="77777777">
            <w:pPr>
              <w:jc w:val="right"/>
              <w:rPr>
                <w:rFonts w:asciiTheme="minorHAnsi" w:hAnsiTheme="minorHAnsi" w:cstheme="minorHAnsi"/>
                <w:sz w:val="20"/>
                <w:szCs w:val="20"/>
              </w:rPr>
            </w:pPr>
          </w:p>
          <w:p w:rsidR="00B22954" w:rsidP="00CA3FE7" w:rsidRDefault="00B22954" w14:paraId="0B833806" w14:textId="7A3BDAC7">
            <w:pPr>
              <w:jc w:val="right"/>
            </w:pPr>
            <w:r w:rsidRPr="0081539A">
              <w:rPr>
                <w:rFonts w:asciiTheme="minorHAnsi" w:hAnsiTheme="minorHAnsi" w:cstheme="minorHAnsi"/>
                <w:sz w:val="20"/>
                <w:szCs w:val="20"/>
              </w:rPr>
              <w:t>5,281</w:t>
            </w:r>
          </w:p>
        </w:tc>
        <w:tc>
          <w:tcPr>
            <w:tcW w:w="1170" w:type="dxa"/>
          </w:tcPr>
          <w:p w:rsidR="0059218E" w:rsidP="00CA3FE7" w:rsidRDefault="0059218E" w14:paraId="3FE7A516" w14:textId="77777777">
            <w:pPr>
              <w:jc w:val="right"/>
              <w:rPr>
                <w:rFonts w:asciiTheme="minorHAnsi" w:hAnsiTheme="minorHAnsi" w:cstheme="minorHAnsi"/>
                <w:sz w:val="20"/>
                <w:szCs w:val="20"/>
              </w:rPr>
            </w:pPr>
          </w:p>
          <w:p w:rsidR="00B22954" w:rsidP="00CA3FE7" w:rsidRDefault="00B22954" w14:paraId="4408E225" w14:textId="3A8FF646">
            <w:pPr>
              <w:jc w:val="right"/>
            </w:pPr>
            <w:r w:rsidRPr="0081539A">
              <w:rPr>
                <w:rFonts w:asciiTheme="minorHAnsi" w:hAnsiTheme="minorHAnsi" w:cstheme="minorHAnsi"/>
                <w:sz w:val="20"/>
                <w:szCs w:val="20"/>
              </w:rPr>
              <w:t>19%</w:t>
            </w:r>
          </w:p>
        </w:tc>
        <w:tc>
          <w:tcPr>
            <w:tcW w:w="1530" w:type="dxa"/>
            <w:vAlign w:val="center"/>
          </w:tcPr>
          <w:p w:rsidR="0059218E" w:rsidP="00CA3FE7" w:rsidRDefault="0059218E" w14:paraId="366AC556" w14:textId="77777777">
            <w:pPr>
              <w:jc w:val="right"/>
              <w:rPr>
                <w:rFonts w:ascii="Calibri" w:hAnsi="Calibri"/>
                <w:sz w:val="20"/>
                <w:szCs w:val="20"/>
              </w:rPr>
            </w:pPr>
          </w:p>
          <w:p w:rsidR="00B22954" w:rsidP="00CA3FE7" w:rsidRDefault="00B22954" w14:paraId="23D8867A" w14:textId="50DFD7E8">
            <w:pPr>
              <w:jc w:val="right"/>
            </w:pPr>
            <w:r>
              <w:rPr>
                <w:rFonts w:ascii="Calibri" w:hAnsi="Calibri"/>
                <w:sz w:val="20"/>
                <w:szCs w:val="20"/>
              </w:rPr>
              <w:t>1,003</w:t>
            </w:r>
          </w:p>
        </w:tc>
        <w:tc>
          <w:tcPr>
            <w:tcW w:w="1440" w:type="dxa"/>
          </w:tcPr>
          <w:p w:rsidR="0059218E" w:rsidP="00CA3FE7" w:rsidRDefault="0059218E" w14:paraId="71A0A8D5" w14:textId="77777777">
            <w:pPr>
              <w:jc w:val="right"/>
              <w:rPr>
                <w:rFonts w:asciiTheme="minorHAnsi" w:hAnsiTheme="minorHAnsi" w:cstheme="minorHAnsi"/>
                <w:sz w:val="20"/>
                <w:szCs w:val="20"/>
              </w:rPr>
            </w:pPr>
          </w:p>
          <w:p w:rsidR="00B22954" w:rsidP="00CA3FE7" w:rsidRDefault="00B22954" w14:paraId="44ABB26A" w14:textId="53FB7ABE">
            <w:pPr>
              <w:jc w:val="right"/>
            </w:pPr>
            <w:r w:rsidRPr="0081539A">
              <w:rPr>
                <w:rFonts w:asciiTheme="minorHAnsi" w:hAnsiTheme="minorHAnsi" w:cstheme="minorHAnsi"/>
                <w:sz w:val="20"/>
                <w:szCs w:val="20"/>
              </w:rPr>
              <w:t>385.1</w:t>
            </w:r>
          </w:p>
        </w:tc>
        <w:tc>
          <w:tcPr>
            <w:tcW w:w="1440" w:type="dxa"/>
            <w:vAlign w:val="center"/>
          </w:tcPr>
          <w:p w:rsidR="0059218E" w:rsidP="00CA3FE7" w:rsidRDefault="0059218E" w14:paraId="4FD9C4BC" w14:textId="77777777">
            <w:pPr>
              <w:jc w:val="right"/>
              <w:rPr>
                <w:rFonts w:ascii="Calibri" w:hAnsi="Calibri"/>
                <w:color w:val="000000"/>
                <w:sz w:val="20"/>
                <w:szCs w:val="20"/>
              </w:rPr>
            </w:pPr>
          </w:p>
          <w:p w:rsidR="00B22954" w:rsidP="00CA3FE7" w:rsidRDefault="00B22954" w14:paraId="09E859EA" w14:textId="64814FA8">
            <w:pPr>
              <w:jc w:val="right"/>
            </w:pPr>
            <w:r>
              <w:rPr>
                <w:rFonts w:ascii="Calibri" w:hAnsi="Calibri"/>
                <w:color w:val="000000"/>
                <w:sz w:val="20"/>
                <w:szCs w:val="20"/>
              </w:rPr>
              <w:t>386,405.49</w:t>
            </w:r>
          </w:p>
        </w:tc>
        <w:tc>
          <w:tcPr>
            <w:tcW w:w="943" w:type="dxa"/>
            <w:tcBorders>
              <w:top w:val="nil"/>
              <w:left w:val="nil"/>
              <w:bottom w:val="single" w:color="auto" w:sz="8" w:space="0"/>
              <w:right w:val="single" w:color="auto" w:sz="8" w:space="0"/>
            </w:tcBorders>
            <w:shd w:val="clear" w:color="auto" w:fill="auto"/>
            <w:vAlign w:val="center"/>
          </w:tcPr>
          <w:p w:rsidR="0059218E" w:rsidP="00CA3FE7" w:rsidRDefault="0059218E" w14:paraId="4C9C5CA4" w14:textId="77777777">
            <w:pPr>
              <w:jc w:val="right"/>
              <w:rPr>
                <w:rFonts w:ascii="Calibri" w:hAnsi="Calibri" w:cs="Calibri"/>
                <w:color w:val="000000"/>
                <w:sz w:val="20"/>
                <w:szCs w:val="20"/>
              </w:rPr>
            </w:pPr>
          </w:p>
          <w:p w:rsidR="00B22954" w:rsidP="00CA3FE7" w:rsidRDefault="00B22954" w14:paraId="31CE0B79" w14:textId="51C9FA83">
            <w:pPr>
              <w:jc w:val="right"/>
            </w:pPr>
            <w:r>
              <w:rPr>
                <w:rFonts w:ascii="Calibri" w:hAnsi="Calibri" w:cs="Calibri"/>
                <w:color w:val="000000"/>
                <w:sz w:val="20"/>
                <w:szCs w:val="20"/>
              </w:rPr>
              <w:t>$53.76</w:t>
            </w:r>
          </w:p>
        </w:tc>
        <w:tc>
          <w:tcPr>
            <w:tcW w:w="1667" w:type="dxa"/>
            <w:tcBorders>
              <w:top w:val="single" w:color="auto" w:sz="4" w:space="0"/>
              <w:left w:val="nil"/>
              <w:bottom w:val="single" w:color="auto" w:sz="8" w:space="0"/>
              <w:right w:val="single" w:color="auto" w:sz="4" w:space="0"/>
            </w:tcBorders>
            <w:shd w:val="clear" w:color="auto" w:fill="auto"/>
            <w:vAlign w:val="center"/>
          </w:tcPr>
          <w:p w:rsidR="0059218E" w:rsidP="00CA3FE7" w:rsidRDefault="0059218E" w14:paraId="3318A7B0" w14:textId="77777777">
            <w:pPr>
              <w:jc w:val="right"/>
              <w:rPr>
                <w:rFonts w:ascii="Calibri" w:hAnsi="Calibri" w:cs="Calibri"/>
                <w:color w:val="000000"/>
                <w:sz w:val="20"/>
                <w:szCs w:val="20"/>
              </w:rPr>
            </w:pPr>
          </w:p>
          <w:p w:rsidR="00B22954" w:rsidP="00CA3FE7" w:rsidRDefault="00B22954" w14:paraId="489AF3E7" w14:textId="23ACB140">
            <w:pPr>
              <w:jc w:val="right"/>
            </w:pPr>
            <w:r>
              <w:rPr>
                <w:rFonts w:ascii="Calibri" w:hAnsi="Calibri" w:cs="Calibri"/>
                <w:color w:val="000000"/>
                <w:sz w:val="20"/>
                <w:szCs w:val="20"/>
              </w:rPr>
              <w:t>$20,773,159.09</w:t>
            </w:r>
          </w:p>
        </w:tc>
      </w:tr>
      <w:tr w:rsidR="00A26D69" w:rsidTr="00CE7C8C" w14:paraId="31FF7CDE" w14:textId="77777777">
        <w:trPr>
          <w:trHeight w:val="249"/>
        </w:trPr>
        <w:tc>
          <w:tcPr>
            <w:tcW w:w="1530" w:type="dxa"/>
          </w:tcPr>
          <w:p w:rsidR="00B22954" w:rsidP="00B22954" w:rsidRDefault="00B22954" w14:paraId="3B92051B" w14:textId="77777777">
            <w:r w:rsidRPr="0004103B">
              <w:rPr>
                <w:rFonts w:asciiTheme="minorHAnsi" w:hAnsiTheme="minorHAnsi" w:cstheme="minorHAnsi"/>
                <w:sz w:val="20"/>
                <w:szCs w:val="20"/>
              </w:rPr>
              <w:t>Other Hospitals</w:t>
            </w:r>
          </w:p>
        </w:tc>
        <w:tc>
          <w:tcPr>
            <w:tcW w:w="1170" w:type="dxa"/>
          </w:tcPr>
          <w:p w:rsidR="00B22954" w:rsidP="00CA3FE7" w:rsidRDefault="00B22954" w14:paraId="6BDAAF01" w14:textId="77777777">
            <w:pPr>
              <w:jc w:val="right"/>
            </w:pPr>
            <w:r w:rsidRPr="0081539A">
              <w:rPr>
                <w:rFonts w:asciiTheme="minorHAnsi" w:hAnsiTheme="minorHAnsi" w:cstheme="minorHAnsi"/>
                <w:sz w:val="20"/>
                <w:szCs w:val="20"/>
              </w:rPr>
              <w:t>2,363</w:t>
            </w:r>
          </w:p>
        </w:tc>
        <w:tc>
          <w:tcPr>
            <w:tcW w:w="1170" w:type="dxa"/>
          </w:tcPr>
          <w:p w:rsidR="00B22954" w:rsidP="00CA3FE7" w:rsidRDefault="00B22954" w14:paraId="3F789D2B" w14:textId="77777777">
            <w:pPr>
              <w:jc w:val="right"/>
            </w:pPr>
            <w:r w:rsidRPr="0081539A">
              <w:rPr>
                <w:rFonts w:asciiTheme="minorHAnsi" w:hAnsiTheme="minorHAnsi" w:cstheme="minorHAnsi"/>
                <w:sz w:val="20"/>
                <w:szCs w:val="20"/>
              </w:rPr>
              <w:t>19%</w:t>
            </w:r>
          </w:p>
        </w:tc>
        <w:tc>
          <w:tcPr>
            <w:tcW w:w="1530" w:type="dxa"/>
            <w:vAlign w:val="center"/>
          </w:tcPr>
          <w:p w:rsidR="00B22954" w:rsidP="009B63D2" w:rsidRDefault="00B22954" w14:paraId="1132525E" w14:textId="6910F36D">
            <w:pPr>
              <w:jc w:val="right"/>
            </w:pPr>
            <w:r>
              <w:rPr>
                <w:rFonts w:ascii="Calibri" w:hAnsi="Calibri"/>
                <w:sz w:val="20"/>
                <w:szCs w:val="20"/>
              </w:rPr>
              <w:t>44</w:t>
            </w:r>
            <w:r w:rsidR="009B63D2">
              <w:rPr>
                <w:rFonts w:ascii="Calibri" w:hAnsi="Calibri"/>
                <w:sz w:val="20"/>
                <w:szCs w:val="20"/>
              </w:rPr>
              <w:t>9</w:t>
            </w:r>
          </w:p>
        </w:tc>
        <w:tc>
          <w:tcPr>
            <w:tcW w:w="1440" w:type="dxa"/>
          </w:tcPr>
          <w:p w:rsidR="00B22954" w:rsidP="00CA3FE7" w:rsidRDefault="00B22954" w14:paraId="528E8829" w14:textId="77777777">
            <w:pPr>
              <w:jc w:val="right"/>
            </w:pPr>
            <w:r w:rsidRPr="0081539A">
              <w:rPr>
                <w:rFonts w:asciiTheme="minorHAnsi" w:hAnsiTheme="minorHAnsi" w:cstheme="minorHAnsi"/>
                <w:sz w:val="20"/>
                <w:szCs w:val="20"/>
              </w:rPr>
              <w:t>60.4</w:t>
            </w:r>
          </w:p>
        </w:tc>
        <w:tc>
          <w:tcPr>
            <w:tcW w:w="1440" w:type="dxa"/>
            <w:vAlign w:val="center"/>
          </w:tcPr>
          <w:p w:rsidR="00B22954" w:rsidP="00CA3FE7" w:rsidRDefault="00B22954" w14:paraId="410A6695" w14:textId="77777777">
            <w:pPr>
              <w:jc w:val="right"/>
            </w:pPr>
            <w:r>
              <w:rPr>
                <w:rFonts w:ascii="Calibri" w:hAnsi="Calibri"/>
                <w:color w:val="000000"/>
                <w:sz w:val="20"/>
                <w:szCs w:val="20"/>
              </w:rPr>
              <w:t>27,117.79</w:t>
            </w:r>
          </w:p>
        </w:tc>
        <w:tc>
          <w:tcPr>
            <w:tcW w:w="943" w:type="dxa"/>
            <w:tcBorders>
              <w:top w:val="nil"/>
              <w:left w:val="nil"/>
              <w:bottom w:val="single" w:color="auto" w:sz="8" w:space="0"/>
              <w:right w:val="single" w:color="auto" w:sz="8" w:space="0"/>
            </w:tcBorders>
            <w:shd w:val="clear" w:color="auto" w:fill="auto"/>
            <w:vAlign w:val="center"/>
          </w:tcPr>
          <w:p w:rsidR="00B22954" w:rsidP="00CA3FE7" w:rsidRDefault="00B22954" w14:paraId="470E4C3A" w14:textId="50FF870E">
            <w:pPr>
              <w:jc w:val="right"/>
            </w:pPr>
            <w:r>
              <w:rPr>
                <w:rFonts w:ascii="Calibri" w:hAnsi="Calibri" w:cs="Calibri"/>
                <w:color w:val="000000"/>
                <w:sz w:val="20"/>
                <w:szCs w:val="20"/>
              </w:rPr>
              <w:t>$49.56</w:t>
            </w:r>
          </w:p>
        </w:tc>
        <w:tc>
          <w:tcPr>
            <w:tcW w:w="1667" w:type="dxa"/>
            <w:tcBorders>
              <w:top w:val="single" w:color="auto" w:sz="8" w:space="0"/>
              <w:left w:val="nil"/>
              <w:bottom w:val="single" w:color="auto" w:sz="8" w:space="0"/>
              <w:right w:val="single" w:color="auto" w:sz="4" w:space="0"/>
            </w:tcBorders>
            <w:shd w:val="clear" w:color="auto" w:fill="auto"/>
            <w:vAlign w:val="center"/>
          </w:tcPr>
          <w:p w:rsidR="00B22954" w:rsidP="00520C25" w:rsidRDefault="00B22954" w14:paraId="0A8F2EB5" w14:textId="6499FE39">
            <w:pPr>
              <w:jc w:val="right"/>
            </w:pPr>
            <w:r>
              <w:rPr>
                <w:rFonts w:ascii="Calibri" w:hAnsi="Calibri" w:cs="Calibri"/>
                <w:color w:val="000000"/>
                <w:sz w:val="20"/>
                <w:szCs w:val="20"/>
              </w:rPr>
              <w:t>$1,343,957.57</w:t>
            </w:r>
          </w:p>
        </w:tc>
      </w:tr>
      <w:tr w:rsidR="00A26D69" w:rsidTr="00CE7C8C" w14:paraId="297D9431" w14:textId="77777777">
        <w:trPr>
          <w:trHeight w:val="237"/>
        </w:trPr>
        <w:tc>
          <w:tcPr>
            <w:tcW w:w="1530" w:type="dxa"/>
          </w:tcPr>
          <w:p w:rsidR="00B22954" w:rsidP="00B22954" w:rsidRDefault="00B22954" w14:paraId="31662372" w14:textId="77777777">
            <w:r w:rsidRPr="0004103B">
              <w:rPr>
                <w:rFonts w:asciiTheme="minorHAnsi" w:hAnsiTheme="minorHAnsi" w:cstheme="minorHAnsi"/>
                <w:sz w:val="20"/>
                <w:szCs w:val="20"/>
              </w:rPr>
              <w:t>Nursing Homes</w:t>
            </w:r>
          </w:p>
        </w:tc>
        <w:tc>
          <w:tcPr>
            <w:tcW w:w="1170" w:type="dxa"/>
          </w:tcPr>
          <w:p w:rsidR="00B22954" w:rsidP="00CA3FE7" w:rsidRDefault="00B22954" w14:paraId="366A9B3D" w14:textId="77777777">
            <w:pPr>
              <w:jc w:val="right"/>
            </w:pPr>
            <w:r w:rsidRPr="0081539A">
              <w:rPr>
                <w:rFonts w:asciiTheme="minorHAnsi" w:hAnsiTheme="minorHAnsi" w:cstheme="minorHAnsi"/>
                <w:sz w:val="20"/>
                <w:szCs w:val="20"/>
              </w:rPr>
              <w:t>42,759</w:t>
            </w:r>
          </w:p>
        </w:tc>
        <w:tc>
          <w:tcPr>
            <w:tcW w:w="1170" w:type="dxa"/>
          </w:tcPr>
          <w:p w:rsidR="00B22954" w:rsidP="00CA3FE7" w:rsidRDefault="00B22954" w14:paraId="32D2504C" w14:textId="77777777">
            <w:pPr>
              <w:jc w:val="right"/>
            </w:pPr>
            <w:r w:rsidRPr="0081539A">
              <w:rPr>
                <w:rFonts w:asciiTheme="minorHAnsi" w:hAnsiTheme="minorHAnsi" w:cstheme="minorHAnsi"/>
                <w:sz w:val="20"/>
                <w:szCs w:val="20"/>
              </w:rPr>
              <w:t>21%</w:t>
            </w:r>
          </w:p>
        </w:tc>
        <w:tc>
          <w:tcPr>
            <w:tcW w:w="1530" w:type="dxa"/>
            <w:vAlign w:val="center"/>
          </w:tcPr>
          <w:p w:rsidR="00B22954" w:rsidP="009B63D2" w:rsidRDefault="00B22954" w14:paraId="495F44FB" w14:textId="4A579AED">
            <w:pPr>
              <w:jc w:val="right"/>
            </w:pPr>
            <w:r>
              <w:rPr>
                <w:rFonts w:ascii="Calibri" w:hAnsi="Calibri"/>
                <w:sz w:val="20"/>
                <w:szCs w:val="20"/>
              </w:rPr>
              <w:t>8,979</w:t>
            </w:r>
          </w:p>
        </w:tc>
        <w:tc>
          <w:tcPr>
            <w:tcW w:w="1440" w:type="dxa"/>
          </w:tcPr>
          <w:p w:rsidR="00B22954" w:rsidP="00CA3FE7" w:rsidRDefault="00B22954" w14:paraId="66E63510" w14:textId="77777777">
            <w:pPr>
              <w:jc w:val="right"/>
            </w:pPr>
            <w:r w:rsidRPr="0081539A">
              <w:rPr>
                <w:rFonts w:asciiTheme="minorHAnsi" w:hAnsiTheme="minorHAnsi" w:cstheme="minorHAnsi"/>
                <w:sz w:val="20"/>
                <w:szCs w:val="20"/>
              </w:rPr>
              <w:t>20.4</w:t>
            </w:r>
          </w:p>
        </w:tc>
        <w:tc>
          <w:tcPr>
            <w:tcW w:w="1440" w:type="dxa"/>
            <w:vAlign w:val="center"/>
          </w:tcPr>
          <w:p w:rsidR="00B22954" w:rsidP="00CA3FE7" w:rsidRDefault="00B22954" w14:paraId="288E8586" w14:textId="77777777">
            <w:pPr>
              <w:jc w:val="right"/>
            </w:pPr>
            <w:r>
              <w:rPr>
                <w:rFonts w:ascii="Calibri" w:hAnsi="Calibri"/>
                <w:color w:val="000000"/>
                <w:sz w:val="20"/>
                <w:szCs w:val="20"/>
              </w:rPr>
              <w:t>183,179.56</w:t>
            </w:r>
          </w:p>
        </w:tc>
        <w:tc>
          <w:tcPr>
            <w:tcW w:w="943" w:type="dxa"/>
            <w:tcBorders>
              <w:top w:val="nil"/>
              <w:left w:val="nil"/>
              <w:bottom w:val="single" w:color="auto" w:sz="8" w:space="0"/>
              <w:right w:val="single" w:color="auto" w:sz="8" w:space="0"/>
            </w:tcBorders>
            <w:shd w:val="clear" w:color="auto" w:fill="auto"/>
            <w:vAlign w:val="center"/>
          </w:tcPr>
          <w:p w:rsidR="00B22954" w:rsidP="00CA3FE7" w:rsidRDefault="00B22954" w14:paraId="7EA52FEE" w14:textId="6D0EDDEE">
            <w:pPr>
              <w:jc w:val="right"/>
            </w:pPr>
            <w:r>
              <w:rPr>
                <w:rFonts w:ascii="Calibri" w:hAnsi="Calibri" w:cs="Calibri"/>
                <w:color w:val="000000"/>
                <w:sz w:val="20"/>
                <w:szCs w:val="20"/>
              </w:rPr>
              <w:t>$26.79</w:t>
            </w:r>
          </w:p>
        </w:tc>
        <w:tc>
          <w:tcPr>
            <w:tcW w:w="1667" w:type="dxa"/>
            <w:tcBorders>
              <w:top w:val="single" w:color="auto" w:sz="8" w:space="0"/>
              <w:left w:val="nil"/>
              <w:bottom w:val="single" w:color="auto" w:sz="8" w:space="0"/>
              <w:right w:val="single" w:color="auto" w:sz="4" w:space="0"/>
            </w:tcBorders>
            <w:shd w:val="clear" w:color="auto" w:fill="auto"/>
            <w:vAlign w:val="center"/>
          </w:tcPr>
          <w:p w:rsidR="00B22954" w:rsidP="00CA3FE7" w:rsidRDefault="00B22954" w14:paraId="222CBDE4" w14:textId="3828CB54">
            <w:pPr>
              <w:jc w:val="right"/>
            </w:pPr>
            <w:r>
              <w:rPr>
                <w:rFonts w:ascii="Calibri" w:hAnsi="Calibri" w:cs="Calibri"/>
                <w:color w:val="000000"/>
                <w:sz w:val="20"/>
                <w:szCs w:val="20"/>
              </w:rPr>
              <w:t>$4,907,380.31</w:t>
            </w:r>
          </w:p>
        </w:tc>
      </w:tr>
      <w:tr w:rsidR="00A26D69" w:rsidTr="00CE7C8C" w14:paraId="39471788" w14:textId="77777777">
        <w:trPr>
          <w:trHeight w:val="237"/>
        </w:trPr>
        <w:tc>
          <w:tcPr>
            <w:tcW w:w="1530" w:type="dxa"/>
          </w:tcPr>
          <w:p w:rsidR="00B22954" w:rsidP="00B22954" w:rsidRDefault="00B22954" w14:paraId="51AAF6C3" w14:textId="77777777">
            <w:r w:rsidRPr="0004103B">
              <w:rPr>
                <w:rFonts w:asciiTheme="minorHAnsi" w:hAnsiTheme="minorHAnsi" w:cstheme="minorHAnsi"/>
                <w:sz w:val="20"/>
                <w:szCs w:val="20"/>
              </w:rPr>
              <w:t>Long Term Care</w:t>
            </w:r>
          </w:p>
        </w:tc>
        <w:tc>
          <w:tcPr>
            <w:tcW w:w="1170" w:type="dxa"/>
          </w:tcPr>
          <w:p w:rsidR="00B22954" w:rsidP="00F47D3D" w:rsidRDefault="00B22954" w14:paraId="26C98450" w14:textId="505FF75A">
            <w:pPr>
              <w:jc w:val="right"/>
            </w:pPr>
            <w:r w:rsidRPr="0081539A">
              <w:rPr>
                <w:rFonts w:asciiTheme="minorHAnsi" w:hAnsiTheme="minorHAnsi" w:cstheme="minorHAnsi"/>
                <w:sz w:val="20"/>
                <w:szCs w:val="20"/>
              </w:rPr>
              <w:t>48,65</w:t>
            </w:r>
            <w:r w:rsidR="00F47D3D">
              <w:rPr>
                <w:rFonts w:asciiTheme="minorHAnsi" w:hAnsiTheme="minorHAnsi" w:cstheme="minorHAnsi"/>
                <w:sz w:val="20"/>
                <w:szCs w:val="20"/>
              </w:rPr>
              <w:t>7</w:t>
            </w:r>
          </w:p>
        </w:tc>
        <w:tc>
          <w:tcPr>
            <w:tcW w:w="1170" w:type="dxa"/>
          </w:tcPr>
          <w:p w:rsidR="00B22954" w:rsidP="00CA3FE7" w:rsidRDefault="00B22954" w14:paraId="1BE5B300" w14:textId="77777777">
            <w:pPr>
              <w:jc w:val="right"/>
            </w:pPr>
            <w:r w:rsidRPr="0081539A">
              <w:rPr>
                <w:rFonts w:asciiTheme="minorHAnsi" w:hAnsiTheme="minorHAnsi" w:cstheme="minorHAnsi"/>
                <w:sz w:val="20"/>
                <w:szCs w:val="20"/>
              </w:rPr>
              <w:t>21%</w:t>
            </w:r>
          </w:p>
        </w:tc>
        <w:tc>
          <w:tcPr>
            <w:tcW w:w="1530" w:type="dxa"/>
            <w:vAlign w:val="center"/>
          </w:tcPr>
          <w:p w:rsidR="00B22954" w:rsidP="009B63D2" w:rsidRDefault="00B22954" w14:paraId="5610DAD8" w14:textId="1DDF5961">
            <w:pPr>
              <w:jc w:val="right"/>
            </w:pPr>
            <w:r>
              <w:rPr>
                <w:rFonts w:ascii="Calibri" w:hAnsi="Calibri"/>
                <w:sz w:val="20"/>
                <w:szCs w:val="20"/>
              </w:rPr>
              <w:t>10,21</w:t>
            </w:r>
            <w:r w:rsidR="009B63D2">
              <w:rPr>
                <w:rFonts w:ascii="Calibri" w:hAnsi="Calibri"/>
                <w:sz w:val="20"/>
                <w:szCs w:val="20"/>
              </w:rPr>
              <w:t>8</w:t>
            </w:r>
          </w:p>
        </w:tc>
        <w:tc>
          <w:tcPr>
            <w:tcW w:w="1440" w:type="dxa"/>
          </w:tcPr>
          <w:p w:rsidR="00B22954" w:rsidP="00CA3FE7" w:rsidRDefault="00B22954" w14:paraId="5FA8741F" w14:textId="77777777">
            <w:pPr>
              <w:jc w:val="right"/>
            </w:pPr>
            <w:r w:rsidRPr="0081539A">
              <w:rPr>
                <w:rFonts w:asciiTheme="minorHAnsi" w:hAnsiTheme="minorHAnsi" w:cstheme="minorHAnsi"/>
                <w:sz w:val="20"/>
                <w:szCs w:val="20"/>
              </w:rPr>
              <w:t>14.7</w:t>
            </w:r>
          </w:p>
        </w:tc>
        <w:tc>
          <w:tcPr>
            <w:tcW w:w="1440" w:type="dxa"/>
            <w:vAlign w:val="center"/>
          </w:tcPr>
          <w:p w:rsidR="00B22954" w:rsidP="00CA3FE7" w:rsidRDefault="00B22954" w14:paraId="5C7BB96E" w14:textId="77777777">
            <w:pPr>
              <w:jc w:val="right"/>
            </w:pPr>
            <w:r>
              <w:rPr>
                <w:rFonts w:ascii="Calibri" w:hAnsi="Calibri"/>
                <w:color w:val="000000"/>
                <w:sz w:val="20"/>
                <w:szCs w:val="20"/>
              </w:rPr>
              <w:t>150,204.16</w:t>
            </w:r>
          </w:p>
        </w:tc>
        <w:tc>
          <w:tcPr>
            <w:tcW w:w="943" w:type="dxa"/>
            <w:tcBorders>
              <w:top w:val="nil"/>
              <w:left w:val="nil"/>
              <w:bottom w:val="single" w:color="auto" w:sz="8" w:space="0"/>
              <w:right w:val="single" w:color="auto" w:sz="8" w:space="0"/>
            </w:tcBorders>
            <w:shd w:val="clear" w:color="auto" w:fill="auto"/>
            <w:vAlign w:val="center"/>
          </w:tcPr>
          <w:p w:rsidR="00B22954" w:rsidP="00CA3FE7" w:rsidRDefault="00B22954" w14:paraId="11858795" w14:textId="0DDA4EF5">
            <w:pPr>
              <w:jc w:val="right"/>
            </w:pPr>
            <w:r>
              <w:rPr>
                <w:rFonts w:ascii="Calibri" w:hAnsi="Calibri" w:cs="Calibri"/>
                <w:color w:val="000000"/>
                <w:sz w:val="20"/>
                <w:szCs w:val="20"/>
              </w:rPr>
              <w:t>$22.57</w:t>
            </w:r>
          </w:p>
        </w:tc>
        <w:tc>
          <w:tcPr>
            <w:tcW w:w="1667" w:type="dxa"/>
            <w:tcBorders>
              <w:top w:val="single" w:color="auto" w:sz="8" w:space="0"/>
              <w:left w:val="nil"/>
              <w:bottom w:val="single" w:color="auto" w:sz="8" w:space="0"/>
              <w:right w:val="single" w:color="auto" w:sz="4" w:space="0"/>
            </w:tcBorders>
            <w:shd w:val="clear" w:color="auto" w:fill="auto"/>
            <w:vAlign w:val="center"/>
          </w:tcPr>
          <w:p w:rsidR="00B22954" w:rsidP="00CA3FE7" w:rsidRDefault="00B22954" w14:paraId="4AAF11B5" w14:textId="215E2A98">
            <w:pPr>
              <w:jc w:val="right"/>
            </w:pPr>
            <w:r>
              <w:rPr>
                <w:rFonts w:ascii="Calibri" w:hAnsi="Calibri" w:cs="Calibri"/>
                <w:color w:val="000000"/>
                <w:sz w:val="20"/>
                <w:szCs w:val="20"/>
              </w:rPr>
              <w:t>$3,390,107.87</w:t>
            </w:r>
          </w:p>
        </w:tc>
      </w:tr>
      <w:tr w:rsidR="00A26D69" w:rsidTr="00CE7C8C" w14:paraId="2FBAE157" w14:textId="77777777">
        <w:trPr>
          <w:trHeight w:val="475"/>
        </w:trPr>
        <w:tc>
          <w:tcPr>
            <w:tcW w:w="1530" w:type="dxa"/>
          </w:tcPr>
          <w:p w:rsidR="00B22954" w:rsidP="00B22954" w:rsidRDefault="00B22954" w14:paraId="775EA0E2" w14:textId="77777777">
            <w:r w:rsidRPr="0004103B">
              <w:rPr>
                <w:rFonts w:asciiTheme="minorHAnsi" w:hAnsiTheme="minorHAnsi" w:cstheme="minorHAnsi"/>
                <w:sz w:val="20"/>
                <w:szCs w:val="20"/>
              </w:rPr>
              <w:t>Other Patient Care</w:t>
            </w:r>
          </w:p>
        </w:tc>
        <w:tc>
          <w:tcPr>
            <w:tcW w:w="1170" w:type="dxa"/>
          </w:tcPr>
          <w:p w:rsidR="0059218E" w:rsidP="00215D5D" w:rsidRDefault="0059218E" w14:paraId="04017BD1" w14:textId="77777777">
            <w:pPr>
              <w:jc w:val="right"/>
              <w:rPr>
                <w:rFonts w:asciiTheme="minorHAnsi" w:hAnsiTheme="minorHAnsi" w:cstheme="minorHAnsi"/>
                <w:sz w:val="20"/>
                <w:szCs w:val="20"/>
              </w:rPr>
            </w:pPr>
          </w:p>
          <w:p w:rsidR="00B22954" w:rsidP="00215D5D" w:rsidRDefault="00B22954" w14:paraId="044EEE33" w14:textId="142FACB6">
            <w:pPr>
              <w:jc w:val="right"/>
            </w:pPr>
            <w:r w:rsidRPr="0081539A">
              <w:rPr>
                <w:rFonts w:asciiTheme="minorHAnsi" w:hAnsiTheme="minorHAnsi" w:cstheme="minorHAnsi"/>
                <w:sz w:val="20"/>
                <w:szCs w:val="20"/>
              </w:rPr>
              <w:t>558,57</w:t>
            </w:r>
            <w:r w:rsidR="00F47D3D">
              <w:rPr>
                <w:rFonts w:asciiTheme="minorHAnsi" w:hAnsiTheme="minorHAnsi" w:cstheme="minorHAnsi"/>
                <w:sz w:val="20"/>
                <w:szCs w:val="20"/>
              </w:rPr>
              <w:t>6</w:t>
            </w:r>
          </w:p>
        </w:tc>
        <w:tc>
          <w:tcPr>
            <w:tcW w:w="1170" w:type="dxa"/>
          </w:tcPr>
          <w:p w:rsidR="0059218E" w:rsidP="00CA3FE7" w:rsidRDefault="0059218E" w14:paraId="69A9CB98" w14:textId="77777777">
            <w:pPr>
              <w:jc w:val="right"/>
              <w:rPr>
                <w:rFonts w:asciiTheme="minorHAnsi" w:hAnsiTheme="minorHAnsi" w:cstheme="minorHAnsi"/>
                <w:sz w:val="20"/>
                <w:szCs w:val="20"/>
              </w:rPr>
            </w:pPr>
          </w:p>
          <w:p w:rsidR="00B22954" w:rsidP="00CA3FE7" w:rsidRDefault="00B22954" w14:paraId="6314C3D0" w14:textId="1A527D9E">
            <w:pPr>
              <w:jc w:val="right"/>
            </w:pPr>
            <w:r w:rsidRPr="0081539A">
              <w:rPr>
                <w:rFonts w:asciiTheme="minorHAnsi" w:hAnsiTheme="minorHAnsi" w:cstheme="minorHAnsi"/>
                <w:sz w:val="20"/>
                <w:szCs w:val="20"/>
              </w:rPr>
              <w:t>44%</w:t>
            </w:r>
          </w:p>
        </w:tc>
        <w:tc>
          <w:tcPr>
            <w:tcW w:w="1530" w:type="dxa"/>
            <w:vAlign w:val="center"/>
          </w:tcPr>
          <w:p w:rsidR="0059218E" w:rsidP="0059218E" w:rsidRDefault="0059218E" w14:paraId="669A1333" w14:textId="77777777">
            <w:pPr>
              <w:jc w:val="right"/>
              <w:rPr>
                <w:rFonts w:ascii="Calibri" w:hAnsi="Calibri"/>
                <w:sz w:val="20"/>
                <w:szCs w:val="20"/>
              </w:rPr>
            </w:pPr>
          </w:p>
          <w:p w:rsidR="00B22954" w:rsidP="0059218E" w:rsidRDefault="00B22954" w14:paraId="2EA8DFA0" w14:textId="4AB04028">
            <w:pPr>
              <w:jc w:val="right"/>
            </w:pPr>
            <w:r>
              <w:rPr>
                <w:rFonts w:ascii="Calibri" w:hAnsi="Calibri"/>
                <w:sz w:val="20"/>
                <w:szCs w:val="20"/>
              </w:rPr>
              <w:t>245,773</w:t>
            </w:r>
          </w:p>
        </w:tc>
        <w:tc>
          <w:tcPr>
            <w:tcW w:w="1440" w:type="dxa"/>
          </w:tcPr>
          <w:p w:rsidR="0059218E" w:rsidP="00CA3FE7" w:rsidRDefault="0059218E" w14:paraId="59E5C66C" w14:textId="77777777">
            <w:pPr>
              <w:jc w:val="right"/>
              <w:rPr>
                <w:rFonts w:asciiTheme="minorHAnsi" w:hAnsiTheme="minorHAnsi" w:cstheme="minorHAnsi"/>
                <w:sz w:val="20"/>
                <w:szCs w:val="20"/>
              </w:rPr>
            </w:pPr>
          </w:p>
          <w:p w:rsidR="00B22954" w:rsidP="00CA3FE7" w:rsidRDefault="00B22954" w14:paraId="1F97C788" w14:textId="2A820AD1">
            <w:pPr>
              <w:jc w:val="right"/>
            </w:pPr>
            <w:r w:rsidRPr="0081539A">
              <w:rPr>
                <w:rFonts w:asciiTheme="minorHAnsi" w:hAnsiTheme="minorHAnsi" w:cstheme="minorHAnsi"/>
                <w:sz w:val="20"/>
                <w:szCs w:val="20"/>
              </w:rPr>
              <w:t>39.9</w:t>
            </w:r>
          </w:p>
        </w:tc>
        <w:tc>
          <w:tcPr>
            <w:tcW w:w="1440" w:type="dxa"/>
            <w:vAlign w:val="center"/>
          </w:tcPr>
          <w:p w:rsidR="0059218E" w:rsidP="00CA3FE7" w:rsidRDefault="0059218E" w14:paraId="358D28A1" w14:textId="77777777">
            <w:pPr>
              <w:jc w:val="right"/>
              <w:rPr>
                <w:rFonts w:ascii="Calibri" w:hAnsi="Calibri"/>
                <w:color w:val="000000"/>
                <w:sz w:val="20"/>
                <w:szCs w:val="20"/>
              </w:rPr>
            </w:pPr>
          </w:p>
          <w:p w:rsidR="00B22954" w:rsidP="00CA3FE7" w:rsidRDefault="00B22954" w14:paraId="1CCE6E0C" w14:textId="313E13DF">
            <w:pPr>
              <w:jc w:val="right"/>
            </w:pPr>
            <w:r>
              <w:rPr>
                <w:rFonts w:ascii="Calibri" w:hAnsi="Calibri"/>
                <w:color w:val="000000"/>
                <w:sz w:val="20"/>
                <w:szCs w:val="20"/>
              </w:rPr>
              <w:t>9,806,360.26</w:t>
            </w:r>
          </w:p>
        </w:tc>
        <w:tc>
          <w:tcPr>
            <w:tcW w:w="943" w:type="dxa"/>
            <w:tcBorders>
              <w:top w:val="nil"/>
              <w:left w:val="nil"/>
              <w:bottom w:val="single" w:color="auto" w:sz="8" w:space="0"/>
              <w:right w:val="single" w:color="auto" w:sz="8" w:space="0"/>
            </w:tcBorders>
            <w:shd w:val="clear" w:color="auto" w:fill="auto"/>
            <w:vAlign w:val="center"/>
          </w:tcPr>
          <w:p w:rsidR="0059218E" w:rsidP="00CA3FE7" w:rsidRDefault="0059218E" w14:paraId="09E24AD0" w14:textId="77777777">
            <w:pPr>
              <w:jc w:val="right"/>
              <w:rPr>
                <w:rFonts w:ascii="Calibri" w:hAnsi="Calibri" w:cs="Calibri"/>
                <w:color w:val="000000"/>
                <w:sz w:val="20"/>
                <w:szCs w:val="20"/>
              </w:rPr>
            </w:pPr>
          </w:p>
          <w:p w:rsidR="00B22954" w:rsidP="00CA3FE7" w:rsidRDefault="00B22954" w14:paraId="36607A55" w14:textId="07D823CE">
            <w:pPr>
              <w:jc w:val="right"/>
            </w:pPr>
            <w:r>
              <w:rPr>
                <w:rFonts w:ascii="Calibri" w:hAnsi="Calibri" w:cs="Calibri"/>
                <w:color w:val="000000"/>
                <w:sz w:val="20"/>
                <w:szCs w:val="20"/>
              </w:rPr>
              <w:t>$65.49</w:t>
            </w:r>
          </w:p>
        </w:tc>
        <w:tc>
          <w:tcPr>
            <w:tcW w:w="1667" w:type="dxa"/>
            <w:tcBorders>
              <w:top w:val="single" w:color="auto" w:sz="8" w:space="0"/>
              <w:left w:val="nil"/>
              <w:bottom w:val="single" w:color="auto" w:sz="8" w:space="0"/>
              <w:right w:val="single" w:color="auto" w:sz="4" w:space="0"/>
            </w:tcBorders>
            <w:shd w:val="clear" w:color="auto" w:fill="auto"/>
            <w:vAlign w:val="center"/>
          </w:tcPr>
          <w:p w:rsidR="0024741E" w:rsidP="00CA3FE7" w:rsidRDefault="0024741E" w14:paraId="273FBE9F" w14:textId="77777777">
            <w:pPr>
              <w:jc w:val="right"/>
              <w:rPr>
                <w:rFonts w:ascii="Calibri" w:hAnsi="Calibri" w:cs="Calibri"/>
                <w:color w:val="000000"/>
                <w:sz w:val="20"/>
                <w:szCs w:val="20"/>
              </w:rPr>
            </w:pPr>
          </w:p>
          <w:p w:rsidR="00B22954" w:rsidP="00CA3FE7" w:rsidRDefault="00B22954" w14:paraId="2E41DCA8" w14:textId="1206BAFA">
            <w:pPr>
              <w:jc w:val="right"/>
            </w:pPr>
            <w:r>
              <w:rPr>
                <w:rFonts w:ascii="Calibri" w:hAnsi="Calibri" w:cs="Calibri"/>
                <w:color w:val="000000"/>
                <w:sz w:val="20"/>
                <w:szCs w:val="20"/>
              </w:rPr>
              <w:t>$642,218,533.17</w:t>
            </w:r>
          </w:p>
        </w:tc>
      </w:tr>
      <w:tr w:rsidR="00A26D69" w:rsidTr="00CE7C8C" w14:paraId="7D7493F6" w14:textId="77777777">
        <w:trPr>
          <w:trHeight w:val="475"/>
        </w:trPr>
        <w:tc>
          <w:tcPr>
            <w:tcW w:w="1530" w:type="dxa"/>
          </w:tcPr>
          <w:p w:rsidR="00B22954" w:rsidP="00B22954" w:rsidRDefault="00B22954" w14:paraId="2F6384F2" w14:textId="77777777">
            <w:r w:rsidRPr="0004103B">
              <w:rPr>
                <w:rFonts w:asciiTheme="minorHAnsi" w:hAnsiTheme="minorHAnsi" w:cstheme="minorHAnsi"/>
                <w:sz w:val="20"/>
                <w:szCs w:val="20"/>
              </w:rPr>
              <w:t>Correctional Facilities</w:t>
            </w:r>
          </w:p>
        </w:tc>
        <w:tc>
          <w:tcPr>
            <w:tcW w:w="1170" w:type="dxa"/>
          </w:tcPr>
          <w:p w:rsidR="0024741E" w:rsidP="00CA3FE7" w:rsidRDefault="0024741E" w14:paraId="71B3C00E" w14:textId="77777777">
            <w:pPr>
              <w:jc w:val="right"/>
              <w:rPr>
                <w:rFonts w:asciiTheme="minorHAnsi" w:hAnsiTheme="minorHAnsi" w:cstheme="minorHAnsi"/>
                <w:sz w:val="20"/>
                <w:szCs w:val="20"/>
              </w:rPr>
            </w:pPr>
          </w:p>
          <w:p w:rsidR="00B22954" w:rsidP="00CA3FE7" w:rsidRDefault="00B22954" w14:paraId="17F0168D" w14:textId="6297B97C">
            <w:pPr>
              <w:jc w:val="right"/>
            </w:pPr>
            <w:r w:rsidRPr="0081539A">
              <w:rPr>
                <w:rFonts w:asciiTheme="minorHAnsi" w:hAnsiTheme="minorHAnsi" w:cstheme="minorHAnsi"/>
                <w:sz w:val="20"/>
                <w:szCs w:val="20"/>
              </w:rPr>
              <w:t>1,680</w:t>
            </w:r>
          </w:p>
        </w:tc>
        <w:tc>
          <w:tcPr>
            <w:tcW w:w="1170" w:type="dxa"/>
          </w:tcPr>
          <w:p w:rsidR="0024741E" w:rsidP="00CA3FE7" w:rsidRDefault="0024741E" w14:paraId="2DC1F6EA" w14:textId="77777777">
            <w:pPr>
              <w:jc w:val="right"/>
              <w:rPr>
                <w:rFonts w:asciiTheme="minorHAnsi" w:hAnsiTheme="minorHAnsi" w:cstheme="minorHAnsi"/>
                <w:sz w:val="20"/>
                <w:szCs w:val="20"/>
              </w:rPr>
            </w:pPr>
          </w:p>
          <w:p w:rsidR="00B22954" w:rsidP="00CA3FE7" w:rsidRDefault="00B22954" w14:paraId="709DE281" w14:textId="2C03EDAE">
            <w:pPr>
              <w:jc w:val="right"/>
            </w:pPr>
            <w:r w:rsidRPr="0081539A">
              <w:rPr>
                <w:rFonts w:asciiTheme="minorHAnsi" w:hAnsiTheme="minorHAnsi" w:cstheme="minorHAnsi"/>
                <w:sz w:val="20"/>
                <w:szCs w:val="20"/>
              </w:rPr>
              <w:t>20%</w:t>
            </w:r>
          </w:p>
        </w:tc>
        <w:tc>
          <w:tcPr>
            <w:tcW w:w="1530" w:type="dxa"/>
            <w:vAlign w:val="center"/>
          </w:tcPr>
          <w:p w:rsidR="0024741E" w:rsidP="00CA3FE7" w:rsidRDefault="0024741E" w14:paraId="759AF841" w14:textId="77777777">
            <w:pPr>
              <w:jc w:val="right"/>
              <w:rPr>
                <w:rFonts w:ascii="Calibri" w:hAnsi="Calibri"/>
                <w:sz w:val="20"/>
                <w:szCs w:val="20"/>
              </w:rPr>
            </w:pPr>
          </w:p>
          <w:p w:rsidR="00B22954" w:rsidP="00CA3FE7" w:rsidRDefault="00B22954" w14:paraId="74077369" w14:textId="09AAB97F">
            <w:pPr>
              <w:jc w:val="right"/>
            </w:pPr>
            <w:r>
              <w:rPr>
                <w:rFonts w:ascii="Calibri" w:hAnsi="Calibri"/>
                <w:sz w:val="20"/>
                <w:szCs w:val="20"/>
              </w:rPr>
              <w:t>336</w:t>
            </w:r>
          </w:p>
        </w:tc>
        <w:tc>
          <w:tcPr>
            <w:tcW w:w="1440" w:type="dxa"/>
          </w:tcPr>
          <w:p w:rsidR="0024741E" w:rsidP="00CA3FE7" w:rsidRDefault="0024741E" w14:paraId="7AD6640C" w14:textId="77777777">
            <w:pPr>
              <w:jc w:val="right"/>
              <w:rPr>
                <w:rFonts w:asciiTheme="minorHAnsi" w:hAnsiTheme="minorHAnsi" w:cstheme="minorHAnsi"/>
                <w:sz w:val="20"/>
                <w:szCs w:val="20"/>
              </w:rPr>
            </w:pPr>
          </w:p>
          <w:p w:rsidR="00B22954" w:rsidP="00CA3FE7" w:rsidRDefault="00B22954" w14:paraId="5CE3696C" w14:textId="7959887F">
            <w:pPr>
              <w:jc w:val="right"/>
            </w:pPr>
            <w:r w:rsidRPr="0081539A">
              <w:rPr>
                <w:rFonts w:asciiTheme="minorHAnsi" w:hAnsiTheme="minorHAnsi" w:cstheme="minorHAnsi"/>
                <w:sz w:val="20"/>
                <w:szCs w:val="20"/>
              </w:rPr>
              <w:t>18.25</w:t>
            </w:r>
          </w:p>
        </w:tc>
        <w:tc>
          <w:tcPr>
            <w:tcW w:w="1440" w:type="dxa"/>
            <w:vAlign w:val="center"/>
          </w:tcPr>
          <w:p w:rsidR="0024741E" w:rsidP="00CA3FE7" w:rsidRDefault="0024741E" w14:paraId="6FDC7A39" w14:textId="77777777">
            <w:pPr>
              <w:jc w:val="right"/>
              <w:rPr>
                <w:rFonts w:ascii="Calibri" w:hAnsi="Calibri"/>
                <w:color w:val="000000"/>
                <w:sz w:val="20"/>
                <w:szCs w:val="20"/>
              </w:rPr>
            </w:pPr>
          </w:p>
          <w:p w:rsidR="00B22954" w:rsidP="00CA3FE7" w:rsidRDefault="00B22954" w14:paraId="1B502BD4" w14:textId="68E68DD8">
            <w:pPr>
              <w:jc w:val="right"/>
            </w:pPr>
            <w:r>
              <w:rPr>
                <w:rFonts w:ascii="Calibri" w:hAnsi="Calibri"/>
                <w:color w:val="000000"/>
                <w:sz w:val="20"/>
                <w:szCs w:val="20"/>
              </w:rPr>
              <w:t>6,132</w:t>
            </w:r>
          </w:p>
        </w:tc>
        <w:tc>
          <w:tcPr>
            <w:tcW w:w="943" w:type="dxa"/>
            <w:tcBorders>
              <w:top w:val="nil"/>
              <w:left w:val="nil"/>
              <w:bottom w:val="single" w:color="auto" w:sz="8" w:space="0"/>
              <w:right w:val="single" w:color="auto" w:sz="8" w:space="0"/>
            </w:tcBorders>
            <w:shd w:val="clear" w:color="auto" w:fill="auto"/>
            <w:vAlign w:val="center"/>
          </w:tcPr>
          <w:p w:rsidR="0024741E" w:rsidP="00CA3FE7" w:rsidRDefault="0024741E" w14:paraId="0620EDDD" w14:textId="77777777">
            <w:pPr>
              <w:jc w:val="right"/>
              <w:rPr>
                <w:rFonts w:ascii="Calibri" w:hAnsi="Calibri" w:cs="Calibri"/>
                <w:color w:val="000000"/>
                <w:sz w:val="20"/>
                <w:szCs w:val="20"/>
              </w:rPr>
            </w:pPr>
          </w:p>
          <w:p w:rsidR="00B22954" w:rsidP="00CA3FE7" w:rsidRDefault="00B22954" w14:paraId="6DAE2474" w14:textId="5F922EF9">
            <w:pPr>
              <w:jc w:val="right"/>
            </w:pPr>
            <w:r>
              <w:rPr>
                <w:rFonts w:ascii="Calibri" w:hAnsi="Calibri" w:cs="Calibri"/>
                <w:color w:val="000000"/>
                <w:sz w:val="20"/>
                <w:szCs w:val="20"/>
              </w:rPr>
              <w:t>$21.65</w:t>
            </w:r>
          </w:p>
        </w:tc>
        <w:tc>
          <w:tcPr>
            <w:tcW w:w="1667" w:type="dxa"/>
            <w:tcBorders>
              <w:top w:val="single" w:color="auto" w:sz="8" w:space="0"/>
              <w:left w:val="nil"/>
              <w:bottom w:val="single" w:color="auto" w:sz="8" w:space="0"/>
              <w:right w:val="single" w:color="auto" w:sz="4" w:space="0"/>
            </w:tcBorders>
            <w:shd w:val="clear" w:color="auto" w:fill="auto"/>
            <w:vAlign w:val="center"/>
          </w:tcPr>
          <w:p w:rsidR="0024741E" w:rsidP="00520C25" w:rsidRDefault="0024741E" w14:paraId="2390E3FE" w14:textId="77777777">
            <w:pPr>
              <w:jc w:val="right"/>
              <w:rPr>
                <w:rFonts w:ascii="Calibri" w:hAnsi="Calibri" w:cs="Calibri"/>
                <w:color w:val="000000"/>
                <w:sz w:val="20"/>
                <w:szCs w:val="20"/>
              </w:rPr>
            </w:pPr>
          </w:p>
          <w:p w:rsidR="00B22954" w:rsidP="00520C25" w:rsidRDefault="00B22954" w14:paraId="4CB95812" w14:textId="6451720A">
            <w:pPr>
              <w:jc w:val="right"/>
            </w:pPr>
            <w:r>
              <w:rPr>
                <w:rFonts w:ascii="Calibri" w:hAnsi="Calibri" w:cs="Calibri"/>
                <w:color w:val="000000"/>
                <w:sz w:val="20"/>
                <w:szCs w:val="20"/>
              </w:rPr>
              <w:t>$132,757.80</w:t>
            </w:r>
          </w:p>
        </w:tc>
      </w:tr>
      <w:tr w:rsidR="00A26D69" w:rsidTr="00CE7C8C" w14:paraId="3AAD8017" w14:textId="77777777">
        <w:trPr>
          <w:trHeight w:val="237"/>
        </w:trPr>
        <w:tc>
          <w:tcPr>
            <w:tcW w:w="1530" w:type="dxa"/>
            <w:shd w:val="clear" w:color="auto" w:fill="F2F2F2" w:themeFill="background1" w:themeFillShade="F2"/>
          </w:tcPr>
          <w:p w:rsidRPr="007B566C" w:rsidR="00C05411" w:rsidP="00995DA4" w:rsidRDefault="00C05411" w14:paraId="7C5D3402" w14:textId="77777777">
            <w:pPr>
              <w:rPr>
                <w:rFonts w:asciiTheme="minorHAnsi" w:hAnsiTheme="minorHAnsi" w:cstheme="minorHAnsi"/>
                <w:b/>
                <w:sz w:val="20"/>
                <w:szCs w:val="20"/>
              </w:rPr>
            </w:pPr>
            <w:r w:rsidRPr="007B566C">
              <w:rPr>
                <w:rFonts w:asciiTheme="minorHAnsi" w:hAnsiTheme="minorHAnsi" w:cstheme="minorHAnsi"/>
                <w:b/>
                <w:sz w:val="20"/>
                <w:szCs w:val="20"/>
              </w:rPr>
              <w:t>Total</w:t>
            </w:r>
          </w:p>
        </w:tc>
        <w:tc>
          <w:tcPr>
            <w:tcW w:w="1170" w:type="dxa"/>
            <w:shd w:val="clear" w:color="auto" w:fill="F2F2F2" w:themeFill="background1" w:themeFillShade="F2"/>
          </w:tcPr>
          <w:p w:rsidRPr="007B566C" w:rsidR="00C05411" w:rsidP="0024741E" w:rsidRDefault="00C05411" w14:paraId="1EA12372" w14:textId="49154D00">
            <w:pPr>
              <w:jc w:val="center"/>
              <w:rPr>
                <w:rFonts w:asciiTheme="minorHAnsi" w:hAnsiTheme="minorHAnsi" w:cstheme="minorHAnsi"/>
                <w:b/>
                <w:sz w:val="20"/>
                <w:szCs w:val="20"/>
              </w:rPr>
            </w:pPr>
            <w:r>
              <w:rPr>
                <w:rFonts w:asciiTheme="minorHAnsi" w:hAnsiTheme="minorHAnsi" w:cstheme="minorHAnsi"/>
                <w:b/>
                <w:sz w:val="20"/>
                <w:szCs w:val="20"/>
              </w:rPr>
              <w:t>659,31</w:t>
            </w:r>
            <w:r w:rsidR="00F47D3D">
              <w:rPr>
                <w:rFonts w:asciiTheme="minorHAnsi" w:hAnsiTheme="minorHAnsi" w:cstheme="minorHAnsi"/>
                <w:b/>
                <w:sz w:val="20"/>
                <w:szCs w:val="20"/>
              </w:rPr>
              <w:t>6</w:t>
            </w:r>
          </w:p>
        </w:tc>
        <w:tc>
          <w:tcPr>
            <w:tcW w:w="1170" w:type="dxa"/>
            <w:shd w:val="clear" w:color="auto" w:fill="F2F2F2" w:themeFill="background1" w:themeFillShade="F2"/>
          </w:tcPr>
          <w:p w:rsidRPr="007B566C" w:rsidR="00C05411" w:rsidP="0024741E" w:rsidRDefault="00C05411" w14:paraId="26D9837D" w14:textId="77777777">
            <w:pPr>
              <w:jc w:val="center"/>
              <w:rPr>
                <w:rFonts w:asciiTheme="minorHAnsi" w:hAnsiTheme="minorHAnsi" w:cstheme="minorHAnsi"/>
                <w:b/>
                <w:sz w:val="20"/>
                <w:szCs w:val="20"/>
              </w:rPr>
            </w:pPr>
          </w:p>
        </w:tc>
        <w:tc>
          <w:tcPr>
            <w:tcW w:w="1530" w:type="dxa"/>
            <w:shd w:val="clear" w:color="auto" w:fill="F2F2F2" w:themeFill="background1" w:themeFillShade="F2"/>
            <w:vAlign w:val="center"/>
          </w:tcPr>
          <w:p w:rsidRPr="007B566C" w:rsidR="00C05411" w:rsidP="0024741E" w:rsidRDefault="00C05411" w14:paraId="0196194C" w14:textId="5137E26C">
            <w:pPr>
              <w:jc w:val="center"/>
              <w:rPr>
                <w:rFonts w:ascii="Calibri" w:hAnsi="Calibri"/>
                <w:b/>
                <w:sz w:val="20"/>
                <w:szCs w:val="20"/>
              </w:rPr>
            </w:pPr>
            <w:r>
              <w:rPr>
                <w:rFonts w:ascii="Calibri" w:hAnsi="Calibri"/>
                <w:b/>
                <w:sz w:val="20"/>
                <w:szCs w:val="20"/>
              </w:rPr>
              <w:t>266,759</w:t>
            </w:r>
          </w:p>
        </w:tc>
        <w:tc>
          <w:tcPr>
            <w:tcW w:w="1440" w:type="dxa"/>
            <w:shd w:val="clear" w:color="auto" w:fill="F2F2F2" w:themeFill="background1" w:themeFillShade="F2"/>
          </w:tcPr>
          <w:p w:rsidRPr="007B566C" w:rsidR="00C05411" w:rsidP="0024741E" w:rsidRDefault="00C05411" w14:paraId="765525A3" w14:textId="77777777">
            <w:pPr>
              <w:jc w:val="center"/>
              <w:rPr>
                <w:rFonts w:asciiTheme="minorHAnsi" w:hAnsiTheme="minorHAnsi" w:cstheme="minorHAnsi"/>
                <w:b/>
                <w:sz w:val="20"/>
                <w:szCs w:val="20"/>
              </w:rPr>
            </w:pPr>
          </w:p>
        </w:tc>
        <w:tc>
          <w:tcPr>
            <w:tcW w:w="1440" w:type="dxa"/>
            <w:shd w:val="clear" w:color="auto" w:fill="F2F2F2" w:themeFill="background1" w:themeFillShade="F2"/>
            <w:vAlign w:val="center"/>
          </w:tcPr>
          <w:p w:rsidRPr="007B566C" w:rsidR="00C05411" w:rsidP="0024741E" w:rsidRDefault="00C05411" w14:paraId="3B91E4CA" w14:textId="77777777">
            <w:pPr>
              <w:jc w:val="center"/>
              <w:rPr>
                <w:rFonts w:ascii="Calibri" w:hAnsi="Calibri"/>
                <w:b/>
                <w:color w:val="000000"/>
                <w:sz w:val="20"/>
                <w:szCs w:val="20"/>
              </w:rPr>
            </w:pPr>
            <w:r>
              <w:rPr>
                <w:rFonts w:ascii="Calibri" w:hAnsi="Calibri"/>
                <w:b/>
                <w:color w:val="000000"/>
                <w:sz w:val="20"/>
                <w:szCs w:val="20"/>
              </w:rPr>
              <w:t>10,559,399.26</w:t>
            </w:r>
          </w:p>
        </w:tc>
        <w:tc>
          <w:tcPr>
            <w:tcW w:w="943" w:type="dxa"/>
            <w:shd w:val="clear" w:color="auto" w:fill="F2F2F2" w:themeFill="background1" w:themeFillShade="F2"/>
            <w:vAlign w:val="center"/>
          </w:tcPr>
          <w:p w:rsidRPr="007B566C" w:rsidR="00C05411" w:rsidP="0024741E" w:rsidRDefault="00C05411" w14:paraId="6702E116" w14:textId="77777777">
            <w:pPr>
              <w:jc w:val="center"/>
              <w:rPr>
                <w:rFonts w:asciiTheme="minorHAnsi" w:hAnsiTheme="minorHAnsi" w:cstheme="minorHAnsi"/>
                <w:b/>
                <w:color w:val="000000"/>
                <w:sz w:val="20"/>
                <w:szCs w:val="20"/>
              </w:rPr>
            </w:pPr>
          </w:p>
        </w:tc>
        <w:tc>
          <w:tcPr>
            <w:tcW w:w="1667" w:type="dxa"/>
            <w:shd w:val="clear" w:color="auto" w:fill="F2F2F2" w:themeFill="background1" w:themeFillShade="F2"/>
            <w:vAlign w:val="center"/>
          </w:tcPr>
          <w:p w:rsidRPr="007B566C" w:rsidR="00C05411" w:rsidP="0024741E" w:rsidRDefault="00C05411" w14:paraId="748202AC" w14:textId="20E22BFA">
            <w:pPr>
              <w:jc w:val="center"/>
              <w:rPr>
                <w:rFonts w:ascii="Calibri" w:hAnsi="Calibri"/>
                <w:b/>
                <w:color w:val="000000"/>
                <w:sz w:val="20"/>
                <w:szCs w:val="20"/>
              </w:rPr>
            </w:pPr>
            <w:r>
              <w:rPr>
                <w:rFonts w:ascii="Calibri" w:hAnsi="Calibri"/>
                <w:b/>
                <w:color w:val="000000"/>
                <w:sz w:val="20"/>
                <w:szCs w:val="20"/>
              </w:rPr>
              <w:t>$</w:t>
            </w:r>
            <w:r w:rsidR="00B22954">
              <w:rPr>
                <w:rFonts w:ascii="Calibri" w:hAnsi="Calibri"/>
                <w:b/>
                <w:color w:val="000000"/>
                <w:sz w:val="20"/>
                <w:szCs w:val="20"/>
              </w:rPr>
              <w:t>672,765,895.80</w:t>
            </w:r>
          </w:p>
        </w:tc>
      </w:tr>
    </w:tbl>
    <w:p w:rsidRPr="00394886" w:rsidR="00C05411" w:rsidP="00C05411" w:rsidRDefault="00C05411" w14:paraId="2D17B2B8" w14:textId="77777777">
      <w:pPr>
        <w:ind w:firstLine="360"/>
      </w:pPr>
    </w:p>
    <w:p w:rsidR="00C05411" w:rsidP="00C05411" w:rsidRDefault="00C05411" w14:paraId="013017D0" w14:textId="7198CFEE">
      <w:pPr>
        <w:spacing w:line="480" w:lineRule="auto"/>
        <w:outlineLvl w:val="4"/>
        <w:rPr>
          <w:rFonts w:eastAsia="Arial Unicode MS"/>
          <w:b/>
          <w:color w:val="000000"/>
        </w:rPr>
      </w:pPr>
    </w:p>
    <w:p w:rsidR="006A063F" w:rsidP="00CE7C8C" w:rsidRDefault="006A063F" w14:paraId="4226EA0A" w14:textId="77777777">
      <w:pPr>
        <w:pStyle w:val="Heading2"/>
        <w:numPr>
          <w:ilvl w:val="0"/>
          <w:numId w:val="0"/>
        </w:numPr>
        <w:ind w:left="360"/>
        <w:sectPr w:rsidR="006A063F" w:rsidSect="00CE7C8C">
          <w:pgSz w:w="12240" w:h="15840"/>
          <w:pgMar w:top="1440" w:right="1440" w:bottom="1440" w:left="1440" w:header="720" w:footer="720" w:gutter="0"/>
          <w:cols w:space="720"/>
          <w:docGrid w:linePitch="360"/>
        </w:sectPr>
      </w:pPr>
    </w:p>
    <w:p w:rsidR="00AC177D" w:rsidP="00C05411" w:rsidRDefault="00AC177D" w14:paraId="65CAD01D" w14:textId="6147702D">
      <w:pPr>
        <w:pStyle w:val="Heading2"/>
      </w:pPr>
      <w:r>
        <w:t>Physical distancing.</w:t>
      </w:r>
    </w:p>
    <w:p w:rsidR="00AC177D" w:rsidP="00AC177D" w:rsidRDefault="00AC177D" w14:paraId="4E3A028C" w14:textId="2D353DD9">
      <w:r>
        <w:rPr>
          <w:rFonts w:eastAsia="Arial Unicode MS"/>
          <w:b/>
          <w:color w:val="000000"/>
        </w:rPr>
        <w:t>§ 1910.50</w:t>
      </w:r>
      <w:r w:rsidRPr="008D20D5">
        <w:rPr>
          <w:rFonts w:eastAsia="Arial Unicode MS"/>
          <w:b/>
          <w:color w:val="000000"/>
        </w:rPr>
        <w:t>2</w:t>
      </w:r>
      <w:r w:rsidRPr="00CF243A">
        <w:rPr>
          <w:b/>
        </w:rPr>
        <w:t xml:space="preserve">(h) </w:t>
      </w:r>
      <w:r w:rsidRPr="00BC6051">
        <w:t xml:space="preserve"> </w:t>
      </w:r>
    </w:p>
    <w:p w:rsidR="001A136C" w:rsidP="00AC177D" w:rsidRDefault="001A136C" w14:paraId="6E926D38" w14:textId="77777777"/>
    <w:p w:rsidR="00541A69" w:rsidP="001A136C" w:rsidRDefault="00541A69" w14:paraId="06DD0243" w14:textId="464485F0">
      <w:r w:rsidRPr="00BC6051">
        <w:t>The employer must ensure that each employee is separated from all other people by at least 6</w:t>
      </w:r>
      <w:r>
        <w:t xml:space="preserve"> </w:t>
      </w:r>
      <w:r w:rsidRPr="00BC6051">
        <w:t xml:space="preserve">feet </w:t>
      </w:r>
      <w:r w:rsidR="00EF6ADE">
        <w:t xml:space="preserve">when indoors </w:t>
      </w:r>
      <w:r w:rsidRPr="00BC6051">
        <w:t>unless the employer can demonstrate that such physical distancing is not feasible for a specific activity.  This provision does not apply to momentary exposure while people are in movement (e.g., passing in hallways or aisles).  When the employer establishes it is not feasible for an employee to maintain a distance of at least 6 feet from all other people, the employer must ensure that the employee is as far apart from all other people as feasible.</w:t>
      </w:r>
    </w:p>
    <w:p w:rsidRPr="00BC6051" w:rsidR="00541A69" w:rsidP="00541A69" w:rsidRDefault="00541A69" w14:paraId="67AC86A6" w14:textId="77777777">
      <w:pPr>
        <w:ind w:left="720" w:hanging="360"/>
      </w:pPr>
    </w:p>
    <w:p w:rsidR="00682DFA" w:rsidP="001A136C" w:rsidRDefault="00541A69" w14:paraId="4F205C45" w14:textId="083EF044">
      <w:r w:rsidRPr="00593C83">
        <w:t>As noted under paragraph (</w:t>
      </w:r>
      <w:r>
        <w:t>h</w:t>
      </w:r>
      <w:r w:rsidRPr="00593C83">
        <w:t>),</w:t>
      </w:r>
      <w:r w:rsidRPr="00BC6051">
        <w:t xml:space="preserve"> </w:t>
      </w:r>
      <w:r>
        <w:t>p</w:t>
      </w:r>
      <w:r w:rsidRPr="00BC6051">
        <w:t xml:space="preserve">hysical distancing can include methods such as visual cues </w:t>
      </w:r>
      <w:r>
        <w:t>like</w:t>
      </w:r>
      <w:r w:rsidRPr="00BC6051">
        <w:t xml:space="preserve"> signs and floor markings to indicate where employees and others should be located or their direction and path of travel; staggered arrival, departure, work, and break times.</w:t>
      </w:r>
    </w:p>
    <w:p w:rsidR="00CC3250" w:rsidP="001A136C" w:rsidRDefault="00CC3250" w14:paraId="538E7CED" w14:textId="74B231C9"/>
    <w:p w:rsidR="00CC3250" w:rsidP="001A136C" w:rsidRDefault="00CC3250" w14:paraId="732CDE5B" w14:textId="2E64889C">
      <w:r>
        <w:t>Large establishments:</w:t>
      </w:r>
    </w:p>
    <w:p w:rsidR="00682DFA" w:rsidP="00682DFA" w:rsidRDefault="00682DFA" w14:paraId="278090B2" w14:textId="77777777">
      <w:pPr>
        <w:ind w:firstLine="720"/>
      </w:pPr>
      <w:r>
        <w:t xml:space="preserve"> </w:t>
      </w:r>
    </w:p>
    <w:p w:rsidR="00682DFA" w:rsidP="00682DFA" w:rsidRDefault="00682DFA" w14:paraId="0A3BB709" w14:textId="09772310">
      <w:pPr>
        <w:ind w:left="720"/>
      </w:pPr>
      <w:r>
        <w:t xml:space="preserve">OSHA estimates on average large establishments will post or install 25 signs </w:t>
      </w:r>
      <w:r w:rsidR="001A136C">
        <w:t xml:space="preserve">and/or floor markers </w:t>
      </w:r>
      <w:r>
        <w:t xml:space="preserve">per establishment and it will take an occupational health and safety specialist </w:t>
      </w:r>
      <w:r w:rsidRPr="00593C83">
        <w:t xml:space="preserve">2 minutes </w:t>
      </w:r>
      <w:r w:rsidRPr="00A31BB2" w:rsidR="00A31BB2">
        <w:t xml:space="preserve">(0.03 hours) </w:t>
      </w:r>
      <w:r w:rsidRPr="00593C83">
        <w:t>of labor per sign</w:t>
      </w:r>
      <w:r w:rsidR="001A136C">
        <w:t xml:space="preserve"> or floor </w:t>
      </w:r>
      <w:r w:rsidRPr="00593C83" w:rsidR="001A136C">
        <w:t>mark</w:t>
      </w:r>
      <w:r w:rsidR="001A136C">
        <w:t>er</w:t>
      </w:r>
      <w:r>
        <w:t xml:space="preserve">. For the </w:t>
      </w:r>
      <w:r w:rsidR="008E01FB">
        <w:t>132,796</w:t>
      </w:r>
      <w:r>
        <w:t xml:space="preserve"> large establishments, there will be</w:t>
      </w:r>
      <w:r w:rsidR="00D43FB4">
        <w:t xml:space="preserve"> on average</w:t>
      </w:r>
      <w:r>
        <w:t xml:space="preserve"> a total of </w:t>
      </w:r>
      <w:r w:rsidR="008E01FB">
        <w:t>3,319,900</w:t>
      </w:r>
      <w:r>
        <w:t xml:space="preserve"> signs </w:t>
      </w:r>
      <w:r w:rsidR="001A136C">
        <w:t xml:space="preserve">and/or floor markers </w:t>
      </w:r>
      <w:r>
        <w:t xml:space="preserve">to </w:t>
      </w:r>
      <w:r w:rsidR="00A31BB2">
        <w:t>install</w:t>
      </w:r>
      <w:r>
        <w:t>. Baseline non-compliance is 25 percent for large establishments.</w:t>
      </w:r>
    </w:p>
    <w:p w:rsidR="00682DFA" w:rsidP="00682DFA" w:rsidRDefault="00682DFA" w14:paraId="2FE99ADA" w14:textId="77777777">
      <w:pPr>
        <w:ind w:firstLine="720"/>
      </w:pPr>
    </w:p>
    <w:p w:rsidRPr="002E13EF" w:rsidR="00682DFA" w:rsidP="00682DFA" w:rsidRDefault="00682DFA" w14:paraId="2FE67B15" w14:textId="53DCDE0A">
      <w:pPr>
        <w:ind w:left="3600" w:hanging="2160"/>
        <w:rPr>
          <w:bCs/>
        </w:rPr>
      </w:pPr>
      <w:r w:rsidRPr="00B80178">
        <w:rPr>
          <w:b/>
          <w:bCs/>
        </w:rPr>
        <w:t>Burden Hours:</w:t>
      </w:r>
      <w:r>
        <w:rPr>
          <w:b/>
          <w:bCs/>
        </w:rPr>
        <w:t xml:space="preserve"> </w:t>
      </w:r>
      <w:r>
        <w:rPr>
          <w:b/>
          <w:bCs/>
        </w:rPr>
        <w:tab/>
      </w:r>
      <w:r w:rsidR="008E01FB">
        <w:t>3,319,900</w:t>
      </w:r>
      <w:r>
        <w:rPr>
          <w:bCs/>
        </w:rPr>
        <w:t xml:space="preserve"> signs x 0.25 (non-compliance rate) x 0.03 hours = </w:t>
      </w:r>
      <w:r w:rsidR="00A97D3E">
        <w:rPr>
          <w:bCs/>
        </w:rPr>
        <w:t>24,899.25</w:t>
      </w:r>
      <w:r>
        <w:rPr>
          <w:bCs/>
        </w:rPr>
        <w:t xml:space="preserve"> hours</w:t>
      </w:r>
    </w:p>
    <w:p w:rsidR="00682DFA" w:rsidP="00682DFA" w:rsidRDefault="00682DFA" w14:paraId="380C9EF5" w14:textId="77777777">
      <w:pPr>
        <w:ind w:left="720" w:firstLine="720"/>
        <w:rPr>
          <w:b/>
          <w:bCs/>
        </w:rPr>
      </w:pPr>
    </w:p>
    <w:p w:rsidRPr="002E13EF" w:rsidR="00682DFA" w:rsidP="00682DFA" w:rsidRDefault="00682DFA" w14:paraId="573AFE09" w14:textId="2BD2339C">
      <w:pPr>
        <w:ind w:left="720" w:firstLine="720"/>
        <w:rPr>
          <w:bCs/>
        </w:rPr>
      </w:pPr>
      <w:r>
        <w:rPr>
          <w:b/>
          <w:bCs/>
        </w:rPr>
        <w:t>Cost:</w:t>
      </w:r>
      <w:r>
        <w:rPr>
          <w:b/>
          <w:bCs/>
        </w:rPr>
        <w:tab/>
      </w:r>
      <w:r>
        <w:rPr>
          <w:b/>
          <w:bCs/>
        </w:rPr>
        <w:tab/>
      </w:r>
      <w:r>
        <w:rPr>
          <w:b/>
          <w:bCs/>
        </w:rPr>
        <w:tab/>
      </w:r>
      <w:r w:rsidR="00A97D3E">
        <w:rPr>
          <w:bCs/>
        </w:rPr>
        <w:t>24,899.25</w:t>
      </w:r>
      <w:r>
        <w:rPr>
          <w:bCs/>
        </w:rPr>
        <w:t xml:space="preserve"> ho</w:t>
      </w:r>
      <w:r w:rsidRPr="00A31BB2">
        <w:rPr>
          <w:bCs/>
        </w:rPr>
        <w:t>urs x $59.20 (OHS specialist) = $</w:t>
      </w:r>
      <w:r w:rsidR="00A97D3E">
        <w:rPr>
          <w:bCs/>
        </w:rPr>
        <w:t>1,474,035.60</w:t>
      </w:r>
    </w:p>
    <w:p w:rsidRPr="00394886" w:rsidR="00682DFA" w:rsidP="00682DFA" w:rsidRDefault="00682DFA" w14:paraId="0D3081BB" w14:textId="77777777"/>
    <w:p w:rsidR="00682DFA" w:rsidP="00CE7C8C" w:rsidRDefault="0016615A" w14:paraId="18ED89F9" w14:textId="4DC07553">
      <w:r>
        <w:t>Small Business Administration (</w:t>
      </w:r>
      <w:r w:rsidR="00682DFA">
        <w:t>SBA</w:t>
      </w:r>
      <w:r>
        <w:t>)</w:t>
      </w:r>
      <w:r w:rsidR="00682DFA">
        <w:t>-defined small establishments:</w:t>
      </w:r>
    </w:p>
    <w:p w:rsidR="00682DFA" w:rsidP="00682DFA" w:rsidRDefault="00682DFA" w14:paraId="6BD2E148" w14:textId="77777777">
      <w:pPr>
        <w:ind w:firstLine="720"/>
      </w:pPr>
    </w:p>
    <w:p w:rsidR="00682DFA" w:rsidP="00682DFA" w:rsidRDefault="00682DFA" w14:paraId="14198078" w14:textId="5F80FA23">
      <w:pPr>
        <w:ind w:left="720"/>
      </w:pPr>
      <w:r>
        <w:t>OSHA estimates on average SBA</w:t>
      </w:r>
      <w:r w:rsidR="00CE7C8C">
        <w:t>-defined small</w:t>
      </w:r>
      <w:r>
        <w:t xml:space="preserve"> establishments will post or install 15 signs </w:t>
      </w:r>
      <w:r w:rsidR="00A31BB2">
        <w:t xml:space="preserve">and/or floor markers </w:t>
      </w:r>
      <w:r>
        <w:t xml:space="preserve">per establishment and it will take an occupational health and safety specialist </w:t>
      </w:r>
      <w:r w:rsidRPr="00593C83">
        <w:t xml:space="preserve">2 minutes </w:t>
      </w:r>
      <w:r>
        <w:t xml:space="preserve">(0.03 hours) </w:t>
      </w:r>
      <w:r w:rsidRPr="00593C83">
        <w:t xml:space="preserve">of labor per sign </w:t>
      </w:r>
      <w:r w:rsidR="00A31BB2">
        <w:t xml:space="preserve">or floor </w:t>
      </w:r>
      <w:r w:rsidRPr="00593C83">
        <w:t>mark</w:t>
      </w:r>
      <w:r w:rsidR="00A31BB2">
        <w:t>er</w:t>
      </w:r>
      <w:r>
        <w:t xml:space="preserve">. For the </w:t>
      </w:r>
      <w:r w:rsidR="00A97D3E">
        <w:t>138,816</w:t>
      </w:r>
      <w:r>
        <w:t xml:space="preserve"> </w:t>
      </w:r>
      <w:r w:rsidR="00A31BB2">
        <w:t xml:space="preserve">SBA-defined small </w:t>
      </w:r>
      <w:r>
        <w:t xml:space="preserve">establishments, there will </w:t>
      </w:r>
      <w:r w:rsidR="00D43FB4">
        <w:t xml:space="preserve">be on average </w:t>
      </w:r>
      <w:r>
        <w:t xml:space="preserve">a total of </w:t>
      </w:r>
      <w:r w:rsidR="00A97D3E">
        <w:t>2,082,240</w:t>
      </w:r>
      <w:r>
        <w:t xml:space="preserve"> signs </w:t>
      </w:r>
      <w:r w:rsidR="00A31BB2">
        <w:t xml:space="preserve">and/or floor markers </w:t>
      </w:r>
      <w:r>
        <w:t xml:space="preserve">to </w:t>
      </w:r>
      <w:r w:rsidR="00A31BB2">
        <w:t>install</w:t>
      </w:r>
      <w:r>
        <w:t xml:space="preserve">. </w:t>
      </w:r>
      <w:r w:rsidRPr="005D706C">
        <w:t xml:space="preserve">Baseline non-compliance is 25 percent for </w:t>
      </w:r>
      <w:r>
        <w:t>SBA-defined small</w:t>
      </w:r>
      <w:r w:rsidRPr="005D706C">
        <w:t xml:space="preserve"> establishments.</w:t>
      </w:r>
    </w:p>
    <w:p w:rsidR="00682DFA" w:rsidP="00682DFA" w:rsidRDefault="00682DFA" w14:paraId="31623211" w14:textId="77777777">
      <w:pPr>
        <w:ind w:firstLine="720"/>
      </w:pPr>
    </w:p>
    <w:p w:rsidRPr="002E13EF" w:rsidR="00682DFA" w:rsidP="00682DFA" w:rsidRDefault="00682DFA" w14:paraId="1F27920A" w14:textId="2D39CE56">
      <w:pPr>
        <w:ind w:left="3600" w:hanging="2160"/>
        <w:rPr>
          <w:bCs/>
        </w:rPr>
      </w:pPr>
      <w:r w:rsidRPr="00B80178">
        <w:rPr>
          <w:b/>
          <w:bCs/>
        </w:rPr>
        <w:t>Burden Hours:</w:t>
      </w:r>
      <w:r>
        <w:rPr>
          <w:b/>
          <w:bCs/>
        </w:rPr>
        <w:t xml:space="preserve"> </w:t>
      </w:r>
      <w:r>
        <w:rPr>
          <w:b/>
          <w:bCs/>
        </w:rPr>
        <w:tab/>
      </w:r>
      <w:r w:rsidR="00A97D3E">
        <w:t>2,082,240</w:t>
      </w:r>
      <w:r>
        <w:t xml:space="preserve"> signs</w:t>
      </w:r>
      <w:r w:rsidRPr="00D55D93">
        <w:rPr>
          <w:bCs/>
        </w:rPr>
        <w:t xml:space="preserve"> x 0.25 (non-compliance rate) x </w:t>
      </w:r>
      <w:r>
        <w:rPr>
          <w:bCs/>
        </w:rPr>
        <w:t>0.03 hours</w:t>
      </w:r>
      <w:r w:rsidRPr="00D55D93">
        <w:rPr>
          <w:bCs/>
        </w:rPr>
        <w:t xml:space="preserve"> = </w:t>
      </w:r>
      <w:r w:rsidR="00A97D3E">
        <w:rPr>
          <w:bCs/>
        </w:rPr>
        <w:t>15,616.80</w:t>
      </w:r>
      <w:r w:rsidRPr="00D55D93">
        <w:rPr>
          <w:bCs/>
        </w:rPr>
        <w:t xml:space="preserve"> hours</w:t>
      </w:r>
    </w:p>
    <w:p w:rsidR="00682DFA" w:rsidP="00682DFA" w:rsidRDefault="00682DFA" w14:paraId="4C1A57A2" w14:textId="77777777">
      <w:pPr>
        <w:ind w:left="720" w:firstLine="720"/>
        <w:rPr>
          <w:b/>
          <w:bCs/>
        </w:rPr>
      </w:pPr>
    </w:p>
    <w:p w:rsidR="00682DFA" w:rsidP="001A136C" w:rsidRDefault="00682DFA" w14:paraId="16CEA128" w14:textId="1056ECD9">
      <w:pPr>
        <w:ind w:left="720" w:firstLine="720"/>
      </w:pPr>
      <w:r>
        <w:rPr>
          <w:b/>
          <w:bCs/>
        </w:rPr>
        <w:t>Cost:</w:t>
      </w:r>
      <w:r>
        <w:rPr>
          <w:b/>
          <w:bCs/>
        </w:rPr>
        <w:tab/>
      </w:r>
      <w:r>
        <w:rPr>
          <w:b/>
          <w:bCs/>
        </w:rPr>
        <w:tab/>
      </w:r>
      <w:r>
        <w:rPr>
          <w:b/>
          <w:bCs/>
        </w:rPr>
        <w:tab/>
      </w:r>
      <w:r w:rsidR="00A97D3E">
        <w:rPr>
          <w:bCs/>
        </w:rPr>
        <w:t>15,616.80</w:t>
      </w:r>
      <w:r>
        <w:rPr>
          <w:bCs/>
        </w:rPr>
        <w:t xml:space="preserve"> hou</w:t>
      </w:r>
      <w:r w:rsidRPr="00A31BB2">
        <w:rPr>
          <w:bCs/>
        </w:rPr>
        <w:t>rs x $59.20 (OHS specialist) = $</w:t>
      </w:r>
      <w:r w:rsidR="00A97D3E">
        <w:rPr>
          <w:bCs/>
        </w:rPr>
        <w:t>924,514.56</w:t>
      </w:r>
    </w:p>
    <w:p w:rsidR="00682DFA" w:rsidP="00682DFA" w:rsidRDefault="00682DFA" w14:paraId="100934EE" w14:textId="77777777">
      <w:pPr>
        <w:ind w:firstLine="720"/>
      </w:pPr>
    </w:p>
    <w:p w:rsidR="00682DFA" w:rsidP="00CE7C8C" w:rsidRDefault="00682DFA" w14:paraId="4C40472E" w14:textId="77777777">
      <w:pPr>
        <w:keepNext/>
      </w:pPr>
      <w:r w:rsidRPr="00120094">
        <w:t xml:space="preserve">Very </w:t>
      </w:r>
      <w:r>
        <w:t>s</w:t>
      </w:r>
      <w:r w:rsidRPr="00120094">
        <w:t>mall</w:t>
      </w:r>
      <w:r>
        <w:t xml:space="preserve"> establishments:</w:t>
      </w:r>
    </w:p>
    <w:p w:rsidR="00682DFA" w:rsidP="00682DFA" w:rsidRDefault="00682DFA" w14:paraId="58F79CCE" w14:textId="77777777">
      <w:pPr>
        <w:ind w:firstLine="720"/>
      </w:pPr>
    </w:p>
    <w:p w:rsidR="00682DFA" w:rsidP="00682DFA" w:rsidRDefault="00682DFA" w14:paraId="2E4776A9" w14:textId="2231F79F">
      <w:pPr>
        <w:ind w:left="720"/>
      </w:pPr>
      <w:r>
        <w:t xml:space="preserve">OSHA estimates on average very small establishments will post or install 10 signs </w:t>
      </w:r>
      <w:r w:rsidR="00A31BB2">
        <w:t xml:space="preserve">and/or floor markers </w:t>
      </w:r>
      <w:r>
        <w:t xml:space="preserve">per establishment and it will take an occupational health and safety specialist </w:t>
      </w:r>
      <w:r w:rsidRPr="00593C83">
        <w:t xml:space="preserve">2 minutes </w:t>
      </w:r>
      <w:r>
        <w:t xml:space="preserve">(0.03 hours) </w:t>
      </w:r>
      <w:r w:rsidRPr="00593C83">
        <w:t xml:space="preserve">of labor per sign </w:t>
      </w:r>
      <w:r w:rsidR="00A31BB2">
        <w:t xml:space="preserve">or floor </w:t>
      </w:r>
      <w:r w:rsidRPr="00593C83">
        <w:t>mark</w:t>
      </w:r>
      <w:r w:rsidR="00A31BB2">
        <w:t>er</w:t>
      </w:r>
      <w:r>
        <w:t xml:space="preserve">. For the </w:t>
      </w:r>
      <w:r w:rsidR="00A97D3E">
        <w:t>477,203</w:t>
      </w:r>
      <w:r w:rsidR="00A31BB2">
        <w:t xml:space="preserve"> </w:t>
      </w:r>
      <w:r>
        <w:t xml:space="preserve">very small establishments, there will be </w:t>
      </w:r>
      <w:r w:rsidR="00D43FB4">
        <w:t xml:space="preserve">on average </w:t>
      </w:r>
      <w:r>
        <w:t xml:space="preserve">a total of </w:t>
      </w:r>
      <w:r w:rsidR="00A97D3E">
        <w:t>4,772,030</w:t>
      </w:r>
      <w:r>
        <w:t xml:space="preserve"> signs </w:t>
      </w:r>
      <w:r w:rsidR="00A31BB2">
        <w:t xml:space="preserve">and/or floor markers </w:t>
      </w:r>
      <w:r>
        <w:t>to post. Baseline non-compliance is 50 percent for very small establishments.</w:t>
      </w:r>
    </w:p>
    <w:p w:rsidR="00682DFA" w:rsidP="00682DFA" w:rsidRDefault="00682DFA" w14:paraId="069FF37C" w14:textId="77777777">
      <w:pPr>
        <w:ind w:firstLine="720"/>
      </w:pPr>
    </w:p>
    <w:p w:rsidRPr="002E13EF" w:rsidR="00682DFA" w:rsidP="00682DFA" w:rsidRDefault="00682DFA" w14:paraId="414C9777" w14:textId="3E696612">
      <w:pPr>
        <w:ind w:left="3600" w:hanging="2160"/>
        <w:rPr>
          <w:bCs/>
        </w:rPr>
      </w:pPr>
      <w:r w:rsidRPr="00B80178">
        <w:rPr>
          <w:b/>
          <w:bCs/>
        </w:rPr>
        <w:t>Burden Hours:</w:t>
      </w:r>
      <w:r>
        <w:rPr>
          <w:b/>
          <w:bCs/>
        </w:rPr>
        <w:t xml:space="preserve"> </w:t>
      </w:r>
      <w:r>
        <w:rPr>
          <w:b/>
          <w:bCs/>
        </w:rPr>
        <w:tab/>
      </w:r>
      <w:r w:rsidR="00A97D3E">
        <w:t>4,772,030</w:t>
      </w:r>
      <w:r>
        <w:t xml:space="preserve"> signs </w:t>
      </w:r>
      <w:r>
        <w:rPr>
          <w:bCs/>
        </w:rPr>
        <w:t xml:space="preserve">x 0.50 (non-compliance) x 0.03 hours = </w:t>
      </w:r>
      <w:r w:rsidR="00C44DC4">
        <w:rPr>
          <w:bCs/>
        </w:rPr>
        <w:t>71,580.45</w:t>
      </w:r>
      <w:r>
        <w:rPr>
          <w:bCs/>
        </w:rPr>
        <w:t xml:space="preserve"> hours</w:t>
      </w:r>
    </w:p>
    <w:p w:rsidR="00682DFA" w:rsidP="00682DFA" w:rsidRDefault="00682DFA" w14:paraId="325B8BA5" w14:textId="77777777">
      <w:pPr>
        <w:ind w:left="720" w:firstLine="720"/>
        <w:rPr>
          <w:b/>
          <w:bCs/>
        </w:rPr>
      </w:pPr>
    </w:p>
    <w:p w:rsidRPr="002E13EF" w:rsidR="00682DFA" w:rsidP="00682DFA" w:rsidRDefault="00682DFA" w14:paraId="7D09037E" w14:textId="6ABAF6FE">
      <w:pPr>
        <w:ind w:left="3600" w:hanging="2160"/>
        <w:rPr>
          <w:bCs/>
        </w:rPr>
      </w:pPr>
      <w:r>
        <w:rPr>
          <w:b/>
          <w:bCs/>
        </w:rPr>
        <w:t>Cost:</w:t>
      </w:r>
      <w:r>
        <w:rPr>
          <w:b/>
          <w:bCs/>
        </w:rPr>
        <w:tab/>
      </w:r>
      <w:r w:rsidR="00C44DC4">
        <w:rPr>
          <w:bCs/>
        </w:rPr>
        <w:t>71,580.45</w:t>
      </w:r>
      <w:r>
        <w:rPr>
          <w:bCs/>
        </w:rPr>
        <w:t xml:space="preserve"> hours </w:t>
      </w:r>
      <w:r w:rsidRPr="00A31BB2">
        <w:rPr>
          <w:bCs/>
        </w:rPr>
        <w:t>x $59.20 (OHS specialist) = $</w:t>
      </w:r>
      <w:r w:rsidR="00C44DC4">
        <w:rPr>
          <w:bCs/>
        </w:rPr>
        <w:t>4,237,562.64</w:t>
      </w:r>
    </w:p>
    <w:p w:rsidR="00AC177D" w:rsidP="00A31BB2" w:rsidRDefault="00AC177D" w14:paraId="0CA759CC" w14:textId="77777777">
      <w:pPr>
        <w:pStyle w:val="Heading2"/>
        <w:numPr>
          <w:ilvl w:val="0"/>
          <w:numId w:val="0"/>
        </w:numPr>
        <w:ind w:left="360"/>
      </w:pPr>
    </w:p>
    <w:p w:rsidRPr="00120094" w:rsidR="00C05411" w:rsidP="00C05411" w:rsidRDefault="00C05411" w14:paraId="2D0E274F" w14:textId="291D5822">
      <w:pPr>
        <w:pStyle w:val="Heading2"/>
      </w:pPr>
      <w:r w:rsidRPr="00120094">
        <w:t xml:space="preserve">Health screening and medical management. </w:t>
      </w:r>
    </w:p>
    <w:p w:rsidRPr="00164562" w:rsidR="00C05411" w:rsidP="00290D06" w:rsidRDefault="00C05411" w14:paraId="1306C3A4" w14:textId="299A7B4E">
      <w:pPr>
        <w:pStyle w:val="Heading7"/>
        <w:numPr>
          <w:ilvl w:val="0"/>
          <w:numId w:val="0"/>
        </w:numPr>
        <w:rPr>
          <w:rFonts w:ascii="Times New Roman" w:hAnsi="Times New Roman"/>
        </w:rPr>
      </w:pPr>
      <w:r w:rsidRPr="00164562">
        <w:rPr>
          <w:rFonts w:ascii="Times New Roman" w:hAnsi="Times New Roman" w:eastAsia="Arial Unicode MS"/>
          <w:b/>
          <w:color w:val="000000"/>
        </w:rPr>
        <w:t>1910.502(l)</w:t>
      </w:r>
      <w:r>
        <w:rPr>
          <w:rFonts w:ascii="Times New Roman" w:hAnsi="Times New Roman" w:eastAsia="Arial Unicode MS"/>
          <w:b/>
          <w:color w:val="000000"/>
        </w:rPr>
        <w:t>(1)</w:t>
      </w:r>
      <w:r w:rsidR="00290D06">
        <w:rPr>
          <w:rFonts w:ascii="Times New Roman" w:hAnsi="Times New Roman" w:eastAsia="Arial Unicode MS"/>
          <w:b/>
          <w:color w:val="000000"/>
        </w:rPr>
        <w:t xml:space="preserve"> – Health screening</w:t>
      </w:r>
    </w:p>
    <w:p w:rsidRPr="00394886" w:rsidR="00C05411" w:rsidP="00C05411" w:rsidRDefault="00C05411" w14:paraId="058C2391" w14:textId="77777777">
      <w:pPr>
        <w:ind w:left="360" w:hanging="360"/>
      </w:pPr>
    </w:p>
    <w:p w:rsidR="00290D06" w:rsidP="00495DE2" w:rsidRDefault="00C05411" w14:paraId="541A14BD" w14:textId="1FFD951B">
      <w:r w:rsidRPr="00394886">
        <w:t xml:space="preserve">The employer must screen each employee before each workday and each shift for COVID-19 symptoms.  Screening may be conducted by asking employees to self-monitor before reporting to work or </w:t>
      </w:r>
      <w:r w:rsidR="00495DE2">
        <w:t xml:space="preserve">may be </w:t>
      </w:r>
      <w:r w:rsidRPr="00394886">
        <w:t xml:space="preserve">conducted in-person by the employer. </w:t>
      </w:r>
    </w:p>
    <w:p w:rsidR="00C05411" w:rsidP="00C05411" w:rsidRDefault="00C05411" w14:paraId="0957C8E5" w14:textId="77777777">
      <w:pPr>
        <w:ind w:left="720" w:hanging="360"/>
      </w:pPr>
    </w:p>
    <w:p w:rsidR="00416A05" w:rsidP="00416A05" w:rsidRDefault="00416A05" w14:paraId="1A6907B1" w14:textId="084B8289">
      <w:r w:rsidRPr="0028424D">
        <w:t xml:space="preserve">OSHA estimates that it will take an average of 15 seconds </w:t>
      </w:r>
      <w:r>
        <w:t xml:space="preserve">(0.0042 hours) </w:t>
      </w:r>
      <w:r w:rsidRPr="0028424D">
        <w:t xml:space="preserve">per employee per day </w:t>
      </w:r>
      <w:r>
        <w:t>to screen employees using a no-touch thermometer</w:t>
      </w:r>
      <w:r w:rsidRPr="0028424D">
        <w:t>.</w:t>
      </w:r>
      <w:r>
        <w:t xml:space="preserve"> OSHA estimates that</w:t>
      </w:r>
      <w:r w:rsidRPr="00416A05">
        <w:t xml:space="preserve"> health screening will be conducted 20 workdays per month for 6 months</w:t>
      </w:r>
      <w:r w:rsidR="00A31BB2">
        <w:t>, for a total of</w:t>
      </w:r>
      <w:r w:rsidRPr="00416A05">
        <w:t xml:space="preserve"> 120 days.</w:t>
      </w:r>
      <w:r w:rsidR="0025238F">
        <w:t xml:space="preserve"> The total time per employee during the 6 month period is 30.24 minutes or 0.504 hours.</w:t>
      </w:r>
    </w:p>
    <w:p w:rsidR="00416A05" w:rsidP="00416A05" w:rsidRDefault="00416A05" w14:paraId="4A58D749" w14:textId="77777777">
      <w:pPr>
        <w:rPr>
          <w:b/>
          <w:bCs/>
        </w:rPr>
      </w:pPr>
    </w:p>
    <w:p w:rsidR="00416A05" w:rsidP="00416A05" w:rsidRDefault="00416A05" w14:paraId="4D47D805" w14:textId="77777777">
      <w:pPr>
        <w:rPr>
          <w:bCs/>
        </w:rPr>
      </w:pPr>
      <w:r>
        <w:rPr>
          <w:bCs/>
        </w:rPr>
        <w:t>Large establishments:</w:t>
      </w:r>
    </w:p>
    <w:p w:rsidR="00416A05" w:rsidP="00416A05" w:rsidRDefault="00416A05" w14:paraId="5837231D" w14:textId="77777777">
      <w:pPr>
        <w:rPr>
          <w:bCs/>
        </w:rPr>
      </w:pPr>
    </w:p>
    <w:p w:rsidR="00416A05" w:rsidP="00416A05" w:rsidRDefault="006049E5" w14:paraId="564AED92" w14:textId="1B3F31DE">
      <w:pPr>
        <w:rPr>
          <w:b/>
          <w:bCs/>
        </w:rPr>
      </w:pPr>
      <w:r>
        <w:rPr>
          <w:bCs/>
        </w:rPr>
        <w:t>Ther</w:t>
      </w:r>
      <w:r w:rsidRPr="005B2E00">
        <w:rPr>
          <w:bCs/>
        </w:rPr>
        <w:t xml:space="preserve">e are </w:t>
      </w:r>
      <w:r w:rsidR="009A0B9C">
        <w:rPr>
          <w:bCs/>
        </w:rPr>
        <w:t>3,</w:t>
      </w:r>
      <w:r w:rsidR="00873747">
        <w:rPr>
          <w:bCs/>
        </w:rPr>
        <w:t>300,919</w:t>
      </w:r>
      <w:r w:rsidRPr="005B2E00">
        <w:rPr>
          <w:bCs/>
        </w:rPr>
        <w:t xml:space="preserve"> covered employees in large establishments. </w:t>
      </w:r>
      <w:r w:rsidRPr="005B2E00" w:rsidR="00102F14">
        <w:rPr>
          <w:bCs/>
        </w:rPr>
        <w:t>OSHA estimates that 10 percent of the employees in large establishments (</w:t>
      </w:r>
      <w:r w:rsidR="00BC1A9C">
        <w:rPr>
          <w:bCs/>
        </w:rPr>
        <w:t>330,</w:t>
      </w:r>
      <w:r w:rsidR="00873747">
        <w:rPr>
          <w:bCs/>
        </w:rPr>
        <w:t>092</w:t>
      </w:r>
      <w:r w:rsidRPr="005B2E00" w:rsidR="00102F14">
        <w:rPr>
          <w:bCs/>
        </w:rPr>
        <w:t xml:space="preserve">) </w:t>
      </w:r>
      <w:r w:rsidRPr="005B2E00" w:rsidR="00072BDC">
        <w:rPr>
          <w:bCs/>
        </w:rPr>
        <w:t>will not report to work on a given day and therefore will not be screened at the workplace</w:t>
      </w:r>
      <w:r w:rsidRPr="005B2E00" w:rsidR="00102F14">
        <w:rPr>
          <w:bCs/>
        </w:rPr>
        <w:t xml:space="preserve"> (</w:t>
      </w:r>
      <w:r w:rsidR="009A0B9C">
        <w:rPr>
          <w:bCs/>
        </w:rPr>
        <w:t>3,</w:t>
      </w:r>
      <w:r w:rsidR="00873747">
        <w:rPr>
          <w:bCs/>
        </w:rPr>
        <w:t>300,919</w:t>
      </w:r>
      <w:r w:rsidRPr="005B2E00" w:rsidR="008702E7">
        <w:rPr>
          <w:bCs/>
        </w:rPr>
        <w:t xml:space="preserve"> </w:t>
      </w:r>
      <w:r w:rsidRPr="005B2E00" w:rsidR="00102F14">
        <w:rPr>
          <w:bCs/>
        </w:rPr>
        <w:t xml:space="preserve">covered employee x .10 = </w:t>
      </w:r>
      <w:r w:rsidR="00BC1A9C">
        <w:rPr>
          <w:bCs/>
        </w:rPr>
        <w:t>330,</w:t>
      </w:r>
      <w:r w:rsidR="00873747">
        <w:rPr>
          <w:bCs/>
        </w:rPr>
        <w:t>091.9</w:t>
      </w:r>
      <w:r w:rsidRPr="005B2E00" w:rsidR="00102F14">
        <w:rPr>
          <w:bCs/>
        </w:rPr>
        <w:t xml:space="preserve">). Therefore, the number of employees reporting into work will be </w:t>
      </w:r>
      <w:r w:rsidR="00873747">
        <w:rPr>
          <w:bCs/>
        </w:rPr>
        <w:t>2,970,827</w:t>
      </w:r>
      <w:r w:rsidRPr="005B2E00" w:rsidR="00102F14">
        <w:rPr>
          <w:bCs/>
        </w:rPr>
        <w:t xml:space="preserve"> (</w:t>
      </w:r>
      <w:r w:rsidR="009A0B9C">
        <w:rPr>
          <w:bCs/>
        </w:rPr>
        <w:t>3,</w:t>
      </w:r>
      <w:r w:rsidR="00873747">
        <w:rPr>
          <w:bCs/>
        </w:rPr>
        <w:t>300,919</w:t>
      </w:r>
      <w:r w:rsidRPr="005B2E00" w:rsidR="00102F14">
        <w:rPr>
          <w:bCs/>
        </w:rPr>
        <w:t xml:space="preserve"> minus </w:t>
      </w:r>
      <w:r w:rsidR="00BC1A9C">
        <w:rPr>
          <w:bCs/>
        </w:rPr>
        <w:t>330,</w:t>
      </w:r>
      <w:r w:rsidR="00873747">
        <w:rPr>
          <w:bCs/>
        </w:rPr>
        <w:t>092</w:t>
      </w:r>
      <w:r w:rsidRPr="005B2E00" w:rsidR="00102F14">
        <w:rPr>
          <w:bCs/>
        </w:rPr>
        <w:t>).</w:t>
      </w:r>
      <w:r w:rsidRPr="005B2E00" w:rsidR="008702E7">
        <w:rPr>
          <w:bCs/>
        </w:rPr>
        <w:t xml:space="preserve"> </w:t>
      </w:r>
      <w:r w:rsidRPr="005B2E00" w:rsidR="00416A05">
        <w:rPr>
          <w:bCs/>
        </w:rPr>
        <w:t>Baseline no</w:t>
      </w:r>
      <w:r w:rsidR="00416A05">
        <w:rPr>
          <w:bCs/>
        </w:rPr>
        <w:t>n-compliance is 25 percent for large establishments.</w:t>
      </w:r>
    </w:p>
    <w:p w:rsidR="00416A05" w:rsidP="00416A05" w:rsidRDefault="00416A05" w14:paraId="1388D24F" w14:textId="77777777">
      <w:pPr>
        <w:ind w:left="3600" w:hanging="2160"/>
        <w:rPr>
          <w:b/>
          <w:bCs/>
        </w:rPr>
      </w:pPr>
    </w:p>
    <w:p w:rsidRPr="00120094" w:rsidR="00416A05" w:rsidP="00416A05" w:rsidRDefault="00416A05" w14:paraId="02F8D321" w14:textId="43854923">
      <w:pPr>
        <w:ind w:left="3600" w:hanging="2160"/>
        <w:rPr>
          <w:bCs/>
        </w:rPr>
      </w:pPr>
      <w:r w:rsidRPr="00B80178">
        <w:rPr>
          <w:b/>
          <w:bCs/>
        </w:rPr>
        <w:t>Burden Hours:</w:t>
      </w:r>
      <w:r>
        <w:rPr>
          <w:b/>
          <w:bCs/>
        </w:rPr>
        <w:t xml:space="preserve"> </w:t>
      </w:r>
      <w:r>
        <w:rPr>
          <w:b/>
          <w:bCs/>
        </w:rPr>
        <w:tab/>
      </w:r>
      <w:r w:rsidR="00873747">
        <w:rPr>
          <w:bCs/>
        </w:rPr>
        <w:t>2,970,827</w:t>
      </w:r>
      <w:r w:rsidRPr="00BB2027">
        <w:rPr>
          <w:bCs/>
        </w:rPr>
        <w:t xml:space="preserve"> </w:t>
      </w:r>
      <w:r w:rsidR="006049E5">
        <w:rPr>
          <w:bCs/>
        </w:rPr>
        <w:t>employees</w:t>
      </w:r>
      <w:r>
        <w:rPr>
          <w:bCs/>
        </w:rPr>
        <w:t xml:space="preserve"> x 0.25 </w:t>
      </w:r>
      <w:r w:rsidR="006049E5">
        <w:rPr>
          <w:bCs/>
        </w:rPr>
        <w:t>(</w:t>
      </w:r>
      <w:r>
        <w:rPr>
          <w:bCs/>
        </w:rPr>
        <w:t>noncompliance rate</w:t>
      </w:r>
      <w:r w:rsidR="006049E5">
        <w:rPr>
          <w:bCs/>
        </w:rPr>
        <w:t>)</w:t>
      </w:r>
      <w:r>
        <w:rPr>
          <w:bCs/>
        </w:rPr>
        <w:t xml:space="preserve"> </w:t>
      </w:r>
      <w:r w:rsidR="006049E5">
        <w:rPr>
          <w:bCs/>
        </w:rPr>
        <w:t xml:space="preserve">x </w:t>
      </w:r>
      <w:r>
        <w:rPr>
          <w:bCs/>
        </w:rPr>
        <w:t>0.</w:t>
      </w:r>
      <w:r w:rsidR="008A2614">
        <w:rPr>
          <w:bCs/>
        </w:rPr>
        <w:t>504</w:t>
      </w:r>
      <w:r>
        <w:rPr>
          <w:bCs/>
        </w:rPr>
        <w:t xml:space="preserve"> hours = </w:t>
      </w:r>
      <w:r w:rsidR="00873747">
        <w:rPr>
          <w:bCs/>
        </w:rPr>
        <w:t>374,324.20</w:t>
      </w:r>
      <w:r>
        <w:rPr>
          <w:bCs/>
        </w:rPr>
        <w:t xml:space="preserve"> hours</w:t>
      </w:r>
    </w:p>
    <w:p w:rsidR="00416A05" w:rsidP="00416A05" w:rsidRDefault="00416A05" w14:paraId="1EC855D5" w14:textId="77777777">
      <w:pPr>
        <w:ind w:left="720" w:firstLine="720"/>
        <w:rPr>
          <w:b/>
          <w:bCs/>
        </w:rPr>
      </w:pPr>
    </w:p>
    <w:p w:rsidRPr="00120094" w:rsidR="00416A05" w:rsidP="00FC3A84" w:rsidRDefault="00FC3A84" w14:paraId="069192BE" w14:textId="782C4B62">
      <w:pPr>
        <w:ind w:left="3600" w:hanging="2160"/>
        <w:rPr>
          <w:bCs/>
        </w:rPr>
      </w:pPr>
      <w:r>
        <w:rPr>
          <w:b/>
          <w:bCs/>
        </w:rPr>
        <w:t>Cost:</w:t>
      </w:r>
      <w:r>
        <w:rPr>
          <w:b/>
          <w:bCs/>
        </w:rPr>
        <w:tab/>
      </w:r>
      <w:r w:rsidR="00873747">
        <w:rPr>
          <w:bCs/>
        </w:rPr>
        <w:t>374,324.20</w:t>
      </w:r>
      <w:r w:rsidR="00416A05">
        <w:rPr>
          <w:b/>
          <w:bCs/>
        </w:rPr>
        <w:t xml:space="preserve"> </w:t>
      </w:r>
      <w:r w:rsidR="00416A05">
        <w:rPr>
          <w:bCs/>
        </w:rPr>
        <w:t>hour</w:t>
      </w:r>
      <w:r w:rsidRPr="00962B77" w:rsidR="00416A05">
        <w:rPr>
          <w:bCs/>
        </w:rPr>
        <w:t>s x $</w:t>
      </w:r>
      <w:r w:rsidRPr="00962B77" w:rsidR="00DF1C7D">
        <w:rPr>
          <w:bCs/>
        </w:rPr>
        <w:t>35.60</w:t>
      </w:r>
      <w:r w:rsidRPr="00962B77" w:rsidR="00416A05">
        <w:rPr>
          <w:bCs/>
        </w:rPr>
        <w:t xml:space="preserve"> (</w:t>
      </w:r>
      <w:r w:rsidRPr="00962B77" w:rsidR="00962B77">
        <w:rPr>
          <w:bCs/>
        </w:rPr>
        <w:t xml:space="preserve">General </w:t>
      </w:r>
      <w:r w:rsidRPr="00962B77" w:rsidR="00DF1C7D">
        <w:rPr>
          <w:bCs/>
        </w:rPr>
        <w:t>worker</w:t>
      </w:r>
      <w:r w:rsidRPr="00962B77" w:rsidR="00416A05">
        <w:rPr>
          <w:bCs/>
        </w:rPr>
        <w:t>) = $</w:t>
      </w:r>
      <w:r w:rsidR="00873747">
        <w:rPr>
          <w:bCs/>
        </w:rPr>
        <w:t>13,325,941.59</w:t>
      </w:r>
    </w:p>
    <w:p w:rsidR="00416A05" w:rsidP="00416A05" w:rsidRDefault="00416A05" w14:paraId="19B73CA5" w14:textId="77777777">
      <w:pPr>
        <w:rPr>
          <w:b/>
        </w:rPr>
      </w:pPr>
    </w:p>
    <w:p w:rsidR="00416A05" w:rsidP="00416A05" w:rsidRDefault="00416A05" w14:paraId="259E5392" w14:textId="77777777">
      <w:r>
        <w:t>SBA-defined small establishments:</w:t>
      </w:r>
    </w:p>
    <w:p w:rsidR="00416A05" w:rsidP="00416A05" w:rsidRDefault="00416A05" w14:paraId="45F8C268" w14:textId="77777777"/>
    <w:p w:rsidRPr="005B2E00" w:rsidR="00416A05" w:rsidP="00416A05" w:rsidRDefault="00653DE6" w14:paraId="7346FCB9" w14:textId="20C63E8C">
      <w:pPr>
        <w:rPr>
          <w:b/>
          <w:bCs/>
        </w:rPr>
      </w:pPr>
      <w:r w:rsidRPr="00653DE6">
        <w:rPr>
          <w:bCs/>
        </w:rPr>
        <w:t>Th</w:t>
      </w:r>
      <w:r w:rsidRPr="005B2E00">
        <w:rPr>
          <w:bCs/>
        </w:rPr>
        <w:t xml:space="preserve">ere are </w:t>
      </w:r>
      <w:r w:rsidR="00461AE8">
        <w:rPr>
          <w:bCs/>
        </w:rPr>
        <w:t>5,799,</w:t>
      </w:r>
      <w:r w:rsidR="00B06697">
        <w:rPr>
          <w:bCs/>
        </w:rPr>
        <w:t>312</w:t>
      </w:r>
      <w:r w:rsidRPr="005B2E00">
        <w:rPr>
          <w:bCs/>
        </w:rPr>
        <w:t xml:space="preserve"> covered employees in SBA-defined small establishments. </w:t>
      </w:r>
      <w:r w:rsidRPr="005B2E00" w:rsidR="00520C47">
        <w:rPr>
          <w:bCs/>
        </w:rPr>
        <w:t xml:space="preserve">OSHA estimates that 10 percent of the employees in </w:t>
      </w:r>
      <w:r w:rsidRPr="005B2E00" w:rsidR="00A43EFB">
        <w:rPr>
          <w:bCs/>
        </w:rPr>
        <w:t xml:space="preserve">SBA-defined small </w:t>
      </w:r>
      <w:r w:rsidRPr="005B2E00" w:rsidR="00520C47">
        <w:rPr>
          <w:bCs/>
        </w:rPr>
        <w:t>establishments (</w:t>
      </w:r>
      <w:r w:rsidR="003978FC">
        <w:rPr>
          <w:bCs/>
        </w:rPr>
        <w:t>579,9</w:t>
      </w:r>
      <w:r w:rsidR="00CE1C5E">
        <w:rPr>
          <w:bCs/>
        </w:rPr>
        <w:t>31</w:t>
      </w:r>
      <w:r w:rsidRPr="005B2E00" w:rsidR="00520C47">
        <w:rPr>
          <w:bCs/>
        </w:rPr>
        <w:t xml:space="preserve">) </w:t>
      </w:r>
      <w:r w:rsidRPr="005B2E00" w:rsidR="00A43EFB">
        <w:rPr>
          <w:bCs/>
        </w:rPr>
        <w:t>will not report to work on a given day and therefore will not be screened at the workplace</w:t>
      </w:r>
      <w:r w:rsidRPr="005B2E00" w:rsidR="00520C47">
        <w:rPr>
          <w:bCs/>
        </w:rPr>
        <w:t xml:space="preserve"> (</w:t>
      </w:r>
      <w:r w:rsidR="00B06697">
        <w:rPr>
          <w:bCs/>
        </w:rPr>
        <w:t>5,799,312</w:t>
      </w:r>
      <w:r w:rsidRPr="005B2E00" w:rsidR="00520C47">
        <w:rPr>
          <w:bCs/>
        </w:rPr>
        <w:t xml:space="preserve"> covered employee x </w:t>
      </w:r>
      <w:r w:rsidRPr="005B2E00" w:rsidR="00137989">
        <w:rPr>
          <w:bCs/>
        </w:rPr>
        <w:t>0</w:t>
      </w:r>
      <w:r w:rsidRPr="005B2E00" w:rsidR="00520C47">
        <w:rPr>
          <w:bCs/>
        </w:rPr>
        <w:t xml:space="preserve">.10 = </w:t>
      </w:r>
      <w:r w:rsidR="00461AE8">
        <w:rPr>
          <w:bCs/>
        </w:rPr>
        <w:t>579,9</w:t>
      </w:r>
      <w:r w:rsidR="00CE1C5E">
        <w:rPr>
          <w:bCs/>
        </w:rPr>
        <w:t>31</w:t>
      </w:r>
      <w:r w:rsidRPr="005B2E00" w:rsidR="00520C47">
        <w:rPr>
          <w:bCs/>
        </w:rPr>
        <w:t xml:space="preserve">). Therefore, the number of employees reporting into work will be </w:t>
      </w:r>
      <w:r w:rsidR="00CE1C5E">
        <w:rPr>
          <w:bCs/>
        </w:rPr>
        <w:t>5,219,381</w:t>
      </w:r>
      <w:r w:rsidRPr="005B2E00" w:rsidR="00520C47">
        <w:rPr>
          <w:bCs/>
        </w:rPr>
        <w:t xml:space="preserve"> (</w:t>
      </w:r>
      <w:r w:rsidR="00B06697">
        <w:rPr>
          <w:bCs/>
        </w:rPr>
        <w:t>5,799,312</w:t>
      </w:r>
      <w:r w:rsidRPr="005B2E00" w:rsidR="00520C47">
        <w:rPr>
          <w:bCs/>
        </w:rPr>
        <w:t xml:space="preserve"> minus </w:t>
      </w:r>
      <w:r w:rsidR="00461AE8">
        <w:rPr>
          <w:bCs/>
        </w:rPr>
        <w:t>579,9</w:t>
      </w:r>
      <w:r w:rsidR="00CE1C5E">
        <w:rPr>
          <w:bCs/>
        </w:rPr>
        <w:t>31</w:t>
      </w:r>
      <w:r w:rsidRPr="005B2E00" w:rsidR="00520C47">
        <w:rPr>
          <w:bCs/>
        </w:rPr>
        <w:t xml:space="preserve">). </w:t>
      </w:r>
      <w:r w:rsidRPr="005B2E00" w:rsidR="00416A05">
        <w:rPr>
          <w:bCs/>
        </w:rPr>
        <w:t>Baseline non-compliance is 25 percent for SBA-defined small establishments.</w:t>
      </w:r>
    </w:p>
    <w:p w:rsidRPr="005B2E00" w:rsidR="00416A05" w:rsidP="00416A05" w:rsidRDefault="00416A05" w14:paraId="055A4976" w14:textId="77777777"/>
    <w:p w:rsidRPr="005B2E00" w:rsidR="00416A05" w:rsidP="00416A05" w:rsidRDefault="00416A05" w14:paraId="73C0D7E8" w14:textId="070E44DC">
      <w:pPr>
        <w:ind w:left="3600" w:hanging="2160"/>
        <w:rPr>
          <w:bCs/>
        </w:rPr>
      </w:pPr>
      <w:r w:rsidRPr="005B2E00">
        <w:rPr>
          <w:b/>
          <w:bCs/>
        </w:rPr>
        <w:t xml:space="preserve">Burden Hours: </w:t>
      </w:r>
      <w:r w:rsidRPr="005B2E00">
        <w:rPr>
          <w:b/>
          <w:bCs/>
        </w:rPr>
        <w:tab/>
      </w:r>
      <w:r w:rsidR="00CE1C5E">
        <w:rPr>
          <w:bCs/>
        </w:rPr>
        <w:t>5,219,381</w:t>
      </w:r>
      <w:r w:rsidRPr="005B2E00" w:rsidR="00653DE6">
        <w:rPr>
          <w:bCs/>
        </w:rPr>
        <w:t xml:space="preserve"> covered employees</w:t>
      </w:r>
      <w:r w:rsidRPr="005B2E00">
        <w:rPr>
          <w:bCs/>
        </w:rPr>
        <w:t xml:space="preserve"> x 0.25 </w:t>
      </w:r>
      <w:r w:rsidRPr="005B2E00" w:rsidR="00653DE6">
        <w:rPr>
          <w:bCs/>
        </w:rPr>
        <w:t>(</w:t>
      </w:r>
      <w:r w:rsidRPr="005B2E00">
        <w:rPr>
          <w:bCs/>
        </w:rPr>
        <w:t>noncompliance rate</w:t>
      </w:r>
      <w:r w:rsidRPr="005B2E00" w:rsidR="00653DE6">
        <w:rPr>
          <w:bCs/>
        </w:rPr>
        <w:t>)</w:t>
      </w:r>
      <w:r w:rsidRPr="005B2E00">
        <w:rPr>
          <w:bCs/>
        </w:rPr>
        <w:t xml:space="preserve"> x 0.</w:t>
      </w:r>
      <w:r w:rsidRPr="005B2E00" w:rsidR="008A2614">
        <w:rPr>
          <w:bCs/>
        </w:rPr>
        <w:t>504</w:t>
      </w:r>
      <w:r w:rsidRPr="005B2E00">
        <w:rPr>
          <w:bCs/>
        </w:rPr>
        <w:t xml:space="preserve"> hours = </w:t>
      </w:r>
      <w:r w:rsidR="00CE1C5E">
        <w:rPr>
          <w:bCs/>
        </w:rPr>
        <w:t>657,642.01</w:t>
      </w:r>
      <w:r w:rsidRPr="005B2E00">
        <w:rPr>
          <w:bCs/>
        </w:rPr>
        <w:t xml:space="preserve"> hours</w:t>
      </w:r>
    </w:p>
    <w:p w:rsidRPr="005B2E00" w:rsidR="00416A05" w:rsidP="00416A05" w:rsidRDefault="00416A05" w14:paraId="4827C748" w14:textId="77777777">
      <w:pPr>
        <w:ind w:left="720" w:firstLine="720"/>
        <w:rPr>
          <w:b/>
          <w:bCs/>
        </w:rPr>
      </w:pPr>
    </w:p>
    <w:p w:rsidRPr="00120094" w:rsidR="00416A05" w:rsidP="005B2E00" w:rsidRDefault="00416A05" w14:paraId="3914F37E" w14:textId="42A3DF62">
      <w:pPr>
        <w:ind w:left="3600" w:hanging="2160"/>
        <w:rPr>
          <w:bCs/>
        </w:rPr>
      </w:pPr>
      <w:r w:rsidRPr="005B2E00">
        <w:rPr>
          <w:b/>
          <w:bCs/>
        </w:rPr>
        <w:t>Cost:</w:t>
      </w:r>
      <w:r w:rsidRPr="005B2E00">
        <w:rPr>
          <w:b/>
          <w:bCs/>
        </w:rPr>
        <w:tab/>
      </w:r>
      <w:r w:rsidR="00CE1C5E">
        <w:rPr>
          <w:bCs/>
        </w:rPr>
        <w:t>657,642.01</w:t>
      </w:r>
      <w:r w:rsidRPr="005B2E00">
        <w:rPr>
          <w:b/>
          <w:bCs/>
        </w:rPr>
        <w:t xml:space="preserve"> </w:t>
      </w:r>
      <w:r w:rsidRPr="005B2E00">
        <w:rPr>
          <w:bCs/>
        </w:rPr>
        <w:t>hours x $</w:t>
      </w:r>
      <w:r w:rsidRPr="005B2E00" w:rsidR="00137989">
        <w:rPr>
          <w:bCs/>
        </w:rPr>
        <w:t>35.60</w:t>
      </w:r>
      <w:r w:rsidRPr="005B2E00">
        <w:rPr>
          <w:bCs/>
        </w:rPr>
        <w:t xml:space="preserve"> (</w:t>
      </w:r>
      <w:r w:rsidRPr="005B2E00" w:rsidR="00962B77">
        <w:rPr>
          <w:bCs/>
        </w:rPr>
        <w:t xml:space="preserve">General </w:t>
      </w:r>
      <w:r w:rsidRPr="005B2E00" w:rsidR="00137989">
        <w:rPr>
          <w:bCs/>
        </w:rPr>
        <w:t>worker</w:t>
      </w:r>
      <w:r w:rsidRPr="005B2E00">
        <w:rPr>
          <w:bCs/>
        </w:rPr>
        <w:t>) = $</w:t>
      </w:r>
      <w:r w:rsidR="0055074B">
        <w:rPr>
          <w:bCs/>
        </w:rPr>
        <w:t>23,412,055.41</w:t>
      </w:r>
    </w:p>
    <w:p w:rsidR="00416A05" w:rsidP="00416A05" w:rsidRDefault="00416A05" w14:paraId="73CDF68C" w14:textId="77777777"/>
    <w:p w:rsidR="00416A05" w:rsidP="00416A05" w:rsidRDefault="00416A05" w14:paraId="3F784787" w14:textId="77777777">
      <w:r>
        <w:t>Very small establishments:</w:t>
      </w:r>
    </w:p>
    <w:p w:rsidR="00416A05" w:rsidP="00416A05" w:rsidRDefault="00416A05" w14:paraId="045CEAD3" w14:textId="77777777"/>
    <w:p w:rsidR="00416A05" w:rsidP="00416A05" w:rsidRDefault="00653DE6" w14:paraId="7BA95FE3" w14:textId="1E70CCFC">
      <w:pPr>
        <w:rPr>
          <w:b/>
          <w:bCs/>
        </w:rPr>
      </w:pPr>
      <w:r w:rsidRPr="00653DE6">
        <w:rPr>
          <w:bCs/>
        </w:rPr>
        <w:t xml:space="preserve">There are </w:t>
      </w:r>
      <w:r w:rsidR="00C75CF4">
        <w:rPr>
          <w:bCs/>
        </w:rPr>
        <w:t>1,238,</w:t>
      </w:r>
      <w:r w:rsidR="00B06697">
        <w:rPr>
          <w:bCs/>
        </w:rPr>
        <w:t>122</w:t>
      </w:r>
      <w:r w:rsidRPr="00653DE6">
        <w:rPr>
          <w:bCs/>
        </w:rPr>
        <w:t xml:space="preserve"> covered employees in </w:t>
      </w:r>
      <w:r>
        <w:rPr>
          <w:bCs/>
        </w:rPr>
        <w:t>very</w:t>
      </w:r>
      <w:r w:rsidRPr="00653DE6">
        <w:rPr>
          <w:bCs/>
        </w:rPr>
        <w:t xml:space="preserve"> small es</w:t>
      </w:r>
      <w:r w:rsidRPr="008D39C5">
        <w:rPr>
          <w:bCs/>
        </w:rPr>
        <w:t>tablishments</w:t>
      </w:r>
      <w:r w:rsidRPr="008D39C5" w:rsidR="00501576">
        <w:rPr>
          <w:bCs/>
        </w:rPr>
        <w:t xml:space="preserve">. OSHA estimates that 10 percent of the employees in </w:t>
      </w:r>
      <w:r w:rsidRPr="008D39C5" w:rsidR="00A43EFB">
        <w:rPr>
          <w:bCs/>
        </w:rPr>
        <w:t xml:space="preserve">very small </w:t>
      </w:r>
      <w:r w:rsidRPr="008D39C5" w:rsidR="00501576">
        <w:rPr>
          <w:bCs/>
        </w:rPr>
        <w:t>establishments (</w:t>
      </w:r>
      <w:r w:rsidR="0055074B">
        <w:rPr>
          <w:bCs/>
        </w:rPr>
        <w:t>123,812.2</w:t>
      </w:r>
      <w:r w:rsidRPr="008D39C5" w:rsidR="00501576">
        <w:rPr>
          <w:bCs/>
        </w:rPr>
        <w:t xml:space="preserve">) </w:t>
      </w:r>
      <w:r w:rsidRPr="008D39C5" w:rsidR="00A43EFB">
        <w:rPr>
          <w:bCs/>
        </w:rPr>
        <w:t>will not report to work on a given day and therefore will not be screened at the workplace</w:t>
      </w:r>
      <w:r w:rsidRPr="008D39C5" w:rsidR="00501576">
        <w:rPr>
          <w:bCs/>
        </w:rPr>
        <w:t xml:space="preserve"> (</w:t>
      </w:r>
      <w:r w:rsidR="0055074B">
        <w:rPr>
          <w:bCs/>
        </w:rPr>
        <w:t>1,238,122</w:t>
      </w:r>
      <w:r w:rsidRPr="008D39C5" w:rsidR="00501576">
        <w:rPr>
          <w:bCs/>
        </w:rPr>
        <w:t xml:space="preserve"> covered employee x .10 = </w:t>
      </w:r>
      <w:r w:rsidR="0055074B">
        <w:rPr>
          <w:bCs/>
        </w:rPr>
        <w:t>123,812.2</w:t>
      </w:r>
      <w:r w:rsidRPr="008D39C5" w:rsidR="00501576">
        <w:rPr>
          <w:bCs/>
        </w:rPr>
        <w:t xml:space="preserve">). Therefore, the number of employees reporting into work will be </w:t>
      </w:r>
      <w:r w:rsidR="0055074B">
        <w:rPr>
          <w:bCs/>
        </w:rPr>
        <w:t>1,114,310</w:t>
      </w:r>
      <w:r w:rsidRPr="008D39C5" w:rsidR="00501576">
        <w:rPr>
          <w:bCs/>
        </w:rPr>
        <w:t xml:space="preserve"> (</w:t>
      </w:r>
      <w:r w:rsidR="0055074B">
        <w:rPr>
          <w:bCs/>
        </w:rPr>
        <w:t>1,238,122</w:t>
      </w:r>
      <w:r w:rsidRPr="008D39C5" w:rsidR="00501576">
        <w:rPr>
          <w:bCs/>
        </w:rPr>
        <w:t xml:space="preserve"> minus </w:t>
      </w:r>
      <w:r w:rsidR="0055074B">
        <w:rPr>
          <w:bCs/>
        </w:rPr>
        <w:t>123,812.2</w:t>
      </w:r>
      <w:r w:rsidRPr="008D39C5" w:rsidR="00501576">
        <w:rPr>
          <w:bCs/>
        </w:rPr>
        <w:t>).</w:t>
      </w:r>
      <w:r w:rsidRPr="008D39C5">
        <w:rPr>
          <w:bCs/>
        </w:rPr>
        <w:t xml:space="preserve"> </w:t>
      </w:r>
      <w:r w:rsidRPr="008D39C5" w:rsidR="00416A05">
        <w:rPr>
          <w:bCs/>
        </w:rPr>
        <w:t>Baseline non-compliance is 50 per</w:t>
      </w:r>
      <w:r w:rsidR="00416A05">
        <w:rPr>
          <w:bCs/>
        </w:rPr>
        <w:t>cent for very small establishments.</w:t>
      </w:r>
    </w:p>
    <w:p w:rsidR="00416A05" w:rsidP="00416A05" w:rsidRDefault="00416A05" w14:paraId="2BD0935C" w14:textId="77777777"/>
    <w:p w:rsidRPr="00120094" w:rsidR="00416A05" w:rsidP="00416A05" w:rsidRDefault="00416A05" w14:paraId="7BB1E8B1" w14:textId="306D5130">
      <w:pPr>
        <w:ind w:left="3600" w:hanging="2160"/>
        <w:rPr>
          <w:bCs/>
        </w:rPr>
      </w:pPr>
      <w:r w:rsidRPr="00B80178">
        <w:rPr>
          <w:b/>
          <w:bCs/>
        </w:rPr>
        <w:t>Burden Hours:</w:t>
      </w:r>
      <w:r>
        <w:rPr>
          <w:b/>
          <w:bCs/>
        </w:rPr>
        <w:t xml:space="preserve"> </w:t>
      </w:r>
      <w:r>
        <w:rPr>
          <w:b/>
          <w:bCs/>
        </w:rPr>
        <w:tab/>
      </w:r>
      <w:r w:rsidR="0055074B">
        <w:rPr>
          <w:bCs/>
        </w:rPr>
        <w:t>1,114,310</w:t>
      </w:r>
      <w:r w:rsidRPr="00653DE6" w:rsidR="00653DE6">
        <w:rPr>
          <w:bCs/>
        </w:rPr>
        <w:t xml:space="preserve"> </w:t>
      </w:r>
      <w:r w:rsidR="00653DE6">
        <w:rPr>
          <w:bCs/>
        </w:rPr>
        <w:t>e</w:t>
      </w:r>
      <w:r w:rsidRPr="00653DE6" w:rsidR="00653DE6">
        <w:rPr>
          <w:bCs/>
        </w:rPr>
        <w:t>mployees</w:t>
      </w:r>
      <w:r>
        <w:rPr>
          <w:bCs/>
        </w:rPr>
        <w:t xml:space="preserve"> x 0.50 </w:t>
      </w:r>
      <w:r w:rsidR="00653DE6">
        <w:rPr>
          <w:bCs/>
        </w:rPr>
        <w:t>(</w:t>
      </w:r>
      <w:r>
        <w:rPr>
          <w:bCs/>
        </w:rPr>
        <w:t>noncompliance rate</w:t>
      </w:r>
      <w:r w:rsidR="00653DE6">
        <w:rPr>
          <w:bCs/>
        </w:rPr>
        <w:t>)</w:t>
      </w:r>
      <w:r>
        <w:rPr>
          <w:bCs/>
        </w:rPr>
        <w:t xml:space="preserve"> </w:t>
      </w:r>
      <w:r w:rsidR="00653DE6">
        <w:rPr>
          <w:bCs/>
        </w:rPr>
        <w:t xml:space="preserve">x </w:t>
      </w:r>
      <w:r>
        <w:rPr>
          <w:bCs/>
        </w:rPr>
        <w:t>0.</w:t>
      </w:r>
      <w:r w:rsidR="008A2614">
        <w:rPr>
          <w:bCs/>
        </w:rPr>
        <w:t>504</w:t>
      </w:r>
      <w:r>
        <w:rPr>
          <w:bCs/>
        </w:rPr>
        <w:t xml:space="preserve"> hours = </w:t>
      </w:r>
      <w:r w:rsidR="0055074B">
        <w:rPr>
          <w:bCs/>
        </w:rPr>
        <w:t>280,806.12</w:t>
      </w:r>
      <w:r>
        <w:rPr>
          <w:bCs/>
        </w:rPr>
        <w:t xml:space="preserve"> hours</w:t>
      </w:r>
    </w:p>
    <w:p w:rsidR="00416A05" w:rsidP="00416A05" w:rsidRDefault="00416A05" w14:paraId="7338B7F2" w14:textId="77777777">
      <w:pPr>
        <w:ind w:left="720" w:firstLine="720"/>
        <w:rPr>
          <w:b/>
          <w:bCs/>
        </w:rPr>
      </w:pPr>
    </w:p>
    <w:p w:rsidRPr="00120094" w:rsidR="00416A05" w:rsidP="00BC30F0" w:rsidRDefault="00416A05" w14:paraId="61F5C39C" w14:textId="19CA29C4">
      <w:pPr>
        <w:ind w:left="3600" w:hanging="2160"/>
        <w:rPr>
          <w:bCs/>
        </w:rPr>
      </w:pPr>
      <w:r w:rsidRPr="00962B77">
        <w:rPr>
          <w:b/>
          <w:bCs/>
        </w:rPr>
        <w:t>Cost:</w:t>
      </w:r>
      <w:r w:rsidRPr="00962B77">
        <w:rPr>
          <w:b/>
          <w:bCs/>
        </w:rPr>
        <w:tab/>
      </w:r>
      <w:r w:rsidR="0055074B">
        <w:rPr>
          <w:bCs/>
        </w:rPr>
        <w:t>280,806.12</w:t>
      </w:r>
      <w:r w:rsidRPr="00962B77">
        <w:rPr>
          <w:b/>
          <w:bCs/>
        </w:rPr>
        <w:t xml:space="preserve"> </w:t>
      </w:r>
      <w:r w:rsidRPr="00962B77">
        <w:rPr>
          <w:bCs/>
        </w:rPr>
        <w:t>hours x $</w:t>
      </w:r>
      <w:r w:rsidRPr="00962B77" w:rsidR="00137989">
        <w:rPr>
          <w:bCs/>
        </w:rPr>
        <w:t>35.60</w:t>
      </w:r>
      <w:r w:rsidRPr="00962B77">
        <w:rPr>
          <w:bCs/>
        </w:rPr>
        <w:t xml:space="preserve"> (</w:t>
      </w:r>
      <w:r w:rsidRPr="00962B77" w:rsidR="00962B77">
        <w:rPr>
          <w:bCs/>
        </w:rPr>
        <w:t xml:space="preserve">General </w:t>
      </w:r>
      <w:r w:rsidRPr="00962B77" w:rsidR="00137989">
        <w:rPr>
          <w:bCs/>
        </w:rPr>
        <w:t>worker</w:t>
      </w:r>
      <w:r w:rsidRPr="00962B77">
        <w:rPr>
          <w:bCs/>
        </w:rPr>
        <w:t>) = $</w:t>
      </w:r>
      <w:r w:rsidR="0055074B">
        <w:rPr>
          <w:bCs/>
        </w:rPr>
        <w:t>9,996,697.87</w:t>
      </w:r>
    </w:p>
    <w:p w:rsidR="00290D06" w:rsidP="00290D06" w:rsidRDefault="00290D06" w14:paraId="2C78F88A" w14:textId="77777777"/>
    <w:p w:rsidR="00290D06" w:rsidP="00290D06" w:rsidRDefault="00290D06" w14:paraId="37E3818D" w14:textId="77777777"/>
    <w:p w:rsidR="00290D06" w:rsidP="00290D06" w:rsidRDefault="00290D06" w14:paraId="2DEDD9A3" w14:textId="77777777">
      <w:r w:rsidRPr="00290D06">
        <w:rPr>
          <w:b/>
        </w:rPr>
        <w:t>1910.502(l)</w:t>
      </w:r>
      <w:r>
        <w:rPr>
          <w:b/>
        </w:rPr>
        <w:t>(2</w:t>
      </w:r>
      <w:r w:rsidRPr="00290D06">
        <w:rPr>
          <w:b/>
        </w:rPr>
        <w:t>)</w:t>
      </w:r>
      <w:r>
        <w:rPr>
          <w:b/>
        </w:rPr>
        <w:t xml:space="preserve"> – Notification to the employer</w:t>
      </w:r>
    </w:p>
    <w:p w:rsidR="00290D06" w:rsidP="00290D06" w:rsidRDefault="00290D06" w14:paraId="18C30CC5" w14:textId="77777777"/>
    <w:p w:rsidR="00290D06" w:rsidP="00290D06" w:rsidRDefault="00290D06" w14:paraId="0DCDB125" w14:textId="77777777">
      <w:r w:rsidRPr="00394886">
        <w:t>The employer must require each employee to promptly notify the employer when the</w:t>
      </w:r>
      <w:r>
        <w:t xml:space="preserve"> employee</w:t>
      </w:r>
      <w:r w:rsidRPr="00394886">
        <w:t>:</w:t>
      </w:r>
    </w:p>
    <w:p w:rsidRPr="00495DE2" w:rsidR="00290D06" w:rsidP="00290D06" w:rsidRDefault="00290D06" w14:paraId="2711882C" w14:textId="77777777">
      <w:r>
        <w:t xml:space="preserve"> </w:t>
      </w:r>
    </w:p>
    <w:p w:rsidR="00290D06" w:rsidP="00290D06" w:rsidRDefault="00290D06" w14:paraId="66A1CE82" w14:textId="77777777">
      <w:pPr>
        <w:ind w:left="720"/>
      </w:pPr>
      <w:r w:rsidRPr="00495DE2">
        <w:t xml:space="preserve">(i) is COVID-19 positive (i.e., </w:t>
      </w:r>
      <w:r w:rsidRPr="00495DE2">
        <w:rPr>
          <w:bCs/>
        </w:rPr>
        <w:t>confirmed positive t</w:t>
      </w:r>
      <w:r w:rsidRPr="00495DE2">
        <w:t>est for, or has been diagnosed by a licensed healthcare provider with, COVID-19); or</w:t>
      </w:r>
    </w:p>
    <w:p w:rsidRPr="00495DE2" w:rsidR="00290D06" w:rsidP="00290D06" w:rsidRDefault="00290D06" w14:paraId="687C38DA" w14:textId="77777777">
      <w:pPr>
        <w:ind w:left="720"/>
      </w:pPr>
    </w:p>
    <w:p w:rsidR="00290D06" w:rsidP="00290D06" w:rsidRDefault="00290D06" w14:paraId="009DE50E" w14:textId="77777777">
      <w:pPr>
        <w:ind w:left="720"/>
      </w:pPr>
      <w:r w:rsidRPr="00495DE2">
        <w:t>(ii) has been told by a licensed healthcare provider that they are suspected to have COVID-19; or</w:t>
      </w:r>
    </w:p>
    <w:p w:rsidRPr="00495DE2" w:rsidR="00290D06" w:rsidP="00290D06" w:rsidRDefault="00290D06" w14:paraId="4469061B" w14:textId="77777777">
      <w:pPr>
        <w:ind w:left="720"/>
      </w:pPr>
    </w:p>
    <w:p w:rsidR="00290D06" w:rsidP="00290D06" w:rsidRDefault="00290D06" w14:paraId="0C1C003F" w14:textId="77777777">
      <w:pPr>
        <w:ind w:left="720"/>
      </w:pPr>
      <w:r w:rsidRPr="00495DE2">
        <w:t>(iii) is experiencing recent loss of taste and/or smell with no other explanation; or</w:t>
      </w:r>
    </w:p>
    <w:p w:rsidRPr="00495DE2" w:rsidR="00290D06" w:rsidP="00290D06" w:rsidRDefault="00290D06" w14:paraId="294225F0" w14:textId="77777777">
      <w:pPr>
        <w:ind w:left="720"/>
      </w:pPr>
    </w:p>
    <w:p w:rsidR="00290D06" w:rsidP="00290D06" w:rsidRDefault="00290D06" w14:paraId="69B632BD" w14:textId="77777777">
      <w:pPr>
        <w:ind w:left="720"/>
        <w:rPr>
          <w:rFonts w:cstheme="minorHAnsi"/>
        </w:rPr>
      </w:pPr>
      <w:r w:rsidRPr="00495DE2">
        <w:t>(iv) is experiencing both fever (≥100.4° F) and new unexplained cough associated with shortness of breath.</w:t>
      </w:r>
    </w:p>
    <w:p w:rsidR="00290D06" w:rsidP="00290D06" w:rsidRDefault="00290D06" w14:paraId="29B3113B" w14:textId="77777777">
      <w:pPr>
        <w:rPr>
          <w:b/>
        </w:rPr>
      </w:pPr>
    </w:p>
    <w:p w:rsidRPr="00394886" w:rsidR="006838EB" w:rsidP="006838EB" w:rsidRDefault="00290D06" w14:paraId="3C4421DE" w14:textId="1E809861">
      <w:r>
        <w:t xml:space="preserve">OSHA estimates </w:t>
      </w:r>
      <w:r w:rsidR="006838EB">
        <w:t xml:space="preserve">that it will take </w:t>
      </w:r>
      <w:r w:rsidR="00963C37">
        <w:t>5</w:t>
      </w:r>
      <w:r w:rsidR="006838EB">
        <w:t xml:space="preserve"> minutes (0.0</w:t>
      </w:r>
      <w:r w:rsidR="00963C37">
        <w:t>8</w:t>
      </w:r>
      <w:r w:rsidR="006838EB">
        <w:t xml:space="preserve"> hours) of a </w:t>
      </w:r>
      <w:r w:rsidRPr="00476685" w:rsidR="006838EB">
        <w:t>General and Operations Manager</w:t>
      </w:r>
      <w:r w:rsidR="006838EB">
        <w:t xml:space="preserve">’s </w:t>
      </w:r>
      <w:r w:rsidRPr="00476685" w:rsidR="006838EB">
        <w:t>(OES 11-1020)</w:t>
      </w:r>
      <w:r w:rsidR="006838EB">
        <w:t xml:space="preserve"> time per notification to receive the notification and make arrangements for the employee’s removal. OSHA also estimates that employers will receive notifications from </w:t>
      </w:r>
      <w:r w:rsidR="002753B1">
        <w:t>0.57%</w:t>
      </w:r>
      <w:r w:rsidRPr="00BD1E09" w:rsidR="002753B1">
        <w:rPr>
          <w:bCs/>
          <w:vertAlign w:val="superscript"/>
        </w:rPr>
        <w:footnoteReference w:id="9"/>
      </w:r>
      <w:r w:rsidR="006838EB">
        <w:t xml:space="preserve"> of covered employees</w:t>
      </w:r>
      <w:r w:rsidR="00EE0149">
        <w:t>, for a total of 89,631 notifications</w:t>
      </w:r>
      <w:r w:rsidR="006838EB">
        <w:t>.</w:t>
      </w:r>
    </w:p>
    <w:p w:rsidRPr="00394886" w:rsidR="006838EB" w:rsidP="006838EB" w:rsidRDefault="006838EB" w14:paraId="1CD423E2" w14:textId="77777777">
      <w:pPr>
        <w:pStyle w:val="NoSpacing"/>
        <w:rPr>
          <w:rFonts w:ascii="Times New Roman" w:hAnsi="Times New Roman" w:cs="Times New Roman"/>
          <w:sz w:val="24"/>
          <w:szCs w:val="24"/>
        </w:rPr>
      </w:pPr>
    </w:p>
    <w:p w:rsidR="006838EB" w:rsidP="006838EB" w:rsidRDefault="006838EB" w14:paraId="11714D9A" w14:textId="77777777">
      <w:pPr>
        <w:rPr>
          <w:bCs/>
        </w:rPr>
      </w:pPr>
      <w:r>
        <w:rPr>
          <w:bCs/>
        </w:rPr>
        <w:t>Large establishments:</w:t>
      </w:r>
    </w:p>
    <w:p w:rsidR="006838EB" w:rsidP="006838EB" w:rsidRDefault="006838EB" w14:paraId="42BABEC6" w14:textId="77777777">
      <w:pPr>
        <w:rPr>
          <w:bCs/>
        </w:rPr>
      </w:pPr>
    </w:p>
    <w:p w:rsidR="006838EB" w:rsidP="006838EB" w:rsidRDefault="006838EB" w14:paraId="113583C1" w14:textId="6C7800DB">
      <w:pPr>
        <w:rPr>
          <w:b/>
          <w:bCs/>
        </w:rPr>
      </w:pPr>
      <w:r>
        <w:rPr>
          <w:bCs/>
        </w:rPr>
        <w:t xml:space="preserve">OSHA </w:t>
      </w:r>
      <w:r w:rsidR="001133A9">
        <w:rPr>
          <w:bCs/>
        </w:rPr>
        <w:t>estimates</w:t>
      </w:r>
      <w:r>
        <w:rPr>
          <w:bCs/>
        </w:rPr>
        <w:t xml:space="preserve"> </w:t>
      </w:r>
      <w:r w:rsidR="00080D85">
        <w:rPr>
          <w:bCs/>
        </w:rPr>
        <w:t>18,815</w:t>
      </w:r>
      <w:r w:rsidR="00EE0149">
        <w:rPr>
          <w:bCs/>
        </w:rPr>
        <w:t xml:space="preserve"> employees in large establishments</w:t>
      </w:r>
      <w:r>
        <w:rPr>
          <w:bCs/>
        </w:rPr>
        <w:t xml:space="preserve"> will notify their employer</w:t>
      </w:r>
      <w:r w:rsidR="001133A9">
        <w:rPr>
          <w:bCs/>
        </w:rPr>
        <w:t xml:space="preserve"> under this requirement</w:t>
      </w:r>
      <w:r>
        <w:rPr>
          <w:bCs/>
        </w:rPr>
        <w:t xml:space="preserve"> (</w:t>
      </w:r>
      <w:r w:rsidR="00080D85">
        <w:rPr>
          <w:bCs/>
        </w:rPr>
        <w:t>3,300,919</w:t>
      </w:r>
      <w:r>
        <w:rPr>
          <w:bCs/>
        </w:rPr>
        <w:t xml:space="preserve"> covered employees x 0.</w:t>
      </w:r>
      <w:r w:rsidR="003B1732">
        <w:rPr>
          <w:bCs/>
        </w:rPr>
        <w:t>0</w:t>
      </w:r>
      <w:r w:rsidR="00624F93">
        <w:rPr>
          <w:bCs/>
        </w:rPr>
        <w:t>057</w:t>
      </w:r>
      <w:r>
        <w:rPr>
          <w:bCs/>
        </w:rPr>
        <w:t xml:space="preserve"> = </w:t>
      </w:r>
      <w:r w:rsidR="00080D85">
        <w:rPr>
          <w:bCs/>
        </w:rPr>
        <w:t>18,815</w:t>
      </w:r>
      <w:r>
        <w:rPr>
          <w:bCs/>
        </w:rPr>
        <w:t>)</w:t>
      </w:r>
      <w:r w:rsidR="001133A9">
        <w:rPr>
          <w:bCs/>
        </w:rPr>
        <w:t>.</w:t>
      </w:r>
      <w:r>
        <w:rPr>
          <w:bCs/>
        </w:rPr>
        <w:t xml:space="preserve">  </w:t>
      </w:r>
      <w:r w:rsidRPr="0028424D">
        <w:rPr>
          <w:bCs/>
        </w:rPr>
        <w:t xml:space="preserve">Baseline </w:t>
      </w:r>
      <w:r>
        <w:rPr>
          <w:bCs/>
        </w:rPr>
        <w:t>non-compliance is 25 percent for large establishments.</w:t>
      </w:r>
    </w:p>
    <w:p w:rsidR="006838EB" w:rsidP="006838EB" w:rsidRDefault="006838EB" w14:paraId="4D0C4413" w14:textId="77777777">
      <w:pPr>
        <w:ind w:left="3600" w:hanging="2160"/>
        <w:rPr>
          <w:b/>
          <w:bCs/>
        </w:rPr>
      </w:pPr>
    </w:p>
    <w:p w:rsidRPr="00120094" w:rsidR="006838EB" w:rsidP="006838EB" w:rsidRDefault="006838EB" w14:paraId="6A9C793F" w14:textId="06DA6EEC">
      <w:pPr>
        <w:ind w:left="3600" w:hanging="2160"/>
        <w:rPr>
          <w:bCs/>
        </w:rPr>
      </w:pPr>
      <w:r w:rsidRPr="00B80178">
        <w:rPr>
          <w:b/>
          <w:bCs/>
        </w:rPr>
        <w:t>Burden Hours:</w:t>
      </w:r>
      <w:r>
        <w:rPr>
          <w:b/>
          <w:bCs/>
        </w:rPr>
        <w:t xml:space="preserve"> </w:t>
      </w:r>
      <w:r>
        <w:rPr>
          <w:b/>
          <w:bCs/>
        </w:rPr>
        <w:tab/>
      </w:r>
      <w:r w:rsidR="00080D85">
        <w:rPr>
          <w:bCs/>
        </w:rPr>
        <w:t>18,815</w:t>
      </w:r>
      <w:r w:rsidRPr="0018522D">
        <w:rPr>
          <w:bCs/>
        </w:rPr>
        <w:t xml:space="preserve"> </w:t>
      </w:r>
      <w:r>
        <w:rPr>
          <w:bCs/>
        </w:rPr>
        <w:t>employees x 0.25 (non-compliance rate) x 0.0</w:t>
      </w:r>
      <w:r w:rsidR="00963C37">
        <w:rPr>
          <w:bCs/>
        </w:rPr>
        <w:t>8</w:t>
      </w:r>
      <w:r>
        <w:rPr>
          <w:bCs/>
        </w:rPr>
        <w:t xml:space="preserve"> hours = </w:t>
      </w:r>
      <w:r w:rsidR="00406D90">
        <w:rPr>
          <w:bCs/>
        </w:rPr>
        <w:t>376.30</w:t>
      </w:r>
      <w:r>
        <w:rPr>
          <w:bCs/>
        </w:rPr>
        <w:t xml:space="preserve"> hours</w:t>
      </w:r>
    </w:p>
    <w:p w:rsidR="006838EB" w:rsidP="006838EB" w:rsidRDefault="006838EB" w14:paraId="0FE458C1" w14:textId="77777777">
      <w:pPr>
        <w:ind w:left="720" w:firstLine="720"/>
        <w:rPr>
          <w:b/>
          <w:bCs/>
        </w:rPr>
      </w:pPr>
    </w:p>
    <w:p w:rsidRPr="00120094" w:rsidR="006838EB" w:rsidP="00313268" w:rsidRDefault="006838EB" w14:paraId="462DA90C" w14:textId="5CC7C9A6">
      <w:pPr>
        <w:ind w:left="3600" w:hanging="2160"/>
        <w:rPr>
          <w:bCs/>
        </w:rPr>
      </w:pPr>
      <w:r>
        <w:rPr>
          <w:b/>
          <w:bCs/>
        </w:rPr>
        <w:t>Cost:</w:t>
      </w:r>
      <w:r>
        <w:rPr>
          <w:b/>
          <w:bCs/>
        </w:rPr>
        <w:tab/>
      </w:r>
      <w:r w:rsidR="00406D90">
        <w:rPr>
          <w:bCs/>
        </w:rPr>
        <w:t>376.30</w:t>
      </w:r>
      <w:r>
        <w:rPr>
          <w:b/>
          <w:bCs/>
        </w:rPr>
        <w:t xml:space="preserve"> </w:t>
      </w:r>
      <w:r>
        <w:rPr>
          <w:bCs/>
        </w:rPr>
        <w:t xml:space="preserve">hours x </w:t>
      </w:r>
      <w:r w:rsidRPr="00A43EFB">
        <w:rPr>
          <w:bCs/>
        </w:rPr>
        <w:t>$</w:t>
      </w:r>
      <w:r w:rsidRPr="00A43EFB" w:rsidR="00D701A5">
        <w:rPr>
          <w:bCs/>
        </w:rPr>
        <w:t>88.16</w:t>
      </w:r>
      <w:r w:rsidRPr="00A43EFB">
        <w:rPr>
          <w:bCs/>
        </w:rPr>
        <w:t xml:space="preserve"> (GO </w:t>
      </w:r>
      <w:r w:rsidRPr="00A43EFB" w:rsidR="00F053BE">
        <w:rPr>
          <w:bCs/>
        </w:rPr>
        <w:t>m</w:t>
      </w:r>
      <w:r w:rsidRPr="00A43EFB">
        <w:rPr>
          <w:bCs/>
        </w:rPr>
        <w:t>anager) = $</w:t>
      </w:r>
      <w:r w:rsidR="00406D90">
        <w:rPr>
          <w:bCs/>
        </w:rPr>
        <w:t>33,175.03</w:t>
      </w:r>
    </w:p>
    <w:p w:rsidR="006838EB" w:rsidP="006838EB" w:rsidRDefault="006838EB" w14:paraId="60BB0F65" w14:textId="77777777">
      <w:pPr>
        <w:rPr>
          <w:b/>
        </w:rPr>
      </w:pPr>
    </w:p>
    <w:p w:rsidR="006838EB" w:rsidP="006838EB" w:rsidRDefault="006838EB" w14:paraId="034A6DF6" w14:textId="77777777">
      <w:r>
        <w:t>SBA-defined small establishments:</w:t>
      </w:r>
    </w:p>
    <w:p w:rsidR="006838EB" w:rsidP="006838EB" w:rsidRDefault="006838EB" w14:paraId="596928CB" w14:textId="77777777"/>
    <w:p w:rsidRPr="0028424D" w:rsidR="006838EB" w:rsidP="006838EB" w:rsidRDefault="006838EB" w14:paraId="324ED6F4" w14:textId="4C425F4A">
      <w:pPr>
        <w:rPr>
          <w:b/>
          <w:bCs/>
        </w:rPr>
      </w:pPr>
      <w:r>
        <w:rPr>
          <w:bCs/>
        </w:rPr>
        <w:t xml:space="preserve">OSHA </w:t>
      </w:r>
      <w:r w:rsidR="004B3F71">
        <w:rPr>
          <w:bCs/>
        </w:rPr>
        <w:t>estimates</w:t>
      </w:r>
      <w:r>
        <w:rPr>
          <w:bCs/>
        </w:rPr>
        <w:t xml:space="preserve"> </w:t>
      </w:r>
      <w:r w:rsidR="00406D90">
        <w:rPr>
          <w:bCs/>
        </w:rPr>
        <w:t>33,056</w:t>
      </w:r>
      <w:r w:rsidR="00EE0149">
        <w:rPr>
          <w:bCs/>
        </w:rPr>
        <w:t xml:space="preserve"> employees in SBA-defined small establishments</w:t>
      </w:r>
      <w:r>
        <w:rPr>
          <w:bCs/>
        </w:rPr>
        <w:t xml:space="preserve"> will notify their employer </w:t>
      </w:r>
      <w:r w:rsidR="004B3F71">
        <w:rPr>
          <w:bCs/>
        </w:rPr>
        <w:t>under this requirement</w:t>
      </w:r>
      <w:r>
        <w:rPr>
          <w:bCs/>
        </w:rPr>
        <w:t xml:space="preserve"> (</w:t>
      </w:r>
      <w:r w:rsidR="00B06697">
        <w:rPr>
          <w:bCs/>
        </w:rPr>
        <w:t>5,799,312</w:t>
      </w:r>
      <w:r>
        <w:rPr>
          <w:bCs/>
        </w:rPr>
        <w:t xml:space="preserve"> covered employees x 0.</w:t>
      </w:r>
      <w:r w:rsidR="003B1732">
        <w:rPr>
          <w:bCs/>
        </w:rPr>
        <w:t>0</w:t>
      </w:r>
      <w:r w:rsidR="00624F93">
        <w:rPr>
          <w:bCs/>
        </w:rPr>
        <w:t>057</w:t>
      </w:r>
      <w:r>
        <w:rPr>
          <w:bCs/>
        </w:rPr>
        <w:t xml:space="preserve"> = </w:t>
      </w:r>
      <w:r w:rsidR="00406D90">
        <w:rPr>
          <w:bCs/>
        </w:rPr>
        <w:t>33,056</w:t>
      </w:r>
      <w:r>
        <w:rPr>
          <w:bCs/>
        </w:rPr>
        <w:t>)</w:t>
      </w:r>
      <w:r w:rsidR="004B3F71">
        <w:rPr>
          <w:bCs/>
        </w:rPr>
        <w:t>.</w:t>
      </w:r>
      <w:r>
        <w:rPr>
          <w:bCs/>
        </w:rPr>
        <w:t xml:space="preserve"> </w:t>
      </w:r>
      <w:r w:rsidRPr="0028424D">
        <w:rPr>
          <w:bCs/>
        </w:rPr>
        <w:t xml:space="preserve">Baseline non-compliance is 25 percent for </w:t>
      </w:r>
      <w:r>
        <w:rPr>
          <w:bCs/>
        </w:rPr>
        <w:t>SBA-defined small</w:t>
      </w:r>
      <w:r w:rsidRPr="0028424D">
        <w:rPr>
          <w:bCs/>
        </w:rPr>
        <w:t xml:space="preserve"> establishments.</w:t>
      </w:r>
    </w:p>
    <w:p w:rsidR="006838EB" w:rsidP="006838EB" w:rsidRDefault="006838EB" w14:paraId="15992C01" w14:textId="77777777"/>
    <w:p w:rsidRPr="00120094" w:rsidR="006838EB" w:rsidP="006838EB" w:rsidRDefault="006838EB" w14:paraId="3039E247" w14:textId="46ED6420">
      <w:pPr>
        <w:ind w:left="3600" w:hanging="2160"/>
        <w:rPr>
          <w:bCs/>
        </w:rPr>
      </w:pPr>
      <w:r w:rsidRPr="00B80178">
        <w:rPr>
          <w:b/>
          <w:bCs/>
        </w:rPr>
        <w:t>Burden Hours:</w:t>
      </w:r>
      <w:r>
        <w:rPr>
          <w:b/>
          <w:bCs/>
        </w:rPr>
        <w:t xml:space="preserve"> </w:t>
      </w:r>
      <w:r>
        <w:rPr>
          <w:b/>
          <w:bCs/>
        </w:rPr>
        <w:tab/>
      </w:r>
      <w:r w:rsidR="00406D90">
        <w:rPr>
          <w:bCs/>
        </w:rPr>
        <w:t>33,056</w:t>
      </w:r>
      <w:r>
        <w:rPr>
          <w:bCs/>
        </w:rPr>
        <w:t xml:space="preserve"> employees</w:t>
      </w:r>
      <w:r w:rsidRPr="00990E72">
        <w:rPr>
          <w:bCs/>
        </w:rPr>
        <w:t xml:space="preserve"> </w:t>
      </w:r>
      <w:r>
        <w:rPr>
          <w:bCs/>
        </w:rPr>
        <w:t>x 0.25 (non-compliance rate) x 0.0</w:t>
      </w:r>
      <w:r w:rsidR="00963C37">
        <w:rPr>
          <w:bCs/>
        </w:rPr>
        <w:t>8</w:t>
      </w:r>
      <w:r>
        <w:rPr>
          <w:bCs/>
        </w:rPr>
        <w:t xml:space="preserve"> hours = </w:t>
      </w:r>
      <w:r w:rsidR="00406D90">
        <w:rPr>
          <w:bCs/>
        </w:rPr>
        <w:t>661.12</w:t>
      </w:r>
      <w:r>
        <w:rPr>
          <w:bCs/>
        </w:rPr>
        <w:t xml:space="preserve"> hours</w:t>
      </w:r>
    </w:p>
    <w:p w:rsidR="006838EB" w:rsidP="006838EB" w:rsidRDefault="006838EB" w14:paraId="37AA954F" w14:textId="77777777">
      <w:pPr>
        <w:ind w:left="720" w:firstLine="720"/>
        <w:rPr>
          <w:b/>
          <w:bCs/>
        </w:rPr>
      </w:pPr>
    </w:p>
    <w:p w:rsidRPr="00120094" w:rsidR="006838EB" w:rsidP="006838EB" w:rsidRDefault="006838EB" w14:paraId="262ED789" w14:textId="17DE0156">
      <w:pPr>
        <w:ind w:left="720" w:firstLine="720"/>
        <w:rPr>
          <w:bCs/>
        </w:rPr>
      </w:pPr>
      <w:r>
        <w:rPr>
          <w:b/>
          <w:bCs/>
        </w:rPr>
        <w:t>Cost:</w:t>
      </w:r>
      <w:r>
        <w:rPr>
          <w:b/>
          <w:bCs/>
        </w:rPr>
        <w:tab/>
      </w:r>
      <w:r>
        <w:rPr>
          <w:b/>
          <w:bCs/>
        </w:rPr>
        <w:tab/>
      </w:r>
      <w:r>
        <w:rPr>
          <w:b/>
          <w:bCs/>
        </w:rPr>
        <w:tab/>
      </w:r>
      <w:r w:rsidR="00406D90">
        <w:rPr>
          <w:bCs/>
        </w:rPr>
        <w:t>661.12</w:t>
      </w:r>
      <w:r>
        <w:rPr>
          <w:b/>
          <w:bCs/>
        </w:rPr>
        <w:t xml:space="preserve"> </w:t>
      </w:r>
      <w:r w:rsidRPr="00A43EFB">
        <w:rPr>
          <w:bCs/>
        </w:rPr>
        <w:t>hours x $</w:t>
      </w:r>
      <w:r w:rsidRPr="00A43EFB" w:rsidR="00D701A5">
        <w:rPr>
          <w:bCs/>
        </w:rPr>
        <w:t>88.16</w:t>
      </w:r>
      <w:r w:rsidRPr="00A43EFB">
        <w:rPr>
          <w:bCs/>
        </w:rPr>
        <w:t xml:space="preserve"> (GO </w:t>
      </w:r>
      <w:r w:rsidRPr="00A43EFB" w:rsidR="00F053BE">
        <w:rPr>
          <w:bCs/>
        </w:rPr>
        <w:t>m</w:t>
      </w:r>
      <w:r w:rsidRPr="00A43EFB">
        <w:rPr>
          <w:bCs/>
        </w:rPr>
        <w:t>anager) = $</w:t>
      </w:r>
      <w:r w:rsidR="00406D90">
        <w:rPr>
          <w:bCs/>
        </w:rPr>
        <w:t>58,284.48</w:t>
      </w:r>
    </w:p>
    <w:p w:rsidR="006838EB" w:rsidP="006838EB" w:rsidRDefault="006838EB" w14:paraId="6E0F6275" w14:textId="77777777"/>
    <w:p w:rsidR="006838EB" w:rsidP="006838EB" w:rsidRDefault="006838EB" w14:paraId="5F410B7A" w14:textId="77777777">
      <w:r>
        <w:t>Very small establishments:</w:t>
      </w:r>
    </w:p>
    <w:p w:rsidR="006838EB" w:rsidP="006838EB" w:rsidRDefault="006838EB" w14:paraId="5D623397" w14:textId="77777777"/>
    <w:p w:rsidR="006838EB" w:rsidP="006838EB" w:rsidRDefault="006838EB" w14:paraId="1B6213C1" w14:textId="2675849E">
      <w:pPr>
        <w:rPr>
          <w:b/>
          <w:bCs/>
        </w:rPr>
      </w:pPr>
      <w:r>
        <w:rPr>
          <w:bCs/>
        </w:rPr>
        <w:t xml:space="preserve">OSHA </w:t>
      </w:r>
      <w:r w:rsidR="004B3F71">
        <w:rPr>
          <w:bCs/>
        </w:rPr>
        <w:t>estimates</w:t>
      </w:r>
      <w:r>
        <w:rPr>
          <w:bCs/>
        </w:rPr>
        <w:t xml:space="preserve"> </w:t>
      </w:r>
      <w:r w:rsidR="001034F9">
        <w:rPr>
          <w:bCs/>
        </w:rPr>
        <w:t>7,057</w:t>
      </w:r>
      <w:r w:rsidR="00EE0149">
        <w:rPr>
          <w:bCs/>
        </w:rPr>
        <w:t xml:space="preserve"> employees in very small establishments</w:t>
      </w:r>
      <w:r>
        <w:rPr>
          <w:bCs/>
        </w:rPr>
        <w:t xml:space="preserve"> will notify their employer </w:t>
      </w:r>
      <w:r w:rsidR="004B3F71">
        <w:rPr>
          <w:bCs/>
        </w:rPr>
        <w:t>under this requirement</w:t>
      </w:r>
      <w:r>
        <w:rPr>
          <w:bCs/>
        </w:rPr>
        <w:t xml:space="preserve"> (</w:t>
      </w:r>
      <w:r w:rsidR="0055074B">
        <w:rPr>
          <w:bCs/>
        </w:rPr>
        <w:t>1,238,122</w:t>
      </w:r>
      <w:r>
        <w:rPr>
          <w:bCs/>
        </w:rPr>
        <w:t xml:space="preserve"> covered employees x 0.</w:t>
      </w:r>
      <w:r w:rsidR="003B1732">
        <w:rPr>
          <w:bCs/>
        </w:rPr>
        <w:t>0</w:t>
      </w:r>
      <w:r w:rsidR="00E109AC">
        <w:rPr>
          <w:bCs/>
        </w:rPr>
        <w:t>057</w:t>
      </w:r>
      <w:r>
        <w:rPr>
          <w:bCs/>
        </w:rPr>
        <w:t xml:space="preserve"> = </w:t>
      </w:r>
      <w:r w:rsidR="001034F9">
        <w:rPr>
          <w:bCs/>
        </w:rPr>
        <w:t>7,057</w:t>
      </w:r>
      <w:r>
        <w:rPr>
          <w:bCs/>
        </w:rPr>
        <w:t>)</w:t>
      </w:r>
      <w:r w:rsidR="004B3F71">
        <w:rPr>
          <w:bCs/>
        </w:rPr>
        <w:t>.</w:t>
      </w:r>
      <w:r>
        <w:rPr>
          <w:bCs/>
        </w:rPr>
        <w:t xml:space="preserve"> </w:t>
      </w:r>
      <w:r w:rsidRPr="0028424D">
        <w:rPr>
          <w:bCs/>
        </w:rPr>
        <w:t xml:space="preserve">Baseline </w:t>
      </w:r>
      <w:r>
        <w:rPr>
          <w:bCs/>
        </w:rPr>
        <w:t>non-compliance is 50 percent for very small establishments.</w:t>
      </w:r>
    </w:p>
    <w:p w:rsidR="006838EB" w:rsidP="006838EB" w:rsidRDefault="006838EB" w14:paraId="1C9C9C2C" w14:textId="77777777"/>
    <w:p w:rsidRPr="00120094" w:rsidR="006838EB" w:rsidP="006838EB" w:rsidRDefault="006838EB" w14:paraId="3F1FFB48" w14:textId="7485D9C6">
      <w:pPr>
        <w:ind w:left="3600" w:hanging="2160"/>
        <w:rPr>
          <w:bCs/>
        </w:rPr>
      </w:pPr>
      <w:r w:rsidRPr="00B80178">
        <w:rPr>
          <w:b/>
          <w:bCs/>
        </w:rPr>
        <w:t>Burden Hours:</w:t>
      </w:r>
      <w:r>
        <w:rPr>
          <w:b/>
          <w:bCs/>
        </w:rPr>
        <w:t xml:space="preserve"> </w:t>
      </w:r>
      <w:r>
        <w:rPr>
          <w:b/>
          <w:bCs/>
        </w:rPr>
        <w:tab/>
      </w:r>
      <w:r w:rsidR="001034F9">
        <w:rPr>
          <w:bCs/>
        </w:rPr>
        <w:t>7,057</w:t>
      </w:r>
      <w:r w:rsidRPr="00990E72">
        <w:rPr>
          <w:bCs/>
        </w:rPr>
        <w:t xml:space="preserve"> </w:t>
      </w:r>
      <w:r>
        <w:rPr>
          <w:bCs/>
        </w:rPr>
        <w:t>employees x 0.50 non-compliance rate x 0.0</w:t>
      </w:r>
      <w:r w:rsidR="00963C37">
        <w:rPr>
          <w:bCs/>
        </w:rPr>
        <w:t>8</w:t>
      </w:r>
      <w:r>
        <w:rPr>
          <w:bCs/>
        </w:rPr>
        <w:t xml:space="preserve"> hours = </w:t>
      </w:r>
      <w:r w:rsidR="001034F9">
        <w:rPr>
          <w:bCs/>
        </w:rPr>
        <w:t>282.29</w:t>
      </w:r>
      <w:r>
        <w:rPr>
          <w:bCs/>
        </w:rPr>
        <w:t xml:space="preserve"> hours</w:t>
      </w:r>
    </w:p>
    <w:p w:rsidR="006838EB" w:rsidP="006838EB" w:rsidRDefault="006838EB" w14:paraId="48F7D4F1" w14:textId="77777777">
      <w:pPr>
        <w:ind w:left="720" w:firstLine="720"/>
        <w:rPr>
          <w:b/>
          <w:bCs/>
        </w:rPr>
      </w:pPr>
    </w:p>
    <w:p w:rsidRPr="00120094" w:rsidR="006838EB" w:rsidP="006838EB" w:rsidRDefault="006838EB" w14:paraId="66B10EF2" w14:textId="74EB6FBA">
      <w:pPr>
        <w:ind w:left="720" w:firstLine="720"/>
        <w:rPr>
          <w:bCs/>
        </w:rPr>
      </w:pPr>
      <w:r>
        <w:rPr>
          <w:b/>
          <w:bCs/>
        </w:rPr>
        <w:t>Cost:</w:t>
      </w:r>
      <w:r>
        <w:rPr>
          <w:b/>
          <w:bCs/>
        </w:rPr>
        <w:tab/>
      </w:r>
      <w:r>
        <w:rPr>
          <w:b/>
          <w:bCs/>
        </w:rPr>
        <w:tab/>
      </w:r>
      <w:r>
        <w:rPr>
          <w:b/>
          <w:bCs/>
        </w:rPr>
        <w:tab/>
      </w:r>
      <w:r w:rsidR="001034F9">
        <w:rPr>
          <w:bCs/>
        </w:rPr>
        <w:t>282.29</w:t>
      </w:r>
      <w:r w:rsidRPr="00A43EFB">
        <w:rPr>
          <w:b/>
          <w:bCs/>
        </w:rPr>
        <w:t xml:space="preserve"> </w:t>
      </w:r>
      <w:r w:rsidRPr="00A43EFB">
        <w:rPr>
          <w:bCs/>
        </w:rPr>
        <w:t>hours x $</w:t>
      </w:r>
      <w:r w:rsidRPr="00A43EFB" w:rsidR="00D701A5">
        <w:rPr>
          <w:bCs/>
        </w:rPr>
        <w:t>88.16</w:t>
      </w:r>
      <w:r w:rsidRPr="00A43EFB">
        <w:rPr>
          <w:bCs/>
        </w:rPr>
        <w:t xml:space="preserve"> (GO Manager) = $</w:t>
      </w:r>
      <w:r w:rsidR="001034F9">
        <w:rPr>
          <w:bCs/>
        </w:rPr>
        <w:t>24,886.85</w:t>
      </w:r>
    </w:p>
    <w:p w:rsidRPr="00290D06" w:rsidR="00290D06" w:rsidP="00290D06" w:rsidRDefault="00290D06" w14:paraId="373740A6" w14:textId="7171F801"/>
    <w:p w:rsidR="00290D06" w:rsidP="00290D06" w:rsidRDefault="00290D06" w14:paraId="396C7F8B" w14:textId="77777777">
      <w:pPr>
        <w:rPr>
          <w:b/>
        </w:rPr>
      </w:pPr>
    </w:p>
    <w:p w:rsidRPr="00290D06" w:rsidR="00290D06" w:rsidP="00290D06" w:rsidRDefault="00290D06" w14:paraId="58791253" w14:textId="4A1C4414">
      <w:r w:rsidRPr="00290D06">
        <w:rPr>
          <w:b/>
        </w:rPr>
        <w:t>1910.502(l)(</w:t>
      </w:r>
      <w:r>
        <w:rPr>
          <w:b/>
        </w:rPr>
        <w:t>3</w:t>
      </w:r>
      <w:r w:rsidRPr="00290D06">
        <w:rPr>
          <w:b/>
        </w:rPr>
        <w:t>) – Notification to</w:t>
      </w:r>
      <w:r>
        <w:rPr>
          <w:b/>
        </w:rPr>
        <w:t xml:space="preserve"> employees</w:t>
      </w:r>
    </w:p>
    <w:p w:rsidR="00290D06" w:rsidP="00290D06" w:rsidRDefault="00290D06" w14:paraId="1EB45F90" w14:textId="77777777"/>
    <w:p w:rsidR="00290D06" w:rsidP="00290D06" w:rsidRDefault="00290D06" w14:paraId="4DF6F3FD" w14:textId="6F3AAFBE">
      <w:r>
        <w:t>W</w:t>
      </w:r>
      <w:r w:rsidRPr="00290D06">
        <w:t xml:space="preserve">hen the employer is notified that a person </w:t>
      </w:r>
      <w:r w:rsidR="0019763F">
        <w:t>who has been in the</w:t>
      </w:r>
      <w:r w:rsidRPr="00290D06">
        <w:t xml:space="preserve"> workplace(s) (including employees, clients, patients, residents, vendors, contractors, customers, delivery people and other visitors, or other non-employees) is COVID-19 positive, the employer must, within 24 hours:</w:t>
      </w:r>
    </w:p>
    <w:p w:rsidRPr="00290D06" w:rsidR="00290D06" w:rsidP="00290D06" w:rsidRDefault="00290D06" w14:paraId="492A8704" w14:textId="77777777"/>
    <w:p w:rsidR="00290D06" w:rsidP="00290D06" w:rsidRDefault="00290D06" w14:paraId="15FB18C3" w14:textId="5B0C0419">
      <w:pPr>
        <w:ind w:left="720"/>
      </w:pPr>
      <w:r w:rsidRPr="00290D06">
        <w:t>(A) Notify each employee who was not wearing a respirator and any other required PPE and has been in close contact with that person</w:t>
      </w:r>
      <w:r w:rsidR="0019763F">
        <w:t xml:space="preserve"> in the workplace</w:t>
      </w:r>
      <w:r w:rsidRPr="00290D06">
        <w:t>. The notification must state the fact that the employee was in close contact with someone with COVID-19 along with the date(s) that contact occurred.</w:t>
      </w:r>
    </w:p>
    <w:p w:rsidRPr="00290D06" w:rsidR="00290D06" w:rsidP="00290D06" w:rsidRDefault="00290D06" w14:paraId="431CDB08" w14:textId="77777777">
      <w:pPr>
        <w:ind w:left="720"/>
      </w:pPr>
    </w:p>
    <w:p w:rsidR="00290D06" w:rsidP="00290D06" w:rsidRDefault="00FC3A84" w14:paraId="5CF1C13D" w14:textId="597A095E">
      <w:pPr>
        <w:ind w:left="720"/>
      </w:pPr>
      <w:r>
        <w:t xml:space="preserve">(B) Notify all other </w:t>
      </w:r>
      <w:r w:rsidRPr="00290D06" w:rsidR="00290D06">
        <w:t xml:space="preserve">employees who were not wearing a respirator and any other required PPE and worked in the same well-defined portion of a </w:t>
      </w:r>
      <w:r w:rsidR="00637466">
        <w:t>workplace</w:t>
      </w:r>
      <w:r w:rsidRPr="00290D06" w:rsidR="00290D06">
        <w:t xml:space="preserve"> (e.g., a particular floor) </w:t>
      </w:r>
      <w:r w:rsidR="00637466">
        <w:t>in which</w:t>
      </w:r>
      <w:r w:rsidRPr="00290D06" w:rsidR="00290D06">
        <w:t xml:space="preserve"> that person </w:t>
      </w:r>
      <w:r w:rsidR="00637466">
        <w:t xml:space="preserve">was present </w:t>
      </w:r>
      <w:r w:rsidRPr="00290D06" w:rsidR="00290D06">
        <w:t>during the potential transmission period.  The potential transmission period starts 2 days before the person felt sick (or, for asymptomatic people, 2 days prior to test specimen collection) until the time the person is isolated.  The notification must specify the date(s) the person with COVID-19 was in the workplace during the potential transmission period.</w:t>
      </w:r>
    </w:p>
    <w:p w:rsidRPr="00290D06" w:rsidR="00290D06" w:rsidP="00290D06" w:rsidRDefault="00290D06" w14:paraId="7E9140B2" w14:textId="77777777">
      <w:pPr>
        <w:ind w:left="720"/>
      </w:pPr>
    </w:p>
    <w:p w:rsidRPr="00290D06" w:rsidR="00290D06" w:rsidP="00290D06" w:rsidRDefault="00290D06" w14:paraId="418F172E" w14:textId="04393C18">
      <w:pPr>
        <w:ind w:left="720"/>
      </w:pPr>
      <w:r w:rsidRPr="00290D06">
        <w:t>(C) Notify other employers whose employees were not wearing respirators and any  other required PPE and has been in close contact with</w:t>
      </w:r>
      <w:r w:rsidR="00637466">
        <w:t xml:space="preserve"> that person</w:t>
      </w:r>
      <w:r w:rsidRPr="00290D06">
        <w:t xml:space="preserve">, or worked in the same well-defined portion of the </w:t>
      </w:r>
      <w:r w:rsidR="00637466">
        <w:t>workplace</w:t>
      </w:r>
      <w:r w:rsidRPr="00290D06">
        <w:t xml:space="preserve"> (e.g., a particular floor) as, that person during the potential transmission period.  The potential transmission period starts 2 days before the person felt sick (or, for asymptomatic people, 2 days prior to test specimen collection) until the time the person is isolated.  The notification must specify the date(s) the person with COVID-19 was in the workplace during the potential transmission period and the location(s) where the person with COVID-19 was in the workplace.</w:t>
      </w:r>
    </w:p>
    <w:p w:rsidR="00290D06" w:rsidP="00C05411" w:rsidRDefault="00290D06" w14:paraId="2126AC81" w14:textId="77777777">
      <w:pPr>
        <w:rPr>
          <w:b/>
          <w:highlight w:val="yellow"/>
        </w:rPr>
      </w:pPr>
    </w:p>
    <w:p w:rsidR="007718EF" w:rsidP="007718EF" w:rsidRDefault="00656B94" w14:paraId="0121643A" w14:textId="21E89082">
      <w:r>
        <w:t xml:space="preserve">For the notification provisions, </w:t>
      </w:r>
      <w:r w:rsidR="007718EF">
        <w:t xml:space="preserve">OSHA estimates that </w:t>
      </w:r>
      <w:r>
        <w:t xml:space="preserve">it </w:t>
      </w:r>
      <w:r w:rsidR="007718EF">
        <w:t xml:space="preserve">will take </w:t>
      </w:r>
      <w:r w:rsidRPr="00BC30F0" w:rsidR="005E1744">
        <w:t>30</w:t>
      </w:r>
      <w:r w:rsidRPr="00BC30F0" w:rsidR="007718EF">
        <w:t xml:space="preserve"> minutes (0.</w:t>
      </w:r>
      <w:r w:rsidRPr="00BC30F0" w:rsidR="005E1744">
        <w:t>5</w:t>
      </w:r>
      <w:r w:rsidRPr="00BC30F0" w:rsidR="007718EF">
        <w:t xml:space="preserve"> hours)</w:t>
      </w:r>
      <w:r w:rsidR="007718EF">
        <w:t xml:space="preserve"> for a general and operations manager </w:t>
      </w:r>
      <w:r w:rsidRPr="001274C5" w:rsidR="007718EF">
        <w:t xml:space="preserve">to notify employees who may have been exposed to </w:t>
      </w:r>
      <w:r w:rsidR="00BA577E">
        <w:t>that</w:t>
      </w:r>
      <w:r w:rsidRPr="001274C5" w:rsidR="007718EF">
        <w:t xml:space="preserve"> </w:t>
      </w:r>
      <w:r w:rsidR="0035055F">
        <w:t>person,</w:t>
      </w:r>
      <w:r w:rsidRPr="001274C5" w:rsidR="007718EF">
        <w:t xml:space="preserve"> as well as other employers whose employees may have been exposed.</w:t>
      </w:r>
      <w:r w:rsidR="007718EF">
        <w:t xml:space="preserve"> </w:t>
      </w:r>
    </w:p>
    <w:p w:rsidR="007718EF" w:rsidP="007718EF" w:rsidRDefault="007718EF" w14:paraId="790EB5D8" w14:textId="77777777">
      <w:pPr>
        <w:rPr>
          <w:b/>
        </w:rPr>
      </w:pPr>
    </w:p>
    <w:p w:rsidR="007718EF" w:rsidP="007718EF" w:rsidRDefault="007718EF" w14:paraId="44632930" w14:textId="77777777">
      <w:pPr>
        <w:rPr>
          <w:bCs/>
        </w:rPr>
      </w:pPr>
      <w:r>
        <w:rPr>
          <w:bCs/>
        </w:rPr>
        <w:t>Large establishments:</w:t>
      </w:r>
    </w:p>
    <w:p w:rsidR="007718EF" w:rsidP="007718EF" w:rsidRDefault="007718EF" w14:paraId="2B2FF646" w14:textId="77777777">
      <w:pPr>
        <w:rPr>
          <w:bCs/>
        </w:rPr>
      </w:pPr>
    </w:p>
    <w:p w:rsidR="007718EF" w:rsidP="007718EF" w:rsidRDefault="007718EF" w14:paraId="6A079B1E" w14:textId="60C36CF4">
      <w:pPr>
        <w:rPr>
          <w:b/>
          <w:bCs/>
        </w:rPr>
      </w:pPr>
      <w:r>
        <w:rPr>
          <w:bCs/>
        </w:rPr>
        <w:t xml:space="preserve">For large establishments, OSHA estimates </w:t>
      </w:r>
      <w:r w:rsidR="0035055F">
        <w:rPr>
          <w:bCs/>
        </w:rPr>
        <w:t xml:space="preserve">the employer will receive </w:t>
      </w:r>
      <w:r w:rsidR="00080D85">
        <w:rPr>
          <w:bCs/>
        </w:rPr>
        <w:t>18,815</w:t>
      </w:r>
      <w:r w:rsidR="0035055F">
        <w:rPr>
          <w:bCs/>
        </w:rPr>
        <w:t xml:space="preserve"> notifications</w:t>
      </w:r>
      <w:r>
        <w:rPr>
          <w:bCs/>
        </w:rPr>
        <w:t xml:space="preserve">. </w:t>
      </w:r>
      <w:r w:rsidRPr="0028424D">
        <w:rPr>
          <w:bCs/>
        </w:rPr>
        <w:t xml:space="preserve">Baseline </w:t>
      </w:r>
      <w:r>
        <w:rPr>
          <w:bCs/>
        </w:rPr>
        <w:t>non-compliance is 25 percent for large establishments.</w:t>
      </w:r>
    </w:p>
    <w:p w:rsidR="007718EF" w:rsidP="007718EF" w:rsidRDefault="007718EF" w14:paraId="40D6B6E0" w14:textId="77777777">
      <w:pPr>
        <w:ind w:left="3600" w:hanging="2160"/>
        <w:rPr>
          <w:b/>
          <w:bCs/>
        </w:rPr>
      </w:pPr>
    </w:p>
    <w:p w:rsidRPr="00962B77" w:rsidR="007718EF" w:rsidP="007718EF" w:rsidRDefault="007718EF" w14:paraId="08327536" w14:textId="68C1621D">
      <w:pPr>
        <w:ind w:left="3600" w:hanging="2160"/>
        <w:rPr>
          <w:bCs/>
        </w:rPr>
      </w:pPr>
      <w:r w:rsidRPr="00962B77">
        <w:rPr>
          <w:b/>
          <w:bCs/>
        </w:rPr>
        <w:t xml:space="preserve">Burden Hours: </w:t>
      </w:r>
      <w:r w:rsidRPr="00962B77">
        <w:rPr>
          <w:b/>
          <w:bCs/>
        </w:rPr>
        <w:tab/>
      </w:r>
      <w:r w:rsidR="00080D85">
        <w:rPr>
          <w:bCs/>
        </w:rPr>
        <w:t>18,815</w:t>
      </w:r>
      <w:r w:rsidRPr="00962B77">
        <w:rPr>
          <w:bCs/>
        </w:rPr>
        <w:t xml:space="preserve"> notifications x 0.25 (non-compliance rate) x 0.</w:t>
      </w:r>
      <w:r w:rsidRPr="00962B77" w:rsidR="00962B77">
        <w:rPr>
          <w:bCs/>
        </w:rPr>
        <w:t xml:space="preserve">5 </w:t>
      </w:r>
      <w:r w:rsidRPr="00962B77">
        <w:rPr>
          <w:bCs/>
        </w:rPr>
        <w:t xml:space="preserve">hours = </w:t>
      </w:r>
      <w:r w:rsidR="001034F9">
        <w:rPr>
          <w:bCs/>
        </w:rPr>
        <w:t>2,351.90</w:t>
      </w:r>
      <w:r w:rsidRPr="00962B77">
        <w:rPr>
          <w:bCs/>
        </w:rPr>
        <w:t xml:space="preserve"> hours</w:t>
      </w:r>
    </w:p>
    <w:p w:rsidRPr="00962B77" w:rsidR="007718EF" w:rsidP="007718EF" w:rsidRDefault="007718EF" w14:paraId="12C7572F" w14:textId="77777777">
      <w:pPr>
        <w:ind w:left="720" w:firstLine="720"/>
        <w:rPr>
          <w:b/>
          <w:bCs/>
        </w:rPr>
      </w:pPr>
    </w:p>
    <w:p w:rsidRPr="00962B77" w:rsidR="007718EF" w:rsidP="00962B77" w:rsidRDefault="007718EF" w14:paraId="04687341" w14:textId="5B4BF258">
      <w:pPr>
        <w:ind w:left="3600" w:hanging="2160"/>
        <w:rPr>
          <w:bCs/>
        </w:rPr>
      </w:pPr>
      <w:r w:rsidRPr="00962B77">
        <w:rPr>
          <w:b/>
          <w:bCs/>
        </w:rPr>
        <w:t>Cost:</w:t>
      </w:r>
      <w:r w:rsidRPr="00962B77">
        <w:rPr>
          <w:b/>
          <w:bCs/>
        </w:rPr>
        <w:tab/>
      </w:r>
      <w:r w:rsidR="001034F9">
        <w:rPr>
          <w:bCs/>
        </w:rPr>
        <w:t>2,351.90</w:t>
      </w:r>
      <w:r w:rsidRPr="00962B77">
        <w:rPr>
          <w:b/>
          <w:bCs/>
        </w:rPr>
        <w:t xml:space="preserve"> </w:t>
      </w:r>
      <w:r w:rsidRPr="00962B77">
        <w:rPr>
          <w:bCs/>
        </w:rPr>
        <w:t>hours x $</w:t>
      </w:r>
      <w:r w:rsidRPr="00962B77" w:rsidR="00D701A5">
        <w:rPr>
          <w:bCs/>
        </w:rPr>
        <w:t>88.16</w:t>
      </w:r>
      <w:r w:rsidRPr="00962B77">
        <w:rPr>
          <w:bCs/>
        </w:rPr>
        <w:t xml:space="preserve"> (GO Manager) = $</w:t>
      </w:r>
      <w:r w:rsidR="001034F9">
        <w:rPr>
          <w:bCs/>
        </w:rPr>
        <w:t>207,343.93</w:t>
      </w:r>
    </w:p>
    <w:p w:rsidRPr="00962B77" w:rsidR="007718EF" w:rsidP="007718EF" w:rsidRDefault="007718EF" w14:paraId="361A3B89" w14:textId="77777777">
      <w:pPr>
        <w:rPr>
          <w:b/>
        </w:rPr>
      </w:pPr>
    </w:p>
    <w:p w:rsidRPr="00962B77" w:rsidR="007718EF" w:rsidP="007718EF" w:rsidRDefault="007718EF" w14:paraId="276AD615" w14:textId="77777777">
      <w:r w:rsidRPr="00962B77">
        <w:t>SBA-defined small establishments:</w:t>
      </w:r>
    </w:p>
    <w:p w:rsidRPr="00962B77" w:rsidR="007718EF" w:rsidP="007718EF" w:rsidRDefault="007718EF" w14:paraId="48A398E7" w14:textId="77777777"/>
    <w:p w:rsidRPr="00962B77" w:rsidR="00004AF1" w:rsidP="00004AF1" w:rsidRDefault="00004AF1" w14:paraId="156BEAFC" w14:textId="51FA6B6C">
      <w:pPr>
        <w:rPr>
          <w:b/>
          <w:bCs/>
        </w:rPr>
      </w:pPr>
      <w:r w:rsidRPr="00962B77">
        <w:rPr>
          <w:bCs/>
        </w:rPr>
        <w:t xml:space="preserve">For SBA-defined small establishments, OSHA estimates the employer will receive </w:t>
      </w:r>
      <w:r w:rsidR="00406D90">
        <w:rPr>
          <w:bCs/>
        </w:rPr>
        <w:t>33,056</w:t>
      </w:r>
      <w:r w:rsidRPr="00962B77">
        <w:rPr>
          <w:bCs/>
        </w:rPr>
        <w:t xml:space="preserve"> notifications. Baseline non-compliance is 25 percent for SBA-defined small establishments.</w:t>
      </w:r>
    </w:p>
    <w:p w:rsidRPr="00962B77" w:rsidR="007718EF" w:rsidP="007718EF" w:rsidRDefault="007718EF" w14:paraId="3F940D73" w14:textId="77777777"/>
    <w:p w:rsidRPr="00962B77" w:rsidR="007718EF" w:rsidP="007718EF" w:rsidRDefault="007718EF" w14:paraId="2DD4CBFF" w14:textId="18AA7EB3">
      <w:pPr>
        <w:ind w:left="3600" w:hanging="2160"/>
        <w:rPr>
          <w:bCs/>
        </w:rPr>
      </w:pPr>
      <w:r w:rsidRPr="00962B77">
        <w:rPr>
          <w:b/>
          <w:bCs/>
        </w:rPr>
        <w:t xml:space="preserve">Burden Hours: </w:t>
      </w:r>
      <w:r w:rsidRPr="00962B77">
        <w:rPr>
          <w:b/>
          <w:bCs/>
        </w:rPr>
        <w:tab/>
      </w:r>
      <w:r w:rsidR="00406D90">
        <w:rPr>
          <w:bCs/>
        </w:rPr>
        <w:t>33,056</w:t>
      </w:r>
      <w:r w:rsidRPr="00962B77">
        <w:rPr>
          <w:bCs/>
        </w:rPr>
        <w:t xml:space="preserve"> notifications x 0.25 non-compliance rate x 0.</w:t>
      </w:r>
      <w:r w:rsidRPr="00962B77" w:rsidR="00962B77">
        <w:rPr>
          <w:bCs/>
        </w:rPr>
        <w:t xml:space="preserve">5 </w:t>
      </w:r>
      <w:r w:rsidRPr="00962B77">
        <w:rPr>
          <w:bCs/>
        </w:rPr>
        <w:t xml:space="preserve">hours = </w:t>
      </w:r>
      <w:r w:rsidR="001034F9">
        <w:rPr>
          <w:bCs/>
        </w:rPr>
        <w:t>4,132.01</w:t>
      </w:r>
      <w:r w:rsidRPr="00962B77">
        <w:rPr>
          <w:bCs/>
        </w:rPr>
        <w:t xml:space="preserve"> hours</w:t>
      </w:r>
    </w:p>
    <w:p w:rsidRPr="00962B77" w:rsidR="007718EF" w:rsidP="007718EF" w:rsidRDefault="007718EF" w14:paraId="57A2B998" w14:textId="77777777">
      <w:pPr>
        <w:ind w:left="720" w:firstLine="720"/>
        <w:rPr>
          <w:b/>
          <w:bCs/>
        </w:rPr>
      </w:pPr>
    </w:p>
    <w:p w:rsidRPr="00962B77" w:rsidR="007718EF" w:rsidP="00962B77" w:rsidRDefault="007718EF" w14:paraId="18B6F2C2" w14:textId="45E199E0">
      <w:pPr>
        <w:ind w:left="3600" w:hanging="2160"/>
        <w:rPr>
          <w:bCs/>
        </w:rPr>
      </w:pPr>
      <w:r w:rsidRPr="00962B77">
        <w:rPr>
          <w:b/>
          <w:bCs/>
        </w:rPr>
        <w:t>Cost:</w:t>
      </w:r>
      <w:r w:rsidRPr="00962B77">
        <w:rPr>
          <w:b/>
          <w:bCs/>
        </w:rPr>
        <w:tab/>
      </w:r>
      <w:r w:rsidR="001034F9">
        <w:rPr>
          <w:bCs/>
        </w:rPr>
        <w:t>4,132.01</w:t>
      </w:r>
      <w:r w:rsidRPr="00962B77">
        <w:rPr>
          <w:b/>
          <w:bCs/>
        </w:rPr>
        <w:t xml:space="preserve"> </w:t>
      </w:r>
      <w:r w:rsidRPr="00962B77">
        <w:rPr>
          <w:bCs/>
        </w:rPr>
        <w:t>hours x $</w:t>
      </w:r>
      <w:r w:rsidRPr="00962B77" w:rsidR="00D701A5">
        <w:rPr>
          <w:bCs/>
        </w:rPr>
        <w:t>88.16</w:t>
      </w:r>
      <w:r w:rsidRPr="00962B77">
        <w:rPr>
          <w:bCs/>
        </w:rPr>
        <w:t xml:space="preserve"> (GO </w:t>
      </w:r>
      <w:r w:rsidRPr="00962B77" w:rsidR="002D1F4D">
        <w:rPr>
          <w:bCs/>
        </w:rPr>
        <w:t>m</w:t>
      </w:r>
      <w:r w:rsidRPr="00962B77">
        <w:rPr>
          <w:bCs/>
        </w:rPr>
        <w:t>anager) = $</w:t>
      </w:r>
      <w:r w:rsidR="00194DDF">
        <w:rPr>
          <w:bCs/>
        </w:rPr>
        <w:t>364,277.98</w:t>
      </w:r>
    </w:p>
    <w:p w:rsidRPr="00962B77" w:rsidR="007718EF" w:rsidP="007718EF" w:rsidRDefault="007718EF" w14:paraId="3D8BBD97" w14:textId="77777777"/>
    <w:p w:rsidRPr="00962B77" w:rsidR="007718EF" w:rsidP="007718EF" w:rsidRDefault="007718EF" w14:paraId="34F51DC7" w14:textId="77777777">
      <w:r w:rsidRPr="00962B77">
        <w:t>Very small establishments:</w:t>
      </w:r>
    </w:p>
    <w:p w:rsidRPr="00962B77" w:rsidR="007718EF" w:rsidP="007718EF" w:rsidRDefault="007718EF" w14:paraId="3A841F8E" w14:textId="77777777"/>
    <w:p w:rsidRPr="00962B77" w:rsidR="00BA577E" w:rsidP="00BA577E" w:rsidRDefault="00BA577E" w14:paraId="75AF7965" w14:textId="7EC2C19D">
      <w:pPr>
        <w:rPr>
          <w:b/>
          <w:bCs/>
        </w:rPr>
      </w:pPr>
      <w:r w:rsidRPr="00962B77">
        <w:rPr>
          <w:bCs/>
        </w:rPr>
        <w:t xml:space="preserve">For very small establishments, OSHA estimates the employer will receive </w:t>
      </w:r>
      <w:r w:rsidR="001034F9">
        <w:rPr>
          <w:bCs/>
        </w:rPr>
        <w:t>7,057</w:t>
      </w:r>
      <w:r w:rsidRPr="00962B77">
        <w:rPr>
          <w:bCs/>
        </w:rPr>
        <w:t xml:space="preserve"> notifications. Baseline non-compliance is 25 percent for SBA-defined small establishments.</w:t>
      </w:r>
    </w:p>
    <w:p w:rsidRPr="00962B77" w:rsidR="007718EF" w:rsidP="007718EF" w:rsidRDefault="007718EF" w14:paraId="22033E0F" w14:textId="77777777"/>
    <w:p w:rsidRPr="00120094" w:rsidR="007718EF" w:rsidP="007718EF" w:rsidRDefault="007718EF" w14:paraId="71709AF1" w14:textId="5222DDD1">
      <w:pPr>
        <w:ind w:left="3600" w:hanging="2160"/>
        <w:rPr>
          <w:bCs/>
        </w:rPr>
      </w:pPr>
      <w:r w:rsidRPr="00962B77">
        <w:rPr>
          <w:b/>
          <w:bCs/>
        </w:rPr>
        <w:t xml:space="preserve">Burden Hours: </w:t>
      </w:r>
      <w:r w:rsidRPr="00962B77">
        <w:rPr>
          <w:b/>
          <w:bCs/>
        </w:rPr>
        <w:tab/>
      </w:r>
      <w:r w:rsidR="001034F9">
        <w:rPr>
          <w:bCs/>
        </w:rPr>
        <w:t>7,057</w:t>
      </w:r>
      <w:r w:rsidRPr="00962B77">
        <w:rPr>
          <w:bCs/>
        </w:rPr>
        <w:t xml:space="preserve"> notifications x 0.50 non-compliance rate x 0.</w:t>
      </w:r>
      <w:r w:rsidRPr="00962B77" w:rsidR="00962B77">
        <w:rPr>
          <w:bCs/>
        </w:rPr>
        <w:t xml:space="preserve">5 </w:t>
      </w:r>
      <w:r w:rsidRPr="00962B77">
        <w:rPr>
          <w:bCs/>
        </w:rPr>
        <w:t xml:space="preserve">hours = </w:t>
      </w:r>
      <w:r w:rsidR="00194DDF">
        <w:rPr>
          <w:bCs/>
        </w:rPr>
        <w:t>1,764.32</w:t>
      </w:r>
      <w:r w:rsidRPr="00962B77">
        <w:rPr>
          <w:bCs/>
        </w:rPr>
        <w:t xml:space="preserve"> hours</w:t>
      </w:r>
    </w:p>
    <w:p w:rsidR="007718EF" w:rsidP="007718EF" w:rsidRDefault="007718EF" w14:paraId="07F4F30F" w14:textId="77777777">
      <w:pPr>
        <w:ind w:left="720" w:firstLine="720"/>
        <w:rPr>
          <w:b/>
          <w:bCs/>
        </w:rPr>
      </w:pPr>
    </w:p>
    <w:p w:rsidRPr="00120094" w:rsidR="007718EF" w:rsidP="00962B77" w:rsidRDefault="007718EF" w14:paraId="5B1D4251" w14:textId="67198A43">
      <w:pPr>
        <w:ind w:left="3600" w:hanging="2160"/>
        <w:rPr>
          <w:bCs/>
        </w:rPr>
      </w:pPr>
      <w:r>
        <w:rPr>
          <w:b/>
          <w:bCs/>
        </w:rPr>
        <w:t>Cost:</w:t>
      </w:r>
      <w:r>
        <w:rPr>
          <w:b/>
          <w:bCs/>
        </w:rPr>
        <w:tab/>
      </w:r>
      <w:r w:rsidR="00194DDF">
        <w:rPr>
          <w:bCs/>
        </w:rPr>
        <w:t>1,764.32</w:t>
      </w:r>
      <w:r w:rsidR="00BA577E">
        <w:rPr>
          <w:bCs/>
        </w:rPr>
        <w:t xml:space="preserve"> </w:t>
      </w:r>
      <w:r w:rsidRPr="00656B94">
        <w:rPr>
          <w:bCs/>
        </w:rPr>
        <w:t>hours x $</w:t>
      </w:r>
      <w:r w:rsidRPr="00656B94" w:rsidR="00A06552">
        <w:rPr>
          <w:bCs/>
        </w:rPr>
        <w:t>88.16</w:t>
      </w:r>
      <w:r w:rsidRPr="00656B94">
        <w:rPr>
          <w:bCs/>
        </w:rPr>
        <w:t xml:space="preserve"> (GO </w:t>
      </w:r>
      <w:r w:rsidRPr="00656B94" w:rsidR="002D1F4D">
        <w:rPr>
          <w:bCs/>
        </w:rPr>
        <w:t>m</w:t>
      </w:r>
      <w:r w:rsidRPr="00656B94">
        <w:rPr>
          <w:bCs/>
        </w:rPr>
        <w:t>anager) = $</w:t>
      </w:r>
      <w:r w:rsidR="00194DDF">
        <w:rPr>
          <w:bCs/>
        </w:rPr>
        <w:t>155,542.79</w:t>
      </w:r>
    </w:p>
    <w:p w:rsidR="00290D06" w:rsidP="00C05411" w:rsidRDefault="00290D06" w14:paraId="20C4FC4D" w14:textId="77777777">
      <w:pPr>
        <w:rPr>
          <w:b/>
          <w:highlight w:val="yellow"/>
        </w:rPr>
      </w:pPr>
    </w:p>
    <w:p w:rsidRPr="00BA0262" w:rsidR="00C05411" w:rsidP="00C05411" w:rsidRDefault="00C05411" w14:paraId="6ADD3A11" w14:textId="6BA9DFF4">
      <w:pPr>
        <w:rPr>
          <w:b/>
        </w:rPr>
      </w:pPr>
      <w:r w:rsidRPr="00BA0262">
        <w:rPr>
          <w:b/>
        </w:rPr>
        <w:t xml:space="preserve">4.    Medical </w:t>
      </w:r>
      <w:r w:rsidR="00637466">
        <w:rPr>
          <w:b/>
        </w:rPr>
        <w:t>r</w:t>
      </w:r>
      <w:r w:rsidRPr="00BA0262">
        <w:rPr>
          <w:b/>
        </w:rPr>
        <w:t xml:space="preserve">emoval </w:t>
      </w:r>
      <w:r w:rsidR="00637466">
        <w:rPr>
          <w:b/>
        </w:rPr>
        <w:t>from the workplace.</w:t>
      </w:r>
    </w:p>
    <w:p w:rsidRPr="00F004FC" w:rsidR="00C05411" w:rsidP="00C05411" w:rsidRDefault="005E514E" w14:paraId="440993D0" w14:textId="500FCD7B">
      <w:pPr>
        <w:pStyle w:val="Heading7"/>
        <w:numPr>
          <w:ilvl w:val="0"/>
          <w:numId w:val="0"/>
        </w:numPr>
        <w:ind w:left="360"/>
        <w:rPr>
          <w:rFonts w:ascii="Times New Roman" w:hAnsi="Times New Roman"/>
        </w:rPr>
      </w:pPr>
      <w:r>
        <w:rPr>
          <w:rFonts w:ascii="Times New Roman" w:hAnsi="Times New Roman" w:eastAsia="Arial Unicode MS"/>
          <w:b/>
          <w:color w:val="000000"/>
        </w:rPr>
        <w:t xml:space="preserve">§ </w:t>
      </w:r>
      <w:r w:rsidRPr="00F004FC" w:rsidR="00C05411">
        <w:rPr>
          <w:rFonts w:ascii="Times New Roman" w:hAnsi="Times New Roman" w:eastAsia="Arial Unicode MS"/>
          <w:b/>
          <w:color w:val="000000"/>
        </w:rPr>
        <w:t>1910.502(l)(4)</w:t>
      </w:r>
      <w:r w:rsidR="00B70887">
        <w:rPr>
          <w:rFonts w:ascii="Times New Roman" w:hAnsi="Times New Roman" w:eastAsia="Arial Unicode MS"/>
          <w:b/>
          <w:color w:val="000000"/>
        </w:rPr>
        <w:t>(ii)</w:t>
      </w:r>
      <w:r>
        <w:rPr>
          <w:rFonts w:ascii="Times New Roman" w:hAnsi="Times New Roman" w:eastAsia="Arial Unicode MS"/>
          <w:b/>
          <w:color w:val="000000"/>
        </w:rPr>
        <w:t xml:space="preserve"> &amp;</w:t>
      </w:r>
      <w:r w:rsidR="00B70887">
        <w:rPr>
          <w:rFonts w:ascii="Times New Roman" w:hAnsi="Times New Roman" w:eastAsia="Arial Unicode MS"/>
          <w:b/>
          <w:color w:val="000000"/>
        </w:rPr>
        <w:t xml:space="preserve"> (iii)</w:t>
      </w:r>
      <w:r>
        <w:rPr>
          <w:rFonts w:ascii="Times New Roman" w:hAnsi="Times New Roman" w:eastAsia="Arial Unicode MS"/>
          <w:b/>
          <w:color w:val="000000"/>
        </w:rPr>
        <w:t xml:space="preserve"> – Medical Removal</w:t>
      </w:r>
    </w:p>
    <w:p w:rsidRPr="00F004FC" w:rsidR="00C05411" w:rsidP="00C05411" w:rsidRDefault="00C05411" w14:paraId="3E78734C" w14:textId="77777777">
      <w:pPr>
        <w:ind w:left="720" w:hanging="360"/>
      </w:pPr>
    </w:p>
    <w:p w:rsidRPr="007A60A8" w:rsidR="00BA0262" w:rsidP="00BC30F0" w:rsidRDefault="00C4171F" w14:paraId="5C6F223A" w14:textId="6F0175B8">
      <w:pPr>
        <w:ind w:left="360"/>
        <w:rPr>
          <w:rFonts w:eastAsia="Times New Roman"/>
        </w:rPr>
      </w:pPr>
      <w:r>
        <w:rPr>
          <w:rFonts w:eastAsia="Times New Roman"/>
        </w:rPr>
        <w:t>(ii)</w:t>
      </w:r>
      <w:r w:rsidRPr="007A60A8" w:rsidR="00BA0262">
        <w:rPr>
          <w:rFonts w:eastAsia="Times New Roman"/>
        </w:rPr>
        <w:t>If the employer knows an employee meets the criteria listed in paragraph</w:t>
      </w:r>
      <w:r w:rsidR="00637466">
        <w:rPr>
          <w:rFonts w:eastAsia="Times New Roman"/>
        </w:rPr>
        <w:t>s</w:t>
      </w:r>
      <w:r w:rsidRPr="007A60A8" w:rsidR="00BA0262">
        <w:rPr>
          <w:rFonts w:eastAsia="Times New Roman"/>
        </w:rPr>
        <w:t xml:space="preserve"> (l)(2)(ii) </w:t>
      </w:r>
      <w:r w:rsidR="00637466">
        <w:rPr>
          <w:rFonts w:eastAsia="Times New Roman"/>
        </w:rPr>
        <w:t>through</w:t>
      </w:r>
      <w:r w:rsidRPr="007A60A8" w:rsidR="00BA0262">
        <w:rPr>
          <w:rFonts w:eastAsia="Times New Roman"/>
        </w:rPr>
        <w:t xml:space="preserve"> (l)(2)(iv) </w:t>
      </w:r>
      <w:r w:rsidR="00A26C7B">
        <w:rPr>
          <w:rFonts w:eastAsia="Times New Roman"/>
        </w:rPr>
        <w:t xml:space="preserve">of this section </w:t>
      </w:r>
      <w:r w:rsidRPr="007A60A8" w:rsidR="00BA0262">
        <w:rPr>
          <w:rFonts w:eastAsia="Times New Roman"/>
        </w:rPr>
        <w:t>[i.e. the employee has been told by a licensed healthcare provider that they are suspected to have COVID-19, is experiencing recent loss of taste and/or smell with no other explanation, or</w:t>
      </w:r>
      <w:r>
        <w:rPr>
          <w:rFonts w:eastAsia="Times New Roman"/>
        </w:rPr>
        <w:t xml:space="preserve"> </w:t>
      </w:r>
      <w:r w:rsidRPr="007A60A8" w:rsidR="00E87076">
        <w:rPr>
          <w:rFonts w:eastAsia="Times New Roman"/>
        </w:rPr>
        <w:t>Is</w:t>
      </w:r>
      <w:r w:rsidRPr="007A60A8" w:rsidR="00BA0262">
        <w:rPr>
          <w:rFonts w:eastAsia="Times New Roman"/>
        </w:rPr>
        <w:t xml:space="preserve"> experiencing both feve</w:t>
      </w:r>
      <w:r w:rsidRPr="00C4171F" w:rsidR="00BA0262">
        <w:rPr>
          <w:rFonts w:eastAsia="Times New Roman"/>
        </w:rPr>
        <w:t>r (≥100.4° F) and new unexplained cough associated with shortness of breath], then the employer must immediately remove that employee and either:</w:t>
      </w:r>
    </w:p>
    <w:p w:rsidRPr="007A60A8" w:rsidR="00BA0262" w:rsidP="00BA0262" w:rsidRDefault="00BA0262" w14:paraId="2E80F851" w14:textId="74466C88">
      <w:pPr>
        <w:rPr>
          <w:rFonts w:eastAsia="Times New Roman"/>
        </w:rPr>
      </w:pPr>
    </w:p>
    <w:p w:rsidRPr="007A60A8" w:rsidR="00BA0262" w:rsidP="00BA0262" w:rsidRDefault="00BA0262" w14:paraId="24C30ED3" w14:textId="5DCCB48A">
      <w:pPr>
        <w:ind w:left="900"/>
        <w:rPr>
          <w:rFonts w:eastAsia="Times New Roman"/>
        </w:rPr>
      </w:pPr>
      <w:r w:rsidRPr="007A60A8">
        <w:rPr>
          <w:rFonts w:eastAsia="Times New Roman"/>
        </w:rPr>
        <w:t>(A) Keep the employee removed until they meet the return to work criteria in paragraph (l)(6); or</w:t>
      </w:r>
    </w:p>
    <w:p w:rsidRPr="007A60A8" w:rsidR="00BA0262" w:rsidP="00BA0262" w:rsidRDefault="00BA0262" w14:paraId="6A1C6E7F" w14:textId="1136EF6C"/>
    <w:p w:rsidRPr="007A60A8" w:rsidR="00BA0262" w:rsidP="00BA0262" w:rsidRDefault="00BA0262" w14:paraId="5FC7E0AA" w14:textId="6E30C253">
      <w:pPr>
        <w:ind w:left="1260" w:hanging="360"/>
        <w:rPr>
          <w:rFonts w:eastAsia="Times New Roman"/>
        </w:rPr>
      </w:pPr>
      <w:r w:rsidRPr="007A60A8">
        <w:rPr>
          <w:rFonts w:eastAsia="Times New Roman"/>
        </w:rPr>
        <w:t>(B) Keep t</w:t>
      </w:r>
      <w:r w:rsidRPr="00C4171F">
        <w:rPr>
          <w:rFonts w:eastAsia="Times New Roman"/>
        </w:rPr>
        <w:t>he employee removed and provide a COVID-19</w:t>
      </w:r>
      <w:r w:rsidR="00A26C7B">
        <w:rPr>
          <w:rFonts w:eastAsia="Times New Roman"/>
        </w:rPr>
        <w:t xml:space="preserve"> </w:t>
      </w:r>
      <w:r w:rsidR="00A26C7B">
        <w:t>polymerase chain reaction (PCR)</w:t>
      </w:r>
      <w:r w:rsidRPr="00C4171F">
        <w:rPr>
          <w:rFonts w:eastAsia="Times New Roman"/>
        </w:rPr>
        <w:t xml:space="preserve"> test at no cost to the employee.</w:t>
      </w:r>
    </w:p>
    <w:p w:rsidRPr="007A60A8" w:rsidR="00BA0262" w:rsidP="00BA0262" w:rsidRDefault="00BA0262" w14:paraId="1202D47E" w14:textId="1094724C">
      <w:pPr>
        <w:ind w:left="1260" w:hanging="360"/>
        <w:rPr>
          <w:rFonts w:eastAsia="Times New Roman"/>
        </w:rPr>
      </w:pPr>
    </w:p>
    <w:p w:rsidRPr="00C4171F" w:rsidR="00BA0262" w:rsidP="00BA0262" w:rsidRDefault="00BA0262" w14:paraId="119EAD7C" w14:textId="34396D40">
      <w:pPr>
        <w:ind w:left="1800" w:hanging="360"/>
        <w:rPr>
          <w:rFonts w:eastAsia="Times New Roman"/>
        </w:rPr>
      </w:pPr>
      <w:r w:rsidRPr="007A60A8">
        <w:rPr>
          <w:rFonts w:eastAsia="Times New Roman"/>
        </w:rPr>
        <w:t>(</w:t>
      </w:r>
      <w:r w:rsidRPr="00C4171F">
        <w:rPr>
          <w:rFonts w:eastAsia="Times New Roman"/>
          <w:i/>
        </w:rPr>
        <w:t>1</w:t>
      </w:r>
      <w:r w:rsidRPr="00C4171F">
        <w:rPr>
          <w:rFonts w:eastAsia="Times New Roman"/>
        </w:rPr>
        <w:t>)</w:t>
      </w:r>
      <w:r w:rsidRPr="00C4171F">
        <w:rPr>
          <w:rFonts w:eastAsia="Times New Roman"/>
        </w:rPr>
        <w:tab/>
        <w:t xml:space="preserve">If the test results are negative, the employee may return to work immediately. </w:t>
      </w:r>
    </w:p>
    <w:p w:rsidRPr="007A60A8" w:rsidR="00BA0262" w:rsidP="00BA0262" w:rsidRDefault="00BA0262" w14:paraId="0F721B02" w14:textId="4E64CAF1">
      <w:pPr>
        <w:ind w:left="1800" w:hanging="360"/>
        <w:rPr>
          <w:rFonts w:eastAsia="Times New Roman"/>
        </w:rPr>
      </w:pPr>
      <w:r w:rsidRPr="00C4171F">
        <w:rPr>
          <w:rFonts w:eastAsia="Times New Roman"/>
        </w:rPr>
        <w:t>(</w:t>
      </w:r>
      <w:r w:rsidRPr="00C4171F">
        <w:rPr>
          <w:rFonts w:eastAsia="Times New Roman"/>
          <w:i/>
        </w:rPr>
        <w:t>2</w:t>
      </w:r>
      <w:r w:rsidRPr="00C4171F">
        <w:rPr>
          <w:rFonts w:eastAsia="Times New Roman"/>
        </w:rPr>
        <w:t>)</w:t>
      </w:r>
      <w:r w:rsidRPr="00C4171F">
        <w:rPr>
          <w:rFonts w:eastAsia="Times New Roman"/>
        </w:rPr>
        <w:tab/>
        <w:t xml:space="preserve">If the test results are positive, the employer must comply with paragraph (l)(4)(i) of this section [i.e. remove the employee until they meet the return to work criteria in paragraph (l)(6)].  </w:t>
      </w:r>
    </w:p>
    <w:p w:rsidRPr="007A60A8" w:rsidR="00BA0262" w:rsidP="00BA0262" w:rsidRDefault="00BA0262" w14:paraId="2782CE9B" w14:textId="0BCA65FB">
      <w:pPr>
        <w:ind w:left="1800" w:hanging="360"/>
        <w:rPr>
          <w:rFonts w:eastAsia="Times New Roman"/>
        </w:rPr>
      </w:pPr>
    </w:p>
    <w:p w:rsidR="00BA0262" w:rsidP="00BA0262" w:rsidRDefault="00BA0262" w14:paraId="181B5194" w14:textId="03D0B15F">
      <w:pPr>
        <w:ind w:left="1800" w:hanging="360"/>
        <w:rPr>
          <w:rFonts w:eastAsia="Times New Roman"/>
        </w:rPr>
      </w:pPr>
      <w:r w:rsidRPr="007A60A8">
        <w:rPr>
          <w:rFonts w:eastAsia="Times New Roman"/>
        </w:rPr>
        <w:t>(</w:t>
      </w:r>
      <w:r w:rsidRPr="007A60A8">
        <w:rPr>
          <w:rFonts w:eastAsia="Times New Roman"/>
          <w:i/>
        </w:rPr>
        <w:t>3</w:t>
      </w:r>
      <w:r w:rsidRPr="007A60A8">
        <w:rPr>
          <w:rFonts w:eastAsia="Times New Roman"/>
        </w:rPr>
        <w:t>)</w:t>
      </w:r>
      <w:r w:rsidRPr="007A60A8">
        <w:rPr>
          <w:rFonts w:eastAsia="Times New Roman"/>
        </w:rPr>
        <w:tab/>
        <w:t>If the employee refuses to take the test, the employer must continue to exclude that employee from the workplace consistent with paragraph (l)(4)(ii)(A) of this section, but the employer is not obligated to provide medical removal protection benefits in accordance with paragraph (l)(5)(iii) of this section. Absent undue hardship, employers must make reasonable accommodations for employees who cannot take the test for religious or disability</w:t>
      </w:r>
      <w:r w:rsidR="00A26C7B">
        <w:rPr>
          <w:rFonts w:eastAsia="Times New Roman"/>
        </w:rPr>
        <w:t>-</w:t>
      </w:r>
      <w:r w:rsidRPr="007A60A8">
        <w:rPr>
          <w:rFonts w:eastAsia="Times New Roman"/>
        </w:rPr>
        <w:t>related medical reasons.</w:t>
      </w:r>
    </w:p>
    <w:p w:rsidRPr="00032780" w:rsidR="00BE6515" w:rsidP="00BA0262" w:rsidRDefault="00BE6515" w14:paraId="2F791238" w14:textId="77777777">
      <w:pPr>
        <w:ind w:left="1800" w:hanging="360"/>
        <w:rPr>
          <w:rFonts w:eastAsia="Times New Roman"/>
        </w:rPr>
      </w:pPr>
    </w:p>
    <w:p w:rsidR="00BA0262" w:rsidP="00BA0262" w:rsidRDefault="00BA0262" w14:paraId="6B1565FE" w14:textId="546875F6">
      <w:pPr>
        <w:ind w:left="1080" w:hanging="360"/>
        <w:rPr>
          <w:rFonts w:eastAsia="Times New Roman"/>
        </w:rPr>
      </w:pPr>
      <w:r>
        <w:rPr>
          <w:rFonts w:eastAsia="Times New Roman"/>
        </w:rPr>
        <w:t>(iii) (A) If the employer is required to notify the employee of close contact in the workplace to a person who is COVID-19 positive in accordance with paragraph (l)(3)(i)(A)</w:t>
      </w:r>
      <w:r w:rsidR="00A26C7B">
        <w:rPr>
          <w:rFonts w:eastAsia="Times New Roman"/>
        </w:rPr>
        <w:t xml:space="preserve"> of this section</w:t>
      </w:r>
      <w:r w:rsidRPr="0048220B">
        <w:rPr>
          <w:rFonts w:eastAsia="Times New Roman"/>
        </w:rPr>
        <w:t xml:space="preserve">, then the employer must immediately </w:t>
      </w:r>
      <w:r>
        <w:rPr>
          <w:rFonts w:eastAsia="Times New Roman"/>
        </w:rPr>
        <w:t>remove</w:t>
      </w:r>
      <w:r w:rsidRPr="0048220B">
        <w:rPr>
          <w:rFonts w:eastAsia="Times New Roman"/>
        </w:rPr>
        <w:t xml:space="preserve"> that employee and either</w:t>
      </w:r>
      <w:r>
        <w:rPr>
          <w:rFonts w:eastAsia="Times New Roman"/>
        </w:rPr>
        <w:t>:</w:t>
      </w:r>
    </w:p>
    <w:p w:rsidR="00BA0262" w:rsidP="00BA0262" w:rsidRDefault="00BA0262" w14:paraId="2EF6A933" w14:textId="77777777">
      <w:pPr>
        <w:ind w:left="1080" w:hanging="360"/>
        <w:rPr>
          <w:rFonts w:eastAsia="Times New Roman"/>
        </w:rPr>
      </w:pPr>
    </w:p>
    <w:p w:rsidR="00BA0262" w:rsidP="00BA0262" w:rsidRDefault="00BA0262" w14:paraId="47C5E0F8" w14:textId="78313711">
      <w:pPr>
        <w:ind w:left="1800" w:hanging="360"/>
        <w:rPr>
          <w:rFonts w:eastAsia="Times New Roman"/>
        </w:rPr>
      </w:pPr>
      <w:r>
        <w:rPr>
          <w:rFonts w:eastAsia="Times New Roman"/>
        </w:rPr>
        <w:t>(</w:t>
      </w:r>
      <w:r>
        <w:rPr>
          <w:rFonts w:eastAsia="Times New Roman"/>
          <w:i/>
        </w:rPr>
        <w:t>1</w:t>
      </w:r>
      <w:r>
        <w:rPr>
          <w:rFonts w:eastAsia="Times New Roman"/>
        </w:rPr>
        <w:t xml:space="preserve">) </w:t>
      </w:r>
      <w:r w:rsidRPr="0048220B">
        <w:rPr>
          <w:rFonts w:eastAsia="Times New Roman"/>
        </w:rPr>
        <w:t>Keep the</w:t>
      </w:r>
      <w:r>
        <w:rPr>
          <w:rFonts w:eastAsia="Times New Roman"/>
        </w:rPr>
        <w:t xml:space="preserve"> employee removed for at least 1</w:t>
      </w:r>
      <w:r w:rsidR="00A26C7B">
        <w:rPr>
          <w:rFonts w:eastAsia="Times New Roman"/>
        </w:rPr>
        <w:t>4</w:t>
      </w:r>
      <w:r>
        <w:rPr>
          <w:rFonts w:eastAsia="Times New Roman"/>
        </w:rPr>
        <w:t xml:space="preserve"> days</w:t>
      </w:r>
      <w:r w:rsidRPr="0048220B">
        <w:rPr>
          <w:rFonts w:eastAsia="Times New Roman"/>
        </w:rPr>
        <w:t>; or</w:t>
      </w:r>
    </w:p>
    <w:p w:rsidRPr="0048220B" w:rsidR="00BA0262" w:rsidP="00BA0262" w:rsidRDefault="00BA0262" w14:paraId="0D5462F6" w14:textId="77777777">
      <w:pPr>
        <w:ind w:left="1800" w:hanging="360"/>
        <w:rPr>
          <w:rFonts w:eastAsia="Times New Roman"/>
        </w:rPr>
      </w:pPr>
    </w:p>
    <w:p w:rsidR="00BA0262" w:rsidP="00BA0262" w:rsidRDefault="00BA0262" w14:paraId="79653B2D" w14:textId="77777777">
      <w:pPr>
        <w:ind w:left="1800" w:hanging="360"/>
        <w:rPr>
          <w:rFonts w:eastAsia="Times New Roman"/>
        </w:rPr>
      </w:pPr>
      <w:r>
        <w:rPr>
          <w:rFonts w:eastAsia="Times New Roman"/>
        </w:rPr>
        <w:t>(</w:t>
      </w:r>
      <w:r>
        <w:rPr>
          <w:rFonts w:eastAsia="Times New Roman"/>
          <w:i/>
        </w:rPr>
        <w:t>2</w:t>
      </w:r>
      <w:r w:rsidRPr="0048220B">
        <w:rPr>
          <w:rFonts w:eastAsia="Times New Roman"/>
        </w:rPr>
        <w:t xml:space="preserve">) </w:t>
      </w:r>
      <w:r>
        <w:rPr>
          <w:rFonts w:eastAsia="Times New Roman"/>
        </w:rPr>
        <w:t>Keep the employee removed and p</w:t>
      </w:r>
      <w:r w:rsidRPr="0048220B">
        <w:rPr>
          <w:rFonts w:eastAsia="Times New Roman"/>
        </w:rPr>
        <w:t xml:space="preserve">rovide a COVID-19 test </w:t>
      </w:r>
      <w:r>
        <w:rPr>
          <w:rFonts w:eastAsia="Times New Roman"/>
        </w:rPr>
        <w:t>at least five days after the exposure at no cost to the employee</w:t>
      </w:r>
      <w:r w:rsidRPr="0048220B">
        <w:rPr>
          <w:rFonts w:eastAsia="Times New Roman"/>
        </w:rPr>
        <w:t>.</w:t>
      </w:r>
    </w:p>
    <w:p w:rsidRPr="0048220B" w:rsidR="00BA0262" w:rsidP="00BA0262" w:rsidRDefault="00BA0262" w14:paraId="3B9C15F3" w14:textId="77777777">
      <w:pPr>
        <w:ind w:left="1800" w:hanging="360"/>
        <w:rPr>
          <w:rFonts w:eastAsia="Times New Roman"/>
        </w:rPr>
      </w:pPr>
    </w:p>
    <w:p w:rsidR="00BA0262" w:rsidP="00BA0262" w:rsidRDefault="00BA0262" w14:paraId="6E02D4A1" w14:textId="77777777">
      <w:pPr>
        <w:ind w:left="2160" w:hanging="360"/>
        <w:rPr>
          <w:rFonts w:eastAsia="Times New Roman"/>
        </w:rPr>
      </w:pPr>
      <w:r w:rsidRPr="0048220B">
        <w:rPr>
          <w:rFonts w:eastAsia="Times New Roman"/>
        </w:rPr>
        <w:t>(</w:t>
      </w:r>
      <w:r>
        <w:rPr>
          <w:rFonts w:eastAsia="Times New Roman"/>
          <w:i/>
        </w:rPr>
        <w:t>i</w:t>
      </w:r>
      <w:r w:rsidRPr="0048220B">
        <w:rPr>
          <w:rFonts w:eastAsia="Times New Roman"/>
        </w:rPr>
        <w:t>)</w:t>
      </w:r>
      <w:r w:rsidRPr="0048220B">
        <w:rPr>
          <w:rFonts w:eastAsia="Times New Roman"/>
        </w:rPr>
        <w:tab/>
        <w:t xml:space="preserve">If the test results are negative, </w:t>
      </w:r>
      <w:r>
        <w:rPr>
          <w:rFonts w:eastAsia="Times New Roman"/>
        </w:rPr>
        <w:t>the employee may return to work after seven days following exposure.</w:t>
      </w:r>
    </w:p>
    <w:p w:rsidRPr="0048220B" w:rsidR="00BA0262" w:rsidP="00BA0262" w:rsidRDefault="00BA0262" w14:paraId="7DA41E05" w14:textId="77777777">
      <w:pPr>
        <w:ind w:left="2160" w:hanging="360"/>
        <w:rPr>
          <w:rFonts w:eastAsia="Times New Roman"/>
        </w:rPr>
      </w:pPr>
    </w:p>
    <w:p w:rsidR="00BA0262" w:rsidP="00BA0262" w:rsidRDefault="00BA0262" w14:paraId="1C2097A3" w14:textId="77777777">
      <w:pPr>
        <w:ind w:left="2160" w:hanging="360"/>
        <w:rPr>
          <w:rFonts w:eastAsia="Times New Roman"/>
        </w:rPr>
      </w:pPr>
      <w:r w:rsidRPr="0048220B">
        <w:rPr>
          <w:rFonts w:eastAsia="Times New Roman"/>
        </w:rPr>
        <w:t>(</w:t>
      </w:r>
      <w:r>
        <w:rPr>
          <w:rFonts w:eastAsia="Times New Roman"/>
          <w:i/>
        </w:rPr>
        <w:t>ii</w:t>
      </w:r>
      <w:r w:rsidRPr="0048220B">
        <w:rPr>
          <w:rFonts w:eastAsia="Times New Roman"/>
        </w:rPr>
        <w:t>)</w:t>
      </w:r>
      <w:r>
        <w:rPr>
          <w:rFonts w:eastAsia="Times New Roman"/>
        </w:rPr>
        <w:t xml:space="preserve"> </w:t>
      </w:r>
      <w:r w:rsidRPr="0048220B">
        <w:rPr>
          <w:rFonts w:eastAsia="Times New Roman"/>
        </w:rPr>
        <w:t>If the test results are positive, the employer must comply with paragraph (</w:t>
      </w:r>
      <w:r>
        <w:rPr>
          <w:rFonts w:eastAsia="Times New Roman"/>
        </w:rPr>
        <w:t>l</w:t>
      </w:r>
      <w:r w:rsidRPr="0048220B">
        <w:rPr>
          <w:rFonts w:eastAsia="Times New Roman"/>
        </w:rPr>
        <w:t>)(4)(i)</w:t>
      </w:r>
      <w:r>
        <w:rPr>
          <w:rFonts w:eastAsia="Times New Roman"/>
        </w:rPr>
        <w:t xml:space="preserve"> of this section</w:t>
      </w:r>
      <w:r w:rsidRPr="0048220B">
        <w:rPr>
          <w:rFonts w:eastAsia="Times New Roman"/>
        </w:rPr>
        <w:t xml:space="preserve">.  </w:t>
      </w:r>
    </w:p>
    <w:p w:rsidRPr="0048220B" w:rsidR="00BA0262" w:rsidP="00BA0262" w:rsidRDefault="00BA0262" w14:paraId="2965F865" w14:textId="77777777">
      <w:pPr>
        <w:ind w:left="2160" w:hanging="360"/>
        <w:rPr>
          <w:rFonts w:eastAsia="Times New Roman"/>
        </w:rPr>
      </w:pPr>
    </w:p>
    <w:p w:rsidR="00BA0262" w:rsidP="00BA0262" w:rsidRDefault="00BA0262" w14:paraId="47F70CAA" w14:textId="788C8B3A">
      <w:pPr>
        <w:ind w:left="2160" w:hanging="360"/>
        <w:rPr>
          <w:rFonts w:eastAsia="Times New Roman"/>
        </w:rPr>
      </w:pPr>
      <w:r w:rsidRPr="0048220B">
        <w:rPr>
          <w:rFonts w:eastAsia="Times New Roman"/>
        </w:rPr>
        <w:t>(</w:t>
      </w:r>
      <w:r>
        <w:rPr>
          <w:rFonts w:eastAsia="Times New Roman"/>
          <w:i/>
        </w:rPr>
        <w:t>iii</w:t>
      </w:r>
      <w:r>
        <w:rPr>
          <w:rFonts w:eastAsia="Times New Roman"/>
        </w:rPr>
        <w:t xml:space="preserve">) </w:t>
      </w:r>
      <w:r w:rsidRPr="0048220B">
        <w:rPr>
          <w:rFonts w:eastAsia="Times New Roman"/>
        </w:rPr>
        <w:t>If the employee refuses to take the test, the employer must continue to exclude that employee from the workplace consistent with paragraph (</w:t>
      </w:r>
      <w:r>
        <w:rPr>
          <w:rFonts w:eastAsia="Times New Roman"/>
        </w:rPr>
        <w:t>l)(4)(iii</w:t>
      </w:r>
      <w:r w:rsidRPr="0048220B">
        <w:rPr>
          <w:rFonts w:eastAsia="Times New Roman"/>
        </w:rPr>
        <w:t>)(A)</w:t>
      </w:r>
      <w:r>
        <w:rPr>
          <w:rFonts w:eastAsia="Times New Roman"/>
        </w:rPr>
        <w:t>(</w:t>
      </w:r>
      <w:r>
        <w:rPr>
          <w:rFonts w:eastAsia="Times New Roman"/>
          <w:i/>
        </w:rPr>
        <w:t>1</w:t>
      </w:r>
      <w:r>
        <w:rPr>
          <w:rFonts w:eastAsia="Times New Roman"/>
        </w:rPr>
        <w:t>) of this section</w:t>
      </w:r>
      <w:r w:rsidRPr="0048220B">
        <w:rPr>
          <w:rFonts w:eastAsia="Times New Roman"/>
        </w:rPr>
        <w:t xml:space="preserve">, but the employer is not obligated to provide medical removal protection benefits in accordance with </w:t>
      </w:r>
      <w:r>
        <w:rPr>
          <w:rFonts w:eastAsia="Times New Roman"/>
        </w:rPr>
        <w:t xml:space="preserve">paragraph </w:t>
      </w:r>
      <w:r w:rsidRPr="0048220B">
        <w:rPr>
          <w:rFonts w:eastAsia="Times New Roman"/>
        </w:rPr>
        <w:t>(</w:t>
      </w:r>
      <w:r>
        <w:rPr>
          <w:rFonts w:eastAsia="Times New Roman"/>
        </w:rPr>
        <w:t>l</w:t>
      </w:r>
      <w:r w:rsidRPr="0048220B">
        <w:rPr>
          <w:rFonts w:eastAsia="Times New Roman"/>
        </w:rPr>
        <w:t>)(5)</w:t>
      </w:r>
      <w:r>
        <w:rPr>
          <w:rFonts w:eastAsia="Times New Roman"/>
        </w:rPr>
        <w:t>(iii) of this section. A</w:t>
      </w:r>
      <w:r w:rsidRPr="00401C48">
        <w:rPr>
          <w:rFonts w:eastAsia="Times New Roman"/>
        </w:rPr>
        <w:t>bsent undue hardship</w:t>
      </w:r>
      <w:r>
        <w:rPr>
          <w:rFonts w:eastAsia="Times New Roman"/>
        </w:rPr>
        <w:t>, employers must</w:t>
      </w:r>
      <w:r w:rsidRPr="00401C48">
        <w:rPr>
          <w:rFonts w:eastAsia="Times New Roman"/>
        </w:rPr>
        <w:t xml:space="preserve"> make reasonable accommodations for employ</w:t>
      </w:r>
      <w:r>
        <w:rPr>
          <w:rFonts w:eastAsia="Times New Roman"/>
        </w:rPr>
        <w:t>ees who</w:t>
      </w:r>
      <w:r w:rsidRPr="00401C48">
        <w:rPr>
          <w:rFonts w:eastAsia="Times New Roman"/>
        </w:rPr>
        <w:t xml:space="preserve"> cannot take the test for religious or disability</w:t>
      </w:r>
      <w:r w:rsidR="00A26C7B">
        <w:rPr>
          <w:rFonts w:eastAsia="Times New Roman"/>
        </w:rPr>
        <w:t>-</w:t>
      </w:r>
      <w:r w:rsidRPr="00401C48">
        <w:rPr>
          <w:rFonts w:eastAsia="Times New Roman"/>
        </w:rPr>
        <w:t xml:space="preserve">related medical reasons.  </w:t>
      </w:r>
    </w:p>
    <w:p w:rsidR="00BA0262" w:rsidP="00BA0262" w:rsidRDefault="00BA0262" w14:paraId="6BADA4A8" w14:textId="77777777">
      <w:pPr>
        <w:rPr>
          <w:rFonts w:eastAsia="Times New Roman"/>
        </w:rPr>
      </w:pPr>
    </w:p>
    <w:p w:rsidR="00BA0262" w:rsidP="00BC30F0" w:rsidRDefault="007A60A8" w14:paraId="7F92A522" w14:textId="735DD678">
      <w:pPr>
        <w:ind w:left="1440"/>
        <w:rPr>
          <w:rFonts w:eastAsia="Times New Roman"/>
        </w:rPr>
      </w:pPr>
      <w:r>
        <w:rPr>
          <w:rFonts w:eastAsia="Times New Roman"/>
        </w:rPr>
        <w:t xml:space="preserve">(B) </w:t>
      </w:r>
      <w:r w:rsidR="00BA0262">
        <w:rPr>
          <w:rFonts w:eastAsia="Times New Roman"/>
        </w:rPr>
        <w:t xml:space="preserve">Employers are not required to remove any exposed employee who would otherwise be required to be removed under paragraph (i)(4)(iii)(A) </w:t>
      </w:r>
      <w:r w:rsidR="00A26C7B">
        <w:rPr>
          <w:rFonts w:eastAsia="Times New Roman"/>
        </w:rPr>
        <w:t xml:space="preserve">of the section </w:t>
      </w:r>
      <w:r w:rsidR="00BA0262">
        <w:rPr>
          <w:rFonts w:eastAsia="Times New Roman"/>
        </w:rPr>
        <w:t>[i.e. employees who the employer has notified of close contact with a person who is COVID-19 positive] if the employee does not experience the symptoms in paragraph (l)(2)(iii) or (l)(2)(iv) of this section and has:</w:t>
      </w:r>
    </w:p>
    <w:p w:rsidR="00BA0262" w:rsidP="00BA0262" w:rsidRDefault="00BA0262" w14:paraId="37D5FCF7" w14:textId="77777777">
      <w:pPr>
        <w:rPr>
          <w:rFonts w:eastAsia="Times New Roman"/>
        </w:rPr>
      </w:pPr>
    </w:p>
    <w:p w:rsidR="00BA0262" w:rsidP="00BA0262" w:rsidRDefault="00BA0262" w14:paraId="27567410" w14:textId="2874A190">
      <w:pPr>
        <w:ind w:left="2160" w:hanging="360"/>
        <w:rPr>
          <w:rFonts w:eastAsia="Times New Roman"/>
        </w:rPr>
      </w:pPr>
      <w:r>
        <w:rPr>
          <w:rFonts w:eastAsia="Times New Roman"/>
        </w:rPr>
        <w:t>(</w:t>
      </w:r>
      <w:r>
        <w:rPr>
          <w:rFonts w:eastAsia="Times New Roman"/>
          <w:i/>
        </w:rPr>
        <w:t>1</w:t>
      </w:r>
      <w:r>
        <w:rPr>
          <w:rFonts w:eastAsia="Times New Roman"/>
        </w:rPr>
        <w:t>)</w:t>
      </w:r>
      <w:r w:rsidRPr="00B804CB">
        <w:rPr>
          <w:rFonts w:eastAsia="Times New Roman"/>
        </w:rPr>
        <w:t xml:space="preserve"> been fully vaccinated against </w:t>
      </w:r>
      <w:r>
        <w:rPr>
          <w:rFonts w:eastAsia="Times New Roman"/>
        </w:rPr>
        <w:t xml:space="preserve">COVID-19 (i.e., 2 weeks </w:t>
      </w:r>
      <w:r w:rsidR="00C63394">
        <w:rPr>
          <w:rFonts w:eastAsia="Times New Roman"/>
        </w:rPr>
        <w:t xml:space="preserve">or more </w:t>
      </w:r>
      <w:r>
        <w:rPr>
          <w:rFonts w:eastAsia="Times New Roman"/>
        </w:rPr>
        <w:t>following the final dose); or</w:t>
      </w:r>
    </w:p>
    <w:p w:rsidR="00BA0262" w:rsidP="00BA0262" w:rsidRDefault="00BA0262" w14:paraId="3AAF459B" w14:textId="77777777">
      <w:pPr>
        <w:ind w:left="2160" w:hanging="360"/>
        <w:rPr>
          <w:rFonts w:eastAsia="Times New Roman"/>
        </w:rPr>
      </w:pPr>
    </w:p>
    <w:p w:rsidR="00BA0262" w:rsidP="00BA0262" w:rsidRDefault="00BA0262" w14:paraId="710E2332" w14:textId="17066D64">
      <w:pPr>
        <w:ind w:left="2160" w:hanging="360"/>
        <w:rPr>
          <w:rFonts w:eastAsia="Times New Roman"/>
        </w:rPr>
      </w:pPr>
      <w:r>
        <w:rPr>
          <w:rFonts w:eastAsia="Times New Roman"/>
        </w:rPr>
        <w:t>(</w:t>
      </w:r>
      <w:r>
        <w:rPr>
          <w:rFonts w:eastAsia="Times New Roman"/>
          <w:i/>
        </w:rPr>
        <w:t>2</w:t>
      </w:r>
      <w:r>
        <w:rPr>
          <w:rFonts w:eastAsia="Times New Roman"/>
        </w:rPr>
        <w:t xml:space="preserve">) </w:t>
      </w:r>
      <w:r w:rsidR="00C63394">
        <w:rPr>
          <w:rFonts w:eastAsia="Times New Roman"/>
        </w:rPr>
        <w:t>had</w:t>
      </w:r>
      <w:r>
        <w:rPr>
          <w:rFonts w:eastAsia="Times New Roman"/>
        </w:rPr>
        <w:t xml:space="preserve"> COVID-19 </w:t>
      </w:r>
      <w:r w:rsidR="00C63394">
        <w:rPr>
          <w:rFonts w:eastAsia="Times New Roman"/>
        </w:rPr>
        <w:t xml:space="preserve">and recovered </w:t>
      </w:r>
      <w:r>
        <w:rPr>
          <w:rFonts w:eastAsia="Times New Roman"/>
        </w:rPr>
        <w:t>within the past 3 months.</w:t>
      </w:r>
    </w:p>
    <w:p w:rsidR="00335054" w:rsidP="00335054" w:rsidRDefault="00335054" w14:paraId="7F0832A1" w14:textId="77777777">
      <w:pPr>
        <w:rPr>
          <w:bCs/>
        </w:rPr>
      </w:pPr>
    </w:p>
    <w:p w:rsidR="00F01808" w:rsidP="00335054" w:rsidRDefault="00F01808" w14:paraId="29954BBA" w14:textId="47E532B2">
      <w:pPr>
        <w:rPr>
          <w:bCs/>
        </w:rPr>
      </w:pPr>
    </w:p>
    <w:p w:rsidRPr="00E87768" w:rsidR="00335054" w:rsidP="00BE6515" w:rsidRDefault="00335054" w14:paraId="22B3F517" w14:textId="34AE9BA1">
      <w:pPr>
        <w:keepNext/>
        <w:rPr>
          <w:bCs/>
        </w:rPr>
      </w:pPr>
      <w:r w:rsidRPr="00E87768">
        <w:rPr>
          <w:bCs/>
        </w:rPr>
        <w:t>Large establishments:</w:t>
      </w:r>
    </w:p>
    <w:p w:rsidRPr="00E87768" w:rsidR="00335054" w:rsidP="00335054" w:rsidRDefault="00335054" w14:paraId="6CCE39A3" w14:textId="77777777">
      <w:pPr>
        <w:rPr>
          <w:bCs/>
        </w:rPr>
      </w:pPr>
    </w:p>
    <w:p w:rsidRPr="00E87768" w:rsidR="00335054" w:rsidP="00210FDD" w:rsidRDefault="00301B39" w14:paraId="3E860A97" w14:textId="0AA6357B">
      <w:pPr>
        <w:rPr>
          <w:b/>
          <w:bCs/>
        </w:rPr>
      </w:pPr>
      <w:r w:rsidRPr="007F7CFB">
        <w:t>OSHA estimates that it will take 5 minutes of a GO manager time at $88.16 to receive COVID-19 test results from employees who have been removed from the workplace and that</w:t>
      </w:r>
      <w:r w:rsidR="0090340D">
        <w:rPr>
          <w:bCs/>
        </w:rPr>
        <w:t xml:space="preserve"> </w:t>
      </w:r>
      <w:r w:rsidR="00974CB2">
        <w:rPr>
          <w:bCs/>
        </w:rPr>
        <w:t xml:space="preserve"> </w:t>
      </w:r>
      <w:r w:rsidR="00080D85">
        <w:rPr>
          <w:bCs/>
        </w:rPr>
        <w:t>18,815</w:t>
      </w:r>
      <w:r w:rsidRPr="00E87768" w:rsidR="00335054">
        <w:rPr>
          <w:bCs/>
        </w:rPr>
        <w:t xml:space="preserve">  employees</w:t>
      </w:r>
      <w:r w:rsidR="00335054">
        <w:rPr>
          <w:bCs/>
        </w:rPr>
        <w:t xml:space="preserve"> in large establishments </w:t>
      </w:r>
      <w:r w:rsidRPr="00E87768" w:rsidR="00335054">
        <w:rPr>
          <w:bCs/>
        </w:rPr>
        <w:t xml:space="preserve"> will need to </w:t>
      </w:r>
      <w:r w:rsidR="001B5C21">
        <w:rPr>
          <w:bCs/>
        </w:rPr>
        <w:t>notify the GO manager of the test results and/or vaccinations information</w:t>
      </w:r>
      <w:r w:rsidRPr="00E87768" w:rsidR="00335054">
        <w:rPr>
          <w:bCs/>
        </w:rPr>
        <w:t xml:space="preserve"> (</w:t>
      </w:r>
      <w:r w:rsidR="00080D85">
        <w:rPr>
          <w:bCs/>
        </w:rPr>
        <w:t>3,300,919</w:t>
      </w:r>
      <w:r w:rsidRPr="00E87768" w:rsidR="00335054">
        <w:rPr>
          <w:bCs/>
        </w:rPr>
        <w:t xml:space="preserve"> covered employees x 0.</w:t>
      </w:r>
      <w:r w:rsidR="0090340D">
        <w:rPr>
          <w:bCs/>
        </w:rPr>
        <w:t>0</w:t>
      </w:r>
      <w:r w:rsidR="00974CB2">
        <w:rPr>
          <w:bCs/>
        </w:rPr>
        <w:t>057</w:t>
      </w:r>
      <w:r w:rsidRPr="00E87768" w:rsidR="00335054">
        <w:rPr>
          <w:bCs/>
        </w:rPr>
        <w:t xml:space="preserve"> = </w:t>
      </w:r>
      <w:r w:rsidR="00080D85">
        <w:rPr>
          <w:bCs/>
        </w:rPr>
        <w:t>18,815</w:t>
      </w:r>
      <w:r w:rsidRPr="00E87768" w:rsidR="00335054">
        <w:rPr>
          <w:bCs/>
        </w:rPr>
        <w:t>)</w:t>
      </w:r>
      <w:r w:rsidR="00335054">
        <w:rPr>
          <w:bCs/>
        </w:rPr>
        <w:t>.</w:t>
      </w:r>
      <w:r w:rsidRPr="00E87768" w:rsidR="00335054">
        <w:rPr>
          <w:bCs/>
        </w:rPr>
        <w:t xml:space="preserve">  Baseline non-compliance is 25 percent for large establishments.</w:t>
      </w:r>
    </w:p>
    <w:p w:rsidRPr="00E87768" w:rsidR="00335054" w:rsidP="00335054" w:rsidRDefault="00335054" w14:paraId="37511DBF" w14:textId="77777777">
      <w:pPr>
        <w:ind w:left="3600" w:hanging="2160"/>
        <w:rPr>
          <w:b/>
          <w:bCs/>
        </w:rPr>
      </w:pPr>
    </w:p>
    <w:p w:rsidRPr="00E87768" w:rsidR="00335054" w:rsidP="00335054" w:rsidRDefault="00335054" w14:paraId="3DEEE887" w14:textId="4C428978">
      <w:pPr>
        <w:ind w:left="3600" w:hanging="2160"/>
        <w:rPr>
          <w:bCs/>
        </w:rPr>
      </w:pPr>
      <w:r w:rsidRPr="00E87768">
        <w:rPr>
          <w:b/>
          <w:bCs/>
        </w:rPr>
        <w:t xml:space="preserve">Burden Hours: </w:t>
      </w:r>
      <w:r w:rsidRPr="00E87768">
        <w:rPr>
          <w:b/>
          <w:bCs/>
        </w:rPr>
        <w:tab/>
      </w:r>
      <w:r w:rsidR="00080D85">
        <w:rPr>
          <w:bCs/>
        </w:rPr>
        <w:t>18,815</w:t>
      </w:r>
      <w:r w:rsidRPr="00E87768">
        <w:rPr>
          <w:bCs/>
        </w:rPr>
        <w:t xml:space="preserve"> employees x 0.25 (non-compliance rate) x 0.</w:t>
      </w:r>
      <w:r w:rsidR="00210FDD">
        <w:rPr>
          <w:bCs/>
        </w:rPr>
        <w:t>08</w:t>
      </w:r>
      <w:r w:rsidRPr="00E87768">
        <w:rPr>
          <w:bCs/>
        </w:rPr>
        <w:t xml:space="preserve"> hours = </w:t>
      </w:r>
      <w:r w:rsidR="00406D90">
        <w:rPr>
          <w:bCs/>
        </w:rPr>
        <w:t>376.30</w:t>
      </w:r>
      <w:r w:rsidR="00E508F2">
        <w:rPr>
          <w:bCs/>
        </w:rPr>
        <w:t xml:space="preserve"> </w:t>
      </w:r>
      <w:r w:rsidRPr="00E87768">
        <w:rPr>
          <w:bCs/>
        </w:rPr>
        <w:t>hours</w:t>
      </w:r>
    </w:p>
    <w:p w:rsidRPr="00E87768" w:rsidR="00335054" w:rsidP="00335054" w:rsidRDefault="00335054" w14:paraId="115B491B" w14:textId="77777777">
      <w:pPr>
        <w:ind w:left="720" w:firstLine="720"/>
        <w:rPr>
          <w:b/>
          <w:bCs/>
        </w:rPr>
      </w:pPr>
    </w:p>
    <w:p w:rsidRPr="00856AEE" w:rsidR="00335054" w:rsidP="00BC30F0" w:rsidRDefault="00335054" w14:paraId="76103DEA" w14:textId="2575A788">
      <w:pPr>
        <w:ind w:left="3600" w:hanging="2160"/>
        <w:rPr>
          <w:bCs/>
        </w:rPr>
      </w:pPr>
      <w:r w:rsidRPr="00856AEE">
        <w:rPr>
          <w:b/>
          <w:bCs/>
        </w:rPr>
        <w:t>Cost:</w:t>
      </w:r>
      <w:r w:rsidRPr="00856AEE">
        <w:rPr>
          <w:b/>
          <w:bCs/>
        </w:rPr>
        <w:tab/>
      </w:r>
      <w:r w:rsidR="00406D90">
        <w:rPr>
          <w:bCs/>
        </w:rPr>
        <w:t>376.30</w:t>
      </w:r>
      <w:r w:rsidRPr="00856AEE">
        <w:rPr>
          <w:b/>
          <w:bCs/>
        </w:rPr>
        <w:t xml:space="preserve"> </w:t>
      </w:r>
      <w:r w:rsidRPr="00856AEE">
        <w:rPr>
          <w:bCs/>
        </w:rPr>
        <w:t>hours x $</w:t>
      </w:r>
      <w:r w:rsidRPr="00856AEE" w:rsidR="00704971">
        <w:rPr>
          <w:bCs/>
        </w:rPr>
        <w:t>88.16</w:t>
      </w:r>
      <w:r w:rsidRPr="00856AEE">
        <w:rPr>
          <w:bCs/>
        </w:rPr>
        <w:t xml:space="preserve"> (GO </w:t>
      </w:r>
      <w:r w:rsidRPr="00856AEE" w:rsidR="002D1F4D">
        <w:rPr>
          <w:bCs/>
        </w:rPr>
        <w:t>m</w:t>
      </w:r>
      <w:r w:rsidRPr="00856AEE">
        <w:rPr>
          <w:bCs/>
        </w:rPr>
        <w:t>anager) = $</w:t>
      </w:r>
      <w:r w:rsidR="00406D90">
        <w:rPr>
          <w:bCs/>
        </w:rPr>
        <w:t>33,175.03</w:t>
      </w:r>
    </w:p>
    <w:p w:rsidRPr="00856AEE" w:rsidR="00335054" w:rsidP="00335054" w:rsidRDefault="00335054" w14:paraId="6824212F" w14:textId="77777777">
      <w:pPr>
        <w:rPr>
          <w:b/>
        </w:rPr>
      </w:pPr>
    </w:p>
    <w:p w:rsidRPr="00CD6C90" w:rsidR="00335054" w:rsidP="00335054" w:rsidRDefault="00335054" w14:paraId="4D19E68F" w14:textId="77777777">
      <w:r w:rsidRPr="00CD6C90">
        <w:t>SBA-defined small establishments:</w:t>
      </w:r>
    </w:p>
    <w:p w:rsidRPr="00CD6C90" w:rsidR="00335054" w:rsidP="00335054" w:rsidRDefault="00335054" w14:paraId="75AED7A9" w14:textId="77777777"/>
    <w:p w:rsidRPr="00856AEE" w:rsidR="00335054" w:rsidP="00335054" w:rsidRDefault="00301B39" w14:paraId="4F9454D2" w14:textId="7235AE38">
      <w:pPr>
        <w:rPr>
          <w:b/>
          <w:bCs/>
        </w:rPr>
      </w:pPr>
      <w:r w:rsidRPr="007F7CFB">
        <w:t>OSHA estimates that it will take 5 minutes of a GO manager time at $88.16 to receive COVID-19 test results from employees who have been removed from the workplace and that</w:t>
      </w:r>
      <w:r w:rsidRPr="007F7CFB" w:rsidDel="00301B39">
        <w:rPr>
          <w:bCs/>
        </w:rPr>
        <w:t xml:space="preserve"> </w:t>
      </w:r>
      <w:r w:rsidR="00406D90">
        <w:rPr>
          <w:bCs/>
        </w:rPr>
        <w:t>33,056</w:t>
      </w:r>
      <w:r w:rsidRPr="00CD6C90" w:rsidR="00335054">
        <w:rPr>
          <w:bCs/>
        </w:rPr>
        <w:t xml:space="preserve"> employees </w:t>
      </w:r>
      <w:r w:rsidRPr="00856AEE" w:rsidR="00335054">
        <w:rPr>
          <w:bCs/>
        </w:rPr>
        <w:t xml:space="preserve">will need to </w:t>
      </w:r>
      <w:r w:rsidRPr="00856AEE" w:rsidR="001B5C21">
        <w:rPr>
          <w:bCs/>
        </w:rPr>
        <w:t>notify the GO manager of the test results and/or vaccinations information</w:t>
      </w:r>
      <w:r w:rsidRPr="00856AEE" w:rsidR="00335054">
        <w:rPr>
          <w:bCs/>
        </w:rPr>
        <w:t xml:space="preserve"> (</w:t>
      </w:r>
      <w:r w:rsidR="00B06697">
        <w:rPr>
          <w:bCs/>
        </w:rPr>
        <w:t>5,799,312</w:t>
      </w:r>
      <w:r w:rsidRPr="00856AEE" w:rsidR="00335054">
        <w:rPr>
          <w:bCs/>
        </w:rPr>
        <w:t xml:space="preserve"> covered employees x 0.0</w:t>
      </w:r>
      <w:r w:rsidR="00974CB2">
        <w:rPr>
          <w:bCs/>
        </w:rPr>
        <w:t>057</w:t>
      </w:r>
      <w:r w:rsidRPr="00856AEE" w:rsidR="00335054">
        <w:rPr>
          <w:bCs/>
        </w:rPr>
        <w:t xml:space="preserve"> = </w:t>
      </w:r>
      <w:r w:rsidR="00406D90">
        <w:rPr>
          <w:bCs/>
        </w:rPr>
        <w:t>33,056</w:t>
      </w:r>
      <w:r w:rsidRPr="00856AEE" w:rsidR="00335054">
        <w:rPr>
          <w:bCs/>
        </w:rPr>
        <w:t>). Baseline non-compliance is 25 percent for SBA-defined small establishments.</w:t>
      </w:r>
    </w:p>
    <w:p w:rsidRPr="00856AEE" w:rsidR="00335054" w:rsidP="00335054" w:rsidRDefault="00335054" w14:paraId="0886E1D2" w14:textId="77777777"/>
    <w:p w:rsidRPr="00856AEE" w:rsidR="00335054" w:rsidP="00335054" w:rsidRDefault="00335054" w14:paraId="3991ED7C" w14:textId="27E1FDB1">
      <w:pPr>
        <w:ind w:left="3600" w:hanging="2160"/>
        <w:rPr>
          <w:bCs/>
        </w:rPr>
      </w:pPr>
      <w:r w:rsidRPr="00CD6C90">
        <w:rPr>
          <w:b/>
          <w:bCs/>
        </w:rPr>
        <w:t xml:space="preserve">Burden Hours: </w:t>
      </w:r>
      <w:r w:rsidRPr="00CD6C90">
        <w:rPr>
          <w:b/>
          <w:bCs/>
        </w:rPr>
        <w:tab/>
      </w:r>
      <w:r w:rsidR="00406D90">
        <w:rPr>
          <w:bCs/>
        </w:rPr>
        <w:t>33,056</w:t>
      </w:r>
      <w:r w:rsidRPr="00CD6C90">
        <w:rPr>
          <w:bCs/>
        </w:rPr>
        <w:t xml:space="preserve"> employees x 0.25 (non-compliance rate) x 0.</w:t>
      </w:r>
      <w:r w:rsidR="00210FDD">
        <w:rPr>
          <w:bCs/>
        </w:rPr>
        <w:t>08</w:t>
      </w:r>
      <w:r w:rsidRPr="00CD6C90">
        <w:rPr>
          <w:bCs/>
        </w:rPr>
        <w:t xml:space="preserve"> hours = </w:t>
      </w:r>
      <w:r w:rsidR="00406D90">
        <w:rPr>
          <w:bCs/>
        </w:rPr>
        <w:t>661.12</w:t>
      </w:r>
      <w:r w:rsidRPr="00856AEE">
        <w:rPr>
          <w:bCs/>
        </w:rPr>
        <w:t xml:space="preserve"> hours</w:t>
      </w:r>
    </w:p>
    <w:p w:rsidRPr="00856AEE" w:rsidR="00335054" w:rsidP="00335054" w:rsidRDefault="00335054" w14:paraId="2E5090BB" w14:textId="77777777">
      <w:pPr>
        <w:ind w:left="720" w:firstLine="720"/>
        <w:rPr>
          <w:b/>
          <w:bCs/>
        </w:rPr>
      </w:pPr>
    </w:p>
    <w:p w:rsidRPr="00856AEE" w:rsidR="00335054" w:rsidP="00BC30F0" w:rsidRDefault="00335054" w14:paraId="63CD11E0" w14:textId="4CE8CE47">
      <w:pPr>
        <w:ind w:left="3600" w:hanging="2160"/>
        <w:rPr>
          <w:bCs/>
        </w:rPr>
      </w:pPr>
      <w:r w:rsidRPr="00856AEE">
        <w:rPr>
          <w:b/>
          <w:bCs/>
        </w:rPr>
        <w:t>Cost:</w:t>
      </w:r>
      <w:r w:rsidRPr="00856AEE">
        <w:rPr>
          <w:b/>
          <w:bCs/>
        </w:rPr>
        <w:tab/>
      </w:r>
      <w:r w:rsidR="00406D90">
        <w:rPr>
          <w:bCs/>
        </w:rPr>
        <w:t>661.12</w:t>
      </w:r>
      <w:r w:rsidRPr="00856AEE">
        <w:rPr>
          <w:b/>
          <w:bCs/>
        </w:rPr>
        <w:t xml:space="preserve"> </w:t>
      </w:r>
      <w:r w:rsidRPr="00856AEE">
        <w:rPr>
          <w:bCs/>
        </w:rPr>
        <w:t>hours x $</w:t>
      </w:r>
      <w:r w:rsidRPr="00856AEE" w:rsidR="00704971">
        <w:rPr>
          <w:bCs/>
        </w:rPr>
        <w:t>88.16</w:t>
      </w:r>
      <w:r w:rsidRPr="00856AEE">
        <w:rPr>
          <w:bCs/>
        </w:rPr>
        <w:t xml:space="preserve"> (GO </w:t>
      </w:r>
      <w:r w:rsidRPr="00856AEE" w:rsidR="002D1F4D">
        <w:rPr>
          <w:bCs/>
        </w:rPr>
        <w:t>m</w:t>
      </w:r>
      <w:r w:rsidRPr="00856AEE">
        <w:rPr>
          <w:bCs/>
        </w:rPr>
        <w:t>anager) = $</w:t>
      </w:r>
      <w:r w:rsidR="00406D90">
        <w:rPr>
          <w:bCs/>
        </w:rPr>
        <w:t>58,284.48</w:t>
      </w:r>
    </w:p>
    <w:p w:rsidRPr="00856AEE" w:rsidR="00335054" w:rsidP="00335054" w:rsidRDefault="00335054" w14:paraId="4D33A434" w14:textId="77777777"/>
    <w:p w:rsidRPr="00CD6C90" w:rsidR="00335054" w:rsidP="00335054" w:rsidRDefault="00335054" w14:paraId="512F32F6" w14:textId="77777777">
      <w:r w:rsidRPr="00CD6C90">
        <w:t>Very small establishments:</w:t>
      </w:r>
    </w:p>
    <w:p w:rsidRPr="00CD6C90" w:rsidR="00335054" w:rsidP="00335054" w:rsidRDefault="00335054" w14:paraId="1AC2D991" w14:textId="77777777"/>
    <w:p w:rsidRPr="00856AEE" w:rsidR="00335054" w:rsidP="00335054" w:rsidRDefault="00301B39" w14:paraId="40214D1E" w14:textId="670AD1C3">
      <w:pPr>
        <w:rPr>
          <w:b/>
          <w:bCs/>
        </w:rPr>
      </w:pPr>
      <w:r w:rsidRPr="007F7CFB">
        <w:t>OSHA estimates that it will take 5 minutes of a GO manager time at $88.16 to receive COVID-19 test results from employees who have been removed from the workplace and that</w:t>
      </w:r>
      <w:r w:rsidRPr="007F7CFB" w:rsidDel="00301B39">
        <w:rPr>
          <w:bCs/>
        </w:rPr>
        <w:t xml:space="preserve"> </w:t>
      </w:r>
      <w:r w:rsidR="001034F9">
        <w:rPr>
          <w:bCs/>
        </w:rPr>
        <w:t>7,057</w:t>
      </w:r>
      <w:r w:rsidRPr="00CD6C90" w:rsidR="00335054">
        <w:rPr>
          <w:bCs/>
        </w:rPr>
        <w:t xml:space="preserve"> employees </w:t>
      </w:r>
      <w:r w:rsidRPr="00856AEE" w:rsidR="00335054">
        <w:rPr>
          <w:bCs/>
        </w:rPr>
        <w:t xml:space="preserve">in very small establishments  will need to </w:t>
      </w:r>
      <w:r w:rsidRPr="00856AEE" w:rsidR="001B5C21">
        <w:rPr>
          <w:bCs/>
        </w:rPr>
        <w:t>notify the GO manager of the test results and/or vaccinations information</w:t>
      </w:r>
      <w:r w:rsidRPr="00856AEE" w:rsidR="00335054">
        <w:rPr>
          <w:bCs/>
        </w:rPr>
        <w:t xml:space="preserve"> (</w:t>
      </w:r>
      <w:r w:rsidR="0055074B">
        <w:rPr>
          <w:bCs/>
        </w:rPr>
        <w:t>1,238,122</w:t>
      </w:r>
      <w:r w:rsidRPr="00856AEE" w:rsidR="00335054">
        <w:rPr>
          <w:bCs/>
        </w:rPr>
        <w:t xml:space="preserve"> covered employees x 0.0</w:t>
      </w:r>
      <w:r w:rsidR="00CE5E24">
        <w:rPr>
          <w:bCs/>
        </w:rPr>
        <w:t>057</w:t>
      </w:r>
      <w:r w:rsidRPr="00856AEE" w:rsidR="00335054">
        <w:rPr>
          <w:bCs/>
        </w:rPr>
        <w:t xml:space="preserve"> = </w:t>
      </w:r>
      <w:r w:rsidR="001034F9">
        <w:rPr>
          <w:bCs/>
        </w:rPr>
        <w:t>7,057</w:t>
      </w:r>
      <w:r w:rsidRPr="00856AEE" w:rsidR="00335054">
        <w:rPr>
          <w:bCs/>
        </w:rPr>
        <w:t>). Baseline non-compliance is 50 percent for very small establishments.</w:t>
      </w:r>
    </w:p>
    <w:p w:rsidRPr="00856AEE" w:rsidR="00335054" w:rsidP="00335054" w:rsidRDefault="00335054" w14:paraId="58984FA3" w14:textId="77777777"/>
    <w:p w:rsidRPr="00856AEE" w:rsidR="00335054" w:rsidP="00335054" w:rsidRDefault="00335054" w14:paraId="663414F3" w14:textId="6CC026EF">
      <w:pPr>
        <w:ind w:left="3600" w:hanging="2160"/>
        <w:rPr>
          <w:bCs/>
        </w:rPr>
      </w:pPr>
      <w:r w:rsidRPr="00CD6C90">
        <w:rPr>
          <w:b/>
          <w:bCs/>
        </w:rPr>
        <w:t xml:space="preserve">Burden Hours: </w:t>
      </w:r>
      <w:r w:rsidRPr="00CD6C90">
        <w:rPr>
          <w:b/>
          <w:bCs/>
        </w:rPr>
        <w:tab/>
      </w:r>
      <w:r w:rsidR="001034F9">
        <w:rPr>
          <w:bCs/>
        </w:rPr>
        <w:t>7,057</w:t>
      </w:r>
      <w:r w:rsidRPr="00CD6C90">
        <w:rPr>
          <w:bCs/>
        </w:rPr>
        <w:t xml:space="preserve"> employees x 0.50 non-compliance rate x 0.</w:t>
      </w:r>
      <w:r w:rsidR="00210FDD">
        <w:rPr>
          <w:bCs/>
        </w:rPr>
        <w:t>08</w:t>
      </w:r>
      <w:r w:rsidRPr="00CD6C90">
        <w:rPr>
          <w:bCs/>
        </w:rPr>
        <w:t xml:space="preserve"> hours = </w:t>
      </w:r>
      <w:r w:rsidR="001034F9">
        <w:rPr>
          <w:bCs/>
        </w:rPr>
        <w:t>282.29</w:t>
      </w:r>
      <w:r w:rsidRPr="00856AEE">
        <w:rPr>
          <w:bCs/>
        </w:rPr>
        <w:t xml:space="preserve"> hours</w:t>
      </w:r>
    </w:p>
    <w:p w:rsidRPr="00856AEE" w:rsidR="00335054" w:rsidP="00335054" w:rsidRDefault="00335054" w14:paraId="7714AE54" w14:textId="77777777">
      <w:pPr>
        <w:ind w:left="720" w:firstLine="720"/>
        <w:rPr>
          <w:b/>
          <w:bCs/>
        </w:rPr>
      </w:pPr>
    </w:p>
    <w:p w:rsidRPr="00E87768" w:rsidR="00335054" w:rsidP="00BC30F0" w:rsidRDefault="00335054" w14:paraId="6F70B69D" w14:textId="11C91EC7">
      <w:pPr>
        <w:ind w:left="3600" w:hanging="2160"/>
        <w:rPr>
          <w:bCs/>
        </w:rPr>
      </w:pPr>
      <w:r w:rsidRPr="00856AEE">
        <w:rPr>
          <w:b/>
          <w:bCs/>
        </w:rPr>
        <w:t>Cost:</w:t>
      </w:r>
      <w:r w:rsidRPr="00856AEE">
        <w:rPr>
          <w:b/>
          <w:bCs/>
        </w:rPr>
        <w:tab/>
      </w:r>
      <w:r w:rsidR="001034F9">
        <w:rPr>
          <w:bCs/>
        </w:rPr>
        <w:t>282.29</w:t>
      </w:r>
      <w:r w:rsidRPr="00856AEE">
        <w:rPr>
          <w:b/>
          <w:bCs/>
        </w:rPr>
        <w:t xml:space="preserve"> </w:t>
      </w:r>
      <w:r w:rsidRPr="00856AEE">
        <w:rPr>
          <w:bCs/>
        </w:rPr>
        <w:t>hours x $</w:t>
      </w:r>
      <w:r w:rsidRPr="00856AEE" w:rsidR="00704971">
        <w:rPr>
          <w:bCs/>
        </w:rPr>
        <w:t>88.16</w:t>
      </w:r>
      <w:r w:rsidRPr="00856AEE">
        <w:rPr>
          <w:bCs/>
        </w:rPr>
        <w:t xml:space="preserve"> (GO </w:t>
      </w:r>
      <w:r w:rsidRPr="00856AEE" w:rsidR="002D1F4D">
        <w:rPr>
          <w:bCs/>
        </w:rPr>
        <w:t>m</w:t>
      </w:r>
      <w:r w:rsidRPr="00856AEE">
        <w:rPr>
          <w:bCs/>
        </w:rPr>
        <w:t>anager) = $</w:t>
      </w:r>
      <w:r w:rsidR="001034F9">
        <w:rPr>
          <w:bCs/>
        </w:rPr>
        <w:t>24,886.85</w:t>
      </w:r>
    </w:p>
    <w:p w:rsidR="00C05411" w:rsidP="00C05411" w:rsidRDefault="00C05411" w14:paraId="0B6C50EB" w14:textId="6D08C2A9">
      <w:pPr>
        <w:outlineLvl w:val="4"/>
      </w:pPr>
    </w:p>
    <w:p w:rsidRPr="00CC0DE5" w:rsidR="00C05411" w:rsidP="00C05411" w:rsidRDefault="005013A0" w14:paraId="5568F4DA" w14:textId="772A20B0">
      <w:pPr>
        <w:pStyle w:val="Heading2"/>
        <w:numPr>
          <w:ilvl w:val="0"/>
          <w:numId w:val="0"/>
        </w:numPr>
      </w:pPr>
      <w:r>
        <w:t>5</w:t>
      </w:r>
      <w:r w:rsidR="00C05411">
        <w:t xml:space="preserve">.   </w:t>
      </w:r>
      <w:r w:rsidRPr="001401D5" w:rsidR="00C05411">
        <w:t>Recordkeeping</w:t>
      </w:r>
      <w:r w:rsidRPr="00CC0DE5" w:rsidR="00C05411">
        <w:t xml:space="preserve">.  </w:t>
      </w:r>
    </w:p>
    <w:p w:rsidR="00C05411" w:rsidP="00C05411" w:rsidRDefault="00C05411" w14:paraId="55599F00" w14:textId="7087EDB5">
      <w:pPr>
        <w:ind w:firstLine="360"/>
        <w:rPr>
          <w:bCs/>
        </w:rPr>
      </w:pPr>
      <w:r w:rsidRPr="00363BA1">
        <w:rPr>
          <w:rFonts w:eastAsia="Arial Unicode MS"/>
          <w:b/>
          <w:color w:val="000000"/>
        </w:rPr>
        <w:t>§</w:t>
      </w:r>
      <w:r w:rsidRPr="001401D5">
        <w:rPr>
          <w:b/>
        </w:rPr>
        <w:t>1910.502(q)</w:t>
      </w:r>
      <w:r>
        <w:rPr>
          <w:b/>
        </w:rPr>
        <w:t>(2)</w:t>
      </w:r>
      <w:r w:rsidR="00E26F5D">
        <w:rPr>
          <w:b/>
        </w:rPr>
        <w:t xml:space="preserve"> – Required Records</w:t>
      </w:r>
    </w:p>
    <w:p w:rsidRPr="00394886" w:rsidR="00C05411" w:rsidP="00C05411" w:rsidRDefault="00C05411" w14:paraId="6A35999D" w14:textId="77777777">
      <w:pPr>
        <w:rPr>
          <w:bCs/>
        </w:rPr>
      </w:pPr>
      <w:r>
        <w:rPr>
          <w:bCs/>
        </w:rPr>
        <w:tab/>
      </w:r>
    </w:p>
    <w:p w:rsidR="005E1744" w:rsidP="00C05411" w:rsidRDefault="00C05411" w14:paraId="09A4B4F5" w14:textId="3D5BD173">
      <w:pPr>
        <w:ind w:left="360"/>
        <w:rPr>
          <w:bCs/>
        </w:rPr>
      </w:pPr>
      <w:r w:rsidRPr="00394886">
        <w:rPr>
          <w:bCs/>
        </w:rPr>
        <w:t xml:space="preserve">Employers with more than 10 employees on the effective date of this section must: </w:t>
      </w:r>
    </w:p>
    <w:p w:rsidR="005E1744" w:rsidP="00C05411" w:rsidRDefault="005E1744" w14:paraId="171AA6D1" w14:textId="77777777">
      <w:pPr>
        <w:ind w:left="360"/>
        <w:rPr>
          <w:bCs/>
        </w:rPr>
      </w:pPr>
    </w:p>
    <w:p w:rsidRPr="00394886" w:rsidR="00C05411" w:rsidP="00C05411" w:rsidRDefault="00C05411" w14:paraId="25531B57" w14:textId="42D59750">
      <w:pPr>
        <w:ind w:left="360"/>
        <w:rPr>
          <w:bCs/>
        </w:rPr>
      </w:pPr>
      <w:r w:rsidRPr="00394886">
        <w:rPr>
          <w:bCs/>
        </w:rPr>
        <w:t xml:space="preserve">(i) retain all versions of the </w:t>
      </w:r>
      <w:r w:rsidRPr="00120094">
        <w:rPr>
          <w:bCs/>
        </w:rPr>
        <w:t xml:space="preserve">COVID-19 plan implemented to comply with this section while this section remains in effect. (ii) establish and maintain a COVID-19 log to record each instance identified by the employer in which an employee is COVID-19 positive, </w:t>
      </w:r>
      <w:r w:rsidRPr="00120094">
        <w:t>regardless of</w:t>
      </w:r>
      <w:r w:rsidRPr="00394886">
        <w:t xml:space="preserve"> whether the instance is connected to exposure to COVID-19 at work</w:t>
      </w:r>
      <w:r w:rsidRPr="00394886">
        <w:rPr>
          <w:bCs/>
        </w:rPr>
        <w:t xml:space="preserve">.  </w:t>
      </w:r>
    </w:p>
    <w:p w:rsidR="00C05411" w:rsidP="00C05411" w:rsidRDefault="00C05411" w14:paraId="004CA363" w14:textId="77777777">
      <w:pPr>
        <w:ind w:left="720" w:hanging="360"/>
        <w:rPr>
          <w:bCs/>
        </w:rPr>
      </w:pPr>
    </w:p>
    <w:p w:rsidR="00C05411" w:rsidP="00C05411" w:rsidRDefault="00C05411" w14:paraId="1724CB15" w14:textId="77777777">
      <w:pPr>
        <w:ind w:left="720" w:hanging="360"/>
        <w:rPr>
          <w:bCs/>
        </w:rPr>
      </w:pPr>
      <w:r w:rsidRPr="00B80178">
        <w:rPr>
          <w:bCs/>
          <w:i/>
        </w:rPr>
        <w:t>COVID-19 Plan</w:t>
      </w:r>
      <w:r>
        <w:rPr>
          <w:bCs/>
        </w:rPr>
        <w:t>:</w:t>
      </w:r>
    </w:p>
    <w:p w:rsidR="00C05411" w:rsidP="00C05411" w:rsidRDefault="00C05411" w14:paraId="798FAE5B" w14:textId="77777777">
      <w:pPr>
        <w:ind w:left="720" w:hanging="360"/>
        <w:rPr>
          <w:bCs/>
        </w:rPr>
      </w:pPr>
    </w:p>
    <w:p w:rsidR="00C05411" w:rsidP="00C05411" w:rsidRDefault="00C05411" w14:paraId="1820DD71" w14:textId="131A2B43">
      <w:pPr>
        <w:ind w:left="720"/>
      </w:pPr>
      <w:r>
        <w:rPr>
          <w:bCs/>
        </w:rPr>
        <w:t xml:space="preserve">The employer must record and maintain all version of the plan. </w:t>
      </w:r>
      <w:r>
        <w:rPr>
          <w:lang w:val="x-none"/>
        </w:rPr>
        <w:t xml:space="preserve">OSHA estimates </w:t>
      </w:r>
      <w:r>
        <w:t xml:space="preserve">it </w:t>
      </w:r>
      <w:r>
        <w:rPr>
          <w:lang w:val="x-none"/>
        </w:rPr>
        <w:t>take</w:t>
      </w:r>
      <w:r>
        <w:t>s</w:t>
      </w:r>
      <w:r>
        <w:rPr>
          <w:lang w:val="x-none"/>
        </w:rPr>
        <w:t xml:space="preserve"> 5 minutes (0.08 hours) of a </w:t>
      </w:r>
      <w:r>
        <w:t>c</w:t>
      </w:r>
      <w:r>
        <w:rPr>
          <w:lang w:val="x-none"/>
        </w:rPr>
        <w:t xml:space="preserve">lerical </w:t>
      </w:r>
      <w:r>
        <w:t>w</w:t>
      </w:r>
      <w:r>
        <w:rPr>
          <w:lang w:val="x-none"/>
        </w:rPr>
        <w:t xml:space="preserve">orker’s time to </w:t>
      </w:r>
      <w:r>
        <w:t>make copies of the COVID-19 plan and file each copies</w:t>
      </w:r>
      <w:r>
        <w:rPr>
          <w:lang w:val="x-none"/>
        </w:rPr>
        <w:t xml:space="preserve">. </w:t>
      </w:r>
      <w:r w:rsidRPr="00431001" w:rsidR="00431001">
        <w:t>OSHA estimates that</w:t>
      </w:r>
      <w:r w:rsidRPr="00431001" w:rsidR="00431001">
        <w:rPr>
          <w:lang w:val="x-none"/>
        </w:rPr>
        <w:t xml:space="preserve"> approximately </w:t>
      </w:r>
      <w:r w:rsidRPr="00431001" w:rsidR="00431001">
        <w:t>15%</w:t>
      </w:r>
      <w:r w:rsidRPr="00431001" w:rsidR="00431001">
        <w:rPr>
          <w:lang w:val="x-none"/>
        </w:rPr>
        <w:t xml:space="preserve"> of </w:t>
      </w:r>
      <w:r w:rsidRPr="00431001" w:rsidR="00431001">
        <w:t>employers (</w:t>
      </w:r>
      <w:r w:rsidR="00747BEB">
        <w:t>40,742</w:t>
      </w:r>
      <w:r w:rsidRPr="00431001" w:rsidR="00431001">
        <w:t xml:space="preserve"> large and SBA-defined small establishments and </w:t>
      </w:r>
      <w:r w:rsidR="00747BEB">
        <w:t>71,580</w:t>
      </w:r>
      <w:r w:rsidRPr="00431001" w:rsidR="00431001">
        <w:t xml:space="preserve"> very small establishments) will have to maintain two versions of the plan while the other 85% (</w:t>
      </w:r>
      <w:r w:rsidR="00747BEB">
        <w:t>230,870</w:t>
      </w:r>
      <w:r w:rsidRPr="00431001" w:rsidR="00431001">
        <w:t xml:space="preserve"> large and SBA-defined small establishments and </w:t>
      </w:r>
      <w:r w:rsidR="00DF49D7">
        <w:t>405,623</w:t>
      </w:r>
      <w:r w:rsidRPr="00431001" w:rsidR="00431001">
        <w:t xml:space="preserve"> very small establishments) will have to maintain one version of the plan. The total number of plans maintained by large and SBA-defined small establishments is </w:t>
      </w:r>
      <w:r w:rsidR="00DF49D7">
        <w:t>312,354</w:t>
      </w:r>
      <w:r w:rsidRPr="00431001" w:rsidR="00431001">
        <w:t xml:space="preserve"> [(</w:t>
      </w:r>
      <w:r w:rsidR="00747BEB">
        <w:t>40,742</w:t>
      </w:r>
      <w:r w:rsidRPr="00431001" w:rsidR="00431001">
        <w:t xml:space="preserve"> plans x 2 versions) +</w:t>
      </w:r>
      <w:r w:rsidR="0064560B">
        <w:t xml:space="preserve"> </w:t>
      </w:r>
      <w:r w:rsidR="00747BEB">
        <w:t>230,870</w:t>
      </w:r>
      <w:r w:rsidRPr="00431001" w:rsidR="00431001">
        <w:t xml:space="preserve"> single plans]. The total number of plans maintained by very small establishments is </w:t>
      </w:r>
      <w:r w:rsidR="00DF49D7">
        <w:t>548,783</w:t>
      </w:r>
      <w:r w:rsidRPr="00431001" w:rsidR="00431001">
        <w:t xml:space="preserve"> [(</w:t>
      </w:r>
      <w:r w:rsidR="00747BEB">
        <w:t>71,580</w:t>
      </w:r>
      <w:r w:rsidRPr="00431001" w:rsidR="00431001">
        <w:t xml:space="preserve"> plans x 2 versions) + </w:t>
      </w:r>
      <w:r w:rsidR="00DF49D7">
        <w:t>405,623</w:t>
      </w:r>
      <w:r w:rsidRPr="00431001" w:rsidR="00431001">
        <w:t xml:space="preserve"> single plans].</w:t>
      </w:r>
      <w:r>
        <w:t xml:space="preserve"> </w:t>
      </w:r>
    </w:p>
    <w:p w:rsidR="00C05411" w:rsidP="00C05411" w:rsidRDefault="00C05411" w14:paraId="3FDBF1D2" w14:textId="77777777">
      <w:pPr>
        <w:ind w:left="720"/>
        <w:rPr>
          <w:bCs/>
        </w:rPr>
      </w:pPr>
    </w:p>
    <w:p w:rsidRPr="009E6A83" w:rsidR="009E6A83" w:rsidP="009E6A83" w:rsidRDefault="009E6A83" w14:paraId="3C0D8244" w14:textId="77777777">
      <w:pPr>
        <w:ind w:left="720"/>
        <w:rPr>
          <w:bCs/>
        </w:rPr>
      </w:pPr>
      <w:r w:rsidRPr="009E6A83">
        <w:rPr>
          <w:bCs/>
        </w:rPr>
        <w:t>Large and SBA-defined small establishments:</w:t>
      </w:r>
    </w:p>
    <w:p w:rsidRPr="009E6A83" w:rsidR="009E6A83" w:rsidP="009E6A83" w:rsidRDefault="009E6A83" w14:paraId="6D4B37F4" w14:textId="77777777">
      <w:pPr>
        <w:ind w:left="720" w:hanging="2160"/>
        <w:rPr>
          <w:bCs/>
        </w:rPr>
      </w:pPr>
    </w:p>
    <w:p w:rsidRPr="009E6A83" w:rsidR="009E6A83" w:rsidP="009E6A83" w:rsidRDefault="009E6A83" w14:paraId="79AE6FE4" w14:textId="77777777">
      <w:pPr>
        <w:ind w:left="720"/>
        <w:rPr>
          <w:bCs/>
        </w:rPr>
      </w:pPr>
      <w:r w:rsidRPr="009E6A83">
        <w:rPr>
          <w:bCs/>
        </w:rPr>
        <w:t>Baseline non-compliance is 25 percent for large and SBA-defined small establishments.</w:t>
      </w:r>
    </w:p>
    <w:p w:rsidRPr="009E6A83" w:rsidR="009E6A83" w:rsidP="009E6A83" w:rsidRDefault="009E6A83" w14:paraId="34077F88" w14:textId="77777777">
      <w:pPr>
        <w:ind w:left="3600" w:hanging="2160"/>
        <w:rPr>
          <w:b/>
          <w:bCs/>
        </w:rPr>
      </w:pPr>
    </w:p>
    <w:p w:rsidRPr="00E26F5D" w:rsidR="009E6A83" w:rsidP="009E6A83" w:rsidRDefault="009E6A83" w14:paraId="1EB44812" w14:textId="1BCCA437">
      <w:pPr>
        <w:ind w:left="3600" w:hanging="2160"/>
        <w:rPr>
          <w:bCs/>
        </w:rPr>
      </w:pPr>
      <w:r w:rsidRPr="009E6A83">
        <w:rPr>
          <w:b/>
          <w:bCs/>
        </w:rPr>
        <w:t>Burden Hours</w:t>
      </w:r>
      <w:r w:rsidRPr="00E26F5D">
        <w:rPr>
          <w:b/>
          <w:bCs/>
        </w:rPr>
        <w:t>:</w:t>
      </w:r>
      <w:r w:rsidRPr="00E26F5D">
        <w:rPr>
          <w:b/>
          <w:bCs/>
        </w:rPr>
        <w:tab/>
      </w:r>
      <w:r w:rsidR="00DF49D7">
        <w:rPr>
          <w:bCs/>
        </w:rPr>
        <w:t>312,354</w:t>
      </w:r>
      <w:r w:rsidRPr="00E26F5D">
        <w:rPr>
          <w:bCs/>
        </w:rPr>
        <w:t xml:space="preserve"> plans x 0.25 (non-compliance) x 0.08 hours = </w:t>
      </w:r>
      <w:r w:rsidR="00DF49D7">
        <w:rPr>
          <w:bCs/>
        </w:rPr>
        <w:t>6,247.08</w:t>
      </w:r>
      <w:r w:rsidRPr="00E26F5D">
        <w:rPr>
          <w:bCs/>
        </w:rPr>
        <w:t xml:space="preserve"> hours</w:t>
      </w:r>
    </w:p>
    <w:p w:rsidRPr="00E26F5D" w:rsidR="009E6A83" w:rsidP="009E6A83" w:rsidRDefault="009E6A83" w14:paraId="053D8ED8" w14:textId="77777777">
      <w:pPr>
        <w:ind w:left="720" w:firstLine="720"/>
        <w:rPr>
          <w:b/>
          <w:bCs/>
        </w:rPr>
      </w:pPr>
    </w:p>
    <w:p w:rsidRPr="00E26F5D" w:rsidR="009E6A83" w:rsidP="00555D36" w:rsidRDefault="009E6A83" w14:paraId="259D9FB4" w14:textId="7F494AD3">
      <w:pPr>
        <w:ind w:left="3600" w:hanging="2160"/>
        <w:rPr>
          <w:bCs/>
        </w:rPr>
      </w:pPr>
      <w:r w:rsidRPr="00E26F5D">
        <w:rPr>
          <w:b/>
          <w:bCs/>
        </w:rPr>
        <w:t>Cost:</w:t>
      </w:r>
      <w:r w:rsidRPr="00E26F5D">
        <w:rPr>
          <w:b/>
          <w:bCs/>
        </w:rPr>
        <w:tab/>
      </w:r>
      <w:r w:rsidR="00DF49D7">
        <w:rPr>
          <w:bCs/>
        </w:rPr>
        <w:t>6,247.08</w:t>
      </w:r>
      <w:r w:rsidRPr="00E26F5D">
        <w:rPr>
          <w:bCs/>
        </w:rPr>
        <w:t xml:space="preserve"> hours x $</w:t>
      </w:r>
      <w:r w:rsidRPr="00E26F5D" w:rsidR="002D1F4D">
        <w:rPr>
          <w:bCs/>
        </w:rPr>
        <w:t>36.94</w:t>
      </w:r>
      <w:r w:rsidRPr="00E26F5D">
        <w:rPr>
          <w:bCs/>
        </w:rPr>
        <w:t xml:space="preserve"> (</w:t>
      </w:r>
      <w:r w:rsidRPr="00E26F5D" w:rsidR="002D1F4D">
        <w:rPr>
          <w:bCs/>
        </w:rPr>
        <w:t>IR</w:t>
      </w:r>
      <w:r w:rsidRPr="00E26F5D">
        <w:rPr>
          <w:bCs/>
        </w:rPr>
        <w:t xml:space="preserve"> clerk) = $</w:t>
      </w:r>
      <w:r w:rsidR="0013376F">
        <w:rPr>
          <w:bCs/>
        </w:rPr>
        <w:t>230,767.14</w:t>
      </w:r>
    </w:p>
    <w:p w:rsidRPr="00E26F5D" w:rsidR="009E6A83" w:rsidP="009E6A83" w:rsidRDefault="009E6A83" w14:paraId="2B048ED0" w14:textId="77777777">
      <w:pPr>
        <w:ind w:left="720" w:firstLine="720"/>
        <w:rPr>
          <w:b/>
          <w:bCs/>
        </w:rPr>
      </w:pPr>
    </w:p>
    <w:p w:rsidRPr="00E26F5D" w:rsidR="009E6A83" w:rsidP="009E6A83" w:rsidRDefault="009E6A83" w14:paraId="68E793E8" w14:textId="77777777">
      <w:pPr>
        <w:ind w:left="720"/>
        <w:rPr>
          <w:bCs/>
        </w:rPr>
      </w:pPr>
      <w:r w:rsidRPr="00E26F5D">
        <w:rPr>
          <w:bCs/>
        </w:rPr>
        <w:t>Very small establishments:</w:t>
      </w:r>
    </w:p>
    <w:p w:rsidRPr="00E26F5D" w:rsidR="009E6A83" w:rsidP="009E6A83" w:rsidRDefault="009E6A83" w14:paraId="17221D06" w14:textId="77777777">
      <w:pPr>
        <w:ind w:left="720"/>
        <w:rPr>
          <w:bCs/>
        </w:rPr>
      </w:pPr>
    </w:p>
    <w:p w:rsidRPr="00E26F5D" w:rsidR="009E6A83" w:rsidP="009E6A83" w:rsidRDefault="009E6A83" w14:paraId="12C03EAF" w14:textId="77777777">
      <w:pPr>
        <w:ind w:left="720"/>
        <w:rPr>
          <w:bCs/>
        </w:rPr>
      </w:pPr>
      <w:r w:rsidRPr="00E26F5D">
        <w:rPr>
          <w:bCs/>
        </w:rPr>
        <w:t>Baseline non-compliance is 50 percent for very small establishments.</w:t>
      </w:r>
    </w:p>
    <w:p w:rsidRPr="00E26F5D" w:rsidR="009E6A83" w:rsidP="009E6A83" w:rsidRDefault="009E6A83" w14:paraId="74316855" w14:textId="77777777">
      <w:pPr>
        <w:ind w:left="3600" w:hanging="2160"/>
        <w:rPr>
          <w:b/>
          <w:bCs/>
        </w:rPr>
      </w:pPr>
    </w:p>
    <w:p w:rsidRPr="00E26F5D" w:rsidR="009E6A83" w:rsidP="009E6A83" w:rsidRDefault="009E6A83" w14:paraId="267C7DE4" w14:textId="4F152A2A">
      <w:pPr>
        <w:ind w:left="3600" w:hanging="2160"/>
        <w:rPr>
          <w:bCs/>
        </w:rPr>
      </w:pPr>
      <w:r w:rsidRPr="00E26F5D">
        <w:rPr>
          <w:b/>
          <w:bCs/>
        </w:rPr>
        <w:t>Burden Hours:</w:t>
      </w:r>
      <w:r w:rsidRPr="00E26F5D">
        <w:rPr>
          <w:b/>
          <w:bCs/>
        </w:rPr>
        <w:tab/>
      </w:r>
      <w:r w:rsidR="00DF49D7">
        <w:rPr>
          <w:bCs/>
        </w:rPr>
        <w:t>548,783</w:t>
      </w:r>
      <w:r w:rsidRPr="00E26F5D">
        <w:rPr>
          <w:bCs/>
        </w:rPr>
        <w:t xml:space="preserve"> plans x 0.5 (non-compliance) x 0.08 hours = </w:t>
      </w:r>
      <w:r w:rsidR="0013376F">
        <w:rPr>
          <w:bCs/>
        </w:rPr>
        <w:t>21,951.32</w:t>
      </w:r>
      <w:r w:rsidRPr="00E26F5D">
        <w:rPr>
          <w:bCs/>
        </w:rPr>
        <w:t xml:space="preserve"> hours</w:t>
      </w:r>
    </w:p>
    <w:p w:rsidRPr="00E26F5D" w:rsidR="009E6A83" w:rsidP="009E6A83" w:rsidRDefault="009E6A83" w14:paraId="10F654CB" w14:textId="77777777">
      <w:pPr>
        <w:ind w:left="720" w:firstLine="720"/>
        <w:rPr>
          <w:b/>
          <w:bCs/>
        </w:rPr>
      </w:pPr>
    </w:p>
    <w:p w:rsidRPr="00E26F5D" w:rsidR="009E6A83" w:rsidP="00555D36" w:rsidRDefault="009E6A83" w14:paraId="551FB5BA" w14:textId="3FBC5512">
      <w:pPr>
        <w:ind w:left="3600" w:hanging="2160"/>
        <w:rPr>
          <w:b/>
          <w:bCs/>
        </w:rPr>
      </w:pPr>
      <w:r w:rsidRPr="00E26F5D">
        <w:rPr>
          <w:b/>
          <w:bCs/>
        </w:rPr>
        <w:t>Cost:</w:t>
      </w:r>
      <w:r w:rsidRPr="00E26F5D">
        <w:rPr>
          <w:b/>
          <w:bCs/>
        </w:rPr>
        <w:tab/>
      </w:r>
      <w:r w:rsidR="0013376F">
        <w:rPr>
          <w:bCs/>
        </w:rPr>
        <w:t>21,951.32</w:t>
      </w:r>
      <w:r w:rsidRPr="00E26F5D">
        <w:rPr>
          <w:bCs/>
        </w:rPr>
        <w:t xml:space="preserve"> hours x $</w:t>
      </w:r>
      <w:r w:rsidRPr="00E26F5D" w:rsidR="002D1F4D">
        <w:rPr>
          <w:bCs/>
        </w:rPr>
        <w:t>36.94</w:t>
      </w:r>
      <w:r w:rsidRPr="00E26F5D">
        <w:rPr>
          <w:bCs/>
        </w:rPr>
        <w:t xml:space="preserve"> (</w:t>
      </w:r>
      <w:r w:rsidRPr="00E26F5D" w:rsidR="00704FBC">
        <w:rPr>
          <w:bCs/>
        </w:rPr>
        <w:t>IR</w:t>
      </w:r>
      <w:r w:rsidRPr="00E26F5D">
        <w:rPr>
          <w:bCs/>
        </w:rPr>
        <w:t xml:space="preserve"> clerk) = $</w:t>
      </w:r>
      <w:r w:rsidR="009C07AF">
        <w:rPr>
          <w:bCs/>
        </w:rPr>
        <w:t>817,528.01</w:t>
      </w:r>
    </w:p>
    <w:p w:rsidR="00C05411" w:rsidP="00C05411" w:rsidRDefault="00C05411" w14:paraId="09828305" w14:textId="77777777">
      <w:pPr>
        <w:ind w:left="720" w:hanging="360"/>
        <w:rPr>
          <w:bCs/>
        </w:rPr>
      </w:pPr>
    </w:p>
    <w:p w:rsidR="00C05411" w:rsidP="00C05411" w:rsidRDefault="00C05411" w14:paraId="6EE9159B" w14:textId="77777777">
      <w:pPr>
        <w:ind w:left="720" w:hanging="360"/>
        <w:rPr>
          <w:bCs/>
        </w:rPr>
      </w:pPr>
      <w:r w:rsidRPr="002E13EF">
        <w:rPr>
          <w:bCs/>
          <w:i/>
        </w:rPr>
        <w:t>COVID-19 Log</w:t>
      </w:r>
      <w:r>
        <w:rPr>
          <w:bCs/>
        </w:rPr>
        <w:t>:</w:t>
      </w:r>
    </w:p>
    <w:p w:rsidR="00C05411" w:rsidP="00C05411" w:rsidRDefault="00C05411" w14:paraId="7EEEBD63" w14:textId="77777777">
      <w:pPr>
        <w:ind w:left="720" w:hanging="360"/>
      </w:pPr>
    </w:p>
    <w:p w:rsidR="00C05411" w:rsidP="00C05411" w:rsidRDefault="00C05411" w14:paraId="27E47654" w14:textId="1012F82E">
      <w:pPr>
        <w:ind w:left="720"/>
      </w:pPr>
      <w:r>
        <w:t>Establish Log:</w:t>
      </w:r>
    </w:p>
    <w:p w:rsidR="002C58BF" w:rsidP="00C05411" w:rsidRDefault="002C58BF" w14:paraId="42C7C145" w14:textId="77777777">
      <w:pPr>
        <w:ind w:left="720"/>
        <w:rPr>
          <w:bCs/>
        </w:rPr>
      </w:pPr>
    </w:p>
    <w:p w:rsidRPr="009E6423" w:rsidR="009E6423" w:rsidP="009E6423" w:rsidRDefault="00C05411" w14:paraId="7C97BEF1" w14:textId="5BC96D61">
      <w:pPr>
        <w:ind w:left="720"/>
      </w:pPr>
      <w:r>
        <w:rPr>
          <w:bCs/>
        </w:rPr>
        <w:t xml:space="preserve">The employer must establish and record a log of all COVID-19 related cases identified.  </w:t>
      </w:r>
      <w:r w:rsidRPr="009E6423" w:rsidR="009E6423">
        <w:t xml:space="preserve">OSHA </w:t>
      </w:r>
      <w:r w:rsidR="009E6423">
        <w:t>estimates</w:t>
      </w:r>
      <w:r w:rsidRPr="009E6423" w:rsidR="009E6423">
        <w:t xml:space="preserve"> 0.5 hours of labor from a General and Operations Manager (SOC 11-1020) to establish a COVID-19 log for each affected establishment. </w:t>
      </w:r>
      <w:r w:rsidRPr="009E6423" w:rsidR="009E6423">
        <w:rPr>
          <w:bCs/>
        </w:rPr>
        <w:t>Baseline non-compliance is estimated to be 100 percent.</w:t>
      </w:r>
    </w:p>
    <w:p w:rsidR="00C05411" w:rsidP="00C05411" w:rsidRDefault="00C05411" w14:paraId="3DC23569" w14:textId="77777777">
      <w:pPr>
        <w:ind w:left="720"/>
      </w:pPr>
    </w:p>
    <w:p w:rsidR="00C05411" w:rsidP="006A063F" w:rsidRDefault="00C05411" w14:paraId="5E87C168" w14:textId="70DEA991">
      <w:pPr>
        <w:ind w:left="3600" w:hanging="2160"/>
        <w:rPr>
          <w:b/>
          <w:bCs/>
        </w:rPr>
      </w:pPr>
      <w:r w:rsidRPr="00B80178">
        <w:rPr>
          <w:b/>
          <w:bCs/>
        </w:rPr>
        <w:t>Burden Hours:</w:t>
      </w:r>
      <w:r>
        <w:rPr>
          <w:b/>
          <w:bCs/>
        </w:rPr>
        <w:tab/>
      </w:r>
      <w:r w:rsidR="0013376F">
        <w:rPr>
          <w:bCs/>
        </w:rPr>
        <w:t>748,816</w:t>
      </w:r>
      <w:r w:rsidR="009E6423">
        <w:rPr>
          <w:bCs/>
        </w:rPr>
        <w:t xml:space="preserve"> establishments</w:t>
      </w:r>
      <w:r w:rsidRPr="002E13EF">
        <w:rPr>
          <w:bCs/>
        </w:rPr>
        <w:t xml:space="preserve"> x </w:t>
      </w:r>
      <w:r w:rsidR="002C58BF">
        <w:rPr>
          <w:bCs/>
        </w:rPr>
        <w:t>1.0 (non-compliance) x</w:t>
      </w:r>
      <w:r w:rsidRPr="002E13EF">
        <w:rPr>
          <w:bCs/>
        </w:rPr>
        <w:t xml:space="preserve"> 0.5 hours = </w:t>
      </w:r>
      <w:r w:rsidR="0013376F">
        <w:rPr>
          <w:bCs/>
        </w:rPr>
        <w:t>374,408</w:t>
      </w:r>
      <w:r w:rsidRPr="002E13EF">
        <w:rPr>
          <w:bCs/>
        </w:rPr>
        <w:t xml:space="preserve"> hours</w:t>
      </w:r>
    </w:p>
    <w:p w:rsidR="00C05411" w:rsidP="00C05411" w:rsidRDefault="00C05411" w14:paraId="19138F78" w14:textId="77777777">
      <w:pPr>
        <w:ind w:left="720" w:firstLine="720"/>
        <w:rPr>
          <w:b/>
          <w:bCs/>
        </w:rPr>
      </w:pPr>
    </w:p>
    <w:p w:rsidRPr="00B80178" w:rsidR="00C05411" w:rsidP="00E26F5D" w:rsidRDefault="00C05411" w14:paraId="1E73BC86" w14:textId="1DDD0D8F">
      <w:pPr>
        <w:ind w:left="3600" w:hanging="2160"/>
        <w:rPr>
          <w:b/>
          <w:bCs/>
        </w:rPr>
      </w:pPr>
      <w:r>
        <w:rPr>
          <w:b/>
          <w:bCs/>
        </w:rPr>
        <w:t>Cost:</w:t>
      </w:r>
      <w:r>
        <w:rPr>
          <w:b/>
          <w:bCs/>
        </w:rPr>
        <w:tab/>
      </w:r>
      <w:r w:rsidR="0013376F">
        <w:rPr>
          <w:bCs/>
        </w:rPr>
        <w:t>374,408</w:t>
      </w:r>
      <w:r w:rsidRPr="00E26F5D">
        <w:rPr>
          <w:bCs/>
        </w:rPr>
        <w:t xml:space="preserve"> hours x $</w:t>
      </w:r>
      <w:r w:rsidRPr="00E26F5D" w:rsidR="00704FBC">
        <w:rPr>
          <w:bCs/>
        </w:rPr>
        <w:t>88.16</w:t>
      </w:r>
      <w:r w:rsidRPr="00E26F5D">
        <w:rPr>
          <w:bCs/>
        </w:rPr>
        <w:t xml:space="preserve"> (GO manager) = $</w:t>
      </w:r>
      <w:r w:rsidR="002F7929">
        <w:rPr>
          <w:bCs/>
        </w:rPr>
        <w:t>33,007,809.28</w:t>
      </w:r>
    </w:p>
    <w:p w:rsidR="00C05411" w:rsidP="00D35EBB" w:rsidRDefault="00C05411" w14:paraId="5914108F" w14:textId="77777777">
      <w:pPr>
        <w:ind w:left="720"/>
        <w:rPr>
          <w:bCs/>
        </w:rPr>
      </w:pPr>
    </w:p>
    <w:p w:rsidR="00C05411" w:rsidP="00C05411" w:rsidRDefault="00C05411" w14:paraId="71CC1A68" w14:textId="77777777">
      <w:pPr>
        <w:ind w:left="720"/>
        <w:rPr>
          <w:bCs/>
        </w:rPr>
      </w:pPr>
      <w:r w:rsidRPr="00592306">
        <w:rPr>
          <w:bCs/>
          <w:i/>
        </w:rPr>
        <w:t>Maintain Log</w:t>
      </w:r>
      <w:r>
        <w:rPr>
          <w:bCs/>
        </w:rPr>
        <w:t>:</w:t>
      </w:r>
    </w:p>
    <w:p w:rsidR="00C05411" w:rsidP="00C05411" w:rsidRDefault="00C05411" w14:paraId="3E1E0D87" w14:textId="77777777">
      <w:pPr>
        <w:ind w:left="720"/>
        <w:rPr>
          <w:bCs/>
        </w:rPr>
      </w:pPr>
    </w:p>
    <w:p w:rsidRPr="009E6423" w:rsidR="009E6423" w:rsidP="009E6423" w:rsidRDefault="009E6423" w14:paraId="299816E5" w14:textId="2DCAB2E4">
      <w:pPr>
        <w:ind w:left="720"/>
        <w:rPr>
          <w:bCs/>
        </w:rPr>
      </w:pPr>
      <w:r w:rsidRPr="009E6423">
        <w:rPr>
          <w:bCs/>
        </w:rPr>
        <w:t xml:space="preserve">For each employee with COVID-19, OSHA assumes 10 minutes (0.17 hours) of labor from an Information and Records Clerk (SOC 43-4000) to record the case in the employer’s COVID-19 log. </w:t>
      </w:r>
      <w:r w:rsidR="00D35EBB">
        <w:rPr>
          <w:bCs/>
        </w:rPr>
        <w:t xml:space="preserve">OSHA estimates </w:t>
      </w:r>
      <w:r w:rsidR="002F7929">
        <w:rPr>
          <w:bCs/>
        </w:rPr>
        <w:t>39,286</w:t>
      </w:r>
      <w:r w:rsidRPr="009E6423">
        <w:rPr>
          <w:bCs/>
        </w:rPr>
        <w:t xml:space="preserve"> cases</w:t>
      </w:r>
      <w:r w:rsidR="0017530A">
        <w:rPr>
          <w:rStyle w:val="FootnoteReference"/>
          <w:bCs/>
        </w:rPr>
        <w:footnoteReference w:id="10"/>
      </w:r>
      <w:r w:rsidR="00D35EBB">
        <w:rPr>
          <w:bCs/>
        </w:rPr>
        <w:t xml:space="preserve"> will need to be recorded</w:t>
      </w:r>
      <w:r w:rsidRPr="009E6423">
        <w:rPr>
          <w:bCs/>
        </w:rPr>
        <w:t>.  Baseline non-compliance is estimated to be 100 percent.</w:t>
      </w:r>
    </w:p>
    <w:p w:rsidR="00C05411" w:rsidP="00C05411" w:rsidRDefault="00C05411" w14:paraId="08AF5984" w14:textId="77777777">
      <w:pPr>
        <w:ind w:left="720"/>
      </w:pPr>
    </w:p>
    <w:p w:rsidR="00C05411" w:rsidP="006A063F" w:rsidRDefault="00C05411" w14:paraId="4A09DC6B" w14:textId="0802BAE8">
      <w:pPr>
        <w:ind w:left="3600" w:hanging="2160"/>
        <w:rPr>
          <w:b/>
          <w:bCs/>
        </w:rPr>
      </w:pPr>
      <w:r w:rsidRPr="00B80178">
        <w:rPr>
          <w:b/>
          <w:bCs/>
        </w:rPr>
        <w:t>Burden Hours:</w:t>
      </w:r>
      <w:r>
        <w:rPr>
          <w:b/>
          <w:bCs/>
        </w:rPr>
        <w:tab/>
      </w:r>
      <w:r w:rsidR="002F7929">
        <w:rPr>
          <w:bCs/>
        </w:rPr>
        <w:t>39,286</w:t>
      </w:r>
      <w:r w:rsidRPr="002E13EF">
        <w:rPr>
          <w:bCs/>
        </w:rPr>
        <w:t xml:space="preserve"> cases x </w:t>
      </w:r>
      <w:r w:rsidR="002C58BF">
        <w:rPr>
          <w:bCs/>
        </w:rPr>
        <w:t xml:space="preserve">1.0 (non-compliance) </w:t>
      </w:r>
      <w:r w:rsidR="00D35EBB">
        <w:rPr>
          <w:bCs/>
        </w:rPr>
        <w:t>x</w:t>
      </w:r>
      <w:r w:rsidRPr="002E13EF">
        <w:rPr>
          <w:bCs/>
        </w:rPr>
        <w:t xml:space="preserve"> 0.</w:t>
      </w:r>
      <w:r>
        <w:rPr>
          <w:bCs/>
        </w:rPr>
        <w:t>17</w:t>
      </w:r>
      <w:r w:rsidRPr="002E13EF">
        <w:rPr>
          <w:bCs/>
        </w:rPr>
        <w:t xml:space="preserve"> hours</w:t>
      </w:r>
      <w:r>
        <w:rPr>
          <w:bCs/>
        </w:rPr>
        <w:t xml:space="preserve"> = </w:t>
      </w:r>
      <w:r w:rsidR="002F7929">
        <w:rPr>
          <w:bCs/>
        </w:rPr>
        <w:t>6,678.58</w:t>
      </w:r>
      <w:r w:rsidR="006A063F">
        <w:rPr>
          <w:bCs/>
        </w:rPr>
        <w:t xml:space="preserve"> hours</w:t>
      </w:r>
    </w:p>
    <w:p w:rsidR="00C05411" w:rsidP="00C05411" w:rsidRDefault="00C05411" w14:paraId="7759C8F0" w14:textId="77777777">
      <w:pPr>
        <w:ind w:left="720" w:firstLine="720"/>
        <w:rPr>
          <w:b/>
          <w:bCs/>
        </w:rPr>
      </w:pPr>
    </w:p>
    <w:p w:rsidR="00C05411" w:rsidP="00C05411" w:rsidRDefault="00C05411" w14:paraId="4A7E97BF" w14:textId="054FFDFD">
      <w:pPr>
        <w:ind w:left="720" w:firstLine="720"/>
        <w:rPr>
          <w:b/>
          <w:bCs/>
        </w:rPr>
      </w:pPr>
      <w:r w:rsidRPr="00E26F5D">
        <w:rPr>
          <w:b/>
          <w:bCs/>
        </w:rPr>
        <w:t>Cost:</w:t>
      </w:r>
      <w:r w:rsidRPr="00E26F5D">
        <w:rPr>
          <w:b/>
          <w:bCs/>
        </w:rPr>
        <w:tab/>
      </w:r>
      <w:r w:rsidRPr="00E26F5D">
        <w:rPr>
          <w:b/>
          <w:bCs/>
        </w:rPr>
        <w:tab/>
      </w:r>
      <w:r w:rsidRPr="00E26F5D">
        <w:rPr>
          <w:b/>
          <w:bCs/>
        </w:rPr>
        <w:tab/>
      </w:r>
      <w:r w:rsidR="002F7929">
        <w:rPr>
          <w:bCs/>
        </w:rPr>
        <w:t>6,678.58</w:t>
      </w:r>
      <w:r w:rsidRPr="00E26F5D">
        <w:rPr>
          <w:bCs/>
        </w:rPr>
        <w:t xml:space="preserve"> hours x $</w:t>
      </w:r>
      <w:r w:rsidRPr="00E26F5D" w:rsidR="00704FBC">
        <w:rPr>
          <w:bCs/>
        </w:rPr>
        <w:t>36.94</w:t>
      </w:r>
      <w:r w:rsidRPr="00E26F5D">
        <w:rPr>
          <w:bCs/>
        </w:rPr>
        <w:t xml:space="preserve"> (IR clerk) = $</w:t>
      </w:r>
      <w:r w:rsidR="002F7929">
        <w:rPr>
          <w:bCs/>
        </w:rPr>
        <w:t>246,706.60</w:t>
      </w:r>
    </w:p>
    <w:p w:rsidR="00C05411" w:rsidP="00C05411" w:rsidRDefault="00C05411" w14:paraId="75905E43" w14:textId="77777777">
      <w:pPr>
        <w:ind w:left="720" w:hanging="360"/>
        <w:rPr>
          <w:bCs/>
        </w:rPr>
      </w:pPr>
    </w:p>
    <w:p w:rsidR="00C05411" w:rsidP="00C05411" w:rsidRDefault="00C05411" w14:paraId="40A4ECB4" w14:textId="77777777">
      <w:pPr>
        <w:ind w:left="720" w:hanging="360"/>
        <w:rPr>
          <w:bCs/>
        </w:rPr>
      </w:pPr>
    </w:p>
    <w:p w:rsidR="00C05411" w:rsidP="008D39C5" w:rsidRDefault="00C05411" w14:paraId="12197B74" w14:textId="42A44E1D">
      <w:pPr>
        <w:rPr>
          <w:bCs/>
        </w:rPr>
      </w:pPr>
      <w:r w:rsidRPr="00394886">
        <w:rPr>
          <w:bCs/>
        </w:rPr>
        <w:t xml:space="preserve"> </w:t>
      </w:r>
      <w:r w:rsidRPr="00363BA1">
        <w:rPr>
          <w:rFonts w:eastAsia="Arial Unicode MS"/>
          <w:b/>
          <w:color w:val="000000"/>
        </w:rPr>
        <w:t>§</w:t>
      </w:r>
      <w:r w:rsidRPr="001401D5">
        <w:rPr>
          <w:b/>
        </w:rPr>
        <w:t>1910.502(q</w:t>
      </w:r>
      <w:r w:rsidRPr="00743FE3">
        <w:rPr>
          <w:b/>
        </w:rPr>
        <w:t>)</w:t>
      </w:r>
      <w:r w:rsidRPr="00743FE3">
        <w:rPr>
          <w:b/>
          <w:bCs/>
        </w:rPr>
        <w:t xml:space="preserve">(3) </w:t>
      </w:r>
      <w:r w:rsidR="00D72A38">
        <w:rPr>
          <w:b/>
          <w:bCs/>
        </w:rPr>
        <w:t xml:space="preserve">- </w:t>
      </w:r>
      <w:r w:rsidRPr="00D72A38" w:rsidR="00D72A38">
        <w:rPr>
          <w:b/>
          <w:bCs/>
        </w:rPr>
        <w:t>Availability of records.</w:t>
      </w:r>
    </w:p>
    <w:p w:rsidR="00C05411" w:rsidP="008D39C5" w:rsidRDefault="00C05411" w14:paraId="76A1BE3F" w14:textId="77777777">
      <w:pPr>
        <w:rPr>
          <w:bCs/>
        </w:rPr>
      </w:pPr>
    </w:p>
    <w:p w:rsidRPr="00394886" w:rsidR="00C05411" w:rsidP="008D39C5" w:rsidRDefault="00E921CE" w14:paraId="66D7C152" w14:textId="23D65174">
      <w:pPr>
        <w:rPr>
          <w:bCs/>
        </w:rPr>
      </w:pPr>
      <w:r w:rsidRPr="00E921CE">
        <w:rPr>
          <w:bCs/>
        </w:rPr>
        <w:t>By the end of the next business day after a request</w:t>
      </w:r>
      <w:r w:rsidRPr="00394886" w:rsidR="00C05411">
        <w:rPr>
          <w:bCs/>
        </w:rPr>
        <w:t>, the employer must provide, for</w:t>
      </w:r>
      <w:r w:rsidR="00C05411">
        <w:rPr>
          <w:bCs/>
        </w:rPr>
        <w:t xml:space="preserve"> </w:t>
      </w:r>
      <w:r w:rsidRPr="00394886" w:rsidR="00C05411">
        <w:rPr>
          <w:bCs/>
        </w:rPr>
        <w:t>examination and copying:</w:t>
      </w:r>
      <w:r w:rsidR="00C05411">
        <w:rPr>
          <w:bCs/>
        </w:rPr>
        <w:t xml:space="preserve"> </w:t>
      </w:r>
      <w:r w:rsidRPr="00394886" w:rsidR="00C05411">
        <w:rPr>
          <w:bCs/>
        </w:rPr>
        <w:t>(i)</w:t>
      </w:r>
      <w:r w:rsidR="00C05411">
        <w:rPr>
          <w:bCs/>
        </w:rPr>
        <w:t xml:space="preserve"> </w:t>
      </w:r>
      <w:r>
        <w:rPr>
          <w:bCs/>
        </w:rPr>
        <w:t>a</w:t>
      </w:r>
      <w:r w:rsidRPr="00394886" w:rsidR="00C05411">
        <w:rPr>
          <w:bCs/>
        </w:rPr>
        <w:t>ll versions of the written COVID-19 plan to any employee and/or their representatives</w:t>
      </w:r>
      <w:r>
        <w:rPr>
          <w:bCs/>
        </w:rPr>
        <w:t>,</w:t>
      </w:r>
      <w:r w:rsidR="00C05411">
        <w:rPr>
          <w:bCs/>
        </w:rPr>
        <w:t xml:space="preserve"> </w:t>
      </w:r>
      <w:r w:rsidRPr="00394886" w:rsidR="00C05411">
        <w:rPr>
          <w:bCs/>
        </w:rPr>
        <w:t xml:space="preserve">(ii)  </w:t>
      </w:r>
      <w:r>
        <w:rPr>
          <w:bCs/>
        </w:rPr>
        <w:t>t</w:t>
      </w:r>
      <w:r w:rsidRPr="00394886">
        <w:rPr>
          <w:bCs/>
        </w:rPr>
        <w:t xml:space="preserve">he </w:t>
      </w:r>
      <w:r>
        <w:rPr>
          <w:bCs/>
        </w:rPr>
        <w:t xml:space="preserve">individual </w:t>
      </w:r>
      <w:r w:rsidRPr="00394886" w:rsidR="00C05411">
        <w:rPr>
          <w:bCs/>
        </w:rPr>
        <w:t xml:space="preserve">COVID-19 log entry for </w:t>
      </w:r>
      <w:r>
        <w:rPr>
          <w:bCs/>
        </w:rPr>
        <w:t>a particular</w:t>
      </w:r>
      <w:r w:rsidRPr="00394886">
        <w:rPr>
          <w:bCs/>
        </w:rPr>
        <w:t xml:space="preserve"> </w:t>
      </w:r>
      <w:r w:rsidRPr="00394886" w:rsidR="00C05411">
        <w:rPr>
          <w:bCs/>
        </w:rPr>
        <w:t>employee to that employee and to</w:t>
      </w:r>
      <w:r w:rsidR="00C05411">
        <w:rPr>
          <w:bCs/>
        </w:rPr>
        <w:t xml:space="preserve"> </w:t>
      </w:r>
      <w:r w:rsidRPr="00E921CE">
        <w:rPr>
          <w:bCs/>
        </w:rPr>
        <w:t xml:space="preserve">anyone having written authorized </w:t>
      </w:r>
      <w:r>
        <w:rPr>
          <w:bCs/>
        </w:rPr>
        <w:t>consent of that employee,</w:t>
      </w:r>
      <w:r w:rsidR="00C05411">
        <w:rPr>
          <w:bCs/>
        </w:rPr>
        <w:t xml:space="preserve"> </w:t>
      </w:r>
      <w:r w:rsidRPr="00394886" w:rsidR="00C05411">
        <w:rPr>
          <w:bCs/>
        </w:rPr>
        <w:t xml:space="preserve">(iii) </w:t>
      </w:r>
      <w:r>
        <w:rPr>
          <w:bCs/>
        </w:rPr>
        <w:t xml:space="preserve">a </w:t>
      </w:r>
      <w:r w:rsidRPr="00E921CE">
        <w:rPr>
          <w:bCs/>
        </w:rPr>
        <w:t xml:space="preserve">version of the COVID-19 log </w:t>
      </w:r>
      <w:r w:rsidR="00803E8E">
        <w:t xml:space="preserve">that removes the names of employees, contact information, and occupation, and only includes, for each employee in the COVID-19 log, the location where the employee worked, the last day that the employee was at the workplace before removal, the date of that employee’s positive test for, or diagnosis of, COVID-19, and the date the employee first had one or more COVID-19 symptoms, if any were experienced, </w:t>
      </w:r>
      <w:r w:rsidRPr="00E921CE">
        <w:rPr>
          <w:bCs/>
        </w:rPr>
        <w:t>to all of the following:  any employees, their personal representatives, and their authorized representatives</w:t>
      </w:r>
      <w:r>
        <w:rPr>
          <w:bCs/>
        </w:rPr>
        <w:t>,</w:t>
      </w:r>
      <w:r w:rsidR="00C05411">
        <w:rPr>
          <w:bCs/>
        </w:rPr>
        <w:t xml:space="preserve"> </w:t>
      </w:r>
      <w:r w:rsidRPr="00394886" w:rsidR="00C05411">
        <w:rPr>
          <w:bCs/>
        </w:rPr>
        <w:t xml:space="preserve">(iv) </w:t>
      </w:r>
      <w:r>
        <w:rPr>
          <w:bCs/>
        </w:rPr>
        <w:t>a</w:t>
      </w:r>
      <w:r w:rsidRPr="00394886">
        <w:rPr>
          <w:bCs/>
        </w:rPr>
        <w:t xml:space="preserve">ll </w:t>
      </w:r>
      <w:r w:rsidRPr="00394886" w:rsidR="00C05411">
        <w:rPr>
          <w:bCs/>
        </w:rPr>
        <w:t>records required to be maintained by this section to the Assistant Secretary.</w:t>
      </w:r>
    </w:p>
    <w:p w:rsidRPr="00601C70" w:rsidR="00601C70" w:rsidP="00601C70" w:rsidRDefault="00601C70" w14:paraId="516E5258" w14:textId="6D728C0D">
      <w:pPr>
        <w:ind w:left="720"/>
        <w:rPr>
          <w:lang w:val="x-none"/>
        </w:rPr>
      </w:pPr>
    </w:p>
    <w:p w:rsidRPr="00601C70" w:rsidR="00601C70" w:rsidP="00D72A38" w:rsidRDefault="00601C70" w14:paraId="1059D59C" w14:textId="746FCB8D">
      <w:pPr>
        <w:ind w:left="450"/>
      </w:pPr>
      <w:r w:rsidRPr="00601C70">
        <w:rPr>
          <w:lang w:val="x-none"/>
        </w:rPr>
        <w:t xml:space="preserve">OSHA estimates </w:t>
      </w:r>
      <w:r w:rsidRPr="00601C70">
        <w:t xml:space="preserve">it </w:t>
      </w:r>
      <w:r w:rsidRPr="00601C70">
        <w:rPr>
          <w:lang w:val="x-none"/>
        </w:rPr>
        <w:t>take</w:t>
      </w:r>
      <w:r w:rsidRPr="00601C70">
        <w:t>s</w:t>
      </w:r>
      <w:r w:rsidRPr="00601C70">
        <w:rPr>
          <w:lang w:val="x-none"/>
        </w:rPr>
        <w:t xml:space="preserve"> 5 minutes (0.08 hours) of a </w:t>
      </w:r>
      <w:r w:rsidRPr="00601C70">
        <w:t>c</w:t>
      </w:r>
      <w:r w:rsidRPr="00601C70">
        <w:rPr>
          <w:lang w:val="x-none"/>
        </w:rPr>
        <w:t xml:space="preserve">lerical </w:t>
      </w:r>
      <w:r w:rsidRPr="00601C70">
        <w:t>w</w:t>
      </w:r>
      <w:r w:rsidRPr="00601C70">
        <w:rPr>
          <w:lang w:val="x-none"/>
        </w:rPr>
        <w:t xml:space="preserve">orker’s time to </w:t>
      </w:r>
      <w:r w:rsidRPr="00601C70">
        <w:t>make the COVID-19 plan and/or relevant COVID-19 log entries accessible to the</w:t>
      </w:r>
      <w:r w:rsidRPr="00601C70">
        <w:rPr>
          <w:lang w:val="x-none"/>
        </w:rPr>
        <w:t xml:space="preserve"> </w:t>
      </w:r>
      <w:r w:rsidRPr="00601C70">
        <w:t>employee or their representative</w:t>
      </w:r>
      <w:r w:rsidRPr="00601C70">
        <w:rPr>
          <w:lang w:val="x-none"/>
        </w:rPr>
        <w:t xml:space="preserve">. </w:t>
      </w:r>
      <w:r w:rsidRPr="00601C70">
        <w:t>OSHA estimates that</w:t>
      </w:r>
      <w:r w:rsidRPr="00601C70">
        <w:rPr>
          <w:lang w:val="x-none"/>
        </w:rPr>
        <w:t xml:space="preserve"> approximately </w:t>
      </w:r>
      <w:r w:rsidRPr="00601C70">
        <w:t>2.5%</w:t>
      </w:r>
      <w:r w:rsidRPr="00601C70">
        <w:rPr>
          <w:lang w:val="x-none"/>
        </w:rPr>
        <w:t xml:space="preserve"> of the </w:t>
      </w:r>
      <w:r w:rsidR="0062724C">
        <w:t>10,33</w:t>
      </w:r>
      <w:r w:rsidR="00FB43BA">
        <w:t>8</w:t>
      </w:r>
      <w:r w:rsidR="0062724C">
        <w:t>,</w:t>
      </w:r>
      <w:r w:rsidR="00FB43BA">
        <w:t>353</w:t>
      </w:r>
      <w:r w:rsidRPr="00601C70">
        <w:t xml:space="preserve"> covered employees, or </w:t>
      </w:r>
      <w:r w:rsidR="00FB43BA">
        <w:t>258,459</w:t>
      </w:r>
      <w:r w:rsidRPr="00601C70">
        <w:t xml:space="preserve"> workers, will request access to these records during the first six months the ETS is in effect</w:t>
      </w:r>
      <w:r w:rsidRPr="00601C70">
        <w:rPr>
          <w:lang w:val="x-none"/>
        </w:rPr>
        <w:t xml:space="preserve">.  </w:t>
      </w:r>
      <w:r w:rsidRPr="00601C70">
        <w:t>Baseline non-compliance with this requirement is estimated to be 25 percent.</w:t>
      </w:r>
    </w:p>
    <w:p w:rsidRPr="00601C70" w:rsidR="00601C70" w:rsidP="00601C70" w:rsidRDefault="00601C70" w14:paraId="61647AC4" w14:textId="77777777">
      <w:pPr>
        <w:ind w:left="720"/>
      </w:pPr>
    </w:p>
    <w:p w:rsidRPr="00601C70" w:rsidR="00601C70" w:rsidP="00601C70" w:rsidRDefault="00601C70" w14:paraId="66C69AC6" w14:textId="28DC6244">
      <w:pPr>
        <w:ind w:left="3600" w:hanging="2160"/>
        <w:rPr>
          <w:b/>
          <w:bCs/>
        </w:rPr>
      </w:pPr>
      <w:r w:rsidRPr="00601C70">
        <w:rPr>
          <w:b/>
          <w:bCs/>
        </w:rPr>
        <w:t>Burden Hours:</w:t>
      </w:r>
      <w:r w:rsidRPr="00601C70">
        <w:rPr>
          <w:b/>
          <w:bCs/>
        </w:rPr>
        <w:tab/>
      </w:r>
      <w:r w:rsidR="00FB43BA">
        <w:rPr>
          <w:bCs/>
        </w:rPr>
        <w:t>258,459</w:t>
      </w:r>
      <w:r w:rsidR="00103C3A">
        <w:rPr>
          <w:bCs/>
        </w:rPr>
        <w:t xml:space="preserve"> </w:t>
      </w:r>
      <w:r w:rsidRPr="00601C70">
        <w:rPr>
          <w:bCs/>
        </w:rPr>
        <w:t xml:space="preserve">employees x 0.25 (non-compliance) x 0.08 hours = </w:t>
      </w:r>
      <w:r w:rsidR="00F9494F">
        <w:rPr>
          <w:bCs/>
        </w:rPr>
        <w:t>5,169.63</w:t>
      </w:r>
      <w:r w:rsidRPr="00601C70">
        <w:rPr>
          <w:bCs/>
        </w:rPr>
        <w:t xml:space="preserve"> hours</w:t>
      </w:r>
    </w:p>
    <w:p w:rsidRPr="00601C70" w:rsidR="00601C70" w:rsidP="00601C70" w:rsidRDefault="00601C70" w14:paraId="6C2C9B82" w14:textId="77777777">
      <w:pPr>
        <w:ind w:left="720" w:firstLine="720"/>
        <w:rPr>
          <w:b/>
          <w:bCs/>
        </w:rPr>
      </w:pPr>
    </w:p>
    <w:p w:rsidRPr="00D72A38" w:rsidR="00601C70" w:rsidP="00601C70" w:rsidRDefault="00601C70" w14:paraId="0656B48E" w14:textId="358BDAE6">
      <w:pPr>
        <w:ind w:left="720" w:firstLine="720"/>
        <w:rPr>
          <w:b/>
          <w:bCs/>
        </w:rPr>
      </w:pPr>
      <w:r w:rsidRPr="00D72A38">
        <w:rPr>
          <w:b/>
          <w:bCs/>
        </w:rPr>
        <w:t>Cost:</w:t>
      </w:r>
      <w:r w:rsidRPr="00D72A38">
        <w:rPr>
          <w:b/>
          <w:bCs/>
        </w:rPr>
        <w:tab/>
      </w:r>
      <w:r w:rsidRPr="00D72A38">
        <w:rPr>
          <w:b/>
          <w:bCs/>
        </w:rPr>
        <w:tab/>
      </w:r>
      <w:r w:rsidRPr="00D72A38">
        <w:rPr>
          <w:b/>
          <w:bCs/>
        </w:rPr>
        <w:tab/>
      </w:r>
      <w:r w:rsidR="00F9494F">
        <w:rPr>
          <w:bCs/>
        </w:rPr>
        <w:t>5,169.63</w:t>
      </w:r>
      <w:r w:rsidRPr="00D72A38">
        <w:rPr>
          <w:bCs/>
        </w:rPr>
        <w:t xml:space="preserve"> hours x $</w:t>
      </w:r>
      <w:r w:rsidRPr="00D72A38" w:rsidR="002D34FE">
        <w:rPr>
          <w:bCs/>
        </w:rPr>
        <w:t>36.94</w:t>
      </w:r>
      <w:r w:rsidRPr="00D72A38">
        <w:rPr>
          <w:bCs/>
        </w:rPr>
        <w:t xml:space="preserve"> (</w:t>
      </w:r>
      <w:r w:rsidRPr="00D72A38" w:rsidR="002D34FE">
        <w:rPr>
          <w:bCs/>
        </w:rPr>
        <w:t>IR</w:t>
      </w:r>
      <w:r w:rsidRPr="00D72A38">
        <w:rPr>
          <w:bCs/>
        </w:rPr>
        <w:t xml:space="preserve"> clerk) = $</w:t>
      </w:r>
      <w:r w:rsidR="007C1195">
        <w:rPr>
          <w:bCs/>
        </w:rPr>
        <w:t>190,949.38</w:t>
      </w:r>
    </w:p>
    <w:p w:rsidRPr="00D72A38" w:rsidR="00C05411" w:rsidP="00C05411" w:rsidRDefault="00C05411" w14:paraId="3EED16C3" w14:textId="77777777">
      <w:pPr>
        <w:pStyle w:val="BodyTextFirstIndent"/>
        <w:ind w:left="720" w:firstLine="0"/>
        <w:rPr>
          <w:b/>
        </w:rPr>
      </w:pPr>
    </w:p>
    <w:p w:rsidRPr="00D72A38" w:rsidR="00C05411" w:rsidP="00C05411" w:rsidRDefault="005013A0" w14:paraId="288F14BA" w14:textId="59C9F63D">
      <w:pPr>
        <w:pStyle w:val="NoSpacing"/>
        <w:rPr>
          <w:rFonts w:ascii="Times New Roman" w:hAnsi="Times New Roman" w:cs="Times New Roman"/>
          <w:sz w:val="24"/>
          <w:szCs w:val="24"/>
        </w:rPr>
      </w:pPr>
      <w:r>
        <w:rPr>
          <w:rFonts w:ascii="Times New Roman" w:hAnsi="Times New Roman" w:cs="Times New Roman"/>
          <w:b/>
          <w:sz w:val="24"/>
          <w:szCs w:val="24"/>
        </w:rPr>
        <w:t>6</w:t>
      </w:r>
      <w:r w:rsidRPr="00D72A38" w:rsidR="00C05411">
        <w:rPr>
          <w:rFonts w:ascii="Times New Roman" w:hAnsi="Times New Roman" w:cs="Times New Roman"/>
          <w:b/>
          <w:sz w:val="24"/>
          <w:szCs w:val="24"/>
        </w:rPr>
        <w:t>.   Reporting COVID-19 fatalities and hospitalizations to OSHA</w:t>
      </w:r>
      <w:r w:rsidRPr="00D72A38" w:rsidR="00C05411">
        <w:rPr>
          <w:rFonts w:ascii="Times New Roman" w:hAnsi="Times New Roman" w:cs="Times New Roman"/>
          <w:sz w:val="24"/>
          <w:szCs w:val="24"/>
        </w:rPr>
        <w:t xml:space="preserve">. </w:t>
      </w:r>
    </w:p>
    <w:p w:rsidRPr="00D72A38" w:rsidR="00C05411" w:rsidP="00C05411" w:rsidRDefault="00C05411" w14:paraId="141AEDE7" w14:textId="77777777">
      <w:pPr>
        <w:pStyle w:val="NoSpacing"/>
        <w:rPr>
          <w:rFonts w:ascii="Times New Roman" w:hAnsi="Times New Roman" w:cs="Times New Roman"/>
          <w:sz w:val="24"/>
          <w:szCs w:val="24"/>
        </w:rPr>
      </w:pPr>
    </w:p>
    <w:p w:rsidRPr="00D72A38" w:rsidR="00C05411" w:rsidP="00C05411" w:rsidRDefault="00C05411" w14:paraId="68257196" w14:textId="77777777">
      <w:pPr>
        <w:pStyle w:val="NoSpacing"/>
        <w:ind w:left="720" w:hanging="360"/>
        <w:rPr>
          <w:rFonts w:ascii="Times New Roman" w:hAnsi="Times New Roman" w:cs="Times New Roman"/>
          <w:sz w:val="24"/>
          <w:szCs w:val="24"/>
        </w:rPr>
      </w:pPr>
      <w:r w:rsidRPr="00D72A38">
        <w:rPr>
          <w:rFonts w:ascii="Times New Roman" w:hAnsi="Times New Roman" w:cs="Times New Roman"/>
          <w:b/>
          <w:sz w:val="24"/>
          <w:szCs w:val="24"/>
        </w:rPr>
        <w:t>§1910.502(r)(2)</w:t>
      </w:r>
      <w:r w:rsidRPr="00D72A38">
        <w:rPr>
          <w:rFonts w:ascii="Times New Roman" w:hAnsi="Times New Roman" w:cs="Times New Roman"/>
          <w:sz w:val="24"/>
          <w:szCs w:val="24"/>
        </w:rPr>
        <w:t xml:space="preserve"> </w:t>
      </w:r>
    </w:p>
    <w:p w:rsidRPr="00D72A38" w:rsidR="00C05411" w:rsidP="00C05411" w:rsidRDefault="00C05411" w14:paraId="7F8369F2" w14:textId="77777777">
      <w:pPr>
        <w:pStyle w:val="NoSpacing"/>
        <w:ind w:left="720" w:hanging="360"/>
        <w:rPr>
          <w:rFonts w:ascii="Times New Roman" w:hAnsi="Times New Roman" w:cs="Times New Roman"/>
          <w:sz w:val="24"/>
          <w:szCs w:val="24"/>
        </w:rPr>
      </w:pPr>
    </w:p>
    <w:p w:rsidRPr="00D72A38" w:rsidR="00C05411" w:rsidP="00C05411" w:rsidRDefault="00C05411" w14:paraId="6F845CAD" w14:textId="2F3F7659">
      <w:pPr>
        <w:pStyle w:val="NoSpacing"/>
        <w:ind w:left="360"/>
        <w:rPr>
          <w:rFonts w:ascii="Times New Roman" w:hAnsi="Times New Roman" w:cs="Times New Roman"/>
          <w:sz w:val="24"/>
          <w:szCs w:val="24"/>
        </w:rPr>
      </w:pPr>
      <w:r w:rsidRPr="00D72A38">
        <w:rPr>
          <w:rFonts w:ascii="Times New Roman" w:hAnsi="Times New Roman" w:cs="Times New Roman"/>
          <w:sz w:val="24"/>
          <w:szCs w:val="24"/>
        </w:rPr>
        <w:t>The employer must repor</w:t>
      </w:r>
      <w:r w:rsidRPr="00803E8E">
        <w:rPr>
          <w:rFonts w:ascii="Times New Roman" w:hAnsi="Times New Roman" w:cs="Times New Roman"/>
          <w:sz w:val="24"/>
          <w:szCs w:val="24"/>
        </w:rPr>
        <w:t>t</w:t>
      </w:r>
      <w:r w:rsidRPr="00803E8E" w:rsidR="00803E8E">
        <w:rPr>
          <w:rFonts w:ascii="Times New Roman" w:hAnsi="Times New Roman" w:cs="Times New Roman"/>
          <w:sz w:val="24"/>
          <w:szCs w:val="24"/>
        </w:rPr>
        <w:t xml:space="preserve"> to OSHA</w:t>
      </w:r>
      <w:r w:rsidRPr="00803E8E">
        <w:rPr>
          <w:rFonts w:ascii="Times New Roman" w:hAnsi="Times New Roman" w:cs="Times New Roman"/>
          <w:sz w:val="24"/>
          <w:szCs w:val="24"/>
        </w:rPr>
        <w:t xml:space="preserve">: (i) </w:t>
      </w:r>
      <w:r w:rsidRPr="00803E8E" w:rsidR="00A01624">
        <w:rPr>
          <w:rFonts w:ascii="Times New Roman" w:hAnsi="Times New Roman" w:cs="Times New Roman"/>
          <w:sz w:val="24"/>
          <w:szCs w:val="24"/>
        </w:rPr>
        <w:t>e</w:t>
      </w:r>
      <w:r w:rsidRPr="00D95076">
        <w:rPr>
          <w:rFonts w:ascii="Times New Roman" w:hAnsi="Times New Roman" w:cs="Times New Roman"/>
          <w:sz w:val="24"/>
          <w:szCs w:val="24"/>
        </w:rPr>
        <w:t xml:space="preserve">ach </w:t>
      </w:r>
      <w:r w:rsidR="00DC5497">
        <w:rPr>
          <w:rFonts w:ascii="Times New Roman" w:hAnsi="Times New Roman" w:cs="Times New Roman"/>
          <w:sz w:val="24"/>
          <w:szCs w:val="24"/>
        </w:rPr>
        <w:t>work</w:t>
      </w:r>
      <w:r w:rsidR="00444090">
        <w:rPr>
          <w:rFonts w:ascii="Times New Roman" w:hAnsi="Times New Roman" w:cs="Times New Roman"/>
          <w:sz w:val="24"/>
          <w:szCs w:val="24"/>
        </w:rPr>
        <w:t>-</w:t>
      </w:r>
      <w:r w:rsidR="00DC5497">
        <w:rPr>
          <w:rFonts w:ascii="Times New Roman" w:hAnsi="Times New Roman" w:cs="Times New Roman"/>
          <w:sz w:val="24"/>
          <w:szCs w:val="24"/>
        </w:rPr>
        <w:t xml:space="preserve">related </w:t>
      </w:r>
      <w:r w:rsidRPr="00313268" w:rsidR="00803E8E">
        <w:rPr>
          <w:rFonts w:ascii="Times New Roman" w:hAnsi="Times New Roman" w:cs="Times New Roman"/>
          <w:sz w:val="24"/>
          <w:szCs w:val="24"/>
        </w:rPr>
        <w:t xml:space="preserve">COVID-19 fatality </w:t>
      </w:r>
      <w:r w:rsidRPr="00803E8E">
        <w:rPr>
          <w:rFonts w:ascii="Times New Roman" w:hAnsi="Times New Roman" w:cs="Times New Roman"/>
          <w:sz w:val="24"/>
          <w:szCs w:val="24"/>
        </w:rPr>
        <w:t>within 8 hours of the employer lea</w:t>
      </w:r>
      <w:r w:rsidRPr="00D72A38">
        <w:rPr>
          <w:rFonts w:ascii="Times New Roman" w:hAnsi="Times New Roman" w:cs="Times New Roman"/>
          <w:sz w:val="24"/>
          <w:szCs w:val="24"/>
        </w:rPr>
        <w:t>rning about the fatality</w:t>
      </w:r>
      <w:r w:rsidRPr="00D72A38" w:rsidR="00A01624">
        <w:rPr>
          <w:rFonts w:ascii="Times New Roman" w:hAnsi="Times New Roman" w:cs="Times New Roman"/>
          <w:sz w:val="24"/>
          <w:szCs w:val="24"/>
        </w:rPr>
        <w:t>, and</w:t>
      </w:r>
      <w:r w:rsidRPr="00D72A38">
        <w:rPr>
          <w:rFonts w:ascii="Times New Roman" w:hAnsi="Times New Roman" w:cs="Times New Roman"/>
          <w:sz w:val="24"/>
          <w:szCs w:val="24"/>
        </w:rPr>
        <w:t xml:space="preserve"> (ii) </w:t>
      </w:r>
      <w:r w:rsidRPr="00D72A38" w:rsidR="00A01624">
        <w:rPr>
          <w:rFonts w:ascii="Times New Roman" w:hAnsi="Times New Roman" w:cs="Times New Roman"/>
          <w:sz w:val="24"/>
          <w:szCs w:val="24"/>
        </w:rPr>
        <w:t>e</w:t>
      </w:r>
      <w:r w:rsidRPr="00D72A38">
        <w:rPr>
          <w:rFonts w:ascii="Times New Roman" w:hAnsi="Times New Roman" w:cs="Times New Roman"/>
          <w:sz w:val="24"/>
          <w:szCs w:val="24"/>
        </w:rPr>
        <w:t>ach</w:t>
      </w:r>
      <w:r w:rsidRPr="00803E8E">
        <w:rPr>
          <w:rFonts w:ascii="Times New Roman" w:hAnsi="Times New Roman" w:cs="Times New Roman"/>
          <w:sz w:val="24"/>
          <w:szCs w:val="24"/>
        </w:rPr>
        <w:t xml:space="preserve"> </w:t>
      </w:r>
      <w:r w:rsidR="00DC5497">
        <w:rPr>
          <w:rFonts w:ascii="Times New Roman" w:hAnsi="Times New Roman" w:cs="Times New Roman"/>
          <w:sz w:val="24"/>
          <w:szCs w:val="24"/>
        </w:rPr>
        <w:t xml:space="preserve">work-related </w:t>
      </w:r>
      <w:r w:rsidRPr="00313268" w:rsidR="00803E8E">
        <w:rPr>
          <w:rFonts w:ascii="Times New Roman" w:hAnsi="Times New Roman" w:cs="Times New Roman"/>
          <w:sz w:val="24"/>
          <w:szCs w:val="24"/>
        </w:rPr>
        <w:t xml:space="preserve">COVID-19 in-patient hospitalization </w:t>
      </w:r>
      <w:r w:rsidRPr="00803E8E">
        <w:rPr>
          <w:rFonts w:ascii="Times New Roman" w:hAnsi="Times New Roman" w:cs="Times New Roman"/>
          <w:sz w:val="24"/>
          <w:szCs w:val="24"/>
        </w:rPr>
        <w:t xml:space="preserve">within </w:t>
      </w:r>
      <w:r w:rsidRPr="00D72A38">
        <w:rPr>
          <w:rFonts w:ascii="Times New Roman" w:hAnsi="Times New Roman" w:cs="Times New Roman"/>
          <w:sz w:val="24"/>
          <w:szCs w:val="24"/>
        </w:rPr>
        <w:t>24 hours of the employer learning about the in-patient hospitalization.</w:t>
      </w:r>
    </w:p>
    <w:p w:rsidRPr="00D72A38" w:rsidR="00C05411" w:rsidP="00C05411" w:rsidRDefault="00C05411" w14:paraId="43E44B1D" w14:textId="77777777">
      <w:pPr>
        <w:ind w:left="360"/>
        <w:rPr>
          <w:bCs/>
        </w:rPr>
      </w:pPr>
    </w:p>
    <w:p w:rsidRPr="00D72A38" w:rsidR="00641571" w:rsidP="00C05411" w:rsidRDefault="00C05411" w14:paraId="4ABE358C" w14:textId="3F6153C7">
      <w:pPr>
        <w:ind w:left="360"/>
      </w:pPr>
      <w:r w:rsidRPr="00D72A38">
        <w:rPr>
          <w:lang w:val="x-none"/>
        </w:rPr>
        <w:t xml:space="preserve">OSHA </w:t>
      </w:r>
      <w:r w:rsidRPr="00D72A38" w:rsidR="00A01624">
        <w:t>estimates</w:t>
      </w:r>
      <w:r w:rsidRPr="00D72A38" w:rsidR="00A01624">
        <w:rPr>
          <w:lang w:val="x-none"/>
        </w:rPr>
        <w:t xml:space="preserve"> </w:t>
      </w:r>
      <w:r w:rsidRPr="00D72A38">
        <w:t xml:space="preserve">it </w:t>
      </w:r>
      <w:r w:rsidRPr="00D72A38">
        <w:rPr>
          <w:lang w:val="x-none"/>
        </w:rPr>
        <w:t>take</w:t>
      </w:r>
      <w:r w:rsidRPr="00D72A38">
        <w:t>s</w:t>
      </w:r>
      <w:r w:rsidRPr="00D72A38">
        <w:rPr>
          <w:lang w:val="x-none"/>
        </w:rPr>
        <w:t xml:space="preserve"> </w:t>
      </w:r>
      <w:r w:rsidRPr="00D72A38">
        <w:t>20</w:t>
      </w:r>
      <w:r w:rsidRPr="00D72A38">
        <w:rPr>
          <w:lang w:val="x-none"/>
        </w:rPr>
        <w:t xml:space="preserve"> minutes (0.</w:t>
      </w:r>
      <w:r w:rsidRPr="00D72A38">
        <w:t>33</w:t>
      </w:r>
      <w:r w:rsidRPr="00D72A38">
        <w:rPr>
          <w:lang w:val="x-none"/>
        </w:rPr>
        <w:t xml:space="preserve"> hours) of </w:t>
      </w:r>
      <w:r w:rsidRPr="007F7CFB" w:rsidR="001B0FE5">
        <w:t>GO manager time at $88.16</w:t>
      </w:r>
      <w:r w:rsidRPr="00D72A38">
        <w:rPr>
          <w:lang w:val="x-none"/>
        </w:rPr>
        <w:t xml:space="preserve"> to </w:t>
      </w:r>
      <w:r w:rsidRPr="00D72A38">
        <w:t>report the fatality or hospitalization to the agency</w:t>
      </w:r>
      <w:r w:rsidRPr="00D72A38">
        <w:rPr>
          <w:lang w:val="x-none"/>
        </w:rPr>
        <w:t>.</w:t>
      </w:r>
      <w:r w:rsidRPr="00D72A38">
        <w:t xml:space="preserve"> </w:t>
      </w:r>
      <w:r w:rsidRPr="00D72A38" w:rsidR="00641571">
        <w:t xml:space="preserve">OSHA estimates that </w:t>
      </w:r>
      <w:r w:rsidR="00905DCF">
        <w:t>0.00</w:t>
      </w:r>
      <w:r w:rsidR="004C3FA5">
        <w:t>10</w:t>
      </w:r>
      <w:r w:rsidRPr="00D72A38" w:rsidR="00641571">
        <w:t xml:space="preserve"> percent of covered employees will be affected.</w:t>
      </w:r>
    </w:p>
    <w:p w:rsidRPr="00D72A38" w:rsidR="00641571" w:rsidP="00C05411" w:rsidRDefault="00641571" w14:paraId="0F8EE7A2" w14:textId="77777777">
      <w:pPr>
        <w:ind w:left="360"/>
      </w:pPr>
    </w:p>
    <w:p w:rsidRPr="00D72A38" w:rsidR="00641571" w:rsidP="00641571" w:rsidRDefault="00641571" w14:paraId="16409B28" w14:textId="77777777">
      <w:pPr>
        <w:ind w:left="360"/>
      </w:pPr>
      <w:r w:rsidRPr="00D72A38">
        <w:t>Large establishments:</w:t>
      </w:r>
    </w:p>
    <w:p w:rsidRPr="00D72A38" w:rsidR="00641571" w:rsidP="00641571" w:rsidRDefault="00641571" w14:paraId="478D0D25" w14:textId="77777777">
      <w:pPr>
        <w:ind w:left="360"/>
      </w:pPr>
    </w:p>
    <w:p w:rsidRPr="00D72A38" w:rsidR="00641571" w:rsidP="00641571" w:rsidRDefault="00641571" w14:paraId="093E2674" w14:textId="60F1EB82">
      <w:pPr>
        <w:ind w:left="360"/>
      </w:pPr>
      <w:r w:rsidRPr="00D72A38">
        <w:t xml:space="preserve">The agency estimates that large establishments will have to report </w:t>
      </w:r>
      <w:r w:rsidR="004C3FA5">
        <w:t>33</w:t>
      </w:r>
      <w:r w:rsidRPr="00D72A38">
        <w:t xml:space="preserve"> cases </w:t>
      </w:r>
      <w:r w:rsidRPr="00D72A38">
        <w:rPr>
          <w:bCs/>
        </w:rPr>
        <w:t>(</w:t>
      </w:r>
      <w:r w:rsidR="00080D85">
        <w:rPr>
          <w:bCs/>
        </w:rPr>
        <w:t>3,300,919</w:t>
      </w:r>
      <w:r w:rsidRPr="00D72A38">
        <w:rPr>
          <w:bCs/>
        </w:rPr>
        <w:t xml:space="preserve"> covered employees x 0.0</w:t>
      </w:r>
      <w:r w:rsidR="00905DCF">
        <w:rPr>
          <w:bCs/>
        </w:rPr>
        <w:t>000</w:t>
      </w:r>
      <w:r w:rsidR="004C3FA5">
        <w:rPr>
          <w:bCs/>
        </w:rPr>
        <w:t>1</w:t>
      </w:r>
      <w:r w:rsidRPr="00D72A38">
        <w:rPr>
          <w:bCs/>
        </w:rPr>
        <w:t xml:space="preserve"> = </w:t>
      </w:r>
      <w:r w:rsidR="004C3FA5">
        <w:rPr>
          <w:bCs/>
        </w:rPr>
        <w:t>33</w:t>
      </w:r>
      <w:r w:rsidRPr="00D72A38">
        <w:rPr>
          <w:bCs/>
        </w:rPr>
        <w:t xml:space="preserve">). </w:t>
      </w:r>
      <w:r w:rsidRPr="00D72A38">
        <w:t>Baseline non-compliance is 25 percent for large establishments.</w:t>
      </w:r>
    </w:p>
    <w:p w:rsidRPr="00D72A38" w:rsidR="00641571" w:rsidP="00641571" w:rsidRDefault="00641571" w14:paraId="3055D3BC" w14:textId="77777777">
      <w:pPr>
        <w:autoSpaceDE/>
        <w:autoSpaceDN/>
        <w:ind w:left="360"/>
        <w:rPr>
          <w:rFonts w:eastAsiaTheme="minorHAnsi"/>
          <w:lang w:eastAsia="en-US"/>
        </w:rPr>
      </w:pPr>
    </w:p>
    <w:p w:rsidRPr="00D72A38" w:rsidR="00641571" w:rsidP="00905DCF" w:rsidRDefault="00641571" w14:paraId="67A8917C" w14:textId="3055CFC7">
      <w:pPr>
        <w:ind w:left="3600" w:hanging="2160"/>
        <w:rPr>
          <w:b/>
          <w:bCs/>
        </w:rPr>
      </w:pPr>
      <w:r w:rsidRPr="00D72A38">
        <w:rPr>
          <w:b/>
          <w:bCs/>
        </w:rPr>
        <w:t>Burden Hours:</w:t>
      </w:r>
      <w:r w:rsidRPr="00D72A38">
        <w:rPr>
          <w:b/>
          <w:bCs/>
        </w:rPr>
        <w:tab/>
      </w:r>
      <w:r w:rsidR="004C3FA5">
        <w:rPr>
          <w:bCs/>
        </w:rPr>
        <w:t>33</w:t>
      </w:r>
      <w:r w:rsidRPr="00D72A38">
        <w:rPr>
          <w:bCs/>
        </w:rPr>
        <w:t xml:space="preserve"> cases reported x 0.25 (non-compliance) x 0.33 hours = </w:t>
      </w:r>
      <w:r w:rsidR="00C06C62">
        <w:rPr>
          <w:bCs/>
        </w:rPr>
        <w:t>2.72</w:t>
      </w:r>
      <w:r w:rsidRPr="00D72A38">
        <w:rPr>
          <w:bCs/>
        </w:rPr>
        <w:t xml:space="preserve"> hours</w:t>
      </w:r>
    </w:p>
    <w:p w:rsidRPr="00D72A38" w:rsidR="00641571" w:rsidP="00641571" w:rsidRDefault="00641571" w14:paraId="48E2391C" w14:textId="77777777">
      <w:pPr>
        <w:ind w:left="720" w:firstLine="720"/>
        <w:rPr>
          <w:b/>
          <w:bCs/>
        </w:rPr>
      </w:pPr>
    </w:p>
    <w:p w:rsidRPr="00D72A38" w:rsidR="00641571" w:rsidP="00641571" w:rsidRDefault="00641571" w14:paraId="3A955A77" w14:textId="393343DD">
      <w:pPr>
        <w:ind w:left="720" w:firstLine="720"/>
      </w:pPr>
      <w:r w:rsidRPr="00D72A38">
        <w:rPr>
          <w:b/>
          <w:bCs/>
        </w:rPr>
        <w:t>Cost:</w:t>
      </w:r>
      <w:r w:rsidRPr="00D72A38">
        <w:rPr>
          <w:b/>
          <w:bCs/>
        </w:rPr>
        <w:tab/>
      </w:r>
      <w:r w:rsidRPr="00D72A38">
        <w:rPr>
          <w:b/>
          <w:bCs/>
        </w:rPr>
        <w:tab/>
      </w:r>
      <w:r w:rsidRPr="00D72A38">
        <w:rPr>
          <w:b/>
          <w:bCs/>
        </w:rPr>
        <w:tab/>
      </w:r>
      <w:r w:rsidR="00C06C62">
        <w:rPr>
          <w:bCs/>
        </w:rPr>
        <w:t>2.72</w:t>
      </w:r>
      <w:r w:rsidRPr="00D72A38">
        <w:rPr>
          <w:bCs/>
        </w:rPr>
        <w:t xml:space="preserve"> hours x $</w:t>
      </w:r>
      <w:r w:rsidR="001B0FE5">
        <w:rPr>
          <w:bCs/>
        </w:rPr>
        <w:t>88.16</w:t>
      </w:r>
      <w:r w:rsidRPr="00D72A38">
        <w:rPr>
          <w:bCs/>
        </w:rPr>
        <w:t xml:space="preserve"> (</w:t>
      </w:r>
      <w:r w:rsidR="001B0FE5">
        <w:rPr>
          <w:bCs/>
        </w:rPr>
        <w:t>GO manager</w:t>
      </w:r>
      <w:r w:rsidRPr="00D72A38">
        <w:rPr>
          <w:bCs/>
        </w:rPr>
        <w:t>) = $</w:t>
      </w:r>
      <w:r w:rsidR="007C1195">
        <w:rPr>
          <w:bCs/>
        </w:rPr>
        <w:t>240.08</w:t>
      </w:r>
    </w:p>
    <w:p w:rsidR="008078A1" w:rsidP="00641571" w:rsidRDefault="008078A1" w14:paraId="71B0A8BD" w14:textId="77777777">
      <w:pPr>
        <w:ind w:left="360"/>
      </w:pPr>
    </w:p>
    <w:p w:rsidRPr="00D72A38" w:rsidR="00641571" w:rsidP="00641571" w:rsidRDefault="00641571" w14:paraId="0EBC4E1E" w14:textId="32F4BAD7">
      <w:pPr>
        <w:ind w:left="360"/>
      </w:pPr>
      <w:r w:rsidRPr="00D72A38">
        <w:t>SBA-defined small establishments:</w:t>
      </w:r>
    </w:p>
    <w:p w:rsidRPr="00D72A38" w:rsidR="00641571" w:rsidP="00641571" w:rsidRDefault="00641571" w14:paraId="690D81EE" w14:textId="77777777">
      <w:pPr>
        <w:ind w:left="360"/>
      </w:pPr>
    </w:p>
    <w:p w:rsidRPr="00D72A38" w:rsidR="00641571" w:rsidP="00641571" w:rsidRDefault="00641571" w14:paraId="4C2475D8" w14:textId="06B3FBD5">
      <w:pPr>
        <w:ind w:left="360"/>
      </w:pPr>
      <w:r w:rsidRPr="00D72A38">
        <w:t xml:space="preserve">The agency estimates that SBA-defined small establishments will have to report </w:t>
      </w:r>
      <w:r w:rsidR="004C3FA5">
        <w:t>58</w:t>
      </w:r>
      <w:r w:rsidRPr="00D72A38">
        <w:t xml:space="preserve"> cases </w:t>
      </w:r>
      <w:r w:rsidRPr="00D72A38">
        <w:rPr>
          <w:bCs/>
        </w:rPr>
        <w:t>(</w:t>
      </w:r>
      <w:r w:rsidR="00B06697">
        <w:rPr>
          <w:bCs/>
        </w:rPr>
        <w:t>5,799,312</w:t>
      </w:r>
      <w:r w:rsidRPr="00D72A38">
        <w:rPr>
          <w:bCs/>
        </w:rPr>
        <w:t xml:space="preserve"> covered employees x 0.000</w:t>
      </w:r>
      <w:r w:rsidR="00905DCF">
        <w:rPr>
          <w:bCs/>
        </w:rPr>
        <w:t>0</w:t>
      </w:r>
      <w:r w:rsidR="004C3FA5">
        <w:rPr>
          <w:bCs/>
        </w:rPr>
        <w:t>1</w:t>
      </w:r>
      <w:r w:rsidRPr="00D72A38">
        <w:rPr>
          <w:bCs/>
        </w:rPr>
        <w:t xml:space="preserve"> = </w:t>
      </w:r>
      <w:r w:rsidR="004C3FA5">
        <w:rPr>
          <w:bCs/>
        </w:rPr>
        <w:t>58</w:t>
      </w:r>
      <w:r w:rsidRPr="00D72A38">
        <w:rPr>
          <w:bCs/>
        </w:rPr>
        <w:t xml:space="preserve">). </w:t>
      </w:r>
      <w:r w:rsidRPr="00D72A38">
        <w:t>Baseline non-compliance is 25 percent for SBA-defined small establishments.</w:t>
      </w:r>
    </w:p>
    <w:p w:rsidRPr="00D72A38" w:rsidR="00641571" w:rsidP="00641571" w:rsidRDefault="00641571" w14:paraId="631BEDA6" w14:textId="77777777">
      <w:pPr>
        <w:ind w:left="360"/>
        <w:rPr>
          <w:bCs/>
        </w:rPr>
      </w:pPr>
    </w:p>
    <w:p w:rsidRPr="00D72A38" w:rsidR="00641571" w:rsidP="00641571" w:rsidRDefault="00641571" w14:paraId="4178F40A" w14:textId="58C2CAE1">
      <w:pPr>
        <w:ind w:left="3600" w:hanging="2160"/>
        <w:rPr>
          <w:b/>
          <w:bCs/>
        </w:rPr>
      </w:pPr>
      <w:r w:rsidRPr="00D72A38">
        <w:rPr>
          <w:b/>
          <w:bCs/>
        </w:rPr>
        <w:t>Burden Hours:</w:t>
      </w:r>
      <w:r w:rsidRPr="00D72A38">
        <w:rPr>
          <w:b/>
          <w:bCs/>
        </w:rPr>
        <w:tab/>
      </w:r>
      <w:r w:rsidR="004C3FA5">
        <w:rPr>
          <w:bCs/>
        </w:rPr>
        <w:t>58</w:t>
      </w:r>
      <w:r w:rsidRPr="00D72A38">
        <w:rPr>
          <w:bCs/>
        </w:rPr>
        <w:t xml:space="preserve"> cases reported x 0.25 (non-compliance) x 0.33 hours = </w:t>
      </w:r>
      <w:r w:rsidR="00C06C62">
        <w:rPr>
          <w:bCs/>
        </w:rPr>
        <w:t>4.78</w:t>
      </w:r>
      <w:r w:rsidRPr="00D72A38">
        <w:rPr>
          <w:bCs/>
        </w:rPr>
        <w:t xml:space="preserve"> hours</w:t>
      </w:r>
    </w:p>
    <w:p w:rsidRPr="00D72A38" w:rsidR="00641571" w:rsidP="00641571" w:rsidRDefault="00641571" w14:paraId="5836EB57" w14:textId="77777777">
      <w:pPr>
        <w:ind w:left="720" w:firstLine="720"/>
        <w:rPr>
          <w:b/>
          <w:bCs/>
        </w:rPr>
      </w:pPr>
    </w:p>
    <w:p w:rsidRPr="00641571" w:rsidR="00641571" w:rsidP="00FC64EF" w:rsidRDefault="00641571" w14:paraId="4DEF3BED" w14:textId="20DAA7A8">
      <w:pPr>
        <w:ind w:left="3600" w:hanging="2160"/>
        <w:rPr>
          <w:bCs/>
        </w:rPr>
      </w:pPr>
      <w:r w:rsidRPr="00D72A38">
        <w:rPr>
          <w:b/>
          <w:bCs/>
        </w:rPr>
        <w:t>Cost:</w:t>
      </w:r>
      <w:r w:rsidRPr="00D72A38">
        <w:rPr>
          <w:b/>
          <w:bCs/>
        </w:rPr>
        <w:tab/>
      </w:r>
      <w:r w:rsidR="00C06C62">
        <w:rPr>
          <w:bCs/>
        </w:rPr>
        <w:t>4.78</w:t>
      </w:r>
      <w:r w:rsidRPr="00D72A38">
        <w:rPr>
          <w:bCs/>
        </w:rPr>
        <w:t xml:space="preserve"> hours x $</w:t>
      </w:r>
      <w:r w:rsidR="001B0FE5">
        <w:rPr>
          <w:bCs/>
        </w:rPr>
        <w:t>88.16</w:t>
      </w:r>
      <w:r w:rsidRPr="00D72A38">
        <w:rPr>
          <w:bCs/>
        </w:rPr>
        <w:t xml:space="preserve"> (</w:t>
      </w:r>
      <w:r w:rsidR="001B0FE5">
        <w:rPr>
          <w:bCs/>
        </w:rPr>
        <w:t>GO manager</w:t>
      </w:r>
      <w:r w:rsidRPr="00D72A38">
        <w:rPr>
          <w:bCs/>
        </w:rPr>
        <w:t>) = $</w:t>
      </w:r>
      <w:r w:rsidR="007C1195">
        <w:rPr>
          <w:bCs/>
        </w:rPr>
        <w:t>421.80</w:t>
      </w:r>
    </w:p>
    <w:p w:rsidRPr="00641571" w:rsidR="00641571" w:rsidP="00641571" w:rsidRDefault="00641571" w14:paraId="6DDACC56" w14:textId="77777777">
      <w:pPr>
        <w:ind w:left="720" w:firstLine="720"/>
        <w:rPr>
          <w:bCs/>
        </w:rPr>
      </w:pPr>
    </w:p>
    <w:p w:rsidRPr="00641571" w:rsidR="00641571" w:rsidP="00641571" w:rsidRDefault="00641571" w14:paraId="7DDDE5E4" w14:textId="77777777">
      <w:pPr>
        <w:ind w:left="360"/>
      </w:pPr>
      <w:r w:rsidRPr="00641571">
        <w:t>Very small establishments:</w:t>
      </w:r>
    </w:p>
    <w:p w:rsidRPr="00641571" w:rsidR="00641571" w:rsidP="00641571" w:rsidRDefault="00641571" w14:paraId="44C95656" w14:textId="77777777">
      <w:pPr>
        <w:ind w:left="360"/>
      </w:pPr>
    </w:p>
    <w:p w:rsidRPr="00641571" w:rsidR="00641571" w:rsidP="00641571" w:rsidRDefault="00641571" w14:paraId="15F32757" w14:textId="00474B8D">
      <w:pPr>
        <w:ind w:left="360"/>
        <w:rPr>
          <w:bCs/>
        </w:rPr>
      </w:pPr>
      <w:r w:rsidRPr="00641571">
        <w:t xml:space="preserve">The agency estimates that </w:t>
      </w:r>
      <w:r>
        <w:t>very</w:t>
      </w:r>
      <w:r w:rsidRPr="00641571">
        <w:t xml:space="preserve"> small establishments will have to report </w:t>
      </w:r>
      <w:r w:rsidR="004C3FA5">
        <w:t>12</w:t>
      </w:r>
      <w:r w:rsidRPr="00641571">
        <w:t xml:space="preserve"> cases </w:t>
      </w:r>
      <w:r w:rsidRPr="00641571">
        <w:rPr>
          <w:bCs/>
        </w:rPr>
        <w:t>(</w:t>
      </w:r>
      <w:r w:rsidR="0055074B">
        <w:rPr>
          <w:bCs/>
        </w:rPr>
        <w:t>1,238,122</w:t>
      </w:r>
      <w:r w:rsidRPr="00641571">
        <w:rPr>
          <w:bCs/>
        </w:rPr>
        <w:t xml:space="preserve"> covered employees x 0.000</w:t>
      </w:r>
      <w:r w:rsidR="004C3FA5">
        <w:rPr>
          <w:bCs/>
        </w:rPr>
        <w:t>01</w:t>
      </w:r>
      <w:r w:rsidRPr="00641571">
        <w:rPr>
          <w:bCs/>
        </w:rPr>
        <w:t xml:space="preserve"> = </w:t>
      </w:r>
      <w:r w:rsidR="004C3FA5">
        <w:rPr>
          <w:bCs/>
        </w:rPr>
        <w:t>12</w:t>
      </w:r>
      <w:r w:rsidRPr="00641571">
        <w:rPr>
          <w:bCs/>
        </w:rPr>
        <w:t xml:space="preserve">). </w:t>
      </w:r>
      <w:r w:rsidRPr="00641571">
        <w:t xml:space="preserve">Baseline non-compliance is </w:t>
      </w:r>
      <w:r>
        <w:t>50</w:t>
      </w:r>
      <w:r w:rsidRPr="00641571">
        <w:t xml:space="preserve"> percent for </w:t>
      </w:r>
      <w:r>
        <w:t xml:space="preserve">very small </w:t>
      </w:r>
      <w:r w:rsidRPr="00641571">
        <w:t>establishments.</w:t>
      </w:r>
    </w:p>
    <w:p w:rsidRPr="00641571" w:rsidR="00641571" w:rsidP="00641571" w:rsidRDefault="00641571" w14:paraId="59F177B8" w14:textId="77777777">
      <w:pPr>
        <w:ind w:left="360"/>
        <w:rPr>
          <w:bCs/>
        </w:rPr>
      </w:pPr>
    </w:p>
    <w:p w:rsidRPr="00641571" w:rsidR="00641571" w:rsidP="00641571" w:rsidRDefault="00641571" w14:paraId="2C38E263" w14:textId="590574B9">
      <w:pPr>
        <w:ind w:left="3600" w:hanging="2160"/>
        <w:rPr>
          <w:b/>
          <w:bCs/>
        </w:rPr>
      </w:pPr>
      <w:r w:rsidRPr="00641571">
        <w:rPr>
          <w:b/>
          <w:bCs/>
        </w:rPr>
        <w:t>Burden Hours:</w:t>
      </w:r>
      <w:r w:rsidRPr="00641571">
        <w:rPr>
          <w:b/>
          <w:bCs/>
        </w:rPr>
        <w:tab/>
      </w:r>
      <w:r w:rsidR="004C3FA5">
        <w:rPr>
          <w:bCs/>
        </w:rPr>
        <w:t>12</w:t>
      </w:r>
      <w:r w:rsidRPr="00641571">
        <w:rPr>
          <w:bCs/>
        </w:rPr>
        <w:t xml:space="preserve"> cases reported x 0.50 (non-compliance) x 0.33 hours = </w:t>
      </w:r>
      <w:r w:rsidR="00C06C62">
        <w:rPr>
          <w:bCs/>
        </w:rPr>
        <w:t>2.04</w:t>
      </w:r>
      <w:r w:rsidRPr="00641571">
        <w:rPr>
          <w:bCs/>
        </w:rPr>
        <w:t xml:space="preserve"> hours</w:t>
      </w:r>
    </w:p>
    <w:p w:rsidRPr="00641571" w:rsidR="00641571" w:rsidP="00641571" w:rsidRDefault="00641571" w14:paraId="1D51C922" w14:textId="77777777">
      <w:pPr>
        <w:ind w:left="720" w:firstLine="720"/>
        <w:rPr>
          <w:b/>
          <w:bCs/>
        </w:rPr>
      </w:pPr>
    </w:p>
    <w:p w:rsidRPr="00641571" w:rsidR="00641571" w:rsidP="00641571" w:rsidRDefault="00641571" w14:paraId="1248DDF2" w14:textId="4D2F7713">
      <w:pPr>
        <w:ind w:left="720" w:firstLine="720"/>
        <w:rPr>
          <w:bCs/>
        </w:rPr>
      </w:pPr>
      <w:r w:rsidRPr="00641571">
        <w:rPr>
          <w:b/>
          <w:bCs/>
        </w:rPr>
        <w:t>Cost:</w:t>
      </w:r>
      <w:r w:rsidRPr="00641571">
        <w:rPr>
          <w:b/>
          <w:bCs/>
        </w:rPr>
        <w:tab/>
      </w:r>
      <w:r w:rsidRPr="00641571">
        <w:rPr>
          <w:b/>
          <w:bCs/>
        </w:rPr>
        <w:tab/>
      </w:r>
      <w:r w:rsidRPr="00641571">
        <w:rPr>
          <w:b/>
          <w:bCs/>
        </w:rPr>
        <w:tab/>
      </w:r>
      <w:r w:rsidR="00C06C62">
        <w:rPr>
          <w:bCs/>
        </w:rPr>
        <w:t>2.04</w:t>
      </w:r>
      <w:r w:rsidRPr="00D72A38">
        <w:rPr>
          <w:bCs/>
        </w:rPr>
        <w:t xml:space="preserve"> hours x $</w:t>
      </w:r>
      <w:r w:rsidR="001B0FE5">
        <w:rPr>
          <w:bCs/>
        </w:rPr>
        <w:t>88.16</w:t>
      </w:r>
      <w:r w:rsidRPr="00D72A38">
        <w:rPr>
          <w:bCs/>
        </w:rPr>
        <w:t xml:space="preserve"> (</w:t>
      </w:r>
      <w:r w:rsidR="001B0FE5">
        <w:rPr>
          <w:bCs/>
        </w:rPr>
        <w:t>GO manager</w:t>
      </w:r>
      <w:r w:rsidRPr="00D72A38">
        <w:rPr>
          <w:bCs/>
        </w:rPr>
        <w:t>) = $</w:t>
      </w:r>
      <w:r w:rsidR="007C1195">
        <w:rPr>
          <w:bCs/>
        </w:rPr>
        <w:t>180.10</w:t>
      </w:r>
    </w:p>
    <w:p w:rsidR="00193225" w:rsidP="00193225" w:rsidRDefault="00193225" w14:paraId="56F4F07B" w14:textId="7EBCDD91">
      <w:pPr>
        <w:ind w:left="720" w:firstLine="720"/>
        <w:rPr>
          <w:bCs/>
        </w:rPr>
      </w:pPr>
    </w:p>
    <w:p w:rsidRPr="008078A1" w:rsidR="0046649C" w:rsidP="0046649C" w:rsidRDefault="0046649C" w14:paraId="41348A35" w14:textId="4F5F3CA6">
      <w:pPr>
        <w:rPr>
          <w:rFonts w:eastAsia="Arial Unicode MS"/>
          <w:b/>
          <w:color w:val="000000"/>
        </w:rPr>
        <w:sectPr w:rsidRPr="008078A1" w:rsidR="0046649C" w:rsidSect="003F2E8F">
          <w:pgSz w:w="12240" w:h="15840"/>
          <w:pgMar w:top="1440" w:right="1440" w:bottom="1440" w:left="1440" w:header="720" w:footer="720" w:gutter="0"/>
          <w:cols w:space="720"/>
          <w:docGrid w:linePitch="360"/>
        </w:sectPr>
      </w:pPr>
    </w:p>
    <w:p w:rsidR="00C05411" w:rsidP="00C05411" w:rsidRDefault="00C05411" w14:paraId="508DF0B1" w14:textId="193AF8CC">
      <w:pPr>
        <w:spacing w:line="480" w:lineRule="auto"/>
        <w:outlineLvl w:val="4"/>
        <w:rPr>
          <w:rFonts w:eastAsia="Arial Unicode MS"/>
          <w:color w:val="000000"/>
        </w:rPr>
      </w:pPr>
    </w:p>
    <w:tbl>
      <w:tblPr>
        <w:tblW w:w="14321" w:type="dxa"/>
        <w:tblLayout w:type="fixed"/>
        <w:tblLook w:val="04A0" w:firstRow="1" w:lastRow="0" w:firstColumn="1" w:lastColumn="0" w:noHBand="0" w:noVBand="1"/>
      </w:tblPr>
      <w:tblGrid>
        <w:gridCol w:w="1620"/>
        <w:gridCol w:w="1260"/>
        <w:gridCol w:w="1440"/>
        <w:gridCol w:w="1404"/>
        <w:gridCol w:w="1170"/>
        <w:gridCol w:w="1223"/>
        <w:gridCol w:w="1080"/>
        <w:gridCol w:w="1440"/>
        <w:gridCol w:w="937"/>
        <w:gridCol w:w="1607"/>
        <w:gridCol w:w="1140"/>
      </w:tblGrid>
      <w:tr w:rsidRPr="00AE701A" w:rsidR="00091560" w:rsidTr="008078A1" w14:paraId="4CDD3649" w14:textId="77777777">
        <w:trPr>
          <w:trHeight w:val="310"/>
          <w:tblHeader/>
        </w:trPr>
        <w:tc>
          <w:tcPr>
            <w:tcW w:w="14321" w:type="dxa"/>
            <w:gridSpan w:val="11"/>
            <w:tcBorders>
              <w:top w:val="nil"/>
              <w:left w:val="nil"/>
              <w:bottom w:val="single" w:color="auto" w:sz="4" w:space="0"/>
              <w:right w:val="nil"/>
            </w:tcBorders>
            <w:shd w:val="clear" w:color="auto" w:fill="auto"/>
            <w:noWrap/>
            <w:vAlign w:val="center"/>
            <w:hideMark/>
          </w:tcPr>
          <w:p w:rsidRPr="00FD5B56" w:rsidR="00AE701A" w:rsidP="00412927" w:rsidRDefault="00AE701A" w14:paraId="451EE252" w14:textId="2BD2C03A">
            <w:pPr>
              <w:autoSpaceDE/>
              <w:autoSpaceDN/>
              <w:jc w:val="center"/>
              <w:rPr>
                <w:rFonts w:eastAsia="Times New Roman"/>
                <w:b/>
                <w:bCs/>
                <w:color w:val="000000"/>
                <w:sz w:val="20"/>
                <w:szCs w:val="20"/>
                <w:lang w:eastAsia="en-US"/>
              </w:rPr>
            </w:pPr>
            <w:r w:rsidRPr="00FD5B56">
              <w:rPr>
                <w:rFonts w:eastAsia="Times New Roman"/>
                <w:b/>
                <w:bCs/>
                <w:color w:val="000000"/>
                <w:sz w:val="20"/>
                <w:szCs w:val="20"/>
                <w:lang w:eastAsia="en-US"/>
              </w:rPr>
              <w:t xml:space="preserve">Table </w:t>
            </w:r>
            <w:r w:rsidR="00412927">
              <w:rPr>
                <w:rFonts w:eastAsia="Times New Roman"/>
                <w:b/>
                <w:bCs/>
                <w:color w:val="000000"/>
                <w:sz w:val="20"/>
                <w:szCs w:val="20"/>
                <w:lang w:eastAsia="en-US"/>
              </w:rPr>
              <w:t>B</w:t>
            </w:r>
            <w:r w:rsidRPr="00FD5B56">
              <w:rPr>
                <w:rFonts w:eastAsia="Times New Roman"/>
                <w:b/>
                <w:bCs/>
                <w:color w:val="000000"/>
                <w:sz w:val="20"/>
                <w:szCs w:val="20"/>
                <w:lang w:eastAsia="en-US"/>
              </w:rPr>
              <w:t>. Summary of Burden Hours and Cost Under Item 12 of this Supporting Statement - Healthcare and Associated Industries</w:t>
            </w:r>
          </w:p>
        </w:tc>
      </w:tr>
      <w:tr w:rsidRPr="00AE701A" w:rsidR="00FD5B56" w:rsidTr="00313268" w14:paraId="29B5D201" w14:textId="77777777">
        <w:trPr>
          <w:trHeight w:val="1050"/>
          <w:tblHeader/>
        </w:trPr>
        <w:tc>
          <w:tcPr>
            <w:tcW w:w="1620" w:type="dxa"/>
            <w:vMerge w:val="restart"/>
            <w:tcBorders>
              <w:top w:val="single" w:color="auto" w:sz="4" w:space="0"/>
              <w:left w:val="single" w:color="auto" w:sz="4" w:space="0"/>
              <w:bottom w:val="single" w:color="auto" w:sz="4" w:space="0"/>
              <w:right w:val="single" w:color="auto" w:sz="4" w:space="0"/>
            </w:tcBorders>
            <w:shd w:val="clear" w:color="000000" w:fill="8EA9DB"/>
            <w:vAlign w:val="center"/>
            <w:hideMark/>
          </w:tcPr>
          <w:p w:rsidRPr="00520C25" w:rsidR="00AE701A" w:rsidP="00AE701A" w:rsidRDefault="00AE701A" w14:paraId="5D7867D5" w14:textId="77777777">
            <w:pPr>
              <w:autoSpaceDE/>
              <w:autoSpaceDN/>
              <w:jc w:val="center"/>
              <w:rPr>
                <w:rFonts w:ascii="Calibri" w:hAnsi="Calibri" w:eastAsia="Times New Roman" w:cs="Calibri"/>
                <w:b/>
                <w:bCs/>
                <w:color w:val="000000"/>
                <w:sz w:val="20"/>
                <w:szCs w:val="20"/>
                <w:lang w:eastAsia="en-US"/>
              </w:rPr>
            </w:pPr>
            <w:r w:rsidRPr="00520C25">
              <w:rPr>
                <w:rFonts w:ascii="Calibri" w:hAnsi="Calibri" w:eastAsia="Times New Roman" w:cs="Calibri"/>
                <w:b/>
                <w:bCs/>
                <w:color w:val="000000"/>
                <w:sz w:val="20"/>
                <w:szCs w:val="20"/>
                <w:lang w:eastAsia="en-US"/>
              </w:rPr>
              <w:t> </w:t>
            </w:r>
          </w:p>
        </w:tc>
        <w:tc>
          <w:tcPr>
            <w:tcW w:w="1260" w:type="dxa"/>
            <w:vMerge w:val="restart"/>
            <w:tcBorders>
              <w:top w:val="single" w:color="auto" w:sz="4" w:space="0"/>
              <w:left w:val="single" w:color="auto" w:sz="4" w:space="0"/>
              <w:bottom w:val="single" w:color="auto" w:sz="4" w:space="0"/>
              <w:right w:val="single" w:color="auto" w:sz="4" w:space="0"/>
            </w:tcBorders>
            <w:shd w:val="clear" w:color="000000" w:fill="8EA9DB"/>
            <w:vAlign w:val="center"/>
            <w:hideMark/>
          </w:tcPr>
          <w:p w:rsidRPr="00AB1E6C" w:rsidR="00AE701A" w:rsidP="00AE701A" w:rsidRDefault="00AE701A" w14:paraId="6F3443FF" w14:textId="77777777">
            <w:pPr>
              <w:autoSpaceDE/>
              <w:autoSpaceDN/>
              <w:jc w:val="center"/>
              <w:rPr>
                <w:rFonts w:ascii="Calibri" w:hAnsi="Calibri" w:eastAsia="Times New Roman" w:cs="Calibri"/>
                <w:b/>
                <w:bCs/>
                <w:color w:val="000000"/>
                <w:sz w:val="20"/>
                <w:szCs w:val="20"/>
                <w:lang w:eastAsia="en-US"/>
              </w:rPr>
            </w:pPr>
            <w:r w:rsidRPr="00AB1E6C">
              <w:rPr>
                <w:rFonts w:ascii="Calibri" w:hAnsi="Calibri" w:eastAsia="Times New Roman" w:cs="Calibri"/>
                <w:b/>
                <w:bCs/>
                <w:color w:val="000000"/>
                <w:sz w:val="20"/>
                <w:szCs w:val="20"/>
                <w:lang w:eastAsia="en-US"/>
              </w:rPr>
              <w:t>Frequency</w:t>
            </w:r>
          </w:p>
        </w:tc>
        <w:tc>
          <w:tcPr>
            <w:tcW w:w="1440" w:type="dxa"/>
            <w:vMerge w:val="restart"/>
            <w:tcBorders>
              <w:top w:val="single" w:color="auto" w:sz="4" w:space="0"/>
              <w:left w:val="single" w:color="auto" w:sz="4" w:space="0"/>
              <w:bottom w:val="single" w:color="auto" w:sz="4" w:space="0"/>
              <w:right w:val="single" w:color="auto" w:sz="4" w:space="0"/>
            </w:tcBorders>
            <w:shd w:val="clear" w:color="000000" w:fill="8EA9DB"/>
            <w:vAlign w:val="center"/>
            <w:hideMark/>
          </w:tcPr>
          <w:p w:rsidRPr="007B4BA7" w:rsidR="00AE701A" w:rsidP="00AE701A" w:rsidRDefault="00AE701A" w14:paraId="432183E0" w14:textId="77777777">
            <w:pPr>
              <w:autoSpaceDE/>
              <w:autoSpaceDN/>
              <w:jc w:val="center"/>
              <w:rPr>
                <w:rFonts w:ascii="Calibri" w:hAnsi="Calibri" w:eastAsia="Times New Roman" w:cs="Calibri"/>
                <w:b/>
                <w:bCs/>
                <w:color w:val="000000"/>
                <w:sz w:val="20"/>
                <w:szCs w:val="20"/>
                <w:lang w:eastAsia="en-US"/>
              </w:rPr>
            </w:pPr>
            <w:r w:rsidRPr="007B4BA7">
              <w:rPr>
                <w:rFonts w:ascii="Calibri" w:hAnsi="Calibri" w:eastAsia="Times New Roman" w:cs="Calibri"/>
                <w:b/>
                <w:bCs/>
                <w:color w:val="000000"/>
                <w:sz w:val="20"/>
                <w:szCs w:val="20"/>
                <w:lang w:eastAsia="en-US"/>
              </w:rPr>
              <w:t>Basis</w:t>
            </w:r>
          </w:p>
        </w:tc>
        <w:tc>
          <w:tcPr>
            <w:tcW w:w="1404" w:type="dxa"/>
            <w:vMerge w:val="restart"/>
            <w:tcBorders>
              <w:top w:val="single" w:color="auto" w:sz="4" w:space="0"/>
              <w:left w:val="single" w:color="auto" w:sz="4" w:space="0"/>
              <w:bottom w:val="single" w:color="auto" w:sz="4" w:space="0"/>
              <w:right w:val="single" w:color="auto" w:sz="4" w:space="0"/>
            </w:tcBorders>
            <w:shd w:val="clear" w:color="000000" w:fill="8EA9DB"/>
            <w:vAlign w:val="center"/>
            <w:hideMark/>
          </w:tcPr>
          <w:p w:rsidRPr="006A5228" w:rsidR="00AE701A" w:rsidP="00AE701A" w:rsidRDefault="00AE701A" w14:paraId="77CCF420" w14:textId="77777777">
            <w:pPr>
              <w:autoSpaceDE/>
              <w:autoSpaceDN/>
              <w:jc w:val="center"/>
              <w:rPr>
                <w:rFonts w:ascii="Calibri" w:hAnsi="Calibri" w:eastAsia="Times New Roman" w:cs="Calibri"/>
                <w:b/>
                <w:bCs/>
                <w:color w:val="000000"/>
                <w:sz w:val="20"/>
                <w:szCs w:val="20"/>
                <w:lang w:eastAsia="en-US"/>
              </w:rPr>
            </w:pPr>
            <w:r w:rsidRPr="006A5228">
              <w:rPr>
                <w:rFonts w:ascii="Calibri" w:hAnsi="Calibri" w:eastAsia="Times New Roman" w:cs="Calibri"/>
                <w:b/>
                <w:bCs/>
                <w:color w:val="000000"/>
                <w:sz w:val="20"/>
                <w:szCs w:val="20"/>
                <w:lang w:eastAsia="en-US"/>
              </w:rPr>
              <w:t>Respondent</w:t>
            </w:r>
          </w:p>
        </w:tc>
        <w:tc>
          <w:tcPr>
            <w:tcW w:w="1170" w:type="dxa"/>
            <w:tcBorders>
              <w:top w:val="single" w:color="auto" w:sz="4" w:space="0"/>
              <w:left w:val="single" w:color="auto" w:sz="4" w:space="0"/>
              <w:bottom w:val="single" w:color="auto" w:sz="4" w:space="0"/>
              <w:right w:val="single" w:color="auto" w:sz="4" w:space="0"/>
            </w:tcBorders>
            <w:shd w:val="clear" w:color="000000" w:fill="8EA9DB"/>
            <w:vAlign w:val="center"/>
            <w:hideMark/>
          </w:tcPr>
          <w:p w:rsidRPr="001D0186" w:rsidR="00AE701A" w:rsidP="00AE701A" w:rsidRDefault="00AE701A" w14:paraId="0CBE61F8" w14:textId="77777777">
            <w:pPr>
              <w:autoSpaceDE/>
              <w:autoSpaceDN/>
              <w:jc w:val="center"/>
              <w:rPr>
                <w:rFonts w:ascii="Calibri" w:hAnsi="Calibri" w:eastAsia="Times New Roman" w:cs="Calibri"/>
                <w:b/>
                <w:bCs/>
                <w:color w:val="000000"/>
                <w:sz w:val="20"/>
                <w:szCs w:val="20"/>
                <w:lang w:eastAsia="en-US"/>
              </w:rPr>
            </w:pPr>
            <w:r w:rsidRPr="001D0186">
              <w:rPr>
                <w:rFonts w:ascii="Calibri" w:hAnsi="Calibri" w:eastAsia="Times New Roman" w:cs="Calibri"/>
                <w:b/>
                <w:bCs/>
                <w:color w:val="000000"/>
                <w:sz w:val="20"/>
                <w:szCs w:val="20"/>
                <w:lang w:eastAsia="en-US"/>
              </w:rPr>
              <w:t>Responses per Six Months</w:t>
            </w:r>
          </w:p>
        </w:tc>
        <w:tc>
          <w:tcPr>
            <w:tcW w:w="1223" w:type="dxa"/>
            <w:tcBorders>
              <w:top w:val="single" w:color="auto" w:sz="4" w:space="0"/>
              <w:left w:val="single" w:color="auto" w:sz="4" w:space="0"/>
              <w:bottom w:val="single" w:color="auto" w:sz="4" w:space="0"/>
              <w:right w:val="single" w:color="auto" w:sz="4" w:space="0"/>
            </w:tcBorders>
            <w:shd w:val="clear" w:color="000000" w:fill="8EA9DB"/>
            <w:vAlign w:val="center"/>
            <w:hideMark/>
          </w:tcPr>
          <w:p w:rsidRPr="00252CD2" w:rsidR="00AE701A" w:rsidP="00AE701A" w:rsidRDefault="00AE701A" w14:paraId="7EC121C2" w14:textId="77777777">
            <w:pPr>
              <w:autoSpaceDE/>
              <w:autoSpaceDN/>
              <w:jc w:val="center"/>
              <w:rPr>
                <w:rFonts w:ascii="Calibri" w:hAnsi="Calibri" w:eastAsia="Times New Roman" w:cs="Calibri"/>
                <w:b/>
                <w:bCs/>
                <w:color w:val="000000"/>
                <w:sz w:val="20"/>
                <w:szCs w:val="20"/>
                <w:lang w:eastAsia="en-US"/>
              </w:rPr>
            </w:pPr>
            <w:r w:rsidRPr="00252CD2">
              <w:rPr>
                <w:rFonts w:ascii="Calibri" w:hAnsi="Calibri" w:eastAsia="Times New Roman" w:cs="Calibri"/>
                <w:b/>
                <w:bCs/>
                <w:color w:val="000000"/>
                <w:sz w:val="20"/>
                <w:szCs w:val="20"/>
                <w:lang w:eastAsia="en-US"/>
              </w:rPr>
              <w:t>Non-Compliance Rate/NTR</w:t>
            </w:r>
          </w:p>
        </w:tc>
        <w:tc>
          <w:tcPr>
            <w:tcW w:w="1080" w:type="dxa"/>
            <w:tcBorders>
              <w:top w:val="single" w:color="auto" w:sz="4" w:space="0"/>
              <w:left w:val="single" w:color="auto" w:sz="4" w:space="0"/>
              <w:bottom w:val="single" w:color="auto" w:sz="4" w:space="0"/>
              <w:right w:val="single" w:color="auto" w:sz="4" w:space="0"/>
            </w:tcBorders>
            <w:shd w:val="clear" w:color="000000" w:fill="8EA9DB"/>
            <w:vAlign w:val="center"/>
            <w:hideMark/>
          </w:tcPr>
          <w:p w:rsidRPr="00252CD2" w:rsidR="00AE701A" w:rsidP="00AE701A" w:rsidRDefault="00AE701A" w14:paraId="5239184B" w14:textId="77777777">
            <w:pPr>
              <w:autoSpaceDE/>
              <w:autoSpaceDN/>
              <w:jc w:val="center"/>
              <w:rPr>
                <w:rFonts w:ascii="Calibri" w:hAnsi="Calibri" w:eastAsia="Times New Roman" w:cs="Calibri"/>
                <w:b/>
                <w:bCs/>
                <w:color w:val="000000"/>
                <w:sz w:val="20"/>
                <w:szCs w:val="20"/>
                <w:lang w:eastAsia="en-US"/>
              </w:rPr>
            </w:pPr>
            <w:r w:rsidRPr="00252CD2">
              <w:rPr>
                <w:rFonts w:ascii="Calibri" w:hAnsi="Calibri" w:eastAsia="Times New Roman" w:cs="Calibri"/>
                <w:b/>
                <w:bCs/>
                <w:color w:val="000000"/>
                <w:sz w:val="20"/>
                <w:szCs w:val="20"/>
                <w:lang w:eastAsia="en-US"/>
              </w:rPr>
              <w:t>Hours per Response</w:t>
            </w:r>
          </w:p>
        </w:tc>
        <w:tc>
          <w:tcPr>
            <w:tcW w:w="1440" w:type="dxa"/>
            <w:tcBorders>
              <w:top w:val="single" w:color="auto" w:sz="4" w:space="0"/>
              <w:left w:val="single" w:color="auto" w:sz="4" w:space="0"/>
              <w:bottom w:val="single" w:color="auto" w:sz="4" w:space="0"/>
              <w:right w:val="single" w:color="auto" w:sz="4" w:space="0"/>
            </w:tcBorders>
            <w:shd w:val="clear" w:color="000000" w:fill="8EA9DB"/>
            <w:vAlign w:val="center"/>
            <w:hideMark/>
          </w:tcPr>
          <w:p w:rsidRPr="00252CD2" w:rsidR="00AE701A" w:rsidP="00AE701A" w:rsidRDefault="00AE701A" w14:paraId="7365E928" w14:textId="77777777">
            <w:pPr>
              <w:autoSpaceDE/>
              <w:autoSpaceDN/>
              <w:jc w:val="center"/>
              <w:rPr>
                <w:rFonts w:ascii="Calibri" w:hAnsi="Calibri" w:eastAsia="Times New Roman" w:cs="Calibri"/>
                <w:b/>
                <w:bCs/>
                <w:color w:val="000000"/>
                <w:sz w:val="20"/>
                <w:szCs w:val="20"/>
                <w:lang w:eastAsia="en-US"/>
              </w:rPr>
            </w:pPr>
            <w:r w:rsidRPr="00252CD2">
              <w:rPr>
                <w:rFonts w:ascii="Calibri" w:hAnsi="Calibri" w:eastAsia="Times New Roman" w:cs="Calibri"/>
                <w:b/>
                <w:bCs/>
                <w:color w:val="000000"/>
                <w:sz w:val="20"/>
                <w:szCs w:val="20"/>
                <w:lang w:eastAsia="en-US"/>
              </w:rPr>
              <w:t>Hours per Six Months</w:t>
            </w:r>
          </w:p>
        </w:tc>
        <w:tc>
          <w:tcPr>
            <w:tcW w:w="937" w:type="dxa"/>
            <w:tcBorders>
              <w:top w:val="single" w:color="auto" w:sz="4" w:space="0"/>
              <w:left w:val="single" w:color="auto" w:sz="4" w:space="0"/>
              <w:bottom w:val="single" w:color="auto" w:sz="4" w:space="0"/>
              <w:right w:val="single" w:color="auto" w:sz="4" w:space="0"/>
            </w:tcBorders>
            <w:shd w:val="clear" w:color="000000" w:fill="8EA9DB"/>
            <w:vAlign w:val="center"/>
            <w:hideMark/>
          </w:tcPr>
          <w:p w:rsidRPr="00252CD2" w:rsidR="00AE701A" w:rsidP="00AE701A" w:rsidRDefault="00AE701A" w14:paraId="27AEA3A9" w14:textId="77777777">
            <w:pPr>
              <w:autoSpaceDE/>
              <w:autoSpaceDN/>
              <w:jc w:val="center"/>
              <w:rPr>
                <w:rFonts w:ascii="Calibri" w:hAnsi="Calibri" w:eastAsia="Times New Roman" w:cs="Calibri"/>
                <w:b/>
                <w:bCs/>
                <w:color w:val="000000"/>
                <w:sz w:val="20"/>
                <w:szCs w:val="20"/>
                <w:lang w:eastAsia="en-US"/>
              </w:rPr>
            </w:pPr>
            <w:r w:rsidRPr="00252CD2">
              <w:rPr>
                <w:rFonts w:ascii="Calibri" w:hAnsi="Calibri" w:eastAsia="Times New Roman" w:cs="Calibri"/>
                <w:b/>
                <w:bCs/>
                <w:color w:val="000000"/>
                <w:sz w:val="20"/>
                <w:szCs w:val="20"/>
                <w:lang w:eastAsia="en-US"/>
              </w:rPr>
              <w:t>Loaded Hourly Wage</w:t>
            </w:r>
          </w:p>
        </w:tc>
        <w:tc>
          <w:tcPr>
            <w:tcW w:w="1607" w:type="dxa"/>
            <w:tcBorders>
              <w:top w:val="single" w:color="auto" w:sz="4" w:space="0"/>
              <w:left w:val="single" w:color="auto" w:sz="4" w:space="0"/>
              <w:bottom w:val="single" w:color="auto" w:sz="4" w:space="0"/>
              <w:right w:val="single" w:color="auto" w:sz="4" w:space="0"/>
            </w:tcBorders>
            <w:shd w:val="clear" w:color="000000" w:fill="8EA9DB"/>
            <w:vAlign w:val="center"/>
            <w:hideMark/>
          </w:tcPr>
          <w:p w:rsidRPr="00252CD2" w:rsidR="00AE701A" w:rsidP="00AE701A" w:rsidRDefault="00AE701A" w14:paraId="71C9553F" w14:textId="77777777">
            <w:pPr>
              <w:autoSpaceDE/>
              <w:autoSpaceDN/>
              <w:jc w:val="center"/>
              <w:rPr>
                <w:rFonts w:ascii="Calibri" w:hAnsi="Calibri" w:eastAsia="Times New Roman" w:cs="Calibri"/>
                <w:b/>
                <w:bCs/>
                <w:color w:val="000000"/>
                <w:sz w:val="20"/>
                <w:szCs w:val="20"/>
                <w:lang w:eastAsia="en-US"/>
              </w:rPr>
            </w:pPr>
            <w:r w:rsidRPr="00252CD2">
              <w:rPr>
                <w:rFonts w:ascii="Calibri" w:hAnsi="Calibri" w:eastAsia="Times New Roman" w:cs="Calibri"/>
                <w:b/>
                <w:bCs/>
                <w:color w:val="000000"/>
                <w:sz w:val="20"/>
                <w:szCs w:val="20"/>
                <w:lang w:eastAsia="en-US"/>
              </w:rPr>
              <w:t>Total Cost</w:t>
            </w:r>
          </w:p>
        </w:tc>
        <w:tc>
          <w:tcPr>
            <w:tcW w:w="1140" w:type="dxa"/>
            <w:tcBorders>
              <w:top w:val="single" w:color="auto" w:sz="4" w:space="0"/>
              <w:left w:val="single" w:color="auto" w:sz="4" w:space="0"/>
              <w:bottom w:val="single" w:color="auto" w:sz="4" w:space="0"/>
              <w:right w:val="single" w:color="auto" w:sz="4" w:space="0"/>
            </w:tcBorders>
            <w:shd w:val="clear" w:color="000000" w:fill="8EA9DB"/>
            <w:vAlign w:val="center"/>
            <w:hideMark/>
          </w:tcPr>
          <w:p w:rsidRPr="00252CD2" w:rsidR="00AE701A" w:rsidP="00AE701A" w:rsidRDefault="00AE701A" w14:paraId="53D83D55" w14:textId="77777777">
            <w:pPr>
              <w:autoSpaceDE/>
              <w:autoSpaceDN/>
              <w:jc w:val="center"/>
              <w:rPr>
                <w:rFonts w:ascii="Calibri" w:hAnsi="Calibri" w:eastAsia="Times New Roman" w:cs="Calibri"/>
                <w:b/>
                <w:bCs/>
                <w:color w:val="000000"/>
                <w:sz w:val="20"/>
                <w:szCs w:val="20"/>
                <w:lang w:eastAsia="en-US"/>
              </w:rPr>
            </w:pPr>
            <w:r w:rsidRPr="00252CD2">
              <w:rPr>
                <w:rFonts w:ascii="Calibri" w:hAnsi="Calibri" w:eastAsia="Times New Roman" w:cs="Calibri"/>
                <w:b/>
                <w:bCs/>
                <w:color w:val="000000"/>
                <w:sz w:val="20"/>
                <w:szCs w:val="20"/>
                <w:lang w:eastAsia="en-US"/>
              </w:rPr>
              <w:t>Total Responses</w:t>
            </w:r>
          </w:p>
        </w:tc>
      </w:tr>
      <w:tr w:rsidRPr="00AE701A" w:rsidR="00FD5B56" w:rsidTr="00313268" w14:paraId="7C8C9999" w14:textId="77777777">
        <w:trPr>
          <w:trHeight w:val="300"/>
          <w:tblHeader/>
        </w:trPr>
        <w:tc>
          <w:tcPr>
            <w:tcW w:w="162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3F4627F6" w14:textId="77777777">
            <w:pPr>
              <w:autoSpaceDE/>
              <w:autoSpaceDN/>
              <w:rPr>
                <w:rFonts w:ascii="Calibri" w:hAnsi="Calibri" w:eastAsia="Times New Roman" w:cs="Calibri"/>
                <w:b/>
                <w:bCs/>
                <w:color w:val="000000"/>
                <w:sz w:val="20"/>
                <w:szCs w:val="20"/>
                <w:lang w:eastAsia="en-US"/>
              </w:rPr>
            </w:pPr>
          </w:p>
        </w:tc>
        <w:tc>
          <w:tcPr>
            <w:tcW w:w="126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0177D9AB" w14:textId="77777777">
            <w:pPr>
              <w:autoSpaceDE/>
              <w:autoSpaceDN/>
              <w:rPr>
                <w:rFonts w:ascii="Calibri" w:hAnsi="Calibri" w:eastAsia="Times New Roman" w:cs="Calibri"/>
                <w:b/>
                <w:bCs/>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6DE62BAB" w14:textId="77777777">
            <w:pPr>
              <w:autoSpaceDE/>
              <w:autoSpaceDN/>
              <w:rPr>
                <w:rFonts w:ascii="Calibri" w:hAnsi="Calibri" w:eastAsia="Times New Roman" w:cs="Calibri"/>
                <w:b/>
                <w:bCs/>
                <w:color w:val="000000"/>
                <w:sz w:val="20"/>
                <w:szCs w:val="20"/>
                <w:lang w:eastAsia="en-US"/>
              </w:rPr>
            </w:pPr>
          </w:p>
        </w:tc>
        <w:tc>
          <w:tcPr>
            <w:tcW w:w="1404"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322621F4" w14:textId="77777777">
            <w:pPr>
              <w:autoSpaceDE/>
              <w:autoSpaceDN/>
              <w:rPr>
                <w:rFonts w:ascii="Calibri" w:hAnsi="Calibri" w:eastAsia="Times New Roman" w:cs="Calibri"/>
                <w:b/>
                <w:bCs/>
                <w:color w:val="000000"/>
                <w:sz w:val="20"/>
                <w:szCs w:val="20"/>
                <w:lang w:eastAsia="en-US"/>
              </w:rPr>
            </w:pPr>
          </w:p>
        </w:tc>
        <w:tc>
          <w:tcPr>
            <w:tcW w:w="1170" w:type="dxa"/>
            <w:tcBorders>
              <w:top w:val="single" w:color="auto" w:sz="4" w:space="0"/>
              <w:left w:val="single" w:color="auto" w:sz="4" w:space="0"/>
              <w:bottom w:val="single" w:color="auto" w:sz="4" w:space="0"/>
              <w:right w:val="single" w:color="auto" w:sz="4" w:space="0"/>
            </w:tcBorders>
            <w:shd w:val="clear" w:color="000000" w:fill="8EA9DB"/>
            <w:vAlign w:val="center"/>
            <w:hideMark/>
          </w:tcPr>
          <w:p w:rsidRPr="00AE701A" w:rsidR="00AE701A" w:rsidP="00AE701A" w:rsidRDefault="00AE701A" w14:paraId="7BF16321" w14:textId="77777777">
            <w:pPr>
              <w:autoSpaceDE/>
              <w:autoSpaceDN/>
              <w:jc w:val="center"/>
              <w:rPr>
                <w:rFonts w:ascii="Calibri" w:hAnsi="Calibri" w:eastAsia="Times New Roman" w:cs="Calibri"/>
                <w:b/>
                <w:bCs/>
                <w:i/>
                <w:iCs/>
                <w:color w:val="000000"/>
                <w:sz w:val="20"/>
                <w:szCs w:val="20"/>
                <w:lang w:eastAsia="en-US"/>
              </w:rPr>
            </w:pPr>
            <w:r w:rsidRPr="00AE701A">
              <w:rPr>
                <w:rFonts w:ascii="Calibri" w:hAnsi="Calibri" w:eastAsia="Times New Roman" w:cs="Calibri"/>
                <w:b/>
                <w:bCs/>
                <w:i/>
                <w:iCs/>
                <w:color w:val="000000"/>
                <w:sz w:val="20"/>
                <w:szCs w:val="20"/>
                <w:lang w:eastAsia="en-US"/>
              </w:rPr>
              <w:t>a</w:t>
            </w:r>
          </w:p>
        </w:tc>
        <w:tc>
          <w:tcPr>
            <w:tcW w:w="1223" w:type="dxa"/>
            <w:tcBorders>
              <w:top w:val="single" w:color="auto" w:sz="4" w:space="0"/>
              <w:left w:val="single" w:color="auto" w:sz="4" w:space="0"/>
              <w:bottom w:val="single" w:color="auto" w:sz="4" w:space="0"/>
              <w:right w:val="single" w:color="auto" w:sz="4" w:space="0"/>
            </w:tcBorders>
            <w:shd w:val="clear" w:color="000000" w:fill="8EA9DB"/>
            <w:vAlign w:val="center"/>
            <w:hideMark/>
          </w:tcPr>
          <w:p w:rsidRPr="00AE701A" w:rsidR="00AE701A" w:rsidP="00AE701A" w:rsidRDefault="00AE701A" w14:paraId="7674F2DA" w14:textId="77777777">
            <w:pPr>
              <w:autoSpaceDE/>
              <w:autoSpaceDN/>
              <w:jc w:val="center"/>
              <w:rPr>
                <w:rFonts w:ascii="Calibri" w:hAnsi="Calibri" w:eastAsia="Times New Roman" w:cs="Calibri"/>
                <w:b/>
                <w:bCs/>
                <w:i/>
                <w:iCs/>
                <w:color w:val="000000"/>
                <w:sz w:val="20"/>
                <w:szCs w:val="20"/>
                <w:lang w:eastAsia="en-US"/>
              </w:rPr>
            </w:pPr>
            <w:r w:rsidRPr="00AE701A">
              <w:rPr>
                <w:rFonts w:ascii="Calibri" w:hAnsi="Calibri" w:eastAsia="Times New Roman" w:cs="Calibri"/>
                <w:b/>
                <w:bCs/>
                <w:i/>
                <w:iCs/>
                <w:color w:val="000000"/>
                <w:sz w:val="20"/>
                <w:szCs w:val="20"/>
                <w:lang w:eastAsia="en-US"/>
              </w:rPr>
              <w:t>b</w:t>
            </w:r>
          </w:p>
        </w:tc>
        <w:tc>
          <w:tcPr>
            <w:tcW w:w="1080" w:type="dxa"/>
            <w:tcBorders>
              <w:top w:val="single" w:color="auto" w:sz="4" w:space="0"/>
              <w:left w:val="single" w:color="auto" w:sz="4" w:space="0"/>
              <w:bottom w:val="single" w:color="auto" w:sz="4" w:space="0"/>
              <w:right w:val="single" w:color="auto" w:sz="4" w:space="0"/>
            </w:tcBorders>
            <w:shd w:val="clear" w:color="000000" w:fill="8EA9DB"/>
            <w:vAlign w:val="center"/>
            <w:hideMark/>
          </w:tcPr>
          <w:p w:rsidRPr="00AE701A" w:rsidR="00AE701A" w:rsidP="00AE701A" w:rsidRDefault="00AE701A" w14:paraId="7F959DC9" w14:textId="77777777">
            <w:pPr>
              <w:autoSpaceDE/>
              <w:autoSpaceDN/>
              <w:jc w:val="center"/>
              <w:rPr>
                <w:rFonts w:ascii="Calibri" w:hAnsi="Calibri" w:eastAsia="Times New Roman" w:cs="Calibri"/>
                <w:b/>
                <w:bCs/>
                <w:i/>
                <w:iCs/>
                <w:color w:val="000000"/>
                <w:sz w:val="20"/>
                <w:szCs w:val="20"/>
                <w:lang w:eastAsia="en-US"/>
              </w:rPr>
            </w:pPr>
            <w:r w:rsidRPr="00AE701A">
              <w:rPr>
                <w:rFonts w:ascii="Calibri" w:hAnsi="Calibri" w:eastAsia="Times New Roman" w:cs="Calibri"/>
                <w:b/>
                <w:bCs/>
                <w:i/>
                <w:iCs/>
                <w:color w:val="000000"/>
                <w:sz w:val="20"/>
                <w:szCs w:val="20"/>
                <w:lang w:eastAsia="en-US"/>
              </w:rPr>
              <w:t>C</w:t>
            </w:r>
          </w:p>
        </w:tc>
        <w:tc>
          <w:tcPr>
            <w:tcW w:w="1440" w:type="dxa"/>
            <w:tcBorders>
              <w:top w:val="single" w:color="auto" w:sz="4" w:space="0"/>
              <w:left w:val="single" w:color="auto" w:sz="4" w:space="0"/>
              <w:bottom w:val="single" w:color="auto" w:sz="4" w:space="0"/>
              <w:right w:val="single" w:color="auto" w:sz="4" w:space="0"/>
            </w:tcBorders>
            <w:shd w:val="clear" w:color="000000" w:fill="8EA9DB"/>
            <w:vAlign w:val="center"/>
            <w:hideMark/>
          </w:tcPr>
          <w:p w:rsidRPr="00AE701A" w:rsidR="00AE701A" w:rsidP="00AE701A" w:rsidRDefault="00AE701A" w14:paraId="29D32D52" w14:textId="77777777">
            <w:pPr>
              <w:autoSpaceDE/>
              <w:autoSpaceDN/>
              <w:jc w:val="center"/>
              <w:rPr>
                <w:rFonts w:ascii="Calibri" w:hAnsi="Calibri" w:eastAsia="Times New Roman" w:cs="Calibri"/>
                <w:b/>
                <w:bCs/>
                <w:i/>
                <w:iCs/>
                <w:color w:val="000000"/>
                <w:sz w:val="20"/>
                <w:szCs w:val="20"/>
                <w:lang w:eastAsia="en-US"/>
              </w:rPr>
            </w:pPr>
            <w:r w:rsidRPr="00AE701A">
              <w:rPr>
                <w:rFonts w:ascii="Calibri" w:hAnsi="Calibri" w:eastAsia="Times New Roman" w:cs="Calibri"/>
                <w:b/>
                <w:bCs/>
                <w:i/>
                <w:iCs/>
                <w:color w:val="000000"/>
                <w:sz w:val="20"/>
                <w:szCs w:val="20"/>
                <w:lang w:eastAsia="en-US"/>
              </w:rPr>
              <w:t>d = a x b x c</w:t>
            </w:r>
          </w:p>
        </w:tc>
        <w:tc>
          <w:tcPr>
            <w:tcW w:w="937" w:type="dxa"/>
            <w:tcBorders>
              <w:top w:val="single" w:color="auto" w:sz="4" w:space="0"/>
              <w:left w:val="single" w:color="auto" w:sz="4" w:space="0"/>
              <w:bottom w:val="single" w:color="auto" w:sz="4" w:space="0"/>
              <w:right w:val="single" w:color="auto" w:sz="4" w:space="0"/>
            </w:tcBorders>
            <w:shd w:val="clear" w:color="000000" w:fill="8EA9DB"/>
            <w:vAlign w:val="center"/>
            <w:hideMark/>
          </w:tcPr>
          <w:p w:rsidRPr="00AE701A" w:rsidR="00AE701A" w:rsidP="00AE701A" w:rsidRDefault="00AE701A" w14:paraId="257E5BA9" w14:textId="77777777">
            <w:pPr>
              <w:autoSpaceDE/>
              <w:autoSpaceDN/>
              <w:jc w:val="center"/>
              <w:rPr>
                <w:rFonts w:ascii="Calibri" w:hAnsi="Calibri" w:eastAsia="Times New Roman" w:cs="Calibri"/>
                <w:b/>
                <w:bCs/>
                <w:i/>
                <w:iCs/>
                <w:color w:val="000000"/>
                <w:sz w:val="20"/>
                <w:szCs w:val="20"/>
                <w:lang w:eastAsia="en-US"/>
              </w:rPr>
            </w:pPr>
            <w:r w:rsidRPr="00AE701A">
              <w:rPr>
                <w:rFonts w:ascii="Calibri" w:hAnsi="Calibri" w:eastAsia="Times New Roman" w:cs="Calibri"/>
                <w:b/>
                <w:bCs/>
                <w:i/>
                <w:iCs/>
                <w:color w:val="000000"/>
                <w:sz w:val="20"/>
                <w:szCs w:val="20"/>
                <w:lang w:eastAsia="en-US"/>
              </w:rPr>
              <w:t xml:space="preserve">e </w:t>
            </w:r>
          </w:p>
        </w:tc>
        <w:tc>
          <w:tcPr>
            <w:tcW w:w="1607" w:type="dxa"/>
            <w:tcBorders>
              <w:top w:val="single" w:color="auto" w:sz="4" w:space="0"/>
              <w:left w:val="single" w:color="auto" w:sz="4" w:space="0"/>
              <w:bottom w:val="single" w:color="auto" w:sz="4" w:space="0"/>
              <w:right w:val="single" w:color="auto" w:sz="4" w:space="0"/>
            </w:tcBorders>
            <w:shd w:val="clear" w:color="000000" w:fill="8EA9DB"/>
            <w:vAlign w:val="center"/>
            <w:hideMark/>
          </w:tcPr>
          <w:p w:rsidRPr="00AE701A" w:rsidR="00AE701A" w:rsidP="00AE701A" w:rsidRDefault="00AE701A" w14:paraId="7B8F370F" w14:textId="77777777">
            <w:pPr>
              <w:autoSpaceDE/>
              <w:autoSpaceDN/>
              <w:jc w:val="center"/>
              <w:rPr>
                <w:rFonts w:ascii="Calibri" w:hAnsi="Calibri" w:eastAsia="Times New Roman" w:cs="Calibri"/>
                <w:b/>
                <w:bCs/>
                <w:i/>
                <w:iCs/>
                <w:color w:val="000000"/>
                <w:sz w:val="20"/>
                <w:szCs w:val="20"/>
                <w:lang w:eastAsia="en-US"/>
              </w:rPr>
            </w:pPr>
            <w:r w:rsidRPr="00AE701A">
              <w:rPr>
                <w:rFonts w:ascii="Calibri" w:hAnsi="Calibri" w:eastAsia="Times New Roman" w:cs="Calibri"/>
                <w:b/>
                <w:bCs/>
                <w:i/>
                <w:iCs/>
                <w:color w:val="000000"/>
                <w:sz w:val="20"/>
                <w:szCs w:val="20"/>
                <w:lang w:eastAsia="en-US"/>
              </w:rPr>
              <w:t>f = d x e</w:t>
            </w:r>
          </w:p>
        </w:tc>
        <w:tc>
          <w:tcPr>
            <w:tcW w:w="1140" w:type="dxa"/>
            <w:tcBorders>
              <w:top w:val="single" w:color="auto" w:sz="4" w:space="0"/>
              <w:left w:val="single" w:color="auto" w:sz="4" w:space="0"/>
              <w:bottom w:val="single" w:color="auto" w:sz="4" w:space="0"/>
              <w:right w:val="single" w:color="auto" w:sz="4" w:space="0"/>
            </w:tcBorders>
            <w:shd w:val="clear" w:color="000000" w:fill="8EA9DB"/>
            <w:vAlign w:val="center"/>
            <w:hideMark/>
          </w:tcPr>
          <w:p w:rsidRPr="00AE701A" w:rsidR="00AE701A" w:rsidP="00AE701A" w:rsidRDefault="00AE701A" w14:paraId="40404464" w14:textId="77777777">
            <w:pPr>
              <w:autoSpaceDE/>
              <w:autoSpaceDN/>
              <w:jc w:val="center"/>
              <w:rPr>
                <w:rFonts w:ascii="Calibri" w:hAnsi="Calibri" w:eastAsia="Times New Roman" w:cs="Calibri"/>
                <w:b/>
                <w:bCs/>
                <w:i/>
                <w:iCs/>
                <w:color w:val="000000"/>
                <w:sz w:val="20"/>
                <w:szCs w:val="20"/>
                <w:lang w:eastAsia="en-US"/>
              </w:rPr>
            </w:pPr>
            <w:r w:rsidRPr="00AE701A">
              <w:rPr>
                <w:rFonts w:ascii="Calibri" w:hAnsi="Calibri" w:eastAsia="Times New Roman" w:cs="Calibri"/>
                <w:b/>
                <w:bCs/>
                <w:i/>
                <w:iCs/>
                <w:color w:val="000000"/>
                <w:sz w:val="20"/>
                <w:szCs w:val="20"/>
                <w:lang w:eastAsia="en-US"/>
              </w:rPr>
              <w:t>g = a x b</w:t>
            </w:r>
          </w:p>
        </w:tc>
      </w:tr>
      <w:tr w:rsidRPr="00AE701A" w:rsidR="00091560" w:rsidTr="008078A1" w14:paraId="0BECFD1E" w14:textId="77777777">
        <w:trPr>
          <w:trHeight w:val="300"/>
        </w:trPr>
        <w:tc>
          <w:tcPr>
            <w:tcW w:w="14321" w:type="dxa"/>
            <w:gridSpan w:val="11"/>
            <w:tcBorders>
              <w:top w:val="single" w:color="auto" w:sz="4" w:space="0"/>
              <w:left w:val="single" w:color="auto" w:sz="4" w:space="0"/>
              <w:bottom w:val="single" w:color="auto" w:sz="4" w:space="0"/>
              <w:right w:val="single" w:color="auto" w:sz="4" w:space="0"/>
            </w:tcBorders>
            <w:shd w:val="clear" w:color="000000" w:fill="8EA9DB"/>
            <w:vAlign w:val="center"/>
            <w:hideMark/>
          </w:tcPr>
          <w:p w:rsidRPr="00520C25" w:rsidR="00AE701A" w:rsidP="00AE701A" w:rsidRDefault="00AE701A" w14:paraId="38ED8AA7" w14:textId="77777777">
            <w:pPr>
              <w:autoSpaceDE/>
              <w:autoSpaceDN/>
              <w:rPr>
                <w:rFonts w:ascii="Calibri" w:hAnsi="Calibri" w:eastAsia="Times New Roman" w:cs="Calibri"/>
                <w:b/>
                <w:bCs/>
                <w:color w:val="000000"/>
                <w:sz w:val="20"/>
                <w:szCs w:val="20"/>
                <w:lang w:eastAsia="en-US"/>
              </w:rPr>
            </w:pPr>
            <w:r w:rsidRPr="00520C25">
              <w:rPr>
                <w:rFonts w:ascii="Calibri" w:hAnsi="Calibri" w:eastAsia="Times New Roman" w:cs="Calibri"/>
                <w:b/>
                <w:bCs/>
                <w:color w:val="000000"/>
                <w:sz w:val="20"/>
                <w:szCs w:val="20"/>
                <w:lang w:eastAsia="en-US"/>
              </w:rPr>
              <w:t>1910.502 – Healthcare and Associated Industries</w:t>
            </w:r>
          </w:p>
        </w:tc>
      </w:tr>
      <w:tr w:rsidRPr="00AE701A" w:rsidR="00091560" w:rsidTr="008078A1" w14:paraId="12F5B6D2" w14:textId="77777777">
        <w:trPr>
          <w:trHeight w:val="300"/>
        </w:trPr>
        <w:tc>
          <w:tcPr>
            <w:tcW w:w="14321" w:type="dxa"/>
            <w:gridSpan w:val="11"/>
            <w:tcBorders>
              <w:top w:val="single" w:color="auto" w:sz="4" w:space="0"/>
              <w:left w:val="single" w:color="auto" w:sz="4" w:space="0"/>
              <w:bottom w:val="single" w:color="auto" w:sz="4" w:space="0"/>
              <w:right w:val="single" w:color="auto" w:sz="4" w:space="0"/>
            </w:tcBorders>
            <w:shd w:val="clear" w:color="000000" w:fill="B4C6E7"/>
            <w:vAlign w:val="center"/>
            <w:hideMark/>
          </w:tcPr>
          <w:p w:rsidRPr="00520C25" w:rsidR="00AE701A" w:rsidP="00AE701A" w:rsidRDefault="00AE701A" w14:paraId="1DB71036" w14:textId="77777777">
            <w:pPr>
              <w:autoSpaceDE/>
              <w:autoSpaceDN/>
              <w:rPr>
                <w:rFonts w:ascii="Calibri" w:hAnsi="Calibri" w:eastAsia="Times New Roman" w:cs="Calibri"/>
                <w:b/>
                <w:bCs/>
                <w:color w:val="000000"/>
                <w:sz w:val="20"/>
                <w:szCs w:val="20"/>
                <w:lang w:eastAsia="en-US"/>
              </w:rPr>
            </w:pPr>
            <w:r w:rsidRPr="00520C25">
              <w:rPr>
                <w:rFonts w:ascii="Calibri" w:hAnsi="Calibri" w:eastAsia="Times New Roman" w:cs="Calibri"/>
                <w:b/>
                <w:bCs/>
                <w:color w:val="000000"/>
                <w:sz w:val="20"/>
                <w:szCs w:val="20"/>
                <w:lang w:eastAsia="en-US"/>
              </w:rPr>
              <w:t xml:space="preserve">1. COVID-19 Plan </w:t>
            </w:r>
          </w:p>
        </w:tc>
      </w:tr>
      <w:tr w:rsidRPr="00AE701A" w:rsidR="00FD5B56" w:rsidTr="00313268" w14:paraId="0C8CE148" w14:textId="77777777">
        <w:trPr>
          <w:trHeight w:val="420"/>
        </w:trPr>
        <w:tc>
          <w:tcPr>
            <w:tcW w:w="162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520C25" w:rsidR="00AE701A" w:rsidP="00AE701A" w:rsidRDefault="00AE701A" w14:paraId="77734989" w14:textId="77777777">
            <w:pPr>
              <w:autoSpaceDE/>
              <w:autoSpaceDN/>
              <w:rPr>
                <w:rFonts w:ascii="Calibri" w:hAnsi="Calibri" w:eastAsia="Times New Roman" w:cs="Calibri"/>
                <w:b/>
                <w:bCs/>
                <w:color w:val="000000"/>
                <w:sz w:val="20"/>
                <w:szCs w:val="20"/>
                <w:lang w:eastAsia="en-US"/>
              </w:rPr>
            </w:pPr>
            <w:r w:rsidRPr="00520C25">
              <w:rPr>
                <w:rFonts w:ascii="Calibri" w:hAnsi="Calibri" w:eastAsia="Times New Roman" w:cs="Calibri"/>
                <w:b/>
                <w:bCs/>
                <w:color w:val="000000"/>
                <w:sz w:val="20"/>
                <w:szCs w:val="20"/>
                <w:lang w:eastAsia="en-US"/>
              </w:rPr>
              <w:t>a. Develop and Implement Plan</w:t>
            </w:r>
          </w:p>
        </w:tc>
        <w:tc>
          <w:tcPr>
            <w:tcW w:w="126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AB1E6C" w:rsidR="00AE701A" w:rsidP="00AE701A" w:rsidRDefault="00AE701A" w14:paraId="1CD91644" w14:textId="77777777">
            <w:pPr>
              <w:autoSpaceDE/>
              <w:autoSpaceDN/>
              <w:rPr>
                <w:rFonts w:ascii="Calibri" w:hAnsi="Calibri" w:eastAsia="Times New Roman" w:cs="Calibri"/>
                <w:b/>
                <w:bCs/>
                <w:color w:val="000000"/>
                <w:sz w:val="20"/>
                <w:szCs w:val="20"/>
                <w:lang w:eastAsia="en-US"/>
              </w:rPr>
            </w:pPr>
            <w:r w:rsidRPr="00AB1E6C">
              <w:rPr>
                <w:rFonts w:ascii="Calibri" w:hAnsi="Calibri" w:eastAsia="Times New Roman" w:cs="Calibri"/>
                <w:b/>
                <w:bCs/>
                <w:color w:val="000000"/>
                <w:sz w:val="20"/>
                <w:szCs w:val="20"/>
                <w:lang w:eastAsia="en-US"/>
              </w:rPr>
              <w:t> </w:t>
            </w:r>
          </w:p>
        </w:tc>
        <w:tc>
          <w:tcPr>
            <w:tcW w:w="144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7B4BA7" w:rsidR="00AE701A" w:rsidP="00AE701A" w:rsidRDefault="00AE701A" w14:paraId="4F37EE2B" w14:textId="77777777">
            <w:pPr>
              <w:autoSpaceDE/>
              <w:autoSpaceDN/>
              <w:rPr>
                <w:rFonts w:ascii="Calibri" w:hAnsi="Calibri" w:eastAsia="Times New Roman" w:cs="Calibri"/>
                <w:b/>
                <w:bCs/>
                <w:color w:val="000000"/>
                <w:sz w:val="20"/>
                <w:szCs w:val="20"/>
                <w:lang w:eastAsia="en-US"/>
              </w:rPr>
            </w:pPr>
            <w:r w:rsidRPr="007B4BA7">
              <w:rPr>
                <w:rFonts w:ascii="Calibri" w:hAnsi="Calibri" w:eastAsia="Times New Roman" w:cs="Calibri"/>
                <w:b/>
                <w:bCs/>
                <w:color w:val="000000"/>
                <w:sz w:val="20"/>
                <w:szCs w:val="20"/>
                <w:lang w:eastAsia="en-US"/>
              </w:rPr>
              <w:t> </w:t>
            </w:r>
          </w:p>
        </w:tc>
        <w:tc>
          <w:tcPr>
            <w:tcW w:w="1404"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3340D7" w:rsidR="00AE701A" w:rsidP="00AE701A" w:rsidRDefault="00AE701A" w14:paraId="2FB8BBB1" w14:textId="77777777">
            <w:pPr>
              <w:autoSpaceDE/>
              <w:autoSpaceDN/>
              <w:rPr>
                <w:rFonts w:ascii="Calibri" w:hAnsi="Calibri" w:eastAsia="Times New Roman" w:cs="Calibri"/>
                <w:b/>
                <w:bCs/>
                <w:color w:val="000000"/>
                <w:sz w:val="20"/>
                <w:szCs w:val="20"/>
                <w:lang w:eastAsia="en-US"/>
              </w:rPr>
            </w:pPr>
            <w:r w:rsidRPr="003340D7">
              <w:rPr>
                <w:rFonts w:ascii="Calibri" w:hAnsi="Calibri" w:eastAsia="Times New Roman" w:cs="Calibri"/>
                <w:b/>
                <w:bCs/>
                <w:color w:val="000000"/>
                <w:sz w:val="20"/>
                <w:szCs w:val="20"/>
                <w:lang w:eastAsia="en-US"/>
              </w:rPr>
              <w:t> </w:t>
            </w:r>
          </w:p>
        </w:tc>
        <w:tc>
          <w:tcPr>
            <w:tcW w:w="117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1D0186" w:rsidR="00AE701A" w:rsidP="00AE701A" w:rsidRDefault="00AE701A" w14:paraId="5D05477F" w14:textId="77777777">
            <w:pPr>
              <w:autoSpaceDE/>
              <w:autoSpaceDN/>
              <w:rPr>
                <w:rFonts w:ascii="Calibri" w:hAnsi="Calibri" w:eastAsia="Times New Roman" w:cs="Calibri"/>
                <w:b/>
                <w:bCs/>
                <w:color w:val="000000"/>
                <w:sz w:val="20"/>
                <w:szCs w:val="20"/>
                <w:lang w:eastAsia="en-US"/>
              </w:rPr>
            </w:pPr>
            <w:r w:rsidRPr="001D0186">
              <w:rPr>
                <w:rFonts w:ascii="Calibri" w:hAnsi="Calibri" w:eastAsia="Times New Roman" w:cs="Calibri"/>
                <w:b/>
                <w:bCs/>
                <w:color w:val="000000"/>
                <w:sz w:val="20"/>
                <w:szCs w:val="20"/>
                <w:lang w:eastAsia="en-US"/>
              </w:rPr>
              <w:t> </w:t>
            </w:r>
          </w:p>
        </w:tc>
        <w:tc>
          <w:tcPr>
            <w:tcW w:w="1223"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252CD2" w:rsidR="00AE701A" w:rsidP="00AE701A" w:rsidRDefault="00AE701A" w14:paraId="2E94B6F1" w14:textId="77777777">
            <w:pPr>
              <w:autoSpaceDE/>
              <w:autoSpaceDN/>
              <w:rPr>
                <w:rFonts w:ascii="Calibri" w:hAnsi="Calibri" w:eastAsia="Times New Roman" w:cs="Calibri"/>
                <w:b/>
                <w:bCs/>
                <w:color w:val="000000"/>
                <w:sz w:val="20"/>
                <w:szCs w:val="20"/>
                <w:lang w:eastAsia="en-US"/>
              </w:rPr>
            </w:pPr>
            <w:r w:rsidRPr="00252CD2">
              <w:rPr>
                <w:rFonts w:ascii="Calibri" w:hAnsi="Calibri" w:eastAsia="Times New Roman" w:cs="Calibri"/>
                <w:b/>
                <w:bCs/>
                <w:color w:val="000000"/>
                <w:sz w:val="20"/>
                <w:szCs w:val="20"/>
                <w:lang w:eastAsia="en-US"/>
              </w:rPr>
              <w:t> </w:t>
            </w:r>
          </w:p>
        </w:tc>
        <w:tc>
          <w:tcPr>
            <w:tcW w:w="108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252CD2" w:rsidR="00AE701A" w:rsidP="00AE701A" w:rsidRDefault="00AE701A" w14:paraId="1A3B134B" w14:textId="77777777">
            <w:pPr>
              <w:autoSpaceDE/>
              <w:autoSpaceDN/>
              <w:rPr>
                <w:rFonts w:ascii="Calibri" w:hAnsi="Calibri" w:eastAsia="Times New Roman" w:cs="Calibri"/>
                <w:b/>
                <w:bCs/>
                <w:color w:val="000000"/>
                <w:sz w:val="20"/>
                <w:szCs w:val="20"/>
                <w:lang w:eastAsia="en-US"/>
              </w:rPr>
            </w:pPr>
            <w:r w:rsidRPr="00252CD2">
              <w:rPr>
                <w:rFonts w:ascii="Calibri" w:hAnsi="Calibri" w:eastAsia="Times New Roman" w:cs="Calibri"/>
                <w:b/>
                <w:bCs/>
                <w:color w:val="000000"/>
                <w:sz w:val="20"/>
                <w:szCs w:val="20"/>
                <w:lang w:eastAsia="en-US"/>
              </w:rPr>
              <w:t> </w:t>
            </w:r>
          </w:p>
        </w:tc>
        <w:tc>
          <w:tcPr>
            <w:tcW w:w="144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252CD2" w:rsidR="00AE701A" w:rsidP="00AE701A" w:rsidRDefault="00AE701A" w14:paraId="675FF29E" w14:textId="77777777">
            <w:pPr>
              <w:autoSpaceDE/>
              <w:autoSpaceDN/>
              <w:rPr>
                <w:rFonts w:ascii="Calibri" w:hAnsi="Calibri" w:eastAsia="Times New Roman" w:cs="Calibri"/>
                <w:b/>
                <w:bCs/>
                <w:color w:val="000000"/>
                <w:sz w:val="20"/>
                <w:szCs w:val="20"/>
                <w:lang w:eastAsia="en-US"/>
              </w:rPr>
            </w:pPr>
            <w:r w:rsidRPr="00252CD2">
              <w:rPr>
                <w:rFonts w:ascii="Calibri" w:hAnsi="Calibri" w:eastAsia="Times New Roman" w:cs="Calibri"/>
                <w:b/>
                <w:bCs/>
                <w:color w:val="000000"/>
                <w:sz w:val="20"/>
                <w:szCs w:val="20"/>
                <w:lang w:eastAsia="en-US"/>
              </w:rPr>
              <w:t> </w:t>
            </w:r>
          </w:p>
        </w:tc>
        <w:tc>
          <w:tcPr>
            <w:tcW w:w="937"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252CD2" w:rsidR="00AE701A" w:rsidP="00AE701A" w:rsidRDefault="00AE701A" w14:paraId="66EB9773" w14:textId="77777777">
            <w:pPr>
              <w:autoSpaceDE/>
              <w:autoSpaceDN/>
              <w:rPr>
                <w:rFonts w:ascii="Calibri" w:hAnsi="Calibri" w:eastAsia="Times New Roman" w:cs="Calibri"/>
                <w:b/>
                <w:bCs/>
                <w:color w:val="000000"/>
                <w:sz w:val="20"/>
                <w:szCs w:val="20"/>
                <w:lang w:eastAsia="en-US"/>
              </w:rPr>
            </w:pPr>
            <w:r w:rsidRPr="00252CD2">
              <w:rPr>
                <w:rFonts w:ascii="Calibri" w:hAnsi="Calibri" w:eastAsia="Times New Roman" w:cs="Calibri"/>
                <w:b/>
                <w:bCs/>
                <w:color w:val="000000"/>
                <w:sz w:val="20"/>
                <w:szCs w:val="20"/>
                <w:lang w:eastAsia="en-US"/>
              </w:rPr>
              <w:t> </w:t>
            </w:r>
          </w:p>
        </w:tc>
        <w:tc>
          <w:tcPr>
            <w:tcW w:w="1607"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252CD2" w:rsidR="00AE701A" w:rsidP="00AE701A" w:rsidRDefault="00AE701A" w14:paraId="771E00DF" w14:textId="77777777">
            <w:pPr>
              <w:autoSpaceDE/>
              <w:autoSpaceDN/>
              <w:rPr>
                <w:rFonts w:ascii="Calibri" w:hAnsi="Calibri" w:eastAsia="Times New Roman" w:cs="Calibri"/>
                <w:b/>
                <w:bCs/>
                <w:color w:val="000000"/>
                <w:sz w:val="20"/>
                <w:szCs w:val="20"/>
                <w:lang w:eastAsia="en-US"/>
              </w:rPr>
            </w:pPr>
            <w:r w:rsidRPr="00252CD2">
              <w:rPr>
                <w:rFonts w:ascii="Calibri" w:hAnsi="Calibri" w:eastAsia="Times New Roman" w:cs="Calibri"/>
                <w:b/>
                <w:bCs/>
                <w:color w:val="000000"/>
                <w:sz w:val="20"/>
                <w:szCs w:val="20"/>
                <w:lang w:eastAsia="en-US"/>
              </w:rPr>
              <w:t> </w:t>
            </w:r>
          </w:p>
        </w:tc>
        <w:tc>
          <w:tcPr>
            <w:tcW w:w="114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252CD2" w:rsidR="00AE701A" w:rsidP="00AE701A" w:rsidRDefault="00AE701A" w14:paraId="55147301" w14:textId="77777777">
            <w:pPr>
              <w:autoSpaceDE/>
              <w:autoSpaceDN/>
              <w:rPr>
                <w:rFonts w:ascii="Calibri" w:hAnsi="Calibri" w:eastAsia="Times New Roman" w:cs="Calibri"/>
                <w:b/>
                <w:bCs/>
                <w:color w:val="000000"/>
                <w:sz w:val="20"/>
                <w:szCs w:val="20"/>
                <w:lang w:eastAsia="en-US"/>
              </w:rPr>
            </w:pPr>
            <w:r w:rsidRPr="00252CD2">
              <w:rPr>
                <w:rFonts w:ascii="Calibri" w:hAnsi="Calibri" w:eastAsia="Times New Roman" w:cs="Calibri"/>
                <w:b/>
                <w:bCs/>
                <w:color w:val="000000"/>
                <w:sz w:val="20"/>
                <w:szCs w:val="20"/>
                <w:lang w:eastAsia="en-US"/>
              </w:rPr>
              <w:t> </w:t>
            </w:r>
          </w:p>
        </w:tc>
      </w:tr>
      <w:tr w:rsidRPr="00AE701A" w:rsidR="00FD5B56" w:rsidTr="00313268" w14:paraId="4CB0A172" w14:textId="77777777">
        <w:trPr>
          <w:trHeight w:val="53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13AB3A8F" w14:textId="77777777">
            <w:pPr>
              <w:autoSpaceDE/>
              <w:autoSpaceDN/>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General and Other Hospitals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B1E6C" w:rsidR="00AE701A" w:rsidP="00AE701A" w:rsidRDefault="00AE701A" w14:paraId="2AF24AA8"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One time</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B4BA7" w:rsidR="00AE701A" w:rsidP="00AE701A" w:rsidRDefault="00AE701A" w14:paraId="2C26C62E" w14:textId="77777777">
            <w:pPr>
              <w:autoSpaceDE/>
              <w:autoSpaceDN/>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Establishment</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340D7" w:rsidR="00AE701A" w:rsidP="00AE701A" w:rsidRDefault="00AE701A" w14:paraId="668DA08F" w14:textId="77777777">
            <w:pPr>
              <w:autoSpaceDE/>
              <w:autoSpaceDN/>
              <w:rPr>
                <w:rFonts w:ascii="Calibri" w:hAnsi="Calibri" w:eastAsia="Times New Roman" w:cs="Calibri"/>
                <w:color w:val="000000"/>
                <w:sz w:val="20"/>
                <w:szCs w:val="20"/>
                <w:lang w:eastAsia="en-US"/>
              </w:rPr>
            </w:pPr>
            <w:r w:rsidRPr="003340D7">
              <w:rPr>
                <w:rFonts w:ascii="Calibri" w:hAnsi="Calibri" w:eastAsia="Times New Roman" w:cs="Calibri"/>
                <w:color w:val="000000"/>
                <w:sz w:val="20"/>
                <w:szCs w:val="20"/>
                <w:lang w:eastAsia="en-US"/>
              </w:rPr>
              <w:t>Physician/ Nurse Practitioner</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D0186" w:rsidR="00AE701A" w:rsidP="00AE701A" w:rsidRDefault="00AE701A" w14:paraId="62558396" w14:textId="77777777">
            <w:pPr>
              <w:autoSpaceDE/>
              <w:autoSpaceDN/>
              <w:jc w:val="right"/>
              <w:rPr>
                <w:rFonts w:ascii="Calibri" w:hAnsi="Calibri" w:eastAsia="Times New Roman" w:cs="Calibri"/>
                <w:color w:val="000000"/>
                <w:sz w:val="20"/>
                <w:szCs w:val="20"/>
                <w:lang w:eastAsia="en-US"/>
              </w:rPr>
            </w:pPr>
            <w:r w:rsidRPr="001D0186">
              <w:rPr>
                <w:rFonts w:ascii="Calibri" w:hAnsi="Calibri" w:eastAsia="Times New Roman" w:cs="Calibri"/>
                <w:color w:val="000000"/>
                <w:sz w:val="20"/>
                <w:szCs w:val="20"/>
                <w:lang w:eastAsia="en-US"/>
              </w:rPr>
              <w:t>7,644</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05A5F214"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6%</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4A44A1E9"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40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46044DC6"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18,345.60</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2E286E83"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$154.71 </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6024594D"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$2,838,247.78 </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6D82C446" w14:textId="40188FC8">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459 </w:t>
            </w:r>
          </w:p>
        </w:tc>
      </w:tr>
      <w:tr w:rsidRPr="00AE701A" w:rsidR="00FD5B56" w:rsidTr="00313268" w14:paraId="50EF74E9" w14:textId="77777777">
        <w:trPr>
          <w:trHeight w:val="82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2F2E8189" w14:textId="77777777">
            <w:pPr>
              <w:autoSpaceDE/>
              <w:autoSpaceDN/>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Nursing Homes, Long Term Care, and Labs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B1E6C" w:rsidR="00AE701A" w:rsidP="00AE701A" w:rsidRDefault="00AE701A" w14:paraId="262C268F"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One time</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B4BA7" w:rsidR="00AE701A" w:rsidP="00AE701A" w:rsidRDefault="00AE701A" w14:paraId="06D001DC" w14:textId="77777777">
            <w:pPr>
              <w:autoSpaceDE/>
              <w:autoSpaceDN/>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Establishment</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340D7" w:rsidR="00AE701A" w:rsidP="00AE701A" w:rsidRDefault="00AE701A" w14:paraId="74E41A74" w14:textId="77777777">
            <w:pPr>
              <w:autoSpaceDE/>
              <w:autoSpaceDN/>
              <w:rPr>
                <w:rFonts w:ascii="Calibri" w:hAnsi="Calibri" w:eastAsia="Times New Roman" w:cs="Calibri"/>
                <w:color w:val="000000"/>
                <w:sz w:val="20"/>
                <w:szCs w:val="20"/>
                <w:lang w:eastAsia="en-US"/>
              </w:rPr>
            </w:pPr>
            <w:r w:rsidRPr="003340D7">
              <w:rPr>
                <w:rFonts w:ascii="Calibri" w:hAnsi="Calibri" w:eastAsia="Times New Roman" w:cs="Calibri"/>
                <w:color w:val="000000"/>
                <w:sz w:val="20"/>
                <w:szCs w:val="20"/>
                <w:lang w:eastAsia="en-US"/>
              </w:rPr>
              <w:t>Physician/ Nurse Practitioner</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D0186" w:rsidR="00AE701A" w:rsidP="00AE701A" w:rsidRDefault="00AE701A" w14:paraId="6DD7C38E" w14:textId="77777777">
            <w:pPr>
              <w:autoSpaceDE/>
              <w:autoSpaceDN/>
              <w:jc w:val="right"/>
              <w:rPr>
                <w:rFonts w:ascii="Calibri" w:hAnsi="Calibri" w:eastAsia="Times New Roman" w:cs="Calibri"/>
                <w:color w:val="000000"/>
                <w:sz w:val="20"/>
                <w:szCs w:val="20"/>
                <w:lang w:eastAsia="en-US"/>
              </w:rPr>
            </w:pPr>
            <w:r w:rsidRPr="001D0186">
              <w:rPr>
                <w:rFonts w:ascii="Calibri" w:hAnsi="Calibri" w:eastAsia="Times New Roman" w:cs="Calibri"/>
                <w:color w:val="000000"/>
                <w:sz w:val="20"/>
                <w:szCs w:val="20"/>
                <w:lang w:eastAsia="en-US"/>
              </w:rPr>
              <w:t>114,313</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097622B0"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10%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141D7668"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49543DA9"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114,313.00</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3FCE59FB"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$154.71 </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6A5EC700"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$17,685,364.23 </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51053C84" w14:textId="0950C31A">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11,431 </w:t>
            </w:r>
          </w:p>
        </w:tc>
      </w:tr>
      <w:tr w:rsidRPr="00AE701A" w:rsidR="00FD5B56" w:rsidTr="00313268" w14:paraId="3F69440D" w14:textId="77777777">
        <w:trPr>
          <w:trHeight w:val="56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0D64EA23" w14:textId="77777777">
            <w:pPr>
              <w:autoSpaceDE/>
              <w:autoSpaceDN/>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Other Patient Care</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B1E6C" w:rsidR="00AE701A" w:rsidP="00AE701A" w:rsidRDefault="00AE701A" w14:paraId="7376EBDF"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One time</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B4BA7" w:rsidR="00AE701A" w:rsidP="00AE701A" w:rsidRDefault="00AE701A" w14:paraId="3443BBD4" w14:textId="77777777">
            <w:pPr>
              <w:autoSpaceDE/>
              <w:autoSpaceDN/>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Establishment</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340D7" w:rsidR="00AE701A" w:rsidP="00AE701A" w:rsidRDefault="00AE701A" w14:paraId="25898A8F" w14:textId="77777777">
            <w:pPr>
              <w:autoSpaceDE/>
              <w:autoSpaceDN/>
              <w:rPr>
                <w:rFonts w:ascii="Calibri" w:hAnsi="Calibri" w:eastAsia="Times New Roman" w:cs="Calibri"/>
                <w:color w:val="000000"/>
                <w:sz w:val="20"/>
                <w:szCs w:val="20"/>
                <w:lang w:eastAsia="en-US"/>
              </w:rPr>
            </w:pPr>
            <w:r w:rsidRPr="003340D7">
              <w:rPr>
                <w:rFonts w:ascii="Calibri" w:hAnsi="Calibri" w:eastAsia="Times New Roman" w:cs="Calibri"/>
                <w:color w:val="000000"/>
                <w:sz w:val="20"/>
                <w:szCs w:val="20"/>
                <w:lang w:eastAsia="en-US"/>
              </w:rPr>
              <w:t>Physician/ Nurse Practitioner</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D0186" w:rsidR="00AE701A" w:rsidP="00AE701A" w:rsidRDefault="00AE701A" w14:paraId="289561EC" w14:textId="77777777">
            <w:pPr>
              <w:autoSpaceDE/>
              <w:autoSpaceDN/>
              <w:jc w:val="right"/>
              <w:rPr>
                <w:rFonts w:ascii="Calibri" w:hAnsi="Calibri" w:eastAsia="Times New Roman" w:cs="Calibri"/>
                <w:color w:val="000000"/>
                <w:sz w:val="20"/>
                <w:szCs w:val="20"/>
                <w:lang w:eastAsia="en-US"/>
              </w:rPr>
            </w:pPr>
            <w:r w:rsidRPr="001D0186">
              <w:rPr>
                <w:rFonts w:ascii="Calibri" w:hAnsi="Calibri" w:eastAsia="Times New Roman" w:cs="Calibri"/>
                <w:color w:val="000000"/>
                <w:sz w:val="20"/>
                <w:szCs w:val="20"/>
                <w:lang w:eastAsia="en-US"/>
              </w:rPr>
              <w:t>558,576</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05DA69A3"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44%</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27134FF5"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2AEF3742"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1,228,867.20</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36279CDE"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$154.71 </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28B9CBD7"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$190,118,044.51 </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7ACDACC0" w14:textId="7A596EF2">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245,773 </w:t>
            </w:r>
          </w:p>
        </w:tc>
      </w:tr>
      <w:tr w:rsidRPr="00AE701A" w:rsidR="00FD5B56" w:rsidTr="00313268" w14:paraId="1C3EC3DC" w14:textId="77777777">
        <w:trPr>
          <w:trHeight w:val="53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44647BC4" w14:textId="77777777">
            <w:pPr>
              <w:autoSpaceDE/>
              <w:autoSpaceDN/>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Home Health Care</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B1E6C" w:rsidR="00AE701A" w:rsidP="00AE701A" w:rsidRDefault="00AE701A" w14:paraId="5DECEE42"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One time</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B4BA7" w:rsidR="00AE701A" w:rsidP="00AE701A" w:rsidRDefault="00AE701A" w14:paraId="657D54EF" w14:textId="77777777">
            <w:pPr>
              <w:autoSpaceDE/>
              <w:autoSpaceDN/>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Establishment</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340D7" w:rsidR="00AE701A" w:rsidP="00AE701A" w:rsidRDefault="00AE701A" w14:paraId="14303170" w14:textId="77777777">
            <w:pPr>
              <w:autoSpaceDE/>
              <w:autoSpaceDN/>
              <w:rPr>
                <w:rFonts w:ascii="Calibri" w:hAnsi="Calibri" w:eastAsia="Times New Roman" w:cs="Calibri"/>
                <w:color w:val="000000"/>
                <w:sz w:val="20"/>
                <w:szCs w:val="20"/>
                <w:lang w:eastAsia="en-US"/>
              </w:rPr>
            </w:pPr>
            <w:r w:rsidRPr="003340D7">
              <w:rPr>
                <w:rFonts w:ascii="Calibri" w:hAnsi="Calibri" w:eastAsia="Times New Roman" w:cs="Calibri"/>
                <w:color w:val="000000"/>
                <w:sz w:val="20"/>
                <w:szCs w:val="20"/>
                <w:lang w:eastAsia="en-US"/>
              </w:rPr>
              <w:t>Physician/ Nurse Practitioner</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D0186" w:rsidR="00AE701A" w:rsidP="00AE701A" w:rsidRDefault="00AE701A" w14:paraId="17E55CA6" w14:textId="77777777">
            <w:pPr>
              <w:autoSpaceDE/>
              <w:autoSpaceDN/>
              <w:jc w:val="right"/>
              <w:rPr>
                <w:rFonts w:ascii="Calibri" w:hAnsi="Calibri" w:eastAsia="Times New Roman" w:cs="Calibri"/>
                <w:color w:val="000000"/>
                <w:sz w:val="20"/>
                <w:szCs w:val="20"/>
                <w:lang w:eastAsia="en-US"/>
              </w:rPr>
            </w:pPr>
            <w:r w:rsidRPr="001D0186">
              <w:rPr>
                <w:rFonts w:ascii="Calibri" w:hAnsi="Calibri" w:eastAsia="Times New Roman" w:cs="Calibri"/>
                <w:color w:val="000000"/>
                <w:sz w:val="20"/>
                <w:szCs w:val="20"/>
                <w:lang w:eastAsia="en-US"/>
              </w:rPr>
              <w:t>35,169</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5520004E"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36%</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47B88C6C"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0DEFEE25"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126,608.40</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488FABED"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$154.71 </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4AC37C90"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$19,587,585.56 </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488E7581" w14:textId="54022416">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12,661 </w:t>
            </w:r>
          </w:p>
        </w:tc>
      </w:tr>
      <w:tr w:rsidRPr="00AE701A" w:rsidR="00FD5B56" w:rsidTr="00313268" w14:paraId="4B75536D" w14:textId="77777777">
        <w:trPr>
          <w:trHeight w:val="88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2EEC9B46" w14:textId="77777777">
            <w:pPr>
              <w:autoSpaceDE/>
              <w:autoSpaceDN/>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First Aid and Emergency Response</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B1E6C" w:rsidR="00AE701A" w:rsidP="00AE701A" w:rsidRDefault="00AE701A" w14:paraId="460DA9CA"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One time</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B4BA7" w:rsidR="00AE701A" w:rsidP="00AE701A" w:rsidRDefault="00AE701A" w14:paraId="153790AA" w14:textId="77777777">
            <w:pPr>
              <w:autoSpaceDE/>
              <w:autoSpaceDN/>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Establishment</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340D7" w:rsidR="00AE701A" w:rsidP="00AE701A" w:rsidRDefault="00AE701A" w14:paraId="0FB57AEA" w14:textId="77777777">
            <w:pPr>
              <w:autoSpaceDE/>
              <w:autoSpaceDN/>
              <w:rPr>
                <w:rFonts w:ascii="Calibri" w:hAnsi="Calibri" w:eastAsia="Times New Roman" w:cs="Calibri"/>
                <w:color w:val="000000"/>
                <w:sz w:val="20"/>
                <w:szCs w:val="20"/>
                <w:lang w:eastAsia="en-US"/>
              </w:rPr>
            </w:pPr>
            <w:r w:rsidRPr="003340D7">
              <w:rPr>
                <w:rFonts w:ascii="Calibri" w:hAnsi="Calibri" w:eastAsia="Times New Roman" w:cs="Calibri"/>
                <w:color w:val="000000"/>
                <w:sz w:val="20"/>
                <w:szCs w:val="20"/>
                <w:lang w:eastAsia="en-US"/>
              </w:rPr>
              <w:t>Physician/ Nurse Practitioner</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D0186" w:rsidR="00AE701A" w:rsidP="00AE701A" w:rsidRDefault="00AE701A" w14:paraId="40391C7A" w14:textId="77777777">
            <w:pPr>
              <w:autoSpaceDE/>
              <w:autoSpaceDN/>
              <w:jc w:val="right"/>
              <w:rPr>
                <w:rFonts w:ascii="Calibri" w:hAnsi="Calibri" w:eastAsia="Times New Roman" w:cs="Calibri"/>
                <w:color w:val="000000"/>
                <w:sz w:val="20"/>
                <w:szCs w:val="20"/>
                <w:lang w:eastAsia="en-US"/>
              </w:rPr>
            </w:pPr>
            <w:r w:rsidRPr="001D0186">
              <w:rPr>
                <w:rFonts w:ascii="Calibri" w:hAnsi="Calibri" w:eastAsia="Times New Roman" w:cs="Calibri"/>
                <w:color w:val="000000"/>
                <w:sz w:val="20"/>
                <w:szCs w:val="20"/>
                <w:lang w:eastAsia="en-US"/>
              </w:rPr>
              <w:t>35,375</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6A065A5F"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34%</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10C5D77D"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10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10E89C3F"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120,275.00</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46BEDB74"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$154.71 </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22F5BE52"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$18,607,745.25 </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489306B6" w14:textId="712F48AA">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12,028 </w:t>
            </w:r>
          </w:p>
        </w:tc>
      </w:tr>
      <w:tr w:rsidRPr="00AE701A" w:rsidR="00FD5B56" w:rsidTr="00313268" w14:paraId="22F65F6D" w14:textId="77777777">
        <w:trPr>
          <w:trHeight w:val="71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60FDDD06" w14:textId="77777777">
            <w:pPr>
              <w:autoSpaceDE/>
              <w:autoSpaceDN/>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School/ Industry Clinics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B1E6C" w:rsidR="00AE701A" w:rsidP="00AE701A" w:rsidRDefault="00AE701A" w14:paraId="06151EFA"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One time</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B4BA7" w:rsidR="00AE701A" w:rsidP="00AE701A" w:rsidRDefault="00AE701A" w14:paraId="73521098" w14:textId="77777777">
            <w:pPr>
              <w:autoSpaceDE/>
              <w:autoSpaceDN/>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Establishment</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340D7" w:rsidR="00AE701A" w:rsidP="00AE701A" w:rsidRDefault="00AE701A" w14:paraId="2E5384C4" w14:textId="77777777">
            <w:pPr>
              <w:autoSpaceDE/>
              <w:autoSpaceDN/>
              <w:rPr>
                <w:rFonts w:ascii="Calibri" w:hAnsi="Calibri" w:eastAsia="Times New Roman" w:cs="Calibri"/>
                <w:color w:val="000000"/>
                <w:sz w:val="20"/>
                <w:szCs w:val="20"/>
                <w:lang w:eastAsia="en-US"/>
              </w:rPr>
            </w:pPr>
            <w:r w:rsidRPr="003340D7">
              <w:rPr>
                <w:rFonts w:ascii="Calibri" w:hAnsi="Calibri" w:eastAsia="Times New Roman" w:cs="Calibri"/>
                <w:color w:val="000000"/>
                <w:sz w:val="20"/>
                <w:szCs w:val="20"/>
                <w:lang w:eastAsia="en-US"/>
              </w:rPr>
              <w:t>Physician/ Nurse Practitioner</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D0186" w:rsidR="00AE701A" w:rsidP="00AE701A" w:rsidRDefault="007C1195" w14:paraId="55191C42" w14:textId="5E50CCC5">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18,954</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3F5DEDA3"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35%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11726201"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741915" w:rsidRDefault="00741915" w14:paraId="6C268765" w14:textId="0E07A34B">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33,169.00</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1D250F07"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$154.71 </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741915" w:rsidRDefault="00AE701A" w14:paraId="31BE3139" w14:textId="6D3A26B2">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w:t>
            </w:r>
            <w:r w:rsidR="00741915">
              <w:rPr>
                <w:rFonts w:ascii="Calibri" w:hAnsi="Calibri" w:eastAsia="Times New Roman" w:cs="Calibri"/>
                <w:color w:val="000000"/>
                <w:sz w:val="20"/>
                <w:szCs w:val="20"/>
                <w:lang w:eastAsia="en-US"/>
              </w:rPr>
              <w:t>5,131,653.35</w:t>
            </w:r>
            <w:r w:rsidRPr="00252CD2">
              <w:rPr>
                <w:rFonts w:ascii="Calibri" w:hAnsi="Calibri" w:eastAsia="Times New Roman" w:cs="Calibri"/>
                <w:color w:val="000000"/>
                <w:sz w:val="20"/>
                <w:szCs w:val="20"/>
                <w:lang w:eastAsia="en-US"/>
              </w:rPr>
              <w:t xml:space="preserve"> </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741915" w:rsidRDefault="00741915" w14:paraId="68731B97" w14:textId="58BAF72E">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6,634</w:t>
            </w:r>
            <w:r w:rsidRPr="00252CD2" w:rsidR="00AE701A">
              <w:rPr>
                <w:rFonts w:ascii="Calibri" w:hAnsi="Calibri" w:eastAsia="Times New Roman" w:cs="Calibri"/>
                <w:color w:val="000000"/>
                <w:sz w:val="20"/>
                <w:szCs w:val="20"/>
                <w:lang w:eastAsia="en-US"/>
              </w:rPr>
              <w:t xml:space="preserve"> </w:t>
            </w:r>
          </w:p>
        </w:tc>
      </w:tr>
      <w:tr w:rsidRPr="00AE701A" w:rsidR="00FD5B56" w:rsidTr="00313268" w14:paraId="41B59EE3" w14:textId="77777777">
        <w:trPr>
          <w:trHeight w:val="71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60B79DD4" w14:textId="77777777">
            <w:pPr>
              <w:autoSpaceDE/>
              <w:autoSpaceDN/>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Correctional Facilities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B1E6C" w:rsidR="00AE701A" w:rsidP="00AE701A" w:rsidRDefault="00AE701A" w14:paraId="7F2EC7EC"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One time</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B4BA7" w:rsidR="00AE701A" w:rsidP="00AE701A" w:rsidRDefault="00AE701A" w14:paraId="40B896E1" w14:textId="77777777">
            <w:pPr>
              <w:autoSpaceDE/>
              <w:autoSpaceDN/>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Establishment</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340D7" w:rsidR="00AE701A" w:rsidP="00AE701A" w:rsidRDefault="00AE701A" w14:paraId="0481102E" w14:textId="77777777">
            <w:pPr>
              <w:autoSpaceDE/>
              <w:autoSpaceDN/>
              <w:rPr>
                <w:rFonts w:ascii="Calibri" w:hAnsi="Calibri" w:eastAsia="Times New Roman" w:cs="Calibri"/>
                <w:color w:val="000000"/>
                <w:sz w:val="20"/>
                <w:szCs w:val="20"/>
                <w:lang w:eastAsia="en-US"/>
              </w:rPr>
            </w:pPr>
            <w:r w:rsidRPr="003340D7">
              <w:rPr>
                <w:rFonts w:ascii="Calibri" w:hAnsi="Calibri" w:eastAsia="Times New Roman" w:cs="Calibri"/>
                <w:color w:val="000000"/>
                <w:sz w:val="20"/>
                <w:szCs w:val="20"/>
                <w:lang w:eastAsia="en-US"/>
              </w:rPr>
              <w:t>Physician/ Nurse Practitioner</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D0186" w:rsidR="00AE701A" w:rsidP="00AE701A" w:rsidRDefault="00AE701A" w14:paraId="66567167" w14:textId="77777777">
            <w:pPr>
              <w:autoSpaceDE/>
              <w:autoSpaceDN/>
              <w:jc w:val="right"/>
              <w:rPr>
                <w:rFonts w:ascii="Calibri" w:hAnsi="Calibri" w:eastAsia="Times New Roman" w:cs="Calibri"/>
                <w:color w:val="000000"/>
                <w:sz w:val="20"/>
                <w:szCs w:val="20"/>
                <w:lang w:eastAsia="en-US"/>
              </w:rPr>
            </w:pPr>
            <w:r w:rsidRPr="001D0186">
              <w:rPr>
                <w:rFonts w:ascii="Calibri" w:hAnsi="Calibri" w:eastAsia="Times New Roman" w:cs="Calibri"/>
                <w:color w:val="000000"/>
                <w:sz w:val="20"/>
                <w:szCs w:val="20"/>
                <w:lang w:eastAsia="en-US"/>
              </w:rPr>
              <w:t>1,680</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1D495B34"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29%</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223CAB1D"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0C7D4D7B"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2,436.00</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3E122846"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$154.71 </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599FCEEF"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$376,873.56 </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30088" w:rsidR="00AE701A" w:rsidP="00AE701A" w:rsidRDefault="00AE701A" w14:paraId="62D287EE" w14:textId="24DCCCE9">
            <w:pPr>
              <w:autoSpaceDE/>
              <w:autoSpaceDN/>
              <w:jc w:val="right"/>
              <w:rPr>
                <w:rFonts w:ascii="Calibri" w:hAnsi="Calibri" w:eastAsia="Times New Roman" w:cs="Calibri"/>
                <w:color w:val="000000"/>
                <w:sz w:val="20"/>
                <w:szCs w:val="20"/>
                <w:lang w:eastAsia="en-US"/>
              </w:rPr>
            </w:pPr>
            <w:r w:rsidRPr="00930088">
              <w:rPr>
                <w:rFonts w:ascii="Calibri" w:hAnsi="Calibri" w:eastAsia="Times New Roman" w:cs="Calibri"/>
                <w:color w:val="000000"/>
                <w:sz w:val="20"/>
                <w:szCs w:val="20"/>
                <w:lang w:eastAsia="en-US"/>
              </w:rPr>
              <w:t xml:space="preserve">487 </w:t>
            </w:r>
          </w:p>
        </w:tc>
      </w:tr>
      <w:tr w:rsidRPr="00AE701A" w:rsidR="00091560" w:rsidTr="008078A1" w14:paraId="6D977A4C" w14:textId="77777777">
        <w:trPr>
          <w:trHeight w:val="300"/>
        </w:trPr>
        <w:tc>
          <w:tcPr>
            <w:tcW w:w="14321" w:type="dxa"/>
            <w:gridSpan w:val="11"/>
            <w:tcBorders>
              <w:top w:val="single" w:color="auto" w:sz="4" w:space="0"/>
              <w:left w:val="single" w:color="auto" w:sz="4" w:space="0"/>
              <w:bottom w:val="single" w:color="auto" w:sz="4" w:space="0"/>
              <w:right w:val="single" w:color="auto" w:sz="4" w:space="0"/>
            </w:tcBorders>
            <w:shd w:val="clear" w:color="000000" w:fill="D9E1F2"/>
            <w:vAlign w:val="center"/>
            <w:hideMark/>
          </w:tcPr>
          <w:p w:rsidRPr="00520C25" w:rsidR="00AE701A" w:rsidP="00AE701A" w:rsidRDefault="00AE701A" w14:paraId="196C5F7A" w14:textId="77777777">
            <w:pPr>
              <w:autoSpaceDE/>
              <w:autoSpaceDN/>
              <w:rPr>
                <w:rFonts w:ascii="Calibri" w:hAnsi="Calibri" w:eastAsia="Times New Roman" w:cs="Calibri"/>
                <w:b/>
                <w:bCs/>
                <w:color w:val="000000"/>
                <w:sz w:val="20"/>
                <w:szCs w:val="20"/>
                <w:lang w:eastAsia="en-US"/>
              </w:rPr>
            </w:pPr>
            <w:r w:rsidRPr="00520C25">
              <w:rPr>
                <w:rFonts w:ascii="Calibri" w:hAnsi="Calibri" w:eastAsia="Times New Roman" w:cs="Calibri"/>
                <w:b/>
                <w:bCs/>
                <w:color w:val="000000"/>
                <w:sz w:val="20"/>
                <w:szCs w:val="20"/>
                <w:lang w:eastAsia="en-US"/>
              </w:rPr>
              <w:t>b. Maintain Plan</w:t>
            </w:r>
          </w:p>
        </w:tc>
      </w:tr>
      <w:tr w:rsidRPr="00AE701A" w:rsidR="00FD5B56" w:rsidTr="00313268" w14:paraId="3AA8ACF0" w14:textId="77777777">
        <w:trPr>
          <w:trHeight w:val="29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673BB18A" w14:textId="77777777">
            <w:pPr>
              <w:autoSpaceDE/>
              <w:autoSpaceDN/>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 xml:space="preserve">General Hospitals </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B1E6C" w:rsidR="00AE701A" w:rsidP="00AE701A" w:rsidRDefault="00AE701A" w14:paraId="7816E5C1"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One Time / Weekly</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7B4BA7" w:rsidR="00AE701A" w:rsidP="00AE701A" w:rsidRDefault="00AE701A" w14:paraId="21790929" w14:textId="1449A4CD">
            <w:pPr>
              <w:autoSpaceDE/>
              <w:autoSpaceDN/>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Establishment</w:t>
            </w:r>
          </w:p>
        </w:tc>
        <w:tc>
          <w:tcPr>
            <w:tcW w:w="1404"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3340D7" w:rsidR="00AE701A" w:rsidP="00AE701A" w:rsidRDefault="00AE701A" w14:paraId="3B614109" w14:textId="77777777">
            <w:pPr>
              <w:autoSpaceDE/>
              <w:autoSpaceDN/>
              <w:rPr>
                <w:rFonts w:ascii="Calibri" w:hAnsi="Calibri" w:eastAsia="Times New Roman" w:cs="Calibri"/>
                <w:color w:val="000000"/>
                <w:sz w:val="20"/>
                <w:szCs w:val="20"/>
                <w:lang w:eastAsia="en-US"/>
              </w:rPr>
            </w:pPr>
            <w:r w:rsidRPr="003340D7">
              <w:rPr>
                <w:rFonts w:ascii="Calibri" w:hAnsi="Calibri" w:eastAsia="Times New Roman" w:cs="Calibri"/>
                <w:color w:val="000000"/>
                <w:sz w:val="20"/>
                <w:szCs w:val="20"/>
                <w:lang w:eastAsia="en-US"/>
              </w:rPr>
              <w:t>OH&amp;S Specialist</w:t>
            </w:r>
          </w:p>
        </w:tc>
        <w:tc>
          <w:tcPr>
            <w:tcW w:w="1170" w:type="dxa"/>
            <w:vMerge w:val="restart"/>
            <w:tcBorders>
              <w:top w:val="single" w:color="auto" w:sz="4" w:space="0"/>
              <w:left w:val="single" w:color="auto" w:sz="4" w:space="0"/>
              <w:bottom w:val="single" w:color="auto" w:sz="4" w:space="0"/>
              <w:right w:val="single" w:color="auto" w:sz="4" w:space="0"/>
            </w:tcBorders>
            <w:shd w:val="clear" w:color="000000" w:fill="FFFFFF"/>
            <w:vAlign w:val="center"/>
            <w:hideMark/>
          </w:tcPr>
          <w:p w:rsidRPr="001D0186" w:rsidR="00AE701A" w:rsidP="00AE701A" w:rsidRDefault="00AE701A" w14:paraId="1D08D9A0" w14:textId="77777777">
            <w:pPr>
              <w:autoSpaceDE/>
              <w:autoSpaceDN/>
              <w:jc w:val="right"/>
              <w:rPr>
                <w:rFonts w:ascii="Calibri" w:hAnsi="Calibri" w:eastAsia="Times New Roman" w:cs="Calibri"/>
                <w:color w:val="000000"/>
                <w:sz w:val="20"/>
                <w:szCs w:val="20"/>
                <w:lang w:eastAsia="en-US"/>
              </w:rPr>
            </w:pPr>
            <w:r w:rsidRPr="001D0186">
              <w:rPr>
                <w:rFonts w:ascii="Calibri" w:hAnsi="Calibri" w:eastAsia="Times New Roman" w:cs="Calibri"/>
                <w:color w:val="000000"/>
                <w:sz w:val="20"/>
                <w:szCs w:val="20"/>
                <w:lang w:eastAsia="en-US"/>
              </w:rPr>
              <w:t>5,281</w:t>
            </w:r>
          </w:p>
        </w:tc>
        <w:tc>
          <w:tcPr>
            <w:tcW w:w="1223"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7791A36B"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6%</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293726F9"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30.14</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43DEF5E6" w14:textId="42947045">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9</w:t>
            </w:r>
            <w:r w:rsidR="00741915">
              <w:rPr>
                <w:rFonts w:ascii="Calibri" w:hAnsi="Calibri" w:eastAsia="Times New Roman" w:cs="Calibri"/>
                <w:color w:val="000000"/>
                <w:sz w:val="20"/>
                <w:szCs w:val="20"/>
                <w:lang w:eastAsia="en-US"/>
              </w:rPr>
              <w:t>,</w:t>
            </w:r>
            <w:r w:rsidRPr="00252CD2">
              <w:rPr>
                <w:rFonts w:ascii="Calibri" w:hAnsi="Calibri" w:eastAsia="Times New Roman" w:cs="Calibri"/>
                <w:color w:val="000000"/>
                <w:sz w:val="20"/>
                <w:szCs w:val="20"/>
                <w:lang w:eastAsia="en-US"/>
              </w:rPr>
              <w:t>550.52</w:t>
            </w:r>
          </w:p>
        </w:tc>
        <w:tc>
          <w:tcPr>
            <w:tcW w:w="93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5B8C516B"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$59.20 </w:t>
            </w:r>
          </w:p>
        </w:tc>
        <w:tc>
          <w:tcPr>
            <w:tcW w:w="160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311C600C"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$565,390.91 </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930088" w:rsidR="00AE701A" w:rsidP="00AE701A" w:rsidRDefault="00AE701A" w14:paraId="289D6E99" w14:textId="376AAAAC">
            <w:pPr>
              <w:autoSpaceDE/>
              <w:autoSpaceDN/>
              <w:jc w:val="right"/>
              <w:rPr>
                <w:rFonts w:ascii="Calibri" w:hAnsi="Calibri" w:eastAsia="Times New Roman" w:cs="Calibri"/>
                <w:color w:val="000000"/>
                <w:sz w:val="20"/>
                <w:szCs w:val="20"/>
                <w:lang w:eastAsia="en-US"/>
              </w:rPr>
            </w:pPr>
            <w:r w:rsidRPr="00930088">
              <w:rPr>
                <w:rFonts w:ascii="Calibri" w:hAnsi="Calibri" w:eastAsia="Times New Roman" w:cs="Calibri"/>
                <w:color w:val="000000"/>
                <w:sz w:val="20"/>
                <w:szCs w:val="20"/>
                <w:lang w:eastAsia="en-US"/>
              </w:rPr>
              <w:t xml:space="preserve">317 </w:t>
            </w:r>
          </w:p>
        </w:tc>
      </w:tr>
      <w:tr w:rsidRPr="00AE701A" w:rsidR="00FD5B56" w:rsidTr="00313268" w14:paraId="740D414D" w14:textId="77777777">
        <w:trPr>
          <w:trHeight w:val="30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73FF465B" w14:textId="77777777">
            <w:pPr>
              <w:autoSpaceDE/>
              <w:autoSpaceDN/>
              <w:jc w:val="right"/>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 </w:t>
            </w:r>
          </w:p>
        </w:tc>
        <w:tc>
          <w:tcPr>
            <w:tcW w:w="126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233B02BA"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29E4622D" w14:textId="77777777">
            <w:pPr>
              <w:autoSpaceDE/>
              <w:autoSpaceDN/>
              <w:rPr>
                <w:rFonts w:ascii="Calibri" w:hAnsi="Calibri" w:eastAsia="Times New Roman" w:cs="Calibri"/>
                <w:color w:val="000000"/>
                <w:sz w:val="20"/>
                <w:szCs w:val="20"/>
                <w:lang w:eastAsia="en-US"/>
              </w:rPr>
            </w:pPr>
          </w:p>
        </w:tc>
        <w:tc>
          <w:tcPr>
            <w:tcW w:w="1404"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39973290" w14:textId="77777777">
            <w:pPr>
              <w:autoSpaceDE/>
              <w:autoSpaceDN/>
              <w:rPr>
                <w:rFonts w:ascii="Calibri" w:hAnsi="Calibri" w:eastAsia="Times New Roman" w:cs="Calibri"/>
                <w:color w:val="000000"/>
                <w:sz w:val="20"/>
                <w:szCs w:val="20"/>
                <w:lang w:eastAsia="en-US"/>
              </w:rPr>
            </w:pPr>
          </w:p>
        </w:tc>
        <w:tc>
          <w:tcPr>
            <w:tcW w:w="117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787B8C76" w14:textId="77777777">
            <w:pPr>
              <w:autoSpaceDE/>
              <w:autoSpaceDN/>
              <w:rPr>
                <w:rFonts w:ascii="Calibri" w:hAnsi="Calibri" w:eastAsia="Times New Roman" w:cs="Calibri"/>
                <w:color w:val="000000"/>
                <w:sz w:val="20"/>
                <w:szCs w:val="20"/>
                <w:lang w:eastAsia="en-US"/>
              </w:rPr>
            </w:pPr>
          </w:p>
        </w:tc>
        <w:tc>
          <w:tcPr>
            <w:tcW w:w="1223"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36C87604" w14:textId="77777777">
            <w:pPr>
              <w:autoSpaceDE/>
              <w:autoSpaceDN/>
              <w:rPr>
                <w:rFonts w:ascii="Calibri" w:hAnsi="Calibri" w:eastAsia="Times New Roman" w:cs="Calibri"/>
                <w:color w:val="000000"/>
                <w:sz w:val="20"/>
                <w:szCs w:val="20"/>
                <w:lang w:eastAsia="en-US"/>
              </w:rPr>
            </w:pPr>
          </w:p>
        </w:tc>
        <w:tc>
          <w:tcPr>
            <w:tcW w:w="108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436447B4"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791F8C78" w14:textId="77777777">
            <w:pPr>
              <w:autoSpaceDE/>
              <w:autoSpaceDN/>
              <w:rPr>
                <w:rFonts w:ascii="Calibri" w:hAnsi="Calibri" w:eastAsia="Times New Roman" w:cs="Calibri"/>
                <w:color w:val="000000"/>
                <w:sz w:val="20"/>
                <w:szCs w:val="20"/>
                <w:lang w:eastAsia="en-US"/>
              </w:rPr>
            </w:pPr>
          </w:p>
        </w:tc>
        <w:tc>
          <w:tcPr>
            <w:tcW w:w="937"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4A5CCDC1" w14:textId="77777777">
            <w:pPr>
              <w:autoSpaceDE/>
              <w:autoSpaceDN/>
              <w:rPr>
                <w:rFonts w:ascii="Calibri" w:hAnsi="Calibri" w:eastAsia="Times New Roman" w:cs="Calibri"/>
                <w:color w:val="000000"/>
                <w:sz w:val="20"/>
                <w:szCs w:val="20"/>
                <w:lang w:eastAsia="en-US"/>
              </w:rPr>
            </w:pPr>
          </w:p>
        </w:tc>
        <w:tc>
          <w:tcPr>
            <w:tcW w:w="1607"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654E502F" w14:textId="77777777">
            <w:pPr>
              <w:autoSpaceDE/>
              <w:autoSpaceDN/>
              <w:rPr>
                <w:rFonts w:ascii="Calibri" w:hAnsi="Calibri" w:eastAsia="Times New Roman" w:cs="Calibri"/>
                <w:color w:val="000000"/>
                <w:sz w:val="20"/>
                <w:szCs w:val="20"/>
                <w:lang w:eastAsia="en-US"/>
              </w:rPr>
            </w:pPr>
          </w:p>
        </w:tc>
        <w:tc>
          <w:tcPr>
            <w:tcW w:w="11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08670A92" w14:textId="77777777">
            <w:pPr>
              <w:autoSpaceDE/>
              <w:autoSpaceDN/>
              <w:rPr>
                <w:rFonts w:ascii="Calibri" w:hAnsi="Calibri" w:eastAsia="Times New Roman" w:cs="Calibri"/>
                <w:color w:val="000000"/>
                <w:sz w:val="20"/>
                <w:szCs w:val="20"/>
                <w:lang w:eastAsia="en-US"/>
              </w:rPr>
            </w:pPr>
          </w:p>
        </w:tc>
      </w:tr>
      <w:tr w:rsidRPr="00AE701A" w:rsidR="00FD5B56" w:rsidTr="00313268" w14:paraId="6DF20B42" w14:textId="77777777">
        <w:trPr>
          <w:trHeight w:val="29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3B8F2501" w14:textId="77777777">
            <w:pPr>
              <w:autoSpaceDE/>
              <w:autoSpaceDN/>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 xml:space="preserve"> Other Hospitals</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B1E6C" w:rsidR="00AE701A" w:rsidP="00AE701A" w:rsidRDefault="00AE701A" w14:paraId="7D8B5EEB"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One Time / Weekly</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7B4BA7" w:rsidR="00AE701A" w:rsidP="00AE701A" w:rsidRDefault="00AE701A" w14:paraId="66C5491E" w14:textId="684416A6">
            <w:pPr>
              <w:autoSpaceDE/>
              <w:autoSpaceDN/>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Establishment</w:t>
            </w:r>
          </w:p>
        </w:tc>
        <w:tc>
          <w:tcPr>
            <w:tcW w:w="1404"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3340D7" w:rsidR="00AE701A" w:rsidP="00AE701A" w:rsidRDefault="00AE701A" w14:paraId="3992E588" w14:textId="77777777">
            <w:pPr>
              <w:autoSpaceDE/>
              <w:autoSpaceDN/>
              <w:rPr>
                <w:rFonts w:ascii="Calibri" w:hAnsi="Calibri" w:eastAsia="Times New Roman" w:cs="Calibri"/>
                <w:color w:val="000000"/>
                <w:sz w:val="20"/>
                <w:szCs w:val="20"/>
                <w:lang w:eastAsia="en-US"/>
              </w:rPr>
            </w:pPr>
            <w:r w:rsidRPr="003340D7">
              <w:rPr>
                <w:rFonts w:ascii="Calibri" w:hAnsi="Calibri" w:eastAsia="Times New Roman" w:cs="Calibri"/>
                <w:color w:val="000000"/>
                <w:sz w:val="20"/>
                <w:szCs w:val="20"/>
                <w:lang w:eastAsia="en-US"/>
              </w:rPr>
              <w:t>OH&amp;S Specialist</w:t>
            </w:r>
          </w:p>
        </w:tc>
        <w:tc>
          <w:tcPr>
            <w:tcW w:w="1170" w:type="dxa"/>
            <w:vMerge w:val="restart"/>
            <w:tcBorders>
              <w:top w:val="single" w:color="auto" w:sz="4" w:space="0"/>
              <w:left w:val="single" w:color="auto" w:sz="4" w:space="0"/>
              <w:bottom w:val="single" w:color="auto" w:sz="4" w:space="0"/>
              <w:right w:val="single" w:color="auto" w:sz="4" w:space="0"/>
            </w:tcBorders>
            <w:shd w:val="clear" w:color="000000" w:fill="FFFFFF"/>
            <w:vAlign w:val="center"/>
            <w:hideMark/>
          </w:tcPr>
          <w:p w:rsidRPr="001D0186" w:rsidR="00AE701A" w:rsidP="00AE701A" w:rsidRDefault="00AE701A" w14:paraId="537C5FE2" w14:textId="77777777">
            <w:pPr>
              <w:autoSpaceDE/>
              <w:autoSpaceDN/>
              <w:jc w:val="right"/>
              <w:rPr>
                <w:rFonts w:ascii="Calibri" w:hAnsi="Calibri" w:eastAsia="Times New Roman" w:cs="Calibri"/>
                <w:color w:val="000000"/>
                <w:sz w:val="20"/>
                <w:szCs w:val="20"/>
                <w:lang w:eastAsia="en-US"/>
              </w:rPr>
            </w:pPr>
            <w:r w:rsidRPr="001D0186">
              <w:rPr>
                <w:rFonts w:ascii="Calibri" w:hAnsi="Calibri" w:eastAsia="Times New Roman" w:cs="Calibri"/>
                <w:color w:val="000000"/>
                <w:sz w:val="20"/>
                <w:szCs w:val="20"/>
                <w:lang w:eastAsia="en-US"/>
              </w:rPr>
              <w:t>2,363</w:t>
            </w:r>
          </w:p>
        </w:tc>
        <w:tc>
          <w:tcPr>
            <w:tcW w:w="1223"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657733E5"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6%</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290ECD62"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29.92</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37E9DF60" w14:textId="7BE29DAA">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4</w:t>
            </w:r>
            <w:r w:rsidR="00741915">
              <w:rPr>
                <w:rFonts w:ascii="Calibri" w:hAnsi="Calibri" w:eastAsia="Times New Roman" w:cs="Calibri"/>
                <w:color w:val="000000"/>
                <w:sz w:val="20"/>
                <w:szCs w:val="20"/>
                <w:lang w:eastAsia="en-US"/>
              </w:rPr>
              <w:t>,</w:t>
            </w:r>
            <w:r w:rsidRPr="00252CD2">
              <w:rPr>
                <w:rFonts w:ascii="Calibri" w:hAnsi="Calibri" w:eastAsia="Times New Roman" w:cs="Calibri"/>
                <w:color w:val="000000"/>
                <w:sz w:val="20"/>
                <w:szCs w:val="20"/>
                <w:lang w:eastAsia="en-US"/>
              </w:rPr>
              <w:t>242.29</w:t>
            </w:r>
          </w:p>
        </w:tc>
        <w:tc>
          <w:tcPr>
            <w:tcW w:w="93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222B3740"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$59.20 </w:t>
            </w:r>
          </w:p>
        </w:tc>
        <w:tc>
          <w:tcPr>
            <w:tcW w:w="160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6EF34FC3"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$251,143.63 </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930088" w:rsidR="00AE701A" w:rsidP="00AE701A" w:rsidRDefault="00AE701A" w14:paraId="0747F0EB" w14:textId="12225CA2">
            <w:pPr>
              <w:autoSpaceDE/>
              <w:autoSpaceDN/>
              <w:jc w:val="right"/>
              <w:rPr>
                <w:rFonts w:ascii="Calibri" w:hAnsi="Calibri" w:eastAsia="Times New Roman" w:cs="Calibri"/>
                <w:color w:val="000000"/>
                <w:sz w:val="20"/>
                <w:szCs w:val="20"/>
                <w:lang w:eastAsia="en-US"/>
              </w:rPr>
            </w:pPr>
            <w:r w:rsidRPr="00930088">
              <w:rPr>
                <w:rFonts w:ascii="Calibri" w:hAnsi="Calibri" w:eastAsia="Times New Roman" w:cs="Calibri"/>
                <w:color w:val="000000"/>
                <w:sz w:val="20"/>
                <w:szCs w:val="20"/>
                <w:lang w:eastAsia="en-US"/>
              </w:rPr>
              <w:t xml:space="preserve">142 </w:t>
            </w:r>
          </w:p>
        </w:tc>
      </w:tr>
      <w:tr w:rsidRPr="00AE701A" w:rsidR="00FD5B56" w:rsidTr="00313268" w14:paraId="5C1A6583" w14:textId="77777777">
        <w:trPr>
          <w:trHeight w:val="30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79A6E367" w14:textId="77777777">
            <w:pPr>
              <w:autoSpaceDE/>
              <w:autoSpaceDN/>
              <w:jc w:val="right"/>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 </w:t>
            </w:r>
          </w:p>
        </w:tc>
        <w:tc>
          <w:tcPr>
            <w:tcW w:w="126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126ECD26"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3FC0DF7B" w14:textId="77777777">
            <w:pPr>
              <w:autoSpaceDE/>
              <w:autoSpaceDN/>
              <w:rPr>
                <w:rFonts w:ascii="Calibri" w:hAnsi="Calibri" w:eastAsia="Times New Roman" w:cs="Calibri"/>
                <w:color w:val="000000"/>
                <w:sz w:val="20"/>
                <w:szCs w:val="20"/>
                <w:lang w:eastAsia="en-US"/>
              </w:rPr>
            </w:pPr>
          </w:p>
        </w:tc>
        <w:tc>
          <w:tcPr>
            <w:tcW w:w="1404"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654A3FC2" w14:textId="77777777">
            <w:pPr>
              <w:autoSpaceDE/>
              <w:autoSpaceDN/>
              <w:rPr>
                <w:rFonts w:ascii="Calibri" w:hAnsi="Calibri" w:eastAsia="Times New Roman" w:cs="Calibri"/>
                <w:color w:val="000000"/>
                <w:sz w:val="20"/>
                <w:szCs w:val="20"/>
                <w:lang w:eastAsia="en-US"/>
              </w:rPr>
            </w:pPr>
          </w:p>
        </w:tc>
        <w:tc>
          <w:tcPr>
            <w:tcW w:w="117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6C7CD9A7" w14:textId="77777777">
            <w:pPr>
              <w:autoSpaceDE/>
              <w:autoSpaceDN/>
              <w:rPr>
                <w:rFonts w:ascii="Calibri" w:hAnsi="Calibri" w:eastAsia="Times New Roman" w:cs="Calibri"/>
                <w:color w:val="000000"/>
                <w:sz w:val="20"/>
                <w:szCs w:val="20"/>
                <w:lang w:eastAsia="en-US"/>
              </w:rPr>
            </w:pPr>
          </w:p>
        </w:tc>
        <w:tc>
          <w:tcPr>
            <w:tcW w:w="1223"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0CB6D641" w14:textId="77777777">
            <w:pPr>
              <w:autoSpaceDE/>
              <w:autoSpaceDN/>
              <w:rPr>
                <w:rFonts w:ascii="Calibri" w:hAnsi="Calibri" w:eastAsia="Times New Roman" w:cs="Calibri"/>
                <w:color w:val="000000"/>
                <w:sz w:val="20"/>
                <w:szCs w:val="20"/>
                <w:lang w:eastAsia="en-US"/>
              </w:rPr>
            </w:pPr>
          </w:p>
        </w:tc>
        <w:tc>
          <w:tcPr>
            <w:tcW w:w="108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5D463562"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697ACC29" w14:textId="77777777">
            <w:pPr>
              <w:autoSpaceDE/>
              <w:autoSpaceDN/>
              <w:rPr>
                <w:rFonts w:ascii="Calibri" w:hAnsi="Calibri" w:eastAsia="Times New Roman" w:cs="Calibri"/>
                <w:color w:val="000000"/>
                <w:sz w:val="20"/>
                <w:szCs w:val="20"/>
                <w:lang w:eastAsia="en-US"/>
              </w:rPr>
            </w:pPr>
          </w:p>
        </w:tc>
        <w:tc>
          <w:tcPr>
            <w:tcW w:w="937"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26F73FC0" w14:textId="77777777">
            <w:pPr>
              <w:autoSpaceDE/>
              <w:autoSpaceDN/>
              <w:rPr>
                <w:rFonts w:ascii="Calibri" w:hAnsi="Calibri" w:eastAsia="Times New Roman" w:cs="Calibri"/>
                <w:color w:val="000000"/>
                <w:sz w:val="20"/>
                <w:szCs w:val="20"/>
                <w:lang w:eastAsia="en-US"/>
              </w:rPr>
            </w:pPr>
          </w:p>
        </w:tc>
        <w:tc>
          <w:tcPr>
            <w:tcW w:w="1607"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76557014" w14:textId="77777777">
            <w:pPr>
              <w:autoSpaceDE/>
              <w:autoSpaceDN/>
              <w:rPr>
                <w:rFonts w:ascii="Calibri" w:hAnsi="Calibri" w:eastAsia="Times New Roman" w:cs="Calibri"/>
                <w:color w:val="000000"/>
                <w:sz w:val="20"/>
                <w:szCs w:val="20"/>
                <w:lang w:eastAsia="en-US"/>
              </w:rPr>
            </w:pPr>
          </w:p>
        </w:tc>
        <w:tc>
          <w:tcPr>
            <w:tcW w:w="11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46B9AC79" w14:textId="77777777">
            <w:pPr>
              <w:autoSpaceDE/>
              <w:autoSpaceDN/>
              <w:rPr>
                <w:rFonts w:ascii="Calibri" w:hAnsi="Calibri" w:eastAsia="Times New Roman" w:cs="Calibri"/>
                <w:color w:val="000000"/>
                <w:sz w:val="20"/>
                <w:szCs w:val="20"/>
                <w:lang w:eastAsia="en-US"/>
              </w:rPr>
            </w:pPr>
          </w:p>
        </w:tc>
      </w:tr>
      <w:tr w:rsidRPr="00AE701A" w:rsidR="00FD5B56" w:rsidTr="00313268" w14:paraId="72CE9345" w14:textId="77777777">
        <w:trPr>
          <w:trHeight w:val="29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7BB53E55" w14:textId="77777777">
            <w:pPr>
              <w:autoSpaceDE/>
              <w:autoSpaceDN/>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Nursing Homes</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B1E6C" w:rsidR="00AE701A" w:rsidP="00AE701A" w:rsidRDefault="00AE701A" w14:paraId="73254AB9"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One Time / Weekly</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7B4BA7" w:rsidR="00AE701A" w:rsidP="00AE701A" w:rsidRDefault="00AE701A" w14:paraId="78B0812E" w14:textId="1725D7C4">
            <w:pPr>
              <w:autoSpaceDE/>
              <w:autoSpaceDN/>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Establishment</w:t>
            </w:r>
          </w:p>
        </w:tc>
        <w:tc>
          <w:tcPr>
            <w:tcW w:w="1404"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3340D7" w:rsidR="00AE701A" w:rsidP="00AE701A" w:rsidRDefault="00AE701A" w14:paraId="2658CA28" w14:textId="77777777">
            <w:pPr>
              <w:autoSpaceDE/>
              <w:autoSpaceDN/>
              <w:rPr>
                <w:rFonts w:ascii="Calibri" w:hAnsi="Calibri" w:eastAsia="Times New Roman" w:cs="Calibri"/>
                <w:color w:val="000000"/>
                <w:sz w:val="20"/>
                <w:szCs w:val="20"/>
                <w:lang w:eastAsia="en-US"/>
              </w:rPr>
            </w:pPr>
            <w:r w:rsidRPr="003340D7">
              <w:rPr>
                <w:rFonts w:ascii="Calibri" w:hAnsi="Calibri" w:eastAsia="Times New Roman" w:cs="Calibri"/>
                <w:color w:val="000000"/>
                <w:sz w:val="20"/>
                <w:szCs w:val="20"/>
                <w:lang w:eastAsia="en-US"/>
              </w:rPr>
              <w:t>OH&amp;S Specialist</w:t>
            </w:r>
          </w:p>
        </w:tc>
        <w:tc>
          <w:tcPr>
            <w:tcW w:w="1170" w:type="dxa"/>
            <w:vMerge w:val="restart"/>
            <w:tcBorders>
              <w:top w:val="single" w:color="auto" w:sz="4" w:space="0"/>
              <w:left w:val="single" w:color="auto" w:sz="4" w:space="0"/>
              <w:bottom w:val="single" w:color="auto" w:sz="4" w:space="0"/>
              <w:right w:val="single" w:color="auto" w:sz="4" w:space="0"/>
            </w:tcBorders>
            <w:shd w:val="clear" w:color="000000" w:fill="FFFFFF"/>
            <w:vAlign w:val="center"/>
            <w:hideMark/>
          </w:tcPr>
          <w:p w:rsidRPr="001D0186" w:rsidR="00AE701A" w:rsidP="00AE701A" w:rsidRDefault="00AE701A" w14:paraId="37503188" w14:textId="77777777">
            <w:pPr>
              <w:autoSpaceDE/>
              <w:autoSpaceDN/>
              <w:jc w:val="right"/>
              <w:rPr>
                <w:rFonts w:ascii="Calibri" w:hAnsi="Calibri" w:eastAsia="Times New Roman" w:cs="Calibri"/>
                <w:color w:val="000000"/>
                <w:sz w:val="20"/>
                <w:szCs w:val="20"/>
                <w:lang w:eastAsia="en-US"/>
              </w:rPr>
            </w:pPr>
            <w:r w:rsidRPr="001D0186">
              <w:rPr>
                <w:rFonts w:ascii="Calibri" w:hAnsi="Calibri" w:eastAsia="Times New Roman" w:cs="Calibri"/>
                <w:color w:val="000000"/>
                <w:sz w:val="20"/>
                <w:szCs w:val="20"/>
                <w:lang w:eastAsia="en-US"/>
              </w:rPr>
              <w:t>42,759</w:t>
            </w:r>
          </w:p>
        </w:tc>
        <w:tc>
          <w:tcPr>
            <w:tcW w:w="1223"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1A88EF72"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10%</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1256B55E"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25.27</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23789F88" w14:textId="5C02A2AB">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108</w:t>
            </w:r>
            <w:r w:rsidR="00741915">
              <w:rPr>
                <w:rFonts w:ascii="Calibri" w:hAnsi="Calibri" w:eastAsia="Times New Roman" w:cs="Calibri"/>
                <w:color w:val="000000"/>
                <w:sz w:val="20"/>
                <w:szCs w:val="20"/>
                <w:lang w:eastAsia="en-US"/>
              </w:rPr>
              <w:t>,</w:t>
            </w:r>
            <w:r w:rsidRPr="00252CD2">
              <w:rPr>
                <w:rFonts w:ascii="Calibri" w:hAnsi="Calibri" w:eastAsia="Times New Roman" w:cs="Calibri"/>
                <w:color w:val="000000"/>
                <w:sz w:val="20"/>
                <w:szCs w:val="20"/>
                <w:lang w:eastAsia="en-US"/>
              </w:rPr>
              <w:t>052.85</w:t>
            </w:r>
          </w:p>
        </w:tc>
        <w:tc>
          <w:tcPr>
            <w:tcW w:w="93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658CE9B7"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$59.20 </w:t>
            </w:r>
          </w:p>
        </w:tc>
        <w:tc>
          <w:tcPr>
            <w:tcW w:w="160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69EEEBFE"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$6,396,728.85 </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930088" w:rsidR="00AE701A" w:rsidP="00AE701A" w:rsidRDefault="00AE701A" w14:paraId="0DE0594D" w14:textId="4B4865A7">
            <w:pPr>
              <w:autoSpaceDE/>
              <w:autoSpaceDN/>
              <w:jc w:val="right"/>
              <w:rPr>
                <w:rFonts w:ascii="Calibri" w:hAnsi="Calibri" w:eastAsia="Times New Roman" w:cs="Calibri"/>
                <w:color w:val="000000"/>
                <w:sz w:val="20"/>
                <w:szCs w:val="20"/>
                <w:lang w:eastAsia="en-US"/>
              </w:rPr>
            </w:pPr>
            <w:r w:rsidRPr="00930088">
              <w:rPr>
                <w:rFonts w:ascii="Calibri" w:hAnsi="Calibri" w:eastAsia="Times New Roman" w:cs="Calibri"/>
                <w:color w:val="000000"/>
                <w:sz w:val="20"/>
                <w:szCs w:val="20"/>
                <w:lang w:eastAsia="en-US"/>
              </w:rPr>
              <w:t xml:space="preserve">4,276 </w:t>
            </w:r>
          </w:p>
        </w:tc>
      </w:tr>
      <w:tr w:rsidRPr="00AE701A" w:rsidR="00FD5B56" w:rsidTr="00313268" w14:paraId="2A710F5C" w14:textId="77777777">
        <w:trPr>
          <w:trHeight w:val="30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79F4B606" w14:textId="77777777">
            <w:pPr>
              <w:autoSpaceDE/>
              <w:autoSpaceDN/>
              <w:jc w:val="right"/>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 </w:t>
            </w:r>
          </w:p>
        </w:tc>
        <w:tc>
          <w:tcPr>
            <w:tcW w:w="126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3BF7FD0A"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33B34206" w14:textId="77777777">
            <w:pPr>
              <w:autoSpaceDE/>
              <w:autoSpaceDN/>
              <w:rPr>
                <w:rFonts w:ascii="Calibri" w:hAnsi="Calibri" w:eastAsia="Times New Roman" w:cs="Calibri"/>
                <w:color w:val="000000"/>
                <w:sz w:val="20"/>
                <w:szCs w:val="20"/>
                <w:lang w:eastAsia="en-US"/>
              </w:rPr>
            </w:pPr>
          </w:p>
        </w:tc>
        <w:tc>
          <w:tcPr>
            <w:tcW w:w="1404"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7EF8AE67" w14:textId="77777777">
            <w:pPr>
              <w:autoSpaceDE/>
              <w:autoSpaceDN/>
              <w:rPr>
                <w:rFonts w:ascii="Calibri" w:hAnsi="Calibri" w:eastAsia="Times New Roman" w:cs="Calibri"/>
                <w:color w:val="000000"/>
                <w:sz w:val="20"/>
                <w:szCs w:val="20"/>
                <w:lang w:eastAsia="en-US"/>
              </w:rPr>
            </w:pPr>
          </w:p>
        </w:tc>
        <w:tc>
          <w:tcPr>
            <w:tcW w:w="117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25479789" w14:textId="77777777">
            <w:pPr>
              <w:autoSpaceDE/>
              <w:autoSpaceDN/>
              <w:rPr>
                <w:rFonts w:ascii="Calibri" w:hAnsi="Calibri" w:eastAsia="Times New Roman" w:cs="Calibri"/>
                <w:color w:val="000000"/>
                <w:sz w:val="20"/>
                <w:szCs w:val="20"/>
                <w:lang w:eastAsia="en-US"/>
              </w:rPr>
            </w:pPr>
          </w:p>
        </w:tc>
        <w:tc>
          <w:tcPr>
            <w:tcW w:w="1223"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468D2ED2" w14:textId="77777777">
            <w:pPr>
              <w:autoSpaceDE/>
              <w:autoSpaceDN/>
              <w:rPr>
                <w:rFonts w:ascii="Calibri" w:hAnsi="Calibri" w:eastAsia="Times New Roman" w:cs="Calibri"/>
                <w:color w:val="000000"/>
                <w:sz w:val="20"/>
                <w:szCs w:val="20"/>
                <w:lang w:eastAsia="en-US"/>
              </w:rPr>
            </w:pPr>
          </w:p>
        </w:tc>
        <w:tc>
          <w:tcPr>
            <w:tcW w:w="108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314A1624"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0240337B" w14:textId="77777777">
            <w:pPr>
              <w:autoSpaceDE/>
              <w:autoSpaceDN/>
              <w:rPr>
                <w:rFonts w:ascii="Calibri" w:hAnsi="Calibri" w:eastAsia="Times New Roman" w:cs="Calibri"/>
                <w:color w:val="000000"/>
                <w:sz w:val="20"/>
                <w:szCs w:val="20"/>
                <w:lang w:eastAsia="en-US"/>
              </w:rPr>
            </w:pPr>
          </w:p>
        </w:tc>
        <w:tc>
          <w:tcPr>
            <w:tcW w:w="937"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7403A556" w14:textId="77777777">
            <w:pPr>
              <w:autoSpaceDE/>
              <w:autoSpaceDN/>
              <w:rPr>
                <w:rFonts w:ascii="Calibri" w:hAnsi="Calibri" w:eastAsia="Times New Roman" w:cs="Calibri"/>
                <w:color w:val="000000"/>
                <w:sz w:val="20"/>
                <w:szCs w:val="20"/>
                <w:lang w:eastAsia="en-US"/>
              </w:rPr>
            </w:pPr>
          </w:p>
        </w:tc>
        <w:tc>
          <w:tcPr>
            <w:tcW w:w="1607"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4AEAC22A" w14:textId="77777777">
            <w:pPr>
              <w:autoSpaceDE/>
              <w:autoSpaceDN/>
              <w:rPr>
                <w:rFonts w:ascii="Calibri" w:hAnsi="Calibri" w:eastAsia="Times New Roman" w:cs="Calibri"/>
                <w:color w:val="000000"/>
                <w:sz w:val="20"/>
                <w:szCs w:val="20"/>
                <w:lang w:eastAsia="en-US"/>
              </w:rPr>
            </w:pPr>
          </w:p>
        </w:tc>
        <w:tc>
          <w:tcPr>
            <w:tcW w:w="11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2B27A1A5" w14:textId="77777777">
            <w:pPr>
              <w:autoSpaceDE/>
              <w:autoSpaceDN/>
              <w:rPr>
                <w:rFonts w:ascii="Calibri" w:hAnsi="Calibri" w:eastAsia="Times New Roman" w:cs="Calibri"/>
                <w:color w:val="000000"/>
                <w:sz w:val="20"/>
                <w:szCs w:val="20"/>
                <w:lang w:eastAsia="en-US"/>
              </w:rPr>
            </w:pPr>
          </w:p>
        </w:tc>
      </w:tr>
      <w:tr w:rsidRPr="00AE701A" w:rsidR="00FD5B56" w:rsidTr="00313268" w14:paraId="10892C41" w14:textId="77777777">
        <w:trPr>
          <w:trHeight w:val="52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4E66FCC9" w14:textId="77777777">
            <w:pPr>
              <w:autoSpaceDE/>
              <w:autoSpaceDN/>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Long Term Care (excluding nursing homes)</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B1E6C" w:rsidR="00AE701A" w:rsidP="00AE701A" w:rsidRDefault="00AE701A" w14:paraId="5FFC85FB"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One Time / Weekly</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7B4BA7" w:rsidR="00AE701A" w:rsidP="00AE701A" w:rsidRDefault="00AE701A" w14:paraId="75ACDBA7" w14:textId="21D33E8A">
            <w:pPr>
              <w:autoSpaceDE/>
              <w:autoSpaceDN/>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Establishment</w:t>
            </w:r>
          </w:p>
        </w:tc>
        <w:tc>
          <w:tcPr>
            <w:tcW w:w="1404"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3340D7" w:rsidR="00AE701A" w:rsidP="00AE701A" w:rsidRDefault="00AE701A" w14:paraId="03737DF9" w14:textId="77777777">
            <w:pPr>
              <w:autoSpaceDE/>
              <w:autoSpaceDN/>
              <w:rPr>
                <w:rFonts w:ascii="Calibri" w:hAnsi="Calibri" w:eastAsia="Times New Roman" w:cs="Calibri"/>
                <w:color w:val="000000"/>
                <w:sz w:val="20"/>
                <w:szCs w:val="20"/>
                <w:lang w:eastAsia="en-US"/>
              </w:rPr>
            </w:pPr>
            <w:r w:rsidRPr="003340D7">
              <w:rPr>
                <w:rFonts w:ascii="Calibri" w:hAnsi="Calibri" w:eastAsia="Times New Roman" w:cs="Calibri"/>
                <w:color w:val="000000"/>
                <w:sz w:val="20"/>
                <w:szCs w:val="20"/>
                <w:lang w:eastAsia="en-US"/>
              </w:rPr>
              <w:t>OH&amp;S Specialist</w:t>
            </w:r>
          </w:p>
        </w:tc>
        <w:tc>
          <w:tcPr>
            <w:tcW w:w="1170" w:type="dxa"/>
            <w:vMerge w:val="restart"/>
            <w:tcBorders>
              <w:top w:val="single" w:color="auto" w:sz="4" w:space="0"/>
              <w:left w:val="single" w:color="auto" w:sz="4" w:space="0"/>
              <w:bottom w:val="single" w:color="auto" w:sz="4" w:space="0"/>
              <w:right w:val="single" w:color="auto" w:sz="4" w:space="0"/>
            </w:tcBorders>
            <w:shd w:val="clear" w:color="000000" w:fill="FFFFFF"/>
            <w:vAlign w:val="center"/>
            <w:hideMark/>
          </w:tcPr>
          <w:p w:rsidRPr="001D0186" w:rsidR="00AE701A" w:rsidP="00AE701A" w:rsidRDefault="00AE701A" w14:paraId="00B466F1" w14:textId="77777777">
            <w:pPr>
              <w:autoSpaceDE/>
              <w:autoSpaceDN/>
              <w:jc w:val="right"/>
              <w:rPr>
                <w:rFonts w:ascii="Calibri" w:hAnsi="Calibri" w:eastAsia="Times New Roman" w:cs="Calibri"/>
                <w:color w:val="000000"/>
                <w:sz w:val="20"/>
                <w:szCs w:val="20"/>
                <w:lang w:eastAsia="en-US"/>
              </w:rPr>
            </w:pPr>
            <w:r w:rsidRPr="001D0186">
              <w:rPr>
                <w:rFonts w:ascii="Calibri" w:hAnsi="Calibri" w:eastAsia="Times New Roman" w:cs="Calibri"/>
                <w:color w:val="000000"/>
                <w:sz w:val="20"/>
                <w:szCs w:val="20"/>
                <w:lang w:eastAsia="en-US"/>
              </w:rPr>
              <w:t>48,657</w:t>
            </w:r>
          </w:p>
        </w:tc>
        <w:tc>
          <w:tcPr>
            <w:tcW w:w="1223"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23DDE8D8"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10%</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133A7047"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27.91</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43F20F8C" w14:textId="1F1738BB">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135</w:t>
            </w:r>
            <w:r w:rsidR="00741915">
              <w:rPr>
                <w:rFonts w:ascii="Calibri" w:hAnsi="Calibri" w:eastAsia="Times New Roman" w:cs="Calibri"/>
                <w:color w:val="000000"/>
                <w:sz w:val="20"/>
                <w:szCs w:val="20"/>
                <w:lang w:eastAsia="en-US"/>
              </w:rPr>
              <w:t>,</w:t>
            </w:r>
            <w:r w:rsidRPr="00252CD2">
              <w:rPr>
                <w:rFonts w:ascii="Calibri" w:hAnsi="Calibri" w:eastAsia="Times New Roman" w:cs="Calibri"/>
                <w:color w:val="000000"/>
                <w:sz w:val="20"/>
                <w:szCs w:val="20"/>
                <w:lang w:eastAsia="en-US"/>
              </w:rPr>
              <w:t>802.13</w:t>
            </w:r>
          </w:p>
        </w:tc>
        <w:tc>
          <w:tcPr>
            <w:tcW w:w="93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384B5573"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$59.20 </w:t>
            </w:r>
          </w:p>
        </w:tc>
        <w:tc>
          <w:tcPr>
            <w:tcW w:w="160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3D19E801"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$8,039,486.31 </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930088" w:rsidR="00AE701A" w:rsidP="00AE701A" w:rsidRDefault="00AE701A" w14:paraId="25E6564A" w14:textId="3370975A">
            <w:pPr>
              <w:autoSpaceDE/>
              <w:autoSpaceDN/>
              <w:jc w:val="right"/>
              <w:rPr>
                <w:rFonts w:ascii="Calibri" w:hAnsi="Calibri" w:eastAsia="Times New Roman" w:cs="Calibri"/>
                <w:color w:val="000000"/>
                <w:sz w:val="20"/>
                <w:szCs w:val="20"/>
                <w:lang w:eastAsia="en-US"/>
              </w:rPr>
            </w:pPr>
            <w:r w:rsidRPr="00930088">
              <w:rPr>
                <w:rFonts w:ascii="Calibri" w:hAnsi="Calibri" w:eastAsia="Times New Roman" w:cs="Calibri"/>
                <w:color w:val="000000"/>
                <w:sz w:val="20"/>
                <w:szCs w:val="20"/>
                <w:lang w:eastAsia="en-US"/>
              </w:rPr>
              <w:t xml:space="preserve">4,866 </w:t>
            </w:r>
          </w:p>
        </w:tc>
      </w:tr>
      <w:tr w:rsidRPr="00AE701A" w:rsidR="00FD5B56" w:rsidTr="00313268" w14:paraId="4A52ED52" w14:textId="77777777">
        <w:trPr>
          <w:trHeight w:val="30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79736525" w14:textId="77777777">
            <w:pPr>
              <w:autoSpaceDE/>
              <w:autoSpaceDN/>
              <w:jc w:val="right"/>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 </w:t>
            </w:r>
          </w:p>
        </w:tc>
        <w:tc>
          <w:tcPr>
            <w:tcW w:w="126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5AFC2ABC"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17005686" w14:textId="77777777">
            <w:pPr>
              <w:autoSpaceDE/>
              <w:autoSpaceDN/>
              <w:rPr>
                <w:rFonts w:ascii="Calibri" w:hAnsi="Calibri" w:eastAsia="Times New Roman" w:cs="Calibri"/>
                <w:color w:val="000000"/>
                <w:sz w:val="20"/>
                <w:szCs w:val="20"/>
                <w:lang w:eastAsia="en-US"/>
              </w:rPr>
            </w:pPr>
          </w:p>
        </w:tc>
        <w:tc>
          <w:tcPr>
            <w:tcW w:w="1404"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03041F8F" w14:textId="77777777">
            <w:pPr>
              <w:autoSpaceDE/>
              <w:autoSpaceDN/>
              <w:rPr>
                <w:rFonts w:ascii="Calibri" w:hAnsi="Calibri" w:eastAsia="Times New Roman" w:cs="Calibri"/>
                <w:color w:val="000000"/>
                <w:sz w:val="20"/>
                <w:szCs w:val="20"/>
                <w:lang w:eastAsia="en-US"/>
              </w:rPr>
            </w:pPr>
          </w:p>
        </w:tc>
        <w:tc>
          <w:tcPr>
            <w:tcW w:w="117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503B725C" w14:textId="77777777">
            <w:pPr>
              <w:autoSpaceDE/>
              <w:autoSpaceDN/>
              <w:rPr>
                <w:rFonts w:ascii="Calibri" w:hAnsi="Calibri" w:eastAsia="Times New Roman" w:cs="Calibri"/>
                <w:color w:val="000000"/>
                <w:sz w:val="20"/>
                <w:szCs w:val="20"/>
                <w:lang w:eastAsia="en-US"/>
              </w:rPr>
            </w:pPr>
          </w:p>
        </w:tc>
        <w:tc>
          <w:tcPr>
            <w:tcW w:w="1223"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139F2338" w14:textId="77777777">
            <w:pPr>
              <w:autoSpaceDE/>
              <w:autoSpaceDN/>
              <w:rPr>
                <w:rFonts w:ascii="Calibri" w:hAnsi="Calibri" w:eastAsia="Times New Roman" w:cs="Calibri"/>
                <w:color w:val="000000"/>
                <w:sz w:val="20"/>
                <w:szCs w:val="20"/>
                <w:lang w:eastAsia="en-US"/>
              </w:rPr>
            </w:pPr>
          </w:p>
        </w:tc>
        <w:tc>
          <w:tcPr>
            <w:tcW w:w="108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5B16E61F"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188717BE" w14:textId="77777777">
            <w:pPr>
              <w:autoSpaceDE/>
              <w:autoSpaceDN/>
              <w:rPr>
                <w:rFonts w:ascii="Calibri" w:hAnsi="Calibri" w:eastAsia="Times New Roman" w:cs="Calibri"/>
                <w:color w:val="000000"/>
                <w:sz w:val="20"/>
                <w:szCs w:val="20"/>
                <w:lang w:eastAsia="en-US"/>
              </w:rPr>
            </w:pPr>
          </w:p>
        </w:tc>
        <w:tc>
          <w:tcPr>
            <w:tcW w:w="937"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11A69DC2" w14:textId="77777777">
            <w:pPr>
              <w:autoSpaceDE/>
              <w:autoSpaceDN/>
              <w:rPr>
                <w:rFonts w:ascii="Calibri" w:hAnsi="Calibri" w:eastAsia="Times New Roman" w:cs="Calibri"/>
                <w:color w:val="000000"/>
                <w:sz w:val="20"/>
                <w:szCs w:val="20"/>
                <w:lang w:eastAsia="en-US"/>
              </w:rPr>
            </w:pPr>
          </w:p>
        </w:tc>
        <w:tc>
          <w:tcPr>
            <w:tcW w:w="1607"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3FFEC4C3" w14:textId="77777777">
            <w:pPr>
              <w:autoSpaceDE/>
              <w:autoSpaceDN/>
              <w:rPr>
                <w:rFonts w:ascii="Calibri" w:hAnsi="Calibri" w:eastAsia="Times New Roman" w:cs="Calibri"/>
                <w:color w:val="000000"/>
                <w:sz w:val="20"/>
                <w:szCs w:val="20"/>
                <w:lang w:eastAsia="en-US"/>
              </w:rPr>
            </w:pPr>
          </w:p>
        </w:tc>
        <w:tc>
          <w:tcPr>
            <w:tcW w:w="11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2BCF49E7" w14:textId="77777777">
            <w:pPr>
              <w:autoSpaceDE/>
              <w:autoSpaceDN/>
              <w:rPr>
                <w:rFonts w:ascii="Calibri" w:hAnsi="Calibri" w:eastAsia="Times New Roman" w:cs="Calibri"/>
                <w:color w:val="000000"/>
                <w:sz w:val="20"/>
                <w:szCs w:val="20"/>
                <w:lang w:eastAsia="en-US"/>
              </w:rPr>
            </w:pPr>
          </w:p>
        </w:tc>
      </w:tr>
      <w:tr w:rsidRPr="00AE701A" w:rsidR="00FD5B56" w:rsidTr="00313268" w14:paraId="73A2C295" w14:textId="77777777">
        <w:trPr>
          <w:trHeight w:val="29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6A674ACA" w14:textId="351CA109">
            <w:pPr>
              <w:autoSpaceDE/>
              <w:autoSpaceDN/>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Othe</w:t>
            </w:r>
            <w:r w:rsidR="00091560">
              <w:rPr>
                <w:rFonts w:ascii="Calibri" w:hAnsi="Calibri" w:eastAsia="Times New Roman" w:cs="Calibri"/>
                <w:color w:val="000000"/>
                <w:sz w:val="20"/>
                <w:szCs w:val="20"/>
                <w:lang w:eastAsia="en-US"/>
              </w:rPr>
              <w:t>r</w:t>
            </w:r>
            <w:r w:rsidRPr="00520C25">
              <w:rPr>
                <w:rFonts w:ascii="Calibri" w:hAnsi="Calibri" w:eastAsia="Times New Roman" w:cs="Calibri"/>
                <w:color w:val="000000"/>
                <w:sz w:val="20"/>
                <w:szCs w:val="20"/>
                <w:lang w:eastAsia="en-US"/>
              </w:rPr>
              <w:t xml:space="preserve"> Patient Care</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B1E6C" w:rsidR="00AE701A" w:rsidP="00AE701A" w:rsidRDefault="00AE701A" w14:paraId="17AD05B8"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One Time</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BE04AB" w:rsidR="00AE701A" w:rsidP="00AE701A" w:rsidRDefault="00AE701A" w14:paraId="63C1319E" w14:textId="401300C9">
            <w:pPr>
              <w:autoSpaceDE/>
              <w:autoSpaceDN/>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Establis</w:t>
            </w:r>
            <w:r w:rsidRPr="00BE04AB">
              <w:rPr>
                <w:rFonts w:ascii="Calibri" w:hAnsi="Calibri" w:eastAsia="Times New Roman" w:cs="Calibri"/>
                <w:color w:val="000000"/>
                <w:sz w:val="20"/>
                <w:szCs w:val="20"/>
                <w:lang w:eastAsia="en-US"/>
              </w:rPr>
              <w:t>hment</w:t>
            </w:r>
          </w:p>
        </w:tc>
        <w:tc>
          <w:tcPr>
            <w:tcW w:w="1404"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3340D7" w:rsidR="00AE701A" w:rsidP="00AE701A" w:rsidRDefault="00AE701A" w14:paraId="05996912" w14:textId="77777777">
            <w:pPr>
              <w:autoSpaceDE/>
              <w:autoSpaceDN/>
              <w:rPr>
                <w:rFonts w:ascii="Calibri" w:hAnsi="Calibri" w:eastAsia="Times New Roman" w:cs="Calibri"/>
                <w:color w:val="000000"/>
                <w:sz w:val="20"/>
                <w:szCs w:val="20"/>
                <w:lang w:eastAsia="en-US"/>
              </w:rPr>
            </w:pPr>
            <w:r w:rsidRPr="003340D7">
              <w:rPr>
                <w:rFonts w:ascii="Calibri" w:hAnsi="Calibri" w:eastAsia="Times New Roman" w:cs="Calibri"/>
                <w:color w:val="000000"/>
                <w:sz w:val="20"/>
                <w:szCs w:val="20"/>
                <w:lang w:eastAsia="en-US"/>
              </w:rPr>
              <w:t>OH&amp;S Specialist</w:t>
            </w:r>
          </w:p>
        </w:tc>
        <w:tc>
          <w:tcPr>
            <w:tcW w:w="1170" w:type="dxa"/>
            <w:vMerge w:val="restart"/>
            <w:tcBorders>
              <w:top w:val="single" w:color="auto" w:sz="4" w:space="0"/>
              <w:left w:val="single" w:color="auto" w:sz="4" w:space="0"/>
              <w:bottom w:val="single" w:color="auto" w:sz="4" w:space="0"/>
              <w:right w:val="single" w:color="auto" w:sz="4" w:space="0"/>
            </w:tcBorders>
            <w:shd w:val="clear" w:color="000000" w:fill="FFFFFF"/>
            <w:vAlign w:val="center"/>
            <w:hideMark/>
          </w:tcPr>
          <w:p w:rsidRPr="00252CD2" w:rsidR="00AE701A" w:rsidP="00AE701A" w:rsidRDefault="00AE701A" w14:paraId="696095E1" w14:textId="77777777">
            <w:pPr>
              <w:autoSpaceDE/>
              <w:autoSpaceDN/>
              <w:jc w:val="right"/>
              <w:rPr>
                <w:rFonts w:ascii="Calibri" w:hAnsi="Calibri" w:eastAsia="Times New Roman" w:cs="Calibri"/>
                <w:color w:val="000000"/>
                <w:sz w:val="20"/>
                <w:szCs w:val="20"/>
                <w:lang w:eastAsia="en-US"/>
              </w:rPr>
            </w:pPr>
            <w:r w:rsidRPr="001D0186">
              <w:rPr>
                <w:rFonts w:ascii="Calibri" w:hAnsi="Calibri" w:eastAsia="Times New Roman" w:cs="Calibri"/>
                <w:color w:val="000000"/>
                <w:sz w:val="20"/>
                <w:szCs w:val="20"/>
                <w:lang w:eastAsia="en-US"/>
              </w:rPr>
              <w:t>558,576</w:t>
            </w:r>
          </w:p>
        </w:tc>
        <w:tc>
          <w:tcPr>
            <w:tcW w:w="1223"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3962B760"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41%</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1B21A12A"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18.31</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74308014" w14:textId="286467E8">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4</w:t>
            </w:r>
            <w:r w:rsidR="00741915">
              <w:rPr>
                <w:rFonts w:ascii="Calibri" w:hAnsi="Calibri" w:eastAsia="Times New Roman" w:cs="Calibri"/>
                <w:color w:val="000000"/>
                <w:sz w:val="20"/>
                <w:szCs w:val="20"/>
                <w:lang w:eastAsia="en-US"/>
              </w:rPr>
              <w:t>,</w:t>
            </w:r>
            <w:r w:rsidRPr="00252CD2">
              <w:rPr>
                <w:rFonts w:ascii="Calibri" w:hAnsi="Calibri" w:eastAsia="Times New Roman" w:cs="Calibri"/>
                <w:color w:val="000000"/>
                <w:sz w:val="20"/>
                <w:szCs w:val="20"/>
                <w:lang w:eastAsia="en-US"/>
              </w:rPr>
              <w:t>193</w:t>
            </w:r>
            <w:r w:rsidR="00741915">
              <w:rPr>
                <w:rFonts w:ascii="Calibri" w:hAnsi="Calibri" w:eastAsia="Times New Roman" w:cs="Calibri"/>
                <w:color w:val="000000"/>
                <w:sz w:val="20"/>
                <w:szCs w:val="20"/>
                <w:lang w:eastAsia="en-US"/>
              </w:rPr>
              <w:t>,</w:t>
            </w:r>
            <w:r w:rsidRPr="00252CD2">
              <w:rPr>
                <w:rFonts w:ascii="Calibri" w:hAnsi="Calibri" w:eastAsia="Times New Roman" w:cs="Calibri"/>
                <w:color w:val="000000"/>
                <w:sz w:val="20"/>
                <w:szCs w:val="20"/>
                <w:lang w:eastAsia="en-US"/>
              </w:rPr>
              <w:t>288.97</w:t>
            </w:r>
          </w:p>
        </w:tc>
        <w:tc>
          <w:tcPr>
            <w:tcW w:w="93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03AE6579"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$59.20 </w:t>
            </w:r>
          </w:p>
        </w:tc>
        <w:tc>
          <w:tcPr>
            <w:tcW w:w="160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54777D24"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$248,242,706.88 </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0708B209"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                 229,016 </w:t>
            </w:r>
          </w:p>
        </w:tc>
      </w:tr>
      <w:tr w:rsidRPr="00AE701A" w:rsidR="00FD5B56" w:rsidTr="00313268" w14:paraId="3CA85A58" w14:textId="77777777">
        <w:trPr>
          <w:trHeight w:val="30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460FBAA0" w14:textId="77777777">
            <w:pPr>
              <w:autoSpaceDE/>
              <w:autoSpaceDN/>
              <w:jc w:val="right"/>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 </w:t>
            </w:r>
          </w:p>
        </w:tc>
        <w:tc>
          <w:tcPr>
            <w:tcW w:w="126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64776690"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53A6855E" w14:textId="77777777">
            <w:pPr>
              <w:autoSpaceDE/>
              <w:autoSpaceDN/>
              <w:rPr>
                <w:rFonts w:ascii="Calibri" w:hAnsi="Calibri" w:eastAsia="Times New Roman" w:cs="Calibri"/>
                <w:color w:val="000000"/>
                <w:sz w:val="20"/>
                <w:szCs w:val="20"/>
                <w:lang w:eastAsia="en-US"/>
              </w:rPr>
            </w:pPr>
          </w:p>
        </w:tc>
        <w:tc>
          <w:tcPr>
            <w:tcW w:w="1404"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365745EF" w14:textId="77777777">
            <w:pPr>
              <w:autoSpaceDE/>
              <w:autoSpaceDN/>
              <w:rPr>
                <w:rFonts w:ascii="Calibri" w:hAnsi="Calibri" w:eastAsia="Times New Roman" w:cs="Calibri"/>
                <w:color w:val="000000"/>
                <w:sz w:val="20"/>
                <w:szCs w:val="20"/>
                <w:lang w:eastAsia="en-US"/>
              </w:rPr>
            </w:pPr>
          </w:p>
        </w:tc>
        <w:tc>
          <w:tcPr>
            <w:tcW w:w="117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4D22B30C" w14:textId="77777777">
            <w:pPr>
              <w:autoSpaceDE/>
              <w:autoSpaceDN/>
              <w:rPr>
                <w:rFonts w:ascii="Calibri" w:hAnsi="Calibri" w:eastAsia="Times New Roman" w:cs="Calibri"/>
                <w:color w:val="000000"/>
                <w:sz w:val="20"/>
                <w:szCs w:val="20"/>
                <w:lang w:eastAsia="en-US"/>
              </w:rPr>
            </w:pPr>
          </w:p>
        </w:tc>
        <w:tc>
          <w:tcPr>
            <w:tcW w:w="1223"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473BA94D" w14:textId="77777777">
            <w:pPr>
              <w:autoSpaceDE/>
              <w:autoSpaceDN/>
              <w:rPr>
                <w:rFonts w:ascii="Calibri" w:hAnsi="Calibri" w:eastAsia="Times New Roman" w:cs="Calibri"/>
                <w:color w:val="000000"/>
                <w:sz w:val="20"/>
                <w:szCs w:val="20"/>
                <w:lang w:eastAsia="en-US"/>
              </w:rPr>
            </w:pPr>
          </w:p>
        </w:tc>
        <w:tc>
          <w:tcPr>
            <w:tcW w:w="108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56DAD5EC"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244DAE9B" w14:textId="77777777">
            <w:pPr>
              <w:autoSpaceDE/>
              <w:autoSpaceDN/>
              <w:rPr>
                <w:rFonts w:ascii="Calibri" w:hAnsi="Calibri" w:eastAsia="Times New Roman" w:cs="Calibri"/>
                <w:color w:val="000000"/>
                <w:sz w:val="20"/>
                <w:szCs w:val="20"/>
                <w:lang w:eastAsia="en-US"/>
              </w:rPr>
            </w:pPr>
          </w:p>
        </w:tc>
        <w:tc>
          <w:tcPr>
            <w:tcW w:w="937"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53302B0D" w14:textId="77777777">
            <w:pPr>
              <w:autoSpaceDE/>
              <w:autoSpaceDN/>
              <w:rPr>
                <w:rFonts w:ascii="Calibri" w:hAnsi="Calibri" w:eastAsia="Times New Roman" w:cs="Calibri"/>
                <w:color w:val="000000"/>
                <w:sz w:val="20"/>
                <w:szCs w:val="20"/>
                <w:lang w:eastAsia="en-US"/>
              </w:rPr>
            </w:pPr>
          </w:p>
        </w:tc>
        <w:tc>
          <w:tcPr>
            <w:tcW w:w="1607"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79F07B25" w14:textId="77777777">
            <w:pPr>
              <w:autoSpaceDE/>
              <w:autoSpaceDN/>
              <w:rPr>
                <w:rFonts w:ascii="Calibri" w:hAnsi="Calibri" w:eastAsia="Times New Roman" w:cs="Calibri"/>
                <w:color w:val="000000"/>
                <w:sz w:val="20"/>
                <w:szCs w:val="20"/>
                <w:lang w:eastAsia="en-US"/>
              </w:rPr>
            </w:pPr>
          </w:p>
        </w:tc>
        <w:tc>
          <w:tcPr>
            <w:tcW w:w="11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19B12A16" w14:textId="77777777">
            <w:pPr>
              <w:autoSpaceDE/>
              <w:autoSpaceDN/>
              <w:rPr>
                <w:rFonts w:ascii="Calibri" w:hAnsi="Calibri" w:eastAsia="Times New Roman" w:cs="Calibri"/>
                <w:color w:val="000000"/>
                <w:sz w:val="20"/>
                <w:szCs w:val="20"/>
                <w:lang w:eastAsia="en-US"/>
              </w:rPr>
            </w:pPr>
          </w:p>
        </w:tc>
      </w:tr>
      <w:tr w:rsidRPr="00AE701A" w:rsidR="00FD5B56" w:rsidTr="00313268" w14:paraId="0AE7C021" w14:textId="77777777">
        <w:trPr>
          <w:trHeight w:val="52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219EBF55" w14:textId="77777777">
            <w:pPr>
              <w:autoSpaceDE/>
              <w:autoSpaceDN/>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Home Health Care and Temp Labor</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B1E6C" w:rsidR="00AE701A" w:rsidP="00AE701A" w:rsidRDefault="00AE701A" w14:paraId="621EDFCA"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One Time</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7B4BA7" w:rsidR="00AE701A" w:rsidP="00AE701A" w:rsidRDefault="00AE701A" w14:paraId="557C4643" w14:textId="3411F1E4">
            <w:pPr>
              <w:autoSpaceDE/>
              <w:autoSpaceDN/>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Establishment</w:t>
            </w:r>
          </w:p>
        </w:tc>
        <w:tc>
          <w:tcPr>
            <w:tcW w:w="1404"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3340D7" w:rsidR="00AE701A" w:rsidP="00AE701A" w:rsidRDefault="00AE701A" w14:paraId="1BA0582D" w14:textId="77777777">
            <w:pPr>
              <w:autoSpaceDE/>
              <w:autoSpaceDN/>
              <w:rPr>
                <w:rFonts w:ascii="Calibri" w:hAnsi="Calibri" w:eastAsia="Times New Roman" w:cs="Calibri"/>
                <w:color w:val="000000"/>
                <w:sz w:val="20"/>
                <w:szCs w:val="20"/>
                <w:lang w:eastAsia="en-US"/>
              </w:rPr>
            </w:pPr>
            <w:r w:rsidRPr="003340D7">
              <w:rPr>
                <w:rFonts w:ascii="Calibri" w:hAnsi="Calibri" w:eastAsia="Times New Roman" w:cs="Calibri"/>
                <w:color w:val="000000"/>
                <w:sz w:val="20"/>
                <w:szCs w:val="20"/>
                <w:lang w:eastAsia="en-US"/>
              </w:rPr>
              <w:t>OH&amp;S Specialist</w:t>
            </w:r>
          </w:p>
        </w:tc>
        <w:tc>
          <w:tcPr>
            <w:tcW w:w="1170" w:type="dxa"/>
            <w:vMerge w:val="restart"/>
            <w:tcBorders>
              <w:top w:val="single" w:color="auto" w:sz="4" w:space="0"/>
              <w:left w:val="single" w:color="auto" w:sz="4" w:space="0"/>
              <w:bottom w:val="single" w:color="auto" w:sz="4" w:space="0"/>
              <w:right w:val="single" w:color="auto" w:sz="4" w:space="0"/>
            </w:tcBorders>
            <w:shd w:val="clear" w:color="000000" w:fill="FFFFFF"/>
            <w:vAlign w:val="center"/>
            <w:hideMark/>
          </w:tcPr>
          <w:p w:rsidRPr="001D0186" w:rsidR="00AE701A" w:rsidP="00AE701A" w:rsidRDefault="00AE701A" w14:paraId="71637609" w14:textId="77777777">
            <w:pPr>
              <w:autoSpaceDE/>
              <w:autoSpaceDN/>
              <w:jc w:val="right"/>
              <w:rPr>
                <w:rFonts w:ascii="Calibri" w:hAnsi="Calibri" w:eastAsia="Times New Roman" w:cs="Calibri"/>
                <w:color w:val="000000"/>
                <w:sz w:val="20"/>
                <w:szCs w:val="20"/>
                <w:lang w:eastAsia="en-US"/>
              </w:rPr>
            </w:pPr>
            <w:r w:rsidRPr="001D0186">
              <w:rPr>
                <w:rFonts w:ascii="Calibri" w:hAnsi="Calibri" w:eastAsia="Times New Roman" w:cs="Calibri"/>
                <w:color w:val="000000"/>
                <w:sz w:val="20"/>
                <w:szCs w:val="20"/>
                <w:lang w:eastAsia="en-US"/>
              </w:rPr>
              <w:t>35,169</w:t>
            </w:r>
          </w:p>
        </w:tc>
        <w:tc>
          <w:tcPr>
            <w:tcW w:w="1223"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0FB4203F"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34%</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0C45D6CC"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22.55</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6E4E15A4" w14:textId="62849D01">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269</w:t>
            </w:r>
            <w:r w:rsidR="00741915">
              <w:rPr>
                <w:rFonts w:ascii="Calibri" w:hAnsi="Calibri" w:eastAsia="Times New Roman" w:cs="Calibri"/>
                <w:color w:val="000000"/>
                <w:sz w:val="20"/>
                <w:szCs w:val="20"/>
                <w:lang w:eastAsia="en-US"/>
              </w:rPr>
              <w:t>,</w:t>
            </w:r>
            <w:r w:rsidRPr="00252CD2">
              <w:rPr>
                <w:rFonts w:ascii="Calibri" w:hAnsi="Calibri" w:eastAsia="Times New Roman" w:cs="Calibri"/>
                <w:color w:val="000000"/>
                <w:sz w:val="20"/>
                <w:szCs w:val="20"/>
                <w:lang w:eastAsia="en-US"/>
              </w:rPr>
              <w:t>644.25</w:t>
            </w:r>
          </w:p>
        </w:tc>
        <w:tc>
          <w:tcPr>
            <w:tcW w:w="93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44A123FF"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$59.20 </w:t>
            </w:r>
          </w:p>
        </w:tc>
        <w:tc>
          <w:tcPr>
            <w:tcW w:w="160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74EECB5E"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$15,962,939.59 </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07FCDE45" w14:textId="016B2FD1">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11,958 </w:t>
            </w:r>
          </w:p>
        </w:tc>
      </w:tr>
      <w:tr w:rsidRPr="00AE701A" w:rsidR="00FD5B56" w:rsidTr="00313268" w14:paraId="3E97769A" w14:textId="77777777">
        <w:trPr>
          <w:trHeight w:val="30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77C27B44" w14:textId="77777777">
            <w:pPr>
              <w:autoSpaceDE/>
              <w:autoSpaceDN/>
              <w:jc w:val="right"/>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 </w:t>
            </w:r>
          </w:p>
        </w:tc>
        <w:tc>
          <w:tcPr>
            <w:tcW w:w="126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7AFFD244"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43327091" w14:textId="77777777">
            <w:pPr>
              <w:autoSpaceDE/>
              <w:autoSpaceDN/>
              <w:rPr>
                <w:rFonts w:ascii="Calibri" w:hAnsi="Calibri" w:eastAsia="Times New Roman" w:cs="Calibri"/>
                <w:color w:val="000000"/>
                <w:sz w:val="20"/>
                <w:szCs w:val="20"/>
                <w:lang w:eastAsia="en-US"/>
              </w:rPr>
            </w:pPr>
          </w:p>
        </w:tc>
        <w:tc>
          <w:tcPr>
            <w:tcW w:w="1404"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011539E1" w14:textId="77777777">
            <w:pPr>
              <w:autoSpaceDE/>
              <w:autoSpaceDN/>
              <w:rPr>
                <w:rFonts w:ascii="Calibri" w:hAnsi="Calibri" w:eastAsia="Times New Roman" w:cs="Calibri"/>
                <w:color w:val="000000"/>
                <w:sz w:val="20"/>
                <w:szCs w:val="20"/>
                <w:lang w:eastAsia="en-US"/>
              </w:rPr>
            </w:pPr>
          </w:p>
        </w:tc>
        <w:tc>
          <w:tcPr>
            <w:tcW w:w="117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265A1FFE" w14:textId="77777777">
            <w:pPr>
              <w:autoSpaceDE/>
              <w:autoSpaceDN/>
              <w:rPr>
                <w:rFonts w:ascii="Calibri" w:hAnsi="Calibri" w:eastAsia="Times New Roman" w:cs="Calibri"/>
                <w:color w:val="000000"/>
                <w:sz w:val="20"/>
                <w:szCs w:val="20"/>
                <w:lang w:eastAsia="en-US"/>
              </w:rPr>
            </w:pPr>
          </w:p>
        </w:tc>
        <w:tc>
          <w:tcPr>
            <w:tcW w:w="1223"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6A8A100A" w14:textId="77777777">
            <w:pPr>
              <w:autoSpaceDE/>
              <w:autoSpaceDN/>
              <w:rPr>
                <w:rFonts w:ascii="Calibri" w:hAnsi="Calibri" w:eastAsia="Times New Roman" w:cs="Calibri"/>
                <w:color w:val="000000"/>
                <w:sz w:val="20"/>
                <w:szCs w:val="20"/>
                <w:lang w:eastAsia="en-US"/>
              </w:rPr>
            </w:pPr>
          </w:p>
        </w:tc>
        <w:tc>
          <w:tcPr>
            <w:tcW w:w="108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4D9640E3"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1844202E" w14:textId="77777777">
            <w:pPr>
              <w:autoSpaceDE/>
              <w:autoSpaceDN/>
              <w:rPr>
                <w:rFonts w:ascii="Calibri" w:hAnsi="Calibri" w:eastAsia="Times New Roman" w:cs="Calibri"/>
                <w:color w:val="000000"/>
                <w:sz w:val="20"/>
                <w:szCs w:val="20"/>
                <w:lang w:eastAsia="en-US"/>
              </w:rPr>
            </w:pPr>
          </w:p>
        </w:tc>
        <w:tc>
          <w:tcPr>
            <w:tcW w:w="937"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089344C7" w14:textId="77777777">
            <w:pPr>
              <w:autoSpaceDE/>
              <w:autoSpaceDN/>
              <w:rPr>
                <w:rFonts w:ascii="Calibri" w:hAnsi="Calibri" w:eastAsia="Times New Roman" w:cs="Calibri"/>
                <w:color w:val="000000"/>
                <w:sz w:val="20"/>
                <w:szCs w:val="20"/>
                <w:lang w:eastAsia="en-US"/>
              </w:rPr>
            </w:pPr>
          </w:p>
        </w:tc>
        <w:tc>
          <w:tcPr>
            <w:tcW w:w="1607"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14C24563" w14:textId="77777777">
            <w:pPr>
              <w:autoSpaceDE/>
              <w:autoSpaceDN/>
              <w:rPr>
                <w:rFonts w:ascii="Calibri" w:hAnsi="Calibri" w:eastAsia="Times New Roman" w:cs="Calibri"/>
                <w:color w:val="000000"/>
                <w:sz w:val="20"/>
                <w:szCs w:val="20"/>
                <w:lang w:eastAsia="en-US"/>
              </w:rPr>
            </w:pPr>
          </w:p>
        </w:tc>
        <w:tc>
          <w:tcPr>
            <w:tcW w:w="11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7BEC9830" w14:textId="77777777">
            <w:pPr>
              <w:autoSpaceDE/>
              <w:autoSpaceDN/>
              <w:rPr>
                <w:rFonts w:ascii="Calibri" w:hAnsi="Calibri" w:eastAsia="Times New Roman" w:cs="Calibri"/>
                <w:color w:val="000000"/>
                <w:sz w:val="20"/>
                <w:szCs w:val="20"/>
                <w:lang w:eastAsia="en-US"/>
              </w:rPr>
            </w:pPr>
          </w:p>
        </w:tc>
      </w:tr>
      <w:tr w:rsidRPr="00AE701A" w:rsidR="00FD5B56" w:rsidTr="00313268" w14:paraId="1637F0AB" w14:textId="77777777">
        <w:trPr>
          <w:trHeight w:val="29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53ADD3E0" w14:textId="77777777">
            <w:pPr>
              <w:autoSpaceDE/>
              <w:autoSpaceDN/>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First Aid and Emergency Care</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B1E6C" w:rsidR="00AE701A" w:rsidP="00AE701A" w:rsidRDefault="00AE701A" w14:paraId="4EA621B9"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One Time</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7B4BA7" w:rsidR="00AE701A" w:rsidP="00AE701A" w:rsidRDefault="00AE701A" w14:paraId="56689EE1" w14:textId="2F798D9F">
            <w:pPr>
              <w:autoSpaceDE/>
              <w:autoSpaceDN/>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Establishment</w:t>
            </w:r>
          </w:p>
        </w:tc>
        <w:tc>
          <w:tcPr>
            <w:tcW w:w="1404"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3340D7" w:rsidR="00AE701A" w:rsidP="00AE701A" w:rsidRDefault="00AE701A" w14:paraId="06A4146E" w14:textId="77777777">
            <w:pPr>
              <w:autoSpaceDE/>
              <w:autoSpaceDN/>
              <w:rPr>
                <w:rFonts w:ascii="Calibri" w:hAnsi="Calibri" w:eastAsia="Times New Roman" w:cs="Calibri"/>
                <w:color w:val="000000"/>
                <w:sz w:val="20"/>
                <w:szCs w:val="20"/>
                <w:lang w:eastAsia="en-US"/>
              </w:rPr>
            </w:pPr>
            <w:r w:rsidRPr="003340D7">
              <w:rPr>
                <w:rFonts w:ascii="Calibri" w:hAnsi="Calibri" w:eastAsia="Times New Roman" w:cs="Calibri"/>
                <w:color w:val="000000"/>
                <w:sz w:val="20"/>
                <w:szCs w:val="20"/>
                <w:lang w:eastAsia="en-US"/>
              </w:rPr>
              <w:t>OH&amp;S Specialist</w:t>
            </w:r>
          </w:p>
        </w:tc>
        <w:tc>
          <w:tcPr>
            <w:tcW w:w="1170" w:type="dxa"/>
            <w:vMerge w:val="restart"/>
            <w:tcBorders>
              <w:top w:val="single" w:color="auto" w:sz="4" w:space="0"/>
              <w:left w:val="single" w:color="auto" w:sz="4" w:space="0"/>
              <w:bottom w:val="single" w:color="auto" w:sz="4" w:space="0"/>
              <w:right w:val="single" w:color="auto" w:sz="4" w:space="0"/>
            </w:tcBorders>
            <w:shd w:val="clear" w:color="000000" w:fill="FFFFFF"/>
            <w:vAlign w:val="center"/>
            <w:hideMark/>
          </w:tcPr>
          <w:p w:rsidRPr="001D0186" w:rsidR="00AE701A" w:rsidP="00AE701A" w:rsidRDefault="00AE701A" w14:paraId="5FB068A5" w14:textId="77777777">
            <w:pPr>
              <w:autoSpaceDE/>
              <w:autoSpaceDN/>
              <w:jc w:val="right"/>
              <w:rPr>
                <w:rFonts w:ascii="Calibri" w:hAnsi="Calibri" w:eastAsia="Times New Roman" w:cs="Calibri"/>
                <w:color w:val="000000"/>
                <w:sz w:val="20"/>
                <w:szCs w:val="20"/>
                <w:lang w:eastAsia="en-US"/>
              </w:rPr>
            </w:pPr>
            <w:r w:rsidRPr="001D0186">
              <w:rPr>
                <w:rFonts w:ascii="Calibri" w:hAnsi="Calibri" w:eastAsia="Times New Roman" w:cs="Calibri"/>
                <w:color w:val="000000"/>
                <w:sz w:val="20"/>
                <w:szCs w:val="20"/>
                <w:lang w:eastAsia="en-US"/>
              </w:rPr>
              <w:t>35,375</w:t>
            </w:r>
          </w:p>
        </w:tc>
        <w:tc>
          <w:tcPr>
            <w:tcW w:w="1223"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0DAB73FC"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32%</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058D4F8F"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24.03</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1931DF98" w14:textId="1DCC5511">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272</w:t>
            </w:r>
            <w:r w:rsidR="00741915">
              <w:rPr>
                <w:rFonts w:ascii="Calibri" w:hAnsi="Calibri" w:eastAsia="Times New Roman" w:cs="Calibri"/>
                <w:color w:val="000000"/>
                <w:sz w:val="20"/>
                <w:szCs w:val="20"/>
                <w:lang w:eastAsia="en-US"/>
              </w:rPr>
              <w:t>,</w:t>
            </w:r>
            <w:r w:rsidRPr="00252CD2">
              <w:rPr>
                <w:rFonts w:ascii="Calibri" w:hAnsi="Calibri" w:eastAsia="Times New Roman" w:cs="Calibri"/>
                <w:color w:val="000000"/>
                <w:sz w:val="20"/>
                <w:szCs w:val="20"/>
                <w:lang w:eastAsia="en-US"/>
              </w:rPr>
              <w:t>018.75</w:t>
            </w:r>
          </w:p>
        </w:tc>
        <w:tc>
          <w:tcPr>
            <w:tcW w:w="93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295B7800"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$59.20 </w:t>
            </w:r>
          </w:p>
        </w:tc>
        <w:tc>
          <w:tcPr>
            <w:tcW w:w="160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3517712A"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$16,103,510.25 </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5F5D37F1"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                   11,320 </w:t>
            </w:r>
          </w:p>
        </w:tc>
      </w:tr>
      <w:tr w:rsidRPr="00AE701A" w:rsidR="00FD5B56" w:rsidTr="00313268" w14:paraId="1B5C8D68" w14:textId="77777777">
        <w:trPr>
          <w:trHeight w:val="30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7B189AF9" w14:textId="77777777">
            <w:pPr>
              <w:autoSpaceDE/>
              <w:autoSpaceDN/>
              <w:jc w:val="right"/>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 </w:t>
            </w:r>
          </w:p>
        </w:tc>
        <w:tc>
          <w:tcPr>
            <w:tcW w:w="126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79FE2DE7"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2733E30B" w14:textId="77777777">
            <w:pPr>
              <w:autoSpaceDE/>
              <w:autoSpaceDN/>
              <w:rPr>
                <w:rFonts w:ascii="Calibri" w:hAnsi="Calibri" w:eastAsia="Times New Roman" w:cs="Calibri"/>
                <w:color w:val="000000"/>
                <w:sz w:val="20"/>
                <w:szCs w:val="20"/>
                <w:lang w:eastAsia="en-US"/>
              </w:rPr>
            </w:pPr>
          </w:p>
        </w:tc>
        <w:tc>
          <w:tcPr>
            <w:tcW w:w="1404"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0C99D4AC" w14:textId="77777777">
            <w:pPr>
              <w:autoSpaceDE/>
              <w:autoSpaceDN/>
              <w:rPr>
                <w:rFonts w:ascii="Calibri" w:hAnsi="Calibri" w:eastAsia="Times New Roman" w:cs="Calibri"/>
                <w:color w:val="000000"/>
                <w:sz w:val="20"/>
                <w:szCs w:val="20"/>
                <w:lang w:eastAsia="en-US"/>
              </w:rPr>
            </w:pPr>
          </w:p>
        </w:tc>
        <w:tc>
          <w:tcPr>
            <w:tcW w:w="117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04807C64" w14:textId="77777777">
            <w:pPr>
              <w:autoSpaceDE/>
              <w:autoSpaceDN/>
              <w:rPr>
                <w:rFonts w:ascii="Calibri" w:hAnsi="Calibri" w:eastAsia="Times New Roman" w:cs="Calibri"/>
                <w:color w:val="000000"/>
                <w:sz w:val="20"/>
                <w:szCs w:val="20"/>
                <w:lang w:eastAsia="en-US"/>
              </w:rPr>
            </w:pPr>
          </w:p>
        </w:tc>
        <w:tc>
          <w:tcPr>
            <w:tcW w:w="1223"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5030BAC1" w14:textId="77777777">
            <w:pPr>
              <w:autoSpaceDE/>
              <w:autoSpaceDN/>
              <w:rPr>
                <w:rFonts w:ascii="Calibri" w:hAnsi="Calibri" w:eastAsia="Times New Roman" w:cs="Calibri"/>
                <w:color w:val="000000"/>
                <w:sz w:val="20"/>
                <w:szCs w:val="20"/>
                <w:lang w:eastAsia="en-US"/>
              </w:rPr>
            </w:pPr>
          </w:p>
        </w:tc>
        <w:tc>
          <w:tcPr>
            <w:tcW w:w="108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78796151"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63974D25" w14:textId="77777777">
            <w:pPr>
              <w:autoSpaceDE/>
              <w:autoSpaceDN/>
              <w:rPr>
                <w:rFonts w:ascii="Calibri" w:hAnsi="Calibri" w:eastAsia="Times New Roman" w:cs="Calibri"/>
                <w:color w:val="000000"/>
                <w:sz w:val="20"/>
                <w:szCs w:val="20"/>
                <w:lang w:eastAsia="en-US"/>
              </w:rPr>
            </w:pPr>
          </w:p>
        </w:tc>
        <w:tc>
          <w:tcPr>
            <w:tcW w:w="937"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3E7773DC" w14:textId="77777777">
            <w:pPr>
              <w:autoSpaceDE/>
              <w:autoSpaceDN/>
              <w:rPr>
                <w:rFonts w:ascii="Calibri" w:hAnsi="Calibri" w:eastAsia="Times New Roman" w:cs="Calibri"/>
                <w:color w:val="000000"/>
                <w:sz w:val="20"/>
                <w:szCs w:val="20"/>
                <w:lang w:eastAsia="en-US"/>
              </w:rPr>
            </w:pPr>
          </w:p>
        </w:tc>
        <w:tc>
          <w:tcPr>
            <w:tcW w:w="1607"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07A49C96" w14:textId="77777777">
            <w:pPr>
              <w:autoSpaceDE/>
              <w:autoSpaceDN/>
              <w:rPr>
                <w:rFonts w:ascii="Calibri" w:hAnsi="Calibri" w:eastAsia="Times New Roman" w:cs="Calibri"/>
                <w:color w:val="000000"/>
                <w:sz w:val="20"/>
                <w:szCs w:val="20"/>
                <w:lang w:eastAsia="en-US"/>
              </w:rPr>
            </w:pPr>
          </w:p>
        </w:tc>
        <w:tc>
          <w:tcPr>
            <w:tcW w:w="11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5117DBEA" w14:textId="77777777">
            <w:pPr>
              <w:autoSpaceDE/>
              <w:autoSpaceDN/>
              <w:rPr>
                <w:rFonts w:ascii="Calibri" w:hAnsi="Calibri" w:eastAsia="Times New Roman" w:cs="Calibri"/>
                <w:color w:val="000000"/>
                <w:sz w:val="20"/>
                <w:szCs w:val="20"/>
                <w:lang w:eastAsia="en-US"/>
              </w:rPr>
            </w:pPr>
          </w:p>
        </w:tc>
      </w:tr>
      <w:tr w:rsidRPr="00AE701A" w:rsidR="00FD5B56" w:rsidTr="00313268" w14:paraId="3B2CAB91" w14:textId="77777777">
        <w:trPr>
          <w:trHeight w:val="29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7BE074F2" w14:textId="77777777">
            <w:pPr>
              <w:autoSpaceDE/>
              <w:autoSpaceDN/>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School/ Industry Clinics</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B1E6C" w:rsidR="00AE701A" w:rsidP="00AE701A" w:rsidRDefault="00AE701A" w14:paraId="6CF355C2"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One Time</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7B4BA7" w:rsidR="00AE701A" w:rsidP="00AE701A" w:rsidRDefault="00AE701A" w14:paraId="4E2DD868" w14:textId="79229A60">
            <w:pPr>
              <w:autoSpaceDE/>
              <w:autoSpaceDN/>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Establishment</w:t>
            </w:r>
          </w:p>
        </w:tc>
        <w:tc>
          <w:tcPr>
            <w:tcW w:w="1404"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6A5228" w:rsidR="00AE701A" w:rsidP="00AE701A" w:rsidRDefault="00AE701A" w14:paraId="4FD3DB08" w14:textId="77777777">
            <w:pPr>
              <w:autoSpaceDE/>
              <w:autoSpaceDN/>
              <w:rPr>
                <w:rFonts w:ascii="Calibri" w:hAnsi="Calibri" w:eastAsia="Times New Roman" w:cs="Calibri"/>
                <w:color w:val="000000"/>
                <w:sz w:val="20"/>
                <w:szCs w:val="20"/>
                <w:lang w:eastAsia="en-US"/>
              </w:rPr>
            </w:pPr>
            <w:r w:rsidRPr="006A5228">
              <w:rPr>
                <w:rFonts w:ascii="Calibri" w:hAnsi="Calibri" w:eastAsia="Times New Roman" w:cs="Calibri"/>
                <w:color w:val="000000"/>
                <w:sz w:val="20"/>
                <w:szCs w:val="20"/>
                <w:lang w:eastAsia="en-US"/>
              </w:rPr>
              <w:t>OH&amp;S Specialist</w:t>
            </w:r>
          </w:p>
        </w:tc>
        <w:tc>
          <w:tcPr>
            <w:tcW w:w="1170" w:type="dxa"/>
            <w:vMerge w:val="restart"/>
            <w:tcBorders>
              <w:top w:val="single" w:color="auto" w:sz="4" w:space="0"/>
              <w:left w:val="single" w:color="auto" w:sz="4" w:space="0"/>
              <w:bottom w:val="single" w:color="auto" w:sz="4" w:space="0"/>
              <w:right w:val="single" w:color="auto" w:sz="4" w:space="0"/>
            </w:tcBorders>
            <w:shd w:val="clear" w:color="000000" w:fill="FFFFFF"/>
            <w:vAlign w:val="center"/>
            <w:hideMark/>
          </w:tcPr>
          <w:p w:rsidRPr="001D0186" w:rsidR="00AE701A" w:rsidP="00AE701A" w:rsidRDefault="00741915" w14:paraId="0D86A62A" w14:textId="4B3CC018">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18,954</w:t>
            </w:r>
          </w:p>
        </w:tc>
        <w:tc>
          <w:tcPr>
            <w:tcW w:w="1223"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01A14E16"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33%</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243D57A5"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23.33</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E61FFD" w:rsidRDefault="00E61FFD" w14:paraId="60580A84" w14:textId="4B107062">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145,924.95</w:t>
            </w:r>
          </w:p>
        </w:tc>
        <w:tc>
          <w:tcPr>
            <w:tcW w:w="93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2C984A6D"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$59.20 </w:t>
            </w:r>
          </w:p>
        </w:tc>
        <w:tc>
          <w:tcPr>
            <w:tcW w:w="160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E61FFD" w:rsidRDefault="00AE701A" w14:paraId="696BF8EF" w14:textId="1CE5E083">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w:t>
            </w:r>
            <w:r w:rsidR="00E61FFD">
              <w:rPr>
                <w:rFonts w:ascii="Calibri" w:hAnsi="Calibri" w:eastAsia="Times New Roman" w:cs="Calibri"/>
                <w:color w:val="000000"/>
                <w:sz w:val="20"/>
                <w:szCs w:val="20"/>
                <w:lang w:eastAsia="en-US"/>
              </w:rPr>
              <w:t>8,638,757.08</w:t>
            </w:r>
            <w:r w:rsidRPr="00252CD2">
              <w:rPr>
                <w:rFonts w:ascii="Calibri" w:hAnsi="Calibri" w:eastAsia="Times New Roman" w:cs="Calibri"/>
                <w:color w:val="000000"/>
                <w:sz w:val="20"/>
                <w:szCs w:val="20"/>
                <w:lang w:eastAsia="en-US"/>
              </w:rPr>
              <w:t xml:space="preserve"> </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741915" w:rsidRDefault="00AE701A" w14:paraId="6E39D1A5" w14:textId="6EB1DA88">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                     </w:t>
            </w:r>
            <w:r w:rsidR="00741915">
              <w:rPr>
                <w:rFonts w:ascii="Calibri" w:hAnsi="Calibri" w:eastAsia="Times New Roman" w:cs="Calibri"/>
                <w:color w:val="000000"/>
                <w:sz w:val="20"/>
                <w:szCs w:val="20"/>
                <w:lang w:eastAsia="en-US"/>
              </w:rPr>
              <w:t>6,255</w:t>
            </w:r>
            <w:r w:rsidRPr="00252CD2">
              <w:rPr>
                <w:rFonts w:ascii="Calibri" w:hAnsi="Calibri" w:eastAsia="Times New Roman" w:cs="Calibri"/>
                <w:color w:val="000000"/>
                <w:sz w:val="20"/>
                <w:szCs w:val="20"/>
                <w:lang w:eastAsia="en-US"/>
              </w:rPr>
              <w:t xml:space="preserve"> </w:t>
            </w:r>
          </w:p>
        </w:tc>
      </w:tr>
      <w:tr w:rsidRPr="00AE701A" w:rsidR="00FD5B56" w:rsidTr="00313268" w14:paraId="64731CFE" w14:textId="77777777">
        <w:trPr>
          <w:trHeight w:val="30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3BBEA0A2" w14:textId="77777777">
            <w:pPr>
              <w:autoSpaceDE/>
              <w:autoSpaceDN/>
              <w:jc w:val="right"/>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 </w:t>
            </w:r>
          </w:p>
        </w:tc>
        <w:tc>
          <w:tcPr>
            <w:tcW w:w="126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1B254138"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7F43B710" w14:textId="77777777">
            <w:pPr>
              <w:autoSpaceDE/>
              <w:autoSpaceDN/>
              <w:rPr>
                <w:rFonts w:ascii="Calibri" w:hAnsi="Calibri" w:eastAsia="Times New Roman" w:cs="Calibri"/>
                <w:color w:val="000000"/>
                <w:sz w:val="20"/>
                <w:szCs w:val="20"/>
                <w:lang w:eastAsia="en-US"/>
              </w:rPr>
            </w:pPr>
          </w:p>
        </w:tc>
        <w:tc>
          <w:tcPr>
            <w:tcW w:w="1404"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63D2EA14" w14:textId="77777777">
            <w:pPr>
              <w:autoSpaceDE/>
              <w:autoSpaceDN/>
              <w:rPr>
                <w:rFonts w:ascii="Calibri" w:hAnsi="Calibri" w:eastAsia="Times New Roman" w:cs="Calibri"/>
                <w:color w:val="000000"/>
                <w:sz w:val="20"/>
                <w:szCs w:val="20"/>
                <w:lang w:eastAsia="en-US"/>
              </w:rPr>
            </w:pPr>
          </w:p>
        </w:tc>
        <w:tc>
          <w:tcPr>
            <w:tcW w:w="117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2D6AF87A" w14:textId="77777777">
            <w:pPr>
              <w:autoSpaceDE/>
              <w:autoSpaceDN/>
              <w:rPr>
                <w:rFonts w:ascii="Calibri" w:hAnsi="Calibri" w:eastAsia="Times New Roman" w:cs="Calibri"/>
                <w:color w:val="000000"/>
                <w:sz w:val="20"/>
                <w:szCs w:val="20"/>
                <w:lang w:eastAsia="en-US"/>
              </w:rPr>
            </w:pPr>
          </w:p>
        </w:tc>
        <w:tc>
          <w:tcPr>
            <w:tcW w:w="1223"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7BCB39C8" w14:textId="77777777">
            <w:pPr>
              <w:autoSpaceDE/>
              <w:autoSpaceDN/>
              <w:rPr>
                <w:rFonts w:ascii="Calibri" w:hAnsi="Calibri" w:eastAsia="Times New Roman" w:cs="Calibri"/>
                <w:color w:val="000000"/>
                <w:sz w:val="20"/>
                <w:szCs w:val="20"/>
                <w:lang w:eastAsia="en-US"/>
              </w:rPr>
            </w:pPr>
          </w:p>
        </w:tc>
        <w:tc>
          <w:tcPr>
            <w:tcW w:w="108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3E74A937"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1C8C6AB0" w14:textId="77777777">
            <w:pPr>
              <w:autoSpaceDE/>
              <w:autoSpaceDN/>
              <w:rPr>
                <w:rFonts w:ascii="Calibri" w:hAnsi="Calibri" w:eastAsia="Times New Roman" w:cs="Calibri"/>
                <w:color w:val="000000"/>
                <w:sz w:val="20"/>
                <w:szCs w:val="20"/>
                <w:lang w:eastAsia="en-US"/>
              </w:rPr>
            </w:pPr>
          </w:p>
        </w:tc>
        <w:tc>
          <w:tcPr>
            <w:tcW w:w="937"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51E5B542" w14:textId="77777777">
            <w:pPr>
              <w:autoSpaceDE/>
              <w:autoSpaceDN/>
              <w:rPr>
                <w:rFonts w:ascii="Calibri" w:hAnsi="Calibri" w:eastAsia="Times New Roman" w:cs="Calibri"/>
                <w:color w:val="000000"/>
                <w:sz w:val="20"/>
                <w:szCs w:val="20"/>
                <w:lang w:eastAsia="en-US"/>
              </w:rPr>
            </w:pPr>
          </w:p>
        </w:tc>
        <w:tc>
          <w:tcPr>
            <w:tcW w:w="1607"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74677E37" w14:textId="77777777">
            <w:pPr>
              <w:autoSpaceDE/>
              <w:autoSpaceDN/>
              <w:rPr>
                <w:rFonts w:ascii="Calibri" w:hAnsi="Calibri" w:eastAsia="Times New Roman" w:cs="Calibri"/>
                <w:color w:val="000000"/>
                <w:sz w:val="20"/>
                <w:szCs w:val="20"/>
                <w:lang w:eastAsia="en-US"/>
              </w:rPr>
            </w:pPr>
          </w:p>
        </w:tc>
        <w:tc>
          <w:tcPr>
            <w:tcW w:w="11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4161EAA2" w14:textId="77777777">
            <w:pPr>
              <w:autoSpaceDE/>
              <w:autoSpaceDN/>
              <w:rPr>
                <w:rFonts w:ascii="Calibri" w:hAnsi="Calibri" w:eastAsia="Times New Roman" w:cs="Calibri"/>
                <w:color w:val="000000"/>
                <w:sz w:val="20"/>
                <w:szCs w:val="20"/>
                <w:lang w:eastAsia="en-US"/>
              </w:rPr>
            </w:pPr>
          </w:p>
        </w:tc>
      </w:tr>
      <w:tr w:rsidRPr="00AE701A" w:rsidR="00FD5B56" w:rsidTr="00313268" w14:paraId="06779E56" w14:textId="77777777">
        <w:trPr>
          <w:trHeight w:val="29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2F2C3BCE" w14:textId="77777777">
            <w:pPr>
              <w:autoSpaceDE/>
              <w:autoSpaceDN/>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Correctional Facility Clinics</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B1E6C" w:rsidR="00AE701A" w:rsidP="00AE701A" w:rsidRDefault="00AE701A" w14:paraId="4EFF0728"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One Time</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7B4BA7" w:rsidR="00AE701A" w:rsidP="00AE701A" w:rsidRDefault="00AE701A" w14:paraId="28C261A6" w14:textId="3F89475E">
            <w:pPr>
              <w:autoSpaceDE/>
              <w:autoSpaceDN/>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Establishment</w:t>
            </w:r>
          </w:p>
        </w:tc>
        <w:tc>
          <w:tcPr>
            <w:tcW w:w="1404"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6A5228" w:rsidR="00AE701A" w:rsidP="00AE701A" w:rsidRDefault="00AE701A" w14:paraId="4428E828" w14:textId="77777777">
            <w:pPr>
              <w:autoSpaceDE/>
              <w:autoSpaceDN/>
              <w:rPr>
                <w:rFonts w:ascii="Calibri" w:hAnsi="Calibri" w:eastAsia="Times New Roman" w:cs="Calibri"/>
                <w:color w:val="000000"/>
                <w:sz w:val="20"/>
                <w:szCs w:val="20"/>
                <w:lang w:eastAsia="en-US"/>
              </w:rPr>
            </w:pPr>
            <w:r w:rsidRPr="006A5228">
              <w:rPr>
                <w:rFonts w:ascii="Calibri" w:hAnsi="Calibri" w:eastAsia="Times New Roman" w:cs="Calibri"/>
                <w:color w:val="000000"/>
                <w:sz w:val="20"/>
                <w:szCs w:val="20"/>
                <w:lang w:eastAsia="en-US"/>
              </w:rPr>
              <w:t>OH&amp;S Specialist</w:t>
            </w:r>
          </w:p>
        </w:tc>
        <w:tc>
          <w:tcPr>
            <w:tcW w:w="1170" w:type="dxa"/>
            <w:vMerge w:val="restart"/>
            <w:tcBorders>
              <w:top w:val="single" w:color="auto" w:sz="4" w:space="0"/>
              <w:left w:val="single" w:color="auto" w:sz="4" w:space="0"/>
              <w:bottom w:val="single" w:color="auto" w:sz="4" w:space="0"/>
              <w:right w:val="single" w:color="auto" w:sz="4" w:space="0"/>
            </w:tcBorders>
            <w:shd w:val="clear" w:color="000000" w:fill="FFFFFF"/>
            <w:vAlign w:val="center"/>
            <w:hideMark/>
          </w:tcPr>
          <w:p w:rsidRPr="001D0186" w:rsidR="00AE701A" w:rsidP="00AE701A" w:rsidRDefault="00AE701A" w14:paraId="705F31FA" w14:textId="77777777">
            <w:pPr>
              <w:autoSpaceDE/>
              <w:autoSpaceDN/>
              <w:jc w:val="right"/>
              <w:rPr>
                <w:rFonts w:ascii="Calibri" w:hAnsi="Calibri" w:eastAsia="Times New Roman" w:cs="Calibri"/>
                <w:color w:val="000000"/>
                <w:sz w:val="20"/>
                <w:szCs w:val="20"/>
                <w:lang w:eastAsia="en-US"/>
              </w:rPr>
            </w:pPr>
            <w:r w:rsidRPr="001D0186">
              <w:rPr>
                <w:rFonts w:ascii="Calibri" w:hAnsi="Calibri" w:eastAsia="Times New Roman" w:cs="Calibri"/>
                <w:color w:val="000000"/>
                <w:sz w:val="20"/>
                <w:szCs w:val="20"/>
                <w:lang w:eastAsia="en-US"/>
              </w:rPr>
              <w:t>1,680</w:t>
            </w:r>
          </w:p>
        </w:tc>
        <w:tc>
          <w:tcPr>
            <w:tcW w:w="1223"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0F0D2FCC"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28%</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07EF4ED9"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27.47</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02B094FB" w14:textId="4FC0D3DD">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12</w:t>
            </w:r>
            <w:r w:rsidR="00741915">
              <w:rPr>
                <w:rFonts w:ascii="Calibri" w:hAnsi="Calibri" w:eastAsia="Times New Roman" w:cs="Calibri"/>
                <w:color w:val="000000"/>
                <w:sz w:val="20"/>
                <w:szCs w:val="20"/>
                <w:lang w:eastAsia="en-US"/>
              </w:rPr>
              <w:t>,</w:t>
            </w:r>
            <w:r w:rsidRPr="00252CD2">
              <w:rPr>
                <w:rFonts w:ascii="Calibri" w:hAnsi="Calibri" w:eastAsia="Times New Roman" w:cs="Calibri"/>
                <w:color w:val="000000"/>
                <w:sz w:val="20"/>
                <w:szCs w:val="20"/>
                <w:lang w:eastAsia="en-US"/>
              </w:rPr>
              <w:t>921.89</w:t>
            </w:r>
          </w:p>
        </w:tc>
        <w:tc>
          <w:tcPr>
            <w:tcW w:w="93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4B5012DC"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$59.20 </w:t>
            </w:r>
          </w:p>
        </w:tc>
        <w:tc>
          <w:tcPr>
            <w:tcW w:w="160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59F06C2C"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$764,975.77 </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7772B430"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                        470 </w:t>
            </w:r>
          </w:p>
        </w:tc>
      </w:tr>
      <w:tr w:rsidRPr="00AE701A" w:rsidR="00FD5B56" w:rsidTr="00313268" w14:paraId="45B011FE" w14:textId="77777777">
        <w:trPr>
          <w:trHeight w:val="30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3601F753" w14:textId="77777777">
            <w:pPr>
              <w:autoSpaceDE/>
              <w:autoSpaceDN/>
              <w:jc w:val="right"/>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 </w:t>
            </w:r>
          </w:p>
        </w:tc>
        <w:tc>
          <w:tcPr>
            <w:tcW w:w="126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0479F9D5"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56720937" w14:textId="77777777">
            <w:pPr>
              <w:autoSpaceDE/>
              <w:autoSpaceDN/>
              <w:rPr>
                <w:rFonts w:ascii="Calibri" w:hAnsi="Calibri" w:eastAsia="Times New Roman" w:cs="Calibri"/>
                <w:color w:val="000000"/>
                <w:sz w:val="20"/>
                <w:szCs w:val="20"/>
                <w:lang w:eastAsia="en-US"/>
              </w:rPr>
            </w:pPr>
          </w:p>
        </w:tc>
        <w:tc>
          <w:tcPr>
            <w:tcW w:w="1404"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6FD85C98" w14:textId="77777777">
            <w:pPr>
              <w:autoSpaceDE/>
              <w:autoSpaceDN/>
              <w:rPr>
                <w:rFonts w:ascii="Calibri" w:hAnsi="Calibri" w:eastAsia="Times New Roman" w:cs="Calibri"/>
                <w:color w:val="000000"/>
                <w:sz w:val="20"/>
                <w:szCs w:val="20"/>
                <w:lang w:eastAsia="en-US"/>
              </w:rPr>
            </w:pPr>
          </w:p>
        </w:tc>
        <w:tc>
          <w:tcPr>
            <w:tcW w:w="117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5A651659" w14:textId="77777777">
            <w:pPr>
              <w:autoSpaceDE/>
              <w:autoSpaceDN/>
              <w:rPr>
                <w:rFonts w:ascii="Calibri" w:hAnsi="Calibri" w:eastAsia="Times New Roman" w:cs="Calibri"/>
                <w:color w:val="000000"/>
                <w:sz w:val="20"/>
                <w:szCs w:val="20"/>
                <w:lang w:eastAsia="en-US"/>
              </w:rPr>
            </w:pPr>
          </w:p>
        </w:tc>
        <w:tc>
          <w:tcPr>
            <w:tcW w:w="1223"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73173A28" w14:textId="77777777">
            <w:pPr>
              <w:autoSpaceDE/>
              <w:autoSpaceDN/>
              <w:rPr>
                <w:rFonts w:ascii="Calibri" w:hAnsi="Calibri" w:eastAsia="Times New Roman" w:cs="Calibri"/>
                <w:color w:val="000000"/>
                <w:sz w:val="20"/>
                <w:szCs w:val="20"/>
                <w:lang w:eastAsia="en-US"/>
              </w:rPr>
            </w:pPr>
          </w:p>
        </w:tc>
        <w:tc>
          <w:tcPr>
            <w:tcW w:w="108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5D1F0AF6"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0AF47815" w14:textId="77777777">
            <w:pPr>
              <w:autoSpaceDE/>
              <w:autoSpaceDN/>
              <w:rPr>
                <w:rFonts w:ascii="Calibri" w:hAnsi="Calibri" w:eastAsia="Times New Roman" w:cs="Calibri"/>
                <w:color w:val="000000"/>
                <w:sz w:val="20"/>
                <w:szCs w:val="20"/>
                <w:lang w:eastAsia="en-US"/>
              </w:rPr>
            </w:pPr>
          </w:p>
        </w:tc>
        <w:tc>
          <w:tcPr>
            <w:tcW w:w="937"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5FAF62A4" w14:textId="77777777">
            <w:pPr>
              <w:autoSpaceDE/>
              <w:autoSpaceDN/>
              <w:rPr>
                <w:rFonts w:ascii="Calibri" w:hAnsi="Calibri" w:eastAsia="Times New Roman" w:cs="Calibri"/>
                <w:color w:val="000000"/>
                <w:sz w:val="20"/>
                <w:szCs w:val="20"/>
                <w:lang w:eastAsia="en-US"/>
              </w:rPr>
            </w:pPr>
          </w:p>
        </w:tc>
        <w:tc>
          <w:tcPr>
            <w:tcW w:w="1607"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66682370" w14:textId="77777777">
            <w:pPr>
              <w:autoSpaceDE/>
              <w:autoSpaceDN/>
              <w:rPr>
                <w:rFonts w:ascii="Calibri" w:hAnsi="Calibri" w:eastAsia="Times New Roman" w:cs="Calibri"/>
                <w:color w:val="000000"/>
                <w:sz w:val="20"/>
                <w:szCs w:val="20"/>
                <w:lang w:eastAsia="en-US"/>
              </w:rPr>
            </w:pPr>
          </w:p>
        </w:tc>
        <w:tc>
          <w:tcPr>
            <w:tcW w:w="11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4424752D" w14:textId="77777777">
            <w:pPr>
              <w:autoSpaceDE/>
              <w:autoSpaceDN/>
              <w:rPr>
                <w:rFonts w:ascii="Calibri" w:hAnsi="Calibri" w:eastAsia="Times New Roman" w:cs="Calibri"/>
                <w:color w:val="000000"/>
                <w:sz w:val="20"/>
                <w:szCs w:val="20"/>
                <w:lang w:eastAsia="en-US"/>
              </w:rPr>
            </w:pPr>
          </w:p>
        </w:tc>
      </w:tr>
      <w:tr w:rsidRPr="00AE701A" w:rsidR="00FD5B56" w:rsidTr="00313268" w14:paraId="6A8236F9" w14:textId="77777777">
        <w:trPr>
          <w:trHeight w:val="300"/>
        </w:trPr>
        <w:tc>
          <w:tcPr>
            <w:tcW w:w="162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520C25" w:rsidR="00AE701A" w:rsidP="00AE701A" w:rsidRDefault="00AE701A" w14:paraId="00A7B939" w14:textId="77777777">
            <w:pPr>
              <w:autoSpaceDE/>
              <w:autoSpaceDN/>
              <w:rPr>
                <w:rFonts w:ascii="Calibri" w:hAnsi="Calibri" w:eastAsia="Times New Roman" w:cs="Calibri"/>
                <w:b/>
                <w:bCs/>
                <w:color w:val="000000"/>
                <w:sz w:val="20"/>
                <w:szCs w:val="20"/>
                <w:lang w:eastAsia="en-US"/>
              </w:rPr>
            </w:pPr>
            <w:r w:rsidRPr="00520C25">
              <w:rPr>
                <w:rFonts w:ascii="Calibri" w:hAnsi="Calibri" w:eastAsia="Times New Roman" w:cs="Calibri"/>
                <w:b/>
                <w:bCs/>
                <w:color w:val="000000"/>
                <w:sz w:val="20"/>
                <w:szCs w:val="20"/>
                <w:lang w:eastAsia="en-US"/>
              </w:rPr>
              <w:t>c. Communicate Plan</w:t>
            </w:r>
          </w:p>
        </w:tc>
        <w:tc>
          <w:tcPr>
            <w:tcW w:w="126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AB1E6C" w:rsidR="00AE701A" w:rsidP="00AE701A" w:rsidRDefault="00AE701A" w14:paraId="3D7974C2"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 </w:t>
            </w:r>
          </w:p>
        </w:tc>
        <w:tc>
          <w:tcPr>
            <w:tcW w:w="144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7B4BA7" w:rsidR="00AE701A" w:rsidP="00AE701A" w:rsidRDefault="00AE701A" w14:paraId="77810107" w14:textId="77777777">
            <w:pPr>
              <w:autoSpaceDE/>
              <w:autoSpaceDN/>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 </w:t>
            </w:r>
          </w:p>
        </w:tc>
        <w:tc>
          <w:tcPr>
            <w:tcW w:w="1404"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6A5228" w:rsidR="00AE701A" w:rsidP="00AE701A" w:rsidRDefault="00AE701A" w14:paraId="2B116AF2" w14:textId="77777777">
            <w:pPr>
              <w:autoSpaceDE/>
              <w:autoSpaceDN/>
              <w:rPr>
                <w:rFonts w:ascii="Calibri" w:hAnsi="Calibri" w:eastAsia="Times New Roman" w:cs="Calibri"/>
                <w:color w:val="000000"/>
                <w:sz w:val="20"/>
                <w:szCs w:val="20"/>
                <w:lang w:eastAsia="en-US"/>
              </w:rPr>
            </w:pPr>
            <w:r w:rsidRPr="006A5228">
              <w:rPr>
                <w:rFonts w:ascii="Calibri" w:hAnsi="Calibri" w:eastAsia="Times New Roman" w:cs="Calibri"/>
                <w:color w:val="000000"/>
                <w:sz w:val="20"/>
                <w:szCs w:val="20"/>
                <w:lang w:eastAsia="en-US"/>
              </w:rPr>
              <w:t> </w:t>
            </w:r>
          </w:p>
        </w:tc>
        <w:tc>
          <w:tcPr>
            <w:tcW w:w="117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1D0186" w:rsidR="00AE701A" w:rsidP="00AE701A" w:rsidRDefault="00AE701A" w14:paraId="56409410" w14:textId="77777777">
            <w:pPr>
              <w:autoSpaceDE/>
              <w:autoSpaceDN/>
              <w:jc w:val="right"/>
              <w:rPr>
                <w:rFonts w:ascii="Calibri" w:hAnsi="Calibri" w:eastAsia="Times New Roman" w:cs="Calibri"/>
                <w:color w:val="000000"/>
                <w:sz w:val="20"/>
                <w:szCs w:val="20"/>
                <w:lang w:eastAsia="en-US"/>
              </w:rPr>
            </w:pPr>
            <w:r w:rsidRPr="001D0186">
              <w:rPr>
                <w:rFonts w:ascii="Calibri" w:hAnsi="Calibri" w:eastAsia="Times New Roman" w:cs="Calibri"/>
                <w:color w:val="000000"/>
                <w:sz w:val="20"/>
                <w:szCs w:val="20"/>
                <w:lang w:eastAsia="en-US"/>
              </w:rPr>
              <w:t> </w:t>
            </w:r>
          </w:p>
        </w:tc>
        <w:tc>
          <w:tcPr>
            <w:tcW w:w="1223"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252CD2" w:rsidR="00AE701A" w:rsidP="00AE701A" w:rsidRDefault="00AE701A" w14:paraId="067D14F7"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w:t>
            </w:r>
          </w:p>
        </w:tc>
        <w:tc>
          <w:tcPr>
            <w:tcW w:w="108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252CD2" w:rsidR="00AE701A" w:rsidP="00AE701A" w:rsidRDefault="00AE701A" w14:paraId="0799F178"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w:t>
            </w:r>
          </w:p>
        </w:tc>
        <w:tc>
          <w:tcPr>
            <w:tcW w:w="144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252CD2" w:rsidR="00AE701A" w:rsidP="00AE701A" w:rsidRDefault="00AE701A" w14:paraId="37D142BD"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w:t>
            </w:r>
          </w:p>
        </w:tc>
        <w:tc>
          <w:tcPr>
            <w:tcW w:w="937"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252CD2" w:rsidR="00AE701A" w:rsidP="00AE701A" w:rsidRDefault="00AE701A" w14:paraId="71FA24B3"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w:t>
            </w:r>
          </w:p>
        </w:tc>
        <w:tc>
          <w:tcPr>
            <w:tcW w:w="1607"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252CD2" w:rsidR="00AE701A" w:rsidP="00AE701A" w:rsidRDefault="00AE701A" w14:paraId="245ED147"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w:t>
            </w:r>
          </w:p>
        </w:tc>
        <w:tc>
          <w:tcPr>
            <w:tcW w:w="114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252CD2" w:rsidR="00AE701A" w:rsidP="00AE701A" w:rsidRDefault="00AE701A" w14:paraId="648F5A25"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w:t>
            </w:r>
          </w:p>
        </w:tc>
      </w:tr>
      <w:tr w:rsidRPr="00AE701A" w:rsidR="00FD5B56" w:rsidTr="00313268" w14:paraId="41A122F8" w14:textId="77777777">
        <w:trPr>
          <w:trHeight w:val="300"/>
        </w:trPr>
        <w:tc>
          <w:tcPr>
            <w:tcW w:w="162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520C25" w:rsidR="00AE701A" w:rsidP="00AE701A" w:rsidRDefault="00AE701A" w14:paraId="2083E020" w14:textId="77777777">
            <w:pPr>
              <w:autoSpaceDE/>
              <w:autoSpaceDN/>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General Hospitals</w:t>
            </w:r>
          </w:p>
        </w:tc>
        <w:tc>
          <w:tcPr>
            <w:tcW w:w="126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AB1E6C" w:rsidR="00AE701A" w:rsidP="00AE701A" w:rsidRDefault="00AE701A" w14:paraId="7E39F427"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Weekly</w:t>
            </w:r>
          </w:p>
        </w:tc>
        <w:tc>
          <w:tcPr>
            <w:tcW w:w="144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7B4BA7" w:rsidR="00AE701A" w:rsidP="00AE701A" w:rsidRDefault="00AE701A" w14:paraId="105875C8" w14:textId="260E6B96">
            <w:pPr>
              <w:autoSpaceDE/>
              <w:autoSpaceDN/>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Establishment</w:t>
            </w:r>
          </w:p>
        </w:tc>
        <w:tc>
          <w:tcPr>
            <w:tcW w:w="1404"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6A5228" w:rsidR="00AE701A" w:rsidP="00AE701A" w:rsidRDefault="00AE701A" w14:paraId="2CAB25A4" w14:textId="77777777">
            <w:pPr>
              <w:autoSpaceDE/>
              <w:autoSpaceDN/>
              <w:rPr>
                <w:rFonts w:ascii="Calibri" w:hAnsi="Calibri" w:eastAsia="Times New Roman" w:cs="Calibri"/>
                <w:color w:val="000000"/>
                <w:sz w:val="20"/>
                <w:szCs w:val="20"/>
                <w:lang w:eastAsia="en-US"/>
              </w:rPr>
            </w:pPr>
            <w:r w:rsidRPr="006A5228">
              <w:rPr>
                <w:rFonts w:ascii="Calibri" w:hAnsi="Calibri" w:eastAsia="Times New Roman" w:cs="Calibri"/>
                <w:color w:val="000000"/>
                <w:sz w:val="20"/>
                <w:szCs w:val="20"/>
                <w:lang w:eastAsia="en-US"/>
              </w:rPr>
              <w:t>OH&amp;S Specialist</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D0186" w:rsidR="00AE701A" w:rsidP="00AE701A" w:rsidRDefault="00AE701A" w14:paraId="3CCFCFF5" w14:textId="77777777">
            <w:pPr>
              <w:autoSpaceDE/>
              <w:autoSpaceDN/>
              <w:jc w:val="right"/>
              <w:rPr>
                <w:rFonts w:ascii="Calibri" w:hAnsi="Calibri" w:eastAsia="Times New Roman" w:cs="Calibri"/>
                <w:color w:val="000000"/>
                <w:sz w:val="20"/>
                <w:szCs w:val="20"/>
                <w:lang w:eastAsia="en-US"/>
              </w:rPr>
            </w:pPr>
            <w:r w:rsidRPr="001D0186">
              <w:rPr>
                <w:rFonts w:ascii="Calibri" w:hAnsi="Calibri" w:eastAsia="Times New Roman" w:cs="Calibri"/>
                <w:color w:val="000000"/>
                <w:sz w:val="20"/>
                <w:szCs w:val="20"/>
                <w:lang w:eastAsia="en-US"/>
              </w:rPr>
              <w:t>5,281.20</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91560" w:rsidR="00AE701A" w:rsidP="00AE701A" w:rsidRDefault="00AE701A" w14:paraId="0B69B982" w14:textId="77777777">
            <w:pPr>
              <w:autoSpaceDE/>
              <w:autoSpaceDN/>
              <w:jc w:val="center"/>
              <w:rPr>
                <w:rFonts w:ascii="Calibri" w:hAnsi="Calibri" w:eastAsia="Times New Roman" w:cs="Calibri"/>
                <w:color w:val="000000"/>
                <w:sz w:val="20"/>
                <w:szCs w:val="20"/>
                <w:lang w:eastAsia="en-US"/>
              </w:rPr>
            </w:pPr>
            <w:r w:rsidRPr="00091560">
              <w:rPr>
                <w:rFonts w:ascii="Calibri" w:hAnsi="Calibri" w:eastAsia="Times New Roman" w:cs="Calibri"/>
                <w:color w:val="000000"/>
                <w:sz w:val="20"/>
                <w:szCs w:val="20"/>
                <w:lang w:eastAsia="en-US"/>
              </w:rPr>
              <w:t>6%</w:t>
            </w:r>
          </w:p>
        </w:tc>
        <w:tc>
          <w:tcPr>
            <w:tcW w:w="108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520C25" w:rsidR="00AE701A" w:rsidP="00AE701A" w:rsidRDefault="00AE701A" w14:paraId="71FE58FC" w14:textId="77777777">
            <w:pPr>
              <w:autoSpaceDE/>
              <w:autoSpaceDN/>
              <w:jc w:val="right"/>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6.5</w:t>
            </w:r>
          </w:p>
        </w:tc>
        <w:tc>
          <w:tcPr>
            <w:tcW w:w="144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AB1E6C" w:rsidR="00AE701A" w:rsidP="00AE701A" w:rsidRDefault="00AE701A" w14:paraId="45A8B48E" w14:textId="598A81E8">
            <w:pPr>
              <w:autoSpaceDE/>
              <w:autoSpaceDN/>
              <w:jc w:val="right"/>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2</w:t>
            </w:r>
            <w:r w:rsidR="00E61FFD">
              <w:rPr>
                <w:rFonts w:ascii="Calibri" w:hAnsi="Calibri" w:eastAsia="Times New Roman" w:cs="Calibri"/>
                <w:color w:val="000000"/>
                <w:sz w:val="20"/>
                <w:szCs w:val="20"/>
                <w:lang w:eastAsia="en-US"/>
              </w:rPr>
              <w:t>,</w:t>
            </w:r>
            <w:r w:rsidRPr="00AB1E6C">
              <w:rPr>
                <w:rFonts w:ascii="Calibri" w:hAnsi="Calibri" w:eastAsia="Times New Roman" w:cs="Calibri"/>
                <w:color w:val="000000"/>
                <w:sz w:val="20"/>
                <w:szCs w:val="20"/>
                <w:lang w:eastAsia="en-US"/>
              </w:rPr>
              <w:t>059.67</w:t>
            </w:r>
          </w:p>
        </w:tc>
        <w:tc>
          <w:tcPr>
            <w:tcW w:w="937"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7B4BA7" w:rsidR="00AE701A" w:rsidP="00AE701A" w:rsidRDefault="00AE701A" w14:paraId="742392E9" w14:textId="77777777">
            <w:pPr>
              <w:autoSpaceDE/>
              <w:autoSpaceDN/>
              <w:jc w:val="right"/>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 xml:space="preserve">$59.20 </w:t>
            </w:r>
          </w:p>
        </w:tc>
        <w:tc>
          <w:tcPr>
            <w:tcW w:w="1607"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284172" w:rsidR="00AE701A" w:rsidP="00AE701A" w:rsidRDefault="00AE701A" w14:paraId="13C7E0FE" w14:textId="77777777">
            <w:pPr>
              <w:autoSpaceDE/>
              <w:autoSpaceDN/>
              <w:jc w:val="right"/>
              <w:rPr>
                <w:rFonts w:ascii="Calibri" w:hAnsi="Calibri" w:eastAsia="Times New Roman" w:cs="Calibri"/>
                <w:color w:val="000000"/>
                <w:sz w:val="20"/>
                <w:szCs w:val="20"/>
                <w:lang w:eastAsia="en-US"/>
              </w:rPr>
            </w:pPr>
            <w:r w:rsidRPr="006A5228">
              <w:rPr>
                <w:rFonts w:ascii="Calibri" w:hAnsi="Calibri" w:eastAsia="Times New Roman" w:cs="Calibri"/>
                <w:color w:val="000000"/>
                <w:sz w:val="20"/>
                <w:szCs w:val="20"/>
                <w:lang w:eastAsia="en-US"/>
              </w:rPr>
              <w:t xml:space="preserve">$121,932.35 </w:t>
            </w:r>
          </w:p>
        </w:tc>
        <w:tc>
          <w:tcPr>
            <w:tcW w:w="114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1D0186" w:rsidR="00AE701A" w:rsidP="00FC64EF" w:rsidRDefault="00AE701A" w14:paraId="760F3CEC" w14:textId="6EBD9977">
            <w:pPr>
              <w:autoSpaceDE/>
              <w:autoSpaceDN/>
              <w:jc w:val="center"/>
              <w:rPr>
                <w:rFonts w:ascii="Calibri" w:hAnsi="Calibri" w:eastAsia="Times New Roman" w:cs="Calibri"/>
                <w:color w:val="000000"/>
                <w:sz w:val="20"/>
                <w:szCs w:val="20"/>
                <w:lang w:eastAsia="en-US"/>
              </w:rPr>
            </w:pPr>
            <w:r w:rsidRPr="001D0186">
              <w:rPr>
                <w:rFonts w:ascii="Calibri" w:hAnsi="Calibri" w:eastAsia="Times New Roman" w:cs="Calibri"/>
                <w:color w:val="000000"/>
                <w:sz w:val="20"/>
                <w:szCs w:val="20"/>
                <w:lang w:eastAsia="en-US"/>
              </w:rPr>
              <w:t>317</w:t>
            </w:r>
          </w:p>
        </w:tc>
      </w:tr>
      <w:tr w:rsidRPr="00AE701A" w:rsidR="00FD5B56" w:rsidTr="00313268" w14:paraId="2A741ED1" w14:textId="77777777">
        <w:trPr>
          <w:trHeight w:val="300"/>
        </w:trPr>
        <w:tc>
          <w:tcPr>
            <w:tcW w:w="162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520C25" w:rsidR="00AE701A" w:rsidP="00AE701A" w:rsidRDefault="00AE701A" w14:paraId="5DC75A09" w14:textId="77777777">
            <w:pPr>
              <w:autoSpaceDE/>
              <w:autoSpaceDN/>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Other Hospitals</w:t>
            </w:r>
          </w:p>
        </w:tc>
        <w:tc>
          <w:tcPr>
            <w:tcW w:w="126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AB1E6C" w:rsidR="00AE701A" w:rsidP="00AE701A" w:rsidRDefault="00AE701A" w14:paraId="43D5F239"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Weekly</w:t>
            </w:r>
          </w:p>
        </w:tc>
        <w:tc>
          <w:tcPr>
            <w:tcW w:w="144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7B4BA7" w:rsidR="00AE701A" w:rsidP="00AE701A" w:rsidRDefault="00AE701A" w14:paraId="01BA3E37" w14:textId="12422FE3">
            <w:pPr>
              <w:autoSpaceDE/>
              <w:autoSpaceDN/>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Establishment</w:t>
            </w:r>
          </w:p>
        </w:tc>
        <w:tc>
          <w:tcPr>
            <w:tcW w:w="1404"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6A5228" w:rsidR="00AE701A" w:rsidP="00AE701A" w:rsidRDefault="00AE701A" w14:paraId="60F17EB9" w14:textId="77777777">
            <w:pPr>
              <w:autoSpaceDE/>
              <w:autoSpaceDN/>
              <w:rPr>
                <w:rFonts w:ascii="Calibri" w:hAnsi="Calibri" w:eastAsia="Times New Roman" w:cs="Calibri"/>
                <w:color w:val="000000"/>
                <w:sz w:val="20"/>
                <w:szCs w:val="20"/>
                <w:lang w:eastAsia="en-US"/>
              </w:rPr>
            </w:pPr>
            <w:r w:rsidRPr="006A5228">
              <w:rPr>
                <w:rFonts w:ascii="Calibri" w:hAnsi="Calibri" w:eastAsia="Times New Roman" w:cs="Calibri"/>
                <w:color w:val="000000"/>
                <w:sz w:val="20"/>
                <w:szCs w:val="20"/>
                <w:lang w:eastAsia="en-US"/>
              </w:rPr>
              <w:t>OH&amp;S Specialist</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D0186" w:rsidR="00AE701A" w:rsidP="00AE701A" w:rsidRDefault="00AE701A" w14:paraId="2B9768A3" w14:textId="77777777">
            <w:pPr>
              <w:autoSpaceDE/>
              <w:autoSpaceDN/>
              <w:jc w:val="right"/>
              <w:rPr>
                <w:rFonts w:ascii="Calibri" w:hAnsi="Calibri" w:eastAsia="Times New Roman" w:cs="Calibri"/>
                <w:color w:val="000000"/>
                <w:sz w:val="20"/>
                <w:szCs w:val="20"/>
                <w:lang w:eastAsia="en-US"/>
              </w:rPr>
            </w:pPr>
            <w:r w:rsidRPr="001D0186">
              <w:rPr>
                <w:rFonts w:ascii="Calibri" w:hAnsi="Calibri" w:eastAsia="Times New Roman" w:cs="Calibri"/>
                <w:color w:val="000000"/>
                <w:sz w:val="20"/>
                <w:szCs w:val="20"/>
                <w:lang w:eastAsia="en-US"/>
              </w:rPr>
              <w:t>2,363.13</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91560" w:rsidR="00AE701A" w:rsidP="00AE701A" w:rsidRDefault="00AE701A" w14:paraId="6A95EF22" w14:textId="77777777">
            <w:pPr>
              <w:autoSpaceDE/>
              <w:autoSpaceDN/>
              <w:jc w:val="center"/>
              <w:rPr>
                <w:rFonts w:ascii="Calibri" w:hAnsi="Calibri" w:eastAsia="Times New Roman" w:cs="Calibri"/>
                <w:color w:val="000000"/>
                <w:sz w:val="20"/>
                <w:szCs w:val="20"/>
                <w:lang w:eastAsia="en-US"/>
              </w:rPr>
            </w:pPr>
            <w:r w:rsidRPr="00091560">
              <w:rPr>
                <w:rFonts w:ascii="Calibri" w:hAnsi="Calibri" w:eastAsia="Times New Roman" w:cs="Calibri"/>
                <w:color w:val="000000"/>
                <w:sz w:val="20"/>
                <w:szCs w:val="20"/>
                <w:lang w:eastAsia="en-US"/>
              </w:rPr>
              <w:t>6%</w:t>
            </w:r>
          </w:p>
        </w:tc>
        <w:tc>
          <w:tcPr>
            <w:tcW w:w="108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520C25" w:rsidR="00AE701A" w:rsidP="00AE701A" w:rsidRDefault="00AE701A" w14:paraId="1503D4DB" w14:textId="77777777">
            <w:pPr>
              <w:autoSpaceDE/>
              <w:autoSpaceDN/>
              <w:jc w:val="right"/>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6.5</w:t>
            </w:r>
          </w:p>
        </w:tc>
        <w:tc>
          <w:tcPr>
            <w:tcW w:w="144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AB1E6C" w:rsidR="00AE701A" w:rsidP="00AE701A" w:rsidRDefault="00AE701A" w14:paraId="4F097F71" w14:textId="77777777">
            <w:pPr>
              <w:autoSpaceDE/>
              <w:autoSpaceDN/>
              <w:jc w:val="right"/>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921.62</w:t>
            </w:r>
          </w:p>
        </w:tc>
        <w:tc>
          <w:tcPr>
            <w:tcW w:w="937"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7B4BA7" w:rsidR="00AE701A" w:rsidP="00AE701A" w:rsidRDefault="00AE701A" w14:paraId="3A6B007F" w14:textId="77777777">
            <w:pPr>
              <w:autoSpaceDE/>
              <w:autoSpaceDN/>
              <w:jc w:val="right"/>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 xml:space="preserve">$59.20 </w:t>
            </w:r>
          </w:p>
        </w:tc>
        <w:tc>
          <w:tcPr>
            <w:tcW w:w="1607"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6A5228" w:rsidR="00AE701A" w:rsidP="008078A1" w:rsidRDefault="00AE701A" w14:paraId="35FED7F0" w14:textId="75250039">
            <w:pPr>
              <w:autoSpaceDE/>
              <w:autoSpaceDN/>
              <w:jc w:val="center"/>
              <w:rPr>
                <w:rFonts w:ascii="Calibri" w:hAnsi="Calibri" w:eastAsia="Times New Roman" w:cs="Calibri"/>
                <w:color w:val="000000"/>
                <w:sz w:val="20"/>
                <w:szCs w:val="20"/>
                <w:lang w:eastAsia="en-US"/>
              </w:rPr>
            </w:pPr>
            <w:r w:rsidRPr="006A5228">
              <w:rPr>
                <w:rFonts w:ascii="Calibri" w:hAnsi="Calibri" w:eastAsia="Times New Roman" w:cs="Calibri"/>
                <w:color w:val="000000"/>
                <w:sz w:val="20"/>
                <w:szCs w:val="20"/>
                <w:lang w:eastAsia="en-US"/>
              </w:rPr>
              <w:t>$54,559.95</w:t>
            </w:r>
          </w:p>
        </w:tc>
        <w:tc>
          <w:tcPr>
            <w:tcW w:w="114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1D0186" w:rsidR="00AE701A" w:rsidP="008078A1" w:rsidRDefault="00AE701A" w14:paraId="0CAED6D3" w14:textId="3F5FE2B5">
            <w:pPr>
              <w:autoSpaceDE/>
              <w:autoSpaceDN/>
              <w:jc w:val="center"/>
              <w:rPr>
                <w:rFonts w:ascii="Calibri" w:hAnsi="Calibri" w:eastAsia="Times New Roman" w:cs="Calibri"/>
                <w:color w:val="000000"/>
                <w:sz w:val="20"/>
                <w:szCs w:val="20"/>
                <w:lang w:eastAsia="en-US"/>
              </w:rPr>
            </w:pPr>
            <w:r w:rsidRPr="001D0186">
              <w:rPr>
                <w:rFonts w:ascii="Calibri" w:hAnsi="Calibri" w:eastAsia="Times New Roman" w:cs="Calibri"/>
                <w:color w:val="000000"/>
                <w:sz w:val="20"/>
                <w:szCs w:val="20"/>
                <w:lang w:eastAsia="en-US"/>
              </w:rPr>
              <w:t>142</w:t>
            </w:r>
          </w:p>
        </w:tc>
      </w:tr>
      <w:tr w:rsidRPr="00AE701A" w:rsidR="00FD5B56" w:rsidTr="00313268" w14:paraId="244B5494" w14:textId="77777777">
        <w:trPr>
          <w:trHeight w:val="300"/>
        </w:trPr>
        <w:tc>
          <w:tcPr>
            <w:tcW w:w="162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520C25" w:rsidR="00AE701A" w:rsidP="00AE701A" w:rsidRDefault="00AE701A" w14:paraId="43CEFA50" w14:textId="77777777">
            <w:pPr>
              <w:autoSpaceDE/>
              <w:autoSpaceDN/>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Nursing Homes</w:t>
            </w:r>
          </w:p>
        </w:tc>
        <w:tc>
          <w:tcPr>
            <w:tcW w:w="126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AB1E6C" w:rsidR="00AE701A" w:rsidP="00AE701A" w:rsidRDefault="00AE701A" w14:paraId="7665A65A"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Weekly</w:t>
            </w:r>
          </w:p>
        </w:tc>
        <w:tc>
          <w:tcPr>
            <w:tcW w:w="144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7B4BA7" w:rsidR="00AE701A" w:rsidP="00AE701A" w:rsidRDefault="00AE701A" w14:paraId="34ABBBFD" w14:textId="1033DB81">
            <w:pPr>
              <w:autoSpaceDE/>
              <w:autoSpaceDN/>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Establishment</w:t>
            </w:r>
          </w:p>
        </w:tc>
        <w:tc>
          <w:tcPr>
            <w:tcW w:w="1404"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3340D7" w:rsidR="00AE701A" w:rsidP="00AE701A" w:rsidRDefault="00AE701A" w14:paraId="3B57A4F7" w14:textId="77777777">
            <w:pPr>
              <w:autoSpaceDE/>
              <w:autoSpaceDN/>
              <w:rPr>
                <w:rFonts w:ascii="Calibri" w:hAnsi="Calibri" w:eastAsia="Times New Roman" w:cs="Calibri"/>
                <w:color w:val="000000"/>
                <w:sz w:val="20"/>
                <w:szCs w:val="20"/>
                <w:lang w:eastAsia="en-US"/>
              </w:rPr>
            </w:pPr>
            <w:r w:rsidRPr="003340D7">
              <w:rPr>
                <w:rFonts w:ascii="Calibri" w:hAnsi="Calibri" w:eastAsia="Times New Roman" w:cs="Calibri"/>
                <w:color w:val="000000"/>
                <w:sz w:val="20"/>
                <w:szCs w:val="20"/>
                <w:lang w:eastAsia="en-US"/>
              </w:rPr>
              <w:t>OH&amp;S Specialist</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D0186" w:rsidR="00AE701A" w:rsidP="00AE701A" w:rsidRDefault="00AE701A" w14:paraId="2C605938" w14:textId="77777777">
            <w:pPr>
              <w:autoSpaceDE/>
              <w:autoSpaceDN/>
              <w:jc w:val="right"/>
              <w:rPr>
                <w:rFonts w:ascii="Calibri" w:hAnsi="Calibri" w:eastAsia="Times New Roman" w:cs="Calibri"/>
                <w:color w:val="000000"/>
                <w:sz w:val="20"/>
                <w:szCs w:val="20"/>
                <w:lang w:eastAsia="en-US"/>
              </w:rPr>
            </w:pPr>
            <w:r w:rsidRPr="001D0186">
              <w:rPr>
                <w:rFonts w:ascii="Calibri" w:hAnsi="Calibri" w:eastAsia="Times New Roman" w:cs="Calibri"/>
                <w:color w:val="000000"/>
                <w:sz w:val="20"/>
                <w:szCs w:val="20"/>
                <w:lang w:eastAsia="en-US"/>
              </w:rPr>
              <w:t>42,759.34</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91560" w:rsidR="00AE701A" w:rsidP="00AE701A" w:rsidRDefault="00AE701A" w14:paraId="074B89BF" w14:textId="77777777">
            <w:pPr>
              <w:autoSpaceDE/>
              <w:autoSpaceDN/>
              <w:jc w:val="center"/>
              <w:rPr>
                <w:rFonts w:ascii="Calibri" w:hAnsi="Calibri" w:eastAsia="Times New Roman" w:cs="Calibri"/>
                <w:color w:val="000000"/>
                <w:sz w:val="20"/>
                <w:szCs w:val="20"/>
                <w:lang w:eastAsia="en-US"/>
              </w:rPr>
            </w:pPr>
            <w:r w:rsidRPr="00091560">
              <w:rPr>
                <w:rFonts w:ascii="Calibri" w:hAnsi="Calibri" w:eastAsia="Times New Roman" w:cs="Calibri"/>
                <w:color w:val="000000"/>
                <w:sz w:val="20"/>
                <w:szCs w:val="20"/>
                <w:lang w:eastAsia="en-US"/>
              </w:rPr>
              <w:t>10%</w:t>
            </w:r>
          </w:p>
        </w:tc>
        <w:tc>
          <w:tcPr>
            <w:tcW w:w="108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520C25" w:rsidR="00AE701A" w:rsidP="00AE701A" w:rsidRDefault="00AE701A" w14:paraId="77F0140A" w14:textId="77777777">
            <w:pPr>
              <w:autoSpaceDE/>
              <w:autoSpaceDN/>
              <w:jc w:val="right"/>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6.5</w:t>
            </w:r>
          </w:p>
        </w:tc>
        <w:tc>
          <w:tcPr>
            <w:tcW w:w="144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AB1E6C" w:rsidR="00AE701A" w:rsidP="00AE701A" w:rsidRDefault="00AE701A" w14:paraId="503DB18D" w14:textId="7CF3694E">
            <w:pPr>
              <w:autoSpaceDE/>
              <w:autoSpaceDN/>
              <w:jc w:val="right"/>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27</w:t>
            </w:r>
            <w:r w:rsidR="00E61FFD">
              <w:rPr>
                <w:rFonts w:ascii="Calibri" w:hAnsi="Calibri" w:eastAsia="Times New Roman" w:cs="Calibri"/>
                <w:color w:val="000000"/>
                <w:sz w:val="20"/>
                <w:szCs w:val="20"/>
                <w:lang w:eastAsia="en-US"/>
              </w:rPr>
              <w:t>,</w:t>
            </w:r>
            <w:r w:rsidRPr="00AB1E6C">
              <w:rPr>
                <w:rFonts w:ascii="Calibri" w:hAnsi="Calibri" w:eastAsia="Times New Roman" w:cs="Calibri"/>
                <w:color w:val="000000"/>
                <w:sz w:val="20"/>
                <w:szCs w:val="20"/>
                <w:lang w:eastAsia="en-US"/>
              </w:rPr>
              <w:t>793.57</w:t>
            </w:r>
          </w:p>
        </w:tc>
        <w:tc>
          <w:tcPr>
            <w:tcW w:w="937"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7B4BA7" w:rsidR="00AE701A" w:rsidP="00AE701A" w:rsidRDefault="00AE701A" w14:paraId="69D15A0B" w14:textId="77777777">
            <w:pPr>
              <w:autoSpaceDE/>
              <w:autoSpaceDN/>
              <w:jc w:val="right"/>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 xml:space="preserve">$59.20 </w:t>
            </w:r>
          </w:p>
        </w:tc>
        <w:tc>
          <w:tcPr>
            <w:tcW w:w="1607"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3340D7" w:rsidR="00AE701A" w:rsidP="008078A1" w:rsidRDefault="00AE701A" w14:paraId="1F784073" w14:textId="5F9D4EB3">
            <w:pPr>
              <w:autoSpaceDE/>
              <w:autoSpaceDN/>
              <w:jc w:val="center"/>
              <w:rPr>
                <w:rFonts w:ascii="Calibri" w:hAnsi="Calibri" w:eastAsia="Times New Roman" w:cs="Calibri"/>
                <w:color w:val="000000"/>
                <w:sz w:val="20"/>
                <w:szCs w:val="20"/>
                <w:lang w:eastAsia="en-US"/>
              </w:rPr>
            </w:pPr>
            <w:r w:rsidRPr="003340D7">
              <w:rPr>
                <w:rFonts w:ascii="Calibri" w:hAnsi="Calibri" w:eastAsia="Times New Roman" w:cs="Calibri"/>
                <w:color w:val="000000"/>
                <w:sz w:val="20"/>
                <w:szCs w:val="20"/>
                <w:lang w:eastAsia="en-US"/>
              </w:rPr>
              <w:t>$1,645,379.40</w:t>
            </w:r>
          </w:p>
        </w:tc>
        <w:tc>
          <w:tcPr>
            <w:tcW w:w="114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252CD2" w:rsidR="00AE701A" w:rsidP="008078A1" w:rsidRDefault="00AE701A" w14:paraId="634D3732" w14:textId="13AFE9A6">
            <w:pPr>
              <w:autoSpaceDE/>
              <w:autoSpaceDN/>
              <w:jc w:val="center"/>
              <w:rPr>
                <w:rFonts w:ascii="Calibri" w:hAnsi="Calibri" w:eastAsia="Times New Roman" w:cs="Calibri"/>
                <w:color w:val="000000"/>
                <w:sz w:val="20"/>
                <w:szCs w:val="20"/>
                <w:lang w:eastAsia="en-US"/>
              </w:rPr>
            </w:pPr>
            <w:r w:rsidRPr="001D0186">
              <w:rPr>
                <w:rFonts w:ascii="Calibri" w:hAnsi="Calibri" w:eastAsia="Times New Roman" w:cs="Calibri"/>
                <w:color w:val="000000"/>
                <w:sz w:val="20"/>
                <w:szCs w:val="20"/>
                <w:lang w:eastAsia="en-US"/>
              </w:rPr>
              <w:t>4,276</w:t>
            </w:r>
          </w:p>
        </w:tc>
      </w:tr>
      <w:tr w:rsidRPr="00AE701A" w:rsidR="00FD5B56" w:rsidTr="00313268" w14:paraId="1BA0D3FC" w14:textId="77777777">
        <w:trPr>
          <w:trHeight w:val="530"/>
        </w:trPr>
        <w:tc>
          <w:tcPr>
            <w:tcW w:w="162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520C25" w:rsidR="00AE701A" w:rsidP="00AE701A" w:rsidRDefault="00AE701A" w14:paraId="78F87C51" w14:textId="77777777">
            <w:pPr>
              <w:autoSpaceDE/>
              <w:autoSpaceDN/>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Long Term Care (excluding nursing homes)</w:t>
            </w:r>
          </w:p>
        </w:tc>
        <w:tc>
          <w:tcPr>
            <w:tcW w:w="126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AB1E6C" w:rsidR="00AE701A" w:rsidP="00AE701A" w:rsidRDefault="00AE701A" w14:paraId="6FC6255C"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Weekly</w:t>
            </w:r>
          </w:p>
        </w:tc>
        <w:tc>
          <w:tcPr>
            <w:tcW w:w="144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7B4BA7" w:rsidR="00AE701A" w:rsidP="00AE701A" w:rsidRDefault="00AE701A" w14:paraId="1F943708" w14:textId="307894A5">
            <w:pPr>
              <w:autoSpaceDE/>
              <w:autoSpaceDN/>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Establishment</w:t>
            </w:r>
          </w:p>
        </w:tc>
        <w:tc>
          <w:tcPr>
            <w:tcW w:w="1404"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3340D7" w:rsidR="00AE701A" w:rsidP="00AE701A" w:rsidRDefault="00AE701A" w14:paraId="140FE415" w14:textId="77777777">
            <w:pPr>
              <w:autoSpaceDE/>
              <w:autoSpaceDN/>
              <w:rPr>
                <w:rFonts w:ascii="Calibri" w:hAnsi="Calibri" w:eastAsia="Times New Roman" w:cs="Calibri"/>
                <w:color w:val="000000"/>
                <w:sz w:val="20"/>
                <w:szCs w:val="20"/>
                <w:lang w:eastAsia="en-US"/>
              </w:rPr>
            </w:pPr>
            <w:r w:rsidRPr="003340D7">
              <w:rPr>
                <w:rFonts w:ascii="Calibri" w:hAnsi="Calibri" w:eastAsia="Times New Roman" w:cs="Calibri"/>
                <w:color w:val="000000"/>
                <w:sz w:val="20"/>
                <w:szCs w:val="20"/>
                <w:lang w:eastAsia="en-US"/>
              </w:rPr>
              <w:t>OH&amp;S Specialist</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D0186" w:rsidR="00AE701A" w:rsidP="00AE701A" w:rsidRDefault="00AE701A" w14:paraId="40ADB99E" w14:textId="77777777">
            <w:pPr>
              <w:autoSpaceDE/>
              <w:autoSpaceDN/>
              <w:jc w:val="right"/>
              <w:rPr>
                <w:rFonts w:ascii="Calibri" w:hAnsi="Calibri" w:eastAsia="Times New Roman" w:cs="Calibri"/>
                <w:color w:val="000000"/>
                <w:sz w:val="20"/>
                <w:szCs w:val="20"/>
                <w:lang w:eastAsia="en-US"/>
              </w:rPr>
            </w:pPr>
            <w:r w:rsidRPr="001D0186">
              <w:rPr>
                <w:rFonts w:ascii="Calibri" w:hAnsi="Calibri" w:eastAsia="Times New Roman" w:cs="Calibri"/>
                <w:color w:val="000000"/>
                <w:sz w:val="20"/>
                <w:szCs w:val="20"/>
                <w:lang w:eastAsia="en-US"/>
              </w:rPr>
              <w:t>48,657.16</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91560" w:rsidR="00AE701A" w:rsidP="00AE701A" w:rsidRDefault="00AE701A" w14:paraId="63B6C0E2" w14:textId="77777777">
            <w:pPr>
              <w:autoSpaceDE/>
              <w:autoSpaceDN/>
              <w:jc w:val="center"/>
              <w:rPr>
                <w:rFonts w:ascii="Calibri" w:hAnsi="Calibri" w:eastAsia="Times New Roman" w:cs="Calibri"/>
                <w:color w:val="000000"/>
                <w:sz w:val="20"/>
                <w:szCs w:val="20"/>
                <w:lang w:eastAsia="en-US"/>
              </w:rPr>
            </w:pPr>
            <w:r w:rsidRPr="00091560">
              <w:rPr>
                <w:rFonts w:ascii="Calibri" w:hAnsi="Calibri" w:eastAsia="Times New Roman" w:cs="Calibri"/>
                <w:color w:val="000000"/>
                <w:sz w:val="20"/>
                <w:szCs w:val="20"/>
                <w:lang w:eastAsia="en-US"/>
              </w:rPr>
              <w:t>10%</w:t>
            </w:r>
          </w:p>
        </w:tc>
        <w:tc>
          <w:tcPr>
            <w:tcW w:w="108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520C25" w:rsidR="00AE701A" w:rsidP="00AE701A" w:rsidRDefault="00AE701A" w14:paraId="751279D0" w14:textId="77777777">
            <w:pPr>
              <w:autoSpaceDE/>
              <w:autoSpaceDN/>
              <w:jc w:val="right"/>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6.5</w:t>
            </w:r>
          </w:p>
        </w:tc>
        <w:tc>
          <w:tcPr>
            <w:tcW w:w="144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AB1E6C" w:rsidR="00AE701A" w:rsidP="00AE701A" w:rsidRDefault="00AE701A" w14:paraId="60D806FD" w14:textId="69816057">
            <w:pPr>
              <w:autoSpaceDE/>
              <w:autoSpaceDN/>
              <w:jc w:val="right"/>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31</w:t>
            </w:r>
            <w:r w:rsidR="00E61FFD">
              <w:rPr>
                <w:rFonts w:ascii="Calibri" w:hAnsi="Calibri" w:eastAsia="Times New Roman" w:cs="Calibri"/>
                <w:color w:val="000000"/>
                <w:sz w:val="20"/>
                <w:szCs w:val="20"/>
                <w:lang w:eastAsia="en-US"/>
              </w:rPr>
              <w:t>,</w:t>
            </w:r>
            <w:r w:rsidRPr="00AB1E6C">
              <w:rPr>
                <w:rFonts w:ascii="Calibri" w:hAnsi="Calibri" w:eastAsia="Times New Roman" w:cs="Calibri"/>
                <w:color w:val="000000"/>
                <w:sz w:val="20"/>
                <w:szCs w:val="20"/>
                <w:lang w:eastAsia="en-US"/>
              </w:rPr>
              <w:t>627.15</w:t>
            </w:r>
          </w:p>
        </w:tc>
        <w:tc>
          <w:tcPr>
            <w:tcW w:w="937"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7B4BA7" w:rsidR="00AE701A" w:rsidP="00AE701A" w:rsidRDefault="00AE701A" w14:paraId="5A90FD70" w14:textId="77777777">
            <w:pPr>
              <w:autoSpaceDE/>
              <w:autoSpaceDN/>
              <w:jc w:val="right"/>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 xml:space="preserve">$59.20 </w:t>
            </w:r>
          </w:p>
        </w:tc>
        <w:tc>
          <w:tcPr>
            <w:tcW w:w="1607"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3340D7" w:rsidR="00AE701A" w:rsidP="008078A1" w:rsidRDefault="00AE701A" w14:paraId="07579040" w14:textId="30E100D8">
            <w:pPr>
              <w:autoSpaceDE/>
              <w:autoSpaceDN/>
              <w:jc w:val="center"/>
              <w:rPr>
                <w:rFonts w:ascii="Calibri" w:hAnsi="Calibri" w:eastAsia="Times New Roman" w:cs="Calibri"/>
                <w:color w:val="000000"/>
                <w:sz w:val="20"/>
                <w:szCs w:val="20"/>
                <w:lang w:eastAsia="en-US"/>
              </w:rPr>
            </w:pPr>
            <w:r w:rsidRPr="003340D7">
              <w:rPr>
                <w:rFonts w:ascii="Calibri" w:hAnsi="Calibri" w:eastAsia="Times New Roman" w:cs="Calibri"/>
                <w:color w:val="000000"/>
                <w:sz w:val="20"/>
                <w:szCs w:val="20"/>
                <w:lang w:eastAsia="en-US"/>
              </w:rPr>
              <w:t>$1,872,327.52</w:t>
            </w:r>
          </w:p>
        </w:tc>
        <w:tc>
          <w:tcPr>
            <w:tcW w:w="1140"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1D0186" w:rsidR="00AE701A" w:rsidP="008078A1" w:rsidRDefault="00AE701A" w14:paraId="4545A391" w14:textId="39B74072">
            <w:pPr>
              <w:autoSpaceDE/>
              <w:autoSpaceDN/>
              <w:jc w:val="center"/>
              <w:rPr>
                <w:rFonts w:ascii="Calibri" w:hAnsi="Calibri" w:eastAsia="Times New Roman" w:cs="Calibri"/>
                <w:color w:val="000000"/>
                <w:sz w:val="20"/>
                <w:szCs w:val="20"/>
                <w:lang w:eastAsia="en-US"/>
              </w:rPr>
            </w:pPr>
            <w:r w:rsidRPr="001D0186">
              <w:rPr>
                <w:rFonts w:ascii="Calibri" w:hAnsi="Calibri" w:eastAsia="Times New Roman" w:cs="Calibri"/>
                <w:color w:val="000000"/>
                <w:sz w:val="20"/>
                <w:szCs w:val="20"/>
                <w:lang w:eastAsia="en-US"/>
              </w:rPr>
              <w:t>4,866</w:t>
            </w:r>
          </w:p>
        </w:tc>
      </w:tr>
      <w:tr w:rsidRPr="00AE701A" w:rsidR="00091560" w:rsidTr="008078A1" w14:paraId="55E58929" w14:textId="77777777">
        <w:trPr>
          <w:trHeight w:val="300"/>
        </w:trPr>
        <w:tc>
          <w:tcPr>
            <w:tcW w:w="14321" w:type="dxa"/>
            <w:gridSpan w:val="11"/>
            <w:tcBorders>
              <w:top w:val="single" w:color="auto" w:sz="4" w:space="0"/>
              <w:left w:val="single" w:color="auto" w:sz="4" w:space="0"/>
              <w:bottom w:val="single" w:color="auto" w:sz="4" w:space="0"/>
              <w:right w:val="single" w:color="auto" w:sz="4" w:space="0"/>
            </w:tcBorders>
            <w:shd w:val="clear" w:color="000000" w:fill="B4C6E7"/>
            <w:vAlign w:val="center"/>
            <w:hideMark/>
          </w:tcPr>
          <w:p w:rsidRPr="00520C25" w:rsidR="00AE701A" w:rsidP="00AE701A" w:rsidRDefault="005A38B0" w14:paraId="03F12A04" w14:textId="77777777">
            <w:pPr>
              <w:autoSpaceDE/>
              <w:autoSpaceDN/>
              <w:rPr>
                <w:rFonts w:ascii="Calibri" w:hAnsi="Calibri" w:eastAsia="Times New Roman" w:cs="Calibri"/>
                <w:b/>
                <w:bCs/>
                <w:color w:val="000000"/>
                <w:sz w:val="20"/>
                <w:szCs w:val="20"/>
                <w:lang w:eastAsia="en-US"/>
              </w:rPr>
            </w:pPr>
            <w:hyperlink w:history="1" w:anchor="RANGE!_ftn4" r:id="rId14">
              <w:r w:rsidRPr="00520C25" w:rsidR="00AE701A">
                <w:rPr>
                  <w:rFonts w:ascii="Calibri" w:hAnsi="Calibri" w:eastAsia="Times New Roman" w:cs="Calibri"/>
                  <w:b/>
                  <w:bCs/>
                  <w:color w:val="000000"/>
                  <w:sz w:val="20"/>
                  <w:szCs w:val="20"/>
                  <w:lang w:eastAsia="en-US"/>
                </w:rPr>
                <w:t>2. Patient Screening and Management[4] (Patients entering the facility)</w:t>
              </w:r>
            </w:hyperlink>
          </w:p>
        </w:tc>
      </w:tr>
      <w:tr w:rsidRPr="00AE701A" w:rsidR="00091560" w:rsidTr="00313268" w14:paraId="0C4D2268" w14:textId="77777777">
        <w:trPr>
          <w:trHeight w:val="30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61CBBC17" w14:textId="77777777">
            <w:pPr>
              <w:autoSpaceDE/>
              <w:autoSpaceDN/>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General Hospitals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B1E6C" w:rsidR="00AE701A" w:rsidP="00AE701A" w:rsidRDefault="00AE701A" w14:paraId="5FFBA229"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6-month</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B4BA7" w:rsidR="00AE701A" w:rsidP="00AE701A" w:rsidRDefault="00AE701A" w14:paraId="5388D6A2" w14:textId="77777777">
            <w:pPr>
              <w:autoSpaceDE/>
              <w:autoSpaceDN/>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Establishment</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340D7" w:rsidR="00AE701A" w:rsidP="00AE701A" w:rsidRDefault="00AE701A" w14:paraId="439EF997" w14:textId="77777777">
            <w:pPr>
              <w:autoSpaceDE/>
              <w:autoSpaceDN/>
              <w:rPr>
                <w:rFonts w:ascii="Calibri" w:hAnsi="Calibri" w:eastAsia="Times New Roman" w:cs="Calibri"/>
                <w:color w:val="000000"/>
                <w:sz w:val="20"/>
                <w:szCs w:val="20"/>
                <w:lang w:eastAsia="en-US"/>
              </w:rPr>
            </w:pPr>
            <w:r w:rsidRPr="003340D7">
              <w:rPr>
                <w:rFonts w:ascii="Calibri" w:hAnsi="Calibri" w:eastAsia="Times New Roman" w:cs="Calibri"/>
                <w:color w:val="000000"/>
                <w:sz w:val="20"/>
                <w:szCs w:val="20"/>
                <w:lang w:eastAsia="en-US"/>
              </w:rPr>
              <w:t>General Clerk</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D0186" w:rsidR="00AE701A" w:rsidP="00AE701A" w:rsidRDefault="00AE701A" w14:paraId="44D9EF8B" w14:textId="77777777">
            <w:pPr>
              <w:autoSpaceDE/>
              <w:autoSpaceDN/>
              <w:jc w:val="right"/>
              <w:rPr>
                <w:rFonts w:ascii="Calibri" w:hAnsi="Calibri" w:eastAsia="Times New Roman" w:cs="Calibri"/>
                <w:color w:val="000000"/>
                <w:sz w:val="20"/>
                <w:szCs w:val="20"/>
                <w:lang w:eastAsia="en-US"/>
              </w:rPr>
            </w:pPr>
            <w:r w:rsidRPr="001D0186">
              <w:rPr>
                <w:rFonts w:ascii="Calibri" w:hAnsi="Calibri" w:eastAsia="Times New Roman" w:cs="Calibri"/>
                <w:color w:val="000000"/>
                <w:sz w:val="20"/>
                <w:szCs w:val="20"/>
                <w:lang w:eastAsia="en-US"/>
              </w:rPr>
              <w:t>5,281</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77C79197"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19%</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3E2955DA"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385.1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52CF59BF"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386,405.49</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091560" w:rsidRDefault="00AE701A" w14:paraId="77B2CE26" w14:textId="785EC4C5">
            <w:pPr>
              <w:autoSpaceDE/>
              <w:autoSpaceDN/>
              <w:jc w:val="center"/>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$53.76</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091560" w:rsidRDefault="00091560" w14:paraId="219B78E0" w14:textId="63B712AE">
            <w:pPr>
              <w:autoSpaceDE/>
              <w:autoSpaceDN/>
              <w:jc w:val="center"/>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w:t>
            </w:r>
            <w:r w:rsidRPr="00252CD2" w:rsidR="00AE701A">
              <w:rPr>
                <w:rFonts w:ascii="Calibri" w:hAnsi="Calibri" w:eastAsia="Times New Roman" w:cs="Calibri"/>
                <w:color w:val="000000"/>
                <w:sz w:val="20"/>
                <w:szCs w:val="20"/>
                <w:lang w:eastAsia="en-US"/>
              </w:rPr>
              <w:t>20,773,159.09</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8078A1" w:rsidRDefault="00AE701A" w14:paraId="6478E098" w14:textId="0A2FB3E8">
            <w:pPr>
              <w:autoSpaceDE/>
              <w:autoSpaceDN/>
              <w:jc w:val="center"/>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1,003</w:t>
            </w:r>
          </w:p>
        </w:tc>
      </w:tr>
      <w:tr w:rsidRPr="00AE701A" w:rsidR="00091560" w:rsidTr="00313268" w14:paraId="2343AF86" w14:textId="77777777">
        <w:trPr>
          <w:trHeight w:val="53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062D9493" w14:textId="77777777">
            <w:pPr>
              <w:autoSpaceDE/>
              <w:autoSpaceDN/>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Other Hospitals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B1E6C" w:rsidR="00AE701A" w:rsidP="00AE701A" w:rsidRDefault="00AE701A" w14:paraId="1DA98600"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6-month</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B4BA7" w:rsidR="00AE701A" w:rsidP="00AE701A" w:rsidRDefault="00AE701A" w14:paraId="0B866321" w14:textId="77777777">
            <w:pPr>
              <w:autoSpaceDE/>
              <w:autoSpaceDN/>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Establishment</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340D7" w:rsidR="00AE701A" w:rsidP="00AE701A" w:rsidRDefault="00AE701A" w14:paraId="3D959426" w14:textId="77777777">
            <w:pPr>
              <w:autoSpaceDE/>
              <w:autoSpaceDN/>
              <w:rPr>
                <w:rFonts w:ascii="Calibri" w:hAnsi="Calibri" w:eastAsia="Times New Roman" w:cs="Calibri"/>
                <w:color w:val="000000"/>
                <w:sz w:val="20"/>
                <w:szCs w:val="20"/>
                <w:lang w:eastAsia="en-US"/>
              </w:rPr>
            </w:pPr>
            <w:r w:rsidRPr="003340D7">
              <w:rPr>
                <w:rFonts w:ascii="Calibri" w:hAnsi="Calibri" w:eastAsia="Times New Roman" w:cs="Calibri"/>
                <w:color w:val="000000"/>
                <w:sz w:val="20"/>
                <w:szCs w:val="20"/>
                <w:lang w:eastAsia="en-US"/>
              </w:rPr>
              <w:t>General Clerk</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D0186" w:rsidR="00AE701A" w:rsidP="00AE701A" w:rsidRDefault="00AE701A" w14:paraId="2E614142" w14:textId="77777777">
            <w:pPr>
              <w:autoSpaceDE/>
              <w:autoSpaceDN/>
              <w:jc w:val="right"/>
              <w:rPr>
                <w:rFonts w:ascii="Calibri" w:hAnsi="Calibri" w:eastAsia="Times New Roman" w:cs="Calibri"/>
                <w:color w:val="000000"/>
                <w:sz w:val="20"/>
                <w:szCs w:val="20"/>
                <w:lang w:eastAsia="en-US"/>
              </w:rPr>
            </w:pPr>
            <w:r w:rsidRPr="001D0186">
              <w:rPr>
                <w:rFonts w:ascii="Calibri" w:hAnsi="Calibri" w:eastAsia="Times New Roman" w:cs="Calibri"/>
                <w:color w:val="000000"/>
                <w:sz w:val="20"/>
                <w:szCs w:val="20"/>
                <w:lang w:eastAsia="en-US"/>
              </w:rPr>
              <w:t>2,363</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64115771"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19%</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08547B6C"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60.4</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2C0F8AE5"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27,117.79</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091560" w:rsidRDefault="00AE701A" w14:paraId="6B50308E" w14:textId="66AFC05C">
            <w:pPr>
              <w:autoSpaceDE/>
              <w:autoSpaceDN/>
              <w:jc w:val="center"/>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$49.56</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091560" w:rsidRDefault="00091560" w14:paraId="7E63AEB8" w14:textId="7F7380EE">
            <w:pPr>
              <w:autoSpaceDE/>
              <w:autoSpaceDN/>
              <w:jc w:val="center"/>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w:t>
            </w:r>
            <w:r w:rsidRPr="00252CD2" w:rsidR="00AE701A">
              <w:rPr>
                <w:rFonts w:ascii="Calibri" w:hAnsi="Calibri" w:eastAsia="Times New Roman" w:cs="Calibri"/>
                <w:color w:val="000000"/>
                <w:sz w:val="20"/>
                <w:szCs w:val="20"/>
                <w:lang w:eastAsia="en-US"/>
              </w:rPr>
              <w:t>1,343,957.57</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8078A1" w:rsidRDefault="00AE701A" w14:paraId="5132C1DA" w14:textId="4C059AA1">
            <w:pPr>
              <w:autoSpaceDE/>
              <w:autoSpaceDN/>
              <w:jc w:val="center"/>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449</w:t>
            </w:r>
          </w:p>
        </w:tc>
      </w:tr>
      <w:tr w:rsidRPr="00AE701A" w:rsidR="00091560" w:rsidTr="00313268" w14:paraId="65814F86" w14:textId="77777777">
        <w:trPr>
          <w:trHeight w:val="53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76B16DA9" w14:textId="77777777">
            <w:pPr>
              <w:autoSpaceDE/>
              <w:autoSpaceDN/>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Nursing Homes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B1E6C" w:rsidR="00AE701A" w:rsidP="00AE701A" w:rsidRDefault="00AE701A" w14:paraId="0FC8DF43"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6-month</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B4BA7" w:rsidR="00AE701A" w:rsidP="00AE701A" w:rsidRDefault="00AE701A" w14:paraId="2829D25A" w14:textId="77777777">
            <w:pPr>
              <w:autoSpaceDE/>
              <w:autoSpaceDN/>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Establishment</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340D7" w:rsidR="00AE701A" w:rsidP="00AE701A" w:rsidRDefault="00AE701A" w14:paraId="67778555" w14:textId="77777777">
            <w:pPr>
              <w:autoSpaceDE/>
              <w:autoSpaceDN/>
              <w:rPr>
                <w:rFonts w:ascii="Calibri" w:hAnsi="Calibri" w:eastAsia="Times New Roman" w:cs="Calibri"/>
                <w:color w:val="000000"/>
                <w:sz w:val="20"/>
                <w:szCs w:val="20"/>
                <w:lang w:eastAsia="en-US"/>
              </w:rPr>
            </w:pPr>
            <w:r w:rsidRPr="003340D7">
              <w:rPr>
                <w:rFonts w:ascii="Calibri" w:hAnsi="Calibri" w:eastAsia="Times New Roman" w:cs="Calibri"/>
                <w:color w:val="000000"/>
                <w:sz w:val="20"/>
                <w:szCs w:val="20"/>
                <w:lang w:eastAsia="en-US"/>
              </w:rPr>
              <w:t>General Clerk</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D0186" w:rsidR="00AE701A" w:rsidP="00AE701A" w:rsidRDefault="00AE701A" w14:paraId="6F430862" w14:textId="77777777">
            <w:pPr>
              <w:autoSpaceDE/>
              <w:autoSpaceDN/>
              <w:jc w:val="right"/>
              <w:rPr>
                <w:rFonts w:ascii="Calibri" w:hAnsi="Calibri" w:eastAsia="Times New Roman" w:cs="Calibri"/>
                <w:color w:val="000000"/>
                <w:sz w:val="20"/>
                <w:szCs w:val="20"/>
                <w:lang w:eastAsia="en-US"/>
              </w:rPr>
            </w:pPr>
            <w:r w:rsidRPr="001D0186">
              <w:rPr>
                <w:rFonts w:ascii="Calibri" w:hAnsi="Calibri" w:eastAsia="Times New Roman" w:cs="Calibri"/>
                <w:color w:val="000000"/>
                <w:sz w:val="20"/>
                <w:szCs w:val="20"/>
                <w:lang w:eastAsia="en-US"/>
              </w:rPr>
              <w:t>42,759</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79A59720"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21%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60A3ACD2"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20.4</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0229DA6C"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183,179.56</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091560" w:rsidRDefault="00AE701A" w14:paraId="1AAD0474" w14:textId="0D261FCD">
            <w:pPr>
              <w:autoSpaceDE/>
              <w:autoSpaceDN/>
              <w:jc w:val="center"/>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$26.79</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091560" w:rsidRDefault="00091560" w14:paraId="7A9097DA" w14:textId="0A9EC056">
            <w:pPr>
              <w:autoSpaceDE/>
              <w:autoSpaceDN/>
              <w:jc w:val="center"/>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w:t>
            </w:r>
            <w:r w:rsidRPr="00252CD2" w:rsidR="00AE701A">
              <w:rPr>
                <w:rFonts w:ascii="Calibri" w:hAnsi="Calibri" w:eastAsia="Times New Roman" w:cs="Calibri"/>
                <w:color w:val="000000"/>
                <w:sz w:val="20"/>
                <w:szCs w:val="20"/>
                <w:lang w:eastAsia="en-US"/>
              </w:rPr>
              <w:t>4,907,380.31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8078A1" w:rsidRDefault="00AE701A" w14:paraId="181E8281" w14:textId="2E4BDDB9">
            <w:pPr>
              <w:autoSpaceDE/>
              <w:autoSpaceDN/>
              <w:jc w:val="center"/>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8,979</w:t>
            </w:r>
          </w:p>
        </w:tc>
      </w:tr>
      <w:tr w:rsidRPr="00AE701A" w:rsidR="00091560" w:rsidTr="00313268" w14:paraId="2787685C" w14:textId="77777777">
        <w:trPr>
          <w:trHeight w:val="53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2CD4BE84" w14:textId="77777777">
            <w:pPr>
              <w:autoSpaceDE/>
              <w:autoSpaceDN/>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Long Term Care</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B1E6C" w:rsidR="00AE701A" w:rsidP="00AE701A" w:rsidRDefault="00AE701A" w14:paraId="789DAAF0"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6-month</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B4BA7" w:rsidR="00AE701A" w:rsidP="00AE701A" w:rsidRDefault="00AE701A" w14:paraId="53B3A2FC" w14:textId="77777777">
            <w:pPr>
              <w:autoSpaceDE/>
              <w:autoSpaceDN/>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Establishment</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340D7" w:rsidR="00AE701A" w:rsidP="00AE701A" w:rsidRDefault="00AE701A" w14:paraId="2D8089AB" w14:textId="77777777">
            <w:pPr>
              <w:autoSpaceDE/>
              <w:autoSpaceDN/>
              <w:rPr>
                <w:rFonts w:ascii="Calibri" w:hAnsi="Calibri" w:eastAsia="Times New Roman" w:cs="Calibri"/>
                <w:color w:val="000000"/>
                <w:sz w:val="20"/>
                <w:szCs w:val="20"/>
                <w:lang w:eastAsia="en-US"/>
              </w:rPr>
            </w:pPr>
            <w:r w:rsidRPr="003340D7">
              <w:rPr>
                <w:rFonts w:ascii="Calibri" w:hAnsi="Calibri" w:eastAsia="Times New Roman" w:cs="Calibri"/>
                <w:color w:val="000000"/>
                <w:sz w:val="20"/>
                <w:szCs w:val="20"/>
                <w:lang w:eastAsia="en-US"/>
              </w:rPr>
              <w:t>General Clerk</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D0186" w:rsidR="00AE701A" w:rsidP="00AE701A" w:rsidRDefault="00AE701A" w14:paraId="372E4315" w14:textId="77777777">
            <w:pPr>
              <w:autoSpaceDE/>
              <w:autoSpaceDN/>
              <w:jc w:val="right"/>
              <w:rPr>
                <w:rFonts w:ascii="Calibri" w:hAnsi="Calibri" w:eastAsia="Times New Roman" w:cs="Calibri"/>
                <w:color w:val="000000"/>
                <w:sz w:val="20"/>
                <w:szCs w:val="20"/>
                <w:lang w:eastAsia="en-US"/>
              </w:rPr>
            </w:pPr>
            <w:r w:rsidRPr="001D0186">
              <w:rPr>
                <w:rFonts w:ascii="Calibri" w:hAnsi="Calibri" w:eastAsia="Times New Roman" w:cs="Calibri"/>
                <w:color w:val="000000"/>
                <w:sz w:val="20"/>
                <w:szCs w:val="20"/>
                <w:lang w:eastAsia="en-US"/>
              </w:rPr>
              <w:t>48,657</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04D04DEE"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21%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464A5A02"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14.7</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2D6BE18F"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150,204.16</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091560" w:rsidRDefault="00AE701A" w14:paraId="1EB8F4D5" w14:textId="074553F3">
            <w:pPr>
              <w:autoSpaceDE/>
              <w:autoSpaceDN/>
              <w:jc w:val="center"/>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$22.57</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091560" w:rsidRDefault="00091560" w14:paraId="3895469A" w14:textId="09B2474E">
            <w:pPr>
              <w:autoSpaceDE/>
              <w:autoSpaceDN/>
              <w:jc w:val="center"/>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w:t>
            </w:r>
            <w:r w:rsidRPr="00252CD2" w:rsidR="00AE701A">
              <w:rPr>
                <w:rFonts w:ascii="Calibri" w:hAnsi="Calibri" w:eastAsia="Times New Roman" w:cs="Calibri"/>
                <w:color w:val="000000"/>
                <w:sz w:val="20"/>
                <w:szCs w:val="20"/>
                <w:lang w:eastAsia="en-US"/>
              </w:rPr>
              <w:t>3,390,107.87</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8078A1" w:rsidRDefault="00AE701A" w14:paraId="51C256C3" w14:textId="3B242361">
            <w:pPr>
              <w:autoSpaceDE/>
              <w:autoSpaceDN/>
              <w:jc w:val="center"/>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10,218</w:t>
            </w:r>
          </w:p>
        </w:tc>
      </w:tr>
      <w:tr w:rsidRPr="00AE701A" w:rsidR="00091560" w:rsidTr="00313268" w14:paraId="1E7F67BC" w14:textId="77777777">
        <w:trPr>
          <w:trHeight w:val="30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10BB4C05" w14:textId="77777777">
            <w:pPr>
              <w:autoSpaceDE/>
              <w:autoSpaceDN/>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Other Patient Care</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B1E6C" w:rsidR="00AE701A" w:rsidP="00AE701A" w:rsidRDefault="00AE701A" w14:paraId="7C6010F0"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6-month</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B4BA7" w:rsidR="00AE701A" w:rsidP="00AE701A" w:rsidRDefault="00AE701A" w14:paraId="0C76BF14" w14:textId="77777777">
            <w:pPr>
              <w:autoSpaceDE/>
              <w:autoSpaceDN/>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Establishment</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340D7" w:rsidR="00AE701A" w:rsidP="00AE701A" w:rsidRDefault="00AE701A" w14:paraId="428D075B" w14:textId="77777777">
            <w:pPr>
              <w:autoSpaceDE/>
              <w:autoSpaceDN/>
              <w:rPr>
                <w:rFonts w:ascii="Calibri" w:hAnsi="Calibri" w:eastAsia="Times New Roman" w:cs="Calibri"/>
                <w:color w:val="000000"/>
                <w:sz w:val="20"/>
                <w:szCs w:val="20"/>
                <w:lang w:eastAsia="en-US"/>
              </w:rPr>
            </w:pPr>
            <w:r w:rsidRPr="003340D7">
              <w:rPr>
                <w:rFonts w:ascii="Calibri" w:hAnsi="Calibri" w:eastAsia="Times New Roman" w:cs="Calibri"/>
                <w:color w:val="000000"/>
                <w:sz w:val="20"/>
                <w:szCs w:val="20"/>
                <w:lang w:eastAsia="en-US"/>
              </w:rPr>
              <w:t>General Clerk</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D0186" w:rsidR="00AE701A" w:rsidP="00AE701A" w:rsidRDefault="00AE701A" w14:paraId="37600487" w14:textId="77777777">
            <w:pPr>
              <w:autoSpaceDE/>
              <w:autoSpaceDN/>
              <w:jc w:val="right"/>
              <w:rPr>
                <w:rFonts w:ascii="Calibri" w:hAnsi="Calibri" w:eastAsia="Times New Roman" w:cs="Calibri"/>
                <w:color w:val="000000"/>
                <w:sz w:val="20"/>
                <w:szCs w:val="20"/>
                <w:lang w:eastAsia="en-US"/>
              </w:rPr>
            </w:pPr>
            <w:r w:rsidRPr="001D0186">
              <w:rPr>
                <w:rFonts w:ascii="Calibri" w:hAnsi="Calibri" w:eastAsia="Times New Roman" w:cs="Calibri"/>
                <w:color w:val="000000"/>
                <w:sz w:val="20"/>
                <w:szCs w:val="20"/>
                <w:lang w:eastAsia="en-US"/>
              </w:rPr>
              <w:t>558,576</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799A7A0B"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44%</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3648F161"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39.9</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2760F9F8"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9,806,360.26</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091560" w:rsidRDefault="00AE701A" w14:paraId="4E626FDE" w14:textId="17662D64">
            <w:pPr>
              <w:autoSpaceDE/>
              <w:autoSpaceDN/>
              <w:jc w:val="center"/>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$65.49</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091560" w:rsidRDefault="00091560" w14:paraId="316A6A25" w14:textId="45E815B1">
            <w:pPr>
              <w:autoSpaceDE/>
              <w:autoSpaceDN/>
              <w:jc w:val="center"/>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w:t>
            </w:r>
            <w:r w:rsidRPr="00252CD2" w:rsidR="00AE701A">
              <w:rPr>
                <w:rFonts w:ascii="Calibri" w:hAnsi="Calibri" w:eastAsia="Times New Roman" w:cs="Calibri"/>
                <w:color w:val="000000"/>
                <w:sz w:val="20"/>
                <w:szCs w:val="20"/>
                <w:lang w:eastAsia="en-US"/>
              </w:rPr>
              <w:t>642,218,533.17</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8078A1" w:rsidRDefault="00AE701A" w14:paraId="5A76E6C1" w14:textId="3F2A8018">
            <w:pPr>
              <w:autoSpaceDE/>
              <w:autoSpaceDN/>
              <w:jc w:val="center"/>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245,773</w:t>
            </w:r>
          </w:p>
        </w:tc>
      </w:tr>
      <w:tr w:rsidRPr="00AE701A" w:rsidR="00091560" w:rsidTr="00313268" w14:paraId="6843844A" w14:textId="77777777">
        <w:trPr>
          <w:trHeight w:val="30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18BB672C" w14:textId="77777777">
            <w:pPr>
              <w:autoSpaceDE/>
              <w:autoSpaceDN/>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Correctional Facilities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B1E6C" w:rsidR="00AE701A" w:rsidP="00AE701A" w:rsidRDefault="00AE701A" w14:paraId="6871CE96"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6-month</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B4BA7" w:rsidR="00AE701A" w:rsidP="00AE701A" w:rsidRDefault="00AE701A" w14:paraId="710F34E5" w14:textId="77777777">
            <w:pPr>
              <w:autoSpaceDE/>
              <w:autoSpaceDN/>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Establishment</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340D7" w:rsidR="00AE701A" w:rsidP="00AE701A" w:rsidRDefault="00AE701A" w14:paraId="6F6D1E50" w14:textId="77777777">
            <w:pPr>
              <w:autoSpaceDE/>
              <w:autoSpaceDN/>
              <w:rPr>
                <w:rFonts w:ascii="Calibri" w:hAnsi="Calibri" w:eastAsia="Times New Roman" w:cs="Calibri"/>
                <w:color w:val="000000"/>
                <w:sz w:val="20"/>
                <w:szCs w:val="20"/>
                <w:lang w:eastAsia="en-US"/>
              </w:rPr>
            </w:pPr>
            <w:r w:rsidRPr="003340D7">
              <w:rPr>
                <w:rFonts w:ascii="Calibri" w:hAnsi="Calibri" w:eastAsia="Times New Roman" w:cs="Calibri"/>
                <w:color w:val="000000"/>
                <w:sz w:val="20"/>
                <w:szCs w:val="20"/>
                <w:lang w:eastAsia="en-US"/>
              </w:rPr>
              <w:t>General Clerk</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D0186" w:rsidR="00AE701A" w:rsidP="00AE701A" w:rsidRDefault="00AE701A" w14:paraId="4830DD45" w14:textId="77777777">
            <w:pPr>
              <w:autoSpaceDE/>
              <w:autoSpaceDN/>
              <w:jc w:val="right"/>
              <w:rPr>
                <w:rFonts w:ascii="Calibri" w:hAnsi="Calibri" w:eastAsia="Times New Roman" w:cs="Calibri"/>
                <w:color w:val="000000"/>
                <w:sz w:val="20"/>
                <w:szCs w:val="20"/>
                <w:lang w:eastAsia="en-US"/>
              </w:rPr>
            </w:pPr>
            <w:r w:rsidRPr="001D0186">
              <w:rPr>
                <w:rFonts w:ascii="Calibri" w:hAnsi="Calibri" w:eastAsia="Times New Roman" w:cs="Calibri"/>
                <w:color w:val="000000"/>
                <w:sz w:val="20"/>
                <w:szCs w:val="20"/>
                <w:lang w:eastAsia="en-US"/>
              </w:rPr>
              <w:t>1,680</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15A583CD"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20%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09BDF9E3"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18.25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58282599"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6,132.00</w:t>
            </w:r>
          </w:p>
        </w:tc>
        <w:tc>
          <w:tcPr>
            <w:tcW w:w="93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091560" w:rsidRDefault="00AE701A" w14:paraId="173737E6" w14:textId="73950243">
            <w:pPr>
              <w:autoSpaceDE/>
              <w:autoSpaceDN/>
              <w:jc w:val="center"/>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$21.65</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091560" w:rsidRDefault="00091560" w14:paraId="3C6839D0" w14:textId="3684B1D0">
            <w:pPr>
              <w:autoSpaceDE/>
              <w:autoSpaceDN/>
              <w:jc w:val="center"/>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w:t>
            </w:r>
            <w:r w:rsidRPr="00252CD2" w:rsidR="00AE701A">
              <w:rPr>
                <w:rFonts w:ascii="Calibri" w:hAnsi="Calibri" w:eastAsia="Times New Roman" w:cs="Calibri"/>
                <w:color w:val="000000"/>
                <w:sz w:val="20"/>
                <w:szCs w:val="20"/>
                <w:lang w:eastAsia="en-US"/>
              </w:rPr>
              <w:t>132,757.80</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8078A1" w:rsidRDefault="00AE701A" w14:paraId="057EB071" w14:textId="57BE4273">
            <w:pPr>
              <w:autoSpaceDE/>
              <w:autoSpaceDN/>
              <w:jc w:val="center"/>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336</w:t>
            </w:r>
          </w:p>
        </w:tc>
      </w:tr>
      <w:tr w:rsidRPr="00AE701A" w:rsidR="00091560" w:rsidTr="008078A1" w14:paraId="3386ACA5" w14:textId="77777777">
        <w:trPr>
          <w:trHeight w:val="300"/>
        </w:trPr>
        <w:tc>
          <w:tcPr>
            <w:tcW w:w="14321" w:type="dxa"/>
            <w:gridSpan w:val="11"/>
            <w:tcBorders>
              <w:top w:val="single" w:color="auto" w:sz="4" w:space="0"/>
              <w:left w:val="single" w:color="auto" w:sz="4" w:space="0"/>
              <w:bottom w:val="single" w:color="auto" w:sz="4" w:space="0"/>
              <w:right w:val="single" w:color="auto" w:sz="4" w:space="0"/>
            </w:tcBorders>
            <w:shd w:val="clear" w:color="000000" w:fill="B4C6E7"/>
            <w:vAlign w:val="center"/>
            <w:hideMark/>
          </w:tcPr>
          <w:p w:rsidRPr="00520C25" w:rsidR="00AE701A" w:rsidP="00AE701A" w:rsidRDefault="00AE701A" w14:paraId="0136EF4A" w14:textId="77777777">
            <w:pPr>
              <w:autoSpaceDE/>
              <w:autoSpaceDN/>
              <w:rPr>
                <w:rFonts w:ascii="Calibri" w:hAnsi="Calibri" w:eastAsia="Times New Roman" w:cs="Calibri"/>
                <w:b/>
                <w:bCs/>
                <w:color w:val="000000"/>
                <w:sz w:val="20"/>
                <w:szCs w:val="20"/>
                <w:lang w:eastAsia="en-US"/>
              </w:rPr>
            </w:pPr>
            <w:r w:rsidRPr="00520C25">
              <w:rPr>
                <w:rFonts w:ascii="Calibri" w:hAnsi="Calibri" w:eastAsia="Times New Roman" w:cs="Calibri"/>
                <w:b/>
                <w:bCs/>
                <w:color w:val="000000"/>
                <w:sz w:val="20"/>
                <w:szCs w:val="20"/>
                <w:lang w:eastAsia="en-US"/>
              </w:rPr>
              <w:t>3. Physical Distancing</w:t>
            </w:r>
          </w:p>
        </w:tc>
      </w:tr>
      <w:tr w:rsidRPr="00AE701A" w:rsidR="00FD5B56" w:rsidTr="00313268" w14:paraId="0E1B3D3E" w14:textId="77777777">
        <w:trPr>
          <w:trHeight w:val="300"/>
        </w:trPr>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520C25" w:rsidR="00AE701A" w:rsidP="00AE701A" w:rsidRDefault="00AE701A" w14:paraId="509A09B6" w14:textId="77777777">
            <w:pPr>
              <w:autoSpaceDE/>
              <w:autoSpaceDN/>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Large Establishments</w:t>
            </w:r>
          </w:p>
        </w:tc>
        <w:tc>
          <w:tcPr>
            <w:tcW w:w="126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AB1E6C" w:rsidR="00AE701A" w:rsidP="00AE701A" w:rsidRDefault="00AE701A" w14:paraId="4073734E"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One-Time</w:t>
            </w:r>
          </w:p>
        </w:tc>
        <w:tc>
          <w:tcPr>
            <w:tcW w:w="144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7B4BA7" w:rsidR="00AE701A" w:rsidP="00AE701A" w:rsidRDefault="00AE701A" w14:paraId="281B53F3" w14:textId="77777777">
            <w:pPr>
              <w:autoSpaceDE/>
              <w:autoSpaceDN/>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Establishment</w:t>
            </w:r>
          </w:p>
        </w:tc>
        <w:tc>
          <w:tcPr>
            <w:tcW w:w="1404" w:type="dxa"/>
            <w:tcBorders>
              <w:top w:val="single" w:color="auto" w:sz="4" w:space="0"/>
              <w:left w:val="nil"/>
              <w:bottom w:val="single" w:color="auto" w:sz="4" w:space="0"/>
              <w:right w:val="single" w:color="auto" w:sz="4" w:space="0"/>
            </w:tcBorders>
            <w:shd w:val="clear" w:color="auto" w:fill="FFFFFF" w:themeFill="background1"/>
            <w:vAlign w:val="center"/>
            <w:hideMark/>
          </w:tcPr>
          <w:p w:rsidRPr="003340D7" w:rsidR="00AE701A" w:rsidP="00AE701A" w:rsidRDefault="00AE701A" w14:paraId="3B70583C" w14:textId="77777777">
            <w:pPr>
              <w:autoSpaceDE/>
              <w:autoSpaceDN/>
              <w:rPr>
                <w:rFonts w:ascii="Calibri" w:hAnsi="Calibri" w:eastAsia="Times New Roman" w:cs="Calibri"/>
                <w:color w:val="000000"/>
                <w:sz w:val="20"/>
                <w:szCs w:val="20"/>
                <w:lang w:eastAsia="en-US"/>
              </w:rPr>
            </w:pPr>
            <w:r w:rsidRPr="003340D7">
              <w:rPr>
                <w:rFonts w:ascii="Calibri" w:hAnsi="Calibri" w:eastAsia="Times New Roman" w:cs="Calibri"/>
                <w:color w:val="000000"/>
                <w:sz w:val="20"/>
                <w:szCs w:val="20"/>
                <w:lang w:eastAsia="en-US"/>
              </w:rPr>
              <w:t>OH&amp;S Specialist</w:t>
            </w:r>
          </w:p>
        </w:tc>
        <w:tc>
          <w:tcPr>
            <w:tcW w:w="117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1D0186" w:rsidR="00AE701A" w:rsidP="008276F4" w:rsidRDefault="008E01FB" w14:paraId="5FF5D029" w14:textId="76C491B5">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3,319,900</w:t>
            </w:r>
          </w:p>
        </w:tc>
        <w:tc>
          <w:tcPr>
            <w:tcW w:w="1223" w:type="dxa"/>
            <w:tcBorders>
              <w:top w:val="single" w:color="auto" w:sz="4" w:space="0"/>
              <w:left w:val="nil"/>
              <w:bottom w:val="single" w:color="auto" w:sz="4" w:space="0"/>
              <w:right w:val="single" w:color="auto" w:sz="4" w:space="0"/>
            </w:tcBorders>
            <w:shd w:val="clear" w:color="auto" w:fill="FFFFFF" w:themeFill="background1"/>
            <w:vAlign w:val="center"/>
            <w:hideMark/>
          </w:tcPr>
          <w:p w:rsidRPr="00252CD2" w:rsidR="00AE701A" w:rsidP="00AE701A" w:rsidRDefault="00AE701A" w14:paraId="743F90FB"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25%</w:t>
            </w:r>
          </w:p>
        </w:tc>
        <w:tc>
          <w:tcPr>
            <w:tcW w:w="108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252CD2" w:rsidR="00AE701A" w:rsidP="00AE701A" w:rsidRDefault="00AE701A" w14:paraId="45A9D017"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0.03</w:t>
            </w:r>
          </w:p>
        </w:tc>
        <w:tc>
          <w:tcPr>
            <w:tcW w:w="144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252CD2" w:rsidR="00AE701A" w:rsidP="00AE701A" w:rsidRDefault="00A97D3E" w14:paraId="1EA0D335" w14:textId="43C1C5B7">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24,899.25</w:t>
            </w:r>
          </w:p>
        </w:tc>
        <w:tc>
          <w:tcPr>
            <w:tcW w:w="937" w:type="dxa"/>
            <w:tcBorders>
              <w:top w:val="single" w:color="auto" w:sz="4" w:space="0"/>
              <w:left w:val="nil"/>
              <w:bottom w:val="single" w:color="auto" w:sz="4" w:space="0"/>
              <w:right w:val="single" w:color="auto" w:sz="4" w:space="0"/>
            </w:tcBorders>
            <w:shd w:val="clear" w:color="auto" w:fill="FFFFFF" w:themeFill="background1"/>
            <w:vAlign w:val="center"/>
            <w:hideMark/>
          </w:tcPr>
          <w:p w:rsidRPr="00252CD2" w:rsidR="00AE701A" w:rsidP="00AE701A" w:rsidRDefault="00AE701A" w14:paraId="1AD34B5C"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$59.20 </w:t>
            </w:r>
          </w:p>
        </w:tc>
        <w:tc>
          <w:tcPr>
            <w:tcW w:w="1607" w:type="dxa"/>
            <w:tcBorders>
              <w:top w:val="single" w:color="auto" w:sz="4" w:space="0"/>
              <w:left w:val="nil"/>
              <w:bottom w:val="single" w:color="auto" w:sz="4" w:space="0"/>
              <w:right w:val="single" w:color="auto" w:sz="4" w:space="0"/>
            </w:tcBorders>
            <w:shd w:val="clear" w:color="auto" w:fill="FFFFFF" w:themeFill="background1"/>
            <w:vAlign w:val="center"/>
            <w:hideMark/>
          </w:tcPr>
          <w:p w:rsidRPr="00252CD2" w:rsidR="00AE701A" w:rsidP="00000198" w:rsidRDefault="00AE701A" w14:paraId="36FEB741" w14:textId="59E50A53">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w:t>
            </w:r>
            <w:r w:rsidR="00A97D3E">
              <w:rPr>
                <w:rFonts w:ascii="Calibri" w:hAnsi="Calibri" w:eastAsia="Times New Roman" w:cs="Calibri"/>
                <w:color w:val="000000"/>
                <w:sz w:val="20"/>
                <w:szCs w:val="20"/>
                <w:lang w:eastAsia="en-US"/>
              </w:rPr>
              <w:t>1,474,035.60</w:t>
            </w:r>
            <w:r w:rsidRPr="00252CD2">
              <w:rPr>
                <w:rFonts w:ascii="Calibri" w:hAnsi="Calibri" w:eastAsia="Times New Roman" w:cs="Calibri"/>
                <w:color w:val="000000"/>
                <w:sz w:val="20"/>
                <w:szCs w:val="20"/>
                <w:lang w:eastAsia="en-US"/>
              </w:rPr>
              <w:t xml:space="preserve"> </w:t>
            </w:r>
          </w:p>
        </w:tc>
        <w:tc>
          <w:tcPr>
            <w:tcW w:w="114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252CD2" w:rsidR="00AE701A" w:rsidP="003D08EC" w:rsidRDefault="00000198" w14:paraId="64C9003E" w14:textId="2DD1F6B7">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8</w:t>
            </w:r>
            <w:r w:rsidR="003D08EC">
              <w:rPr>
                <w:rFonts w:ascii="Calibri" w:hAnsi="Calibri" w:eastAsia="Times New Roman" w:cs="Calibri"/>
                <w:color w:val="000000"/>
                <w:sz w:val="20"/>
                <w:szCs w:val="20"/>
                <w:lang w:eastAsia="en-US"/>
              </w:rPr>
              <w:t>29</w:t>
            </w:r>
            <w:r>
              <w:rPr>
                <w:rFonts w:ascii="Calibri" w:hAnsi="Calibri" w:eastAsia="Times New Roman" w:cs="Calibri"/>
                <w:color w:val="000000"/>
                <w:sz w:val="20"/>
                <w:szCs w:val="20"/>
                <w:lang w:eastAsia="en-US"/>
              </w:rPr>
              <w:t>,</w:t>
            </w:r>
            <w:r w:rsidR="003D08EC">
              <w:rPr>
                <w:rFonts w:ascii="Calibri" w:hAnsi="Calibri" w:eastAsia="Times New Roman" w:cs="Calibri"/>
                <w:color w:val="000000"/>
                <w:sz w:val="20"/>
                <w:szCs w:val="20"/>
                <w:lang w:eastAsia="en-US"/>
              </w:rPr>
              <w:t>975</w:t>
            </w:r>
          </w:p>
        </w:tc>
      </w:tr>
      <w:tr w:rsidRPr="00AE701A" w:rsidR="00FD5B56" w:rsidTr="00313268" w14:paraId="2FFFD130" w14:textId="77777777">
        <w:trPr>
          <w:trHeight w:val="530"/>
        </w:trPr>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520C25" w:rsidR="00AE701A" w:rsidP="00AE701A" w:rsidRDefault="00AE701A" w14:paraId="46092A85" w14:textId="77777777">
            <w:pPr>
              <w:autoSpaceDE/>
              <w:autoSpaceDN/>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SBA-defined Small Establishments</w:t>
            </w:r>
          </w:p>
        </w:tc>
        <w:tc>
          <w:tcPr>
            <w:tcW w:w="126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AB1E6C" w:rsidR="00AE701A" w:rsidP="00AE701A" w:rsidRDefault="00AE701A" w14:paraId="68B11697"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One-Time</w:t>
            </w:r>
          </w:p>
        </w:tc>
        <w:tc>
          <w:tcPr>
            <w:tcW w:w="144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BE04AB" w:rsidR="00AE701A" w:rsidP="00AE701A" w:rsidRDefault="00AE701A" w14:paraId="6CBC9CBC" w14:textId="77777777">
            <w:pPr>
              <w:autoSpaceDE/>
              <w:autoSpaceDN/>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Establis</w:t>
            </w:r>
            <w:r w:rsidRPr="00BE04AB">
              <w:rPr>
                <w:rFonts w:ascii="Calibri" w:hAnsi="Calibri" w:eastAsia="Times New Roman" w:cs="Calibri"/>
                <w:color w:val="000000"/>
                <w:sz w:val="20"/>
                <w:szCs w:val="20"/>
                <w:lang w:eastAsia="en-US"/>
              </w:rPr>
              <w:t>hment</w:t>
            </w:r>
          </w:p>
        </w:tc>
        <w:tc>
          <w:tcPr>
            <w:tcW w:w="1404" w:type="dxa"/>
            <w:tcBorders>
              <w:top w:val="single" w:color="auto" w:sz="4" w:space="0"/>
              <w:left w:val="nil"/>
              <w:bottom w:val="single" w:color="auto" w:sz="4" w:space="0"/>
              <w:right w:val="single" w:color="auto" w:sz="4" w:space="0"/>
            </w:tcBorders>
            <w:shd w:val="clear" w:color="auto" w:fill="FFFFFF" w:themeFill="background1"/>
            <w:vAlign w:val="center"/>
            <w:hideMark/>
          </w:tcPr>
          <w:p w:rsidRPr="003340D7" w:rsidR="00AE701A" w:rsidP="00AE701A" w:rsidRDefault="00AE701A" w14:paraId="1AD5B822" w14:textId="77777777">
            <w:pPr>
              <w:autoSpaceDE/>
              <w:autoSpaceDN/>
              <w:rPr>
                <w:rFonts w:ascii="Calibri" w:hAnsi="Calibri" w:eastAsia="Times New Roman" w:cs="Calibri"/>
                <w:color w:val="000000"/>
                <w:sz w:val="20"/>
                <w:szCs w:val="20"/>
                <w:lang w:eastAsia="en-US"/>
              </w:rPr>
            </w:pPr>
            <w:r w:rsidRPr="003340D7">
              <w:rPr>
                <w:rFonts w:ascii="Calibri" w:hAnsi="Calibri" w:eastAsia="Times New Roman" w:cs="Calibri"/>
                <w:color w:val="000000"/>
                <w:sz w:val="20"/>
                <w:szCs w:val="20"/>
                <w:lang w:eastAsia="en-US"/>
              </w:rPr>
              <w:t>OH&amp;S Specialist</w:t>
            </w:r>
          </w:p>
        </w:tc>
        <w:tc>
          <w:tcPr>
            <w:tcW w:w="117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252CD2" w:rsidR="00AE701A" w:rsidP="008276F4" w:rsidRDefault="00A97D3E" w14:paraId="1405B01E" w14:textId="4E42E3EF">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2,082,240</w:t>
            </w:r>
          </w:p>
        </w:tc>
        <w:tc>
          <w:tcPr>
            <w:tcW w:w="1223" w:type="dxa"/>
            <w:tcBorders>
              <w:top w:val="single" w:color="auto" w:sz="4" w:space="0"/>
              <w:left w:val="nil"/>
              <w:bottom w:val="single" w:color="auto" w:sz="4" w:space="0"/>
              <w:right w:val="single" w:color="auto" w:sz="4" w:space="0"/>
            </w:tcBorders>
            <w:shd w:val="clear" w:color="auto" w:fill="FFFFFF" w:themeFill="background1"/>
            <w:vAlign w:val="center"/>
            <w:hideMark/>
          </w:tcPr>
          <w:p w:rsidRPr="00252CD2" w:rsidR="00AE701A" w:rsidP="00AE701A" w:rsidRDefault="00AE701A" w14:paraId="3942387B"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0.25</w:t>
            </w:r>
          </w:p>
        </w:tc>
        <w:tc>
          <w:tcPr>
            <w:tcW w:w="108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252CD2" w:rsidR="00AE701A" w:rsidP="00AE701A" w:rsidRDefault="00AE701A" w14:paraId="3C7D8865"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0.03</w:t>
            </w:r>
          </w:p>
        </w:tc>
        <w:tc>
          <w:tcPr>
            <w:tcW w:w="144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252CD2" w:rsidR="00AE701A" w:rsidP="00AE701A" w:rsidRDefault="00A97D3E" w14:paraId="36E66FFF" w14:textId="6D81D85B">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15,616.80</w:t>
            </w:r>
          </w:p>
        </w:tc>
        <w:tc>
          <w:tcPr>
            <w:tcW w:w="937" w:type="dxa"/>
            <w:tcBorders>
              <w:top w:val="single" w:color="auto" w:sz="4" w:space="0"/>
              <w:left w:val="nil"/>
              <w:bottom w:val="single" w:color="auto" w:sz="4" w:space="0"/>
              <w:right w:val="single" w:color="auto" w:sz="4" w:space="0"/>
            </w:tcBorders>
            <w:shd w:val="clear" w:color="auto" w:fill="FFFFFF" w:themeFill="background1"/>
            <w:vAlign w:val="center"/>
            <w:hideMark/>
          </w:tcPr>
          <w:p w:rsidRPr="00252CD2" w:rsidR="00AE701A" w:rsidP="00AE701A" w:rsidRDefault="00AE701A" w14:paraId="4163534B"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$59.20 </w:t>
            </w:r>
          </w:p>
        </w:tc>
        <w:tc>
          <w:tcPr>
            <w:tcW w:w="1607" w:type="dxa"/>
            <w:tcBorders>
              <w:top w:val="single" w:color="auto" w:sz="4" w:space="0"/>
              <w:left w:val="nil"/>
              <w:bottom w:val="single" w:color="auto" w:sz="4" w:space="0"/>
              <w:right w:val="single" w:color="auto" w:sz="4" w:space="0"/>
            </w:tcBorders>
            <w:shd w:val="clear" w:color="auto" w:fill="FFFFFF" w:themeFill="background1"/>
            <w:vAlign w:val="center"/>
            <w:hideMark/>
          </w:tcPr>
          <w:p w:rsidRPr="00252CD2" w:rsidR="00AE701A" w:rsidP="00000198" w:rsidRDefault="00AE701A" w14:paraId="1A7F2CEE" w14:textId="25CB5115">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w:t>
            </w:r>
            <w:r w:rsidR="00A97D3E">
              <w:rPr>
                <w:rFonts w:ascii="Calibri" w:hAnsi="Calibri" w:eastAsia="Times New Roman" w:cs="Calibri"/>
                <w:color w:val="000000"/>
                <w:sz w:val="20"/>
                <w:szCs w:val="20"/>
                <w:lang w:eastAsia="en-US"/>
              </w:rPr>
              <w:t>924,514.56</w:t>
            </w:r>
            <w:r w:rsidRPr="00252CD2">
              <w:rPr>
                <w:rFonts w:ascii="Calibri" w:hAnsi="Calibri" w:eastAsia="Times New Roman" w:cs="Calibri"/>
                <w:color w:val="000000"/>
                <w:sz w:val="20"/>
                <w:szCs w:val="20"/>
                <w:lang w:eastAsia="en-US"/>
              </w:rPr>
              <w:t xml:space="preserve"> </w:t>
            </w:r>
          </w:p>
        </w:tc>
        <w:tc>
          <w:tcPr>
            <w:tcW w:w="114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252CD2" w:rsidR="00AE701A" w:rsidP="003D08EC" w:rsidRDefault="00000198" w14:paraId="1BEB6148" w14:textId="4AE99EBD">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52</w:t>
            </w:r>
            <w:r w:rsidR="003D08EC">
              <w:rPr>
                <w:rFonts w:ascii="Calibri" w:hAnsi="Calibri" w:eastAsia="Times New Roman" w:cs="Calibri"/>
                <w:color w:val="000000"/>
                <w:sz w:val="20"/>
                <w:szCs w:val="20"/>
                <w:lang w:eastAsia="en-US"/>
              </w:rPr>
              <w:t>0</w:t>
            </w:r>
            <w:r>
              <w:rPr>
                <w:rFonts w:ascii="Calibri" w:hAnsi="Calibri" w:eastAsia="Times New Roman" w:cs="Calibri"/>
                <w:color w:val="000000"/>
                <w:sz w:val="20"/>
                <w:szCs w:val="20"/>
                <w:lang w:eastAsia="en-US"/>
              </w:rPr>
              <w:t>,5</w:t>
            </w:r>
            <w:r w:rsidR="003D08EC">
              <w:rPr>
                <w:rFonts w:ascii="Calibri" w:hAnsi="Calibri" w:eastAsia="Times New Roman" w:cs="Calibri"/>
                <w:color w:val="000000"/>
                <w:sz w:val="20"/>
                <w:szCs w:val="20"/>
                <w:lang w:eastAsia="en-US"/>
              </w:rPr>
              <w:t>60</w:t>
            </w:r>
          </w:p>
        </w:tc>
      </w:tr>
      <w:tr w:rsidRPr="00AE701A" w:rsidR="00FD5B56" w:rsidTr="00313268" w14:paraId="7C2CDF0B" w14:textId="77777777">
        <w:trPr>
          <w:trHeight w:val="300"/>
        </w:trPr>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AB1E6C" w:rsidR="00AE701A" w:rsidP="00AE701A" w:rsidRDefault="00AE701A" w14:paraId="0408E39A" w14:textId="77777777">
            <w:pPr>
              <w:autoSpaceDE/>
              <w:autoSpaceDN/>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 xml:space="preserve">Very Small </w:t>
            </w:r>
            <w:r w:rsidRPr="00AB1E6C">
              <w:rPr>
                <w:rFonts w:ascii="Calibri" w:hAnsi="Calibri" w:eastAsia="Times New Roman" w:cs="Calibri"/>
                <w:color w:val="000000"/>
                <w:sz w:val="20"/>
                <w:szCs w:val="20"/>
                <w:lang w:eastAsia="en-US"/>
              </w:rPr>
              <w:t>Establishments</w:t>
            </w:r>
          </w:p>
        </w:tc>
        <w:tc>
          <w:tcPr>
            <w:tcW w:w="126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7B4BA7" w:rsidR="00AE701A" w:rsidP="00AE701A" w:rsidRDefault="00AE701A" w14:paraId="64103128" w14:textId="77777777">
            <w:pPr>
              <w:autoSpaceDE/>
              <w:autoSpaceDN/>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One-Time</w:t>
            </w:r>
          </w:p>
        </w:tc>
        <w:tc>
          <w:tcPr>
            <w:tcW w:w="144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3340D7" w:rsidR="00AE701A" w:rsidP="00AE701A" w:rsidRDefault="00AE701A" w14:paraId="5C3ABDCC" w14:textId="77777777">
            <w:pPr>
              <w:autoSpaceDE/>
              <w:autoSpaceDN/>
              <w:rPr>
                <w:rFonts w:ascii="Calibri" w:hAnsi="Calibri" w:eastAsia="Times New Roman" w:cs="Calibri"/>
                <w:color w:val="000000"/>
                <w:sz w:val="20"/>
                <w:szCs w:val="20"/>
                <w:lang w:eastAsia="en-US"/>
              </w:rPr>
            </w:pPr>
            <w:r w:rsidRPr="003340D7">
              <w:rPr>
                <w:rFonts w:ascii="Calibri" w:hAnsi="Calibri" w:eastAsia="Times New Roman" w:cs="Calibri"/>
                <w:color w:val="000000"/>
                <w:sz w:val="20"/>
                <w:szCs w:val="20"/>
                <w:lang w:eastAsia="en-US"/>
              </w:rPr>
              <w:t>Establishment</w:t>
            </w:r>
          </w:p>
        </w:tc>
        <w:tc>
          <w:tcPr>
            <w:tcW w:w="1404" w:type="dxa"/>
            <w:tcBorders>
              <w:top w:val="single" w:color="auto" w:sz="4" w:space="0"/>
              <w:left w:val="nil"/>
              <w:bottom w:val="single" w:color="auto" w:sz="4" w:space="0"/>
              <w:right w:val="single" w:color="auto" w:sz="4" w:space="0"/>
            </w:tcBorders>
            <w:shd w:val="clear" w:color="auto" w:fill="FFFFFF" w:themeFill="background1"/>
            <w:vAlign w:val="center"/>
            <w:hideMark/>
          </w:tcPr>
          <w:p w:rsidRPr="001D0186" w:rsidR="00AE701A" w:rsidP="00AE701A" w:rsidRDefault="00AE701A" w14:paraId="54901506" w14:textId="77777777">
            <w:pPr>
              <w:autoSpaceDE/>
              <w:autoSpaceDN/>
              <w:rPr>
                <w:rFonts w:ascii="Calibri" w:hAnsi="Calibri" w:eastAsia="Times New Roman" w:cs="Calibri"/>
                <w:color w:val="000000"/>
                <w:sz w:val="20"/>
                <w:szCs w:val="20"/>
                <w:lang w:eastAsia="en-US"/>
              </w:rPr>
            </w:pPr>
            <w:r w:rsidRPr="001D0186">
              <w:rPr>
                <w:rFonts w:ascii="Calibri" w:hAnsi="Calibri" w:eastAsia="Times New Roman" w:cs="Calibri"/>
                <w:color w:val="000000"/>
                <w:sz w:val="20"/>
                <w:szCs w:val="20"/>
                <w:lang w:eastAsia="en-US"/>
              </w:rPr>
              <w:t>OH&amp;S Specialist</w:t>
            </w:r>
          </w:p>
        </w:tc>
        <w:tc>
          <w:tcPr>
            <w:tcW w:w="117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252CD2" w:rsidR="00AE701A" w:rsidP="008276F4" w:rsidRDefault="00A97D3E" w14:paraId="36835FD2" w14:textId="52B861D0">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4,772,030</w:t>
            </w:r>
          </w:p>
        </w:tc>
        <w:tc>
          <w:tcPr>
            <w:tcW w:w="1223" w:type="dxa"/>
            <w:tcBorders>
              <w:top w:val="single" w:color="auto" w:sz="4" w:space="0"/>
              <w:left w:val="nil"/>
              <w:bottom w:val="single" w:color="auto" w:sz="4" w:space="0"/>
              <w:right w:val="single" w:color="auto" w:sz="4" w:space="0"/>
            </w:tcBorders>
            <w:shd w:val="clear" w:color="auto" w:fill="FFFFFF" w:themeFill="background1"/>
            <w:vAlign w:val="center"/>
            <w:hideMark/>
          </w:tcPr>
          <w:p w:rsidRPr="00252CD2" w:rsidR="00AE701A" w:rsidP="00AE701A" w:rsidRDefault="00AE701A" w14:paraId="68FFD08E"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0.50</w:t>
            </w:r>
          </w:p>
        </w:tc>
        <w:tc>
          <w:tcPr>
            <w:tcW w:w="108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252CD2" w:rsidR="00AE701A" w:rsidP="00AE701A" w:rsidRDefault="00AE701A" w14:paraId="38F0CC8D"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0.03</w:t>
            </w:r>
          </w:p>
        </w:tc>
        <w:tc>
          <w:tcPr>
            <w:tcW w:w="144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252CD2" w:rsidR="00AE701A" w:rsidP="00AE701A" w:rsidRDefault="00C44DC4" w14:paraId="08E40575" w14:textId="15C7457B">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71,580.45</w:t>
            </w:r>
          </w:p>
        </w:tc>
        <w:tc>
          <w:tcPr>
            <w:tcW w:w="937" w:type="dxa"/>
            <w:tcBorders>
              <w:top w:val="single" w:color="auto" w:sz="4" w:space="0"/>
              <w:left w:val="nil"/>
              <w:bottom w:val="single" w:color="auto" w:sz="4" w:space="0"/>
              <w:right w:val="single" w:color="auto" w:sz="4" w:space="0"/>
            </w:tcBorders>
            <w:shd w:val="clear" w:color="auto" w:fill="FFFFFF" w:themeFill="background1"/>
            <w:vAlign w:val="center"/>
            <w:hideMark/>
          </w:tcPr>
          <w:p w:rsidRPr="00252CD2" w:rsidR="00AE701A" w:rsidP="00AE701A" w:rsidRDefault="00AE701A" w14:paraId="2EB210E1"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$59.20 </w:t>
            </w:r>
          </w:p>
        </w:tc>
        <w:tc>
          <w:tcPr>
            <w:tcW w:w="1607" w:type="dxa"/>
            <w:tcBorders>
              <w:top w:val="single" w:color="auto" w:sz="4" w:space="0"/>
              <w:left w:val="nil"/>
              <w:bottom w:val="single" w:color="auto" w:sz="4" w:space="0"/>
              <w:right w:val="single" w:color="auto" w:sz="4" w:space="0"/>
            </w:tcBorders>
            <w:shd w:val="clear" w:color="auto" w:fill="FFFFFF" w:themeFill="background1"/>
            <w:vAlign w:val="center"/>
            <w:hideMark/>
          </w:tcPr>
          <w:p w:rsidRPr="00252CD2" w:rsidR="00AE701A" w:rsidP="00000198" w:rsidRDefault="00AE701A" w14:paraId="003E4422" w14:textId="06BD48F0">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w:t>
            </w:r>
            <w:r w:rsidR="00C44DC4">
              <w:rPr>
                <w:rFonts w:ascii="Calibri" w:hAnsi="Calibri" w:eastAsia="Times New Roman" w:cs="Calibri"/>
                <w:color w:val="000000"/>
                <w:sz w:val="20"/>
                <w:szCs w:val="20"/>
                <w:lang w:eastAsia="en-US"/>
              </w:rPr>
              <w:t>4,237,562.64</w:t>
            </w:r>
            <w:r w:rsidRPr="00252CD2">
              <w:rPr>
                <w:rFonts w:ascii="Calibri" w:hAnsi="Calibri" w:eastAsia="Times New Roman" w:cs="Calibri"/>
                <w:color w:val="000000"/>
                <w:sz w:val="20"/>
                <w:szCs w:val="20"/>
                <w:lang w:eastAsia="en-US"/>
              </w:rPr>
              <w:t xml:space="preserve"> </w:t>
            </w:r>
          </w:p>
        </w:tc>
        <w:tc>
          <w:tcPr>
            <w:tcW w:w="1140" w:type="dxa"/>
            <w:tcBorders>
              <w:top w:val="single" w:color="auto" w:sz="4" w:space="0"/>
              <w:left w:val="nil"/>
              <w:bottom w:val="single" w:color="auto" w:sz="4" w:space="0"/>
              <w:right w:val="single" w:color="auto" w:sz="4" w:space="0"/>
            </w:tcBorders>
            <w:shd w:val="clear" w:color="auto" w:fill="FFFFFF" w:themeFill="background1"/>
            <w:vAlign w:val="center"/>
            <w:hideMark/>
          </w:tcPr>
          <w:p w:rsidRPr="00930088" w:rsidR="00AE701A" w:rsidP="003D08EC" w:rsidRDefault="00000198" w14:paraId="6FC88F43" w14:textId="6EBF7CFE">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2,</w:t>
            </w:r>
            <w:r w:rsidR="003D08EC">
              <w:rPr>
                <w:rFonts w:ascii="Calibri" w:hAnsi="Calibri" w:eastAsia="Times New Roman" w:cs="Calibri"/>
                <w:color w:val="000000"/>
                <w:sz w:val="20"/>
                <w:szCs w:val="20"/>
                <w:lang w:eastAsia="en-US"/>
              </w:rPr>
              <w:t>386</w:t>
            </w:r>
            <w:r>
              <w:rPr>
                <w:rFonts w:ascii="Calibri" w:hAnsi="Calibri" w:eastAsia="Times New Roman" w:cs="Calibri"/>
                <w:color w:val="000000"/>
                <w:sz w:val="20"/>
                <w:szCs w:val="20"/>
                <w:lang w:eastAsia="en-US"/>
              </w:rPr>
              <w:t>,</w:t>
            </w:r>
            <w:r w:rsidR="003D08EC">
              <w:rPr>
                <w:rFonts w:ascii="Calibri" w:hAnsi="Calibri" w:eastAsia="Times New Roman" w:cs="Calibri"/>
                <w:color w:val="000000"/>
                <w:sz w:val="20"/>
                <w:szCs w:val="20"/>
                <w:lang w:eastAsia="en-US"/>
              </w:rPr>
              <w:t>015</w:t>
            </w:r>
          </w:p>
        </w:tc>
      </w:tr>
      <w:tr w:rsidRPr="00AE701A" w:rsidR="00091560" w:rsidTr="008078A1" w14:paraId="1E41CBC2" w14:textId="77777777">
        <w:trPr>
          <w:trHeight w:val="290"/>
        </w:trPr>
        <w:tc>
          <w:tcPr>
            <w:tcW w:w="14321" w:type="dxa"/>
            <w:gridSpan w:val="11"/>
            <w:tcBorders>
              <w:top w:val="single" w:color="auto" w:sz="4" w:space="0"/>
              <w:left w:val="single" w:color="auto" w:sz="4" w:space="0"/>
              <w:bottom w:val="single" w:color="auto" w:sz="4" w:space="0"/>
              <w:right w:val="single" w:color="auto" w:sz="4" w:space="0"/>
            </w:tcBorders>
            <w:shd w:val="clear" w:color="000000" w:fill="B4C6E7"/>
            <w:vAlign w:val="center"/>
            <w:hideMark/>
          </w:tcPr>
          <w:p w:rsidRPr="00520C25" w:rsidR="00AE701A" w:rsidP="00AE701A" w:rsidRDefault="00AE701A" w14:paraId="6075B230" w14:textId="77777777">
            <w:pPr>
              <w:autoSpaceDE/>
              <w:autoSpaceDN/>
              <w:rPr>
                <w:rFonts w:ascii="Calibri" w:hAnsi="Calibri" w:eastAsia="Times New Roman" w:cs="Calibri"/>
                <w:b/>
                <w:bCs/>
                <w:color w:val="000000"/>
                <w:sz w:val="20"/>
                <w:szCs w:val="20"/>
                <w:lang w:eastAsia="en-US"/>
              </w:rPr>
            </w:pPr>
            <w:r w:rsidRPr="00520C25">
              <w:rPr>
                <w:rFonts w:ascii="Calibri" w:hAnsi="Calibri" w:eastAsia="Times New Roman" w:cs="Calibri"/>
                <w:b/>
                <w:bCs/>
                <w:color w:val="000000"/>
                <w:sz w:val="20"/>
                <w:szCs w:val="20"/>
                <w:lang w:eastAsia="en-US"/>
              </w:rPr>
              <w:t>4. Health Screening and Medical Management</w:t>
            </w:r>
          </w:p>
        </w:tc>
      </w:tr>
      <w:tr w:rsidRPr="00AE701A" w:rsidR="00FD5B56" w:rsidTr="00313268" w14:paraId="71B72B6F" w14:textId="77777777">
        <w:trPr>
          <w:trHeight w:val="290"/>
        </w:trPr>
        <w:tc>
          <w:tcPr>
            <w:tcW w:w="162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520C25" w:rsidR="00AE701A" w:rsidP="00AE701A" w:rsidRDefault="00AE701A" w14:paraId="5D328FAA" w14:textId="77777777">
            <w:pPr>
              <w:autoSpaceDE/>
              <w:autoSpaceDN/>
              <w:rPr>
                <w:rFonts w:ascii="Calibri" w:hAnsi="Calibri" w:eastAsia="Times New Roman" w:cs="Calibri"/>
                <w:b/>
                <w:bCs/>
                <w:color w:val="000000"/>
                <w:sz w:val="20"/>
                <w:szCs w:val="20"/>
                <w:lang w:eastAsia="en-US"/>
              </w:rPr>
            </w:pPr>
            <w:r w:rsidRPr="00520C25">
              <w:rPr>
                <w:rFonts w:ascii="Calibri" w:hAnsi="Calibri" w:eastAsia="Times New Roman" w:cs="Calibri"/>
                <w:b/>
                <w:bCs/>
                <w:color w:val="000000"/>
                <w:sz w:val="20"/>
                <w:szCs w:val="20"/>
                <w:lang w:eastAsia="en-US"/>
              </w:rPr>
              <w:t>a. Health Screening</w:t>
            </w:r>
          </w:p>
        </w:tc>
        <w:tc>
          <w:tcPr>
            <w:tcW w:w="126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AB1E6C" w:rsidR="00AE701A" w:rsidP="00AE701A" w:rsidRDefault="00AE701A" w14:paraId="77BE63D1" w14:textId="77777777">
            <w:pPr>
              <w:autoSpaceDE/>
              <w:autoSpaceDN/>
              <w:rPr>
                <w:rFonts w:ascii="Calibri" w:hAnsi="Calibri" w:eastAsia="Times New Roman" w:cs="Calibri"/>
                <w:b/>
                <w:bCs/>
                <w:color w:val="000000"/>
                <w:sz w:val="20"/>
                <w:szCs w:val="20"/>
                <w:lang w:eastAsia="en-US"/>
              </w:rPr>
            </w:pPr>
            <w:r w:rsidRPr="00AB1E6C">
              <w:rPr>
                <w:rFonts w:ascii="Calibri" w:hAnsi="Calibri" w:eastAsia="Times New Roman" w:cs="Calibri"/>
                <w:b/>
                <w:bCs/>
                <w:color w:val="000000"/>
                <w:sz w:val="20"/>
                <w:szCs w:val="20"/>
                <w:lang w:eastAsia="en-US"/>
              </w:rPr>
              <w:t> </w:t>
            </w:r>
          </w:p>
        </w:tc>
        <w:tc>
          <w:tcPr>
            <w:tcW w:w="144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7B4BA7" w:rsidR="00AE701A" w:rsidP="00AE701A" w:rsidRDefault="00AE701A" w14:paraId="5E083AD1" w14:textId="77777777">
            <w:pPr>
              <w:autoSpaceDE/>
              <w:autoSpaceDN/>
              <w:rPr>
                <w:rFonts w:ascii="Calibri" w:hAnsi="Calibri" w:eastAsia="Times New Roman" w:cs="Calibri"/>
                <w:b/>
                <w:bCs/>
                <w:color w:val="000000"/>
                <w:sz w:val="20"/>
                <w:szCs w:val="20"/>
                <w:lang w:eastAsia="en-US"/>
              </w:rPr>
            </w:pPr>
            <w:r w:rsidRPr="007B4BA7">
              <w:rPr>
                <w:rFonts w:ascii="Calibri" w:hAnsi="Calibri" w:eastAsia="Times New Roman" w:cs="Calibri"/>
                <w:b/>
                <w:bCs/>
                <w:color w:val="000000"/>
                <w:sz w:val="20"/>
                <w:szCs w:val="20"/>
                <w:lang w:eastAsia="en-US"/>
              </w:rPr>
              <w:t> </w:t>
            </w:r>
          </w:p>
        </w:tc>
        <w:tc>
          <w:tcPr>
            <w:tcW w:w="1404"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3340D7" w:rsidR="00AE701A" w:rsidP="00AE701A" w:rsidRDefault="00AE701A" w14:paraId="7CC5415C" w14:textId="77777777">
            <w:pPr>
              <w:autoSpaceDE/>
              <w:autoSpaceDN/>
              <w:rPr>
                <w:rFonts w:ascii="Calibri" w:hAnsi="Calibri" w:eastAsia="Times New Roman" w:cs="Calibri"/>
                <w:b/>
                <w:bCs/>
                <w:color w:val="000000"/>
                <w:sz w:val="20"/>
                <w:szCs w:val="20"/>
                <w:lang w:eastAsia="en-US"/>
              </w:rPr>
            </w:pPr>
            <w:r w:rsidRPr="003340D7">
              <w:rPr>
                <w:rFonts w:ascii="Calibri" w:hAnsi="Calibri" w:eastAsia="Times New Roman" w:cs="Calibri"/>
                <w:b/>
                <w:bCs/>
                <w:color w:val="000000"/>
                <w:sz w:val="20"/>
                <w:szCs w:val="20"/>
                <w:lang w:eastAsia="en-US"/>
              </w:rPr>
              <w:t> </w:t>
            </w:r>
          </w:p>
        </w:tc>
        <w:tc>
          <w:tcPr>
            <w:tcW w:w="117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1D0186" w:rsidR="00AE701A" w:rsidP="00AE701A" w:rsidRDefault="00AE701A" w14:paraId="366953AB" w14:textId="77777777">
            <w:pPr>
              <w:autoSpaceDE/>
              <w:autoSpaceDN/>
              <w:rPr>
                <w:rFonts w:ascii="Calibri" w:hAnsi="Calibri" w:eastAsia="Times New Roman" w:cs="Calibri"/>
                <w:b/>
                <w:bCs/>
                <w:color w:val="000000"/>
                <w:sz w:val="20"/>
                <w:szCs w:val="20"/>
                <w:lang w:eastAsia="en-US"/>
              </w:rPr>
            </w:pPr>
            <w:r w:rsidRPr="001D0186">
              <w:rPr>
                <w:rFonts w:ascii="Calibri" w:hAnsi="Calibri" w:eastAsia="Times New Roman" w:cs="Calibri"/>
                <w:b/>
                <w:bCs/>
                <w:color w:val="000000"/>
                <w:sz w:val="20"/>
                <w:szCs w:val="20"/>
                <w:lang w:eastAsia="en-US"/>
              </w:rPr>
              <w:t> </w:t>
            </w:r>
          </w:p>
        </w:tc>
        <w:tc>
          <w:tcPr>
            <w:tcW w:w="1223"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252CD2" w:rsidR="00AE701A" w:rsidP="00AE701A" w:rsidRDefault="00AE701A" w14:paraId="01BB9AAC" w14:textId="77777777">
            <w:pPr>
              <w:autoSpaceDE/>
              <w:autoSpaceDN/>
              <w:rPr>
                <w:rFonts w:ascii="Calibri" w:hAnsi="Calibri" w:eastAsia="Times New Roman" w:cs="Calibri"/>
                <w:b/>
                <w:bCs/>
                <w:color w:val="000000"/>
                <w:sz w:val="20"/>
                <w:szCs w:val="20"/>
                <w:lang w:eastAsia="en-US"/>
              </w:rPr>
            </w:pPr>
            <w:r w:rsidRPr="00252CD2">
              <w:rPr>
                <w:rFonts w:ascii="Calibri" w:hAnsi="Calibri" w:eastAsia="Times New Roman" w:cs="Calibri"/>
                <w:b/>
                <w:bCs/>
                <w:color w:val="000000"/>
                <w:sz w:val="20"/>
                <w:szCs w:val="20"/>
                <w:lang w:eastAsia="en-US"/>
              </w:rPr>
              <w:t> </w:t>
            </w:r>
          </w:p>
        </w:tc>
        <w:tc>
          <w:tcPr>
            <w:tcW w:w="108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252CD2" w:rsidR="00AE701A" w:rsidP="00AE701A" w:rsidRDefault="00AE701A" w14:paraId="152959E8" w14:textId="77777777">
            <w:pPr>
              <w:autoSpaceDE/>
              <w:autoSpaceDN/>
              <w:rPr>
                <w:rFonts w:ascii="Calibri" w:hAnsi="Calibri" w:eastAsia="Times New Roman" w:cs="Calibri"/>
                <w:b/>
                <w:bCs/>
                <w:color w:val="000000"/>
                <w:sz w:val="20"/>
                <w:szCs w:val="20"/>
                <w:lang w:eastAsia="en-US"/>
              </w:rPr>
            </w:pPr>
            <w:r w:rsidRPr="00252CD2">
              <w:rPr>
                <w:rFonts w:ascii="Calibri" w:hAnsi="Calibri" w:eastAsia="Times New Roman" w:cs="Calibri"/>
                <w:b/>
                <w:bCs/>
                <w:color w:val="000000"/>
                <w:sz w:val="20"/>
                <w:szCs w:val="20"/>
                <w:lang w:eastAsia="en-US"/>
              </w:rPr>
              <w:t> </w:t>
            </w:r>
          </w:p>
        </w:tc>
        <w:tc>
          <w:tcPr>
            <w:tcW w:w="144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252CD2" w:rsidR="00AE701A" w:rsidP="00AE701A" w:rsidRDefault="00AE701A" w14:paraId="6E6ACD35" w14:textId="77777777">
            <w:pPr>
              <w:autoSpaceDE/>
              <w:autoSpaceDN/>
              <w:rPr>
                <w:rFonts w:ascii="Calibri" w:hAnsi="Calibri" w:eastAsia="Times New Roman" w:cs="Calibri"/>
                <w:b/>
                <w:bCs/>
                <w:color w:val="000000"/>
                <w:sz w:val="20"/>
                <w:szCs w:val="20"/>
                <w:lang w:eastAsia="en-US"/>
              </w:rPr>
            </w:pPr>
            <w:r w:rsidRPr="00252CD2">
              <w:rPr>
                <w:rFonts w:ascii="Calibri" w:hAnsi="Calibri" w:eastAsia="Times New Roman" w:cs="Calibri"/>
                <w:b/>
                <w:bCs/>
                <w:color w:val="000000"/>
                <w:sz w:val="20"/>
                <w:szCs w:val="20"/>
                <w:lang w:eastAsia="en-US"/>
              </w:rPr>
              <w:t> </w:t>
            </w:r>
          </w:p>
        </w:tc>
        <w:tc>
          <w:tcPr>
            <w:tcW w:w="937"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252CD2" w:rsidR="00AE701A" w:rsidP="00AE701A" w:rsidRDefault="00AE701A" w14:paraId="124F5661" w14:textId="77777777">
            <w:pPr>
              <w:autoSpaceDE/>
              <w:autoSpaceDN/>
              <w:rPr>
                <w:rFonts w:ascii="Calibri" w:hAnsi="Calibri" w:eastAsia="Times New Roman" w:cs="Calibri"/>
                <w:b/>
                <w:bCs/>
                <w:color w:val="000000"/>
                <w:sz w:val="20"/>
                <w:szCs w:val="20"/>
                <w:lang w:eastAsia="en-US"/>
              </w:rPr>
            </w:pPr>
            <w:r w:rsidRPr="00252CD2">
              <w:rPr>
                <w:rFonts w:ascii="Calibri" w:hAnsi="Calibri" w:eastAsia="Times New Roman" w:cs="Calibri"/>
                <w:b/>
                <w:bCs/>
                <w:color w:val="000000"/>
                <w:sz w:val="20"/>
                <w:szCs w:val="20"/>
                <w:lang w:eastAsia="en-US"/>
              </w:rPr>
              <w:t> </w:t>
            </w:r>
          </w:p>
        </w:tc>
        <w:tc>
          <w:tcPr>
            <w:tcW w:w="1607"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252CD2" w:rsidR="00AE701A" w:rsidP="00AE701A" w:rsidRDefault="00AE701A" w14:paraId="08B17EEA" w14:textId="77777777">
            <w:pPr>
              <w:autoSpaceDE/>
              <w:autoSpaceDN/>
              <w:rPr>
                <w:rFonts w:ascii="Calibri" w:hAnsi="Calibri" w:eastAsia="Times New Roman" w:cs="Calibri"/>
                <w:b/>
                <w:bCs/>
                <w:color w:val="000000"/>
                <w:sz w:val="20"/>
                <w:szCs w:val="20"/>
                <w:lang w:eastAsia="en-US"/>
              </w:rPr>
            </w:pPr>
            <w:r w:rsidRPr="00252CD2">
              <w:rPr>
                <w:rFonts w:ascii="Calibri" w:hAnsi="Calibri" w:eastAsia="Times New Roman" w:cs="Calibri"/>
                <w:b/>
                <w:bCs/>
                <w:color w:val="000000"/>
                <w:sz w:val="20"/>
                <w:szCs w:val="20"/>
                <w:lang w:eastAsia="en-US"/>
              </w:rPr>
              <w:t> </w:t>
            </w:r>
          </w:p>
        </w:tc>
        <w:tc>
          <w:tcPr>
            <w:tcW w:w="114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252CD2" w:rsidR="00AE701A" w:rsidP="00AE701A" w:rsidRDefault="00AE701A" w14:paraId="1C5E88EA" w14:textId="77777777">
            <w:pPr>
              <w:autoSpaceDE/>
              <w:autoSpaceDN/>
              <w:rPr>
                <w:rFonts w:ascii="Calibri" w:hAnsi="Calibri" w:eastAsia="Times New Roman" w:cs="Calibri"/>
                <w:b/>
                <w:bCs/>
                <w:color w:val="000000"/>
                <w:sz w:val="20"/>
                <w:szCs w:val="20"/>
                <w:lang w:eastAsia="en-US"/>
              </w:rPr>
            </w:pPr>
            <w:r w:rsidRPr="00252CD2">
              <w:rPr>
                <w:rFonts w:ascii="Calibri" w:hAnsi="Calibri" w:eastAsia="Times New Roman" w:cs="Calibri"/>
                <w:b/>
                <w:bCs/>
                <w:color w:val="000000"/>
                <w:sz w:val="20"/>
                <w:szCs w:val="20"/>
                <w:lang w:eastAsia="en-US"/>
              </w:rPr>
              <w:t> </w:t>
            </w:r>
          </w:p>
        </w:tc>
      </w:tr>
      <w:tr w:rsidRPr="00AE701A" w:rsidR="00FD5B56" w:rsidTr="00313268" w14:paraId="0A3C316A" w14:textId="77777777">
        <w:trPr>
          <w:trHeight w:val="29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1B0A2488" w14:textId="77777777">
            <w:pPr>
              <w:autoSpaceDE/>
              <w:autoSpaceDN/>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Pre-Shift Health Screening</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B1E6C" w:rsidR="00AE701A" w:rsidP="00AE701A" w:rsidRDefault="00AE701A" w14:paraId="6F283BC3"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6-month</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7B4BA7" w:rsidR="00AE701A" w:rsidP="00AE701A" w:rsidRDefault="00AE701A" w14:paraId="7589972E" w14:textId="77777777">
            <w:pPr>
              <w:autoSpaceDE/>
              <w:autoSpaceDN/>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Employee</w:t>
            </w:r>
          </w:p>
        </w:tc>
        <w:tc>
          <w:tcPr>
            <w:tcW w:w="1404"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3340D7" w:rsidR="00AE701A" w:rsidP="00AE701A" w:rsidRDefault="00AE701A" w14:paraId="3A79BCEB" w14:textId="77777777">
            <w:pPr>
              <w:autoSpaceDE/>
              <w:autoSpaceDN/>
              <w:rPr>
                <w:rFonts w:ascii="Calibri" w:hAnsi="Calibri" w:eastAsia="Times New Roman" w:cs="Calibri"/>
                <w:color w:val="000000"/>
                <w:sz w:val="20"/>
                <w:szCs w:val="20"/>
                <w:lang w:eastAsia="en-US"/>
              </w:rPr>
            </w:pPr>
            <w:r w:rsidRPr="003340D7">
              <w:rPr>
                <w:rFonts w:ascii="Calibri" w:hAnsi="Calibri" w:eastAsia="Times New Roman" w:cs="Calibri"/>
                <w:color w:val="000000"/>
                <w:sz w:val="20"/>
                <w:szCs w:val="20"/>
                <w:lang w:eastAsia="en-US"/>
              </w:rPr>
              <w:t>General Worker</w:t>
            </w:r>
          </w:p>
        </w:tc>
        <w:tc>
          <w:tcPr>
            <w:tcW w:w="117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D0186" w:rsidR="00AE701A" w:rsidP="00AE701A" w:rsidRDefault="00873747" w14:paraId="6B514AED" w14:textId="770FAF35">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2,970,827</w:t>
            </w:r>
          </w:p>
        </w:tc>
        <w:tc>
          <w:tcPr>
            <w:tcW w:w="1223"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28B451D9"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25%</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28B4AD1A"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0.504</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873747" w14:paraId="36618BEC" w14:textId="12F5C98A">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374,324.20</w:t>
            </w:r>
          </w:p>
        </w:tc>
        <w:tc>
          <w:tcPr>
            <w:tcW w:w="937" w:type="dxa"/>
            <w:vMerge w:val="restart"/>
            <w:tcBorders>
              <w:top w:val="single" w:color="auto" w:sz="4" w:space="0"/>
              <w:left w:val="single" w:color="auto" w:sz="4" w:space="0"/>
              <w:bottom w:val="single" w:color="auto" w:sz="4" w:space="0"/>
              <w:right w:val="single" w:color="auto" w:sz="4" w:space="0"/>
            </w:tcBorders>
            <w:shd w:val="clear" w:color="000000" w:fill="FFFFFF"/>
            <w:vAlign w:val="center"/>
            <w:hideMark/>
          </w:tcPr>
          <w:p w:rsidRPr="00252CD2" w:rsidR="00AE701A" w:rsidP="00AE701A" w:rsidRDefault="00AE701A" w14:paraId="5741AF87"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$35.60 </w:t>
            </w:r>
          </w:p>
        </w:tc>
        <w:tc>
          <w:tcPr>
            <w:tcW w:w="160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7C18AC" w:rsidRDefault="00173263" w14:paraId="0DF7C33C" w14:textId="33D90AE5">
            <w:pPr>
              <w:autoSpaceDE/>
              <w:autoSpaceDN/>
              <w:ind w:right="18"/>
              <w:jc w:val="center"/>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w:t>
            </w:r>
            <w:r w:rsidR="00873747">
              <w:rPr>
                <w:rFonts w:ascii="Calibri" w:hAnsi="Calibri" w:eastAsia="Times New Roman" w:cs="Calibri"/>
                <w:color w:val="000000"/>
                <w:sz w:val="20"/>
                <w:szCs w:val="20"/>
                <w:lang w:eastAsia="en-US"/>
              </w:rPr>
              <w:t>13,325,941.59</w:t>
            </w:r>
            <w:r w:rsidRPr="00252CD2" w:rsidR="00AE701A">
              <w:rPr>
                <w:rFonts w:ascii="Calibri" w:hAnsi="Calibri" w:eastAsia="Times New Roman" w:cs="Calibri"/>
                <w:color w:val="000000"/>
                <w:sz w:val="20"/>
                <w:szCs w:val="20"/>
                <w:lang w:eastAsia="en-US"/>
              </w:rPr>
              <w:t xml:space="preserve"> </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2E088D" w:rsidRDefault="007C18AC" w14:paraId="75098B91" w14:textId="08B2A5AA">
            <w:pPr>
              <w:autoSpaceDE/>
              <w:autoSpaceDN/>
              <w:jc w:val="center"/>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742,7</w:t>
            </w:r>
            <w:r w:rsidR="002E088D">
              <w:rPr>
                <w:rFonts w:ascii="Calibri" w:hAnsi="Calibri" w:eastAsia="Times New Roman" w:cs="Calibri"/>
                <w:color w:val="000000"/>
                <w:sz w:val="20"/>
                <w:szCs w:val="20"/>
                <w:lang w:eastAsia="en-US"/>
              </w:rPr>
              <w:t>07</w:t>
            </w:r>
          </w:p>
        </w:tc>
      </w:tr>
      <w:tr w:rsidRPr="00AE701A" w:rsidR="00FD5B56" w:rsidTr="00313268" w14:paraId="64DF48EB" w14:textId="77777777">
        <w:trPr>
          <w:trHeight w:val="30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42406D2D" w14:textId="77777777">
            <w:pPr>
              <w:autoSpaceDE/>
              <w:autoSpaceDN/>
              <w:jc w:val="right"/>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Large Establishments</w:t>
            </w:r>
          </w:p>
        </w:tc>
        <w:tc>
          <w:tcPr>
            <w:tcW w:w="126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3CA91DA2"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3EE291DD" w14:textId="77777777">
            <w:pPr>
              <w:autoSpaceDE/>
              <w:autoSpaceDN/>
              <w:rPr>
                <w:rFonts w:ascii="Calibri" w:hAnsi="Calibri" w:eastAsia="Times New Roman" w:cs="Calibri"/>
                <w:color w:val="000000"/>
                <w:sz w:val="20"/>
                <w:szCs w:val="20"/>
                <w:lang w:eastAsia="en-US"/>
              </w:rPr>
            </w:pPr>
          </w:p>
        </w:tc>
        <w:tc>
          <w:tcPr>
            <w:tcW w:w="1404"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1502A61A" w14:textId="77777777">
            <w:pPr>
              <w:autoSpaceDE/>
              <w:autoSpaceDN/>
              <w:rPr>
                <w:rFonts w:ascii="Calibri" w:hAnsi="Calibri" w:eastAsia="Times New Roman" w:cs="Calibri"/>
                <w:color w:val="000000"/>
                <w:sz w:val="20"/>
                <w:szCs w:val="20"/>
                <w:lang w:eastAsia="en-US"/>
              </w:rPr>
            </w:pPr>
          </w:p>
        </w:tc>
        <w:tc>
          <w:tcPr>
            <w:tcW w:w="117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21AAEC9E" w14:textId="77777777">
            <w:pPr>
              <w:autoSpaceDE/>
              <w:autoSpaceDN/>
              <w:rPr>
                <w:rFonts w:ascii="Calibri" w:hAnsi="Calibri" w:eastAsia="Times New Roman" w:cs="Calibri"/>
                <w:color w:val="000000"/>
                <w:sz w:val="20"/>
                <w:szCs w:val="20"/>
                <w:lang w:eastAsia="en-US"/>
              </w:rPr>
            </w:pPr>
          </w:p>
        </w:tc>
        <w:tc>
          <w:tcPr>
            <w:tcW w:w="1223"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35443394" w14:textId="77777777">
            <w:pPr>
              <w:autoSpaceDE/>
              <w:autoSpaceDN/>
              <w:rPr>
                <w:rFonts w:ascii="Calibri" w:hAnsi="Calibri" w:eastAsia="Times New Roman" w:cs="Calibri"/>
                <w:color w:val="000000"/>
                <w:sz w:val="20"/>
                <w:szCs w:val="20"/>
                <w:lang w:eastAsia="en-US"/>
              </w:rPr>
            </w:pPr>
          </w:p>
        </w:tc>
        <w:tc>
          <w:tcPr>
            <w:tcW w:w="108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147B87DD"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6217ED9E" w14:textId="77777777">
            <w:pPr>
              <w:autoSpaceDE/>
              <w:autoSpaceDN/>
              <w:rPr>
                <w:rFonts w:ascii="Calibri" w:hAnsi="Calibri" w:eastAsia="Times New Roman" w:cs="Calibri"/>
                <w:color w:val="000000"/>
                <w:sz w:val="20"/>
                <w:szCs w:val="20"/>
                <w:lang w:eastAsia="en-US"/>
              </w:rPr>
            </w:pPr>
          </w:p>
        </w:tc>
        <w:tc>
          <w:tcPr>
            <w:tcW w:w="937"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4B03B96A" w14:textId="77777777">
            <w:pPr>
              <w:autoSpaceDE/>
              <w:autoSpaceDN/>
              <w:rPr>
                <w:rFonts w:ascii="Calibri" w:hAnsi="Calibri" w:eastAsia="Times New Roman" w:cs="Calibri"/>
                <w:color w:val="000000"/>
                <w:sz w:val="20"/>
                <w:szCs w:val="20"/>
                <w:lang w:eastAsia="en-US"/>
              </w:rPr>
            </w:pPr>
          </w:p>
        </w:tc>
        <w:tc>
          <w:tcPr>
            <w:tcW w:w="1607"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8078A1" w:rsidRDefault="00AE701A" w14:paraId="68ECEA60" w14:textId="77777777">
            <w:pPr>
              <w:autoSpaceDE/>
              <w:autoSpaceDN/>
              <w:jc w:val="center"/>
              <w:rPr>
                <w:rFonts w:ascii="Calibri" w:hAnsi="Calibri" w:eastAsia="Times New Roman" w:cs="Calibri"/>
                <w:color w:val="000000"/>
                <w:sz w:val="20"/>
                <w:szCs w:val="20"/>
                <w:lang w:eastAsia="en-US"/>
              </w:rPr>
            </w:pPr>
          </w:p>
        </w:tc>
        <w:tc>
          <w:tcPr>
            <w:tcW w:w="11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8078A1" w:rsidRDefault="00AE701A" w14:paraId="63E86108" w14:textId="77777777">
            <w:pPr>
              <w:autoSpaceDE/>
              <w:autoSpaceDN/>
              <w:jc w:val="center"/>
              <w:rPr>
                <w:rFonts w:ascii="Calibri" w:hAnsi="Calibri" w:eastAsia="Times New Roman" w:cs="Calibri"/>
                <w:color w:val="000000"/>
                <w:sz w:val="20"/>
                <w:szCs w:val="20"/>
                <w:lang w:eastAsia="en-US"/>
              </w:rPr>
            </w:pPr>
          </w:p>
        </w:tc>
      </w:tr>
      <w:tr w:rsidRPr="00AE701A" w:rsidR="00FD5B56" w:rsidTr="00313268" w14:paraId="573E5818" w14:textId="77777777">
        <w:trPr>
          <w:trHeight w:val="29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64FD577B" w14:textId="77777777">
            <w:pPr>
              <w:autoSpaceDE/>
              <w:autoSpaceDN/>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Pre-Shift Health Screening</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B1E6C" w:rsidR="00AE701A" w:rsidP="00AE701A" w:rsidRDefault="00AE701A" w14:paraId="6611EA0A"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6-month</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7B4BA7" w:rsidR="00AE701A" w:rsidP="00AE701A" w:rsidRDefault="00AE701A" w14:paraId="584C7219" w14:textId="77777777">
            <w:pPr>
              <w:autoSpaceDE/>
              <w:autoSpaceDN/>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Employee</w:t>
            </w:r>
          </w:p>
        </w:tc>
        <w:tc>
          <w:tcPr>
            <w:tcW w:w="1404"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3340D7" w:rsidR="00AE701A" w:rsidP="00AE701A" w:rsidRDefault="00AE701A" w14:paraId="07C21B94" w14:textId="77777777">
            <w:pPr>
              <w:autoSpaceDE/>
              <w:autoSpaceDN/>
              <w:rPr>
                <w:rFonts w:ascii="Calibri" w:hAnsi="Calibri" w:eastAsia="Times New Roman" w:cs="Calibri"/>
                <w:color w:val="000000"/>
                <w:sz w:val="20"/>
                <w:szCs w:val="20"/>
                <w:lang w:eastAsia="en-US"/>
              </w:rPr>
            </w:pPr>
            <w:r w:rsidRPr="003340D7">
              <w:rPr>
                <w:rFonts w:ascii="Calibri" w:hAnsi="Calibri" w:eastAsia="Times New Roman" w:cs="Calibri"/>
                <w:color w:val="000000"/>
                <w:sz w:val="20"/>
                <w:szCs w:val="20"/>
                <w:lang w:eastAsia="en-US"/>
              </w:rPr>
              <w:t>General Worker</w:t>
            </w:r>
          </w:p>
        </w:tc>
        <w:tc>
          <w:tcPr>
            <w:tcW w:w="117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D0186" w:rsidR="00AE701A" w:rsidP="00AE701A" w:rsidRDefault="00CE1C5E" w14:paraId="3CA89EDC" w14:textId="03CBF6E7">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5,219,381</w:t>
            </w:r>
          </w:p>
        </w:tc>
        <w:tc>
          <w:tcPr>
            <w:tcW w:w="1223"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2BE32A33"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25%</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44D6BCEB"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0.504</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CE1C5E" w14:paraId="7D1A6DC4" w14:textId="4F4745B5">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657,642.01</w:t>
            </w:r>
          </w:p>
        </w:tc>
        <w:tc>
          <w:tcPr>
            <w:tcW w:w="937" w:type="dxa"/>
            <w:vMerge w:val="restart"/>
            <w:tcBorders>
              <w:top w:val="single" w:color="auto" w:sz="4" w:space="0"/>
              <w:left w:val="single" w:color="auto" w:sz="4" w:space="0"/>
              <w:bottom w:val="single" w:color="auto" w:sz="4" w:space="0"/>
              <w:right w:val="single" w:color="auto" w:sz="4" w:space="0"/>
            </w:tcBorders>
            <w:shd w:val="clear" w:color="000000" w:fill="FFFFFF"/>
            <w:vAlign w:val="center"/>
            <w:hideMark/>
          </w:tcPr>
          <w:p w:rsidRPr="00252CD2" w:rsidR="00AE701A" w:rsidP="00AE701A" w:rsidRDefault="00AE701A" w14:paraId="79F1F5B4"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$35.60 </w:t>
            </w:r>
          </w:p>
        </w:tc>
        <w:tc>
          <w:tcPr>
            <w:tcW w:w="160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7C18AC" w:rsidRDefault="00173263" w14:paraId="526C042F" w14:textId="53F427DA">
            <w:pPr>
              <w:autoSpaceDE/>
              <w:autoSpaceDN/>
              <w:jc w:val="center"/>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w:t>
            </w:r>
            <w:r w:rsidR="0055074B">
              <w:rPr>
                <w:rFonts w:ascii="Calibri" w:hAnsi="Calibri" w:eastAsia="Times New Roman" w:cs="Calibri"/>
                <w:color w:val="000000"/>
                <w:sz w:val="20"/>
                <w:szCs w:val="20"/>
                <w:lang w:eastAsia="en-US"/>
              </w:rPr>
              <w:t>23,412,055.41</w:t>
            </w:r>
            <w:r w:rsidRPr="00252CD2" w:rsidR="00AE701A">
              <w:rPr>
                <w:rFonts w:ascii="Calibri" w:hAnsi="Calibri" w:eastAsia="Times New Roman" w:cs="Calibri"/>
                <w:color w:val="000000"/>
                <w:sz w:val="20"/>
                <w:szCs w:val="20"/>
                <w:lang w:eastAsia="en-US"/>
              </w:rPr>
              <w:t xml:space="preserve"> </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2E088D" w:rsidRDefault="007C18AC" w14:paraId="14E95A6A" w14:textId="48F1ADC9">
            <w:pPr>
              <w:autoSpaceDE/>
              <w:autoSpaceDN/>
              <w:jc w:val="center"/>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1,304,</w:t>
            </w:r>
            <w:r w:rsidR="002E088D">
              <w:rPr>
                <w:rFonts w:ascii="Calibri" w:hAnsi="Calibri" w:eastAsia="Times New Roman" w:cs="Calibri"/>
                <w:color w:val="000000"/>
                <w:sz w:val="20"/>
                <w:szCs w:val="20"/>
                <w:lang w:eastAsia="en-US"/>
              </w:rPr>
              <w:t>845</w:t>
            </w:r>
          </w:p>
        </w:tc>
      </w:tr>
      <w:tr w:rsidRPr="00AE701A" w:rsidR="00FD5B56" w:rsidTr="00313268" w14:paraId="22DD5B01" w14:textId="77777777">
        <w:trPr>
          <w:trHeight w:val="53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0DC6646B" w14:textId="77777777">
            <w:pPr>
              <w:autoSpaceDE/>
              <w:autoSpaceDN/>
              <w:jc w:val="right"/>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SBA-Defined Small Establishments</w:t>
            </w:r>
          </w:p>
        </w:tc>
        <w:tc>
          <w:tcPr>
            <w:tcW w:w="126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0F070C3B"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1C6CDF1F" w14:textId="77777777">
            <w:pPr>
              <w:autoSpaceDE/>
              <w:autoSpaceDN/>
              <w:rPr>
                <w:rFonts w:ascii="Calibri" w:hAnsi="Calibri" w:eastAsia="Times New Roman" w:cs="Calibri"/>
                <w:color w:val="000000"/>
                <w:sz w:val="20"/>
                <w:szCs w:val="20"/>
                <w:lang w:eastAsia="en-US"/>
              </w:rPr>
            </w:pPr>
          </w:p>
        </w:tc>
        <w:tc>
          <w:tcPr>
            <w:tcW w:w="1404"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17B857C5" w14:textId="77777777">
            <w:pPr>
              <w:autoSpaceDE/>
              <w:autoSpaceDN/>
              <w:rPr>
                <w:rFonts w:ascii="Calibri" w:hAnsi="Calibri" w:eastAsia="Times New Roman" w:cs="Calibri"/>
                <w:color w:val="000000"/>
                <w:sz w:val="20"/>
                <w:szCs w:val="20"/>
                <w:lang w:eastAsia="en-US"/>
              </w:rPr>
            </w:pPr>
          </w:p>
        </w:tc>
        <w:tc>
          <w:tcPr>
            <w:tcW w:w="117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160BDA30" w14:textId="77777777">
            <w:pPr>
              <w:autoSpaceDE/>
              <w:autoSpaceDN/>
              <w:rPr>
                <w:rFonts w:ascii="Calibri" w:hAnsi="Calibri" w:eastAsia="Times New Roman" w:cs="Calibri"/>
                <w:color w:val="000000"/>
                <w:sz w:val="20"/>
                <w:szCs w:val="20"/>
                <w:lang w:eastAsia="en-US"/>
              </w:rPr>
            </w:pPr>
          </w:p>
        </w:tc>
        <w:tc>
          <w:tcPr>
            <w:tcW w:w="1223"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5FBE3110" w14:textId="77777777">
            <w:pPr>
              <w:autoSpaceDE/>
              <w:autoSpaceDN/>
              <w:rPr>
                <w:rFonts w:ascii="Calibri" w:hAnsi="Calibri" w:eastAsia="Times New Roman" w:cs="Calibri"/>
                <w:color w:val="000000"/>
                <w:sz w:val="20"/>
                <w:szCs w:val="20"/>
                <w:lang w:eastAsia="en-US"/>
              </w:rPr>
            </w:pPr>
          </w:p>
        </w:tc>
        <w:tc>
          <w:tcPr>
            <w:tcW w:w="108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1E6D138C"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5993A871" w14:textId="77777777">
            <w:pPr>
              <w:autoSpaceDE/>
              <w:autoSpaceDN/>
              <w:rPr>
                <w:rFonts w:ascii="Calibri" w:hAnsi="Calibri" w:eastAsia="Times New Roman" w:cs="Calibri"/>
                <w:color w:val="000000"/>
                <w:sz w:val="20"/>
                <w:szCs w:val="20"/>
                <w:lang w:eastAsia="en-US"/>
              </w:rPr>
            </w:pPr>
          </w:p>
        </w:tc>
        <w:tc>
          <w:tcPr>
            <w:tcW w:w="937"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10B1D4F0" w14:textId="77777777">
            <w:pPr>
              <w:autoSpaceDE/>
              <w:autoSpaceDN/>
              <w:rPr>
                <w:rFonts w:ascii="Calibri" w:hAnsi="Calibri" w:eastAsia="Times New Roman" w:cs="Calibri"/>
                <w:color w:val="000000"/>
                <w:sz w:val="20"/>
                <w:szCs w:val="20"/>
                <w:lang w:eastAsia="en-US"/>
              </w:rPr>
            </w:pPr>
          </w:p>
        </w:tc>
        <w:tc>
          <w:tcPr>
            <w:tcW w:w="1607"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8078A1" w:rsidRDefault="00AE701A" w14:paraId="1142C585" w14:textId="77777777">
            <w:pPr>
              <w:autoSpaceDE/>
              <w:autoSpaceDN/>
              <w:jc w:val="center"/>
              <w:rPr>
                <w:rFonts w:ascii="Calibri" w:hAnsi="Calibri" w:eastAsia="Times New Roman" w:cs="Calibri"/>
                <w:color w:val="000000"/>
                <w:sz w:val="20"/>
                <w:szCs w:val="20"/>
                <w:lang w:eastAsia="en-US"/>
              </w:rPr>
            </w:pPr>
          </w:p>
        </w:tc>
        <w:tc>
          <w:tcPr>
            <w:tcW w:w="11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8078A1" w:rsidRDefault="00AE701A" w14:paraId="49A039FC" w14:textId="77777777">
            <w:pPr>
              <w:autoSpaceDE/>
              <w:autoSpaceDN/>
              <w:jc w:val="center"/>
              <w:rPr>
                <w:rFonts w:ascii="Calibri" w:hAnsi="Calibri" w:eastAsia="Times New Roman" w:cs="Calibri"/>
                <w:color w:val="000000"/>
                <w:sz w:val="20"/>
                <w:szCs w:val="20"/>
                <w:lang w:eastAsia="en-US"/>
              </w:rPr>
            </w:pPr>
          </w:p>
        </w:tc>
      </w:tr>
      <w:tr w:rsidRPr="00AE701A" w:rsidR="00FD5B56" w:rsidTr="00313268" w14:paraId="5742C10B" w14:textId="77777777">
        <w:trPr>
          <w:trHeight w:val="29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20F902C4" w14:textId="77777777">
            <w:pPr>
              <w:autoSpaceDE/>
              <w:autoSpaceDN/>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Pre-Shift Health Screening</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B1E6C" w:rsidR="00AE701A" w:rsidP="00AE701A" w:rsidRDefault="00AE701A" w14:paraId="0BEBE509"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6-month</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7B4BA7" w:rsidR="00AE701A" w:rsidP="00AE701A" w:rsidRDefault="00AE701A" w14:paraId="73BE36D9" w14:textId="77777777">
            <w:pPr>
              <w:autoSpaceDE/>
              <w:autoSpaceDN/>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Employee</w:t>
            </w:r>
          </w:p>
        </w:tc>
        <w:tc>
          <w:tcPr>
            <w:tcW w:w="1404"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3340D7" w:rsidR="00AE701A" w:rsidP="00AE701A" w:rsidRDefault="00AE701A" w14:paraId="634B25F4" w14:textId="77777777">
            <w:pPr>
              <w:autoSpaceDE/>
              <w:autoSpaceDN/>
              <w:rPr>
                <w:rFonts w:ascii="Calibri" w:hAnsi="Calibri" w:eastAsia="Times New Roman" w:cs="Calibri"/>
                <w:color w:val="000000"/>
                <w:sz w:val="20"/>
                <w:szCs w:val="20"/>
                <w:lang w:eastAsia="en-US"/>
              </w:rPr>
            </w:pPr>
            <w:r w:rsidRPr="003340D7">
              <w:rPr>
                <w:rFonts w:ascii="Calibri" w:hAnsi="Calibri" w:eastAsia="Times New Roman" w:cs="Calibri"/>
                <w:color w:val="000000"/>
                <w:sz w:val="20"/>
                <w:szCs w:val="20"/>
                <w:lang w:eastAsia="en-US"/>
              </w:rPr>
              <w:t>General Worker</w:t>
            </w:r>
          </w:p>
        </w:tc>
        <w:tc>
          <w:tcPr>
            <w:tcW w:w="117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D0186" w:rsidR="00AE701A" w:rsidP="00AE701A" w:rsidRDefault="0055074B" w14:paraId="54FBFD0C" w14:textId="7524DE8C">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1,114,310</w:t>
            </w:r>
          </w:p>
        </w:tc>
        <w:tc>
          <w:tcPr>
            <w:tcW w:w="1223"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6227956A"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50%</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239BFE78"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0.504</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55074B" w14:paraId="327DF7D8" w14:textId="57882668">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280,806.12</w:t>
            </w:r>
          </w:p>
        </w:tc>
        <w:tc>
          <w:tcPr>
            <w:tcW w:w="937" w:type="dxa"/>
            <w:vMerge w:val="restart"/>
            <w:tcBorders>
              <w:top w:val="single" w:color="auto" w:sz="4" w:space="0"/>
              <w:left w:val="single" w:color="auto" w:sz="4" w:space="0"/>
              <w:bottom w:val="single" w:color="auto" w:sz="4" w:space="0"/>
              <w:right w:val="single" w:color="auto" w:sz="4" w:space="0"/>
            </w:tcBorders>
            <w:shd w:val="clear" w:color="000000" w:fill="FFFFFF"/>
            <w:vAlign w:val="center"/>
            <w:hideMark/>
          </w:tcPr>
          <w:p w:rsidRPr="00252CD2" w:rsidR="00AE701A" w:rsidP="00AE701A" w:rsidRDefault="00AE701A" w14:paraId="2599E06E"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$35.60 </w:t>
            </w:r>
          </w:p>
        </w:tc>
        <w:tc>
          <w:tcPr>
            <w:tcW w:w="160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7C18AC" w:rsidRDefault="00173263" w14:paraId="1B438FF7" w14:textId="4746E62B">
            <w:pPr>
              <w:autoSpaceDE/>
              <w:autoSpaceDN/>
              <w:jc w:val="center"/>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w:t>
            </w:r>
            <w:r w:rsidR="0055074B">
              <w:rPr>
                <w:rFonts w:ascii="Calibri" w:hAnsi="Calibri" w:eastAsia="Times New Roman" w:cs="Calibri"/>
                <w:color w:val="000000"/>
                <w:sz w:val="20"/>
                <w:szCs w:val="20"/>
                <w:lang w:eastAsia="en-US"/>
              </w:rPr>
              <w:t>9,996,697.87</w:t>
            </w:r>
            <w:r w:rsidRPr="00252CD2" w:rsidR="00AE701A">
              <w:rPr>
                <w:rFonts w:ascii="Calibri" w:hAnsi="Calibri" w:eastAsia="Times New Roman" w:cs="Calibri"/>
                <w:color w:val="000000"/>
                <w:sz w:val="20"/>
                <w:szCs w:val="20"/>
                <w:lang w:eastAsia="en-US"/>
              </w:rPr>
              <w:t xml:space="preserve"> </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930088" w:rsidR="00AE701A" w:rsidP="007C18AC" w:rsidRDefault="002E088D" w14:paraId="09F6AC75" w14:textId="3A5BA870">
            <w:pPr>
              <w:autoSpaceDE/>
              <w:autoSpaceDN/>
              <w:jc w:val="center"/>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557,155</w:t>
            </w:r>
          </w:p>
        </w:tc>
      </w:tr>
      <w:tr w:rsidRPr="00AE701A" w:rsidR="00FD5B56" w:rsidTr="00313268" w14:paraId="4104EE8A" w14:textId="77777777">
        <w:trPr>
          <w:trHeight w:val="53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36F4BA35" w14:textId="77777777">
            <w:pPr>
              <w:autoSpaceDE/>
              <w:autoSpaceDN/>
              <w:jc w:val="right"/>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 xml:space="preserve">          Very Small  Establishments</w:t>
            </w:r>
          </w:p>
        </w:tc>
        <w:tc>
          <w:tcPr>
            <w:tcW w:w="126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65985CB7"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2129D40A" w14:textId="77777777">
            <w:pPr>
              <w:autoSpaceDE/>
              <w:autoSpaceDN/>
              <w:rPr>
                <w:rFonts w:ascii="Calibri" w:hAnsi="Calibri" w:eastAsia="Times New Roman" w:cs="Calibri"/>
                <w:color w:val="000000"/>
                <w:sz w:val="20"/>
                <w:szCs w:val="20"/>
                <w:lang w:eastAsia="en-US"/>
              </w:rPr>
            </w:pPr>
          </w:p>
        </w:tc>
        <w:tc>
          <w:tcPr>
            <w:tcW w:w="1404"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5CB84B43" w14:textId="77777777">
            <w:pPr>
              <w:autoSpaceDE/>
              <w:autoSpaceDN/>
              <w:rPr>
                <w:rFonts w:ascii="Calibri" w:hAnsi="Calibri" w:eastAsia="Times New Roman" w:cs="Calibri"/>
                <w:color w:val="000000"/>
                <w:sz w:val="20"/>
                <w:szCs w:val="20"/>
                <w:lang w:eastAsia="en-US"/>
              </w:rPr>
            </w:pPr>
          </w:p>
        </w:tc>
        <w:tc>
          <w:tcPr>
            <w:tcW w:w="117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252C3C0F" w14:textId="77777777">
            <w:pPr>
              <w:autoSpaceDE/>
              <w:autoSpaceDN/>
              <w:rPr>
                <w:rFonts w:ascii="Calibri" w:hAnsi="Calibri" w:eastAsia="Times New Roman" w:cs="Calibri"/>
                <w:color w:val="000000"/>
                <w:sz w:val="20"/>
                <w:szCs w:val="20"/>
                <w:lang w:eastAsia="en-US"/>
              </w:rPr>
            </w:pPr>
          </w:p>
        </w:tc>
        <w:tc>
          <w:tcPr>
            <w:tcW w:w="1223"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2D08C273" w14:textId="77777777">
            <w:pPr>
              <w:autoSpaceDE/>
              <w:autoSpaceDN/>
              <w:rPr>
                <w:rFonts w:ascii="Calibri" w:hAnsi="Calibri" w:eastAsia="Times New Roman" w:cs="Calibri"/>
                <w:color w:val="000000"/>
                <w:sz w:val="20"/>
                <w:szCs w:val="20"/>
                <w:lang w:eastAsia="en-US"/>
              </w:rPr>
            </w:pPr>
          </w:p>
        </w:tc>
        <w:tc>
          <w:tcPr>
            <w:tcW w:w="108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441875B1"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7967DED0" w14:textId="77777777">
            <w:pPr>
              <w:autoSpaceDE/>
              <w:autoSpaceDN/>
              <w:rPr>
                <w:rFonts w:ascii="Calibri" w:hAnsi="Calibri" w:eastAsia="Times New Roman" w:cs="Calibri"/>
                <w:color w:val="000000"/>
                <w:sz w:val="20"/>
                <w:szCs w:val="20"/>
                <w:lang w:eastAsia="en-US"/>
              </w:rPr>
            </w:pPr>
          </w:p>
        </w:tc>
        <w:tc>
          <w:tcPr>
            <w:tcW w:w="937"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20DBD7C3" w14:textId="77777777">
            <w:pPr>
              <w:autoSpaceDE/>
              <w:autoSpaceDN/>
              <w:rPr>
                <w:rFonts w:ascii="Calibri" w:hAnsi="Calibri" w:eastAsia="Times New Roman" w:cs="Calibri"/>
                <w:color w:val="000000"/>
                <w:sz w:val="20"/>
                <w:szCs w:val="20"/>
                <w:lang w:eastAsia="en-US"/>
              </w:rPr>
            </w:pPr>
          </w:p>
        </w:tc>
        <w:tc>
          <w:tcPr>
            <w:tcW w:w="1607"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8078A1" w:rsidRDefault="00AE701A" w14:paraId="2CF1139B" w14:textId="77777777">
            <w:pPr>
              <w:autoSpaceDE/>
              <w:autoSpaceDN/>
              <w:jc w:val="center"/>
              <w:rPr>
                <w:rFonts w:ascii="Calibri" w:hAnsi="Calibri" w:eastAsia="Times New Roman" w:cs="Calibri"/>
                <w:color w:val="000000"/>
                <w:sz w:val="20"/>
                <w:szCs w:val="20"/>
                <w:lang w:eastAsia="en-US"/>
              </w:rPr>
            </w:pPr>
          </w:p>
        </w:tc>
        <w:tc>
          <w:tcPr>
            <w:tcW w:w="11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8078A1" w:rsidRDefault="00AE701A" w14:paraId="3789EAE4" w14:textId="77777777">
            <w:pPr>
              <w:autoSpaceDE/>
              <w:autoSpaceDN/>
              <w:jc w:val="center"/>
              <w:rPr>
                <w:rFonts w:ascii="Calibri" w:hAnsi="Calibri" w:eastAsia="Times New Roman" w:cs="Calibri"/>
                <w:color w:val="000000"/>
                <w:sz w:val="20"/>
                <w:szCs w:val="20"/>
                <w:lang w:eastAsia="en-US"/>
              </w:rPr>
            </w:pPr>
          </w:p>
        </w:tc>
      </w:tr>
      <w:tr w:rsidRPr="00AE701A" w:rsidR="00FD5B56" w:rsidTr="00313268" w14:paraId="231E196F" w14:textId="77777777">
        <w:trPr>
          <w:trHeight w:val="300"/>
        </w:trPr>
        <w:tc>
          <w:tcPr>
            <w:tcW w:w="162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520C25" w:rsidR="00AE701A" w:rsidP="00AE701A" w:rsidRDefault="00AE701A" w14:paraId="7540096F" w14:textId="77777777">
            <w:pPr>
              <w:autoSpaceDE/>
              <w:autoSpaceDN/>
              <w:rPr>
                <w:rFonts w:ascii="Calibri" w:hAnsi="Calibri" w:eastAsia="Times New Roman" w:cs="Calibri"/>
                <w:b/>
                <w:bCs/>
                <w:color w:val="000000"/>
                <w:sz w:val="20"/>
                <w:szCs w:val="20"/>
                <w:lang w:eastAsia="en-US"/>
              </w:rPr>
            </w:pPr>
            <w:r w:rsidRPr="00520C25">
              <w:rPr>
                <w:rFonts w:ascii="Calibri" w:hAnsi="Calibri" w:eastAsia="Times New Roman" w:cs="Calibri"/>
                <w:b/>
                <w:bCs/>
                <w:color w:val="000000"/>
                <w:sz w:val="20"/>
                <w:szCs w:val="20"/>
                <w:lang w:eastAsia="en-US"/>
              </w:rPr>
              <w:t>b. Notification to Employer</w:t>
            </w:r>
          </w:p>
        </w:tc>
        <w:tc>
          <w:tcPr>
            <w:tcW w:w="126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AB1E6C" w:rsidR="00AE701A" w:rsidP="00AE701A" w:rsidRDefault="00AE701A" w14:paraId="34B6D758"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 </w:t>
            </w:r>
          </w:p>
        </w:tc>
        <w:tc>
          <w:tcPr>
            <w:tcW w:w="144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7B4BA7" w:rsidR="00AE701A" w:rsidP="00AE701A" w:rsidRDefault="00AE701A" w14:paraId="657013B9" w14:textId="77777777">
            <w:pPr>
              <w:autoSpaceDE/>
              <w:autoSpaceDN/>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 </w:t>
            </w:r>
          </w:p>
        </w:tc>
        <w:tc>
          <w:tcPr>
            <w:tcW w:w="1404"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3340D7" w:rsidR="00AE701A" w:rsidP="00AE701A" w:rsidRDefault="00AE701A" w14:paraId="17B1885C" w14:textId="77777777">
            <w:pPr>
              <w:autoSpaceDE/>
              <w:autoSpaceDN/>
              <w:rPr>
                <w:rFonts w:ascii="Calibri" w:hAnsi="Calibri" w:eastAsia="Times New Roman" w:cs="Calibri"/>
                <w:color w:val="000000"/>
                <w:sz w:val="20"/>
                <w:szCs w:val="20"/>
                <w:lang w:eastAsia="en-US"/>
              </w:rPr>
            </w:pPr>
            <w:r w:rsidRPr="003340D7">
              <w:rPr>
                <w:rFonts w:ascii="Calibri" w:hAnsi="Calibri" w:eastAsia="Times New Roman" w:cs="Calibri"/>
                <w:color w:val="000000"/>
                <w:sz w:val="20"/>
                <w:szCs w:val="20"/>
                <w:lang w:eastAsia="en-US"/>
              </w:rPr>
              <w:t> </w:t>
            </w:r>
          </w:p>
        </w:tc>
        <w:tc>
          <w:tcPr>
            <w:tcW w:w="117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1D0186" w:rsidR="00AE701A" w:rsidP="00AE701A" w:rsidRDefault="00AE701A" w14:paraId="10C8F755" w14:textId="77777777">
            <w:pPr>
              <w:autoSpaceDE/>
              <w:autoSpaceDN/>
              <w:jc w:val="right"/>
              <w:rPr>
                <w:rFonts w:ascii="Calibri" w:hAnsi="Calibri" w:eastAsia="Times New Roman" w:cs="Calibri"/>
                <w:color w:val="000000"/>
                <w:sz w:val="20"/>
                <w:szCs w:val="20"/>
                <w:lang w:eastAsia="en-US"/>
              </w:rPr>
            </w:pPr>
            <w:r w:rsidRPr="001D0186">
              <w:rPr>
                <w:rFonts w:ascii="Calibri" w:hAnsi="Calibri" w:eastAsia="Times New Roman" w:cs="Calibri"/>
                <w:color w:val="000000"/>
                <w:sz w:val="20"/>
                <w:szCs w:val="20"/>
                <w:lang w:eastAsia="en-US"/>
              </w:rPr>
              <w:t> </w:t>
            </w:r>
          </w:p>
        </w:tc>
        <w:tc>
          <w:tcPr>
            <w:tcW w:w="1223"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252CD2" w:rsidR="00AE701A" w:rsidP="00AE701A" w:rsidRDefault="00AE701A" w14:paraId="08C53D6B"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w:t>
            </w:r>
          </w:p>
        </w:tc>
        <w:tc>
          <w:tcPr>
            <w:tcW w:w="108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252CD2" w:rsidR="00AE701A" w:rsidP="00AE701A" w:rsidRDefault="00AE701A" w14:paraId="11D1D491"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w:t>
            </w:r>
          </w:p>
        </w:tc>
        <w:tc>
          <w:tcPr>
            <w:tcW w:w="144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252CD2" w:rsidR="00AE701A" w:rsidP="00AE701A" w:rsidRDefault="00AE701A" w14:paraId="39D475F9"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w:t>
            </w:r>
          </w:p>
        </w:tc>
        <w:tc>
          <w:tcPr>
            <w:tcW w:w="937"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252CD2" w:rsidR="00AE701A" w:rsidP="00AE701A" w:rsidRDefault="00AE701A" w14:paraId="26BEAD3F"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w:t>
            </w:r>
          </w:p>
        </w:tc>
        <w:tc>
          <w:tcPr>
            <w:tcW w:w="1607"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252CD2" w:rsidR="00AE701A" w:rsidP="008078A1" w:rsidRDefault="00AE701A" w14:paraId="7C0910EA" w14:textId="7173DEC8">
            <w:pPr>
              <w:autoSpaceDE/>
              <w:autoSpaceDN/>
              <w:jc w:val="center"/>
              <w:rPr>
                <w:rFonts w:ascii="Calibri" w:hAnsi="Calibri" w:eastAsia="Times New Roman" w:cs="Calibri"/>
                <w:color w:val="000000"/>
                <w:sz w:val="20"/>
                <w:szCs w:val="20"/>
                <w:lang w:eastAsia="en-US"/>
              </w:rPr>
            </w:pPr>
          </w:p>
        </w:tc>
        <w:tc>
          <w:tcPr>
            <w:tcW w:w="114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252CD2" w:rsidR="00AE701A" w:rsidP="008078A1" w:rsidRDefault="00AE701A" w14:paraId="02DAE8B5" w14:textId="0536926D">
            <w:pPr>
              <w:autoSpaceDE/>
              <w:autoSpaceDN/>
              <w:jc w:val="center"/>
              <w:rPr>
                <w:rFonts w:ascii="Calibri" w:hAnsi="Calibri" w:eastAsia="Times New Roman" w:cs="Calibri"/>
                <w:color w:val="000000"/>
                <w:sz w:val="20"/>
                <w:szCs w:val="20"/>
                <w:lang w:eastAsia="en-US"/>
              </w:rPr>
            </w:pPr>
          </w:p>
        </w:tc>
      </w:tr>
      <w:tr w:rsidRPr="00AE701A" w:rsidR="00FD5B56" w:rsidTr="00313268" w14:paraId="019D1132" w14:textId="77777777">
        <w:trPr>
          <w:trHeight w:val="29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54C27B36" w14:textId="77777777">
            <w:pPr>
              <w:autoSpaceDE/>
              <w:autoSpaceDN/>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Notification to Employer</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B1E6C" w:rsidR="00AE701A" w:rsidP="00AE701A" w:rsidRDefault="00AE701A" w14:paraId="43FDA6D3"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6-month</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7B4BA7" w:rsidR="00AE701A" w:rsidP="00AE701A" w:rsidRDefault="00AE701A" w14:paraId="74F5CF2E" w14:textId="77777777">
            <w:pPr>
              <w:autoSpaceDE/>
              <w:autoSpaceDN/>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 xml:space="preserve">Manager </w:t>
            </w:r>
          </w:p>
        </w:tc>
        <w:tc>
          <w:tcPr>
            <w:tcW w:w="1404"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3340D7" w:rsidR="00AE701A" w:rsidP="00AE701A" w:rsidRDefault="00AE701A" w14:paraId="151A1272" w14:textId="77777777">
            <w:pPr>
              <w:autoSpaceDE/>
              <w:autoSpaceDN/>
              <w:rPr>
                <w:rFonts w:ascii="Calibri" w:hAnsi="Calibri" w:eastAsia="Times New Roman" w:cs="Calibri"/>
                <w:color w:val="000000"/>
                <w:sz w:val="20"/>
                <w:szCs w:val="20"/>
                <w:lang w:eastAsia="en-US"/>
              </w:rPr>
            </w:pPr>
            <w:r w:rsidRPr="003340D7">
              <w:rPr>
                <w:rFonts w:ascii="Calibri" w:hAnsi="Calibri" w:eastAsia="Times New Roman" w:cs="Calibri"/>
                <w:color w:val="000000"/>
                <w:sz w:val="20"/>
                <w:szCs w:val="20"/>
                <w:lang w:eastAsia="en-US"/>
              </w:rPr>
              <w:t>GO Manager</w:t>
            </w:r>
          </w:p>
        </w:tc>
        <w:tc>
          <w:tcPr>
            <w:tcW w:w="117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D0186" w:rsidR="00AE701A" w:rsidP="00AE701A" w:rsidRDefault="00080D85" w14:paraId="24426746" w14:textId="1D76E6EE">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18,815</w:t>
            </w:r>
          </w:p>
        </w:tc>
        <w:tc>
          <w:tcPr>
            <w:tcW w:w="1223"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2280A353"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25%</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D6546F" w:rsidRDefault="00AE701A" w14:paraId="3C067827" w14:textId="0740B71F">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0.0</w:t>
            </w:r>
            <w:r w:rsidR="00D6546F">
              <w:rPr>
                <w:rFonts w:ascii="Calibri" w:hAnsi="Calibri" w:eastAsia="Times New Roman" w:cs="Calibri"/>
                <w:color w:val="000000"/>
                <w:sz w:val="20"/>
                <w:szCs w:val="20"/>
                <w:lang w:eastAsia="en-US"/>
              </w:rPr>
              <w:t>8</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406D90" w14:paraId="5F3C3134" w14:textId="11085DCA">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376.30</w:t>
            </w:r>
          </w:p>
        </w:tc>
        <w:tc>
          <w:tcPr>
            <w:tcW w:w="937" w:type="dxa"/>
            <w:vMerge w:val="restart"/>
            <w:tcBorders>
              <w:top w:val="single" w:color="auto" w:sz="4" w:space="0"/>
              <w:left w:val="single" w:color="auto" w:sz="4" w:space="0"/>
              <w:bottom w:val="single" w:color="auto" w:sz="4" w:space="0"/>
              <w:right w:val="single" w:color="auto" w:sz="4" w:space="0"/>
            </w:tcBorders>
            <w:shd w:val="clear" w:color="000000" w:fill="FFFFFF"/>
            <w:vAlign w:val="center"/>
            <w:hideMark/>
          </w:tcPr>
          <w:p w:rsidRPr="00252CD2" w:rsidR="00AE701A" w:rsidP="00AE701A" w:rsidRDefault="00AE701A" w14:paraId="23388B35"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$88.16 </w:t>
            </w:r>
          </w:p>
        </w:tc>
        <w:tc>
          <w:tcPr>
            <w:tcW w:w="160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8078A1" w:rsidRDefault="00173263" w14:paraId="4B4138A2" w14:textId="3E37E711">
            <w:pPr>
              <w:autoSpaceDE/>
              <w:autoSpaceDN/>
              <w:jc w:val="center"/>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w:t>
            </w:r>
            <w:r w:rsidR="00406D90">
              <w:rPr>
                <w:rFonts w:ascii="Calibri" w:hAnsi="Calibri" w:eastAsia="Times New Roman" w:cs="Calibri"/>
                <w:color w:val="000000"/>
                <w:sz w:val="20"/>
                <w:szCs w:val="20"/>
                <w:lang w:eastAsia="en-US"/>
              </w:rPr>
              <w:t>33,175.03</w:t>
            </w:r>
            <w:r w:rsidRPr="00252CD2" w:rsidR="00AE701A">
              <w:rPr>
                <w:rFonts w:ascii="Calibri" w:hAnsi="Calibri" w:eastAsia="Times New Roman" w:cs="Calibri"/>
                <w:color w:val="000000"/>
                <w:sz w:val="20"/>
                <w:szCs w:val="20"/>
                <w:lang w:eastAsia="en-US"/>
              </w:rPr>
              <w:t xml:space="preserve"> </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7C18AC" w:rsidRDefault="007C18AC" w14:paraId="20268A87" w14:textId="112B5FB6">
            <w:pPr>
              <w:autoSpaceDE/>
              <w:autoSpaceDN/>
              <w:jc w:val="center"/>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4,704</w:t>
            </w:r>
          </w:p>
        </w:tc>
      </w:tr>
      <w:tr w:rsidRPr="00AE701A" w:rsidR="00FD5B56" w:rsidTr="00313268" w14:paraId="526A53BA" w14:textId="77777777">
        <w:trPr>
          <w:trHeight w:val="30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01A96ED4" w14:textId="77777777">
            <w:pPr>
              <w:autoSpaceDE/>
              <w:autoSpaceDN/>
              <w:jc w:val="right"/>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Large Establishments</w:t>
            </w:r>
          </w:p>
        </w:tc>
        <w:tc>
          <w:tcPr>
            <w:tcW w:w="126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5C0D6F51"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0A745387" w14:textId="77777777">
            <w:pPr>
              <w:autoSpaceDE/>
              <w:autoSpaceDN/>
              <w:rPr>
                <w:rFonts w:ascii="Calibri" w:hAnsi="Calibri" w:eastAsia="Times New Roman" w:cs="Calibri"/>
                <w:color w:val="000000"/>
                <w:sz w:val="20"/>
                <w:szCs w:val="20"/>
                <w:lang w:eastAsia="en-US"/>
              </w:rPr>
            </w:pPr>
          </w:p>
        </w:tc>
        <w:tc>
          <w:tcPr>
            <w:tcW w:w="1404"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2BB505C9" w14:textId="77777777">
            <w:pPr>
              <w:autoSpaceDE/>
              <w:autoSpaceDN/>
              <w:rPr>
                <w:rFonts w:ascii="Calibri" w:hAnsi="Calibri" w:eastAsia="Times New Roman" w:cs="Calibri"/>
                <w:color w:val="000000"/>
                <w:sz w:val="20"/>
                <w:szCs w:val="20"/>
                <w:lang w:eastAsia="en-US"/>
              </w:rPr>
            </w:pPr>
          </w:p>
        </w:tc>
        <w:tc>
          <w:tcPr>
            <w:tcW w:w="117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5AABBC25" w14:textId="77777777">
            <w:pPr>
              <w:autoSpaceDE/>
              <w:autoSpaceDN/>
              <w:rPr>
                <w:rFonts w:ascii="Calibri" w:hAnsi="Calibri" w:eastAsia="Times New Roman" w:cs="Calibri"/>
                <w:color w:val="000000"/>
                <w:sz w:val="20"/>
                <w:szCs w:val="20"/>
                <w:lang w:eastAsia="en-US"/>
              </w:rPr>
            </w:pPr>
          </w:p>
        </w:tc>
        <w:tc>
          <w:tcPr>
            <w:tcW w:w="1223"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095DC644" w14:textId="77777777">
            <w:pPr>
              <w:autoSpaceDE/>
              <w:autoSpaceDN/>
              <w:rPr>
                <w:rFonts w:ascii="Calibri" w:hAnsi="Calibri" w:eastAsia="Times New Roman" w:cs="Calibri"/>
                <w:color w:val="000000"/>
                <w:sz w:val="20"/>
                <w:szCs w:val="20"/>
                <w:lang w:eastAsia="en-US"/>
              </w:rPr>
            </w:pPr>
          </w:p>
        </w:tc>
        <w:tc>
          <w:tcPr>
            <w:tcW w:w="108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6D8BC49D"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2602B7CB" w14:textId="77777777">
            <w:pPr>
              <w:autoSpaceDE/>
              <w:autoSpaceDN/>
              <w:rPr>
                <w:rFonts w:ascii="Calibri" w:hAnsi="Calibri" w:eastAsia="Times New Roman" w:cs="Calibri"/>
                <w:color w:val="000000"/>
                <w:sz w:val="20"/>
                <w:szCs w:val="20"/>
                <w:lang w:eastAsia="en-US"/>
              </w:rPr>
            </w:pPr>
          </w:p>
        </w:tc>
        <w:tc>
          <w:tcPr>
            <w:tcW w:w="937"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5151AADB" w14:textId="77777777">
            <w:pPr>
              <w:autoSpaceDE/>
              <w:autoSpaceDN/>
              <w:rPr>
                <w:rFonts w:ascii="Calibri" w:hAnsi="Calibri" w:eastAsia="Times New Roman" w:cs="Calibri"/>
                <w:color w:val="000000"/>
                <w:sz w:val="20"/>
                <w:szCs w:val="20"/>
                <w:lang w:eastAsia="en-US"/>
              </w:rPr>
            </w:pPr>
          </w:p>
        </w:tc>
        <w:tc>
          <w:tcPr>
            <w:tcW w:w="1607"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8078A1" w:rsidRDefault="00AE701A" w14:paraId="451471AB" w14:textId="77777777">
            <w:pPr>
              <w:autoSpaceDE/>
              <w:autoSpaceDN/>
              <w:jc w:val="center"/>
              <w:rPr>
                <w:rFonts w:ascii="Calibri" w:hAnsi="Calibri" w:eastAsia="Times New Roman" w:cs="Calibri"/>
                <w:color w:val="000000"/>
                <w:sz w:val="20"/>
                <w:szCs w:val="20"/>
                <w:lang w:eastAsia="en-US"/>
              </w:rPr>
            </w:pPr>
          </w:p>
        </w:tc>
        <w:tc>
          <w:tcPr>
            <w:tcW w:w="11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8078A1" w:rsidRDefault="00AE701A" w14:paraId="3C598C5B" w14:textId="77777777">
            <w:pPr>
              <w:autoSpaceDE/>
              <w:autoSpaceDN/>
              <w:jc w:val="center"/>
              <w:rPr>
                <w:rFonts w:ascii="Calibri" w:hAnsi="Calibri" w:eastAsia="Times New Roman" w:cs="Calibri"/>
                <w:color w:val="000000"/>
                <w:sz w:val="20"/>
                <w:szCs w:val="20"/>
                <w:lang w:eastAsia="en-US"/>
              </w:rPr>
            </w:pPr>
          </w:p>
        </w:tc>
      </w:tr>
      <w:tr w:rsidRPr="00AE701A" w:rsidR="00FD5B56" w:rsidTr="00313268" w14:paraId="09717059" w14:textId="77777777">
        <w:trPr>
          <w:trHeight w:val="29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541AEA26" w14:textId="77777777">
            <w:pPr>
              <w:autoSpaceDE/>
              <w:autoSpaceDN/>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Notification to Employer</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B1E6C" w:rsidR="00AE701A" w:rsidP="00AE701A" w:rsidRDefault="00AE701A" w14:paraId="27959D01"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6-month</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7B4BA7" w:rsidR="00AE701A" w:rsidP="00AE701A" w:rsidRDefault="00AE701A" w14:paraId="31B50A1A" w14:textId="77777777">
            <w:pPr>
              <w:autoSpaceDE/>
              <w:autoSpaceDN/>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 xml:space="preserve">Manager </w:t>
            </w:r>
          </w:p>
        </w:tc>
        <w:tc>
          <w:tcPr>
            <w:tcW w:w="1404"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3340D7" w:rsidR="00AE701A" w:rsidP="00AE701A" w:rsidRDefault="00AE701A" w14:paraId="09516004" w14:textId="77777777">
            <w:pPr>
              <w:autoSpaceDE/>
              <w:autoSpaceDN/>
              <w:rPr>
                <w:rFonts w:ascii="Calibri" w:hAnsi="Calibri" w:eastAsia="Times New Roman" w:cs="Calibri"/>
                <w:color w:val="000000"/>
                <w:sz w:val="20"/>
                <w:szCs w:val="20"/>
                <w:lang w:eastAsia="en-US"/>
              </w:rPr>
            </w:pPr>
            <w:r w:rsidRPr="003340D7">
              <w:rPr>
                <w:rFonts w:ascii="Calibri" w:hAnsi="Calibri" w:eastAsia="Times New Roman" w:cs="Calibri"/>
                <w:color w:val="000000"/>
                <w:sz w:val="20"/>
                <w:szCs w:val="20"/>
                <w:lang w:eastAsia="en-US"/>
              </w:rPr>
              <w:t>GO Manager</w:t>
            </w:r>
          </w:p>
        </w:tc>
        <w:tc>
          <w:tcPr>
            <w:tcW w:w="117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D0186" w:rsidR="00AE701A" w:rsidP="00AE701A" w:rsidRDefault="00406D90" w14:paraId="11DD2165" w14:textId="43CCDC5E">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33,056</w:t>
            </w:r>
          </w:p>
        </w:tc>
        <w:tc>
          <w:tcPr>
            <w:tcW w:w="1223"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6B56CC0C"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25%</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8276F4" w:rsidRDefault="00AE701A" w14:paraId="7BDED693" w14:textId="7674BFD6">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0.0</w:t>
            </w:r>
            <w:r w:rsidR="008276F4">
              <w:rPr>
                <w:rFonts w:ascii="Calibri" w:hAnsi="Calibri" w:eastAsia="Times New Roman" w:cs="Calibri"/>
                <w:color w:val="000000"/>
                <w:sz w:val="20"/>
                <w:szCs w:val="20"/>
                <w:lang w:eastAsia="en-US"/>
              </w:rPr>
              <w:t>8</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406D90" w14:paraId="2EDACD19" w14:textId="30431BBF">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661.12</w:t>
            </w:r>
          </w:p>
        </w:tc>
        <w:tc>
          <w:tcPr>
            <w:tcW w:w="937" w:type="dxa"/>
            <w:vMerge w:val="restart"/>
            <w:tcBorders>
              <w:top w:val="single" w:color="auto" w:sz="4" w:space="0"/>
              <w:left w:val="single" w:color="auto" w:sz="4" w:space="0"/>
              <w:bottom w:val="single" w:color="auto" w:sz="4" w:space="0"/>
              <w:right w:val="single" w:color="auto" w:sz="4" w:space="0"/>
            </w:tcBorders>
            <w:shd w:val="clear" w:color="000000" w:fill="FFFFFF"/>
            <w:vAlign w:val="center"/>
            <w:hideMark/>
          </w:tcPr>
          <w:p w:rsidRPr="00252CD2" w:rsidR="00AE701A" w:rsidP="00AE701A" w:rsidRDefault="00AE701A" w14:paraId="1AFB1020"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$88.16 </w:t>
            </w:r>
          </w:p>
        </w:tc>
        <w:tc>
          <w:tcPr>
            <w:tcW w:w="160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8078A1" w:rsidRDefault="00173263" w14:paraId="2CA65F83" w14:textId="5F39A76B">
            <w:pPr>
              <w:autoSpaceDE/>
              <w:autoSpaceDN/>
              <w:jc w:val="center"/>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w:t>
            </w:r>
            <w:r w:rsidR="00406D90">
              <w:rPr>
                <w:rFonts w:ascii="Calibri" w:hAnsi="Calibri" w:eastAsia="Times New Roman" w:cs="Calibri"/>
                <w:color w:val="000000"/>
                <w:sz w:val="20"/>
                <w:szCs w:val="20"/>
                <w:lang w:eastAsia="en-US"/>
              </w:rPr>
              <w:t>58,284.48</w:t>
            </w:r>
            <w:r w:rsidRPr="00252CD2" w:rsidR="00AE701A">
              <w:rPr>
                <w:rFonts w:ascii="Calibri" w:hAnsi="Calibri" w:eastAsia="Times New Roman" w:cs="Calibri"/>
                <w:color w:val="000000"/>
                <w:sz w:val="20"/>
                <w:szCs w:val="20"/>
                <w:lang w:eastAsia="en-US"/>
              </w:rPr>
              <w:t xml:space="preserve"> </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2E088D" w:rsidRDefault="007C18AC" w14:paraId="05AAEDCC" w14:textId="74A73B4A">
            <w:pPr>
              <w:autoSpaceDE/>
              <w:autoSpaceDN/>
              <w:jc w:val="center"/>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8,26</w:t>
            </w:r>
            <w:r w:rsidR="002E088D">
              <w:rPr>
                <w:rFonts w:ascii="Calibri" w:hAnsi="Calibri" w:eastAsia="Times New Roman" w:cs="Calibri"/>
                <w:color w:val="000000"/>
                <w:sz w:val="20"/>
                <w:szCs w:val="20"/>
                <w:lang w:eastAsia="en-US"/>
              </w:rPr>
              <w:t>4</w:t>
            </w:r>
          </w:p>
        </w:tc>
      </w:tr>
      <w:tr w:rsidRPr="00AE701A" w:rsidR="00FD5B56" w:rsidTr="00313268" w14:paraId="5F886C9E" w14:textId="77777777">
        <w:trPr>
          <w:trHeight w:val="53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5FEFB383" w14:textId="77777777">
            <w:pPr>
              <w:autoSpaceDE/>
              <w:autoSpaceDN/>
              <w:jc w:val="right"/>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SBA-Defined Small Establishments</w:t>
            </w:r>
          </w:p>
        </w:tc>
        <w:tc>
          <w:tcPr>
            <w:tcW w:w="126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09C696BD"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22918496" w14:textId="77777777">
            <w:pPr>
              <w:autoSpaceDE/>
              <w:autoSpaceDN/>
              <w:rPr>
                <w:rFonts w:ascii="Calibri" w:hAnsi="Calibri" w:eastAsia="Times New Roman" w:cs="Calibri"/>
                <w:color w:val="000000"/>
                <w:sz w:val="20"/>
                <w:szCs w:val="20"/>
                <w:lang w:eastAsia="en-US"/>
              </w:rPr>
            </w:pPr>
          </w:p>
        </w:tc>
        <w:tc>
          <w:tcPr>
            <w:tcW w:w="1404"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4398439C" w14:textId="77777777">
            <w:pPr>
              <w:autoSpaceDE/>
              <w:autoSpaceDN/>
              <w:rPr>
                <w:rFonts w:ascii="Calibri" w:hAnsi="Calibri" w:eastAsia="Times New Roman" w:cs="Calibri"/>
                <w:color w:val="000000"/>
                <w:sz w:val="20"/>
                <w:szCs w:val="20"/>
                <w:lang w:eastAsia="en-US"/>
              </w:rPr>
            </w:pPr>
          </w:p>
        </w:tc>
        <w:tc>
          <w:tcPr>
            <w:tcW w:w="117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43669EB3" w14:textId="77777777">
            <w:pPr>
              <w:autoSpaceDE/>
              <w:autoSpaceDN/>
              <w:rPr>
                <w:rFonts w:ascii="Calibri" w:hAnsi="Calibri" w:eastAsia="Times New Roman" w:cs="Calibri"/>
                <w:color w:val="000000"/>
                <w:sz w:val="20"/>
                <w:szCs w:val="20"/>
                <w:lang w:eastAsia="en-US"/>
              </w:rPr>
            </w:pPr>
          </w:p>
        </w:tc>
        <w:tc>
          <w:tcPr>
            <w:tcW w:w="1223"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52E30980" w14:textId="77777777">
            <w:pPr>
              <w:autoSpaceDE/>
              <w:autoSpaceDN/>
              <w:rPr>
                <w:rFonts w:ascii="Calibri" w:hAnsi="Calibri" w:eastAsia="Times New Roman" w:cs="Calibri"/>
                <w:color w:val="000000"/>
                <w:sz w:val="20"/>
                <w:szCs w:val="20"/>
                <w:lang w:eastAsia="en-US"/>
              </w:rPr>
            </w:pPr>
          </w:p>
        </w:tc>
        <w:tc>
          <w:tcPr>
            <w:tcW w:w="108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6AF0507C"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204C8ED9" w14:textId="77777777">
            <w:pPr>
              <w:autoSpaceDE/>
              <w:autoSpaceDN/>
              <w:rPr>
                <w:rFonts w:ascii="Calibri" w:hAnsi="Calibri" w:eastAsia="Times New Roman" w:cs="Calibri"/>
                <w:color w:val="000000"/>
                <w:sz w:val="20"/>
                <w:szCs w:val="20"/>
                <w:lang w:eastAsia="en-US"/>
              </w:rPr>
            </w:pPr>
          </w:p>
        </w:tc>
        <w:tc>
          <w:tcPr>
            <w:tcW w:w="937"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3410E097" w14:textId="77777777">
            <w:pPr>
              <w:autoSpaceDE/>
              <w:autoSpaceDN/>
              <w:rPr>
                <w:rFonts w:ascii="Calibri" w:hAnsi="Calibri" w:eastAsia="Times New Roman" w:cs="Calibri"/>
                <w:color w:val="000000"/>
                <w:sz w:val="20"/>
                <w:szCs w:val="20"/>
                <w:lang w:eastAsia="en-US"/>
              </w:rPr>
            </w:pPr>
          </w:p>
        </w:tc>
        <w:tc>
          <w:tcPr>
            <w:tcW w:w="1607"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8078A1" w:rsidRDefault="00AE701A" w14:paraId="0684DED2" w14:textId="77777777">
            <w:pPr>
              <w:autoSpaceDE/>
              <w:autoSpaceDN/>
              <w:jc w:val="center"/>
              <w:rPr>
                <w:rFonts w:ascii="Calibri" w:hAnsi="Calibri" w:eastAsia="Times New Roman" w:cs="Calibri"/>
                <w:color w:val="000000"/>
                <w:sz w:val="20"/>
                <w:szCs w:val="20"/>
                <w:lang w:eastAsia="en-US"/>
              </w:rPr>
            </w:pPr>
          </w:p>
        </w:tc>
        <w:tc>
          <w:tcPr>
            <w:tcW w:w="11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8078A1" w:rsidRDefault="00AE701A" w14:paraId="3264C939" w14:textId="77777777">
            <w:pPr>
              <w:autoSpaceDE/>
              <w:autoSpaceDN/>
              <w:jc w:val="center"/>
              <w:rPr>
                <w:rFonts w:ascii="Calibri" w:hAnsi="Calibri" w:eastAsia="Times New Roman" w:cs="Calibri"/>
                <w:color w:val="000000"/>
                <w:sz w:val="20"/>
                <w:szCs w:val="20"/>
                <w:lang w:eastAsia="en-US"/>
              </w:rPr>
            </w:pPr>
          </w:p>
        </w:tc>
      </w:tr>
      <w:tr w:rsidRPr="00AE701A" w:rsidR="00FD5B56" w:rsidTr="00313268" w14:paraId="4AA10290" w14:textId="77777777">
        <w:trPr>
          <w:trHeight w:val="57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0FBBCC3B" w14:textId="77777777">
            <w:pPr>
              <w:autoSpaceDE/>
              <w:autoSpaceDN/>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Notification to Employer</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B1E6C" w:rsidR="00AE701A" w:rsidP="00AE701A" w:rsidRDefault="00AE701A" w14:paraId="3296BD50"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6-month</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7B4BA7" w:rsidR="00AE701A" w:rsidP="00AE701A" w:rsidRDefault="00AE701A" w14:paraId="5BE983A6" w14:textId="77777777">
            <w:pPr>
              <w:autoSpaceDE/>
              <w:autoSpaceDN/>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 xml:space="preserve">Manager </w:t>
            </w:r>
          </w:p>
        </w:tc>
        <w:tc>
          <w:tcPr>
            <w:tcW w:w="1404"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3340D7" w:rsidR="00AE701A" w:rsidP="00AE701A" w:rsidRDefault="00AE701A" w14:paraId="286C4C20" w14:textId="77777777">
            <w:pPr>
              <w:autoSpaceDE/>
              <w:autoSpaceDN/>
              <w:rPr>
                <w:rFonts w:ascii="Calibri" w:hAnsi="Calibri" w:eastAsia="Times New Roman" w:cs="Calibri"/>
                <w:color w:val="000000"/>
                <w:sz w:val="20"/>
                <w:szCs w:val="20"/>
                <w:lang w:eastAsia="en-US"/>
              </w:rPr>
            </w:pPr>
            <w:r w:rsidRPr="003340D7">
              <w:rPr>
                <w:rFonts w:ascii="Calibri" w:hAnsi="Calibri" w:eastAsia="Times New Roman" w:cs="Calibri"/>
                <w:color w:val="000000"/>
                <w:sz w:val="20"/>
                <w:szCs w:val="20"/>
                <w:lang w:eastAsia="en-US"/>
              </w:rPr>
              <w:t>GO Manager</w:t>
            </w:r>
          </w:p>
        </w:tc>
        <w:tc>
          <w:tcPr>
            <w:tcW w:w="117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D0186" w:rsidR="00AE701A" w:rsidP="00AE701A" w:rsidRDefault="001034F9" w14:paraId="5DB132C7" w14:textId="050FDF58">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7,057</w:t>
            </w:r>
          </w:p>
        </w:tc>
        <w:tc>
          <w:tcPr>
            <w:tcW w:w="1223"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71F5DD3F"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50%</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6337D5" w:rsidRDefault="00AE701A" w14:paraId="0035BBBE" w14:textId="5BE9D600">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0.0</w:t>
            </w:r>
            <w:r w:rsidR="006337D5">
              <w:rPr>
                <w:rFonts w:ascii="Calibri" w:hAnsi="Calibri" w:eastAsia="Times New Roman" w:cs="Calibri"/>
                <w:color w:val="000000"/>
                <w:sz w:val="20"/>
                <w:szCs w:val="20"/>
                <w:lang w:eastAsia="en-US"/>
              </w:rPr>
              <w:t>8</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D6546F" w:rsidRDefault="001034F9" w14:paraId="28701342" w14:textId="04813AE9">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282.29</w:t>
            </w:r>
          </w:p>
        </w:tc>
        <w:tc>
          <w:tcPr>
            <w:tcW w:w="937" w:type="dxa"/>
            <w:vMerge w:val="restart"/>
            <w:tcBorders>
              <w:top w:val="single" w:color="auto" w:sz="4" w:space="0"/>
              <w:left w:val="single" w:color="auto" w:sz="4" w:space="0"/>
              <w:bottom w:val="single" w:color="auto" w:sz="4" w:space="0"/>
              <w:right w:val="single" w:color="auto" w:sz="4" w:space="0"/>
            </w:tcBorders>
            <w:shd w:val="clear" w:color="000000" w:fill="FFFFFF"/>
            <w:vAlign w:val="center"/>
            <w:hideMark/>
          </w:tcPr>
          <w:p w:rsidRPr="00252CD2" w:rsidR="00AE701A" w:rsidP="00AE701A" w:rsidRDefault="00AE701A" w14:paraId="6E9F9D66"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$88.16 </w:t>
            </w:r>
          </w:p>
        </w:tc>
        <w:tc>
          <w:tcPr>
            <w:tcW w:w="160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8078A1" w:rsidRDefault="00173263" w14:paraId="7C6632C9" w14:textId="48E1E25C">
            <w:pPr>
              <w:autoSpaceDE/>
              <w:autoSpaceDN/>
              <w:jc w:val="center"/>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w:t>
            </w:r>
            <w:r w:rsidR="001034F9">
              <w:rPr>
                <w:rFonts w:ascii="Calibri" w:hAnsi="Calibri" w:eastAsia="Times New Roman" w:cs="Calibri"/>
                <w:color w:val="000000"/>
                <w:sz w:val="20"/>
                <w:szCs w:val="20"/>
                <w:lang w:eastAsia="en-US"/>
              </w:rPr>
              <w:t>24,886.85</w:t>
            </w:r>
            <w:r w:rsidRPr="00252CD2" w:rsidR="00AE701A">
              <w:rPr>
                <w:rFonts w:ascii="Calibri" w:hAnsi="Calibri" w:eastAsia="Times New Roman" w:cs="Calibri"/>
                <w:color w:val="000000"/>
                <w:sz w:val="20"/>
                <w:szCs w:val="20"/>
                <w:lang w:eastAsia="en-US"/>
              </w:rPr>
              <w:t xml:space="preserve"> </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7C18AC" w:rsidRDefault="007C18AC" w14:paraId="77B7360A" w14:textId="01AB02AC">
            <w:pPr>
              <w:autoSpaceDE/>
              <w:autoSpaceDN/>
              <w:jc w:val="center"/>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3,529</w:t>
            </w:r>
          </w:p>
        </w:tc>
      </w:tr>
      <w:tr w:rsidRPr="00AE701A" w:rsidR="00FD5B56" w:rsidTr="00313268" w14:paraId="2B983E80" w14:textId="77777777">
        <w:trPr>
          <w:trHeight w:val="52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1DEC1B91" w14:textId="77777777">
            <w:pPr>
              <w:autoSpaceDE/>
              <w:autoSpaceDN/>
              <w:jc w:val="right"/>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 xml:space="preserve">          Very Small  Establishments</w:t>
            </w:r>
          </w:p>
        </w:tc>
        <w:tc>
          <w:tcPr>
            <w:tcW w:w="126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05EA4792"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07C860DE" w14:textId="77777777">
            <w:pPr>
              <w:autoSpaceDE/>
              <w:autoSpaceDN/>
              <w:rPr>
                <w:rFonts w:ascii="Calibri" w:hAnsi="Calibri" w:eastAsia="Times New Roman" w:cs="Calibri"/>
                <w:color w:val="000000"/>
                <w:sz w:val="20"/>
                <w:szCs w:val="20"/>
                <w:lang w:eastAsia="en-US"/>
              </w:rPr>
            </w:pPr>
          </w:p>
        </w:tc>
        <w:tc>
          <w:tcPr>
            <w:tcW w:w="1404"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2D38DA4C" w14:textId="77777777">
            <w:pPr>
              <w:autoSpaceDE/>
              <w:autoSpaceDN/>
              <w:rPr>
                <w:rFonts w:ascii="Calibri" w:hAnsi="Calibri" w:eastAsia="Times New Roman" w:cs="Calibri"/>
                <w:color w:val="000000"/>
                <w:sz w:val="20"/>
                <w:szCs w:val="20"/>
                <w:lang w:eastAsia="en-US"/>
              </w:rPr>
            </w:pPr>
          </w:p>
        </w:tc>
        <w:tc>
          <w:tcPr>
            <w:tcW w:w="117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791B718B" w14:textId="77777777">
            <w:pPr>
              <w:autoSpaceDE/>
              <w:autoSpaceDN/>
              <w:rPr>
                <w:rFonts w:ascii="Calibri" w:hAnsi="Calibri" w:eastAsia="Times New Roman" w:cs="Calibri"/>
                <w:color w:val="000000"/>
                <w:sz w:val="20"/>
                <w:szCs w:val="20"/>
                <w:lang w:eastAsia="en-US"/>
              </w:rPr>
            </w:pPr>
          </w:p>
        </w:tc>
        <w:tc>
          <w:tcPr>
            <w:tcW w:w="1223"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2CDFDCD4" w14:textId="77777777">
            <w:pPr>
              <w:autoSpaceDE/>
              <w:autoSpaceDN/>
              <w:rPr>
                <w:rFonts w:ascii="Calibri" w:hAnsi="Calibri" w:eastAsia="Times New Roman" w:cs="Calibri"/>
                <w:color w:val="000000"/>
                <w:sz w:val="20"/>
                <w:szCs w:val="20"/>
                <w:lang w:eastAsia="en-US"/>
              </w:rPr>
            </w:pPr>
          </w:p>
        </w:tc>
        <w:tc>
          <w:tcPr>
            <w:tcW w:w="108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23278A42"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3EEFC644" w14:textId="77777777">
            <w:pPr>
              <w:autoSpaceDE/>
              <w:autoSpaceDN/>
              <w:rPr>
                <w:rFonts w:ascii="Calibri" w:hAnsi="Calibri" w:eastAsia="Times New Roman" w:cs="Calibri"/>
                <w:color w:val="000000"/>
                <w:sz w:val="20"/>
                <w:szCs w:val="20"/>
                <w:lang w:eastAsia="en-US"/>
              </w:rPr>
            </w:pPr>
          </w:p>
        </w:tc>
        <w:tc>
          <w:tcPr>
            <w:tcW w:w="937"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0F95F2B3" w14:textId="77777777">
            <w:pPr>
              <w:autoSpaceDE/>
              <w:autoSpaceDN/>
              <w:rPr>
                <w:rFonts w:ascii="Calibri" w:hAnsi="Calibri" w:eastAsia="Times New Roman" w:cs="Calibri"/>
                <w:color w:val="000000"/>
                <w:sz w:val="20"/>
                <w:szCs w:val="20"/>
                <w:lang w:eastAsia="en-US"/>
              </w:rPr>
            </w:pPr>
          </w:p>
        </w:tc>
        <w:tc>
          <w:tcPr>
            <w:tcW w:w="1607"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8078A1" w:rsidRDefault="00AE701A" w14:paraId="068C8842" w14:textId="77777777">
            <w:pPr>
              <w:autoSpaceDE/>
              <w:autoSpaceDN/>
              <w:jc w:val="center"/>
              <w:rPr>
                <w:rFonts w:ascii="Calibri" w:hAnsi="Calibri" w:eastAsia="Times New Roman" w:cs="Calibri"/>
                <w:color w:val="000000"/>
                <w:sz w:val="20"/>
                <w:szCs w:val="20"/>
                <w:lang w:eastAsia="en-US"/>
              </w:rPr>
            </w:pPr>
          </w:p>
        </w:tc>
        <w:tc>
          <w:tcPr>
            <w:tcW w:w="11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8078A1" w:rsidRDefault="00AE701A" w14:paraId="58540D8A" w14:textId="77777777">
            <w:pPr>
              <w:autoSpaceDE/>
              <w:autoSpaceDN/>
              <w:jc w:val="center"/>
              <w:rPr>
                <w:rFonts w:ascii="Calibri" w:hAnsi="Calibri" w:eastAsia="Times New Roman" w:cs="Calibri"/>
                <w:color w:val="000000"/>
                <w:sz w:val="20"/>
                <w:szCs w:val="20"/>
                <w:lang w:eastAsia="en-US"/>
              </w:rPr>
            </w:pPr>
          </w:p>
        </w:tc>
      </w:tr>
      <w:tr w:rsidRPr="00AE701A" w:rsidR="00FD5B56" w:rsidTr="00313268" w14:paraId="2DB72A9B" w14:textId="77777777">
        <w:trPr>
          <w:trHeight w:val="370"/>
        </w:trPr>
        <w:tc>
          <w:tcPr>
            <w:tcW w:w="162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520C25" w:rsidR="00AE701A" w:rsidP="00AE701A" w:rsidRDefault="00AE701A" w14:paraId="0AA28666" w14:textId="77777777">
            <w:pPr>
              <w:autoSpaceDE/>
              <w:autoSpaceDN/>
              <w:rPr>
                <w:rFonts w:ascii="Calibri" w:hAnsi="Calibri" w:eastAsia="Times New Roman" w:cs="Calibri"/>
                <w:b/>
                <w:bCs/>
                <w:color w:val="000000"/>
                <w:sz w:val="20"/>
                <w:szCs w:val="20"/>
                <w:lang w:eastAsia="en-US"/>
              </w:rPr>
            </w:pPr>
            <w:r w:rsidRPr="00520C25">
              <w:rPr>
                <w:rFonts w:ascii="Calibri" w:hAnsi="Calibri" w:eastAsia="Times New Roman" w:cs="Calibri"/>
                <w:b/>
                <w:bCs/>
                <w:color w:val="000000"/>
                <w:sz w:val="20"/>
                <w:szCs w:val="20"/>
                <w:lang w:eastAsia="en-US"/>
              </w:rPr>
              <w:t>c. Notification to Employee</w:t>
            </w:r>
          </w:p>
        </w:tc>
        <w:tc>
          <w:tcPr>
            <w:tcW w:w="126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AB1E6C" w:rsidR="00AE701A" w:rsidP="00AE701A" w:rsidRDefault="00AE701A" w14:paraId="180ABEFD"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 </w:t>
            </w:r>
          </w:p>
        </w:tc>
        <w:tc>
          <w:tcPr>
            <w:tcW w:w="144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7B4BA7" w:rsidR="00AE701A" w:rsidP="00AE701A" w:rsidRDefault="00AE701A" w14:paraId="6F4DB1C5" w14:textId="77777777">
            <w:pPr>
              <w:autoSpaceDE/>
              <w:autoSpaceDN/>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 </w:t>
            </w:r>
          </w:p>
        </w:tc>
        <w:tc>
          <w:tcPr>
            <w:tcW w:w="1404"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3340D7" w:rsidR="00AE701A" w:rsidP="00AE701A" w:rsidRDefault="00AE701A" w14:paraId="12A9C5CF" w14:textId="77777777">
            <w:pPr>
              <w:autoSpaceDE/>
              <w:autoSpaceDN/>
              <w:rPr>
                <w:rFonts w:ascii="Calibri" w:hAnsi="Calibri" w:eastAsia="Times New Roman" w:cs="Calibri"/>
                <w:color w:val="000000"/>
                <w:sz w:val="20"/>
                <w:szCs w:val="20"/>
                <w:lang w:eastAsia="en-US"/>
              </w:rPr>
            </w:pPr>
            <w:r w:rsidRPr="003340D7">
              <w:rPr>
                <w:rFonts w:ascii="Calibri" w:hAnsi="Calibri" w:eastAsia="Times New Roman" w:cs="Calibri"/>
                <w:color w:val="000000"/>
                <w:sz w:val="20"/>
                <w:szCs w:val="20"/>
                <w:lang w:eastAsia="en-US"/>
              </w:rPr>
              <w:t> </w:t>
            </w:r>
          </w:p>
        </w:tc>
        <w:tc>
          <w:tcPr>
            <w:tcW w:w="117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1D0186" w:rsidR="00AE701A" w:rsidP="00AE701A" w:rsidRDefault="00AE701A" w14:paraId="161657C4" w14:textId="77777777">
            <w:pPr>
              <w:autoSpaceDE/>
              <w:autoSpaceDN/>
              <w:jc w:val="right"/>
              <w:rPr>
                <w:rFonts w:ascii="Calibri" w:hAnsi="Calibri" w:eastAsia="Times New Roman" w:cs="Calibri"/>
                <w:color w:val="000000"/>
                <w:sz w:val="20"/>
                <w:szCs w:val="20"/>
                <w:lang w:eastAsia="en-US"/>
              </w:rPr>
            </w:pPr>
            <w:r w:rsidRPr="001D0186">
              <w:rPr>
                <w:rFonts w:ascii="Calibri" w:hAnsi="Calibri" w:eastAsia="Times New Roman" w:cs="Calibri"/>
                <w:color w:val="000000"/>
                <w:sz w:val="20"/>
                <w:szCs w:val="20"/>
                <w:lang w:eastAsia="en-US"/>
              </w:rPr>
              <w:t> </w:t>
            </w:r>
          </w:p>
        </w:tc>
        <w:tc>
          <w:tcPr>
            <w:tcW w:w="1223"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252CD2" w:rsidR="00AE701A" w:rsidP="00AE701A" w:rsidRDefault="00AE701A" w14:paraId="7231AB34"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w:t>
            </w:r>
          </w:p>
        </w:tc>
        <w:tc>
          <w:tcPr>
            <w:tcW w:w="108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252CD2" w:rsidR="00AE701A" w:rsidP="00AE701A" w:rsidRDefault="00AE701A" w14:paraId="7681E226"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w:t>
            </w:r>
          </w:p>
        </w:tc>
        <w:tc>
          <w:tcPr>
            <w:tcW w:w="144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252CD2" w:rsidR="00AE701A" w:rsidP="00AE701A" w:rsidRDefault="00AE701A" w14:paraId="6FCDBA2C"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w:t>
            </w:r>
          </w:p>
        </w:tc>
        <w:tc>
          <w:tcPr>
            <w:tcW w:w="937"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252CD2" w:rsidR="00AE701A" w:rsidP="00AE701A" w:rsidRDefault="00AE701A" w14:paraId="426C1941"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w:t>
            </w:r>
          </w:p>
        </w:tc>
        <w:tc>
          <w:tcPr>
            <w:tcW w:w="1607"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252CD2" w:rsidR="00AE701A" w:rsidP="008078A1" w:rsidRDefault="00AE701A" w14:paraId="4811A269" w14:textId="5E94D91C">
            <w:pPr>
              <w:autoSpaceDE/>
              <w:autoSpaceDN/>
              <w:jc w:val="center"/>
              <w:rPr>
                <w:rFonts w:ascii="Calibri" w:hAnsi="Calibri" w:eastAsia="Times New Roman" w:cs="Calibri"/>
                <w:color w:val="000000"/>
                <w:sz w:val="20"/>
                <w:szCs w:val="20"/>
                <w:lang w:eastAsia="en-US"/>
              </w:rPr>
            </w:pPr>
          </w:p>
        </w:tc>
        <w:tc>
          <w:tcPr>
            <w:tcW w:w="114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252CD2" w:rsidR="00AE701A" w:rsidP="008078A1" w:rsidRDefault="00AE701A" w14:paraId="67908124" w14:textId="0F59E702">
            <w:pPr>
              <w:autoSpaceDE/>
              <w:autoSpaceDN/>
              <w:jc w:val="center"/>
              <w:rPr>
                <w:rFonts w:ascii="Calibri" w:hAnsi="Calibri" w:eastAsia="Times New Roman" w:cs="Calibri"/>
                <w:color w:val="000000"/>
                <w:sz w:val="20"/>
                <w:szCs w:val="20"/>
                <w:lang w:eastAsia="en-US"/>
              </w:rPr>
            </w:pPr>
          </w:p>
        </w:tc>
      </w:tr>
      <w:tr w:rsidRPr="00AE701A" w:rsidR="007C18AC" w:rsidTr="00313268" w14:paraId="7A6DE051" w14:textId="77777777">
        <w:trPr>
          <w:trHeight w:val="29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7C18AC" w:rsidP="007C18AC" w:rsidRDefault="007C18AC" w14:paraId="66EA3EB1" w14:textId="77777777">
            <w:pPr>
              <w:autoSpaceDE/>
              <w:autoSpaceDN/>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Notification to Employees</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B1E6C" w:rsidR="007C18AC" w:rsidP="007C18AC" w:rsidRDefault="007C18AC" w14:paraId="437409F5"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6-month</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7B4BA7" w:rsidR="007C18AC" w:rsidP="007C18AC" w:rsidRDefault="007C18AC" w14:paraId="55AEC6EE" w14:textId="77777777">
            <w:pPr>
              <w:autoSpaceDE/>
              <w:autoSpaceDN/>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 xml:space="preserve">Manager </w:t>
            </w:r>
          </w:p>
        </w:tc>
        <w:tc>
          <w:tcPr>
            <w:tcW w:w="1404"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3340D7" w:rsidR="007C18AC" w:rsidP="007C18AC" w:rsidRDefault="007C18AC" w14:paraId="2D128AE1" w14:textId="77777777">
            <w:pPr>
              <w:autoSpaceDE/>
              <w:autoSpaceDN/>
              <w:rPr>
                <w:rFonts w:ascii="Calibri" w:hAnsi="Calibri" w:eastAsia="Times New Roman" w:cs="Calibri"/>
                <w:color w:val="000000"/>
                <w:sz w:val="20"/>
                <w:szCs w:val="20"/>
                <w:lang w:eastAsia="en-US"/>
              </w:rPr>
            </w:pPr>
            <w:r w:rsidRPr="003340D7">
              <w:rPr>
                <w:rFonts w:ascii="Calibri" w:hAnsi="Calibri" w:eastAsia="Times New Roman" w:cs="Calibri"/>
                <w:color w:val="000000"/>
                <w:sz w:val="20"/>
                <w:szCs w:val="20"/>
                <w:lang w:eastAsia="en-US"/>
              </w:rPr>
              <w:t>GO Manager</w:t>
            </w:r>
          </w:p>
        </w:tc>
        <w:tc>
          <w:tcPr>
            <w:tcW w:w="117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D0186" w:rsidR="007C18AC" w:rsidP="007C18AC" w:rsidRDefault="00080D85" w14:paraId="3B669B3A" w14:textId="62598A47">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18,815</w:t>
            </w:r>
          </w:p>
        </w:tc>
        <w:tc>
          <w:tcPr>
            <w:tcW w:w="1223"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7C18AC" w:rsidP="007C18AC" w:rsidRDefault="007C18AC" w14:paraId="6A5DD077"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25%</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7C18AC" w:rsidP="007C18AC" w:rsidRDefault="007C18AC" w14:paraId="2C13619D"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0.5</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7C18AC" w:rsidP="007C18AC" w:rsidRDefault="001034F9" w14:paraId="7E948B97" w14:textId="5F66B67D">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2,351.90</w:t>
            </w:r>
          </w:p>
        </w:tc>
        <w:tc>
          <w:tcPr>
            <w:tcW w:w="937" w:type="dxa"/>
            <w:vMerge w:val="restart"/>
            <w:tcBorders>
              <w:top w:val="single" w:color="auto" w:sz="4" w:space="0"/>
              <w:left w:val="single" w:color="auto" w:sz="4" w:space="0"/>
              <w:bottom w:val="single" w:color="auto" w:sz="4" w:space="0"/>
              <w:right w:val="single" w:color="auto" w:sz="4" w:space="0"/>
            </w:tcBorders>
            <w:shd w:val="clear" w:color="000000" w:fill="FFFFFF"/>
            <w:vAlign w:val="center"/>
            <w:hideMark/>
          </w:tcPr>
          <w:p w:rsidRPr="00252CD2" w:rsidR="007C18AC" w:rsidP="007C18AC" w:rsidRDefault="007C18AC" w14:paraId="23BC0B9B"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$88.16 </w:t>
            </w:r>
          </w:p>
        </w:tc>
        <w:tc>
          <w:tcPr>
            <w:tcW w:w="160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7C18AC" w:rsidP="007C18AC" w:rsidRDefault="007C18AC" w14:paraId="0015F495" w14:textId="1AAF5AFC">
            <w:pPr>
              <w:autoSpaceDE/>
              <w:autoSpaceDN/>
              <w:jc w:val="center"/>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w:t>
            </w:r>
            <w:r w:rsidR="001034F9">
              <w:rPr>
                <w:rFonts w:ascii="Calibri" w:hAnsi="Calibri" w:eastAsia="Times New Roman" w:cs="Calibri"/>
                <w:color w:val="000000"/>
                <w:sz w:val="20"/>
                <w:szCs w:val="20"/>
                <w:lang w:eastAsia="en-US"/>
              </w:rPr>
              <w:t>207,343.93</w:t>
            </w:r>
            <w:r w:rsidRPr="00252CD2">
              <w:rPr>
                <w:rFonts w:ascii="Calibri" w:hAnsi="Calibri" w:eastAsia="Times New Roman" w:cs="Calibri"/>
                <w:color w:val="000000"/>
                <w:sz w:val="20"/>
                <w:szCs w:val="20"/>
                <w:lang w:eastAsia="en-US"/>
              </w:rPr>
              <w:t xml:space="preserve"> </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7C18AC" w:rsidP="007C18AC" w:rsidRDefault="007C18AC" w14:paraId="65549F3D" w14:textId="20B5DDD4">
            <w:pPr>
              <w:autoSpaceDE/>
              <w:autoSpaceDN/>
              <w:jc w:val="center"/>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4,704</w:t>
            </w:r>
          </w:p>
        </w:tc>
      </w:tr>
      <w:tr w:rsidRPr="00AE701A" w:rsidR="007C18AC" w:rsidTr="00313268" w14:paraId="3CD18FA5" w14:textId="77777777">
        <w:trPr>
          <w:trHeight w:val="46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7C18AC" w:rsidP="007C18AC" w:rsidRDefault="007C18AC" w14:paraId="64438640" w14:textId="77777777">
            <w:pPr>
              <w:autoSpaceDE/>
              <w:autoSpaceDN/>
              <w:jc w:val="right"/>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Large Establishments</w:t>
            </w:r>
          </w:p>
        </w:tc>
        <w:tc>
          <w:tcPr>
            <w:tcW w:w="1260" w:type="dxa"/>
            <w:vMerge/>
            <w:tcBorders>
              <w:top w:val="single" w:color="auto" w:sz="4" w:space="0"/>
              <w:left w:val="single" w:color="auto" w:sz="4" w:space="0"/>
              <w:bottom w:val="single" w:color="auto" w:sz="4" w:space="0"/>
              <w:right w:val="single" w:color="auto" w:sz="4" w:space="0"/>
            </w:tcBorders>
            <w:vAlign w:val="center"/>
            <w:hideMark/>
          </w:tcPr>
          <w:p w:rsidRPr="00AE701A" w:rsidR="007C18AC" w:rsidP="007C18AC" w:rsidRDefault="007C18AC" w14:paraId="0D8224C9"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7C18AC" w:rsidP="007C18AC" w:rsidRDefault="007C18AC" w14:paraId="54C9FD33" w14:textId="77777777">
            <w:pPr>
              <w:autoSpaceDE/>
              <w:autoSpaceDN/>
              <w:rPr>
                <w:rFonts w:ascii="Calibri" w:hAnsi="Calibri" w:eastAsia="Times New Roman" w:cs="Calibri"/>
                <w:color w:val="000000"/>
                <w:sz w:val="20"/>
                <w:szCs w:val="20"/>
                <w:lang w:eastAsia="en-US"/>
              </w:rPr>
            </w:pPr>
          </w:p>
        </w:tc>
        <w:tc>
          <w:tcPr>
            <w:tcW w:w="1404" w:type="dxa"/>
            <w:vMerge/>
            <w:tcBorders>
              <w:top w:val="single" w:color="auto" w:sz="4" w:space="0"/>
              <w:left w:val="single" w:color="auto" w:sz="4" w:space="0"/>
              <w:bottom w:val="single" w:color="auto" w:sz="4" w:space="0"/>
              <w:right w:val="single" w:color="auto" w:sz="4" w:space="0"/>
            </w:tcBorders>
            <w:vAlign w:val="center"/>
            <w:hideMark/>
          </w:tcPr>
          <w:p w:rsidRPr="00AE701A" w:rsidR="007C18AC" w:rsidP="007C18AC" w:rsidRDefault="007C18AC" w14:paraId="6403609F" w14:textId="77777777">
            <w:pPr>
              <w:autoSpaceDE/>
              <w:autoSpaceDN/>
              <w:rPr>
                <w:rFonts w:ascii="Calibri" w:hAnsi="Calibri" w:eastAsia="Times New Roman" w:cs="Calibri"/>
                <w:color w:val="000000"/>
                <w:sz w:val="20"/>
                <w:szCs w:val="20"/>
                <w:lang w:eastAsia="en-US"/>
              </w:rPr>
            </w:pPr>
          </w:p>
        </w:tc>
        <w:tc>
          <w:tcPr>
            <w:tcW w:w="1170" w:type="dxa"/>
            <w:vMerge/>
            <w:tcBorders>
              <w:top w:val="single" w:color="auto" w:sz="4" w:space="0"/>
              <w:left w:val="single" w:color="auto" w:sz="4" w:space="0"/>
              <w:bottom w:val="single" w:color="auto" w:sz="4" w:space="0"/>
              <w:right w:val="single" w:color="auto" w:sz="4" w:space="0"/>
            </w:tcBorders>
            <w:vAlign w:val="center"/>
            <w:hideMark/>
          </w:tcPr>
          <w:p w:rsidRPr="00AE701A" w:rsidR="007C18AC" w:rsidP="007C18AC" w:rsidRDefault="007C18AC" w14:paraId="709E9E75" w14:textId="77777777">
            <w:pPr>
              <w:autoSpaceDE/>
              <w:autoSpaceDN/>
              <w:rPr>
                <w:rFonts w:ascii="Calibri" w:hAnsi="Calibri" w:eastAsia="Times New Roman" w:cs="Calibri"/>
                <w:color w:val="000000"/>
                <w:sz w:val="20"/>
                <w:szCs w:val="20"/>
                <w:lang w:eastAsia="en-US"/>
              </w:rPr>
            </w:pPr>
          </w:p>
        </w:tc>
        <w:tc>
          <w:tcPr>
            <w:tcW w:w="1223" w:type="dxa"/>
            <w:vMerge/>
            <w:tcBorders>
              <w:top w:val="single" w:color="auto" w:sz="4" w:space="0"/>
              <w:left w:val="single" w:color="auto" w:sz="4" w:space="0"/>
              <w:bottom w:val="single" w:color="auto" w:sz="4" w:space="0"/>
              <w:right w:val="single" w:color="auto" w:sz="4" w:space="0"/>
            </w:tcBorders>
            <w:vAlign w:val="center"/>
            <w:hideMark/>
          </w:tcPr>
          <w:p w:rsidRPr="00AE701A" w:rsidR="007C18AC" w:rsidP="007C18AC" w:rsidRDefault="007C18AC" w14:paraId="1031E186" w14:textId="77777777">
            <w:pPr>
              <w:autoSpaceDE/>
              <w:autoSpaceDN/>
              <w:rPr>
                <w:rFonts w:ascii="Calibri" w:hAnsi="Calibri" w:eastAsia="Times New Roman" w:cs="Calibri"/>
                <w:color w:val="000000"/>
                <w:sz w:val="20"/>
                <w:szCs w:val="20"/>
                <w:lang w:eastAsia="en-US"/>
              </w:rPr>
            </w:pPr>
          </w:p>
        </w:tc>
        <w:tc>
          <w:tcPr>
            <w:tcW w:w="1080" w:type="dxa"/>
            <w:vMerge/>
            <w:tcBorders>
              <w:top w:val="single" w:color="auto" w:sz="4" w:space="0"/>
              <w:left w:val="single" w:color="auto" w:sz="4" w:space="0"/>
              <w:bottom w:val="single" w:color="auto" w:sz="4" w:space="0"/>
              <w:right w:val="single" w:color="auto" w:sz="4" w:space="0"/>
            </w:tcBorders>
            <w:vAlign w:val="center"/>
            <w:hideMark/>
          </w:tcPr>
          <w:p w:rsidRPr="00AE701A" w:rsidR="007C18AC" w:rsidP="007C18AC" w:rsidRDefault="007C18AC" w14:paraId="64A57E43"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7C18AC" w:rsidP="007C18AC" w:rsidRDefault="007C18AC" w14:paraId="3BE9AD1A" w14:textId="77777777">
            <w:pPr>
              <w:autoSpaceDE/>
              <w:autoSpaceDN/>
              <w:rPr>
                <w:rFonts w:ascii="Calibri" w:hAnsi="Calibri" w:eastAsia="Times New Roman" w:cs="Calibri"/>
                <w:color w:val="000000"/>
                <w:sz w:val="20"/>
                <w:szCs w:val="20"/>
                <w:lang w:eastAsia="en-US"/>
              </w:rPr>
            </w:pPr>
          </w:p>
        </w:tc>
        <w:tc>
          <w:tcPr>
            <w:tcW w:w="937" w:type="dxa"/>
            <w:vMerge/>
            <w:tcBorders>
              <w:top w:val="single" w:color="auto" w:sz="4" w:space="0"/>
              <w:left w:val="single" w:color="auto" w:sz="4" w:space="0"/>
              <w:bottom w:val="single" w:color="auto" w:sz="4" w:space="0"/>
              <w:right w:val="single" w:color="auto" w:sz="4" w:space="0"/>
            </w:tcBorders>
            <w:vAlign w:val="center"/>
            <w:hideMark/>
          </w:tcPr>
          <w:p w:rsidRPr="00AE701A" w:rsidR="007C18AC" w:rsidP="007C18AC" w:rsidRDefault="007C18AC" w14:paraId="0EA29358" w14:textId="77777777">
            <w:pPr>
              <w:autoSpaceDE/>
              <w:autoSpaceDN/>
              <w:rPr>
                <w:rFonts w:ascii="Calibri" w:hAnsi="Calibri" w:eastAsia="Times New Roman" w:cs="Calibri"/>
                <w:color w:val="000000"/>
                <w:sz w:val="20"/>
                <w:szCs w:val="20"/>
                <w:lang w:eastAsia="en-US"/>
              </w:rPr>
            </w:pPr>
          </w:p>
        </w:tc>
        <w:tc>
          <w:tcPr>
            <w:tcW w:w="1607" w:type="dxa"/>
            <w:vMerge/>
            <w:tcBorders>
              <w:top w:val="single" w:color="auto" w:sz="4" w:space="0"/>
              <w:left w:val="single" w:color="auto" w:sz="4" w:space="0"/>
              <w:bottom w:val="single" w:color="auto" w:sz="4" w:space="0"/>
              <w:right w:val="single" w:color="auto" w:sz="4" w:space="0"/>
            </w:tcBorders>
            <w:vAlign w:val="center"/>
            <w:hideMark/>
          </w:tcPr>
          <w:p w:rsidRPr="00AE701A" w:rsidR="007C18AC" w:rsidP="007C18AC" w:rsidRDefault="007C18AC" w14:paraId="0DFB42BB" w14:textId="77777777">
            <w:pPr>
              <w:autoSpaceDE/>
              <w:autoSpaceDN/>
              <w:jc w:val="center"/>
              <w:rPr>
                <w:rFonts w:ascii="Calibri" w:hAnsi="Calibri" w:eastAsia="Times New Roman" w:cs="Calibri"/>
                <w:color w:val="000000"/>
                <w:sz w:val="20"/>
                <w:szCs w:val="20"/>
                <w:lang w:eastAsia="en-US"/>
              </w:rPr>
            </w:pPr>
          </w:p>
        </w:tc>
        <w:tc>
          <w:tcPr>
            <w:tcW w:w="1140" w:type="dxa"/>
            <w:vMerge/>
            <w:tcBorders>
              <w:top w:val="single" w:color="auto" w:sz="4" w:space="0"/>
              <w:left w:val="single" w:color="auto" w:sz="4" w:space="0"/>
              <w:bottom w:val="single" w:color="auto" w:sz="4" w:space="0"/>
              <w:right w:val="single" w:color="auto" w:sz="4" w:space="0"/>
            </w:tcBorders>
            <w:vAlign w:val="center"/>
            <w:hideMark/>
          </w:tcPr>
          <w:p w:rsidRPr="00AE701A" w:rsidR="007C18AC" w:rsidP="007C18AC" w:rsidRDefault="007C18AC" w14:paraId="7B3BB667" w14:textId="77777777">
            <w:pPr>
              <w:autoSpaceDE/>
              <w:autoSpaceDN/>
              <w:jc w:val="center"/>
              <w:rPr>
                <w:rFonts w:ascii="Calibri" w:hAnsi="Calibri" w:eastAsia="Times New Roman" w:cs="Calibri"/>
                <w:color w:val="000000"/>
                <w:sz w:val="20"/>
                <w:szCs w:val="20"/>
                <w:lang w:eastAsia="en-US"/>
              </w:rPr>
            </w:pPr>
          </w:p>
        </w:tc>
      </w:tr>
      <w:tr w:rsidRPr="00AE701A" w:rsidR="007C18AC" w:rsidTr="00313268" w14:paraId="29B3D882" w14:textId="77777777">
        <w:trPr>
          <w:trHeight w:val="29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7C18AC" w:rsidP="007C18AC" w:rsidRDefault="007C18AC" w14:paraId="4E807B17" w14:textId="77777777">
            <w:pPr>
              <w:autoSpaceDE/>
              <w:autoSpaceDN/>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Notification to Employees</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B1E6C" w:rsidR="007C18AC" w:rsidP="007C18AC" w:rsidRDefault="007C18AC" w14:paraId="31FF0C81"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6-month</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7B4BA7" w:rsidR="007C18AC" w:rsidP="007C18AC" w:rsidRDefault="007C18AC" w14:paraId="208F80F7" w14:textId="77777777">
            <w:pPr>
              <w:autoSpaceDE/>
              <w:autoSpaceDN/>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 xml:space="preserve">Manager </w:t>
            </w:r>
          </w:p>
        </w:tc>
        <w:tc>
          <w:tcPr>
            <w:tcW w:w="1404"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3340D7" w:rsidR="007C18AC" w:rsidP="007C18AC" w:rsidRDefault="007C18AC" w14:paraId="3C533DE0" w14:textId="77777777">
            <w:pPr>
              <w:autoSpaceDE/>
              <w:autoSpaceDN/>
              <w:rPr>
                <w:rFonts w:ascii="Calibri" w:hAnsi="Calibri" w:eastAsia="Times New Roman" w:cs="Calibri"/>
                <w:color w:val="000000"/>
                <w:sz w:val="20"/>
                <w:szCs w:val="20"/>
                <w:lang w:eastAsia="en-US"/>
              </w:rPr>
            </w:pPr>
            <w:r w:rsidRPr="003340D7">
              <w:rPr>
                <w:rFonts w:ascii="Calibri" w:hAnsi="Calibri" w:eastAsia="Times New Roman" w:cs="Calibri"/>
                <w:color w:val="000000"/>
                <w:sz w:val="20"/>
                <w:szCs w:val="20"/>
                <w:lang w:eastAsia="en-US"/>
              </w:rPr>
              <w:t>GO Manager</w:t>
            </w:r>
          </w:p>
        </w:tc>
        <w:tc>
          <w:tcPr>
            <w:tcW w:w="117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D0186" w:rsidR="007C18AC" w:rsidP="007C18AC" w:rsidRDefault="00406D90" w14:paraId="6079926A" w14:textId="62CA8E38">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33,056</w:t>
            </w:r>
          </w:p>
        </w:tc>
        <w:tc>
          <w:tcPr>
            <w:tcW w:w="1223"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7C18AC" w:rsidP="007C18AC" w:rsidRDefault="007C18AC" w14:paraId="32F2D6C2"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25%</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7C18AC" w:rsidP="007C18AC" w:rsidRDefault="007C18AC" w14:paraId="292599AF"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0.5</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7C18AC" w:rsidP="002E088D" w:rsidRDefault="002E088D" w14:paraId="228593CF" w14:textId="43C82EA4">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4,132.01</w:t>
            </w:r>
          </w:p>
        </w:tc>
        <w:tc>
          <w:tcPr>
            <w:tcW w:w="937" w:type="dxa"/>
            <w:vMerge w:val="restart"/>
            <w:tcBorders>
              <w:top w:val="single" w:color="auto" w:sz="4" w:space="0"/>
              <w:left w:val="single" w:color="auto" w:sz="4" w:space="0"/>
              <w:bottom w:val="single" w:color="auto" w:sz="4" w:space="0"/>
              <w:right w:val="single" w:color="auto" w:sz="4" w:space="0"/>
            </w:tcBorders>
            <w:shd w:val="clear" w:color="000000" w:fill="FFFFFF"/>
            <w:vAlign w:val="center"/>
            <w:hideMark/>
          </w:tcPr>
          <w:p w:rsidRPr="00252CD2" w:rsidR="007C18AC" w:rsidP="007C18AC" w:rsidRDefault="007C18AC" w14:paraId="79843FBE"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$88.16 </w:t>
            </w:r>
          </w:p>
        </w:tc>
        <w:tc>
          <w:tcPr>
            <w:tcW w:w="160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7C18AC" w:rsidP="007C18AC" w:rsidRDefault="007C18AC" w14:paraId="618E4A2B" w14:textId="71E76F4E">
            <w:pPr>
              <w:autoSpaceDE/>
              <w:autoSpaceDN/>
              <w:jc w:val="center"/>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w:t>
            </w:r>
            <w:r w:rsidR="00194DDF">
              <w:rPr>
                <w:rFonts w:ascii="Calibri" w:hAnsi="Calibri" w:eastAsia="Times New Roman" w:cs="Calibri"/>
                <w:color w:val="000000"/>
                <w:sz w:val="20"/>
                <w:szCs w:val="20"/>
                <w:lang w:eastAsia="en-US"/>
              </w:rPr>
              <w:t>364,277.98</w:t>
            </w:r>
            <w:r w:rsidRPr="00252CD2">
              <w:rPr>
                <w:rFonts w:ascii="Calibri" w:hAnsi="Calibri" w:eastAsia="Times New Roman" w:cs="Calibri"/>
                <w:color w:val="000000"/>
                <w:sz w:val="20"/>
                <w:szCs w:val="20"/>
                <w:lang w:eastAsia="en-US"/>
              </w:rPr>
              <w:t xml:space="preserve"> </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930088" w:rsidR="007C18AC" w:rsidP="002E088D" w:rsidRDefault="007C18AC" w14:paraId="2AC02E10" w14:textId="34A26FAB">
            <w:pPr>
              <w:autoSpaceDE/>
              <w:autoSpaceDN/>
              <w:jc w:val="center"/>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8,26</w:t>
            </w:r>
            <w:r w:rsidR="002E088D">
              <w:rPr>
                <w:rFonts w:ascii="Calibri" w:hAnsi="Calibri" w:eastAsia="Times New Roman" w:cs="Calibri"/>
                <w:color w:val="000000"/>
                <w:sz w:val="20"/>
                <w:szCs w:val="20"/>
                <w:lang w:eastAsia="en-US"/>
              </w:rPr>
              <w:t>4</w:t>
            </w:r>
          </w:p>
        </w:tc>
      </w:tr>
      <w:tr w:rsidRPr="00AE701A" w:rsidR="007C18AC" w:rsidTr="00313268" w14:paraId="55077E61" w14:textId="77777777">
        <w:trPr>
          <w:trHeight w:val="53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7C18AC" w:rsidP="007C18AC" w:rsidRDefault="007C18AC" w14:paraId="7385ABA5" w14:textId="77777777">
            <w:pPr>
              <w:autoSpaceDE/>
              <w:autoSpaceDN/>
              <w:jc w:val="right"/>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SBA-Defined Small Establishments</w:t>
            </w:r>
          </w:p>
        </w:tc>
        <w:tc>
          <w:tcPr>
            <w:tcW w:w="1260" w:type="dxa"/>
            <w:vMerge/>
            <w:tcBorders>
              <w:top w:val="single" w:color="auto" w:sz="4" w:space="0"/>
              <w:left w:val="single" w:color="auto" w:sz="4" w:space="0"/>
              <w:bottom w:val="single" w:color="auto" w:sz="4" w:space="0"/>
              <w:right w:val="single" w:color="auto" w:sz="4" w:space="0"/>
            </w:tcBorders>
            <w:vAlign w:val="center"/>
            <w:hideMark/>
          </w:tcPr>
          <w:p w:rsidRPr="00AE701A" w:rsidR="007C18AC" w:rsidP="007C18AC" w:rsidRDefault="007C18AC" w14:paraId="6A16D086"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7C18AC" w:rsidP="007C18AC" w:rsidRDefault="007C18AC" w14:paraId="084AA0FD" w14:textId="77777777">
            <w:pPr>
              <w:autoSpaceDE/>
              <w:autoSpaceDN/>
              <w:rPr>
                <w:rFonts w:ascii="Calibri" w:hAnsi="Calibri" w:eastAsia="Times New Roman" w:cs="Calibri"/>
                <w:color w:val="000000"/>
                <w:sz w:val="20"/>
                <w:szCs w:val="20"/>
                <w:lang w:eastAsia="en-US"/>
              </w:rPr>
            </w:pPr>
          </w:p>
        </w:tc>
        <w:tc>
          <w:tcPr>
            <w:tcW w:w="1404" w:type="dxa"/>
            <w:vMerge/>
            <w:tcBorders>
              <w:top w:val="single" w:color="auto" w:sz="4" w:space="0"/>
              <w:left w:val="single" w:color="auto" w:sz="4" w:space="0"/>
              <w:bottom w:val="single" w:color="auto" w:sz="4" w:space="0"/>
              <w:right w:val="single" w:color="auto" w:sz="4" w:space="0"/>
            </w:tcBorders>
            <w:vAlign w:val="center"/>
            <w:hideMark/>
          </w:tcPr>
          <w:p w:rsidRPr="00AE701A" w:rsidR="007C18AC" w:rsidP="007C18AC" w:rsidRDefault="007C18AC" w14:paraId="320ECA80" w14:textId="77777777">
            <w:pPr>
              <w:autoSpaceDE/>
              <w:autoSpaceDN/>
              <w:rPr>
                <w:rFonts w:ascii="Calibri" w:hAnsi="Calibri" w:eastAsia="Times New Roman" w:cs="Calibri"/>
                <w:color w:val="000000"/>
                <w:sz w:val="20"/>
                <w:szCs w:val="20"/>
                <w:lang w:eastAsia="en-US"/>
              </w:rPr>
            </w:pPr>
          </w:p>
        </w:tc>
        <w:tc>
          <w:tcPr>
            <w:tcW w:w="1170" w:type="dxa"/>
            <w:vMerge/>
            <w:tcBorders>
              <w:top w:val="single" w:color="auto" w:sz="4" w:space="0"/>
              <w:left w:val="single" w:color="auto" w:sz="4" w:space="0"/>
              <w:bottom w:val="single" w:color="auto" w:sz="4" w:space="0"/>
              <w:right w:val="single" w:color="auto" w:sz="4" w:space="0"/>
            </w:tcBorders>
            <w:vAlign w:val="center"/>
            <w:hideMark/>
          </w:tcPr>
          <w:p w:rsidRPr="00AE701A" w:rsidR="007C18AC" w:rsidP="007C18AC" w:rsidRDefault="007C18AC" w14:paraId="7C7B5A00" w14:textId="77777777">
            <w:pPr>
              <w:autoSpaceDE/>
              <w:autoSpaceDN/>
              <w:rPr>
                <w:rFonts w:ascii="Calibri" w:hAnsi="Calibri" w:eastAsia="Times New Roman" w:cs="Calibri"/>
                <w:color w:val="000000"/>
                <w:sz w:val="20"/>
                <w:szCs w:val="20"/>
                <w:lang w:eastAsia="en-US"/>
              </w:rPr>
            </w:pPr>
          </w:p>
        </w:tc>
        <w:tc>
          <w:tcPr>
            <w:tcW w:w="1223" w:type="dxa"/>
            <w:vMerge/>
            <w:tcBorders>
              <w:top w:val="single" w:color="auto" w:sz="4" w:space="0"/>
              <w:left w:val="single" w:color="auto" w:sz="4" w:space="0"/>
              <w:bottom w:val="single" w:color="auto" w:sz="4" w:space="0"/>
              <w:right w:val="single" w:color="auto" w:sz="4" w:space="0"/>
            </w:tcBorders>
            <w:vAlign w:val="center"/>
            <w:hideMark/>
          </w:tcPr>
          <w:p w:rsidRPr="00AE701A" w:rsidR="007C18AC" w:rsidP="007C18AC" w:rsidRDefault="007C18AC" w14:paraId="2338B979" w14:textId="77777777">
            <w:pPr>
              <w:autoSpaceDE/>
              <w:autoSpaceDN/>
              <w:rPr>
                <w:rFonts w:ascii="Calibri" w:hAnsi="Calibri" w:eastAsia="Times New Roman" w:cs="Calibri"/>
                <w:color w:val="000000"/>
                <w:sz w:val="20"/>
                <w:szCs w:val="20"/>
                <w:lang w:eastAsia="en-US"/>
              </w:rPr>
            </w:pPr>
          </w:p>
        </w:tc>
        <w:tc>
          <w:tcPr>
            <w:tcW w:w="1080" w:type="dxa"/>
            <w:vMerge/>
            <w:tcBorders>
              <w:top w:val="single" w:color="auto" w:sz="4" w:space="0"/>
              <w:left w:val="single" w:color="auto" w:sz="4" w:space="0"/>
              <w:bottom w:val="single" w:color="auto" w:sz="4" w:space="0"/>
              <w:right w:val="single" w:color="auto" w:sz="4" w:space="0"/>
            </w:tcBorders>
            <w:vAlign w:val="center"/>
            <w:hideMark/>
          </w:tcPr>
          <w:p w:rsidRPr="00AE701A" w:rsidR="007C18AC" w:rsidP="007C18AC" w:rsidRDefault="007C18AC" w14:paraId="52301A04"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7C18AC" w:rsidP="007C18AC" w:rsidRDefault="007C18AC" w14:paraId="1A62FB19" w14:textId="77777777">
            <w:pPr>
              <w:autoSpaceDE/>
              <w:autoSpaceDN/>
              <w:rPr>
                <w:rFonts w:ascii="Calibri" w:hAnsi="Calibri" w:eastAsia="Times New Roman" w:cs="Calibri"/>
                <w:color w:val="000000"/>
                <w:sz w:val="20"/>
                <w:szCs w:val="20"/>
                <w:lang w:eastAsia="en-US"/>
              </w:rPr>
            </w:pPr>
          </w:p>
        </w:tc>
        <w:tc>
          <w:tcPr>
            <w:tcW w:w="937" w:type="dxa"/>
            <w:vMerge/>
            <w:tcBorders>
              <w:top w:val="single" w:color="auto" w:sz="4" w:space="0"/>
              <w:left w:val="single" w:color="auto" w:sz="4" w:space="0"/>
              <w:bottom w:val="single" w:color="auto" w:sz="4" w:space="0"/>
              <w:right w:val="single" w:color="auto" w:sz="4" w:space="0"/>
            </w:tcBorders>
            <w:vAlign w:val="center"/>
            <w:hideMark/>
          </w:tcPr>
          <w:p w:rsidRPr="00AE701A" w:rsidR="007C18AC" w:rsidP="007C18AC" w:rsidRDefault="007C18AC" w14:paraId="6247BA48" w14:textId="77777777">
            <w:pPr>
              <w:autoSpaceDE/>
              <w:autoSpaceDN/>
              <w:rPr>
                <w:rFonts w:ascii="Calibri" w:hAnsi="Calibri" w:eastAsia="Times New Roman" w:cs="Calibri"/>
                <w:color w:val="000000"/>
                <w:sz w:val="20"/>
                <w:szCs w:val="20"/>
                <w:lang w:eastAsia="en-US"/>
              </w:rPr>
            </w:pPr>
          </w:p>
        </w:tc>
        <w:tc>
          <w:tcPr>
            <w:tcW w:w="1607" w:type="dxa"/>
            <w:vMerge/>
            <w:tcBorders>
              <w:top w:val="single" w:color="auto" w:sz="4" w:space="0"/>
              <w:left w:val="single" w:color="auto" w:sz="4" w:space="0"/>
              <w:bottom w:val="single" w:color="auto" w:sz="4" w:space="0"/>
              <w:right w:val="single" w:color="auto" w:sz="4" w:space="0"/>
            </w:tcBorders>
            <w:vAlign w:val="center"/>
            <w:hideMark/>
          </w:tcPr>
          <w:p w:rsidRPr="00AE701A" w:rsidR="007C18AC" w:rsidP="007C18AC" w:rsidRDefault="007C18AC" w14:paraId="74C251F1" w14:textId="77777777">
            <w:pPr>
              <w:autoSpaceDE/>
              <w:autoSpaceDN/>
              <w:jc w:val="center"/>
              <w:rPr>
                <w:rFonts w:ascii="Calibri" w:hAnsi="Calibri" w:eastAsia="Times New Roman" w:cs="Calibri"/>
                <w:color w:val="000000"/>
                <w:sz w:val="20"/>
                <w:szCs w:val="20"/>
                <w:lang w:eastAsia="en-US"/>
              </w:rPr>
            </w:pPr>
          </w:p>
        </w:tc>
        <w:tc>
          <w:tcPr>
            <w:tcW w:w="1140" w:type="dxa"/>
            <w:vMerge/>
            <w:tcBorders>
              <w:top w:val="single" w:color="auto" w:sz="4" w:space="0"/>
              <w:left w:val="single" w:color="auto" w:sz="4" w:space="0"/>
              <w:bottom w:val="single" w:color="auto" w:sz="4" w:space="0"/>
              <w:right w:val="single" w:color="auto" w:sz="4" w:space="0"/>
            </w:tcBorders>
            <w:vAlign w:val="center"/>
            <w:hideMark/>
          </w:tcPr>
          <w:p w:rsidRPr="00AE701A" w:rsidR="007C18AC" w:rsidP="007C18AC" w:rsidRDefault="007C18AC" w14:paraId="5DCE7912" w14:textId="77777777">
            <w:pPr>
              <w:autoSpaceDE/>
              <w:autoSpaceDN/>
              <w:jc w:val="center"/>
              <w:rPr>
                <w:rFonts w:ascii="Calibri" w:hAnsi="Calibri" w:eastAsia="Times New Roman" w:cs="Calibri"/>
                <w:color w:val="000000"/>
                <w:sz w:val="20"/>
                <w:szCs w:val="20"/>
                <w:lang w:eastAsia="en-US"/>
              </w:rPr>
            </w:pPr>
          </w:p>
        </w:tc>
      </w:tr>
      <w:tr w:rsidRPr="00AE701A" w:rsidR="00FD5B56" w:rsidTr="00313268" w14:paraId="6BCC0F69" w14:textId="77777777">
        <w:trPr>
          <w:trHeight w:val="29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1B883D16" w14:textId="77777777">
            <w:pPr>
              <w:autoSpaceDE/>
              <w:autoSpaceDN/>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Notification to Employees</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B1E6C" w:rsidR="00AE701A" w:rsidP="00AE701A" w:rsidRDefault="00AE701A" w14:paraId="549C3368"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6-month</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7B4BA7" w:rsidR="00AE701A" w:rsidP="00AE701A" w:rsidRDefault="00AE701A" w14:paraId="076D0263" w14:textId="77777777">
            <w:pPr>
              <w:autoSpaceDE/>
              <w:autoSpaceDN/>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 xml:space="preserve">Manager </w:t>
            </w:r>
          </w:p>
        </w:tc>
        <w:tc>
          <w:tcPr>
            <w:tcW w:w="1404"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3340D7" w:rsidR="00AE701A" w:rsidP="00AE701A" w:rsidRDefault="00AE701A" w14:paraId="7C014F20" w14:textId="77777777">
            <w:pPr>
              <w:autoSpaceDE/>
              <w:autoSpaceDN/>
              <w:rPr>
                <w:rFonts w:ascii="Calibri" w:hAnsi="Calibri" w:eastAsia="Times New Roman" w:cs="Calibri"/>
                <w:color w:val="000000"/>
                <w:sz w:val="20"/>
                <w:szCs w:val="20"/>
                <w:lang w:eastAsia="en-US"/>
              </w:rPr>
            </w:pPr>
            <w:r w:rsidRPr="003340D7">
              <w:rPr>
                <w:rFonts w:ascii="Calibri" w:hAnsi="Calibri" w:eastAsia="Times New Roman" w:cs="Calibri"/>
                <w:color w:val="000000"/>
                <w:sz w:val="20"/>
                <w:szCs w:val="20"/>
                <w:lang w:eastAsia="en-US"/>
              </w:rPr>
              <w:t>GO Manager</w:t>
            </w:r>
          </w:p>
        </w:tc>
        <w:tc>
          <w:tcPr>
            <w:tcW w:w="117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D0186" w:rsidR="00AE701A" w:rsidP="00AE701A" w:rsidRDefault="001034F9" w14:paraId="5945838C" w14:textId="36CB49A0">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7,057</w:t>
            </w:r>
          </w:p>
        </w:tc>
        <w:tc>
          <w:tcPr>
            <w:tcW w:w="1223"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5AD474B0"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50%</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238D742F"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0.5</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194DDF" w14:paraId="04AEE64D" w14:textId="698CF5C7">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1,764.32</w:t>
            </w:r>
          </w:p>
        </w:tc>
        <w:tc>
          <w:tcPr>
            <w:tcW w:w="937" w:type="dxa"/>
            <w:vMerge w:val="restart"/>
            <w:tcBorders>
              <w:top w:val="single" w:color="auto" w:sz="4" w:space="0"/>
              <w:left w:val="single" w:color="auto" w:sz="4" w:space="0"/>
              <w:bottom w:val="single" w:color="auto" w:sz="4" w:space="0"/>
              <w:right w:val="single" w:color="auto" w:sz="4" w:space="0"/>
            </w:tcBorders>
            <w:shd w:val="clear" w:color="000000" w:fill="FFFFFF"/>
            <w:vAlign w:val="center"/>
            <w:hideMark/>
          </w:tcPr>
          <w:p w:rsidRPr="00252CD2" w:rsidR="00AE701A" w:rsidP="00AE701A" w:rsidRDefault="00AE701A" w14:paraId="44C5C66E"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$88.16 </w:t>
            </w:r>
          </w:p>
        </w:tc>
        <w:tc>
          <w:tcPr>
            <w:tcW w:w="160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8078A1" w:rsidRDefault="00173263" w14:paraId="725A351C" w14:textId="44E8A047">
            <w:pPr>
              <w:autoSpaceDE/>
              <w:autoSpaceDN/>
              <w:jc w:val="center"/>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w:t>
            </w:r>
            <w:r w:rsidR="00194DDF">
              <w:rPr>
                <w:rFonts w:ascii="Calibri" w:hAnsi="Calibri" w:eastAsia="Times New Roman" w:cs="Calibri"/>
                <w:color w:val="000000"/>
                <w:sz w:val="20"/>
                <w:szCs w:val="20"/>
                <w:lang w:eastAsia="en-US"/>
              </w:rPr>
              <w:t>155,542.79</w:t>
            </w:r>
            <w:r w:rsidRPr="00252CD2" w:rsidR="00AE701A">
              <w:rPr>
                <w:rFonts w:ascii="Calibri" w:hAnsi="Calibri" w:eastAsia="Times New Roman" w:cs="Calibri"/>
                <w:color w:val="000000"/>
                <w:sz w:val="20"/>
                <w:szCs w:val="20"/>
                <w:lang w:eastAsia="en-US"/>
              </w:rPr>
              <w:t xml:space="preserve"> </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7C18AC" w:rsidRDefault="007C18AC" w14:paraId="09B47A7F" w14:textId="7E42C9BC">
            <w:pPr>
              <w:autoSpaceDE/>
              <w:autoSpaceDN/>
              <w:jc w:val="center"/>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3,529</w:t>
            </w:r>
          </w:p>
        </w:tc>
      </w:tr>
      <w:tr w:rsidRPr="00AE701A" w:rsidR="00FD5B56" w:rsidTr="00313268" w14:paraId="71DD9B8F" w14:textId="77777777">
        <w:trPr>
          <w:trHeight w:val="68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0E780E9B" w14:textId="77777777">
            <w:pPr>
              <w:autoSpaceDE/>
              <w:autoSpaceDN/>
              <w:jc w:val="right"/>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 xml:space="preserve">          Very Small  Establishments</w:t>
            </w:r>
          </w:p>
        </w:tc>
        <w:tc>
          <w:tcPr>
            <w:tcW w:w="126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2ED513AC"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3F606C46" w14:textId="77777777">
            <w:pPr>
              <w:autoSpaceDE/>
              <w:autoSpaceDN/>
              <w:rPr>
                <w:rFonts w:ascii="Calibri" w:hAnsi="Calibri" w:eastAsia="Times New Roman" w:cs="Calibri"/>
                <w:color w:val="000000"/>
                <w:sz w:val="20"/>
                <w:szCs w:val="20"/>
                <w:lang w:eastAsia="en-US"/>
              </w:rPr>
            </w:pPr>
          </w:p>
        </w:tc>
        <w:tc>
          <w:tcPr>
            <w:tcW w:w="1404"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71269B82" w14:textId="77777777">
            <w:pPr>
              <w:autoSpaceDE/>
              <w:autoSpaceDN/>
              <w:rPr>
                <w:rFonts w:ascii="Calibri" w:hAnsi="Calibri" w:eastAsia="Times New Roman" w:cs="Calibri"/>
                <w:color w:val="000000"/>
                <w:sz w:val="20"/>
                <w:szCs w:val="20"/>
                <w:lang w:eastAsia="en-US"/>
              </w:rPr>
            </w:pPr>
          </w:p>
        </w:tc>
        <w:tc>
          <w:tcPr>
            <w:tcW w:w="117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7128C182" w14:textId="77777777">
            <w:pPr>
              <w:autoSpaceDE/>
              <w:autoSpaceDN/>
              <w:rPr>
                <w:rFonts w:ascii="Calibri" w:hAnsi="Calibri" w:eastAsia="Times New Roman" w:cs="Calibri"/>
                <w:color w:val="000000"/>
                <w:sz w:val="20"/>
                <w:szCs w:val="20"/>
                <w:lang w:eastAsia="en-US"/>
              </w:rPr>
            </w:pPr>
          </w:p>
        </w:tc>
        <w:tc>
          <w:tcPr>
            <w:tcW w:w="1223"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43949F06" w14:textId="77777777">
            <w:pPr>
              <w:autoSpaceDE/>
              <w:autoSpaceDN/>
              <w:rPr>
                <w:rFonts w:ascii="Calibri" w:hAnsi="Calibri" w:eastAsia="Times New Roman" w:cs="Calibri"/>
                <w:color w:val="000000"/>
                <w:sz w:val="20"/>
                <w:szCs w:val="20"/>
                <w:lang w:eastAsia="en-US"/>
              </w:rPr>
            </w:pPr>
          </w:p>
        </w:tc>
        <w:tc>
          <w:tcPr>
            <w:tcW w:w="108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37A57A54"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6252B77D" w14:textId="77777777">
            <w:pPr>
              <w:autoSpaceDE/>
              <w:autoSpaceDN/>
              <w:rPr>
                <w:rFonts w:ascii="Calibri" w:hAnsi="Calibri" w:eastAsia="Times New Roman" w:cs="Calibri"/>
                <w:color w:val="000000"/>
                <w:sz w:val="20"/>
                <w:szCs w:val="20"/>
                <w:lang w:eastAsia="en-US"/>
              </w:rPr>
            </w:pPr>
          </w:p>
        </w:tc>
        <w:tc>
          <w:tcPr>
            <w:tcW w:w="937"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1A56217C" w14:textId="77777777">
            <w:pPr>
              <w:autoSpaceDE/>
              <w:autoSpaceDN/>
              <w:rPr>
                <w:rFonts w:ascii="Calibri" w:hAnsi="Calibri" w:eastAsia="Times New Roman" w:cs="Calibri"/>
                <w:color w:val="000000"/>
                <w:sz w:val="20"/>
                <w:szCs w:val="20"/>
                <w:lang w:eastAsia="en-US"/>
              </w:rPr>
            </w:pPr>
          </w:p>
        </w:tc>
        <w:tc>
          <w:tcPr>
            <w:tcW w:w="1607"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8078A1" w:rsidRDefault="00AE701A" w14:paraId="754F5B2D" w14:textId="77777777">
            <w:pPr>
              <w:autoSpaceDE/>
              <w:autoSpaceDN/>
              <w:jc w:val="center"/>
              <w:rPr>
                <w:rFonts w:ascii="Calibri" w:hAnsi="Calibri" w:eastAsia="Times New Roman" w:cs="Calibri"/>
                <w:color w:val="000000"/>
                <w:sz w:val="20"/>
                <w:szCs w:val="20"/>
                <w:lang w:eastAsia="en-US"/>
              </w:rPr>
            </w:pPr>
          </w:p>
        </w:tc>
        <w:tc>
          <w:tcPr>
            <w:tcW w:w="11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8078A1" w:rsidRDefault="00AE701A" w14:paraId="0069B1FB" w14:textId="77777777">
            <w:pPr>
              <w:autoSpaceDE/>
              <w:autoSpaceDN/>
              <w:jc w:val="center"/>
              <w:rPr>
                <w:rFonts w:ascii="Calibri" w:hAnsi="Calibri" w:eastAsia="Times New Roman" w:cs="Calibri"/>
                <w:color w:val="000000"/>
                <w:sz w:val="20"/>
                <w:szCs w:val="20"/>
                <w:lang w:eastAsia="en-US"/>
              </w:rPr>
            </w:pPr>
          </w:p>
        </w:tc>
      </w:tr>
      <w:tr w:rsidRPr="00AE701A" w:rsidR="00091560" w:rsidTr="008078A1" w14:paraId="389E9504" w14:textId="77777777">
        <w:trPr>
          <w:trHeight w:val="300"/>
        </w:trPr>
        <w:tc>
          <w:tcPr>
            <w:tcW w:w="14321" w:type="dxa"/>
            <w:gridSpan w:val="11"/>
            <w:tcBorders>
              <w:top w:val="single" w:color="auto" w:sz="4" w:space="0"/>
              <w:left w:val="single" w:color="auto" w:sz="4" w:space="0"/>
              <w:bottom w:val="single" w:color="auto" w:sz="4" w:space="0"/>
              <w:right w:val="single" w:color="auto" w:sz="4" w:space="0"/>
            </w:tcBorders>
            <w:shd w:val="clear" w:color="000000" w:fill="B4C6E7"/>
            <w:vAlign w:val="center"/>
            <w:hideMark/>
          </w:tcPr>
          <w:p w:rsidRPr="00520C25" w:rsidR="00AE701A" w:rsidP="00FC64EF" w:rsidRDefault="00AE701A" w14:paraId="5DA5B1B0" w14:textId="77777777">
            <w:pPr>
              <w:autoSpaceDE/>
              <w:autoSpaceDN/>
              <w:rPr>
                <w:rFonts w:ascii="Calibri" w:hAnsi="Calibri" w:eastAsia="Times New Roman" w:cs="Calibri"/>
                <w:b/>
                <w:bCs/>
                <w:color w:val="000000"/>
                <w:sz w:val="20"/>
                <w:szCs w:val="20"/>
                <w:lang w:eastAsia="en-US"/>
              </w:rPr>
            </w:pPr>
            <w:r w:rsidRPr="00520C25">
              <w:rPr>
                <w:rFonts w:ascii="Calibri" w:hAnsi="Calibri" w:eastAsia="Times New Roman" w:cs="Calibri"/>
                <w:b/>
                <w:bCs/>
                <w:color w:val="000000"/>
                <w:sz w:val="20"/>
                <w:szCs w:val="20"/>
                <w:lang w:eastAsia="en-US"/>
              </w:rPr>
              <w:t>4. Medical Removal Protection</w:t>
            </w:r>
          </w:p>
        </w:tc>
      </w:tr>
      <w:tr w:rsidRPr="00AE701A" w:rsidR="00FD5B56" w:rsidTr="00313268" w14:paraId="11C10908" w14:textId="77777777">
        <w:trPr>
          <w:trHeight w:val="300"/>
        </w:trPr>
        <w:tc>
          <w:tcPr>
            <w:tcW w:w="162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520C25" w:rsidR="00AE701A" w:rsidP="00AE701A" w:rsidRDefault="00AE701A" w14:paraId="36C77965" w14:textId="77777777">
            <w:pPr>
              <w:autoSpaceDE/>
              <w:autoSpaceDN/>
              <w:rPr>
                <w:rFonts w:ascii="Calibri" w:hAnsi="Calibri" w:eastAsia="Times New Roman" w:cs="Calibri"/>
                <w:b/>
                <w:bCs/>
                <w:color w:val="000000"/>
                <w:sz w:val="20"/>
                <w:szCs w:val="20"/>
                <w:lang w:eastAsia="en-US"/>
              </w:rPr>
            </w:pPr>
            <w:r w:rsidRPr="00520C25">
              <w:rPr>
                <w:rFonts w:ascii="Calibri" w:hAnsi="Calibri" w:eastAsia="Times New Roman" w:cs="Calibri"/>
                <w:b/>
                <w:bCs/>
                <w:color w:val="000000"/>
                <w:sz w:val="20"/>
                <w:szCs w:val="20"/>
                <w:lang w:eastAsia="en-US"/>
              </w:rPr>
              <w:t>a. Medical Removal</w:t>
            </w:r>
          </w:p>
        </w:tc>
        <w:tc>
          <w:tcPr>
            <w:tcW w:w="126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AB1E6C" w:rsidR="00AE701A" w:rsidP="00AE701A" w:rsidRDefault="00AE701A" w14:paraId="1D88E159" w14:textId="77777777">
            <w:pPr>
              <w:autoSpaceDE/>
              <w:autoSpaceDN/>
              <w:rPr>
                <w:rFonts w:ascii="Calibri" w:hAnsi="Calibri" w:eastAsia="Times New Roman" w:cs="Calibri"/>
                <w:b/>
                <w:bCs/>
                <w:color w:val="000000"/>
                <w:sz w:val="20"/>
                <w:szCs w:val="20"/>
                <w:lang w:eastAsia="en-US"/>
              </w:rPr>
            </w:pPr>
            <w:r w:rsidRPr="00AB1E6C">
              <w:rPr>
                <w:rFonts w:ascii="Calibri" w:hAnsi="Calibri" w:eastAsia="Times New Roman" w:cs="Calibri"/>
                <w:b/>
                <w:bCs/>
                <w:color w:val="000000"/>
                <w:sz w:val="20"/>
                <w:szCs w:val="20"/>
                <w:lang w:eastAsia="en-US"/>
              </w:rPr>
              <w:t> </w:t>
            </w:r>
          </w:p>
        </w:tc>
        <w:tc>
          <w:tcPr>
            <w:tcW w:w="144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7B4BA7" w:rsidR="00AE701A" w:rsidP="00AE701A" w:rsidRDefault="00AE701A" w14:paraId="2739DC04" w14:textId="77777777">
            <w:pPr>
              <w:autoSpaceDE/>
              <w:autoSpaceDN/>
              <w:rPr>
                <w:rFonts w:ascii="Calibri" w:hAnsi="Calibri" w:eastAsia="Times New Roman" w:cs="Calibri"/>
                <w:b/>
                <w:bCs/>
                <w:color w:val="000000"/>
                <w:sz w:val="20"/>
                <w:szCs w:val="20"/>
                <w:lang w:eastAsia="en-US"/>
              </w:rPr>
            </w:pPr>
            <w:r w:rsidRPr="007B4BA7">
              <w:rPr>
                <w:rFonts w:ascii="Calibri" w:hAnsi="Calibri" w:eastAsia="Times New Roman" w:cs="Calibri"/>
                <w:b/>
                <w:bCs/>
                <w:color w:val="000000"/>
                <w:sz w:val="20"/>
                <w:szCs w:val="20"/>
                <w:lang w:eastAsia="en-US"/>
              </w:rPr>
              <w:t> </w:t>
            </w:r>
          </w:p>
        </w:tc>
        <w:tc>
          <w:tcPr>
            <w:tcW w:w="1404"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3340D7" w:rsidR="00AE701A" w:rsidP="00AE701A" w:rsidRDefault="00AE701A" w14:paraId="71BA4045" w14:textId="77777777">
            <w:pPr>
              <w:autoSpaceDE/>
              <w:autoSpaceDN/>
              <w:rPr>
                <w:rFonts w:ascii="Calibri" w:hAnsi="Calibri" w:eastAsia="Times New Roman" w:cs="Calibri"/>
                <w:b/>
                <w:bCs/>
                <w:color w:val="000000"/>
                <w:sz w:val="20"/>
                <w:szCs w:val="20"/>
                <w:lang w:eastAsia="en-US"/>
              </w:rPr>
            </w:pPr>
            <w:r w:rsidRPr="003340D7">
              <w:rPr>
                <w:rFonts w:ascii="Calibri" w:hAnsi="Calibri" w:eastAsia="Times New Roman" w:cs="Calibri"/>
                <w:b/>
                <w:bCs/>
                <w:color w:val="000000"/>
                <w:sz w:val="20"/>
                <w:szCs w:val="20"/>
                <w:lang w:eastAsia="en-US"/>
              </w:rPr>
              <w:t> </w:t>
            </w:r>
          </w:p>
        </w:tc>
        <w:tc>
          <w:tcPr>
            <w:tcW w:w="117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1D0186" w:rsidR="00AE701A" w:rsidP="00AE701A" w:rsidRDefault="00AE701A" w14:paraId="11408776" w14:textId="77777777">
            <w:pPr>
              <w:autoSpaceDE/>
              <w:autoSpaceDN/>
              <w:rPr>
                <w:rFonts w:ascii="Calibri" w:hAnsi="Calibri" w:eastAsia="Times New Roman" w:cs="Calibri"/>
                <w:b/>
                <w:bCs/>
                <w:color w:val="000000"/>
                <w:sz w:val="20"/>
                <w:szCs w:val="20"/>
                <w:lang w:eastAsia="en-US"/>
              </w:rPr>
            </w:pPr>
            <w:r w:rsidRPr="001D0186">
              <w:rPr>
                <w:rFonts w:ascii="Calibri" w:hAnsi="Calibri" w:eastAsia="Times New Roman" w:cs="Calibri"/>
                <w:b/>
                <w:bCs/>
                <w:color w:val="000000"/>
                <w:sz w:val="20"/>
                <w:szCs w:val="20"/>
                <w:lang w:eastAsia="en-US"/>
              </w:rPr>
              <w:t> </w:t>
            </w:r>
          </w:p>
        </w:tc>
        <w:tc>
          <w:tcPr>
            <w:tcW w:w="1223"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252CD2" w:rsidR="00AE701A" w:rsidP="00AE701A" w:rsidRDefault="00AE701A" w14:paraId="73997F06" w14:textId="77777777">
            <w:pPr>
              <w:autoSpaceDE/>
              <w:autoSpaceDN/>
              <w:rPr>
                <w:rFonts w:ascii="Calibri" w:hAnsi="Calibri" w:eastAsia="Times New Roman" w:cs="Calibri"/>
                <w:b/>
                <w:bCs/>
                <w:color w:val="000000"/>
                <w:sz w:val="20"/>
                <w:szCs w:val="20"/>
                <w:lang w:eastAsia="en-US"/>
              </w:rPr>
            </w:pPr>
            <w:r w:rsidRPr="00252CD2">
              <w:rPr>
                <w:rFonts w:ascii="Calibri" w:hAnsi="Calibri" w:eastAsia="Times New Roman" w:cs="Calibri"/>
                <w:b/>
                <w:bCs/>
                <w:color w:val="000000"/>
                <w:sz w:val="20"/>
                <w:szCs w:val="20"/>
                <w:lang w:eastAsia="en-US"/>
              </w:rPr>
              <w:t> </w:t>
            </w:r>
          </w:p>
        </w:tc>
        <w:tc>
          <w:tcPr>
            <w:tcW w:w="108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252CD2" w:rsidR="00AE701A" w:rsidP="00AE701A" w:rsidRDefault="00AE701A" w14:paraId="62AAFC1E" w14:textId="77777777">
            <w:pPr>
              <w:autoSpaceDE/>
              <w:autoSpaceDN/>
              <w:rPr>
                <w:rFonts w:ascii="Calibri" w:hAnsi="Calibri" w:eastAsia="Times New Roman" w:cs="Calibri"/>
                <w:b/>
                <w:bCs/>
                <w:color w:val="000000"/>
                <w:sz w:val="20"/>
                <w:szCs w:val="20"/>
                <w:lang w:eastAsia="en-US"/>
              </w:rPr>
            </w:pPr>
            <w:r w:rsidRPr="00252CD2">
              <w:rPr>
                <w:rFonts w:ascii="Calibri" w:hAnsi="Calibri" w:eastAsia="Times New Roman" w:cs="Calibri"/>
                <w:b/>
                <w:bCs/>
                <w:color w:val="000000"/>
                <w:sz w:val="20"/>
                <w:szCs w:val="20"/>
                <w:lang w:eastAsia="en-US"/>
              </w:rPr>
              <w:t> </w:t>
            </w:r>
          </w:p>
        </w:tc>
        <w:tc>
          <w:tcPr>
            <w:tcW w:w="144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252CD2" w:rsidR="00AE701A" w:rsidP="00AE701A" w:rsidRDefault="00AE701A" w14:paraId="5496FD50" w14:textId="77777777">
            <w:pPr>
              <w:autoSpaceDE/>
              <w:autoSpaceDN/>
              <w:rPr>
                <w:rFonts w:ascii="Calibri" w:hAnsi="Calibri" w:eastAsia="Times New Roman" w:cs="Calibri"/>
                <w:b/>
                <w:bCs/>
                <w:color w:val="000000"/>
                <w:sz w:val="20"/>
                <w:szCs w:val="20"/>
                <w:lang w:eastAsia="en-US"/>
              </w:rPr>
            </w:pPr>
            <w:r w:rsidRPr="00252CD2">
              <w:rPr>
                <w:rFonts w:ascii="Calibri" w:hAnsi="Calibri" w:eastAsia="Times New Roman" w:cs="Calibri"/>
                <w:b/>
                <w:bCs/>
                <w:color w:val="000000"/>
                <w:sz w:val="20"/>
                <w:szCs w:val="20"/>
                <w:lang w:eastAsia="en-US"/>
              </w:rPr>
              <w:t> </w:t>
            </w:r>
          </w:p>
        </w:tc>
        <w:tc>
          <w:tcPr>
            <w:tcW w:w="937"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252CD2" w:rsidR="00AE701A" w:rsidP="00AE701A" w:rsidRDefault="00AE701A" w14:paraId="3F80CDEA" w14:textId="77777777">
            <w:pPr>
              <w:autoSpaceDE/>
              <w:autoSpaceDN/>
              <w:rPr>
                <w:rFonts w:ascii="Calibri" w:hAnsi="Calibri" w:eastAsia="Times New Roman" w:cs="Calibri"/>
                <w:b/>
                <w:bCs/>
                <w:color w:val="000000"/>
                <w:sz w:val="20"/>
                <w:szCs w:val="20"/>
                <w:lang w:eastAsia="en-US"/>
              </w:rPr>
            </w:pPr>
            <w:r w:rsidRPr="00252CD2">
              <w:rPr>
                <w:rFonts w:ascii="Calibri" w:hAnsi="Calibri" w:eastAsia="Times New Roman" w:cs="Calibri"/>
                <w:b/>
                <w:bCs/>
                <w:color w:val="000000"/>
                <w:sz w:val="20"/>
                <w:szCs w:val="20"/>
                <w:lang w:eastAsia="en-US"/>
              </w:rPr>
              <w:t> </w:t>
            </w:r>
          </w:p>
        </w:tc>
        <w:tc>
          <w:tcPr>
            <w:tcW w:w="1607"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252CD2" w:rsidR="00AE701A" w:rsidP="008078A1" w:rsidRDefault="00AE701A" w14:paraId="4B685A68" w14:textId="372578E0">
            <w:pPr>
              <w:autoSpaceDE/>
              <w:autoSpaceDN/>
              <w:jc w:val="center"/>
              <w:rPr>
                <w:rFonts w:ascii="Calibri" w:hAnsi="Calibri" w:eastAsia="Times New Roman" w:cs="Calibri"/>
                <w:b/>
                <w:bCs/>
                <w:color w:val="000000"/>
                <w:sz w:val="20"/>
                <w:szCs w:val="20"/>
                <w:lang w:eastAsia="en-US"/>
              </w:rPr>
            </w:pPr>
          </w:p>
        </w:tc>
        <w:tc>
          <w:tcPr>
            <w:tcW w:w="114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252CD2" w:rsidR="00AE701A" w:rsidP="008078A1" w:rsidRDefault="00AE701A" w14:paraId="7D611DCC" w14:textId="339AF115">
            <w:pPr>
              <w:autoSpaceDE/>
              <w:autoSpaceDN/>
              <w:jc w:val="center"/>
              <w:rPr>
                <w:rFonts w:ascii="Calibri" w:hAnsi="Calibri" w:eastAsia="Times New Roman" w:cs="Calibri"/>
                <w:b/>
                <w:bCs/>
                <w:color w:val="000000"/>
                <w:sz w:val="20"/>
                <w:szCs w:val="20"/>
                <w:lang w:eastAsia="en-US"/>
              </w:rPr>
            </w:pPr>
          </w:p>
        </w:tc>
      </w:tr>
      <w:tr w:rsidRPr="00AE701A" w:rsidR="007C18AC" w:rsidTr="00313268" w14:paraId="00D5C0F2" w14:textId="77777777">
        <w:trPr>
          <w:trHeight w:val="29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7C18AC" w:rsidP="007C18AC" w:rsidRDefault="007C18AC" w14:paraId="35843D5E" w14:textId="77777777">
            <w:pPr>
              <w:autoSpaceDE/>
              <w:autoSpaceDN/>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Employee Removal</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B1E6C" w:rsidR="007C18AC" w:rsidP="007C18AC" w:rsidRDefault="007C18AC" w14:paraId="2D33013D"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6-month</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7B4BA7" w:rsidR="007C18AC" w:rsidP="007C18AC" w:rsidRDefault="007C18AC" w14:paraId="18C33C95" w14:textId="77777777">
            <w:pPr>
              <w:autoSpaceDE/>
              <w:autoSpaceDN/>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 xml:space="preserve">Manager </w:t>
            </w:r>
          </w:p>
        </w:tc>
        <w:tc>
          <w:tcPr>
            <w:tcW w:w="1404"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3340D7" w:rsidR="007C18AC" w:rsidP="007C18AC" w:rsidRDefault="007C18AC" w14:paraId="14F7D52E" w14:textId="77777777">
            <w:pPr>
              <w:autoSpaceDE/>
              <w:autoSpaceDN/>
              <w:rPr>
                <w:rFonts w:ascii="Calibri" w:hAnsi="Calibri" w:eastAsia="Times New Roman" w:cs="Calibri"/>
                <w:color w:val="000000"/>
                <w:sz w:val="20"/>
                <w:szCs w:val="20"/>
                <w:lang w:eastAsia="en-US"/>
              </w:rPr>
            </w:pPr>
            <w:r w:rsidRPr="003340D7">
              <w:rPr>
                <w:rFonts w:ascii="Calibri" w:hAnsi="Calibri" w:eastAsia="Times New Roman" w:cs="Calibri"/>
                <w:color w:val="000000"/>
                <w:sz w:val="20"/>
                <w:szCs w:val="20"/>
                <w:lang w:eastAsia="en-US"/>
              </w:rPr>
              <w:t>GO Manager</w:t>
            </w:r>
          </w:p>
        </w:tc>
        <w:tc>
          <w:tcPr>
            <w:tcW w:w="1170" w:type="dxa"/>
            <w:vMerge w:val="restart"/>
            <w:tcBorders>
              <w:top w:val="single" w:color="auto" w:sz="4" w:space="0"/>
              <w:left w:val="single" w:color="auto" w:sz="4" w:space="0"/>
              <w:bottom w:val="single" w:color="auto" w:sz="4" w:space="0"/>
              <w:right w:val="single" w:color="auto" w:sz="4" w:space="0"/>
            </w:tcBorders>
            <w:shd w:val="clear" w:color="000000" w:fill="FFFFFF"/>
            <w:vAlign w:val="center"/>
            <w:hideMark/>
          </w:tcPr>
          <w:p w:rsidRPr="001D0186" w:rsidR="007C18AC" w:rsidP="007C18AC" w:rsidRDefault="00080D85" w14:paraId="02BA1045" w14:textId="64F6B252">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18,815</w:t>
            </w:r>
          </w:p>
        </w:tc>
        <w:tc>
          <w:tcPr>
            <w:tcW w:w="1223"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7C18AC" w:rsidP="007C18AC" w:rsidRDefault="007C18AC" w14:paraId="370ED047"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25%</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7C18AC" w:rsidP="007C18AC" w:rsidRDefault="007C18AC" w14:paraId="4E5909E3" w14:textId="5384E986">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0.</w:t>
            </w:r>
            <w:r>
              <w:rPr>
                <w:rFonts w:ascii="Calibri" w:hAnsi="Calibri" w:eastAsia="Times New Roman" w:cs="Calibri"/>
                <w:color w:val="000000"/>
                <w:sz w:val="20"/>
                <w:szCs w:val="20"/>
                <w:lang w:eastAsia="en-US"/>
              </w:rPr>
              <w:t>08</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7C18AC" w:rsidP="007C18AC" w:rsidRDefault="00406D90" w14:paraId="48DD2EFE" w14:textId="1E2656D7">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376.30</w:t>
            </w:r>
          </w:p>
        </w:tc>
        <w:tc>
          <w:tcPr>
            <w:tcW w:w="937" w:type="dxa"/>
            <w:vMerge w:val="restart"/>
            <w:tcBorders>
              <w:top w:val="single" w:color="auto" w:sz="4" w:space="0"/>
              <w:left w:val="single" w:color="auto" w:sz="4" w:space="0"/>
              <w:bottom w:val="single" w:color="auto" w:sz="4" w:space="0"/>
              <w:right w:val="single" w:color="auto" w:sz="4" w:space="0"/>
            </w:tcBorders>
            <w:shd w:val="clear" w:color="000000" w:fill="FFFFFF"/>
            <w:vAlign w:val="center"/>
            <w:hideMark/>
          </w:tcPr>
          <w:p w:rsidRPr="00252CD2" w:rsidR="007C18AC" w:rsidP="007C18AC" w:rsidRDefault="007C18AC" w14:paraId="6860A4D5"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$88.16 </w:t>
            </w:r>
          </w:p>
        </w:tc>
        <w:tc>
          <w:tcPr>
            <w:tcW w:w="160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7C18AC" w:rsidP="00ED1814" w:rsidRDefault="007C18AC" w14:paraId="5EA0620F" w14:textId="68A8AB20">
            <w:pPr>
              <w:autoSpaceDE/>
              <w:autoSpaceDN/>
              <w:jc w:val="center"/>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w:t>
            </w:r>
            <w:r w:rsidR="00406D90">
              <w:rPr>
                <w:rFonts w:ascii="Calibri" w:hAnsi="Calibri" w:eastAsia="Times New Roman" w:cs="Calibri"/>
                <w:color w:val="000000"/>
                <w:sz w:val="20"/>
                <w:szCs w:val="20"/>
                <w:lang w:eastAsia="en-US"/>
              </w:rPr>
              <w:t>33,175.03</w:t>
            </w:r>
            <w:r w:rsidRPr="00252CD2">
              <w:rPr>
                <w:rFonts w:ascii="Calibri" w:hAnsi="Calibri" w:eastAsia="Times New Roman" w:cs="Calibri"/>
                <w:color w:val="000000"/>
                <w:sz w:val="20"/>
                <w:szCs w:val="20"/>
                <w:lang w:eastAsia="en-US"/>
              </w:rPr>
              <w:t xml:space="preserve"> </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7C18AC" w:rsidP="007C18AC" w:rsidRDefault="007C18AC" w14:paraId="49DEBBC1" w14:textId="102956FC">
            <w:pPr>
              <w:autoSpaceDE/>
              <w:autoSpaceDN/>
              <w:jc w:val="center"/>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4,704</w:t>
            </w:r>
          </w:p>
        </w:tc>
      </w:tr>
      <w:tr w:rsidRPr="00AE701A" w:rsidR="007C18AC" w:rsidTr="00313268" w14:paraId="26BB062C" w14:textId="77777777">
        <w:trPr>
          <w:trHeight w:val="30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7C18AC" w:rsidP="007C18AC" w:rsidRDefault="007C18AC" w14:paraId="2357B19F" w14:textId="77777777">
            <w:pPr>
              <w:autoSpaceDE/>
              <w:autoSpaceDN/>
              <w:jc w:val="right"/>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Large Establishments</w:t>
            </w:r>
          </w:p>
        </w:tc>
        <w:tc>
          <w:tcPr>
            <w:tcW w:w="1260" w:type="dxa"/>
            <w:vMerge/>
            <w:tcBorders>
              <w:top w:val="single" w:color="auto" w:sz="4" w:space="0"/>
              <w:left w:val="single" w:color="auto" w:sz="4" w:space="0"/>
              <w:bottom w:val="single" w:color="auto" w:sz="4" w:space="0"/>
              <w:right w:val="single" w:color="auto" w:sz="4" w:space="0"/>
            </w:tcBorders>
            <w:vAlign w:val="center"/>
            <w:hideMark/>
          </w:tcPr>
          <w:p w:rsidRPr="00AE701A" w:rsidR="007C18AC" w:rsidP="007C18AC" w:rsidRDefault="007C18AC" w14:paraId="7645F2F5"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7C18AC" w:rsidP="007C18AC" w:rsidRDefault="007C18AC" w14:paraId="7486904F" w14:textId="77777777">
            <w:pPr>
              <w:autoSpaceDE/>
              <w:autoSpaceDN/>
              <w:rPr>
                <w:rFonts w:ascii="Calibri" w:hAnsi="Calibri" w:eastAsia="Times New Roman" w:cs="Calibri"/>
                <w:color w:val="000000"/>
                <w:sz w:val="20"/>
                <w:szCs w:val="20"/>
                <w:lang w:eastAsia="en-US"/>
              </w:rPr>
            </w:pPr>
          </w:p>
        </w:tc>
        <w:tc>
          <w:tcPr>
            <w:tcW w:w="1404" w:type="dxa"/>
            <w:vMerge/>
            <w:tcBorders>
              <w:top w:val="single" w:color="auto" w:sz="4" w:space="0"/>
              <w:left w:val="single" w:color="auto" w:sz="4" w:space="0"/>
              <w:bottom w:val="single" w:color="auto" w:sz="4" w:space="0"/>
              <w:right w:val="single" w:color="auto" w:sz="4" w:space="0"/>
            </w:tcBorders>
            <w:vAlign w:val="center"/>
            <w:hideMark/>
          </w:tcPr>
          <w:p w:rsidRPr="00AE701A" w:rsidR="007C18AC" w:rsidP="007C18AC" w:rsidRDefault="007C18AC" w14:paraId="695B0D20" w14:textId="77777777">
            <w:pPr>
              <w:autoSpaceDE/>
              <w:autoSpaceDN/>
              <w:rPr>
                <w:rFonts w:ascii="Calibri" w:hAnsi="Calibri" w:eastAsia="Times New Roman" w:cs="Calibri"/>
                <w:color w:val="000000"/>
                <w:sz w:val="20"/>
                <w:szCs w:val="20"/>
                <w:lang w:eastAsia="en-US"/>
              </w:rPr>
            </w:pPr>
          </w:p>
        </w:tc>
        <w:tc>
          <w:tcPr>
            <w:tcW w:w="1170" w:type="dxa"/>
            <w:vMerge/>
            <w:tcBorders>
              <w:top w:val="single" w:color="auto" w:sz="4" w:space="0"/>
              <w:left w:val="single" w:color="auto" w:sz="4" w:space="0"/>
              <w:bottom w:val="single" w:color="auto" w:sz="4" w:space="0"/>
              <w:right w:val="single" w:color="auto" w:sz="4" w:space="0"/>
            </w:tcBorders>
            <w:vAlign w:val="center"/>
            <w:hideMark/>
          </w:tcPr>
          <w:p w:rsidRPr="00AE701A" w:rsidR="007C18AC" w:rsidP="007C18AC" w:rsidRDefault="007C18AC" w14:paraId="65136A27" w14:textId="77777777">
            <w:pPr>
              <w:autoSpaceDE/>
              <w:autoSpaceDN/>
              <w:rPr>
                <w:rFonts w:ascii="Calibri" w:hAnsi="Calibri" w:eastAsia="Times New Roman" w:cs="Calibri"/>
                <w:color w:val="000000"/>
                <w:sz w:val="20"/>
                <w:szCs w:val="20"/>
                <w:lang w:eastAsia="en-US"/>
              </w:rPr>
            </w:pPr>
          </w:p>
        </w:tc>
        <w:tc>
          <w:tcPr>
            <w:tcW w:w="1223" w:type="dxa"/>
            <w:vMerge/>
            <w:tcBorders>
              <w:top w:val="single" w:color="auto" w:sz="4" w:space="0"/>
              <w:left w:val="single" w:color="auto" w:sz="4" w:space="0"/>
              <w:bottom w:val="single" w:color="auto" w:sz="4" w:space="0"/>
              <w:right w:val="single" w:color="auto" w:sz="4" w:space="0"/>
            </w:tcBorders>
            <w:vAlign w:val="center"/>
            <w:hideMark/>
          </w:tcPr>
          <w:p w:rsidRPr="00AE701A" w:rsidR="007C18AC" w:rsidP="007C18AC" w:rsidRDefault="007C18AC" w14:paraId="34DC38BA" w14:textId="77777777">
            <w:pPr>
              <w:autoSpaceDE/>
              <w:autoSpaceDN/>
              <w:rPr>
                <w:rFonts w:ascii="Calibri" w:hAnsi="Calibri" w:eastAsia="Times New Roman" w:cs="Calibri"/>
                <w:color w:val="000000"/>
                <w:sz w:val="20"/>
                <w:szCs w:val="20"/>
                <w:lang w:eastAsia="en-US"/>
              </w:rPr>
            </w:pPr>
          </w:p>
        </w:tc>
        <w:tc>
          <w:tcPr>
            <w:tcW w:w="1080" w:type="dxa"/>
            <w:vMerge/>
            <w:tcBorders>
              <w:top w:val="single" w:color="auto" w:sz="4" w:space="0"/>
              <w:left w:val="single" w:color="auto" w:sz="4" w:space="0"/>
              <w:bottom w:val="single" w:color="auto" w:sz="4" w:space="0"/>
              <w:right w:val="single" w:color="auto" w:sz="4" w:space="0"/>
            </w:tcBorders>
            <w:vAlign w:val="center"/>
            <w:hideMark/>
          </w:tcPr>
          <w:p w:rsidRPr="00AE701A" w:rsidR="007C18AC" w:rsidP="007C18AC" w:rsidRDefault="007C18AC" w14:paraId="7F791A3F"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7C18AC" w:rsidP="007C18AC" w:rsidRDefault="007C18AC" w14:paraId="63F0EB8E" w14:textId="77777777">
            <w:pPr>
              <w:autoSpaceDE/>
              <w:autoSpaceDN/>
              <w:rPr>
                <w:rFonts w:ascii="Calibri" w:hAnsi="Calibri" w:eastAsia="Times New Roman" w:cs="Calibri"/>
                <w:color w:val="000000"/>
                <w:sz w:val="20"/>
                <w:szCs w:val="20"/>
                <w:lang w:eastAsia="en-US"/>
              </w:rPr>
            </w:pPr>
          </w:p>
        </w:tc>
        <w:tc>
          <w:tcPr>
            <w:tcW w:w="937" w:type="dxa"/>
            <w:vMerge/>
            <w:tcBorders>
              <w:top w:val="single" w:color="auto" w:sz="4" w:space="0"/>
              <w:left w:val="single" w:color="auto" w:sz="4" w:space="0"/>
              <w:bottom w:val="single" w:color="auto" w:sz="4" w:space="0"/>
              <w:right w:val="single" w:color="auto" w:sz="4" w:space="0"/>
            </w:tcBorders>
            <w:vAlign w:val="center"/>
            <w:hideMark/>
          </w:tcPr>
          <w:p w:rsidRPr="00AE701A" w:rsidR="007C18AC" w:rsidP="007C18AC" w:rsidRDefault="007C18AC" w14:paraId="2C898C6A" w14:textId="77777777">
            <w:pPr>
              <w:autoSpaceDE/>
              <w:autoSpaceDN/>
              <w:rPr>
                <w:rFonts w:ascii="Calibri" w:hAnsi="Calibri" w:eastAsia="Times New Roman" w:cs="Calibri"/>
                <w:color w:val="000000"/>
                <w:sz w:val="20"/>
                <w:szCs w:val="20"/>
                <w:lang w:eastAsia="en-US"/>
              </w:rPr>
            </w:pPr>
          </w:p>
        </w:tc>
        <w:tc>
          <w:tcPr>
            <w:tcW w:w="1607" w:type="dxa"/>
            <w:vMerge/>
            <w:tcBorders>
              <w:top w:val="single" w:color="auto" w:sz="4" w:space="0"/>
              <w:left w:val="single" w:color="auto" w:sz="4" w:space="0"/>
              <w:bottom w:val="single" w:color="auto" w:sz="4" w:space="0"/>
              <w:right w:val="single" w:color="auto" w:sz="4" w:space="0"/>
            </w:tcBorders>
            <w:vAlign w:val="center"/>
            <w:hideMark/>
          </w:tcPr>
          <w:p w:rsidRPr="00AE701A" w:rsidR="007C18AC" w:rsidP="007C18AC" w:rsidRDefault="007C18AC" w14:paraId="33DC9294" w14:textId="77777777">
            <w:pPr>
              <w:autoSpaceDE/>
              <w:autoSpaceDN/>
              <w:jc w:val="center"/>
              <w:rPr>
                <w:rFonts w:ascii="Calibri" w:hAnsi="Calibri" w:eastAsia="Times New Roman" w:cs="Calibri"/>
                <w:color w:val="000000"/>
                <w:sz w:val="20"/>
                <w:szCs w:val="20"/>
                <w:lang w:eastAsia="en-US"/>
              </w:rPr>
            </w:pPr>
          </w:p>
        </w:tc>
        <w:tc>
          <w:tcPr>
            <w:tcW w:w="1140" w:type="dxa"/>
            <w:vMerge/>
            <w:tcBorders>
              <w:top w:val="single" w:color="auto" w:sz="4" w:space="0"/>
              <w:left w:val="single" w:color="auto" w:sz="4" w:space="0"/>
              <w:bottom w:val="single" w:color="auto" w:sz="4" w:space="0"/>
              <w:right w:val="single" w:color="auto" w:sz="4" w:space="0"/>
            </w:tcBorders>
            <w:vAlign w:val="center"/>
            <w:hideMark/>
          </w:tcPr>
          <w:p w:rsidRPr="00AE701A" w:rsidR="007C18AC" w:rsidP="007C18AC" w:rsidRDefault="007C18AC" w14:paraId="2FF009F7" w14:textId="77777777">
            <w:pPr>
              <w:autoSpaceDE/>
              <w:autoSpaceDN/>
              <w:jc w:val="center"/>
              <w:rPr>
                <w:rFonts w:ascii="Calibri" w:hAnsi="Calibri" w:eastAsia="Times New Roman" w:cs="Calibri"/>
                <w:color w:val="000000"/>
                <w:sz w:val="20"/>
                <w:szCs w:val="20"/>
                <w:lang w:eastAsia="en-US"/>
              </w:rPr>
            </w:pPr>
          </w:p>
        </w:tc>
      </w:tr>
      <w:tr w:rsidRPr="00AE701A" w:rsidR="007C18AC" w:rsidTr="00313268" w14:paraId="382B19EA" w14:textId="77777777">
        <w:trPr>
          <w:trHeight w:val="29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7C18AC" w:rsidP="007C18AC" w:rsidRDefault="007C18AC" w14:paraId="6FE89DB9" w14:textId="77777777">
            <w:pPr>
              <w:autoSpaceDE/>
              <w:autoSpaceDN/>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Employee Removal</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B1E6C" w:rsidR="007C18AC" w:rsidP="007C18AC" w:rsidRDefault="007C18AC" w14:paraId="49F7B6F2"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6-month</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7B4BA7" w:rsidR="007C18AC" w:rsidP="007C18AC" w:rsidRDefault="007C18AC" w14:paraId="3F323BC1" w14:textId="77777777">
            <w:pPr>
              <w:autoSpaceDE/>
              <w:autoSpaceDN/>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 xml:space="preserve">Manager </w:t>
            </w:r>
          </w:p>
        </w:tc>
        <w:tc>
          <w:tcPr>
            <w:tcW w:w="1404"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3340D7" w:rsidR="007C18AC" w:rsidP="007C18AC" w:rsidRDefault="007C18AC" w14:paraId="052B2CCA" w14:textId="77777777">
            <w:pPr>
              <w:autoSpaceDE/>
              <w:autoSpaceDN/>
              <w:rPr>
                <w:rFonts w:ascii="Calibri" w:hAnsi="Calibri" w:eastAsia="Times New Roman" w:cs="Calibri"/>
                <w:color w:val="000000"/>
                <w:sz w:val="20"/>
                <w:szCs w:val="20"/>
                <w:lang w:eastAsia="en-US"/>
              </w:rPr>
            </w:pPr>
            <w:r w:rsidRPr="003340D7">
              <w:rPr>
                <w:rFonts w:ascii="Calibri" w:hAnsi="Calibri" w:eastAsia="Times New Roman" w:cs="Calibri"/>
                <w:color w:val="000000"/>
                <w:sz w:val="20"/>
                <w:szCs w:val="20"/>
                <w:lang w:eastAsia="en-US"/>
              </w:rPr>
              <w:t>GO Manager</w:t>
            </w:r>
          </w:p>
        </w:tc>
        <w:tc>
          <w:tcPr>
            <w:tcW w:w="1170" w:type="dxa"/>
            <w:vMerge w:val="restart"/>
            <w:tcBorders>
              <w:top w:val="single" w:color="auto" w:sz="4" w:space="0"/>
              <w:left w:val="single" w:color="auto" w:sz="4" w:space="0"/>
              <w:bottom w:val="single" w:color="auto" w:sz="4" w:space="0"/>
              <w:right w:val="single" w:color="auto" w:sz="4" w:space="0"/>
            </w:tcBorders>
            <w:shd w:val="clear" w:color="000000" w:fill="FFFFFF"/>
            <w:vAlign w:val="center"/>
            <w:hideMark/>
          </w:tcPr>
          <w:p w:rsidRPr="001D0186" w:rsidR="007C18AC" w:rsidP="007C18AC" w:rsidRDefault="00406D90" w14:paraId="6461F468" w14:textId="17BF5916">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33,056</w:t>
            </w:r>
          </w:p>
        </w:tc>
        <w:tc>
          <w:tcPr>
            <w:tcW w:w="1223"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7C18AC" w:rsidP="007C18AC" w:rsidRDefault="007C18AC" w14:paraId="1CEA2E5F"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25%</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7C18AC" w:rsidP="007C18AC" w:rsidRDefault="007C18AC" w14:paraId="5F01BE43" w14:textId="700BF12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0.</w:t>
            </w:r>
            <w:r>
              <w:rPr>
                <w:rFonts w:ascii="Calibri" w:hAnsi="Calibri" w:eastAsia="Times New Roman" w:cs="Calibri"/>
                <w:color w:val="000000"/>
                <w:sz w:val="20"/>
                <w:szCs w:val="20"/>
                <w:lang w:eastAsia="en-US"/>
              </w:rPr>
              <w:t>08</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7C18AC" w:rsidP="007C18AC" w:rsidRDefault="00406D90" w14:paraId="60ED02AE" w14:textId="783036AF">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661.12</w:t>
            </w:r>
          </w:p>
        </w:tc>
        <w:tc>
          <w:tcPr>
            <w:tcW w:w="937" w:type="dxa"/>
            <w:vMerge w:val="restart"/>
            <w:tcBorders>
              <w:top w:val="single" w:color="auto" w:sz="4" w:space="0"/>
              <w:left w:val="single" w:color="auto" w:sz="4" w:space="0"/>
              <w:bottom w:val="single" w:color="auto" w:sz="4" w:space="0"/>
              <w:right w:val="single" w:color="auto" w:sz="4" w:space="0"/>
            </w:tcBorders>
            <w:shd w:val="clear" w:color="000000" w:fill="FFFFFF"/>
            <w:vAlign w:val="center"/>
            <w:hideMark/>
          </w:tcPr>
          <w:p w:rsidRPr="00252CD2" w:rsidR="007C18AC" w:rsidP="007C18AC" w:rsidRDefault="007C18AC" w14:paraId="7F8CAE17"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$88.16 </w:t>
            </w:r>
          </w:p>
        </w:tc>
        <w:tc>
          <w:tcPr>
            <w:tcW w:w="160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7C18AC" w:rsidP="007C18AC" w:rsidRDefault="007C18AC" w14:paraId="52FFA33D" w14:textId="6D791148">
            <w:pPr>
              <w:autoSpaceDE/>
              <w:autoSpaceDN/>
              <w:jc w:val="center"/>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w:t>
            </w:r>
            <w:r w:rsidR="00406D90">
              <w:rPr>
                <w:rFonts w:ascii="Calibri" w:hAnsi="Calibri" w:eastAsia="Times New Roman" w:cs="Calibri"/>
                <w:color w:val="000000"/>
                <w:sz w:val="20"/>
                <w:szCs w:val="20"/>
                <w:lang w:eastAsia="en-US"/>
              </w:rPr>
              <w:t>58,284.48</w:t>
            </w:r>
            <w:r w:rsidRPr="00252CD2">
              <w:rPr>
                <w:rFonts w:ascii="Calibri" w:hAnsi="Calibri" w:eastAsia="Times New Roman" w:cs="Calibri"/>
                <w:color w:val="000000"/>
                <w:sz w:val="20"/>
                <w:szCs w:val="20"/>
                <w:lang w:eastAsia="en-US"/>
              </w:rPr>
              <w:t xml:space="preserve"> </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7C18AC" w:rsidP="002E088D" w:rsidRDefault="007C18AC" w14:paraId="342630CE" w14:textId="72E26B79">
            <w:pPr>
              <w:autoSpaceDE/>
              <w:autoSpaceDN/>
              <w:jc w:val="center"/>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8,26</w:t>
            </w:r>
            <w:r w:rsidR="002E088D">
              <w:rPr>
                <w:rFonts w:ascii="Calibri" w:hAnsi="Calibri" w:eastAsia="Times New Roman" w:cs="Calibri"/>
                <w:color w:val="000000"/>
                <w:sz w:val="20"/>
                <w:szCs w:val="20"/>
                <w:lang w:eastAsia="en-US"/>
              </w:rPr>
              <w:t>4</w:t>
            </w:r>
          </w:p>
        </w:tc>
      </w:tr>
      <w:tr w:rsidRPr="00AE701A" w:rsidR="007C18AC" w:rsidTr="00313268" w14:paraId="64B0CB16" w14:textId="77777777">
        <w:trPr>
          <w:trHeight w:val="53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7C18AC" w:rsidP="007C18AC" w:rsidRDefault="007C18AC" w14:paraId="688DFFFF" w14:textId="77777777">
            <w:pPr>
              <w:autoSpaceDE/>
              <w:autoSpaceDN/>
              <w:jc w:val="right"/>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SBA-Defined Small Establishments</w:t>
            </w:r>
          </w:p>
        </w:tc>
        <w:tc>
          <w:tcPr>
            <w:tcW w:w="1260" w:type="dxa"/>
            <w:vMerge/>
            <w:tcBorders>
              <w:top w:val="single" w:color="auto" w:sz="4" w:space="0"/>
              <w:left w:val="single" w:color="auto" w:sz="4" w:space="0"/>
              <w:bottom w:val="single" w:color="auto" w:sz="4" w:space="0"/>
              <w:right w:val="single" w:color="auto" w:sz="4" w:space="0"/>
            </w:tcBorders>
            <w:vAlign w:val="center"/>
            <w:hideMark/>
          </w:tcPr>
          <w:p w:rsidRPr="00AE701A" w:rsidR="007C18AC" w:rsidP="007C18AC" w:rsidRDefault="007C18AC" w14:paraId="2AA2B93F"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7C18AC" w:rsidP="007C18AC" w:rsidRDefault="007C18AC" w14:paraId="3FA97709" w14:textId="77777777">
            <w:pPr>
              <w:autoSpaceDE/>
              <w:autoSpaceDN/>
              <w:rPr>
                <w:rFonts w:ascii="Calibri" w:hAnsi="Calibri" w:eastAsia="Times New Roman" w:cs="Calibri"/>
                <w:color w:val="000000"/>
                <w:sz w:val="20"/>
                <w:szCs w:val="20"/>
                <w:lang w:eastAsia="en-US"/>
              </w:rPr>
            </w:pPr>
          </w:p>
        </w:tc>
        <w:tc>
          <w:tcPr>
            <w:tcW w:w="1404" w:type="dxa"/>
            <w:vMerge/>
            <w:tcBorders>
              <w:top w:val="single" w:color="auto" w:sz="4" w:space="0"/>
              <w:left w:val="single" w:color="auto" w:sz="4" w:space="0"/>
              <w:bottom w:val="single" w:color="auto" w:sz="4" w:space="0"/>
              <w:right w:val="single" w:color="auto" w:sz="4" w:space="0"/>
            </w:tcBorders>
            <w:vAlign w:val="center"/>
            <w:hideMark/>
          </w:tcPr>
          <w:p w:rsidRPr="00AE701A" w:rsidR="007C18AC" w:rsidP="007C18AC" w:rsidRDefault="007C18AC" w14:paraId="6348633E" w14:textId="77777777">
            <w:pPr>
              <w:autoSpaceDE/>
              <w:autoSpaceDN/>
              <w:rPr>
                <w:rFonts w:ascii="Calibri" w:hAnsi="Calibri" w:eastAsia="Times New Roman" w:cs="Calibri"/>
                <w:color w:val="000000"/>
                <w:sz w:val="20"/>
                <w:szCs w:val="20"/>
                <w:lang w:eastAsia="en-US"/>
              </w:rPr>
            </w:pPr>
          </w:p>
        </w:tc>
        <w:tc>
          <w:tcPr>
            <w:tcW w:w="1170" w:type="dxa"/>
            <w:vMerge/>
            <w:tcBorders>
              <w:top w:val="single" w:color="auto" w:sz="4" w:space="0"/>
              <w:left w:val="single" w:color="auto" w:sz="4" w:space="0"/>
              <w:bottom w:val="single" w:color="auto" w:sz="4" w:space="0"/>
              <w:right w:val="single" w:color="auto" w:sz="4" w:space="0"/>
            </w:tcBorders>
            <w:vAlign w:val="center"/>
            <w:hideMark/>
          </w:tcPr>
          <w:p w:rsidRPr="00AE701A" w:rsidR="007C18AC" w:rsidP="007C18AC" w:rsidRDefault="007C18AC" w14:paraId="6B142C98" w14:textId="77777777">
            <w:pPr>
              <w:autoSpaceDE/>
              <w:autoSpaceDN/>
              <w:rPr>
                <w:rFonts w:ascii="Calibri" w:hAnsi="Calibri" w:eastAsia="Times New Roman" w:cs="Calibri"/>
                <w:color w:val="000000"/>
                <w:sz w:val="20"/>
                <w:szCs w:val="20"/>
                <w:lang w:eastAsia="en-US"/>
              </w:rPr>
            </w:pPr>
          </w:p>
        </w:tc>
        <w:tc>
          <w:tcPr>
            <w:tcW w:w="1223" w:type="dxa"/>
            <w:vMerge/>
            <w:tcBorders>
              <w:top w:val="single" w:color="auto" w:sz="4" w:space="0"/>
              <w:left w:val="single" w:color="auto" w:sz="4" w:space="0"/>
              <w:bottom w:val="single" w:color="auto" w:sz="4" w:space="0"/>
              <w:right w:val="single" w:color="auto" w:sz="4" w:space="0"/>
            </w:tcBorders>
            <w:vAlign w:val="center"/>
            <w:hideMark/>
          </w:tcPr>
          <w:p w:rsidRPr="00AE701A" w:rsidR="007C18AC" w:rsidP="007C18AC" w:rsidRDefault="007C18AC" w14:paraId="7FFFB2B5" w14:textId="77777777">
            <w:pPr>
              <w:autoSpaceDE/>
              <w:autoSpaceDN/>
              <w:rPr>
                <w:rFonts w:ascii="Calibri" w:hAnsi="Calibri" w:eastAsia="Times New Roman" w:cs="Calibri"/>
                <w:color w:val="000000"/>
                <w:sz w:val="20"/>
                <w:szCs w:val="20"/>
                <w:lang w:eastAsia="en-US"/>
              </w:rPr>
            </w:pPr>
          </w:p>
        </w:tc>
        <w:tc>
          <w:tcPr>
            <w:tcW w:w="1080" w:type="dxa"/>
            <w:vMerge/>
            <w:tcBorders>
              <w:top w:val="single" w:color="auto" w:sz="4" w:space="0"/>
              <w:left w:val="single" w:color="auto" w:sz="4" w:space="0"/>
              <w:bottom w:val="single" w:color="auto" w:sz="4" w:space="0"/>
              <w:right w:val="single" w:color="auto" w:sz="4" w:space="0"/>
            </w:tcBorders>
            <w:vAlign w:val="center"/>
            <w:hideMark/>
          </w:tcPr>
          <w:p w:rsidRPr="00AE701A" w:rsidR="007C18AC" w:rsidP="007C18AC" w:rsidRDefault="007C18AC" w14:paraId="0F77D4C0"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7C18AC" w:rsidP="007C18AC" w:rsidRDefault="007C18AC" w14:paraId="03297B22" w14:textId="77777777">
            <w:pPr>
              <w:autoSpaceDE/>
              <w:autoSpaceDN/>
              <w:rPr>
                <w:rFonts w:ascii="Calibri" w:hAnsi="Calibri" w:eastAsia="Times New Roman" w:cs="Calibri"/>
                <w:color w:val="000000"/>
                <w:sz w:val="20"/>
                <w:szCs w:val="20"/>
                <w:lang w:eastAsia="en-US"/>
              </w:rPr>
            </w:pPr>
          </w:p>
        </w:tc>
        <w:tc>
          <w:tcPr>
            <w:tcW w:w="937" w:type="dxa"/>
            <w:vMerge/>
            <w:tcBorders>
              <w:top w:val="single" w:color="auto" w:sz="4" w:space="0"/>
              <w:left w:val="single" w:color="auto" w:sz="4" w:space="0"/>
              <w:bottom w:val="single" w:color="auto" w:sz="4" w:space="0"/>
              <w:right w:val="single" w:color="auto" w:sz="4" w:space="0"/>
            </w:tcBorders>
            <w:vAlign w:val="center"/>
            <w:hideMark/>
          </w:tcPr>
          <w:p w:rsidRPr="00AE701A" w:rsidR="007C18AC" w:rsidP="007C18AC" w:rsidRDefault="007C18AC" w14:paraId="69656F5C" w14:textId="77777777">
            <w:pPr>
              <w:autoSpaceDE/>
              <w:autoSpaceDN/>
              <w:rPr>
                <w:rFonts w:ascii="Calibri" w:hAnsi="Calibri" w:eastAsia="Times New Roman" w:cs="Calibri"/>
                <w:color w:val="000000"/>
                <w:sz w:val="20"/>
                <w:szCs w:val="20"/>
                <w:lang w:eastAsia="en-US"/>
              </w:rPr>
            </w:pPr>
          </w:p>
        </w:tc>
        <w:tc>
          <w:tcPr>
            <w:tcW w:w="1607" w:type="dxa"/>
            <w:vMerge/>
            <w:tcBorders>
              <w:top w:val="single" w:color="auto" w:sz="4" w:space="0"/>
              <w:left w:val="single" w:color="auto" w:sz="4" w:space="0"/>
              <w:bottom w:val="single" w:color="auto" w:sz="4" w:space="0"/>
              <w:right w:val="single" w:color="auto" w:sz="4" w:space="0"/>
            </w:tcBorders>
            <w:vAlign w:val="center"/>
            <w:hideMark/>
          </w:tcPr>
          <w:p w:rsidRPr="00AE701A" w:rsidR="007C18AC" w:rsidP="007C18AC" w:rsidRDefault="007C18AC" w14:paraId="736E1C79" w14:textId="77777777">
            <w:pPr>
              <w:autoSpaceDE/>
              <w:autoSpaceDN/>
              <w:jc w:val="center"/>
              <w:rPr>
                <w:rFonts w:ascii="Calibri" w:hAnsi="Calibri" w:eastAsia="Times New Roman" w:cs="Calibri"/>
                <w:color w:val="000000"/>
                <w:sz w:val="20"/>
                <w:szCs w:val="20"/>
                <w:lang w:eastAsia="en-US"/>
              </w:rPr>
            </w:pPr>
          </w:p>
        </w:tc>
        <w:tc>
          <w:tcPr>
            <w:tcW w:w="1140" w:type="dxa"/>
            <w:vMerge/>
            <w:tcBorders>
              <w:top w:val="single" w:color="auto" w:sz="4" w:space="0"/>
              <w:left w:val="single" w:color="auto" w:sz="4" w:space="0"/>
              <w:bottom w:val="single" w:color="auto" w:sz="4" w:space="0"/>
              <w:right w:val="single" w:color="auto" w:sz="4" w:space="0"/>
            </w:tcBorders>
            <w:vAlign w:val="center"/>
            <w:hideMark/>
          </w:tcPr>
          <w:p w:rsidRPr="00AE701A" w:rsidR="007C18AC" w:rsidP="007C18AC" w:rsidRDefault="007C18AC" w14:paraId="62474F0F" w14:textId="77777777">
            <w:pPr>
              <w:autoSpaceDE/>
              <w:autoSpaceDN/>
              <w:jc w:val="center"/>
              <w:rPr>
                <w:rFonts w:ascii="Calibri" w:hAnsi="Calibri" w:eastAsia="Times New Roman" w:cs="Calibri"/>
                <w:color w:val="000000"/>
                <w:sz w:val="20"/>
                <w:szCs w:val="20"/>
                <w:lang w:eastAsia="en-US"/>
              </w:rPr>
            </w:pPr>
          </w:p>
        </w:tc>
      </w:tr>
      <w:tr w:rsidRPr="00AE701A" w:rsidR="007C18AC" w:rsidTr="00313268" w14:paraId="11AA2486" w14:textId="77777777">
        <w:trPr>
          <w:trHeight w:val="29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7C18AC" w:rsidP="007C18AC" w:rsidRDefault="007C18AC" w14:paraId="6D6C069F" w14:textId="77777777">
            <w:pPr>
              <w:autoSpaceDE/>
              <w:autoSpaceDN/>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Employee Removal</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B1E6C" w:rsidR="007C18AC" w:rsidP="007C18AC" w:rsidRDefault="007C18AC" w14:paraId="6446F6B9"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6-month</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7B4BA7" w:rsidR="007C18AC" w:rsidP="007C18AC" w:rsidRDefault="007C18AC" w14:paraId="117405E1" w14:textId="77777777">
            <w:pPr>
              <w:autoSpaceDE/>
              <w:autoSpaceDN/>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 xml:space="preserve">Manager </w:t>
            </w:r>
          </w:p>
        </w:tc>
        <w:tc>
          <w:tcPr>
            <w:tcW w:w="1404"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3340D7" w:rsidR="007C18AC" w:rsidP="007C18AC" w:rsidRDefault="007C18AC" w14:paraId="2B124715" w14:textId="77777777">
            <w:pPr>
              <w:autoSpaceDE/>
              <w:autoSpaceDN/>
              <w:rPr>
                <w:rFonts w:ascii="Calibri" w:hAnsi="Calibri" w:eastAsia="Times New Roman" w:cs="Calibri"/>
                <w:color w:val="000000"/>
                <w:sz w:val="20"/>
                <w:szCs w:val="20"/>
                <w:lang w:eastAsia="en-US"/>
              </w:rPr>
            </w:pPr>
            <w:r w:rsidRPr="003340D7">
              <w:rPr>
                <w:rFonts w:ascii="Calibri" w:hAnsi="Calibri" w:eastAsia="Times New Roman" w:cs="Calibri"/>
                <w:color w:val="000000"/>
                <w:sz w:val="20"/>
                <w:szCs w:val="20"/>
                <w:lang w:eastAsia="en-US"/>
              </w:rPr>
              <w:t>GO Manager</w:t>
            </w:r>
          </w:p>
        </w:tc>
        <w:tc>
          <w:tcPr>
            <w:tcW w:w="1170" w:type="dxa"/>
            <w:vMerge w:val="restart"/>
            <w:tcBorders>
              <w:top w:val="single" w:color="auto" w:sz="4" w:space="0"/>
              <w:left w:val="single" w:color="auto" w:sz="4" w:space="0"/>
              <w:bottom w:val="single" w:color="auto" w:sz="4" w:space="0"/>
              <w:right w:val="single" w:color="auto" w:sz="4" w:space="0"/>
            </w:tcBorders>
            <w:shd w:val="clear" w:color="000000" w:fill="FFFFFF"/>
            <w:vAlign w:val="center"/>
            <w:hideMark/>
          </w:tcPr>
          <w:p w:rsidRPr="001D0186" w:rsidR="007C18AC" w:rsidP="007C18AC" w:rsidRDefault="001034F9" w14:paraId="773DA8E6" w14:textId="0CF26AE6">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7,057</w:t>
            </w:r>
          </w:p>
        </w:tc>
        <w:tc>
          <w:tcPr>
            <w:tcW w:w="1223"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7C18AC" w:rsidP="007C18AC" w:rsidRDefault="007C18AC" w14:paraId="13856935"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50%</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7C18AC" w:rsidP="007C18AC" w:rsidRDefault="007C18AC" w14:paraId="0021CE3B" w14:textId="2CC5E2C2">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0.</w:t>
            </w:r>
            <w:r>
              <w:rPr>
                <w:rFonts w:ascii="Calibri" w:hAnsi="Calibri" w:eastAsia="Times New Roman" w:cs="Calibri"/>
                <w:color w:val="000000"/>
                <w:sz w:val="20"/>
                <w:szCs w:val="20"/>
                <w:lang w:eastAsia="en-US"/>
              </w:rPr>
              <w:t>08</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7C18AC" w:rsidP="007C18AC" w:rsidRDefault="001034F9" w14:paraId="2BF154D9" w14:textId="3DDB7D2F">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282.29</w:t>
            </w:r>
          </w:p>
        </w:tc>
        <w:tc>
          <w:tcPr>
            <w:tcW w:w="937" w:type="dxa"/>
            <w:vMerge w:val="restart"/>
            <w:tcBorders>
              <w:top w:val="single" w:color="auto" w:sz="4" w:space="0"/>
              <w:left w:val="single" w:color="auto" w:sz="4" w:space="0"/>
              <w:bottom w:val="single" w:color="auto" w:sz="4" w:space="0"/>
              <w:right w:val="single" w:color="auto" w:sz="4" w:space="0"/>
            </w:tcBorders>
            <w:shd w:val="clear" w:color="000000" w:fill="FFFFFF"/>
            <w:vAlign w:val="center"/>
            <w:hideMark/>
          </w:tcPr>
          <w:p w:rsidRPr="00252CD2" w:rsidR="007C18AC" w:rsidP="007C18AC" w:rsidRDefault="007C18AC" w14:paraId="6450D123"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$88.16 </w:t>
            </w:r>
          </w:p>
        </w:tc>
        <w:tc>
          <w:tcPr>
            <w:tcW w:w="160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7C18AC" w:rsidP="007C18AC" w:rsidRDefault="007C18AC" w14:paraId="0B741ECF" w14:textId="46F7F57E">
            <w:pPr>
              <w:autoSpaceDE/>
              <w:autoSpaceDN/>
              <w:jc w:val="center"/>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w:t>
            </w:r>
            <w:r w:rsidR="001034F9">
              <w:rPr>
                <w:rFonts w:ascii="Calibri" w:hAnsi="Calibri" w:eastAsia="Times New Roman" w:cs="Calibri"/>
                <w:color w:val="000000"/>
                <w:sz w:val="20"/>
                <w:szCs w:val="20"/>
                <w:lang w:eastAsia="en-US"/>
              </w:rPr>
              <w:t>24,886.85</w:t>
            </w:r>
            <w:r w:rsidRPr="00252CD2">
              <w:rPr>
                <w:rFonts w:ascii="Calibri" w:hAnsi="Calibri" w:eastAsia="Times New Roman" w:cs="Calibri"/>
                <w:color w:val="000000"/>
                <w:sz w:val="20"/>
                <w:szCs w:val="20"/>
                <w:lang w:eastAsia="en-US"/>
              </w:rPr>
              <w:t xml:space="preserve"> </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930088" w:rsidR="007C18AC" w:rsidP="007C18AC" w:rsidRDefault="007C18AC" w14:paraId="00CE9EAE" w14:textId="739E426E">
            <w:pPr>
              <w:autoSpaceDE/>
              <w:autoSpaceDN/>
              <w:jc w:val="center"/>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3,529</w:t>
            </w:r>
          </w:p>
        </w:tc>
      </w:tr>
      <w:tr w:rsidRPr="00AE701A" w:rsidR="00FD5B56" w:rsidTr="00313268" w14:paraId="7973C7B5" w14:textId="77777777">
        <w:trPr>
          <w:trHeight w:val="53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4747DBB5" w14:textId="77777777">
            <w:pPr>
              <w:autoSpaceDE/>
              <w:autoSpaceDN/>
              <w:jc w:val="right"/>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 xml:space="preserve">          Very Small  Establishments</w:t>
            </w:r>
          </w:p>
        </w:tc>
        <w:tc>
          <w:tcPr>
            <w:tcW w:w="126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2AC4887B"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50B4B10C" w14:textId="77777777">
            <w:pPr>
              <w:autoSpaceDE/>
              <w:autoSpaceDN/>
              <w:rPr>
                <w:rFonts w:ascii="Calibri" w:hAnsi="Calibri" w:eastAsia="Times New Roman" w:cs="Calibri"/>
                <w:color w:val="000000"/>
                <w:sz w:val="20"/>
                <w:szCs w:val="20"/>
                <w:lang w:eastAsia="en-US"/>
              </w:rPr>
            </w:pPr>
          </w:p>
        </w:tc>
        <w:tc>
          <w:tcPr>
            <w:tcW w:w="1404"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3EF8F572" w14:textId="77777777">
            <w:pPr>
              <w:autoSpaceDE/>
              <w:autoSpaceDN/>
              <w:rPr>
                <w:rFonts w:ascii="Calibri" w:hAnsi="Calibri" w:eastAsia="Times New Roman" w:cs="Calibri"/>
                <w:color w:val="000000"/>
                <w:sz w:val="20"/>
                <w:szCs w:val="20"/>
                <w:lang w:eastAsia="en-US"/>
              </w:rPr>
            </w:pPr>
          </w:p>
        </w:tc>
        <w:tc>
          <w:tcPr>
            <w:tcW w:w="117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6FECF951" w14:textId="77777777">
            <w:pPr>
              <w:autoSpaceDE/>
              <w:autoSpaceDN/>
              <w:rPr>
                <w:rFonts w:ascii="Calibri" w:hAnsi="Calibri" w:eastAsia="Times New Roman" w:cs="Calibri"/>
                <w:color w:val="000000"/>
                <w:sz w:val="20"/>
                <w:szCs w:val="20"/>
                <w:lang w:eastAsia="en-US"/>
              </w:rPr>
            </w:pPr>
          </w:p>
        </w:tc>
        <w:tc>
          <w:tcPr>
            <w:tcW w:w="1223"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71258FA2" w14:textId="77777777">
            <w:pPr>
              <w:autoSpaceDE/>
              <w:autoSpaceDN/>
              <w:rPr>
                <w:rFonts w:ascii="Calibri" w:hAnsi="Calibri" w:eastAsia="Times New Roman" w:cs="Calibri"/>
                <w:color w:val="000000"/>
                <w:sz w:val="20"/>
                <w:szCs w:val="20"/>
                <w:lang w:eastAsia="en-US"/>
              </w:rPr>
            </w:pPr>
          </w:p>
        </w:tc>
        <w:tc>
          <w:tcPr>
            <w:tcW w:w="108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490439C1"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42287D5A" w14:textId="77777777">
            <w:pPr>
              <w:autoSpaceDE/>
              <w:autoSpaceDN/>
              <w:rPr>
                <w:rFonts w:ascii="Calibri" w:hAnsi="Calibri" w:eastAsia="Times New Roman" w:cs="Calibri"/>
                <w:color w:val="000000"/>
                <w:sz w:val="20"/>
                <w:szCs w:val="20"/>
                <w:lang w:eastAsia="en-US"/>
              </w:rPr>
            </w:pPr>
          </w:p>
        </w:tc>
        <w:tc>
          <w:tcPr>
            <w:tcW w:w="937"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265DB02D" w14:textId="77777777">
            <w:pPr>
              <w:autoSpaceDE/>
              <w:autoSpaceDN/>
              <w:rPr>
                <w:rFonts w:ascii="Calibri" w:hAnsi="Calibri" w:eastAsia="Times New Roman" w:cs="Calibri"/>
                <w:color w:val="000000"/>
                <w:sz w:val="20"/>
                <w:szCs w:val="20"/>
                <w:lang w:eastAsia="en-US"/>
              </w:rPr>
            </w:pPr>
          </w:p>
        </w:tc>
        <w:tc>
          <w:tcPr>
            <w:tcW w:w="1607"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733C76F3" w14:textId="77777777">
            <w:pPr>
              <w:autoSpaceDE/>
              <w:autoSpaceDN/>
              <w:rPr>
                <w:rFonts w:ascii="Calibri" w:hAnsi="Calibri" w:eastAsia="Times New Roman" w:cs="Calibri"/>
                <w:color w:val="000000"/>
                <w:sz w:val="20"/>
                <w:szCs w:val="20"/>
                <w:lang w:eastAsia="en-US"/>
              </w:rPr>
            </w:pPr>
          </w:p>
        </w:tc>
        <w:tc>
          <w:tcPr>
            <w:tcW w:w="11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71AC48DA" w14:textId="77777777">
            <w:pPr>
              <w:autoSpaceDE/>
              <w:autoSpaceDN/>
              <w:rPr>
                <w:rFonts w:ascii="Calibri" w:hAnsi="Calibri" w:eastAsia="Times New Roman" w:cs="Calibri"/>
                <w:color w:val="000000"/>
                <w:sz w:val="20"/>
                <w:szCs w:val="20"/>
                <w:lang w:eastAsia="en-US"/>
              </w:rPr>
            </w:pPr>
          </w:p>
        </w:tc>
      </w:tr>
      <w:tr w:rsidRPr="00AE701A" w:rsidR="00091560" w:rsidTr="008078A1" w14:paraId="6753DAC7" w14:textId="77777777">
        <w:trPr>
          <w:trHeight w:val="300"/>
        </w:trPr>
        <w:tc>
          <w:tcPr>
            <w:tcW w:w="14321" w:type="dxa"/>
            <w:gridSpan w:val="11"/>
            <w:tcBorders>
              <w:top w:val="single" w:color="auto" w:sz="4" w:space="0"/>
              <w:left w:val="single" w:color="auto" w:sz="4" w:space="0"/>
              <w:bottom w:val="single" w:color="auto" w:sz="4" w:space="0"/>
              <w:right w:val="single" w:color="auto" w:sz="4" w:space="0"/>
            </w:tcBorders>
            <w:shd w:val="clear" w:color="000000" w:fill="B4C6E7"/>
            <w:vAlign w:val="center"/>
            <w:hideMark/>
          </w:tcPr>
          <w:p w:rsidRPr="00520C25" w:rsidR="00AE701A" w:rsidP="00AE701A" w:rsidRDefault="00AE701A" w14:paraId="5BFBD629" w14:textId="77777777">
            <w:pPr>
              <w:autoSpaceDE/>
              <w:autoSpaceDN/>
              <w:rPr>
                <w:rFonts w:ascii="Calibri" w:hAnsi="Calibri" w:eastAsia="Times New Roman" w:cs="Calibri"/>
                <w:b/>
                <w:bCs/>
                <w:color w:val="000000"/>
                <w:sz w:val="20"/>
                <w:szCs w:val="20"/>
                <w:lang w:eastAsia="en-US"/>
              </w:rPr>
            </w:pPr>
            <w:r w:rsidRPr="00520C25">
              <w:rPr>
                <w:rFonts w:ascii="Calibri" w:hAnsi="Calibri" w:eastAsia="Times New Roman" w:cs="Calibri"/>
                <w:b/>
                <w:bCs/>
                <w:color w:val="000000"/>
                <w:sz w:val="20"/>
                <w:szCs w:val="20"/>
                <w:lang w:eastAsia="en-US"/>
              </w:rPr>
              <w:t>5. Recordkeeping</w:t>
            </w:r>
          </w:p>
        </w:tc>
      </w:tr>
      <w:tr w:rsidRPr="00AE701A" w:rsidR="00FD5B56" w:rsidTr="00313268" w14:paraId="08A34D2D" w14:textId="77777777">
        <w:trPr>
          <w:trHeight w:val="300"/>
        </w:trPr>
        <w:tc>
          <w:tcPr>
            <w:tcW w:w="162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520C25" w:rsidR="00AE701A" w:rsidP="00AE701A" w:rsidRDefault="00AE701A" w14:paraId="16FCF61D" w14:textId="77777777">
            <w:pPr>
              <w:autoSpaceDE/>
              <w:autoSpaceDN/>
              <w:rPr>
                <w:rFonts w:ascii="Calibri" w:hAnsi="Calibri" w:eastAsia="Times New Roman" w:cs="Calibri"/>
                <w:b/>
                <w:bCs/>
                <w:color w:val="000000"/>
                <w:sz w:val="20"/>
                <w:szCs w:val="20"/>
                <w:lang w:eastAsia="en-US"/>
              </w:rPr>
            </w:pPr>
            <w:r w:rsidRPr="00520C25">
              <w:rPr>
                <w:rFonts w:ascii="Calibri" w:hAnsi="Calibri" w:eastAsia="Times New Roman" w:cs="Calibri"/>
                <w:b/>
                <w:bCs/>
                <w:color w:val="000000"/>
                <w:sz w:val="20"/>
                <w:szCs w:val="20"/>
                <w:lang w:eastAsia="en-US"/>
              </w:rPr>
              <w:t>a. COVID-19 Plan</w:t>
            </w:r>
          </w:p>
        </w:tc>
        <w:tc>
          <w:tcPr>
            <w:tcW w:w="126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AB1E6C" w:rsidR="00AE701A" w:rsidP="00AE701A" w:rsidRDefault="00AE701A" w14:paraId="017A66A5" w14:textId="77777777">
            <w:pPr>
              <w:autoSpaceDE/>
              <w:autoSpaceDN/>
              <w:rPr>
                <w:rFonts w:ascii="Calibri" w:hAnsi="Calibri" w:eastAsia="Times New Roman" w:cs="Calibri"/>
                <w:b/>
                <w:bCs/>
                <w:color w:val="000000"/>
                <w:sz w:val="20"/>
                <w:szCs w:val="20"/>
                <w:lang w:eastAsia="en-US"/>
              </w:rPr>
            </w:pPr>
            <w:r w:rsidRPr="00AB1E6C">
              <w:rPr>
                <w:rFonts w:ascii="Calibri" w:hAnsi="Calibri" w:eastAsia="Times New Roman" w:cs="Calibri"/>
                <w:b/>
                <w:bCs/>
                <w:color w:val="000000"/>
                <w:sz w:val="20"/>
                <w:szCs w:val="20"/>
                <w:lang w:eastAsia="en-US"/>
              </w:rPr>
              <w:t> </w:t>
            </w:r>
          </w:p>
        </w:tc>
        <w:tc>
          <w:tcPr>
            <w:tcW w:w="144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7B4BA7" w:rsidR="00AE701A" w:rsidP="00AE701A" w:rsidRDefault="00AE701A" w14:paraId="4FC06C95" w14:textId="77777777">
            <w:pPr>
              <w:autoSpaceDE/>
              <w:autoSpaceDN/>
              <w:rPr>
                <w:rFonts w:ascii="Calibri" w:hAnsi="Calibri" w:eastAsia="Times New Roman" w:cs="Calibri"/>
                <w:b/>
                <w:bCs/>
                <w:color w:val="000000"/>
                <w:sz w:val="20"/>
                <w:szCs w:val="20"/>
                <w:lang w:eastAsia="en-US"/>
              </w:rPr>
            </w:pPr>
            <w:r w:rsidRPr="007B4BA7">
              <w:rPr>
                <w:rFonts w:ascii="Calibri" w:hAnsi="Calibri" w:eastAsia="Times New Roman" w:cs="Calibri"/>
                <w:b/>
                <w:bCs/>
                <w:color w:val="000000"/>
                <w:sz w:val="20"/>
                <w:szCs w:val="20"/>
                <w:lang w:eastAsia="en-US"/>
              </w:rPr>
              <w:t> </w:t>
            </w:r>
          </w:p>
        </w:tc>
        <w:tc>
          <w:tcPr>
            <w:tcW w:w="1404"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3340D7" w:rsidR="00AE701A" w:rsidP="00AE701A" w:rsidRDefault="00AE701A" w14:paraId="24126327" w14:textId="77777777">
            <w:pPr>
              <w:autoSpaceDE/>
              <w:autoSpaceDN/>
              <w:rPr>
                <w:rFonts w:ascii="Calibri" w:hAnsi="Calibri" w:eastAsia="Times New Roman" w:cs="Calibri"/>
                <w:b/>
                <w:bCs/>
                <w:color w:val="000000"/>
                <w:sz w:val="20"/>
                <w:szCs w:val="20"/>
                <w:lang w:eastAsia="en-US"/>
              </w:rPr>
            </w:pPr>
            <w:r w:rsidRPr="003340D7">
              <w:rPr>
                <w:rFonts w:ascii="Calibri" w:hAnsi="Calibri" w:eastAsia="Times New Roman" w:cs="Calibri"/>
                <w:b/>
                <w:bCs/>
                <w:color w:val="000000"/>
                <w:sz w:val="20"/>
                <w:szCs w:val="20"/>
                <w:lang w:eastAsia="en-US"/>
              </w:rPr>
              <w:t> </w:t>
            </w:r>
          </w:p>
        </w:tc>
        <w:tc>
          <w:tcPr>
            <w:tcW w:w="117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1D0186" w:rsidR="00AE701A" w:rsidP="00AE701A" w:rsidRDefault="00AE701A" w14:paraId="707297FF" w14:textId="77777777">
            <w:pPr>
              <w:autoSpaceDE/>
              <w:autoSpaceDN/>
              <w:rPr>
                <w:rFonts w:ascii="Calibri" w:hAnsi="Calibri" w:eastAsia="Times New Roman" w:cs="Calibri"/>
                <w:b/>
                <w:bCs/>
                <w:color w:val="000000"/>
                <w:sz w:val="20"/>
                <w:szCs w:val="20"/>
                <w:lang w:eastAsia="en-US"/>
              </w:rPr>
            </w:pPr>
            <w:r w:rsidRPr="001D0186">
              <w:rPr>
                <w:rFonts w:ascii="Calibri" w:hAnsi="Calibri" w:eastAsia="Times New Roman" w:cs="Calibri"/>
                <w:b/>
                <w:bCs/>
                <w:color w:val="000000"/>
                <w:sz w:val="20"/>
                <w:szCs w:val="20"/>
                <w:lang w:eastAsia="en-US"/>
              </w:rPr>
              <w:t> </w:t>
            </w:r>
          </w:p>
        </w:tc>
        <w:tc>
          <w:tcPr>
            <w:tcW w:w="1223"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252CD2" w:rsidR="00AE701A" w:rsidP="00AE701A" w:rsidRDefault="00AE701A" w14:paraId="773E00C1" w14:textId="77777777">
            <w:pPr>
              <w:autoSpaceDE/>
              <w:autoSpaceDN/>
              <w:rPr>
                <w:rFonts w:ascii="Calibri" w:hAnsi="Calibri" w:eastAsia="Times New Roman" w:cs="Calibri"/>
                <w:b/>
                <w:bCs/>
                <w:color w:val="000000"/>
                <w:sz w:val="20"/>
                <w:szCs w:val="20"/>
                <w:lang w:eastAsia="en-US"/>
              </w:rPr>
            </w:pPr>
            <w:r w:rsidRPr="00252CD2">
              <w:rPr>
                <w:rFonts w:ascii="Calibri" w:hAnsi="Calibri" w:eastAsia="Times New Roman" w:cs="Calibri"/>
                <w:b/>
                <w:bCs/>
                <w:color w:val="000000"/>
                <w:sz w:val="20"/>
                <w:szCs w:val="20"/>
                <w:lang w:eastAsia="en-US"/>
              </w:rPr>
              <w:t> </w:t>
            </w:r>
          </w:p>
        </w:tc>
        <w:tc>
          <w:tcPr>
            <w:tcW w:w="108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252CD2" w:rsidR="00AE701A" w:rsidP="00AE701A" w:rsidRDefault="00AE701A" w14:paraId="20AFD457" w14:textId="77777777">
            <w:pPr>
              <w:autoSpaceDE/>
              <w:autoSpaceDN/>
              <w:rPr>
                <w:rFonts w:ascii="Calibri" w:hAnsi="Calibri" w:eastAsia="Times New Roman" w:cs="Calibri"/>
                <w:b/>
                <w:bCs/>
                <w:color w:val="000000"/>
                <w:sz w:val="20"/>
                <w:szCs w:val="20"/>
                <w:lang w:eastAsia="en-US"/>
              </w:rPr>
            </w:pPr>
            <w:r w:rsidRPr="00252CD2">
              <w:rPr>
                <w:rFonts w:ascii="Calibri" w:hAnsi="Calibri" w:eastAsia="Times New Roman" w:cs="Calibri"/>
                <w:b/>
                <w:bCs/>
                <w:color w:val="000000"/>
                <w:sz w:val="20"/>
                <w:szCs w:val="20"/>
                <w:lang w:eastAsia="en-US"/>
              </w:rPr>
              <w:t> </w:t>
            </w:r>
          </w:p>
        </w:tc>
        <w:tc>
          <w:tcPr>
            <w:tcW w:w="144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252CD2" w:rsidR="00AE701A" w:rsidP="00AE701A" w:rsidRDefault="00AE701A" w14:paraId="1471DA8F" w14:textId="77777777">
            <w:pPr>
              <w:autoSpaceDE/>
              <w:autoSpaceDN/>
              <w:rPr>
                <w:rFonts w:ascii="Calibri" w:hAnsi="Calibri" w:eastAsia="Times New Roman" w:cs="Calibri"/>
                <w:b/>
                <w:bCs/>
                <w:color w:val="000000"/>
                <w:sz w:val="20"/>
                <w:szCs w:val="20"/>
                <w:lang w:eastAsia="en-US"/>
              </w:rPr>
            </w:pPr>
            <w:r w:rsidRPr="00252CD2">
              <w:rPr>
                <w:rFonts w:ascii="Calibri" w:hAnsi="Calibri" w:eastAsia="Times New Roman" w:cs="Calibri"/>
                <w:b/>
                <w:bCs/>
                <w:color w:val="000000"/>
                <w:sz w:val="20"/>
                <w:szCs w:val="20"/>
                <w:lang w:eastAsia="en-US"/>
              </w:rPr>
              <w:t> </w:t>
            </w:r>
          </w:p>
        </w:tc>
        <w:tc>
          <w:tcPr>
            <w:tcW w:w="937"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252CD2" w:rsidR="00AE701A" w:rsidP="00AE701A" w:rsidRDefault="00AE701A" w14:paraId="6EDA6854" w14:textId="77777777">
            <w:pPr>
              <w:autoSpaceDE/>
              <w:autoSpaceDN/>
              <w:rPr>
                <w:rFonts w:ascii="Calibri" w:hAnsi="Calibri" w:eastAsia="Times New Roman" w:cs="Calibri"/>
                <w:b/>
                <w:bCs/>
                <w:color w:val="000000"/>
                <w:sz w:val="20"/>
                <w:szCs w:val="20"/>
                <w:lang w:eastAsia="en-US"/>
              </w:rPr>
            </w:pPr>
            <w:r w:rsidRPr="00252CD2">
              <w:rPr>
                <w:rFonts w:ascii="Calibri" w:hAnsi="Calibri" w:eastAsia="Times New Roman" w:cs="Calibri"/>
                <w:b/>
                <w:bCs/>
                <w:color w:val="000000"/>
                <w:sz w:val="20"/>
                <w:szCs w:val="20"/>
                <w:lang w:eastAsia="en-US"/>
              </w:rPr>
              <w:t> </w:t>
            </w:r>
          </w:p>
        </w:tc>
        <w:tc>
          <w:tcPr>
            <w:tcW w:w="1607"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252CD2" w:rsidR="00AE701A" w:rsidP="00AE701A" w:rsidRDefault="00AE701A" w14:paraId="4BE14A30" w14:textId="77777777">
            <w:pPr>
              <w:autoSpaceDE/>
              <w:autoSpaceDN/>
              <w:rPr>
                <w:rFonts w:ascii="Calibri" w:hAnsi="Calibri" w:eastAsia="Times New Roman" w:cs="Calibri"/>
                <w:b/>
                <w:bCs/>
                <w:color w:val="000000"/>
                <w:sz w:val="20"/>
                <w:szCs w:val="20"/>
                <w:lang w:eastAsia="en-US"/>
              </w:rPr>
            </w:pPr>
            <w:r w:rsidRPr="00252CD2">
              <w:rPr>
                <w:rFonts w:ascii="Calibri" w:hAnsi="Calibri" w:eastAsia="Times New Roman" w:cs="Calibri"/>
                <w:b/>
                <w:bCs/>
                <w:color w:val="000000"/>
                <w:sz w:val="20"/>
                <w:szCs w:val="20"/>
                <w:lang w:eastAsia="en-US"/>
              </w:rPr>
              <w:t> </w:t>
            </w:r>
          </w:p>
        </w:tc>
        <w:tc>
          <w:tcPr>
            <w:tcW w:w="114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252CD2" w:rsidR="00AE701A" w:rsidP="00AE701A" w:rsidRDefault="00AE701A" w14:paraId="1CE7EE07" w14:textId="77777777">
            <w:pPr>
              <w:autoSpaceDE/>
              <w:autoSpaceDN/>
              <w:rPr>
                <w:rFonts w:ascii="Calibri" w:hAnsi="Calibri" w:eastAsia="Times New Roman" w:cs="Calibri"/>
                <w:b/>
                <w:bCs/>
                <w:color w:val="000000"/>
                <w:sz w:val="20"/>
                <w:szCs w:val="20"/>
                <w:lang w:eastAsia="en-US"/>
              </w:rPr>
            </w:pPr>
            <w:r w:rsidRPr="00252CD2">
              <w:rPr>
                <w:rFonts w:ascii="Calibri" w:hAnsi="Calibri" w:eastAsia="Times New Roman" w:cs="Calibri"/>
                <w:b/>
                <w:bCs/>
                <w:color w:val="000000"/>
                <w:sz w:val="20"/>
                <w:szCs w:val="20"/>
                <w:lang w:eastAsia="en-US"/>
              </w:rPr>
              <w:t> </w:t>
            </w:r>
          </w:p>
        </w:tc>
      </w:tr>
      <w:tr w:rsidRPr="00AE701A" w:rsidR="00FD5B56" w:rsidTr="00313268" w14:paraId="7B10A599" w14:textId="77777777">
        <w:trPr>
          <w:trHeight w:val="30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7BD46786" w14:textId="77777777">
            <w:pPr>
              <w:autoSpaceDE/>
              <w:autoSpaceDN/>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Retain copies of COVID-19 Plan</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B1E6C" w:rsidR="00AE701A" w:rsidP="00AE701A" w:rsidRDefault="00AE701A" w14:paraId="1E947804"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One Time</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7B4BA7" w:rsidR="00AE701A" w:rsidP="00AE701A" w:rsidRDefault="00AE701A" w14:paraId="40CD0081" w14:textId="77777777">
            <w:pPr>
              <w:autoSpaceDE/>
              <w:autoSpaceDN/>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Establishment</w:t>
            </w:r>
          </w:p>
        </w:tc>
        <w:tc>
          <w:tcPr>
            <w:tcW w:w="1404"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3340D7" w:rsidR="00AE701A" w:rsidP="00AE701A" w:rsidRDefault="00AE701A" w14:paraId="1399208B" w14:textId="77777777">
            <w:pPr>
              <w:autoSpaceDE/>
              <w:autoSpaceDN/>
              <w:rPr>
                <w:rFonts w:ascii="Calibri" w:hAnsi="Calibri" w:eastAsia="Times New Roman" w:cs="Calibri"/>
                <w:color w:val="000000"/>
                <w:sz w:val="20"/>
                <w:szCs w:val="20"/>
                <w:lang w:eastAsia="en-US"/>
              </w:rPr>
            </w:pPr>
            <w:r w:rsidRPr="003340D7">
              <w:rPr>
                <w:rFonts w:ascii="Calibri" w:hAnsi="Calibri" w:eastAsia="Times New Roman" w:cs="Calibri"/>
                <w:color w:val="000000"/>
                <w:sz w:val="20"/>
                <w:szCs w:val="20"/>
                <w:lang w:eastAsia="en-US"/>
              </w:rPr>
              <w:t>IR Clerk</w:t>
            </w:r>
          </w:p>
        </w:tc>
        <w:tc>
          <w:tcPr>
            <w:tcW w:w="117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D0186" w:rsidR="00AE701A" w:rsidP="00AE701A" w:rsidRDefault="00DF49D7" w14:paraId="74823981" w14:textId="7CC3390D">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312,354</w:t>
            </w:r>
          </w:p>
        </w:tc>
        <w:tc>
          <w:tcPr>
            <w:tcW w:w="1223" w:type="dxa"/>
            <w:vMerge w:val="restart"/>
            <w:tcBorders>
              <w:top w:val="single" w:color="auto" w:sz="4" w:space="0"/>
              <w:left w:val="single" w:color="auto" w:sz="4" w:space="0"/>
              <w:bottom w:val="single" w:color="auto" w:sz="4" w:space="0"/>
              <w:right w:val="single" w:color="auto" w:sz="4" w:space="0"/>
            </w:tcBorders>
            <w:shd w:val="clear" w:color="000000" w:fill="FFFFFF"/>
            <w:vAlign w:val="center"/>
            <w:hideMark/>
          </w:tcPr>
          <w:p w:rsidRPr="00252CD2" w:rsidR="00AE701A" w:rsidP="00AE701A" w:rsidRDefault="00AE701A" w14:paraId="42E4EEDE"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25%</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63AC8ECB"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0.08</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E353F5" w:rsidRDefault="00DF49D7" w14:paraId="6DEEDAE9" w14:textId="56499C13">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6,247.08</w:t>
            </w:r>
          </w:p>
        </w:tc>
        <w:tc>
          <w:tcPr>
            <w:tcW w:w="937" w:type="dxa"/>
            <w:vMerge w:val="restart"/>
            <w:tcBorders>
              <w:top w:val="single" w:color="auto" w:sz="4" w:space="0"/>
              <w:left w:val="single" w:color="auto" w:sz="4" w:space="0"/>
              <w:bottom w:val="single" w:color="auto" w:sz="4" w:space="0"/>
              <w:right w:val="single" w:color="auto" w:sz="4" w:space="0"/>
            </w:tcBorders>
            <w:shd w:val="clear" w:color="000000" w:fill="FFFFFF"/>
            <w:vAlign w:val="center"/>
            <w:hideMark/>
          </w:tcPr>
          <w:p w:rsidRPr="00252CD2" w:rsidR="00AE701A" w:rsidP="00AE701A" w:rsidRDefault="00AE701A" w14:paraId="7F50FC53"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$36.94 </w:t>
            </w:r>
          </w:p>
        </w:tc>
        <w:tc>
          <w:tcPr>
            <w:tcW w:w="160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E353F5" w:rsidRDefault="00AE701A" w14:paraId="60ECFAB4" w14:textId="0028FB48">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w:t>
            </w:r>
            <w:r w:rsidR="0013376F">
              <w:rPr>
                <w:rFonts w:ascii="Calibri" w:hAnsi="Calibri" w:eastAsia="Times New Roman" w:cs="Calibri"/>
                <w:color w:val="000000"/>
                <w:sz w:val="20"/>
                <w:szCs w:val="20"/>
                <w:lang w:eastAsia="en-US"/>
              </w:rPr>
              <w:t>230,767.14</w:t>
            </w:r>
            <w:r w:rsidRPr="00252CD2">
              <w:rPr>
                <w:rFonts w:ascii="Calibri" w:hAnsi="Calibri" w:eastAsia="Times New Roman" w:cs="Calibri"/>
                <w:color w:val="000000"/>
                <w:sz w:val="20"/>
                <w:szCs w:val="20"/>
                <w:lang w:eastAsia="en-US"/>
              </w:rPr>
              <w:t xml:space="preserve"> </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E16E30" w:rsidRDefault="00E353F5" w14:paraId="7E5AC3A6" w14:textId="41F5BCF9">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78,</w:t>
            </w:r>
            <w:r w:rsidR="00E16E30">
              <w:rPr>
                <w:rFonts w:ascii="Calibri" w:hAnsi="Calibri" w:eastAsia="Times New Roman" w:cs="Calibri"/>
                <w:color w:val="000000"/>
                <w:sz w:val="20"/>
                <w:szCs w:val="20"/>
                <w:lang w:eastAsia="en-US"/>
              </w:rPr>
              <w:t>089</w:t>
            </w:r>
          </w:p>
        </w:tc>
      </w:tr>
      <w:tr w:rsidRPr="00AE701A" w:rsidR="00FD5B56" w:rsidTr="00313268" w14:paraId="1A3AF4C1" w14:textId="77777777">
        <w:trPr>
          <w:trHeight w:val="77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48ADC6CF" w14:textId="77777777">
            <w:pPr>
              <w:autoSpaceDE/>
              <w:autoSpaceDN/>
              <w:jc w:val="right"/>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Large and SBA-Defined Small Establishments</w:t>
            </w:r>
          </w:p>
        </w:tc>
        <w:tc>
          <w:tcPr>
            <w:tcW w:w="126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4DB0C026"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10C8608D" w14:textId="77777777">
            <w:pPr>
              <w:autoSpaceDE/>
              <w:autoSpaceDN/>
              <w:rPr>
                <w:rFonts w:ascii="Calibri" w:hAnsi="Calibri" w:eastAsia="Times New Roman" w:cs="Calibri"/>
                <w:color w:val="000000"/>
                <w:sz w:val="20"/>
                <w:szCs w:val="20"/>
                <w:lang w:eastAsia="en-US"/>
              </w:rPr>
            </w:pPr>
          </w:p>
        </w:tc>
        <w:tc>
          <w:tcPr>
            <w:tcW w:w="1404"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722CC687" w14:textId="77777777">
            <w:pPr>
              <w:autoSpaceDE/>
              <w:autoSpaceDN/>
              <w:rPr>
                <w:rFonts w:ascii="Calibri" w:hAnsi="Calibri" w:eastAsia="Times New Roman" w:cs="Calibri"/>
                <w:color w:val="000000"/>
                <w:sz w:val="20"/>
                <w:szCs w:val="20"/>
                <w:lang w:eastAsia="en-US"/>
              </w:rPr>
            </w:pPr>
          </w:p>
        </w:tc>
        <w:tc>
          <w:tcPr>
            <w:tcW w:w="117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3AC929EC" w14:textId="77777777">
            <w:pPr>
              <w:autoSpaceDE/>
              <w:autoSpaceDN/>
              <w:rPr>
                <w:rFonts w:ascii="Calibri" w:hAnsi="Calibri" w:eastAsia="Times New Roman" w:cs="Calibri"/>
                <w:color w:val="000000"/>
                <w:sz w:val="20"/>
                <w:szCs w:val="20"/>
                <w:lang w:eastAsia="en-US"/>
              </w:rPr>
            </w:pPr>
          </w:p>
        </w:tc>
        <w:tc>
          <w:tcPr>
            <w:tcW w:w="1223"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525A0665" w14:textId="77777777">
            <w:pPr>
              <w:autoSpaceDE/>
              <w:autoSpaceDN/>
              <w:rPr>
                <w:rFonts w:ascii="Calibri" w:hAnsi="Calibri" w:eastAsia="Times New Roman" w:cs="Calibri"/>
                <w:color w:val="000000"/>
                <w:sz w:val="20"/>
                <w:szCs w:val="20"/>
                <w:lang w:eastAsia="en-US"/>
              </w:rPr>
            </w:pPr>
          </w:p>
        </w:tc>
        <w:tc>
          <w:tcPr>
            <w:tcW w:w="108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62B42B5A"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34F013A8" w14:textId="77777777">
            <w:pPr>
              <w:autoSpaceDE/>
              <w:autoSpaceDN/>
              <w:rPr>
                <w:rFonts w:ascii="Calibri" w:hAnsi="Calibri" w:eastAsia="Times New Roman" w:cs="Calibri"/>
                <w:color w:val="000000"/>
                <w:sz w:val="20"/>
                <w:szCs w:val="20"/>
                <w:lang w:eastAsia="en-US"/>
              </w:rPr>
            </w:pPr>
          </w:p>
        </w:tc>
        <w:tc>
          <w:tcPr>
            <w:tcW w:w="937"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792EE673" w14:textId="77777777">
            <w:pPr>
              <w:autoSpaceDE/>
              <w:autoSpaceDN/>
              <w:rPr>
                <w:rFonts w:ascii="Calibri" w:hAnsi="Calibri" w:eastAsia="Times New Roman" w:cs="Calibri"/>
                <w:color w:val="000000"/>
                <w:sz w:val="20"/>
                <w:szCs w:val="20"/>
                <w:lang w:eastAsia="en-US"/>
              </w:rPr>
            </w:pPr>
          </w:p>
        </w:tc>
        <w:tc>
          <w:tcPr>
            <w:tcW w:w="1607"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174BC27D" w14:textId="77777777">
            <w:pPr>
              <w:autoSpaceDE/>
              <w:autoSpaceDN/>
              <w:rPr>
                <w:rFonts w:ascii="Calibri" w:hAnsi="Calibri" w:eastAsia="Times New Roman" w:cs="Calibri"/>
                <w:color w:val="000000"/>
                <w:sz w:val="20"/>
                <w:szCs w:val="20"/>
                <w:lang w:eastAsia="en-US"/>
              </w:rPr>
            </w:pPr>
          </w:p>
        </w:tc>
        <w:tc>
          <w:tcPr>
            <w:tcW w:w="11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507100DD" w14:textId="77777777">
            <w:pPr>
              <w:autoSpaceDE/>
              <w:autoSpaceDN/>
              <w:rPr>
                <w:rFonts w:ascii="Calibri" w:hAnsi="Calibri" w:eastAsia="Times New Roman" w:cs="Calibri"/>
                <w:color w:val="000000"/>
                <w:sz w:val="20"/>
                <w:szCs w:val="20"/>
                <w:lang w:eastAsia="en-US"/>
              </w:rPr>
            </w:pPr>
          </w:p>
        </w:tc>
      </w:tr>
      <w:tr w:rsidRPr="00AE701A" w:rsidR="00FD5B56" w:rsidTr="00313268" w14:paraId="432E722B" w14:textId="77777777">
        <w:trPr>
          <w:trHeight w:val="41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62CC5B1D" w14:textId="77777777">
            <w:pPr>
              <w:autoSpaceDE/>
              <w:autoSpaceDN/>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Retain copies of COVID-19 Plan</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B1E6C" w:rsidR="00AE701A" w:rsidP="00AE701A" w:rsidRDefault="00AE701A" w14:paraId="54D060EB"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One Time</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7B4BA7" w:rsidR="00AE701A" w:rsidP="00AE701A" w:rsidRDefault="00AE701A" w14:paraId="5922FB19" w14:textId="77777777">
            <w:pPr>
              <w:autoSpaceDE/>
              <w:autoSpaceDN/>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Establishment</w:t>
            </w:r>
          </w:p>
        </w:tc>
        <w:tc>
          <w:tcPr>
            <w:tcW w:w="1404"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3340D7" w:rsidR="00AE701A" w:rsidP="00AE701A" w:rsidRDefault="00AE701A" w14:paraId="2E07E538" w14:textId="77777777">
            <w:pPr>
              <w:autoSpaceDE/>
              <w:autoSpaceDN/>
              <w:rPr>
                <w:rFonts w:ascii="Calibri" w:hAnsi="Calibri" w:eastAsia="Times New Roman" w:cs="Calibri"/>
                <w:color w:val="000000"/>
                <w:sz w:val="20"/>
                <w:szCs w:val="20"/>
                <w:lang w:eastAsia="en-US"/>
              </w:rPr>
            </w:pPr>
            <w:r w:rsidRPr="003340D7">
              <w:rPr>
                <w:rFonts w:ascii="Calibri" w:hAnsi="Calibri" w:eastAsia="Times New Roman" w:cs="Calibri"/>
                <w:color w:val="000000"/>
                <w:sz w:val="20"/>
                <w:szCs w:val="20"/>
                <w:lang w:eastAsia="en-US"/>
              </w:rPr>
              <w:t>IR Clerk</w:t>
            </w:r>
          </w:p>
        </w:tc>
        <w:tc>
          <w:tcPr>
            <w:tcW w:w="117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D0186" w:rsidR="00AE701A" w:rsidP="00AE701A" w:rsidRDefault="00DF49D7" w14:paraId="7FF167D6" w14:textId="2A54D695">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548,783</w:t>
            </w:r>
          </w:p>
        </w:tc>
        <w:tc>
          <w:tcPr>
            <w:tcW w:w="1223" w:type="dxa"/>
            <w:vMerge w:val="restart"/>
            <w:tcBorders>
              <w:top w:val="single" w:color="auto" w:sz="4" w:space="0"/>
              <w:left w:val="single" w:color="auto" w:sz="4" w:space="0"/>
              <w:bottom w:val="single" w:color="auto" w:sz="4" w:space="0"/>
              <w:right w:val="single" w:color="auto" w:sz="4" w:space="0"/>
            </w:tcBorders>
            <w:shd w:val="clear" w:color="000000" w:fill="FFFFFF"/>
            <w:vAlign w:val="center"/>
            <w:hideMark/>
          </w:tcPr>
          <w:p w:rsidRPr="00252CD2" w:rsidR="00AE701A" w:rsidP="00AE701A" w:rsidRDefault="00AE701A" w14:paraId="6B297C6B"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50%</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3197027E"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0.08</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E353F5" w:rsidRDefault="0013376F" w14:paraId="09476BBA" w14:textId="3F9C1FBB">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21,951.32</w:t>
            </w:r>
          </w:p>
        </w:tc>
        <w:tc>
          <w:tcPr>
            <w:tcW w:w="937" w:type="dxa"/>
            <w:vMerge w:val="restart"/>
            <w:tcBorders>
              <w:top w:val="single" w:color="auto" w:sz="4" w:space="0"/>
              <w:left w:val="single" w:color="auto" w:sz="4" w:space="0"/>
              <w:bottom w:val="single" w:color="auto" w:sz="4" w:space="0"/>
              <w:right w:val="single" w:color="auto" w:sz="4" w:space="0"/>
            </w:tcBorders>
            <w:shd w:val="clear" w:color="000000" w:fill="FFFFFF"/>
            <w:vAlign w:val="center"/>
            <w:hideMark/>
          </w:tcPr>
          <w:p w:rsidRPr="00252CD2" w:rsidR="00AE701A" w:rsidP="00AE701A" w:rsidRDefault="00AE701A" w14:paraId="13FC6AC8"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$36.94 </w:t>
            </w:r>
          </w:p>
        </w:tc>
        <w:tc>
          <w:tcPr>
            <w:tcW w:w="160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E16E30" w:rsidRDefault="00AE701A" w14:paraId="55993493" w14:textId="21D92EB9">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w:t>
            </w:r>
            <w:r w:rsidR="00E353F5">
              <w:rPr>
                <w:rFonts w:ascii="Calibri" w:hAnsi="Calibri" w:eastAsia="Times New Roman" w:cs="Calibri"/>
                <w:color w:val="000000"/>
                <w:sz w:val="20"/>
                <w:szCs w:val="20"/>
                <w:lang w:eastAsia="en-US"/>
              </w:rPr>
              <w:t>81</w:t>
            </w:r>
            <w:r w:rsidR="00E16E30">
              <w:rPr>
                <w:rFonts w:ascii="Calibri" w:hAnsi="Calibri" w:eastAsia="Times New Roman" w:cs="Calibri"/>
                <w:color w:val="000000"/>
                <w:sz w:val="20"/>
                <w:szCs w:val="20"/>
                <w:lang w:eastAsia="en-US"/>
              </w:rPr>
              <w:t>0</w:t>
            </w:r>
            <w:r w:rsidR="00E353F5">
              <w:rPr>
                <w:rFonts w:ascii="Calibri" w:hAnsi="Calibri" w:eastAsia="Times New Roman" w:cs="Calibri"/>
                <w:color w:val="000000"/>
                <w:sz w:val="20"/>
                <w:szCs w:val="20"/>
                <w:lang w:eastAsia="en-US"/>
              </w:rPr>
              <w:t>,</w:t>
            </w:r>
            <w:r w:rsidR="00E16E30">
              <w:rPr>
                <w:rFonts w:ascii="Calibri" w:hAnsi="Calibri" w:eastAsia="Times New Roman" w:cs="Calibri"/>
                <w:color w:val="000000"/>
                <w:sz w:val="20"/>
                <w:szCs w:val="20"/>
                <w:lang w:eastAsia="en-US"/>
              </w:rPr>
              <w:t>881.76</w:t>
            </w:r>
            <w:r w:rsidRPr="00252CD2">
              <w:rPr>
                <w:rFonts w:ascii="Calibri" w:hAnsi="Calibri" w:eastAsia="Times New Roman" w:cs="Calibri"/>
                <w:color w:val="000000"/>
                <w:sz w:val="20"/>
                <w:szCs w:val="20"/>
                <w:lang w:eastAsia="en-US"/>
              </w:rPr>
              <w:t xml:space="preserve"> </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E16E30" w:rsidRDefault="00E353F5" w14:paraId="7182D4E6" w14:textId="5E66B209">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27</w:t>
            </w:r>
            <w:r w:rsidR="00E16E30">
              <w:rPr>
                <w:rFonts w:ascii="Calibri" w:hAnsi="Calibri" w:eastAsia="Times New Roman" w:cs="Calibri"/>
                <w:color w:val="000000"/>
                <w:sz w:val="20"/>
                <w:szCs w:val="20"/>
                <w:lang w:eastAsia="en-US"/>
              </w:rPr>
              <w:t>4</w:t>
            </w:r>
            <w:r>
              <w:rPr>
                <w:rFonts w:ascii="Calibri" w:hAnsi="Calibri" w:eastAsia="Times New Roman" w:cs="Calibri"/>
                <w:color w:val="000000"/>
                <w:sz w:val="20"/>
                <w:szCs w:val="20"/>
                <w:lang w:eastAsia="en-US"/>
              </w:rPr>
              <w:t>,</w:t>
            </w:r>
            <w:r w:rsidR="00E16E30">
              <w:rPr>
                <w:rFonts w:ascii="Calibri" w:hAnsi="Calibri" w:eastAsia="Times New Roman" w:cs="Calibri"/>
                <w:color w:val="000000"/>
                <w:sz w:val="20"/>
                <w:szCs w:val="20"/>
                <w:lang w:eastAsia="en-US"/>
              </w:rPr>
              <w:t>392</w:t>
            </w:r>
          </w:p>
        </w:tc>
      </w:tr>
      <w:tr w:rsidRPr="00AE701A" w:rsidR="00FD5B56" w:rsidTr="00313268" w14:paraId="32957888" w14:textId="77777777">
        <w:trPr>
          <w:trHeight w:val="42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67DEA3C6" w14:textId="77777777">
            <w:pPr>
              <w:autoSpaceDE/>
              <w:autoSpaceDN/>
              <w:jc w:val="right"/>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 xml:space="preserve">   Very Small Establishments</w:t>
            </w:r>
          </w:p>
        </w:tc>
        <w:tc>
          <w:tcPr>
            <w:tcW w:w="126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633DE00F"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57C98653" w14:textId="77777777">
            <w:pPr>
              <w:autoSpaceDE/>
              <w:autoSpaceDN/>
              <w:rPr>
                <w:rFonts w:ascii="Calibri" w:hAnsi="Calibri" w:eastAsia="Times New Roman" w:cs="Calibri"/>
                <w:color w:val="000000"/>
                <w:sz w:val="20"/>
                <w:szCs w:val="20"/>
                <w:lang w:eastAsia="en-US"/>
              </w:rPr>
            </w:pPr>
          </w:p>
        </w:tc>
        <w:tc>
          <w:tcPr>
            <w:tcW w:w="1404"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6933070D" w14:textId="77777777">
            <w:pPr>
              <w:autoSpaceDE/>
              <w:autoSpaceDN/>
              <w:rPr>
                <w:rFonts w:ascii="Calibri" w:hAnsi="Calibri" w:eastAsia="Times New Roman" w:cs="Calibri"/>
                <w:color w:val="000000"/>
                <w:sz w:val="20"/>
                <w:szCs w:val="20"/>
                <w:lang w:eastAsia="en-US"/>
              </w:rPr>
            </w:pPr>
          </w:p>
        </w:tc>
        <w:tc>
          <w:tcPr>
            <w:tcW w:w="117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65A262F3" w14:textId="77777777">
            <w:pPr>
              <w:autoSpaceDE/>
              <w:autoSpaceDN/>
              <w:rPr>
                <w:rFonts w:ascii="Calibri" w:hAnsi="Calibri" w:eastAsia="Times New Roman" w:cs="Calibri"/>
                <w:color w:val="000000"/>
                <w:sz w:val="20"/>
                <w:szCs w:val="20"/>
                <w:lang w:eastAsia="en-US"/>
              </w:rPr>
            </w:pPr>
          </w:p>
        </w:tc>
        <w:tc>
          <w:tcPr>
            <w:tcW w:w="1223"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21BAED54" w14:textId="77777777">
            <w:pPr>
              <w:autoSpaceDE/>
              <w:autoSpaceDN/>
              <w:rPr>
                <w:rFonts w:ascii="Calibri" w:hAnsi="Calibri" w:eastAsia="Times New Roman" w:cs="Calibri"/>
                <w:color w:val="000000"/>
                <w:sz w:val="20"/>
                <w:szCs w:val="20"/>
                <w:lang w:eastAsia="en-US"/>
              </w:rPr>
            </w:pPr>
          </w:p>
        </w:tc>
        <w:tc>
          <w:tcPr>
            <w:tcW w:w="108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1B2F7C52"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07C1103D" w14:textId="77777777">
            <w:pPr>
              <w:autoSpaceDE/>
              <w:autoSpaceDN/>
              <w:rPr>
                <w:rFonts w:ascii="Calibri" w:hAnsi="Calibri" w:eastAsia="Times New Roman" w:cs="Calibri"/>
                <w:color w:val="000000"/>
                <w:sz w:val="20"/>
                <w:szCs w:val="20"/>
                <w:lang w:eastAsia="en-US"/>
              </w:rPr>
            </w:pPr>
          </w:p>
        </w:tc>
        <w:tc>
          <w:tcPr>
            <w:tcW w:w="937"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14989B5A" w14:textId="77777777">
            <w:pPr>
              <w:autoSpaceDE/>
              <w:autoSpaceDN/>
              <w:rPr>
                <w:rFonts w:ascii="Calibri" w:hAnsi="Calibri" w:eastAsia="Times New Roman" w:cs="Calibri"/>
                <w:color w:val="000000"/>
                <w:sz w:val="20"/>
                <w:szCs w:val="20"/>
                <w:lang w:eastAsia="en-US"/>
              </w:rPr>
            </w:pPr>
          </w:p>
        </w:tc>
        <w:tc>
          <w:tcPr>
            <w:tcW w:w="1607"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3D8C7F19" w14:textId="77777777">
            <w:pPr>
              <w:autoSpaceDE/>
              <w:autoSpaceDN/>
              <w:rPr>
                <w:rFonts w:ascii="Calibri" w:hAnsi="Calibri" w:eastAsia="Times New Roman" w:cs="Calibri"/>
                <w:color w:val="000000"/>
                <w:sz w:val="20"/>
                <w:szCs w:val="20"/>
                <w:lang w:eastAsia="en-US"/>
              </w:rPr>
            </w:pPr>
          </w:p>
        </w:tc>
        <w:tc>
          <w:tcPr>
            <w:tcW w:w="11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51F4ACC9" w14:textId="77777777">
            <w:pPr>
              <w:autoSpaceDE/>
              <w:autoSpaceDN/>
              <w:rPr>
                <w:rFonts w:ascii="Calibri" w:hAnsi="Calibri" w:eastAsia="Times New Roman" w:cs="Calibri"/>
                <w:color w:val="000000"/>
                <w:sz w:val="20"/>
                <w:szCs w:val="20"/>
                <w:lang w:eastAsia="en-US"/>
              </w:rPr>
            </w:pPr>
          </w:p>
        </w:tc>
      </w:tr>
      <w:tr w:rsidRPr="00AE701A" w:rsidR="00FD5B56" w:rsidTr="00313268" w14:paraId="02942B7F" w14:textId="77777777">
        <w:trPr>
          <w:trHeight w:val="300"/>
        </w:trPr>
        <w:tc>
          <w:tcPr>
            <w:tcW w:w="162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520C25" w:rsidR="00AE701A" w:rsidP="00AE701A" w:rsidRDefault="00AE701A" w14:paraId="2B3DC742" w14:textId="77777777">
            <w:pPr>
              <w:autoSpaceDE/>
              <w:autoSpaceDN/>
              <w:rPr>
                <w:rFonts w:ascii="Calibri" w:hAnsi="Calibri" w:eastAsia="Times New Roman" w:cs="Calibri"/>
                <w:b/>
                <w:bCs/>
                <w:color w:val="000000"/>
                <w:sz w:val="20"/>
                <w:szCs w:val="20"/>
                <w:lang w:eastAsia="en-US"/>
              </w:rPr>
            </w:pPr>
            <w:r w:rsidRPr="00520C25">
              <w:rPr>
                <w:rFonts w:ascii="Calibri" w:hAnsi="Calibri" w:eastAsia="Times New Roman" w:cs="Calibri"/>
                <w:b/>
                <w:bCs/>
                <w:color w:val="000000"/>
                <w:sz w:val="20"/>
                <w:szCs w:val="20"/>
                <w:lang w:eastAsia="en-US"/>
              </w:rPr>
              <w:t>b. COVID-19 Log</w:t>
            </w:r>
          </w:p>
        </w:tc>
        <w:tc>
          <w:tcPr>
            <w:tcW w:w="126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AB1E6C" w:rsidR="00AE701A" w:rsidP="00AE701A" w:rsidRDefault="00AE701A" w14:paraId="7C11FE3F"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 </w:t>
            </w:r>
          </w:p>
        </w:tc>
        <w:tc>
          <w:tcPr>
            <w:tcW w:w="144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7B4BA7" w:rsidR="00AE701A" w:rsidP="00AE701A" w:rsidRDefault="00AE701A" w14:paraId="5953BDD5" w14:textId="77777777">
            <w:pPr>
              <w:autoSpaceDE/>
              <w:autoSpaceDN/>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 </w:t>
            </w:r>
          </w:p>
        </w:tc>
        <w:tc>
          <w:tcPr>
            <w:tcW w:w="1404"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3340D7" w:rsidR="00AE701A" w:rsidP="00AE701A" w:rsidRDefault="00AE701A" w14:paraId="7CA67376" w14:textId="77777777">
            <w:pPr>
              <w:autoSpaceDE/>
              <w:autoSpaceDN/>
              <w:rPr>
                <w:rFonts w:ascii="Calibri" w:hAnsi="Calibri" w:eastAsia="Times New Roman" w:cs="Calibri"/>
                <w:color w:val="000000"/>
                <w:sz w:val="20"/>
                <w:szCs w:val="20"/>
                <w:lang w:eastAsia="en-US"/>
              </w:rPr>
            </w:pPr>
            <w:r w:rsidRPr="003340D7">
              <w:rPr>
                <w:rFonts w:ascii="Calibri" w:hAnsi="Calibri" w:eastAsia="Times New Roman" w:cs="Calibri"/>
                <w:color w:val="000000"/>
                <w:sz w:val="20"/>
                <w:szCs w:val="20"/>
                <w:lang w:eastAsia="en-US"/>
              </w:rPr>
              <w:t> </w:t>
            </w:r>
          </w:p>
        </w:tc>
        <w:tc>
          <w:tcPr>
            <w:tcW w:w="117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1D0186" w:rsidR="00AE701A" w:rsidP="00AE701A" w:rsidRDefault="00AE701A" w14:paraId="18A862F7" w14:textId="77777777">
            <w:pPr>
              <w:autoSpaceDE/>
              <w:autoSpaceDN/>
              <w:jc w:val="right"/>
              <w:rPr>
                <w:rFonts w:ascii="Calibri" w:hAnsi="Calibri" w:eastAsia="Times New Roman" w:cs="Calibri"/>
                <w:color w:val="000000"/>
                <w:sz w:val="20"/>
                <w:szCs w:val="20"/>
                <w:lang w:eastAsia="en-US"/>
              </w:rPr>
            </w:pPr>
            <w:r w:rsidRPr="001D0186">
              <w:rPr>
                <w:rFonts w:ascii="Calibri" w:hAnsi="Calibri" w:eastAsia="Times New Roman" w:cs="Calibri"/>
                <w:color w:val="000000"/>
                <w:sz w:val="20"/>
                <w:szCs w:val="20"/>
                <w:lang w:eastAsia="en-US"/>
              </w:rPr>
              <w:t> </w:t>
            </w:r>
          </w:p>
        </w:tc>
        <w:tc>
          <w:tcPr>
            <w:tcW w:w="1223"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252CD2" w:rsidR="00AE701A" w:rsidP="00AE701A" w:rsidRDefault="00AE701A" w14:paraId="0EE96331"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w:t>
            </w:r>
          </w:p>
        </w:tc>
        <w:tc>
          <w:tcPr>
            <w:tcW w:w="108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252CD2" w:rsidR="00AE701A" w:rsidP="00AE701A" w:rsidRDefault="00AE701A" w14:paraId="2A8F10E4"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w:t>
            </w:r>
          </w:p>
        </w:tc>
        <w:tc>
          <w:tcPr>
            <w:tcW w:w="144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252CD2" w:rsidR="00AE701A" w:rsidP="00AE701A" w:rsidRDefault="00AE701A" w14:paraId="4D87B63F"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w:t>
            </w:r>
          </w:p>
        </w:tc>
        <w:tc>
          <w:tcPr>
            <w:tcW w:w="937"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252CD2" w:rsidR="00AE701A" w:rsidP="00AE701A" w:rsidRDefault="00AE701A" w14:paraId="6A676A4C"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w:t>
            </w:r>
          </w:p>
        </w:tc>
        <w:tc>
          <w:tcPr>
            <w:tcW w:w="1607"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252CD2" w:rsidR="00AE701A" w:rsidP="00AE701A" w:rsidRDefault="00AE701A" w14:paraId="1C65D687"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w:t>
            </w:r>
          </w:p>
        </w:tc>
        <w:tc>
          <w:tcPr>
            <w:tcW w:w="1140" w:type="dxa"/>
            <w:tcBorders>
              <w:top w:val="single" w:color="auto" w:sz="4" w:space="0"/>
              <w:left w:val="single" w:color="auto" w:sz="4" w:space="0"/>
              <w:bottom w:val="single" w:color="auto" w:sz="4" w:space="0"/>
              <w:right w:val="single" w:color="auto" w:sz="4" w:space="0"/>
            </w:tcBorders>
            <w:shd w:val="clear" w:color="000000" w:fill="D9E1F2"/>
            <w:vAlign w:val="center"/>
            <w:hideMark/>
          </w:tcPr>
          <w:p w:rsidRPr="00252CD2" w:rsidR="00AE701A" w:rsidP="00AE701A" w:rsidRDefault="00AE701A" w14:paraId="09E3C89F"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w:t>
            </w:r>
          </w:p>
        </w:tc>
      </w:tr>
      <w:tr w:rsidRPr="00AE701A" w:rsidR="00FD5B56" w:rsidTr="00313268" w14:paraId="1297EF5E" w14:textId="77777777">
        <w:trPr>
          <w:trHeight w:val="30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09554F4D" w14:textId="77777777">
            <w:pPr>
              <w:autoSpaceDE/>
              <w:autoSpaceDN/>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Establish COVID-19 Log</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B1E6C" w:rsidR="00AE701A" w:rsidP="00AE701A" w:rsidRDefault="00AE701A" w14:paraId="28CFFE3D"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One Time</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B4BA7" w:rsidR="00AE701A" w:rsidP="00AE701A" w:rsidRDefault="00AE701A" w14:paraId="4E593CA5" w14:textId="77777777">
            <w:pPr>
              <w:autoSpaceDE/>
              <w:autoSpaceDN/>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Employee</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340D7" w:rsidR="00AE701A" w:rsidP="00AE701A" w:rsidRDefault="00AE701A" w14:paraId="5078765F" w14:textId="77777777">
            <w:pPr>
              <w:autoSpaceDE/>
              <w:autoSpaceDN/>
              <w:rPr>
                <w:rFonts w:ascii="Calibri" w:hAnsi="Calibri" w:eastAsia="Times New Roman" w:cs="Calibri"/>
                <w:color w:val="000000"/>
                <w:sz w:val="20"/>
                <w:szCs w:val="20"/>
                <w:lang w:eastAsia="en-US"/>
              </w:rPr>
            </w:pPr>
            <w:r w:rsidRPr="003340D7">
              <w:rPr>
                <w:rFonts w:ascii="Calibri" w:hAnsi="Calibri" w:eastAsia="Times New Roman" w:cs="Calibri"/>
                <w:color w:val="000000"/>
                <w:sz w:val="20"/>
                <w:szCs w:val="20"/>
                <w:lang w:eastAsia="en-US"/>
              </w:rPr>
              <w:t>GO Manager</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D0186" w:rsidR="00AE701A" w:rsidP="00AE701A" w:rsidRDefault="0013376F" w14:paraId="3861F660" w14:textId="16F76883">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748,816</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21358EE1"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100%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1EB70497"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0.5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13376F" w14:paraId="6E37C6D5" w14:textId="2EF20482">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374,408</w:t>
            </w:r>
          </w:p>
        </w:tc>
        <w:tc>
          <w:tcPr>
            <w:tcW w:w="937"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252CD2" w:rsidR="00AE701A" w:rsidP="00AE701A" w:rsidRDefault="00AE701A" w14:paraId="6CD3B923"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$88.16 </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E353F5" w:rsidRDefault="00AE701A" w14:paraId="117252F4" w14:textId="688D5C1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w:t>
            </w:r>
            <w:r w:rsidR="002F7929">
              <w:rPr>
                <w:rFonts w:ascii="Calibri" w:hAnsi="Calibri" w:eastAsia="Times New Roman" w:cs="Calibri"/>
                <w:color w:val="000000"/>
                <w:sz w:val="20"/>
                <w:szCs w:val="20"/>
                <w:lang w:eastAsia="en-US"/>
              </w:rPr>
              <w:t>33,007,809.28</w:t>
            </w:r>
            <w:r w:rsidRPr="00252CD2">
              <w:rPr>
                <w:rFonts w:ascii="Calibri" w:hAnsi="Calibri" w:eastAsia="Times New Roman" w:cs="Calibri"/>
                <w:color w:val="000000"/>
                <w:sz w:val="20"/>
                <w:szCs w:val="20"/>
                <w:lang w:eastAsia="en-US"/>
              </w:rPr>
              <w:t xml:space="preserve"> </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13376F" w14:paraId="69E50905" w14:textId="1504EFAE">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748,816</w:t>
            </w:r>
          </w:p>
        </w:tc>
      </w:tr>
      <w:tr w:rsidRPr="00AE701A" w:rsidR="00FD5B56" w:rsidTr="00313268" w14:paraId="2E187C11" w14:textId="77777777">
        <w:trPr>
          <w:trHeight w:val="30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69C6A7DC" w14:textId="77777777">
            <w:pPr>
              <w:autoSpaceDE/>
              <w:autoSpaceDN/>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 xml:space="preserve">Maintain COVID-19 Log </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B4BA7" w:rsidR="00AE701A" w:rsidP="00AE701A" w:rsidRDefault="00AE701A" w14:paraId="0522A467"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Intermittent</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340D7" w:rsidR="00AE701A" w:rsidP="00AE701A" w:rsidRDefault="00AE701A" w14:paraId="1D09B21A" w14:textId="77777777">
            <w:pPr>
              <w:autoSpaceDE/>
              <w:autoSpaceDN/>
              <w:rPr>
                <w:rFonts w:ascii="Calibri" w:hAnsi="Calibri" w:eastAsia="Times New Roman" w:cs="Calibri"/>
                <w:color w:val="000000"/>
                <w:sz w:val="20"/>
                <w:szCs w:val="20"/>
                <w:lang w:eastAsia="en-US"/>
              </w:rPr>
            </w:pPr>
            <w:r w:rsidRPr="003340D7">
              <w:rPr>
                <w:rFonts w:ascii="Calibri" w:hAnsi="Calibri" w:eastAsia="Times New Roman" w:cs="Calibri"/>
                <w:color w:val="000000"/>
                <w:sz w:val="20"/>
                <w:szCs w:val="20"/>
                <w:lang w:eastAsia="en-US"/>
              </w:rPr>
              <w:t>Employee</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D0186" w:rsidR="00AE701A" w:rsidP="00AE701A" w:rsidRDefault="00AE701A" w14:paraId="18024925" w14:textId="77777777">
            <w:pPr>
              <w:autoSpaceDE/>
              <w:autoSpaceDN/>
              <w:rPr>
                <w:rFonts w:ascii="Calibri" w:hAnsi="Calibri" w:eastAsia="Times New Roman" w:cs="Calibri"/>
                <w:color w:val="000000"/>
                <w:sz w:val="20"/>
                <w:szCs w:val="20"/>
                <w:lang w:eastAsia="en-US"/>
              </w:rPr>
            </w:pPr>
            <w:r w:rsidRPr="001D0186">
              <w:rPr>
                <w:rFonts w:ascii="Calibri" w:hAnsi="Calibri" w:eastAsia="Times New Roman" w:cs="Calibri"/>
                <w:color w:val="000000"/>
                <w:sz w:val="20"/>
                <w:szCs w:val="20"/>
                <w:lang w:eastAsia="en-US"/>
              </w:rPr>
              <w:t>IR Clerk</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E16E30" w:rsidRDefault="00E16E30" w14:paraId="2ABCBEAC" w14:textId="3F09955E">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39,286</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25EBA919"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100%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5CC2EB0A"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0.17</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6337D5" w:rsidRDefault="002F7929" w14:paraId="3CBFB8FF" w14:textId="4CFCDB96">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6,678.58</w:t>
            </w:r>
          </w:p>
        </w:tc>
        <w:tc>
          <w:tcPr>
            <w:tcW w:w="937"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252CD2" w:rsidR="00AE701A" w:rsidP="00AE701A" w:rsidRDefault="00AE701A" w14:paraId="2228EABA"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$36.94 </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6337D5" w:rsidRDefault="00AE701A" w14:paraId="16C19E1D" w14:textId="64B41A92">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w:t>
            </w:r>
            <w:r w:rsidR="002F7929">
              <w:rPr>
                <w:rFonts w:ascii="Calibri" w:hAnsi="Calibri" w:eastAsia="Times New Roman" w:cs="Calibri"/>
                <w:color w:val="000000"/>
                <w:sz w:val="20"/>
                <w:szCs w:val="20"/>
                <w:lang w:eastAsia="en-US"/>
              </w:rPr>
              <w:t>246,706.60</w:t>
            </w:r>
            <w:r w:rsidRPr="00252CD2">
              <w:rPr>
                <w:rFonts w:ascii="Calibri" w:hAnsi="Calibri" w:eastAsia="Times New Roman" w:cs="Calibri"/>
                <w:color w:val="000000"/>
                <w:sz w:val="20"/>
                <w:szCs w:val="20"/>
                <w:lang w:eastAsia="en-US"/>
              </w:rPr>
              <w:t xml:space="preserve"> </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6337D5" w:rsidRDefault="002F7929" w14:paraId="1CDB8F63" w14:textId="2B203B0C">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39,286</w:t>
            </w:r>
          </w:p>
        </w:tc>
      </w:tr>
      <w:tr w:rsidRPr="00AE701A" w:rsidR="00FD5B56" w:rsidTr="00313268" w14:paraId="5D0321EC" w14:textId="77777777">
        <w:trPr>
          <w:trHeight w:val="53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7C5C6D5E" w14:textId="77777777">
            <w:pPr>
              <w:autoSpaceDE/>
              <w:autoSpaceDN/>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Employee Access to the COVID-19 Records</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B1E6C" w:rsidR="00AE701A" w:rsidP="00AE701A" w:rsidRDefault="00AE701A" w14:paraId="00DC9D26"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Intermittent</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B4BA7" w:rsidR="00AE701A" w:rsidP="00AE701A" w:rsidRDefault="00AE701A" w14:paraId="2A8560CC" w14:textId="77777777">
            <w:pPr>
              <w:autoSpaceDE/>
              <w:autoSpaceDN/>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Employee</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340D7" w:rsidR="00AE701A" w:rsidP="00AE701A" w:rsidRDefault="00AE701A" w14:paraId="59DF291B" w14:textId="77777777">
            <w:pPr>
              <w:autoSpaceDE/>
              <w:autoSpaceDN/>
              <w:rPr>
                <w:rFonts w:ascii="Calibri" w:hAnsi="Calibri" w:eastAsia="Times New Roman" w:cs="Calibri"/>
                <w:color w:val="000000"/>
                <w:sz w:val="20"/>
                <w:szCs w:val="20"/>
                <w:lang w:eastAsia="en-US"/>
              </w:rPr>
            </w:pPr>
            <w:r w:rsidRPr="003340D7">
              <w:rPr>
                <w:rFonts w:ascii="Calibri" w:hAnsi="Calibri" w:eastAsia="Times New Roman" w:cs="Calibri"/>
                <w:color w:val="000000"/>
                <w:sz w:val="20"/>
                <w:szCs w:val="20"/>
                <w:lang w:eastAsia="en-US"/>
              </w:rPr>
              <w:t>File Clerk</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D0186" w:rsidR="00AE701A" w:rsidP="00AE701A" w:rsidRDefault="00FB43BA" w14:paraId="6138E296" w14:textId="5A69AA69">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258,459</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5E597AB1"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25%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29C4CF37"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0.08</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CD4E5A" w:rsidRDefault="00F9494F" w14:paraId="7E4E2E91" w14:textId="0234FBA3">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5,169.</w:t>
            </w:r>
            <w:r w:rsidR="00CD4E5A">
              <w:rPr>
                <w:rFonts w:ascii="Calibri" w:hAnsi="Calibri" w:eastAsia="Times New Roman" w:cs="Calibri"/>
                <w:color w:val="000000"/>
                <w:sz w:val="20"/>
                <w:szCs w:val="20"/>
                <w:lang w:eastAsia="en-US"/>
              </w:rPr>
              <w:t>18</w:t>
            </w:r>
          </w:p>
        </w:tc>
        <w:tc>
          <w:tcPr>
            <w:tcW w:w="937"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252CD2" w:rsidR="00AE701A" w:rsidP="00AE701A" w:rsidRDefault="00AE701A" w14:paraId="185D7CB8"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$36.94 </w:t>
            </w:r>
          </w:p>
        </w:tc>
        <w:tc>
          <w:tcPr>
            <w:tcW w:w="160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E353F5" w:rsidRDefault="00AE701A" w14:paraId="5586650D" w14:textId="6A7C1013">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w:t>
            </w:r>
            <w:r w:rsidR="007C1195">
              <w:rPr>
                <w:rFonts w:ascii="Calibri" w:hAnsi="Calibri" w:eastAsia="Times New Roman" w:cs="Calibri"/>
                <w:color w:val="000000"/>
                <w:sz w:val="20"/>
                <w:szCs w:val="20"/>
                <w:lang w:eastAsia="en-US"/>
              </w:rPr>
              <w:t>190,949.38</w:t>
            </w:r>
            <w:r w:rsidRPr="00252CD2">
              <w:rPr>
                <w:rFonts w:ascii="Calibri" w:hAnsi="Calibri" w:eastAsia="Times New Roman" w:cs="Calibri"/>
                <w:color w:val="000000"/>
                <w:sz w:val="20"/>
                <w:szCs w:val="20"/>
                <w:lang w:eastAsia="en-US"/>
              </w:rPr>
              <w:t xml:space="preserve"> </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CD4E5A" w:rsidRDefault="00E353F5" w14:paraId="1FDF8522" w14:textId="7C6F0285">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64,6</w:t>
            </w:r>
            <w:r w:rsidR="00CD4E5A">
              <w:rPr>
                <w:rFonts w:ascii="Calibri" w:hAnsi="Calibri" w:eastAsia="Times New Roman" w:cs="Calibri"/>
                <w:color w:val="000000"/>
                <w:sz w:val="20"/>
                <w:szCs w:val="20"/>
                <w:lang w:eastAsia="en-US"/>
              </w:rPr>
              <w:t>15</w:t>
            </w:r>
          </w:p>
        </w:tc>
      </w:tr>
      <w:tr w:rsidRPr="00AE701A" w:rsidR="00091560" w:rsidTr="008078A1" w14:paraId="1A6ED3E5" w14:textId="77777777">
        <w:trPr>
          <w:trHeight w:val="300"/>
        </w:trPr>
        <w:tc>
          <w:tcPr>
            <w:tcW w:w="14321" w:type="dxa"/>
            <w:gridSpan w:val="11"/>
            <w:tcBorders>
              <w:top w:val="single" w:color="auto" w:sz="4" w:space="0"/>
              <w:left w:val="single" w:color="auto" w:sz="4" w:space="0"/>
              <w:bottom w:val="single" w:color="auto" w:sz="4" w:space="0"/>
              <w:right w:val="single" w:color="auto" w:sz="4" w:space="0"/>
            </w:tcBorders>
            <w:shd w:val="clear" w:color="000000" w:fill="B4C6E7"/>
            <w:vAlign w:val="center"/>
            <w:hideMark/>
          </w:tcPr>
          <w:p w:rsidRPr="00520C25" w:rsidR="00AE701A" w:rsidP="00AE701A" w:rsidRDefault="00AE701A" w14:paraId="5C3939E4" w14:textId="77777777">
            <w:pPr>
              <w:autoSpaceDE/>
              <w:autoSpaceDN/>
              <w:rPr>
                <w:rFonts w:ascii="Calibri" w:hAnsi="Calibri" w:eastAsia="Times New Roman" w:cs="Calibri"/>
                <w:b/>
                <w:bCs/>
                <w:color w:val="000000"/>
                <w:sz w:val="20"/>
                <w:szCs w:val="20"/>
                <w:lang w:eastAsia="en-US"/>
              </w:rPr>
            </w:pPr>
            <w:r w:rsidRPr="00520C25">
              <w:rPr>
                <w:rFonts w:ascii="Calibri" w:hAnsi="Calibri" w:eastAsia="Times New Roman" w:cs="Calibri"/>
                <w:b/>
                <w:bCs/>
                <w:color w:val="000000"/>
                <w:sz w:val="20"/>
                <w:szCs w:val="20"/>
                <w:lang w:eastAsia="en-US"/>
              </w:rPr>
              <w:t>6. Reporting COVID-19 of Fatalities and Hospitalizations</w:t>
            </w:r>
          </w:p>
        </w:tc>
      </w:tr>
      <w:tr w:rsidRPr="00AE701A" w:rsidR="00FD5B56" w:rsidTr="00313268" w14:paraId="7A83735A" w14:textId="77777777">
        <w:trPr>
          <w:trHeight w:val="52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28C3B988" w14:textId="77777777">
            <w:pPr>
              <w:autoSpaceDE/>
              <w:autoSpaceDN/>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Process and Report  Information to OSHA</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B1E6C" w:rsidR="00AE701A" w:rsidP="00AE701A" w:rsidRDefault="00AE701A" w14:paraId="77B158DD"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Intermittent</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7B4BA7" w:rsidR="00AE701A" w:rsidP="00AE701A" w:rsidRDefault="00AE701A" w14:paraId="69AB1AE8" w14:textId="77777777">
            <w:pPr>
              <w:autoSpaceDE/>
              <w:autoSpaceDN/>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Employee</w:t>
            </w:r>
          </w:p>
        </w:tc>
        <w:tc>
          <w:tcPr>
            <w:tcW w:w="1404"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3340D7" w:rsidR="00AE701A" w:rsidP="00AE701A" w:rsidRDefault="00AE701A" w14:paraId="6434239A" w14:textId="77777777">
            <w:pPr>
              <w:autoSpaceDE/>
              <w:autoSpaceDN/>
              <w:rPr>
                <w:rFonts w:ascii="Calibri" w:hAnsi="Calibri" w:eastAsia="Times New Roman" w:cs="Calibri"/>
                <w:color w:val="000000"/>
                <w:sz w:val="20"/>
                <w:szCs w:val="20"/>
                <w:lang w:eastAsia="en-US"/>
              </w:rPr>
            </w:pPr>
            <w:r w:rsidRPr="003340D7">
              <w:rPr>
                <w:rFonts w:ascii="Calibri" w:hAnsi="Calibri" w:eastAsia="Times New Roman" w:cs="Calibri"/>
                <w:color w:val="000000"/>
                <w:sz w:val="20"/>
                <w:szCs w:val="20"/>
                <w:lang w:eastAsia="en-US"/>
              </w:rPr>
              <w:t>IR Clerk</w:t>
            </w:r>
          </w:p>
        </w:tc>
        <w:tc>
          <w:tcPr>
            <w:tcW w:w="117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D0186" w:rsidR="00AE701A" w:rsidP="00E353F5" w:rsidRDefault="00E353F5" w14:paraId="3F46A54F" w14:textId="57E84047">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33</w:t>
            </w:r>
          </w:p>
        </w:tc>
        <w:tc>
          <w:tcPr>
            <w:tcW w:w="1223"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1440A3CA"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25%</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0ED838EE"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0.33</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C06C62" w14:paraId="180CACF3" w14:textId="395E5AE9">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2.72</w:t>
            </w:r>
          </w:p>
        </w:tc>
        <w:tc>
          <w:tcPr>
            <w:tcW w:w="937" w:type="dxa"/>
            <w:vMerge w:val="restart"/>
            <w:tcBorders>
              <w:top w:val="single" w:color="auto" w:sz="4" w:space="0"/>
              <w:left w:val="single" w:color="auto" w:sz="4" w:space="0"/>
              <w:bottom w:val="single" w:color="auto" w:sz="4" w:space="0"/>
              <w:right w:val="single" w:color="auto" w:sz="4" w:space="0"/>
            </w:tcBorders>
            <w:shd w:val="clear" w:color="000000" w:fill="FFFFFF"/>
            <w:vAlign w:val="center"/>
            <w:hideMark/>
          </w:tcPr>
          <w:p w:rsidRPr="00252CD2" w:rsidR="00AE701A" w:rsidP="00AE701A" w:rsidRDefault="00AE701A" w14:paraId="39539961"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$36.94 </w:t>
            </w:r>
          </w:p>
        </w:tc>
        <w:tc>
          <w:tcPr>
            <w:tcW w:w="160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6337D5" w:rsidRDefault="00AE701A" w14:paraId="572FF36E" w14:textId="075993AC">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w:t>
            </w:r>
            <w:r w:rsidR="007C1195">
              <w:rPr>
                <w:rFonts w:ascii="Calibri" w:hAnsi="Calibri" w:eastAsia="Times New Roman" w:cs="Calibri"/>
                <w:color w:val="000000"/>
                <w:sz w:val="20"/>
                <w:szCs w:val="20"/>
                <w:lang w:eastAsia="en-US"/>
              </w:rPr>
              <w:t>240.08</w:t>
            </w:r>
            <w:r w:rsidRPr="00252CD2">
              <w:rPr>
                <w:rFonts w:ascii="Calibri" w:hAnsi="Calibri" w:eastAsia="Times New Roman" w:cs="Calibri"/>
                <w:color w:val="000000"/>
                <w:sz w:val="20"/>
                <w:szCs w:val="20"/>
                <w:lang w:eastAsia="en-US"/>
              </w:rPr>
              <w:t xml:space="preserve"> </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E353F5" w:rsidRDefault="00E353F5" w14:paraId="659AB0F4" w14:textId="59D8318E">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8</w:t>
            </w:r>
          </w:p>
        </w:tc>
      </w:tr>
      <w:tr w:rsidRPr="00AE701A" w:rsidR="00FD5B56" w:rsidTr="00313268" w14:paraId="1BFC0568" w14:textId="77777777">
        <w:trPr>
          <w:trHeight w:val="39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1FED476C" w14:textId="77777777">
            <w:pPr>
              <w:autoSpaceDE/>
              <w:autoSpaceDN/>
              <w:jc w:val="right"/>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 xml:space="preserve">             Large Establishments</w:t>
            </w:r>
          </w:p>
        </w:tc>
        <w:tc>
          <w:tcPr>
            <w:tcW w:w="126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6CD9BA4C"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77CCDB0F" w14:textId="77777777">
            <w:pPr>
              <w:autoSpaceDE/>
              <w:autoSpaceDN/>
              <w:rPr>
                <w:rFonts w:ascii="Calibri" w:hAnsi="Calibri" w:eastAsia="Times New Roman" w:cs="Calibri"/>
                <w:color w:val="000000"/>
                <w:sz w:val="20"/>
                <w:szCs w:val="20"/>
                <w:lang w:eastAsia="en-US"/>
              </w:rPr>
            </w:pPr>
          </w:p>
        </w:tc>
        <w:tc>
          <w:tcPr>
            <w:tcW w:w="1404"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08FCCC8F" w14:textId="77777777">
            <w:pPr>
              <w:autoSpaceDE/>
              <w:autoSpaceDN/>
              <w:rPr>
                <w:rFonts w:ascii="Calibri" w:hAnsi="Calibri" w:eastAsia="Times New Roman" w:cs="Calibri"/>
                <w:color w:val="000000"/>
                <w:sz w:val="20"/>
                <w:szCs w:val="20"/>
                <w:lang w:eastAsia="en-US"/>
              </w:rPr>
            </w:pPr>
          </w:p>
        </w:tc>
        <w:tc>
          <w:tcPr>
            <w:tcW w:w="117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65403209" w14:textId="77777777">
            <w:pPr>
              <w:autoSpaceDE/>
              <w:autoSpaceDN/>
              <w:rPr>
                <w:rFonts w:ascii="Calibri" w:hAnsi="Calibri" w:eastAsia="Times New Roman" w:cs="Calibri"/>
                <w:color w:val="000000"/>
                <w:sz w:val="20"/>
                <w:szCs w:val="20"/>
                <w:lang w:eastAsia="en-US"/>
              </w:rPr>
            </w:pPr>
          </w:p>
        </w:tc>
        <w:tc>
          <w:tcPr>
            <w:tcW w:w="1223"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6ACC63ED" w14:textId="77777777">
            <w:pPr>
              <w:autoSpaceDE/>
              <w:autoSpaceDN/>
              <w:rPr>
                <w:rFonts w:ascii="Calibri" w:hAnsi="Calibri" w:eastAsia="Times New Roman" w:cs="Calibri"/>
                <w:color w:val="000000"/>
                <w:sz w:val="20"/>
                <w:szCs w:val="20"/>
                <w:lang w:eastAsia="en-US"/>
              </w:rPr>
            </w:pPr>
          </w:p>
        </w:tc>
        <w:tc>
          <w:tcPr>
            <w:tcW w:w="108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3E226113"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47F2F7FC" w14:textId="77777777">
            <w:pPr>
              <w:autoSpaceDE/>
              <w:autoSpaceDN/>
              <w:rPr>
                <w:rFonts w:ascii="Calibri" w:hAnsi="Calibri" w:eastAsia="Times New Roman" w:cs="Calibri"/>
                <w:color w:val="000000"/>
                <w:sz w:val="20"/>
                <w:szCs w:val="20"/>
                <w:lang w:eastAsia="en-US"/>
              </w:rPr>
            </w:pPr>
          </w:p>
        </w:tc>
        <w:tc>
          <w:tcPr>
            <w:tcW w:w="937"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4F204F78" w14:textId="77777777">
            <w:pPr>
              <w:autoSpaceDE/>
              <w:autoSpaceDN/>
              <w:rPr>
                <w:rFonts w:ascii="Calibri" w:hAnsi="Calibri" w:eastAsia="Times New Roman" w:cs="Calibri"/>
                <w:color w:val="000000"/>
                <w:sz w:val="20"/>
                <w:szCs w:val="20"/>
                <w:lang w:eastAsia="en-US"/>
              </w:rPr>
            </w:pPr>
          </w:p>
        </w:tc>
        <w:tc>
          <w:tcPr>
            <w:tcW w:w="1607"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25958F07" w14:textId="77777777">
            <w:pPr>
              <w:autoSpaceDE/>
              <w:autoSpaceDN/>
              <w:rPr>
                <w:rFonts w:ascii="Calibri" w:hAnsi="Calibri" w:eastAsia="Times New Roman" w:cs="Calibri"/>
                <w:color w:val="000000"/>
                <w:sz w:val="20"/>
                <w:szCs w:val="20"/>
                <w:lang w:eastAsia="en-US"/>
              </w:rPr>
            </w:pPr>
          </w:p>
        </w:tc>
        <w:tc>
          <w:tcPr>
            <w:tcW w:w="11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759CD09D" w14:textId="77777777">
            <w:pPr>
              <w:autoSpaceDE/>
              <w:autoSpaceDN/>
              <w:rPr>
                <w:rFonts w:ascii="Calibri" w:hAnsi="Calibri" w:eastAsia="Times New Roman" w:cs="Calibri"/>
                <w:color w:val="000000"/>
                <w:sz w:val="20"/>
                <w:szCs w:val="20"/>
                <w:lang w:eastAsia="en-US"/>
              </w:rPr>
            </w:pPr>
          </w:p>
        </w:tc>
      </w:tr>
      <w:tr w:rsidRPr="00AE701A" w:rsidR="00FD5B56" w:rsidTr="00313268" w14:paraId="48C823BC" w14:textId="77777777">
        <w:trPr>
          <w:trHeight w:val="52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2E682FB0" w14:textId="77777777">
            <w:pPr>
              <w:autoSpaceDE/>
              <w:autoSpaceDN/>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Process and Report  Information to OSHA</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B1E6C" w:rsidR="00AE701A" w:rsidP="00AE701A" w:rsidRDefault="00AE701A" w14:paraId="6DFA42A9"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Intermittent</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7B4BA7" w:rsidR="00AE701A" w:rsidP="00AE701A" w:rsidRDefault="00AE701A" w14:paraId="34DC316D" w14:textId="77777777">
            <w:pPr>
              <w:autoSpaceDE/>
              <w:autoSpaceDN/>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Employee</w:t>
            </w:r>
          </w:p>
        </w:tc>
        <w:tc>
          <w:tcPr>
            <w:tcW w:w="1404"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3340D7" w:rsidR="00AE701A" w:rsidP="00AE701A" w:rsidRDefault="00AE701A" w14:paraId="7E60E8F4" w14:textId="77777777">
            <w:pPr>
              <w:autoSpaceDE/>
              <w:autoSpaceDN/>
              <w:rPr>
                <w:rFonts w:ascii="Calibri" w:hAnsi="Calibri" w:eastAsia="Times New Roman" w:cs="Calibri"/>
                <w:color w:val="000000"/>
                <w:sz w:val="20"/>
                <w:szCs w:val="20"/>
                <w:lang w:eastAsia="en-US"/>
              </w:rPr>
            </w:pPr>
            <w:r w:rsidRPr="003340D7">
              <w:rPr>
                <w:rFonts w:ascii="Calibri" w:hAnsi="Calibri" w:eastAsia="Times New Roman" w:cs="Calibri"/>
                <w:color w:val="000000"/>
                <w:sz w:val="20"/>
                <w:szCs w:val="20"/>
                <w:lang w:eastAsia="en-US"/>
              </w:rPr>
              <w:t>IR Clerk</w:t>
            </w:r>
          </w:p>
        </w:tc>
        <w:tc>
          <w:tcPr>
            <w:tcW w:w="117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3734FB" w:rsidR="00AE701A" w:rsidP="00E353F5" w:rsidRDefault="00E353F5" w14:paraId="66D5C7FB" w14:textId="672B84AA">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58</w:t>
            </w:r>
          </w:p>
        </w:tc>
        <w:tc>
          <w:tcPr>
            <w:tcW w:w="1223"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D0186" w:rsidR="00AE701A" w:rsidP="00AE701A" w:rsidRDefault="00AE701A" w14:paraId="3265E564" w14:textId="77777777">
            <w:pPr>
              <w:autoSpaceDE/>
              <w:autoSpaceDN/>
              <w:jc w:val="right"/>
              <w:rPr>
                <w:rFonts w:ascii="Calibri" w:hAnsi="Calibri" w:eastAsia="Times New Roman" w:cs="Calibri"/>
                <w:color w:val="000000"/>
                <w:sz w:val="20"/>
                <w:szCs w:val="20"/>
                <w:lang w:eastAsia="en-US"/>
              </w:rPr>
            </w:pPr>
            <w:r w:rsidRPr="001D0186">
              <w:rPr>
                <w:rFonts w:ascii="Calibri" w:hAnsi="Calibri" w:eastAsia="Times New Roman" w:cs="Calibri"/>
                <w:color w:val="000000"/>
                <w:sz w:val="20"/>
                <w:szCs w:val="20"/>
                <w:lang w:eastAsia="en-US"/>
              </w:rPr>
              <w:t>25%</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0A1DF4D0"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0.33</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C06C62" w14:paraId="3A458DFA" w14:textId="7C89A1A4">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4.78</w:t>
            </w:r>
          </w:p>
        </w:tc>
        <w:tc>
          <w:tcPr>
            <w:tcW w:w="937" w:type="dxa"/>
            <w:vMerge w:val="restart"/>
            <w:tcBorders>
              <w:top w:val="single" w:color="auto" w:sz="4" w:space="0"/>
              <w:left w:val="single" w:color="auto" w:sz="4" w:space="0"/>
              <w:bottom w:val="single" w:color="auto" w:sz="4" w:space="0"/>
              <w:right w:val="single" w:color="auto" w:sz="4" w:space="0"/>
            </w:tcBorders>
            <w:shd w:val="clear" w:color="000000" w:fill="FFFFFF"/>
            <w:vAlign w:val="center"/>
            <w:hideMark/>
          </w:tcPr>
          <w:p w:rsidRPr="00252CD2" w:rsidR="00AE701A" w:rsidP="00AE701A" w:rsidRDefault="00AE701A" w14:paraId="1964956D"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$36.94 </w:t>
            </w:r>
          </w:p>
        </w:tc>
        <w:tc>
          <w:tcPr>
            <w:tcW w:w="160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42C535C3" w14:textId="1DCF22EE">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w:t>
            </w:r>
            <w:r w:rsidR="007C1195">
              <w:rPr>
                <w:rFonts w:ascii="Calibri" w:hAnsi="Calibri" w:eastAsia="Times New Roman" w:cs="Calibri"/>
                <w:color w:val="000000"/>
                <w:sz w:val="20"/>
                <w:szCs w:val="20"/>
                <w:lang w:eastAsia="en-US"/>
              </w:rPr>
              <w:t>421.80</w:t>
            </w:r>
            <w:r w:rsidRPr="00252CD2">
              <w:rPr>
                <w:rFonts w:ascii="Calibri" w:hAnsi="Calibri" w:eastAsia="Times New Roman" w:cs="Calibri"/>
                <w:color w:val="000000"/>
                <w:sz w:val="20"/>
                <w:szCs w:val="20"/>
                <w:lang w:eastAsia="en-US"/>
              </w:rPr>
              <w:t xml:space="preserve"> </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E353F5" w:rsidRDefault="00E353F5" w14:paraId="22AC5867" w14:textId="705F3F1C">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14</w:t>
            </w:r>
          </w:p>
        </w:tc>
      </w:tr>
      <w:tr w:rsidRPr="00AE701A" w:rsidR="00FD5B56" w:rsidTr="00313268" w14:paraId="32CAAC7E" w14:textId="77777777">
        <w:trPr>
          <w:trHeight w:val="64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410FC59A" w14:textId="77777777">
            <w:pPr>
              <w:autoSpaceDE/>
              <w:autoSpaceDN/>
              <w:jc w:val="right"/>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SBA-Defined Small Establishments</w:t>
            </w:r>
          </w:p>
        </w:tc>
        <w:tc>
          <w:tcPr>
            <w:tcW w:w="126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151C8AC7"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0304A201" w14:textId="77777777">
            <w:pPr>
              <w:autoSpaceDE/>
              <w:autoSpaceDN/>
              <w:rPr>
                <w:rFonts w:ascii="Calibri" w:hAnsi="Calibri" w:eastAsia="Times New Roman" w:cs="Calibri"/>
                <w:color w:val="000000"/>
                <w:sz w:val="20"/>
                <w:szCs w:val="20"/>
                <w:lang w:eastAsia="en-US"/>
              </w:rPr>
            </w:pPr>
          </w:p>
        </w:tc>
        <w:tc>
          <w:tcPr>
            <w:tcW w:w="1404"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63C7AC32" w14:textId="77777777">
            <w:pPr>
              <w:autoSpaceDE/>
              <w:autoSpaceDN/>
              <w:rPr>
                <w:rFonts w:ascii="Calibri" w:hAnsi="Calibri" w:eastAsia="Times New Roman" w:cs="Calibri"/>
                <w:color w:val="000000"/>
                <w:sz w:val="20"/>
                <w:szCs w:val="20"/>
                <w:lang w:eastAsia="en-US"/>
              </w:rPr>
            </w:pPr>
          </w:p>
        </w:tc>
        <w:tc>
          <w:tcPr>
            <w:tcW w:w="117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7E25DDF8" w14:textId="77777777">
            <w:pPr>
              <w:autoSpaceDE/>
              <w:autoSpaceDN/>
              <w:rPr>
                <w:rFonts w:ascii="Calibri" w:hAnsi="Calibri" w:eastAsia="Times New Roman" w:cs="Calibri"/>
                <w:color w:val="000000"/>
                <w:sz w:val="20"/>
                <w:szCs w:val="20"/>
                <w:lang w:eastAsia="en-US"/>
              </w:rPr>
            </w:pPr>
          </w:p>
        </w:tc>
        <w:tc>
          <w:tcPr>
            <w:tcW w:w="1223"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0DC161D7" w14:textId="77777777">
            <w:pPr>
              <w:autoSpaceDE/>
              <w:autoSpaceDN/>
              <w:rPr>
                <w:rFonts w:ascii="Calibri" w:hAnsi="Calibri" w:eastAsia="Times New Roman" w:cs="Calibri"/>
                <w:color w:val="000000"/>
                <w:sz w:val="20"/>
                <w:szCs w:val="20"/>
                <w:lang w:eastAsia="en-US"/>
              </w:rPr>
            </w:pPr>
          </w:p>
        </w:tc>
        <w:tc>
          <w:tcPr>
            <w:tcW w:w="108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4ED33A90"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187A8EC4" w14:textId="77777777">
            <w:pPr>
              <w:autoSpaceDE/>
              <w:autoSpaceDN/>
              <w:rPr>
                <w:rFonts w:ascii="Calibri" w:hAnsi="Calibri" w:eastAsia="Times New Roman" w:cs="Calibri"/>
                <w:color w:val="000000"/>
                <w:sz w:val="20"/>
                <w:szCs w:val="20"/>
                <w:lang w:eastAsia="en-US"/>
              </w:rPr>
            </w:pPr>
          </w:p>
        </w:tc>
        <w:tc>
          <w:tcPr>
            <w:tcW w:w="937"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30C3B09F" w14:textId="77777777">
            <w:pPr>
              <w:autoSpaceDE/>
              <w:autoSpaceDN/>
              <w:rPr>
                <w:rFonts w:ascii="Calibri" w:hAnsi="Calibri" w:eastAsia="Times New Roman" w:cs="Calibri"/>
                <w:color w:val="000000"/>
                <w:sz w:val="20"/>
                <w:szCs w:val="20"/>
                <w:lang w:eastAsia="en-US"/>
              </w:rPr>
            </w:pPr>
          </w:p>
        </w:tc>
        <w:tc>
          <w:tcPr>
            <w:tcW w:w="1607"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5E5B9F2C" w14:textId="77777777">
            <w:pPr>
              <w:autoSpaceDE/>
              <w:autoSpaceDN/>
              <w:rPr>
                <w:rFonts w:ascii="Calibri" w:hAnsi="Calibri" w:eastAsia="Times New Roman" w:cs="Calibri"/>
                <w:color w:val="000000"/>
                <w:sz w:val="20"/>
                <w:szCs w:val="20"/>
                <w:lang w:eastAsia="en-US"/>
              </w:rPr>
            </w:pPr>
          </w:p>
        </w:tc>
        <w:tc>
          <w:tcPr>
            <w:tcW w:w="11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7BF64BE6" w14:textId="77777777">
            <w:pPr>
              <w:autoSpaceDE/>
              <w:autoSpaceDN/>
              <w:rPr>
                <w:rFonts w:ascii="Calibri" w:hAnsi="Calibri" w:eastAsia="Times New Roman" w:cs="Calibri"/>
                <w:color w:val="000000"/>
                <w:sz w:val="20"/>
                <w:szCs w:val="20"/>
                <w:lang w:eastAsia="en-US"/>
              </w:rPr>
            </w:pPr>
          </w:p>
        </w:tc>
      </w:tr>
      <w:tr w:rsidRPr="00AE701A" w:rsidR="00FD5B56" w:rsidTr="00313268" w14:paraId="33EA09C3" w14:textId="77777777">
        <w:trPr>
          <w:trHeight w:val="52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24483405" w14:textId="77777777">
            <w:pPr>
              <w:autoSpaceDE/>
              <w:autoSpaceDN/>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Process and Report  Information to OSHA</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B1E6C" w:rsidR="00AE701A" w:rsidP="00AE701A" w:rsidRDefault="00AE701A" w14:paraId="010059EB" w14:textId="77777777">
            <w:pPr>
              <w:autoSpaceDE/>
              <w:autoSpaceDN/>
              <w:rPr>
                <w:rFonts w:ascii="Calibri" w:hAnsi="Calibri" w:eastAsia="Times New Roman" w:cs="Calibri"/>
                <w:color w:val="000000"/>
                <w:sz w:val="20"/>
                <w:szCs w:val="20"/>
                <w:lang w:eastAsia="en-US"/>
              </w:rPr>
            </w:pPr>
            <w:r w:rsidRPr="00AB1E6C">
              <w:rPr>
                <w:rFonts w:ascii="Calibri" w:hAnsi="Calibri" w:eastAsia="Times New Roman" w:cs="Calibri"/>
                <w:color w:val="000000"/>
                <w:sz w:val="20"/>
                <w:szCs w:val="20"/>
                <w:lang w:eastAsia="en-US"/>
              </w:rPr>
              <w:t>Intermittent</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7B4BA7" w:rsidR="00AE701A" w:rsidP="00AE701A" w:rsidRDefault="00AE701A" w14:paraId="05864565" w14:textId="77777777">
            <w:pPr>
              <w:autoSpaceDE/>
              <w:autoSpaceDN/>
              <w:rPr>
                <w:rFonts w:ascii="Calibri" w:hAnsi="Calibri" w:eastAsia="Times New Roman" w:cs="Calibri"/>
                <w:color w:val="000000"/>
                <w:sz w:val="20"/>
                <w:szCs w:val="20"/>
                <w:lang w:eastAsia="en-US"/>
              </w:rPr>
            </w:pPr>
            <w:r w:rsidRPr="007B4BA7">
              <w:rPr>
                <w:rFonts w:ascii="Calibri" w:hAnsi="Calibri" w:eastAsia="Times New Roman" w:cs="Calibri"/>
                <w:color w:val="000000"/>
                <w:sz w:val="20"/>
                <w:szCs w:val="20"/>
                <w:lang w:eastAsia="en-US"/>
              </w:rPr>
              <w:t>Employee</w:t>
            </w:r>
          </w:p>
        </w:tc>
        <w:tc>
          <w:tcPr>
            <w:tcW w:w="1404"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3340D7" w:rsidR="00AE701A" w:rsidP="00AE701A" w:rsidRDefault="00AE701A" w14:paraId="0B20EFF0" w14:textId="77777777">
            <w:pPr>
              <w:autoSpaceDE/>
              <w:autoSpaceDN/>
              <w:rPr>
                <w:rFonts w:ascii="Calibri" w:hAnsi="Calibri" w:eastAsia="Times New Roman" w:cs="Calibri"/>
                <w:color w:val="000000"/>
                <w:sz w:val="20"/>
                <w:szCs w:val="20"/>
                <w:lang w:eastAsia="en-US"/>
              </w:rPr>
            </w:pPr>
            <w:r w:rsidRPr="003340D7">
              <w:rPr>
                <w:rFonts w:ascii="Calibri" w:hAnsi="Calibri" w:eastAsia="Times New Roman" w:cs="Calibri"/>
                <w:color w:val="000000"/>
                <w:sz w:val="20"/>
                <w:szCs w:val="20"/>
                <w:lang w:eastAsia="en-US"/>
              </w:rPr>
              <w:t>IR Clerk</w:t>
            </w:r>
          </w:p>
        </w:tc>
        <w:tc>
          <w:tcPr>
            <w:tcW w:w="117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3734FB" w:rsidR="00AE701A" w:rsidP="00A02854" w:rsidRDefault="00A02854" w14:paraId="09A18AAA" w14:textId="46DB33DB">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12</w:t>
            </w:r>
          </w:p>
        </w:tc>
        <w:tc>
          <w:tcPr>
            <w:tcW w:w="1223"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D0186" w:rsidR="00AE701A" w:rsidP="00AE701A" w:rsidRDefault="00AE701A" w14:paraId="15514002" w14:textId="77777777">
            <w:pPr>
              <w:autoSpaceDE/>
              <w:autoSpaceDN/>
              <w:jc w:val="right"/>
              <w:rPr>
                <w:rFonts w:ascii="Calibri" w:hAnsi="Calibri" w:eastAsia="Times New Roman" w:cs="Calibri"/>
                <w:color w:val="000000"/>
                <w:sz w:val="20"/>
                <w:szCs w:val="20"/>
                <w:lang w:eastAsia="en-US"/>
              </w:rPr>
            </w:pPr>
            <w:r w:rsidRPr="001D0186">
              <w:rPr>
                <w:rFonts w:ascii="Calibri" w:hAnsi="Calibri" w:eastAsia="Times New Roman" w:cs="Calibri"/>
                <w:color w:val="000000"/>
                <w:sz w:val="20"/>
                <w:szCs w:val="20"/>
                <w:lang w:eastAsia="en-US"/>
              </w:rPr>
              <w:t>50%</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AE701A" w14:paraId="691144C1"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0.33</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E701A" w:rsidRDefault="00C06C62" w14:paraId="56877CB4" w14:textId="5ACCB191">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2.04</w:t>
            </w:r>
          </w:p>
        </w:tc>
        <w:tc>
          <w:tcPr>
            <w:tcW w:w="937" w:type="dxa"/>
            <w:vMerge w:val="restart"/>
            <w:tcBorders>
              <w:top w:val="single" w:color="auto" w:sz="4" w:space="0"/>
              <w:left w:val="single" w:color="auto" w:sz="4" w:space="0"/>
              <w:bottom w:val="single" w:color="auto" w:sz="4" w:space="0"/>
              <w:right w:val="single" w:color="auto" w:sz="4" w:space="0"/>
            </w:tcBorders>
            <w:shd w:val="clear" w:color="000000" w:fill="FFFFFF"/>
            <w:vAlign w:val="center"/>
            <w:hideMark/>
          </w:tcPr>
          <w:p w:rsidRPr="00252CD2" w:rsidR="00AE701A" w:rsidP="00AE701A" w:rsidRDefault="00AE701A" w14:paraId="26C7FA95" w14:textId="77777777">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 xml:space="preserve">$36.94 </w:t>
            </w:r>
          </w:p>
        </w:tc>
        <w:tc>
          <w:tcPr>
            <w:tcW w:w="160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02854" w:rsidRDefault="00AE701A" w14:paraId="60E4DCE6" w14:textId="0D92BB2F">
            <w:pPr>
              <w:autoSpaceDE/>
              <w:autoSpaceDN/>
              <w:jc w:val="right"/>
              <w:rPr>
                <w:rFonts w:ascii="Calibri" w:hAnsi="Calibri" w:eastAsia="Times New Roman" w:cs="Calibri"/>
                <w:color w:val="000000"/>
                <w:sz w:val="20"/>
                <w:szCs w:val="20"/>
                <w:lang w:eastAsia="en-US"/>
              </w:rPr>
            </w:pPr>
            <w:r w:rsidRPr="00252CD2">
              <w:rPr>
                <w:rFonts w:ascii="Calibri" w:hAnsi="Calibri" w:eastAsia="Times New Roman" w:cs="Calibri"/>
                <w:color w:val="000000"/>
                <w:sz w:val="20"/>
                <w:szCs w:val="20"/>
                <w:lang w:eastAsia="en-US"/>
              </w:rPr>
              <w:t>$</w:t>
            </w:r>
            <w:r w:rsidR="007C1195">
              <w:rPr>
                <w:rFonts w:ascii="Calibri" w:hAnsi="Calibri" w:eastAsia="Times New Roman" w:cs="Calibri"/>
                <w:color w:val="000000"/>
                <w:sz w:val="20"/>
                <w:szCs w:val="20"/>
                <w:lang w:eastAsia="en-US"/>
              </w:rPr>
              <w:t>180.10</w:t>
            </w:r>
            <w:r w:rsidRPr="00252CD2">
              <w:rPr>
                <w:rFonts w:ascii="Calibri" w:hAnsi="Calibri" w:eastAsia="Times New Roman" w:cs="Calibri"/>
                <w:color w:val="000000"/>
                <w:sz w:val="20"/>
                <w:szCs w:val="20"/>
                <w:lang w:eastAsia="en-US"/>
              </w:rPr>
              <w:t xml:space="preserve"> </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252CD2" w:rsidR="00AE701A" w:rsidP="00A02854" w:rsidRDefault="00A02854" w14:paraId="46FB5B4A" w14:textId="18201D69">
            <w:pPr>
              <w:autoSpaceDE/>
              <w:autoSpaceDN/>
              <w:jc w:val="right"/>
              <w:rPr>
                <w:rFonts w:ascii="Calibri" w:hAnsi="Calibri" w:eastAsia="Times New Roman" w:cs="Calibri"/>
                <w:color w:val="000000"/>
                <w:sz w:val="20"/>
                <w:szCs w:val="20"/>
                <w:lang w:eastAsia="en-US"/>
              </w:rPr>
            </w:pPr>
            <w:r>
              <w:rPr>
                <w:rFonts w:ascii="Calibri" w:hAnsi="Calibri" w:eastAsia="Times New Roman" w:cs="Calibri"/>
                <w:color w:val="000000"/>
                <w:sz w:val="20"/>
                <w:szCs w:val="20"/>
                <w:lang w:eastAsia="en-US"/>
              </w:rPr>
              <w:t>6</w:t>
            </w:r>
          </w:p>
        </w:tc>
      </w:tr>
      <w:tr w:rsidRPr="00AE701A" w:rsidR="00FD5B56" w:rsidTr="00313268" w14:paraId="05C654FF" w14:textId="77777777">
        <w:trPr>
          <w:trHeight w:val="390"/>
        </w:trPr>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20C25" w:rsidR="00AE701A" w:rsidP="00AE701A" w:rsidRDefault="00AE701A" w14:paraId="34855C8D" w14:textId="77777777">
            <w:pPr>
              <w:autoSpaceDE/>
              <w:autoSpaceDN/>
              <w:jc w:val="right"/>
              <w:rPr>
                <w:rFonts w:ascii="Calibri" w:hAnsi="Calibri" w:eastAsia="Times New Roman" w:cs="Calibri"/>
                <w:color w:val="000000"/>
                <w:sz w:val="20"/>
                <w:szCs w:val="20"/>
                <w:lang w:eastAsia="en-US"/>
              </w:rPr>
            </w:pPr>
            <w:r w:rsidRPr="00520C25">
              <w:rPr>
                <w:rFonts w:ascii="Calibri" w:hAnsi="Calibri" w:eastAsia="Times New Roman" w:cs="Calibri"/>
                <w:color w:val="000000"/>
                <w:sz w:val="20"/>
                <w:szCs w:val="20"/>
                <w:lang w:eastAsia="en-US"/>
              </w:rPr>
              <w:t xml:space="preserve">   Very Small Establishments</w:t>
            </w:r>
          </w:p>
        </w:tc>
        <w:tc>
          <w:tcPr>
            <w:tcW w:w="126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7B3C5779"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54F4BD62" w14:textId="77777777">
            <w:pPr>
              <w:autoSpaceDE/>
              <w:autoSpaceDN/>
              <w:rPr>
                <w:rFonts w:ascii="Calibri" w:hAnsi="Calibri" w:eastAsia="Times New Roman" w:cs="Calibri"/>
                <w:color w:val="000000"/>
                <w:sz w:val="20"/>
                <w:szCs w:val="20"/>
                <w:lang w:eastAsia="en-US"/>
              </w:rPr>
            </w:pPr>
          </w:p>
        </w:tc>
        <w:tc>
          <w:tcPr>
            <w:tcW w:w="1404"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4C123F54" w14:textId="77777777">
            <w:pPr>
              <w:autoSpaceDE/>
              <w:autoSpaceDN/>
              <w:rPr>
                <w:rFonts w:ascii="Calibri" w:hAnsi="Calibri" w:eastAsia="Times New Roman" w:cs="Calibri"/>
                <w:color w:val="000000"/>
                <w:sz w:val="20"/>
                <w:szCs w:val="20"/>
                <w:lang w:eastAsia="en-US"/>
              </w:rPr>
            </w:pPr>
          </w:p>
        </w:tc>
        <w:tc>
          <w:tcPr>
            <w:tcW w:w="117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7314547A" w14:textId="77777777">
            <w:pPr>
              <w:autoSpaceDE/>
              <w:autoSpaceDN/>
              <w:rPr>
                <w:rFonts w:ascii="Calibri" w:hAnsi="Calibri" w:eastAsia="Times New Roman" w:cs="Calibri"/>
                <w:color w:val="000000"/>
                <w:sz w:val="20"/>
                <w:szCs w:val="20"/>
                <w:lang w:eastAsia="en-US"/>
              </w:rPr>
            </w:pPr>
          </w:p>
        </w:tc>
        <w:tc>
          <w:tcPr>
            <w:tcW w:w="1223"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6DF9B9CA" w14:textId="77777777">
            <w:pPr>
              <w:autoSpaceDE/>
              <w:autoSpaceDN/>
              <w:rPr>
                <w:rFonts w:ascii="Calibri" w:hAnsi="Calibri" w:eastAsia="Times New Roman" w:cs="Calibri"/>
                <w:color w:val="000000"/>
                <w:sz w:val="20"/>
                <w:szCs w:val="20"/>
                <w:lang w:eastAsia="en-US"/>
              </w:rPr>
            </w:pPr>
          </w:p>
        </w:tc>
        <w:tc>
          <w:tcPr>
            <w:tcW w:w="108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205962C3" w14:textId="77777777">
            <w:pPr>
              <w:autoSpaceDE/>
              <w:autoSpaceDN/>
              <w:rPr>
                <w:rFonts w:ascii="Calibri" w:hAnsi="Calibri" w:eastAsia="Times New Roman" w:cs="Calibri"/>
                <w:color w:val="000000"/>
                <w:sz w:val="20"/>
                <w:szCs w:val="20"/>
                <w:lang w:eastAsia="en-US"/>
              </w:rPr>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202E875E" w14:textId="77777777">
            <w:pPr>
              <w:autoSpaceDE/>
              <w:autoSpaceDN/>
              <w:rPr>
                <w:rFonts w:ascii="Calibri" w:hAnsi="Calibri" w:eastAsia="Times New Roman" w:cs="Calibri"/>
                <w:color w:val="000000"/>
                <w:sz w:val="20"/>
                <w:szCs w:val="20"/>
                <w:lang w:eastAsia="en-US"/>
              </w:rPr>
            </w:pPr>
          </w:p>
        </w:tc>
        <w:tc>
          <w:tcPr>
            <w:tcW w:w="937"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340BE14A" w14:textId="77777777">
            <w:pPr>
              <w:autoSpaceDE/>
              <w:autoSpaceDN/>
              <w:rPr>
                <w:rFonts w:ascii="Calibri" w:hAnsi="Calibri" w:eastAsia="Times New Roman" w:cs="Calibri"/>
                <w:color w:val="000000"/>
                <w:sz w:val="20"/>
                <w:szCs w:val="20"/>
                <w:lang w:eastAsia="en-US"/>
              </w:rPr>
            </w:pPr>
          </w:p>
        </w:tc>
        <w:tc>
          <w:tcPr>
            <w:tcW w:w="1607"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46CE99F1" w14:textId="77777777">
            <w:pPr>
              <w:autoSpaceDE/>
              <w:autoSpaceDN/>
              <w:rPr>
                <w:rFonts w:ascii="Calibri" w:hAnsi="Calibri" w:eastAsia="Times New Roman" w:cs="Calibri"/>
                <w:color w:val="000000"/>
                <w:sz w:val="20"/>
                <w:szCs w:val="20"/>
                <w:lang w:eastAsia="en-US"/>
              </w:rPr>
            </w:pPr>
          </w:p>
        </w:tc>
        <w:tc>
          <w:tcPr>
            <w:tcW w:w="1140" w:type="dxa"/>
            <w:vMerge/>
            <w:tcBorders>
              <w:top w:val="single" w:color="auto" w:sz="4" w:space="0"/>
              <w:left w:val="single" w:color="auto" w:sz="4" w:space="0"/>
              <w:bottom w:val="single" w:color="auto" w:sz="4" w:space="0"/>
              <w:right w:val="single" w:color="auto" w:sz="4" w:space="0"/>
            </w:tcBorders>
            <w:vAlign w:val="center"/>
            <w:hideMark/>
          </w:tcPr>
          <w:p w:rsidRPr="00AE701A" w:rsidR="00AE701A" w:rsidP="00AE701A" w:rsidRDefault="00AE701A" w14:paraId="7EF48604" w14:textId="77777777">
            <w:pPr>
              <w:autoSpaceDE/>
              <w:autoSpaceDN/>
              <w:rPr>
                <w:rFonts w:ascii="Calibri" w:hAnsi="Calibri" w:eastAsia="Times New Roman" w:cs="Calibri"/>
                <w:color w:val="000000"/>
                <w:sz w:val="20"/>
                <w:szCs w:val="20"/>
                <w:lang w:eastAsia="en-US"/>
              </w:rPr>
            </w:pPr>
          </w:p>
        </w:tc>
      </w:tr>
      <w:tr w:rsidRPr="00AE701A" w:rsidR="00FD5B56" w:rsidTr="00313268" w14:paraId="16B9A670" w14:textId="77777777">
        <w:trPr>
          <w:trHeight w:val="290"/>
        </w:trPr>
        <w:tc>
          <w:tcPr>
            <w:tcW w:w="1620" w:type="dxa"/>
            <w:tcBorders>
              <w:top w:val="single" w:color="auto" w:sz="4" w:space="0"/>
              <w:left w:val="single" w:color="auto" w:sz="4" w:space="0"/>
              <w:bottom w:val="single" w:color="auto" w:sz="4" w:space="0"/>
              <w:right w:val="single" w:color="auto" w:sz="4" w:space="0"/>
            </w:tcBorders>
            <w:shd w:val="clear" w:color="000000" w:fill="8EA9DB"/>
            <w:noWrap/>
            <w:textDirection w:val="tbRl"/>
            <w:vAlign w:val="bottom"/>
            <w:hideMark/>
          </w:tcPr>
          <w:p w:rsidRPr="00091560" w:rsidR="00AE701A" w:rsidP="00AE701A" w:rsidRDefault="00AE701A" w14:paraId="24B772C3" w14:textId="77777777">
            <w:pPr>
              <w:autoSpaceDE/>
              <w:autoSpaceDN/>
              <w:rPr>
                <w:rFonts w:ascii="Calibri" w:hAnsi="Calibri" w:eastAsia="Times New Roman" w:cs="Calibri"/>
                <w:color w:val="000000"/>
                <w:sz w:val="20"/>
                <w:szCs w:val="20"/>
                <w:lang w:eastAsia="en-US"/>
              </w:rPr>
            </w:pPr>
            <w:r w:rsidRPr="00091560">
              <w:rPr>
                <w:rFonts w:ascii="Calibri" w:hAnsi="Calibri" w:eastAsia="Times New Roman" w:cs="Calibri"/>
                <w:color w:val="000000"/>
                <w:sz w:val="20"/>
                <w:szCs w:val="20"/>
                <w:lang w:eastAsia="en-US"/>
              </w:rPr>
              <w:t> </w:t>
            </w:r>
          </w:p>
        </w:tc>
        <w:tc>
          <w:tcPr>
            <w:tcW w:w="1260" w:type="dxa"/>
            <w:tcBorders>
              <w:top w:val="single" w:color="auto" w:sz="4" w:space="0"/>
              <w:left w:val="nil"/>
              <w:bottom w:val="single" w:color="auto" w:sz="4" w:space="0"/>
              <w:right w:val="single" w:color="auto" w:sz="4" w:space="0"/>
            </w:tcBorders>
            <w:shd w:val="clear" w:color="000000" w:fill="8EA9DB"/>
            <w:vAlign w:val="center"/>
            <w:hideMark/>
          </w:tcPr>
          <w:p w:rsidRPr="00520C25" w:rsidR="00AE701A" w:rsidP="00AE701A" w:rsidRDefault="00AE701A" w14:paraId="2CBA5831" w14:textId="77777777">
            <w:pPr>
              <w:autoSpaceDE/>
              <w:autoSpaceDN/>
              <w:rPr>
                <w:rFonts w:ascii="Calibri" w:hAnsi="Calibri" w:eastAsia="Times New Roman" w:cs="Calibri"/>
                <w:b/>
                <w:bCs/>
                <w:color w:val="000000"/>
                <w:sz w:val="20"/>
                <w:szCs w:val="20"/>
                <w:lang w:eastAsia="en-US"/>
              </w:rPr>
            </w:pPr>
            <w:r w:rsidRPr="00520C25">
              <w:rPr>
                <w:rFonts w:ascii="Calibri" w:hAnsi="Calibri" w:eastAsia="Times New Roman" w:cs="Calibri"/>
                <w:b/>
                <w:bCs/>
                <w:color w:val="000000"/>
                <w:sz w:val="20"/>
                <w:szCs w:val="20"/>
                <w:lang w:eastAsia="en-US"/>
              </w:rPr>
              <w:t> </w:t>
            </w:r>
          </w:p>
        </w:tc>
        <w:tc>
          <w:tcPr>
            <w:tcW w:w="1440" w:type="dxa"/>
            <w:tcBorders>
              <w:top w:val="single" w:color="auto" w:sz="4" w:space="0"/>
              <w:left w:val="nil"/>
              <w:bottom w:val="single" w:color="auto" w:sz="4" w:space="0"/>
              <w:right w:val="single" w:color="auto" w:sz="4" w:space="0"/>
            </w:tcBorders>
            <w:shd w:val="clear" w:color="000000" w:fill="8EA9DB"/>
            <w:vAlign w:val="center"/>
            <w:hideMark/>
          </w:tcPr>
          <w:p w:rsidRPr="00AB1E6C" w:rsidR="00AE701A" w:rsidP="00AE701A" w:rsidRDefault="00AE701A" w14:paraId="03D60FDE" w14:textId="77777777">
            <w:pPr>
              <w:autoSpaceDE/>
              <w:autoSpaceDN/>
              <w:rPr>
                <w:rFonts w:ascii="Calibri" w:hAnsi="Calibri" w:eastAsia="Times New Roman" w:cs="Calibri"/>
                <w:b/>
                <w:bCs/>
                <w:color w:val="000000"/>
                <w:sz w:val="20"/>
                <w:szCs w:val="20"/>
                <w:lang w:eastAsia="en-US"/>
              </w:rPr>
            </w:pPr>
            <w:r w:rsidRPr="00AB1E6C">
              <w:rPr>
                <w:rFonts w:ascii="Calibri" w:hAnsi="Calibri" w:eastAsia="Times New Roman" w:cs="Calibri"/>
                <w:b/>
                <w:bCs/>
                <w:color w:val="000000"/>
                <w:sz w:val="20"/>
                <w:szCs w:val="20"/>
                <w:lang w:eastAsia="en-US"/>
              </w:rPr>
              <w:t> </w:t>
            </w:r>
          </w:p>
        </w:tc>
        <w:tc>
          <w:tcPr>
            <w:tcW w:w="1404" w:type="dxa"/>
            <w:tcBorders>
              <w:top w:val="single" w:color="auto" w:sz="4" w:space="0"/>
              <w:left w:val="nil"/>
              <w:bottom w:val="single" w:color="auto" w:sz="4" w:space="0"/>
              <w:right w:val="single" w:color="auto" w:sz="4" w:space="0"/>
            </w:tcBorders>
            <w:shd w:val="clear" w:color="000000" w:fill="8EA9DB"/>
            <w:vAlign w:val="center"/>
            <w:hideMark/>
          </w:tcPr>
          <w:p w:rsidRPr="007B4BA7" w:rsidR="00AE701A" w:rsidP="00AE701A" w:rsidRDefault="00AE701A" w14:paraId="462B76BD" w14:textId="77777777">
            <w:pPr>
              <w:autoSpaceDE/>
              <w:autoSpaceDN/>
              <w:rPr>
                <w:rFonts w:ascii="Calibri" w:hAnsi="Calibri" w:eastAsia="Times New Roman" w:cs="Calibri"/>
                <w:b/>
                <w:bCs/>
                <w:color w:val="000000"/>
                <w:sz w:val="20"/>
                <w:szCs w:val="20"/>
                <w:lang w:eastAsia="en-US"/>
              </w:rPr>
            </w:pPr>
            <w:r w:rsidRPr="007B4BA7">
              <w:rPr>
                <w:rFonts w:ascii="Calibri" w:hAnsi="Calibri" w:eastAsia="Times New Roman" w:cs="Calibri"/>
                <w:b/>
                <w:bCs/>
                <w:color w:val="000000"/>
                <w:sz w:val="20"/>
                <w:szCs w:val="20"/>
                <w:lang w:eastAsia="en-US"/>
              </w:rPr>
              <w:t> </w:t>
            </w:r>
          </w:p>
        </w:tc>
        <w:tc>
          <w:tcPr>
            <w:tcW w:w="1170" w:type="dxa"/>
            <w:tcBorders>
              <w:top w:val="single" w:color="auto" w:sz="4" w:space="0"/>
              <w:left w:val="nil"/>
              <w:bottom w:val="single" w:color="auto" w:sz="4" w:space="0"/>
              <w:right w:val="single" w:color="auto" w:sz="4" w:space="0"/>
            </w:tcBorders>
            <w:shd w:val="clear" w:color="000000" w:fill="8EA9DB"/>
            <w:vAlign w:val="center"/>
            <w:hideMark/>
          </w:tcPr>
          <w:p w:rsidRPr="003340D7" w:rsidR="00AE701A" w:rsidP="00AE701A" w:rsidRDefault="00AE701A" w14:paraId="0C770841" w14:textId="77777777">
            <w:pPr>
              <w:autoSpaceDE/>
              <w:autoSpaceDN/>
              <w:rPr>
                <w:rFonts w:ascii="Calibri" w:hAnsi="Calibri" w:eastAsia="Times New Roman" w:cs="Calibri"/>
                <w:b/>
                <w:bCs/>
                <w:color w:val="000000"/>
                <w:sz w:val="20"/>
                <w:szCs w:val="20"/>
                <w:lang w:eastAsia="en-US"/>
              </w:rPr>
            </w:pPr>
            <w:r w:rsidRPr="003340D7">
              <w:rPr>
                <w:rFonts w:ascii="Calibri" w:hAnsi="Calibri" w:eastAsia="Times New Roman" w:cs="Calibri"/>
                <w:b/>
                <w:bCs/>
                <w:color w:val="000000"/>
                <w:sz w:val="20"/>
                <w:szCs w:val="20"/>
                <w:lang w:eastAsia="en-US"/>
              </w:rPr>
              <w:t> </w:t>
            </w:r>
          </w:p>
        </w:tc>
        <w:tc>
          <w:tcPr>
            <w:tcW w:w="1223" w:type="dxa"/>
            <w:tcBorders>
              <w:top w:val="single" w:color="auto" w:sz="4" w:space="0"/>
              <w:left w:val="nil"/>
              <w:bottom w:val="single" w:color="auto" w:sz="4" w:space="0"/>
              <w:right w:val="single" w:color="auto" w:sz="4" w:space="0"/>
            </w:tcBorders>
            <w:shd w:val="clear" w:color="000000" w:fill="8EA9DB"/>
            <w:vAlign w:val="center"/>
            <w:hideMark/>
          </w:tcPr>
          <w:p w:rsidRPr="003734FB" w:rsidR="00AE701A" w:rsidP="00AE701A" w:rsidRDefault="00AE701A" w14:paraId="4D84660D" w14:textId="77777777">
            <w:pPr>
              <w:autoSpaceDE/>
              <w:autoSpaceDN/>
              <w:rPr>
                <w:rFonts w:ascii="Calibri" w:hAnsi="Calibri" w:eastAsia="Times New Roman" w:cs="Calibri"/>
                <w:b/>
                <w:bCs/>
                <w:color w:val="000000"/>
                <w:sz w:val="20"/>
                <w:szCs w:val="20"/>
                <w:lang w:eastAsia="en-US"/>
              </w:rPr>
            </w:pPr>
            <w:r w:rsidRPr="003734FB">
              <w:rPr>
                <w:rFonts w:ascii="Calibri" w:hAnsi="Calibri" w:eastAsia="Times New Roman" w:cs="Calibri"/>
                <w:b/>
                <w:bCs/>
                <w:color w:val="000000"/>
                <w:sz w:val="20"/>
                <w:szCs w:val="20"/>
                <w:lang w:eastAsia="en-US"/>
              </w:rPr>
              <w:t> </w:t>
            </w:r>
          </w:p>
        </w:tc>
        <w:tc>
          <w:tcPr>
            <w:tcW w:w="1080" w:type="dxa"/>
            <w:tcBorders>
              <w:top w:val="single" w:color="auto" w:sz="4" w:space="0"/>
              <w:left w:val="nil"/>
              <w:bottom w:val="single" w:color="auto" w:sz="4" w:space="0"/>
              <w:right w:val="single" w:color="auto" w:sz="4" w:space="0"/>
            </w:tcBorders>
            <w:shd w:val="clear" w:color="000000" w:fill="8EA9DB"/>
            <w:vAlign w:val="center"/>
            <w:hideMark/>
          </w:tcPr>
          <w:p w:rsidRPr="001D0186" w:rsidR="00AE701A" w:rsidP="00AE701A" w:rsidRDefault="00AE701A" w14:paraId="6B4BE2A7" w14:textId="77777777">
            <w:pPr>
              <w:autoSpaceDE/>
              <w:autoSpaceDN/>
              <w:rPr>
                <w:rFonts w:ascii="Calibri" w:hAnsi="Calibri" w:eastAsia="Times New Roman" w:cs="Calibri"/>
                <w:b/>
                <w:bCs/>
                <w:color w:val="000000"/>
                <w:sz w:val="20"/>
                <w:szCs w:val="20"/>
                <w:lang w:eastAsia="en-US"/>
              </w:rPr>
            </w:pPr>
            <w:r w:rsidRPr="001D0186">
              <w:rPr>
                <w:rFonts w:ascii="Calibri" w:hAnsi="Calibri" w:eastAsia="Times New Roman" w:cs="Calibri"/>
                <w:b/>
                <w:bCs/>
                <w:color w:val="000000"/>
                <w:sz w:val="20"/>
                <w:szCs w:val="20"/>
                <w:lang w:eastAsia="en-US"/>
              </w:rPr>
              <w:t> </w:t>
            </w:r>
          </w:p>
        </w:tc>
        <w:tc>
          <w:tcPr>
            <w:tcW w:w="1440" w:type="dxa"/>
            <w:tcBorders>
              <w:top w:val="single" w:color="auto" w:sz="4" w:space="0"/>
              <w:left w:val="nil"/>
              <w:bottom w:val="single" w:color="auto" w:sz="4" w:space="0"/>
              <w:right w:val="single" w:color="auto" w:sz="4" w:space="0"/>
            </w:tcBorders>
            <w:shd w:val="clear" w:color="000000" w:fill="8EA9DB"/>
            <w:vAlign w:val="center"/>
            <w:hideMark/>
          </w:tcPr>
          <w:p w:rsidRPr="00252CD2" w:rsidR="00AE701A" w:rsidP="00AE701A" w:rsidRDefault="00AE701A" w14:paraId="59430A04" w14:textId="77777777">
            <w:pPr>
              <w:autoSpaceDE/>
              <w:autoSpaceDN/>
              <w:rPr>
                <w:rFonts w:ascii="Calibri" w:hAnsi="Calibri" w:eastAsia="Times New Roman" w:cs="Calibri"/>
                <w:b/>
                <w:bCs/>
                <w:color w:val="000000"/>
                <w:sz w:val="20"/>
                <w:szCs w:val="20"/>
                <w:lang w:eastAsia="en-US"/>
              </w:rPr>
            </w:pPr>
            <w:r w:rsidRPr="00252CD2">
              <w:rPr>
                <w:rFonts w:ascii="Calibri" w:hAnsi="Calibri" w:eastAsia="Times New Roman" w:cs="Calibri"/>
                <w:b/>
                <w:bCs/>
                <w:color w:val="000000"/>
                <w:sz w:val="20"/>
                <w:szCs w:val="20"/>
                <w:lang w:eastAsia="en-US"/>
              </w:rPr>
              <w:t> </w:t>
            </w:r>
          </w:p>
        </w:tc>
        <w:tc>
          <w:tcPr>
            <w:tcW w:w="937" w:type="dxa"/>
            <w:tcBorders>
              <w:top w:val="single" w:color="auto" w:sz="4" w:space="0"/>
              <w:left w:val="nil"/>
              <w:bottom w:val="single" w:color="auto" w:sz="4" w:space="0"/>
              <w:right w:val="single" w:color="auto" w:sz="4" w:space="0"/>
            </w:tcBorders>
            <w:shd w:val="clear" w:color="000000" w:fill="8EA9DB"/>
            <w:vAlign w:val="center"/>
            <w:hideMark/>
          </w:tcPr>
          <w:p w:rsidRPr="00252CD2" w:rsidR="00AE701A" w:rsidP="00AE701A" w:rsidRDefault="00AE701A" w14:paraId="7BE42446" w14:textId="77777777">
            <w:pPr>
              <w:autoSpaceDE/>
              <w:autoSpaceDN/>
              <w:rPr>
                <w:rFonts w:ascii="Calibri" w:hAnsi="Calibri" w:eastAsia="Times New Roman" w:cs="Calibri"/>
                <w:b/>
                <w:bCs/>
                <w:color w:val="000000"/>
                <w:sz w:val="20"/>
                <w:szCs w:val="20"/>
                <w:lang w:eastAsia="en-US"/>
              </w:rPr>
            </w:pPr>
            <w:r w:rsidRPr="00252CD2">
              <w:rPr>
                <w:rFonts w:ascii="Calibri" w:hAnsi="Calibri" w:eastAsia="Times New Roman" w:cs="Calibri"/>
                <w:b/>
                <w:bCs/>
                <w:color w:val="000000"/>
                <w:sz w:val="20"/>
                <w:szCs w:val="20"/>
                <w:lang w:eastAsia="en-US"/>
              </w:rPr>
              <w:t> </w:t>
            </w:r>
          </w:p>
        </w:tc>
        <w:tc>
          <w:tcPr>
            <w:tcW w:w="1607" w:type="dxa"/>
            <w:tcBorders>
              <w:top w:val="single" w:color="auto" w:sz="4" w:space="0"/>
              <w:left w:val="nil"/>
              <w:bottom w:val="single" w:color="auto" w:sz="4" w:space="0"/>
              <w:right w:val="single" w:color="auto" w:sz="4" w:space="0"/>
            </w:tcBorders>
            <w:shd w:val="clear" w:color="000000" w:fill="8EA9DB"/>
            <w:vAlign w:val="center"/>
            <w:hideMark/>
          </w:tcPr>
          <w:p w:rsidRPr="00252CD2" w:rsidR="00AE701A" w:rsidP="00AE701A" w:rsidRDefault="00AE701A" w14:paraId="7A50960D" w14:textId="77777777">
            <w:pPr>
              <w:autoSpaceDE/>
              <w:autoSpaceDN/>
              <w:rPr>
                <w:rFonts w:ascii="Calibri" w:hAnsi="Calibri" w:eastAsia="Times New Roman" w:cs="Calibri"/>
                <w:b/>
                <w:bCs/>
                <w:color w:val="000000"/>
                <w:sz w:val="20"/>
                <w:szCs w:val="20"/>
                <w:lang w:eastAsia="en-US"/>
              </w:rPr>
            </w:pPr>
            <w:r w:rsidRPr="00252CD2">
              <w:rPr>
                <w:rFonts w:ascii="Calibri" w:hAnsi="Calibri" w:eastAsia="Times New Roman" w:cs="Calibri"/>
                <w:b/>
                <w:bCs/>
                <w:color w:val="000000"/>
                <w:sz w:val="20"/>
                <w:szCs w:val="20"/>
                <w:lang w:eastAsia="en-US"/>
              </w:rPr>
              <w:t> </w:t>
            </w:r>
          </w:p>
        </w:tc>
        <w:tc>
          <w:tcPr>
            <w:tcW w:w="1140" w:type="dxa"/>
            <w:tcBorders>
              <w:top w:val="single" w:color="auto" w:sz="4" w:space="0"/>
              <w:left w:val="nil"/>
              <w:bottom w:val="single" w:color="auto" w:sz="4" w:space="0"/>
              <w:right w:val="single" w:color="auto" w:sz="4" w:space="0"/>
            </w:tcBorders>
            <w:shd w:val="clear" w:color="000000" w:fill="8EA9DB"/>
            <w:vAlign w:val="center"/>
            <w:hideMark/>
          </w:tcPr>
          <w:p w:rsidRPr="00252CD2" w:rsidR="00AE701A" w:rsidP="00AE701A" w:rsidRDefault="00AE701A" w14:paraId="00995E0C" w14:textId="77777777">
            <w:pPr>
              <w:autoSpaceDE/>
              <w:autoSpaceDN/>
              <w:rPr>
                <w:rFonts w:ascii="Calibri" w:hAnsi="Calibri" w:eastAsia="Times New Roman" w:cs="Calibri"/>
                <w:b/>
                <w:bCs/>
                <w:color w:val="000000"/>
                <w:sz w:val="20"/>
                <w:szCs w:val="20"/>
                <w:lang w:eastAsia="en-US"/>
              </w:rPr>
            </w:pPr>
            <w:r w:rsidRPr="00252CD2">
              <w:rPr>
                <w:rFonts w:ascii="Calibri" w:hAnsi="Calibri" w:eastAsia="Times New Roman" w:cs="Calibri"/>
                <w:b/>
                <w:bCs/>
                <w:color w:val="000000"/>
                <w:sz w:val="20"/>
                <w:szCs w:val="20"/>
                <w:lang w:eastAsia="en-US"/>
              </w:rPr>
              <w:t> </w:t>
            </w:r>
          </w:p>
        </w:tc>
      </w:tr>
      <w:tr w:rsidRPr="00AE701A" w:rsidR="00FD5B56" w:rsidTr="00313268" w14:paraId="0189F0DF" w14:textId="77777777">
        <w:trPr>
          <w:trHeight w:val="290"/>
        </w:trPr>
        <w:tc>
          <w:tcPr>
            <w:tcW w:w="1620" w:type="dxa"/>
            <w:tcBorders>
              <w:top w:val="single" w:color="auto" w:sz="4" w:space="0"/>
              <w:left w:val="single" w:color="auto" w:sz="4" w:space="0"/>
              <w:bottom w:val="single" w:color="auto" w:sz="4" w:space="0"/>
              <w:right w:val="nil"/>
            </w:tcBorders>
            <w:shd w:val="clear" w:color="000000" w:fill="B4C6E7"/>
            <w:noWrap/>
            <w:vAlign w:val="bottom"/>
            <w:hideMark/>
          </w:tcPr>
          <w:p w:rsidRPr="00091560" w:rsidR="00AE701A" w:rsidP="00AE701A" w:rsidRDefault="00AE701A" w14:paraId="6B32D361" w14:textId="77777777">
            <w:pPr>
              <w:autoSpaceDE/>
              <w:autoSpaceDN/>
              <w:rPr>
                <w:rFonts w:ascii="Calibri" w:hAnsi="Calibri" w:eastAsia="Times New Roman" w:cs="Calibri"/>
                <w:b/>
                <w:bCs/>
                <w:color w:val="000000"/>
                <w:sz w:val="20"/>
                <w:szCs w:val="20"/>
                <w:lang w:eastAsia="en-US"/>
              </w:rPr>
            </w:pPr>
            <w:r w:rsidRPr="00091560">
              <w:rPr>
                <w:rFonts w:ascii="Calibri" w:hAnsi="Calibri" w:eastAsia="Times New Roman" w:cs="Calibri"/>
                <w:b/>
                <w:bCs/>
                <w:color w:val="000000"/>
                <w:sz w:val="20"/>
                <w:szCs w:val="20"/>
                <w:lang w:eastAsia="en-US"/>
              </w:rPr>
              <w:t>Total</w:t>
            </w:r>
          </w:p>
        </w:tc>
        <w:tc>
          <w:tcPr>
            <w:tcW w:w="1260" w:type="dxa"/>
            <w:tcBorders>
              <w:top w:val="single" w:color="auto" w:sz="4" w:space="0"/>
              <w:left w:val="single" w:color="auto" w:sz="4" w:space="0"/>
              <w:bottom w:val="single" w:color="auto" w:sz="4" w:space="0"/>
              <w:right w:val="single" w:color="auto" w:sz="4" w:space="0"/>
            </w:tcBorders>
            <w:shd w:val="clear" w:color="000000" w:fill="B4C6E7"/>
            <w:vAlign w:val="center"/>
            <w:hideMark/>
          </w:tcPr>
          <w:p w:rsidRPr="00520C25" w:rsidR="00AE701A" w:rsidP="00AE701A" w:rsidRDefault="00AE701A" w14:paraId="17E41A87" w14:textId="77777777">
            <w:pPr>
              <w:autoSpaceDE/>
              <w:autoSpaceDN/>
              <w:rPr>
                <w:rFonts w:ascii="Calibri" w:hAnsi="Calibri" w:eastAsia="Times New Roman" w:cs="Calibri"/>
                <w:b/>
                <w:bCs/>
                <w:color w:val="000000"/>
                <w:sz w:val="20"/>
                <w:szCs w:val="20"/>
                <w:lang w:eastAsia="en-US"/>
              </w:rPr>
            </w:pPr>
            <w:r w:rsidRPr="00520C25">
              <w:rPr>
                <w:rFonts w:ascii="Calibri" w:hAnsi="Calibri" w:eastAsia="Times New Roman" w:cs="Calibri"/>
                <w:b/>
                <w:bCs/>
                <w:color w:val="000000"/>
                <w:sz w:val="20"/>
                <w:szCs w:val="20"/>
                <w:lang w:eastAsia="en-US"/>
              </w:rPr>
              <w:t> </w:t>
            </w:r>
          </w:p>
        </w:tc>
        <w:tc>
          <w:tcPr>
            <w:tcW w:w="1440" w:type="dxa"/>
            <w:tcBorders>
              <w:top w:val="single" w:color="auto" w:sz="4" w:space="0"/>
              <w:left w:val="nil"/>
              <w:bottom w:val="single" w:color="auto" w:sz="4" w:space="0"/>
              <w:right w:val="single" w:color="auto" w:sz="4" w:space="0"/>
            </w:tcBorders>
            <w:shd w:val="clear" w:color="000000" w:fill="B4C6E7"/>
            <w:vAlign w:val="center"/>
            <w:hideMark/>
          </w:tcPr>
          <w:p w:rsidRPr="00AB1E6C" w:rsidR="00AE701A" w:rsidP="00AE701A" w:rsidRDefault="00AE701A" w14:paraId="24DA66AA" w14:textId="77777777">
            <w:pPr>
              <w:autoSpaceDE/>
              <w:autoSpaceDN/>
              <w:rPr>
                <w:rFonts w:ascii="Calibri" w:hAnsi="Calibri" w:eastAsia="Times New Roman" w:cs="Calibri"/>
                <w:b/>
                <w:bCs/>
                <w:color w:val="000000"/>
                <w:sz w:val="20"/>
                <w:szCs w:val="20"/>
                <w:lang w:eastAsia="en-US"/>
              </w:rPr>
            </w:pPr>
            <w:r w:rsidRPr="00AB1E6C">
              <w:rPr>
                <w:rFonts w:ascii="Calibri" w:hAnsi="Calibri" w:eastAsia="Times New Roman" w:cs="Calibri"/>
                <w:b/>
                <w:bCs/>
                <w:color w:val="000000"/>
                <w:sz w:val="20"/>
                <w:szCs w:val="20"/>
                <w:lang w:eastAsia="en-US"/>
              </w:rPr>
              <w:t> </w:t>
            </w:r>
          </w:p>
        </w:tc>
        <w:tc>
          <w:tcPr>
            <w:tcW w:w="1404" w:type="dxa"/>
            <w:tcBorders>
              <w:top w:val="single" w:color="auto" w:sz="4" w:space="0"/>
              <w:left w:val="nil"/>
              <w:bottom w:val="single" w:color="auto" w:sz="4" w:space="0"/>
              <w:right w:val="single" w:color="auto" w:sz="4" w:space="0"/>
            </w:tcBorders>
            <w:shd w:val="clear" w:color="000000" w:fill="B4C6E7"/>
            <w:vAlign w:val="center"/>
            <w:hideMark/>
          </w:tcPr>
          <w:p w:rsidRPr="007B4BA7" w:rsidR="00AE701A" w:rsidP="00AE701A" w:rsidRDefault="00AE701A" w14:paraId="69A15562" w14:textId="77777777">
            <w:pPr>
              <w:autoSpaceDE/>
              <w:autoSpaceDN/>
              <w:rPr>
                <w:rFonts w:ascii="Calibri" w:hAnsi="Calibri" w:eastAsia="Times New Roman" w:cs="Calibri"/>
                <w:b/>
                <w:bCs/>
                <w:color w:val="000000"/>
                <w:sz w:val="20"/>
                <w:szCs w:val="20"/>
                <w:lang w:eastAsia="en-US"/>
              </w:rPr>
            </w:pPr>
            <w:r w:rsidRPr="007B4BA7">
              <w:rPr>
                <w:rFonts w:ascii="Calibri" w:hAnsi="Calibri" w:eastAsia="Times New Roman" w:cs="Calibri"/>
                <w:b/>
                <w:bCs/>
                <w:color w:val="000000"/>
                <w:sz w:val="20"/>
                <w:szCs w:val="20"/>
                <w:lang w:eastAsia="en-US"/>
              </w:rPr>
              <w:t> </w:t>
            </w:r>
          </w:p>
        </w:tc>
        <w:tc>
          <w:tcPr>
            <w:tcW w:w="1170" w:type="dxa"/>
            <w:tcBorders>
              <w:top w:val="single" w:color="auto" w:sz="4" w:space="0"/>
              <w:left w:val="nil"/>
              <w:bottom w:val="single" w:color="auto" w:sz="4" w:space="0"/>
              <w:right w:val="single" w:color="auto" w:sz="4" w:space="0"/>
            </w:tcBorders>
            <w:shd w:val="clear" w:color="000000" w:fill="B4C6E7"/>
            <w:vAlign w:val="center"/>
            <w:hideMark/>
          </w:tcPr>
          <w:p w:rsidRPr="003340D7" w:rsidR="00AE701A" w:rsidP="00CD4E5A" w:rsidRDefault="00A02854" w14:paraId="6D557155" w14:textId="26153175">
            <w:pPr>
              <w:autoSpaceDE/>
              <w:autoSpaceDN/>
              <w:jc w:val="right"/>
              <w:rPr>
                <w:rFonts w:ascii="Calibri" w:hAnsi="Calibri" w:eastAsia="Times New Roman" w:cs="Calibri"/>
                <w:b/>
                <w:bCs/>
                <w:color w:val="000000"/>
                <w:sz w:val="20"/>
                <w:szCs w:val="20"/>
                <w:lang w:eastAsia="en-US"/>
              </w:rPr>
            </w:pPr>
            <w:r>
              <w:rPr>
                <w:rFonts w:ascii="Calibri" w:hAnsi="Calibri" w:eastAsia="Times New Roman" w:cs="Calibri"/>
                <w:b/>
                <w:bCs/>
                <w:color w:val="000000"/>
                <w:sz w:val="20"/>
                <w:szCs w:val="20"/>
                <w:lang w:eastAsia="en-US"/>
              </w:rPr>
              <w:t>23,</w:t>
            </w:r>
            <w:r w:rsidR="00CD4E5A">
              <w:rPr>
                <w:rFonts w:ascii="Calibri" w:hAnsi="Calibri" w:eastAsia="Times New Roman" w:cs="Calibri"/>
                <w:b/>
                <w:bCs/>
                <w:color w:val="000000"/>
                <w:sz w:val="20"/>
                <w:szCs w:val="20"/>
                <w:lang w:eastAsia="en-US"/>
              </w:rPr>
              <w:t>819</w:t>
            </w:r>
            <w:r>
              <w:rPr>
                <w:rFonts w:ascii="Calibri" w:hAnsi="Calibri" w:eastAsia="Times New Roman" w:cs="Calibri"/>
                <w:b/>
                <w:bCs/>
                <w:color w:val="000000"/>
                <w:sz w:val="20"/>
                <w:szCs w:val="20"/>
                <w:lang w:eastAsia="en-US"/>
              </w:rPr>
              <w:t>,</w:t>
            </w:r>
            <w:r w:rsidR="00CD4E5A">
              <w:rPr>
                <w:rFonts w:ascii="Calibri" w:hAnsi="Calibri" w:eastAsia="Times New Roman" w:cs="Calibri"/>
                <w:b/>
                <w:bCs/>
                <w:color w:val="000000"/>
                <w:sz w:val="20"/>
                <w:szCs w:val="20"/>
                <w:lang w:eastAsia="en-US"/>
              </w:rPr>
              <w:t>281</w:t>
            </w:r>
          </w:p>
        </w:tc>
        <w:tc>
          <w:tcPr>
            <w:tcW w:w="1223" w:type="dxa"/>
            <w:tcBorders>
              <w:top w:val="single" w:color="auto" w:sz="4" w:space="0"/>
              <w:left w:val="nil"/>
              <w:bottom w:val="single" w:color="auto" w:sz="4" w:space="0"/>
              <w:right w:val="single" w:color="auto" w:sz="4" w:space="0"/>
            </w:tcBorders>
            <w:shd w:val="clear" w:color="000000" w:fill="B4C6E7"/>
            <w:vAlign w:val="center"/>
            <w:hideMark/>
          </w:tcPr>
          <w:p w:rsidRPr="003340D7" w:rsidR="00AE701A" w:rsidP="00091560" w:rsidRDefault="00AE701A" w14:paraId="01E9B6D4" w14:textId="77777777">
            <w:pPr>
              <w:autoSpaceDE/>
              <w:autoSpaceDN/>
              <w:jc w:val="right"/>
              <w:rPr>
                <w:rFonts w:ascii="Calibri" w:hAnsi="Calibri" w:eastAsia="Times New Roman" w:cs="Calibri"/>
                <w:b/>
                <w:bCs/>
                <w:color w:val="000000"/>
                <w:sz w:val="20"/>
                <w:szCs w:val="20"/>
                <w:lang w:eastAsia="en-US"/>
              </w:rPr>
            </w:pPr>
            <w:r w:rsidRPr="003340D7">
              <w:rPr>
                <w:rFonts w:ascii="Calibri" w:hAnsi="Calibri" w:eastAsia="Times New Roman" w:cs="Calibri"/>
                <w:b/>
                <w:bCs/>
                <w:color w:val="000000"/>
                <w:sz w:val="20"/>
                <w:szCs w:val="20"/>
                <w:lang w:eastAsia="en-US"/>
              </w:rPr>
              <w:t> </w:t>
            </w:r>
          </w:p>
        </w:tc>
        <w:tc>
          <w:tcPr>
            <w:tcW w:w="1080" w:type="dxa"/>
            <w:tcBorders>
              <w:top w:val="single" w:color="auto" w:sz="4" w:space="0"/>
              <w:left w:val="nil"/>
              <w:bottom w:val="single" w:color="auto" w:sz="4" w:space="0"/>
              <w:right w:val="single" w:color="auto" w:sz="4" w:space="0"/>
            </w:tcBorders>
            <w:shd w:val="clear" w:color="000000" w:fill="B4C6E7"/>
            <w:vAlign w:val="center"/>
            <w:hideMark/>
          </w:tcPr>
          <w:p w:rsidRPr="003734FB" w:rsidR="00AE701A" w:rsidP="00091560" w:rsidRDefault="00AE701A" w14:paraId="7E179AAF" w14:textId="77777777">
            <w:pPr>
              <w:autoSpaceDE/>
              <w:autoSpaceDN/>
              <w:jc w:val="right"/>
              <w:rPr>
                <w:rFonts w:ascii="Calibri" w:hAnsi="Calibri" w:eastAsia="Times New Roman" w:cs="Calibri"/>
                <w:b/>
                <w:bCs/>
                <w:color w:val="000000"/>
                <w:sz w:val="20"/>
                <w:szCs w:val="20"/>
                <w:lang w:eastAsia="en-US"/>
              </w:rPr>
            </w:pPr>
            <w:r w:rsidRPr="003734FB">
              <w:rPr>
                <w:rFonts w:ascii="Calibri" w:hAnsi="Calibri" w:eastAsia="Times New Roman" w:cs="Calibri"/>
                <w:b/>
                <w:bCs/>
                <w:color w:val="000000"/>
                <w:sz w:val="20"/>
                <w:szCs w:val="20"/>
                <w:lang w:eastAsia="en-US"/>
              </w:rPr>
              <w:t> </w:t>
            </w:r>
          </w:p>
        </w:tc>
        <w:tc>
          <w:tcPr>
            <w:tcW w:w="1440" w:type="dxa"/>
            <w:tcBorders>
              <w:top w:val="single" w:color="auto" w:sz="4" w:space="0"/>
              <w:left w:val="nil"/>
              <w:bottom w:val="single" w:color="auto" w:sz="4" w:space="0"/>
              <w:right w:val="single" w:color="auto" w:sz="4" w:space="0"/>
            </w:tcBorders>
            <w:shd w:val="clear" w:color="000000" w:fill="B4C6E7"/>
            <w:vAlign w:val="center"/>
            <w:hideMark/>
          </w:tcPr>
          <w:p w:rsidRPr="00252CD2" w:rsidR="00AE701A" w:rsidP="00CD4E5A" w:rsidRDefault="00A02854" w14:paraId="6A962A34" w14:textId="28AB6AB9">
            <w:pPr>
              <w:autoSpaceDE/>
              <w:autoSpaceDN/>
              <w:jc w:val="right"/>
              <w:rPr>
                <w:rFonts w:ascii="Calibri" w:hAnsi="Calibri" w:eastAsia="Times New Roman" w:cs="Calibri"/>
                <w:b/>
                <w:bCs/>
                <w:color w:val="000000"/>
                <w:sz w:val="20"/>
                <w:szCs w:val="20"/>
                <w:lang w:eastAsia="en-US"/>
              </w:rPr>
            </w:pPr>
            <w:r>
              <w:rPr>
                <w:rFonts w:ascii="Calibri" w:hAnsi="Calibri" w:eastAsia="Times New Roman" w:cs="Calibri"/>
                <w:b/>
                <w:bCs/>
                <w:color w:val="000000"/>
                <w:sz w:val="20"/>
                <w:szCs w:val="20"/>
                <w:lang w:eastAsia="en-US"/>
              </w:rPr>
              <w:t>19,</w:t>
            </w:r>
            <w:r w:rsidR="00CD4E5A">
              <w:rPr>
                <w:rFonts w:ascii="Calibri" w:hAnsi="Calibri" w:eastAsia="Times New Roman" w:cs="Calibri"/>
                <w:b/>
                <w:bCs/>
                <w:color w:val="000000"/>
                <w:sz w:val="20"/>
                <w:szCs w:val="20"/>
                <w:lang w:eastAsia="en-US"/>
              </w:rPr>
              <w:t>260</w:t>
            </w:r>
            <w:r>
              <w:rPr>
                <w:rFonts w:ascii="Calibri" w:hAnsi="Calibri" w:eastAsia="Times New Roman" w:cs="Calibri"/>
                <w:b/>
                <w:bCs/>
                <w:color w:val="000000"/>
                <w:sz w:val="20"/>
                <w:szCs w:val="20"/>
                <w:lang w:eastAsia="en-US"/>
              </w:rPr>
              <w:t>,</w:t>
            </w:r>
            <w:r w:rsidR="00CD4E5A">
              <w:rPr>
                <w:rFonts w:ascii="Calibri" w:hAnsi="Calibri" w:eastAsia="Times New Roman" w:cs="Calibri"/>
                <w:b/>
                <w:bCs/>
                <w:color w:val="000000"/>
                <w:sz w:val="20"/>
                <w:szCs w:val="20"/>
                <w:lang w:eastAsia="en-US"/>
              </w:rPr>
              <w:t>202</w:t>
            </w:r>
          </w:p>
        </w:tc>
        <w:tc>
          <w:tcPr>
            <w:tcW w:w="937" w:type="dxa"/>
            <w:tcBorders>
              <w:top w:val="single" w:color="auto" w:sz="4" w:space="0"/>
              <w:left w:val="nil"/>
              <w:bottom w:val="single" w:color="auto" w:sz="4" w:space="0"/>
              <w:right w:val="single" w:color="auto" w:sz="4" w:space="0"/>
            </w:tcBorders>
            <w:shd w:val="clear" w:color="000000" w:fill="B4C6E7"/>
            <w:vAlign w:val="center"/>
            <w:hideMark/>
          </w:tcPr>
          <w:p w:rsidRPr="00252CD2" w:rsidR="00AE701A" w:rsidP="00091560" w:rsidRDefault="00AE701A" w14:paraId="1DDDFCC3" w14:textId="77777777">
            <w:pPr>
              <w:autoSpaceDE/>
              <w:autoSpaceDN/>
              <w:jc w:val="right"/>
              <w:rPr>
                <w:rFonts w:ascii="Calibri" w:hAnsi="Calibri" w:eastAsia="Times New Roman" w:cs="Calibri"/>
                <w:b/>
                <w:bCs/>
                <w:color w:val="000000"/>
                <w:sz w:val="20"/>
                <w:szCs w:val="20"/>
                <w:lang w:eastAsia="en-US"/>
              </w:rPr>
            </w:pPr>
            <w:r w:rsidRPr="00252CD2">
              <w:rPr>
                <w:rFonts w:ascii="Calibri" w:hAnsi="Calibri" w:eastAsia="Times New Roman" w:cs="Calibri"/>
                <w:b/>
                <w:bCs/>
                <w:color w:val="000000"/>
                <w:sz w:val="20"/>
                <w:szCs w:val="20"/>
                <w:lang w:eastAsia="en-US"/>
              </w:rPr>
              <w:t> </w:t>
            </w:r>
          </w:p>
        </w:tc>
        <w:tc>
          <w:tcPr>
            <w:tcW w:w="1607" w:type="dxa"/>
            <w:tcBorders>
              <w:top w:val="single" w:color="auto" w:sz="4" w:space="0"/>
              <w:left w:val="nil"/>
              <w:bottom w:val="single" w:color="auto" w:sz="4" w:space="0"/>
              <w:right w:val="single" w:color="auto" w:sz="4" w:space="0"/>
            </w:tcBorders>
            <w:shd w:val="clear" w:color="000000" w:fill="B4C6E7"/>
            <w:vAlign w:val="center"/>
            <w:hideMark/>
          </w:tcPr>
          <w:p w:rsidRPr="00252CD2" w:rsidR="00AE701A" w:rsidP="00F120BA" w:rsidRDefault="00AE701A" w14:paraId="68367F95" w14:textId="459AC6C1">
            <w:pPr>
              <w:autoSpaceDE/>
              <w:autoSpaceDN/>
              <w:jc w:val="right"/>
              <w:rPr>
                <w:rFonts w:ascii="Calibri" w:hAnsi="Calibri" w:eastAsia="Times New Roman" w:cs="Calibri"/>
                <w:b/>
                <w:bCs/>
                <w:color w:val="000000"/>
                <w:sz w:val="20"/>
                <w:szCs w:val="20"/>
                <w:lang w:eastAsia="en-US"/>
              </w:rPr>
            </w:pPr>
            <w:r w:rsidRPr="00252CD2">
              <w:rPr>
                <w:rFonts w:ascii="Calibri" w:hAnsi="Calibri" w:eastAsia="Times New Roman" w:cs="Calibri"/>
                <w:b/>
                <w:bCs/>
                <w:color w:val="000000"/>
                <w:sz w:val="20"/>
                <w:szCs w:val="20"/>
                <w:lang w:eastAsia="en-US"/>
              </w:rPr>
              <w:t>$</w:t>
            </w:r>
            <w:r w:rsidR="00A02854">
              <w:rPr>
                <w:rFonts w:ascii="Calibri" w:hAnsi="Calibri" w:eastAsia="Times New Roman" w:cs="Calibri"/>
                <w:b/>
                <w:bCs/>
                <w:color w:val="000000"/>
                <w:sz w:val="20"/>
                <w:szCs w:val="20"/>
                <w:lang w:eastAsia="en-US"/>
              </w:rPr>
              <w:t>1,3</w:t>
            </w:r>
            <w:r w:rsidR="00CD4E5A">
              <w:rPr>
                <w:rFonts w:ascii="Calibri" w:hAnsi="Calibri" w:eastAsia="Times New Roman" w:cs="Calibri"/>
                <w:b/>
                <w:bCs/>
                <w:color w:val="000000"/>
                <w:sz w:val="20"/>
                <w:szCs w:val="20"/>
                <w:lang w:eastAsia="en-US"/>
              </w:rPr>
              <w:t>2</w:t>
            </w:r>
            <w:r w:rsidR="00A02854">
              <w:rPr>
                <w:rFonts w:ascii="Calibri" w:hAnsi="Calibri" w:eastAsia="Times New Roman" w:cs="Calibri"/>
                <w:b/>
                <w:bCs/>
                <w:color w:val="000000"/>
                <w:sz w:val="20"/>
                <w:szCs w:val="20"/>
                <w:lang w:eastAsia="en-US"/>
              </w:rPr>
              <w:t>1,</w:t>
            </w:r>
            <w:r w:rsidR="00CD4E5A">
              <w:rPr>
                <w:rFonts w:ascii="Calibri" w:hAnsi="Calibri" w:eastAsia="Times New Roman" w:cs="Calibri"/>
                <w:b/>
                <w:bCs/>
                <w:color w:val="000000"/>
                <w:sz w:val="20"/>
                <w:szCs w:val="20"/>
                <w:lang w:eastAsia="en-US"/>
              </w:rPr>
              <w:t>047</w:t>
            </w:r>
            <w:r w:rsidR="00A02854">
              <w:rPr>
                <w:rFonts w:ascii="Calibri" w:hAnsi="Calibri" w:eastAsia="Times New Roman" w:cs="Calibri"/>
                <w:b/>
                <w:bCs/>
                <w:color w:val="000000"/>
                <w:sz w:val="20"/>
                <w:szCs w:val="20"/>
                <w:lang w:eastAsia="en-US"/>
              </w:rPr>
              <w:t>,</w:t>
            </w:r>
            <w:r w:rsidR="00CD4E5A">
              <w:rPr>
                <w:rFonts w:ascii="Calibri" w:hAnsi="Calibri" w:eastAsia="Times New Roman" w:cs="Calibri"/>
                <w:b/>
                <w:bCs/>
                <w:color w:val="000000"/>
                <w:sz w:val="20"/>
                <w:szCs w:val="20"/>
                <w:lang w:eastAsia="en-US"/>
              </w:rPr>
              <w:t>47</w:t>
            </w:r>
            <w:r w:rsidR="00F120BA">
              <w:rPr>
                <w:rFonts w:ascii="Calibri" w:hAnsi="Calibri" w:eastAsia="Times New Roman" w:cs="Calibri"/>
                <w:b/>
                <w:bCs/>
                <w:color w:val="000000"/>
                <w:sz w:val="20"/>
                <w:szCs w:val="20"/>
                <w:lang w:eastAsia="en-US"/>
              </w:rPr>
              <w:t>5</w:t>
            </w:r>
            <w:r w:rsidRPr="00252CD2">
              <w:rPr>
                <w:rFonts w:ascii="Calibri" w:hAnsi="Calibri" w:eastAsia="Times New Roman" w:cs="Calibri"/>
                <w:b/>
                <w:bCs/>
                <w:color w:val="000000"/>
                <w:sz w:val="20"/>
                <w:szCs w:val="20"/>
                <w:lang w:eastAsia="en-US"/>
              </w:rPr>
              <w:t xml:space="preserve"> </w:t>
            </w:r>
          </w:p>
        </w:tc>
        <w:tc>
          <w:tcPr>
            <w:tcW w:w="1140" w:type="dxa"/>
            <w:tcBorders>
              <w:top w:val="single" w:color="auto" w:sz="4" w:space="0"/>
              <w:left w:val="nil"/>
              <w:bottom w:val="single" w:color="auto" w:sz="4" w:space="0"/>
              <w:right w:val="single" w:color="auto" w:sz="4" w:space="0"/>
            </w:tcBorders>
            <w:shd w:val="clear" w:color="000000" w:fill="B4C6E7"/>
            <w:vAlign w:val="center"/>
            <w:hideMark/>
          </w:tcPr>
          <w:p w:rsidRPr="00252CD2" w:rsidR="00AE701A" w:rsidP="00F120BA" w:rsidRDefault="00A02854" w14:paraId="0DC9608E" w14:textId="722555EE">
            <w:pPr>
              <w:autoSpaceDE/>
              <w:autoSpaceDN/>
              <w:jc w:val="center"/>
              <w:rPr>
                <w:rFonts w:ascii="Calibri" w:hAnsi="Calibri" w:eastAsia="Times New Roman" w:cs="Calibri"/>
                <w:b/>
                <w:bCs/>
                <w:color w:val="000000"/>
                <w:sz w:val="20"/>
                <w:szCs w:val="20"/>
                <w:lang w:eastAsia="en-US"/>
              </w:rPr>
            </w:pPr>
            <w:r>
              <w:rPr>
                <w:rFonts w:ascii="Calibri" w:hAnsi="Calibri" w:eastAsia="Times New Roman" w:cs="Calibri"/>
                <w:b/>
                <w:bCs/>
                <w:color w:val="000000"/>
                <w:sz w:val="20"/>
                <w:szCs w:val="20"/>
                <w:lang w:eastAsia="en-US"/>
              </w:rPr>
              <w:t>8,4</w:t>
            </w:r>
            <w:r w:rsidR="00CD4E5A">
              <w:rPr>
                <w:rFonts w:ascii="Calibri" w:hAnsi="Calibri" w:eastAsia="Times New Roman" w:cs="Calibri"/>
                <w:b/>
                <w:bCs/>
                <w:color w:val="000000"/>
                <w:sz w:val="20"/>
                <w:szCs w:val="20"/>
                <w:lang w:eastAsia="en-US"/>
              </w:rPr>
              <w:t>28</w:t>
            </w:r>
            <w:r>
              <w:rPr>
                <w:rFonts w:ascii="Calibri" w:hAnsi="Calibri" w:eastAsia="Times New Roman" w:cs="Calibri"/>
                <w:b/>
                <w:bCs/>
                <w:color w:val="000000"/>
                <w:sz w:val="20"/>
                <w:szCs w:val="20"/>
                <w:lang w:eastAsia="en-US"/>
              </w:rPr>
              <w:t>,</w:t>
            </w:r>
            <w:r w:rsidR="00CD4E5A">
              <w:rPr>
                <w:rFonts w:ascii="Calibri" w:hAnsi="Calibri" w:eastAsia="Times New Roman" w:cs="Calibri"/>
                <w:b/>
                <w:bCs/>
                <w:color w:val="000000"/>
                <w:sz w:val="20"/>
                <w:szCs w:val="20"/>
                <w:lang w:eastAsia="en-US"/>
              </w:rPr>
              <w:t>13</w:t>
            </w:r>
            <w:r w:rsidR="00F120BA">
              <w:rPr>
                <w:rFonts w:ascii="Calibri" w:hAnsi="Calibri" w:eastAsia="Times New Roman" w:cs="Calibri"/>
                <w:b/>
                <w:bCs/>
                <w:color w:val="000000"/>
                <w:sz w:val="20"/>
                <w:szCs w:val="20"/>
                <w:lang w:eastAsia="en-US"/>
              </w:rPr>
              <w:t>4</w:t>
            </w:r>
          </w:p>
        </w:tc>
      </w:tr>
    </w:tbl>
    <w:p w:rsidRPr="00394886" w:rsidR="00AE701A" w:rsidP="00C05411" w:rsidRDefault="00AE701A" w14:paraId="437F867E" w14:textId="77777777">
      <w:pPr>
        <w:spacing w:line="480" w:lineRule="auto"/>
        <w:outlineLvl w:val="4"/>
        <w:rPr>
          <w:rFonts w:eastAsia="Arial Unicode MS"/>
          <w:color w:val="000000"/>
        </w:rPr>
      </w:pPr>
    </w:p>
    <w:p w:rsidRPr="00394886" w:rsidR="00C05411" w:rsidP="00C05411" w:rsidRDefault="00C05411" w14:paraId="7057A950" w14:textId="77777777">
      <w:pPr>
        <w:outlineLvl w:val="4"/>
        <w:rPr>
          <w:rFonts w:eastAsia="Arial Unicode MS"/>
          <w:b/>
          <w:color w:val="000000"/>
        </w:rPr>
      </w:pPr>
    </w:p>
    <w:p w:rsidR="00DF31C0" w:rsidP="00C05411" w:rsidRDefault="00DF31C0" w14:paraId="20352608" w14:textId="3423FE22"/>
    <w:p w:rsidR="00DF31C0" w:rsidP="00C05411" w:rsidRDefault="00DF31C0" w14:paraId="0D01D438" w14:textId="77777777"/>
    <w:p w:rsidR="00C05411" w:rsidP="00C05411" w:rsidRDefault="00C05411" w14:paraId="022EC89E" w14:textId="77777777"/>
    <w:p w:rsidR="006F6DBC" w:rsidP="00C05411" w:rsidRDefault="006F6DBC" w14:paraId="083F18A9" w14:textId="77777777">
      <w:pPr>
        <w:rPr>
          <w:b/>
          <w:bCs/>
        </w:rPr>
      </w:pPr>
    </w:p>
    <w:p w:rsidR="00C05411" w:rsidP="00C05411" w:rsidRDefault="00C05411" w14:paraId="7A5A5EE3" w14:textId="16050B7F"/>
    <w:p w:rsidR="00C05411" w:rsidP="00C05411" w:rsidRDefault="00C05411" w14:paraId="77F71FA6" w14:textId="77777777"/>
    <w:p w:rsidR="00C05411" w:rsidP="00C05411" w:rsidRDefault="00C05411" w14:paraId="5E8626CD" w14:textId="77777777">
      <w:pPr>
        <w:rPr>
          <w:b/>
        </w:rPr>
      </w:pPr>
    </w:p>
    <w:p w:rsidR="00C05411" w:rsidP="00C05411" w:rsidRDefault="00C05411" w14:paraId="5B8B7E48" w14:textId="77777777">
      <w:pPr>
        <w:rPr>
          <w:b/>
        </w:rPr>
      </w:pPr>
    </w:p>
    <w:p w:rsidRPr="006D42DA" w:rsidR="00C05411" w:rsidP="00C05411" w:rsidRDefault="00C05411" w14:paraId="3A5A0397" w14:textId="77777777">
      <w:pPr>
        <w:rPr>
          <w:b/>
        </w:rPr>
      </w:pPr>
    </w:p>
    <w:p w:rsidR="0038224F" w:rsidP="00E35242" w:rsidRDefault="0038224F" w14:paraId="352ED93B" w14:textId="0BFF3782">
      <w:pPr>
        <w:rPr>
          <w:b/>
          <w:bCs/>
        </w:rPr>
      </w:pPr>
    </w:p>
    <w:p w:rsidR="0038224F" w:rsidP="00E35242" w:rsidRDefault="0038224F" w14:paraId="54692569" w14:textId="77777777">
      <w:pPr>
        <w:rPr>
          <w:b/>
          <w:bCs/>
        </w:rPr>
        <w:sectPr w:rsidR="0038224F" w:rsidSect="00FD5B56">
          <w:pgSz w:w="15840" w:h="12240" w:orient="landscape"/>
          <w:pgMar w:top="720" w:right="720" w:bottom="720" w:left="720" w:header="720" w:footer="720" w:gutter="0"/>
          <w:cols w:space="720"/>
          <w:docGrid w:linePitch="360"/>
        </w:sectPr>
      </w:pPr>
    </w:p>
    <w:p w:rsidRPr="00CF752A" w:rsidR="00E35242" w:rsidP="00CF752A" w:rsidRDefault="00E35242" w14:paraId="4A9766B7" w14:textId="09E38F16">
      <w:pPr>
        <w:pStyle w:val="Heading2"/>
        <w:numPr>
          <w:ilvl w:val="1"/>
          <w:numId w:val="19"/>
        </w:numPr>
        <w:rPr>
          <w:sz w:val="22"/>
          <w:szCs w:val="22"/>
          <w:lang w:val="x-none"/>
        </w:rPr>
      </w:pPr>
      <w:r w:rsidRPr="00CF752A">
        <w:rPr>
          <w:sz w:val="22"/>
          <w:szCs w:val="22"/>
          <w:lang w:val="x-none"/>
        </w:rPr>
        <w:t>Provide an estimate of the total annual cost burden to respondents or recordkeepers resulting from the collection of information.  (Do not include the cost of any hour burden shown in Items 12 and 14.)</w:t>
      </w:r>
    </w:p>
    <w:p w:rsidR="00E35242" w:rsidP="00E35242" w:rsidRDefault="00E35242" w14:paraId="2D4C63E8" w14:textId="77777777">
      <w:pPr>
        <w:ind w:left="432" w:firstLine="18"/>
        <w:rPr>
          <w:b/>
          <w:bCs/>
          <w:sz w:val="22"/>
          <w:szCs w:val="22"/>
        </w:rPr>
      </w:pPr>
      <w:r>
        <w:rPr>
          <w:b/>
          <w:bCs/>
          <w:sz w:val="22"/>
          <w:szCs w:val="22"/>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on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35242" w:rsidP="00E35242" w:rsidRDefault="00E35242" w14:paraId="66A1848F" w14:textId="77777777">
      <w:pPr>
        <w:ind w:firstLine="18"/>
        <w:rPr>
          <w:b/>
          <w:bCs/>
          <w:sz w:val="22"/>
          <w:szCs w:val="22"/>
        </w:rPr>
      </w:pPr>
    </w:p>
    <w:p w:rsidR="00E35242" w:rsidP="00E35242" w:rsidRDefault="00E35242" w14:paraId="5D675483" w14:textId="77777777">
      <w:pPr>
        <w:ind w:left="432" w:firstLine="18"/>
        <w:rPr>
          <w:b/>
          <w:bCs/>
          <w:sz w:val="22"/>
          <w:szCs w:val="22"/>
        </w:rPr>
      </w:pPr>
      <w:r>
        <w:rPr>
          <w:b/>
          <w:bCs/>
          <w:sz w:val="22"/>
          <w:szCs w:val="22"/>
        </w:rPr>
        <w:t>If cost estimates are expected to vary widely, agencies should present ranges of cost burdens and explain the reasons for the variance.  The cost of purchasing or contracting out information collections services should be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35242" w:rsidP="00E35242" w:rsidRDefault="00E35242" w14:paraId="60221B60" w14:textId="77777777">
      <w:pPr>
        <w:ind w:firstLine="18"/>
        <w:rPr>
          <w:b/>
          <w:bCs/>
          <w:sz w:val="22"/>
          <w:szCs w:val="22"/>
        </w:rPr>
      </w:pPr>
    </w:p>
    <w:p w:rsidR="00E35242" w:rsidP="00E35242" w:rsidRDefault="00E35242" w14:paraId="17812066" w14:textId="77777777">
      <w:pPr>
        <w:ind w:left="432" w:firstLine="18"/>
        <w:rPr>
          <w:b/>
          <w:bCs/>
          <w:sz w:val="22"/>
          <w:szCs w:val="22"/>
        </w:rPr>
      </w:pPr>
      <w:r>
        <w:rPr>
          <w:b/>
          <w:bCs/>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D6428" w:rsidP="00E35242" w:rsidRDefault="003D6428" w14:paraId="79C5A1E7" w14:textId="3E894E56">
      <w:pPr>
        <w:pStyle w:val="Default"/>
        <w:rPr>
          <w:color w:val="auto"/>
        </w:rPr>
      </w:pPr>
    </w:p>
    <w:p w:rsidR="00D95076" w:rsidP="00CF3FB0" w:rsidRDefault="00D95076" w14:paraId="2F53E179" w14:textId="74DFD7BD">
      <w:pPr>
        <w:pStyle w:val="BodyText"/>
        <w:rPr>
          <w:rFonts w:ascii="Times New Roman" w:hAnsi="Times New Roman"/>
        </w:rPr>
      </w:pPr>
      <w:r>
        <w:rPr>
          <w:rFonts w:ascii="Times New Roman" w:hAnsi="Times New Roman"/>
          <w:b/>
        </w:rPr>
        <w:t>No-touch Thermometers:</w:t>
      </w:r>
    </w:p>
    <w:p w:rsidR="00CF3FB0" w:rsidP="00CF3FB0" w:rsidRDefault="008909FB" w14:paraId="431C351E" w14:textId="208527C8">
      <w:pPr>
        <w:pStyle w:val="BodyText"/>
        <w:rPr>
          <w:rFonts w:ascii="Times New Roman" w:hAnsi="Times New Roman"/>
        </w:rPr>
      </w:pPr>
      <w:r>
        <w:rPr>
          <w:rFonts w:ascii="Times New Roman" w:hAnsi="Times New Roman"/>
        </w:rPr>
        <w:t>To fulfill some of the health screening requirements,</w:t>
      </w:r>
      <w:r w:rsidRPr="004F7696" w:rsidR="00CF3FB0">
        <w:rPr>
          <w:rFonts w:ascii="Times New Roman" w:hAnsi="Times New Roman"/>
        </w:rPr>
        <w:t xml:space="preserve"> OSHA</w:t>
      </w:r>
      <w:r w:rsidRPr="004F7696" w:rsidDel="00A02FD4" w:rsidR="00CF3FB0">
        <w:rPr>
          <w:rFonts w:ascii="Times New Roman" w:hAnsi="Times New Roman"/>
        </w:rPr>
        <w:t xml:space="preserve"> </w:t>
      </w:r>
      <w:r w:rsidRPr="004F7696" w:rsidR="00CF3FB0">
        <w:rPr>
          <w:rFonts w:ascii="Times New Roman" w:hAnsi="Times New Roman"/>
        </w:rPr>
        <w:t>estimates that establishments will purchase</w:t>
      </w:r>
      <w:r w:rsidRPr="004F7696" w:rsidDel="000E574C" w:rsidR="00CF3FB0">
        <w:rPr>
          <w:rFonts w:ascii="Times New Roman" w:hAnsi="Times New Roman"/>
        </w:rPr>
        <w:t xml:space="preserve"> </w:t>
      </w:r>
      <w:r w:rsidRPr="004F7696" w:rsidR="00CF3FB0">
        <w:rPr>
          <w:rFonts w:ascii="Times New Roman" w:hAnsi="Times New Roman"/>
        </w:rPr>
        <w:t>no-touch thermometers at a rate of 1 per 100 employees, on average, with a minimum of 1 per establishment and a unit cost</w:t>
      </w:r>
      <w:r w:rsidRPr="004F7696" w:rsidDel="007C4998" w:rsidR="00CF3FB0">
        <w:rPr>
          <w:rFonts w:ascii="Times New Roman" w:hAnsi="Times New Roman"/>
        </w:rPr>
        <w:t xml:space="preserve"> </w:t>
      </w:r>
      <w:r w:rsidRPr="004F7696" w:rsidR="00CF3FB0">
        <w:rPr>
          <w:rFonts w:ascii="Times New Roman" w:hAnsi="Times New Roman"/>
        </w:rPr>
        <w:t xml:space="preserve">of $29.50 per thermometer </w:t>
      </w:r>
      <w:r w:rsidRPr="004F7696" w:rsidR="00CF3FB0">
        <w:rPr>
          <w:rFonts w:ascii="Times New Roman" w:hAnsi="Times New Roman"/>
        </w:rPr>
        <w:fldChar w:fldCharType="begin"/>
      </w:r>
      <w:r w:rsidRPr="004F7696" w:rsidR="00CF3FB0">
        <w:rPr>
          <w:rFonts w:ascii="Times New Roman" w:hAnsi="Times New Roman"/>
        </w:rPr>
        <w:instrText xml:space="preserve"> ADDIN EN.CITE &lt;EndNote&gt;&lt;Cite&gt;&lt;Author&gt;Rice&lt;/Author&gt;&lt;Year&gt;2020&lt;/Year&gt;&lt;RecNum&gt;6&lt;/RecNum&gt;&lt;DisplayText&gt;(Rice, Miller et al. 2020)&lt;/DisplayText&gt;&lt;record&gt;&lt;rec-number&gt;6&lt;/rec-number&gt;&lt;foreign-keys&gt;&lt;key app="EN" db-id="sze052r0szpxrne5pd0vedt025zt5fdtve5w" timestamp="1614181625"&gt;6&lt;/key&gt;&lt;/foreign-keys&gt;&lt;ref-type name="Journal Article"&gt;17&lt;/ref-type&gt;&lt;contributors&gt;&lt;authors&gt;&lt;author&gt;Rice, KL&lt;/author&gt;&lt;author&gt;Miller, GF&lt;/author&gt;&lt;author&gt;Coronado, F&lt;/author&gt;&lt;author&gt;Meltzer, MI&lt;/author&gt;&lt;/authors&gt;&lt;/contributors&gt;&lt;titles&gt;&lt;title&gt;Estimated Resource Costs for Implementation of CDC’s Recommended COVID-19 Mitigation Strategies in Pre-Kindergarten through Grade 12 Public Schools — United States, 2020–21 School Year&lt;/title&gt;&lt;secondary-title&gt;MMWR Morb Mortal Wkly Rep &lt;/secondary-title&gt;&lt;/titles&gt;&lt;pages&gt;1917-1921&lt;/pages&gt;&lt;volume&gt;69&lt;/volume&gt;&lt;dates&gt;&lt;year&gt;2020&lt;/year&gt;&lt;/dates&gt;&lt;urls&gt;&lt;related-urls&gt;&lt;url&gt;http://dx.doi.org/10.15585/mmwr.mm6950e1&lt;/url&gt;&lt;/related-urls&gt;&lt;/urls&gt;&lt;/record&gt;&lt;/Cite&gt;&lt;/EndNote&gt;</w:instrText>
      </w:r>
      <w:r w:rsidRPr="004F7696" w:rsidR="00CF3FB0">
        <w:rPr>
          <w:rFonts w:ascii="Times New Roman" w:hAnsi="Times New Roman"/>
        </w:rPr>
        <w:fldChar w:fldCharType="separate"/>
      </w:r>
      <w:r w:rsidRPr="004F7696" w:rsidR="00CF3FB0">
        <w:rPr>
          <w:rFonts w:ascii="Times New Roman" w:hAnsi="Times New Roman"/>
          <w:noProof/>
        </w:rPr>
        <w:t>(Rice, Miller et al. 2020)</w:t>
      </w:r>
      <w:r w:rsidRPr="004F7696" w:rsidR="00CF3FB0">
        <w:rPr>
          <w:rFonts w:ascii="Times New Roman" w:hAnsi="Times New Roman"/>
        </w:rPr>
        <w:fldChar w:fldCharType="end"/>
      </w:r>
      <w:r w:rsidRPr="004F7696" w:rsidR="00CF3FB0">
        <w:rPr>
          <w:rFonts w:ascii="Times New Roman" w:hAnsi="Times New Roman"/>
        </w:rPr>
        <w:t xml:space="preserve">. </w:t>
      </w:r>
      <w:r w:rsidR="009C3431">
        <w:rPr>
          <w:rFonts w:ascii="Times New Roman" w:hAnsi="Times New Roman"/>
        </w:rPr>
        <w:t xml:space="preserve"> </w:t>
      </w:r>
      <w:r w:rsidR="003340D7">
        <w:rPr>
          <w:rFonts w:ascii="Times New Roman" w:hAnsi="Times New Roman"/>
        </w:rPr>
        <w:t>(</w:t>
      </w:r>
      <w:r w:rsidR="009C3431">
        <w:rPr>
          <w:rFonts w:ascii="Times New Roman" w:hAnsi="Times New Roman"/>
        </w:rPr>
        <w:t>Thermometers = number of the employees/100 x no</w:t>
      </w:r>
      <w:r w:rsidR="003340D7">
        <w:rPr>
          <w:rFonts w:ascii="Times New Roman" w:hAnsi="Times New Roman"/>
        </w:rPr>
        <w:t>n-compliance</w:t>
      </w:r>
      <w:r w:rsidR="00154DE9">
        <w:rPr>
          <w:rFonts w:ascii="Times New Roman" w:hAnsi="Times New Roman"/>
        </w:rPr>
        <w:t xml:space="preserve"> rate</w:t>
      </w:r>
      <w:r w:rsidR="003340D7">
        <w:rPr>
          <w:rFonts w:ascii="Times New Roman" w:hAnsi="Times New Roman"/>
        </w:rPr>
        <w:t>)</w:t>
      </w:r>
    </w:p>
    <w:p w:rsidR="006A73AC" w:rsidP="00CF3FB0" w:rsidRDefault="006A73AC" w14:paraId="27B94025" w14:textId="77777777">
      <w:pPr>
        <w:pStyle w:val="BodyText"/>
        <w:rPr>
          <w:rFonts w:ascii="Times New Roman" w:hAnsi="Times New Roman"/>
        </w:rPr>
      </w:pPr>
    </w:p>
    <w:p w:rsidR="00CF3FB0" w:rsidP="00BC30F0" w:rsidRDefault="004C40F3" w14:paraId="75BC0056" w14:textId="4AE922C9">
      <w:pPr>
        <w:pStyle w:val="BodyText"/>
        <w:ind w:left="1080"/>
        <w:rPr>
          <w:rFonts w:asciiTheme="minorHAnsi" w:hAnsiTheme="minorHAnsi" w:cstheme="minorHAnsi"/>
          <w:b/>
        </w:rPr>
      </w:pPr>
      <w:r w:rsidRPr="00BC30F0">
        <w:rPr>
          <w:rFonts w:asciiTheme="minorHAnsi" w:hAnsiTheme="minorHAnsi" w:cstheme="minorHAnsi"/>
          <w:b/>
        </w:rPr>
        <w:t xml:space="preserve">Table </w:t>
      </w:r>
      <w:r w:rsidR="00412927">
        <w:rPr>
          <w:rFonts w:asciiTheme="minorHAnsi" w:hAnsiTheme="minorHAnsi" w:cstheme="minorHAnsi"/>
          <w:b/>
        </w:rPr>
        <w:t>C</w:t>
      </w:r>
      <w:r w:rsidRPr="00BC30F0">
        <w:rPr>
          <w:rFonts w:asciiTheme="minorHAnsi" w:hAnsiTheme="minorHAnsi" w:cstheme="minorHAnsi"/>
          <w:b/>
        </w:rPr>
        <w:t xml:space="preserve"> – Unit Cost for No-touch Thermometers</w:t>
      </w:r>
    </w:p>
    <w:tbl>
      <w:tblPr>
        <w:tblW w:w="10173" w:type="dxa"/>
        <w:tblLook w:val="04A0" w:firstRow="1" w:lastRow="0" w:firstColumn="1" w:lastColumn="0" w:noHBand="0" w:noVBand="1"/>
      </w:tblPr>
      <w:tblGrid>
        <w:gridCol w:w="1580"/>
        <w:gridCol w:w="1820"/>
        <w:gridCol w:w="960"/>
        <w:gridCol w:w="1261"/>
        <w:gridCol w:w="1540"/>
        <w:gridCol w:w="1452"/>
        <w:gridCol w:w="1560"/>
      </w:tblGrid>
      <w:tr w:rsidRPr="003340D7" w:rsidR="003340D7" w:rsidTr="00313268" w14:paraId="4D4EE167" w14:textId="77777777">
        <w:trPr>
          <w:trHeight w:val="870"/>
          <w:tblHeader/>
        </w:trPr>
        <w:tc>
          <w:tcPr>
            <w:tcW w:w="1580" w:type="dxa"/>
            <w:tcBorders>
              <w:top w:val="single" w:color="auto" w:sz="4" w:space="0"/>
              <w:left w:val="single" w:color="auto" w:sz="4" w:space="0"/>
              <w:bottom w:val="single" w:color="auto" w:sz="4" w:space="0"/>
              <w:right w:val="single" w:color="auto" w:sz="4" w:space="0"/>
            </w:tcBorders>
            <w:shd w:val="thinHorzStripe" w:color="000000" w:fill="C6E0B4"/>
            <w:noWrap/>
            <w:vAlign w:val="bottom"/>
            <w:hideMark/>
          </w:tcPr>
          <w:p w:rsidRPr="003340D7" w:rsidR="003340D7" w:rsidP="003340D7" w:rsidRDefault="003340D7" w14:paraId="607792C6" w14:textId="26F7FA5D">
            <w:pPr>
              <w:autoSpaceDE/>
              <w:autoSpaceDN/>
              <w:rPr>
                <w:rFonts w:ascii="Calibri" w:hAnsi="Calibri" w:eastAsia="Times New Roman" w:cs="Calibri"/>
                <w:color w:val="000000"/>
                <w:sz w:val="22"/>
                <w:szCs w:val="22"/>
                <w:lang w:eastAsia="en-US"/>
              </w:rPr>
            </w:pPr>
            <w:r w:rsidRPr="003340D7">
              <w:rPr>
                <w:rFonts w:ascii="Calibri" w:hAnsi="Calibri" w:eastAsia="Times New Roman" w:cs="Calibri"/>
                <w:color w:val="000000"/>
                <w:sz w:val="22"/>
                <w:szCs w:val="22"/>
                <w:lang w:eastAsia="en-US"/>
              </w:rPr>
              <w:t> </w:t>
            </w:r>
          </w:p>
        </w:tc>
        <w:tc>
          <w:tcPr>
            <w:tcW w:w="1820" w:type="dxa"/>
            <w:tcBorders>
              <w:top w:val="single" w:color="auto" w:sz="4" w:space="0"/>
              <w:left w:val="nil"/>
              <w:bottom w:val="single" w:color="auto" w:sz="4" w:space="0"/>
              <w:right w:val="single" w:color="auto" w:sz="4" w:space="0"/>
            </w:tcBorders>
            <w:shd w:val="clear" w:color="000000" w:fill="C6E0B4"/>
            <w:vAlign w:val="center"/>
            <w:hideMark/>
          </w:tcPr>
          <w:p w:rsidRPr="003340D7" w:rsidR="003340D7" w:rsidP="003340D7" w:rsidRDefault="003340D7" w14:paraId="66468F3E" w14:textId="77777777">
            <w:pPr>
              <w:autoSpaceDE/>
              <w:autoSpaceDN/>
              <w:rPr>
                <w:rFonts w:ascii="Calibri" w:hAnsi="Calibri" w:eastAsia="Times New Roman" w:cs="Calibri"/>
                <w:b/>
                <w:bCs/>
                <w:color w:val="000000"/>
                <w:sz w:val="22"/>
                <w:szCs w:val="22"/>
                <w:lang w:eastAsia="en-US"/>
              </w:rPr>
            </w:pPr>
            <w:r w:rsidRPr="003340D7">
              <w:rPr>
                <w:rFonts w:ascii="Calibri" w:hAnsi="Calibri" w:eastAsia="Times New Roman" w:cs="Calibri"/>
                <w:b/>
                <w:bCs/>
                <w:color w:val="000000"/>
                <w:sz w:val="22"/>
                <w:szCs w:val="22"/>
                <w:lang w:eastAsia="en-US"/>
              </w:rPr>
              <w:t xml:space="preserve">Employees </w:t>
            </w:r>
          </w:p>
        </w:tc>
        <w:tc>
          <w:tcPr>
            <w:tcW w:w="960" w:type="dxa"/>
            <w:tcBorders>
              <w:top w:val="single" w:color="auto" w:sz="4" w:space="0"/>
              <w:left w:val="nil"/>
              <w:bottom w:val="single" w:color="auto" w:sz="4" w:space="0"/>
              <w:right w:val="single" w:color="auto" w:sz="4" w:space="0"/>
            </w:tcBorders>
            <w:shd w:val="clear" w:color="000000" w:fill="C6E0B4"/>
            <w:vAlign w:val="center"/>
            <w:hideMark/>
          </w:tcPr>
          <w:p w:rsidRPr="003340D7" w:rsidR="003340D7" w:rsidP="003340D7" w:rsidRDefault="003340D7" w14:paraId="3BF22B25" w14:textId="77777777">
            <w:pPr>
              <w:autoSpaceDE/>
              <w:autoSpaceDN/>
              <w:rPr>
                <w:rFonts w:ascii="Calibri" w:hAnsi="Calibri" w:eastAsia="Times New Roman" w:cs="Calibri"/>
                <w:b/>
                <w:bCs/>
                <w:color w:val="000000"/>
                <w:sz w:val="22"/>
                <w:szCs w:val="22"/>
                <w:lang w:eastAsia="en-US"/>
              </w:rPr>
            </w:pPr>
            <w:r w:rsidRPr="003340D7">
              <w:rPr>
                <w:rFonts w:ascii="Calibri" w:hAnsi="Calibri" w:eastAsia="Times New Roman" w:cs="Calibri"/>
                <w:b/>
                <w:bCs/>
                <w:color w:val="000000"/>
                <w:sz w:val="22"/>
                <w:szCs w:val="22"/>
                <w:lang w:eastAsia="en-US"/>
              </w:rPr>
              <w:t>/100</w:t>
            </w:r>
          </w:p>
        </w:tc>
        <w:tc>
          <w:tcPr>
            <w:tcW w:w="1261" w:type="dxa"/>
            <w:tcBorders>
              <w:top w:val="single" w:color="auto" w:sz="4" w:space="0"/>
              <w:left w:val="nil"/>
              <w:bottom w:val="single" w:color="auto" w:sz="4" w:space="0"/>
              <w:right w:val="single" w:color="auto" w:sz="4" w:space="0"/>
            </w:tcBorders>
            <w:shd w:val="clear" w:color="000000" w:fill="C6E0B4"/>
            <w:vAlign w:val="center"/>
            <w:hideMark/>
          </w:tcPr>
          <w:p w:rsidRPr="003340D7" w:rsidR="003340D7" w:rsidP="003340D7" w:rsidRDefault="003340D7" w14:paraId="546DFA50" w14:textId="77777777">
            <w:pPr>
              <w:autoSpaceDE/>
              <w:autoSpaceDN/>
              <w:rPr>
                <w:rFonts w:ascii="Calibri" w:hAnsi="Calibri" w:eastAsia="Times New Roman" w:cs="Calibri"/>
                <w:b/>
                <w:bCs/>
                <w:color w:val="000000"/>
                <w:sz w:val="22"/>
                <w:szCs w:val="22"/>
                <w:lang w:eastAsia="en-US"/>
              </w:rPr>
            </w:pPr>
            <w:r w:rsidRPr="003340D7">
              <w:rPr>
                <w:rFonts w:ascii="Calibri" w:hAnsi="Calibri" w:eastAsia="Times New Roman" w:cs="Calibri"/>
                <w:b/>
                <w:bCs/>
                <w:color w:val="000000"/>
                <w:sz w:val="22"/>
                <w:szCs w:val="22"/>
                <w:lang w:eastAsia="en-US"/>
              </w:rPr>
              <w:t>Non-compliance rate</w:t>
            </w:r>
          </w:p>
        </w:tc>
        <w:tc>
          <w:tcPr>
            <w:tcW w:w="1540" w:type="dxa"/>
            <w:tcBorders>
              <w:top w:val="single" w:color="auto" w:sz="4" w:space="0"/>
              <w:left w:val="nil"/>
              <w:bottom w:val="single" w:color="auto" w:sz="4" w:space="0"/>
              <w:right w:val="single" w:color="auto" w:sz="4" w:space="0"/>
            </w:tcBorders>
            <w:shd w:val="clear" w:color="000000" w:fill="C6E0B4"/>
            <w:vAlign w:val="center"/>
            <w:hideMark/>
          </w:tcPr>
          <w:p w:rsidRPr="003340D7" w:rsidR="003340D7" w:rsidP="003340D7" w:rsidRDefault="003340D7" w14:paraId="1A28C108" w14:textId="77777777">
            <w:pPr>
              <w:autoSpaceDE/>
              <w:autoSpaceDN/>
              <w:rPr>
                <w:rFonts w:ascii="Calibri" w:hAnsi="Calibri" w:eastAsia="Times New Roman" w:cs="Calibri"/>
                <w:b/>
                <w:bCs/>
                <w:color w:val="000000"/>
                <w:sz w:val="22"/>
                <w:szCs w:val="22"/>
                <w:lang w:eastAsia="en-US"/>
              </w:rPr>
            </w:pPr>
            <w:r w:rsidRPr="003340D7">
              <w:rPr>
                <w:rFonts w:ascii="Calibri" w:hAnsi="Calibri" w:eastAsia="Times New Roman" w:cs="Calibri"/>
                <w:b/>
                <w:bCs/>
                <w:color w:val="000000"/>
                <w:sz w:val="22"/>
                <w:szCs w:val="22"/>
                <w:lang w:eastAsia="en-US"/>
              </w:rPr>
              <w:t>Number of thermometers</w:t>
            </w:r>
          </w:p>
        </w:tc>
        <w:tc>
          <w:tcPr>
            <w:tcW w:w="1452" w:type="dxa"/>
            <w:tcBorders>
              <w:top w:val="single" w:color="auto" w:sz="4" w:space="0"/>
              <w:left w:val="nil"/>
              <w:bottom w:val="single" w:color="auto" w:sz="4" w:space="0"/>
              <w:right w:val="single" w:color="auto" w:sz="4" w:space="0"/>
            </w:tcBorders>
            <w:shd w:val="clear" w:color="000000" w:fill="C6E0B4"/>
            <w:vAlign w:val="center"/>
            <w:hideMark/>
          </w:tcPr>
          <w:p w:rsidRPr="003340D7" w:rsidR="003340D7" w:rsidP="003340D7" w:rsidRDefault="003340D7" w14:paraId="28820DF3" w14:textId="77777777">
            <w:pPr>
              <w:autoSpaceDE/>
              <w:autoSpaceDN/>
              <w:rPr>
                <w:rFonts w:ascii="Calibri" w:hAnsi="Calibri" w:eastAsia="Times New Roman" w:cs="Calibri"/>
                <w:b/>
                <w:bCs/>
                <w:color w:val="000000"/>
                <w:sz w:val="22"/>
                <w:szCs w:val="22"/>
                <w:lang w:eastAsia="en-US"/>
              </w:rPr>
            </w:pPr>
            <w:r w:rsidRPr="003340D7">
              <w:rPr>
                <w:rFonts w:ascii="Calibri" w:hAnsi="Calibri" w:eastAsia="Times New Roman" w:cs="Calibri"/>
                <w:b/>
                <w:bCs/>
                <w:color w:val="000000"/>
                <w:sz w:val="22"/>
                <w:szCs w:val="22"/>
                <w:lang w:eastAsia="en-US"/>
              </w:rPr>
              <w:t>Cost per thermometer</w:t>
            </w:r>
          </w:p>
        </w:tc>
        <w:tc>
          <w:tcPr>
            <w:tcW w:w="1560" w:type="dxa"/>
            <w:tcBorders>
              <w:top w:val="single" w:color="auto" w:sz="4" w:space="0"/>
              <w:left w:val="nil"/>
              <w:bottom w:val="single" w:color="auto" w:sz="4" w:space="0"/>
              <w:right w:val="single" w:color="auto" w:sz="4" w:space="0"/>
            </w:tcBorders>
            <w:shd w:val="clear" w:color="000000" w:fill="C6E0B4"/>
            <w:vAlign w:val="center"/>
            <w:hideMark/>
          </w:tcPr>
          <w:p w:rsidRPr="003340D7" w:rsidR="003340D7" w:rsidP="003340D7" w:rsidRDefault="003340D7" w14:paraId="205DE60A" w14:textId="77777777">
            <w:pPr>
              <w:autoSpaceDE/>
              <w:autoSpaceDN/>
              <w:rPr>
                <w:rFonts w:ascii="Calibri" w:hAnsi="Calibri" w:eastAsia="Times New Roman" w:cs="Calibri"/>
                <w:b/>
                <w:bCs/>
                <w:color w:val="000000"/>
                <w:sz w:val="22"/>
                <w:szCs w:val="22"/>
                <w:lang w:eastAsia="en-US"/>
              </w:rPr>
            </w:pPr>
            <w:r w:rsidRPr="003340D7">
              <w:rPr>
                <w:rFonts w:ascii="Calibri" w:hAnsi="Calibri" w:eastAsia="Times New Roman" w:cs="Calibri"/>
                <w:b/>
                <w:bCs/>
                <w:color w:val="000000"/>
                <w:sz w:val="22"/>
                <w:szCs w:val="22"/>
                <w:lang w:eastAsia="en-US"/>
              </w:rPr>
              <w:t>Unit Cost</w:t>
            </w:r>
          </w:p>
        </w:tc>
      </w:tr>
      <w:tr w:rsidRPr="003340D7" w:rsidR="003340D7" w:rsidTr="00313268" w14:paraId="466D922B" w14:textId="77777777">
        <w:trPr>
          <w:trHeight w:val="290"/>
        </w:trPr>
        <w:tc>
          <w:tcPr>
            <w:tcW w:w="1580" w:type="dxa"/>
            <w:tcBorders>
              <w:top w:val="nil"/>
              <w:left w:val="single" w:color="auto" w:sz="4" w:space="0"/>
              <w:bottom w:val="single" w:color="auto" w:sz="4" w:space="0"/>
              <w:right w:val="single" w:color="auto" w:sz="4" w:space="0"/>
            </w:tcBorders>
            <w:shd w:val="clear" w:color="000000" w:fill="C6E0B4"/>
            <w:noWrap/>
            <w:vAlign w:val="bottom"/>
            <w:hideMark/>
          </w:tcPr>
          <w:p w:rsidRPr="003340D7" w:rsidR="003340D7" w:rsidP="003340D7" w:rsidRDefault="003340D7" w14:paraId="19A5C197" w14:textId="345D36C5">
            <w:pPr>
              <w:autoSpaceDE/>
              <w:autoSpaceDN/>
              <w:rPr>
                <w:rFonts w:ascii="Calibri" w:hAnsi="Calibri" w:eastAsia="Times New Roman" w:cs="Calibri"/>
                <w:b/>
                <w:bCs/>
                <w:color w:val="000000"/>
                <w:sz w:val="22"/>
                <w:szCs w:val="22"/>
                <w:lang w:eastAsia="en-US"/>
              </w:rPr>
            </w:pPr>
            <w:r w:rsidRPr="003340D7">
              <w:rPr>
                <w:rFonts w:ascii="Calibri" w:hAnsi="Calibri" w:eastAsia="Times New Roman" w:cs="Calibri"/>
                <w:b/>
                <w:bCs/>
                <w:color w:val="000000"/>
                <w:sz w:val="22"/>
                <w:szCs w:val="22"/>
                <w:lang w:eastAsia="en-US"/>
              </w:rPr>
              <w:t>I. Healthcare</w:t>
            </w:r>
          </w:p>
        </w:tc>
        <w:tc>
          <w:tcPr>
            <w:tcW w:w="1820" w:type="dxa"/>
            <w:tcBorders>
              <w:top w:val="nil"/>
              <w:left w:val="nil"/>
              <w:bottom w:val="single" w:color="auto" w:sz="4" w:space="0"/>
              <w:right w:val="single" w:color="auto" w:sz="4" w:space="0"/>
            </w:tcBorders>
            <w:shd w:val="clear" w:color="000000" w:fill="E2EFDA"/>
            <w:noWrap/>
            <w:vAlign w:val="bottom"/>
            <w:hideMark/>
          </w:tcPr>
          <w:p w:rsidRPr="003340D7" w:rsidR="003340D7" w:rsidP="003340D7" w:rsidRDefault="003340D7" w14:paraId="0700850B" w14:textId="77777777">
            <w:pPr>
              <w:autoSpaceDE/>
              <w:autoSpaceDN/>
              <w:rPr>
                <w:rFonts w:ascii="Calibri" w:hAnsi="Calibri" w:eastAsia="Times New Roman" w:cs="Calibri"/>
                <w:color w:val="000000"/>
                <w:sz w:val="22"/>
                <w:szCs w:val="22"/>
                <w:lang w:eastAsia="en-US"/>
              </w:rPr>
            </w:pPr>
            <w:r w:rsidRPr="003340D7">
              <w:rPr>
                <w:rFonts w:ascii="Calibri" w:hAnsi="Calibri" w:eastAsia="Times New Roman" w:cs="Calibri"/>
                <w:color w:val="000000"/>
                <w:sz w:val="22"/>
                <w:szCs w:val="22"/>
                <w:lang w:eastAsia="en-US"/>
              </w:rPr>
              <w:t> </w:t>
            </w:r>
          </w:p>
        </w:tc>
        <w:tc>
          <w:tcPr>
            <w:tcW w:w="960" w:type="dxa"/>
            <w:tcBorders>
              <w:top w:val="nil"/>
              <w:left w:val="nil"/>
              <w:bottom w:val="single" w:color="auto" w:sz="4" w:space="0"/>
              <w:right w:val="single" w:color="auto" w:sz="4" w:space="0"/>
            </w:tcBorders>
            <w:shd w:val="clear" w:color="000000" w:fill="E2EFDA"/>
            <w:noWrap/>
            <w:vAlign w:val="bottom"/>
            <w:hideMark/>
          </w:tcPr>
          <w:p w:rsidRPr="003340D7" w:rsidR="003340D7" w:rsidP="003340D7" w:rsidRDefault="003340D7" w14:paraId="39FC998A" w14:textId="77777777">
            <w:pPr>
              <w:autoSpaceDE/>
              <w:autoSpaceDN/>
              <w:rPr>
                <w:rFonts w:ascii="Calibri" w:hAnsi="Calibri" w:eastAsia="Times New Roman" w:cs="Calibri"/>
                <w:color w:val="000000"/>
                <w:sz w:val="22"/>
                <w:szCs w:val="22"/>
                <w:lang w:eastAsia="en-US"/>
              </w:rPr>
            </w:pPr>
            <w:r w:rsidRPr="003340D7">
              <w:rPr>
                <w:rFonts w:ascii="Calibri" w:hAnsi="Calibri" w:eastAsia="Times New Roman" w:cs="Calibri"/>
                <w:color w:val="000000"/>
                <w:sz w:val="22"/>
                <w:szCs w:val="22"/>
                <w:lang w:eastAsia="en-US"/>
              </w:rPr>
              <w:t> </w:t>
            </w:r>
          </w:p>
        </w:tc>
        <w:tc>
          <w:tcPr>
            <w:tcW w:w="1261" w:type="dxa"/>
            <w:tcBorders>
              <w:top w:val="nil"/>
              <w:left w:val="nil"/>
              <w:bottom w:val="single" w:color="auto" w:sz="4" w:space="0"/>
              <w:right w:val="single" w:color="auto" w:sz="4" w:space="0"/>
            </w:tcBorders>
            <w:shd w:val="clear" w:color="000000" w:fill="E2EFDA"/>
            <w:noWrap/>
            <w:vAlign w:val="bottom"/>
            <w:hideMark/>
          </w:tcPr>
          <w:p w:rsidRPr="003340D7" w:rsidR="003340D7" w:rsidP="003340D7" w:rsidRDefault="003340D7" w14:paraId="2A9B12DC" w14:textId="77777777">
            <w:pPr>
              <w:autoSpaceDE/>
              <w:autoSpaceDN/>
              <w:rPr>
                <w:rFonts w:ascii="Calibri" w:hAnsi="Calibri" w:eastAsia="Times New Roman" w:cs="Calibri"/>
                <w:color w:val="000000"/>
                <w:sz w:val="22"/>
                <w:szCs w:val="22"/>
                <w:lang w:eastAsia="en-US"/>
              </w:rPr>
            </w:pPr>
            <w:r w:rsidRPr="003340D7">
              <w:rPr>
                <w:rFonts w:ascii="Calibri" w:hAnsi="Calibri" w:eastAsia="Times New Roman" w:cs="Calibri"/>
                <w:color w:val="000000"/>
                <w:sz w:val="22"/>
                <w:szCs w:val="22"/>
                <w:lang w:eastAsia="en-US"/>
              </w:rPr>
              <w:t> </w:t>
            </w:r>
          </w:p>
        </w:tc>
        <w:tc>
          <w:tcPr>
            <w:tcW w:w="1540" w:type="dxa"/>
            <w:tcBorders>
              <w:top w:val="nil"/>
              <w:left w:val="nil"/>
              <w:bottom w:val="single" w:color="auto" w:sz="4" w:space="0"/>
              <w:right w:val="single" w:color="auto" w:sz="4" w:space="0"/>
            </w:tcBorders>
            <w:shd w:val="clear" w:color="000000" w:fill="E2EFDA"/>
            <w:noWrap/>
            <w:vAlign w:val="bottom"/>
            <w:hideMark/>
          </w:tcPr>
          <w:p w:rsidRPr="003340D7" w:rsidR="003340D7" w:rsidP="003340D7" w:rsidRDefault="003340D7" w14:paraId="1A2F3F97" w14:textId="77777777">
            <w:pPr>
              <w:autoSpaceDE/>
              <w:autoSpaceDN/>
              <w:rPr>
                <w:rFonts w:ascii="Calibri" w:hAnsi="Calibri" w:eastAsia="Times New Roman" w:cs="Calibri"/>
                <w:color w:val="000000"/>
                <w:sz w:val="22"/>
                <w:szCs w:val="22"/>
                <w:lang w:eastAsia="en-US"/>
              </w:rPr>
            </w:pPr>
            <w:r w:rsidRPr="003340D7">
              <w:rPr>
                <w:rFonts w:ascii="Calibri" w:hAnsi="Calibri" w:eastAsia="Times New Roman" w:cs="Calibri"/>
                <w:color w:val="000000"/>
                <w:sz w:val="22"/>
                <w:szCs w:val="22"/>
                <w:lang w:eastAsia="en-US"/>
              </w:rPr>
              <w:t> </w:t>
            </w:r>
          </w:p>
        </w:tc>
        <w:tc>
          <w:tcPr>
            <w:tcW w:w="1452" w:type="dxa"/>
            <w:tcBorders>
              <w:top w:val="nil"/>
              <w:left w:val="nil"/>
              <w:bottom w:val="single" w:color="auto" w:sz="4" w:space="0"/>
              <w:right w:val="single" w:color="auto" w:sz="4" w:space="0"/>
            </w:tcBorders>
            <w:shd w:val="clear" w:color="000000" w:fill="E2EFDA"/>
            <w:noWrap/>
            <w:vAlign w:val="bottom"/>
            <w:hideMark/>
          </w:tcPr>
          <w:p w:rsidRPr="003340D7" w:rsidR="003340D7" w:rsidP="003340D7" w:rsidRDefault="003340D7" w14:paraId="21A74A24" w14:textId="77777777">
            <w:pPr>
              <w:autoSpaceDE/>
              <w:autoSpaceDN/>
              <w:rPr>
                <w:rFonts w:ascii="Calibri" w:hAnsi="Calibri" w:eastAsia="Times New Roman" w:cs="Calibri"/>
                <w:color w:val="000000"/>
                <w:sz w:val="22"/>
                <w:szCs w:val="22"/>
                <w:lang w:eastAsia="en-US"/>
              </w:rPr>
            </w:pPr>
            <w:r w:rsidRPr="003340D7">
              <w:rPr>
                <w:rFonts w:ascii="Calibri" w:hAnsi="Calibri" w:eastAsia="Times New Roman" w:cs="Calibri"/>
                <w:color w:val="000000"/>
                <w:sz w:val="22"/>
                <w:szCs w:val="22"/>
                <w:lang w:eastAsia="en-US"/>
              </w:rPr>
              <w:t> </w:t>
            </w:r>
          </w:p>
        </w:tc>
        <w:tc>
          <w:tcPr>
            <w:tcW w:w="1560" w:type="dxa"/>
            <w:tcBorders>
              <w:top w:val="nil"/>
              <w:left w:val="nil"/>
              <w:bottom w:val="single" w:color="auto" w:sz="4" w:space="0"/>
              <w:right w:val="single" w:color="auto" w:sz="4" w:space="0"/>
            </w:tcBorders>
            <w:shd w:val="clear" w:color="000000" w:fill="E2EFDA"/>
            <w:noWrap/>
            <w:vAlign w:val="bottom"/>
            <w:hideMark/>
          </w:tcPr>
          <w:p w:rsidRPr="003340D7" w:rsidR="003340D7" w:rsidP="003340D7" w:rsidRDefault="003340D7" w14:paraId="29D40917" w14:textId="77777777">
            <w:pPr>
              <w:autoSpaceDE/>
              <w:autoSpaceDN/>
              <w:rPr>
                <w:rFonts w:ascii="Calibri" w:hAnsi="Calibri" w:eastAsia="Times New Roman" w:cs="Calibri"/>
                <w:color w:val="000000"/>
                <w:sz w:val="22"/>
                <w:szCs w:val="22"/>
                <w:lang w:eastAsia="en-US"/>
              </w:rPr>
            </w:pPr>
            <w:r w:rsidRPr="003340D7">
              <w:rPr>
                <w:rFonts w:ascii="Calibri" w:hAnsi="Calibri" w:eastAsia="Times New Roman" w:cs="Calibri"/>
                <w:color w:val="000000"/>
                <w:sz w:val="22"/>
                <w:szCs w:val="22"/>
                <w:lang w:eastAsia="en-US"/>
              </w:rPr>
              <w:t> </w:t>
            </w:r>
          </w:p>
        </w:tc>
      </w:tr>
      <w:tr w:rsidRPr="003340D7" w:rsidR="003340D7" w:rsidTr="00313268" w14:paraId="7991E762" w14:textId="77777777">
        <w:trPr>
          <w:trHeight w:val="290"/>
        </w:trPr>
        <w:tc>
          <w:tcPr>
            <w:tcW w:w="1580" w:type="dxa"/>
            <w:tcBorders>
              <w:top w:val="nil"/>
              <w:left w:val="single" w:color="auto" w:sz="4" w:space="0"/>
              <w:bottom w:val="single" w:color="auto" w:sz="4" w:space="0"/>
              <w:right w:val="single" w:color="auto" w:sz="4" w:space="0"/>
            </w:tcBorders>
            <w:shd w:val="clear" w:color="auto" w:fill="auto"/>
            <w:noWrap/>
            <w:vAlign w:val="bottom"/>
            <w:hideMark/>
          </w:tcPr>
          <w:p w:rsidRPr="003340D7" w:rsidR="003340D7" w:rsidP="003340D7" w:rsidRDefault="003340D7" w14:paraId="748D5B27" w14:textId="77777777">
            <w:pPr>
              <w:autoSpaceDE/>
              <w:autoSpaceDN/>
              <w:rPr>
                <w:rFonts w:ascii="Calibri" w:hAnsi="Calibri" w:eastAsia="Times New Roman" w:cs="Calibri"/>
                <w:color w:val="000000"/>
                <w:sz w:val="22"/>
                <w:szCs w:val="22"/>
                <w:lang w:eastAsia="en-US"/>
              </w:rPr>
            </w:pPr>
            <w:r w:rsidRPr="003340D7">
              <w:rPr>
                <w:rFonts w:ascii="Calibri" w:hAnsi="Calibri" w:eastAsia="Times New Roman" w:cs="Calibri"/>
                <w:color w:val="000000"/>
                <w:sz w:val="22"/>
                <w:szCs w:val="22"/>
                <w:lang w:eastAsia="en-US"/>
              </w:rPr>
              <w:t>Large</w:t>
            </w:r>
          </w:p>
        </w:tc>
        <w:tc>
          <w:tcPr>
            <w:tcW w:w="1820" w:type="dxa"/>
            <w:tcBorders>
              <w:top w:val="nil"/>
              <w:left w:val="nil"/>
              <w:bottom w:val="single" w:color="auto" w:sz="4" w:space="0"/>
              <w:right w:val="single" w:color="auto" w:sz="4" w:space="0"/>
            </w:tcBorders>
            <w:shd w:val="clear" w:color="auto" w:fill="auto"/>
            <w:noWrap/>
            <w:vAlign w:val="bottom"/>
            <w:hideMark/>
          </w:tcPr>
          <w:p w:rsidRPr="003340D7" w:rsidR="003340D7" w:rsidP="003340D7" w:rsidRDefault="00080D85" w14:paraId="6DEED7B5" w14:textId="540D953D">
            <w:pPr>
              <w:autoSpaceDE/>
              <w:autoSpaceDN/>
              <w:jc w:val="right"/>
              <w:rPr>
                <w:rFonts w:ascii="Calibri" w:hAnsi="Calibri" w:eastAsia="Times New Roman" w:cs="Calibri"/>
                <w:color w:val="000000"/>
                <w:sz w:val="22"/>
                <w:szCs w:val="22"/>
                <w:lang w:eastAsia="en-US"/>
              </w:rPr>
            </w:pPr>
            <w:r>
              <w:rPr>
                <w:rFonts w:ascii="Calibri" w:hAnsi="Calibri" w:eastAsia="Times New Roman" w:cs="Calibri"/>
                <w:color w:val="000000"/>
                <w:sz w:val="22"/>
                <w:szCs w:val="22"/>
                <w:lang w:eastAsia="en-US"/>
              </w:rPr>
              <w:t>3,300,919</w:t>
            </w:r>
            <w:r w:rsidRPr="003340D7" w:rsidR="003340D7">
              <w:rPr>
                <w:rFonts w:ascii="Calibri" w:hAnsi="Calibri" w:eastAsia="Times New Roman" w:cs="Calibri"/>
                <w:color w:val="000000"/>
                <w:sz w:val="22"/>
                <w:szCs w:val="22"/>
                <w:lang w:eastAsia="en-US"/>
              </w:rPr>
              <w:t>.00</w:t>
            </w:r>
          </w:p>
        </w:tc>
        <w:tc>
          <w:tcPr>
            <w:tcW w:w="960" w:type="dxa"/>
            <w:tcBorders>
              <w:top w:val="nil"/>
              <w:left w:val="nil"/>
              <w:bottom w:val="single" w:color="auto" w:sz="4" w:space="0"/>
              <w:right w:val="single" w:color="auto" w:sz="4" w:space="0"/>
            </w:tcBorders>
            <w:shd w:val="clear" w:color="auto" w:fill="auto"/>
            <w:noWrap/>
            <w:vAlign w:val="bottom"/>
            <w:hideMark/>
          </w:tcPr>
          <w:p w:rsidRPr="003340D7" w:rsidR="003340D7" w:rsidP="003340D7" w:rsidRDefault="003340D7" w14:paraId="7ED6345C" w14:textId="77777777">
            <w:pPr>
              <w:autoSpaceDE/>
              <w:autoSpaceDN/>
              <w:rPr>
                <w:rFonts w:ascii="Calibri" w:hAnsi="Calibri" w:eastAsia="Times New Roman" w:cs="Calibri"/>
                <w:color w:val="000000"/>
                <w:sz w:val="22"/>
                <w:szCs w:val="22"/>
                <w:lang w:eastAsia="en-US"/>
              </w:rPr>
            </w:pPr>
            <w:r w:rsidRPr="003340D7">
              <w:rPr>
                <w:rFonts w:ascii="Calibri" w:hAnsi="Calibri" w:eastAsia="Times New Roman" w:cs="Calibri"/>
                <w:color w:val="000000"/>
                <w:sz w:val="22"/>
                <w:szCs w:val="22"/>
                <w:lang w:eastAsia="en-US"/>
              </w:rPr>
              <w:t>/100</w:t>
            </w:r>
          </w:p>
        </w:tc>
        <w:tc>
          <w:tcPr>
            <w:tcW w:w="1261" w:type="dxa"/>
            <w:tcBorders>
              <w:top w:val="nil"/>
              <w:left w:val="nil"/>
              <w:bottom w:val="single" w:color="auto" w:sz="4" w:space="0"/>
              <w:right w:val="single" w:color="auto" w:sz="4" w:space="0"/>
            </w:tcBorders>
            <w:shd w:val="clear" w:color="auto" w:fill="auto"/>
            <w:noWrap/>
            <w:vAlign w:val="bottom"/>
            <w:hideMark/>
          </w:tcPr>
          <w:p w:rsidRPr="003340D7" w:rsidR="003340D7" w:rsidP="003340D7" w:rsidRDefault="003340D7" w14:paraId="7AA3A621" w14:textId="77777777">
            <w:pPr>
              <w:autoSpaceDE/>
              <w:autoSpaceDN/>
              <w:jc w:val="right"/>
              <w:rPr>
                <w:rFonts w:ascii="Calibri" w:hAnsi="Calibri" w:eastAsia="Times New Roman" w:cs="Calibri"/>
                <w:color w:val="000000"/>
                <w:sz w:val="22"/>
                <w:szCs w:val="22"/>
                <w:lang w:eastAsia="en-US"/>
              </w:rPr>
            </w:pPr>
            <w:r w:rsidRPr="003340D7">
              <w:rPr>
                <w:rFonts w:ascii="Calibri" w:hAnsi="Calibri" w:eastAsia="Times New Roman" w:cs="Calibri"/>
                <w:color w:val="000000"/>
                <w:sz w:val="22"/>
                <w:szCs w:val="22"/>
                <w:lang w:eastAsia="en-US"/>
              </w:rPr>
              <w:t>0.25</w:t>
            </w:r>
          </w:p>
        </w:tc>
        <w:tc>
          <w:tcPr>
            <w:tcW w:w="1540" w:type="dxa"/>
            <w:tcBorders>
              <w:top w:val="nil"/>
              <w:left w:val="nil"/>
              <w:bottom w:val="single" w:color="auto" w:sz="4" w:space="0"/>
              <w:right w:val="single" w:color="auto" w:sz="4" w:space="0"/>
            </w:tcBorders>
            <w:shd w:val="clear" w:color="auto" w:fill="auto"/>
            <w:noWrap/>
            <w:vAlign w:val="bottom"/>
            <w:hideMark/>
          </w:tcPr>
          <w:p w:rsidRPr="003340D7" w:rsidR="003340D7" w:rsidP="00986D86" w:rsidRDefault="00986D86" w14:paraId="732931CD" w14:textId="457720C3">
            <w:pPr>
              <w:autoSpaceDE/>
              <w:autoSpaceDN/>
              <w:jc w:val="right"/>
              <w:rPr>
                <w:rFonts w:ascii="Calibri" w:hAnsi="Calibri" w:eastAsia="Times New Roman" w:cs="Calibri"/>
                <w:color w:val="000000"/>
                <w:sz w:val="22"/>
                <w:szCs w:val="22"/>
                <w:lang w:eastAsia="en-US"/>
              </w:rPr>
            </w:pPr>
            <w:r>
              <w:rPr>
                <w:rFonts w:ascii="Calibri" w:hAnsi="Calibri" w:eastAsia="Times New Roman" w:cs="Calibri"/>
                <w:color w:val="000000"/>
                <w:sz w:val="22"/>
                <w:szCs w:val="22"/>
                <w:lang w:eastAsia="en-US"/>
              </w:rPr>
              <w:t>8,252.55</w:t>
            </w:r>
          </w:p>
        </w:tc>
        <w:tc>
          <w:tcPr>
            <w:tcW w:w="1452" w:type="dxa"/>
            <w:tcBorders>
              <w:top w:val="nil"/>
              <w:left w:val="nil"/>
              <w:bottom w:val="single" w:color="auto" w:sz="4" w:space="0"/>
              <w:right w:val="single" w:color="auto" w:sz="4" w:space="0"/>
            </w:tcBorders>
            <w:shd w:val="clear" w:color="auto" w:fill="auto"/>
            <w:noWrap/>
            <w:vAlign w:val="bottom"/>
            <w:hideMark/>
          </w:tcPr>
          <w:p w:rsidRPr="003340D7" w:rsidR="003340D7" w:rsidP="003340D7" w:rsidRDefault="003340D7" w14:paraId="0E688262" w14:textId="77777777">
            <w:pPr>
              <w:autoSpaceDE/>
              <w:autoSpaceDN/>
              <w:jc w:val="right"/>
              <w:rPr>
                <w:rFonts w:ascii="Calibri" w:hAnsi="Calibri" w:eastAsia="Times New Roman" w:cs="Calibri"/>
                <w:color w:val="000000"/>
                <w:sz w:val="22"/>
                <w:szCs w:val="22"/>
                <w:lang w:eastAsia="en-US"/>
              </w:rPr>
            </w:pPr>
            <w:r w:rsidRPr="003340D7">
              <w:rPr>
                <w:rFonts w:ascii="Calibri" w:hAnsi="Calibri" w:eastAsia="Times New Roman" w:cs="Calibri"/>
                <w:color w:val="000000"/>
                <w:sz w:val="22"/>
                <w:szCs w:val="22"/>
                <w:lang w:eastAsia="en-US"/>
              </w:rPr>
              <w:t>$29.50</w:t>
            </w:r>
          </w:p>
        </w:tc>
        <w:tc>
          <w:tcPr>
            <w:tcW w:w="1560" w:type="dxa"/>
            <w:tcBorders>
              <w:top w:val="nil"/>
              <w:left w:val="nil"/>
              <w:bottom w:val="single" w:color="auto" w:sz="4" w:space="0"/>
              <w:right w:val="single" w:color="auto" w:sz="4" w:space="0"/>
            </w:tcBorders>
            <w:shd w:val="clear" w:color="auto" w:fill="auto"/>
            <w:noWrap/>
            <w:vAlign w:val="bottom"/>
            <w:hideMark/>
          </w:tcPr>
          <w:p w:rsidRPr="003340D7" w:rsidR="003340D7" w:rsidP="00986D86" w:rsidRDefault="003340D7" w14:paraId="5A5E9549" w14:textId="485D6EA0">
            <w:pPr>
              <w:autoSpaceDE/>
              <w:autoSpaceDN/>
              <w:jc w:val="right"/>
              <w:rPr>
                <w:rFonts w:ascii="Calibri" w:hAnsi="Calibri" w:eastAsia="Times New Roman" w:cs="Calibri"/>
                <w:color w:val="000000"/>
                <w:sz w:val="22"/>
                <w:szCs w:val="22"/>
                <w:lang w:eastAsia="en-US"/>
              </w:rPr>
            </w:pPr>
            <w:r w:rsidRPr="003340D7">
              <w:rPr>
                <w:rFonts w:ascii="Calibri" w:hAnsi="Calibri" w:eastAsia="Times New Roman" w:cs="Calibri"/>
                <w:color w:val="000000"/>
                <w:sz w:val="22"/>
                <w:szCs w:val="22"/>
                <w:lang w:eastAsia="en-US"/>
              </w:rPr>
              <w:t>$</w:t>
            </w:r>
            <w:r w:rsidR="00986D86">
              <w:rPr>
                <w:rFonts w:ascii="Calibri" w:hAnsi="Calibri" w:eastAsia="Times New Roman" w:cs="Calibri"/>
                <w:color w:val="000000"/>
                <w:sz w:val="22"/>
                <w:szCs w:val="22"/>
                <w:lang w:eastAsia="en-US"/>
              </w:rPr>
              <w:t>243,450.08</w:t>
            </w:r>
          </w:p>
        </w:tc>
      </w:tr>
      <w:tr w:rsidRPr="003340D7" w:rsidR="003340D7" w:rsidTr="00313268" w14:paraId="30A0D910" w14:textId="77777777">
        <w:trPr>
          <w:trHeight w:val="290"/>
        </w:trPr>
        <w:tc>
          <w:tcPr>
            <w:tcW w:w="1580" w:type="dxa"/>
            <w:tcBorders>
              <w:top w:val="nil"/>
              <w:left w:val="single" w:color="auto" w:sz="4" w:space="0"/>
              <w:bottom w:val="single" w:color="auto" w:sz="4" w:space="0"/>
              <w:right w:val="single" w:color="auto" w:sz="4" w:space="0"/>
            </w:tcBorders>
            <w:shd w:val="clear" w:color="auto" w:fill="auto"/>
            <w:noWrap/>
            <w:vAlign w:val="bottom"/>
            <w:hideMark/>
          </w:tcPr>
          <w:p w:rsidRPr="003340D7" w:rsidR="003340D7" w:rsidP="003340D7" w:rsidRDefault="003340D7" w14:paraId="6D66A0F2" w14:textId="77777777">
            <w:pPr>
              <w:autoSpaceDE/>
              <w:autoSpaceDN/>
              <w:rPr>
                <w:rFonts w:ascii="Calibri" w:hAnsi="Calibri" w:eastAsia="Times New Roman" w:cs="Calibri"/>
                <w:color w:val="000000"/>
                <w:sz w:val="22"/>
                <w:szCs w:val="22"/>
                <w:lang w:eastAsia="en-US"/>
              </w:rPr>
            </w:pPr>
            <w:r w:rsidRPr="003340D7">
              <w:rPr>
                <w:rFonts w:ascii="Calibri" w:hAnsi="Calibri" w:eastAsia="Times New Roman" w:cs="Calibri"/>
                <w:color w:val="000000"/>
                <w:sz w:val="22"/>
                <w:szCs w:val="22"/>
                <w:lang w:eastAsia="en-US"/>
              </w:rPr>
              <w:t xml:space="preserve">SBA </w:t>
            </w:r>
          </w:p>
        </w:tc>
        <w:tc>
          <w:tcPr>
            <w:tcW w:w="1820" w:type="dxa"/>
            <w:tcBorders>
              <w:top w:val="nil"/>
              <w:left w:val="nil"/>
              <w:bottom w:val="single" w:color="auto" w:sz="4" w:space="0"/>
              <w:right w:val="single" w:color="auto" w:sz="4" w:space="0"/>
            </w:tcBorders>
            <w:shd w:val="clear" w:color="auto" w:fill="auto"/>
            <w:noWrap/>
            <w:vAlign w:val="bottom"/>
            <w:hideMark/>
          </w:tcPr>
          <w:p w:rsidRPr="003340D7" w:rsidR="003340D7" w:rsidP="003340D7" w:rsidRDefault="00B06697" w14:paraId="153957FB" w14:textId="77C831A0">
            <w:pPr>
              <w:autoSpaceDE/>
              <w:autoSpaceDN/>
              <w:jc w:val="right"/>
              <w:rPr>
                <w:rFonts w:ascii="Calibri" w:hAnsi="Calibri" w:eastAsia="Times New Roman" w:cs="Calibri"/>
                <w:color w:val="000000"/>
                <w:sz w:val="22"/>
                <w:szCs w:val="22"/>
                <w:lang w:eastAsia="en-US"/>
              </w:rPr>
            </w:pPr>
            <w:r>
              <w:rPr>
                <w:rFonts w:ascii="Calibri" w:hAnsi="Calibri" w:eastAsia="Times New Roman" w:cs="Calibri"/>
                <w:color w:val="000000"/>
                <w:sz w:val="22"/>
                <w:szCs w:val="22"/>
                <w:lang w:eastAsia="en-US"/>
              </w:rPr>
              <w:t>5,799,312</w:t>
            </w:r>
            <w:r w:rsidRPr="003340D7" w:rsidR="003340D7">
              <w:rPr>
                <w:rFonts w:ascii="Calibri" w:hAnsi="Calibri" w:eastAsia="Times New Roman" w:cs="Calibri"/>
                <w:color w:val="000000"/>
                <w:sz w:val="22"/>
                <w:szCs w:val="22"/>
                <w:lang w:eastAsia="en-US"/>
              </w:rPr>
              <w:t>.00</w:t>
            </w:r>
          </w:p>
        </w:tc>
        <w:tc>
          <w:tcPr>
            <w:tcW w:w="960" w:type="dxa"/>
            <w:tcBorders>
              <w:top w:val="nil"/>
              <w:left w:val="nil"/>
              <w:bottom w:val="single" w:color="auto" w:sz="4" w:space="0"/>
              <w:right w:val="single" w:color="auto" w:sz="4" w:space="0"/>
            </w:tcBorders>
            <w:shd w:val="clear" w:color="auto" w:fill="auto"/>
            <w:noWrap/>
            <w:vAlign w:val="bottom"/>
            <w:hideMark/>
          </w:tcPr>
          <w:p w:rsidRPr="003340D7" w:rsidR="003340D7" w:rsidP="003340D7" w:rsidRDefault="003340D7" w14:paraId="53F0F998" w14:textId="77777777">
            <w:pPr>
              <w:autoSpaceDE/>
              <w:autoSpaceDN/>
              <w:rPr>
                <w:rFonts w:ascii="Calibri" w:hAnsi="Calibri" w:eastAsia="Times New Roman" w:cs="Calibri"/>
                <w:color w:val="000000"/>
                <w:sz w:val="22"/>
                <w:szCs w:val="22"/>
                <w:lang w:eastAsia="en-US"/>
              </w:rPr>
            </w:pPr>
            <w:r w:rsidRPr="003340D7">
              <w:rPr>
                <w:rFonts w:ascii="Calibri" w:hAnsi="Calibri" w:eastAsia="Times New Roman" w:cs="Calibri"/>
                <w:color w:val="000000"/>
                <w:sz w:val="22"/>
                <w:szCs w:val="22"/>
                <w:lang w:eastAsia="en-US"/>
              </w:rPr>
              <w:t>/100</w:t>
            </w:r>
          </w:p>
        </w:tc>
        <w:tc>
          <w:tcPr>
            <w:tcW w:w="1261" w:type="dxa"/>
            <w:tcBorders>
              <w:top w:val="nil"/>
              <w:left w:val="nil"/>
              <w:bottom w:val="single" w:color="auto" w:sz="4" w:space="0"/>
              <w:right w:val="single" w:color="auto" w:sz="4" w:space="0"/>
            </w:tcBorders>
            <w:shd w:val="clear" w:color="auto" w:fill="auto"/>
            <w:noWrap/>
            <w:vAlign w:val="bottom"/>
            <w:hideMark/>
          </w:tcPr>
          <w:p w:rsidRPr="003340D7" w:rsidR="003340D7" w:rsidP="003340D7" w:rsidRDefault="003340D7" w14:paraId="5EA42C03" w14:textId="77777777">
            <w:pPr>
              <w:autoSpaceDE/>
              <w:autoSpaceDN/>
              <w:jc w:val="right"/>
              <w:rPr>
                <w:rFonts w:ascii="Calibri" w:hAnsi="Calibri" w:eastAsia="Times New Roman" w:cs="Calibri"/>
                <w:color w:val="000000"/>
                <w:sz w:val="22"/>
                <w:szCs w:val="22"/>
                <w:lang w:eastAsia="en-US"/>
              </w:rPr>
            </w:pPr>
            <w:r w:rsidRPr="003340D7">
              <w:rPr>
                <w:rFonts w:ascii="Calibri" w:hAnsi="Calibri" w:eastAsia="Times New Roman" w:cs="Calibri"/>
                <w:color w:val="000000"/>
                <w:sz w:val="22"/>
                <w:szCs w:val="22"/>
                <w:lang w:eastAsia="en-US"/>
              </w:rPr>
              <w:t>0.25</w:t>
            </w:r>
          </w:p>
        </w:tc>
        <w:tc>
          <w:tcPr>
            <w:tcW w:w="1540" w:type="dxa"/>
            <w:tcBorders>
              <w:top w:val="nil"/>
              <w:left w:val="nil"/>
              <w:bottom w:val="single" w:color="auto" w:sz="4" w:space="0"/>
              <w:right w:val="single" w:color="auto" w:sz="4" w:space="0"/>
            </w:tcBorders>
            <w:shd w:val="clear" w:color="auto" w:fill="auto"/>
            <w:noWrap/>
            <w:vAlign w:val="bottom"/>
            <w:hideMark/>
          </w:tcPr>
          <w:p w:rsidRPr="003340D7" w:rsidR="003340D7" w:rsidP="00986D86" w:rsidRDefault="00986D86" w14:paraId="5B39493A" w14:textId="7D4CB831">
            <w:pPr>
              <w:autoSpaceDE/>
              <w:autoSpaceDN/>
              <w:jc w:val="right"/>
              <w:rPr>
                <w:rFonts w:ascii="Calibri" w:hAnsi="Calibri" w:eastAsia="Times New Roman" w:cs="Calibri"/>
                <w:color w:val="000000"/>
                <w:sz w:val="22"/>
                <w:szCs w:val="22"/>
                <w:lang w:eastAsia="en-US"/>
              </w:rPr>
            </w:pPr>
            <w:r>
              <w:rPr>
                <w:rFonts w:ascii="Calibri" w:hAnsi="Calibri" w:eastAsia="Times New Roman" w:cs="Calibri"/>
                <w:color w:val="000000"/>
                <w:sz w:val="22"/>
                <w:szCs w:val="22"/>
                <w:lang w:eastAsia="en-US"/>
              </w:rPr>
              <w:t>14,499.63</w:t>
            </w:r>
          </w:p>
        </w:tc>
        <w:tc>
          <w:tcPr>
            <w:tcW w:w="1452" w:type="dxa"/>
            <w:tcBorders>
              <w:top w:val="nil"/>
              <w:left w:val="nil"/>
              <w:bottom w:val="single" w:color="auto" w:sz="4" w:space="0"/>
              <w:right w:val="single" w:color="auto" w:sz="4" w:space="0"/>
            </w:tcBorders>
            <w:shd w:val="clear" w:color="auto" w:fill="auto"/>
            <w:noWrap/>
            <w:vAlign w:val="bottom"/>
            <w:hideMark/>
          </w:tcPr>
          <w:p w:rsidRPr="003340D7" w:rsidR="003340D7" w:rsidP="003340D7" w:rsidRDefault="003340D7" w14:paraId="3FBB239E" w14:textId="77777777">
            <w:pPr>
              <w:autoSpaceDE/>
              <w:autoSpaceDN/>
              <w:jc w:val="right"/>
              <w:rPr>
                <w:rFonts w:ascii="Calibri" w:hAnsi="Calibri" w:eastAsia="Times New Roman" w:cs="Calibri"/>
                <w:color w:val="000000"/>
                <w:sz w:val="22"/>
                <w:szCs w:val="22"/>
                <w:lang w:eastAsia="en-US"/>
              </w:rPr>
            </w:pPr>
            <w:r w:rsidRPr="003340D7">
              <w:rPr>
                <w:rFonts w:ascii="Calibri" w:hAnsi="Calibri" w:eastAsia="Times New Roman" w:cs="Calibri"/>
                <w:color w:val="000000"/>
                <w:sz w:val="22"/>
                <w:szCs w:val="22"/>
                <w:lang w:eastAsia="en-US"/>
              </w:rPr>
              <w:t>$29.50</w:t>
            </w:r>
          </w:p>
        </w:tc>
        <w:tc>
          <w:tcPr>
            <w:tcW w:w="1560" w:type="dxa"/>
            <w:tcBorders>
              <w:top w:val="nil"/>
              <w:left w:val="nil"/>
              <w:bottom w:val="single" w:color="auto" w:sz="4" w:space="0"/>
              <w:right w:val="single" w:color="auto" w:sz="4" w:space="0"/>
            </w:tcBorders>
            <w:shd w:val="clear" w:color="auto" w:fill="auto"/>
            <w:noWrap/>
            <w:vAlign w:val="bottom"/>
            <w:hideMark/>
          </w:tcPr>
          <w:p w:rsidRPr="003340D7" w:rsidR="003340D7" w:rsidP="00986D86" w:rsidRDefault="003340D7" w14:paraId="09522D4F" w14:textId="1705BA77">
            <w:pPr>
              <w:autoSpaceDE/>
              <w:autoSpaceDN/>
              <w:jc w:val="right"/>
              <w:rPr>
                <w:rFonts w:ascii="Calibri" w:hAnsi="Calibri" w:eastAsia="Times New Roman" w:cs="Calibri"/>
                <w:color w:val="000000"/>
                <w:sz w:val="22"/>
                <w:szCs w:val="22"/>
                <w:lang w:eastAsia="en-US"/>
              </w:rPr>
            </w:pPr>
            <w:r w:rsidRPr="003340D7">
              <w:rPr>
                <w:rFonts w:ascii="Calibri" w:hAnsi="Calibri" w:eastAsia="Times New Roman" w:cs="Calibri"/>
                <w:color w:val="000000"/>
                <w:sz w:val="22"/>
                <w:szCs w:val="22"/>
                <w:lang w:eastAsia="en-US"/>
              </w:rPr>
              <w:t>$</w:t>
            </w:r>
            <w:r w:rsidR="00986D86">
              <w:rPr>
                <w:rFonts w:ascii="Calibri" w:hAnsi="Calibri" w:eastAsia="Times New Roman" w:cs="Calibri"/>
                <w:color w:val="000000"/>
                <w:sz w:val="22"/>
                <w:szCs w:val="22"/>
                <w:lang w:eastAsia="en-US"/>
              </w:rPr>
              <w:t>427,739.01</w:t>
            </w:r>
          </w:p>
        </w:tc>
      </w:tr>
      <w:tr w:rsidRPr="003340D7" w:rsidR="003340D7" w:rsidTr="00313268" w14:paraId="578F6D04" w14:textId="77777777">
        <w:trPr>
          <w:trHeight w:val="290"/>
        </w:trPr>
        <w:tc>
          <w:tcPr>
            <w:tcW w:w="1580" w:type="dxa"/>
            <w:tcBorders>
              <w:top w:val="nil"/>
              <w:left w:val="single" w:color="auto" w:sz="4" w:space="0"/>
              <w:bottom w:val="single" w:color="auto" w:sz="4" w:space="0"/>
              <w:right w:val="single" w:color="auto" w:sz="4" w:space="0"/>
            </w:tcBorders>
            <w:shd w:val="clear" w:color="auto" w:fill="auto"/>
            <w:noWrap/>
            <w:vAlign w:val="bottom"/>
            <w:hideMark/>
          </w:tcPr>
          <w:p w:rsidRPr="003340D7" w:rsidR="003340D7" w:rsidP="003340D7" w:rsidRDefault="003340D7" w14:paraId="25B3F87B" w14:textId="77777777">
            <w:pPr>
              <w:autoSpaceDE/>
              <w:autoSpaceDN/>
              <w:rPr>
                <w:rFonts w:ascii="Calibri" w:hAnsi="Calibri" w:eastAsia="Times New Roman" w:cs="Calibri"/>
                <w:color w:val="000000"/>
                <w:sz w:val="22"/>
                <w:szCs w:val="22"/>
                <w:lang w:eastAsia="en-US"/>
              </w:rPr>
            </w:pPr>
            <w:r w:rsidRPr="003340D7">
              <w:rPr>
                <w:rFonts w:ascii="Calibri" w:hAnsi="Calibri" w:eastAsia="Times New Roman" w:cs="Calibri"/>
                <w:color w:val="000000"/>
                <w:sz w:val="22"/>
                <w:szCs w:val="22"/>
                <w:lang w:eastAsia="en-US"/>
              </w:rPr>
              <w:t>Very Small</w:t>
            </w:r>
          </w:p>
        </w:tc>
        <w:tc>
          <w:tcPr>
            <w:tcW w:w="1820" w:type="dxa"/>
            <w:tcBorders>
              <w:top w:val="nil"/>
              <w:left w:val="nil"/>
              <w:bottom w:val="single" w:color="auto" w:sz="4" w:space="0"/>
              <w:right w:val="single" w:color="auto" w:sz="4" w:space="0"/>
            </w:tcBorders>
            <w:shd w:val="clear" w:color="auto" w:fill="auto"/>
            <w:noWrap/>
            <w:vAlign w:val="bottom"/>
            <w:hideMark/>
          </w:tcPr>
          <w:p w:rsidRPr="003340D7" w:rsidR="003340D7" w:rsidP="003340D7" w:rsidRDefault="0055074B" w14:paraId="04504CF8" w14:textId="3245ED3E">
            <w:pPr>
              <w:autoSpaceDE/>
              <w:autoSpaceDN/>
              <w:jc w:val="right"/>
              <w:rPr>
                <w:rFonts w:ascii="Calibri" w:hAnsi="Calibri" w:eastAsia="Times New Roman" w:cs="Calibri"/>
                <w:color w:val="000000"/>
                <w:sz w:val="22"/>
                <w:szCs w:val="22"/>
                <w:lang w:eastAsia="en-US"/>
              </w:rPr>
            </w:pPr>
            <w:r>
              <w:rPr>
                <w:rFonts w:ascii="Calibri" w:hAnsi="Calibri" w:eastAsia="Times New Roman" w:cs="Calibri"/>
                <w:color w:val="000000"/>
                <w:sz w:val="22"/>
                <w:szCs w:val="22"/>
                <w:lang w:eastAsia="en-US"/>
              </w:rPr>
              <w:t>1,238,122</w:t>
            </w:r>
            <w:r w:rsidRPr="003340D7" w:rsidR="003340D7">
              <w:rPr>
                <w:rFonts w:ascii="Calibri" w:hAnsi="Calibri" w:eastAsia="Times New Roman" w:cs="Calibri"/>
                <w:color w:val="000000"/>
                <w:sz w:val="22"/>
                <w:szCs w:val="22"/>
                <w:lang w:eastAsia="en-US"/>
              </w:rPr>
              <w:t>.00</w:t>
            </w:r>
          </w:p>
        </w:tc>
        <w:tc>
          <w:tcPr>
            <w:tcW w:w="960" w:type="dxa"/>
            <w:tcBorders>
              <w:top w:val="nil"/>
              <w:left w:val="nil"/>
              <w:bottom w:val="single" w:color="auto" w:sz="4" w:space="0"/>
              <w:right w:val="single" w:color="auto" w:sz="4" w:space="0"/>
            </w:tcBorders>
            <w:shd w:val="clear" w:color="auto" w:fill="auto"/>
            <w:noWrap/>
            <w:vAlign w:val="bottom"/>
            <w:hideMark/>
          </w:tcPr>
          <w:p w:rsidRPr="003340D7" w:rsidR="003340D7" w:rsidP="003340D7" w:rsidRDefault="003340D7" w14:paraId="17A5881C" w14:textId="77777777">
            <w:pPr>
              <w:autoSpaceDE/>
              <w:autoSpaceDN/>
              <w:rPr>
                <w:rFonts w:ascii="Calibri" w:hAnsi="Calibri" w:eastAsia="Times New Roman" w:cs="Calibri"/>
                <w:color w:val="000000"/>
                <w:sz w:val="22"/>
                <w:szCs w:val="22"/>
                <w:lang w:eastAsia="en-US"/>
              </w:rPr>
            </w:pPr>
            <w:r w:rsidRPr="003340D7">
              <w:rPr>
                <w:rFonts w:ascii="Calibri" w:hAnsi="Calibri" w:eastAsia="Times New Roman" w:cs="Calibri"/>
                <w:color w:val="000000"/>
                <w:sz w:val="22"/>
                <w:szCs w:val="22"/>
                <w:lang w:eastAsia="en-US"/>
              </w:rPr>
              <w:t>/100</w:t>
            </w:r>
          </w:p>
        </w:tc>
        <w:tc>
          <w:tcPr>
            <w:tcW w:w="1261" w:type="dxa"/>
            <w:tcBorders>
              <w:top w:val="nil"/>
              <w:left w:val="nil"/>
              <w:bottom w:val="single" w:color="auto" w:sz="4" w:space="0"/>
              <w:right w:val="single" w:color="auto" w:sz="4" w:space="0"/>
            </w:tcBorders>
            <w:shd w:val="clear" w:color="auto" w:fill="auto"/>
            <w:noWrap/>
            <w:vAlign w:val="bottom"/>
            <w:hideMark/>
          </w:tcPr>
          <w:p w:rsidRPr="003340D7" w:rsidR="003340D7" w:rsidP="003340D7" w:rsidRDefault="003340D7" w14:paraId="44634E9F" w14:textId="74CCFE83">
            <w:pPr>
              <w:autoSpaceDE/>
              <w:autoSpaceDN/>
              <w:jc w:val="right"/>
              <w:rPr>
                <w:rFonts w:ascii="Calibri" w:hAnsi="Calibri" w:eastAsia="Times New Roman" w:cs="Calibri"/>
                <w:color w:val="000000"/>
                <w:sz w:val="22"/>
                <w:szCs w:val="22"/>
                <w:lang w:eastAsia="en-US"/>
              </w:rPr>
            </w:pPr>
            <w:r w:rsidRPr="003340D7">
              <w:rPr>
                <w:rFonts w:ascii="Calibri" w:hAnsi="Calibri" w:eastAsia="Times New Roman" w:cs="Calibri"/>
                <w:color w:val="000000"/>
                <w:sz w:val="22"/>
                <w:szCs w:val="22"/>
                <w:lang w:eastAsia="en-US"/>
              </w:rPr>
              <w:t>0.5</w:t>
            </w:r>
            <w:r w:rsidR="00EF7D0C">
              <w:rPr>
                <w:rFonts w:ascii="Calibri" w:hAnsi="Calibri" w:eastAsia="Times New Roman" w:cs="Calibri"/>
                <w:color w:val="000000"/>
                <w:sz w:val="22"/>
                <w:szCs w:val="22"/>
                <w:lang w:eastAsia="en-US"/>
              </w:rPr>
              <w:t>0</w:t>
            </w:r>
          </w:p>
        </w:tc>
        <w:tc>
          <w:tcPr>
            <w:tcW w:w="1540" w:type="dxa"/>
            <w:tcBorders>
              <w:top w:val="nil"/>
              <w:left w:val="nil"/>
              <w:bottom w:val="single" w:color="auto" w:sz="4" w:space="0"/>
              <w:right w:val="single" w:color="auto" w:sz="4" w:space="0"/>
            </w:tcBorders>
            <w:shd w:val="clear" w:color="auto" w:fill="auto"/>
            <w:noWrap/>
            <w:vAlign w:val="bottom"/>
            <w:hideMark/>
          </w:tcPr>
          <w:p w:rsidRPr="003340D7" w:rsidR="003340D7" w:rsidP="00986D86" w:rsidRDefault="00986D86" w14:paraId="30CC094C" w14:textId="63206FCA">
            <w:pPr>
              <w:autoSpaceDE/>
              <w:autoSpaceDN/>
              <w:jc w:val="right"/>
              <w:rPr>
                <w:rFonts w:ascii="Calibri" w:hAnsi="Calibri" w:eastAsia="Times New Roman" w:cs="Calibri"/>
                <w:color w:val="000000"/>
                <w:sz w:val="22"/>
                <w:szCs w:val="22"/>
                <w:lang w:eastAsia="en-US"/>
              </w:rPr>
            </w:pPr>
            <w:r>
              <w:rPr>
                <w:rFonts w:ascii="Calibri" w:hAnsi="Calibri" w:eastAsia="Times New Roman" w:cs="Calibri"/>
                <w:color w:val="000000"/>
                <w:sz w:val="22"/>
                <w:szCs w:val="22"/>
                <w:lang w:eastAsia="en-US"/>
              </w:rPr>
              <w:t>6,191.99</w:t>
            </w:r>
          </w:p>
        </w:tc>
        <w:tc>
          <w:tcPr>
            <w:tcW w:w="1452" w:type="dxa"/>
            <w:tcBorders>
              <w:top w:val="nil"/>
              <w:left w:val="nil"/>
              <w:bottom w:val="single" w:color="auto" w:sz="4" w:space="0"/>
              <w:right w:val="single" w:color="auto" w:sz="4" w:space="0"/>
            </w:tcBorders>
            <w:shd w:val="clear" w:color="auto" w:fill="auto"/>
            <w:noWrap/>
            <w:vAlign w:val="bottom"/>
            <w:hideMark/>
          </w:tcPr>
          <w:p w:rsidRPr="003340D7" w:rsidR="003340D7" w:rsidP="003340D7" w:rsidRDefault="003340D7" w14:paraId="1E8D72CA" w14:textId="77777777">
            <w:pPr>
              <w:autoSpaceDE/>
              <w:autoSpaceDN/>
              <w:jc w:val="right"/>
              <w:rPr>
                <w:rFonts w:ascii="Calibri" w:hAnsi="Calibri" w:eastAsia="Times New Roman" w:cs="Calibri"/>
                <w:color w:val="000000"/>
                <w:sz w:val="22"/>
                <w:szCs w:val="22"/>
                <w:lang w:eastAsia="en-US"/>
              </w:rPr>
            </w:pPr>
            <w:r w:rsidRPr="003340D7">
              <w:rPr>
                <w:rFonts w:ascii="Calibri" w:hAnsi="Calibri" w:eastAsia="Times New Roman" w:cs="Calibri"/>
                <w:color w:val="000000"/>
                <w:sz w:val="22"/>
                <w:szCs w:val="22"/>
                <w:lang w:eastAsia="en-US"/>
              </w:rPr>
              <w:t>$29.50</w:t>
            </w:r>
          </w:p>
        </w:tc>
        <w:tc>
          <w:tcPr>
            <w:tcW w:w="1560" w:type="dxa"/>
            <w:tcBorders>
              <w:top w:val="nil"/>
              <w:left w:val="nil"/>
              <w:bottom w:val="single" w:color="auto" w:sz="4" w:space="0"/>
              <w:right w:val="single" w:color="auto" w:sz="4" w:space="0"/>
            </w:tcBorders>
            <w:shd w:val="clear" w:color="auto" w:fill="auto"/>
            <w:noWrap/>
            <w:vAlign w:val="bottom"/>
            <w:hideMark/>
          </w:tcPr>
          <w:p w:rsidRPr="003340D7" w:rsidR="003340D7" w:rsidP="00986D86" w:rsidRDefault="003340D7" w14:paraId="3379827B" w14:textId="105A8566">
            <w:pPr>
              <w:autoSpaceDE/>
              <w:autoSpaceDN/>
              <w:jc w:val="right"/>
              <w:rPr>
                <w:rFonts w:ascii="Calibri" w:hAnsi="Calibri" w:eastAsia="Times New Roman" w:cs="Calibri"/>
                <w:color w:val="000000"/>
                <w:sz w:val="22"/>
                <w:szCs w:val="22"/>
                <w:lang w:eastAsia="en-US"/>
              </w:rPr>
            </w:pPr>
            <w:r w:rsidRPr="003340D7">
              <w:rPr>
                <w:rFonts w:ascii="Calibri" w:hAnsi="Calibri" w:eastAsia="Times New Roman" w:cs="Calibri"/>
                <w:color w:val="000000"/>
                <w:sz w:val="22"/>
                <w:szCs w:val="22"/>
                <w:lang w:eastAsia="en-US"/>
              </w:rPr>
              <w:t>$</w:t>
            </w:r>
            <w:r w:rsidR="00986D86">
              <w:rPr>
                <w:rFonts w:ascii="Calibri" w:hAnsi="Calibri" w:eastAsia="Times New Roman" w:cs="Calibri"/>
                <w:color w:val="000000"/>
                <w:sz w:val="22"/>
                <w:szCs w:val="22"/>
                <w:lang w:eastAsia="en-US"/>
              </w:rPr>
              <w:t>182,663.71</w:t>
            </w:r>
          </w:p>
        </w:tc>
      </w:tr>
      <w:tr w:rsidRPr="003340D7" w:rsidR="003340D7" w:rsidTr="00313268" w14:paraId="5FDD4ACB" w14:textId="77777777">
        <w:trPr>
          <w:trHeight w:val="290"/>
        </w:trPr>
        <w:tc>
          <w:tcPr>
            <w:tcW w:w="1580" w:type="dxa"/>
            <w:tcBorders>
              <w:top w:val="nil"/>
              <w:left w:val="single" w:color="auto" w:sz="4" w:space="0"/>
              <w:bottom w:val="nil"/>
              <w:right w:val="single" w:color="auto" w:sz="4" w:space="0"/>
            </w:tcBorders>
            <w:shd w:val="clear" w:color="000000" w:fill="E2EFDA"/>
            <w:noWrap/>
            <w:vAlign w:val="bottom"/>
            <w:hideMark/>
          </w:tcPr>
          <w:p w:rsidRPr="003340D7" w:rsidR="003340D7" w:rsidP="003340D7" w:rsidRDefault="003340D7" w14:paraId="34562578" w14:textId="77777777">
            <w:pPr>
              <w:autoSpaceDE/>
              <w:autoSpaceDN/>
              <w:rPr>
                <w:rFonts w:ascii="Calibri" w:hAnsi="Calibri" w:eastAsia="Times New Roman" w:cs="Calibri"/>
                <w:b/>
                <w:bCs/>
                <w:color w:val="000000"/>
                <w:sz w:val="22"/>
                <w:szCs w:val="22"/>
                <w:lang w:eastAsia="en-US"/>
              </w:rPr>
            </w:pPr>
            <w:r w:rsidRPr="003340D7">
              <w:rPr>
                <w:rFonts w:ascii="Calibri" w:hAnsi="Calibri" w:eastAsia="Times New Roman" w:cs="Calibri"/>
                <w:b/>
                <w:bCs/>
                <w:color w:val="000000"/>
                <w:sz w:val="22"/>
                <w:szCs w:val="22"/>
                <w:lang w:eastAsia="en-US"/>
              </w:rPr>
              <w:t>Total</w:t>
            </w:r>
          </w:p>
        </w:tc>
        <w:tc>
          <w:tcPr>
            <w:tcW w:w="1820" w:type="dxa"/>
            <w:tcBorders>
              <w:top w:val="nil"/>
              <w:left w:val="nil"/>
              <w:bottom w:val="nil"/>
              <w:right w:val="nil"/>
            </w:tcBorders>
            <w:shd w:val="thinHorzStripe" w:color="000000" w:fill="E2EFDA"/>
            <w:noWrap/>
            <w:vAlign w:val="bottom"/>
            <w:hideMark/>
          </w:tcPr>
          <w:p w:rsidRPr="003340D7" w:rsidR="003340D7" w:rsidP="003340D7" w:rsidRDefault="003340D7" w14:paraId="67E83F76" w14:textId="77777777">
            <w:pPr>
              <w:autoSpaceDE/>
              <w:autoSpaceDN/>
              <w:rPr>
                <w:rFonts w:ascii="Calibri" w:hAnsi="Calibri" w:eastAsia="Times New Roman" w:cs="Calibri"/>
                <w:color w:val="000000"/>
                <w:sz w:val="22"/>
                <w:szCs w:val="22"/>
                <w:lang w:eastAsia="en-US"/>
              </w:rPr>
            </w:pPr>
            <w:r w:rsidRPr="003340D7">
              <w:rPr>
                <w:rFonts w:ascii="Calibri" w:hAnsi="Calibri" w:eastAsia="Times New Roman" w:cs="Calibri"/>
                <w:color w:val="000000"/>
                <w:sz w:val="22"/>
                <w:szCs w:val="22"/>
                <w:lang w:eastAsia="en-US"/>
              </w:rPr>
              <w:t> </w:t>
            </w:r>
          </w:p>
        </w:tc>
        <w:tc>
          <w:tcPr>
            <w:tcW w:w="960" w:type="dxa"/>
            <w:tcBorders>
              <w:top w:val="nil"/>
              <w:left w:val="nil"/>
              <w:bottom w:val="nil"/>
              <w:right w:val="nil"/>
            </w:tcBorders>
            <w:shd w:val="thinHorzStripe" w:color="000000" w:fill="E2EFDA"/>
            <w:noWrap/>
            <w:vAlign w:val="bottom"/>
            <w:hideMark/>
          </w:tcPr>
          <w:p w:rsidRPr="003340D7" w:rsidR="003340D7" w:rsidP="003340D7" w:rsidRDefault="003340D7" w14:paraId="53D78E06" w14:textId="77777777">
            <w:pPr>
              <w:autoSpaceDE/>
              <w:autoSpaceDN/>
              <w:rPr>
                <w:rFonts w:ascii="Calibri" w:hAnsi="Calibri" w:eastAsia="Times New Roman" w:cs="Calibri"/>
                <w:color w:val="000000"/>
                <w:sz w:val="22"/>
                <w:szCs w:val="22"/>
                <w:lang w:eastAsia="en-US"/>
              </w:rPr>
            </w:pPr>
            <w:r w:rsidRPr="003340D7">
              <w:rPr>
                <w:rFonts w:ascii="Calibri" w:hAnsi="Calibri" w:eastAsia="Times New Roman" w:cs="Calibri"/>
                <w:color w:val="000000"/>
                <w:sz w:val="22"/>
                <w:szCs w:val="22"/>
                <w:lang w:eastAsia="en-US"/>
              </w:rPr>
              <w:t> </w:t>
            </w:r>
          </w:p>
        </w:tc>
        <w:tc>
          <w:tcPr>
            <w:tcW w:w="1261" w:type="dxa"/>
            <w:tcBorders>
              <w:top w:val="nil"/>
              <w:left w:val="nil"/>
              <w:bottom w:val="nil"/>
              <w:right w:val="nil"/>
            </w:tcBorders>
            <w:shd w:val="thinHorzStripe" w:color="000000" w:fill="E2EFDA"/>
            <w:noWrap/>
            <w:vAlign w:val="bottom"/>
            <w:hideMark/>
          </w:tcPr>
          <w:p w:rsidRPr="003340D7" w:rsidR="003340D7" w:rsidP="003340D7" w:rsidRDefault="003340D7" w14:paraId="0F705533" w14:textId="77777777">
            <w:pPr>
              <w:autoSpaceDE/>
              <w:autoSpaceDN/>
              <w:rPr>
                <w:rFonts w:ascii="Calibri" w:hAnsi="Calibri" w:eastAsia="Times New Roman" w:cs="Calibri"/>
                <w:color w:val="000000"/>
                <w:sz w:val="22"/>
                <w:szCs w:val="22"/>
                <w:lang w:eastAsia="en-US"/>
              </w:rPr>
            </w:pPr>
            <w:r w:rsidRPr="003340D7">
              <w:rPr>
                <w:rFonts w:ascii="Calibri" w:hAnsi="Calibri" w:eastAsia="Times New Roman" w:cs="Calibri"/>
                <w:color w:val="000000"/>
                <w:sz w:val="22"/>
                <w:szCs w:val="22"/>
                <w:lang w:eastAsia="en-US"/>
              </w:rPr>
              <w:t> </w:t>
            </w:r>
          </w:p>
        </w:tc>
        <w:tc>
          <w:tcPr>
            <w:tcW w:w="1540" w:type="dxa"/>
            <w:tcBorders>
              <w:top w:val="nil"/>
              <w:left w:val="nil"/>
              <w:bottom w:val="nil"/>
              <w:right w:val="nil"/>
            </w:tcBorders>
            <w:shd w:val="thinHorzStripe" w:color="000000" w:fill="E2EFDA"/>
            <w:noWrap/>
            <w:vAlign w:val="bottom"/>
            <w:hideMark/>
          </w:tcPr>
          <w:p w:rsidRPr="003340D7" w:rsidR="003340D7" w:rsidP="003340D7" w:rsidRDefault="003340D7" w14:paraId="638130E9" w14:textId="77777777">
            <w:pPr>
              <w:autoSpaceDE/>
              <w:autoSpaceDN/>
              <w:rPr>
                <w:rFonts w:ascii="Calibri" w:hAnsi="Calibri" w:eastAsia="Times New Roman" w:cs="Calibri"/>
                <w:color w:val="000000"/>
                <w:sz w:val="22"/>
                <w:szCs w:val="22"/>
                <w:lang w:eastAsia="en-US"/>
              </w:rPr>
            </w:pPr>
            <w:r w:rsidRPr="003340D7">
              <w:rPr>
                <w:rFonts w:ascii="Calibri" w:hAnsi="Calibri" w:eastAsia="Times New Roman" w:cs="Calibri"/>
                <w:color w:val="000000"/>
                <w:sz w:val="22"/>
                <w:szCs w:val="22"/>
                <w:lang w:eastAsia="en-US"/>
              </w:rPr>
              <w:t> </w:t>
            </w:r>
          </w:p>
        </w:tc>
        <w:tc>
          <w:tcPr>
            <w:tcW w:w="1452" w:type="dxa"/>
            <w:tcBorders>
              <w:top w:val="nil"/>
              <w:left w:val="nil"/>
              <w:bottom w:val="nil"/>
              <w:right w:val="nil"/>
            </w:tcBorders>
            <w:shd w:val="thinHorzStripe" w:color="000000" w:fill="E2EFDA"/>
            <w:noWrap/>
            <w:vAlign w:val="bottom"/>
            <w:hideMark/>
          </w:tcPr>
          <w:p w:rsidRPr="003340D7" w:rsidR="003340D7" w:rsidP="003340D7" w:rsidRDefault="003340D7" w14:paraId="6E3E3B00" w14:textId="77777777">
            <w:pPr>
              <w:autoSpaceDE/>
              <w:autoSpaceDN/>
              <w:rPr>
                <w:rFonts w:ascii="Calibri" w:hAnsi="Calibri" w:eastAsia="Times New Roman" w:cs="Calibri"/>
                <w:color w:val="000000"/>
                <w:sz w:val="22"/>
                <w:szCs w:val="22"/>
                <w:lang w:eastAsia="en-US"/>
              </w:rPr>
            </w:pPr>
            <w:r w:rsidRPr="003340D7">
              <w:rPr>
                <w:rFonts w:ascii="Calibri" w:hAnsi="Calibri" w:eastAsia="Times New Roman" w:cs="Calibri"/>
                <w:color w:val="000000"/>
                <w:sz w:val="22"/>
                <w:szCs w:val="22"/>
                <w:lang w:eastAsia="en-US"/>
              </w:rPr>
              <w:t> </w:t>
            </w:r>
          </w:p>
        </w:tc>
        <w:tc>
          <w:tcPr>
            <w:tcW w:w="1560" w:type="dxa"/>
            <w:tcBorders>
              <w:top w:val="nil"/>
              <w:left w:val="nil"/>
              <w:bottom w:val="nil"/>
              <w:right w:val="nil"/>
            </w:tcBorders>
            <w:shd w:val="clear" w:color="000000" w:fill="E2EFDA"/>
            <w:noWrap/>
            <w:vAlign w:val="bottom"/>
            <w:hideMark/>
          </w:tcPr>
          <w:p w:rsidRPr="003340D7" w:rsidR="003340D7" w:rsidP="00412927" w:rsidRDefault="003340D7" w14:paraId="646A5F77" w14:textId="59B9D55F">
            <w:pPr>
              <w:autoSpaceDE/>
              <w:autoSpaceDN/>
              <w:jc w:val="right"/>
              <w:rPr>
                <w:rFonts w:ascii="Calibri" w:hAnsi="Calibri" w:eastAsia="Times New Roman" w:cs="Calibri"/>
                <w:b/>
                <w:bCs/>
                <w:color w:val="000000"/>
                <w:sz w:val="22"/>
                <w:szCs w:val="22"/>
                <w:lang w:eastAsia="en-US"/>
              </w:rPr>
            </w:pPr>
            <w:r w:rsidRPr="003340D7">
              <w:rPr>
                <w:rFonts w:ascii="Calibri" w:hAnsi="Calibri" w:eastAsia="Times New Roman" w:cs="Calibri"/>
                <w:b/>
                <w:bCs/>
                <w:color w:val="000000"/>
                <w:sz w:val="22"/>
                <w:szCs w:val="22"/>
                <w:lang w:eastAsia="en-US"/>
              </w:rPr>
              <w:t>$</w:t>
            </w:r>
            <w:r w:rsidR="00986D86">
              <w:rPr>
                <w:rFonts w:ascii="Calibri" w:hAnsi="Calibri" w:eastAsia="Times New Roman" w:cs="Calibri"/>
                <w:b/>
                <w:bCs/>
                <w:color w:val="000000"/>
                <w:sz w:val="22"/>
                <w:szCs w:val="22"/>
                <w:lang w:eastAsia="en-US"/>
              </w:rPr>
              <w:t>853,852.79</w:t>
            </w:r>
          </w:p>
        </w:tc>
      </w:tr>
    </w:tbl>
    <w:p w:rsidRPr="00BC30F0" w:rsidR="003340D7" w:rsidP="00154DE9" w:rsidRDefault="003340D7" w14:paraId="5AF9D202" w14:textId="77777777">
      <w:pPr>
        <w:pStyle w:val="BodyText"/>
        <w:rPr>
          <w:rFonts w:asciiTheme="minorHAnsi" w:hAnsiTheme="minorHAnsi" w:cstheme="minorHAnsi"/>
          <w:b/>
        </w:rPr>
      </w:pPr>
    </w:p>
    <w:p w:rsidR="00B3779C" w:rsidP="004F7696" w:rsidRDefault="00B3779C" w14:paraId="4630775F" w14:textId="697F62D4">
      <w:pPr>
        <w:pStyle w:val="BurdenHoursCost"/>
        <w:ind w:left="0"/>
        <w:rPr>
          <w:bCs/>
        </w:rPr>
      </w:pPr>
      <w:r w:rsidRPr="004F7696">
        <w:rPr>
          <w:b/>
          <w:bCs/>
        </w:rPr>
        <w:t>Signs and Marking</w:t>
      </w:r>
      <w:r w:rsidR="00EF7D0C">
        <w:rPr>
          <w:b/>
          <w:bCs/>
        </w:rPr>
        <w:t>s</w:t>
      </w:r>
      <w:r>
        <w:rPr>
          <w:bCs/>
        </w:rPr>
        <w:t>:</w:t>
      </w:r>
    </w:p>
    <w:p w:rsidR="00B3779C" w:rsidP="004F7696" w:rsidRDefault="00B3779C" w14:paraId="17DF046C" w14:textId="79594CF1">
      <w:pPr>
        <w:pStyle w:val="BodyText"/>
      </w:pPr>
      <w:r w:rsidRPr="004F7696">
        <w:rPr>
          <w:rFonts w:ascii="Times New Roman" w:hAnsi="Times New Roman"/>
        </w:rPr>
        <w:t>To implement physical distancing requirements, OSHA assumes employers post signage encouraging social distancing: 25 signs on average per large establishment, with 15 and 10 signs for SBA-defined small and very small entities, respectively. OSHA estimated a unit cost per sign of $0.10, with the assumption that employers will use free downloadable signs from the CDC and self-print those signs. OSHA also includes costs for floor markings, based on the unit cost for a roll of masking tape ($4.39</w:t>
      </w:r>
      <w:r w:rsidRPr="004F7696">
        <w:rPr>
          <w:rStyle w:val="FootnoteReference"/>
          <w:rFonts w:ascii="Times New Roman" w:hAnsi="Times New Roman"/>
        </w:rPr>
        <w:footnoteReference w:id="11"/>
      </w:r>
      <w:r w:rsidRPr="004F7696">
        <w:rPr>
          <w:rFonts w:ascii="Times New Roman" w:hAnsi="Times New Roman"/>
        </w:rPr>
        <w:t>), and assuming 3 rolls are needed per large establishments, 2 per SBA-defined small, and 1 per very small establishments.</w:t>
      </w:r>
      <w:r>
        <w:t xml:space="preserve"> </w:t>
      </w:r>
    </w:p>
    <w:p w:rsidR="006A73AC" w:rsidP="006820B4" w:rsidRDefault="006A73AC" w14:paraId="2BEDEF91" w14:textId="77777777">
      <w:pPr>
        <w:ind w:firstLine="720"/>
        <w:rPr>
          <w:b/>
        </w:rPr>
      </w:pPr>
    </w:p>
    <w:p w:rsidR="006820B4" w:rsidP="006820B4" w:rsidRDefault="006820B4" w14:paraId="2EA9F451" w14:textId="5DEB6E28">
      <w:pPr>
        <w:ind w:firstLine="720"/>
      </w:pPr>
      <w:r w:rsidRPr="00BC30F0">
        <w:rPr>
          <w:b/>
        </w:rPr>
        <w:t>Signs &amp; Tape</w:t>
      </w:r>
      <w:r>
        <w:t>:</w:t>
      </w:r>
    </w:p>
    <w:p w:rsidR="003734FB" w:rsidP="00856AEE" w:rsidRDefault="003734FB" w14:paraId="2A9B9B3E" w14:textId="4D348339">
      <w:pPr>
        <w:pStyle w:val="BodyText"/>
        <w:spacing w:after="0"/>
        <w:ind w:left="1440"/>
        <w:rPr>
          <w:rFonts w:ascii="Times New Roman" w:hAnsi="Times New Roman"/>
          <w:bCs/>
        </w:rPr>
      </w:pPr>
    </w:p>
    <w:p w:rsidR="00413165" w:rsidP="00856AEE" w:rsidRDefault="003734FB" w14:paraId="169C7602" w14:textId="7BCACEE6">
      <w:pPr>
        <w:pStyle w:val="BodyText"/>
        <w:spacing w:after="0"/>
        <w:ind w:left="720"/>
        <w:rPr>
          <w:rFonts w:asciiTheme="minorHAnsi" w:hAnsiTheme="minorHAnsi" w:cstheme="minorHAnsi"/>
          <w:b/>
          <w:bCs/>
        </w:rPr>
      </w:pPr>
      <w:r w:rsidRPr="00EF7D0C">
        <w:rPr>
          <w:rFonts w:asciiTheme="minorHAnsi" w:hAnsiTheme="minorHAnsi" w:cstheme="minorHAnsi"/>
          <w:b/>
          <w:bCs/>
        </w:rPr>
        <w:t xml:space="preserve">Table </w:t>
      </w:r>
      <w:r w:rsidR="00412927">
        <w:rPr>
          <w:rFonts w:asciiTheme="minorHAnsi" w:hAnsiTheme="minorHAnsi" w:cstheme="minorHAnsi"/>
          <w:b/>
          <w:bCs/>
        </w:rPr>
        <w:t>D</w:t>
      </w:r>
      <w:r w:rsidRPr="00EF7D0C">
        <w:rPr>
          <w:rFonts w:asciiTheme="minorHAnsi" w:hAnsiTheme="minorHAnsi" w:cstheme="minorHAnsi"/>
          <w:b/>
          <w:bCs/>
        </w:rPr>
        <w:t xml:space="preserve"> - Unit Cost for Signs per Establishment</w:t>
      </w:r>
    </w:p>
    <w:p w:rsidRPr="00EF7D0C" w:rsidR="003734FB" w:rsidP="00856AEE" w:rsidRDefault="003734FB" w14:paraId="0CB4AFB3" w14:textId="77777777">
      <w:pPr>
        <w:pStyle w:val="BodyText"/>
        <w:spacing w:after="0"/>
        <w:ind w:left="720"/>
        <w:rPr>
          <w:rFonts w:asciiTheme="minorHAnsi" w:hAnsiTheme="minorHAnsi" w:cstheme="minorHAnsi"/>
          <w:b/>
          <w:bCs/>
        </w:rPr>
      </w:pPr>
    </w:p>
    <w:tbl>
      <w:tblPr>
        <w:tblW w:w="9120" w:type="dxa"/>
        <w:tblLook w:val="04A0" w:firstRow="1" w:lastRow="0" w:firstColumn="1" w:lastColumn="0" w:noHBand="0" w:noVBand="1"/>
      </w:tblPr>
      <w:tblGrid>
        <w:gridCol w:w="1540"/>
        <w:gridCol w:w="1620"/>
        <w:gridCol w:w="1660"/>
        <w:gridCol w:w="1540"/>
        <w:gridCol w:w="960"/>
        <w:gridCol w:w="1800"/>
      </w:tblGrid>
      <w:tr w:rsidRPr="003734FB" w:rsidR="003734FB" w:rsidTr="003734FB" w14:paraId="76DA9093" w14:textId="77777777">
        <w:trPr>
          <w:trHeight w:val="580"/>
        </w:trPr>
        <w:tc>
          <w:tcPr>
            <w:tcW w:w="1540" w:type="dxa"/>
            <w:tcBorders>
              <w:top w:val="single" w:color="auto" w:sz="4" w:space="0"/>
              <w:left w:val="single" w:color="auto" w:sz="4" w:space="0"/>
              <w:bottom w:val="single" w:color="auto" w:sz="4" w:space="0"/>
              <w:right w:val="single" w:color="auto" w:sz="4" w:space="0"/>
            </w:tcBorders>
            <w:shd w:val="thinHorzStripe" w:color="000000" w:fill="C6E0B4"/>
            <w:noWrap/>
            <w:vAlign w:val="bottom"/>
            <w:hideMark/>
          </w:tcPr>
          <w:p w:rsidRPr="003734FB" w:rsidR="003734FB" w:rsidRDefault="003734FB" w14:paraId="13A7DCD4" w14:textId="77777777">
            <w:pPr>
              <w:autoSpaceDE/>
              <w:autoSpaceDN/>
              <w:rPr>
                <w:rFonts w:ascii="Calibri" w:hAnsi="Calibri" w:eastAsia="Times New Roman" w:cs="Calibri"/>
                <w:color w:val="000000"/>
                <w:sz w:val="22"/>
                <w:szCs w:val="22"/>
                <w:lang w:eastAsia="en-US"/>
              </w:rPr>
            </w:pPr>
            <w:r w:rsidRPr="003734FB">
              <w:rPr>
                <w:rFonts w:ascii="Calibri" w:hAnsi="Calibri" w:eastAsia="Times New Roman" w:cs="Calibri"/>
                <w:color w:val="000000"/>
                <w:sz w:val="22"/>
                <w:szCs w:val="22"/>
                <w:lang w:eastAsia="en-US"/>
              </w:rPr>
              <w:t> </w:t>
            </w:r>
          </w:p>
        </w:tc>
        <w:tc>
          <w:tcPr>
            <w:tcW w:w="1620" w:type="dxa"/>
            <w:tcBorders>
              <w:top w:val="single" w:color="auto" w:sz="4" w:space="0"/>
              <w:left w:val="nil"/>
              <w:bottom w:val="single" w:color="auto" w:sz="4" w:space="0"/>
              <w:right w:val="single" w:color="auto" w:sz="4" w:space="0"/>
            </w:tcBorders>
            <w:shd w:val="clear" w:color="000000" w:fill="E2EFDA"/>
            <w:noWrap/>
            <w:vAlign w:val="center"/>
            <w:hideMark/>
          </w:tcPr>
          <w:p w:rsidRPr="003734FB" w:rsidR="003734FB" w:rsidRDefault="003734FB" w14:paraId="29CF7893" w14:textId="0B4FD2A3">
            <w:pPr>
              <w:autoSpaceDE/>
              <w:autoSpaceDN/>
              <w:rPr>
                <w:rFonts w:ascii="Calibri" w:hAnsi="Calibri" w:eastAsia="Times New Roman" w:cs="Calibri"/>
                <w:b/>
                <w:bCs/>
                <w:color w:val="000000"/>
                <w:sz w:val="22"/>
                <w:szCs w:val="22"/>
                <w:lang w:eastAsia="en-US"/>
              </w:rPr>
            </w:pPr>
            <w:r w:rsidRPr="003734FB">
              <w:rPr>
                <w:rFonts w:ascii="Calibri" w:hAnsi="Calibri" w:eastAsia="Times New Roman" w:cs="Calibri"/>
                <w:b/>
                <w:bCs/>
                <w:color w:val="000000"/>
                <w:sz w:val="22"/>
                <w:szCs w:val="22"/>
                <w:lang w:eastAsia="en-US"/>
              </w:rPr>
              <w:t>Establ</w:t>
            </w:r>
            <w:r w:rsidR="006A73AC">
              <w:rPr>
                <w:rFonts w:ascii="Calibri" w:hAnsi="Calibri" w:eastAsia="Times New Roman" w:cs="Calibri"/>
                <w:b/>
                <w:bCs/>
                <w:color w:val="000000"/>
                <w:sz w:val="22"/>
                <w:szCs w:val="22"/>
                <w:lang w:eastAsia="en-US"/>
              </w:rPr>
              <w:t>i</w:t>
            </w:r>
            <w:r w:rsidRPr="003734FB">
              <w:rPr>
                <w:rFonts w:ascii="Calibri" w:hAnsi="Calibri" w:eastAsia="Times New Roman" w:cs="Calibri"/>
                <w:b/>
                <w:bCs/>
                <w:color w:val="000000"/>
                <w:sz w:val="22"/>
                <w:szCs w:val="22"/>
                <w:lang w:eastAsia="en-US"/>
              </w:rPr>
              <w:t>shments</w:t>
            </w:r>
          </w:p>
        </w:tc>
        <w:tc>
          <w:tcPr>
            <w:tcW w:w="1660" w:type="dxa"/>
            <w:tcBorders>
              <w:top w:val="single" w:color="auto" w:sz="4" w:space="0"/>
              <w:left w:val="nil"/>
              <w:bottom w:val="single" w:color="auto" w:sz="4" w:space="0"/>
              <w:right w:val="single" w:color="auto" w:sz="4" w:space="0"/>
            </w:tcBorders>
            <w:shd w:val="clear" w:color="000000" w:fill="E2EFDA"/>
            <w:vAlign w:val="center"/>
            <w:hideMark/>
          </w:tcPr>
          <w:p w:rsidRPr="003734FB" w:rsidR="003734FB" w:rsidP="003734FB" w:rsidRDefault="003734FB" w14:paraId="175164CA" w14:textId="77777777">
            <w:pPr>
              <w:autoSpaceDE/>
              <w:autoSpaceDN/>
              <w:rPr>
                <w:rFonts w:ascii="Calibri" w:hAnsi="Calibri" w:eastAsia="Times New Roman" w:cs="Calibri"/>
                <w:b/>
                <w:bCs/>
                <w:color w:val="000000"/>
                <w:sz w:val="22"/>
                <w:szCs w:val="22"/>
                <w:lang w:eastAsia="en-US"/>
              </w:rPr>
            </w:pPr>
            <w:r w:rsidRPr="003734FB">
              <w:rPr>
                <w:rFonts w:ascii="Calibri" w:hAnsi="Calibri" w:eastAsia="Times New Roman" w:cs="Calibri"/>
                <w:b/>
                <w:bCs/>
                <w:color w:val="000000"/>
                <w:sz w:val="22"/>
                <w:szCs w:val="22"/>
                <w:lang w:eastAsia="en-US"/>
              </w:rPr>
              <w:t>Non-compliance rate</w:t>
            </w:r>
          </w:p>
        </w:tc>
        <w:tc>
          <w:tcPr>
            <w:tcW w:w="1540" w:type="dxa"/>
            <w:tcBorders>
              <w:top w:val="single" w:color="auto" w:sz="4" w:space="0"/>
              <w:left w:val="nil"/>
              <w:bottom w:val="single" w:color="auto" w:sz="4" w:space="0"/>
              <w:right w:val="single" w:color="auto" w:sz="4" w:space="0"/>
            </w:tcBorders>
            <w:shd w:val="clear" w:color="000000" w:fill="E2EFDA"/>
            <w:vAlign w:val="center"/>
            <w:hideMark/>
          </w:tcPr>
          <w:p w:rsidRPr="003734FB" w:rsidR="003734FB" w:rsidP="003734FB" w:rsidRDefault="003734FB" w14:paraId="28945481" w14:textId="77777777">
            <w:pPr>
              <w:autoSpaceDE/>
              <w:autoSpaceDN/>
              <w:rPr>
                <w:rFonts w:ascii="Calibri" w:hAnsi="Calibri" w:eastAsia="Times New Roman" w:cs="Calibri"/>
                <w:b/>
                <w:bCs/>
                <w:color w:val="000000"/>
                <w:sz w:val="22"/>
                <w:szCs w:val="22"/>
                <w:lang w:eastAsia="en-US"/>
              </w:rPr>
            </w:pPr>
            <w:r w:rsidRPr="003734FB">
              <w:rPr>
                <w:rFonts w:ascii="Calibri" w:hAnsi="Calibri" w:eastAsia="Times New Roman" w:cs="Calibri"/>
                <w:b/>
                <w:bCs/>
                <w:color w:val="000000"/>
                <w:sz w:val="22"/>
                <w:szCs w:val="22"/>
                <w:lang w:eastAsia="en-US"/>
              </w:rPr>
              <w:t>Signs per establishment</w:t>
            </w:r>
          </w:p>
        </w:tc>
        <w:tc>
          <w:tcPr>
            <w:tcW w:w="960" w:type="dxa"/>
            <w:tcBorders>
              <w:top w:val="single" w:color="auto" w:sz="4" w:space="0"/>
              <w:left w:val="nil"/>
              <w:bottom w:val="single" w:color="auto" w:sz="4" w:space="0"/>
              <w:right w:val="single" w:color="auto" w:sz="4" w:space="0"/>
            </w:tcBorders>
            <w:shd w:val="clear" w:color="000000" w:fill="E2EFDA"/>
            <w:vAlign w:val="center"/>
            <w:hideMark/>
          </w:tcPr>
          <w:p w:rsidRPr="003734FB" w:rsidR="003734FB" w:rsidP="003734FB" w:rsidRDefault="003734FB" w14:paraId="5D7A9867" w14:textId="77777777">
            <w:pPr>
              <w:autoSpaceDE/>
              <w:autoSpaceDN/>
              <w:rPr>
                <w:rFonts w:ascii="Calibri" w:hAnsi="Calibri" w:eastAsia="Times New Roman" w:cs="Calibri"/>
                <w:b/>
                <w:bCs/>
                <w:color w:val="000000"/>
                <w:sz w:val="22"/>
                <w:szCs w:val="22"/>
                <w:lang w:eastAsia="en-US"/>
              </w:rPr>
            </w:pPr>
            <w:r w:rsidRPr="003734FB">
              <w:rPr>
                <w:rFonts w:ascii="Calibri" w:hAnsi="Calibri" w:eastAsia="Times New Roman" w:cs="Calibri"/>
                <w:b/>
                <w:bCs/>
                <w:color w:val="000000"/>
                <w:sz w:val="22"/>
                <w:szCs w:val="22"/>
                <w:lang w:eastAsia="en-US"/>
              </w:rPr>
              <w:t>Cost per sign</w:t>
            </w:r>
          </w:p>
        </w:tc>
        <w:tc>
          <w:tcPr>
            <w:tcW w:w="1800" w:type="dxa"/>
            <w:tcBorders>
              <w:top w:val="single" w:color="auto" w:sz="4" w:space="0"/>
              <w:left w:val="nil"/>
              <w:bottom w:val="single" w:color="auto" w:sz="4" w:space="0"/>
              <w:right w:val="single" w:color="auto" w:sz="4" w:space="0"/>
            </w:tcBorders>
            <w:shd w:val="clear" w:color="000000" w:fill="E2EFDA"/>
            <w:vAlign w:val="center"/>
            <w:hideMark/>
          </w:tcPr>
          <w:p w:rsidRPr="003734FB" w:rsidR="003734FB" w:rsidP="003734FB" w:rsidRDefault="003734FB" w14:paraId="43358275" w14:textId="77777777">
            <w:pPr>
              <w:autoSpaceDE/>
              <w:autoSpaceDN/>
              <w:rPr>
                <w:rFonts w:ascii="Calibri" w:hAnsi="Calibri" w:eastAsia="Times New Roman" w:cs="Calibri"/>
                <w:b/>
                <w:bCs/>
                <w:color w:val="000000"/>
                <w:sz w:val="22"/>
                <w:szCs w:val="22"/>
                <w:lang w:eastAsia="en-US"/>
              </w:rPr>
            </w:pPr>
            <w:r w:rsidRPr="003734FB">
              <w:rPr>
                <w:rFonts w:ascii="Calibri" w:hAnsi="Calibri" w:eastAsia="Times New Roman" w:cs="Calibri"/>
                <w:b/>
                <w:bCs/>
                <w:color w:val="000000"/>
                <w:sz w:val="22"/>
                <w:szCs w:val="22"/>
                <w:lang w:eastAsia="en-US"/>
              </w:rPr>
              <w:t>Unit Cost</w:t>
            </w:r>
          </w:p>
        </w:tc>
      </w:tr>
      <w:tr w:rsidRPr="003734FB" w:rsidR="003734FB" w:rsidTr="003734FB" w14:paraId="704E95FE" w14:textId="77777777">
        <w:trPr>
          <w:trHeight w:val="290"/>
        </w:trPr>
        <w:tc>
          <w:tcPr>
            <w:tcW w:w="1540" w:type="dxa"/>
            <w:tcBorders>
              <w:top w:val="nil"/>
              <w:left w:val="single" w:color="auto" w:sz="4" w:space="0"/>
              <w:bottom w:val="single" w:color="auto" w:sz="4" w:space="0"/>
              <w:right w:val="single" w:color="auto" w:sz="4" w:space="0"/>
            </w:tcBorders>
            <w:shd w:val="clear" w:color="000000" w:fill="C6E0B4"/>
            <w:noWrap/>
            <w:vAlign w:val="bottom"/>
            <w:hideMark/>
          </w:tcPr>
          <w:p w:rsidRPr="003734FB" w:rsidR="003734FB" w:rsidP="003734FB" w:rsidRDefault="003734FB" w14:paraId="1CE4900B" w14:textId="0A340AD4">
            <w:pPr>
              <w:autoSpaceDE/>
              <w:autoSpaceDN/>
              <w:rPr>
                <w:rFonts w:ascii="Calibri" w:hAnsi="Calibri" w:eastAsia="Times New Roman" w:cs="Calibri"/>
                <w:b/>
                <w:bCs/>
                <w:color w:val="000000"/>
                <w:sz w:val="22"/>
                <w:szCs w:val="22"/>
                <w:lang w:eastAsia="en-US"/>
              </w:rPr>
            </w:pPr>
            <w:r w:rsidRPr="003734FB">
              <w:rPr>
                <w:rFonts w:ascii="Calibri" w:hAnsi="Calibri" w:eastAsia="Times New Roman" w:cs="Calibri"/>
                <w:b/>
                <w:bCs/>
                <w:color w:val="000000"/>
                <w:sz w:val="22"/>
                <w:szCs w:val="22"/>
                <w:lang w:eastAsia="en-US"/>
              </w:rPr>
              <w:t>I. Healthcare</w:t>
            </w:r>
          </w:p>
        </w:tc>
        <w:tc>
          <w:tcPr>
            <w:tcW w:w="1620" w:type="dxa"/>
            <w:tcBorders>
              <w:top w:val="nil"/>
              <w:left w:val="nil"/>
              <w:bottom w:val="single" w:color="auto" w:sz="4" w:space="0"/>
              <w:right w:val="single" w:color="auto" w:sz="4" w:space="0"/>
            </w:tcBorders>
            <w:shd w:val="clear" w:color="000000" w:fill="C6E0B4"/>
            <w:noWrap/>
            <w:vAlign w:val="bottom"/>
            <w:hideMark/>
          </w:tcPr>
          <w:p w:rsidRPr="003734FB" w:rsidR="003734FB" w:rsidP="003734FB" w:rsidRDefault="003734FB" w14:paraId="0776AA4D" w14:textId="77777777">
            <w:pPr>
              <w:autoSpaceDE/>
              <w:autoSpaceDN/>
              <w:rPr>
                <w:rFonts w:ascii="Calibri" w:hAnsi="Calibri" w:eastAsia="Times New Roman" w:cs="Calibri"/>
                <w:color w:val="000000"/>
                <w:sz w:val="22"/>
                <w:szCs w:val="22"/>
                <w:lang w:eastAsia="en-US"/>
              </w:rPr>
            </w:pPr>
            <w:r w:rsidRPr="003734FB">
              <w:rPr>
                <w:rFonts w:ascii="Calibri" w:hAnsi="Calibri" w:eastAsia="Times New Roman" w:cs="Calibri"/>
                <w:color w:val="000000"/>
                <w:sz w:val="22"/>
                <w:szCs w:val="22"/>
                <w:lang w:eastAsia="en-US"/>
              </w:rPr>
              <w:t> </w:t>
            </w:r>
          </w:p>
        </w:tc>
        <w:tc>
          <w:tcPr>
            <w:tcW w:w="1660" w:type="dxa"/>
            <w:tcBorders>
              <w:top w:val="nil"/>
              <w:left w:val="nil"/>
              <w:bottom w:val="single" w:color="auto" w:sz="4" w:space="0"/>
              <w:right w:val="single" w:color="auto" w:sz="4" w:space="0"/>
            </w:tcBorders>
            <w:shd w:val="clear" w:color="000000" w:fill="C6E0B4"/>
            <w:noWrap/>
            <w:vAlign w:val="bottom"/>
            <w:hideMark/>
          </w:tcPr>
          <w:p w:rsidRPr="003734FB" w:rsidR="003734FB" w:rsidP="003734FB" w:rsidRDefault="003734FB" w14:paraId="6E6FF734" w14:textId="77777777">
            <w:pPr>
              <w:autoSpaceDE/>
              <w:autoSpaceDN/>
              <w:rPr>
                <w:rFonts w:ascii="Calibri" w:hAnsi="Calibri" w:eastAsia="Times New Roman" w:cs="Calibri"/>
                <w:color w:val="000000"/>
                <w:sz w:val="22"/>
                <w:szCs w:val="22"/>
                <w:lang w:eastAsia="en-US"/>
              </w:rPr>
            </w:pPr>
            <w:r w:rsidRPr="003734FB">
              <w:rPr>
                <w:rFonts w:ascii="Calibri" w:hAnsi="Calibri" w:eastAsia="Times New Roman" w:cs="Calibri"/>
                <w:color w:val="000000"/>
                <w:sz w:val="22"/>
                <w:szCs w:val="22"/>
                <w:lang w:eastAsia="en-US"/>
              </w:rPr>
              <w:t> </w:t>
            </w:r>
          </w:p>
        </w:tc>
        <w:tc>
          <w:tcPr>
            <w:tcW w:w="1540" w:type="dxa"/>
            <w:tcBorders>
              <w:top w:val="nil"/>
              <w:left w:val="nil"/>
              <w:bottom w:val="single" w:color="auto" w:sz="4" w:space="0"/>
              <w:right w:val="single" w:color="auto" w:sz="4" w:space="0"/>
            </w:tcBorders>
            <w:shd w:val="clear" w:color="000000" w:fill="C6E0B4"/>
            <w:noWrap/>
            <w:vAlign w:val="bottom"/>
            <w:hideMark/>
          </w:tcPr>
          <w:p w:rsidRPr="003734FB" w:rsidR="003734FB" w:rsidP="003734FB" w:rsidRDefault="003734FB" w14:paraId="586B7EAD" w14:textId="77777777">
            <w:pPr>
              <w:autoSpaceDE/>
              <w:autoSpaceDN/>
              <w:rPr>
                <w:rFonts w:ascii="Calibri" w:hAnsi="Calibri" w:eastAsia="Times New Roman" w:cs="Calibri"/>
                <w:color w:val="000000"/>
                <w:sz w:val="22"/>
                <w:szCs w:val="22"/>
                <w:lang w:eastAsia="en-US"/>
              </w:rPr>
            </w:pPr>
            <w:r w:rsidRPr="003734FB">
              <w:rPr>
                <w:rFonts w:ascii="Calibri" w:hAnsi="Calibri" w:eastAsia="Times New Roman" w:cs="Calibri"/>
                <w:color w:val="000000"/>
                <w:sz w:val="22"/>
                <w:szCs w:val="22"/>
                <w:lang w:eastAsia="en-US"/>
              </w:rPr>
              <w:t> </w:t>
            </w:r>
          </w:p>
        </w:tc>
        <w:tc>
          <w:tcPr>
            <w:tcW w:w="960" w:type="dxa"/>
            <w:tcBorders>
              <w:top w:val="nil"/>
              <w:left w:val="nil"/>
              <w:bottom w:val="single" w:color="auto" w:sz="4" w:space="0"/>
              <w:right w:val="single" w:color="auto" w:sz="4" w:space="0"/>
            </w:tcBorders>
            <w:shd w:val="clear" w:color="000000" w:fill="C6E0B4"/>
            <w:noWrap/>
            <w:vAlign w:val="bottom"/>
            <w:hideMark/>
          </w:tcPr>
          <w:p w:rsidRPr="003734FB" w:rsidR="003734FB" w:rsidP="003734FB" w:rsidRDefault="003734FB" w14:paraId="2EE78532" w14:textId="77777777">
            <w:pPr>
              <w:autoSpaceDE/>
              <w:autoSpaceDN/>
              <w:rPr>
                <w:rFonts w:ascii="Calibri" w:hAnsi="Calibri" w:eastAsia="Times New Roman" w:cs="Calibri"/>
                <w:color w:val="000000"/>
                <w:sz w:val="22"/>
                <w:szCs w:val="22"/>
                <w:lang w:eastAsia="en-US"/>
              </w:rPr>
            </w:pPr>
            <w:r w:rsidRPr="003734FB">
              <w:rPr>
                <w:rFonts w:ascii="Calibri" w:hAnsi="Calibri" w:eastAsia="Times New Roman" w:cs="Calibri"/>
                <w:color w:val="000000"/>
                <w:sz w:val="22"/>
                <w:szCs w:val="22"/>
                <w:lang w:eastAsia="en-US"/>
              </w:rPr>
              <w:t> </w:t>
            </w:r>
          </w:p>
        </w:tc>
        <w:tc>
          <w:tcPr>
            <w:tcW w:w="1800" w:type="dxa"/>
            <w:tcBorders>
              <w:top w:val="nil"/>
              <w:left w:val="nil"/>
              <w:bottom w:val="single" w:color="auto" w:sz="4" w:space="0"/>
              <w:right w:val="single" w:color="auto" w:sz="4" w:space="0"/>
            </w:tcBorders>
            <w:shd w:val="clear" w:color="000000" w:fill="C6E0B4"/>
            <w:noWrap/>
            <w:vAlign w:val="bottom"/>
            <w:hideMark/>
          </w:tcPr>
          <w:p w:rsidRPr="003734FB" w:rsidR="003734FB" w:rsidP="003734FB" w:rsidRDefault="003734FB" w14:paraId="02ED9A8C" w14:textId="77777777">
            <w:pPr>
              <w:autoSpaceDE/>
              <w:autoSpaceDN/>
              <w:rPr>
                <w:rFonts w:ascii="Calibri" w:hAnsi="Calibri" w:eastAsia="Times New Roman" w:cs="Calibri"/>
                <w:color w:val="000000"/>
                <w:sz w:val="22"/>
                <w:szCs w:val="22"/>
                <w:lang w:eastAsia="en-US"/>
              </w:rPr>
            </w:pPr>
            <w:r w:rsidRPr="003734FB">
              <w:rPr>
                <w:rFonts w:ascii="Calibri" w:hAnsi="Calibri" w:eastAsia="Times New Roman" w:cs="Calibri"/>
                <w:color w:val="000000"/>
                <w:sz w:val="22"/>
                <w:szCs w:val="22"/>
                <w:lang w:eastAsia="en-US"/>
              </w:rPr>
              <w:t> </w:t>
            </w:r>
          </w:p>
        </w:tc>
      </w:tr>
      <w:tr w:rsidRPr="003734FB" w:rsidR="003734FB" w:rsidTr="003734FB" w14:paraId="700BC6A9" w14:textId="77777777">
        <w:trPr>
          <w:trHeight w:val="290"/>
        </w:trPr>
        <w:tc>
          <w:tcPr>
            <w:tcW w:w="1540" w:type="dxa"/>
            <w:tcBorders>
              <w:top w:val="nil"/>
              <w:left w:val="single" w:color="auto" w:sz="4" w:space="0"/>
              <w:bottom w:val="single" w:color="auto" w:sz="4" w:space="0"/>
              <w:right w:val="single" w:color="auto" w:sz="4" w:space="0"/>
            </w:tcBorders>
            <w:shd w:val="clear" w:color="auto" w:fill="auto"/>
            <w:noWrap/>
            <w:vAlign w:val="bottom"/>
            <w:hideMark/>
          </w:tcPr>
          <w:p w:rsidRPr="003734FB" w:rsidR="003734FB" w:rsidP="003734FB" w:rsidRDefault="003734FB" w14:paraId="11DD26C4" w14:textId="77777777">
            <w:pPr>
              <w:autoSpaceDE/>
              <w:autoSpaceDN/>
              <w:rPr>
                <w:rFonts w:ascii="Calibri" w:hAnsi="Calibri" w:eastAsia="Times New Roman" w:cs="Calibri"/>
                <w:color w:val="000000"/>
                <w:sz w:val="22"/>
                <w:szCs w:val="22"/>
                <w:lang w:eastAsia="en-US"/>
              </w:rPr>
            </w:pPr>
            <w:r w:rsidRPr="003734FB">
              <w:rPr>
                <w:rFonts w:ascii="Calibri" w:hAnsi="Calibri" w:eastAsia="Times New Roman" w:cs="Calibri"/>
                <w:color w:val="000000"/>
                <w:sz w:val="22"/>
                <w:szCs w:val="22"/>
                <w:lang w:eastAsia="en-US"/>
              </w:rPr>
              <w:t>Large</w:t>
            </w:r>
          </w:p>
        </w:tc>
        <w:tc>
          <w:tcPr>
            <w:tcW w:w="1620" w:type="dxa"/>
            <w:tcBorders>
              <w:top w:val="nil"/>
              <w:left w:val="nil"/>
              <w:bottom w:val="single" w:color="auto" w:sz="4" w:space="0"/>
              <w:right w:val="single" w:color="auto" w:sz="4" w:space="0"/>
            </w:tcBorders>
            <w:shd w:val="clear" w:color="auto" w:fill="auto"/>
            <w:noWrap/>
            <w:vAlign w:val="bottom"/>
            <w:hideMark/>
          </w:tcPr>
          <w:p w:rsidRPr="003734FB" w:rsidR="003734FB" w:rsidP="008B17CC" w:rsidRDefault="008E01FB" w14:paraId="6C24F090" w14:textId="09A4604E">
            <w:pPr>
              <w:autoSpaceDE/>
              <w:autoSpaceDN/>
              <w:jc w:val="right"/>
              <w:rPr>
                <w:rFonts w:ascii="Calibri" w:hAnsi="Calibri" w:eastAsia="Times New Roman" w:cs="Calibri"/>
                <w:color w:val="000000"/>
                <w:sz w:val="22"/>
                <w:szCs w:val="22"/>
                <w:lang w:eastAsia="en-US"/>
              </w:rPr>
            </w:pPr>
            <w:r>
              <w:rPr>
                <w:rFonts w:ascii="Calibri" w:hAnsi="Calibri" w:eastAsia="Times New Roman" w:cs="Calibri"/>
                <w:color w:val="000000"/>
                <w:sz w:val="22"/>
                <w:szCs w:val="22"/>
                <w:lang w:eastAsia="en-US"/>
              </w:rPr>
              <w:t>132,796</w:t>
            </w:r>
          </w:p>
        </w:tc>
        <w:tc>
          <w:tcPr>
            <w:tcW w:w="1660" w:type="dxa"/>
            <w:tcBorders>
              <w:top w:val="nil"/>
              <w:left w:val="nil"/>
              <w:bottom w:val="single" w:color="auto" w:sz="4" w:space="0"/>
              <w:right w:val="single" w:color="auto" w:sz="4" w:space="0"/>
            </w:tcBorders>
            <w:shd w:val="clear" w:color="auto" w:fill="auto"/>
            <w:noWrap/>
            <w:vAlign w:val="bottom"/>
            <w:hideMark/>
          </w:tcPr>
          <w:p w:rsidRPr="003734FB" w:rsidR="003734FB" w:rsidP="003734FB" w:rsidRDefault="003734FB" w14:paraId="602DA977" w14:textId="77777777">
            <w:pPr>
              <w:autoSpaceDE/>
              <w:autoSpaceDN/>
              <w:jc w:val="right"/>
              <w:rPr>
                <w:rFonts w:ascii="Calibri" w:hAnsi="Calibri" w:eastAsia="Times New Roman" w:cs="Calibri"/>
                <w:color w:val="000000"/>
                <w:sz w:val="22"/>
                <w:szCs w:val="22"/>
                <w:lang w:eastAsia="en-US"/>
              </w:rPr>
            </w:pPr>
            <w:r w:rsidRPr="003734FB">
              <w:rPr>
                <w:rFonts w:ascii="Calibri" w:hAnsi="Calibri" w:eastAsia="Times New Roman" w:cs="Calibri"/>
                <w:color w:val="000000"/>
                <w:sz w:val="22"/>
                <w:szCs w:val="22"/>
                <w:lang w:eastAsia="en-US"/>
              </w:rPr>
              <w:t>0.25</w:t>
            </w:r>
          </w:p>
        </w:tc>
        <w:tc>
          <w:tcPr>
            <w:tcW w:w="1540" w:type="dxa"/>
            <w:tcBorders>
              <w:top w:val="nil"/>
              <w:left w:val="nil"/>
              <w:bottom w:val="single" w:color="auto" w:sz="4" w:space="0"/>
              <w:right w:val="single" w:color="auto" w:sz="4" w:space="0"/>
            </w:tcBorders>
            <w:shd w:val="clear" w:color="auto" w:fill="auto"/>
            <w:noWrap/>
            <w:vAlign w:val="bottom"/>
            <w:hideMark/>
          </w:tcPr>
          <w:p w:rsidRPr="003734FB" w:rsidR="003734FB" w:rsidP="003734FB" w:rsidRDefault="003734FB" w14:paraId="52CB1C76" w14:textId="77777777">
            <w:pPr>
              <w:autoSpaceDE/>
              <w:autoSpaceDN/>
              <w:jc w:val="right"/>
              <w:rPr>
                <w:rFonts w:ascii="Calibri" w:hAnsi="Calibri" w:eastAsia="Times New Roman" w:cs="Calibri"/>
                <w:color w:val="000000"/>
                <w:sz w:val="22"/>
                <w:szCs w:val="22"/>
                <w:lang w:eastAsia="en-US"/>
              </w:rPr>
            </w:pPr>
            <w:r w:rsidRPr="003734FB">
              <w:rPr>
                <w:rFonts w:ascii="Calibri" w:hAnsi="Calibri" w:eastAsia="Times New Roman" w:cs="Calibri"/>
                <w:color w:val="000000"/>
                <w:sz w:val="22"/>
                <w:szCs w:val="22"/>
                <w:lang w:eastAsia="en-US"/>
              </w:rPr>
              <w:t>25</w:t>
            </w:r>
          </w:p>
        </w:tc>
        <w:tc>
          <w:tcPr>
            <w:tcW w:w="960" w:type="dxa"/>
            <w:tcBorders>
              <w:top w:val="nil"/>
              <w:left w:val="nil"/>
              <w:bottom w:val="single" w:color="auto" w:sz="4" w:space="0"/>
              <w:right w:val="single" w:color="auto" w:sz="4" w:space="0"/>
            </w:tcBorders>
            <w:shd w:val="clear" w:color="auto" w:fill="auto"/>
            <w:noWrap/>
            <w:vAlign w:val="bottom"/>
            <w:hideMark/>
          </w:tcPr>
          <w:p w:rsidRPr="003734FB" w:rsidR="003734FB" w:rsidP="003734FB" w:rsidRDefault="003734FB" w14:paraId="550FB9BA" w14:textId="77777777">
            <w:pPr>
              <w:autoSpaceDE/>
              <w:autoSpaceDN/>
              <w:jc w:val="right"/>
              <w:rPr>
                <w:rFonts w:ascii="Calibri" w:hAnsi="Calibri" w:eastAsia="Times New Roman" w:cs="Calibri"/>
                <w:color w:val="000000"/>
                <w:sz w:val="22"/>
                <w:szCs w:val="22"/>
                <w:lang w:eastAsia="en-US"/>
              </w:rPr>
            </w:pPr>
            <w:r w:rsidRPr="003734FB">
              <w:rPr>
                <w:rFonts w:ascii="Calibri" w:hAnsi="Calibri" w:eastAsia="Times New Roman" w:cs="Calibri"/>
                <w:color w:val="000000"/>
                <w:sz w:val="22"/>
                <w:szCs w:val="22"/>
                <w:lang w:eastAsia="en-US"/>
              </w:rPr>
              <w:t>$0.10</w:t>
            </w:r>
          </w:p>
        </w:tc>
        <w:tc>
          <w:tcPr>
            <w:tcW w:w="1800" w:type="dxa"/>
            <w:tcBorders>
              <w:top w:val="nil"/>
              <w:left w:val="nil"/>
              <w:bottom w:val="single" w:color="auto" w:sz="4" w:space="0"/>
              <w:right w:val="single" w:color="auto" w:sz="4" w:space="0"/>
            </w:tcBorders>
            <w:shd w:val="clear" w:color="auto" w:fill="auto"/>
            <w:noWrap/>
            <w:vAlign w:val="bottom"/>
            <w:hideMark/>
          </w:tcPr>
          <w:p w:rsidRPr="003734FB" w:rsidR="003734FB" w:rsidP="00BA179B" w:rsidRDefault="003734FB" w14:paraId="5754ECC3" w14:textId="3527E522">
            <w:pPr>
              <w:autoSpaceDE/>
              <w:autoSpaceDN/>
              <w:jc w:val="right"/>
              <w:rPr>
                <w:rFonts w:ascii="Calibri" w:hAnsi="Calibri" w:eastAsia="Times New Roman" w:cs="Calibri"/>
                <w:color w:val="000000"/>
                <w:sz w:val="22"/>
                <w:szCs w:val="22"/>
                <w:lang w:eastAsia="en-US"/>
              </w:rPr>
            </w:pPr>
            <w:r w:rsidRPr="003734FB">
              <w:rPr>
                <w:rFonts w:ascii="Calibri" w:hAnsi="Calibri" w:eastAsia="Times New Roman" w:cs="Calibri"/>
                <w:color w:val="000000"/>
                <w:sz w:val="22"/>
                <w:szCs w:val="22"/>
                <w:lang w:eastAsia="en-US"/>
              </w:rPr>
              <w:t>$</w:t>
            </w:r>
            <w:r w:rsidR="00BA179B">
              <w:rPr>
                <w:rFonts w:ascii="Calibri" w:hAnsi="Calibri" w:eastAsia="Times New Roman" w:cs="Calibri"/>
                <w:color w:val="000000"/>
                <w:sz w:val="22"/>
                <w:szCs w:val="22"/>
                <w:lang w:eastAsia="en-US"/>
              </w:rPr>
              <w:t>83,268.13</w:t>
            </w:r>
          </w:p>
        </w:tc>
      </w:tr>
      <w:tr w:rsidRPr="003734FB" w:rsidR="003734FB" w:rsidTr="003734FB" w14:paraId="4D88CFD0" w14:textId="77777777">
        <w:trPr>
          <w:trHeight w:val="290"/>
        </w:trPr>
        <w:tc>
          <w:tcPr>
            <w:tcW w:w="1540" w:type="dxa"/>
            <w:tcBorders>
              <w:top w:val="nil"/>
              <w:left w:val="single" w:color="auto" w:sz="4" w:space="0"/>
              <w:bottom w:val="single" w:color="auto" w:sz="4" w:space="0"/>
              <w:right w:val="single" w:color="auto" w:sz="4" w:space="0"/>
            </w:tcBorders>
            <w:shd w:val="clear" w:color="auto" w:fill="auto"/>
            <w:noWrap/>
            <w:vAlign w:val="bottom"/>
            <w:hideMark/>
          </w:tcPr>
          <w:p w:rsidRPr="003734FB" w:rsidR="003734FB" w:rsidP="003734FB" w:rsidRDefault="003734FB" w14:paraId="0ED128B9" w14:textId="77777777">
            <w:pPr>
              <w:autoSpaceDE/>
              <w:autoSpaceDN/>
              <w:rPr>
                <w:rFonts w:ascii="Calibri" w:hAnsi="Calibri" w:eastAsia="Times New Roman" w:cs="Calibri"/>
                <w:color w:val="000000"/>
                <w:sz w:val="22"/>
                <w:szCs w:val="22"/>
                <w:lang w:eastAsia="en-US"/>
              </w:rPr>
            </w:pPr>
            <w:r w:rsidRPr="003734FB">
              <w:rPr>
                <w:rFonts w:ascii="Calibri" w:hAnsi="Calibri" w:eastAsia="Times New Roman" w:cs="Calibri"/>
                <w:color w:val="000000"/>
                <w:sz w:val="22"/>
                <w:szCs w:val="22"/>
                <w:lang w:eastAsia="en-US"/>
              </w:rPr>
              <w:t xml:space="preserve">SBA </w:t>
            </w:r>
          </w:p>
        </w:tc>
        <w:tc>
          <w:tcPr>
            <w:tcW w:w="1620" w:type="dxa"/>
            <w:tcBorders>
              <w:top w:val="nil"/>
              <w:left w:val="nil"/>
              <w:bottom w:val="single" w:color="auto" w:sz="4" w:space="0"/>
              <w:right w:val="single" w:color="auto" w:sz="4" w:space="0"/>
            </w:tcBorders>
            <w:shd w:val="clear" w:color="auto" w:fill="auto"/>
            <w:noWrap/>
            <w:vAlign w:val="bottom"/>
            <w:hideMark/>
          </w:tcPr>
          <w:p w:rsidRPr="003734FB" w:rsidR="003734FB" w:rsidP="008B17CC" w:rsidRDefault="00A97D3E" w14:paraId="09140745" w14:textId="35D6FC23">
            <w:pPr>
              <w:autoSpaceDE/>
              <w:autoSpaceDN/>
              <w:jc w:val="right"/>
              <w:rPr>
                <w:rFonts w:ascii="Calibri" w:hAnsi="Calibri" w:eastAsia="Times New Roman" w:cs="Calibri"/>
                <w:color w:val="000000"/>
                <w:sz w:val="22"/>
                <w:szCs w:val="22"/>
                <w:lang w:eastAsia="en-US"/>
              </w:rPr>
            </w:pPr>
            <w:r>
              <w:rPr>
                <w:rFonts w:ascii="Calibri" w:hAnsi="Calibri" w:eastAsia="Times New Roman" w:cs="Calibri"/>
                <w:color w:val="000000"/>
                <w:sz w:val="22"/>
                <w:szCs w:val="22"/>
                <w:lang w:eastAsia="en-US"/>
              </w:rPr>
              <w:t>138,816</w:t>
            </w:r>
          </w:p>
        </w:tc>
        <w:tc>
          <w:tcPr>
            <w:tcW w:w="1660" w:type="dxa"/>
            <w:tcBorders>
              <w:top w:val="nil"/>
              <w:left w:val="nil"/>
              <w:bottom w:val="single" w:color="auto" w:sz="4" w:space="0"/>
              <w:right w:val="single" w:color="auto" w:sz="4" w:space="0"/>
            </w:tcBorders>
            <w:shd w:val="clear" w:color="auto" w:fill="auto"/>
            <w:noWrap/>
            <w:vAlign w:val="bottom"/>
            <w:hideMark/>
          </w:tcPr>
          <w:p w:rsidRPr="003734FB" w:rsidR="003734FB" w:rsidP="003734FB" w:rsidRDefault="003734FB" w14:paraId="60678F2C" w14:textId="77777777">
            <w:pPr>
              <w:autoSpaceDE/>
              <w:autoSpaceDN/>
              <w:jc w:val="right"/>
              <w:rPr>
                <w:rFonts w:ascii="Calibri" w:hAnsi="Calibri" w:eastAsia="Times New Roman" w:cs="Calibri"/>
                <w:color w:val="000000"/>
                <w:sz w:val="22"/>
                <w:szCs w:val="22"/>
                <w:lang w:eastAsia="en-US"/>
              </w:rPr>
            </w:pPr>
            <w:r w:rsidRPr="003734FB">
              <w:rPr>
                <w:rFonts w:ascii="Calibri" w:hAnsi="Calibri" w:eastAsia="Times New Roman" w:cs="Calibri"/>
                <w:color w:val="000000"/>
                <w:sz w:val="22"/>
                <w:szCs w:val="22"/>
                <w:lang w:eastAsia="en-US"/>
              </w:rPr>
              <w:t>0.25</w:t>
            </w:r>
          </w:p>
        </w:tc>
        <w:tc>
          <w:tcPr>
            <w:tcW w:w="1540" w:type="dxa"/>
            <w:tcBorders>
              <w:top w:val="nil"/>
              <w:left w:val="nil"/>
              <w:bottom w:val="single" w:color="auto" w:sz="4" w:space="0"/>
              <w:right w:val="single" w:color="auto" w:sz="4" w:space="0"/>
            </w:tcBorders>
            <w:shd w:val="clear" w:color="auto" w:fill="auto"/>
            <w:noWrap/>
            <w:vAlign w:val="bottom"/>
            <w:hideMark/>
          </w:tcPr>
          <w:p w:rsidRPr="003734FB" w:rsidR="003734FB" w:rsidP="003734FB" w:rsidRDefault="003734FB" w14:paraId="7FEC7228" w14:textId="77777777">
            <w:pPr>
              <w:autoSpaceDE/>
              <w:autoSpaceDN/>
              <w:jc w:val="right"/>
              <w:rPr>
                <w:rFonts w:ascii="Calibri" w:hAnsi="Calibri" w:eastAsia="Times New Roman" w:cs="Calibri"/>
                <w:color w:val="000000"/>
                <w:sz w:val="22"/>
                <w:szCs w:val="22"/>
                <w:lang w:eastAsia="en-US"/>
              </w:rPr>
            </w:pPr>
            <w:r w:rsidRPr="003734FB">
              <w:rPr>
                <w:rFonts w:ascii="Calibri" w:hAnsi="Calibri" w:eastAsia="Times New Roman" w:cs="Calibri"/>
                <w:color w:val="000000"/>
                <w:sz w:val="22"/>
                <w:szCs w:val="22"/>
                <w:lang w:eastAsia="en-US"/>
              </w:rPr>
              <w:t>15</w:t>
            </w:r>
          </w:p>
        </w:tc>
        <w:tc>
          <w:tcPr>
            <w:tcW w:w="960" w:type="dxa"/>
            <w:tcBorders>
              <w:top w:val="nil"/>
              <w:left w:val="nil"/>
              <w:bottom w:val="single" w:color="auto" w:sz="4" w:space="0"/>
              <w:right w:val="single" w:color="auto" w:sz="4" w:space="0"/>
            </w:tcBorders>
            <w:shd w:val="clear" w:color="auto" w:fill="auto"/>
            <w:noWrap/>
            <w:vAlign w:val="bottom"/>
            <w:hideMark/>
          </w:tcPr>
          <w:p w:rsidRPr="003734FB" w:rsidR="003734FB" w:rsidP="003734FB" w:rsidRDefault="003734FB" w14:paraId="2CE46D4E" w14:textId="77777777">
            <w:pPr>
              <w:autoSpaceDE/>
              <w:autoSpaceDN/>
              <w:jc w:val="right"/>
              <w:rPr>
                <w:rFonts w:ascii="Calibri" w:hAnsi="Calibri" w:eastAsia="Times New Roman" w:cs="Calibri"/>
                <w:color w:val="000000"/>
                <w:sz w:val="22"/>
                <w:szCs w:val="22"/>
                <w:lang w:eastAsia="en-US"/>
              </w:rPr>
            </w:pPr>
            <w:r w:rsidRPr="003734FB">
              <w:rPr>
                <w:rFonts w:ascii="Calibri" w:hAnsi="Calibri" w:eastAsia="Times New Roman" w:cs="Calibri"/>
                <w:color w:val="000000"/>
                <w:sz w:val="22"/>
                <w:szCs w:val="22"/>
                <w:lang w:eastAsia="en-US"/>
              </w:rPr>
              <w:t>$0.10</w:t>
            </w:r>
          </w:p>
        </w:tc>
        <w:tc>
          <w:tcPr>
            <w:tcW w:w="1800" w:type="dxa"/>
            <w:tcBorders>
              <w:top w:val="nil"/>
              <w:left w:val="nil"/>
              <w:bottom w:val="single" w:color="auto" w:sz="4" w:space="0"/>
              <w:right w:val="single" w:color="auto" w:sz="4" w:space="0"/>
            </w:tcBorders>
            <w:shd w:val="clear" w:color="auto" w:fill="auto"/>
            <w:noWrap/>
            <w:vAlign w:val="bottom"/>
            <w:hideMark/>
          </w:tcPr>
          <w:p w:rsidRPr="003734FB" w:rsidR="003734FB" w:rsidP="00BA179B" w:rsidRDefault="003734FB" w14:paraId="52421E14" w14:textId="73B94D8D">
            <w:pPr>
              <w:autoSpaceDE/>
              <w:autoSpaceDN/>
              <w:jc w:val="right"/>
              <w:rPr>
                <w:rFonts w:ascii="Calibri" w:hAnsi="Calibri" w:eastAsia="Times New Roman" w:cs="Calibri"/>
                <w:color w:val="000000"/>
                <w:sz w:val="22"/>
                <w:szCs w:val="22"/>
                <w:lang w:eastAsia="en-US"/>
              </w:rPr>
            </w:pPr>
            <w:r w:rsidRPr="003734FB">
              <w:rPr>
                <w:rFonts w:ascii="Calibri" w:hAnsi="Calibri" w:eastAsia="Times New Roman" w:cs="Calibri"/>
                <w:color w:val="000000"/>
                <w:sz w:val="22"/>
                <w:szCs w:val="22"/>
                <w:lang w:eastAsia="en-US"/>
              </w:rPr>
              <w:t>$</w:t>
            </w:r>
            <w:r w:rsidR="00BA179B">
              <w:rPr>
                <w:rFonts w:ascii="Calibri" w:hAnsi="Calibri" w:eastAsia="Times New Roman" w:cs="Calibri"/>
                <w:color w:val="000000"/>
                <w:sz w:val="22"/>
                <w:szCs w:val="22"/>
                <w:lang w:eastAsia="en-US"/>
              </w:rPr>
              <w:t>52,758.75</w:t>
            </w:r>
          </w:p>
        </w:tc>
      </w:tr>
      <w:tr w:rsidRPr="003734FB" w:rsidR="003734FB" w:rsidTr="003734FB" w14:paraId="2C48D179" w14:textId="77777777">
        <w:trPr>
          <w:trHeight w:val="290"/>
        </w:trPr>
        <w:tc>
          <w:tcPr>
            <w:tcW w:w="1540" w:type="dxa"/>
            <w:tcBorders>
              <w:top w:val="nil"/>
              <w:left w:val="single" w:color="auto" w:sz="4" w:space="0"/>
              <w:bottom w:val="single" w:color="auto" w:sz="4" w:space="0"/>
              <w:right w:val="single" w:color="auto" w:sz="4" w:space="0"/>
            </w:tcBorders>
            <w:shd w:val="clear" w:color="auto" w:fill="auto"/>
            <w:noWrap/>
            <w:vAlign w:val="bottom"/>
            <w:hideMark/>
          </w:tcPr>
          <w:p w:rsidRPr="003734FB" w:rsidR="003734FB" w:rsidP="003734FB" w:rsidRDefault="003734FB" w14:paraId="149943A5" w14:textId="77777777">
            <w:pPr>
              <w:autoSpaceDE/>
              <w:autoSpaceDN/>
              <w:rPr>
                <w:rFonts w:ascii="Calibri" w:hAnsi="Calibri" w:eastAsia="Times New Roman" w:cs="Calibri"/>
                <w:color w:val="000000"/>
                <w:sz w:val="22"/>
                <w:szCs w:val="22"/>
                <w:lang w:eastAsia="en-US"/>
              </w:rPr>
            </w:pPr>
            <w:r w:rsidRPr="003734FB">
              <w:rPr>
                <w:rFonts w:ascii="Calibri" w:hAnsi="Calibri" w:eastAsia="Times New Roman" w:cs="Calibri"/>
                <w:color w:val="000000"/>
                <w:sz w:val="22"/>
                <w:szCs w:val="22"/>
                <w:lang w:eastAsia="en-US"/>
              </w:rPr>
              <w:t>Very Small</w:t>
            </w:r>
          </w:p>
        </w:tc>
        <w:tc>
          <w:tcPr>
            <w:tcW w:w="1620" w:type="dxa"/>
            <w:tcBorders>
              <w:top w:val="nil"/>
              <w:left w:val="nil"/>
              <w:bottom w:val="single" w:color="auto" w:sz="4" w:space="0"/>
              <w:right w:val="single" w:color="auto" w:sz="4" w:space="0"/>
            </w:tcBorders>
            <w:shd w:val="clear" w:color="auto" w:fill="auto"/>
            <w:noWrap/>
            <w:vAlign w:val="bottom"/>
            <w:hideMark/>
          </w:tcPr>
          <w:p w:rsidRPr="003734FB" w:rsidR="003734FB" w:rsidP="008B17CC" w:rsidRDefault="008B17CC" w14:paraId="56C4C5B1" w14:textId="6BA3A87E">
            <w:pPr>
              <w:autoSpaceDE/>
              <w:autoSpaceDN/>
              <w:jc w:val="right"/>
              <w:rPr>
                <w:rFonts w:ascii="Calibri" w:hAnsi="Calibri" w:eastAsia="Times New Roman" w:cs="Calibri"/>
                <w:color w:val="000000"/>
                <w:sz w:val="22"/>
                <w:szCs w:val="22"/>
                <w:lang w:eastAsia="en-US"/>
              </w:rPr>
            </w:pPr>
            <w:r>
              <w:rPr>
                <w:rFonts w:ascii="Calibri" w:hAnsi="Calibri" w:eastAsia="Times New Roman" w:cs="Calibri"/>
                <w:color w:val="000000"/>
                <w:sz w:val="22"/>
                <w:szCs w:val="22"/>
                <w:lang w:eastAsia="en-US"/>
              </w:rPr>
              <w:t>481,114</w:t>
            </w:r>
          </w:p>
        </w:tc>
        <w:tc>
          <w:tcPr>
            <w:tcW w:w="1660" w:type="dxa"/>
            <w:tcBorders>
              <w:top w:val="nil"/>
              <w:left w:val="nil"/>
              <w:bottom w:val="single" w:color="auto" w:sz="4" w:space="0"/>
              <w:right w:val="single" w:color="auto" w:sz="4" w:space="0"/>
            </w:tcBorders>
            <w:shd w:val="clear" w:color="auto" w:fill="auto"/>
            <w:noWrap/>
            <w:vAlign w:val="bottom"/>
            <w:hideMark/>
          </w:tcPr>
          <w:p w:rsidRPr="003734FB" w:rsidR="003734FB" w:rsidP="003734FB" w:rsidRDefault="003734FB" w14:paraId="55E0EC58" w14:textId="77777777">
            <w:pPr>
              <w:autoSpaceDE/>
              <w:autoSpaceDN/>
              <w:jc w:val="right"/>
              <w:rPr>
                <w:rFonts w:ascii="Calibri" w:hAnsi="Calibri" w:eastAsia="Times New Roman" w:cs="Calibri"/>
                <w:color w:val="000000"/>
                <w:sz w:val="22"/>
                <w:szCs w:val="22"/>
                <w:lang w:eastAsia="en-US"/>
              </w:rPr>
            </w:pPr>
            <w:r w:rsidRPr="003734FB">
              <w:rPr>
                <w:rFonts w:ascii="Calibri" w:hAnsi="Calibri" w:eastAsia="Times New Roman" w:cs="Calibri"/>
                <w:color w:val="000000"/>
                <w:sz w:val="22"/>
                <w:szCs w:val="22"/>
                <w:lang w:eastAsia="en-US"/>
              </w:rPr>
              <w:t>0.5</w:t>
            </w:r>
          </w:p>
        </w:tc>
        <w:tc>
          <w:tcPr>
            <w:tcW w:w="1540" w:type="dxa"/>
            <w:tcBorders>
              <w:top w:val="nil"/>
              <w:left w:val="nil"/>
              <w:bottom w:val="single" w:color="auto" w:sz="4" w:space="0"/>
              <w:right w:val="single" w:color="auto" w:sz="4" w:space="0"/>
            </w:tcBorders>
            <w:shd w:val="clear" w:color="auto" w:fill="auto"/>
            <w:noWrap/>
            <w:vAlign w:val="bottom"/>
            <w:hideMark/>
          </w:tcPr>
          <w:p w:rsidRPr="003734FB" w:rsidR="003734FB" w:rsidP="00FC64EF" w:rsidRDefault="003734FB" w14:paraId="30D7CC07" w14:textId="60F70D0B">
            <w:pPr>
              <w:autoSpaceDE/>
              <w:autoSpaceDN/>
              <w:jc w:val="right"/>
              <w:rPr>
                <w:rFonts w:ascii="Calibri" w:hAnsi="Calibri" w:eastAsia="Times New Roman" w:cs="Calibri"/>
                <w:color w:val="000000"/>
                <w:sz w:val="22"/>
                <w:szCs w:val="22"/>
                <w:lang w:eastAsia="en-US"/>
              </w:rPr>
            </w:pPr>
            <w:r w:rsidRPr="003734FB">
              <w:rPr>
                <w:rFonts w:ascii="Calibri" w:hAnsi="Calibri" w:eastAsia="Times New Roman" w:cs="Calibri"/>
                <w:color w:val="000000"/>
                <w:sz w:val="22"/>
                <w:szCs w:val="22"/>
                <w:lang w:eastAsia="en-US"/>
              </w:rPr>
              <w:t> </w:t>
            </w:r>
            <w:r w:rsidR="0049029B">
              <w:rPr>
                <w:rFonts w:ascii="Calibri" w:hAnsi="Calibri" w:eastAsia="Times New Roman" w:cs="Calibri"/>
                <w:color w:val="000000"/>
                <w:sz w:val="22"/>
                <w:szCs w:val="22"/>
                <w:lang w:eastAsia="en-US"/>
              </w:rPr>
              <w:t>10</w:t>
            </w:r>
          </w:p>
        </w:tc>
        <w:tc>
          <w:tcPr>
            <w:tcW w:w="960" w:type="dxa"/>
            <w:tcBorders>
              <w:top w:val="nil"/>
              <w:left w:val="nil"/>
              <w:bottom w:val="single" w:color="auto" w:sz="4" w:space="0"/>
              <w:right w:val="single" w:color="auto" w:sz="4" w:space="0"/>
            </w:tcBorders>
            <w:shd w:val="clear" w:color="auto" w:fill="auto"/>
            <w:noWrap/>
            <w:vAlign w:val="bottom"/>
            <w:hideMark/>
          </w:tcPr>
          <w:p w:rsidRPr="003734FB" w:rsidR="003734FB" w:rsidP="003734FB" w:rsidRDefault="003734FB" w14:paraId="61BAFD23" w14:textId="77777777">
            <w:pPr>
              <w:autoSpaceDE/>
              <w:autoSpaceDN/>
              <w:jc w:val="right"/>
              <w:rPr>
                <w:rFonts w:ascii="Calibri" w:hAnsi="Calibri" w:eastAsia="Times New Roman" w:cs="Calibri"/>
                <w:color w:val="000000"/>
                <w:sz w:val="22"/>
                <w:szCs w:val="22"/>
                <w:lang w:eastAsia="en-US"/>
              </w:rPr>
            </w:pPr>
            <w:r w:rsidRPr="003734FB">
              <w:rPr>
                <w:rFonts w:ascii="Calibri" w:hAnsi="Calibri" w:eastAsia="Times New Roman" w:cs="Calibri"/>
                <w:color w:val="000000"/>
                <w:sz w:val="22"/>
                <w:szCs w:val="22"/>
                <w:lang w:eastAsia="en-US"/>
              </w:rPr>
              <w:t>$0.10</w:t>
            </w:r>
          </w:p>
        </w:tc>
        <w:tc>
          <w:tcPr>
            <w:tcW w:w="1800" w:type="dxa"/>
            <w:tcBorders>
              <w:top w:val="nil"/>
              <w:left w:val="nil"/>
              <w:bottom w:val="single" w:color="auto" w:sz="4" w:space="0"/>
              <w:right w:val="single" w:color="auto" w:sz="4" w:space="0"/>
            </w:tcBorders>
            <w:shd w:val="clear" w:color="auto" w:fill="auto"/>
            <w:noWrap/>
            <w:vAlign w:val="bottom"/>
            <w:hideMark/>
          </w:tcPr>
          <w:p w:rsidRPr="003734FB" w:rsidR="003734FB" w:rsidP="00BA179B" w:rsidRDefault="003734FB" w14:paraId="5D8E0453" w14:textId="0BBC842A">
            <w:pPr>
              <w:autoSpaceDE/>
              <w:autoSpaceDN/>
              <w:jc w:val="right"/>
              <w:rPr>
                <w:rFonts w:ascii="Calibri" w:hAnsi="Calibri" w:eastAsia="Times New Roman" w:cs="Calibri"/>
                <w:color w:val="000000"/>
                <w:sz w:val="22"/>
                <w:szCs w:val="22"/>
                <w:lang w:eastAsia="en-US"/>
              </w:rPr>
            </w:pPr>
            <w:r w:rsidRPr="003734FB">
              <w:rPr>
                <w:rFonts w:ascii="Calibri" w:hAnsi="Calibri" w:eastAsia="Times New Roman" w:cs="Calibri"/>
                <w:color w:val="000000"/>
                <w:sz w:val="22"/>
                <w:szCs w:val="22"/>
                <w:lang w:eastAsia="en-US"/>
              </w:rPr>
              <w:t>$</w:t>
            </w:r>
            <w:r w:rsidR="00BA179B">
              <w:rPr>
                <w:rFonts w:ascii="Calibri" w:hAnsi="Calibri" w:eastAsia="Times New Roman" w:cs="Calibri"/>
                <w:color w:val="000000"/>
                <w:sz w:val="22"/>
                <w:szCs w:val="22"/>
                <w:lang w:eastAsia="en-US"/>
              </w:rPr>
              <w:t>240,557.00</w:t>
            </w:r>
          </w:p>
        </w:tc>
      </w:tr>
      <w:tr w:rsidRPr="003734FB" w:rsidR="003734FB" w:rsidTr="003734FB" w14:paraId="4BF81887" w14:textId="77777777">
        <w:trPr>
          <w:trHeight w:val="290"/>
        </w:trPr>
        <w:tc>
          <w:tcPr>
            <w:tcW w:w="1540" w:type="dxa"/>
            <w:tcBorders>
              <w:top w:val="nil"/>
              <w:left w:val="single" w:color="auto" w:sz="4" w:space="0"/>
              <w:bottom w:val="single" w:color="auto" w:sz="4" w:space="0"/>
              <w:right w:val="single" w:color="auto" w:sz="4" w:space="0"/>
            </w:tcBorders>
            <w:shd w:val="clear" w:color="000000" w:fill="E2EFDA"/>
            <w:noWrap/>
            <w:vAlign w:val="bottom"/>
            <w:hideMark/>
          </w:tcPr>
          <w:p w:rsidRPr="003734FB" w:rsidR="003734FB" w:rsidP="003734FB" w:rsidRDefault="003734FB" w14:paraId="0098E953" w14:textId="77777777">
            <w:pPr>
              <w:autoSpaceDE/>
              <w:autoSpaceDN/>
              <w:rPr>
                <w:rFonts w:ascii="Calibri" w:hAnsi="Calibri" w:eastAsia="Times New Roman" w:cs="Calibri"/>
                <w:b/>
                <w:bCs/>
                <w:color w:val="000000"/>
                <w:sz w:val="22"/>
                <w:szCs w:val="22"/>
                <w:lang w:eastAsia="en-US"/>
              </w:rPr>
            </w:pPr>
            <w:r w:rsidRPr="003734FB">
              <w:rPr>
                <w:rFonts w:ascii="Calibri" w:hAnsi="Calibri" w:eastAsia="Times New Roman" w:cs="Calibri"/>
                <w:b/>
                <w:bCs/>
                <w:color w:val="000000"/>
                <w:sz w:val="22"/>
                <w:szCs w:val="22"/>
                <w:lang w:eastAsia="en-US"/>
              </w:rPr>
              <w:t>Total</w:t>
            </w:r>
          </w:p>
        </w:tc>
        <w:tc>
          <w:tcPr>
            <w:tcW w:w="1620" w:type="dxa"/>
            <w:tcBorders>
              <w:top w:val="nil"/>
              <w:left w:val="nil"/>
              <w:bottom w:val="single" w:color="auto" w:sz="4" w:space="0"/>
              <w:right w:val="single" w:color="auto" w:sz="4" w:space="0"/>
            </w:tcBorders>
            <w:shd w:val="thinHorzStripe" w:color="000000" w:fill="E2EFDA"/>
            <w:noWrap/>
            <w:vAlign w:val="bottom"/>
            <w:hideMark/>
          </w:tcPr>
          <w:p w:rsidRPr="003734FB" w:rsidR="003734FB" w:rsidP="003734FB" w:rsidRDefault="003734FB" w14:paraId="053BCAE1" w14:textId="77777777">
            <w:pPr>
              <w:autoSpaceDE/>
              <w:autoSpaceDN/>
              <w:rPr>
                <w:rFonts w:ascii="Calibri" w:hAnsi="Calibri" w:eastAsia="Times New Roman" w:cs="Calibri"/>
                <w:color w:val="000000"/>
                <w:sz w:val="22"/>
                <w:szCs w:val="22"/>
                <w:lang w:eastAsia="en-US"/>
              </w:rPr>
            </w:pPr>
            <w:r w:rsidRPr="003734FB">
              <w:rPr>
                <w:rFonts w:ascii="Calibri" w:hAnsi="Calibri" w:eastAsia="Times New Roman" w:cs="Calibri"/>
                <w:color w:val="000000"/>
                <w:sz w:val="22"/>
                <w:szCs w:val="22"/>
                <w:lang w:eastAsia="en-US"/>
              </w:rPr>
              <w:t> </w:t>
            </w:r>
          </w:p>
        </w:tc>
        <w:tc>
          <w:tcPr>
            <w:tcW w:w="1660" w:type="dxa"/>
            <w:tcBorders>
              <w:top w:val="nil"/>
              <w:left w:val="nil"/>
              <w:bottom w:val="single" w:color="auto" w:sz="4" w:space="0"/>
              <w:right w:val="single" w:color="auto" w:sz="4" w:space="0"/>
            </w:tcBorders>
            <w:shd w:val="thinHorzStripe" w:color="000000" w:fill="E2EFDA"/>
            <w:noWrap/>
            <w:vAlign w:val="bottom"/>
            <w:hideMark/>
          </w:tcPr>
          <w:p w:rsidRPr="003734FB" w:rsidR="003734FB" w:rsidP="003734FB" w:rsidRDefault="003734FB" w14:paraId="61E2D648" w14:textId="77777777">
            <w:pPr>
              <w:autoSpaceDE/>
              <w:autoSpaceDN/>
              <w:rPr>
                <w:rFonts w:ascii="Calibri" w:hAnsi="Calibri" w:eastAsia="Times New Roman" w:cs="Calibri"/>
                <w:color w:val="000000"/>
                <w:sz w:val="22"/>
                <w:szCs w:val="22"/>
                <w:lang w:eastAsia="en-US"/>
              </w:rPr>
            </w:pPr>
            <w:r w:rsidRPr="003734FB">
              <w:rPr>
                <w:rFonts w:ascii="Calibri" w:hAnsi="Calibri" w:eastAsia="Times New Roman" w:cs="Calibri"/>
                <w:color w:val="000000"/>
                <w:sz w:val="22"/>
                <w:szCs w:val="22"/>
                <w:lang w:eastAsia="en-US"/>
              </w:rPr>
              <w:t> </w:t>
            </w:r>
          </w:p>
        </w:tc>
        <w:tc>
          <w:tcPr>
            <w:tcW w:w="1540" w:type="dxa"/>
            <w:tcBorders>
              <w:top w:val="nil"/>
              <w:left w:val="nil"/>
              <w:bottom w:val="single" w:color="auto" w:sz="4" w:space="0"/>
              <w:right w:val="single" w:color="auto" w:sz="4" w:space="0"/>
            </w:tcBorders>
            <w:shd w:val="thinHorzStripe" w:color="000000" w:fill="E2EFDA"/>
            <w:noWrap/>
            <w:vAlign w:val="bottom"/>
            <w:hideMark/>
          </w:tcPr>
          <w:p w:rsidRPr="003734FB" w:rsidR="003734FB" w:rsidP="003734FB" w:rsidRDefault="003734FB" w14:paraId="56436480" w14:textId="77777777">
            <w:pPr>
              <w:autoSpaceDE/>
              <w:autoSpaceDN/>
              <w:rPr>
                <w:rFonts w:ascii="Calibri" w:hAnsi="Calibri" w:eastAsia="Times New Roman" w:cs="Calibri"/>
                <w:color w:val="000000"/>
                <w:sz w:val="22"/>
                <w:szCs w:val="22"/>
                <w:lang w:eastAsia="en-US"/>
              </w:rPr>
            </w:pPr>
            <w:r w:rsidRPr="003734FB">
              <w:rPr>
                <w:rFonts w:ascii="Calibri" w:hAnsi="Calibri" w:eastAsia="Times New Roman" w:cs="Calibri"/>
                <w:color w:val="000000"/>
                <w:sz w:val="22"/>
                <w:szCs w:val="22"/>
                <w:lang w:eastAsia="en-US"/>
              </w:rPr>
              <w:t> </w:t>
            </w:r>
          </w:p>
        </w:tc>
        <w:tc>
          <w:tcPr>
            <w:tcW w:w="960" w:type="dxa"/>
            <w:tcBorders>
              <w:top w:val="nil"/>
              <w:left w:val="nil"/>
              <w:bottom w:val="single" w:color="auto" w:sz="4" w:space="0"/>
              <w:right w:val="single" w:color="auto" w:sz="4" w:space="0"/>
            </w:tcBorders>
            <w:shd w:val="thinHorzStripe" w:color="000000" w:fill="E2EFDA"/>
            <w:noWrap/>
            <w:vAlign w:val="bottom"/>
            <w:hideMark/>
          </w:tcPr>
          <w:p w:rsidRPr="003734FB" w:rsidR="003734FB" w:rsidP="003734FB" w:rsidRDefault="003734FB" w14:paraId="72736301" w14:textId="77777777">
            <w:pPr>
              <w:autoSpaceDE/>
              <w:autoSpaceDN/>
              <w:rPr>
                <w:rFonts w:ascii="Calibri" w:hAnsi="Calibri" w:eastAsia="Times New Roman" w:cs="Calibri"/>
                <w:color w:val="000000"/>
                <w:sz w:val="22"/>
                <w:szCs w:val="22"/>
                <w:lang w:eastAsia="en-US"/>
              </w:rPr>
            </w:pPr>
            <w:r w:rsidRPr="003734FB">
              <w:rPr>
                <w:rFonts w:ascii="Calibri" w:hAnsi="Calibri" w:eastAsia="Times New Roman" w:cs="Calibri"/>
                <w:color w:val="000000"/>
                <w:sz w:val="22"/>
                <w:szCs w:val="22"/>
                <w:lang w:eastAsia="en-US"/>
              </w:rPr>
              <w:t> </w:t>
            </w:r>
          </w:p>
        </w:tc>
        <w:tc>
          <w:tcPr>
            <w:tcW w:w="1800" w:type="dxa"/>
            <w:tcBorders>
              <w:top w:val="nil"/>
              <w:left w:val="nil"/>
              <w:bottom w:val="single" w:color="auto" w:sz="4" w:space="0"/>
              <w:right w:val="single" w:color="auto" w:sz="4" w:space="0"/>
            </w:tcBorders>
            <w:shd w:val="clear" w:color="000000" w:fill="E2EFDA"/>
            <w:noWrap/>
            <w:vAlign w:val="bottom"/>
            <w:hideMark/>
          </w:tcPr>
          <w:p w:rsidRPr="003734FB" w:rsidR="003734FB" w:rsidP="00412927" w:rsidRDefault="003734FB" w14:paraId="4FAA1BC4" w14:textId="034F072C">
            <w:pPr>
              <w:autoSpaceDE/>
              <w:autoSpaceDN/>
              <w:jc w:val="right"/>
              <w:rPr>
                <w:rFonts w:ascii="Calibri" w:hAnsi="Calibri" w:eastAsia="Times New Roman" w:cs="Calibri"/>
                <w:b/>
                <w:bCs/>
                <w:color w:val="000000"/>
                <w:sz w:val="22"/>
                <w:szCs w:val="22"/>
                <w:lang w:eastAsia="en-US"/>
              </w:rPr>
            </w:pPr>
            <w:r w:rsidRPr="003734FB">
              <w:rPr>
                <w:rFonts w:ascii="Calibri" w:hAnsi="Calibri" w:eastAsia="Times New Roman" w:cs="Calibri"/>
                <w:b/>
                <w:bCs/>
                <w:color w:val="000000"/>
                <w:sz w:val="22"/>
                <w:szCs w:val="22"/>
                <w:lang w:eastAsia="en-US"/>
              </w:rPr>
              <w:t>$</w:t>
            </w:r>
            <w:r w:rsidR="00BA179B">
              <w:rPr>
                <w:rFonts w:ascii="Calibri" w:hAnsi="Calibri" w:eastAsia="Times New Roman" w:cs="Calibri"/>
                <w:b/>
                <w:bCs/>
                <w:color w:val="000000"/>
                <w:sz w:val="22"/>
                <w:szCs w:val="22"/>
                <w:lang w:eastAsia="en-US"/>
              </w:rPr>
              <w:t>376,583.88</w:t>
            </w:r>
          </w:p>
        </w:tc>
      </w:tr>
    </w:tbl>
    <w:p w:rsidR="003734FB" w:rsidP="00856AEE" w:rsidRDefault="003734FB" w14:paraId="16D1AEEB" w14:textId="32EB46B1">
      <w:pPr>
        <w:pStyle w:val="BodyText"/>
        <w:spacing w:after="0"/>
        <w:ind w:left="720"/>
        <w:rPr>
          <w:rFonts w:ascii="Times New Roman" w:hAnsi="Times New Roman"/>
          <w:bCs/>
        </w:rPr>
      </w:pPr>
    </w:p>
    <w:p w:rsidR="003734FB" w:rsidP="00856AEE" w:rsidRDefault="003734FB" w14:paraId="46D03F21" w14:textId="0877657D">
      <w:pPr>
        <w:pStyle w:val="BodyText"/>
        <w:spacing w:after="0"/>
        <w:ind w:left="720"/>
        <w:rPr>
          <w:rFonts w:ascii="Times New Roman" w:hAnsi="Times New Roman"/>
          <w:bCs/>
        </w:rPr>
      </w:pPr>
    </w:p>
    <w:p w:rsidR="003734FB" w:rsidP="00420D9A" w:rsidRDefault="003734FB" w14:paraId="19234CB6" w14:textId="79D0945F">
      <w:pPr>
        <w:pStyle w:val="BodyText"/>
        <w:keepNext/>
        <w:spacing w:after="0"/>
        <w:ind w:left="720"/>
        <w:rPr>
          <w:rFonts w:asciiTheme="minorHAnsi" w:hAnsiTheme="minorHAnsi" w:cstheme="minorHAnsi"/>
          <w:b/>
          <w:bCs/>
        </w:rPr>
      </w:pPr>
      <w:r w:rsidRPr="00173263">
        <w:rPr>
          <w:rFonts w:asciiTheme="minorHAnsi" w:hAnsiTheme="minorHAnsi" w:cstheme="minorHAnsi"/>
          <w:b/>
          <w:bCs/>
        </w:rPr>
        <w:t xml:space="preserve">Table </w:t>
      </w:r>
      <w:r w:rsidR="00412927">
        <w:rPr>
          <w:rFonts w:asciiTheme="minorHAnsi" w:hAnsiTheme="minorHAnsi" w:cstheme="minorHAnsi"/>
          <w:b/>
          <w:bCs/>
        </w:rPr>
        <w:t>E</w:t>
      </w:r>
      <w:r w:rsidRPr="003734FB">
        <w:rPr>
          <w:rFonts w:asciiTheme="minorHAnsi" w:hAnsiTheme="minorHAnsi" w:cstheme="minorHAnsi"/>
          <w:b/>
          <w:bCs/>
        </w:rPr>
        <w:t xml:space="preserve"> - Unit Cost for Rolls of Tape </w:t>
      </w:r>
      <w:r>
        <w:rPr>
          <w:rFonts w:asciiTheme="minorHAnsi" w:hAnsiTheme="minorHAnsi" w:cstheme="minorHAnsi"/>
          <w:b/>
          <w:bCs/>
        </w:rPr>
        <w:t>p</w:t>
      </w:r>
      <w:r w:rsidRPr="00173263">
        <w:rPr>
          <w:rFonts w:asciiTheme="minorHAnsi" w:hAnsiTheme="minorHAnsi" w:cstheme="minorHAnsi"/>
          <w:b/>
          <w:bCs/>
        </w:rPr>
        <w:t>er Establishment</w:t>
      </w:r>
    </w:p>
    <w:p w:rsidR="003734FB" w:rsidP="00420D9A" w:rsidRDefault="003734FB" w14:paraId="22C6CD17" w14:textId="77777777">
      <w:pPr>
        <w:pStyle w:val="BodyText"/>
        <w:keepNext/>
        <w:spacing w:after="0"/>
        <w:ind w:left="720"/>
        <w:rPr>
          <w:rFonts w:asciiTheme="minorHAnsi" w:hAnsiTheme="minorHAnsi" w:cstheme="minorHAnsi"/>
          <w:b/>
          <w:bCs/>
        </w:rPr>
      </w:pPr>
    </w:p>
    <w:tbl>
      <w:tblPr>
        <w:tblW w:w="9120" w:type="dxa"/>
        <w:tblLook w:val="04A0" w:firstRow="1" w:lastRow="0" w:firstColumn="1" w:lastColumn="0" w:noHBand="0" w:noVBand="1"/>
      </w:tblPr>
      <w:tblGrid>
        <w:gridCol w:w="1540"/>
        <w:gridCol w:w="1620"/>
        <w:gridCol w:w="1660"/>
        <w:gridCol w:w="1540"/>
        <w:gridCol w:w="960"/>
        <w:gridCol w:w="1800"/>
      </w:tblGrid>
      <w:tr w:rsidRPr="003734FB" w:rsidR="003734FB" w:rsidTr="00173263" w14:paraId="15E2F4DD" w14:textId="77777777">
        <w:trPr>
          <w:trHeight w:val="580"/>
          <w:tblHeader/>
        </w:trPr>
        <w:tc>
          <w:tcPr>
            <w:tcW w:w="1540" w:type="dxa"/>
            <w:tcBorders>
              <w:top w:val="single" w:color="auto" w:sz="4" w:space="0"/>
              <w:left w:val="single" w:color="auto" w:sz="4" w:space="0"/>
              <w:bottom w:val="single" w:color="auto" w:sz="4" w:space="0"/>
              <w:right w:val="single" w:color="auto" w:sz="4" w:space="0"/>
            </w:tcBorders>
            <w:shd w:val="thinHorzStripe" w:color="000000" w:fill="C6E0B4"/>
            <w:noWrap/>
            <w:vAlign w:val="bottom"/>
            <w:hideMark/>
          </w:tcPr>
          <w:p w:rsidRPr="003734FB" w:rsidR="003734FB" w:rsidP="003734FB" w:rsidRDefault="003734FB" w14:paraId="1CE895CE" w14:textId="77777777">
            <w:pPr>
              <w:autoSpaceDE/>
              <w:autoSpaceDN/>
              <w:rPr>
                <w:rFonts w:ascii="Calibri" w:hAnsi="Calibri" w:eastAsia="Times New Roman" w:cs="Calibri"/>
                <w:color w:val="000000"/>
                <w:sz w:val="22"/>
                <w:szCs w:val="22"/>
                <w:lang w:eastAsia="en-US"/>
              </w:rPr>
            </w:pPr>
            <w:r w:rsidRPr="003734FB">
              <w:rPr>
                <w:rFonts w:ascii="Calibri" w:hAnsi="Calibri" w:eastAsia="Times New Roman" w:cs="Calibri"/>
                <w:color w:val="000000"/>
                <w:sz w:val="22"/>
                <w:szCs w:val="22"/>
                <w:lang w:eastAsia="en-US"/>
              </w:rPr>
              <w:t> </w:t>
            </w:r>
          </w:p>
        </w:tc>
        <w:tc>
          <w:tcPr>
            <w:tcW w:w="1620" w:type="dxa"/>
            <w:tcBorders>
              <w:top w:val="single" w:color="auto" w:sz="4" w:space="0"/>
              <w:left w:val="nil"/>
              <w:bottom w:val="single" w:color="auto" w:sz="4" w:space="0"/>
              <w:right w:val="single" w:color="auto" w:sz="4" w:space="0"/>
            </w:tcBorders>
            <w:shd w:val="clear" w:color="000000" w:fill="E2EFDA"/>
            <w:noWrap/>
            <w:vAlign w:val="center"/>
            <w:hideMark/>
          </w:tcPr>
          <w:p w:rsidRPr="003734FB" w:rsidR="003734FB" w:rsidRDefault="003734FB" w14:paraId="21C7D1CF" w14:textId="79E03A38">
            <w:pPr>
              <w:autoSpaceDE/>
              <w:autoSpaceDN/>
              <w:rPr>
                <w:rFonts w:ascii="Calibri" w:hAnsi="Calibri" w:eastAsia="Times New Roman" w:cs="Calibri"/>
                <w:b/>
                <w:bCs/>
                <w:color w:val="000000"/>
                <w:sz w:val="22"/>
                <w:szCs w:val="22"/>
                <w:lang w:eastAsia="en-US"/>
              </w:rPr>
            </w:pPr>
            <w:r w:rsidRPr="003734FB">
              <w:rPr>
                <w:rFonts w:ascii="Calibri" w:hAnsi="Calibri" w:eastAsia="Times New Roman" w:cs="Calibri"/>
                <w:b/>
                <w:bCs/>
                <w:color w:val="000000"/>
                <w:sz w:val="22"/>
                <w:szCs w:val="22"/>
                <w:lang w:eastAsia="en-US"/>
              </w:rPr>
              <w:t>Establi</w:t>
            </w:r>
            <w:r w:rsidR="006A73AC">
              <w:rPr>
                <w:rFonts w:ascii="Calibri" w:hAnsi="Calibri" w:eastAsia="Times New Roman" w:cs="Calibri"/>
                <w:b/>
                <w:bCs/>
                <w:color w:val="000000"/>
                <w:sz w:val="22"/>
                <w:szCs w:val="22"/>
                <w:lang w:eastAsia="en-US"/>
              </w:rPr>
              <w:t>s</w:t>
            </w:r>
            <w:r w:rsidRPr="003734FB">
              <w:rPr>
                <w:rFonts w:ascii="Calibri" w:hAnsi="Calibri" w:eastAsia="Times New Roman" w:cs="Calibri"/>
                <w:b/>
                <w:bCs/>
                <w:color w:val="000000"/>
                <w:sz w:val="22"/>
                <w:szCs w:val="22"/>
                <w:lang w:eastAsia="en-US"/>
              </w:rPr>
              <w:t>hments</w:t>
            </w:r>
          </w:p>
        </w:tc>
        <w:tc>
          <w:tcPr>
            <w:tcW w:w="1660" w:type="dxa"/>
            <w:tcBorders>
              <w:top w:val="single" w:color="auto" w:sz="4" w:space="0"/>
              <w:left w:val="nil"/>
              <w:bottom w:val="single" w:color="auto" w:sz="4" w:space="0"/>
              <w:right w:val="single" w:color="auto" w:sz="4" w:space="0"/>
            </w:tcBorders>
            <w:shd w:val="clear" w:color="000000" w:fill="E2EFDA"/>
            <w:vAlign w:val="center"/>
            <w:hideMark/>
          </w:tcPr>
          <w:p w:rsidRPr="003734FB" w:rsidR="003734FB" w:rsidP="003734FB" w:rsidRDefault="003734FB" w14:paraId="09C8C11A" w14:textId="77777777">
            <w:pPr>
              <w:autoSpaceDE/>
              <w:autoSpaceDN/>
              <w:rPr>
                <w:rFonts w:ascii="Calibri" w:hAnsi="Calibri" w:eastAsia="Times New Roman" w:cs="Calibri"/>
                <w:b/>
                <w:bCs/>
                <w:color w:val="000000"/>
                <w:sz w:val="22"/>
                <w:szCs w:val="22"/>
                <w:lang w:eastAsia="en-US"/>
              </w:rPr>
            </w:pPr>
            <w:r w:rsidRPr="003734FB">
              <w:rPr>
                <w:rFonts w:ascii="Calibri" w:hAnsi="Calibri" w:eastAsia="Times New Roman" w:cs="Calibri"/>
                <w:b/>
                <w:bCs/>
                <w:color w:val="000000"/>
                <w:sz w:val="22"/>
                <w:szCs w:val="22"/>
                <w:lang w:eastAsia="en-US"/>
              </w:rPr>
              <w:t>Non-compliance rate</w:t>
            </w:r>
          </w:p>
        </w:tc>
        <w:tc>
          <w:tcPr>
            <w:tcW w:w="1540" w:type="dxa"/>
            <w:tcBorders>
              <w:top w:val="single" w:color="auto" w:sz="4" w:space="0"/>
              <w:left w:val="nil"/>
              <w:bottom w:val="single" w:color="auto" w:sz="4" w:space="0"/>
              <w:right w:val="single" w:color="auto" w:sz="4" w:space="0"/>
            </w:tcBorders>
            <w:shd w:val="clear" w:color="000000" w:fill="E2EFDA"/>
            <w:vAlign w:val="center"/>
            <w:hideMark/>
          </w:tcPr>
          <w:p w:rsidRPr="003734FB" w:rsidR="003734FB" w:rsidP="003734FB" w:rsidRDefault="003734FB" w14:paraId="75A4C02F" w14:textId="77777777">
            <w:pPr>
              <w:autoSpaceDE/>
              <w:autoSpaceDN/>
              <w:rPr>
                <w:rFonts w:ascii="Calibri" w:hAnsi="Calibri" w:eastAsia="Times New Roman" w:cs="Calibri"/>
                <w:b/>
                <w:bCs/>
                <w:color w:val="000000"/>
                <w:sz w:val="22"/>
                <w:szCs w:val="22"/>
                <w:lang w:eastAsia="en-US"/>
              </w:rPr>
            </w:pPr>
            <w:r w:rsidRPr="003734FB">
              <w:rPr>
                <w:rFonts w:ascii="Calibri" w:hAnsi="Calibri" w:eastAsia="Times New Roman" w:cs="Calibri"/>
                <w:b/>
                <w:bCs/>
                <w:color w:val="000000"/>
                <w:sz w:val="22"/>
                <w:szCs w:val="22"/>
                <w:lang w:eastAsia="en-US"/>
              </w:rPr>
              <w:t>Number rolls of tape</w:t>
            </w:r>
          </w:p>
        </w:tc>
        <w:tc>
          <w:tcPr>
            <w:tcW w:w="960" w:type="dxa"/>
            <w:tcBorders>
              <w:top w:val="single" w:color="auto" w:sz="4" w:space="0"/>
              <w:left w:val="nil"/>
              <w:bottom w:val="single" w:color="auto" w:sz="4" w:space="0"/>
              <w:right w:val="single" w:color="auto" w:sz="4" w:space="0"/>
            </w:tcBorders>
            <w:shd w:val="clear" w:color="000000" w:fill="E2EFDA"/>
            <w:vAlign w:val="center"/>
            <w:hideMark/>
          </w:tcPr>
          <w:p w:rsidRPr="003734FB" w:rsidR="003734FB" w:rsidP="003734FB" w:rsidRDefault="003734FB" w14:paraId="4C6DBEB0" w14:textId="77777777">
            <w:pPr>
              <w:autoSpaceDE/>
              <w:autoSpaceDN/>
              <w:rPr>
                <w:rFonts w:ascii="Calibri" w:hAnsi="Calibri" w:eastAsia="Times New Roman" w:cs="Calibri"/>
                <w:b/>
                <w:bCs/>
                <w:color w:val="000000"/>
                <w:sz w:val="22"/>
                <w:szCs w:val="22"/>
                <w:lang w:eastAsia="en-US"/>
              </w:rPr>
            </w:pPr>
            <w:r w:rsidRPr="003734FB">
              <w:rPr>
                <w:rFonts w:ascii="Calibri" w:hAnsi="Calibri" w:eastAsia="Times New Roman" w:cs="Calibri"/>
                <w:b/>
                <w:bCs/>
                <w:color w:val="000000"/>
                <w:sz w:val="22"/>
                <w:szCs w:val="22"/>
                <w:lang w:eastAsia="en-US"/>
              </w:rPr>
              <w:t>Cost per roll</w:t>
            </w:r>
          </w:p>
        </w:tc>
        <w:tc>
          <w:tcPr>
            <w:tcW w:w="1800" w:type="dxa"/>
            <w:tcBorders>
              <w:top w:val="single" w:color="auto" w:sz="4" w:space="0"/>
              <w:left w:val="nil"/>
              <w:bottom w:val="single" w:color="auto" w:sz="4" w:space="0"/>
              <w:right w:val="single" w:color="auto" w:sz="4" w:space="0"/>
            </w:tcBorders>
            <w:shd w:val="clear" w:color="000000" w:fill="E2EFDA"/>
            <w:vAlign w:val="center"/>
            <w:hideMark/>
          </w:tcPr>
          <w:p w:rsidRPr="003734FB" w:rsidR="003734FB" w:rsidP="003734FB" w:rsidRDefault="003734FB" w14:paraId="29394A45" w14:textId="77777777">
            <w:pPr>
              <w:autoSpaceDE/>
              <w:autoSpaceDN/>
              <w:rPr>
                <w:rFonts w:ascii="Calibri" w:hAnsi="Calibri" w:eastAsia="Times New Roman" w:cs="Calibri"/>
                <w:b/>
                <w:bCs/>
                <w:color w:val="000000"/>
                <w:sz w:val="22"/>
                <w:szCs w:val="22"/>
                <w:lang w:eastAsia="en-US"/>
              </w:rPr>
            </w:pPr>
            <w:r w:rsidRPr="003734FB">
              <w:rPr>
                <w:rFonts w:ascii="Calibri" w:hAnsi="Calibri" w:eastAsia="Times New Roman" w:cs="Calibri"/>
                <w:b/>
                <w:bCs/>
                <w:color w:val="000000"/>
                <w:sz w:val="22"/>
                <w:szCs w:val="22"/>
                <w:lang w:eastAsia="en-US"/>
              </w:rPr>
              <w:t>Unit Cost</w:t>
            </w:r>
          </w:p>
        </w:tc>
      </w:tr>
      <w:tr w:rsidRPr="003734FB" w:rsidR="003734FB" w:rsidTr="003734FB" w14:paraId="5A474EA2" w14:textId="77777777">
        <w:trPr>
          <w:trHeight w:val="290"/>
        </w:trPr>
        <w:tc>
          <w:tcPr>
            <w:tcW w:w="1540" w:type="dxa"/>
            <w:tcBorders>
              <w:top w:val="nil"/>
              <w:left w:val="single" w:color="auto" w:sz="4" w:space="0"/>
              <w:bottom w:val="single" w:color="auto" w:sz="4" w:space="0"/>
              <w:right w:val="single" w:color="auto" w:sz="4" w:space="0"/>
            </w:tcBorders>
            <w:shd w:val="clear" w:color="000000" w:fill="C6E0B4"/>
            <w:noWrap/>
            <w:vAlign w:val="bottom"/>
            <w:hideMark/>
          </w:tcPr>
          <w:p w:rsidRPr="003734FB" w:rsidR="003734FB" w:rsidP="003734FB" w:rsidRDefault="003734FB" w14:paraId="1D48B6EA" w14:textId="7E34D1B0">
            <w:pPr>
              <w:autoSpaceDE/>
              <w:autoSpaceDN/>
              <w:rPr>
                <w:rFonts w:ascii="Calibri" w:hAnsi="Calibri" w:eastAsia="Times New Roman" w:cs="Calibri"/>
                <w:b/>
                <w:bCs/>
                <w:color w:val="000000"/>
                <w:sz w:val="22"/>
                <w:szCs w:val="22"/>
                <w:lang w:eastAsia="en-US"/>
              </w:rPr>
            </w:pPr>
            <w:r w:rsidRPr="003734FB">
              <w:rPr>
                <w:rFonts w:ascii="Calibri" w:hAnsi="Calibri" w:eastAsia="Times New Roman" w:cs="Calibri"/>
                <w:b/>
                <w:bCs/>
                <w:color w:val="000000"/>
                <w:sz w:val="22"/>
                <w:szCs w:val="22"/>
                <w:lang w:eastAsia="en-US"/>
              </w:rPr>
              <w:t>I. Healthcare</w:t>
            </w:r>
          </w:p>
        </w:tc>
        <w:tc>
          <w:tcPr>
            <w:tcW w:w="1620" w:type="dxa"/>
            <w:tcBorders>
              <w:top w:val="nil"/>
              <w:left w:val="nil"/>
              <w:bottom w:val="single" w:color="auto" w:sz="4" w:space="0"/>
              <w:right w:val="single" w:color="auto" w:sz="4" w:space="0"/>
            </w:tcBorders>
            <w:shd w:val="clear" w:color="000000" w:fill="C6E0B4"/>
            <w:noWrap/>
            <w:vAlign w:val="bottom"/>
            <w:hideMark/>
          </w:tcPr>
          <w:p w:rsidRPr="003734FB" w:rsidR="003734FB" w:rsidP="003734FB" w:rsidRDefault="003734FB" w14:paraId="099DE9D5" w14:textId="77777777">
            <w:pPr>
              <w:autoSpaceDE/>
              <w:autoSpaceDN/>
              <w:rPr>
                <w:rFonts w:ascii="Calibri" w:hAnsi="Calibri" w:eastAsia="Times New Roman" w:cs="Calibri"/>
                <w:color w:val="000000"/>
                <w:sz w:val="22"/>
                <w:szCs w:val="22"/>
                <w:lang w:eastAsia="en-US"/>
              </w:rPr>
            </w:pPr>
            <w:r w:rsidRPr="003734FB">
              <w:rPr>
                <w:rFonts w:ascii="Calibri" w:hAnsi="Calibri" w:eastAsia="Times New Roman" w:cs="Calibri"/>
                <w:color w:val="000000"/>
                <w:sz w:val="22"/>
                <w:szCs w:val="22"/>
                <w:lang w:eastAsia="en-US"/>
              </w:rPr>
              <w:t> </w:t>
            </w:r>
          </w:p>
        </w:tc>
        <w:tc>
          <w:tcPr>
            <w:tcW w:w="1660" w:type="dxa"/>
            <w:tcBorders>
              <w:top w:val="nil"/>
              <w:left w:val="nil"/>
              <w:bottom w:val="single" w:color="auto" w:sz="4" w:space="0"/>
              <w:right w:val="single" w:color="auto" w:sz="4" w:space="0"/>
            </w:tcBorders>
            <w:shd w:val="clear" w:color="000000" w:fill="C6E0B4"/>
            <w:noWrap/>
            <w:vAlign w:val="bottom"/>
            <w:hideMark/>
          </w:tcPr>
          <w:p w:rsidRPr="003734FB" w:rsidR="003734FB" w:rsidP="003734FB" w:rsidRDefault="003734FB" w14:paraId="0A20340C" w14:textId="77777777">
            <w:pPr>
              <w:autoSpaceDE/>
              <w:autoSpaceDN/>
              <w:rPr>
                <w:rFonts w:ascii="Calibri" w:hAnsi="Calibri" w:eastAsia="Times New Roman" w:cs="Calibri"/>
                <w:color w:val="000000"/>
                <w:sz w:val="22"/>
                <w:szCs w:val="22"/>
                <w:lang w:eastAsia="en-US"/>
              </w:rPr>
            </w:pPr>
            <w:r w:rsidRPr="003734FB">
              <w:rPr>
                <w:rFonts w:ascii="Calibri" w:hAnsi="Calibri" w:eastAsia="Times New Roman" w:cs="Calibri"/>
                <w:color w:val="000000"/>
                <w:sz w:val="22"/>
                <w:szCs w:val="22"/>
                <w:lang w:eastAsia="en-US"/>
              </w:rPr>
              <w:t> </w:t>
            </w:r>
          </w:p>
        </w:tc>
        <w:tc>
          <w:tcPr>
            <w:tcW w:w="1540" w:type="dxa"/>
            <w:tcBorders>
              <w:top w:val="nil"/>
              <w:left w:val="nil"/>
              <w:bottom w:val="single" w:color="auto" w:sz="4" w:space="0"/>
              <w:right w:val="single" w:color="auto" w:sz="4" w:space="0"/>
            </w:tcBorders>
            <w:shd w:val="clear" w:color="000000" w:fill="C6E0B4"/>
            <w:noWrap/>
            <w:vAlign w:val="bottom"/>
            <w:hideMark/>
          </w:tcPr>
          <w:p w:rsidRPr="003734FB" w:rsidR="003734FB" w:rsidP="003734FB" w:rsidRDefault="003734FB" w14:paraId="10797585" w14:textId="77777777">
            <w:pPr>
              <w:autoSpaceDE/>
              <w:autoSpaceDN/>
              <w:rPr>
                <w:rFonts w:ascii="Calibri" w:hAnsi="Calibri" w:eastAsia="Times New Roman" w:cs="Calibri"/>
                <w:color w:val="000000"/>
                <w:sz w:val="22"/>
                <w:szCs w:val="22"/>
                <w:lang w:eastAsia="en-US"/>
              </w:rPr>
            </w:pPr>
            <w:r w:rsidRPr="003734FB">
              <w:rPr>
                <w:rFonts w:ascii="Calibri" w:hAnsi="Calibri" w:eastAsia="Times New Roman" w:cs="Calibri"/>
                <w:color w:val="000000"/>
                <w:sz w:val="22"/>
                <w:szCs w:val="22"/>
                <w:lang w:eastAsia="en-US"/>
              </w:rPr>
              <w:t> </w:t>
            </w:r>
          </w:p>
        </w:tc>
        <w:tc>
          <w:tcPr>
            <w:tcW w:w="960" w:type="dxa"/>
            <w:tcBorders>
              <w:top w:val="nil"/>
              <w:left w:val="nil"/>
              <w:bottom w:val="single" w:color="auto" w:sz="4" w:space="0"/>
              <w:right w:val="single" w:color="auto" w:sz="4" w:space="0"/>
            </w:tcBorders>
            <w:shd w:val="clear" w:color="000000" w:fill="C6E0B4"/>
            <w:noWrap/>
            <w:vAlign w:val="bottom"/>
            <w:hideMark/>
          </w:tcPr>
          <w:p w:rsidRPr="003734FB" w:rsidR="003734FB" w:rsidP="003734FB" w:rsidRDefault="003734FB" w14:paraId="1E9E3BE5" w14:textId="77777777">
            <w:pPr>
              <w:autoSpaceDE/>
              <w:autoSpaceDN/>
              <w:rPr>
                <w:rFonts w:ascii="Calibri" w:hAnsi="Calibri" w:eastAsia="Times New Roman" w:cs="Calibri"/>
                <w:color w:val="000000"/>
                <w:sz w:val="22"/>
                <w:szCs w:val="22"/>
                <w:lang w:eastAsia="en-US"/>
              </w:rPr>
            </w:pPr>
            <w:r w:rsidRPr="003734FB">
              <w:rPr>
                <w:rFonts w:ascii="Calibri" w:hAnsi="Calibri" w:eastAsia="Times New Roman" w:cs="Calibri"/>
                <w:color w:val="000000"/>
                <w:sz w:val="22"/>
                <w:szCs w:val="22"/>
                <w:lang w:eastAsia="en-US"/>
              </w:rPr>
              <w:t> </w:t>
            </w:r>
          </w:p>
        </w:tc>
        <w:tc>
          <w:tcPr>
            <w:tcW w:w="1800" w:type="dxa"/>
            <w:tcBorders>
              <w:top w:val="nil"/>
              <w:left w:val="nil"/>
              <w:bottom w:val="single" w:color="auto" w:sz="4" w:space="0"/>
              <w:right w:val="single" w:color="auto" w:sz="4" w:space="0"/>
            </w:tcBorders>
            <w:shd w:val="clear" w:color="000000" w:fill="C6E0B4"/>
            <w:noWrap/>
            <w:vAlign w:val="bottom"/>
            <w:hideMark/>
          </w:tcPr>
          <w:p w:rsidRPr="003734FB" w:rsidR="003734FB" w:rsidP="003734FB" w:rsidRDefault="003734FB" w14:paraId="376C8C18" w14:textId="77777777">
            <w:pPr>
              <w:autoSpaceDE/>
              <w:autoSpaceDN/>
              <w:rPr>
                <w:rFonts w:ascii="Calibri" w:hAnsi="Calibri" w:eastAsia="Times New Roman" w:cs="Calibri"/>
                <w:color w:val="000000"/>
                <w:sz w:val="22"/>
                <w:szCs w:val="22"/>
                <w:lang w:eastAsia="en-US"/>
              </w:rPr>
            </w:pPr>
            <w:r w:rsidRPr="003734FB">
              <w:rPr>
                <w:rFonts w:ascii="Calibri" w:hAnsi="Calibri" w:eastAsia="Times New Roman" w:cs="Calibri"/>
                <w:color w:val="000000"/>
                <w:sz w:val="22"/>
                <w:szCs w:val="22"/>
                <w:lang w:eastAsia="en-US"/>
              </w:rPr>
              <w:t> </w:t>
            </w:r>
          </w:p>
        </w:tc>
      </w:tr>
      <w:tr w:rsidRPr="003734FB" w:rsidR="008B17CC" w:rsidTr="003734FB" w14:paraId="49D91BCC" w14:textId="77777777">
        <w:trPr>
          <w:trHeight w:val="290"/>
        </w:trPr>
        <w:tc>
          <w:tcPr>
            <w:tcW w:w="1540" w:type="dxa"/>
            <w:tcBorders>
              <w:top w:val="nil"/>
              <w:left w:val="single" w:color="auto" w:sz="4" w:space="0"/>
              <w:bottom w:val="single" w:color="auto" w:sz="4" w:space="0"/>
              <w:right w:val="single" w:color="auto" w:sz="4" w:space="0"/>
            </w:tcBorders>
            <w:shd w:val="clear" w:color="auto" w:fill="auto"/>
            <w:noWrap/>
            <w:vAlign w:val="bottom"/>
            <w:hideMark/>
          </w:tcPr>
          <w:p w:rsidRPr="003734FB" w:rsidR="008B17CC" w:rsidP="008B17CC" w:rsidRDefault="008B17CC" w14:paraId="7CA0757D" w14:textId="77777777">
            <w:pPr>
              <w:autoSpaceDE/>
              <w:autoSpaceDN/>
              <w:rPr>
                <w:rFonts w:ascii="Calibri" w:hAnsi="Calibri" w:eastAsia="Times New Roman" w:cs="Calibri"/>
                <w:color w:val="000000"/>
                <w:sz w:val="22"/>
                <w:szCs w:val="22"/>
                <w:lang w:eastAsia="en-US"/>
              </w:rPr>
            </w:pPr>
            <w:r w:rsidRPr="003734FB">
              <w:rPr>
                <w:rFonts w:ascii="Calibri" w:hAnsi="Calibri" w:eastAsia="Times New Roman" w:cs="Calibri"/>
                <w:color w:val="000000"/>
                <w:sz w:val="22"/>
                <w:szCs w:val="22"/>
                <w:lang w:eastAsia="en-US"/>
              </w:rPr>
              <w:t>Large</w:t>
            </w:r>
          </w:p>
        </w:tc>
        <w:tc>
          <w:tcPr>
            <w:tcW w:w="1620" w:type="dxa"/>
            <w:tcBorders>
              <w:top w:val="nil"/>
              <w:left w:val="nil"/>
              <w:bottom w:val="single" w:color="auto" w:sz="4" w:space="0"/>
              <w:right w:val="single" w:color="auto" w:sz="4" w:space="0"/>
            </w:tcBorders>
            <w:shd w:val="clear" w:color="auto" w:fill="auto"/>
            <w:noWrap/>
            <w:vAlign w:val="bottom"/>
            <w:hideMark/>
          </w:tcPr>
          <w:p w:rsidRPr="003734FB" w:rsidR="008B17CC" w:rsidP="008B17CC" w:rsidRDefault="008E01FB" w14:paraId="32C8380B" w14:textId="36545CED">
            <w:pPr>
              <w:autoSpaceDE/>
              <w:autoSpaceDN/>
              <w:jc w:val="right"/>
              <w:rPr>
                <w:rFonts w:ascii="Calibri" w:hAnsi="Calibri" w:eastAsia="Times New Roman" w:cs="Calibri"/>
                <w:color w:val="000000"/>
                <w:sz w:val="22"/>
                <w:szCs w:val="22"/>
                <w:lang w:eastAsia="en-US"/>
              </w:rPr>
            </w:pPr>
            <w:r>
              <w:rPr>
                <w:rFonts w:ascii="Calibri" w:hAnsi="Calibri" w:eastAsia="Times New Roman" w:cs="Calibri"/>
                <w:color w:val="000000"/>
                <w:sz w:val="22"/>
                <w:szCs w:val="22"/>
                <w:lang w:eastAsia="en-US"/>
              </w:rPr>
              <w:t>132,796</w:t>
            </w:r>
          </w:p>
        </w:tc>
        <w:tc>
          <w:tcPr>
            <w:tcW w:w="1660" w:type="dxa"/>
            <w:tcBorders>
              <w:top w:val="nil"/>
              <w:left w:val="nil"/>
              <w:bottom w:val="single" w:color="auto" w:sz="4" w:space="0"/>
              <w:right w:val="single" w:color="auto" w:sz="4" w:space="0"/>
            </w:tcBorders>
            <w:shd w:val="clear" w:color="auto" w:fill="auto"/>
            <w:noWrap/>
            <w:vAlign w:val="bottom"/>
            <w:hideMark/>
          </w:tcPr>
          <w:p w:rsidRPr="003734FB" w:rsidR="008B17CC" w:rsidP="008B17CC" w:rsidRDefault="008B17CC" w14:paraId="461ACCBF" w14:textId="77777777">
            <w:pPr>
              <w:autoSpaceDE/>
              <w:autoSpaceDN/>
              <w:jc w:val="right"/>
              <w:rPr>
                <w:rFonts w:ascii="Calibri" w:hAnsi="Calibri" w:eastAsia="Times New Roman" w:cs="Calibri"/>
                <w:color w:val="000000"/>
                <w:sz w:val="22"/>
                <w:szCs w:val="22"/>
                <w:lang w:eastAsia="en-US"/>
              </w:rPr>
            </w:pPr>
            <w:r w:rsidRPr="003734FB">
              <w:rPr>
                <w:rFonts w:ascii="Calibri" w:hAnsi="Calibri" w:eastAsia="Times New Roman" w:cs="Calibri"/>
                <w:color w:val="000000"/>
                <w:sz w:val="22"/>
                <w:szCs w:val="22"/>
                <w:lang w:eastAsia="en-US"/>
              </w:rPr>
              <w:t>0.25</w:t>
            </w:r>
          </w:p>
        </w:tc>
        <w:tc>
          <w:tcPr>
            <w:tcW w:w="1540" w:type="dxa"/>
            <w:tcBorders>
              <w:top w:val="nil"/>
              <w:left w:val="nil"/>
              <w:bottom w:val="single" w:color="auto" w:sz="4" w:space="0"/>
              <w:right w:val="single" w:color="auto" w:sz="4" w:space="0"/>
            </w:tcBorders>
            <w:shd w:val="clear" w:color="auto" w:fill="auto"/>
            <w:noWrap/>
            <w:vAlign w:val="bottom"/>
            <w:hideMark/>
          </w:tcPr>
          <w:p w:rsidRPr="003734FB" w:rsidR="008B17CC" w:rsidP="008B17CC" w:rsidRDefault="008B17CC" w14:paraId="0D2D918F" w14:textId="77777777">
            <w:pPr>
              <w:autoSpaceDE/>
              <w:autoSpaceDN/>
              <w:jc w:val="right"/>
              <w:rPr>
                <w:rFonts w:ascii="Calibri" w:hAnsi="Calibri" w:eastAsia="Times New Roman" w:cs="Calibri"/>
                <w:color w:val="000000"/>
                <w:sz w:val="22"/>
                <w:szCs w:val="22"/>
                <w:lang w:eastAsia="en-US"/>
              </w:rPr>
            </w:pPr>
            <w:r w:rsidRPr="003734FB">
              <w:rPr>
                <w:rFonts w:ascii="Calibri" w:hAnsi="Calibri" w:eastAsia="Times New Roman" w:cs="Calibri"/>
                <w:color w:val="000000"/>
                <w:sz w:val="22"/>
                <w:szCs w:val="22"/>
                <w:lang w:eastAsia="en-US"/>
              </w:rPr>
              <w:t>3</w:t>
            </w:r>
          </w:p>
        </w:tc>
        <w:tc>
          <w:tcPr>
            <w:tcW w:w="960" w:type="dxa"/>
            <w:tcBorders>
              <w:top w:val="nil"/>
              <w:left w:val="nil"/>
              <w:bottom w:val="single" w:color="auto" w:sz="4" w:space="0"/>
              <w:right w:val="single" w:color="auto" w:sz="4" w:space="0"/>
            </w:tcBorders>
            <w:shd w:val="clear" w:color="auto" w:fill="auto"/>
            <w:noWrap/>
            <w:vAlign w:val="bottom"/>
            <w:hideMark/>
          </w:tcPr>
          <w:p w:rsidRPr="003734FB" w:rsidR="008B17CC" w:rsidP="008B17CC" w:rsidRDefault="008B17CC" w14:paraId="2835CA15" w14:textId="77777777">
            <w:pPr>
              <w:autoSpaceDE/>
              <w:autoSpaceDN/>
              <w:jc w:val="right"/>
              <w:rPr>
                <w:rFonts w:ascii="Calibri" w:hAnsi="Calibri" w:eastAsia="Times New Roman" w:cs="Calibri"/>
                <w:color w:val="000000"/>
                <w:sz w:val="22"/>
                <w:szCs w:val="22"/>
                <w:lang w:eastAsia="en-US"/>
              </w:rPr>
            </w:pPr>
            <w:r w:rsidRPr="003734FB">
              <w:rPr>
                <w:rFonts w:ascii="Calibri" w:hAnsi="Calibri" w:eastAsia="Times New Roman" w:cs="Calibri"/>
                <w:color w:val="000000"/>
                <w:sz w:val="22"/>
                <w:szCs w:val="22"/>
                <w:lang w:eastAsia="en-US"/>
              </w:rPr>
              <w:t>$4.39</w:t>
            </w:r>
          </w:p>
        </w:tc>
        <w:tc>
          <w:tcPr>
            <w:tcW w:w="1800" w:type="dxa"/>
            <w:tcBorders>
              <w:top w:val="nil"/>
              <w:left w:val="nil"/>
              <w:bottom w:val="single" w:color="auto" w:sz="4" w:space="0"/>
              <w:right w:val="single" w:color="auto" w:sz="4" w:space="0"/>
            </w:tcBorders>
            <w:shd w:val="clear" w:color="auto" w:fill="auto"/>
            <w:noWrap/>
            <w:vAlign w:val="bottom"/>
            <w:hideMark/>
          </w:tcPr>
          <w:p w:rsidRPr="003734FB" w:rsidR="008B17CC" w:rsidP="00BA179B" w:rsidRDefault="008B17CC" w14:paraId="329644C6" w14:textId="1A495318">
            <w:pPr>
              <w:autoSpaceDE/>
              <w:autoSpaceDN/>
              <w:jc w:val="right"/>
              <w:rPr>
                <w:rFonts w:ascii="Calibri" w:hAnsi="Calibri" w:eastAsia="Times New Roman" w:cs="Calibri"/>
                <w:color w:val="000000"/>
                <w:sz w:val="22"/>
                <w:szCs w:val="22"/>
                <w:lang w:eastAsia="en-US"/>
              </w:rPr>
            </w:pPr>
            <w:r w:rsidRPr="003734FB">
              <w:rPr>
                <w:rFonts w:ascii="Calibri" w:hAnsi="Calibri" w:eastAsia="Times New Roman" w:cs="Calibri"/>
                <w:color w:val="000000"/>
                <w:sz w:val="22"/>
                <w:szCs w:val="22"/>
                <w:lang w:eastAsia="en-US"/>
              </w:rPr>
              <w:t>$</w:t>
            </w:r>
            <w:r w:rsidR="00BA179B">
              <w:rPr>
                <w:rFonts w:ascii="Calibri" w:hAnsi="Calibri" w:eastAsia="Times New Roman" w:cs="Calibri"/>
                <w:color w:val="000000"/>
                <w:sz w:val="22"/>
                <w:szCs w:val="22"/>
                <w:lang w:eastAsia="en-US"/>
              </w:rPr>
              <w:t>438,656.48</w:t>
            </w:r>
          </w:p>
        </w:tc>
      </w:tr>
      <w:tr w:rsidRPr="003734FB" w:rsidR="008B17CC" w:rsidTr="003734FB" w14:paraId="18978467" w14:textId="77777777">
        <w:trPr>
          <w:trHeight w:val="290"/>
        </w:trPr>
        <w:tc>
          <w:tcPr>
            <w:tcW w:w="1540" w:type="dxa"/>
            <w:tcBorders>
              <w:top w:val="nil"/>
              <w:left w:val="single" w:color="auto" w:sz="4" w:space="0"/>
              <w:bottom w:val="single" w:color="auto" w:sz="4" w:space="0"/>
              <w:right w:val="single" w:color="auto" w:sz="4" w:space="0"/>
            </w:tcBorders>
            <w:shd w:val="clear" w:color="auto" w:fill="auto"/>
            <w:noWrap/>
            <w:vAlign w:val="bottom"/>
            <w:hideMark/>
          </w:tcPr>
          <w:p w:rsidRPr="003734FB" w:rsidR="008B17CC" w:rsidP="008B17CC" w:rsidRDefault="008B17CC" w14:paraId="290C3FF8" w14:textId="77777777">
            <w:pPr>
              <w:autoSpaceDE/>
              <w:autoSpaceDN/>
              <w:rPr>
                <w:rFonts w:ascii="Calibri" w:hAnsi="Calibri" w:eastAsia="Times New Roman" w:cs="Calibri"/>
                <w:color w:val="000000"/>
                <w:sz w:val="22"/>
                <w:szCs w:val="22"/>
                <w:lang w:eastAsia="en-US"/>
              </w:rPr>
            </w:pPr>
            <w:r w:rsidRPr="003734FB">
              <w:rPr>
                <w:rFonts w:ascii="Calibri" w:hAnsi="Calibri" w:eastAsia="Times New Roman" w:cs="Calibri"/>
                <w:color w:val="000000"/>
                <w:sz w:val="22"/>
                <w:szCs w:val="22"/>
                <w:lang w:eastAsia="en-US"/>
              </w:rPr>
              <w:t xml:space="preserve">SBA </w:t>
            </w:r>
          </w:p>
        </w:tc>
        <w:tc>
          <w:tcPr>
            <w:tcW w:w="1620" w:type="dxa"/>
            <w:tcBorders>
              <w:top w:val="nil"/>
              <w:left w:val="nil"/>
              <w:bottom w:val="single" w:color="auto" w:sz="4" w:space="0"/>
              <w:right w:val="single" w:color="auto" w:sz="4" w:space="0"/>
            </w:tcBorders>
            <w:shd w:val="clear" w:color="auto" w:fill="auto"/>
            <w:noWrap/>
            <w:vAlign w:val="bottom"/>
            <w:hideMark/>
          </w:tcPr>
          <w:p w:rsidRPr="003734FB" w:rsidR="008B17CC" w:rsidP="008B17CC" w:rsidRDefault="00A97D3E" w14:paraId="55FEE549" w14:textId="686F7D0D">
            <w:pPr>
              <w:autoSpaceDE/>
              <w:autoSpaceDN/>
              <w:jc w:val="right"/>
              <w:rPr>
                <w:rFonts w:ascii="Calibri" w:hAnsi="Calibri" w:eastAsia="Times New Roman" w:cs="Calibri"/>
                <w:color w:val="000000"/>
                <w:sz w:val="22"/>
                <w:szCs w:val="22"/>
                <w:lang w:eastAsia="en-US"/>
              </w:rPr>
            </w:pPr>
            <w:r>
              <w:rPr>
                <w:rFonts w:ascii="Calibri" w:hAnsi="Calibri" w:eastAsia="Times New Roman" w:cs="Calibri"/>
                <w:color w:val="000000"/>
                <w:sz w:val="22"/>
                <w:szCs w:val="22"/>
                <w:lang w:eastAsia="en-US"/>
              </w:rPr>
              <w:t>138,816</w:t>
            </w:r>
          </w:p>
        </w:tc>
        <w:tc>
          <w:tcPr>
            <w:tcW w:w="1660" w:type="dxa"/>
            <w:tcBorders>
              <w:top w:val="nil"/>
              <w:left w:val="nil"/>
              <w:bottom w:val="single" w:color="auto" w:sz="4" w:space="0"/>
              <w:right w:val="single" w:color="auto" w:sz="4" w:space="0"/>
            </w:tcBorders>
            <w:shd w:val="clear" w:color="auto" w:fill="auto"/>
            <w:noWrap/>
            <w:vAlign w:val="bottom"/>
            <w:hideMark/>
          </w:tcPr>
          <w:p w:rsidRPr="003734FB" w:rsidR="008B17CC" w:rsidP="008B17CC" w:rsidRDefault="008B17CC" w14:paraId="2EAEF358" w14:textId="77777777">
            <w:pPr>
              <w:autoSpaceDE/>
              <w:autoSpaceDN/>
              <w:jc w:val="right"/>
              <w:rPr>
                <w:rFonts w:ascii="Calibri" w:hAnsi="Calibri" w:eastAsia="Times New Roman" w:cs="Calibri"/>
                <w:color w:val="000000"/>
                <w:sz w:val="22"/>
                <w:szCs w:val="22"/>
                <w:lang w:eastAsia="en-US"/>
              </w:rPr>
            </w:pPr>
            <w:r w:rsidRPr="003734FB">
              <w:rPr>
                <w:rFonts w:ascii="Calibri" w:hAnsi="Calibri" w:eastAsia="Times New Roman" w:cs="Calibri"/>
                <w:color w:val="000000"/>
                <w:sz w:val="22"/>
                <w:szCs w:val="22"/>
                <w:lang w:eastAsia="en-US"/>
              </w:rPr>
              <w:t>0.25</w:t>
            </w:r>
          </w:p>
        </w:tc>
        <w:tc>
          <w:tcPr>
            <w:tcW w:w="1540" w:type="dxa"/>
            <w:tcBorders>
              <w:top w:val="nil"/>
              <w:left w:val="nil"/>
              <w:bottom w:val="single" w:color="auto" w:sz="4" w:space="0"/>
              <w:right w:val="single" w:color="auto" w:sz="4" w:space="0"/>
            </w:tcBorders>
            <w:shd w:val="clear" w:color="auto" w:fill="auto"/>
            <w:noWrap/>
            <w:vAlign w:val="bottom"/>
            <w:hideMark/>
          </w:tcPr>
          <w:p w:rsidRPr="003734FB" w:rsidR="008B17CC" w:rsidP="008B17CC" w:rsidRDefault="008B17CC" w14:paraId="08BA37EF" w14:textId="77777777">
            <w:pPr>
              <w:autoSpaceDE/>
              <w:autoSpaceDN/>
              <w:jc w:val="right"/>
              <w:rPr>
                <w:rFonts w:ascii="Calibri" w:hAnsi="Calibri" w:eastAsia="Times New Roman" w:cs="Calibri"/>
                <w:color w:val="000000"/>
                <w:sz w:val="22"/>
                <w:szCs w:val="22"/>
                <w:lang w:eastAsia="en-US"/>
              </w:rPr>
            </w:pPr>
            <w:r w:rsidRPr="003734FB">
              <w:rPr>
                <w:rFonts w:ascii="Calibri" w:hAnsi="Calibri" w:eastAsia="Times New Roman" w:cs="Calibri"/>
                <w:color w:val="000000"/>
                <w:sz w:val="22"/>
                <w:szCs w:val="22"/>
                <w:lang w:eastAsia="en-US"/>
              </w:rPr>
              <w:t>2</w:t>
            </w:r>
          </w:p>
        </w:tc>
        <w:tc>
          <w:tcPr>
            <w:tcW w:w="960" w:type="dxa"/>
            <w:tcBorders>
              <w:top w:val="nil"/>
              <w:left w:val="nil"/>
              <w:bottom w:val="single" w:color="auto" w:sz="4" w:space="0"/>
              <w:right w:val="single" w:color="auto" w:sz="4" w:space="0"/>
            </w:tcBorders>
            <w:shd w:val="clear" w:color="auto" w:fill="auto"/>
            <w:noWrap/>
            <w:vAlign w:val="bottom"/>
            <w:hideMark/>
          </w:tcPr>
          <w:p w:rsidRPr="003734FB" w:rsidR="008B17CC" w:rsidP="008B17CC" w:rsidRDefault="008B17CC" w14:paraId="6B0091CE" w14:textId="77777777">
            <w:pPr>
              <w:autoSpaceDE/>
              <w:autoSpaceDN/>
              <w:jc w:val="right"/>
              <w:rPr>
                <w:rFonts w:ascii="Calibri" w:hAnsi="Calibri" w:eastAsia="Times New Roman" w:cs="Calibri"/>
                <w:color w:val="000000"/>
                <w:sz w:val="22"/>
                <w:szCs w:val="22"/>
                <w:lang w:eastAsia="en-US"/>
              </w:rPr>
            </w:pPr>
            <w:r w:rsidRPr="003734FB">
              <w:rPr>
                <w:rFonts w:ascii="Calibri" w:hAnsi="Calibri" w:eastAsia="Times New Roman" w:cs="Calibri"/>
                <w:color w:val="000000"/>
                <w:sz w:val="22"/>
                <w:szCs w:val="22"/>
                <w:lang w:eastAsia="en-US"/>
              </w:rPr>
              <w:t>$4.39</w:t>
            </w:r>
          </w:p>
        </w:tc>
        <w:tc>
          <w:tcPr>
            <w:tcW w:w="1800" w:type="dxa"/>
            <w:tcBorders>
              <w:top w:val="nil"/>
              <w:left w:val="nil"/>
              <w:bottom w:val="single" w:color="auto" w:sz="4" w:space="0"/>
              <w:right w:val="single" w:color="auto" w:sz="4" w:space="0"/>
            </w:tcBorders>
            <w:shd w:val="clear" w:color="auto" w:fill="auto"/>
            <w:noWrap/>
            <w:vAlign w:val="bottom"/>
            <w:hideMark/>
          </w:tcPr>
          <w:p w:rsidRPr="003734FB" w:rsidR="008B17CC" w:rsidP="00BA179B" w:rsidRDefault="008B17CC" w14:paraId="0FE67EB4" w14:textId="655EC4F5">
            <w:pPr>
              <w:autoSpaceDE/>
              <w:autoSpaceDN/>
              <w:jc w:val="right"/>
              <w:rPr>
                <w:rFonts w:ascii="Calibri" w:hAnsi="Calibri" w:eastAsia="Times New Roman" w:cs="Calibri"/>
                <w:color w:val="000000"/>
                <w:sz w:val="22"/>
                <w:szCs w:val="22"/>
                <w:lang w:eastAsia="en-US"/>
              </w:rPr>
            </w:pPr>
            <w:r w:rsidRPr="003734FB">
              <w:rPr>
                <w:rFonts w:ascii="Calibri" w:hAnsi="Calibri" w:eastAsia="Times New Roman" w:cs="Calibri"/>
                <w:color w:val="000000"/>
                <w:sz w:val="22"/>
                <w:szCs w:val="22"/>
                <w:lang w:eastAsia="en-US"/>
              </w:rPr>
              <w:t>$</w:t>
            </w:r>
            <w:r w:rsidR="00BA179B">
              <w:rPr>
                <w:rFonts w:ascii="Calibri" w:hAnsi="Calibri" w:eastAsia="Times New Roman" w:cs="Calibri"/>
                <w:color w:val="000000"/>
                <w:sz w:val="22"/>
                <w:szCs w:val="22"/>
                <w:lang w:eastAsia="en-US"/>
              </w:rPr>
              <w:t>308,814.55</w:t>
            </w:r>
          </w:p>
        </w:tc>
      </w:tr>
      <w:tr w:rsidRPr="003734FB" w:rsidR="008B17CC" w:rsidTr="003734FB" w14:paraId="34232BB3" w14:textId="77777777">
        <w:trPr>
          <w:trHeight w:val="290"/>
        </w:trPr>
        <w:tc>
          <w:tcPr>
            <w:tcW w:w="1540" w:type="dxa"/>
            <w:tcBorders>
              <w:top w:val="nil"/>
              <w:left w:val="single" w:color="auto" w:sz="4" w:space="0"/>
              <w:bottom w:val="single" w:color="auto" w:sz="4" w:space="0"/>
              <w:right w:val="single" w:color="auto" w:sz="4" w:space="0"/>
            </w:tcBorders>
            <w:shd w:val="clear" w:color="auto" w:fill="auto"/>
            <w:noWrap/>
            <w:vAlign w:val="bottom"/>
            <w:hideMark/>
          </w:tcPr>
          <w:p w:rsidRPr="003734FB" w:rsidR="008B17CC" w:rsidP="008B17CC" w:rsidRDefault="008B17CC" w14:paraId="07BF2210" w14:textId="77777777">
            <w:pPr>
              <w:autoSpaceDE/>
              <w:autoSpaceDN/>
              <w:rPr>
                <w:rFonts w:ascii="Calibri" w:hAnsi="Calibri" w:eastAsia="Times New Roman" w:cs="Calibri"/>
                <w:color w:val="000000"/>
                <w:sz w:val="22"/>
                <w:szCs w:val="22"/>
                <w:lang w:eastAsia="en-US"/>
              </w:rPr>
            </w:pPr>
            <w:r w:rsidRPr="003734FB">
              <w:rPr>
                <w:rFonts w:ascii="Calibri" w:hAnsi="Calibri" w:eastAsia="Times New Roman" w:cs="Calibri"/>
                <w:color w:val="000000"/>
                <w:sz w:val="22"/>
                <w:szCs w:val="22"/>
                <w:lang w:eastAsia="en-US"/>
              </w:rPr>
              <w:t>Very Small</w:t>
            </w:r>
          </w:p>
        </w:tc>
        <w:tc>
          <w:tcPr>
            <w:tcW w:w="1620" w:type="dxa"/>
            <w:tcBorders>
              <w:top w:val="nil"/>
              <w:left w:val="nil"/>
              <w:bottom w:val="single" w:color="auto" w:sz="4" w:space="0"/>
              <w:right w:val="single" w:color="auto" w:sz="4" w:space="0"/>
            </w:tcBorders>
            <w:shd w:val="clear" w:color="auto" w:fill="auto"/>
            <w:noWrap/>
            <w:vAlign w:val="bottom"/>
            <w:hideMark/>
          </w:tcPr>
          <w:p w:rsidRPr="003734FB" w:rsidR="008B17CC" w:rsidP="008B17CC" w:rsidRDefault="008B17CC" w14:paraId="4A8A6D98" w14:textId="3988D7FC">
            <w:pPr>
              <w:autoSpaceDE/>
              <w:autoSpaceDN/>
              <w:jc w:val="right"/>
              <w:rPr>
                <w:rFonts w:ascii="Calibri" w:hAnsi="Calibri" w:eastAsia="Times New Roman" w:cs="Calibri"/>
                <w:color w:val="000000"/>
                <w:sz w:val="22"/>
                <w:szCs w:val="22"/>
                <w:lang w:eastAsia="en-US"/>
              </w:rPr>
            </w:pPr>
            <w:r>
              <w:rPr>
                <w:rFonts w:ascii="Calibri" w:hAnsi="Calibri" w:eastAsia="Times New Roman" w:cs="Calibri"/>
                <w:color w:val="000000"/>
                <w:sz w:val="22"/>
                <w:szCs w:val="22"/>
                <w:lang w:eastAsia="en-US"/>
              </w:rPr>
              <w:t>481,114</w:t>
            </w:r>
          </w:p>
        </w:tc>
        <w:tc>
          <w:tcPr>
            <w:tcW w:w="1660" w:type="dxa"/>
            <w:tcBorders>
              <w:top w:val="nil"/>
              <w:left w:val="nil"/>
              <w:bottom w:val="single" w:color="auto" w:sz="4" w:space="0"/>
              <w:right w:val="single" w:color="auto" w:sz="4" w:space="0"/>
            </w:tcBorders>
            <w:shd w:val="clear" w:color="auto" w:fill="auto"/>
            <w:noWrap/>
            <w:vAlign w:val="bottom"/>
            <w:hideMark/>
          </w:tcPr>
          <w:p w:rsidRPr="003734FB" w:rsidR="008B17CC" w:rsidP="008B17CC" w:rsidRDefault="008B17CC" w14:paraId="3B9B3962" w14:textId="77777777">
            <w:pPr>
              <w:autoSpaceDE/>
              <w:autoSpaceDN/>
              <w:jc w:val="right"/>
              <w:rPr>
                <w:rFonts w:ascii="Calibri" w:hAnsi="Calibri" w:eastAsia="Times New Roman" w:cs="Calibri"/>
                <w:color w:val="000000"/>
                <w:sz w:val="22"/>
                <w:szCs w:val="22"/>
                <w:lang w:eastAsia="en-US"/>
              </w:rPr>
            </w:pPr>
            <w:r w:rsidRPr="003734FB">
              <w:rPr>
                <w:rFonts w:ascii="Calibri" w:hAnsi="Calibri" w:eastAsia="Times New Roman" w:cs="Calibri"/>
                <w:color w:val="000000"/>
                <w:sz w:val="22"/>
                <w:szCs w:val="22"/>
                <w:lang w:eastAsia="en-US"/>
              </w:rPr>
              <w:t>0.5</w:t>
            </w:r>
          </w:p>
        </w:tc>
        <w:tc>
          <w:tcPr>
            <w:tcW w:w="1540" w:type="dxa"/>
            <w:tcBorders>
              <w:top w:val="nil"/>
              <w:left w:val="nil"/>
              <w:bottom w:val="single" w:color="auto" w:sz="4" w:space="0"/>
              <w:right w:val="single" w:color="auto" w:sz="4" w:space="0"/>
            </w:tcBorders>
            <w:shd w:val="clear" w:color="auto" w:fill="auto"/>
            <w:noWrap/>
            <w:vAlign w:val="bottom"/>
            <w:hideMark/>
          </w:tcPr>
          <w:p w:rsidRPr="003734FB" w:rsidR="008B17CC" w:rsidP="008B17CC" w:rsidRDefault="008B17CC" w14:paraId="4CF54449" w14:textId="77777777">
            <w:pPr>
              <w:autoSpaceDE/>
              <w:autoSpaceDN/>
              <w:jc w:val="right"/>
              <w:rPr>
                <w:rFonts w:ascii="Calibri" w:hAnsi="Calibri" w:eastAsia="Times New Roman" w:cs="Calibri"/>
                <w:color w:val="000000"/>
                <w:sz w:val="22"/>
                <w:szCs w:val="22"/>
                <w:lang w:eastAsia="en-US"/>
              </w:rPr>
            </w:pPr>
            <w:r w:rsidRPr="003734FB">
              <w:rPr>
                <w:rFonts w:ascii="Calibri" w:hAnsi="Calibri" w:eastAsia="Times New Roman" w:cs="Calibri"/>
                <w:color w:val="000000"/>
                <w:sz w:val="22"/>
                <w:szCs w:val="22"/>
                <w:lang w:eastAsia="en-US"/>
              </w:rPr>
              <w:t>1</w:t>
            </w:r>
          </w:p>
        </w:tc>
        <w:tc>
          <w:tcPr>
            <w:tcW w:w="960" w:type="dxa"/>
            <w:tcBorders>
              <w:top w:val="nil"/>
              <w:left w:val="nil"/>
              <w:bottom w:val="single" w:color="auto" w:sz="4" w:space="0"/>
              <w:right w:val="single" w:color="auto" w:sz="4" w:space="0"/>
            </w:tcBorders>
            <w:shd w:val="clear" w:color="auto" w:fill="auto"/>
            <w:noWrap/>
            <w:vAlign w:val="bottom"/>
            <w:hideMark/>
          </w:tcPr>
          <w:p w:rsidRPr="003734FB" w:rsidR="008B17CC" w:rsidP="008B17CC" w:rsidRDefault="008B17CC" w14:paraId="78497CA2" w14:textId="77777777">
            <w:pPr>
              <w:autoSpaceDE/>
              <w:autoSpaceDN/>
              <w:jc w:val="right"/>
              <w:rPr>
                <w:rFonts w:ascii="Calibri" w:hAnsi="Calibri" w:eastAsia="Times New Roman" w:cs="Calibri"/>
                <w:color w:val="000000"/>
                <w:sz w:val="22"/>
                <w:szCs w:val="22"/>
                <w:lang w:eastAsia="en-US"/>
              </w:rPr>
            </w:pPr>
            <w:r w:rsidRPr="003734FB">
              <w:rPr>
                <w:rFonts w:ascii="Calibri" w:hAnsi="Calibri" w:eastAsia="Times New Roman" w:cs="Calibri"/>
                <w:color w:val="000000"/>
                <w:sz w:val="22"/>
                <w:szCs w:val="22"/>
                <w:lang w:eastAsia="en-US"/>
              </w:rPr>
              <w:t>$4.39</w:t>
            </w:r>
          </w:p>
        </w:tc>
        <w:tc>
          <w:tcPr>
            <w:tcW w:w="1800" w:type="dxa"/>
            <w:tcBorders>
              <w:top w:val="nil"/>
              <w:left w:val="nil"/>
              <w:bottom w:val="single" w:color="auto" w:sz="4" w:space="0"/>
              <w:right w:val="single" w:color="auto" w:sz="4" w:space="0"/>
            </w:tcBorders>
            <w:shd w:val="clear" w:color="auto" w:fill="auto"/>
            <w:noWrap/>
            <w:vAlign w:val="bottom"/>
            <w:hideMark/>
          </w:tcPr>
          <w:p w:rsidRPr="003734FB" w:rsidR="008B17CC" w:rsidP="00BA179B" w:rsidRDefault="008B17CC" w14:paraId="363F4412" w14:textId="624E93BC">
            <w:pPr>
              <w:autoSpaceDE/>
              <w:autoSpaceDN/>
              <w:jc w:val="right"/>
              <w:rPr>
                <w:rFonts w:ascii="Calibri" w:hAnsi="Calibri" w:eastAsia="Times New Roman" w:cs="Calibri"/>
                <w:color w:val="000000"/>
                <w:sz w:val="22"/>
                <w:szCs w:val="22"/>
                <w:lang w:eastAsia="en-US"/>
              </w:rPr>
            </w:pPr>
            <w:r w:rsidRPr="003734FB">
              <w:rPr>
                <w:rFonts w:ascii="Calibri" w:hAnsi="Calibri" w:eastAsia="Times New Roman" w:cs="Calibri"/>
                <w:color w:val="000000"/>
                <w:sz w:val="22"/>
                <w:szCs w:val="22"/>
                <w:lang w:eastAsia="en-US"/>
              </w:rPr>
              <w:t>$</w:t>
            </w:r>
            <w:r w:rsidR="00BA179B">
              <w:rPr>
                <w:rFonts w:ascii="Calibri" w:hAnsi="Calibri" w:eastAsia="Times New Roman" w:cs="Calibri"/>
                <w:color w:val="000000"/>
                <w:sz w:val="22"/>
                <w:szCs w:val="22"/>
                <w:lang w:eastAsia="en-US"/>
              </w:rPr>
              <w:t>1,056,045.23</w:t>
            </w:r>
          </w:p>
        </w:tc>
      </w:tr>
      <w:tr w:rsidRPr="003734FB" w:rsidR="003734FB" w:rsidTr="003734FB" w14:paraId="3C925F7A" w14:textId="77777777">
        <w:trPr>
          <w:trHeight w:val="290"/>
        </w:trPr>
        <w:tc>
          <w:tcPr>
            <w:tcW w:w="1540" w:type="dxa"/>
            <w:tcBorders>
              <w:top w:val="nil"/>
              <w:left w:val="single" w:color="auto" w:sz="4" w:space="0"/>
              <w:bottom w:val="single" w:color="auto" w:sz="4" w:space="0"/>
              <w:right w:val="single" w:color="auto" w:sz="4" w:space="0"/>
            </w:tcBorders>
            <w:shd w:val="clear" w:color="000000" w:fill="E2EFDA"/>
            <w:noWrap/>
            <w:vAlign w:val="bottom"/>
            <w:hideMark/>
          </w:tcPr>
          <w:p w:rsidRPr="003734FB" w:rsidR="003734FB" w:rsidP="003734FB" w:rsidRDefault="003734FB" w14:paraId="44503E9B" w14:textId="77777777">
            <w:pPr>
              <w:autoSpaceDE/>
              <w:autoSpaceDN/>
              <w:rPr>
                <w:rFonts w:ascii="Calibri" w:hAnsi="Calibri" w:eastAsia="Times New Roman" w:cs="Calibri"/>
                <w:b/>
                <w:bCs/>
                <w:color w:val="000000"/>
                <w:sz w:val="22"/>
                <w:szCs w:val="22"/>
                <w:lang w:eastAsia="en-US"/>
              </w:rPr>
            </w:pPr>
            <w:r w:rsidRPr="003734FB">
              <w:rPr>
                <w:rFonts w:ascii="Calibri" w:hAnsi="Calibri" w:eastAsia="Times New Roman" w:cs="Calibri"/>
                <w:b/>
                <w:bCs/>
                <w:color w:val="000000"/>
                <w:sz w:val="22"/>
                <w:szCs w:val="22"/>
                <w:lang w:eastAsia="en-US"/>
              </w:rPr>
              <w:t>Total</w:t>
            </w:r>
          </w:p>
        </w:tc>
        <w:tc>
          <w:tcPr>
            <w:tcW w:w="1620" w:type="dxa"/>
            <w:tcBorders>
              <w:top w:val="nil"/>
              <w:left w:val="nil"/>
              <w:bottom w:val="single" w:color="auto" w:sz="4" w:space="0"/>
              <w:right w:val="single" w:color="auto" w:sz="4" w:space="0"/>
            </w:tcBorders>
            <w:shd w:val="thinHorzStripe" w:color="000000" w:fill="E2EFDA"/>
            <w:noWrap/>
            <w:vAlign w:val="bottom"/>
            <w:hideMark/>
          </w:tcPr>
          <w:p w:rsidRPr="003734FB" w:rsidR="003734FB" w:rsidP="003734FB" w:rsidRDefault="003734FB" w14:paraId="557E8C36" w14:textId="77777777">
            <w:pPr>
              <w:autoSpaceDE/>
              <w:autoSpaceDN/>
              <w:rPr>
                <w:rFonts w:ascii="Calibri" w:hAnsi="Calibri" w:eastAsia="Times New Roman" w:cs="Calibri"/>
                <w:color w:val="000000"/>
                <w:sz w:val="22"/>
                <w:szCs w:val="22"/>
                <w:lang w:eastAsia="en-US"/>
              </w:rPr>
            </w:pPr>
            <w:r w:rsidRPr="003734FB">
              <w:rPr>
                <w:rFonts w:ascii="Calibri" w:hAnsi="Calibri" w:eastAsia="Times New Roman" w:cs="Calibri"/>
                <w:color w:val="000000"/>
                <w:sz w:val="22"/>
                <w:szCs w:val="22"/>
                <w:lang w:eastAsia="en-US"/>
              </w:rPr>
              <w:t> </w:t>
            </w:r>
          </w:p>
        </w:tc>
        <w:tc>
          <w:tcPr>
            <w:tcW w:w="1660" w:type="dxa"/>
            <w:tcBorders>
              <w:top w:val="nil"/>
              <w:left w:val="nil"/>
              <w:bottom w:val="single" w:color="auto" w:sz="4" w:space="0"/>
              <w:right w:val="single" w:color="auto" w:sz="4" w:space="0"/>
            </w:tcBorders>
            <w:shd w:val="thinHorzStripe" w:color="000000" w:fill="E2EFDA"/>
            <w:noWrap/>
            <w:vAlign w:val="bottom"/>
            <w:hideMark/>
          </w:tcPr>
          <w:p w:rsidRPr="003734FB" w:rsidR="003734FB" w:rsidP="003734FB" w:rsidRDefault="003734FB" w14:paraId="72D5CD87" w14:textId="77777777">
            <w:pPr>
              <w:autoSpaceDE/>
              <w:autoSpaceDN/>
              <w:rPr>
                <w:rFonts w:ascii="Calibri" w:hAnsi="Calibri" w:eastAsia="Times New Roman" w:cs="Calibri"/>
                <w:color w:val="000000"/>
                <w:sz w:val="22"/>
                <w:szCs w:val="22"/>
                <w:lang w:eastAsia="en-US"/>
              </w:rPr>
            </w:pPr>
            <w:r w:rsidRPr="003734FB">
              <w:rPr>
                <w:rFonts w:ascii="Calibri" w:hAnsi="Calibri" w:eastAsia="Times New Roman" w:cs="Calibri"/>
                <w:color w:val="000000"/>
                <w:sz w:val="22"/>
                <w:szCs w:val="22"/>
                <w:lang w:eastAsia="en-US"/>
              </w:rPr>
              <w:t> </w:t>
            </w:r>
          </w:p>
        </w:tc>
        <w:tc>
          <w:tcPr>
            <w:tcW w:w="1540" w:type="dxa"/>
            <w:tcBorders>
              <w:top w:val="nil"/>
              <w:left w:val="nil"/>
              <w:bottom w:val="single" w:color="auto" w:sz="4" w:space="0"/>
              <w:right w:val="single" w:color="auto" w:sz="4" w:space="0"/>
            </w:tcBorders>
            <w:shd w:val="thinHorzStripe" w:color="000000" w:fill="E2EFDA"/>
            <w:noWrap/>
            <w:vAlign w:val="bottom"/>
            <w:hideMark/>
          </w:tcPr>
          <w:p w:rsidRPr="003734FB" w:rsidR="003734FB" w:rsidP="003734FB" w:rsidRDefault="003734FB" w14:paraId="0F3AB30D" w14:textId="77777777">
            <w:pPr>
              <w:autoSpaceDE/>
              <w:autoSpaceDN/>
              <w:rPr>
                <w:rFonts w:ascii="Calibri" w:hAnsi="Calibri" w:eastAsia="Times New Roman" w:cs="Calibri"/>
                <w:color w:val="000000"/>
                <w:sz w:val="22"/>
                <w:szCs w:val="22"/>
                <w:lang w:eastAsia="en-US"/>
              </w:rPr>
            </w:pPr>
            <w:r w:rsidRPr="003734FB">
              <w:rPr>
                <w:rFonts w:ascii="Calibri" w:hAnsi="Calibri" w:eastAsia="Times New Roman" w:cs="Calibri"/>
                <w:color w:val="000000"/>
                <w:sz w:val="22"/>
                <w:szCs w:val="22"/>
                <w:lang w:eastAsia="en-US"/>
              </w:rPr>
              <w:t> </w:t>
            </w:r>
          </w:p>
        </w:tc>
        <w:tc>
          <w:tcPr>
            <w:tcW w:w="960" w:type="dxa"/>
            <w:tcBorders>
              <w:top w:val="nil"/>
              <w:left w:val="nil"/>
              <w:bottom w:val="single" w:color="auto" w:sz="4" w:space="0"/>
              <w:right w:val="single" w:color="auto" w:sz="4" w:space="0"/>
            </w:tcBorders>
            <w:shd w:val="thinHorzStripe" w:color="000000" w:fill="E2EFDA"/>
            <w:noWrap/>
            <w:vAlign w:val="bottom"/>
            <w:hideMark/>
          </w:tcPr>
          <w:p w:rsidRPr="003734FB" w:rsidR="003734FB" w:rsidP="003734FB" w:rsidRDefault="003734FB" w14:paraId="59F3A8B4" w14:textId="77777777">
            <w:pPr>
              <w:autoSpaceDE/>
              <w:autoSpaceDN/>
              <w:rPr>
                <w:rFonts w:ascii="Calibri" w:hAnsi="Calibri" w:eastAsia="Times New Roman" w:cs="Calibri"/>
                <w:color w:val="000000"/>
                <w:sz w:val="22"/>
                <w:szCs w:val="22"/>
                <w:lang w:eastAsia="en-US"/>
              </w:rPr>
            </w:pPr>
            <w:r w:rsidRPr="003734FB">
              <w:rPr>
                <w:rFonts w:ascii="Calibri" w:hAnsi="Calibri" w:eastAsia="Times New Roman" w:cs="Calibri"/>
                <w:color w:val="000000"/>
                <w:sz w:val="22"/>
                <w:szCs w:val="22"/>
                <w:lang w:eastAsia="en-US"/>
              </w:rPr>
              <w:t> </w:t>
            </w:r>
          </w:p>
        </w:tc>
        <w:tc>
          <w:tcPr>
            <w:tcW w:w="1800" w:type="dxa"/>
            <w:tcBorders>
              <w:top w:val="nil"/>
              <w:left w:val="nil"/>
              <w:bottom w:val="single" w:color="auto" w:sz="4" w:space="0"/>
              <w:right w:val="single" w:color="auto" w:sz="4" w:space="0"/>
            </w:tcBorders>
            <w:shd w:val="clear" w:color="000000" w:fill="E2EFDA"/>
            <w:noWrap/>
            <w:vAlign w:val="bottom"/>
            <w:hideMark/>
          </w:tcPr>
          <w:p w:rsidRPr="003734FB" w:rsidR="003734FB" w:rsidP="00412927" w:rsidRDefault="003734FB" w14:paraId="739BD6F5" w14:textId="40636FE9">
            <w:pPr>
              <w:autoSpaceDE/>
              <w:autoSpaceDN/>
              <w:jc w:val="right"/>
              <w:rPr>
                <w:rFonts w:ascii="Calibri" w:hAnsi="Calibri" w:eastAsia="Times New Roman" w:cs="Calibri"/>
                <w:b/>
                <w:bCs/>
                <w:color w:val="000000"/>
                <w:sz w:val="22"/>
                <w:szCs w:val="22"/>
                <w:lang w:eastAsia="en-US"/>
              </w:rPr>
            </w:pPr>
            <w:r w:rsidRPr="003734FB">
              <w:rPr>
                <w:rFonts w:ascii="Calibri" w:hAnsi="Calibri" w:eastAsia="Times New Roman" w:cs="Calibri"/>
                <w:b/>
                <w:bCs/>
                <w:color w:val="000000"/>
                <w:sz w:val="22"/>
                <w:szCs w:val="22"/>
                <w:lang w:eastAsia="en-US"/>
              </w:rPr>
              <w:t>$</w:t>
            </w:r>
            <w:r w:rsidR="00BA179B">
              <w:rPr>
                <w:rFonts w:ascii="Calibri" w:hAnsi="Calibri" w:eastAsia="Times New Roman" w:cs="Calibri"/>
                <w:b/>
                <w:bCs/>
                <w:color w:val="000000"/>
                <w:sz w:val="22"/>
                <w:szCs w:val="22"/>
                <w:lang w:eastAsia="en-US"/>
              </w:rPr>
              <w:t>1,803,516.26</w:t>
            </w:r>
          </w:p>
        </w:tc>
      </w:tr>
    </w:tbl>
    <w:p w:rsidR="003734FB" w:rsidP="00856AEE" w:rsidRDefault="003734FB" w14:paraId="6B432328" w14:textId="6C8DB7A3">
      <w:pPr>
        <w:pStyle w:val="BodyText"/>
        <w:spacing w:after="0"/>
        <w:ind w:left="720"/>
        <w:rPr>
          <w:rFonts w:asciiTheme="minorHAnsi" w:hAnsiTheme="minorHAnsi" w:cstheme="minorHAnsi"/>
          <w:b/>
          <w:bCs/>
        </w:rPr>
      </w:pPr>
    </w:p>
    <w:p w:rsidRPr="00173263" w:rsidR="003734FB" w:rsidP="00856AEE" w:rsidRDefault="003734FB" w14:paraId="13CAD77D" w14:textId="77777777">
      <w:pPr>
        <w:pStyle w:val="BodyText"/>
        <w:spacing w:after="0"/>
        <w:ind w:left="720"/>
        <w:rPr>
          <w:rFonts w:asciiTheme="minorHAnsi" w:hAnsiTheme="minorHAnsi" w:cstheme="minorHAnsi"/>
          <w:b/>
          <w:bCs/>
        </w:rPr>
      </w:pPr>
    </w:p>
    <w:p w:rsidRPr="00413165" w:rsidR="00670ECD" w:rsidP="00856AEE" w:rsidRDefault="00E24011" w14:paraId="1346AEF3" w14:textId="30B31550">
      <w:pPr>
        <w:pStyle w:val="BodyText"/>
        <w:spacing w:after="0"/>
        <w:ind w:left="720"/>
        <w:rPr>
          <w:rFonts w:ascii="Times New Roman" w:hAnsi="Times New Roman"/>
          <w:bCs/>
        </w:rPr>
      </w:pPr>
      <w:r w:rsidRPr="00BC30F0">
        <w:rPr>
          <w:rFonts w:ascii="Times New Roman" w:hAnsi="Times New Roman"/>
          <w:b/>
          <w:bCs/>
        </w:rPr>
        <w:t xml:space="preserve">Total </w:t>
      </w:r>
      <w:r w:rsidR="005A7D86">
        <w:rPr>
          <w:rFonts w:ascii="Times New Roman" w:hAnsi="Times New Roman"/>
          <w:b/>
          <w:bCs/>
        </w:rPr>
        <w:t>C</w:t>
      </w:r>
      <w:r w:rsidRPr="00BC30F0">
        <w:rPr>
          <w:rFonts w:ascii="Times New Roman" w:hAnsi="Times New Roman"/>
          <w:b/>
          <w:bCs/>
        </w:rPr>
        <w:t>ost</w:t>
      </w:r>
      <w:r w:rsidRPr="00413165">
        <w:rPr>
          <w:rFonts w:ascii="Times New Roman" w:hAnsi="Times New Roman"/>
          <w:bCs/>
        </w:rPr>
        <w:t xml:space="preserve"> = </w:t>
      </w:r>
      <w:r w:rsidRPr="00413165">
        <w:rPr>
          <w:rFonts w:ascii="Times New Roman" w:hAnsi="Times New Roman"/>
        </w:rPr>
        <w:t>$</w:t>
      </w:r>
      <w:r w:rsidR="005A7D86">
        <w:rPr>
          <w:rFonts w:ascii="Times New Roman" w:hAnsi="Times New Roman"/>
        </w:rPr>
        <w:t>3,033,952.93</w:t>
      </w:r>
    </w:p>
    <w:p w:rsidRPr="00BC30F0" w:rsidR="00413165" w:rsidP="00BC30F0" w:rsidRDefault="00413165" w14:paraId="19F43142" w14:textId="77777777">
      <w:pPr>
        <w:pStyle w:val="BodyText"/>
        <w:ind w:left="720"/>
        <w:rPr>
          <w:rFonts w:ascii="Times New Roman" w:hAnsi="Times New Roman"/>
          <w:bCs/>
        </w:rPr>
      </w:pPr>
    </w:p>
    <w:p w:rsidR="00E35242" w:rsidP="00E35242" w:rsidRDefault="00E35242" w14:paraId="6595CC6A" w14:textId="6E35008F">
      <w:pPr>
        <w:pStyle w:val="Heading2"/>
        <w:ind w:left="0" w:firstLine="0"/>
        <w:rPr>
          <w:sz w:val="22"/>
          <w:szCs w:val="22"/>
          <w:lang w:val="x-none"/>
        </w:rPr>
      </w:pPr>
      <w:r>
        <w:rPr>
          <w:sz w:val="22"/>
          <w:szCs w:val="22"/>
          <w:lang w:val="x-none"/>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E35242" w:rsidP="00E35242" w:rsidRDefault="00E35242" w14:paraId="3ECFF904" w14:textId="08AA0253">
      <w:r>
        <w:t xml:space="preserve">There are no costs to the Federal Government. </w:t>
      </w:r>
    </w:p>
    <w:p w:rsidR="00FB1F3B" w:rsidP="00E35242" w:rsidRDefault="00FB1F3B" w14:paraId="7D27D515" w14:textId="77777777"/>
    <w:p w:rsidR="00E35242" w:rsidP="00E35242" w:rsidRDefault="00E35242" w14:paraId="11127816" w14:textId="7E57EE43">
      <w:pPr>
        <w:pStyle w:val="Heading2"/>
        <w:ind w:left="0" w:firstLine="0"/>
        <w:rPr>
          <w:lang w:val="x-none"/>
        </w:rPr>
      </w:pPr>
      <w:r>
        <w:rPr>
          <w:lang w:val="x-none"/>
        </w:rPr>
        <w:t>Explain the reasons for any program changes or adjustments.</w:t>
      </w:r>
    </w:p>
    <w:p w:rsidRPr="00E2437D" w:rsidR="00E2437D" w:rsidP="00E2437D" w:rsidRDefault="00E2437D" w14:paraId="0E5C8EC8" w14:textId="433FBF4B">
      <w:pPr>
        <w:pStyle w:val="Heading2"/>
        <w:numPr>
          <w:ilvl w:val="0"/>
          <w:numId w:val="0"/>
        </w:numPr>
        <w:rPr>
          <w:b w:val="0"/>
          <w:lang w:val="x-none"/>
        </w:rPr>
      </w:pPr>
      <w:r w:rsidRPr="00E2437D">
        <w:rPr>
          <w:b w:val="0"/>
        </w:rPr>
        <w:t>This is a new information collection request.</w:t>
      </w:r>
    </w:p>
    <w:p w:rsidRPr="005A7D5B" w:rsidR="00E35242" w:rsidP="00A96066" w:rsidRDefault="00E2437D" w14:paraId="619E8B3D" w14:textId="12115B6A">
      <w:pPr>
        <w:pStyle w:val="Heading2"/>
        <w:ind w:left="0" w:firstLine="0"/>
        <w:rPr>
          <w:lang w:val="x-none"/>
        </w:rPr>
      </w:pPr>
      <w:r>
        <w:t>This is a new information collection request.</w:t>
      </w:r>
      <w:r w:rsidR="00E878C3">
        <w:t xml:space="preserve"> </w:t>
      </w:r>
      <w:r w:rsidRPr="005A7D5B" w:rsidR="00E35242">
        <w:rPr>
          <w:lang w:val="x-none"/>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35242" w:rsidP="00E35242" w:rsidRDefault="00404ED4" w14:paraId="1A508E9C" w14:textId="78C3F92F">
      <w:pPr>
        <w:pStyle w:val="BodyTextFirstIndent"/>
        <w:ind w:firstLine="0"/>
        <w:rPr>
          <w:b/>
          <w:bCs/>
          <w:sz w:val="24"/>
          <w:szCs w:val="24"/>
          <w:lang w:val="x-none"/>
        </w:rPr>
      </w:pPr>
      <w:r w:rsidRPr="00404ED4">
        <w:rPr>
          <w:sz w:val="24"/>
          <w:szCs w:val="24"/>
          <w:lang w:val="x-none"/>
        </w:rPr>
        <w:t>There are no tabulating, statistical, tabulating analysis, or publication plans for the collection</w:t>
      </w:r>
      <w:r w:rsidR="008271B8">
        <w:rPr>
          <w:sz w:val="24"/>
          <w:szCs w:val="24"/>
        </w:rPr>
        <w:t>s</w:t>
      </w:r>
      <w:r w:rsidRPr="00404ED4">
        <w:rPr>
          <w:sz w:val="24"/>
          <w:szCs w:val="24"/>
          <w:lang w:val="x-none"/>
        </w:rPr>
        <w:t xml:space="preserve"> of information.</w:t>
      </w:r>
      <w:r w:rsidR="00E35242">
        <w:rPr>
          <w:sz w:val="24"/>
          <w:szCs w:val="24"/>
          <w:lang w:val="x-none"/>
        </w:rPr>
        <w:t xml:space="preserve"> </w:t>
      </w:r>
    </w:p>
    <w:p w:rsidR="00E35242" w:rsidP="00E35242" w:rsidRDefault="00E35242" w14:paraId="1F7BBC48" w14:textId="77777777">
      <w:pPr>
        <w:pStyle w:val="Heading2"/>
        <w:ind w:left="0" w:firstLine="0"/>
        <w:rPr>
          <w:lang w:val="x-none"/>
        </w:rPr>
      </w:pPr>
      <w:r>
        <w:rPr>
          <w:lang w:val="x-none"/>
        </w:rPr>
        <w:t>If seeking approval to not display the expiration date for OMB approval of the information collection, explain the reasons that display would be inappropriate.</w:t>
      </w:r>
    </w:p>
    <w:p w:rsidRPr="00404ED4" w:rsidR="00E35242" w:rsidP="00E35242" w:rsidRDefault="00404ED4" w14:paraId="68F2E62D" w14:textId="0BCDCD49">
      <w:pPr>
        <w:pStyle w:val="BodyTextFirstIndent"/>
        <w:ind w:firstLine="0"/>
        <w:rPr>
          <w:sz w:val="24"/>
          <w:szCs w:val="24"/>
        </w:rPr>
      </w:pPr>
      <w:r w:rsidRPr="00404ED4">
        <w:rPr>
          <w:sz w:val="24"/>
          <w:szCs w:val="24"/>
        </w:rPr>
        <w:t xml:space="preserve">Not applicable. </w:t>
      </w:r>
      <w:r w:rsidR="00F911D0">
        <w:rPr>
          <w:sz w:val="24"/>
          <w:szCs w:val="24"/>
        </w:rPr>
        <w:t>OSHA</w:t>
      </w:r>
      <w:r w:rsidRPr="00404ED4">
        <w:rPr>
          <w:sz w:val="24"/>
          <w:szCs w:val="24"/>
        </w:rPr>
        <w:t xml:space="preserve"> is not seeking to display the expiration date of th</w:t>
      </w:r>
      <w:r>
        <w:rPr>
          <w:sz w:val="24"/>
          <w:szCs w:val="24"/>
        </w:rPr>
        <w:t xml:space="preserve">ese </w:t>
      </w:r>
      <w:r w:rsidRPr="00404ED4">
        <w:rPr>
          <w:sz w:val="24"/>
          <w:szCs w:val="24"/>
        </w:rPr>
        <w:t>collection</w:t>
      </w:r>
      <w:r>
        <w:rPr>
          <w:sz w:val="24"/>
          <w:szCs w:val="24"/>
        </w:rPr>
        <w:t>s</w:t>
      </w:r>
      <w:r w:rsidRPr="00404ED4">
        <w:rPr>
          <w:sz w:val="24"/>
          <w:szCs w:val="24"/>
        </w:rPr>
        <w:t xml:space="preserve"> nor is any format proposed that would support displaying the expiration date.</w:t>
      </w:r>
    </w:p>
    <w:p w:rsidR="00E35242" w:rsidP="00E35242" w:rsidRDefault="00E35242" w14:paraId="49754C40" w14:textId="77777777">
      <w:pPr>
        <w:pStyle w:val="Heading2"/>
        <w:ind w:left="0" w:firstLine="0"/>
        <w:rPr>
          <w:lang w:val="x-none"/>
        </w:rPr>
      </w:pPr>
      <w:r>
        <w:rPr>
          <w:sz w:val="22"/>
          <w:szCs w:val="22"/>
          <w:lang w:val="x-none"/>
        </w:rPr>
        <w:t>Explain each exception to the certification statement.</w:t>
      </w:r>
    </w:p>
    <w:p w:rsidR="00E35242" w:rsidP="00DC12A2" w:rsidRDefault="00E35242" w14:paraId="33FB0F6A" w14:textId="77777777">
      <w:pPr>
        <w:pStyle w:val="BodyTextFirstIndent"/>
        <w:ind w:firstLine="0"/>
      </w:pPr>
      <w:r>
        <w:rPr>
          <w:sz w:val="24"/>
          <w:szCs w:val="24"/>
          <w:lang w:val="x-none"/>
        </w:rPr>
        <w:t>OSHA is not requesting an exception to the certification statement.</w:t>
      </w:r>
    </w:p>
    <w:p w:rsidR="00E35242" w:rsidP="00E35242" w:rsidRDefault="00E35242" w14:paraId="418B1905" w14:textId="77777777">
      <w:pPr>
        <w:pStyle w:val="Heading1"/>
        <w:rPr>
          <w:rFonts w:hint="eastAsia"/>
          <w:lang w:val="x-none"/>
        </w:rPr>
      </w:pPr>
      <w:r>
        <w:rPr>
          <w:lang w:val="x-none"/>
        </w:rPr>
        <w:t>COLLECTIONS OF INFORMATION EMPLOYING STATISTICAL METHODS     </w:t>
      </w:r>
    </w:p>
    <w:p w:rsidR="00E35242" w:rsidP="00E35242" w:rsidRDefault="00E35242" w14:paraId="104BA18C" w14:textId="77777777">
      <w:pPr>
        <w:pStyle w:val="BodyTextFirstIndent"/>
        <w:ind w:firstLine="0"/>
        <w:rPr>
          <w:sz w:val="24"/>
          <w:szCs w:val="24"/>
          <w:lang w:val="x-none"/>
        </w:rPr>
      </w:pPr>
      <w:r>
        <w:rPr>
          <w:sz w:val="24"/>
          <w:szCs w:val="24"/>
          <w:lang w:val="x-none"/>
        </w:rPr>
        <w:t>This Supporting Statement does not contain any collection of information requirements that employ statistical methods.</w:t>
      </w:r>
    </w:p>
    <w:p w:rsidR="00424F31" w:rsidRDefault="00424F31" w14:paraId="40812B56" w14:textId="77777777"/>
    <w:sectPr w:rsidR="00424F31" w:rsidSect="003F2E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E9DF04" w14:textId="77777777" w:rsidR="00883875" w:rsidRDefault="00883875" w:rsidP="00E35242">
      <w:r>
        <w:separator/>
      </w:r>
    </w:p>
  </w:endnote>
  <w:endnote w:type="continuationSeparator" w:id="0">
    <w:p w14:paraId="149B0094" w14:textId="77777777" w:rsidR="00883875" w:rsidRDefault="00883875" w:rsidP="00E35242">
      <w:r>
        <w:continuationSeparator/>
      </w:r>
    </w:p>
  </w:endnote>
  <w:endnote w:type="continuationNotice" w:id="1">
    <w:p w14:paraId="42AC843F" w14:textId="77777777" w:rsidR="00883875" w:rsidRDefault="008838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Gulim">
    <w:altName w:val="Malgun Gothic Semilight"/>
    <w:panose1 w:val="020B0600000101010101"/>
    <w:charset w:val="81"/>
    <w:family w:val="swiss"/>
    <w:pitch w:val="variable"/>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GulimChe">
    <w:charset w:val="81"/>
    <w:family w:val="modern"/>
    <w:pitch w:val="fixed"/>
    <w:sig w:usb0="B00002AF" w:usb1="69D77CFB" w:usb2="00000030" w:usb3="00000000" w:csb0="0008009F" w:csb1="00000000"/>
  </w:font>
  <w:font w:name="Arial Unicode MS">
    <w:panose1 w:val="020B0604020202020204"/>
    <w:charset w:val="0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hruti">
    <w:panose1 w:val="020005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2527243"/>
      <w:docPartObj>
        <w:docPartGallery w:val="Page Numbers (Bottom of Page)"/>
        <w:docPartUnique/>
      </w:docPartObj>
    </w:sdtPr>
    <w:sdtEndPr>
      <w:rPr>
        <w:noProof/>
      </w:rPr>
    </w:sdtEndPr>
    <w:sdtContent>
      <w:p w14:paraId="3CA3F746" w14:textId="3660390B" w:rsidR="0059218E" w:rsidRDefault="0059218E">
        <w:pPr>
          <w:pStyle w:val="Footer"/>
          <w:jc w:val="center"/>
        </w:pPr>
        <w:r>
          <w:fldChar w:fldCharType="begin"/>
        </w:r>
        <w:r>
          <w:instrText xml:space="preserve"> PAGE   \* MERGEFORMAT </w:instrText>
        </w:r>
        <w:r>
          <w:fldChar w:fldCharType="separate"/>
        </w:r>
        <w:r w:rsidR="005A38B0">
          <w:rPr>
            <w:noProof/>
          </w:rPr>
          <w:t>15</w:t>
        </w:r>
        <w:r>
          <w:rPr>
            <w:noProof/>
          </w:rPr>
          <w:fldChar w:fldCharType="end"/>
        </w:r>
      </w:p>
    </w:sdtContent>
  </w:sdt>
  <w:p w14:paraId="79520202" w14:textId="77777777" w:rsidR="0059218E" w:rsidRDefault="00592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8B961" w14:textId="77777777" w:rsidR="00883875" w:rsidRDefault="00883875" w:rsidP="00E35242">
      <w:r>
        <w:separator/>
      </w:r>
    </w:p>
  </w:footnote>
  <w:footnote w:type="continuationSeparator" w:id="0">
    <w:p w14:paraId="23CDF73D" w14:textId="77777777" w:rsidR="00883875" w:rsidRDefault="00883875" w:rsidP="00E35242">
      <w:r>
        <w:continuationSeparator/>
      </w:r>
    </w:p>
  </w:footnote>
  <w:footnote w:type="continuationNotice" w:id="1">
    <w:p w14:paraId="279FAB67" w14:textId="77777777" w:rsidR="00883875" w:rsidRDefault="00883875"/>
  </w:footnote>
  <w:footnote w:id="2">
    <w:p w14:paraId="63515C1A" w14:textId="77777777" w:rsidR="0059218E" w:rsidRDefault="0059218E" w:rsidP="00D74D9F">
      <w:pPr>
        <w:pStyle w:val="FootnoteText"/>
        <w:ind w:firstLine="0"/>
      </w:pPr>
      <w:r w:rsidRPr="009F4F97">
        <w:rPr>
          <w:rStyle w:val="FootnoteReference"/>
        </w:rPr>
        <w:footnoteRef/>
      </w:r>
      <w:r w:rsidRPr="009F4F97">
        <w:t xml:space="preserve"> </w:t>
      </w:r>
      <w:r>
        <w:t>The scope provision of § 1910.502 states:</w:t>
      </w:r>
    </w:p>
    <w:p w14:paraId="67068426" w14:textId="77777777" w:rsidR="0059218E" w:rsidRPr="00160B10" w:rsidRDefault="0059218E" w:rsidP="00160B10">
      <w:pPr>
        <w:pStyle w:val="FootnoteText"/>
        <w:ind w:firstLine="0"/>
      </w:pPr>
      <w:r w:rsidRPr="00160B10">
        <w:t xml:space="preserve">(a) </w:t>
      </w:r>
      <w:r w:rsidRPr="00160B10">
        <w:rPr>
          <w:i/>
        </w:rPr>
        <w:t>Scope and application</w:t>
      </w:r>
      <w:r w:rsidRPr="00160B10">
        <w:t xml:space="preserve">.  </w:t>
      </w:r>
    </w:p>
    <w:p w14:paraId="0008A291" w14:textId="77777777" w:rsidR="0059218E" w:rsidRPr="00160B10" w:rsidRDefault="0059218E" w:rsidP="00160B10">
      <w:pPr>
        <w:pStyle w:val="FootnoteText"/>
        <w:ind w:left="360" w:firstLine="0"/>
      </w:pPr>
      <w:r w:rsidRPr="00160B10">
        <w:t>(1) Except as otherwise provided in this paragraph, this section applies to all settings where any employee provides healthcare services or healthcare support services.</w:t>
      </w:r>
    </w:p>
    <w:p w14:paraId="66513258" w14:textId="77777777" w:rsidR="0059218E" w:rsidRPr="00160B10" w:rsidRDefault="0059218E" w:rsidP="00160B10">
      <w:pPr>
        <w:pStyle w:val="FootnoteText"/>
        <w:ind w:left="360" w:firstLine="0"/>
      </w:pPr>
      <w:r w:rsidRPr="00160B10">
        <w:t>(2) This section does not apply to the following:</w:t>
      </w:r>
    </w:p>
    <w:p w14:paraId="54055779" w14:textId="77777777" w:rsidR="0059218E" w:rsidRPr="00160B10" w:rsidRDefault="0059218E" w:rsidP="00160B10">
      <w:pPr>
        <w:pStyle w:val="FootnoteText"/>
        <w:ind w:left="720" w:firstLine="0"/>
      </w:pPr>
      <w:r w:rsidRPr="00160B10">
        <w:t xml:space="preserve">(i) the provision of first aid by an employee who is not a licensed healthcare provider; </w:t>
      </w:r>
    </w:p>
    <w:p w14:paraId="6BF9ADF2" w14:textId="77777777" w:rsidR="0059218E" w:rsidRPr="00160B10" w:rsidRDefault="0059218E" w:rsidP="00160B10">
      <w:pPr>
        <w:pStyle w:val="FootnoteText"/>
        <w:ind w:left="720" w:firstLine="0"/>
      </w:pPr>
      <w:r w:rsidRPr="00160B10">
        <w:t xml:space="preserve">(ii) the dispensing of prescriptions by pharmacists in retail settings; </w:t>
      </w:r>
    </w:p>
    <w:p w14:paraId="649319D1" w14:textId="77777777" w:rsidR="0059218E" w:rsidRPr="00160B10" w:rsidRDefault="0059218E" w:rsidP="00160B10">
      <w:pPr>
        <w:pStyle w:val="FootnoteText"/>
        <w:ind w:left="720" w:firstLine="0"/>
      </w:pPr>
      <w:r w:rsidRPr="00160B10">
        <w:t xml:space="preserve">(iii) non-hospital ambulatory care settings where all non-employees are screened prior to entry and people with suspected or confirmed COVID-19 are not permitted to enter those settings;  </w:t>
      </w:r>
    </w:p>
    <w:p w14:paraId="7A525F55" w14:textId="77777777" w:rsidR="0059218E" w:rsidRPr="00160B10" w:rsidRDefault="0059218E" w:rsidP="00160B10">
      <w:pPr>
        <w:pStyle w:val="FootnoteText"/>
        <w:ind w:left="720" w:firstLine="0"/>
      </w:pPr>
      <w:r w:rsidRPr="00160B10">
        <w:t>(iv) well-defined hospital ambulatory care settings where all employees are fully vaccinated and all non-employees are screened prior to entry and people with suspected or confirmed COVID-19 are not permitted to enter those settings;</w:t>
      </w:r>
    </w:p>
    <w:p w14:paraId="45203C1C" w14:textId="77777777" w:rsidR="0059218E" w:rsidRPr="00160B10" w:rsidRDefault="0059218E" w:rsidP="00160B10">
      <w:pPr>
        <w:pStyle w:val="FootnoteText"/>
        <w:ind w:left="720" w:firstLine="0"/>
      </w:pPr>
      <w:r w:rsidRPr="00160B10">
        <w:t xml:space="preserve"> (v) home healthcare settings where all employees are fully vaccinated and all non-employees are screened prior to entry and people with suspected or confirmed COVID-19 are not present;</w:t>
      </w:r>
    </w:p>
    <w:p w14:paraId="00AEDE4F" w14:textId="77777777" w:rsidR="0059218E" w:rsidRPr="00160B10" w:rsidRDefault="0059218E" w:rsidP="00160B10">
      <w:pPr>
        <w:pStyle w:val="FootnoteText"/>
        <w:ind w:left="720" w:firstLine="0"/>
      </w:pPr>
      <w:r w:rsidRPr="00160B10">
        <w:t>(vi) healthcare support services not performed in a healthcare setting (e.g., off-site laundry, off-site medical billing); or</w:t>
      </w:r>
    </w:p>
    <w:p w14:paraId="4F9331E6" w14:textId="652149A7" w:rsidR="0059218E" w:rsidRDefault="0059218E" w:rsidP="00160B10">
      <w:pPr>
        <w:pStyle w:val="FootnoteText"/>
        <w:ind w:left="720" w:firstLine="0"/>
      </w:pPr>
      <w:r w:rsidRPr="00160B10">
        <w:t>(vii) telehealth services performed outside of a setting where direct patient care occurs.</w:t>
      </w:r>
    </w:p>
    <w:p w14:paraId="4913698E" w14:textId="77777777" w:rsidR="0059218E" w:rsidRPr="00160B10" w:rsidRDefault="0059218E" w:rsidP="00160B10">
      <w:pPr>
        <w:pStyle w:val="FootnoteText"/>
        <w:ind w:left="720" w:firstLine="0"/>
      </w:pPr>
    </w:p>
    <w:p w14:paraId="5CEE1D0B" w14:textId="77777777" w:rsidR="0059218E" w:rsidRPr="00160B10" w:rsidRDefault="0059218E" w:rsidP="00160B10">
      <w:pPr>
        <w:pStyle w:val="FootnoteText"/>
        <w:ind w:left="360" w:firstLine="0"/>
      </w:pPr>
      <w:r w:rsidRPr="00160B10">
        <w:t>Note to paragraphs (a)(2)(iv) and (a)(2)(v): OSHA does not intend to preclude the employers of employees who are unable to be vaccinated from the scope exemption in paragraphs (a)(2)(iv) and (a)(2)(v).  Under various anti-discrimination laws, workers who cannot be vaccinated because of physical conditions, such as allergies to vaccine ingredients, or certain religious beliefs may ask for a reasonable accommodation from their employer. Accordingly, where an employer reasonably accommodates an employee who is unable to be vaccinated in a manner that does not expose the employee to COVID-19 hazards (e.g., telework, working in isolation), that employer may be within the scope exemption in paragraphs (a)(2)(iv) and (a)(2)(v).</w:t>
      </w:r>
    </w:p>
    <w:p w14:paraId="35DD2828" w14:textId="77777777" w:rsidR="0059218E" w:rsidRPr="00160B10" w:rsidRDefault="0059218E" w:rsidP="00160B10">
      <w:pPr>
        <w:pStyle w:val="FootnoteText"/>
      </w:pPr>
    </w:p>
    <w:p w14:paraId="005A555C" w14:textId="6FC812F1" w:rsidR="0059218E" w:rsidRPr="00160B10" w:rsidRDefault="0059218E" w:rsidP="00160B10">
      <w:pPr>
        <w:pStyle w:val="FootnoteText"/>
        <w:ind w:left="360" w:firstLine="0"/>
      </w:pPr>
      <w:r w:rsidRPr="00160B10">
        <w:t xml:space="preserve">(3) </w:t>
      </w:r>
      <w:r>
        <w:t xml:space="preserve"> </w:t>
      </w:r>
      <w:r w:rsidRPr="00160B10">
        <w:t xml:space="preserve">(i) Where a healthcare setting is embedded within a non-healthcare setting (e.g., nurse’s office in a school, medical clinic in a manufacturing facility, walk-in clinic in a retail setting), this section applies only to the embedded healthcare setting and not to the remainder of the physical location.  </w:t>
      </w:r>
    </w:p>
    <w:p w14:paraId="24896132" w14:textId="77777777" w:rsidR="0059218E" w:rsidRPr="00160B10" w:rsidRDefault="0059218E" w:rsidP="00160B10">
      <w:pPr>
        <w:pStyle w:val="FootnoteText"/>
        <w:ind w:left="720" w:firstLine="0"/>
      </w:pPr>
      <w:r w:rsidRPr="00160B10">
        <w:t xml:space="preserve">(ii)  Where emergency responders or other licensed healthcare providers (e.g., school nurse providing care to a student in a classroom) enter a non-healthcare setting to provide healthcare services, this section applies only to the provision of the healthcare services by that employee. </w:t>
      </w:r>
    </w:p>
    <w:p w14:paraId="45628C8A" w14:textId="77777777" w:rsidR="0059218E" w:rsidRPr="00160B10" w:rsidRDefault="0059218E" w:rsidP="00160B10">
      <w:pPr>
        <w:pStyle w:val="FootnoteText"/>
        <w:ind w:left="360" w:firstLine="0"/>
      </w:pPr>
      <w:r w:rsidRPr="00160B10">
        <w:t xml:space="preserve">(4) In well-defined areas where there is no reasonable expectation that any person with suspected or confirmed COVID-19 will be present, paragraphs (f), (h), and (i) of this section do not apply to employees who are fully vaccinated. </w:t>
      </w:r>
    </w:p>
    <w:p w14:paraId="5EFFC71A" w14:textId="082B2B82" w:rsidR="0059218E" w:rsidRPr="009F4F97" w:rsidRDefault="0059218E" w:rsidP="00313268">
      <w:pPr>
        <w:pStyle w:val="FootnoteText"/>
        <w:ind w:firstLine="0"/>
        <w:rPr>
          <w:b/>
        </w:rPr>
      </w:pPr>
      <w:r w:rsidRPr="00160B10" w:rsidDel="00D74D9F">
        <w:t xml:space="preserve"> </w:t>
      </w:r>
    </w:p>
    <w:p w14:paraId="50F9D31C" w14:textId="6C80CE67" w:rsidR="0059218E" w:rsidRPr="009F4F97" w:rsidRDefault="0059218E">
      <w:pPr>
        <w:pStyle w:val="FootnoteText"/>
      </w:pPr>
    </w:p>
  </w:footnote>
  <w:footnote w:id="3">
    <w:p w14:paraId="48CBE65A" w14:textId="329197AD" w:rsidR="0059218E" w:rsidRPr="009F4F97" w:rsidRDefault="0059218E" w:rsidP="009B3370">
      <w:pPr>
        <w:pStyle w:val="FootnoteText"/>
        <w:ind w:firstLine="0"/>
      </w:pPr>
      <w:r w:rsidRPr="009F4F97">
        <w:rPr>
          <w:rStyle w:val="FootnoteReference"/>
        </w:rPr>
        <w:footnoteRef/>
      </w:r>
      <w:r w:rsidRPr="009F4F97">
        <w:t xml:space="preserve"> This section applies only to respirator use in accordance with 29 CFR 1910.502(f)(4).</w:t>
      </w:r>
    </w:p>
  </w:footnote>
  <w:footnote w:id="4">
    <w:p w14:paraId="3CEB783A" w14:textId="65194754" w:rsidR="0059218E" w:rsidRDefault="0059218E">
      <w:pPr>
        <w:pStyle w:val="FootnoteText"/>
      </w:pPr>
      <w:r w:rsidRPr="008078A1">
        <w:rPr>
          <w:rStyle w:val="FootnoteReference"/>
        </w:rPr>
        <w:footnoteRef/>
      </w:r>
      <w:r w:rsidRPr="008078A1">
        <w:t xml:space="preserve"> Source: Table 27 of the ETS Economic Analysis and under the tab “COVID-19 Plan” of the HealthcareCostSpreadsheets V2. </w:t>
      </w:r>
    </w:p>
  </w:footnote>
  <w:footnote w:id="5">
    <w:p w14:paraId="258BDC92" w14:textId="61FA1393" w:rsidR="0059218E" w:rsidRDefault="0059218E">
      <w:pPr>
        <w:pStyle w:val="FootnoteText"/>
      </w:pPr>
      <w:r>
        <w:rPr>
          <w:rStyle w:val="FootnoteReference"/>
        </w:rPr>
        <w:footnoteRef/>
      </w:r>
      <w:r>
        <w:t xml:space="preserve"> Source: Table 27 of the Economic Analysis for the ETS.</w:t>
      </w:r>
    </w:p>
  </w:footnote>
  <w:footnote w:id="6">
    <w:p w14:paraId="12CD839E" w14:textId="77777777" w:rsidR="0059218E" w:rsidRDefault="0059218E" w:rsidP="00E05CA9">
      <w:pPr>
        <w:pStyle w:val="FootnoteText"/>
      </w:pPr>
      <w:r>
        <w:rPr>
          <w:rStyle w:val="FootnoteReference"/>
        </w:rPr>
        <w:footnoteRef/>
      </w:r>
      <w:r>
        <w:t xml:space="preserve"> According to </w:t>
      </w:r>
      <w:hyperlink r:id="rId1" w:history="1">
        <w:r w:rsidRPr="00094D4D">
          <w:rPr>
            <w:rStyle w:val="Hyperlink"/>
          </w:rPr>
          <w:t>AHA Data Hub 2015-2019 data</w:t>
        </w:r>
      </w:hyperlink>
      <w:r>
        <w:t>, there were 785,235,256 outpatient visits, 19,418,138 outpatient surgeries, and 34,078,100 admissions in 2019. These data apply to 5,141 community hospitals, which is 447 visits per day for each hospital. Thus, since OSHA estimates there are 492 healthcare workers per hospital, that is, approximately 1 patient per employee per day.</w:t>
      </w:r>
    </w:p>
  </w:footnote>
  <w:footnote w:id="7">
    <w:p w14:paraId="713F0103" w14:textId="77777777" w:rsidR="0059218E" w:rsidRDefault="0059218E" w:rsidP="00E05CA9">
      <w:pPr>
        <w:pStyle w:val="FootnoteText"/>
      </w:pPr>
      <w:r>
        <w:rPr>
          <w:rStyle w:val="FootnoteReference"/>
        </w:rPr>
        <w:footnoteRef/>
      </w:r>
      <w:r>
        <w:t xml:space="preserve"> </w:t>
      </w:r>
      <w:r w:rsidRPr="00DA45E4">
        <w:t xml:space="preserve">The number of patients per facility for Nursing Homes and other Long Term Care are estimated using a 2019 National Center for Health Statistics study on long term care facilities and their patients </w:t>
      </w:r>
      <w:r w:rsidRPr="00DA45E4">
        <w:fldChar w:fldCharType="begin"/>
      </w:r>
      <w:r w:rsidRPr="00DA45E4">
        <w:instrText xml:space="preserve"> ADDIN EN.CITE &lt;EndNote&gt;&lt;Cite&gt;&lt;Author&gt;Harris-Kojetin&lt;/Author&gt;&lt;Year&gt;2019&lt;/Year&gt;&lt;RecNum&gt;15&lt;/RecNum&gt;&lt;DisplayText&gt;(Harris-Kojetin et al., 2019)&lt;/DisplayText&gt;&lt;record&gt;&lt;rec-number&gt;16&lt;/rec-number&gt;&lt;foreign-keys&gt;&lt;key app="EN" db-id="sze052r0szpxrne5pd0vedt025zt5fdtve5w" timestamp="1614181645"&gt;16&lt;/key&gt;&lt;/foreign-keys&gt;&lt;ref-type name="Government Document"&gt;46&lt;/ref-type&gt;&lt;contributors&gt;&lt;authors&gt;&lt;author&gt;Harris-Kojetin, L &lt;/author&gt;&lt;author&gt;Sengupta, M&lt;/author&gt;&lt;author&gt;Lendon, JP &lt;/author&gt;&lt;author&gt;Rome, V&lt;/author&gt;&lt;author&gt;Valverde, R &lt;/author&gt;&lt;author&gt;Caffrey, C.&lt;/author&gt;&lt;/authors&gt;&lt;secondary-authors&gt;&lt;author&gt;NCHS&lt;/author&gt;&lt;/secondary-authors&gt;&lt;/contributors&gt;&lt;titles&gt;&lt;title&gt; Long-term care providers and services users in the United States, 2015–2016&lt;/title&gt;&lt;/titles&gt;&lt;volume&gt;Vital Health Stat 3(43)&lt;/volume&gt;&lt;dates&gt;&lt;year&gt;2019&lt;/year&gt;&lt;/dates&gt;&lt;urls&gt;&lt;/urls&gt;&lt;/record&gt;&lt;/Cite&gt;&lt;/EndNote&gt;</w:instrText>
      </w:r>
      <w:r w:rsidRPr="00DA45E4">
        <w:fldChar w:fldCharType="separate"/>
      </w:r>
      <w:r w:rsidRPr="00DA45E4">
        <w:t>(Harris-Kojetin et al., 2019)</w:t>
      </w:r>
      <w:r w:rsidRPr="00DA45E4">
        <w:fldChar w:fldCharType="end"/>
      </w:r>
      <w:r w:rsidRPr="00DA45E4">
        <w:t xml:space="preserve"> and OSHA’s estimated number of facilities (estimated using BLS </w:t>
      </w:r>
      <w:r w:rsidRPr="00DA45E4">
        <w:fldChar w:fldCharType="begin"/>
      </w:r>
      <w:r w:rsidRPr="00DA45E4">
        <w:instrText xml:space="preserve"> ADDIN EN.CITE &lt;EndNote&gt;&lt;Cite ExcludeAuth="1"&gt;&lt;Author&gt;U.S. Bureau of Labor Statistics&lt;/Author&gt;&lt;Year&gt;2017&lt;/Year&gt;&lt;RecNum&gt;3&lt;/RecNum&gt;&lt;DisplayText&gt;(2017)&lt;/DisplayText&gt;&lt;record&gt;&lt;rec-number&gt;2&lt;/rec-number&gt;&lt;foreign-keys&gt;&lt;key app="EN" db-id="sze052r0szpxrne5pd0vedt025zt5fdtve5w" timestamp="1614181618"&gt;2&lt;/key&gt;&lt;/foreign-keys&gt;&lt;ref-type name="Journal Article"&gt;17&lt;/ref-type&gt;&lt;contributors&gt;&lt;authors&gt;&lt;author&gt;U.S. Bureau of Labor Statistics,&lt;/author&gt;&lt;/authors&gt;&lt;/contributors&gt;&lt;titles&gt;&lt;title&gt;Quarterly Census of Employment and Wages (QCEW)&lt;/title&gt;&lt;/titles&gt;&lt;dates&gt;&lt;year&gt;2017&lt;/year&gt;&lt;/dates&gt;&lt;urls&gt;&lt;/urls&gt;&lt;/record&gt;&lt;/Cite&gt;&lt;/EndNote&gt;</w:instrText>
      </w:r>
      <w:r w:rsidRPr="00DA45E4">
        <w:fldChar w:fldCharType="separate"/>
      </w:r>
      <w:r w:rsidRPr="00DA45E4">
        <w:t>(2017)</w:t>
      </w:r>
      <w:r w:rsidRPr="00DA45E4">
        <w:fldChar w:fldCharType="end"/>
      </w:r>
      <w:r w:rsidRPr="00DA45E4">
        <w:t xml:space="preserve">, BLS </w:t>
      </w:r>
      <w:r w:rsidRPr="00DA45E4">
        <w:fldChar w:fldCharType="begin"/>
      </w:r>
      <w:r w:rsidRPr="00DA45E4">
        <w:instrText xml:space="preserve"> ADDIN EN.CITE &lt;EndNote&gt;&lt;Cite ExcludeAuth="1"&gt;&lt;Author&gt;U.S Bureau of Labor Statistics&lt;/Author&gt;&lt;Year&gt;2019&lt;/Year&gt;&lt;RecNum&gt;8&lt;/RecNum&gt;&lt;DisplayText&gt;(2019)&lt;/DisplayText&gt;&lt;record&gt;&lt;rec-number&gt;3&lt;/rec-number&gt;&lt;foreign-keys&gt;&lt;key app="EN" db-id="sze052r0szpxrne5pd0vedt025zt5fdtve5w" timestamp="1614181620"&gt;3&lt;/key&gt;&lt;/foreign-keys&gt;&lt;ref-type name="Journal Article"&gt;17&lt;/ref-type&gt;&lt;contributors&gt;&lt;authors&gt;&lt;author&gt;U.S Bureau of Labor Statistics,&lt;/author&gt;&lt;/authors&gt;&lt;/contributors&gt;&lt;titles&gt;&lt;title&gt;Occupational Employment Statistics (OES) Survey, May 2018&lt;/title&gt;&lt;/titles&gt;&lt;dates&gt;&lt;year&gt;2019&lt;/year&gt;&lt;/dates&gt;&lt;urls&gt;&lt;/urls&gt;&lt;/record&gt;&lt;/Cite&gt;&lt;/EndNote&gt;</w:instrText>
      </w:r>
      <w:r w:rsidRPr="00DA45E4">
        <w:fldChar w:fldCharType="separate"/>
      </w:r>
      <w:r w:rsidRPr="00DA45E4">
        <w:t>(2019)</w:t>
      </w:r>
      <w:r w:rsidRPr="00DA45E4">
        <w:fldChar w:fldCharType="end"/>
      </w:r>
      <w:r w:rsidRPr="00DA45E4">
        <w:t xml:space="preserve">, and </w:t>
      </w:r>
      <w:r w:rsidRPr="00DA45E4">
        <w:fldChar w:fldCharType="begin"/>
      </w:r>
      <w:r w:rsidRPr="00DA45E4">
        <w:instrText xml:space="preserve"> ADDIN EN.CITE &lt;EndNote&gt;&lt;Cite&gt;&lt;Author&gt;U.S. Census Bureau&lt;/Author&gt;&lt;Year&gt;2019&lt;/Year&gt;&lt;RecNum&gt;1&lt;/RecNum&gt;&lt;DisplayText&gt;(U.S. Census Bureau, 2019c)&lt;/DisplayText&gt;&lt;record&gt;&lt;rec-number&gt;1&lt;/rec-number&gt;&lt;foreign-keys&gt;&lt;key app="EN" db-id="sze052r0szpxrne5pd0vedt025zt5fdtve5w" timestamp="1614181616"&gt;1&lt;/key&gt;&lt;/foreign-keys&gt;&lt;ref-type name="Dataset"&gt;59&lt;/ref-type&gt;&lt;contributors&gt;&lt;authors&gt;&lt;author&gt;U.S. Census Bureau,&lt;/author&gt;&lt;/authors&gt;&lt;/contributors&gt;&lt;titles&gt;&lt;title&gt;County Business Patterns Data. Number of Firms, Number of Establishments, Employment, and Annual Payroll by Enterprise Employment Size for the United States, All Industries:  2017&lt;/title&gt;&lt;/titles&gt;&lt;dates&gt;&lt;year&gt;2019&lt;/year&gt;&lt;/dates&gt;&lt;urls&gt;&lt;/urls&gt;&lt;/record&gt;&lt;/Cite&gt;&lt;/EndNote&gt;</w:instrText>
      </w:r>
      <w:r w:rsidRPr="00DA45E4">
        <w:fldChar w:fldCharType="separate"/>
      </w:r>
      <w:r w:rsidRPr="00DA45E4">
        <w:t>(U.S. Census Bureau, 2019c)</w:t>
      </w:r>
      <w:r w:rsidRPr="00DA45E4">
        <w:fldChar w:fldCharType="end"/>
      </w:r>
      <w:r w:rsidRPr="00DA45E4">
        <w:t>).</w:t>
      </w:r>
    </w:p>
  </w:footnote>
  <w:footnote w:id="8">
    <w:p w14:paraId="1916CE46" w14:textId="77777777" w:rsidR="0059218E" w:rsidRDefault="0059218E" w:rsidP="00E05CA9">
      <w:pPr>
        <w:pStyle w:val="FootnoteText"/>
      </w:pPr>
      <w:r>
        <w:rPr>
          <w:rStyle w:val="FootnoteReference"/>
        </w:rPr>
        <w:footnoteRef/>
      </w:r>
      <w:r>
        <w:t xml:space="preserve"> The number of patients at hospitals and ambulatory care was estimated using </w:t>
      </w:r>
      <w:hyperlink r:id="rId2" w:history="1">
        <w:r w:rsidRPr="00094D4D">
          <w:rPr>
            <w:rStyle w:val="Hyperlink"/>
          </w:rPr>
          <w:t>AHA Data Hub 2015-2019 data</w:t>
        </w:r>
      </w:hyperlink>
      <w:r>
        <w:t xml:space="preserve"> (American Hospital Association, 2021).</w:t>
      </w:r>
    </w:p>
  </w:footnote>
  <w:footnote w:id="9">
    <w:p w14:paraId="56BA09F5" w14:textId="77777777" w:rsidR="0059218E" w:rsidRDefault="0059218E" w:rsidP="002753B1">
      <w:pPr>
        <w:pStyle w:val="FootnoteText"/>
        <w:ind w:firstLine="0"/>
      </w:pPr>
      <w:r>
        <w:rPr>
          <w:rStyle w:val="FootnoteReference"/>
        </w:rPr>
        <w:footnoteRef/>
      </w:r>
      <w:r>
        <w:t xml:space="preserve"> </w:t>
      </w:r>
      <w:r w:rsidRPr="00BD1E09">
        <w:t>This includes both the rate of employees estimated to be confirmed positive for COVID-19 (</w:t>
      </w:r>
      <w:r>
        <w:t>0</w:t>
      </w:r>
      <w:r w:rsidRPr="00BD1E09">
        <w:t>.</w:t>
      </w:r>
      <w:r>
        <w:t>38</w:t>
      </w:r>
      <w:r w:rsidRPr="00BD1E09">
        <w:t>%) and those who exhibit sign or symptoms but who are not confirmed positive (0.</w:t>
      </w:r>
      <w:r>
        <w:t>19</w:t>
      </w:r>
      <w:r w:rsidRPr="00BD1E09">
        <w:t xml:space="preserve">%). </w:t>
      </w:r>
      <w:r w:rsidRPr="000C2A34">
        <w:t>Source: ETS Economic Analysis Spreadsheets</w:t>
      </w:r>
      <w:r>
        <w:t>.</w:t>
      </w:r>
    </w:p>
  </w:footnote>
  <w:footnote w:id="10">
    <w:p w14:paraId="4E4C97E6" w14:textId="1DF1237C" w:rsidR="0059218E" w:rsidRDefault="0059218E">
      <w:pPr>
        <w:pStyle w:val="FootnoteText"/>
      </w:pPr>
      <w:r>
        <w:rPr>
          <w:rStyle w:val="FootnoteReference"/>
        </w:rPr>
        <w:footnoteRef/>
      </w:r>
      <w:r>
        <w:t xml:space="preserve"> The number of cases confirmed positive after taking the COVID-19 test. (10,338,353 employees x 0.38% = 39,286 cases)</w:t>
      </w:r>
    </w:p>
  </w:footnote>
  <w:footnote w:id="11">
    <w:p w14:paraId="5D1CA201" w14:textId="77777777" w:rsidR="0059218E" w:rsidRDefault="0059218E" w:rsidP="00B3779C">
      <w:pPr>
        <w:pStyle w:val="FootnoteText"/>
      </w:pPr>
      <w:r>
        <w:rPr>
          <w:rStyle w:val="FootnoteReference"/>
        </w:rPr>
        <w:footnoteRef/>
      </w:r>
      <w:r>
        <w:t xml:space="preserve"> </w:t>
      </w:r>
      <w:r w:rsidRPr="00602809">
        <w:t>Scotch® Expressions Decorative Masking Tape</w:t>
      </w:r>
      <w:r>
        <w:t xml:space="preserve">, </w:t>
      </w:r>
      <w:r w:rsidRPr="00602809">
        <w:t>https://www.officedepot.com/a/products/695324/Scotch-Expressions-Decorative-Masking-Tape-1/;jsessionid=0000BX2y3rGArOXXOIP3dj4tdac:17h4h7aom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28E49" w14:textId="6BBCDEE3" w:rsidR="0059218E" w:rsidRDefault="0059218E" w:rsidP="00925ED6">
    <w:pPr>
      <w:pStyle w:val="Header"/>
    </w:pPr>
    <w:r>
      <w:t>COVID-19 ETS (29 CFR 1910, Subpart U)</w:t>
    </w:r>
  </w:p>
  <w:p w14:paraId="107965AF" w14:textId="52554D03" w:rsidR="0059218E" w:rsidRDefault="0059218E" w:rsidP="00925ED6">
    <w:pPr>
      <w:pStyle w:val="Header"/>
    </w:pPr>
    <w:r>
      <w:t>1218-0277</w:t>
    </w:r>
  </w:p>
  <w:p w14:paraId="1C3E9210" w14:textId="68A6AEFF" w:rsidR="0059218E" w:rsidRDefault="0059218E" w:rsidP="00925ED6">
    <w:pPr>
      <w:pStyle w:val="Header"/>
    </w:pPr>
    <w:r>
      <w:t>June 2021</w:t>
    </w:r>
  </w:p>
  <w:p w14:paraId="27763F17" w14:textId="77777777" w:rsidR="0059218E" w:rsidRDefault="0059218E">
    <w:pPr>
      <w:pStyle w:val="Header"/>
    </w:pPr>
  </w:p>
  <w:p w14:paraId="7E5F0F92" w14:textId="77777777" w:rsidR="0059218E" w:rsidRDefault="005921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14305"/>
    <w:multiLevelType w:val="hybridMultilevel"/>
    <w:tmpl w:val="BC22E1D4"/>
    <w:lvl w:ilvl="0" w:tplc="28AA7FDC">
      <w:start w:val="1"/>
      <w:numFmt w:val="upperLetter"/>
      <w:lvlText w:val="(%1)"/>
      <w:lvlJc w:val="left"/>
      <w:pPr>
        <w:ind w:left="1296" w:hanging="396"/>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8071425"/>
    <w:multiLevelType w:val="hybridMultilevel"/>
    <w:tmpl w:val="6BB8FC02"/>
    <w:lvl w:ilvl="0" w:tplc="980EC5C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D6623"/>
    <w:multiLevelType w:val="hybridMultilevel"/>
    <w:tmpl w:val="066831D2"/>
    <w:lvl w:ilvl="0" w:tplc="A05A1838">
      <w:start w:val="1"/>
      <w:numFmt w:val="upperLetter"/>
      <w:lvlText w:val="(%1)"/>
      <w:lvlJc w:val="left"/>
      <w:pPr>
        <w:ind w:left="1470" w:hanging="39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8D0A49"/>
    <w:multiLevelType w:val="hybridMultilevel"/>
    <w:tmpl w:val="91C243AC"/>
    <w:lvl w:ilvl="0" w:tplc="980EC5C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714770"/>
    <w:multiLevelType w:val="hybridMultilevel"/>
    <w:tmpl w:val="C32284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5C77BC"/>
    <w:multiLevelType w:val="hybridMultilevel"/>
    <w:tmpl w:val="14C2C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046DD0"/>
    <w:multiLevelType w:val="hybridMultilevel"/>
    <w:tmpl w:val="7F46314A"/>
    <w:lvl w:ilvl="0" w:tplc="52A03002">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8D248A"/>
    <w:multiLevelType w:val="hybridMultilevel"/>
    <w:tmpl w:val="4642C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072D1B"/>
    <w:multiLevelType w:val="hybridMultilevel"/>
    <w:tmpl w:val="328ED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0B46CB"/>
    <w:multiLevelType w:val="hybridMultilevel"/>
    <w:tmpl w:val="4A484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417BCC"/>
    <w:multiLevelType w:val="hybridMultilevel"/>
    <w:tmpl w:val="31363F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B4370D"/>
    <w:multiLevelType w:val="hybridMultilevel"/>
    <w:tmpl w:val="56D2519A"/>
    <w:lvl w:ilvl="0" w:tplc="CD586032">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DA266E8"/>
    <w:multiLevelType w:val="hybridMultilevel"/>
    <w:tmpl w:val="6C127330"/>
    <w:lvl w:ilvl="0" w:tplc="1A14BC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086047"/>
    <w:multiLevelType w:val="hybridMultilevel"/>
    <w:tmpl w:val="A1C80E1A"/>
    <w:lvl w:ilvl="0" w:tplc="9476DA2E">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24501C3"/>
    <w:multiLevelType w:val="hybridMultilevel"/>
    <w:tmpl w:val="AE8E11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62B199B"/>
    <w:multiLevelType w:val="multilevel"/>
    <w:tmpl w:val="094AAA06"/>
    <w:lvl w:ilvl="0">
      <w:start w:val="1"/>
      <w:numFmt w:val="upperLetter"/>
      <w:pStyle w:val="Heading1"/>
      <w:lvlText w:val="%1."/>
      <w:lvlJc w:val="left"/>
      <w:pPr>
        <w:ind w:left="360" w:hanging="360"/>
      </w:pPr>
      <w:rPr>
        <w:rFonts w:ascii="Times New Roman Bold" w:hAnsi="Times New Roman Bold" w:cs="Times New Roman" w:hint="default"/>
        <w:b/>
        <w:i w:val="0"/>
        <w:sz w:val="24"/>
      </w:rPr>
    </w:lvl>
    <w:lvl w:ilvl="1">
      <w:start w:val="1"/>
      <w:numFmt w:val="decimal"/>
      <w:pStyle w:val="Heading2"/>
      <w:suff w:val="space"/>
      <w:lvlText w:val="%2."/>
      <w:lvlJc w:val="left"/>
      <w:pPr>
        <w:ind w:left="360" w:hanging="360"/>
      </w:pPr>
      <w:rPr>
        <w:rFonts w:ascii="Times New Roman Bold" w:hAnsi="Times New Roman Bold" w:cs="Times New Roman" w:hint="default"/>
        <w:b/>
        <w:i w:val="0"/>
        <w:sz w:val="22"/>
        <w:szCs w:val="22"/>
      </w:rPr>
    </w:lvl>
    <w:lvl w:ilvl="2">
      <w:start w:val="1"/>
      <w:numFmt w:val="upperLetter"/>
      <w:pStyle w:val="Heading3"/>
      <w:lvlText w:val="%3."/>
      <w:lvlJc w:val="left"/>
      <w:pPr>
        <w:ind w:left="630" w:hanging="360"/>
      </w:pPr>
      <w:rPr>
        <w:rFonts w:ascii="Times New Roman Bold" w:hAnsi="Times New Roman Bold" w:cs="Times New Roman" w:hint="default"/>
        <w:b/>
        <w:i w:val="0"/>
        <w:sz w:val="24"/>
      </w:rPr>
    </w:lvl>
    <w:lvl w:ilvl="3">
      <w:start w:val="1"/>
      <w:numFmt w:val="decimal"/>
      <w:pStyle w:val="Heading4"/>
      <w:lvlText w:val="%4."/>
      <w:lvlJc w:val="left"/>
      <w:pPr>
        <w:ind w:left="360" w:hanging="360"/>
      </w:pPr>
      <w:rPr>
        <w:b/>
        <w:strike w:val="0"/>
        <w:dstrike w:val="0"/>
        <w:u w:val="none" w:color="000000"/>
        <w:effect w:val="none"/>
      </w:rPr>
    </w:lvl>
    <w:lvl w:ilvl="4">
      <w:start w:val="1"/>
      <w:numFmt w:val="lowerLetter"/>
      <w:pStyle w:val="Heading5"/>
      <w:suff w:val="space"/>
      <w:lvlText w:val="%5."/>
      <w:lvlJc w:val="left"/>
      <w:pPr>
        <w:ind w:left="360" w:hanging="360"/>
      </w:pPr>
    </w:lvl>
    <w:lvl w:ilvl="5">
      <w:start w:val="1"/>
      <w:numFmt w:val="lowerRoman"/>
      <w:pStyle w:val="Heading6"/>
      <w:lvlText w:val="(%6)"/>
      <w:lvlJc w:val="left"/>
      <w:pPr>
        <w:ind w:left="360" w:hanging="360"/>
      </w:pPr>
    </w:lvl>
    <w:lvl w:ilvl="6">
      <w:start w:val="1"/>
      <w:numFmt w:val="decimal"/>
      <w:pStyle w:val="Heading7"/>
      <w:lvlText w:val="%7."/>
      <w:lvlJc w:val="left"/>
      <w:pPr>
        <w:ind w:left="360" w:hanging="360"/>
      </w:pPr>
    </w:lvl>
    <w:lvl w:ilvl="7">
      <w:start w:val="1"/>
      <w:numFmt w:val="lowerLetter"/>
      <w:pStyle w:val="Heading8"/>
      <w:lvlText w:val="%8."/>
      <w:lvlJc w:val="left"/>
      <w:pPr>
        <w:ind w:left="360" w:hanging="360"/>
      </w:pPr>
    </w:lvl>
    <w:lvl w:ilvl="8">
      <w:start w:val="1"/>
      <w:numFmt w:val="lowerRoman"/>
      <w:pStyle w:val="Heading9"/>
      <w:lvlText w:val="%9."/>
      <w:lvlJc w:val="left"/>
      <w:pPr>
        <w:ind w:left="360" w:hanging="360"/>
      </w:pPr>
    </w:lvl>
  </w:abstractNum>
  <w:abstractNum w:abstractNumId="16" w15:restartNumberingAfterBreak="0">
    <w:nsid w:val="7E8F100F"/>
    <w:multiLevelType w:val="hybridMultilevel"/>
    <w:tmpl w:val="6C127330"/>
    <w:lvl w:ilvl="0" w:tplc="1A14BC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5"/>
  </w:num>
  <w:num w:numId="3">
    <w:abstractNumId w:val="15"/>
  </w:num>
  <w:num w:numId="4">
    <w:abstractNumId w:val="4"/>
  </w:num>
  <w:num w:numId="5">
    <w:abstractNumId w:val="10"/>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5"/>
    <w:lvlOverride w:ilvl="0">
      <w:startOverride w:val="1"/>
    </w:lvlOverride>
    <w:lvlOverride w:ilvl="1">
      <w:startOverride w:val="7"/>
    </w:lvlOverride>
  </w:num>
  <w:num w:numId="9">
    <w:abstractNumId w:val="5"/>
  </w:num>
  <w:num w:numId="10">
    <w:abstractNumId w:val="15"/>
    <w:lvlOverride w:ilvl="0">
      <w:startOverride w:val="1"/>
    </w:lvlOverride>
    <w:lvlOverride w:ilvl="1">
      <w:startOverride w:val="1"/>
    </w:lvlOverride>
  </w:num>
  <w:num w:numId="11">
    <w:abstractNumId w:val="1"/>
  </w:num>
  <w:num w:numId="12">
    <w:abstractNumId w:val="2"/>
  </w:num>
  <w:num w:numId="13">
    <w:abstractNumId w:val="6"/>
  </w:num>
  <w:num w:numId="14">
    <w:abstractNumId w:val="7"/>
  </w:num>
  <w:num w:numId="15">
    <w:abstractNumId w:val="3"/>
  </w:num>
  <w:num w:numId="16">
    <w:abstractNumId w:val="13"/>
  </w:num>
  <w:num w:numId="17">
    <w:abstractNumId w:val="11"/>
  </w:num>
  <w:num w:numId="18">
    <w:abstractNumId w:val="9"/>
  </w:num>
  <w:num w:numId="19">
    <w:abstractNumId w:val="15"/>
    <w:lvlOverride w:ilvl="0">
      <w:startOverride w:val="1"/>
    </w:lvlOverride>
    <w:lvlOverride w:ilvl="1">
      <w:startOverride w:val="13"/>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8"/>
  </w:num>
  <w:num w:numId="23">
    <w:abstractNumId w:val="1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242"/>
    <w:rsid w:val="00000198"/>
    <w:rsid w:val="00000E37"/>
    <w:rsid w:val="000014C0"/>
    <w:rsid w:val="000017D9"/>
    <w:rsid w:val="00001BA9"/>
    <w:rsid w:val="00002884"/>
    <w:rsid w:val="00002CE9"/>
    <w:rsid w:val="0000408D"/>
    <w:rsid w:val="000040D3"/>
    <w:rsid w:val="00004AF1"/>
    <w:rsid w:val="00004D48"/>
    <w:rsid w:val="00004EC8"/>
    <w:rsid w:val="000068BF"/>
    <w:rsid w:val="000077EA"/>
    <w:rsid w:val="00007826"/>
    <w:rsid w:val="00007ABA"/>
    <w:rsid w:val="00010DBE"/>
    <w:rsid w:val="00011229"/>
    <w:rsid w:val="00011F36"/>
    <w:rsid w:val="0001205F"/>
    <w:rsid w:val="00012522"/>
    <w:rsid w:val="0001302F"/>
    <w:rsid w:val="000138AA"/>
    <w:rsid w:val="00015492"/>
    <w:rsid w:val="000155C6"/>
    <w:rsid w:val="000157A7"/>
    <w:rsid w:val="00015CA2"/>
    <w:rsid w:val="00016127"/>
    <w:rsid w:val="000162BD"/>
    <w:rsid w:val="00016EE1"/>
    <w:rsid w:val="000175F3"/>
    <w:rsid w:val="00017B7F"/>
    <w:rsid w:val="00017ECA"/>
    <w:rsid w:val="000207EB"/>
    <w:rsid w:val="000214D5"/>
    <w:rsid w:val="00021963"/>
    <w:rsid w:val="00021B8C"/>
    <w:rsid w:val="00022E7F"/>
    <w:rsid w:val="00023635"/>
    <w:rsid w:val="00023996"/>
    <w:rsid w:val="00023B7B"/>
    <w:rsid w:val="00024A1F"/>
    <w:rsid w:val="00024CB5"/>
    <w:rsid w:val="00025258"/>
    <w:rsid w:val="0002606A"/>
    <w:rsid w:val="00026878"/>
    <w:rsid w:val="00026F00"/>
    <w:rsid w:val="0002739B"/>
    <w:rsid w:val="00027F23"/>
    <w:rsid w:val="000308B0"/>
    <w:rsid w:val="00031F72"/>
    <w:rsid w:val="00032E79"/>
    <w:rsid w:val="00033233"/>
    <w:rsid w:val="00033953"/>
    <w:rsid w:val="00033E85"/>
    <w:rsid w:val="00034238"/>
    <w:rsid w:val="00035DDB"/>
    <w:rsid w:val="000370ED"/>
    <w:rsid w:val="000373FE"/>
    <w:rsid w:val="00040191"/>
    <w:rsid w:val="00041D5D"/>
    <w:rsid w:val="0004248B"/>
    <w:rsid w:val="00043163"/>
    <w:rsid w:val="00043512"/>
    <w:rsid w:val="000435FC"/>
    <w:rsid w:val="00044156"/>
    <w:rsid w:val="000447DB"/>
    <w:rsid w:val="00044841"/>
    <w:rsid w:val="00044DB2"/>
    <w:rsid w:val="0004527B"/>
    <w:rsid w:val="0004531C"/>
    <w:rsid w:val="0004629A"/>
    <w:rsid w:val="00046627"/>
    <w:rsid w:val="00046DD8"/>
    <w:rsid w:val="000470E9"/>
    <w:rsid w:val="000473E2"/>
    <w:rsid w:val="000506B7"/>
    <w:rsid w:val="000527AC"/>
    <w:rsid w:val="00053D7E"/>
    <w:rsid w:val="00054969"/>
    <w:rsid w:val="00056C41"/>
    <w:rsid w:val="00056C84"/>
    <w:rsid w:val="00057389"/>
    <w:rsid w:val="00057782"/>
    <w:rsid w:val="000600A7"/>
    <w:rsid w:val="000604F3"/>
    <w:rsid w:val="00060AD6"/>
    <w:rsid w:val="0006162F"/>
    <w:rsid w:val="0006190D"/>
    <w:rsid w:val="00063319"/>
    <w:rsid w:val="00063B3B"/>
    <w:rsid w:val="00063C54"/>
    <w:rsid w:val="00063E0F"/>
    <w:rsid w:val="00064756"/>
    <w:rsid w:val="00070596"/>
    <w:rsid w:val="00070E96"/>
    <w:rsid w:val="000710A3"/>
    <w:rsid w:val="000710E2"/>
    <w:rsid w:val="00071404"/>
    <w:rsid w:val="000726BA"/>
    <w:rsid w:val="00072BDC"/>
    <w:rsid w:val="00076A38"/>
    <w:rsid w:val="00076B0A"/>
    <w:rsid w:val="0007703F"/>
    <w:rsid w:val="000772EC"/>
    <w:rsid w:val="0008032B"/>
    <w:rsid w:val="000808D3"/>
    <w:rsid w:val="00080B2A"/>
    <w:rsid w:val="00080D85"/>
    <w:rsid w:val="0008147B"/>
    <w:rsid w:val="000827C2"/>
    <w:rsid w:val="0008390E"/>
    <w:rsid w:val="00083D10"/>
    <w:rsid w:val="00086FEF"/>
    <w:rsid w:val="0008706C"/>
    <w:rsid w:val="0009016E"/>
    <w:rsid w:val="000912A8"/>
    <w:rsid w:val="00091560"/>
    <w:rsid w:val="000917B5"/>
    <w:rsid w:val="00091F5A"/>
    <w:rsid w:val="00092A9A"/>
    <w:rsid w:val="00092EA9"/>
    <w:rsid w:val="0009340F"/>
    <w:rsid w:val="00093A1D"/>
    <w:rsid w:val="00093FD7"/>
    <w:rsid w:val="00094F03"/>
    <w:rsid w:val="00095A96"/>
    <w:rsid w:val="00095D3B"/>
    <w:rsid w:val="00097854"/>
    <w:rsid w:val="00097911"/>
    <w:rsid w:val="000979C5"/>
    <w:rsid w:val="000A0EA2"/>
    <w:rsid w:val="000A286F"/>
    <w:rsid w:val="000A30B1"/>
    <w:rsid w:val="000A365D"/>
    <w:rsid w:val="000A3ED1"/>
    <w:rsid w:val="000A528E"/>
    <w:rsid w:val="000A5922"/>
    <w:rsid w:val="000A5ABD"/>
    <w:rsid w:val="000A6208"/>
    <w:rsid w:val="000A697A"/>
    <w:rsid w:val="000A700A"/>
    <w:rsid w:val="000A7879"/>
    <w:rsid w:val="000B0431"/>
    <w:rsid w:val="000B1BC3"/>
    <w:rsid w:val="000B1E67"/>
    <w:rsid w:val="000B22B4"/>
    <w:rsid w:val="000B2D78"/>
    <w:rsid w:val="000B2FE5"/>
    <w:rsid w:val="000B587F"/>
    <w:rsid w:val="000B5FF3"/>
    <w:rsid w:val="000B713F"/>
    <w:rsid w:val="000B71A8"/>
    <w:rsid w:val="000C05B8"/>
    <w:rsid w:val="000C0763"/>
    <w:rsid w:val="000C09C0"/>
    <w:rsid w:val="000C0A28"/>
    <w:rsid w:val="000C0DA6"/>
    <w:rsid w:val="000C0E34"/>
    <w:rsid w:val="000C0FC4"/>
    <w:rsid w:val="000C126F"/>
    <w:rsid w:val="000C1F86"/>
    <w:rsid w:val="000C1FCC"/>
    <w:rsid w:val="000C290F"/>
    <w:rsid w:val="000C2C08"/>
    <w:rsid w:val="000C437D"/>
    <w:rsid w:val="000C6BA7"/>
    <w:rsid w:val="000C78C5"/>
    <w:rsid w:val="000C793E"/>
    <w:rsid w:val="000D027B"/>
    <w:rsid w:val="000D0D8E"/>
    <w:rsid w:val="000D243B"/>
    <w:rsid w:val="000D2470"/>
    <w:rsid w:val="000D278C"/>
    <w:rsid w:val="000D30A3"/>
    <w:rsid w:val="000D33A5"/>
    <w:rsid w:val="000D340D"/>
    <w:rsid w:val="000D3A4D"/>
    <w:rsid w:val="000D56D4"/>
    <w:rsid w:val="000D5958"/>
    <w:rsid w:val="000D5E6A"/>
    <w:rsid w:val="000D67A6"/>
    <w:rsid w:val="000D6DC4"/>
    <w:rsid w:val="000E017D"/>
    <w:rsid w:val="000E134D"/>
    <w:rsid w:val="000E19B1"/>
    <w:rsid w:val="000E27FD"/>
    <w:rsid w:val="000E4B7C"/>
    <w:rsid w:val="000E5013"/>
    <w:rsid w:val="000E5455"/>
    <w:rsid w:val="000E5D5C"/>
    <w:rsid w:val="000E60CF"/>
    <w:rsid w:val="000F1BE7"/>
    <w:rsid w:val="000F2E40"/>
    <w:rsid w:val="000F2F0C"/>
    <w:rsid w:val="000F32BF"/>
    <w:rsid w:val="000F459E"/>
    <w:rsid w:val="000F4C11"/>
    <w:rsid w:val="000F4D1D"/>
    <w:rsid w:val="000F4F59"/>
    <w:rsid w:val="000F54A9"/>
    <w:rsid w:val="000F57B1"/>
    <w:rsid w:val="000F5871"/>
    <w:rsid w:val="000F6CA3"/>
    <w:rsid w:val="000F7316"/>
    <w:rsid w:val="000F757C"/>
    <w:rsid w:val="000F7698"/>
    <w:rsid w:val="000F7B58"/>
    <w:rsid w:val="00100E9A"/>
    <w:rsid w:val="00101663"/>
    <w:rsid w:val="00101AF9"/>
    <w:rsid w:val="00102F14"/>
    <w:rsid w:val="00102FA8"/>
    <w:rsid w:val="001034F9"/>
    <w:rsid w:val="00103C3A"/>
    <w:rsid w:val="00103C4C"/>
    <w:rsid w:val="00104600"/>
    <w:rsid w:val="001053F1"/>
    <w:rsid w:val="001074D4"/>
    <w:rsid w:val="00107BF0"/>
    <w:rsid w:val="00107D2E"/>
    <w:rsid w:val="00107DA5"/>
    <w:rsid w:val="001133A9"/>
    <w:rsid w:val="00113890"/>
    <w:rsid w:val="00115045"/>
    <w:rsid w:val="00115D5B"/>
    <w:rsid w:val="00116A83"/>
    <w:rsid w:val="00116BBD"/>
    <w:rsid w:val="001170C1"/>
    <w:rsid w:val="00117215"/>
    <w:rsid w:val="00117AB7"/>
    <w:rsid w:val="00117BD2"/>
    <w:rsid w:val="00121153"/>
    <w:rsid w:val="0012154C"/>
    <w:rsid w:val="00121E1E"/>
    <w:rsid w:val="001224E5"/>
    <w:rsid w:val="00122A98"/>
    <w:rsid w:val="00122F28"/>
    <w:rsid w:val="001231D9"/>
    <w:rsid w:val="001236ED"/>
    <w:rsid w:val="001237EF"/>
    <w:rsid w:val="00124EF1"/>
    <w:rsid w:val="00125EE6"/>
    <w:rsid w:val="001261D1"/>
    <w:rsid w:val="001263F1"/>
    <w:rsid w:val="00126E34"/>
    <w:rsid w:val="001274C5"/>
    <w:rsid w:val="0012787E"/>
    <w:rsid w:val="001306F0"/>
    <w:rsid w:val="00130CA8"/>
    <w:rsid w:val="0013348E"/>
    <w:rsid w:val="0013376F"/>
    <w:rsid w:val="00134257"/>
    <w:rsid w:val="00135185"/>
    <w:rsid w:val="00135D71"/>
    <w:rsid w:val="00136898"/>
    <w:rsid w:val="00136D56"/>
    <w:rsid w:val="00137989"/>
    <w:rsid w:val="00137AF1"/>
    <w:rsid w:val="00137CC3"/>
    <w:rsid w:val="00137FF8"/>
    <w:rsid w:val="001401D5"/>
    <w:rsid w:val="00140577"/>
    <w:rsid w:val="00140716"/>
    <w:rsid w:val="00141438"/>
    <w:rsid w:val="00143249"/>
    <w:rsid w:val="001435EB"/>
    <w:rsid w:val="00143C16"/>
    <w:rsid w:val="0014471C"/>
    <w:rsid w:val="001454AA"/>
    <w:rsid w:val="001454FC"/>
    <w:rsid w:val="00146450"/>
    <w:rsid w:val="00146A12"/>
    <w:rsid w:val="001473E7"/>
    <w:rsid w:val="00147CE1"/>
    <w:rsid w:val="00150B49"/>
    <w:rsid w:val="00150EAD"/>
    <w:rsid w:val="00151020"/>
    <w:rsid w:val="00152265"/>
    <w:rsid w:val="00152D3A"/>
    <w:rsid w:val="0015391B"/>
    <w:rsid w:val="00154203"/>
    <w:rsid w:val="00154DE9"/>
    <w:rsid w:val="001550B8"/>
    <w:rsid w:val="001563C6"/>
    <w:rsid w:val="00156FA7"/>
    <w:rsid w:val="0015726B"/>
    <w:rsid w:val="0016067D"/>
    <w:rsid w:val="0016069B"/>
    <w:rsid w:val="00160B10"/>
    <w:rsid w:val="00161B76"/>
    <w:rsid w:val="00161E58"/>
    <w:rsid w:val="00162270"/>
    <w:rsid w:val="00162529"/>
    <w:rsid w:val="00162CAF"/>
    <w:rsid w:val="001635D6"/>
    <w:rsid w:val="00163B09"/>
    <w:rsid w:val="00164086"/>
    <w:rsid w:val="00164210"/>
    <w:rsid w:val="00164562"/>
    <w:rsid w:val="001651B2"/>
    <w:rsid w:val="00165518"/>
    <w:rsid w:val="00165D5A"/>
    <w:rsid w:val="00165FC8"/>
    <w:rsid w:val="0016615A"/>
    <w:rsid w:val="001661AF"/>
    <w:rsid w:val="001664E1"/>
    <w:rsid w:val="00166679"/>
    <w:rsid w:val="0016686A"/>
    <w:rsid w:val="001671DF"/>
    <w:rsid w:val="00167578"/>
    <w:rsid w:val="00170C11"/>
    <w:rsid w:val="00170FE8"/>
    <w:rsid w:val="0017100D"/>
    <w:rsid w:val="001717A5"/>
    <w:rsid w:val="00172189"/>
    <w:rsid w:val="00173026"/>
    <w:rsid w:val="00173263"/>
    <w:rsid w:val="0017388E"/>
    <w:rsid w:val="00173D0E"/>
    <w:rsid w:val="001745C1"/>
    <w:rsid w:val="00174BC5"/>
    <w:rsid w:val="00174E7A"/>
    <w:rsid w:val="0017530A"/>
    <w:rsid w:val="0017603E"/>
    <w:rsid w:val="001773F3"/>
    <w:rsid w:val="00177B52"/>
    <w:rsid w:val="00180F45"/>
    <w:rsid w:val="0018102C"/>
    <w:rsid w:val="00181F3C"/>
    <w:rsid w:val="00183E0B"/>
    <w:rsid w:val="0018522D"/>
    <w:rsid w:val="00185AD4"/>
    <w:rsid w:val="00185C2C"/>
    <w:rsid w:val="00185E62"/>
    <w:rsid w:val="001861E8"/>
    <w:rsid w:val="0018697A"/>
    <w:rsid w:val="00186B31"/>
    <w:rsid w:val="00186EB5"/>
    <w:rsid w:val="001875B7"/>
    <w:rsid w:val="00187B33"/>
    <w:rsid w:val="00187DD7"/>
    <w:rsid w:val="00187EC9"/>
    <w:rsid w:val="00187F6F"/>
    <w:rsid w:val="00191D73"/>
    <w:rsid w:val="00193106"/>
    <w:rsid w:val="00193225"/>
    <w:rsid w:val="00194DDF"/>
    <w:rsid w:val="00195061"/>
    <w:rsid w:val="00195FE7"/>
    <w:rsid w:val="00196303"/>
    <w:rsid w:val="0019763F"/>
    <w:rsid w:val="001A047C"/>
    <w:rsid w:val="001A0591"/>
    <w:rsid w:val="001A09E9"/>
    <w:rsid w:val="001A136C"/>
    <w:rsid w:val="001A1D90"/>
    <w:rsid w:val="001A2385"/>
    <w:rsid w:val="001A2A6D"/>
    <w:rsid w:val="001A4504"/>
    <w:rsid w:val="001A46C3"/>
    <w:rsid w:val="001A5D16"/>
    <w:rsid w:val="001A62BD"/>
    <w:rsid w:val="001A68F0"/>
    <w:rsid w:val="001A7DAF"/>
    <w:rsid w:val="001B04F5"/>
    <w:rsid w:val="001B0FE5"/>
    <w:rsid w:val="001B1E50"/>
    <w:rsid w:val="001B2E41"/>
    <w:rsid w:val="001B33AA"/>
    <w:rsid w:val="001B3725"/>
    <w:rsid w:val="001B3739"/>
    <w:rsid w:val="001B390D"/>
    <w:rsid w:val="001B44AB"/>
    <w:rsid w:val="001B469A"/>
    <w:rsid w:val="001B5C21"/>
    <w:rsid w:val="001B5D8E"/>
    <w:rsid w:val="001B6FA4"/>
    <w:rsid w:val="001B76E4"/>
    <w:rsid w:val="001B77EA"/>
    <w:rsid w:val="001B78D5"/>
    <w:rsid w:val="001C0040"/>
    <w:rsid w:val="001C01B8"/>
    <w:rsid w:val="001C01D0"/>
    <w:rsid w:val="001C2243"/>
    <w:rsid w:val="001C291F"/>
    <w:rsid w:val="001C32BE"/>
    <w:rsid w:val="001C3549"/>
    <w:rsid w:val="001C4E54"/>
    <w:rsid w:val="001C4F0A"/>
    <w:rsid w:val="001C4F33"/>
    <w:rsid w:val="001C5674"/>
    <w:rsid w:val="001C6662"/>
    <w:rsid w:val="001D0186"/>
    <w:rsid w:val="001D1313"/>
    <w:rsid w:val="001D2FF7"/>
    <w:rsid w:val="001D3809"/>
    <w:rsid w:val="001D381F"/>
    <w:rsid w:val="001D3C22"/>
    <w:rsid w:val="001D3DAE"/>
    <w:rsid w:val="001D40A6"/>
    <w:rsid w:val="001D41DF"/>
    <w:rsid w:val="001D450C"/>
    <w:rsid w:val="001D4948"/>
    <w:rsid w:val="001D5433"/>
    <w:rsid w:val="001D62BB"/>
    <w:rsid w:val="001D67A6"/>
    <w:rsid w:val="001D7537"/>
    <w:rsid w:val="001E076E"/>
    <w:rsid w:val="001E0DF0"/>
    <w:rsid w:val="001E251A"/>
    <w:rsid w:val="001E3F30"/>
    <w:rsid w:val="001E4608"/>
    <w:rsid w:val="001E55FC"/>
    <w:rsid w:val="001E5649"/>
    <w:rsid w:val="001E5AAA"/>
    <w:rsid w:val="001E5E07"/>
    <w:rsid w:val="001E683C"/>
    <w:rsid w:val="001E715E"/>
    <w:rsid w:val="001F0A65"/>
    <w:rsid w:val="001F196A"/>
    <w:rsid w:val="001F3795"/>
    <w:rsid w:val="001F56DD"/>
    <w:rsid w:val="001F71E1"/>
    <w:rsid w:val="002001C6"/>
    <w:rsid w:val="00200FD5"/>
    <w:rsid w:val="00201A6F"/>
    <w:rsid w:val="002020B1"/>
    <w:rsid w:val="00202329"/>
    <w:rsid w:val="00202D3A"/>
    <w:rsid w:val="002034A6"/>
    <w:rsid w:val="00203890"/>
    <w:rsid w:val="00204185"/>
    <w:rsid w:val="00204280"/>
    <w:rsid w:val="002054F5"/>
    <w:rsid w:val="00205BE9"/>
    <w:rsid w:val="00205C14"/>
    <w:rsid w:val="00206642"/>
    <w:rsid w:val="002072B3"/>
    <w:rsid w:val="0020767A"/>
    <w:rsid w:val="00210ADE"/>
    <w:rsid w:val="00210FDD"/>
    <w:rsid w:val="00211AF9"/>
    <w:rsid w:val="00214D8A"/>
    <w:rsid w:val="002150A6"/>
    <w:rsid w:val="00215D5D"/>
    <w:rsid w:val="00216A79"/>
    <w:rsid w:val="00216DCB"/>
    <w:rsid w:val="00217178"/>
    <w:rsid w:val="0021787C"/>
    <w:rsid w:val="00221CA0"/>
    <w:rsid w:val="0022205F"/>
    <w:rsid w:val="00222385"/>
    <w:rsid w:val="00223497"/>
    <w:rsid w:val="00223DC7"/>
    <w:rsid w:val="0022411B"/>
    <w:rsid w:val="00224F97"/>
    <w:rsid w:val="00225B34"/>
    <w:rsid w:val="00225FD4"/>
    <w:rsid w:val="00226953"/>
    <w:rsid w:val="002271B1"/>
    <w:rsid w:val="00227432"/>
    <w:rsid w:val="0022756B"/>
    <w:rsid w:val="002309B2"/>
    <w:rsid w:val="00230A32"/>
    <w:rsid w:val="00230BBE"/>
    <w:rsid w:val="00230C18"/>
    <w:rsid w:val="00230EEA"/>
    <w:rsid w:val="00231737"/>
    <w:rsid w:val="00231E32"/>
    <w:rsid w:val="00232416"/>
    <w:rsid w:val="0023282A"/>
    <w:rsid w:val="0023323B"/>
    <w:rsid w:val="002336B6"/>
    <w:rsid w:val="00233ABC"/>
    <w:rsid w:val="00233BB2"/>
    <w:rsid w:val="00233D2E"/>
    <w:rsid w:val="00233D9F"/>
    <w:rsid w:val="00234391"/>
    <w:rsid w:val="00234428"/>
    <w:rsid w:val="00234836"/>
    <w:rsid w:val="00235149"/>
    <w:rsid w:val="002354B3"/>
    <w:rsid w:val="002361A6"/>
    <w:rsid w:val="0023642E"/>
    <w:rsid w:val="00236A7C"/>
    <w:rsid w:val="00236FE0"/>
    <w:rsid w:val="00237806"/>
    <w:rsid w:val="00237D36"/>
    <w:rsid w:val="0024090F"/>
    <w:rsid w:val="002410E8"/>
    <w:rsid w:val="002411EB"/>
    <w:rsid w:val="00241D1B"/>
    <w:rsid w:val="002424E3"/>
    <w:rsid w:val="002426AA"/>
    <w:rsid w:val="00242C70"/>
    <w:rsid w:val="00242D3A"/>
    <w:rsid w:val="00243317"/>
    <w:rsid w:val="00243911"/>
    <w:rsid w:val="00243C6C"/>
    <w:rsid w:val="002444C9"/>
    <w:rsid w:val="00244D37"/>
    <w:rsid w:val="00244DF2"/>
    <w:rsid w:val="00244F5D"/>
    <w:rsid w:val="00245AC8"/>
    <w:rsid w:val="002466F0"/>
    <w:rsid w:val="0024741E"/>
    <w:rsid w:val="00250B43"/>
    <w:rsid w:val="0025134D"/>
    <w:rsid w:val="00251AFE"/>
    <w:rsid w:val="00251FD1"/>
    <w:rsid w:val="0025238F"/>
    <w:rsid w:val="002529C0"/>
    <w:rsid w:val="00252CD2"/>
    <w:rsid w:val="00253BAA"/>
    <w:rsid w:val="002547DE"/>
    <w:rsid w:val="00255068"/>
    <w:rsid w:val="00255610"/>
    <w:rsid w:val="0025661A"/>
    <w:rsid w:val="00257249"/>
    <w:rsid w:val="0025745D"/>
    <w:rsid w:val="00257466"/>
    <w:rsid w:val="002576D1"/>
    <w:rsid w:val="00257880"/>
    <w:rsid w:val="00257D40"/>
    <w:rsid w:val="00260DE8"/>
    <w:rsid w:val="00261180"/>
    <w:rsid w:val="002611C0"/>
    <w:rsid w:val="00261807"/>
    <w:rsid w:val="002621E8"/>
    <w:rsid w:val="002628BA"/>
    <w:rsid w:val="00262B0B"/>
    <w:rsid w:val="00263001"/>
    <w:rsid w:val="0026378C"/>
    <w:rsid w:val="00263FA1"/>
    <w:rsid w:val="002648B0"/>
    <w:rsid w:val="00264907"/>
    <w:rsid w:val="00264ABB"/>
    <w:rsid w:val="0026542C"/>
    <w:rsid w:val="00265955"/>
    <w:rsid w:val="00265EBE"/>
    <w:rsid w:val="00266091"/>
    <w:rsid w:val="002660A3"/>
    <w:rsid w:val="002664A8"/>
    <w:rsid w:val="00266C72"/>
    <w:rsid w:val="00266F71"/>
    <w:rsid w:val="002679A8"/>
    <w:rsid w:val="00267A6F"/>
    <w:rsid w:val="00270879"/>
    <w:rsid w:val="00270CF5"/>
    <w:rsid w:val="00271B55"/>
    <w:rsid w:val="00271FBB"/>
    <w:rsid w:val="002720A1"/>
    <w:rsid w:val="00272244"/>
    <w:rsid w:val="00274B27"/>
    <w:rsid w:val="002753B1"/>
    <w:rsid w:val="0027571D"/>
    <w:rsid w:val="002761E1"/>
    <w:rsid w:val="0027636A"/>
    <w:rsid w:val="00276714"/>
    <w:rsid w:val="0027705C"/>
    <w:rsid w:val="00277DA0"/>
    <w:rsid w:val="00277E18"/>
    <w:rsid w:val="0028066A"/>
    <w:rsid w:val="002820D4"/>
    <w:rsid w:val="002823D9"/>
    <w:rsid w:val="002829E7"/>
    <w:rsid w:val="00283106"/>
    <w:rsid w:val="00284172"/>
    <w:rsid w:val="0028424D"/>
    <w:rsid w:val="002844A3"/>
    <w:rsid w:val="00284749"/>
    <w:rsid w:val="002847D3"/>
    <w:rsid w:val="002857F0"/>
    <w:rsid w:val="00287399"/>
    <w:rsid w:val="00290D06"/>
    <w:rsid w:val="00291089"/>
    <w:rsid w:val="002937E9"/>
    <w:rsid w:val="00294765"/>
    <w:rsid w:val="00294F53"/>
    <w:rsid w:val="00295388"/>
    <w:rsid w:val="00295A32"/>
    <w:rsid w:val="002961C1"/>
    <w:rsid w:val="00296A72"/>
    <w:rsid w:val="00297141"/>
    <w:rsid w:val="00297A24"/>
    <w:rsid w:val="002A04CE"/>
    <w:rsid w:val="002A1697"/>
    <w:rsid w:val="002A17CE"/>
    <w:rsid w:val="002A1E50"/>
    <w:rsid w:val="002A201F"/>
    <w:rsid w:val="002A29E9"/>
    <w:rsid w:val="002A2F0E"/>
    <w:rsid w:val="002A2FD6"/>
    <w:rsid w:val="002A3F12"/>
    <w:rsid w:val="002A452E"/>
    <w:rsid w:val="002A5D43"/>
    <w:rsid w:val="002A61D1"/>
    <w:rsid w:val="002A6936"/>
    <w:rsid w:val="002A6D22"/>
    <w:rsid w:val="002A6ECA"/>
    <w:rsid w:val="002A7477"/>
    <w:rsid w:val="002A768F"/>
    <w:rsid w:val="002A79C9"/>
    <w:rsid w:val="002B13D2"/>
    <w:rsid w:val="002B1641"/>
    <w:rsid w:val="002B204F"/>
    <w:rsid w:val="002B2699"/>
    <w:rsid w:val="002B2E82"/>
    <w:rsid w:val="002B3CF8"/>
    <w:rsid w:val="002B3E69"/>
    <w:rsid w:val="002B4DB5"/>
    <w:rsid w:val="002B552F"/>
    <w:rsid w:val="002B6464"/>
    <w:rsid w:val="002B6DDD"/>
    <w:rsid w:val="002C1977"/>
    <w:rsid w:val="002C1CD8"/>
    <w:rsid w:val="002C2F1D"/>
    <w:rsid w:val="002C3627"/>
    <w:rsid w:val="002C38C0"/>
    <w:rsid w:val="002C42D1"/>
    <w:rsid w:val="002C4B6F"/>
    <w:rsid w:val="002C58BF"/>
    <w:rsid w:val="002C6AAD"/>
    <w:rsid w:val="002C6E93"/>
    <w:rsid w:val="002D041B"/>
    <w:rsid w:val="002D1350"/>
    <w:rsid w:val="002D19B4"/>
    <w:rsid w:val="002D1F4D"/>
    <w:rsid w:val="002D34FE"/>
    <w:rsid w:val="002D3F43"/>
    <w:rsid w:val="002D3F84"/>
    <w:rsid w:val="002D4994"/>
    <w:rsid w:val="002D4CC2"/>
    <w:rsid w:val="002D4D3D"/>
    <w:rsid w:val="002D5B58"/>
    <w:rsid w:val="002D66A6"/>
    <w:rsid w:val="002D6712"/>
    <w:rsid w:val="002D67DA"/>
    <w:rsid w:val="002D6981"/>
    <w:rsid w:val="002E088D"/>
    <w:rsid w:val="002E1C6C"/>
    <w:rsid w:val="002E1F19"/>
    <w:rsid w:val="002E2FE6"/>
    <w:rsid w:val="002E3B29"/>
    <w:rsid w:val="002E4078"/>
    <w:rsid w:val="002E4672"/>
    <w:rsid w:val="002E6051"/>
    <w:rsid w:val="002E64B3"/>
    <w:rsid w:val="002E6A72"/>
    <w:rsid w:val="002E77CA"/>
    <w:rsid w:val="002E7B48"/>
    <w:rsid w:val="002F0775"/>
    <w:rsid w:val="002F1285"/>
    <w:rsid w:val="002F17AE"/>
    <w:rsid w:val="002F1AFB"/>
    <w:rsid w:val="002F2B3F"/>
    <w:rsid w:val="002F3F25"/>
    <w:rsid w:val="002F4726"/>
    <w:rsid w:val="002F4B85"/>
    <w:rsid w:val="002F602D"/>
    <w:rsid w:val="002F62D6"/>
    <w:rsid w:val="002F7925"/>
    <w:rsid w:val="002F7929"/>
    <w:rsid w:val="002F7F5A"/>
    <w:rsid w:val="00300C40"/>
    <w:rsid w:val="00301399"/>
    <w:rsid w:val="00301B39"/>
    <w:rsid w:val="0030209A"/>
    <w:rsid w:val="00302ADF"/>
    <w:rsid w:val="0030303D"/>
    <w:rsid w:val="003035DD"/>
    <w:rsid w:val="00303667"/>
    <w:rsid w:val="003046AE"/>
    <w:rsid w:val="00304C56"/>
    <w:rsid w:val="00305C7D"/>
    <w:rsid w:val="00307161"/>
    <w:rsid w:val="00307775"/>
    <w:rsid w:val="003108D5"/>
    <w:rsid w:val="00311996"/>
    <w:rsid w:val="00312A86"/>
    <w:rsid w:val="00313268"/>
    <w:rsid w:val="00313678"/>
    <w:rsid w:val="0031369F"/>
    <w:rsid w:val="00316A2A"/>
    <w:rsid w:val="00316F4E"/>
    <w:rsid w:val="0031734B"/>
    <w:rsid w:val="00321A9E"/>
    <w:rsid w:val="00322427"/>
    <w:rsid w:val="003236A5"/>
    <w:rsid w:val="00323B77"/>
    <w:rsid w:val="00324F43"/>
    <w:rsid w:val="003251DA"/>
    <w:rsid w:val="00325440"/>
    <w:rsid w:val="00325861"/>
    <w:rsid w:val="00325DF6"/>
    <w:rsid w:val="0032627C"/>
    <w:rsid w:val="00326EAF"/>
    <w:rsid w:val="0032763A"/>
    <w:rsid w:val="00330A6D"/>
    <w:rsid w:val="00330BD3"/>
    <w:rsid w:val="00330BE8"/>
    <w:rsid w:val="00330D33"/>
    <w:rsid w:val="00330D8C"/>
    <w:rsid w:val="003310BA"/>
    <w:rsid w:val="003340D7"/>
    <w:rsid w:val="0033440B"/>
    <w:rsid w:val="00334C3E"/>
    <w:rsid w:val="00334E99"/>
    <w:rsid w:val="00335054"/>
    <w:rsid w:val="00337459"/>
    <w:rsid w:val="00337587"/>
    <w:rsid w:val="00337636"/>
    <w:rsid w:val="00337744"/>
    <w:rsid w:val="003400C7"/>
    <w:rsid w:val="00340B92"/>
    <w:rsid w:val="003413E7"/>
    <w:rsid w:val="003414FA"/>
    <w:rsid w:val="00341D0C"/>
    <w:rsid w:val="00341D9E"/>
    <w:rsid w:val="003435CA"/>
    <w:rsid w:val="00344110"/>
    <w:rsid w:val="00345BEC"/>
    <w:rsid w:val="00345D01"/>
    <w:rsid w:val="00345FC4"/>
    <w:rsid w:val="00346913"/>
    <w:rsid w:val="0035019E"/>
    <w:rsid w:val="0035055F"/>
    <w:rsid w:val="00350B06"/>
    <w:rsid w:val="0035126D"/>
    <w:rsid w:val="00351659"/>
    <w:rsid w:val="00351AB3"/>
    <w:rsid w:val="00351F7C"/>
    <w:rsid w:val="00352394"/>
    <w:rsid w:val="00352D32"/>
    <w:rsid w:val="00353C0D"/>
    <w:rsid w:val="00354104"/>
    <w:rsid w:val="00354CBD"/>
    <w:rsid w:val="00355540"/>
    <w:rsid w:val="0035601D"/>
    <w:rsid w:val="00356477"/>
    <w:rsid w:val="003568EE"/>
    <w:rsid w:val="00357141"/>
    <w:rsid w:val="00357F2A"/>
    <w:rsid w:val="0036034C"/>
    <w:rsid w:val="00361FD0"/>
    <w:rsid w:val="003621CF"/>
    <w:rsid w:val="003628C3"/>
    <w:rsid w:val="00363BA1"/>
    <w:rsid w:val="00364022"/>
    <w:rsid w:val="003655A7"/>
    <w:rsid w:val="00365796"/>
    <w:rsid w:val="0037051E"/>
    <w:rsid w:val="003711FC"/>
    <w:rsid w:val="0037125F"/>
    <w:rsid w:val="00372055"/>
    <w:rsid w:val="003728BB"/>
    <w:rsid w:val="00372A40"/>
    <w:rsid w:val="00372B8D"/>
    <w:rsid w:val="003734FB"/>
    <w:rsid w:val="00373ED5"/>
    <w:rsid w:val="00373FDF"/>
    <w:rsid w:val="00374151"/>
    <w:rsid w:val="003804E1"/>
    <w:rsid w:val="00381729"/>
    <w:rsid w:val="003819C8"/>
    <w:rsid w:val="00381D26"/>
    <w:rsid w:val="00381DD6"/>
    <w:rsid w:val="003820BC"/>
    <w:rsid w:val="0038224F"/>
    <w:rsid w:val="003834C4"/>
    <w:rsid w:val="0038369F"/>
    <w:rsid w:val="003872C0"/>
    <w:rsid w:val="00387EFB"/>
    <w:rsid w:val="003901EB"/>
    <w:rsid w:val="00390E78"/>
    <w:rsid w:val="003919CC"/>
    <w:rsid w:val="0039201E"/>
    <w:rsid w:val="00392DE7"/>
    <w:rsid w:val="003941A4"/>
    <w:rsid w:val="0039528D"/>
    <w:rsid w:val="00395A58"/>
    <w:rsid w:val="0039752D"/>
    <w:rsid w:val="003978FC"/>
    <w:rsid w:val="00397B5A"/>
    <w:rsid w:val="003A1113"/>
    <w:rsid w:val="003A21D7"/>
    <w:rsid w:val="003A47AB"/>
    <w:rsid w:val="003A604E"/>
    <w:rsid w:val="003A61B4"/>
    <w:rsid w:val="003A64DF"/>
    <w:rsid w:val="003A6D25"/>
    <w:rsid w:val="003A6F85"/>
    <w:rsid w:val="003A7B34"/>
    <w:rsid w:val="003B0350"/>
    <w:rsid w:val="003B0846"/>
    <w:rsid w:val="003B1189"/>
    <w:rsid w:val="003B1732"/>
    <w:rsid w:val="003B3D7D"/>
    <w:rsid w:val="003B44C0"/>
    <w:rsid w:val="003B4791"/>
    <w:rsid w:val="003B4834"/>
    <w:rsid w:val="003B52B0"/>
    <w:rsid w:val="003B5517"/>
    <w:rsid w:val="003B5589"/>
    <w:rsid w:val="003B5C38"/>
    <w:rsid w:val="003B5E98"/>
    <w:rsid w:val="003B6316"/>
    <w:rsid w:val="003B67B5"/>
    <w:rsid w:val="003B6D6D"/>
    <w:rsid w:val="003B77D5"/>
    <w:rsid w:val="003B7BC5"/>
    <w:rsid w:val="003C027B"/>
    <w:rsid w:val="003C06D6"/>
    <w:rsid w:val="003C0E43"/>
    <w:rsid w:val="003C114F"/>
    <w:rsid w:val="003C12B0"/>
    <w:rsid w:val="003C1DF6"/>
    <w:rsid w:val="003C22BD"/>
    <w:rsid w:val="003C36FD"/>
    <w:rsid w:val="003C475A"/>
    <w:rsid w:val="003C616E"/>
    <w:rsid w:val="003D0862"/>
    <w:rsid w:val="003D08EC"/>
    <w:rsid w:val="003D1A49"/>
    <w:rsid w:val="003D1BA9"/>
    <w:rsid w:val="003D1CCE"/>
    <w:rsid w:val="003D1CF7"/>
    <w:rsid w:val="003D22E7"/>
    <w:rsid w:val="003D353B"/>
    <w:rsid w:val="003D6428"/>
    <w:rsid w:val="003D7723"/>
    <w:rsid w:val="003D7730"/>
    <w:rsid w:val="003D7AA9"/>
    <w:rsid w:val="003D7FBD"/>
    <w:rsid w:val="003E02CB"/>
    <w:rsid w:val="003E0692"/>
    <w:rsid w:val="003E099B"/>
    <w:rsid w:val="003E0C5C"/>
    <w:rsid w:val="003E0CCF"/>
    <w:rsid w:val="003E106E"/>
    <w:rsid w:val="003E216C"/>
    <w:rsid w:val="003E30E1"/>
    <w:rsid w:val="003E4D0F"/>
    <w:rsid w:val="003E4D42"/>
    <w:rsid w:val="003E540D"/>
    <w:rsid w:val="003E545D"/>
    <w:rsid w:val="003E5BC2"/>
    <w:rsid w:val="003F03E7"/>
    <w:rsid w:val="003F0897"/>
    <w:rsid w:val="003F1215"/>
    <w:rsid w:val="003F16FC"/>
    <w:rsid w:val="003F1D7F"/>
    <w:rsid w:val="003F1DBA"/>
    <w:rsid w:val="003F1F8D"/>
    <w:rsid w:val="003F26C0"/>
    <w:rsid w:val="003F280B"/>
    <w:rsid w:val="003F2E8F"/>
    <w:rsid w:val="003F3C5E"/>
    <w:rsid w:val="003F3F95"/>
    <w:rsid w:val="003F5766"/>
    <w:rsid w:val="003F5E67"/>
    <w:rsid w:val="003F5FAB"/>
    <w:rsid w:val="003F6AE4"/>
    <w:rsid w:val="003F712B"/>
    <w:rsid w:val="003F71CC"/>
    <w:rsid w:val="003F74CB"/>
    <w:rsid w:val="00400132"/>
    <w:rsid w:val="004014E1"/>
    <w:rsid w:val="00401728"/>
    <w:rsid w:val="00401B36"/>
    <w:rsid w:val="004036DD"/>
    <w:rsid w:val="0040415C"/>
    <w:rsid w:val="004046D0"/>
    <w:rsid w:val="00404994"/>
    <w:rsid w:val="00404ED4"/>
    <w:rsid w:val="00404FEF"/>
    <w:rsid w:val="0040519D"/>
    <w:rsid w:val="00405713"/>
    <w:rsid w:val="00405E0A"/>
    <w:rsid w:val="00406331"/>
    <w:rsid w:val="00406599"/>
    <w:rsid w:val="00406947"/>
    <w:rsid w:val="00406D90"/>
    <w:rsid w:val="004101FB"/>
    <w:rsid w:val="0041073D"/>
    <w:rsid w:val="00410865"/>
    <w:rsid w:val="00411C86"/>
    <w:rsid w:val="00412927"/>
    <w:rsid w:val="00413165"/>
    <w:rsid w:val="00413E18"/>
    <w:rsid w:val="00414D45"/>
    <w:rsid w:val="004165CA"/>
    <w:rsid w:val="00416A05"/>
    <w:rsid w:val="0041791D"/>
    <w:rsid w:val="00417A9F"/>
    <w:rsid w:val="00417AD3"/>
    <w:rsid w:val="00420A8B"/>
    <w:rsid w:val="00420B98"/>
    <w:rsid w:val="00420D9A"/>
    <w:rsid w:val="00420FC5"/>
    <w:rsid w:val="00422381"/>
    <w:rsid w:val="004226B3"/>
    <w:rsid w:val="00423F4A"/>
    <w:rsid w:val="00424F31"/>
    <w:rsid w:val="00425B40"/>
    <w:rsid w:val="004266C8"/>
    <w:rsid w:val="00427659"/>
    <w:rsid w:val="0042792B"/>
    <w:rsid w:val="00430235"/>
    <w:rsid w:val="00431001"/>
    <w:rsid w:val="0043229D"/>
    <w:rsid w:val="0043267B"/>
    <w:rsid w:val="00432761"/>
    <w:rsid w:val="00433595"/>
    <w:rsid w:val="00433B3C"/>
    <w:rsid w:val="00434C86"/>
    <w:rsid w:val="00434F1D"/>
    <w:rsid w:val="00435447"/>
    <w:rsid w:val="0043565D"/>
    <w:rsid w:val="004361E1"/>
    <w:rsid w:val="0043622C"/>
    <w:rsid w:val="004365BF"/>
    <w:rsid w:val="00436798"/>
    <w:rsid w:val="004367A9"/>
    <w:rsid w:val="00440478"/>
    <w:rsid w:val="00440F49"/>
    <w:rsid w:val="004410BE"/>
    <w:rsid w:val="0044133F"/>
    <w:rsid w:val="004418BC"/>
    <w:rsid w:val="004420F0"/>
    <w:rsid w:val="00442A7C"/>
    <w:rsid w:val="00442F23"/>
    <w:rsid w:val="00443155"/>
    <w:rsid w:val="00443445"/>
    <w:rsid w:val="00443A72"/>
    <w:rsid w:val="00444090"/>
    <w:rsid w:val="0044428F"/>
    <w:rsid w:val="00444A8B"/>
    <w:rsid w:val="004461D2"/>
    <w:rsid w:val="00446B0D"/>
    <w:rsid w:val="00447D77"/>
    <w:rsid w:val="00451A31"/>
    <w:rsid w:val="00452E7E"/>
    <w:rsid w:val="0045361E"/>
    <w:rsid w:val="00454B32"/>
    <w:rsid w:val="004553A9"/>
    <w:rsid w:val="00455DF3"/>
    <w:rsid w:val="00456059"/>
    <w:rsid w:val="00456B6A"/>
    <w:rsid w:val="00456F59"/>
    <w:rsid w:val="00457EA5"/>
    <w:rsid w:val="00460268"/>
    <w:rsid w:val="0046031D"/>
    <w:rsid w:val="00460876"/>
    <w:rsid w:val="00460C51"/>
    <w:rsid w:val="0046136F"/>
    <w:rsid w:val="00461710"/>
    <w:rsid w:val="004619E6"/>
    <w:rsid w:val="00461AAC"/>
    <w:rsid w:val="00461AE8"/>
    <w:rsid w:val="00461F2E"/>
    <w:rsid w:val="00462AB5"/>
    <w:rsid w:val="004644AA"/>
    <w:rsid w:val="004653EF"/>
    <w:rsid w:val="00465F45"/>
    <w:rsid w:val="0046649C"/>
    <w:rsid w:val="00466AC1"/>
    <w:rsid w:val="00470487"/>
    <w:rsid w:val="0047194F"/>
    <w:rsid w:val="00471E9B"/>
    <w:rsid w:val="00471F91"/>
    <w:rsid w:val="0047483A"/>
    <w:rsid w:val="00475276"/>
    <w:rsid w:val="00476685"/>
    <w:rsid w:val="00476800"/>
    <w:rsid w:val="00476F6A"/>
    <w:rsid w:val="00477324"/>
    <w:rsid w:val="0048004E"/>
    <w:rsid w:val="00481A29"/>
    <w:rsid w:val="00482046"/>
    <w:rsid w:val="00482437"/>
    <w:rsid w:val="00483343"/>
    <w:rsid w:val="004838D7"/>
    <w:rsid w:val="0048440A"/>
    <w:rsid w:val="00484BF1"/>
    <w:rsid w:val="004874CC"/>
    <w:rsid w:val="0048784D"/>
    <w:rsid w:val="00487965"/>
    <w:rsid w:val="00487C90"/>
    <w:rsid w:val="0049029B"/>
    <w:rsid w:val="00490F17"/>
    <w:rsid w:val="004913F6"/>
    <w:rsid w:val="00492160"/>
    <w:rsid w:val="00493942"/>
    <w:rsid w:val="00493C25"/>
    <w:rsid w:val="00494FE0"/>
    <w:rsid w:val="004953C9"/>
    <w:rsid w:val="004954DC"/>
    <w:rsid w:val="00495A63"/>
    <w:rsid w:val="00495C3E"/>
    <w:rsid w:val="00495DE2"/>
    <w:rsid w:val="004960AF"/>
    <w:rsid w:val="004969D0"/>
    <w:rsid w:val="004971AB"/>
    <w:rsid w:val="004A0152"/>
    <w:rsid w:val="004A0897"/>
    <w:rsid w:val="004A2738"/>
    <w:rsid w:val="004A431A"/>
    <w:rsid w:val="004A4510"/>
    <w:rsid w:val="004A5EEF"/>
    <w:rsid w:val="004A65F9"/>
    <w:rsid w:val="004A6601"/>
    <w:rsid w:val="004A7141"/>
    <w:rsid w:val="004A7CE8"/>
    <w:rsid w:val="004B0B66"/>
    <w:rsid w:val="004B0E52"/>
    <w:rsid w:val="004B1B0E"/>
    <w:rsid w:val="004B2477"/>
    <w:rsid w:val="004B3F71"/>
    <w:rsid w:val="004B4047"/>
    <w:rsid w:val="004B4AA8"/>
    <w:rsid w:val="004B4C4F"/>
    <w:rsid w:val="004B52B1"/>
    <w:rsid w:val="004B6500"/>
    <w:rsid w:val="004B65FC"/>
    <w:rsid w:val="004B6793"/>
    <w:rsid w:val="004B6D68"/>
    <w:rsid w:val="004B71D1"/>
    <w:rsid w:val="004B7B58"/>
    <w:rsid w:val="004C0C73"/>
    <w:rsid w:val="004C2156"/>
    <w:rsid w:val="004C2F64"/>
    <w:rsid w:val="004C3A4B"/>
    <w:rsid w:val="004C3E28"/>
    <w:rsid w:val="004C3FA5"/>
    <w:rsid w:val="004C3FE1"/>
    <w:rsid w:val="004C40F3"/>
    <w:rsid w:val="004C4420"/>
    <w:rsid w:val="004C493B"/>
    <w:rsid w:val="004C54E0"/>
    <w:rsid w:val="004C55DB"/>
    <w:rsid w:val="004C57CD"/>
    <w:rsid w:val="004C5B5F"/>
    <w:rsid w:val="004C5E67"/>
    <w:rsid w:val="004C5E6D"/>
    <w:rsid w:val="004C5FCB"/>
    <w:rsid w:val="004C6640"/>
    <w:rsid w:val="004C68B3"/>
    <w:rsid w:val="004C6FAE"/>
    <w:rsid w:val="004C7452"/>
    <w:rsid w:val="004C754B"/>
    <w:rsid w:val="004D001A"/>
    <w:rsid w:val="004D00EE"/>
    <w:rsid w:val="004D102A"/>
    <w:rsid w:val="004D1D9C"/>
    <w:rsid w:val="004D317A"/>
    <w:rsid w:val="004D438E"/>
    <w:rsid w:val="004D47D2"/>
    <w:rsid w:val="004D49D0"/>
    <w:rsid w:val="004D50A2"/>
    <w:rsid w:val="004D5E67"/>
    <w:rsid w:val="004D758D"/>
    <w:rsid w:val="004D7787"/>
    <w:rsid w:val="004D7F83"/>
    <w:rsid w:val="004E09B5"/>
    <w:rsid w:val="004E14E5"/>
    <w:rsid w:val="004E18E0"/>
    <w:rsid w:val="004E1AAF"/>
    <w:rsid w:val="004E1DDC"/>
    <w:rsid w:val="004E2269"/>
    <w:rsid w:val="004E2ACE"/>
    <w:rsid w:val="004E2D26"/>
    <w:rsid w:val="004E320B"/>
    <w:rsid w:val="004E394E"/>
    <w:rsid w:val="004E5331"/>
    <w:rsid w:val="004E5FAE"/>
    <w:rsid w:val="004E62FB"/>
    <w:rsid w:val="004E672D"/>
    <w:rsid w:val="004F04A1"/>
    <w:rsid w:val="004F0562"/>
    <w:rsid w:val="004F06A3"/>
    <w:rsid w:val="004F0DFA"/>
    <w:rsid w:val="004F19B6"/>
    <w:rsid w:val="004F1AD5"/>
    <w:rsid w:val="004F2090"/>
    <w:rsid w:val="004F23B1"/>
    <w:rsid w:val="004F38B4"/>
    <w:rsid w:val="004F45EC"/>
    <w:rsid w:val="004F4B9E"/>
    <w:rsid w:val="004F4C9A"/>
    <w:rsid w:val="004F5209"/>
    <w:rsid w:val="004F5B40"/>
    <w:rsid w:val="004F61FA"/>
    <w:rsid w:val="004F65DE"/>
    <w:rsid w:val="004F688A"/>
    <w:rsid w:val="004F6E0C"/>
    <w:rsid w:val="004F74F8"/>
    <w:rsid w:val="004F7696"/>
    <w:rsid w:val="004F7883"/>
    <w:rsid w:val="004F7C1F"/>
    <w:rsid w:val="004F7F6A"/>
    <w:rsid w:val="00500626"/>
    <w:rsid w:val="005013A0"/>
    <w:rsid w:val="00501576"/>
    <w:rsid w:val="00502E70"/>
    <w:rsid w:val="005032E7"/>
    <w:rsid w:val="00503A81"/>
    <w:rsid w:val="00503DBB"/>
    <w:rsid w:val="005045DF"/>
    <w:rsid w:val="0050501C"/>
    <w:rsid w:val="00505140"/>
    <w:rsid w:val="00505851"/>
    <w:rsid w:val="00505B75"/>
    <w:rsid w:val="00505B81"/>
    <w:rsid w:val="00505C1A"/>
    <w:rsid w:val="00506CF1"/>
    <w:rsid w:val="00507425"/>
    <w:rsid w:val="00510977"/>
    <w:rsid w:val="00510F12"/>
    <w:rsid w:val="005122E9"/>
    <w:rsid w:val="0051245D"/>
    <w:rsid w:val="00513F27"/>
    <w:rsid w:val="00513F3A"/>
    <w:rsid w:val="0051452F"/>
    <w:rsid w:val="0051555F"/>
    <w:rsid w:val="00515B3D"/>
    <w:rsid w:val="005161CA"/>
    <w:rsid w:val="00516204"/>
    <w:rsid w:val="0051707D"/>
    <w:rsid w:val="00517707"/>
    <w:rsid w:val="00517ED9"/>
    <w:rsid w:val="005204A2"/>
    <w:rsid w:val="00520C25"/>
    <w:rsid w:val="00520C47"/>
    <w:rsid w:val="00520F1B"/>
    <w:rsid w:val="00521127"/>
    <w:rsid w:val="005215B5"/>
    <w:rsid w:val="00521989"/>
    <w:rsid w:val="005219D0"/>
    <w:rsid w:val="00521DB9"/>
    <w:rsid w:val="00521E42"/>
    <w:rsid w:val="00523003"/>
    <w:rsid w:val="0052304D"/>
    <w:rsid w:val="00523FF1"/>
    <w:rsid w:val="00524233"/>
    <w:rsid w:val="00524A9D"/>
    <w:rsid w:val="005251D2"/>
    <w:rsid w:val="0052572E"/>
    <w:rsid w:val="00525DAC"/>
    <w:rsid w:val="00526A09"/>
    <w:rsid w:val="00527C3C"/>
    <w:rsid w:val="00527C8D"/>
    <w:rsid w:val="00530348"/>
    <w:rsid w:val="00531280"/>
    <w:rsid w:val="00531937"/>
    <w:rsid w:val="00532256"/>
    <w:rsid w:val="005345A3"/>
    <w:rsid w:val="005346C5"/>
    <w:rsid w:val="0053563E"/>
    <w:rsid w:val="0053727D"/>
    <w:rsid w:val="0053728A"/>
    <w:rsid w:val="00537F67"/>
    <w:rsid w:val="005407A4"/>
    <w:rsid w:val="00540EC1"/>
    <w:rsid w:val="00541A69"/>
    <w:rsid w:val="00541CC0"/>
    <w:rsid w:val="00542878"/>
    <w:rsid w:val="005436F1"/>
    <w:rsid w:val="00544190"/>
    <w:rsid w:val="00545A5E"/>
    <w:rsid w:val="00546AAF"/>
    <w:rsid w:val="00546E4D"/>
    <w:rsid w:val="005505AB"/>
    <w:rsid w:val="0055074B"/>
    <w:rsid w:val="00550A45"/>
    <w:rsid w:val="00551075"/>
    <w:rsid w:val="0055274F"/>
    <w:rsid w:val="005529EC"/>
    <w:rsid w:val="0055332A"/>
    <w:rsid w:val="00553BD8"/>
    <w:rsid w:val="00553E26"/>
    <w:rsid w:val="0055482F"/>
    <w:rsid w:val="00554A23"/>
    <w:rsid w:val="00554E48"/>
    <w:rsid w:val="00555D36"/>
    <w:rsid w:val="00555E94"/>
    <w:rsid w:val="0055647C"/>
    <w:rsid w:val="00556739"/>
    <w:rsid w:val="00556EA6"/>
    <w:rsid w:val="00556FF7"/>
    <w:rsid w:val="005577C3"/>
    <w:rsid w:val="00562DB9"/>
    <w:rsid w:val="005631B8"/>
    <w:rsid w:val="005632C0"/>
    <w:rsid w:val="00564079"/>
    <w:rsid w:val="00564E35"/>
    <w:rsid w:val="00565A0D"/>
    <w:rsid w:val="00570A95"/>
    <w:rsid w:val="00570F2B"/>
    <w:rsid w:val="00570FB7"/>
    <w:rsid w:val="00571611"/>
    <w:rsid w:val="00573CC1"/>
    <w:rsid w:val="00574255"/>
    <w:rsid w:val="00574D0D"/>
    <w:rsid w:val="005756BB"/>
    <w:rsid w:val="0057576D"/>
    <w:rsid w:val="00575BCC"/>
    <w:rsid w:val="00577112"/>
    <w:rsid w:val="00577B86"/>
    <w:rsid w:val="00577DDB"/>
    <w:rsid w:val="00580522"/>
    <w:rsid w:val="00581037"/>
    <w:rsid w:val="00581B7B"/>
    <w:rsid w:val="005822EF"/>
    <w:rsid w:val="00582AD1"/>
    <w:rsid w:val="00582F29"/>
    <w:rsid w:val="00584D1F"/>
    <w:rsid w:val="005860CB"/>
    <w:rsid w:val="005864AA"/>
    <w:rsid w:val="00590347"/>
    <w:rsid w:val="00590631"/>
    <w:rsid w:val="00591FBB"/>
    <w:rsid w:val="0059218E"/>
    <w:rsid w:val="005922B6"/>
    <w:rsid w:val="00592306"/>
    <w:rsid w:val="00592984"/>
    <w:rsid w:val="00594FCF"/>
    <w:rsid w:val="005952E8"/>
    <w:rsid w:val="0059543C"/>
    <w:rsid w:val="00595F99"/>
    <w:rsid w:val="00596492"/>
    <w:rsid w:val="005977B3"/>
    <w:rsid w:val="005A040F"/>
    <w:rsid w:val="005A0D31"/>
    <w:rsid w:val="005A1123"/>
    <w:rsid w:val="005A173C"/>
    <w:rsid w:val="005A1958"/>
    <w:rsid w:val="005A1C18"/>
    <w:rsid w:val="005A26C1"/>
    <w:rsid w:val="005A2791"/>
    <w:rsid w:val="005A3036"/>
    <w:rsid w:val="005A3426"/>
    <w:rsid w:val="005A38B0"/>
    <w:rsid w:val="005A44B1"/>
    <w:rsid w:val="005A49C8"/>
    <w:rsid w:val="005A7D5B"/>
    <w:rsid w:val="005A7D86"/>
    <w:rsid w:val="005B02AA"/>
    <w:rsid w:val="005B0606"/>
    <w:rsid w:val="005B1687"/>
    <w:rsid w:val="005B1815"/>
    <w:rsid w:val="005B18DD"/>
    <w:rsid w:val="005B1E0B"/>
    <w:rsid w:val="005B2E00"/>
    <w:rsid w:val="005B341E"/>
    <w:rsid w:val="005B3C1A"/>
    <w:rsid w:val="005B43AF"/>
    <w:rsid w:val="005B4895"/>
    <w:rsid w:val="005B509B"/>
    <w:rsid w:val="005B51C9"/>
    <w:rsid w:val="005B541A"/>
    <w:rsid w:val="005B6497"/>
    <w:rsid w:val="005B64DB"/>
    <w:rsid w:val="005B6DDD"/>
    <w:rsid w:val="005B7031"/>
    <w:rsid w:val="005B717F"/>
    <w:rsid w:val="005C005C"/>
    <w:rsid w:val="005C048F"/>
    <w:rsid w:val="005C04CF"/>
    <w:rsid w:val="005C1AD1"/>
    <w:rsid w:val="005C1B71"/>
    <w:rsid w:val="005C2DC4"/>
    <w:rsid w:val="005C2DE1"/>
    <w:rsid w:val="005C3D9C"/>
    <w:rsid w:val="005C4CFC"/>
    <w:rsid w:val="005C4F81"/>
    <w:rsid w:val="005C5676"/>
    <w:rsid w:val="005C6417"/>
    <w:rsid w:val="005C6A2C"/>
    <w:rsid w:val="005D0974"/>
    <w:rsid w:val="005D11B5"/>
    <w:rsid w:val="005D1A03"/>
    <w:rsid w:val="005D1E44"/>
    <w:rsid w:val="005D4ECB"/>
    <w:rsid w:val="005D5942"/>
    <w:rsid w:val="005D686B"/>
    <w:rsid w:val="005D6E58"/>
    <w:rsid w:val="005D706C"/>
    <w:rsid w:val="005E13C2"/>
    <w:rsid w:val="005E1744"/>
    <w:rsid w:val="005E220E"/>
    <w:rsid w:val="005E2DCF"/>
    <w:rsid w:val="005E315D"/>
    <w:rsid w:val="005E3EBC"/>
    <w:rsid w:val="005E3F7D"/>
    <w:rsid w:val="005E4476"/>
    <w:rsid w:val="005E514E"/>
    <w:rsid w:val="005E536A"/>
    <w:rsid w:val="005E5470"/>
    <w:rsid w:val="005E582A"/>
    <w:rsid w:val="005E5960"/>
    <w:rsid w:val="005E621F"/>
    <w:rsid w:val="005E6312"/>
    <w:rsid w:val="005E64F6"/>
    <w:rsid w:val="005E689F"/>
    <w:rsid w:val="005E70FA"/>
    <w:rsid w:val="005F0731"/>
    <w:rsid w:val="005F0D2E"/>
    <w:rsid w:val="005F1515"/>
    <w:rsid w:val="005F1AC2"/>
    <w:rsid w:val="005F2832"/>
    <w:rsid w:val="005F2966"/>
    <w:rsid w:val="005F297E"/>
    <w:rsid w:val="005F308B"/>
    <w:rsid w:val="005F3380"/>
    <w:rsid w:val="005F3B1E"/>
    <w:rsid w:val="005F5824"/>
    <w:rsid w:val="005F70F6"/>
    <w:rsid w:val="005F783D"/>
    <w:rsid w:val="006011CB"/>
    <w:rsid w:val="006014AA"/>
    <w:rsid w:val="00601510"/>
    <w:rsid w:val="00601C70"/>
    <w:rsid w:val="00602646"/>
    <w:rsid w:val="006043F6"/>
    <w:rsid w:val="006049E5"/>
    <w:rsid w:val="0060544B"/>
    <w:rsid w:val="006062CC"/>
    <w:rsid w:val="00607C4C"/>
    <w:rsid w:val="00610B2F"/>
    <w:rsid w:val="006113AF"/>
    <w:rsid w:val="00611689"/>
    <w:rsid w:val="00612466"/>
    <w:rsid w:val="00612EFF"/>
    <w:rsid w:val="006135E8"/>
    <w:rsid w:val="006148E9"/>
    <w:rsid w:val="0061510B"/>
    <w:rsid w:val="0061662C"/>
    <w:rsid w:val="0061663B"/>
    <w:rsid w:val="00616EC0"/>
    <w:rsid w:val="0061736F"/>
    <w:rsid w:val="006173C0"/>
    <w:rsid w:val="00621613"/>
    <w:rsid w:val="00621FBC"/>
    <w:rsid w:val="00622574"/>
    <w:rsid w:val="0062356E"/>
    <w:rsid w:val="0062364F"/>
    <w:rsid w:val="00623F8B"/>
    <w:rsid w:val="00624F93"/>
    <w:rsid w:val="00625109"/>
    <w:rsid w:val="0062724C"/>
    <w:rsid w:val="00630801"/>
    <w:rsid w:val="00630840"/>
    <w:rsid w:val="006311DA"/>
    <w:rsid w:val="00631D79"/>
    <w:rsid w:val="00631E3D"/>
    <w:rsid w:val="00633219"/>
    <w:rsid w:val="00633690"/>
    <w:rsid w:val="006337D5"/>
    <w:rsid w:val="00634432"/>
    <w:rsid w:val="0063466E"/>
    <w:rsid w:val="006359C8"/>
    <w:rsid w:val="00635FA5"/>
    <w:rsid w:val="00637466"/>
    <w:rsid w:val="006378A7"/>
    <w:rsid w:val="006404AA"/>
    <w:rsid w:val="00640CA6"/>
    <w:rsid w:val="00641571"/>
    <w:rsid w:val="00643BB7"/>
    <w:rsid w:val="0064403A"/>
    <w:rsid w:val="006444CE"/>
    <w:rsid w:val="006452C4"/>
    <w:rsid w:val="0064560B"/>
    <w:rsid w:val="006503C8"/>
    <w:rsid w:val="006504DE"/>
    <w:rsid w:val="006515D2"/>
    <w:rsid w:val="00652CB2"/>
    <w:rsid w:val="00653712"/>
    <w:rsid w:val="00653735"/>
    <w:rsid w:val="00653DE6"/>
    <w:rsid w:val="006540F9"/>
    <w:rsid w:val="00654AC6"/>
    <w:rsid w:val="00655439"/>
    <w:rsid w:val="00656A5C"/>
    <w:rsid w:val="00656B94"/>
    <w:rsid w:val="00656C07"/>
    <w:rsid w:val="00656E50"/>
    <w:rsid w:val="00660B15"/>
    <w:rsid w:val="00662034"/>
    <w:rsid w:val="0066300C"/>
    <w:rsid w:val="006638AA"/>
    <w:rsid w:val="006643EC"/>
    <w:rsid w:val="00665083"/>
    <w:rsid w:val="00665477"/>
    <w:rsid w:val="00665D8C"/>
    <w:rsid w:val="00666345"/>
    <w:rsid w:val="00666419"/>
    <w:rsid w:val="006664A8"/>
    <w:rsid w:val="00666BA6"/>
    <w:rsid w:val="00666C6A"/>
    <w:rsid w:val="006702F3"/>
    <w:rsid w:val="00670ECD"/>
    <w:rsid w:val="006714DE"/>
    <w:rsid w:val="00671803"/>
    <w:rsid w:val="00671861"/>
    <w:rsid w:val="00671BE2"/>
    <w:rsid w:val="00671F14"/>
    <w:rsid w:val="006720B2"/>
    <w:rsid w:val="00672173"/>
    <w:rsid w:val="00672CBC"/>
    <w:rsid w:val="00672D5F"/>
    <w:rsid w:val="0067323A"/>
    <w:rsid w:val="00673841"/>
    <w:rsid w:val="00673865"/>
    <w:rsid w:val="00673988"/>
    <w:rsid w:val="00675526"/>
    <w:rsid w:val="00675740"/>
    <w:rsid w:val="006761F1"/>
    <w:rsid w:val="00676AE3"/>
    <w:rsid w:val="00676F95"/>
    <w:rsid w:val="00677537"/>
    <w:rsid w:val="00680267"/>
    <w:rsid w:val="006805F3"/>
    <w:rsid w:val="00680EEE"/>
    <w:rsid w:val="0068171E"/>
    <w:rsid w:val="006818A8"/>
    <w:rsid w:val="00682050"/>
    <w:rsid w:val="006820B4"/>
    <w:rsid w:val="00682DFA"/>
    <w:rsid w:val="0068361C"/>
    <w:rsid w:val="006838EB"/>
    <w:rsid w:val="006839F2"/>
    <w:rsid w:val="006845A4"/>
    <w:rsid w:val="00685F11"/>
    <w:rsid w:val="00686351"/>
    <w:rsid w:val="00686683"/>
    <w:rsid w:val="0068742C"/>
    <w:rsid w:val="00687AF5"/>
    <w:rsid w:val="00687D17"/>
    <w:rsid w:val="006903E2"/>
    <w:rsid w:val="00690FBB"/>
    <w:rsid w:val="00691BCB"/>
    <w:rsid w:val="00692402"/>
    <w:rsid w:val="00692532"/>
    <w:rsid w:val="00692841"/>
    <w:rsid w:val="00692955"/>
    <w:rsid w:val="00692A51"/>
    <w:rsid w:val="00692AD8"/>
    <w:rsid w:val="00694128"/>
    <w:rsid w:val="00695048"/>
    <w:rsid w:val="0069587C"/>
    <w:rsid w:val="00695A8E"/>
    <w:rsid w:val="00695E04"/>
    <w:rsid w:val="00696290"/>
    <w:rsid w:val="0069756A"/>
    <w:rsid w:val="00697A2B"/>
    <w:rsid w:val="006A063F"/>
    <w:rsid w:val="006A23D0"/>
    <w:rsid w:val="006A2BA8"/>
    <w:rsid w:val="006A2FA6"/>
    <w:rsid w:val="006A5128"/>
    <w:rsid w:val="006A5228"/>
    <w:rsid w:val="006A551E"/>
    <w:rsid w:val="006A58EE"/>
    <w:rsid w:val="006A59B7"/>
    <w:rsid w:val="006A67EA"/>
    <w:rsid w:val="006A6B07"/>
    <w:rsid w:val="006A6CD6"/>
    <w:rsid w:val="006A70B6"/>
    <w:rsid w:val="006A73AC"/>
    <w:rsid w:val="006A7868"/>
    <w:rsid w:val="006A7B34"/>
    <w:rsid w:val="006A7CAD"/>
    <w:rsid w:val="006B0AD4"/>
    <w:rsid w:val="006B0DDA"/>
    <w:rsid w:val="006B10D3"/>
    <w:rsid w:val="006B1DF4"/>
    <w:rsid w:val="006B2BFC"/>
    <w:rsid w:val="006B3408"/>
    <w:rsid w:val="006B34AD"/>
    <w:rsid w:val="006B5359"/>
    <w:rsid w:val="006B6194"/>
    <w:rsid w:val="006B6809"/>
    <w:rsid w:val="006C027F"/>
    <w:rsid w:val="006C064E"/>
    <w:rsid w:val="006C0B7A"/>
    <w:rsid w:val="006C0E7A"/>
    <w:rsid w:val="006C11FB"/>
    <w:rsid w:val="006C2895"/>
    <w:rsid w:val="006C2FC3"/>
    <w:rsid w:val="006C6C10"/>
    <w:rsid w:val="006C6F71"/>
    <w:rsid w:val="006D104B"/>
    <w:rsid w:val="006D164B"/>
    <w:rsid w:val="006D1D64"/>
    <w:rsid w:val="006D2054"/>
    <w:rsid w:val="006D2CEA"/>
    <w:rsid w:val="006D326D"/>
    <w:rsid w:val="006D49A1"/>
    <w:rsid w:val="006D5332"/>
    <w:rsid w:val="006D582E"/>
    <w:rsid w:val="006D66E7"/>
    <w:rsid w:val="006D6CFF"/>
    <w:rsid w:val="006D6E71"/>
    <w:rsid w:val="006D7D4D"/>
    <w:rsid w:val="006E0338"/>
    <w:rsid w:val="006E127D"/>
    <w:rsid w:val="006E1A38"/>
    <w:rsid w:val="006E1EFC"/>
    <w:rsid w:val="006E3981"/>
    <w:rsid w:val="006E3B36"/>
    <w:rsid w:val="006E403A"/>
    <w:rsid w:val="006E419B"/>
    <w:rsid w:val="006E4E41"/>
    <w:rsid w:val="006E5115"/>
    <w:rsid w:val="006E62F3"/>
    <w:rsid w:val="006E6479"/>
    <w:rsid w:val="006E6481"/>
    <w:rsid w:val="006E6DDF"/>
    <w:rsid w:val="006E6EA6"/>
    <w:rsid w:val="006E712A"/>
    <w:rsid w:val="006F005A"/>
    <w:rsid w:val="006F0D75"/>
    <w:rsid w:val="006F1F6D"/>
    <w:rsid w:val="006F1FE0"/>
    <w:rsid w:val="006F441F"/>
    <w:rsid w:val="006F55B5"/>
    <w:rsid w:val="006F58B8"/>
    <w:rsid w:val="006F6C67"/>
    <w:rsid w:val="006F6DBC"/>
    <w:rsid w:val="006F7B34"/>
    <w:rsid w:val="006F7C5D"/>
    <w:rsid w:val="00700702"/>
    <w:rsid w:val="007013CE"/>
    <w:rsid w:val="00701562"/>
    <w:rsid w:val="00701DC4"/>
    <w:rsid w:val="007022F2"/>
    <w:rsid w:val="007024A6"/>
    <w:rsid w:val="007036AB"/>
    <w:rsid w:val="00703849"/>
    <w:rsid w:val="00703BEC"/>
    <w:rsid w:val="00704062"/>
    <w:rsid w:val="007045CE"/>
    <w:rsid w:val="00704971"/>
    <w:rsid w:val="00704C04"/>
    <w:rsid w:val="00704FBC"/>
    <w:rsid w:val="0070588B"/>
    <w:rsid w:val="00706B92"/>
    <w:rsid w:val="007070AB"/>
    <w:rsid w:val="0070750B"/>
    <w:rsid w:val="0071011C"/>
    <w:rsid w:val="00711BA2"/>
    <w:rsid w:val="007126E5"/>
    <w:rsid w:val="00713230"/>
    <w:rsid w:val="00713DEE"/>
    <w:rsid w:val="00713FDA"/>
    <w:rsid w:val="00714CF8"/>
    <w:rsid w:val="007154CB"/>
    <w:rsid w:val="007159F1"/>
    <w:rsid w:val="00715B71"/>
    <w:rsid w:val="00717BD5"/>
    <w:rsid w:val="0072135D"/>
    <w:rsid w:val="00721858"/>
    <w:rsid w:val="00721CF1"/>
    <w:rsid w:val="00722470"/>
    <w:rsid w:val="0072266B"/>
    <w:rsid w:val="00722CB0"/>
    <w:rsid w:val="00722DAA"/>
    <w:rsid w:val="00723167"/>
    <w:rsid w:val="007237DB"/>
    <w:rsid w:val="0072382A"/>
    <w:rsid w:val="007252F2"/>
    <w:rsid w:val="00725556"/>
    <w:rsid w:val="00725C22"/>
    <w:rsid w:val="007264B6"/>
    <w:rsid w:val="0072672F"/>
    <w:rsid w:val="00726E7D"/>
    <w:rsid w:val="007277ED"/>
    <w:rsid w:val="00730250"/>
    <w:rsid w:val="00731E6B"/>
    <w:rsid w:val="00731E76"/>
    <w:rsid w:val="007324CD"/>
    <w:rsid w:val="0073294D"/>
    <w:rsid w:val="00732D13"/>
    <w:rsid w:val="0073301B"/>
    <w:rsid w:val="007332EC"/>
    <w:rsid w:val="00735A5D"/>
    <w:rsid w:val="00736015"/>
    <w:rsid w:val="0073684F"/>
    <w:rsid w:val="007375EA"/>
    <w:rsid w:val="00737CB9"/>
    <w:rsid w:val="00740BDF"/>
    <w:rsid w:val="0074168D"/>
    <w:rsid w:val="00741915"/>
    <w:rsid w:val="007422BA"/>
    <w:rsid w:val="007422C1"/>
    <w:rsid w:val="00743C55"/>
    <w:rsid w:val="00743FE3"/>
    <w:rsid w:val="007442F2"/>
    <w:rsid w:val="0074475E"/>
    <w:rsid w:val="00744DF4"/>
    <w:rsid w:val="00744E5C"/>
    <w:rsid w:val="00744EC9"/>
    <w:rsid w:val="0074630C"/>
    <w:rsid w:val="00746860"/>
    <w:rsid w:val="00746CDE"/>
    <w:rsid w:val="00747BEB"/>
    <w:rsid w:val="00751F4E"/>
    <w:rsid w:val="0075266C"/>
    <w:rsid w:val="00752E17"/>
    <w:rsid w:val="007531A0"/>
    <w:rsid w:val="0075360E"/>
    <w:rsid w:val="00753B3B"/>
    <w:rsid w:val="00754F68"/>
    <w:rsid w:val="007553A4"/>
    <w:rsid w:val="00756865"/>
    <w:rsid w:val="0075719D"/>
    <w:rsid w:val="007576C4"/>
    <w:rsid w:val="00757753"/>
    <w:rsid w:val="00760D06"/>
    <w:rsid w:val="007612D7"/>
    <w:rsid w:val="0076291C"/>
    <w:rsid w:val="00763417"/>
    <w:rsid w:val="007639CC"/>
    <w:rsid w:val="00763B6A"/>
    <w:rsid w:val="00770034"/>
    <w:rsid w:val="00770171"/>
    <w:rsid w:val="00770BC1"/>
    <w:rsid w:val="00770C66"/>
    <w:rsid w:val="00770E6D"/>
    <w:rsid w:val="007718EF"/>
    <w:rsid w:val="0077238B"/>
    <w:rsid w:val="00772AD2"/>
    <w:rsid w:val="007730AB"/>
    <w:rsid w:val="0077457B"/>
    <w:rsid w:val="00774CD4"/>
    <w:rsid w:val="00774EF8"/>
    <w:rsid w:val="007753CE"/>
    <w:rsid w:val="007754C9"/>
    <w:rsid w:val="0077592F"/>
    <w:rsid w:val="00775B46"/>
    <w:rsid w:val="00776011"/>
    <w:rsid w:val="00776370"/>
    <w:rsid w:val="00776A62"/>
    <w:rsid w:val="007776E1"/>
    <w:rsid w:val="00780313"/>
    <w:rsid w:val="00781EDF"/>
    <w:rsid w:val="00782386"/>
    <w:rsid w:val="00782CD5"/>
    <w:rsid w:val="007839A4"/>
    <w:rsid w:val="00783B90"/>
    <w:rsid w:val="00784877"/>
    <w:rsid w:val="00784F53"/>
    <w:rsid w:val="00785030"/>
    <w:rsid w:val="007853BF"/>
    <w:rsid w:val="00785DCC"/>
    <w:rsid w:val="007868F6"/>
    <w:rsid w:val="00786AAA"/>
    <w:rsid w:val="00787126"/>
    <w:rsid w:val="00787636"/>
    <w:rsid w:val="00787A28"/>
    <w:rsid w:val="0079012E"/>
    <w:rsid w:val="007902C8"/>
    <w:rsid w:val="00790F83"/>
    <w:rsid w:val="007910E6"/>
    <w:rsid w:val="0079188B"/>
    <w:rsid w:val="007922F8"/>
    <w:rsid w:val="007928AB"/>
    <w:rsid w:val="00792F85"/>
    <w:rsid w:val="00793006"/>
    <w:rsid w:val="00793554"/>
    <w:rsid w:val="007936AF"/>
    <w:rsid w:val="0079467B"/>
    <w:rsid w:val="00794CD9"/>
    <w:rsid w:val="0079573F"/>
    <w:rsid w:val="0079582D"/>
    <w:rsid w:val="00796789"/>
    <w:rsid w:val="007A01E6"/>
    <w:rsid w:val="007A13FB"/>
    <w:rsid w:val="007A2CCF"/>
    <w:rsid w:val="007A2DF7"/>
    <w:rsid w:val="007A40A4"/>
    <w:rsid w:val="007A4327"/>
    <w:rsid w:val="007A512C"/>
    <w:rsid w:val="007A5211"/>
    <w:rsid w:val="007A5E4A"/>
    <w:rsid w:val="007A60A8"/>
    <w:rsid w:val="007A610E"/>
    <w:rsid w:val="007A6867"/>
    <w:rsid w:val="007A6FC7"/>
    <w:rsid w:val="007B01D8"/>
    <w:rsid w:val="007B0378"/>
    <w:rsid w:val="007B0953"/>
    <w:rsid w:val="007B149F"/>
    <w:rsid w:val="007B20CA"/>
    <w:rsid w:val="007B2E41"/>
    <w:rsid w:val="007B387C"/>
    <w:rsid w:val="007B3CE7"/>
    <w:rsid w:val="007B3EC2"/>
    <w:rsid w:val="007B4350"/>
    <w:rsid w:val="007B43BE"/>
    <w:rsid w:val="007B4ABC"/>
    <w:rsid w:val="007B4BA7"/>
    <w:rsid w:val="007B52E1"/>
    <w:rsid w:val="007B67F5"/>
    <w:rsid w:val="007C0235"/>
    <w:rsid w:val="007C0A20"/>
    <w:rsid w:val="007C1195"/>
    <w:rsid w:val="007C11AC"/>
    <w:rsid w:val="007C18AC"/>
    <w:rsid w:val="007C1C55"/>
    <w:rsid w:val="007C2F50"/>
    <w:rsid w:val="007C38ED"/>
    <w:rsid w:val="007C3FF0"/>
    <w:rsid w:val="007C553B"/>
    <w:rsid w:val="007C5690"/>
    <w:rsid w:val="007C6264"/>
    <w:rsid w:val="007C6A59"/>
    <w:rsid w:val="007C7224"/>
    <w:rsid w:val="007C7599"/>
    <w:rsid w:val="007D01AB"/>
    <w:rsid w:val="007D0727"/>
    <w:rsid w:val="007D0AB6"/>
    <w:rsid w:val="007D0BEE"/>
    <w:rsid w:val="007D1B35"/>
    <w:rsid w:val="007D1E90"/>
    <w:rsid w:val="007D4632"/>
    <w:rsid w:val="007D616B"/>
    <w:rsid w:val="007D7290"/>
    <w:rsid w:val="007E01A6"/>
    <w:rsid w:val="007E03D8"/>
    <w:rsid w:val="007E07EF"/>
    <w:rsid w:val="007E1260"/>
    <w:rsid w:val="007E19E9"/>
    <w:rsid w:val="007E21D0"/>
    <w:rsid w:val="007E4CEE"/>
    <w:rsid w:val="007E77D4"/>
    <w:rsid w:val="007F02AC"/>
    <w:rsid w:val="007F1A7D"/>
    <w:rsid w:val="007F1E43"/>
    <w:rsid w:val="007F2496"/>
    <w:rsid w:val="007F28AC"/>
    <w:rsid w:val="007F2FD3"/>
    <w:rsid w:val="007F3443"/>
    <w:rsid w:val="007F3727"/>
    <w:rsid w:val="007F3DD6"/>
    <w:rsid w:val="007F5875"/>
    <w:rsid w:val="007F6686"/>
    <w:rsid w:val="007F66C6"/>
    <w:rsid w:val="007F73B5"/>
    <w:rsid w:val="007F78D7"/>
    <w:rsid w:val="007F7B29"/>
    <w:rsid w:val="007F7CFB"/>
    <w:rsid w:val="007F7D2B"/>
    <w:rsid w:val="0080004D"/>
    <w:rsid w:val="008003DD"/>
    <w:rsid w:val="00800643"/>
    <w:rsid w:val="0080165E"/>
    <w:rsid w:val="00803E8E"/>
    <w:rsid w:val="00804A34"/>
    <w:rsid w:val="00805BF9"/>
    <w:rsid w:val="008063F3"/>
    <w:rsid w:val="00806FFC"/>
    <w:rsid w:val="008072B8"/>
    <w:rsid w:val="008076F2"/>
    <w:rsid w:val="008078A1"/>
    <w:rsid w:val="0081071B"/>
    <w:rsid w:val="00810F00"/>
    <w:rsid w:val="00810F97"/>
    <w:rsid w:val="008116F9"/>
    <w:rsid w:val="0081239C"/>
    <w:rsid w:val="008123A5"/>
    <w:rsid w:val="0081287C"/>
    <w:rsid w:val="00813164"/>
    <w:rsid w:val="008135DA"/>
    <w:rsid w:val="008138AC"/>
    <w:rsid w:val="00813C68"/>
    <w:rsid w:val="0081557C"/>
    <w:rsid w:val="00815A7B"/>
    <w:rsid w:val="008160D8"/>
    <w:rsid w:val="008160EA"/>
    <w:rsid w:val="00816CEF"/>
    <w:rsid w:val="008216B2"/>
    <w:rsid w:val="00821AC0"/>
    <w:rsid w:val="00821DD9"/>
    <w:rsid w:val="00822355"/>
    <w:rsid w:val="008225E2"/>
    <w:rsid w:val="008225EA"/>
    <w:rsid w:val="00822CBB"/>
    <w:rsid w:val="008243FE"/>
    <w:rsid w:val="0082447A"/>
    <w:rsid w:val="00824E4E"/>
    <w:rsid w:val="00826881"/>
    <w:rsid w:val="008271B8"/>
    <w:rsid w:val="008274C1"/>
    <w:rsid w:val="008276BF"/>
    <w:rsid w:val="008276E3"/>
    <w:rsid w:val="008276F4"/>
    <w:rsid w:val="00827E32"/>
    <w:rsid w:val="0083027C"/>
    <w:rsid w:val="00830865"/>
    <w:rsid w:val="0083142F"/>
    <w:rsid w:val="0083200B"/>
    <w:rsid w:val="00832903"/>
    <w:rsid w:val="00832A09"/>
    <w:rsid w:val="00832CCC"/>
    <w:rsid w:val="008331B8"/>
    <w:rsid w:val="00833436"/>
    <w:rsid w:val="00833477"/>
    <w:rsid w:val="00834353"/>
    <w:rsid w:val="00834D37"/>
    <w:rsid w:val="0083506B"/>
    <w:rsid w:val="00835143"/>
    <w:rsid w:val="008364E1"/>
    <w:rsid w:val="00837744"/>
    <w:rsid w:val="00840B3C"/>
    <w:rsid w:val="00840D88"/>
    <w:rsid w:val="0084141E"/>
    <w:rsid w:val="00841945"/>
    <w:rsid w:val="00841997"/>
    <w:rsid w:val="00841EE2"/>
    <w:rsid w:val="008424C4"/>
    <w:rsid w:val="00842A89"/>
    <w:rsid w:val="008430F5"/>
    <w:rsid w:val="00843182"/>
    <w:rsid w:val="00843586"/>
    <w:rsid w:val="008449E1"/>
    <w:rsid w:val="00845433"/>
    <w:rsid w:val="00845A4F"/>
    <w:rsid w:val="00845E75"/>
    <w:rsid w:val="00850F3E"/>
    <w:rsid w:val="0085104B"/>
    <w:rsid w:val="0085110B"/>
    <w:rsid w:val="00851206"/>
    <w:rsid w:val="00852388"/>
    <w:rsid w:val="008527AE"/>
    <w:rsid w:val="008527C6"/>
    <w:rsid w:val="00852C7B"/>
    <w:rsid w:val="00853B7E"/>
    <w:rsid w:val="00853EC1"/>
    <w:rsid w:val="008544B1"/>
    <w:rsid w:val="00854F5B"/>
    <w:rsid w:val="00854FA9"/>
    <w:rsid w:val="008551A1"/>
    <w:rsid w:val="008555C0"/>
    <w:rsid w:val="00855915"/>
    <w:rsid w:val="00855C0E"/>
    <w:rsid w:val="00855CF4"/>
    <w:rsid w:val="0085682E"/>
    <w:rsid w:val="008569B5"/>
    <w:rsid w:val="00856AEE"/>
    <w:rsid w:val="008574DE"/>
    <w:rsid w:val="00857550"/>
    <w:rsid w:val="008576FF"/>
    <w:rsid w:val="008600DF"/>
    <w:rsid w:val="008611DF"/>
    <w:rsid w:val="00861426"/>
    <w:rsid w:val="008614B3"/>
    <w:rsid w:val="0086251D"/>
    <w:rsid w:val="0086295C"/>
    <w:rsid w:val="008629AD"/>
    <w:rsid w:val="00862C8A"/>
    <w:rsid w:val="0086419D"/>
    <w:rsid w:val="008644D1"/>
    <w:rsid w:val="00864E24"/>
    <w:rsid w:val="00866713"/>
    <w:rsid w:val="008671C9"/>
    <w:rsid w:val="00867DCE"/>
    <w:rsid w:val="008700B6"/>
    <w:rsid w:val="008702E7"/>
    <w:rsid w:val="0087092C"/>
    <w:rsid w:val="00870A9A"/>
    <w:rsid w:val="00870E0F"/>
    <w:rsid w:val="00871D1B"/>
    <w:rsid w:val="00871E7F"/>
    <w:rsid w:val="00872083"/>
    <w:rsid w:val="00873027"/>
    <w:rsid w:val="00873747"/>
    <w:rsid w:val="00873E83"/>
    <w:rsid w:val="008742C7"/>
    <w:rsid w:val="008746CD"/>
    <w:rsid w:val="00874E81"/>
    <w:rsid w:val="00875062"/>
    <w:rsid w:val="00875573"/>
    <w:rsid w:val="0087648F"/>
    <w:rsid w:val="00877201"/>
    <w:rsid w:val="008778C9"/>
    <w:rsid w:val="00877C5A"/>
    <w:rsid w:val="00877C79"/>
    <w:rsid w:val="00877EEA"/>
    <w:rsid w:val="00877FC1"/>
    <w:rsid w:val="00880687"/>
    <w:rsid w:val="00880BDD"/>
    <w:rsid w:val="00880F50"/>
    <w:rsid w:val="008812A5"/>
    <w:rsid w:val="00882A14"/>
    <w:rsid w:val="00883875"/>
    <w:rsid w:val="0088471C"/>
    <w:rsid w:val="00884ED2"/>
    <w:rsid w:val="00885050"/>
    <w:rsid w:val="00885621"/>
    <w:rsid w:val="008856C5"/>
    <w:rsid w:val="00885D89"/>
    <w:rsid w:val="00885E4D"/>
    <w:rsid w:val="008861B1"/>
    <w:rsid w:val="0088638E"/>
    <w:rsid w:val="00886BF5"/>
    <w:rsid w:val="008878CF"/>
    <w:rsid w:val="00887FEA"/>
    <w:rsid w:val="00890133"/>
    <w:rsid w:val="00890947"/>
    <w:rsid w:val="008909FB"/>
    <w:rsid w:val="00890BED"/>
    <w:rsid w:val="00890CAF"/>
    <w:rsid w:val="00891257"/>
    <w:rsid w:val="00891D75"/>
    <w:rsid w:val="0089202A"/>
    <w:rsid w:val="0089251D"/>
    <w:rsid w:val="00892759"/>
    <w:rsid w:val="00892E7D"/>
    <w:rsid w:val="008939BF"/>
    <w:rsid w:val="00894701"/>
    <w:rsid w:val="00894C73"/>
    <w:rsid w:val="008978E5"/>
    <w:rsid w:val="00897939"/>
    <w:rsid w:val="008A0BAE"/>
    <w:rsid w:val="008A1284"/>
    <w:rsid w:val="008A1BFD"/>
    <w:rsid w:val="008A2493"/>
    <w:rsid w:val="008A253D"/>
    <w:rsid w:val="008A2614"/>
    <w:rsid w:val="008A395D"/>
    <w:rsid w:val="008A3BB1"/>
    <w:rsid w:val="008A4615"/>
    <w:rsid w:val="008A4DCB"/>
    <w:rsid w:val="008A5976"/>
    <w:rsid w:val="008A64C7"/>
    <w:rsid w:val="008A79F6"/>
    <w:rsid w:val="008A7D52"/>
    <w:rsid w:val="008B008A"/>
    <w:rsid w:val="008B089F"/>
    <w:rsid w:val="008B0FC3"/>
    <w:rsid w:val="008B10C4"/>
    <w:rsid w:val="008B17CC"/>
    <w:rsid w:val="008B29DA"/>
    <w:rsid w:val="008B2BB0"/>
    <w:rsid w:val="008B381C"/>
    <w:rsid w:val="008B4508"/>
    <w:rsid w:val="008B4585"/>
    <w:rsid w:val="008B502D"/>
    <w:rsid w:val="008B5034"/>
    <w:rsid w:val="008B5DD6"/>
    <w:rsid w:val="008B5E43"/>
    <w:rsid w:val="008B6085"/>
    <w:rsid w:val="008B69E2"/>
    <w:rsid w:val="008B717C"/>
    <w:rsid w:val="008B7A12"/>
    <w:rsid w:val="008B7BEF"/>
    <w:rsid w:val="008C0C8A"/>
    <w:rsid w:val="008C188D"/>
    <w:rsid w:val="008C1981"/>
    <w:rsid w:val="008C2BEE"/>
    <w:rsid w:val="008C3D43"/>
    <w:rsid w:val="008C4B36"/>
    <w:rsid w:val="008C4CB2"/>
    <w:rsid w:val="008C5B85"/>
    <w:rsid w:val="008C5C45"/>
    <w:rsid w:val="008C68F4"/>
    <w:rsid w:val="008C69BA"/>
    <w:rsid w:val="008C6F26"/>
    <w:rsid w:val="008C76A1"/>
    <w:rsid w:val="008D0573"/>
    <w:rsid w:val="008D192B"/>
    <w:rsid w:val="008D20D5"/>
    <w:rsid w:val="008D23B7"/>
    <w:rsid w:val="008D244A"/>
    <w:rsid w:val="008D32ED"/>
    <w:rsid w:val="008D39C5"/>
    <w:rsid w:val="008D3DA6"/>
    <w:rsid w:val="008D40C6"/>
    <w:rsid w:val="008D4329"/>
    <w:rsid w:val="008D4927"/>
    <w:rsid w:val="008D4F52"/>
    <w:rsid w:val="008D56F1"/>
    <w:rsid w:val="008D5766"/>
    <w:rsid w:val="008D584F"/>
    <w:rsid w:val="008D594E"/>
    <w:rsid w:val="008D5C24"/>
    <w:rsid w:val="008D5E6B"/>
    <w:rsid w:val="008D6335"/>
    <w:rsid w:val="008D7936"/>
    <w:rsid w:val="008D7EA4"/>
    <w:rsid w:val="008E01FB"/>
    <w:rsid w:val="008E0E11"/>
    <w:rsid w:val="008E0EDF"/>
    <w:rsid w:val="008E2011"/>
    <w:rsid w:val="008E2FD9"/>
    <w:rsid w:val="008E399F"/>
    <w:rsid w:val="008E39EE"/>
    <w:rsid w:val="008E3CAA"/>
    <w:rsid w:val="008E3F67"/>
    <w:rsid w:val="008E400F"/>
    <w:rsid w:val="008E4539"/>
    <w:rsid w:val="008E4919"/>
    <w:rsid w:val="008E4D49"/>
    <w:rsid w:val="008E5645"/>
    <w:rsid w:val="008E7F75"/>
    <w:rsid w:val="008F02D3"/>
    <w:rsid w:val="008F032D"/>
    <w:rsid w:val="008F15DA"/>
    <w:rsid w:val="008F2113"/>
    <w:rsid w:val="008F29DE"/>
    <w:rsid w:val="008F3145"/>
    <w:rsid w:val="008F37A6"/>
    <w:rsid w:val="008F43D7"/>
    <w:rsid w:val="008F506D"/>
    <w:rsid w:val="008F7020"/>
    <w:rsid w:val="008F7624"/>
    <w:rsid w:val="0090002B"/>
    <w:rsid w:val="009000CE"/>
    <w:rsid w:val="009003B5"/>
    <w:rsid w:val="00901510"/>
    <w:rsid w:val="009017F3"/>
    <w:rsid w:val="009033B8"/>
    <w:rsid w:val="0090340D"/>
    <w:rsid w:val="009040B1"/>
    <w:rsid w:val="009047CB"/>
    <w:rsid w:val="00905DCF"/>
    <w:rsid w:val="009065E4"/>
    <w:rsid w:val="00906838"/>
    <w:rsid w:val="00910BFC"/>
    <w:rsid w:val="009111D8"/>
    <w:rsid w:val="00912CDC"/>
    <w:rsid w:val="00913DEB"/>
    <w:rsid w:val="00913EA7"/>
    <w:rsid w:val="00913F78"/>
    <w:rsid w:val="00915585"/>
    <w:rsid w:val="009164E7"/>
    <w:rsid w:val="00916D23"/>
    <w:rsid w:val="009175B8"/>
    <w:rsid w:val="009175FD"/>
    <w:rsid w:val="009176D5"/>
    <w:rsid w:val="00920019"/>
    <w:rsid w:val="00920C25"/>
    <w:rsid w:val="0092132D"/>
    <w:rsid w:val="0092169B"/>
    <w:rsid w:val="009219A9"/>
    <w:rsid w:val="009227E8"/>
    <w:rsid w:val="009232F8"/>
    <w:rsid w:val="009240D0"/>
    <w:rsid w:val="00925A6C"/>
    <w:rsid w:val="00925B4F"/>
    <w:rsid w:val="00925ED6"/>
    <w:rsid w:val="00925EED"/>
    <w:rsid w:val="00926198"/>
    <w:rsid w:val="009261EE"/>
    <w:rsid w:val="00926606"/>
    <w:rsid w:val="00930088"/>
    <w:rsid w:val="009303F3"/>
    <w:rsid w:val="009311AF"/>
    <w:rsid w:val="00931D25"/>
    <w:rsid w:val="00932320"/>
    <w:rsid w:val="00932671"/>
    <w:rsid w:val="00932BB6"/>
    <w:rsid w:val="00932CDB"/>
    <w:rsid w:val="00933526"/>
    <w:rsid w:val="00933ACD"/>
    <w:rsid w:val="00933FEF"/>
    <w:rsid w:val="009345F4"/>
    <w:rsid w:val="009348D7"/>
    <w:rsid w:val="009355EB"/>
    <w:rsid w:val="00935634"/>
    <w:rsid w:val="00935C3F"/>
    <w:rsid w:val="009363D2"/>
    <w:rsid w:val="009374D9"/>
    <w:rsid w:val="00937508"/>
    <w:rsid w:val="00937DBF"/>
    <w:rsid w:val="00940554"/>
    <w:rsid w:val="00940657"/>
    <w:rsid w:val="00940BCC"/>
    <w:rsid w:val="0094284D"/>
    <w:rsid w:val="0094288B"/>
    <w:rsid w:val="009431D0"/>
    <w:rsid w:val="009433C8"/>
    <w:rsid w:val="00943D9E"/>
    <w:rsid w:val="009444AC"/>
    <w:rsid w:val="00945D24"/>
    <w:rsid w:val="0094652A"/>
    <w:rsid w:val="00946568"/>
    <w:rsid w:val="00946A53"/>
    <w:rsid w:val="0094765C"/>
    <w:rsid w:val="00947B9E"/>
    <w:rsid w:val="00947F1D"/>
    <w:rsid w:val="009504A8"/>
    <w:rsid w:val="00950AB6"/>
    <w:rsid w:val="009511AC"/>
    <w:rsid w:val="00951F66"/>
    <w:rsid w:val="00952651"/>
    <w:rsid w:val="0095356A"/>
    <w:rsid w:val="00953856"/>
    <w:rsid w:val="0095593D"/>
    <w:rsid w:val="00955DE7"/>
    <w:rsid w:val="00956116"/>
    <w:rsid w:val="00956E6B"/>
    <w:rsid w:val="00956FA1"/>
    <w:rsid w:val="009576B5"/>
    <w:rsid w:val="00957788"/>
    <w:rsid w:val="00957A4B"/>
    <w:rsid w:val="00957E28"/>
    <w:rsid w:val="00960A77"/>
    <w:rsid w:val="00960E87"/>
    <w:rsid w:val="0096167B"/>
    <w:rsid w:val="00962B77"/>
    <w:rsid w:val="00962E19"/>
    <w:rsid w:val="009635B5"/>
    <w:rsid w:val="00963C37"/>
    <w:rsid w:val="009642B5"/>
    <w:rsid w:val="0096566F"/>
    <w:rsid w:val="00965F2A"/>
    <w:rsid w:val="00966793"/>
    <w:rsid w:val="009700CC"/>
    <w:rsid w:val="009717B8"/>
    <w:rsid w:val="00972A90"/>
    <w:rsid w:val="00973114"/>
    <w:rsid w:val="0097336B"/>
    <w:rsid w:val="0097424E"/>
    <w:rsid w:val="00974CB2"/>
    <w:rsid w:val="00975497"/>
    <w:rsid w:val="009760E7"/>
    <w:rsid w:val="009801AE"/>
    <w:rsid w:val="00981038"/>
    <w:rsid w:val="0098104F"/>
    <w:rsid w:val="00982C14"/>
    <w:rsid w:val="00982FF5"/>
    <w:rsid w:val="0098351B"/>
    <w:rsid w:val="00983C84"/>
    <w:rsid w:val="009844BC"/>
    <w:rsid w:val="00984981"/>
    <w:rsid w:val="00984E14"/>
    <w:rsid w:val="00986D86"/>
    <w:rsid w:val="009870AA"/>
    <w:rsid w:val="009872CB"/>
    <w:rsid w:val="00987354"/>
    <w:rsid w:val="009900F0"/>
    <w:rsid w:val="0099039C"/>
    <w:rsid w:val="009904ED"/>
    <w:rsid w:val="00990566"/>
    <w:rsid w:val="00990ABE"/>
    <w:rsid w:val="00990CEE"/>
    <w:rsid w:val="00990D32"/>
    <w:rsid w:val="0099101A"/>
    <w:rsid w:val="0099138D"/>
    <w:rsid w:val="009915F8"/>
    <w:rsid w:val="00991FAB"/>
    <w:rsid w:val="009923CD"/>
    <w:rsid w:val="00992516"/>
    <w:rsid w:val="00992564"/>
    <w:rsid w:val="00993621"/>
    <w:rsid w:val="0099488F"/>
    <w:rsid w:val="00994A81"/>
    <w:rsid w:val="00995184"/>
    <w:rsid w:val="00995DA4"/>
    <w:rsid w:val="009965C6"/>
    <w:rsid w:val="00996AB3"/>
    <w:rsid w:val="00996E7D"/>
    <w:rsid w:val="009A0229"/>
    <w:rsid w:val="009A0B9C"/>
    <w:rsid w:val="009A0D37"/>
    <w:rsid w:val="009A0E11"/>
    <w:rsid w:val="009A0F75"/>
    <w:rsid w:val="009A1C70"/>
    <w:rsid w:val="009A2AE8"/>
    <w:rsid w:val="009A320F"/>
    <w:rsid w:val="009A35FA"/>
    <w:rsid w:val="009A4EED"/>
    <w:rsid w:val="009A5162"/>
    <w:rsid w:val="009A6072"/>
    <w:rsid w:val="009A657C"/>
    <w:rsid w:val="009A6BA9"/>
    <w:rsid w:val="009A7B80"/>
    <w:rsid w:val="009A7BE2"/>
    <w:rsid w:val="009B0EAB"/>
    <w:rsid w:val="009B26F3"/>
    <w:rsid w:val="009B28BA"/>
    <w:rsid w:val="009B2A8E"/>
    <w:rsid w:val="009B3370"/>
    <w:rsid w:val="009B34C8"/>
    <w:rsid w:val="009B359A"/>
    <w:rsid w:val="009B43E1"/>
    <w:rsid w:val="009B4CC0"/>
    <w:rsid w:val="009B59BD"/>
    <w:rsid w:val="009B63D2"/>
    <w:rsid w:val="009B6502"/>
    <w:rsid w:val="009B6D08"/>
    <w:rsid w:val="009B6DCF"/>
    <w:rsid w:val="009B6F94"/>
    <w:rsid w:val="009B709F"/>
    <w:rsid w:val="009B725D"/>
    <w:rsid w:val="009B728B"/>
    <w:rsid w:val="009B7BB0"/>
    <w:rsid w:val="009C0145"/>
    <w:rsid w:val="009C07AF"/>
    <w:rsid w:val="009C1051"/>
    <w:rsid w:val="009C3431"/>
    <w:rsid w:val="009C48F0"/>
    <w:rsid w:val="009C4D3A"/>
    <w:rsid w:val="009C4EFE"/>
    <w:rsid w:val="009C5374"/>
    <w:rsid w:val="009C6F35"/>
    <w:rsid w:val="009C782F"/>
    <w:rsid w:val="009D0484"/>
    <w:rsid w:val="009D1FB5"/>
    <w:rsid w:val="009D3A39"/>
    <w:rsid w:val="009D4346"/>
    <w:rsid w:val="009D6480"/>
    <w:rsid w:val="009D6CD0"/>
    <w:rsid w:val="009D76B9"/>
    <w:rsid w:val="009E0092"/>
    <w:rsid w:val="009E1FC5"/>
    <w:rsid w:val="009E2725"/>
    <w:rsid w:val="009E4B5B"/>
    <w:rsid w:val="009E6423"/>
    <w:rsid w:val="009E6698"/>
    <w:rsid w:val="009E6A83"/>
    <w:rsid w:val="009E7972"/>
    <w:rsid w:val="009E7EC3"/>
    <w:rsid w:val="009F0ECB"/>
    <w:rsid w:val="009F129A"/>
    <w:rsid w:val="009F143B"/>
    <w:rsid w:val="009F1A81"/>
    <w:rsid w:val="009F1BF3"/>
    <w:rsid w:val="009F2332"/>
    <w:rsid w:val="009F29CE"/>
    <w:rsid w:val="009F317E"/>
    <w:rsid w:val="009F36C2"/>
    <w:rsid w:val="009F3D8F"/>
    <w:rsid w:val="009F461E"/>
    <w:rsid w:val="009F4F97"/>
    <w:rsid w:val="009F51FF"/>
    <w:rsid w:val="009F54BB"/>
    <w:rsid w:val="009F6D65"/>
    <w:rsid w:val="00A00616"/>
    <w:rsid w:val="00A007D5"/>
    <w:rsid w:val="00A00F08"/>
    <w:rsid w:val="00A01624"/>
    <w:rsid w:val="00A01CFB"/>
    <w:rsid w:val="00A01D8C"/>
    <w:rsid w:val="00A0218A"/>
    <w:rsid w:val="00A02854"/>
    <w:rsid w:val="00A038FD"/>
    <w:rsid w:val="00A04178"/>
    <w:rsid w:val="00A0424F"/>
    <w:rsid w:val="00A05B5A"/>
    <w:rsid w:val="00A05CF7"/>
    <w:rsid w:val="00A06552"/>
    <w:rsid w:val="00A07D1C"/>
    <w:rsid w:val="00A07FEF"/>
    <w:rsid w:val="00A106D3"/>
    <w:rsid w:val="00A119EA"/>
    <w:rsid w:val="00A11E36"/>
    <w:rsid w:val="00A12DC8"/>
    <w:rsid w:val="00A138E8"/>
    <w:rsid w:val="00A14324"/>
    <w:rsid w:val="00A147F8"/>
    <w:rsid w:val="00A14B03"/>
    <w:rsid w:val="00A14E7B"/>
    <w:rsid w:val="00A16854"/>
    <w:rsid w:val="00A16968"/>
    <w:rsid w:val="00A1712E"/>
    <w:rsid w:val="00A1735D"/>
    <w:rsid w:val="00A17594"/>
    <w:rsid w:val="00A1778E"/>
    <w:rsid w:val="00A178FE"/>
    <w:rsid w:val="00A17BDE"/>
    <w:rsid w:val="00A17FBC"/>
    <w:rsid w:val="00A2165F"/>
    <w:rsid w:val="00A21684"/>
    <w:rsid w:val="00A218E3"/>
    <w:rsid w:val="00A222D4"/>
    <w:rsid w:val="00A23507"/>
    <w:rsid w:val="00A248E2"/>
    <w:rsid w:val="00A24AC7"/>
    <w:rsid w:val="00A24E79"/>
    <w:rsid w:val="00A25DEB"/>
    <w:rsid w:val="00A25E1D"/>
    <w:rsid w:val="00A269D5"/>
    <w:rsid w:val="00A26C10"/>
    <w:rsid w:val="00A26C7B"/>
    <w:rsid w:val="00A26D69"/>
    <w:rsid w:val="00A26D8F"/>
    <w:rsid w:val="00A26FD3"/>
    <w:rsid w:val="00A27430"/>
    <w:rsid w:val="00A27D3D"/>
    <w:rsid w:val="00A27EBF"/>
    <w:rsid w:val="00A306A3"/>
    <w:rsid w:val="00A30A18"/>
    <w:rsid w:val="00A30AE6"/>
    <w:rsid w:val="00A31007"/>
    <w:rsid w:val="00A3173C"/>
    <w:rsid w:val="00A3194A"/>
    <w:rsid w:val="00A31BB2"/>
    <w:rsid w:val="00A32110"/>
    <w:rsid w:val="00A33326"/>
    <w:rsid w:val="00A3350F"/>
    <w:rsid w:val="00A335CC"/>
    <w:rsid w:val="00A34040"/>
    <w:rsid w:val="00A355BA"/>
    <w:rsid w:val="00A3568C"/>
    <w:rsid w:val="00A3575C"/>
    <w:rsid w:val="00A3595E"/>
    <w:rsid w:val="00A365C8"/>
    <w:rsid w:val="00A36A06"/>
    <w:rsid w:val="00A372CB"/>
    <w:rsid w:val="00A3774E"/>
    <w:rsid w:val="00A37C63"/>
    <w:rsid w:val="00A37E35"/>
    <w:rsid w:val="00A41441"/>
    <w:rsid w:val="00A427B0"/>
    <w:rsid w:val="00A42BB3"/>
    <w:rsid w:val="00A431BA"/>
    <w:rsid w:val="00A43EFB"/>
    <w:rsid w:val="00A462B2"/>
    <w:rsid w:val="00A462B3"/>
    <w:rsid w:val="00A46787"/>
    <w:rsid w:val="00A46BDF"/>
    <w:rsid w:val="00A472DE"/>
    <w:rsid w:val="00A47990"/>
    <w:rsid w:val="00A47F88"/>
    <w:rsid w:val="00A50DBF"/>
    <w:rsid w:val="00A50FD8"/>
    <w:rsid w:val="00A51A4A"/>
    <w:rsid w:val="00A51F53"/>
    <w:rsid w:val="00A5207A"/>
    <w:rsid w:val="00A525F2"/>
    <w:rsid w:val="00A5395F"/>
    <w:rsid w:val="00A54A21"/>
    <w:rsid w:val="00A556B0"/>
    <w:rsid w:val="00A55CF9"/>
    <w:rsid w:val="00A56EF2"/>
    <w:rsid w:val="00A57DC8"/>
    <w:rsid w:val="00A609BA"/>
    <w:rsid w:val="00A60E5E"/>
    <w:rsid w:val="00A61317"/>
    <w:rsid w:val="00A615CC"/>
    <w:rsid w:val="00A61A40"/>
    <w:rsid w:val="00A61FBB"/>
    <w:rsid w:val="00A62116"/>
    <w:rsid w:val="00A62175"/>
    <w:rsid w:val="00A64923"/>
    <w:rsid w:val="00A650C4"/>
    <w:rsid w:val="00A658AD"/>
    <w:rsid w:val="00A65CD8"/>
    <w:rsid w:val="00A667FE"/>
    <w:rsid w:val="00A709C1"/>
    <w:rsid w:val="00A71B2B"/>
    <w:rsid w:val="00A73D26"/>
    <w:rsid w:val="00A747C9"/>
    <w:rsid w:val="00A7566A"/>
    <w:rsid w:val="00A75A3C"/>
    <w:rsid w:val="00A7635A"/>
    <w:rsid w:val="00A76724"/>
    <w:rsid w:val="00A77510"/>
    <w:rsid w:val="00A77905"/>
    <w:rsid w:val="00A77C4F"/>
    <w:rsid w:val="00A8010E"/>
    <w:rsid w:val="00A808FA"/>
    <w:rsid w:val="00A80B26"/>
    <w:rsid w:val="00A80CCB"/>
    <w:rsid w:val="00A81313"/>
    <w:rsid w:val="00A8151D"/>
    <w:rsid w:val="00A81DE9"/>
    <w:rsid w:val="00A83BE2"/>
    <w:rsid w:val="00A84212"/>
    <w:rsid w:val="00A843B6"/>
    <w:rsid w:val="00A8458E"/>
    <w:rsid w:val="00A84E32"/>
    <w:rsid w:val="00A86224"/>
    <w:rsid w:val="00A867A0"/>
    <w:rsid w:val="00A8767A"/>
    <w:rsid w:val="00A876C2"/>
    <w:rsid w:val="00A87C90"/>
    <w:rsid w:val="00A9115B"/>
    <w:rsid w:val="00A91363"/>
    <w:rsid w:val="00A92B28"/>
    <w:rsid w:val="00A92D0F"/>
    <w:rsid w:val="00A9309A"/>
    <w:rsid w:val="00A9354D"/>
    <w:rsid w:val="00A93920"/>
    <w:rsid w:val="00A93C78"/>
    <w:rsid w:val="00A944C6"/>
    <w:rsid w:val="00A946F4"/>
    <w:rsid w:val="00A958AC"/>
    <w:rsid w:val="00A95CE6"/>
    <w:rsid w:val="00A96066"/>
    <w:rsid w:val="00A96498"/>
    <w:rsid w:val="00A97D3E"/>
    <w:rsid w:val="00AA06AE"/>
    <w:rsid w:val="00AA0D8B"/>
    <w:rsid w:val="00AA18D4"/>
    <w:rsid w:val="00AA1AFB"/>
    <w:rsid w:val="00AA1F8B"/>
    <w:rsid w:val="00AA239E"/>
    <w:rsid w:val="00AA298F"/>
    <w:rsid w:val="00AA2C17"/>
    <w:rsid w:val="00AA2CB8"/>
    <w:rsid w:val="00AA487B"/>
    <w:rsid w:val="00AA4ADE"/>
    <w:rsid w:val="00AA4CA0"/>
    <w:rsid w:val="00AA4D02"/>
    <w:rsid w:val="00AA6319"/>
    <w:rsid w:val="00AA63E2"/>
    <w:rsid w:val="00AA6538"/>
    <w:rsid w:val="00AA718E"/>
    <w:rsid w:val="00AB1202"/>
    <w:rsid w:val="00AB1229"/>
    <w:rsid w:val="00AB1476"/>
    <w:rsid w:val="00AB1E6C"/>
    <w:rsid w:val="00AB2307"/>
    <w:rsid w:val="00AB31AC"/>
    <w:rsid w:val="00AB31FD"/>
    <w:rsid w:val="00AB35A9"/>
    <w:rsid w:val="00AB5C7C"/>
    <w:rsid w:val="00AB5D5D"/>
    <w:rsid w:val="00AB66B0"/>
    <w:rsid w:val="00AB6CFF"/>
    <w:rsid w:val="00AB769C"/>
    <w:rsid w:val="00AC177D"/>
    <w:rsid w:val="00AC25F7"/>
    <w:rsid w:val="00AC2A8D"/>
    <w:rsid w:val="00AC2E0B"/>
    <w:rsid w:val="00AC30AD"/>
    <w:rsid w:val="00AC3638"/>
    <w:rsid w:val="00AC5442"/>
    <w:rsid w:val="00AC64C7"/>
    <w:rsid w:val="00AD0EB8"/>
    <w:rsid w:val="00AD2EFF"/>
    <w:rsid w:val="00AD3859"/>
    <w:rsid w:val="00AD4C8F"/>
    <w:rsid w:val="00AD508E"/>
    <w:rsid w:val="00AD50AE"/>
    <w:rsid w:val="00AD51C4"/>
    <w:rsid w:val="00AD5F80"/>
    <w:rsid w:val="00AD65D0"/>
    <w:rsid w:val="00AD7F5E"/>
    <w:rsid w:val="00AE023C"/>
    <w:rsid w:val="00AE0F67"/>
    <w:rsid w:val="00AE13D7"/>
    <w:rsid w:val="00AE1CBD"/>
    <w:rsid w:val="00AE2060"/>
    <w:rsid w:val="00AE2316"/>
    <w:rsid w:val="00AE2E00"/>
    <w:rsid w:val="00AE3291"/>
    <w:rsid w:val="00AE3E20"/>
    <w:rsid w:val="00AE4536"/>
    <w:rsid w:val="00AE5F36"/>
    <w:rsid w:val="00AE67B5"/>
    <w:rsid w:val="00AE6A41"/>
    <w:rsid w:val="00AE701A"/>
    <w:rsid w:val="00AE758E"/>
    <w:rsid w:val="00AF050A"/>
    <w:rsid w:val="00AF07B5"/>
    <w:rsid w:val="00AF1FA2"/>
    <w:rsid w:val="00AF22EE"/>
    <w:rsid w:val="00AF2F5B"/>
    <w:rsid w:val="00AF3BF2"/>
    <w:rsid w:val="00AF3D1D"/>
    <w:rsid w:val="00AF4A63"/>
    <w:rsid w:val="00AF5C86"/>
    <w:rsid w:val="00AF5D39"/>
    <w:rsid w:val="00AF5EF1"/>
    <w:rsid w:val="00AF7D05"/>
    <w:rsid w:val="00AF7D92"/>
    <w:rsid w:val="00B00254"/>
    <w:rsid w:val="00B018E7"/>
    <w:rsid w:val="00B01F2D"/>
    <w:rsid w:val="00B024ED"/>
    <w:rsid w:val="00B02E4C"/>
    <w:rsid w:val="00B03C30"/>
    <w:rsid w:val="00B03F24"/>
    <w:rsid w:val="00B052BB"/>
    <w:rsid w:val="00B05A83"/>
    <w:rsid w:val="00B05CCF"/>
    <w:rsid w:val="00B065EF"/>
    <w:rsid w:val="00B06697"/>
    <w:rsid w:val="00B06D1C"/>
    <w:rsid w:val="00B070F0"/>
    <w:rsid w:val="00B10C89"/>
    <w:rsid w:val="00B114E1"/>
    <w:rsid w:val="00B11712"/>
    <w:rsid w:val="00B11F82"/>
    <w:rsid w:val="00B124CB"/>
    <w:rsid w:val="00B125F6"/>
    <w:rsid w:val="00B13065"/>
    <w:rsid w:val="00B145C0"/>
    <w:rsid w:val="00B149F1"/>
    <w:rsid w:val="00B14E61"/>
    <w:rsid w:val="00B17838"/>
    <w:rsid w:val="00B17DF5"/>
    <w:rsid w:val="00B20A68"/>
    <w:rsid w:val="00B20CB8"/>
    <w:rsid w:val="00B20EEA"/>
    <w:rsid w:val="00B2215B"/>
    <w:rsid w:val="00B22954"/>
    <w:rsid w:val="00B22DB2"/>
    <w:rsid w:val="00B23063"/>
    <w:rsid w:val="00B23B44"/>
    <w:rsid w:val="00B23B8C"/>
    <w:rsid w:val="00B240B6"/>
    <w:rsid w:val="00B25A72"/>
    <w:rsid w:val="00B25DB8"/>
    <w:rsid w:val="00B26828"/>
    <w:rsid w:val="00B26ACD"/>
    <w:rsid w:val="00B3300D"/>
    <w:rsid w:val="00B33103"/>
    <w:rsid w:val="00B3350D"/>
    <w:rsid w:val="00B33DEB"/>
    <w:rsid w:val="00B3499F"/>
    <w:rsid w:val="00B35DE7"/>
    <w:rsid w:val="00B3601E"/>
    <w:rsid w:val="00B36B9A"/>
    <w:rsid w:val="00B36C74"/>
    <w:rsid w:val="00B375F7"/>
    <w:rsid w:val="00B3779C"/>
    <w:rsid w:val="00B37F0E"/>
    <w:rsid w:val="00B40B64"/>
    <w:rsid w:val="00B418BE"/>
    <w:rsid w:val="00B42643"/>
    <w:rsid w:val="00B42CF0"/>
    <w:rsid w:val="00B43A29"/>
    <w:rsid w:val="00B43AEF"/>
    <w:rsid w:val="00B44017"/>
    <w:rsid w:val="00B44521"/>
    <w:rsid w:val="00B4496E"/>
    <w:rsid w:val="00B4539A"/>
    <w:rsid w:val="00B45857"/>
    <w:rsid w:val="00B45BDD"/>
    <w:rsid w:val="00B45D3D"/>
    <w:rsid w:val="00B46A03"/>
    <w:rsid w:val="00B47566"/>
    <w:rsid w:val="00B50AFF"/>
    <w:rsid w:val="00B50D54"/>
    <w:rsid w:val="00B51AA1"/>
    <w:rsid w:val="00B51F96"/>
    <w:rsid w:val="00B52510"/>
    <w:rsid w:val="00B53D40"/>
    <w:rsid w:val="00B54136"/>
    <w:rsid w:val="00B5450E"/>
    <w:rsid w:val="00B551FC"/>
    <w:rsid w:val="00B55B8B"/>
    <w:rsid w:val="00B55E2B"/>
    <w:rsid w:val="00B55E7E"/>
    <w:rsid w:val="00B560EC"/>
    <w:rsid w:val="00B570F5"/>
    <w:rsid w:val="00B603CB"/>
    <w:rsid w:val="00B60B2C"/>
    <w:rsid w:val="00B60CEA"/>
    <w:rsid w:val="00B610D2"/>
    <w:rsid w:val="00B61B7E"/>
    <w:rsid w:val="00B61C87"/>
    <w:rsid w:val="00B623C8"/>
    <w:rsid w:val="00B628A5"/>
    <w:rsid w:val="00B6368C"/>
    <w:rsid w:val="00B63844"/>
    <w:rsid w:val="00B63C7C"/>
    <w:rsid w:val="00B64ABB"/>
    <w:rsid w:val="00B64D67"/>
    <w:rsid w:val="00B67870"/>
    <w:rsid w:val="00B70887"/>
    <w:rsid w:val="00B70D50"/>
    <w:rsid w:val="00B741FE"/>
    <w:rsid w:val="00B7449D"/>
    <w:rsid w:val="00B74C95"/>
    <w:rsid w:val="00B74D06"/>
    <w:rsid w:val="00B75B83"/>
    <w:rsid w:val="00B760E1"/>
    <w:rsid w:val="00B77109"/>
    <w:rsid w:val="00B809F2"/>
    <w:rsid w:val="00B812B4"/>
    <w:rsid w:val="00B825DA"/>
    <w:rsid w:val="00B83B7A"/>
    <w:rsid w:val="00B83EA0"/>
    <w:rsid w:val="00B85C6A"/>
    <w:rsid w:val="00B860AB"/>
    <w:rsid w:val="00B872B9"/>
    <w:rsid w:val="00B90500"/>
    <w:rsid w:val="00B90757"/>
    <w:rsid w:val="00B917AD"/>
    <w:rsid w:val="00B91896"/>
    <w:rsid w:val="00B920D7"/>
    <w:rsid w:val="00B92240"/>
    <w:rsid w:val="00B93203"/>
    <w:rsid w:val="00B93383"/>
    <w:rsid w:val="00B9373B"/>
    <w:rsid w:val="00B93E22"/>
    <w:rsid w:val="00B94883"/>
    <w:rsid w:val="00B9544C"/>
    <w:rsid w:val="00B957B9"/>
    <w:rsid w:val="00B9591A"/>
    <w:rsid w:val="00B95BD3"/>
    <w:rsid w:val="00B96346"/>
    <w:rsid w:val="00B96E08"/>
    <w:rsid w:val="00B97227"/>
    <w:rsid w:val="00B97FD6"/>
    <w:rsid w:val="00BA0262"/>
    <w:rsid w:val="00BA0CE2"/>
    <w:rsid w:val="00BA1585"/>
    <w:rsid w:val="00BA179B"/>
    <w:rsid w:val="00BA1A58"/>
    <w:rsid w:val="00BA26F6"/>
    <w:rsid w:val="00BA321D"/>
    <w:rsid w:val="00BA39BC"/>
    <w:rsid w:val="00BA43F1"/>
    <w:rsid w:val="00BA46BF"/>
    <w:rsid w:val="00BA4EEB"/>
    <w:rsid w:val="00BA4FC2"/>
    <w:rsid w:val="00BA50A7"/>
    <w:rsid w:val="00BA577E"/>
    <w:rsid w:val="00BA5929"/>
    <w:rsid w:val="00BA59EC"/>
    <w:rsid w:val="00BA5CA2"/>
    <w:rsid w:val="00BA5F2E"/>
    <w:rsid w:val="00BA606D"/>
    <w:rsid w:val="00BA6D16"/>
    <w:rsid w:val="00BA6F82"/>
    <w:rsid w:val="00BA7AD7"/>
    <w:rsid w:val="00BA7DA2"/>
    <w:rsid w:val="00BB145E"/>
    <w:rsid w:val="00BB2027"/>
    <w:rsid w:val="00BB2448"/>
    <w:rsid w:val="00BB287F"/>
    <w:rsid w:val="00BB377D"/>
    <w:rsid w:val="00BB4829"/>
    <w:rsid w:val="00BB48EE"/>
    <w:rsid w:val="00BB4ED4"/>
    <w:rsid w:val="00BB4F2D"/>
    <w:rsid w:val="00BB5A03"/>
    <w:rsid w:val="00BB5C86"/>
    <w:rsid w:val="00BB62F8"/>
    <w:rsid w:val="00BB6D6A"/>
    <w:rsid w:val="00BC0631"/>
    <w:rsid w:val="00BC0E45"/>
    <w:rsid w:val="00BC10D1"/>
    <w:rsid w:val="00BC1678"/>
    <w:rsid w:val="00BC1895"/>
    <w:rsid w:val="00BC1A9C"/>
    <w:rsid w:val="00BC24D0"/>
    <w:rsid w:val="00BC2E00"/>
    <w:rsid w:val="00BC30F0"/>
    <w:rsid w:val="00BC32E7"/>
    <w:rsid w:val="00BC4539"/>
    <w:rsid w:val="00BC551E"/>
    <w:rsid w:val="00BC582F"/>
    <w:rsid w:val="00BC5939"/>
    <w:rsid w:val="00BC6E90"/>
    <w:rsid w:val="00BD0AF5"/>
    <w:rsid w:val="00BD0FA1"/>
    <w:rsid w:val="00BD1052"/>
    <w:rsid w:val="00BD1D95"/>
    <w:rsid w:val="00BD1DBB"/>
    <w:rsid w:val="00BD1FD7"/>
    <w:rsid w:val="00BD20AB"/>
    <w:rsid w:val="00BD3942"/>
    <w:rsid w:val="00BD41F1"/>
    <w:rsid w:val="00BD4AB4"/>
    <w:rsid w:val="00BD6714"/>
    <w:rsid w:val="00BD7438"/>
    <w:rsid w:val="00BD7923"/>
    <w:rsid w:val="00BE0163"/>
    <w:rsid w:val="00BE0292"/>
    <w:rsid w:val="00BE0467"/>
    <w:rsid w:val="00BE04AB"/>
    <w:rsid w:val="00BE09DC"/>
    <w:rsid w:val="00BE0E03"/>
    <w:rsid w:val="00BE2317"/>
    <w:rsid w:val="00BE257C"/>
    <w:rsid w:val="00BE3511"/>
    <w:rsid w:val="00BE44BA"/>
    <w:rsid w:val="00BE4A78"/>
    <w:rsid w:val="00BE4F17"/>
    <w:rsid w:val="00BE58FA"/>
    <w:rsid w:val="00BE5AE8"/>
    <w:rsid w:val="00BE6515"/>
    <w:rsid w:val="00BF1291"/>
    <w:rsid w:val="00BF15E9"/>
    <w:rsid w:val="00BF201B"/>
    <w:rsid w:val="00BF22A6"/>
    <w:rsid w:val="00BF240F"/>
    <w:rsid w:val="00BF24EE"/>
    <w:rsid w:val="00BF3155"/>
    <w:rsid w:val="00BF3415"/>
    <w:rsid w:val="00BF4B5E"/>
    <w:rsid w:val="00BF5182"/>
    <w:rsid w:val="00BF6B44"/>
    <w:rsid w:val="00BF7284"/>
    <w:rsid w:val="00BF7B7C"/>
    <w:rsid w:val="00BF7C26"/>
    <w:rsid w:val="00C016B1"/>
    <w:rsid w:val="00C01F28"/>
    <w:rsid w:val="00C0216B"/>
    <w:rsid w:val="00C027A8"/>
    <w:rsid w:val="00C02A90"/>
    <w:rsid w:val="00C030F8"/>
    <w:rsid w:val="00C031C8"/>
    <w:rsid w:val="00C039C5"/>
    <w:rsid w:val="00C03C4F"/>
    <w:rsid w:val="00C05411"/>
    <w:rsid w:val="00C06402"/>
    <w:rsid w:val="00C06C62"/>
    <w:rsid w:val="00C075B4"/>
    <w:rsid w:val="00C07868"/>
    <w:rsid w:val="00C07BD0"/>
    <w:rsid w:val="00C101A9"/>
    <w:rsid w:val="00C111F4"/>
    <w:rsid w:val="00C11B91"/>
    <w:rsid w:val="00C12241"/>
    <w:rsid w:val="00C12724"/>
    <w:rsid w:val="00C1309B"/>
    <w:rsid w:val="00C14D66"/>
    <w:rsid w:val="00C14E3E"/>
    <w:rsid w:val="00C15036"/>
    <w:rsid w:val="00C20B6D"/>
    <w:rsid w:val="00C214C3"/>
    <w:rsid w:val="00C21FFB"/>
    <w:rsid w:val="00C22C67"/>
    <w:rsid w:val="00C22E6C"/>
    <w:rsid w:val="00C24A27"/>
    <w:rsid w:val="00C256BC"/>
    <w:rsid w:val="00C319DD"/>
    <w:rsid w:val="00C31EFF"/>
    <w:rsid w:val="00C31F2B"/>
    <w:rsid w:val="00C33664"/>
    <w:rsid w:val="00C33761"/>
    <w:rsid w:val="00C34783"/>
    <w:rsid w:val="00C34C7B"/>
    <w:rsid w:val="00C351B0"/>
    <w:rsid w:val="00C3563C"/>
    <w:rsid w:val="00C359E8"/>
    <w:rsid w:val="00C35B3F"/>
    <w:rsid w:val="00C35D6B"/>
    <w:rsid w:val="00C36D5A"/>
    <w:rsid w:val="00C370C0"/>
    <w:rsid w:val="00C37202"/>
    <w:rsid w:val="00C3728E"/>
    <w:rsid w:val="00C37BC5"/>
    <w:rsid w:val="00C37FDF"/>
    <w:rsid w:val="00C414B1"/>
    <w:rsid w:val="00C4171F"/>
    <w:rsid w:val="00C42292"/>
    <w:rsid w:val="00C422F9"/>
    <w:rsid w:val="00C429D4"/>
    <w:rsid w:val="00C4371C"/>
    <w:rsid w:val="00C44268"/>
    <w:rsid w:val="00C44DC4"/>
    <w:rsid w:val="00C45413"/>
    <w:rsid w:val="00C4558E"/>
    <w:rsid w:val="00C46925"/>
    <w:rsid w:val="00C46F8B"/>
    <w:rsid w:val="00C470BF"/>
    <w:rsid w:val="00C4794A"/>
    <w:rsid w:val="00C47A4A"/>
    <w:rsid w:val="00C47B38"/>
    <w:rsid w:val="00C50702"/>
    <w:rsid w:val="00C5093B"/>
    <w:rsid w:val="00C513C2"/>
    <w:rsid w:val="00C52BB8"/>
    <w:rsid w:val="00C53374"/>
    <w:rsid w:val="00C53731"/>
    <w:rsid w:val="00C53B29"/>
    <w:rsid w:val="00C54AF0"/>
    <w:rsid w:val="00C56A10"/>
    <w:rsid w:val="00C61CEB"/>
    <w:rsid w:val="00C627A7"/>
    <w:rsid w:val="00C63394"/>
    <w:rsid w:val="00C6376F"/>
    <w:rsid w:val="00C638C5"/>
    <w:rsid w:val="00C648E1"/>
    <w:rsid w:val="00C65A9C"/>
    <w:rsid w:val="00C65ADF"/>
    <w:rsid w:val="00C65B63"/>
    <w:rsid w:val="00C65C05"/>
    <w:rsid w:val="00C65CB3"/>
    <w:rsid w:val="00C65EE7"/>
    <w:rsid w:val="00C66249"/>
    <w:rsid w:val="00C66982"/>
    <w:rsid w:val="00C66EA5"/>
    <w:rsid w:val="00C6729B"/>
    <w:rsid w:val="00C712B0"/>
    <w:rsid w:val="00C73B42"/>
    <w:rsid w:val="00C7419F"/>
    <w:rsid w:val="00C747AF"/>
    <w:rsid w:val="00C74E5A"/>
    <w:rsid w:val="00C75CF4"/>
    <w:rsid w:val="00C7666E"/>
    <w:rsid w:val="00C7795B"/>
    <w:rsid w:val="00C7798C"/>
    <w:rsid w:val="00C77C71"/>
    <w:rsid w:val="00C80093"/>
    <w:rsid w:val="00C81039"/>
    <w:rsid w:val="00C813D7"/>
    <w:rsid w:val="00C81CF2"/>
    <w:rsid w:val="00C821F4"/>
    <w:rsid w:val="00C825B8"/>
    <w:rsid w:val="00C8297E"/>
    <w:rsid w:val="00C82BC9"/>
    <w:rsid w:val="00C8357F"/>
    <w:rsid w:val="00C84446"/>
    <w:rsid w:val="00C8479A"/>
    <w:rsid w:val="00C85022"/>
    <w:rsid w:val="00C85139"/>
    <w:rsid w:val="00C860B4"/>
    <w:rsid w:val="00C86C26"/>
    <w:rsid w:val="00C86DFD"/>
    <w:rsid w:val="00C86F81"/>
    <w:rsid w:val="00C87034"/>
    <w:rsid w:val="00C8725A"/>
    <w:rsid w:val="00C87323"/>
    <w:rsid w:val="00C8743D"/>
    <w:rsid w:val="00C876D3"/>
    <w:rsid w:val="00C87EC5"/>
    <w:rsid w:val="00C90AFA"/>
    <w:rsid w:val="00C90B5A"/>
    <w:rsid w:val="00C90BB6"/>
    <w:rsid w:val="00C92314"/>
    <w:rsid w:val="00C9257F"/>
    <w:rsid w:val="00C9310E"/>
    <w:rsid w:val="00C93C74"/>
    <w:rsid w:val="00C94E8D"/>
    <w:rsid w:val="00C952A6"/>
    <w:rsid w:val="00C95498"/>
    <w:rsid w:val="00C95561"/>
    <w:rsid w:val="00C95754"/>
    <w:rsid w:val="00C95DDE"/>
    <w:rsid w:val="00C96202"/>
    <w:rsid w:val="00C96323"/>
    <w:rsid w:val="00C9651F"/>
    <w:rsid w:val="00C96D7C"/>
    <w:rsid w:val="00C97614"/>
    <w:rsid w:val="00C97F91"/>
    <w:rsid w:val="00C97FFE"/>
    <w:rsid w:val="00CA0321"/>
    <w:rsid w:val="00CA0E94"/>
    <w:rsid w:val="00CA2995"/>
    <w:rsid w:val="00CA2AF5"/>
    <w:rsid w:val="00CA3006"/>
    <w:rsid w:val="00CA337D"/>
    <w:rsid w:val="00CA389D"/>
    <w:rsid w:val="00CA3FE7"/>
    <w:rsid w:val="00CA42C5"/>
    <w:rsid w:val="00CA44A7"/>
    <w:rsid w:val="00CA4ABB"/>
    <w:rsid w:val="00CA4B7E"/>
    <w:rsid w:val="00CA5963"/>
    <w:rsid w:val="00CA6480"/>
    <w:rsid w:val="00CA6F26"/>
    <w:rsid w:val="00CA7101"/>
    <w:rsid w:val="00CA7A70"/>
    <w:rsid w:val="00CB04B5"/>
    <w:rsid w:val="00CB04FB"/>
    <w:rsid w:val="00CB0BB0"/>
    <w:rsid w:val="00CB164B"/>
    <w:rsid w:val="00CB25CF"/>
    <w:rsid w:val="00CB2BA5"/>
    <w:rsid w:val="00CB2EBB"/>
    <w:rsid w:val="00CB3695"/>
    <w:rsid w:val="00CB39A4"/>
    <w:rsid w:val="00CB3C02"/>
    <w:rsid w:val="00CB3CAD"/>
    <w:rsid w:val="00CB470B"/>
    <w:rsid w:val="00CB5421"/>
    <w:rsid w:val="00CB569B"/>
    <w:rsid w:val="00CB6335"/>
    <w:rsid w:val="00CB6CA6"/>
    <w:rsid w:val="00CB6E95"/>
    <w:rsid w:val="00CB6E9C"/>
    <w:rsid w:val="00CB6F3F"/>
    <w:rsid w:val="00CB7054"/>
    <w:rsid w:val="00CB7156"/>
    <w:rsid w:val="00CC0C18"/>
    <w:rsid w:val="00CC0DE5"/>
    <w:rsid w:val="00CC176D"/>
    <w:rsid w:val="00CC1B43"/>
    <w:rsid w:val="00CC2277"/>
    <w:rsid w:val="00CC3250"/>
    <w:rsid w:val="00CC326B"/>
    <w:rsid w:val="00CC3ACB"/>
    <w:rsid w:val="00CC3B72"/>
    <w:rsid w:val="00CC4AE7"/>
    <w:rsid w:val="00CC560C"/>
    <w:rsid w:val="00CC57CE"/>
    <w:rsid w:val="00CC6EB2"/>
    <w:rsid w:val="00CC7C64"/>
    <w:rsid w:val="00CD17BC"/>
    <w:rsid w:val="00CD2791"/>
    <w:rsid w:val="00CD31AC"/>
    <w:rsid w:val="00CD3269"/>
    <w:rsid w:val="00CD3B04"/>
    <w:rsid w:val="00CD4E5A"/>
    <w:rsid w:val="00CD55E7"/>
    <w:rsid w:val="00CD6AF1"/>
    <w:rsid w:val="00CD6C90"/>
    <w:rsid w:val="00CD7008"/>
    <w:rsid w:val="00CD7B26"/>
    <w:rsid w:val="00CE1C5E"/>
    <w:rsid w:val="00CE2C40"/>
    <w:rsid w:val="00CE2DB1"/>
    <w:rsid w:val="00CE306C"/>
    <w:rsid w:val="00CE367B"/>
    <w:rsid w:val="00CE4243"/>
    <w:rsid w:val="00CE4644"/>
    <w:rsid w:val="00CE4716"/>
    <w:rsid w:val="00CE5E24"/>
    <w:rsid w:val="00CE6941"/>
    <w:rsid w:val="00CE6C6A"/>
    <w:rsid w:val="00CE6E61"/>
    <w:rsid w:val="00CE77AF"/>
    <w:rsid w:val="00CE7C8C"/>
    <w:rsid w:val="00CF0D27"/>
    <w:rsid w:val="00CF2436"/>
    <w:rsid w:val="00CF2C53"/>
    <w:rsid w:val="00CF3BCF"/>
    <w:rsid w:val="00CF3FB0"/>
    <w:rsid w:val="00CF43C3"/>
    <w:rsid w:val="00CF535D"/>
    <w:rsid w:val="00CF53CF"/>
    <w:rsid w:val="00CF57FF"/>
    <w:rsid w:val="00CF6B51"/>
    <w:rsid w:val="00CF6E98"/>
    <w:rsid w:val="00CF752A"/>
    <w:rsid w:val="00D014CD"/>
    <w:rsid w:val="00D01735"/>
    <w:rsid w:val="00D01CAA"/>
    <w:rsid w:val="00D01D36"/>
    <w:rsid w:val="00D02040"/>
    <w:rsid w:val="00D027ED"/>
    <w:rsid w:val="00D0281D"/>
    <w:rsid w:val="00D0447C"/>
    <w:rsid w:val="00D0484A"/>
    <w:rsid w:val="00D055FB"/>
    <w:rsid w:val="00D0585C"/>
    <w:rsid w:val="00D05D18"/>
    <w:rsid w:val="00D05E3D"/>
    <w:rsid w:val="00D064AC"/>
    <w:rsid w:val="00D06FC0"/>
    <w:rsid w:val="00D0736D"/>
    <w:rsid w:val="00D1070D"/>
    <w:rsid w:val="00D10BAC"/>
    <w:rsid w:val="00D111E0"/>
    <w:rsid w:val="00D1150C"/>
    <w:rsid w:val="00D11A6F"/>
    <w:rsid w:val="00D11AB9"/>
    <w:rsid w:val="00D12878"/>
    <w:rsid w:val="00D12BD6"/>
    <w:rsid w:val="00D12C2F"/>
    <w:rsid w:val="00D150B2"/>
    <w:rsid w:val="00D151BD"/>
    <w:rsid w:val="00D15340"/>
    <w:rsid w:val="00D160FF"/>
    <w:rsid w:val="00D16393"/>
    <w:rsid w:val="00D16D15"/>
    <w:rsid w:val="00D17018"/>
    <w:rsid w:val="00D17E5C"/>
    <w:rsid w:val="00D17E98"/>
    <w:rsid w:val="00D21714"/>
    <w:rsid w:val="00D21EBC"/>
    <w:rsid w:val="00D2381F"/>
    <w:rsid w:val="00D23EF3"/>
    <w:rsid w:val="00D2448B"/>
    <w:rsid w:val="00D24570"/>
    <w:rsid w:val="00D24D7E"/>
    <w:rsid w:val="00D255C9"/>
    <w:rsid w:val="00D331E4"/>
    <w:rsid w:val="00D33AC3"/>
    <w:rsid w:val="00D346B2"/>
    <w:rsid w:val="00D348B7"/>
    <w:rsid w:val="00D35CE6"/>
    <w:rsid w:val="00D35EBB"/>
    <w:rsid w:val="00D36392"/>
    <w:rsid w:val="00D3639B"/>
    <w:rsid w:val="00D36D69"/>
    <w:rsid w:val="00D36EF8"/>
    <w:rsid w:val="00D371AD"/>
    <w:rsid w:val="00D417F2"/>
    <w:rsid w:val="00D43051"/>
    <w:rsid w:val="00D4310A"/>
    <w:rsid w:val="00D4331B"/>
    <w:rsid w:val="00D43608"/>
    <w:rsid w:val="00D43FB4"/>
    <w:rsid w:val="00D44225"/>
    <w:rsid w:val="00D45237"/>
    <w:rsid w:val="00D456ED"/>
    <w:rsid w:val="00D4674E"/>
    <w:rsid w:val="00D501E0"/>
    <w:rsid w:val="00D5052E"/>
    <w:rsid w:val="00D50F20"/>
    <w:rsid w:val="00D5127C"/>
    <w:rsid w:val="00D51ED4"/>
    <w:rsid w:val="00D5226D"/>
    <w:rsid w:val="00D544BE"/>
    <w:rsid w:val="00D55160"/>
    <w:rsid w:val="00D5528F"/>
    <w:rsid w:val="00D55506"/>
    <w:rsid w:val="00D55D93"/>
    <w:rsid w:val="00D560BB"/>
    <w:rsid w:val="00D5680B"/>
    <w:rsid w:val="00D5682D"/>
    <w:rsid w:val="00D56913"/>
    <w:rsid w:val="00D579DF"/>
    <w:rsid w:val="00D60EF5"/>
    <w:rsid w:val="00D61069"/>
    <w:rsid w:val="00D613C9"/>
    <w:rsid w:val="00D6179B"/>
    <w:rsid w:val="00D6284E"/>
    <w:rsid w:val="00D63986"/>
    <w:rsid w:val="00D63D69"/>
    <w:rsid w:val="00D63F58"/>
    <w:rsid w:val="00D64593"/>
    <w:rsid w:val="00D651D9"/>
    <w:rsid w:val="00D6525B"/>
    <w:rsid w:val="00D6546F"/>
    <w:rsid w:val="00D657A9"/>
    <w:rsid w:val="00D6590F"/>
    <w:rsid w:val="00D66461"/>
    <w:rsid w:val="00D67495"/>
    <w:rsid w:val="00D701A5"/>
    <w:rsid w:val="00D70C29"/>
    <w:rsid w:val="00D70DF8"/>
    <w:rsid w:val="00D71094"/>
    <w:rsid w:val="00D719B8"/>
    <w:rsid w:val="00D72487"/>
    <w:rsid w:val="00D725DC"/>
    <w:rsid w:val="00D72A38"/>
    <w:rsid w:val="00D72D9C"/>
    <w:rsid w:val="00D73CC3"/>
    <w:rsid w:val="00D7471F"/>
    <w:rsid w:val="00D74D9F"/>
    <w:rsid w:val="00D7549E"/>
    <w:rsid w:val="00D75E53"/>
    <w:rsid w:val="00D77A0C"/>
    <w:rsid w:val="00D80173"/>
    <w:rsid w:val="00D801AF"/>
    <w:rsid w:val="00D80B9F"/>
    <w:rsid w:val="00D80EC5"/>
    <w:rsid w:val="00D8155E"/>
    <w:rsid w:val="00D82117"/>
    <w:rsid w:val="00D82B73"/>
    <w:rsid w:val="00D8368B"/>
    <w:rsid w:val="00D86344"/>
    <w:rsid w:val="00D86C0A"/>
    <w:rsid w:val="00D90B2D"/>
    <w:rsid w:val="00D911A0"/>
    <w:rsid w:val="00D91F3C"/>
    <w:rsid w:val="00D92E89"/>
    <w:rsid w:val="00D92FF5"/>
    <w:rsid w:val="00D93384"/>
    <w:rsid w:val="00D93412"/>
    <w:rsid w:val="00D93DF0"/>
    <w:rsid w:val="00D941BC"/>
    <w:rsid w:val="00D94664"/>
    <w:rsid w:val="00D95076"/>
    <w:rsid w:val="00D9532A"/>
    <w:rsid w:val="00D95D21"/>
    <w:rsid w:val="00D970AC"/>
    <w:rsid w:val="00D976DD"/>
    <w:rsid w:val="00DA0410"/>
    <w:rsid w:val="00DA1C88"/>
    <w:rsid w:val="00DA2334"/>
    <w:rsid w:val="00DA38E8"/>
    <w:rsid w:val="00DA4556"/>
    <w:rsid w:val="00DA496A"/>
    <w:rsid w:val="00DA5498"/>
    <w:rsid w:val="00DB010A"/>
    <w:rsid w:val="00DB03FF"/>
    <w:rsid w:val="00DB045A"/>
    <w:rsid w:val="00DB062C"/>
    <w:rsid w:val="00DB1106"/>
    <w:rsid w:val="00DB2FDB"/>
    <w:rsid w:val="00DB3315"/>
    <w:rsid w:val="00DB46C6"/>
    <w:rsid w:val="00DB4D31"/>
    <w:rsid w:val="00DB4DE4"/>
    <w:rsid w:val="00DB61D2"/>
    <w:rsid w:val="00DB6C36"/>
    <w:rsid w:val="00DB6D8F"/>
    <w:rsid w:val="00DB7096"/>
    <w:rsid w:val="00DB7184"/>
    <w:rsid w:val="00DB7337"/>
    <w:rsid w:val="00DB75B7"/>
    <w:rsid w:val="00DB7D97"/>
    <w:rsid w:val="00DC05EE"/>
    <w:rsid w:val="00DC0785"/>
    <w:rsid w:val="00DC12A2"/>
    <w:rsid w:val="00DC1579"/>
    <w:rsid w:val="00DC232A"/>
    <w:rsid w:val="00DC2BFE"/>
    <w:rsid w:val="00DC4690"/>
    <w:rsid w:val="00DC4805"/>
    <w:rsid w:val="00DC4C7F"/>
    <w:rsid w:val="00DC5497"/>
    <w:rsid w:val="00DC5820"/>
    <w:rsid w:val="00DC5BD4"/>
    <w:rsid w:val="00DC5CD0"/>
    <w:rsid w:val="00DC6E36"/>
    <w:rsid w:val="00DC7223"/>
    <w:rsid w:val="00DC7F5D"/>
    <w:rsid w:val="00DD0018"/>
    <w:rsid w:val="00DD17F2"/>
    <w:rsid w:val="00DD1BDB"/>
    <w:rsid w:val="00DD2A6B"/>
    <w:rsid w:val="00DD4367"/>
    <w:rsid w:val="00DD438A"/>
    <w:rsid w:val="00DD5342"/>
    <w:rsid w:val="00DD562A"/>
    <w:rsid w:val="00DD6169"/>
    <w:rsid w:val="00DD66DA"/>
    <w:rsid w:val="00DD6E1B"/>
    <w:rsid w:val="00DD71F2"/>
    <w:rsid w:val="00DE01BE"/>
    <w:rsid w:val="00DE1823"/>
    <w:rsid w:val="00DE3999"/>
    <w:rsid w:val="00DE3CB2"/>
    <w:rsid w:val="00DE43C6"/>
    <w:rsid w:val="00DE4A79"/>
    <w:rsid w:val="00DE4DA4"/>
    <w:rsid w:val="00DE4F55"/>
    <w:rsid w:val="00DE54E6"/>
    <w:rsid w:val="00DE5A0D"/>
    <w:rsid w:val="00DE5A35"/>
    <w:rsid w:val="00DE5C10"/>
    <w:rsid w:val="00DE606D"/>
    <w:rsid w:val="00DE6D62"/>
    <w:rsid w:val="00DE7823"/>
    <w:rsid w:val="00DE7934"/>
    <w:rsid w:val="00DF018F"/>
    <w:rsid w:val="00DF0EEE"/>
    <w:rsid w:val="00DF1C7D"/>
    <w:rsid w:val="00DF1F9C"/>
    <w:rsid w:val="00DF31C0"/>
    <w:rsid w:val="00DF362D"/>
    <w:rsid w:val="00DF3742"/>
    <w:rsid w:val="00DF49D7"/>
    <w:rsid w:val="00DF61A4"/>
    <w:rsid w:val="00DF7097"/>
    <w:rsid w:val="00DF711C"/>
    <w:rsid w:val="00DF72DC"/>
    <w:rsid w:val="00DF76A4"/>
    <w:rsid w:val="00DF7A8B"/>
    <w:rsid w:val="00DF7B3F"/>
    <w:rsid w:val="00E00159"/>
    <w:rsid w:val="00E00C7A"/>
    <w:rsid w:val="00E01083"/>
    <w:rsid w:val="00E02CF4"/>
    <w:rsid w:val="00E056BD"/>
    <w:rsid w:val="00E05CA9"/>
    <w:rsid w:val="00E06E1A"/>
    <w:rsid w:val="00E0729A"/>
    <w:rsid w:val="00E07D15"/>
    <w:rsid w:val="00E07F3F"/>
    <w:rsid w:val="00E10818"/>
    <w:rsid w:val="00E109AC"/>
    <w:rsid w:val="00E116F6"/>
    <w:rsid w:val="00E12DE7"/>
    <w:rsid w:val="00E12F02"/>
    <w:rsid w:val="00E145E5"/>
    <w:rsid w:val="00E149C3"/>
    <w:rsid w:val="00E155EA"/>
    <w:rsid w:val="00E164D7"/>
    <w:rsid w:val="00E16E30"/>
    <w:rsid w:val="00E16E37"/>
    <w:rsid w:val="00E200C7"/>
    <w:rsid w:val="00E2059F"/>
    <w:rsid w:val="00E20BE8"/>
    <w:rsid w:val="00E2158D"/>
    <w:rsid w:val="00E225B9"/>
    <w:rsid w:val="00E232BD"/>
    <w:rsid w:val="00E23314"/>
    <w:rsid w:val="00E2363F"/>
    <w:rsid w:val="00E236F5"/>
    <w:rsid w:val="00E23F83"/>
    <w:rsid w:val="00E24011"/>
    <w:rsid w:val="00E2437D"/>
    <w:rsid w:val="00E24672"/>
    <w:rsid w:val="00E2526E"/>
    <w:rsid w:val="00E25369"/>
    <w:rsid w:val="00E25D08"/>
    <w:rsid w:val="00E268FA"/>
    <w:rsid w:val="00E26BB2"/>
    <w:rsid w:val="00E26C64"/>
    <w:rsid w:val="00E26CAF"/>
    <w:rsid w:val="00E26F5D"/>
    <w:rsid w:val="00E2726F"/>
    <w:rsid w:val="00E2785B"/>
    <w:rsid w:val="00E27A34"/>
    <w:rsid w:val="00E3078B"/>
    <w:rsid w:val="00E33089"/>
    <w:rsid w:val="00E335A5"/>
    <w:rsid w:val="00E33788"/>
    <w:rsid w:val="00E33A42"/>
    <w:rsid w:val="00E340A6"/>
    <w:rsid w:val="00E34237"/>
    <w:rsid w:val="00E34829"/>
    <w:rsid w:val="00E35242"/>
    <w:rsid w:val="00E353F5"/>
    <w:rsid w:val="00E369D6"/>
    <w:rsid w:val="00E37297"/>
    <w:rsid w:val="00E37556"/>
    <w:rsid w:val="00E3790E"/>
    <w:rsid w:val="00E411B4"/>
    <w:rsid w:val="00E4177F"/>
    <w:rsid w:val="00E4195C"/>
    <w:rsid w:val="00E4391A"/>
    <w:rsid w:val="00E4445C"/>
    <w:rsid w:val="00E45D0A"/>
    <w:rsid w:val="00E4614D"/>
    <w:rsid w:val="00E47B58"/>
    <w:rsid w:val="00E47E50"/>
    <w:rsid w:val="00E50521"/>
    <w:rsid w:val="00E508F2"/>
    <w:rsid w:val="00E52950"/>
    <w:rsid w:val="00E533F1"/>
    <w:rsid w:val="00E533F8"/>
    <w:rsid w:val="00E54816"/>
    <w:rsid w:val="00E554E1"/>
    <w:rsid w:val="00E55509"/>
    <w:rsid w:val="00E5772B"/>
    <w:rsid w:val="00E57971"/>
    <w:rsid w:val="00E60BAF"/>
    <w:rsid w:val="00E61B1C"/>
    <w:rsid w:val="00E61FFD"/>
    <w:rsid w:val="00E63125"/>
    <w:rsid w:val="00E63B31"/>
    <w:rsid w:val="00E643EA"/>
    <w:rsid w:val="00E64483"/>
    <w:rsid w:val="00E64717"/>
    <w:rsid w:val="00E6493E"/>
    <w:rsid w:val="00E649B6"/>
    <w:rsid w:val="00E64E93"/>
    <w:rsid w:val="00E659F7"/>
    <w:rsid w:val="00E65C15"/>
    <w:rsid w:val="00E65D18"/>
    <w:rsid w:val="00E6649B"/>
    <w:rsid w:val="00E6651A"/>
    <w:rsid w:val="00E66B14"/>
    <w:rsid w:val="00E7073F"/>
    <w:rsid w:val="00E70CEE"/>
    <w:rsid w:val="00E70E17"/>
    <w:rsid w:val="00E70F39"/>
    <w:rsid w:val="00E7184D"/>
    <w:rsid w:val="00E722DB"/>
    <w:rsid w:val="00E726A1"/>
    <w:rsid w:val="00E72E75"/>
    <w:rsid w:val="00E73B6D"/>
    <w:rsid w:val="00E73DEB"/>
    <w:rsid w:val="00E746F4"/>
    <w:rsid w:val="00E747FE"/>
    <w:rsid w:val="00E74C10"/>
    <w:rsid w:val="00E75D27"/>
    <w:rsid w:val="00E75E43"/>
    <w:rsid w:val="00E76F4F"/>
    <w:rsid w:val="00E771DB"/>
    <w:rsid w:val="00E8117F"/>
    <w:rsid w:val="00E81BA0"/>
    <w:rsid w:val="00E81BDF"/>
    <w:rsid w:val="00E81E2B"/>
    <w:rsid w:val="00E837E7"/>
    <w:rsid w:val="00E83AF8"/>
    <w:rsid w:val="00E83AFE"/>
    <w:rsid w:val="00E84911"/>
    <w:rsid w:val="00E857D5"/>
    <w:rsid w:val="00E86380"/>
    <w:rsid w:val="00E87076"/>
    <w:rsid w:val="00E87354"/>
    <w:rsid w:val="00E87768"/>
    <w:rsid w:val="00E878C3"/>
    <w:rsid w:val="00E90E0A"/>
    <w:rsid w:val="00E91A6B"/>
    <w:rsid w:val="00E921CE"/>
    <w:rsid w:val="00E928B8"/>
    <w:rsid w:val="00E93D1B"/>
    <w:rsid w:val="00E94639"/>
    <w:rsid w:val="00E95ACF"/>
    <w:rsid w:val="00E960EC"/>
    <w:rsid w:val="00E969C1"/>
    <w:rsid w:val="00E96F3A"/>
    <w:rsid w:val="00E971F0"/>
    <w:rsid w:val="00E97953"/>
    <w:rsid w:val="00EA16F7"/>
    <w:rsid w:val="00EA1A7F"/>
    <w:rsid w:val="00EA1E85"/>
    <w:rsid w:val="00EA2164"/>
    <w:rsid w:val="00EA2977"/>
    <w:rsid w:val="00EA4247"/>
    <w:rsid w:val="00EA49ED"/>
    <w:rsid w:val="00EA5134"/>
    <w:rsid w:val="00EA604F"/>
    <w:rsid w:val="00EA619B"/>
    <w:rsid w:val="00EA66D7"/>
    <w:rsid w:val="00EA6C43"/>
    <w:rsid w:val="00EA717B"/>
    <w:rsid w:val="00EA7F88"/>
    <w:rsid w:val="00EB005A"/>
    <w:rsid w:val="00EB05A8"/>
    <w:rsid w:val="00EB34DA"/>
    <w:rsid w:val="00EB34EE"/>
    <w:rsid w:val="00EB43A7"/>
    <w:rsid w:val="00EB43DB"/>
    <w:rsid w:val="00EB46B7"/>
    <w:rsid w:val="00EB476E"/>
    <w:rsid w:val="00EB4B4C"/>
    <w:rsid w:val="00EB55F2"/>
    <w:rsid w:val="00EB59B1"/>
    <w:rsid w:val="00EB7912"/>
    <w:rsid w:val="00EC0114"/>
    <w:rsid w:val="00EC11D6"/>
    <w:rsid w:val="00EC1C33"/>
    <w:rsid w:val="00EC1EBD"/>
    <w:rsid w:val="00EC214D"/>
    <w:rsid w:val="00EC2702"/>
    <w:rsid w:val="00EC4921"/>
    <w:rsid w:val="00EC4A89"/>
    <w:rsid w:val="00EC4B25"/>
    <w:rsid w:val="00EC5B3F"/>
    <w:rsid w:val="00EC5EA6"/>
    <w:rsid w:val="00EC5F3A"/>
    <w:rsid w:val="00EC7470"/>
    <w:rsid w:val="00EC7C49"/>
    <w:rsid w:val="00ED0D0D"/>
    <w:rsid w:val="00ED0DB1"/>
    <w:rsid w:val="00ED14C7"/>
    <w:rsid w:val="00ED17E4"/>
    <w:rsid w:val="00ED1814"/>
    <w:rsid w:val="00ED28AE"/>
    <w:rsid w:val="00ED56EF"/>
    <w:rsid w:val="00ED6C4F"/>
    <w:rsid w:val="00ED78A0"/>
    <w:rsid w:val="00EE0149"/>
    <w:rsid w:val="00EE02A8"/>
    <w:rsid w:val="00EE0362"/>
    <w:rsid w:val="00EE0D9B"/>
    <w:rsid w:val="00EE213F"/>
    <w:rsid w:val="00EE3489"/>
    <w:rsid w:val="00EE349F"/>
    <w:rsid w:val="00EE388E"/>
    <w:rsid w:val="00EE3C90"/>
    <w:rsid w:val="00EE3CA0"/>
    <w:rsid w:val="00EF002C"/>
    <w:rsid w:val="00EF03E2"/>
    <w:rsid w:val="00EF042D"/>
    <w:rsid w:val="00EF068E"/>
    <w:rsid w:val="00EF0A65"/>
    <w:rsid w:val="00EF0B6A"/>
    <w:rsid w:val="00EF14C0"/>
    <w:rsid w:val="00EF1657"/>
    <w:rsid w:val="00EF24A0"/>
    <w:rsid w:val="00EF2C5C"/>
    <w:rsid w:val="00EF2D3A"/>
    <w:rsid w:val="00EF345D"/>
    <w:rsid w:val="00EF3A00"/>
    <w:rsid w:val="00EF4149"/>
    <w:rsid w:val="00EF4F9D"/>
    <w:rsid w:val="00EF5359"/>
    <w:rsid w:val="00EF579B"/>
    <w:rsid w:val="00EF5FF9"/>
    <w:rsid w:val="00EF634F"/>
    <w:rsid w:val="00EF676B"/>
    <w:rsid w:val="00EF6ADE"/>
    <w:rsid w:val="00EF7032"/>
    <w:rsid w:val="00EF7137"/>
    <w:rsid w:val="00EF756D"/>
    <w:rsid w:val="00EF7BF3"/>
    <w:rsid w:val="00EF7D0C"/>
    <w:rsid w:val="00F004FC"/>
    <w:rsid w:val="00F00730"/>
    <w:rsid w:val="00F00814"/>
    <w:rsid w:val="00F00A39"/>
    <w:rsid w:val="00F00BA6"/>
    <w:rsid w:val="00F00DBC"/>
    <w:rsid w:val="00F014B5"/>
    <w:rsid w:val="00F01808"/>
    <w:rsid w:val="00F019A7"/>
    <w:rsid w:val="00F0203D"/>
    <w:rsid w:val="00F0247D"/>
    <w:rsid w:val="00F02CC3"/>
    <w:rsid w:val="00F04CAD"/>
    <w:rsid w:val="00F04D1A"/>
    <w:rsid w:val="00F053BE"/>
    <w:rsid w:val="00F057A3"/>
    <w:rsid w:val="00F0722E"/>
    <w:rsid w:val="00F07D38"/>
    <w:rsid w:val="00F10009"/>
    <w:rsid w:val="00F10E17"/>
    <w:rsid w:val="00F11DDB"/>
    <w:rsid w:val="00F120BA"/>
    <w:rsid w:val="00F120E0"/>
    <w:rsid w:val="00F12BEB"/>
    <w:rsid w:val="00F130AD"/>
    <w:rsid w:val="00F1458F"/>
    <w:rsid w:val="00F145A8"/>
    <w:rsid w:val="00F14D2B"/>
    <w:rsid w:val="00F15344"/>
    <w:rsid w:val="00F163E3"/>
    <w:rsid w:val="00F16F3A"/>
    <w:rsid w:val="00F1743E"/>
    <w:rsid w:val="00F179DB"/>
    <w:rsid w:val="00F17B47"/>
    <w:rsid w:val="00F20548"/>
    <w:rsid w:val="00F20EFE"/>
    <w:rsid w:val="00F21C34"/>
    <w:rsid w:val="00F21D3E"/>
    <w:rsid w:val="00F21D4F"/>
    <w:rsid w:val="00F21E79"/>
    <w:rsid w:val="00F22275"/>
    <w:rsid w:val="00F22D36"/>
    <w:rsid w:val="00F23C2C"/>
    <w:rsid w:val="00F24FEE"/>
    <w:rsid w:val="00F2523C"/>
    <w:rsid w:val="00F25B15"/>
    <w:rsid w:val="00F25F77"/>
    <w:rsid w:val="00F25FA9"/>
    <w:rsid w:val="00F276D7"/>
    <w:rsid w:val="00F27D37"/>
    <w:rsid w:val="00F30188"/>
    <w:rsid w:val="00F30D92"/>
    <w:rsid w:val="00F31EAE"/>
    <w:rsid w:val="00F34187"/>
    <w:rsid w:val="00F343F1"/>
    <w:rsid w:val="00F3480A"/>
    <w:rsid w:val="00F357E5"/>
    <w:rsid w:val="00F362C7"/>
    <w:rsid w:val="00F3630A"/>
    <w:rsid w:val="00F367F1"/>
    <w:rsid w:val="00F36BC2"/>
    <w:rsid w:val="00F3796B"/>
    <w:rsid w:val="00F37A70"/>
    <w:rsid w:val="00F40901"/>
    <w:rsid w:val="00F4100A"/>
    <w:rsid w:val="00F41E24"/>
    <w:rsid w:val="00F4210F"/>
    <w:rsid w:val="00F42698"/>
    <w:rsid w:val="00F42CFB"/>
    <w:rsid w:val="00F42D7E"/>
    <w:rsid w:val="00F43861"/>
    <w:rsid w:val="00F43E61"/>
    <w:rsid w:val="00F4496F"/>
    <w:rsid w:val="00F44A22"/>
    <w:rsid w:val="00F44A84"/>
    <w:rsid w:val="00F4554E"/>
    <w:rsid w:val="00F45605"/>
    <w:rsid w:val="00F47281"/>
    <w:rsid w:val="00F47877"/>
    <w:rsid w:val="00F47D3D"/>
    <w:rsid w:val="00F47F0A"/>
    <w:rsid w:val="00F504B0"/>
    <w:rsid w:val="00F50A80"/>
    <w:rsid w:val="00F51711"/>
    <w:rsid w:val="00F51E99"/>
    <w:rsid w:val="00F52C02"/>
    <w:rsid w:val="00F548CA"/>
    <w:rsid w:val="00F54926"/>
    <w:rsid w:val="00F54ECD"/>
    <w:rsid w:val="00F55932"/>
    <w:rsid w:val="00F55E63"/>
    <w:rsid w:val="00F56331"/>
    <w:rsid w:val="00F56A55"/>
    <w:rsid w:val="00F60F70"/>
    <w:rsid w:val="00F615B0"/>
    <w:rsid w:val="00F625FD"/>
    <w:rsid w:val="00F63D7C"/>
    <w:rsid w:val="00F63F03"/>
    <w:rsid w:val="00F64379"/>
    <w:rsid w:val="00F6441D"/>
    <w:rsid w:val="00F6456D"/>
    <w:rsid w:val="00F652BD"/>
    <w:rsid w:val="00F655F9"/>
    <w:rsid w:val="00F662E5"/>
    <w:rsid w:val="00F66D9A"/>
    <w:rsid w:val="00F66F1B"/>
    <w:rsid w:val="00F675AE"/>
    <w:rsid w:val="00F67AFF"/>
    <w:rsid w:val="00F700F4"/>
    <w:rsid w:val="00F708A2"/>
    <w:rsid w:val="00F70CE9"/>
    <w:rsid w:val="00F70EAF"/>
    <w:rsid w:val="00F71011"/>
    <w:rsid w:val="00F71148"/>
    <w:rsid w:val="00F71625"/>
    <w:rsid w:val="00F72512"/>
    <w:rsid w:val="00F72E0C"/>
    <w:rsid w:val="00F7457A"/>
    <w:rsid w:val="00F7491E"/>
    <w:rsid w:val="00F74E2B"/>
    <w:rsid w:val="00F7686D"/>
    <w:rsid w:val="00F7692D"/>
    <w:rsid w:val="00F76C36"/>
    <w:rsid w:val="00F77351"/>
    <w:rsid w:val="00F774BE"/>
    <w:rsid w:val="00F80AB9"/>
    <w:rsid w:val="00F80B94"/>
    <w:rsid w:val="00F81D5A"/>
    <w:rsid w:val="00F828DC"/>
    <w:rsid w:val="00F834BF"/>
    <w:rsid w:val="00F83F11"/>
    <w:rsid w:val="00F84483"/>
    <w:rsid w:val="00F8622C"/>
    <w:rsid w:val="00F865DE"/>
    <w:rsid w:val="00F911D0"/>
    <w:rsid w:val="00F91340"/>
    <w:rsid w:val="00F91A88"/>
    <w:rsid w:val="00F92974"/>
    <w:rsid w:val="00F92E1F"/>
    <w:rsid w:val="00F94284"/>
    <w:rsid w:val="00F9494F"/>
    <w:rsid w:val="00F94F1A"/>
    <w:rsid w:val="00F95108"/>
    <w:rsid w:val="00F9528E"/>
    <w:rsid w:val="00F95C42"/>
    <w:rsid w:val="00F95CA2"/>
    <w:rsid w:val="00F97A60"/>
    <w:rsid w:val="00FA2C1C"/>
    <w:rsid w:val="00FA3723"/>
    <w:rsid w:val="00FA42B5"/>
    <w:rsid w:val="00FA4E00"/>
    <w:rsid w:val="00FA4EBB"/>
    <w:rsid w:val="00FA643E"/>
    <w:rsid w:val="00FA7BDA"/>
    <w:rsid w:val="00FB0FD3"/>
    <w:rsid w:val="00FB179C"/>
    <w:rsid w:val="00FB1AA2"/>
    <w:rsid w:val="00FB1F3B"/>
    <w:rsid w:val="00FB1FFF"/>
    <w:rsid w:val="00FB2581"/>
    <w:rsid w:val="00FB28D4"/>
    <w:rsid w:val="00FB29DD"/>
    <w:rsid w:val="00FB2ABD"/>
    <w:rsid w:val="00FB40EB"/>
    <w:rsid w:val="00FB43BA"/>
    <w:rsid w:val="00FB4B7C"/>
    <w:rsid w:val="00FB7B27"/>
    <w:rsid w:val="00FC01E9"/>
    <w:rsid w:val="00FC0C8C"/>
    <w:rsid w:val="00FC10A9"/>
    <w:rsid w:val="00FC3242"/>
    <w:rsid w:val="00FC3529"/>
    <w:rsid w:val="00FC37C6"/>
    <w:rsid w:val="00FC3A84"/>
    <w:rsid w:val="00FC3AAB"/>
    <w:rsid w:val="00FC3FA3"/>
    <w:rsid w:val="00FC46FB"/>
    <w:rsid w:val="00FC5267"/>
    <w:rsid w:val="00FC5429"/>
    <w:rsid w:val="00FC5970"/>
    <w:rsid w:val="00FC64EF"/>
    <w:rsid w:val="00FC6E02"/>
    <w:rsid w:val="00FC6FC6"/>
    <w:rsid w:val="00FC7FE2"/>
    <w:rsid w:val="00FD0873"/>
    <w:rsid w:val="00FD11AE"/>
    <w:rsid w:val="00FD13A0"/>
    <w:rsid w:val="00FD3217"/>
    <w:rsid w:val="00FD3A1E"/>
    <w:rsid w:val="00FD489F"/>
    <w:rsid w:val="00FD581A"/>
    <w:rsid w:val="00FD594C"/>
    <w:rsid w:val="00FD5B56"/>
    <w:rsid w:val="00FD6C1B"/>
    <w:rsid w:val="00FD6C9C"/>
    <w:rsid w:val="00FD75D2"/>
    <w:rsid w:val="00FD7D37"/>
    <w:rsid w:val="00FE0709"/>
    <w:rsid w:val="00FE0DBE"/>
    <w:rsid w:val="00FE112F"/>
    <w:rsid w:val="00FE1625"/>
    <w:rsid w:val="00FE21B8"/>
    <w:rsid w:val="00FE267E"/>
    <w:rsid w:val="00FE2F88"/>
    <w:rsid w:val="00FE3C29"/>
    <w:rsid w:val="00FE43AB"/>
    <w:rsid w:val="00FE4E43"/>
    <w:rsid w:val="00FE58B8"/>
    <w:rsid w:val="00FE5D3F"/>
    <w:rsid w:val="00FE6842"/>
    <w:rsid w:val="00FE728E"/>
    <w:rsid w:val="00FE7448"/>
    <w:rsid w:val="00FE773A"/>
    <w:rsid w:val="00FF029C"/>
    <w:rsid w:val="00FF08FA"/>
    <w:rsid w:val="00FF09B0"/>
    <w:rsid w:val="00FF1D79"/>
    <w:rsid w:val="00FF2E80"/>
    <w:rsid w:val="00FF2F46"/>
    <w:rsid w:val="00FF3242"/>
    <w:rsid w:val="00FF3C66"/>
    <w:rsid w:val="00FF4C8F"/>
    <w:rsid w:val="00FF5B89"/>
    <w:rsid w:val="00FF6027"/>
    <w:rsid w:val="00FF6E41"/>
    <w:rsid w:val="00FF71AB"/>
    <w:rsid w:val="00FF736B"/>
    <w:rsid w:val="00FF7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A20A2F"/>
  <w15:docId w15:val="{74271205-7D94-42D1-B299-F5F223EC6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242"/>
    <w:pPr>
      <w:autoSpaceDE w:val="0"/>
      <w:autoSpaceDN w:val="0"/>
      <w:spacing w:after="0" w:line="240" w:lineRule="auto"/>
    </w:pPr>
    <w:rPr>
      <w:rFonts w:ascii="Times New Roman" w:eastAsia="Gulim" w:hAnsi="Times New Roman" w:cs="Times New Roman"/>
      <w:sz w:val="24"/>
      <w:szCs w:val="24"/>
      <w:lang w:eastAsia="ko-KR"/>
    </w:rPr>
  </w:style>
  <w:style w:type="paragraph" w:styleId="Heading1">
    <w:name w:val="heading 1"/>
    <w:basedOn w:val="Normal"/>
    <w:link w:val="Heading1Char"/>
    <w:uiPriority w:val="9"/>
    <w:qFormat/>
    <w:rsid w:val="00E35242"/>
    <w:pPr>
      <w:numPr>
        <w:numId w:val="2"/>
      </w:numPr>
      <w:spacing w:after="60"/>
      <w:outlineLvl w:val="0"/>
    </w:pPr>
    <w:rPr>
      <w:rFonts w:ascii="Times New Roman Bold" w:hAnsi="Times New Roman Bold" w:cs="Gulim"/>
      <w:b/>
      <w:bCs/>
      <w:caps/>
      <w:kern w:val="36"/>
      <w:lang w:eastAsia="x-none"/>
    </w:rPr>
  </w:style>
  <w:style w:type="paragraph" w:styleId="Heading2">
    <w:name w:val="heading 2"/>
    <w:basedOn w:val="Normal"/>
    <w:link w:val="Heading2Char"/>
    <w:uiPriority w:val="9"/>
    <w:unhideWhenUsed/>
    <w:qFormat/>
    <w:rsid w:val="00E35242"/>
    <w:pPr>
      <w:keepNext/>
      <w:numPr>
        <w:ilvl w:val="1"/>
        <w:numId w:val="2"/>
      </w:numPr>
      <w:spacing w:after="240"/>
      <w:outlineLvl w:val="1"/>
    </w:pPr>
    <w:rPr>
      <w:b/>
      <w:bCs/>
      <w:lang w:eastAsia="x-none"/>
    </w:rPr>
  </w:style>
  <w:style w:type="paragraph" w:styleId="Heading3">
    <w:name w:val="heading 3"/>
    <w:basedOn w:val="Normal"/>
    <w:link w:val="Heading3Char"/>
    <w:uiPriority w:val="9"/>
    <w:unhideWhenUsed/>
    <w:qFormat/>
    <w:rsid w:val="00E35242"/>
    <w:pPr>
      <w:keepNext/>
      <w:numPr>
        <w:ilvl w:val="2"/>
        <w:numId w:val="2"/>
      </w:numPr>
      <w:spacing w:after="240"/>
      <w:outlineLvl w:val="2"/>
    </w:pPr>
    <w:rPr>
      <w:b/>
      <w:bCs/>
      <w:lang w:eastAsia="x-none"/>
    </w:rPr>
  </w:style>
  <w:style w:type="paragraph" w:styleId="Heading4">
    <w:name w:val="heading 4"/>
    <w:basedOn w:val="Normal"/>
    <w:link w:val="Heading4Char"/>
    <w:uiPriority w:val="9"/>
    <w:unhideWhenUsed/>
    <w:qFormat/>
    <w:rsid w:val="00E35242"/>
    <w:pPr>
      <w:keepNext/>
      <w:numPr>
        <w:ilvl w:val="3"/>
        <w:numId w:val="2"/>
      </w:numPr>
      <w:spacing w:after="240"/>
      <w:outlineLvl w:val="3"/>
    </w:pPr>
    <w:rPr>
      <w:u w:val="single"/>
      <w:lang w:eastAsia="x-none"/>
    </w:rPr>
  </w:style>
  <w:style w:type="paragraph" w:styleId="Heading5">
    <w:name w:val="heading 5"/>
    <w:basedOn w:val="Normal"/>
    <w:link w:val="Heading5Char"/>
    <w:uiPriority w:val="9"/>
    <w:unhideWhenUsed/>
    <w:qFormat/>
    <w:rsid w:val="00E35242"/>
    <w:pPr>
      <w:numPr>
        <w:ilvl w:val="4"/>
        <w:numId w:val="2"/>
      </w:numPr>
      <w:autoSpaceDE/>
      <w:autoSpaceDN/>
      <w:spacing w:after="240"/>
      <w:outlineLvl w:val="4"/>
    </w:pPr>
    <w:rPr>
      <w:i/>
      <w:iCs/>
    </w:rPr>
  </w:style>
  <w:style w:type="paragraph" w:styleId="Heading6">
    <w:name w:val="heading 6"/>
    <w:basedOn w:val="Normal"/>
    <w:link w:val="Heading6Char"/>
    <w:uiPriority w:val="9"/>
    <w:unhideWhenUsed/>
    <w:qFormat/>
    <w:rsid w:val="00E35242"/>
    <w:pPr>
      <w:numPr>
        <w:ilvl w:val="5"/>
        <w:numId w:val="2"/>
      </w:numPr>
      <w:spacing w:before="240" w:after="60"/>
      <w:outlineLvl w:val="5"/>
    </w:pPr>
    <w:rPr>
      <w:rFonts w:ascii="Calibri" w:hAnsi="Calibri" w:cs="Gulim"/>
      <w:b/>
      <w:bCs/>
      <w:sz w:val="22"/>
      <w:szCs w:val="22"/>
      <w:lang w:eastAsia="x-none"/>
    </w:rPr>
  </w:style>
  <w:style w:type="paragraph" w:styleId="Heading7">
    <w:name w:val="heading 7"/>
    <w:basedOn w:val="Normal"/>
    <w:link w:val="Heading7Char"/>
    <w:uiPriority w:val="9"/>
    <w:unhideWhenUsed/>
    <w:qFormat/>
    <w:rsid w:val="00E35242"/>
    <w:pPr>
      <w:numPr>
        <w:ilvl w:val="6"/>
        <w:numId w:val="2"/>
      </w:numPr>
      <w:spacing w:before="240" w:after="60"/>
      <w:outlineLvl w:val="6"/>
    </w:pPr>
    <w:rPr>
      <w:rFonts w:ascii="Calibri" w:hAnsi="Calibri"/>
      <w:lang w:eastAsia="x-none"/>
    </w:rPr>
  </w:style>
  <w:style w:type="paragraph" w:styleId="Heading8">
    <w:name w:val="heading 8"/>
    <w:basedOn w:val="Normal"/>
    <w:link w:val="Heading8Char"/>
    <w:uiPriority w:val="9"/>
    <w:unhideWhenUsed/>
    <w:qFormat/>
    <w:rsid w:val="00E35242"/>
    <w:pPr>
      <w:numPr>
        <w:ilvl w:val="7"/>
        <w:numId w:val="2"/>
      </w:numPr>
      <w:spacing w:before="240" w:after="60"/>
      <w:outlineLvl w:val="7"/>
    </w:pPr>
    <w:rPr>
      <w:rFonts w:ascii="Calibri" w:hAnsi="Calibri"/>
      <w:i/>
      <w:iCs/>
      <w:lang w:eastAsia="x-none"/>
    </w:rPr>
  </w:style>
  <w:style w:type="paragraph" w:styleId="Heading9">
    <w:name w:val="heading 9"/>
    <w:basedOn w:val="Normal"/>
    <w:link w:val="Heading9Char"/>
    <w:uiPriority w:val="9"/>
    <w:semiHidden/>
    <w:unhideWhenUsed/>
    <w:qFormat/>
    <w:rsid w:val="00E35242"/>
    <w:pPr>
      <w:numPr>
        <w:ilvl w:val="8"/>
        <w:numId w:val="2"/>
      </w:numPr>
      <w:spacing w:before="240" w:after="60"/>
      <w:outlineLvl w:val="8"/>
    </w:pPr>
    <w:rPr>
      <w:rFonts w:ascii="Cambria" w:hAnsi="Cambria"/>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242"/>
    <w:rPr>
      <w:rFonts w:ascii="Times New Roman Bold" w:eastAsia="Gulim" w:hAnsi="Times New Roman Bold" w:cs="Gulim"/>
      <w:b/>
      <w:bCs/>
      <w:caps/>
      <w:kern w:val="36"/>
      <w:sz w:val="24"/>
      <w:szCs w:val="24"/>
      <w:lang w:eastAsia="x-none"/>
    </w:rPr>
  </w:style>
  <w:style w:type="character" w:customStyle="1" w:styleId="Heading2Char">
    <w:name w:val="Heading 2 Char"/>
    <w:basedOn w:val="DefaultParagraphFont"/>
    <w:link w:val="Heading2"/>
    <w:uiPriority w:val="9"/>
    <w:rsid w:val="00E35242"/>
    <w:rPr>
      <w:rFonts w:ascii="Times New Roman" w:eastAsia="Gulim" w:hAnsi="Times New Roman" w:cs="Times New Roman"/>
      <w:b/>
      <w:bCs/>
      <w:sz w:val="24"/>
      <w:szCs w:val="24"/>
      <w:lang w:eastAsia="x-none"/>
    </w:rPr>
  </w:style>
  <w:style w:type="character" w:customStyle="1" w:styleId="Heading3Char">
    <w:name w:val="Heading 3 Char"/>
    <w:basedOn w:val="DefaultParagraphFont"/>
    <w:link w:val="Heading3"/>
    <w:uiPriority w:val="9"/>
    <w:rsid w:val="00E35242"/>
    <w:rPr>
      <w:rFonts w:ascii="Times New Roman" w:eastAsia="Gulim" w:hAnsi="Times New Roman" w:cs="Times New Roman"/>
      <w:b/>
      <w:bCs/>
      <w:sz w:val="24"/>
      <w:szCs w:val="24"/>
      <w:lang w:eastAsia="x-none"/>
    </w:rPr>
  </w:style>
  <w:style w:type="character" w:customStyle="1" w:styleId="Heading4Char">
    <w:name w:val="Heading 4 Char"/>
    <w:basedOn w:val="DefaultParagraphFont"/>
    <w:link w:val="Heading4"/>
    <w:uiPriority w:val="9"/>
    <w:rsid w:val="00E35242"/>
    <w:rPr>
      <w:rFonts w:ascii="Times New Roman" w:eastAsia="Gulim" w:hAnsi="Times New Roman" w:cs="Times New Roman"/>
      <w:sz w:val="24"/>
      <w:szCs w:val="24"/>
      <w:u w:val="single"/>
      <w:lang w:eastAsia="x-none"/>
    </w:rPr>
  </w:style>
  <w:style w:type="character" w:customStyle="1" w:styleId="Heading5Char">
    <w:name w:val="Heading 5 Char"/>
    <w:basedOn w:val="DefaultParagraphFont"/>
    <w:link w:val="Heading5"/>
    <w:uiPriority w:val="9"/>
    <w:rsid w:val="00E35242"/>
    <w:rPr>
      <w:rFonts w:ascii="Times New Roman" w:eastAsia="Gulim" w:hAnsi="Times New Roman" w:cs="Times New Roman"/>
      <w:i/>
      <w:iCs/>
      <w:sz w:val="24"/>
      <w:szCs w:val="24"/>
      <w:lang w:eastAsia="ko-KR"/>
    </w:rPr>
  </w:style>
  <w:style w:type="character" w:customStyle="1" w:styleId="Heading6Char">
    <w:name w:val="Heading 6 Char"/>
    <w:basedOn w:val="DefaultParagraphFont"/>
    <w:link w:val="Heading6"/>
    <w:uiPriority w:val="9"/>
    <w:rsid w:val="00E35242"/>
    <w:rPr>
      <w:rFonts w:ascii="Calibri" w:eastAsia="Gulim" w:hAnsi="Calibri" w:cs="Gulim"/>
      <w:b/>
      <w:bCs/>
      <w:lang w:eastAsia="x-none"/>
    </w:rPr>
  </w:style>
  <w:style w:type="character" w:customStyle="1" w:styleId="Heading7Char">
    <w:name w:val="Heading 7 Char"/>
    <w:basedOn w:val="DefaultParagraphFont"/>
    <w:link w:val="Heading7"/>
    <w:uiPriority w:val="9"/>
    <w:rsid w:val="00E35242"/>
    <w:rPr>
      <w:rFonts w:ascii="Calibri" w:eastAsia="Gulim" w:hAnsi="Calibri" w:cs="Times New Roman"/>
      <w:sz w:val="24"/>
      <w:szCs w:val="24"/>
      <w:lang w:eastAsia="x-none"/>
    </w:rPr>
  </w:style>
  <w:style w:type="character" w:customStyle="1" w:styleId="Heading8Char">
    <w:name w:val="Heading 8 Char"/>
    <w:basedOn w:val="DefaultParagraphFont"/>
    <w:link w:val="Heading8"/>
    <w:uiPriority w:val="9"/>
    <w:rsid w:val="00E35242"/>
    <w:rPr>
      <w:rFonts w:ascii="Calibri" w:eastAsia="Gulim" w:hAnsi="Calibri" w:cs="Times New Roman"/>
      <w:i/>
      <w:iCs/>
      <w:sz w:val="24"/>
      <w:szCs w:val="24"/>
      <w:lang w:eastAsia="x-none"/>
    </w:rPr>
  </w:style>
  <w:style w:type="character" w:customStyle="1" w:styleId="Heading9Char">
    <w:name w:val="Heading 9 Char"/>
    <w:basedOn w:val="DefaultParagraphFont"/>
    <w:link w:val="Heading9"/>
    <w:uiPriority w:val="9"/>
    <w:semiHidden/>
    <w:rsid w:val="00E35242"/>
    <w:rPr>
      <w:rFonts w:ascii="Cambria" w:eastAsia="Gulim" w:hAnsi="Cambria" w:cs="Times New Roman"/>
      <w:lang w:eastAsia="x-none"/>
    </w:rPr>
  </w:style>
  <w:style w:type="paragraph" w:styleId="BalloonText">
    <w:name w:val="Balloon Text"/>
    <w:basedOn w:val="Normal"/>
    <w:link w:val="BalloonTextChar"/>
    <w:uiPriority w:val="99"/>
    <w:semiHidden/>
    <w:unhideWhenUsed/>
    <w:rsid w:val="00E35242"/>
    <w:rPr>
      <w:rFonts w:ascii="Tahoma" w:hAnsi="Tahoma" w:cs="Tahoma"/>
      <w:sz w:val="16"/>
      <w:szCs w:val="16"/>
    </w:rPr>
  </w:style>
  <w:style w:type="character" w:customStyle="1" w:styleId="BalloonTextChar">
    <w:name w:val="Balloon Text Char"/>
    <w:basedOn w:val="DefaultParagraphFont"/>
    <w:link w:val="BalloonText"/>
    <w:uiPriority w:val="99"/>
    <w:semiHidden/>
    <w:rsid w:val="00E35242"/>
    <w:rPr>
      <w:rFonts w:ascii="Tahoma" w:hAnsi="Tahoma" w:cs="Tahoma"/>
      <w:sz w:val="16"/>
      <w:szCs w:val="16"/>
    </w:rPr>
  </w:style>
  <w:style w:type="character" w:styleId="Hyperlink">
    <w:name w:val="Hyperlink"/>
    <w:basedOn w:val="DefaultParagraphFont"/>
    <w:uiPriority w:val="99"/>
    <w:unhideWhenUsed/>
    <w:rsid w:val="00E35242"/>
    <w:rPr>
      <w:color w:val="0000FF"/>
      <w:u w:val="single"/>
    </w:rPr>
  </w:style>
  <w:style w:type="character" w:styleId="FollowedHyperlink">
    <w:name w:val="FollowedHyperlink"/>
    <w:basedOn w:val="DefaultParagraphFont"/>
    <w:uiPriority w:val="99"/>
    <w:semiHidden/>
    <w:unhideWhenUsed/>
    <w:rsid w:val="00E35242"/>
    <w:rPr>
      <w:color w:val="800080"/>
      <w:u w:val="single"/>
    </w:rPr>
  </w:style>
  <w:style w:type="paragraph" w:styleId="HTMLPreformatted">
    <w:name w:val="HTML Preformatted"/>
    <w:basedOn w:val="Normal"/>
    <w:link w:val="HTMLPreformattedChar"/>
    <w:uiPriority w:val="99"/>
    <w:semiHidden/>
    <w:unhideWhenUsed/>
    <w:rsid w:val="00E35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w:eastAsia="GulimChe" w:hAnsi="Courier" w:cs="GulimChe"/>
      <w:sz w:val="20"/>
      <w:szCs w:val="20"/>
      <w:lang w:eastAsia="x-none"/>
    </w:rPr>
  </w:style>
  <w:style w:type="character" w:customStyle="1" w:styleId="HTMLPreformattedChar">
    <w:name w:val="HTML Preformatted Char"/>
    <w:basedOn w:val="DefaultParagraphFont"/>
    <w:link w:val="HTMLPreformatted"/>
    <w:uiPriority w:val="99"/>
    <w:semiHidden/>
    <w:rsid w:val="00E35242"/>
    <w:rPr>
      <w:rFonts w:ascii="Courier" w:eastAsia="GulimChe" w:hAnsi="Courier" w:cs="GulimChe"/>
      <w:sz w:val="20"/>
      <w:szCs w:val="20"/>
      <w:lang w:eastAsia="x-none"/>
    </w:rPr>
  </w:style>
  <w:style w:type="paragraph" w:styleId="NormalWeb">
    <w:name w:val="Normal (Web)"/>
    <w:basedOn w:val="Normal"/>
    <w:uiPriority w:val="99"/>
    <w:semiHidden/>
    <w:unhideWhenUsed/>
    <w:rsid w:val="00E35242"/>
    <w:pPr>
      <w:autoSpaceDE/>
      <w:autoSpaceDN/>
      <w:spacing w:before="132" w:after="132"/>
      <w:ind w:left="132" w:right="132"/>
    </w:pPr>
  </w:style>
  <w:style w:type="paragraph" w:styleId="FootnoteText">
    <w:name w:val="footnote text"/>
    <w:aliases w:val="Footnote Text Char Char,Footnote Text Char1 Char Char,Footnote Text Char Char Char Char,Footnote Text Char Char1,ALTS FOOTNOTE,fn,Char4,Footnote Text - Preamble,Char2,Footnote Text - Preamble1,Char3,f, Char, Char4"/>
    <w:basedOn w:val="Normal"/>
    <w:link w:val="FootnoteTextChar1"/>
    <w:uiPriority w:val="99"/>
    <w:unhideWhenUsed/>
    <w:rsid w:val="00E35242"/>
    <w:pPr>
      <w:ind w:firstLine="720"/>
    </w:pPr>
    <w:rPr>
      <w:sz w:val="20"/>
      <w:szCs w:val="20"/>
    </w:rPr>
  </w:style>
  <w:style w:type="character" w:customStyle="1" w:styleId="FootnoteTextChar1">
    <w:name w:val="Footnote Text Char1"/>
    <w:aliases w:val="Footnote Text Char Char Char1,Footnote Text Char1 Char Char Char1,Footnote Text Char Char Char Char Char1,Footnote Text Char Char1 Char1,ALTS FOOTNOTE Char1,fn Char1,Char4 Char1,Footnote Text - Preamble Char1,Char2 Char1,Char3 Char1"/>
    <w:basedOn w:val="DefaultParagraphFont"/>
    <w:link w:val="FootnoteText"/>
    <w:uiPriority w:val="99"/>
    <w:semiHidden/>
    <w:locked/>
    <w:rsid w:val="00E35242"/>
    <w:rPr>
      <w:rFonts w:ascii="Times New Roman" w:eastAsia="Gulim" w:hAnsi="Times New Roman" w:cs="Times New Roman"/>
      <w:sz w:val="20"/>
      <w:szCs w:val="20"/>
      <w:lang w:eastAsia="ko-KR"/>
    </w:rPr>
  </w:style>
  <w:style w:type="character" w:customStyle="1" w:styleId="FootnoteTextChar">
    <w:name w:val="Footnote Text Char"/>
    <w:aliases w:val="Footnote Text Char Char Char,Footnote Text Char1 Char Char Char,Footnote Text Char Char Char Char Char,Footnote Text Char Char1 Char,ALTS FOOTNOTE Char,fn Char,Char4 Char,Footnote Text - Preamble Char,Char2 Char,Char3 Char,f Char"/>
    <w:basedOn w:val="DefaultParagraphFont"/>
    <w:uiPriority w:val="99"/>
    <w:rsid w:val="00E35242"/>
    <w:rPr>
      <w:rFonts w:ascii="Times New Roman" w:eastAsia="Gulim" w:hAnsi="Times New Roman" w:cs="Times New Roman"/>
      <w:sz w:val="20"/>
      <w:szCs w:val="20"/>
      <w:lang w:eastAsia="ko-KR"/>
    </w:rPr>
  </w:style>
  <w:style w:type="paragraph" w:styleId="CommentText">
    <w:name w:val="annotation text"/>
    <w:basedOn w:val="Normal"/>
    <w:link w:val="CommentTextChar"/>
    <w:uiPriority w:val="99"/>
    <w:unhideWhenUsed/>
    <w:rsid w:val="00E35242"/>
    <w:pPr>
      <w:autoSpaceDE/>
      <w:autoSpaceDN/>
    </w:pPr>
    <w:rPr>
      <w:sz w:val="20"/>
      <w:szCs w:val="20"/>
    </w:rPr>
  </w:style>
  <w:style w:type="character" w:customStyle="1" w:styleId="CommentTextChar">
    <w:name w:val="Comment Text Char"/>
    <w:basedOn w:val="DefaultParagraphFont"/>
    <w:link w:val="CommentText"/>
    <w:uiPriority w:val="99"/>
    <w:rsid w:val="00E35242"/>
    <w:rPr>
      <w:rFonts w:ascii="Times New Roman" w:eastAsia="Gulim" w:hAnsi="Times New Roman" w:cs="Times New Roman"/>
      <w:sz w:val="20"/>
      <w:szCs w:val="20"/>
      <w:lang w:eastAsia="ko-KR"/>
    </w:rPr>
  </w:style>
  <w:style w:type="paragraph" w:styleId="Header">
    <w:name w:val="header"/>
    <w:basedOn w:val="Normal"/>
    <w:link w:val="HeaderChar"/>
    <w:unhideWhenUsed/>
    <w:rsid w:val="00E35242"/>
  </w:style>
  <w:style w:type="character" w:customStyle="1" w:styleId="HeaderChar">
    <w:name w:val="Header Char"/>
    <w:basedOn w:val="DefaultParagraphFont"/>
    <w:link w:val="Header"/>
    <w:rsid w:val="00E35242"/>
    <w:rPr>
      <w:rFonts w:ascii="Times New Roman" w:eastAsia="Gulim" w:hAnsi="Times New Roman" w:cs="Times New Roman"/>
      <w:sz w:val="24"/>
      <w:szCs w:val="24"/>
      <w:lang w:eastAsia="ko-KR"/>
    </w:rPr>
  </w:style>
  <w:style w:type="paragraph" w:styleId="Footer">
    <w:name w:val="footer"/>
    <w:basedOn w:val="Normal"/>
    <w:link w:val="FooterChar"/>
    <w:uiPriority w:val="99"/>
    <w:unhideWhenUsed/>
    <w:rsid w:val="00E35242"/>
    <w:rPr>
      <w:sz w:val="20"/>
      <w:szCs w:val="20"/>
      <w:lang w:eastAsia="x-none"/>
    </w:rPr>
  </w:style>
  <w:style w:type="character" w:customStyle="1" w:styleId="FooterChar">
    <w:name w:val="Footer Char"/>
    <w:basedOn w:val="DefaultParagraphFont"/>
    <w:link w:val="Footer"/>
    <w:uiPriority w:val="99"/>
    <w:rsid w:val="00E35242"/>
    <w:rPr>
      <w:rFonts w:ascii="Times New Roman" w:eastAsia="Gulim" w:hAnsi="Times New Roman" w:cs="Times New Roman"/>
      <w:sz w:val="20"/>
      <w:szCs w:val="20"/>
      <w:lang w:eastAsia="x-none"/>
    </w:rPr>
  </w:style>
  <w:style w:type="paragraph" w:styleId="Caption">
    <w:name w:val="caption"/>
    <w:basedOn w:val="Normal"/>
    <w:uiPriority w:val="35"/>
    <w:unhideWhenUsed/>
    <w:qFormat/>
    <w:rsid w:val="00E35242"/>
    <w:pPr>
      <w:autoSpaceDE/>
      <w:autoSpaceDN/>
      <w:jc w:val="center"/>
    </w:pPr>
    <w:rPr>
      <w:b/>
      <w:bCs/>
    </w:rPr>
  </w:style>
  <w:style w:type="paragraph" w:styleId="Title">
    <w:name w:val="Title"/>
    <w:basedOn w:val="Normal"/>
    <w:link w:val="TitleChar"/>
    <w:uiPriority w:val="10"/>
    <w:qFormat/>
    <w:rsid w:val="00E35242"/>
    <w:pPr>
      <w:jc w:val="center"/>
    </w:pPr>
    <w:rPr>
      <w:b/>
      <w:bCs/>
      <w:color w:val="000000"/>
      <w:lang w:eastAsia="x-none"/>
    </w:rPr>
  </w:style>
  <w:style w:type="character" w:customStyle="1" w:styleId="TitleChar">
    <w:name w:val="Title Char"/>
    <w:basedOn w:val="DefaultParagraphFont"/>
    <w:link w:val="Title"/>
    <w:uiPriority w:val="10"/>
    <w:rsid w:val="00E35242"/>
    <w:rPr>
      <w:rFonts w:ascii="Times New Roman" w:eastAsia="Gulim" w:hAnsi="Times New Roman" w:cs="Times New Roman"/>
      <w:b/>
      <w:bCs/>
      <w:color w:val="000000"/>
      <w:sz w:val="24"/>
      <w:szCs w:val="24"/>
      <w:lang w:eastAsia="x-none"/>
    </w:rPr>
  </w:style>
  <w:style w:type="paragraph" w:styleId="BodyText">
    <w:name w:val="Body Text"/>
    <w:basedOn w:val="Normal"/>
    <w:link w:val="BodyTextChar"/>
    <w:uiPriority w:val="99"/>
    <w:unhideWhenUsed/>
    <w:rsid w:val="00E35242"/>
    <w:pPr>
      <w:spacing w:after="120"/>
    </w:pPr>
    <w:rPr>
      <w:rFonts w:ascii="Courier" w:hAnsi="Courier"/>
      <w:lang w:eastAsia="x-none"/>
    </w:rPr>
  </w:style>
  <w:style w:type="character" w:customStyle="1" w:styleId="BodyTextChar">
    <w:name w:val="Body Text Char"/>
    <w:basedOn w:val="DefaultParagraphFont"/>
    <w:link w:val="BodyText"/>
    <w:uiPriority w:val="99"/>
    <w:rsid w:val="00E35242"/>
    <w:rPr>
      <w:rFonts w:ascii="Courier" w:eastAsia="Gulim" w:hAnsi="Courier" w:cs="Times New Roman"/>
      <w:sz w:val="24"/>
      <w:szCs w:val="24"/>
      <w:lang w:eastAsia="x-none"/>
    </w:rPr>
  </w:style>
  <w:style w:type="paragraph" w:styleId="BodyTextIndent">
    <w:name w:val="Body Text Indent"/>
    <w:basedOn w:val="Normal"/>
    <w:link w:val="BodyTextIndentChar"/>
    <w:uiPriority w:val="99"/>
    <w:unhideWhenUsed/>
    <w:rsid w:val="00E35242"/>
    <w:pPr>
      <w:spacing w:after="120"/>
      <w:ind w:left="360"/>
    </w:pPr>
    <w:rPr>
      <w:rFonts w:ascii="Courier" w:hAnsi="Courier"/>
      <w:lang w:eastAsia="x-none"/>
    </w:rPr>
  </w:style>
  <w:style w:type="character" w:customStyle="1" w:styleId="BodyTextIndentChar">
    <w:name w:val="Body Text Indent Char"/>
    <w:basedOn w:val="DefaultParagraphFont"/>
    <w:link w:val="BodyTextIndent"/>
    <w:uiPriority w:val="99"/>
    <w:rsid w:val="00E35242"/>
    <w:rPr>
      <w:rFonts w:ascii="Courier" w:eastAsia="Gulim" w:hAnsi="Courier" w:cs="Times New Roman"/>
      <w:sz w:val="24"/>
      <w:szCs w:val="24"/>
      <w:lang w:eastAsia="x-none"/>
    </w:rPr>
  </w:style>
  <w:style w:type="paragraph" w:styleId="BodyTextFirstIndent">
    <w:name w:val="Body Text First Indent"/>
    <w:basedOn w:val="Normal"/>
    <w:link w:val="BodyTextFirstIndentChar"/>
    <w:uiPriority w:val="99"/>
    <w:unhideWhenUsed/>
    <w:rsid w:val="00E35242"/>
    <w:pPr>
      <w:spacing w:after="240"/>
      <w:ind w:firstLine="720"/>
    </w:pPr>
    <w:rPr>
      <w:sz w:val="22"/>
      <w:szCs w:val="22"/>
      <w:lang w:eastAsia="x-none"/>
    </w:rPr>
  </w:style>
  <w:style w:type="character" w:customStyle="1" w:styleId="BodyTextFirstIndentChar">
    <w:name w:val="Body Text First Indent Char"/>
    <w:basedOn w:val="BodyTextChar"/>
    <w:link w:val="BodyTextFirstIndent"/>
    <w:uiPriority w:val="99"/>
    <w:rsid w:val="00E35242"/>
    <w:rPr>
      <w:rFonts w:ascii="Times New Roman" w:eastAsia="Gulim" w:hAnsi="Times New Roman" w:cs="Times New Roman"/>
      <w:sz w:val="24"/>
      <w:szCs w:val="24"/>
      <w:lang w:eastAsia="x-none"/>
    </w:rPr>
  </w:style>
  <w:style w:type="paragraph" w:styleId="BodyText2">
    <w:name w:val="Body Text 2"/>
    <w:basedOn w:val="Normal"/>
    <w:link w:val="BodyText2Char"/>
    <w:uiPriority w:val="99"/>
    <w:semiHidden/>
    <w:unhideWhenUsed/>
    <w:rsid w:val="00E35242"/>
    <w:pPr>
      <w:autoSpaceDE/>
      <w:autoSpaceDN/>
      <w:spacing w:before="100" w:beforeAutospacing="1" w:after="100" w:afterAutospacing="1"/>
    </w:pPr>
    <w:rPr>
      <w:i/>
      <w:iCs/>
    </w:rPr>
  </w:style>
  <w:style w:type="character" w:customStyle="1" w:styleId="BodyText2Char">
    <w:name w:val="Body Text 2 Char"/>
    <w:basedOn w:val="DefaultParagraphFont"/>
    <w:link w:val="BodyText2"/>
    <w:uiPriority w:val="99"/>
    <w:semiHidden/>
    <w:rsid w:val="00E35242"/>
    <w:rPr>
      <w:rFonts w:ascii="Times New Roman" w:eastAsia="Gulim" w:hAnsi="Times New Roman" w:cs="Times New Roman"/>
      <w:i/>
      <w:iCs/>
      <w:sz w:val="24"/>
      <w:szCs w:val="24"/>
      <w:lang w:eastAsia="ko-KR"/>
    </w:rPr>
  </w:style>
  <w:style w:type="paragraph" w:styleId="DocumentMap">
    <w:name w:val="Document Map"/>
    <w:basedOn w:val="Normal"/>
    <w:link w:val="DocumentMapChar"/>
    <w:uiPriority w:val="99"/>
    <w:semiHidden/>
    <w:unhideWhenUsed/>
    <w:rsid w:val="00E35242"/>
    <w:rPr>
      <w:rFonts w:ascii="Tahoma" w:hAnsi="Tahoma" w:cs="Tahoma"/>
      <w:sz w:val="16"/>
      <w:szCs w:val="16"/>
      <w:lang w:eastAsia="x-none"/>
    </w:rPr>
  </w:style>
  <w:style w:type="character" w:customStyle="1" w:styleId="DocumentMapChar">
    <w:name w:val="Document Map Char"/>
    <w:basedOn w:val="DefaultParagraphFont"/>
    <w:link w:val="DocumentMap"/>
    <w:uiPriority w:val="99"/>
    <w:semiHidden/>
    <w:rsid w:val="00E35242"/>
    <w:rPr>
      <w:rFonts w:ascii="Tahoma" w:eastAsia="Gulim" w:hAnsi="Tahoma" w:cs="Tahoma"/>
      <w:sz w:val="16"/>
      <w:szCs w:val="16"/>
      <w:lang w:eastAsia="x-none"/>
    </w:rPr>
  </w:style>
  <w:style w:type="paragraph" w:styleId="CommentSubject">
    <w:name w:val="annotation subject"/>
    <w:basedOn w:val="Normal"/>
    <w:link w:val="CommentSubjectChar"/>
    <w:uiPriority w:val="99"/>
    <w:semiHidden/>
    <w:unhideWhenUsed/>
    <w:rsid w:val="00E35242"/>
    <w:rPr>
      <w:rFonts w:ascii="Courier" w:hAnsi="Courier"/>
      <w:b/>
      <w:bCs/>
      <w:sz w:val="20"/>
      <w:szCs w:val="20"/>
    </w:rPr>
  </w:style>
  <w:style w:type="character" w:customStyle="1" w:styleId="CommentSubjectChar">
    <w:name w:val="Comment Subject Char"/>
    <w:basedOn w:val="CommentTextChar"/>
    <w:link w:val="CommentSubject"/>
    <w:uiPriority w:val="99"/>
    <w:semiHidden/>
    <w:rsid w:val="00E35242"/>
    <w:rPr>
      <w:rFonts w:ascii="Courier" w:eastAsia="Gulim" w:hAnsi="Courier" w:cs="Times New Roman"/>
      <w:b/>
      <w:bCs/>
      <w:sz w:val="20"/>
      <w:szCs w:val="20"/>
      <w:lang w:eastAsia="ko-KR"/>
    </w:rPr>
  </w:style>
  <w:style w:type="paragraph" w:styleId="Revision">
    <w:name w:val="Revision"/>
    <w:basedOn w:val="Normal"/>
    <w:uiPriority w:val="99"/>
    <w:semiHidden/>
    <w:rsid w:val="00E35242"/>
    <w:pPr>
      <w:autoSpaceDE/>
      <w:autoSpaceDN/>
    </w:pPr>
  </w:style>
  <w:style w:type="paragraph" w:styleId="ListParagraph">
    <w:name w:val="List Paragraph"/>
    <w:basedOn w:val="Normal"/>
    <w:uiPriority w:val="34"/>
    <w:qFormat/>
    <w:rsid w:val="00E35242"/>
    <w:pPr>
      <w:autoSpaceDE/>
      <w:autoSpaceDN/>
      <w:spacing w:after="120"/>
      <w:ind w:left="720"/>
    </w:pPr>
    <w:rPr>
      <w:rFonts w:ascii="Calibri" w:hAnsi="Calibri"/>
      <w:sz w:val="22"/>
      <w:szCs w:val="22"/>
    </w:rPr>
  </w:style>
  <w:style w:type="paragraph" w:customStyle="1" w:styleId="Default">
    <w:name w:val="Default"/>
    <w:basedOn w:val="Normal"/>
    <w:rsid w:val="00E35242"/>
    <w:rPr>
      <w:color w:val="000000"/>
    </w:rPr>
  </w:style>
  <w:style w:type="paragraph" w:customStyle="1" w:styleId="Level1">
    <w:name w:val="Level 1"/>
    <w:basedOn w:val="Normal"/>
    <w:uiPriority w:val="99"/>
    <w:semiHidden/>
    <w:rsid w:val="00E35242"/>
    <w:pPr>
      <w:ind w:left="1440" w:hanging="720"/>
    </w:pPr>
  </w:style>
  <w:style w:type="paragraph" w:customStyle="1" w:styleId="block1">
    <w:name w:val="block1"/>
    <w:basedOn w:val="Normal"/>
    <w:uiPriority w:val="99"/>
    <w:semiHidden/>
    <w:rsid w:val="00E35242"/>
    <w:pPr>
      <w:autoSpaceDE/>
      <w:autoSpaceDN/>
      <w:spacing w:before="100" w:beforeAutospacing="1" w:after="100" w:afterAutospacing="1"/>
    </w:pPr>
    <w:rPr>
      <w:rFonts w:ascii="Arial Unicode MS" w:eastAsia="Arial Unicode MS" w:hAnsi="Arial Unicode MS" w:cs="Arial Unicode MS"/>
    </w:rPr>
  </w:style>
  <w:style w:type="paragraph" w:customStyle="1" w:styleId="DarkList-Accent31">
    <w:name w:val="Dark List - Accent 31"/>
    <w:basedOn w:val="Normal"/>
    <w:uiPriority w:val="99"/>
    <w:semiHidden/>
    <w:rsid w:val="00E35242"/>
    <w:pPr>
      <w:autoSpaceDE/>
      <w:autoSpaceDN/>
    </w:pPr>
    <w:rPr>
      <w:rFonts w:ascii="Courier" w:hAnsi="Courier"/>
    </w:rPr>
  </w:style>
  <w:style w:type="paragraph" w:customStyle="1" w:styleId="LightGrid-Accent31">
    <w:name w:val="Light Grid - Accent 31"/>
    <w:basedOn w:val="Normal"/>
    <w:uiPriority w:val="99"/>
    <w:semiHidden/>
    <w:rsid w:val="00E35242"/>
    <w:pPr>
      <w:ind w:left="720"/>
    </w:pPr>
  </w:style>
  <w:style w:type="paragraph" w:customStyle="1" w:styleId="FootnoteTex">
    <w:name w:val="Footnote Tex"/>
    <w:basedOn w:val="Normal"/>
    <w:uiPriority w:val="99"/>
    <w:semiHidden/>
    <w:rsid w:val="00E35242"/>
    <w:pPr>
      <w:ind w:firstLine="720"/>
    </w:pPr>
    <w:rPr>
      <w:sz w:val="20"/>
      <w:szCs w:val="20"/>
    </w:rPr>
  </w:style>
  <w:style w:type="paragraph" w:customStyle="1" w:styleId="iReg">
    <w:name w:val="(i) Reg"/>
    <w:basedOn w:val="Normal"/>
    <w:uiPriority w:val="1"/>
    <w:semiHidden/>
    <w:rsid w:val="00E35242"/>
    <w:pPr>
      <w:autoSpaceDE/>
      <w:autoSpaceDN/>
      <w:spacing w:after="120"/>
    </w:pPr>
  </w:style>
  <w:style w:type="paragraph" w:customStyle="1" w:styleId="AReg">
    <w:name w:val="(A) Reg)"/>
    <w:basedOn w:val="Normal"/>
    <w:uiPriority w:val="2"/>
    <w:semiHidden/>
    <w:rsid w:val="00E35242"/>
    <w:pPr>
      <w:autoSpaceDE/>
      <w:autoSpaceDN/>
      <w:spacing w:after="120"/>
      <w:ind w:left="720"/>
    </w:pPr>
  </w:style>
  <w:style w:type="paragraph" w:customStyle="1" w:styleId="BurdenHoursCost">
    <w:name w:val="Burden Hours/Cost"/>
    <w:basedOn w:val="Normal"/>
    <w:uiPriority w:val="99"/>
    <w:semiHidden/>
    <w:rsid w:val="00E35242"/>
    <w:pPr>
      <w:autoSpaceDE/>
      <w:autoSpaceDN/>
      <w:spacing w:after="240"/>
      <w:ind w:left="720"/>
    </w:pPr>
  </w:style>
  <w:style w:type="paragraph" w:customStyle="1" w:styleId="Preambletext">
    <w:name w:val="Preamble text"/>
    <w:basedOn w:val="Normal"/>
    <w:uiPriority w:val="99"/>
    <w:semiHidden/>
    <w:rsid w:val="00E35242"/>
    <w:pPr>
      <w:autoSpaceDE/>
      <w:autoSpaceDN/>
      <w:spacing w:line="480" w:lineRule="auto"/>
      <w:ind w:firstLine="720"/>
    </w:pPr>
  </w:style>
  <w:style w:type="character" w:styleId="FootnoteReference">
    <w:name w:val="footnote reference"/>
    <w:basedOn w:val="DefaultParagraphFont"/>
    <w:unhideWhenUsed/>
    <w:rsid w:val="00E35242"/>
    <w:rPr>
      <w:vertAlign w:val="superscript"/>
    </w:rPr>
  </w:style>
  <w:style w:type="character" w:customStyle="1" w:styleId="emailstyle67">
    <w:name w:val="emailstyle67"/>
    <w:basedOn w:val="DefaultParagraphFont"/>
    <w:semiHidden/>
    <w:rsid w:val="00E35242"/>
    <w:rPr>
      <w:rFonts w:ascii="Calibri" w:hAnsi="Calibri" w:hint="default"/>
      <w:color w:val="auto"/>
    </w:rPr>
  </w:style>
  <w:style w:type="character" w:customStyle="1" w:styleId="StyleFootnoteReference11pt">
    <w:name w:val="Style Footnote Reference + 11 pt"/>
    <w:basedOn w:val="DefaultParagraphFont"/>
    <w:rsid w:val="00E35242"/>
    <w:rPr>
      <w:vertAlign w:val="superscript"/>
    </w:rPr>
  </w:style>
  <w:style w:type="character" w:customStyle="1" w:styleId="gwt-inlinelabel">
    <w:name w:val="gwt-inlinelabel"/>
    <w:basedOn w:val="DefaultParagraphFont"/>
    <w:rsid w:val="00E35242"/>
  </w:style>
  <w:style w:type="table" w:styleId="TableGrid">
    <w:name w:val="Table Grid"/>
    <w:basedOn w:val="TableNormal"/>
    <w:uiPriority w:val="39"/>
    <w:rsid w:val="008A4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274B27"/>
    <w:rPr>
      <w:sz w:val="16"/>
      <w:szCs w:val="16"/>
    </w:rPr>
  </w:style>
  <w:style w:type="paragraph" w:styleId="NoSpacing">
    <w:name w:val="No Spacing"/>
    <w:uiPriority w:val="1"/>
    <w:qFormat/>
    <w:rsid w:val="008B2BB0"/>
    <w:pPr>
      <w:spacing w:after="0" w:line="240" w:lineRule="auto"/>
    </w:pPr>
  </w:style>
  <w:style w:type="character" w:customStyle="1" w:styleId="normaltextrun">
    <w:name w:val="normaltextrun"/>
    <w:basedOn w:val="DefaultParagraphFont"/>
    <w:rsid w:val="00B94883"/>
  </w:style>
  <w:style w:type="character" w:customStyle="1" w:styleId="eop">
    <w:name w:val="eop"/>
    <w:basedOn w:val="DefaultParagraphFont"/>
    <w:rsid w:val="00A26C10"/>
  </w:style>
  <w:style w:type="paragraph" w:customStyle="1" w:styleId="paragraph">
    <w:name w:val="paragraph"/>
    <w:basedOn w:val="Normal"/>
    <w:rsid w:val="00264907"/>
    <w:pPr>
      <w:autoSpaceDE/>
      <w:autoSpaceDN/>
      <w:spacing w:before="100" w:beforeAutospacing="1" w:after="100" w:afterAutospacing="1"/>
    </w:pPr>
    <w:rPr>
      <w:rFonts w:eastAsia="Times New Roman"/>
      <w:lang w:eastAsia="en-US"/>
    </w:rPr>
  </w:style>
  <w:style w:type="character" w:customStyle="1" w:styleId="spellingerror">
    <w:name w:val="spellingerror"/>
    <w:basedOn w:val="DefaultParagraphFont"/>
    <w:rsid w:val="00264907"/>
  </w:style>
  <w:style w:type="character" w:customStyle="1" w:styleId="contextualspellingandgrammarerror">
    <w:name w:val="contextualspellingandgrammarerror"/>
    <w:basedOn w:val="DefaultParagraphFont"/>
    <w:rsid w:val="00541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85318">
      <w:bodyDiv w:val="1"/>
      <w:marLeft w:val="0"/>
      <w:marRight w:val="0"/>
      <w:marTop w:val="0"/>
      <w:marBottom w:val="0"/>
      <w:divBdr>
        <w:top w:val="none" w:sz="0" w:space="0" w:color="auto"/>
        <w:left w:val="none" w:sz="0" w:space="0" w:color="auto"/>
        <w:bottom w:val="none" w:sz="0" w:space="0" w:color="auto"/>
        <w:right w:val="none" w:sz="0" w:space="0" w:color="auto"/>
      </w:divBdr>
    </w:div>
    <w:div w:id="66806739">
      <w:bodyDiv w:val="1"/>
      <w:marLeft w:val="0"/>
      <w:marRight w:val="0"/>
      <w:marTop w:val="0"/>
      <w:marBottom w:val="0"/>
      <w:divBdr>
        <w:top w:val="none" w:sz="0" w:space="0" w:color="auto"/>
        <w:left w:val="none" w:sz="0" w:space="0" w:color="auto"/>
        <w:bottom w:val="none" w:sz="0" w:space="0" w:color="auto"/>
        <w:right w:val="none" w:sz="0" w:space="0" w:color="auto"/>
      </w:divBdr>
    </w:div>
    <w:div w:id="89394113">
      <w:bodyDiv w:val="1"/>
      <w:marLeft w:val="0"/>
      <w:marRight w:val="0"/>
      <w:marTop w:val="0"/>
      <w:marBottom w:val="0"/>
      <w:divBdr>
        <w:top w:val="none" w:sz="0" w:space="0" w:color="auto"/>
        <w:left w:val="none" w:sz="0" w:space="0" w:color="auto"/>
        <w:bottom w:val="none" w:sz="0" w:space="0" w:color="auto"/>
        <w:right w:val="none" w:sz="0" w:space="0" w:color="auto"/>
      </w:divBdr>
    </w:div>
    <w:div w:id="89589536">
      <w:bodyDiv w:val="1"/>
      <w:marLeft w:val="0"/>
      <w:marRight w:val="0"/>
      <w:marTop w:val="0"/>
      <w:marBottom w:val="0"/>
      <w:divBdr>
        <w:top w:val="none" w:sz="0" w:space="0" w:color="auto"/>
        <w:left w:val="none" w:sz="0" w:space="0" w:color="auto"/>
        <w:bottom w:val="none" w:sz="0" w:space="0" w:color="auto"/>
        <w:right w:val="none" w:sz="0" w:space="0" w:color="auto"/>
      </w:divBdr>
    </w:div>
    <w:div w:id="97911074">
      <w:bodyDiv w:val="1"/>
      <w:marLeft w:val="0"/>
      <w:marRight w:val="0"/>
      <w:marTop w:val="0"/>
      <w:marBottom w:val="0"/>
      <w:divBdr>
        <w:top w:val="none" w:sz="0" w:space="0" w:color="auto"/>
        <w:left w:val="none" w:sz="0" w:space="0" w:color="auto"/>
        <w:bottom w:val="none" w:sz="0" w:space="0" w:color="auto"/>
        <w:right w:val="none" w:sz="0" w:space="0" w:color="auto"/>
      </w:divBdr>
    </w:div>
    <w:div w:id="126513032">
      <w:bodyDiv w:val="1"/>
      <w:marLeft w:val="0"/>
      <w:marRight w:val="0"/>
      <w:marTop w:val="0"/>
      <w:marBottom w:val="0"/>
      <w:divBdr>
        <w:top w:val="none" w:sz="0" w:space="0" w:color="auto"/>
        <w:left w:val="none" w:sz="0" w:space="0" w:color="auto"/>
        <w:bottom w:val="none" w:sz="0" w:space="0" w:color="auto"/>
        <w:right w:val="none" w:sz="0" w:space="0" w:color="auto"/>
      </w:divBdr>
    </w:div>
    <w:div w:id="176314996">
      <w:bodyDiv w:val="1"/>
      <w:marLeft w:val="0"/>
      <w:marRight w:val="0"/>
      <w:marTop w:val="0"/>
      <w:marBottom w:val="0"/>
      <w:divBdr>
        <w:top w:val="none" w:sz="0" w:space="0" w:color="auto"/>
        <w:left w:val="none" w:sz="0" w:space="0" w:color="auto"/>
        <w:bottom w:val="none" w:sz="0" w:space="0" w:color="auto"/>
        <w:right w:val="none" w:sz="0" w:space="0" w:color="auto"/>
      </w:divBdr>
      <w:divsChild>
        <w:div w:id="201553385">
          <w:marLeft w:val="0"/>
          <w:marRight w:val="0"/>
          <w:marTop w:val="0"/>
          <w:marBottom w:val="0"/>
          <w:divBdr>
            <w:top w:val="none" w:sz="0" w:space="0" w:color="auto"/>
            <w:left w:val="none" w:sz="0" w:space="0" w:color="auto"/>
            <w:bottom w:val="none" w:sz="0" w:space="0" w:color="auto"/>
            <w:right w:val="none" w:sz="0" w:space="0" w:color="auto"/>
          </w:divBdr>
        </w:div>
        <w:div w:id="298536108">
          <w:marLeft w:val="0"/>
          <w:marRight w:val="0"/>
          <w:marTop w:val="0"/>
          <w:marBottom w:val="0"/>
          <w:divBdr>
            <w:top w:val="none" w:sz="0" w:space="0" w:color="auto"/>
            <w:left w:val="none" w:sz="0" w:space="0" w:color="auto"/>
            <w:bottom w:val="none" w:sz="0" w:space="0" w:color="auto"/>
            <w:right w:val="none" w:sz="0" w:space="0" w:color="auto"/>
          </w:divBdr>
        </w:div>
        <w:div w:id="375160484">
          <w:marLeft w:val="0"/>
          <w:marRight w:val="0"/>
          <w:marTop w:val="0"/>
          <w:marBottom w:val="0"/>
          <w:divBdr>
            <w:top w:val="none" w:sz="0" w:space="0" w:color="auto"/>
            <w:left w:val="none" w:sz="0" w:space="0" w:color="auto"/>
            <w:bottom w:val="none" w:sz="0" w:space="0" w:color="auto"/>
            <w:right w:val="none" w:sz="0" w:space="0" w:color="auto"/>
          </w:divBdr>
        </w:div>
        <w:div w:id="391656844">
          <w:marLeft w:val="0"/>
          <w:marRight w:val="0"/>
          <w:marTop w:val="0"/>
          <w:marBottom w:val="0"/>
          <w:divBdr>
            <w:top w:val="none" w:sz="0" w:space="0" w:color="auto"/>
            <w:left w:val="none" w:sz="0" w:space="0" w:color="auto"/>
            <w:bottom w:val="none" w:sz="0" w:space="0" w:color="auto"/>
            <w:right w:val="none" w:sz="0" w:space="0" w:color="auto"/>
          </w:divBdr>
        </w:div>
        <w:div w:id="1450583724">
          <w:marLeft w:val="0"/>
          <w:marRight w:val="0"/>
          <w:marTop w:val="0"/>
          <w:marBottom w:val="0"/>
          <w:divBdr>
            <w:top w:val="none" w:sz="0" w:space="0" w:color="auto"/>
            <w:left w:val="none" w:sz="0" w:space="0" w:color="auto"/>
            <w:bottom w:val="none" w:sz="0" w:space="0" w:color="auto"/>
            <w:right w:val="none" w:sz="0" w:space="0" w:color="auto"/>
          </w:divBdr>
        </w:div>
      </w:divsChild>
    </w:div>
    <w:div w:id="190147977">
      <w:bodyDiv w:val="1"/>
      <w:marLeft w:val="0"/>
      <w:marRight w:val="0"/>
      <w:marTop w:val="0"/>
      <w:marBottom w:val="0"/>
      <w:divBdr>
        <w:top w:val="none" w:sz="0" w:space="0" w:color="auto"/>
        <w:left w:val="none" w:sz="0" w:space="0" w:color="auto"/>
        <w:bottom w:val="none" w:sz="0" w:space="0" w:color="auto"/>
        <w:right w:val="none" w:sz="0" w:space="0" w:color="auto"/>
      </w:divBdr>
    </w:div>
    <w:div w:id="195198327">
      <w:bodyDiv w:val="1"/>
      <w:marLeft w:val="0"/>
      <w:marRight w:val="0"/>
      <w:marTop w:val="0"/>
      <w:marBottom w:val="0"/>
      <w:divBdr>
        <w:top w:val="none" w:sz="0" w:space="0" w:color="auto"/>
        <w:left w:val="none" w:sz="0" w:space="0" w:color="auto"/>
        <w:bottom w:val="none" w:sz="0" w:space="0" w:color="auto"/>
        <w:right w:val="none" w:sz="0" w:space="0" w:color="auto"/>
      </w:divBdr>
    </w:div>
    <w:div w:id="201288784">
      <w:bodyDiv w:val="1"/>
      <w:marLeft w:val="0"/>
      <w:marRight w:val="0"/>
      <w:marTop w:val="0"/>
      <w:marBottom w:val="0"/>
      <w:divBdr>
        <w:top w:val="none" w:sz="0" w:space="0" w:color="auto"/>
        <w:left w:val="none" w:sz="0" w:space="0" w:color="auto"/>
        <w:bottom w:val="none" w:sz="0" w:space="0" w:color="auto"/>
        <w:right w:val="none" w:sz="0" w:space="0" w:color="auto"/>
      </w:divBdr>
    </w:div>
    <w:div w:id="207299890">
      <w:bodyDiv w:val="1"/>
      <w:marLeft w:val="0"/>
      <w:marRight w:val="0"/>
      <w:marTop w:val="0"/>
      <w:marBottom w:val="0"/>
      <w:divBdr>
        <w:top w:val="none" w:sz="0" w:space="0" w:color="auto"/>
        <w:left w:val="none" w:sz="0" w:space="0" w:color="auto"/>
        <w:bottom w:val="none" w:sz="0" w:space="0" w:color="auto"/>
        <w:right w:val="none" w:sz="0" w:space="0" w:color="auto"/>
      </w:divBdr>
    </w:div>
    <w:div w:id="224606567">
      <w:bodyDiv w:val="1"/>
      <w:marLeft w:val="0"/>
      <w:marRight w:val="0"/>
      <w:marTop w:val="0"/>
      <w:marBottom w:val="0"/>
      <w:divBdr>
        <w:top w:val="none" w:sz="0" w:space="0" w:color="auto"/>
        <w:left w:val="none" w:sz="0" w:space="0" w:color="auto"/>
        <w:bottom w:val="none" w:sz="0" w:space="0" w:color="auto"/>
        <w:right w:val="none" w:sz="0" w:space="0" w:color="auto"/>
      </w:divBdr>
    </w:div>
    <w:div w:id="251596095">
      <w:bodyDiv w:val="1"/>
      <w:marLeft w:val="0"/>
      <w:marRight w:val="0"/>
      <w:marTop w:val="0"/>
      <w:marBottom w:val="0"/>
      <w:divBdr>
        <w:top w:val="none" w:sz="0" w:space="0" w:color="auto"/>
        <w:left w:val="none" w:sz="0" w:space="0" w:color="auto"/>
        <w:bottom w:val="none" w:sz="0" w:space="0" w:color="auto"/>
        <w:right w:val="none" w:sz="0" w:space="0" w:color="auto"/>
      </w:divBdr>
    </w:div>
    <w:div w:id="257451061">
      <w:bodyDiv w:val="1"/>
      <w:marLeft w:val="0"/>
      <w:marRight w:val="0"/>
      <w:marTop w:val="0"/>
      <w:marBottom w:val="0"/>
      <w:divBdr>
        <w:top w:val="none" w:sz="0" w:space="0" w:color="auto"/>
        <w:left w:val="none" w:sz="0" w:space="0" w:color="auto"/>
        <w:bottom w:val="none" w:sz="0" w:space="0" w:color="auto"/>
        <w:right w:val="none" w:sz="0" w:space="0" w:color="auto"/>
      </w:divBdr>
    </w:div>
    <w:div w:id="291712312">
      <w:bodyDiv w:val="1"/>
      <w:marLeft w:val="0"/>
      <w:marRight w:val="0"/>
      <w:marTop w:val="0"/>
      <w:marBottom w:val="0"/>
      <w:divBdr>
        <w:top w:val="none" w:sz="0" w:space="0" w:color="auto"/>
        <w:left w:val="none" w:sz="0" w:space="0" w:color="auto"/>
        <w:bottom w:val="none" w:sz="0" w:space="0" w:color="auto"/>
        <w:right w:val="none" w:sz="0" w:space="0" w:color="auto"/>
      </w:divBdr>
    </w:div>
    <w:div w:id="422801313">
      <w:bodyDiv w:val="1"/>
      <w:marLeft w:val="0"/>
      <w:marRight w:val="0"/>
      <w:marTop w:val="0"/>
      <w:marBottom w:val="0"/>
      <w:divBdr>
        <w:top w:val="none" w:sz="0" w:space="0" w:color="auto"/>
        <w:left w:val="none" w:sz="0" w:space="0" w:color="auto"/>
        <w:bottom w:val="none" w:sz="0" w:space="0" w:color="auto"/>
        <w:right w:val="none" w:sz="0" w:space="0" w:color="auto"/>
      </w:divBdr>
    </w:div>
    <w:div w:id="511995805">
      <w:bodyDiv w:val="1"/>
      <w:marLeft w:val="0"/>
      <w:marRight w:val="0"/>
      <w:marTop w:val="0"/>
      <w:marBottom w:val="0"/>
      <w:divBdr>
        <w:top w:val="none" w:sz="0" w:space="0" w:color="auto"/>
        <w:left w:val="none" w:sz="0" w:space="0" w:color="auto"/>
        <w:bottom w:val="none" w:sz="0" w:space="0" w:color="auto"/>
        <w:right w:val="none" w:sz="0" w:space="0" w:color="auto"/>
      </w:divBdr>
    </w:div>
    <w:div w:id="600795119">
      <w:bodyDiv w:val="1"/>
      <w:marLeft w:val="0"/>
      <w:marRight w:val="0"/>
      <w:marTop w:val="0"/>
      <w:marBottom w:val="0"/>
      <w:divBdr>
        <w:top w:val="none" w:sz="0" w:space="0" w:color="auto"/>
        <w:left w:val="none" w:sz="0" w:space="0" w:color="auto"/>
        <w:bottom w:val="none" w:sz="0" w:space="0" w:color="auto"/>
        <w:right w:val="none" w:sz="0" w:space="0" w:color="auto"/>
      </w:divBdr>
    </w:div>
    <w:div w:id="610085776">
      <w:bodyDiv w:val="1"/>
      <w:marLeft w:val="0"/>
      <w:marRight w:val="0"/>
      <w:marTop w:val="0"/>
      <w:marBottom w:val="0"/>
      <w:divBdr>
        <w:top w:val="none" w:sz="0" w:space="0" w:color="auto"/>
        <w:left w:val="none" w:sz="0" w:space="0" w:color="auto"/>
        <w:bottom w:val="none" w:sz="0" w:space="0" w:color="auto"/>
        <w:right w:val="none" w:sz="0" w:space="0" w:color="auto"/>
      </w:divBdr>
    </w:div>
    <w:div w:id="677193025">
      <w:bodyDiv w:val="1"/>
      <w:marLeft w:val="0"/>
      <w:marRight w:val="0"/>
      <w:marTop w:val="0"/>
      <w:marBottom w:val="0"/>
      <w:divBdr>
        <w:top w:val="none" w:sz="0" w:space="0" w:color="auto"/>
        <w:left w:val="none" w:sz="0" w:space="0" w:color="auto"/>
        <w:bottom w:val="none" w:sz="0" w:space="0" w:color="auto"/>
        <w:right w:val="none" w:sz="0" w:space="0" w:color="auto"/>
      </w:divBdr>
    </w:div>
    <w:div w:id="766119854">
      <w:bodyDiv w:val="1"/>
      <w:marLeft w:val="0"/>
      <w:marRight w:val="0"/>
      <w:marTop w:val="0"/>
      <w:marBottom w:val="0"/>
      <w:divBdr>
        <w:top w:val="none" w:sz="0" w:space="0" w:color="auto"/>
        <w:left w:val="none" w:sz="0" w:space="0" w:color="auto"/>
        <w:bottom w:val="none" w:sz="0" w:space="0" w:color="auto"/>
        <w:right w:val="none" w:sz="0" w:space="0" w:color="auto"/>
      </w:divBdr>
    </w:div>
    <w:div w:id="800924242">
      <w:bodyDiv w:val="1"/>
      <w:marLeft w:val="0"/>
      <w:marRight w:val="0"/>
      <w:marTop w:val="0"/>
      <w:marBottom w:val="0"/>
      <w:divBdr>
        <w:top w:val="none" w:sz="0" w:space="0" w:color="auto"/>
        <w:left w:val="none" w:sz="0" w:space="0" w:color="auto"/>
        <w:bottom w:val="none" w:sz="0" w:space="0" w:color="auto"/>
        <w:right w:val="none" w:sz="0" w:space="0" w:color="auto"/>
      </w:divBdr>
    </w:div>
    <w:div w:id="823161235">
      <w:bodyDiv w:val="1"/>
      <w:marLeft w:val="0"/>
      <w:marRight w:val="0"/>
      <w:marTop w:val="0"/>
      <w:marBottom w:val="0"/>
      <w:divBdr>
        <w:top w:val="none" w:sz="0" w:space="0" w:color="auto"/>
        <w:left w:val="none" w:sz="0" w:space="0" w:color="auto"/>
        <w:bottom w:val="none" w:sz="0" w:space="0" w:color="auto"/>
        <w:right w:val="none" w:sz="0" w:space="0" w:color="auto"/>
      </w:divBdr>
    </w:div>
    <w:div w:id="906648019">
      <w:bodyDiv w:val="1"/>
      <w:marLeft w:val="0"/>
      <w:marRight w:val="0"/>
      <w:marTop w:val="0"/>
      <w:marBottom w:val="0"/>
      <w:divBdr>
        <w:top w:val="none" w:sz="0" w:space="0" w:color="auto"/>
        <w:left w:val="none" w:sz="0" w:space="0" w:color="auto"/>
        <w:bottom w:val="none" w:sz="0" w:space="0" w:color="auto"/>
        <w:right w:val="none" w:sz="0" w:space="0" w:color="auto"/>
      </w:divBdr>
    </w:div>
    <w:div w:id="923495078">
      <w:bodyDiv w:val="1"/>
      <w:marLeft w:val="0"/>
      <w:marRight w:val="0"/>
      <w:marTop w:val="0"/>
      <w:marBottom w:val="0"/>
      <w:divBdr>
        <w:top w:val="none" w:sz="0" w:space="0" w:color="auto"/>
        <w:left w:val="none" w:sz="0" w:space="0" w:color="auto"/>
        <w:bottom w:val="none" w:sz="0" w:space="0" w:color="auto"/>
        <w:right w:val="none" w:sz="0" w:space="0" w:color="auto"/>
      </w:divBdr>
    </w:div>
    <w:div w:id="970524212">
      <w:bodyDiv w:val="1"/>
      <w:marLeft w:val="0"/>
      <w:marRight w:val="0"/>
      <w:marTop w:val="0"/>
      <w:marBottom w:val="0"/>
      <w:divBdr>
        <w:top w:val="none" w:sz="0" w:space="0" w:color="auto"/>
        <w:left w:val="none" w:sz="0" w:space="0" w:color="auto"/>
        <w:bottom w:val="none" w:sz="0" w:space="0" w:color="auto"/>
        <w:right w:val="none" w:sz="0" w:space="0" w:color="auto"/>
      </w:divBdr>
    </w:div>
    <w:div w:id="996767983">
      <w:bodyDiv w:val="1"/>
      <w:marLeft w:val="0"/>
      <w:marRight w:val="0"/>
      <w:marTop w:val="0"/>
      <w:marBottom w:val="0"/>
      <w:divBdr>
        <w:top w:val="none" w:sz="0" w:space="0" w:color="auto"/>
        <w:left w:val="none" w:sz="0" w:space="0" w:color="auto"/>
        <w:bottom w:val="none" w:sz="0" w:space="0" w:color="auto"/>
        <w:right w:val="none" w:sz="0" w:space="0" w:color="auto"/>
      </w:divBdr>
    </w:div>
    <w:div w:id="1029453737">
      <w:bodyDiv w:val="1"/>
      <w:marLeft w:val="0"/>
      <w:marRight w:val="0"/>
      <w:marTop w:val="0"/>
      <w:marBottom w:val="0"/>
      <w:divBdr>
        <w:top w:val="none" w:sz="0" w:space="0" w:color="auto"/>
        <w:left w:val="none" w:sz="0" w:space="0" w:color="auto"/>
        <w:bottom w:val="none" w:sz="0" w:space="0" w:color="auto"/>
        <w:right w:val="none" w:sz="0" w:space="0" w:color="auto"/>
      </w:divBdr>
    </w:div>
    <w:div w:id="1117718662">
      <w:bodyDiv w:val="1"/>
      <w:marLeft w:val="0"/>
      <w:marRight w:val="0"/>
      <w:marTop w:val="0"/>
      <w:marBottom w:val="0"/>
      <w:divBdr>
        <w:top w:val="none" w:sz="0" w:space="0" w:color="auto"/>
        <w:left w:val="none" w:sz="0" w:space="0" w:color="auto"/>
        <w:bottom w:val="none" w:sz="0" w:space="0" w:color="auto"/>
        <w:right w:val="none" w:sz="0" w:space="0" w:color="auto"/>
      </w:divBdr>
    </w:div>
    <w:div w:id="1121919301">
      <w:bodyDiv w:val="1"/>
      <w:marLeft w:val="0"/>
      <w:marRight w:val="0"/>
      <w:marTop w:val="0"/>
      <w:marBottom w:val="0"/>
      <w:divBdr>
        <w:top w:val="none" w:sz="0" w:space="0" w:color="auto"/>
        <w:left w:val="none" w:sz="0" w:space="0" w:color="auto"/>
        <w:bottom w:val="none" w:sz="0" w:space="0" w:color="auto"/>
        <w:right w:val="none" w:sz="0" w:space="0" w:color="auto"/>
      </w:divBdr>
    </w:div>
    <w:div w:id="1142775510">
      <w:bodyDiv w:val="1"/>
      <w:marLeft w:val="0"/>
      <w:marRight w:val="0"/>
      <w:marTop w:val="0"/>
      <w:marBottom w:val="0"/>
      <w:divBdr>
        <w:top w:val="none" w:sz="0" w:space="0" w:color="auto"/>
        <w:left w:val="none" w:sz="0" w:space="0" w:color="auto"/>
        <w:bottom w:val="none" w:sz="0" w:space="0" w:color="auto"/>
        <w:right w:val="none" w:sz="0" w:space="0" w:color="auto"/>
      </w:divBdr>
    </w:div>
    <w:div w:id="1173567555">
      <w:bodyDiv w:val="1"/>
      <w:marLeft w:val="0"/>
      <w:marRight w:val="0"/>
      <w:marTop w:val="0"/>
      <w:marBottom w:val="0"/>
      <w:divBdr>
        <w:top w:val="none" w:sz="0" w:space="0" w:color="auto"/>
        <w:left w:val="none" w:sz="0" w:space="0" w:color="auto"/>
        <w:bottom w:val="none" w:sz="0" w:space="0" w:color="auto"/>
        <w:right w:val="none" w:sz="0" w:space="0" w:color="auto"/>
      </w:divBdr>
    </w:div>
    <w:div w:id="1213466374">
      <w:bodyDiv w:val="1"/>
      <w:marLeft w:val="0"/>
      <w:marRight w:val="0"/>
      <w:marTop w:val="0"/>
      <w:marBottom w:val="0"/>
      <w:divBdr>
        <w:top w:val="none" w:sz="0" w:space="0" w:color="auto"/>
        <w:left w:val="none" w:sz="0" w:space="0" w:color="auto"/>
        <w:bottom w:val="none" w:sz="0" w:space="0" w:color="auto"/>
        <w:right w:val="none" w:sz="0" w:space="0" w:color="auto"/>
      </w:divBdr>
    </w:div>
    <w:div w:id="1227035729">
      <w:bodyDiv w:val="1"/>
      <w:marLeft w:val="0"/>
      <w:marRight w:val="0"/>
      <w:marTop w:val="0"/>
      <w:marBottom w:val="0"/>
      <w:divBdr>
        <w:top w:val="none" w:sz="0" w:space="0" w:color="auto"/>
        <w:left w:val="none" w:sz="0" w:space="0" w:color="auto"/>
        <w:bottom w:val="none" w:sz="0" w:space="0" w:color="auto"/>
        <w:right w:val="none" w:sz="0" w:space="0" w:color="auto"/>
      </w:divBdr>
    </w:div>
    <w:div w:id="1334140961">
      <w:bodyDiv w:val="1"/>
      <w:marLeft w:val="0"/>
      <w:marRight w:val="0"/>
      <w:marTop w:val="0"/>
      <w:marBottom w:val="0"/>
      <w:divBdr>
        <w:top w:val="none" w:sz="0" w:space="0" w:color="auto"/>
        <w:left w:val="none" w:sz="0" w:space="0" w:color="auto"/>
        <w:bottom w:val="none" w:sz="0" w:space="0" w:color="auto"/>
        <w:right w:val="none" w:sz="0" w:space="0" w:color="auto"/>
      </w:divBdr>
    </w:div>
    <w:div w:id="1340153485">
      <w:bodyDiv w:val="1"/>
      <w:marLeft w:val="0"/>
      <w:marRight w:val="0"/>
      <w:marTop w:val="0"/>
      <w:marBottom w:val="0"/>
      <w:divBdr>
        <w:top w:val="none" w:sz="0" w:space="0" w:color="auto"/>
        <w:left w:val="none" w:sz="0" w:space="0" w:color="auto"/>
        <w:bottom w:val="none" w:sz="0" w:space="0" w:color="auto"/>
        <w:right w:val="none" w:sz="0" w:space="0" w:color="auto"/>
      </w:divBdr>
    </w:div>
    <w:div w:id="1343510925">
      <w:bodyDiv w:val="1"/>
      <w:marLeft w:val="0"/>
      <w:marRight w:val="0"/>
      <w:marTop w:val="0"/>
      <w:marBottom w:val="0"/>
      <w:divBdr>
        <w:top w:val="none" w:sz="0" w:space="0" w:color="auto"/>
        <w:left w:val="none" w:sz="0" w:space="0" w:color="auto"/>
        <w:bottom w:val="none" w:sz="0" w:space="0" w:color="auto"/>
        <w:right w:val="none" w:sz="0" w:space="0" w:color="auto"/>
      </w:divBdr>
    </w:div>
    <w:div w:id="1392383920">
      <w:bodyDiv w:val="1"/>
      <w:marLeft w:val="0"/>
      <w:marRight w:val="0"/>
      <w:marTop w:val="0"/>
      <w:marBottom w:val="0"/>
      <w:divBdr>
        <w:top w:val="none" w:sz="0" w:space="0" w:color="auto"/>
        <w:left w:val="none" w:sz="0" w:space="0" w:color="auto"/>
        <w:bottom w:val="none" w:sz="0" w:space="0" w:color="auto"/>
        <w:right w:val="none" w:sz="0" w:space="0" w:color="auto"/>
      </w:divBdr>
    </w:div>
    <w:div w:id="1406419930">
      <w:bodyDiv w:val="1"/>
      <w:marLeft w:val="0"/>
      <w:marRight w:val="0"/>
      <w:marTop w:val="0"/>
      <w:marBottom w:val="0"/>
      <w:divBdr>
        <w:top w:val="none" w:sz="0" w:space="0" w:color="auto"/>
        <w:left w:val="none" w:sz="0" w:space="0" w:color="auto"/>
        <w:bottom w:val="none" w:sz="0" w:space="0" w:color="auto"/>
        <w:right w:val="none" w:sz="0" w:space="0" w:color="auto"/>
      </w:divBdr>
    </w:div>
    <w:div w:id="1435058890">
      <w:bodyDiv w:val="1"/>
      <w:marLeft w:val="0"/>
      <w:marRight w:val="0"/>
      <w:marTop w:val="0"/>
      <w:marBottom w:val="0"/>
      <w:divBdr>
        <w:top w:val="none" w:sz="0" w:space="0" w:color="auto"/>
        <w:left w:val="none" w:sz="0" w:space="0" w:color="auto"/>
        <w:bottom w:val="none" w:sz="0" w:space="0" w:color="auto"/>
        <w:right w:val="none" w:sz="0" w:space="0" w:color="auto"/>
      </w:divBdr>
      <w:divsChild>
        <w:div w:id="8147552">
          <w:marLeft w:val="0"/>
          <w:marRight w:val="0"/>
          <w:marTop w:val="0"/>
          <w:marBottom w:val="0"/>
          <w:divBdr>
            <w:top w:val="none" w:sz="0" w:space="0" w:color="auto"/>
            <w:left w:val="none" w:sz="0" w:space="0" w:color="auto"/>
            <w:bottom w:val="none" w:sz="0" w:space="0" w:color="auto"/>
            <w:right w:val="none" w:sz="0" w:space="0" w:color="auto"/>
          </w:divBdr>
        </w:div>
        <w:div w:id="624118016">
          <w:marLeft w:val="0"/>
          <w:marRight w:val="0"/>
          <w:marTop w:val="0"/>
          <w:marBottom w:val="0"/>
          <w:divBdr>
            <w:top w:val="none" w:sz="0" w:space="0" w:color="auto"/>
            <w:left w:val="none" w:sz="0" w:space="0" w:color="auto"/>
            <w:bottom w:val="none" w:sz="0" w:space="0" w:color="auto"/>
            <w:right w:val="none" w:sz="0" w:space="0" w:color="auto"/>
          </w:divBdr>
        </w:div>
        <w:div w:id="791480714">
          <w:marLeft w:val="0"/>
          <w:marRight w:val="0"/>
          <w:marTop w:val="0"/>
          <w:marBottom w:val="0"/>
          <w:divBdr>
            <w:top w:val="none" w:sz="0" w:space="0" w:color="auto"/>
            <w:left w:val="none" w:sz="0" w:space="0" w:color="auto"/>
            <w:bottom w:val="none" w:sz="0" w:space="0" w:color="auto"/>
            <w:right w:val="none" w:sz="0" w:space="0" w:color="auto"/>
          </w:divBdr>
        </w:div>
        <w:div w:id="2142728463">
          <w:marLeft w:val="0"/>
          <w:marRight w:val="0"/>
          <w:marTop w:val="0"/>
          <w:marBottom w:val="0"/>
          <w:divBdr>
            <w:top w:val="none" w:sz="0" w:space="0" w:color="auto"/>
            <w:left w:val="none" w:sz="0" w:space="0" w:color="auto"/>
            <w:bottom w:val="none" w:sz="0" w:space="0" w:color="auto"/>
            <w:right w:val="none" w:sz="0" w:space="0" w:color="auto"/>
          </w:divBdr>
        </w:div>
      </w:divsChild>
    </w:div>
    <w:div w:id="1546789434">
      <w:bodyDiv w:val="1"/>
      <w:marLeft w:val="0"/>
      <w:marRight w:val="0"/>
      <w:marTop w:val="0"/>
      <w:marBottom w:val="0"/>
      <w:divBdr>
        <w:top w:val="none" w:sz="0" w:space="0" w:color="auto"/>
        <w:left w:val="none" w:sz="0" w:space="0" w:color="auto"/>
        <w:bottom w:val="none" w:sz="0" w:space="0" w:color="auto"/>
        <w:right w:val="none" w:sz="0" w:space="0" w:color="auto"/>
      </w:divBdr>
    </w:div>
    <w:div w:id="1573656468">
      <w:bodyDiv w:val="1"/>
      <w:marLeft w:val="0"/>
      <w:marRight w:val="0"/>
      <w:marTop w:val="0"/>
      <w:marBottom w:val="0"/>
      <w:divBdr>
        <w:top w:val="none" w:sz="0" w:space="0" w:color="auto"/>
        <w:left w:val="none" w:sz="0" w:space="0" w:color="auto"/>
        <w:bottom w:val="none" w:sz="0" w:space="0" w:color="auto"/>
        <w:right w:val="none" w:sz="0" w:space="0" w:color="auto"/>
      </w:divBdr>
      <w:divsChild>
        <w:div w:id="358237977">
          <w:marLeft w:val="0"/>
          <w:marRight w:val="0"/>
          <w:marTop w:val="0"/>
          <w:marBottom w:val="0"/>
          <w:divBdr>
            <w:top w:val="none" w:sz="0" w:space="0" w:color="auto"/>
            <w:left w:val="none" w:sz="0" w:space="0" w:color="auto"/>
            <w:bottom w:val="none" w:sz="0" w:space="0" w:color="auto"/>
            <w:right w:val="none" w:sz="0" w:space="0" w:color="auto"/>
          </w:divBdr>
        </w:div>
        <w:div w:id="879322651">
          <w:marLeft w:val="0"/>
          <w:marRight w:val="0"/>
          <w:marTop w:val="0"/>
          <w:marBottom w:val="0"/>
          <w:divBdr>
            <w:top w:val="none" w:sz="0" w:space="0" w:color="auto"/>
            <w:left w:val="none" w:sz="0" w:space="0" w:color="auto"/>
            <w:bottom w:val="none" w:sz="0" w:space="0" w:color="auto"/>
            <w:right w:val="none" w:sz="0" w:space="0" w:color="auto"/>
          </w:divBdr>
        </w:div>
        <w:div w:id="1169712898">
          <w:marLeft w:val="0"/>
          <w:marRight w:val="0"/>
          <w:marTop w:val="0"/>
          <w:marBottom w:val="0"/>
          <w:divBdr>
            <w:top w:val="none" w:sz="0" w:space="0" w:color="auto"/>
            <w:left w:val="none" w:sz="0" w:space="0" w:color="auto"/>
            <w:bottom w:val="none" w:sz="0" w:space="0" w:color="auto"/>
            <w:right w:val="none" w:sz="0" w:space="0" w:color="auto"/>
          </w:divBdr>
        </w:div>
        <w:div w:id="1645348234">
          <w:marLeft w:val="0"/>
          <w:marRight w:val="0"/>
          <w:marTop w:val="0"/>
          <w:marBottom w:val="0"/>
          <w:divBdr>
            <w:top w:val="none" w:sz="0" w:space="0" w:color="auto"/>
            <w:left w:val="none" w:sz="0" w:space="0" w:color="auto"/>
            <w:bottom w:val="none" w:sz="0" w:space="0" w:color="auto"/>
            <w:right w:val="none" w:sz="0" w:space="0" w:color="auto"/>
          </w:divBdr>
        </w:div>
      </w:divsChild>
    </w:div>
    <w:div w:id="1648439125">
      <w:bodyDiv w:val="1"/>
      <w:marLeft w:val="0"/>
      <w:marRight w:val="0"/>
      <w:marTop w:val="0"/>
      <w:marBottom w:val="0"/>
      <w:divBdr>
        <w:top w:val="none" w:sz="0" w:space="0" w:color="auto"/>
        <w:left w:val="none" w:sz="0" w:space="0" w:color="auto"/>
        <w:bottom w:val="none" w:sz="0" w:space="0" w:color="auto"/>
        <w:right w:val="none" w:sz="0" w:space="0" w:color="auto"/>
      </w:divBdr>
    </w:div>
    <w:div w:id="1671055800">
      <w:bodyDiv w:val="1"/>
      <w:marLeft w:val="0"/>
      <w:marRight w:val="0"/>
      <w:marTop w:val="0"/>
      <w:marBottom w:val="0"/>
      <w:divBdr>
        <w:top w:val="none" w:sz="0" w:space="0" w:color="auto"/>
        <w:left w:val="none" w:sz="0" w:space="0" w:color="auto"/>
        <w:bottom w:val="none" w:sz="0" w:space="0" w:color="auto"/>
        <w:right w:val="none" w:sz="0" w:space="0" w:color="auto"/>
      </w:divBdr>
      <w:divsChild>
        <w:div w:id="1037003990">
          <w:marLeft w:val="0"/>
          <w:marRight w:val="0"/>
          <w:marTop w:val="0"/>
          <w:marBottom w:val="0"/>
          <w:divBdr>
            <w:top w:val="none" w:sz="0" w:space="0" w:color="auto"/>
            <w:left w:val="none" w:sz="0" w:space="0" w:color="auto"/>
            <w:bottom w:val="none" w:sz="0" w:space="0" w:color="auto"/>
            <w:right w:val="none" w:sz="0" w:space="0" w:color="auto"/>
          </w:divBdr>
        </w:div>
        <w:div w:id="1277758063">
          <w:marLeft w:val="0"/>
          <w:marRight w:val="0"/>
          <w:marTop w:val="0"/>
          <w:marBottom w:val="0"/>
          <w:divBdr>
            <w:top w:val="none" w:sz="0" w:space="0" w:color="auto"/>
            <w:left w:val="none" w:sz="0" w:space="0" w:color="auto"/>
            <w:bottom w:val="none" w:sz="0" w:space="0" w:color="auto"/>
            <w:right w:val="none" w:sz="0" w:space="0" w:color="auto"/>
          </w:divBdr>
        </w:div>
        <w:div w:id="2073116973">
          <w:marLeft w:val="0"/>
          <w:marRight w:val="0"/>
          <w:marTop w:val="0"/>
          <w:marBottom w:val="0"/>
          <w:divBdr>
            <w:top w:val="none" w:sz="0" w:space="0" w:color="auto"/>
            <w:left w:val="none" w:sz="0" w:space="0" w:color="auto"/>
            <w:bottom w:val="none" w:sz="0" w:space="0" w:color="auto"/>
            <w:right w:val="none" w:sz="0" w:space="0" w:color="auto"/>
          </w:divBdr>
        </w:div>
      </w:divsChild>
    </w:div>
    <w:div w:id="1675186592">
      <w:bodyDiv w:val="1"/>
      <w:marLeft w:val="0"/>
      <w:marRight w:val="0"/>
      <w:marTop w:val="0"/>
      <w:marBottom w:val="0"/>
      <w:divBdr>
        <w:top w:val="none" w:sz="0" w:space="0" w:color="auto"/>
        <w:left w:val="none" w:sz="0" w:space="0" w:color="auto"/>
        <w:bottom w:val="none" w:sz="0" w:space="0" w:color="auto"/>
        <w:right w:val="none" w:sz="0" w:space="0" w:color="auto"/>
      </w:divBdr>
    </w:div>
    <w:div w:id="1688870628">
      <w:bodyDiv w:val="1"/>
      <w:marLeft w:val="0"/>
      <w:marRight w:val="0"/>
      <w:marTop w:val="0"/>
      <w:marBottom w:val="0"/>
      <w:divBdr>
        <w:top w:val="none" w:sz="0" w:space="0" w:color="auto"/>
        <w:left w:val="none" w:sz="0" w:space="0" w:color="auto"/>
        <w:bottom w:val="none" w:sz="0" w:space="0" w:color="auto"/>
        <w:right w:val="none" w:sz="0" w:space="0" w:color="auto"/>
      </w:divBdr>
    </w:div>
    <w:div w:id="1708025382">
      <w:bodyDiv w:val="1"/>
      <w:marLeft w:val="0"/>
      <w:marRight w:val="0"/>
      <w:marTop w:val="0"/>
      <w:marBottom w:val="0"/>
      <w:divBdr>
        <w:top w:val="none" w:sz="0" w:space="0" w:color="auto"/>
        <w:left w:val="none" w:sz="0" w:space="0" w:color="auto"/>
        <w:bottom w:val="none" w:sz="0" w:space="0" w:color="auto"/>
        <w:right w:val="none" w:sz="0" w:space="0" w:color="auto"/>
      </w:divBdr>
    </w:div>
    <w:div w:id="1731155103">
      <w:bodyDiv w:val="1"/>
      <w:marLeft w:val="0"/>
      <w:marRight w:val="0"/>
      <w:marTop w:val="0"/>
      <w:marBottom w:val="0"/>
      <w:divBdr>
        <w:top w:val="none" w:sz="0" w:space="0" w:color="auto"/>
        <w:left w:val="none" w:sz="0" w:space="0" w:color="auto"/>
        <w:bottom w:val="none" w:sz="0" w:space="0" w:color="auto"/>
        <w:right w:val="none" w:sz="0" w:space="0" w:color="auto"/>
      </w:divBdr>
    </w:div>
    <w:div w:id="1735472287">
      <w:bodyDiv w:val="1"/>
      <w:marLeft w:val="0"/>
      <w:marRight w:val="0"/>
      <w:marTop w:val="0"/>
      <w:marBottom w:val="0"/>
      <w:divBdr>
        <w:top w:val="none" w:sz="0" w:space="0" w:color="auto"/>
        <w:left w:val="none" w:sz="0" w:space="0" w:color="auto"/>
        <w:bottom w:val="none" w:sz="0" w:space="0" w:color="auto"/>
        <w:right w:val="none" w:sz="0" w:space="0" w:color="auto"/>
      </w:divBdr>
    </w:div>
    <w:div w:id="1772161807">
      <w:bodyDiv w:val="1"/>
      <w:marLeft w:val="0"/>
      <w:marRight w:val="0"/>
      <w:marTop w:val="0"/>
      <w:marBottom w:val="0"/>
      <w:divBdr>
        <w:top w:val="none" w:sz="0" w:space="0" w:color="auto"/>
        <w:left w:val="none" w:sz="0" w:space="0" w:color="auto"/>
        <w:bottom w:val="none" w:sz="0" w:space="0" w:color="auto"/>
        <w:right w:val="none" w:sz="0" w:space="0" w:color="auto"/>
      </w:divBdr>
      <w:divsChild>
        <w:div w:id="1504780180">
          <w:marLeft w:val="0"/>
          <w:marRight w:val="0"/>
          <w:marTop w:val="0"/>
          <w:marBottom w:val="0"/>
          <w:divBdr>
            <w:top w:val="none" w:sz="0" w:space="0" w:color="auto"/>
            <w:left w:val="none" w:sz="0" w:space="0" w:color="auto"/>
            <w:bottom w:val="none" w:sz="0" w:space="0" w:color="auto"/>
            <w:right w:val="none" w:sz="0" w:space="0" w:color="auto"/>
          </w:divBdr>
        </w:div>
        <w:div w:id="1677537156">
          <w:marLeft w:val="0"/>
          <w:marRight w:val="0"/>
          <w:marTop w:val="0"/>
          <w:marBottom w:val="0"/>
          <w:divBdr>
            <w:top w:val="none" w:sz="0" w:space="0" w:color="auto"/>
            <w:left w:val="none" w:sz="0" w:space="0" w:color="auto"/>
            <w:bottom w:val="none" w:sz="0" w:space="0" w:color="auto"/>
            <w:right w:val="none" w:sz="0" w:space="0" w:color="auto"/>
          </w:divBdr>
        </w:div>
        <w:div w:id="1946159134">
          <w:marLeft w:val="0"/>
          <w:marRight w:val="0"/>
          <w:marTop w:val="0"/>
          <w:marBottom w:val="0"/>
          <w:divBdr>
            <w:top w:val="none" w:sz="0" w:space="0" w:color="auto"/>
            <w:left w:val="none" w:sz="0" w:space="0" w:color="auto"/>
            <w:bottom w:val="none" w:sz="0" w:space="0" w:color="auto"/>
            <w:right w:val="none" w:sz="0" w:space="0" w:color="auto"/>
          </w:divBdr>
        </w:div>
      </w:divsChild>
    </w:div>
    <w:div w:id="1814061129">
      <w:bodyDiv w:val="1"/>
      <w:marLeft w:val="0"/>
      <w:marRight w:val="0"/>
      <w:marTop w:val="0"/>
      <w:marBottom w:val="0"/>
      <w:divBdr>
        <w:top w:val="none" w:sz="0" w:space="0" w:color="auto"/>
        <w:left w:val="none" w:sz="0" w:space="0" w:color="auto"/>
        <w:bottom w:val="none" w:sz="0" w:space="0" w:color="auto"/>
        <w:right w:val="none" w:sz="0" w:space="0" w:color="auto"/>
      </w:divBdr>
    </w:div>
    <w:div w:id="1834681616">
      <w:bodyDiv w:val="1"/>
      <w:marLeft w:val="0"/>
      <w:marRight w:val="0"/>
      <w:marTop w:val="0"/>
      <w:marBottom w:val="0"/>
      <w:divBdr>
        <w:top w:val="none" w:sz="0" w:space="0" w:color="auto"/>
        <w:left w:val="none" w:sz="0" w:space="0" w:color="auto"/>
        <w:bottom w:val="none" w:sz="0" w:space="0" w:color="auto"/>
        <w:right w:val="none" w:sz="0" w:space="0" w:color="auto"/>
      </w:divBdr>
      <w:divsChild>
        <w:div w:id="300959291">
          <w:marLeft w:val="0"/>
          <w:marRight w:val="0"/>
          <w:marTop w:val="0"/>
          <w:marBottom w:val="0"/>
          <w:divBdr>
            <w:top w:val="none" w:sz="0" w:space="0" w:color="auto"/>
            <w:left w:val="none" w:sz="0" w:space="0" w:color="auto"/>
            <w:bottom w:val="none" w:sz="0" w:space="0" w:color="auto"/>
            <w:right w:val="none" w:sz="0" w:space="0" w:color="auto"/>
          </w:divBdr>
        </w:div>
        <w:div w:id="321079767">
          <w:marLeft w:val="0"/>
          <w:marRight w:val="0"/>
          <w:marTop w:val="0"/>
          <w:marBottom w:val="0"/>
          <w:divBdr>
            <w:top w:val="none" w:sz="0" w:space="0" w:color="auto"/>
            <w:left w:val="none" w:sz="0" w:space="0" w:color="auto"/>
            <w:bottom w:val="none" w:sz="0" w:space="0" w:color="auto"/>
            <w:right w:val="none" w:sz="0" w:space="0" w:color="auto"/>
          </w:divBdr>
        </w:div>
        <w:div w:id="1129399844">
          <w:marLeft w:val="0"/>
          <w:marRight w:val="0"/>
          <w:marTop w:val="0"/>
          <w:marBottom w:val="0"/>
          <w:divBdr>
            <w:top w:val="none" w:sz="0" w:space="0" w:color="auto"/>
            <w:left w:val="none" w:sz="0" w:space="0" w:color="auto"/>
            <w:bottom w:val="none" w:sz="0" w:space="0" w:color="auto"/>
            <w:right w:val="none" w:sz="0" w:space="0" w:color="auto"/>
          </w:divBdr>
        </w:div>
        <w:div w:id="1180268246">
          <w:marLeft w:val="0"/>
          <w:marRight w:val="0"/>
          <w:marTop w:val="0"/>
          <w:marBottom w:val="0"/>
          <w:divBdr>
            <w:top w:val="none" w:sz="0" w:space="0" w:color="auto"/>
            <w:left w:val="none" w:sz="0" w:space="0" w:color="auto"/>
            <w:bottom w:val="none" w:sz="0" w:space="0" w:color="auto"/>
            <w:right w:val="none" w:sz="0" w:space="0" w:color="auto"/>
          </w:divBdr>
        </w:div>
        <w:div w:id="1787121765">
          <w:marLeft w:val="0"/>
          <w:marRight w:val="0"/>
          <w:marTop w:val="0"/>
          <w:marBottom w:val="0"/>
          <w:divBdr>
            <w:top w:val="none" w:sz="0" w:space="0" w:color="auto"/>
            <w:left w:val="none" w:sz="0" w:space="0" w:color="auto"/>
            <w:bottom w:val="none" w:sz="0" w:space="0" w:color="auto"/>
            <w:right w:val="none" w:sz="0" w:space="0" w:color="auto"/>
          </w:divBdr>
        </w:div>
        <w:div w:id="1918589209">
          <w:marLeft w:val="0"/>
          <w:marRight w:val="0"/>
          <w:marTop w:val="0"/>
          <w:marBottom w:val="0"/>
          <w:divBdr>
            <w:top w:val="none" w:sz="0" w:space="0" w:color="auto"/>
            <w:left w:val="none" w:sz="0" w:space="0" w:color="auto"/>
            <w:bottom w:val="none" w:sz="0" w:space="0" w:color="auto"/>
            <w:right w:val="none" w:sz="0" w:space="0" w:color="auto"/>
          </w:divBdr>
        </w:div>
      </w:divsChild>
    </w:div>
    <w:div w:id="1858764596">
      <w:bodyDiv w:val="1"/>
      <w:marLeft w:val="0"/>
      <w:marRight w:val="0"/>
      <w:marTop w:val="0"/>
      <w:marBottom w:val="0"/>
      <w:divBdr>
        <w:top w:val="none" w:sz="0" w:space="0" w:color="auto"/>
        <w:left w:val="none" w:sz="0" w:space="0" w:color="auto"/>
        <w:bottom w:val="none" w:sz="0" w:space="0" w:color="auto"/>
        <w:right w:val="none" w:sz="0" w:space="0" w:color="auto"/>
      </w:divBdr>
    </w:div>
    <w:div w:id="1938443094">
      <w:bodyDiv w:val="1"/>
      <w:marLeft w:val="0"/>
      <w:marRight w:val="0"/>
      <w:marTop w:val="0"/>
      <w:marBottom w:val="0"/>
      <w:divBdr>
        <w:top w:val="none" w:sz="0" w:space="0" w:color="auto"/>
        <w:left w:val="none" w:sz="0" w:space="0" w:color="auto"/>
        <w:bottom w:val="none" w:sz="0" w:space="0" w:color="auto"/>
        <w:right w:val="none" w:sz="0" w:space="0" w:color="auto"/>
      </w:divBdr>
    </w:div>
    <w:div w:id="2015691550">
      <w:bodyDiv w:val="1"/>
      <w:marLeft w:val="0"/>
      <w:marRight w:val="0"/>
      <w:marTop w:val="0"/>
      <w:marBottom w:val="0"/>
      <w:divBdr>
        <w:top w:val="none" w:sz="0" w:space="0" w:color="auto"/>
        <w:left w:val="none" w:sz="0" w:space="0" w:color="auto"/>
        <w:bottom w:val="none" w:sz="0" w:space="0" w:color="auto"/>
        <w:right w:val="none" w:sz="0" w:space="0" w:color="auto"/>
      </w:divBdr>
    </w:div>
    <w:div w:id="2020621229">
      <w:bodyDiv w:val="1"/>
      <w:marLeft w:val="0"/>
      <w:marRight w:val="0"/>
      <w:marTop w:val="0"/>
      <w:marBottom w:val="0"/>
      <w:divBdr>
        <w:top w:val="none" w:sz="0" w:space="0" w:color="auto"/>
        <w:left w:val="none" w:sz="0" w:space="0" w:color="auto"/>
        <w:bottom w:val="none" w:sz="0" w:space="0" w:color="auto"/>
        <w:right w:val="none" w:sz="0" w:space="0" w:color="auto"/>
      </w:divBdr>
      <w:divsChild>
        <w:div w:id="1534803418">
          <w:marLeft w:val="0"/>
          <w:marRight w:val="0"/>
          <w:marTop w:val="0"/>
          <w:marBottom w:val="0"/>
          <w:divBdr>
            <w:top w:val="none" w:sz="0" w:space="0" w:color="auto"/>
            <w:left w:val="none" w:sz="0" w:space="0" w:color="auto"/>
            <w:bottom w:val="none" w:sz="0" w:space="0" w:color="auto"/>
            <w:right w:val="none" w:sz="0" w:space="0" w:color="auto"/>
          </w:divBdr>
        </w:div>
      </w:divsChild>
    </w:div>
    <w:div w:id="2097088245">
      <w:bodyDiv w:val="1"/>
      <w:marLeft w:val="0"/>
      <w:marRight w:val="0"/>
      <w:marTop w:val="0"/>
      <w:marBottom w:val="0"/>
      <w:divBdr>
        <w:top w:val="none" w:sz="0" w:space="0" w:color="auto"/>
        <w:left w:val="none" w:sz="0" w:space="0" w:color="auto"/>
        <w:bottom w:val="none" w:sz="0" w:space="0" w:color="auto"/>
        <w:right w:val="none" w:sz="0" w:space="0" w:color="auto"/>
      </w:divBdr>
      <w:divsChild>
        <w:div w:id="1094400520">
          <w:marLeft w:val="0"/>
          <w:marRight w:val="0"/>
          <w:marTop w:val="0"/>
          <w:marBottom w:val="0"/>
          <w:divBdr>
            <w:top w:val="none" w:sz="0" w:space="0" w:color="auto"/>
            <w:left w:val="none" w:sz="0" w:space="0" w:color="auto"/>
            <w:bottom w:val="none" w:sz="0" w:space="0" w:color="auto"/>
            <w:right w:val="none" w:sz="0" w:space="0" w:color="auto"/>
          </w:divBdr>
        </w:div>
        <w:div w:id="1486507013">
          <w:marLeft w:val="0"/>
          <w:marRight w:val="0"/>
          <w:marTop w:val="0"/>
          <w:marBottom w:val="0"/>
          <w:divBdr>
            <w:top w:val="none" w:sz="0" w:space="0" w:color="auto"/>
            <w:left w:val="none" w:sz="0" w:space="0" w:color="auto"/>
            <w:bottom w:val="none" w:sz="0" w:space="0" w:color="auto"/>
            <w:right w:val="none" w:sz="0" w:space="0" w:color="auto"/>
          </w:divBdr>
        </w:div>
        <w:div w:id="1741098488">
          <w:marLeft w:val="0"/>
          <w:marRight w:val="0"/>
          <w:marTop w:val="0"/>
          <w:marBottom w:val="0"/>
          <w:divBdr>
            <w:top w:val="none" w:sz="0" w:space="0" w:color="auto"/>
            <w:left w:val="none" w:sz="0" w:space="0" w:color="auto"/>
            <w:bottom w:val="none" w:sz="0" w:space="0" w:color="auto"/>
            <w:right w:val="none" w:sz="0" w:space="0" w:color="auto"/>
          </w:divBdr>
        </w:div>
        <w:div w:id="1747649228">
          <w:marLeft w:val="0"/>
          <w:marRight w:val="0"/>
          <w:marTop w:val="0"/>
          <w:marBottom w:val="0"/>
          <w:divBdr>
            <w:top w:val="none" w:sz="0" w:space="0" w:color="auto"/>
            <w:left w:val="none" w:sz="0" w:space="0" w:color="auto"/>
            <w:bottom w:val="none" w:sz="0" w:space="0" w:color="auto"/>
            <w:right w:val="none" w:sz="0" w:space="0" w:color="auto"/>
          </w:divBdr>
        </w:div>
      </w:divsChild>
    </w:div>
    <w:div w:id="2123986408">
      <w:bodyDiv w:val="1"/>
      <w:marLeft w:val="0"/>
      <w:marRight w:val="0"/>
      <w:marTop w:val="0"/>
      <w:marBottom w:val="0"/>
      <w:divBdr>
        <w:top w:val="none" w:sz="0" w:space="0" w:color="auto"/>
        <w:left w:val="none" w:sz="0" w:space="0" w:color="auto"/>
        <w:bottom w:val="none" w:sz="0" w:space="0" w:color="auto"/>
        <w:right w:val="none" w:sz="0" w:space="0" w:color="auto"/>
      </w:divBdr>
    </w:div>
    <w:div w:id="2142185724">
      <w:bodyDiv w:val="1"/>
      <w:marLeft w:val="0"/>
      <w:marRight w:val="0"/>
      <w:marTop w:val="0"/>
      <w:marBottom w:val="0"/>
      <w:divBdr>
        <w:top w:val="none" w:sz="0" w:space="0" w:color="auto"/>
        <w:left w:val="none" w:sz="0" w:space="0" w:color="auto"/>
        <w:bottom w:val="none" w:sz="0" w:space="0" w:color="auto"/>
        <w:right w:val="none" w:sz="0" w:space="0" w:color="auto"/>
      </w:divBdr>
      <w:divsChild>
        <w:div w:id="683284508">
          <w:marLeft w:val="0"/>
          <w:marRight w:val="0"/>
          <w:marTop w:val="0"/>
          <w:marBottom w:val="0"/>
          <w:divBdr>
            <w:top w:val="none" w:sz="0" w:space="0" w:color="auto"/>
            <w:left w:val="none" w:sz="0" w:space="0" w:color="auto"/>
            <w:bottom w:val="none" w:sz="0" w:space="0" w:color="auto"/>
            <w:right w:val="none" w:sz="0" w:space="0" w:color="auto"/>
          </w:divBdr>
        </w:div>
        <w:div w:id="2088575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ha.gov/respiratory-protect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bcannon\OneDrive%20-%20US%20Department%20of%20Labor%20-%20DOL\Desktop\COVID-19\COVID-19%20UPDATES\ETS%20ICR%20Item%2012%20Tables%204272021.xls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guide.prod.iam.aha.org/stats/total-us" TargetMode="External"/><Relationship Id="rId1" Type="http://schemas.openxmlformats.org/officeDocument/2006/relationships/hyperlink" Target="https://guide.prod.iam.aha.org/stats/tota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7" ma:contentTypeDescription="Create a new document." ma:contentTypeScope="" ma:versionID="c88d90c807ff929f41fd38415214a31d">
  <xsd:schema xmlns:xsd="http://www.w3.org/2001/XMLSchema" xmlns:xs="http://www.w3.org/2001/XMLSchema" xmlns:p="http://schemas.microsoft.com/office/2006/metadata/properties" xmlns:ns3="0bc354d9-fadb-4d24-8aee-4d27bd933860" targetNamespace="http://schemas.microsoft.com/office/2006/metadata/properties" ma:root="true" ma:fieldsID="dc5c9402e5cc75bc57aeaf79ec03c6b0"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22C89-B553-4274-B977-BEC37DA36A90}">
  <ds:schemaRefs>
    <ds:schemaRef ds:uri="http://schemas.microsoft.com/sharepoint/v3/contenttype/forms"/>
  </ds:schemaRefs>
</ds:datastoreItem>
</file>

<file path=customXml/itemProps2.xml><?xml version="1.0" encoding="utf-8"?>
<ds:datastoreItem xmlns:ds="http://schemas.openxmlformats.org/officeDocument/2006/customXml" ds:itemID="{45BCA521-023C-4AC8-B2BC-389C3BFF7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7AD6C2-09BF-4580-90FD-CBA1AE46D54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bc354d9-fadb-4d24-8aee-4d27bd933860"/>
    <ds:schemaRef ds:uri="http://www.w3.org/XML/1998/namespace"/>
    <ds:schemaRef ds:uri="http://purl.org/dc/dcmitype/"/>
  </ds:schemaRefs>
</ds:datastoreItem>
</file>

<file path=customXml/itemProps4.xml><?xml version="1.0" encoding="utf-8"?>
<ds:datastoreItem xmlns:ds="http://schemas.openxmlformats.org/officeDocument/2006/customXml" ds:itemID="{D1905C70-38A5-47DD-9AE7-015C4F244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12753</Words>
  <Characters>72693</Characters>
  <Application>Microsoft Office Word</Application>
  <DocSecurity>0</DocSecurity>
  <Lines>605</Lines>
  <Paragraphs>170</Paragraphs>
  <ScaleCrop>false</ScaleCrop>
  <HeadingPairs>
    <vt:vector size="4" baseType="variant">
      <vt:variant>
        <vt:lpstr>Title</vt:lpstr>
      </vt:variant>
      <vt:variant>
        <vt:i4>1</vt:i4>
      </vt:variant>
      <vt:variant>
        <vt:lpstr>Headings</vt:lpstr>
      </vt:variant>
      <vt:variant>
        <vt:i4>30</vt:i4>
      </vt:variant>
    </vt:vector>
  </HeadingPairs>
  <TitlesOfParts>
    <vt:vector size="31" baseType="lpstr">
      <vt:lpstr/>
      <vt:lpstr>Justification </vt:lpstr>
      <vt:lpstr>    Explain the circumstances that make the collection of information necessary.  I</vt:lpstr>
      <vt:lpstr>    Indicate how, by whom, and for what purpose the information is to be used.  Exce</vt:lpstr>
      <vt:lpstr>    Describe whether, and to what extent, the collection of information involves the</vt:lpstr>
      <vt:lpstr>    Describe efforts to identify duplication.  Show specifically why any similar inf</vt:lpstr>
      <vt:lpstr>    If the collection of information impacts small businesses or other small entitie</vt:lpstr>
      <vt:lpstr>    Describe the consequences to Federal program or policy activities if the collect</vt:lpstr>
      <vt:lpstr>    Explain any special circumstances that would cause an information collection to </vt:lpstr>
      <vt:lpstr>    If applicable, provide a copy and identify the data and page number of publicati</vt:lpstr>
      <vt:lpstr>    OSHA is requesting an emergency clearance for this information collection pursua</vt:lpstr>
      <vt:lpstr>    Explain any decision to provide any payment or gift to respondents, other than r</vt:lpstr>
      <vt:lpstr>    Describe any assurance of confidentiality provided to respondents and the basis </vt:lpstr>
      <vt:lpstr>    Provide additional justification for any questions of a sensitive nature, such a</vt:lpstr>
      <vt:lpstr>    Provide estimates of the hour burden of the collection of information.  The stat</vt:lpstr>
      <vt:lpstr/>
      <vt:lpstr>Respondent Burden-Hour and Cost burden Determinations</vt:lpstr>
      <vt:lpstr>    Patient screening and management. </vt:lpstr>
      <vt:lpstr>    </vt:lpstr>
      <vt:lpstr>    Physical distancing.</vt:lpstr>
      <vt:lpstr>    </vt:lpstr>
      <vt:lpstr>    Health screening and medical management. </vt:lpstr>
      <vt:lpstr>    5.   Recordkeeping.  </vt:lpstr>
      <vt:lpstr>    Provide an estimate of the total annual cost burden to respondents or recordkeep</vt:lpstr>
      <vt:lpstr>    Provide estimates of annualized cost to the Federal Government.  Also, provide a</vt:lpstr>
      <vt:lpstr>    Explain the reasons for any program changes or adjustments.</vt:lpstr>
      <vt:lpstr>    This is a new information collection request.</vt:lpstr>
      <vt:lpstr>    This is a new information collection request. For collection of information whos</vt:lpstr>
      <vt:lpstr>    If seeking approval to not display the expiration date for OMB approval of the i</vt:lpstr>
      <vt:lpstr>    Explain each exception to the certification statement.</vt:lpstr>
      <vt:lpstr>COLLECTIONS OF INFORMATION EMPLOYING STATISTICAL METHODS     </vt:lpstr>
    </vt:vector>
  </TitlesOfParts>
  <Company>U.S. Department of Labor</Company>
  <LinksUpToDate>false</LinksUpToDate>
  <CharactersWithSpaces>85276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Doris - OSHA</dc:creator>
  <cp:keywords/>
  <dc:description/>
  <cp:lastModifiedBy>Cannon, Belinda - OSHA</cp:lastModifiedBy>
  <cp:revision>2</cp:revision>
  <cp:lastPrinted>2018-07-26T12:55:00Z</cp:lastPrinted>
  <dcterms:created xsi:type="dcterms:W3CDTF">2021-06-21T18:47:00Z</dcterms:created>
  <dcterms:modified xsi:type="dcterms:W3CDTF">2021-06-21T18:47:00Z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