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6626FF" w14:paraId="1DAA9F6C" w14:textId="1FC8D46D">
      <w:pPr>
        <w:widowControl/>
        <w:jc w:val="center"/>
        <w:rPr>
          <w:rFonts w:ascii="Times New Roman" w:hAnsi="Times New Roman"/>
          <w:b/>
          <w:bCs/>
        </w:rPr>
      </w:pPr>
      <w:r>
        <w:rPr>
          <w:rFonts w:ascii="Times New Roman" w:hAnsi="Times New Roman"/>
          <w:b/>
          <w:bCs/>
        </w:rPr>
        <w:t xml:space="preserve"> </w:t>
      </w:r>
      <w:r w:rsidR="00317864">
        <w:rPr>
          <w:rFonts w:ascii="Times New Roman" w:hAnsi="Times New Roman"/>
          <w:b/>
          <w:bCs/>
        </w:rPr>
        <w:t>Employer Adoption of Voluntary Health and Safety Standards</w:t>
      </w:r>
      <w:bookmarkStart w:name="_GoBack" w:id="0"/>
      <w:bookmarkEnd w:id="0"/>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5ED81A86">
      <w:pPr>
        <w:widowControl/>
        <w:jc w:val="center"/>
        <w:rPr>
          <w:rFonts w:ascii="Times New Roman" w:hAnsi="Times New Roman"/>
          <w:b/>
          <w:bCs/>
        </w:rPr>
      </w:pPr>
      <w:r w:rsidRPr="00871CA6">
        <w:rPr>
          <w:rFonts w:ascii="Times New Roman" w:hAnsi="Times New Roman"/>
          <w:b/>
          <w:bCs/>
        </w:rPr>
        <w:t>OMB</w:t>
      </w:r>
      <w:r w:rsidR="009979B7">
        <w:rPr>
          <w:rFonts w:ascii="Times New Roman" w:hAnsi="Times New Roman"/>
          <w:b/>
          <w:bCs/>
        </w:rPr>
        <w:t xml:space="preserve"> </w:t>
      </w:r>
      <w:r w:rsidRPr="00871CA6" w:rsidR="00690F56">
        <w:rPr>
          <w:rFonts w:ascii="Times New Roman" w:hAnsi="Times New Roman"/>
          <w:b/>
          <w:bCs/>
        </w:rPr>
        <w:t xml:space="preserve">CONTROL NO. </w:t>
      </w:r>
      <w:r w:rsidR="00741455">
        <w:rPr>
          <w:rFonts w:ascii="Times New Roman" w:hAnsi="Times New Roman"/>
          <w:b/>
          <w:bCs/>
        </w:rPr>
        <w:t>1290</w:t>
      </w:r>
      <w:r w:rsidRPr="00871CA6" w:rsidR="00690F56">
        <w:rPr>
          <w:rFonts w:ascii="Times New Roman" w:hAnsi="Times New Roman"/>
          <w:b/>
          <w:bCs/>
        </w:rPr>
        <w:t>-</w:t>
      </w:r>
      <w:r w:rsidR="00741455">
        <w:rPr>
          <w:rFonts w:ascii="Times New Roman" w:hAnsi="Times New Roman"/>
          <w:b/>
          <w:bCs/>
        </w:rPr>
        <w:t>0NEW</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00530EBD" w:rsidP="00741455" w:rsidRDefault="00530EBD" w14:paraId="42A7085D" w14:textId="5A7D8CE3">
      <w:pPr>
        <w:widowControl/>
        <w:rPr>
          <w:rFonts w:ascii="Times New Roman" w:hAnsi="Times New Roman"/>
          <w:bCs/>
        </w:rPr>
      </w:pPr>
      <w:r w:rsidRPr="00D53DEB">
        <w:rPr>
          <w:rFonts w:ascii="Times New Roman" w:hAnsi="Times New Roman"/>
          <w:bCs/>
        </w:rPr>
        <w:t>This I</w:t>
      </w:r>
      <w:r w:rsidR="00C913F2">
        <w:rPr>
          <w:rFonts w:ascii="Times New Roman" w:hAnsi="Times New Roman"/>
          <w:bCs/>
        </w:rPr>
        <w:t xml:space="preserve">nformation </w:t>
      </w:r>
      <w:r w:rsidRPr="00D53DEB">
        <w:rPr>
          <w:rFonts w:ascii="Times New Roman" w:hAnsi="Times New Roman"/>
          <w:bCs/>
        </w:rPr>
        <w:t>C</w:t>
      </w:r>
      <w:r w:rsidR="00C913F2">
        <w:rPr>
          <w:rFonts w:ascii="Times New Roman" w:hAnsi="Times New Roman"/>
          <w:bCs/>
        </w:rPr>
        <w:t xml:space="preserve">ollection </w:t>
      </w:r>
      <w:r w:rsidRPr="00D53DEB">
        <w:rPr>
          <w:rFonts w:ascii="Times New Roman" w:hAnsi="Times New Roman"/>
          <w:bCs/>
        </w:rPr>
        <w:t>R</w:t>
      </w:r>
      <w:r w:rsidR="00C913F2">
        <w:rPr>
          <w:rFonts w:ascii="Times New Roman" w:hAnsi="Times New Roman"/>
          <w:bCs/>
        </w:rPr>
        <w:t>equest</w:t>
      </w:r>
      <w:r w:rsidRPr="00D53DEB">
        <w:rPr>
          <w:rFonts w:ascii="Times New Roman" w:hAnsi="Times New Roman"/>
          <w:bCs/>
        </w:rPr>
        <w:t xml:space="preserve"> seeks to </w:t>
      </w:r>
      <w:r w:rsidR="00741455">
        <w:rPr>
          <w:rFonts w:ascii="Times New Roman" w:hAnsi="Times New Roman"/>
          <w:bCs/>
        </w:rPr>
        <w:t xml:space="preserve">receive OMB </w:t>
      </w:r>
      <w:r w:rsidRPr="00741455" w:rsidR="00741455">
        <w:rPr>
          <w:rFonts w:ascii="Times New Roman" w:hAnsi="Times New Roman"/>
          <w:bCs/>
        </w:rPr>
        <w:t>clearance for the following data collection tools as part of the implementation evaluation:</w:t>
      </w:r>
      <w:r w:rsidR="00741455">
        <w:rPr>
          <w:rFonts w:ascii="Times New Roman" w:hAnsi="Times New Roman"/>
          <w:bCs/>
        </w:rPr>
        <w:t xml:space="preserve"> </w:t>
      </w:r>
      <w:r w:rsidRPr="00741455" w:rsidR="00741455">
        <w:rPr>
          <w:rFonts w:ascii="Times New Roman" w:hAnsi="Times New Roman"/>
          <w:bCs/>
        </w:rPr>
        <w:t xml:space="preserve">Survey of entities certified in conformance with </w:t>
      </w:r>
      <w:r w:rsidRPr="00741455" w:rsidR="00C913F2">
        <w:rPr>
          <w:rFonts w:ascii="Times New Roman" w:hAnsi="Times New Roman"/>
          <w:bCs/>
        </w:rPr>
        <w:t xml:space="preserve">occupational health and safety management systems </w:t>
      </w:r>
      <w:r w:rsidR="00C913F2">
        <w:rPr>
          <w:rFonts w:ascii="Times New Roman" w:hAnsi="Times New Roman"/>
          <w:bCs/>
        </w:rPr>
        <w:t>(</w:t>
      </w:r>
      <w:r w:rsidRPr="00741455" w:rsidR="00741455">
        <w:rPr>
          <w:rFonts w:ascii="Times New Roman" w:hAnsi="Times New Roman"/>
          <w:bCs/>
        </w:rPr>
        <w:t>OHSMS</w:t>
      </w:r>
      <w:r w:rsidR="00C913F2">
        <w:rPr>
          <w:rFonts w:ascii="Times New Roman" w:hAnsi="Times New Roman"/>
          <w:bCs/>
        </w:rPr>
        <w:t>)</w:t>
      </w:r>
      <w:r w:rsidRPr="00741455" w:rsidR="00741455">
        <w:rPr>
          <w:rFonts w:ascii="Times New Roman" w:hAnsi="Times New Roman"/>
          <w:bCs/>
        </w:rPr>
        <w:t xml:space="preserve"> consensus standards</w:t>
      </w:r>
      <w:r w:rsidR="004D2933">
        <w:rPr>
          <w:rFonts w:ascii="Times New Roman" w:hAnsi="Times New Roman"/>
          <w:bCs/>
        </w:rPr>
        <w:t>.</w:t>
      </w:r>
    </w:p>
    <w:p w:rsidR="00741455" w:rsidP="00D53DEB" w:rsidRDefault="00741455" w14:paraId="14FA78F5" w14:textId="0C13D76F">
      <w:pPr>
        <w:widowControl/>
        <w:rPr>
          <w:rFonts w:ascii="Times New Roman" w:hAnsi="Times New Roman"/>
          <w:bCs/>
        </w:rPr>
      </w:pPr>
    </w:p>
    <w:p w:rsidRPr="00D53DEB" w:rsidR="00741455" w:rsidP="00741455" w:rsidRDefault="00741455" w14:paraId="703C7B10" w14:textId="3E852E7D">
      <w:pPr>
        <w:widowControl/>
        <w:rPr>
          <w:rFonts w:ascii="Times New Roman" w:hAnsi="Times New Roman"/>
          <w:bCs/>
        </w:rPr>
      </w:pPr>
      <w:r w:rsidRPr="00741455">
        <w:rPr>
          <w:rFonts w:ascii="Times New Roman" w:hAnsi="Times New Roman"/>
          <w:bCs/>
        </w:rPr>
        <w:t>The U.S. Department of Labor’s (DOL’s) Chief Evaluation Office</w:t>
      </w:r>
      <w:r w:rsidR="009979B7">
        <w:rPr>
          <w:rFonts w:ascii="Times New Roman" w:hAnsi="Times New Roman"/>
          <w:bCs/>
        </w:rPr>
        <w:t xml:space="preserve"> (CEO)</w:t>
      </w:r>
      <w:r w:rsidRPr="00741455">
        <w:rPr>
          <w:rFonts w:ascii="Times New Roman" w:hAnsi="Times New Roman"/>
          <w:bCs/>
        </w:rPr>
        <w:t>, in collaboration with the Occupational Safety and Health Administration (OSHA), has commissioned an evaluation of the use of voluntary consensus standards for OHSMS. Such standards have been developed at the national and international level in recent years, and proponents believe they represent a superior approach to managing safety and health risks in the workplace. Further promotion and adoption of OHSMSs could help industry better anticipate, identify, and control risks; risks that can not only cause harm to workers but often result in substantial costs, disruptions, and reputational impacts on firms themselves. Robust evidence of the effectiveness of OHSMSs, particularly in the U.S., is limited. This evaluation will help both industry and policymakers better understand the motivations for entities that have adopted OHSMSs, the costs and benefits of doing so, and the potential contribution of OHSMSs to improved workplace safety and health. Eastern Research Group, Inc.</w:t>
      </w:r>
      <w:r w:rsidR="00C913F2">
        <w:rPr>
          <w:rFonts w:ascii="Times New Roman" w:hAnsi="Times New Roman"/>
          <w:bCs/>
        </w:rPr>
        <w:t xml:space="preserve"> (ERG)</w:t>
      </w:r>
      <w:r w:rsidRPr="00741455">
        <w:rPr>
          <w:rFonts w:ascii="Times New Roman" w:hAnsi="Times New Roman"/>
          <w:bCs/>
        </w:rPr>
        <w:t xml:space="preserve"> and its subcontractor Icarus Environmental have been contracted to conduct an implementation evaluation. </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23C75C13">
      <w:pPr>
        <w:widowControl/>
        <w:rPr>
          <w:rFonts w:ascii="Times New Roman" w:hAnsi="Times New Roman"/>
        </w:rPr>
      </w:pPr>
    </w:p>
    <w:p w:rsidR="00070ABE" w:rsidP="00741455" w:rsidRDefault="00070ABE" w14:paraId="2CA14798" w14:textId="7AD873C3">
      <w:pPr>
        <w:widowControl/>
        <w:rPr>
          <w:rFonts w:ascii="Times New Roman" w:hAnsi="Times New Roman"/>
        </w:rPr>
      </w:pPr>
      <w:r w:rsidRPr="00070ABE">
        <w:rPr>
          <w:rFonts w:ascii="Times New Roman" w:hAnsi="Times New Roman"/>
        </w:rPr>
        <w:t>CEO undertakes a learning agenda process each year to identify departmental priorities for program evaluations. This evaluation was prioritized as part of that process. Division H, Title I, Section 107 of Public Law 115-31, the Consolidated Appropriations Act of 2017, authorizes the secretary of labor to reserve not more than 0.75 percent from special budget accounts for transfer to and use by CEO for departmental program evaluation. Further, 29 USC 3224(a)(1) authorizes the secretary of labor to conduct ongoing evaluation of programs and activities to improve the management and effectiveness of these programs.</w:t>
      </w:r>
    </w:p>
    <w:p w:rsidR="00070ABE" w:rsidP="00741455" w:rsidRDefault="00070ABE" w14:paraId="6E09155F" w14:textId="63DD6766">
      <w:pPr>
        <w:widowControl/>
        <w:rPr>
          <w:rFonts w:ascii="Times New Roman" w:hAnsi="Times New Roman"/>
        </w:rPr>
      </w:pPr>
    </w:p>
    <w:p w:rsidRPr="00070ABE" w:rsidR="00070ABE" w:rsidP="00741455" w:rsidRDefault="00070ABE" w14:paraId="3FD4A473" w14:textId="26E28E74">
      <w:pPr>
        <w:widowControl/>
        <w:rPr>
          <w:rFonts w:ascii="Times New Roman" w:hAnsi="Times New Roman"/>
          <w:b/>
          <w:bCs/>
        </w:rPr>
      </w:pPr>
      <w:r w:rsidRPr="00070ABE">
        <w:rPr>
          <w:rFonts w:ascii="Times New Roman" w:hAnsi="Times New Roman"/>
          <w:b/>
          <w:bCs/>
        </w:rPr>
        <w:t>Overview of the Study</w:t>
      </w:r>
    </w:p>
    <w:p w:rsidR="00070ABE" w:rsidP="00741455" w:rsidRDefault="00070ABE" w14:paraId="5C7FCD2F" w14:textId="77777777">
      <w:pPr>
        <w:widowControl/>
        <w:rPr>
          <w:rFonts w:ascii="Times New Roman" w:hAnsi="Times New Roman"/>
        </w:rPr>
      </w:pPr>
    </w:p>
    <w:p w:rsidRPr="00741455" w:rsidR="00741455" w:rsidP="00741455" w:rsidRDefault="00741455" w14:paraId="2AC994DD" w14:textId="4BB9A950">
      <w:pPr>
        <w:widowControl/>
        <w:rPr>
          <w:rFonts w:ascii="Times New Roman" w:hAnsi="Times New Roman"/>
        </w:rPr>
      </w:pPr>
      <w:r w:rsidRPr="00741455">
        <w:rPr>
          <w:rFonts w:ascii="Times New Roman" w:hAnsi="Times New Roman"/>
        </w:rPr>
        <w:t xml:space="preserve">In recent years, standards-setting organizations in the U.S. and abroad have developed consensus standards that specify requirements for occupational health and safety management systems </w:t>
      </w:r>
      <w:r w:rsidRPr="00741455">
        <w:rPr>
          <w:rFonts w:ascii="Times New Roman" w:hAnsi="Times New Roman"/>
        </w:rPr>
        <w:lastRenderedPageBreak/>
        <w:t xml:space="preserve">(OHSMSs). These standards apply principles similar to those that were previously developed to guide the management of quality and environmental performance and that have been adopted by businesses starting in the late 1970s. Supporters of these standards suggest they can be an effective way to integrate quality, environmental and occupational health and safety in to day to day business operations and help organizations achieve continual improvement in their performance in these areas. </w:t>
      </w:r>
    </w:p>
    <w:p w:rsidRPr="00741455" w:rsidR="00741455" w:rsidP="00741455" w:rsidRDefault="00741455" w14:paraId="1260B1F0" w14:textId="77777777">
      <w:pPr>
        <w:widowControl/>
        <w:rPr>
          <w:rFonts w:ascii="Times New Roman" w:hAnsi="Times New Roman"/>
        </w:rPr>
      </w:pPr>
    </w:p>
    <w:p w:rsidRPr="00741455" w:rsidR="00741455" w:rsidP="00741455" w:rsidRDefault="00741455" w14:paraId="2296FAE3" w14:textId="43C16BC7">
      <w:pPr>
        <w:widowControl/>
        <w:rPr>
          <w:rFonts w:ascii="Times New Roman" w:hAnsi="Times New Roman"/>
        </w:rPr>
      </w:pPr>
      <w:r w:rsidRPr="00741455">
        <w:rPr>
          <w:rFonts w:ascii="Times New Roman" w:hAnsi="Times New Roman"/>
        </w:rPr>
        <w:t xml:space="preserve">Organizations that choose to do so can have their systems reviewed and certified by an accredited third-party auditor and, if successful, use their certification as a differentiator in the marketplace. Some customers may show preference for doing business with suppliers that have such certifications, and in some supply chains (e.g. the automotive sector) certifications are becoming a requirement of the large organizations. </w:t>
      </w:r>
    </w:p>
    <w:p w:rsidRPr="00741455" w:rsidR="00741455" w:rsidP="00741455" w:rsidRDefault="00741455" w14:paraId="1523A0DF" w14:textId="77777777">
      <w:pPr>
        <w:widowControl/>
        <w:rPr>
          <w:rFonts w:ascii="Times New Roman" w:hAnsi="Times New Roman"/>
        </w:rPr>
      </w:pPr>
    </w:p>
    <w:p w:rsidRPr="00741455" w:rsidR="00741455" w:rsidP="00741455" w:rsidRDefault="00741455" w14:paraId="12DF4CA7" w14:textId="16555225">
      <w:pPr>
        <w:widowControl/>
        <w:rPr>
          <w:rFonts w:ascii="Times New Roman" w:hAnsi="Times New Roman"/>
        </w:rPr>
      </w:pPr>
      <w:r w:rsidRPr="00741455">
        <w:rPr>
          <w:rFonts w:ascii="Times New Roman" w:hAnsi="Times New Roman"/>
        </w:rPr>
        <w:t>Historically, most U.S. businesses have operated in a reactive mode when it comes to tak</w:t>
      </w:r>
      <w:r w:rsidR="00C913F2">
        <w:rPr>
          <w:rFonts w:ascii="Times New Roman" w:hAnsi="Times New Roman"/>
        </w:rPr>
        <w:t>ing</w:t>
      </w:r>
      <w:r w:rsidRPr="00741455">
        <w:rPr>
          <w:rFonts w:ascii="Times New Roman" w:hAnsi="Times New Roman"/>
        </w:rPr>
        <w:t xml:space="preserve"> a compliance-oriented approach to managing workplace safety and health. (Occupational Safety and Health Administration, 2016). The business hires or designates individuals who can interpret regulations and put programs in place to ensure compliance. These programs often include a combination of engineering controls, work procedures, and training. The safety and health specialist</w:t>
      </w:r>
      <w:r w:rsidR="00C913F2">
        <w:rPr>
          <w:rFonts w:ascii="Times New Roman" w:hAnsi="Times New Roman"/>
        </w:rPr>
        <w:t>s</w:t>
      </w:r>
      <w:r w:rsidRPr="00741455">
        <w:rPr>
          <w:rFonts w:ascii="Times New Roman" w:hAnsi="Times New Roman"/>
        </w:rPr>
        <w:t xml:space="preserve"> then take on the role of internal compliance officer, monitoring worker behavior and stepping in when needed. The management systems approach in the existing consensus standards differs in that management systems emphasize management leadership, worker participation, and a continual focus on identifying and correcting workplace hazards. Management’s commitment and leadership sends a signal that safety and health is a top priority. They establish goals for the program, provide necessary resources, and monitor system performance. Workers participate in all aspects of the system, giving them a sense of ownership and tapping into their unique knowledge of workplace hazards and controls. The focus on all hazards, whether previously recognized or not, helps the organization eliminate hazards before workers are injured or become ill. </w:t>
      </w:r>
    </w:p>
    <w:p w:rsidRPr="00741455" w:rsidR="00741455" w:rsidP="00741455" w:rsidRDefault="00741455" w14:paraId="1B8C5AA4" w14:textId="77777777">
      <w:pPr>
        <w:widowControl/>
        <w:rPr>
          <w:rFonts w:ascii="Times New Roman" w:hAnsi="Times New Roman"/>
        </w:rPr>
      </w:pPr>
    </w:p>
    <w:p w:rsidRPr="00741455" w:rsidR="00741455" w:rsidP="00741455" w:rsidRDefault="00741455" w14:paraId="727E135A" w14:textId="77777777">
      <w:pPr>
        <w:widowControl/>
        <w:rPr>
          <w:rFonts w:ascii="Times New Roman" w:hAnsi="Times New Roman"/>
        </w:rPr>
      </w:pPr>
      <w:r w:rsidRPr="00741455">
        <w:rPr>
          <w:rFonts w:ascii="Times New Roman" w:hAnsi="Times New Roman"/>
        </w:rPr>
        <w:t>OHSMS proponents believe this approach helps identify and eliminate risks that might otherwise go undetected. Collaboration between management and workers can lead to improved communication and morale. There is an emphasis on learning, not just from incidents where things go wrong but also from positive outcomes. Linking safety and health to other organizational priorities and integrating it into other business functions helps keep it in the forefront. (See, for example, American Society of Safety Professionals, 2019).</w:t>
      </w:r>
    </w:p>
    <w:p w:rsidRPr="00741455" w:rsidR="00741455" w:rsidP="00741455" w:rsidRDefault="00741455" w14:paraId="69B9525D" w14:textId="77777777">
      <w:pPr>
        <w:widowControl/>
        <w:rPr>
          <w:rFonts w:ascii="Times New Roman" w:hAnsi="Times New Roman"/>
        </w:rPr>
      </w:pPr>
    </w:p>
    <w:p w:rsidRPr="00741455" w:rsidR="00741455" w:rsidP="00741455" w:rsidRDefault="00741455" w14:paraId="05999E91" w14:textId="1205C5FC">
      <w:pPr>
        <w:widowControl/>
        <w:rPr>
          <w:rFonts w:ascii="Times New Roman" w:hAnsi="Times New Roman"/>
        </w:rPr>
      </w:pPr>
      <w:r w:rsidRPr="00741455">
        <w:rPr>
          <w:rFonts w:ascii="Times New Roman" w:hAnsi="Times New Roman"/>
        </w:rPr>
        <w:t xml:space="preserve">OHSMS adoption has been linked to a variety of positive business outcomes: improved risk management, reduced incidence of injuries and illness, lower insurance and other costs, improved labor productivity, improved product or service quality, better worker morale and retention, and enhanced reputation (Lee, 2018; Robson et al., 2007; Tompa et al., 2009). Yet evidence of the effectiveness of OHSMSs, particularly in the U.S., is limited. To date, although interest in the standard is high, the number of organizations certified has been limited (Fisher, 2019). Most recently, in 2018, the International Organization for Standardization (ISO) published ISO 45001, the first truly global OHSMS standard. </w:t>
      </w:r>
    </w:p>
    <w:p w:rsidRPr="00741455" w:rsidR="00741455" w:rsidP="00741455" w:rsidRDefault="00741455" w14:paraId="7164DFEA" w14:textId="77777777">
      <w:pPr>
        <w:widowControl/>
        <w:rPr>
          <w:rFonts w:ascii="Times New Roman" w:hAnsi="Times New Roman"/>
        </w:rPr>
      </w:pPr>
    </w:p>
    <w:p w:rsidRPr="00741455" w:rsidR="00741455" w:rsidP="00070ABE" w:rsidRDefault="00741455" w14:paraId="08D8E812" w14:textId="0525BF6F">
      <w:pPr>
        <w:widowControl/>
        <w:rPr>
          <w:rFonts w:ascii="Times New Roman" w:hAnsi="Times New Roman"/>
        </w:rPr>
      </w:pPr>
      <w:r w:rsidRPr="00741455">
        <w:rPr>
          <w:rFonts w:ascii="Times New Roman" w:hAnsi="Times New Roman"/>
        </w:rPr>
        <w:lastRenderedPageBreak/>
        <w:t xml:space="preserve">The literature on the effects of OHSMS adoption includes studies that examine effects on numerous business outcomes, but surprisingly few that include effects on safety and health outcomes. </w:t>
      </w:r>
    </w:p>
    <w:p w:rsidRPr="00741455" w:rsidR="00741455" w:rsidP="00741455" w:rsidRDefault="00741455" w14:paraId="5635F374" w14:textId="6DCFDD2C">
      <w:pPr>
        <w:widowControl/>
        <w:rPr>
          <w:rFonts w:ascii="Times New Roman" w:hAnsi="Times New Roman"/>
        </w:rPr>
      </w:pPr>
    </w:p>
    <w:p w:rsidR="00284271" w:rsidP="00741455" w:rsidRDefault="00741455" w14:paraId="51E366BD" w14:textId="61865A39">
      <w:pPr>
        <w:widowControl/>
        <w:rPr>
          <w:rFonts w:ascii="Times New Roman" w:hAnsi="Times New Roman"/>
        </w:rPr>
      </w:pPr>
      <w:r w:rsidRPr="00741455">
        <w:rPr>
          <w:rFonts w:ascii="Times New Roman" w:hAnsi="Times New Roman"/>
        </w:rPr>
        <w:t>The purpose of this requested data collection effort is to collect and then evaluate objective evidence on the effects of adopting voluntary, consensus-based OHSMS standards. This information will help inform industry about whether adoption of an OHSMS can help them achieve occupational safety and health and other organizational goals</w:t>
      </w:r>
      <w:r w:rsidR="00070ABE">
        <w:rPr>
          <w:rFonts w:ascii="Times New Roman" w:hAnsi="Times New Roman"/>
        </w:rPr>
        <w:t>.</w:t>
      </w:r>
    </w:p>
    <w:p w:rsidR="00070ABE" w:rsidP="00741455" w:rsidRDefault="00070ABE" w14:paraId="7A401738" w14:textId="77777777">
      <w:pPr>
        <w:widowControl/>
        <w:rPr>
          <w:rFonts w:ascii="Times New Roman" w:hAnsi="Times New Roman"/>
        </w:rPr>
      </w:pPr>
    </w:p>
    <w:p w:rsidR="00D5700C" w:rsidP="00741455" w:rsidRDefault="00284271" w14:paraId="2835B299" w14:textId="220AEF97">
      <w:pPr>
        <w:widowControl/>
        <w:rPr>
          <w:rFonts w:ascii="Times New Roman" w:hAnsi="Times New Roman"/>
        </w:rPr>
      </w:pPr>
      <w:r>
        <w:rPr>
          <w:rFonts w:ascii="Times New Roman" w:hAnsi="Times New Roman"/>
        </w:rPr>
        <w:t xml:space="preserve">This information collection will also add to the knowledge base regarding employer </w:t>
      </w:r>
      <w:r w:rsidR="00C64C26">
        <w:rPr>
          <w:rFonts w:ascii="Times New Roman" w:hAnsi="Times New Roman"/>
        </w:rPr>
        <w:t xml:space="preserve">preparedness for, and </w:t>
      </w:r>
      <w:r>
        <w:rPr>
          <w:rFonts w:ascii="Times New Roman" w:hAnsi="Times New Roman"/>
        </w:rPr>
        <w:t>responses to</w:t>
      </w:r>
      <w:r w:rsidR="00C64C26">
        <w:rPr>
          <w:rFonts w:ascii="Times New Roman" w:hAnsi="Times New Roman"/>
        </w:rPr>
        <w:t>,</w:t>
      </w:r>
      <w:r>
        <w:rPr>
          <w:rFonts w:ascii="Times New Roman" w:hAnsi="Times New Roman"/>
        </w:rPr>
        <w:t xml:space="preserve"> the COVID-19 pandemic. As noted above, an OHSMS involves a more systematic approach to identifying and controlling occupational safety and health risks. </w:t>
      </w:r>
      <w:r w:rsidR="00D5700C">
        <w:rPr>
          <w:rFonts w:ascii="Times New Roman" w:hAnsi="Times New Roman"/>
        </w:rPr>
        <w:t>This information collection will include questions such as:</w:t>
      </w:r>
    </w:p>
    <w:p w:rsidR="00D5700C" w:rsidP="00741455" w:rsidRDefault="00D5700C" w14:paraId="48C66A19" w14:textId="77777777">
      <w:pPr>
        <w:widowControl/>
        <w:rPr>
          <w:rFonts w:ascii="Times New Roman" w:hAnsi="Times New Roman"/>
        </w:rPr>
      </w:pPr>
    </w:p>
    <w:p w:rsidR="00D5700C" w:rsidP="00D5700C" w:rsidRDefault="00D5700C" w14:paraId="117EEFCB" w14:textId="099FF137">
      <w:pPr>
        <w:pStyle w:val="ListParagraph"/>
        <w:widowControl/>
        <w:numPr>
          <w:ilvl w:val="0"/>
          <w:numId w:val="14"/>
        </w:numPr>
        <w:rPr>
          <w:rFonts w:ascii="Times New Roman" w:hAnsi="Times New Roman"/>
        </w:rPr>
      </w:pPr>
      <w:r>
        <w:rPr>
          <w:rFonts w:ascii="Times New Roman" w:hAnsi="Times New Roman"/>
        </w:rPr>
        <w:t>Whether the OHSMS identified infectious diseases such as COVID-19 as a business risk.</w:t>
      </w:r>
    </w:p>
    <w:p w:rsidR="00D5700C" w:rsidP="00D5700C" w:rsidRDefault="00D5700C" w14:paraId="57C716E0" w14:textId="7E0CF6AD">
      <w:pPr>
        <w:pStyle w:val="ListParagraph"/>
        <w:widowControl/>
        <w:numPr>
          <w:ilvl w:val="0"/>
          <w:numId w:val="14"/>
        </w:numPr>
        <w:rPr>
          <w:rFonts w:ascii="Times New Roman" w:hAnsi="Times New Roman"/>
        </w:rPr>
      </w:pPr>
      <w:r>
        <w:rPr>
          <w:rFonts w:ascii="Times New Roman" w:hAnsi="Times New Roman"/>
        </w:rPr>
        <w:t>Whether specific plans had been developed under the OHSMS to aid in responding to a pandemic.</w:t>
      </w:r>
    </w:p>
    <w:p w:rsidR="00D5700C" w:rsidP="00D5700C" w:rsidRDefault="00D5700C" w14:paraId="78851469" w14:textId="31FB6E47">
      <w:pPr>
        <w:pStyle w:val="ListParagraph"/>
        <w:widowControl/>
        <w:numPr>
          <w:ilvl w:val="0"/>
          <w:numId w:val="14"/>
        </w:numPr>
        <w:rPr>
          <w:rFonts w:ascii="Times New Roman" w:hAnsi="Times New Roman"/>
        </w:rPr>
      </w:pPr>
      <w:r>
        <w:rPr>
          <w:rFonts w:ascii="Times New Roman" w:hAnsi="Times New Roman"/>
        </w:rPr>
        <w:t xml:space="preserve">Whether the OHSMS </w:t>
      </w:r>
      <w:r w:rsidR="00C64C26">
        <w:rPr>
          <w:rFonts w:ascii="Times New Roman" w:hAnsi="Times New Roman"/>
        </w:rPr>
        <w:t>helped the organization</w:t>
      </w:r>
      <w:r>
        <w:rPr>
          <w:rFonts w:ascii="Times New Roman" w:hAnsi="Times New Roman"/>
        </w:rPr>
        <w:t>:</w:t>
      </w:r>
    </w:p>
    <w:p w:rsidR="00D5700C" w:rsidP="00D5700C" w:rsidRDefault="00D5700C" w14:paraId="1660C560" w14:textId="511ABFD4">
      <w:pPr>
        <w:pStyle w:val="ListParagraph"/>
        <w:widowControl/>
        <w:numPr>
          <w:ilvl w:val="1"/>
          <w:numId w:val="14"/>
        </w:numPr>
        <w:rPr>
          <w:rFonts w:ascii="Times New Roman" w:hAnsi="Times New Roman"/>
        </w:rPr>
      </w:pPr>
      <w:r>
        <w:rPr>
          <w:rFonts w:ascii="Times New Roman" w:hAnsi="Times New Roman"/>
        </w:rPr>
        <w:t>identify resources needed to respond to the pandemic</w:t>
      </w:r>
    </w:p>
    <w:p w:rsidR="00D5700C" w:rsidP="00D5700C" w:rsidRDefault="00D5700C" w14:paraId="1006739F" w14:textId="667A1020">
      <w:pPr>
        <w:pStyle w:val="ListParagraph"/>
        <w:widowControl/>
        <w:numPr>
          <w:ilvl w:val="1"/>
          <w:numId w:val="14"/>
        </w:numPr>
        <w:rPr>
          <w:rFonts w:ascii="Times New Roman" w:hAnsi="Times New Roman"/>
        </w:rPr>
      </w:pPr>
      <w:r>
        <w:rPr>
          <w:rFonts w:ascii="Times New Roman" w:hAnsi="Times New Roman"/>
        </w:rPr>
        <w:t>mak</w:t>
      </w:r>
      <w:r w:rsidR="00C64C26">
        <w:rPr>
          <w:rFonts w:ascii="Times New Roman" w:hAnsi="Times New Roman"/>
        </w:rPr>
        <w:t xml:space="preserve">e </w:t>
      </w:r>
      <w:r>
        <w:rPr>
          <w:rFonts w:ascii="Times New Roman" w:hAnsi="Times New Roman"/>
        </w:rPr>
        <w:t>decisions on whether to continue operations under the pandemic</w:t>
      </w:r>
    </w:p>
    <w:p w:rsidR="00D5700C" w:rsidP="00D5700C" w:rsidRDefault="00C64C26" w14:paraId="29F2CE09" w14:textId="33842CBB">
      <w:pPr>
        <w:pStyle w:val="ListParagraph"/>
        <w:widowControl/>
        <w:numPr>
          <w:ilvl w:val="1"/>
          <w:numId w:val="14"/>
        </w:numPr>
        <w:rPr>
          <w:rFonts w:ascii="Times New Roman" w:hAnsi="Times New Roman"/>
        </w:rPr>
      </w:pPr>
      <w:r>
        <w:rPr>
          <w:rFonts w:ascii="Times New Roman" w:hAnsi="Times New Roman"/>
        </w:rPr>
        <w:t>m</w:t>
      </w:r>
      <w:r w:rsidR="00D5700C">
        <w:rPr>
          <w:rFonts w:ascii="Times New Roman" w:hAnsi="Times New Roman"/>
        </w:rPr>
        <w:t>onitor and respond to worker concerns about the pandemic</w:t>
      </w:r>
    </w:p>
    <w:p w:rsidR="00D5700C" w:rsidP="00D5700C" w:rsidRDefault="00C64C26" w14:paraId="255D6765" w14:textId="36478E7A">
      <w:pPr>
        <w:pStyle w:val="ListParagraph"/>
        <w:widowControl/>
        <w:numPr>
          <w:ilvl w:val="1"/>
          <w:numId w:val="14"/>
        </w:numPr>
        <w:rPr>
          <w:rFonts w:ascii="Times New Roman" w:hAnsi="Times New Roman"/>
        </w:rPr>
      </w:pPr>
      <w:r>
        <w:rPr>
          <w:rFonts w:ascii="Times New Roman" w:hAnsi="Times New Roman"/>
        </w:rPr>
        <w:t>c</w:t>
      </w:r>
      <w:r w:rsidR="00D5700C">
        <w:rPr>
          <w:rFonts w:ascii="Times New Roman" w:hAnsi="Times New Roman"/>
        </w:rPr>
        <w:t>ommunica</w:t>
      </w:r>
      <w:r>
        <w:rPr>
          <w:rFonts w:ascii="Times New Roman" w:hAnsi="Times New Roman"/>
        </w:rPr>
        <w:t>te</w:t>
      </w:r>
      <w:r w:rsidR="00D5700C">
        <w:rPr>
          <w:rFonts w:ascii="Times New Roman" w:hAnsi="Times New Roman"/>
        </w:rPr>
        <w:t xml:space="preserve"> throughout the organization during the pandemic</w:t>
      </w:r>
    </w:p>
    <w:p w:rsidR="00D5700C" w:rsidP="00D5700C" w:rsidRDefault="00C64C26" w14:paraId="5BA9AF54" w14:textId="76E060AB">
      <w:pPr>
        <w:pStyle w:val="ListParagraph"/>
        <w:widowControl/>
        <w:numPr>
          <w:ilvl w:val="1"/>
          <w:numId w:val="14"/>
        </w:numPr>
        <w:rPr>
          <w:rFonts w:ascii="Times New Roman" w:hAnsi="Times New Roman"/>
        </w:rPr>
      </w:pPr>
      <w:r>
        <w:rPr>
          <w:rFonts w:ascii="Times New Roman" w:hAnsi="Times New Roman"/>
        </w:rPr>
        <w:t>o</w:t>
      </w:r>
      <w:r w:rsidR="00D5700C">
        <w:rPr>
          <w:rFonts w:ascii="Times New Roman" w:hAnsi="Times New Roman"/>
        </w:rPr>
        <w:t>perate more safely during the pandemic</w:t>
      </w:r>
    </w:p>
    <w:p w:rsidRPr="00D5700C" w:rsidR="00D5700C" w:rsidP="00D5700C" w:rsidRDefault="00D5700C" w14:paraId="5CD2E173" w14:textId="77777777">
      <w:pPr>
        <w:widowControl/>
        <w:rPr>
          <w:rFonts w:ascii="Times New Roman" w:hAnsi="Times New Roman"/>
        </w:rPr>
      </w:pPr>
    </w:p>
    <w:p w:rsidR="00741455" w:rsidP="00741455" w:rsidRDefault="009979B7" w14:paraId="5FFAE06B" w14:textId="623D1C06">
      <w:pPr>
        <w:widowControl/>
        <w:rPr>
          <w:rFonts w:ascii="Times New Roman" w:hAnsi="Times New Roman"/>
        </w:rPr>
      </w:pPr>
      <w:r>
        <w:rPr>
          <w:rFonts w:ascii="Times New Roman" w:hAnsi="Times New Roman"/>
        </w:rPr>
        <w:t xml:space="preserve">The data collection needs to start in </w:t>
      </w:r>
      <w:r w:rsidR="00341B37">
        <w:rPr>
          <w:rFonts w:ascii="Times New Roman" w:hAnsi="Times New Roman"/>
        </w:rPr>
        <w:t>October</w:t>
      </w:r>
      <w:r>
        <w:rPr>
          <w:rFonts w:ascii="Times New Roman" w:hAnsi="Times New Roman"/>
        </w:rPr>
        <w:t xml:space="preserve"> 2021. </w:t>
      </w:r>
    </w:p>
    <w:p w:rsidRPr="00D53DEB" w:rsidR="00070ABE" w:rsidP="00741455" w:rsidRDefault="00070ABE" w14:paraId="257625E7"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4D2933" w:rsidR="00741455" w:rsidP="00741455" w:rsidRDefault="00741455" w14:paraId="4369139A" w14:textId="77777777">
      <w:pPr>
        <w:widowControl/>
        <w:rPr>
          <w:rFonts w:ascii="Times New Roman" w:hAnsi="Times New Roman"/>
        </w:rPr>
      </w:pPr>
    </w:p>
    <w:p w:rsidRPr="004D2933" w:rsidR="00741455" w:rsidP="00741455" w:rsidRDefault="00741455" w14:paraId="642767D0" w14:textId="2B3CB0C4">
      <w:pPr>
        <w:widowControl/>
        <w:rPr>
          <w:rFonts w:ascii="Times New Roman" w:hAnsi="Times New Roman"/>
        </w:rPr>
      </w:pPr>
      <w:r w:rsidRPr="004D2933">
        <w:rPr>
          <w:rFonts w:ascii="Times New Roman" w:hAnsi="Times New Roman"/>
        </w:rPr>
        <w:t xml:space="preserve">DOL will be collecting the following information from entities who have adopted OHSMS standards and been certified by accredited third party auditors: </w:t>
      </w:r>
    </w:p>
    <w:p w:rsidRPr="004D2933" w:rsidR="00741455" w:rsidP="00741455" w:rsidRDefault="00741455" w14:paraId="56C67798" w14:textId="77777777">
      <w:pPr>
        <w:widowControl/>
        <w:rPr>
          <w:rFonts w:ascii="Times New Roman" w:hAnsi="Times New Roman"/>
        </w:rPr>
      </w:pPr>
    </w:p>
    <w:p w:rsidRPr="004D2933" w:rsidR="00741455" w:rsidP="00741455" w:rsidRDefault="00741455" w14:paraId="16E6E4AD"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Scope of the organization’s certification. The first survey question asks the respondent about the scope of their certification. The scope defines the physical and organizational boundaries around their OHSMS and the activities covered by their OHSMS. All OHSMS standards require the scope to be defined and the scope is included on the certificate issued by the certification body. The respondent can simply read or provide the scope from this certificate. </w:t>
      </w:r>
    </w:p>
    <w:p w:rsidRPr="004D2933" w:rsidR="00741455" w:rsidP="00741455" w:rsidRDefault="00741455" w14:paraId="32DF8E40"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Single or multi-establishment. Larger organizations with more than one establishment, location or business unit may implement a single OHSMS that covers multiple locations.</w:t>
      </w:r>
    </w:p>
    <w:p w:rsidRPr="004D2933" w:rsidR="00741455" w:rsidP="00741455" w:rsidRDefault="00741455" w14:paraId="4560F914"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Name of certifier and certification number. This will help confirm information provided by the certifiers. </w:t>
      </w:r>
    </w:p>
    <w:p w:rsidRPr="004D2933" w:rsidR="00741455" w:rsidP="00741455" w:rsidRDefault="00741455" w14:paraId="34404736"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Year and month of initial certification and year and month OHSMS implementation began. This will provide DOL with information about how long implementation usually takes and how long each organization has been certified. With this information DOL can determine the </w:t>
      </w:r>
      <w:r w:rsidRPr="004D2933">
        <w:rPr>
          <w:rFonts w:ascii="Times New Roman" w:hAnsi="Times New Roman"/>
        </w:rPr>
        <w:lastRenderedPageBreak/>
        <w:t>baseline year to use when comparing performance before and after OHSMS certification later in the survey.</w:t>
      </w:r>
    </w:p>
    <w:p w:rsidRPr="004D2933" w:rsidR="00741455" w:rsidP="00741455" w:rsidRDefault="00741455" w14:paraId="20F8BF61" w14:textId="17971C5C">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Facility and organizational characteristics. This set of questions will be used to determine the size of </w:t>
      </w:r>
      <w:r w:rsidR="006A1930">
        <w:rPr>
          <w:rFonts w:ascii="Times New Roman" w:hAnsi="Times New Roman"/>
        </w:rPr>
        <w:t xml:space="preserve">the </w:t>
      </w:r>
      <w:r w:rsidRPr="004D2933">
        <w:rPr>
          <w:rFonts w:ascii="Times New Roman" w:hAnsi="Times New Roman"/>
        </w:rPr>
        <w:t xml:space="preserve">organization, industry classification (NAICS code), ownership status, and exposure to international markets – essential demographic characteristics to help DOL understand what kinds of organizations have adopted OHSMS. </w:t>
      </w:r>
    </w:p>
    <w:p w:rsidRPr="004D2933" w:rsidR="00741455" w:rsidP="00741455" w:rsidRDefault="00741455" w14:paraId="01D2C123"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Other management system certifications held. DOL is interested in whether OHSMS certification is more prevalent among organizations that hold other, similar certifications such as ISO 9001 (quality management systems) and ISO 14001 (environmental management systems). </w:t>
      </w:r>
    </w:p>
    <w:p w:rsidRPr="004D2933" w:rsidR="00741455" w:rsidP="00741455" w:rsidRDefault="00741455" w14:paraId="0D48077A"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Motivation for OHSMS. This question will help establish the primary reason the organization implemented its OHSMS and sought certification. This will help DOL determine, for example, whether outcomes or performance varies depending on whether there were internal or external drivers for the OHSMS. </w:t>
      </w:r>
    </w:p>
    <w:p w:rsidRPr="004D2933" w:rsidR="00741455" w:rsidP="00741455" w:rsidRDefault="00741455" w14:paraId="1F5389CC"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Safety and health resources. This set of questions will help DOL determine whether there is a threshold level of resources or expertise associated with successful OHSMS implementation efforts. This section also asks about the resources specifically used to support OHSMS implementation and certification. </w:t>
      </w:r>
    </w:p>
    <w:p w:rsidRPr="004D2933" w:rsidR="00741455" w:rsidP="00741455" w:rsidRDefault="00741455" w14:paraId="62DA239A" w14:textId="1DCE8682">
      <w:pPr>
        <w:widowControl/>
        <w:rPr>
          <w:rFonts w:ascii="Times New Roman" w:hAnsi="Times New Roman"/>
        </w:rPr>
      </w:pPr>
      <w:r w:rsidRPr="004D2933">
        <w:rPr>
          <w:rFonts w:ascii="Times New Roman" w:hAnsi="Times New Roman"/>
        </w:rPr>
        <w:t>•</w:t>
      </w:r>
      <w:r w:rsidRPr="004D2933">
        <w:rPr>
          <w:rFonts w:ascii="Times New Roman" w:hAnsi="Times New Roman"/>
        </w:rPr>
        <w:tab/>
        <w:t>Performance data. This section requests the organization to provide two standard safety and health metrics (the Total Case Incident Rate [TCIR] and the Days Away, Restricted or Transferred [DART] rate) for as many prior years as t</w:t>
      </w:r>
      <w:r w:rsidR="00070ABE">
        <w:rPr>
          <w:rFonts w:ascii="Times New Roman" w:hAnsi="Times New Roman"/>
        </w:rPr>
        <w:t xml:space="preserve">he respondent has available. </w:t>
      </w:r>
      <w:r w:rsidRPr="004D2933">
        <w:rPr>
          <w:rFonts w:ascii="Times New Roman" w:hAnsi="Times New Roman"/>
        </w:rPr>
        <w:t xml:space="preserve">This will be used to compare performance before and after OHSMS adoption and certification, and to compare performance among adopters </w:t>
      </w:r>
      <w:r w:rsidR="00C913F2">
        <w:rPr>
          <w:rFonts w:ascii="Times New Roman" w:hAnsi="Times New Roman"/>
        </w:rPr>
        <w:t>and</w:t>
      </w:r>
      <w:r w:rsidRPr="004D2933">
        <w:rPr>
          <w:rFonts w:ascii="Times New Roman" w:hAnsi="Times New Roman"/>
        </w:rPr>
        <w:t xml:space="preserve"> non-adopters (e.g., using industry average TCIR and DART rates from BLS). </w:t>
      </w:r>
    </w:p>
    <w:p w:rsidRPr="004D2933" w:rsidR="00741455" w:rsidP="00741455" w:rsidRDefault="00741455" w14:paraId="6594A6FE" w14:textId="77777777">
      <w:pPr>
        <w:widowControl/>
        <w:rPr>
          <w:rFonts w:ascii="Times New Roman" w:hAnsi="Times New Roman"/>
        </w:rPr>
      </w:pPr>
      <w:r w:rsidRPr="004D2933">
        <w:rPr>
          <w:rFonts w:ascii="Times New Roman" w:hAnsi="Times New Roman"/>
        </w:rPr>
        <w:t>•</w:t>
      </w:r>
      <w:r w:rsidRPr="004D2933">
        <w:rPr>
          <w:rFonts w:ascii="Times New Roman" w:hAnsi="Times New Roman"/>
        </w:rPr>
        <w:tab/>
        <w:t xml:space="preserve">Non safety-related outcomes. This section requests respondent input on whether OHSMS implementation and certification has impacted other aspects of their business, such as productivity, costs, reputation, or worker morale. </w:t>
      </w:r>
    </w:p>
    <w:p w:rsidRPr="004D2933" w:rsidR="00741455" w:rsidP="00741455" w:rsidRDefault="00741455" w14:paraId="12D750EB" w14:textId="294B74E2">
      <w:pPr>
        <w:widowControl/>
        <w:rPr>
          <w:rFonts w:ascii="Times New Roman" w:hAnsi="Times New Roman"/>
        </w:rPr>
      </w:pPr>
      <w:r w:rsidRPr="004D2933">
        <w:rPr>
          <w:rFonts w:ascii="Times New Roman" w:hAnsi="Times New Roman"/>
        </w:rPr>
        <w:t>•</w:t>
      </w:r>
      <w:r w:rsidRPr="004D2933">
        <w:rPr>
          <w:rFonts w:ascii="Times New Roman" w:hAnsi="Times New Roman"/>
        </w:rPr>
        <w:tab/>
        <w:t>Relationship to COVID-19. The survey will ask a few questions on the extent to which entities’ OHSMS helped them respond to</w:t>
      </w:r>
      <w:r w:rsidR="00C913F2">
        <w:rPr>
          <w:rFonts w:ascii="Times New Roman" w:hAnsi="Times New Roman"/>
        </w:rPr>
        <w:t xml:space="preserve"> and</w:t>
      </w:r>
      <w:r w:rsidRPr="004D2933">
        <w:rPr>
          <w:rFonts w:ascii="Times New Roman" w:hAnsi="Times New Roman"/>
        </w:rPr>
        <w:t xml:space="preserve"> manage their resources during the COVID-19 pandemic. </w:t>
      </w:r>
    </w:p>
    <w:p w:rsidRPr="004D2933" w:rsidR="00741455" w:rsidP="00741455" w:rsidRDefault="00741455" w14:paraId="6947F766" w14:textId="77777777">
      <w:pPr>
        <w:widowControl/>
        <w:rPr>
          <w:rFonts w:ascii="Times New Roman" w:hAnsi="Times New Roman"/>
        </w:rPr>
      </w:pPr>
    </w:p>
    <w:p w:rsidRPr="004D2933" w:rsidR="00741455" w:rsidP="00741455" w:rsidRDefault="00741455" w14:paraId="08EAEE75" w14:textId="170AE3E6">
      <w:pPr>
        <w:widowControl/>
        <w:rPr>
          <w:rFonts w:ascii="Times New Roman" w:hAnsi="Times New Roman"/>
        </w:rPr>
      </w:pPr>
      <w:r w:rsidRPr="004D2933">
        <w:rPr>
          <w:rFonts w:ascii="Times New Roman" w:hAnsi="Times New Roman"/>
        </w:rPr>
        <w:t>In addition to data collected through the survey, DOL will extract data on respondents’ compliance history from existing OSHA databases.  DOL will link this data to respondent responses about OHSMS implementation and outcomes in order to examine relationships between OH</w:t>
      </w:r>
      <w:r w:rsidR="00C913F2">
        <w:rPr>
          <w:rFonts w:ascii="Times New Roman" w:hAnsi="Times New Roman"/>
        </w:rPr>
        <w:t>S</w:t>
      </w:r>
      <w:r w:rsidRPr="004D2933">
        <w:rPr>
          <w:rFonts w:ascii="Times New Roman" w:hAnsi="Times New Roman"/>
        </w:rPr>
        <w:t xml:space="preserve">MS adoption and compliance. DOL will disclose this plan to respondents as part of the survey instructions. </w:t>
      </w:r>
    </w:p>
    <w:p w:rsidRPr="004D2933" w:rsidR="00741455" w:rsidP="00741455" w:rsidRDefault="00741455" w14:paraId="37CAAF48" w14:textId="77777777">
      <w:pPr>
        <w:widowControl/>
        <w:rPr>
          <w:rFonts w:ascii="Times New Roman" w:hAnsi="Times New Roman"/>
        </w:rPr>
      </w:pPr>
    </w:p>
    <w:p w:rsidRPr="004D2933" w:rsidR="00741455" w:rsidP="00741455" w:rsidRDefault="00741455" w14:paraId="75B34082" w14:textId="77777777">
      <w:pPr>
        <w:widowControl/>
        <w:rPr>
          <w:rFonts w:ascii="Times New Roman" w:hAnsi="Times New Roman"/>
        </w:rPr>
      </w:pPr>
      <w:r w:rsidRPr="004D2933">
        <w:rPr>
          <w:rFonts w:ascii="Times New Roman" w:hAnsi="Times New Roman"/>
        </w:rPr>
        <w:t xml:space="preserve">It is anticipated that a summary of the information collected will be disseminated to the public or used to support publicly disseminated information. Individual responses will not be disseminated, and individual respondents will not be identified. </w:t>
      </w:r>
    </w:p>
    <w:p w:rsidRPr="00A47DA7" w:rsidR="00690F56" w:rsidP="00690F56" w:rsidRDefault="00690F56" w14:paraId="6EBE63D5" w14:textId="77777777">
      <w:pPr>
        <w:widowControl/>
        <w:rPr>
          <w:rFonts w:ascii="Times New Roman" w:hAnsi="Times New Roman"/>
          <w:u w:val="single"/>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41455" w:rsidR="00741455" w:rsidP="00741455" w:rsidRDefault="00741455" w14:paraId="5C6731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1455">
        <w:rPr>
          <w:rFonts w:ascii="Times New Roman" w:hAnsi="Times New Roman"/>
        </w:rPr>
        <w:t>The survey will be collected using the Qualtrics, Inc. online web data collection platform. All responses will be collected via the Qualtrics platform.</w:t>
      </w:r>
    </w:p>
    <w:p w:rsidRPr="00741455" w:rsidR="00741455" w:rsidP="00741455" w:rsidRDefault="00741455" w14:paraId="7DEA26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41455" w:rsidR="00741455" w:rsidP="00741455" w:rsidRDefault="00741455" w14:paraId="1AC73B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1455">
        <w:rPr>
          <w:rFonts w:ascii="Times New Roman" w:hAnsi="Times New Roman"/>
        </w:rPr>
        <w:t xml:space="preserve">No forms are involved, only an online survey instrument. It is not possible to generate a printable version of the form that is easily fillable by respondents. </w:t>
      </w:r>
    </w:p>
    <w:p w:rsidRPr="00741455" w:rsidR="00741455" w:rsidP="00741455" w:rsidRDefault="00741455" w14:paraId="684D1A6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741455" w:rsidRDefault="00741455" w14:paraId="1EFFB376" w14:textId="17E1E4C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1455">
        <w:rPr>
          <w:rFonts w:ascii="Times New Roman" w:hAnsi="Times New Roman"/>
        </w:rPr>
        <w:t>The results will be made available to the public in the form of a report with raw data tabulations provided in an appendix.</w:t>
      </w:r>
    </w:p>
    <w:p w:rsidRPr="006A4637" w:rsidR="00741455" w:rsidP="00741455" w:rsidRDefault="00741455" w14:paraId="5011F1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41455" w:rsidR="00741455" w:rsidP="00741455" w:rsidRDefault="009979B7" w14:paraId="5B9ADD54" w14:textId="17D5AAA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79B7">
        <w:rPr>
          <w:rFonts w:ascii="Times New Roman" w:hAnsi="Times New Roman"/>
        </w:rPr>
        <w:t xml:space="preserve">The data being collected for </w:t>
      </w:r>
      <w:r>
        <w:rPr>
          <w:rFonts w:ascii="Times New Roman" w:hAnsi="Times New Roman"/>
        </w:rPr>
        <w:t>this survey</w:t>
      </w:r>
      <w:r w:rsidRPr="009979B7">
        <w:rPr>
          <w:rFonts w:ascii="Times New Roman" w:hAnsi="Times New Roman"/>
        </w:rPr>
        <w:t xml:space="preserve"> are not otherwise available from existing sources. </w:t>
      </w:r>
      <w:r>
        <w:rPr>
          <w:rFonts w:ascii="Times New Roman" w:hAnsi="Times New Roman"/>
        </w:rPr>
        <w:t>N</w:t>
      </w:r>
      <w:r w:rsidRPr="00741455" w:rsidR="00741455">
        <w:rPr>
          <w:rFonts w:ascii="Times New Roman" w:hAnsi="Times New Roman"/>
        </w:rPr>
        <w:t xml:space="preserve">o other studies or data collection efforts have been performed that focus on this type of information for OHSMS-certified organizations in the United States. </w:t>
      </w:r>
      <w:r>
        <w:rPr>
          <w:rFonts w:ascii="Times New Roman" w:hAnsi="Times New Roman"/>
        </w:rPr>
        <w:t>There are</w:t>
      </w:r>
      <w:r w:rsidRPr="00741455" w:rsidR="00741455">
        <w:rPr>
          <w:rFonts w:ascii="Times New Roman" w:hAnsi="Times New Roman"/>
        </w:rPr>
        <w:t xml:space="preserve"> only a limited number of studies of OHSMS adoption among U.S. organizations, but the study populations were small and more limited in terms of their outcome investigations (Lo et al., 2014). In one of the most widely cited systematic reviews of this topic (Robson et al., 2007), the authors did a thorough scan of the literature and found 23 studies of OHSMS adoption effectiveness, of which 13 met the reviewer’s data quality criteria. Two of the 13 studies focused on worksites in the United States. One U.S. study analyzed a single organization (with multiple worksites) (Bunn et al., 2001) and the other examined 15 worksites subject to intervention by the study authors (LaMontagne et al., 2004). Neither of these studies collected the same type of data or as extensive a dataset </w:t>
      </w:r>
      <w:r w:rsidR="00C913F2">
        <w:rPr>
          <w:rFonts w:ascii="Times New Roman" w:hAnsi="Times New Roman"/>
        </w:rPr>
        <w:t>as</w:t>
      </w:r>
      <w:r w:rsidRPr="00741455" w:rsidR="00741455">
        <w:rPr>
          <w:rFonts w:ascii="Times New Roman" w:hAnsi="Times New Roman"/>
        </w:rPr>
        <w:t xml:space="preserve"> the present study would produce.  </w:t>
      </w:r>
    </w:p>
    <w:p w:rsidRPr="00A973AA" w:rsidR="00741455" w:rsidP="00741455" w:rsidRDefault="00741455" w14:paraId="38797364" w14:textId="01480D5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86EF219" w14:textId="3278A8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D53DEB" w:rsidR="00741455" w:rsidP="00690F56" w:rsidRDefault="00741455" w14:paraId="59D9CB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741455" w14:paraId="034A882C" w14:textId="742E7A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1455">
        <w:rPr>
          <w:rFonts w:ascii="Times New Roman" w:hAnsi="Times New Roman"/>
        </w:rPr>
        <w:t>Based on ERG’s discussions with OHSMS certification bodies, we expect that only a small proportion of OHSMS-certified organizations would be classified as small businesses. To reduce the burden on those entities, we have designed a simple survey that asks only a few key questions. We expect most organizations will be able to complete the survey within 30 minutes. To facilitate responses, the survey uses a screening question to confirm the individual responding is responsible for safety and health for the organization. Those individuals are likely to have most of the information readily available. As noted above, the survey does ask them to review records related to workplace injuries and illnesses, but these are required by law to be recorded in a standard format and retained for a minimum of five years. Such records should be readily available and accessible to the respondent.</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52CC1" w:rsidRDefault="00352CC1" w14:paraId="7228153F" w14:textId="77777777">
      <w:pPr>
        <w:widowControl/>
        <w:autoSpaceDE/>
        <w:autoSpaceDN/>
        <w:adjustRightInd/>
        <w:rPr>
          <w:rFonts w:ascii="Times New Roman" w:hAnsi="Times New Roman"/>
          <w:b/>
          <w:bCs/>
        </w:rPr>
      </w:pPr>
      <w:r>
        <w:rPr>
          <w:rFonts w:ascii="Times New Roman" w:hAnsi="Times New Roman"/>
          <w:b/>
          <w:bCs/>
        </w:rPr>
        <w:br w:type="page"/>
      </w:r>
    </w:p>
    <w:p w:rsidR="00690F56" w:rsidP="00690F56" w:rsidRDefault="00690F56" w14:paraId="5F528885" w14:textId="3B09630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D53DEB" w:rsidR="009979B7" w:rsidP="00690F56" w:rsidRDefault="009979B7" w14:paraId="685FDCC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EE5486" w:rsidR="00EE5486" w:rsidP="00070ABE" w:rsidRDefault="00EE5486" w14:paraId="3774B3C9" w14:textId="7B006F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 xml:space="preserve">The data being collected under this survey effort will be valuable to DOL in understanding what kinds of organizations adopt industry consensus-based OHSMS standards, their motivations for doing so, the resources involved, and the outcomes they deliver, particularly in terms of reduced occupational safety and health risks. This information will help inform industry about whether adoption of an OHSMS can help them achieve occupational safety and health goals. If the evidence collected indicates OHSMS is associated with significant improvements in safety and health performance, such evidence could inform policy decisions. </w:t>
      </w:r>
    </w:p>
    <w:p w:rsidRPr="00EE5486" w:rsidR="00EE5486" w:rsidP="00EE5486" w:rsidRDefault="00EE5486" w14:paraId="1321E66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E5486" w:rsidR="00EE5486" w:rsidP="00EE5486" w:rsidRDefault="00EE5486" w14:paraId="16901891" w14:textId="2FBDD4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 xml:space="preserve">Without these data, and assuming that they show positive effects, a significant tool for reducing the annual number of workplace fatalities, injuries and illnesses could be underutilized.  Furthermore, without the results of this information collection the Federal decision-making on encouraging or discouraging the use of </w:t>
      </w:r>
      <w:r w:rsidR="00C913F2">
        <w:rPr>
          <w:rFonts w:ascii="Times New Roman" w:hAnsi="Times New Roman"/>
        </w:rPr>
        <w:t xml:space="preserve">an </w:t>
      </w:r>
      <w:r w:rsidRPr="00EE5486">
        <w:rPr>
          <w:rFonts w:ascii="Times New Roman" w:hAnsi="Times New Roman"/>
        </w:rPr>
        <w:t xml:space="preserve">OHSMS would not be well supported and would be less effective.  </w:t>
      </w:r>
    </w:p>
    <w:p w:rsidRPr="00A47DA7" w:rsidR="00EE5486" w:rsidP="00EE5486" w:rsidRDefault="00EE5486" w14:paraId="6D337F20" w14:textId="3F3FDB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ACA3E9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C913F2">
        <w:rPr>
          <w:b/>
          <w:bCs/>
        </w:rPr>
        <w:t>ity</w:t>
      </w:r>
      <w:r w:rsidRPr="00D53DEB" w:rsidR="00690F56">
        <w:rPr>
          <w:b/>
          <w:bCs/>
        </w:rPr>
        <w:t xml:space="preserve">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979B7" w:rsidR="00690F56" w:rsidP="00690F56" w:rsidRDefault="00237691" w14:paraId="583D2BFF" w14:textId="0080E4A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lastRenderedPageBreak/>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w:t>
      </w:r>
      <w:r w:rsidRPr="00D53DEB" w:rsidR="00C913F2">
        <w:rPr>
          <w:b/>
          <w:bCs/>
        </w:rPr>
        <w:t>confidential</w:t>
      </w:r>
      <w:r w:rsidR="00C913F2">
        <w:rPr>
          <w:b/>
          <w:bCs/>
        </w:rPr>
        <w:t>it</w:t>
      </w:r>
      <w:r w:rsidRPr="00D53DEB" w:rsidR="00C913F2">
        <w:rPr>
          <w:b/>
          <w:bCs/>
        </w:rPr>
        <w:t>y</w:t>
      </w:r>
      <w:r w:rsidRPr="00D53DEB" w:rsidR="00690F56">
        <w:rPr>
          <w:b/>
          <w:bCs/>
        </w:rPr>
        <w:t xml:space="preserve"> to the extent permitted by law.</w:t>
      </w:r>
    </w:p>
    <w:p w:rsidR="009979B7" w:rsidP="009979B7" w:rsidRDefault="009979B7" w14:paraId="7BE3E555" w14:textId="77777777">
      <w:pPr>
        <w:pStyle w:val="ListParagraph"/>
      </w:pPr>
    </w:p>
    <w:p w:rsidRPr="00D53DEB" w:rsidR="009979B7" w:rsidP="009979B7" w:rsidRDefault="009979B7" w14:paraId="6895444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Pr="00D53DEB" w:rsidR="00642220" w:rsidP="00642220" w:rsidRDefault="00EE5486" w14:paraId="3DCDBA31" w14:textId="72F289C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EE5486">
        <w:t>There are no inconsistences with OMB guidelines.</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674211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979B7" w:rsidR="009979B7" w:rsidP="009979B7" w:rsidRDefault="009979B7" w14:paraId="6E266703" w14:textId="77777777">
      <w:pPr>
        <w:pStyle w:val="H4Number"/>
        <w:rPr>
          <w:rFonts w:ascii="Times New Roman" w:hAnsi="Times New Roman" w:cs="Times New Roman"/>
          <w:color w:val="auto"/>
        </w:rPr>
      </w:pPr>
      <w:bookmarkStart w:name="_Toc384973512" w:id="1"/>
      <w:bookmarkStart w:name="_Toc396725948" w:id="2"/>
      <w:bookmarkStart w:name="_Toc396726321" w:id="3"/>
      <w:bookmarkStart w:name="_Toc396726503" w:id="4"/>
      <w:r w:rsidRPr="009979B7">
        <w:rPr>
          <w:rFonts w:ascii="Times New Roman" w:hAnsi="Times New Roman" w:cs="Times New Roman"/>
          <w:color w:val="auto"/>
        </w:rPr>
        <w:t>1.</w:t>
      </w:r>
      <w:r w:rsidRPr="009979B7">
        <w:rPr>
          <w:rFonts w:ascii="Times New Roman" w:hAnsi="Times New Roman" w:cs="Times New Roman"/>
          <w:color w:val="auto"/>
        </w:rPr>
        <w:tab/>
      </w:r>
      <w:r w:rsidRPr="009979B7">
        <w:rPr>
          <w:rFonts w:ascii="Times New Roman" w:hAnsi="Times New Roman" w:cs="Times New Roman"/>
          <w:i/>
          <w:color w:val="auto"/>
        </w:rPr>
        <w:t>Federal Register</w:t>
      </w:r>
      <w:r w:rsidRPr="009979B7">
        <w:rPr>
          <w:rFonts w:ascii="Times New Roman" w:hAnsi="Times New Roman" w:cs="Times New Roman"/>
          <w:color w:val="auto"/>
        </w:rPr>
        <w:t xml:space="preserve"> </w:t>
      </w:r>
      <w:bookmarkEnd w:id="1"/>
      <w:r w:rsidRPr="009979B7">
        <w:rPr>
          <w:rFonts w:ascii="Times New Roman" w:hAnsi="Times New Roman" w:cs="Times New Roman"/>
          <w:color w:val="auto"/>
        </w:rPr>
        <w:t>announcement</w:t>
      </w:r>
      <w:bookmarkEnd w:id="2"/>
      <w:bookmarkEnd w:id="3"/>
      <w:bookmarkEnd w:id="4"/>
    </w:p>
    <w:p w:rsidR="009979B7" w:rsidP="00690F56" w:rsidRDefault="009979B7" w14:paraId="6CAFAE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979B7" w:rsidP="00690F56" w:rsidRDefault="00EE5486" w14:paraId="78DAED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E5486">
        <w:rPr>
          <w:rFonts w:ascii="Times New Roman" w:hAnsi="Times New Roman"/>
          <w:bCs/>
        </w:rPr>
        <w:t xml:space="preserve">A Federal Register Notice published on December 19, 2019 (84 FR 69779) solicited public comments. One comment was received expressing support for this collection. </w:t>
      </w:r>
    </w:p>
    <w:p w:rsidR="009979B7" w:rsidP="00690F56" w:rsidRDefault="009979B7" w14:paraId="35A39F7D" w14:textId="422909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9979B7" w:rsidR="009979B7" w:rsidP="009979B7" w:rsidRDefault="009979B7" w14:paraId="735BBFD7" w14:textId="77777777">
      <w:pPr>
        <w:keepNext/>
        <w:widowControl/>
        <w:tabs>
          <w:tab w:val="left" w:pos="432"/>
        </w:tabs>
        <w:autoSpaceDE/>
        <w:autoSpaceDN/>
        <w:adjustRightInd/>
        <w:spacing w:after="120"/>
        <w:ind w:left="432" w:hanging="432"/>
        <w:outlineLvl w:val="3"/>
        <w:rPr>
          <w:rFonts w:ascii="Times New Roman" w:hAnsi="Times New Roman" w:eastAsiaTheme="majorEastAsia"/>
          <w:b/>
        </w:rPr>
      </w:pPr>
      <w:r w:rsidRPr="009979B7">
        <w:rPr>
          <w:rFonts w:ascii="Times New Roman" w:hAnsi="Times New Roman" w:eastAsiaTheme="majorEastAsia"/>
          <w:b/>
        </w:rPr>
        <w:t>2.</w:t>
      </w:r>
      <w:r w:rsidRPr="009979B7">
        <w:rPr>
          <w:rFonts w:ascii="Times New Roman" w:hAnsi="Times New Roman" w:eastAsiaTheme="majorEastAsia"/>
          <w:b/>
        </w:rPr>
        <w:tab/>
        <w:t>Consultation outside of the agency</w:t>
      </w:r>
    </w:p>
    <w:p w:rsidR="009979B7" w:rsidP="00690F56" w:rsidRDefault="009979B7" w14:paraId="3B5EC6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EE5486" w:rsidP="00690F56" w:rsidRDefault="009979B7" w14:paraId="5519BBD1" w14:textId="7C3753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A</w:t>
      </w:r>
      <w:r w:rsidRPr="00EE5486" w:rsidR="00EE5486">
        <w:rPr>
          <w:rFonts w:ascii="Times New Roman" w:hAnsi="Times New Roman"/>
          <w:bCs/>
        </w:rPr>
        <w:t xml:space="preserve"> technical working group (TWG) has been established to review and provide guidance on proposed methodologies, data collection instruments, and data analysis methods. The TWG consists of experts in OHSMS and evaluation methods.</w:t>
      </w:r>
      <w:r w:rsidR="00D5700C">
        <w:rPr>
          <w:rFonts w:ascii="Times New Roman" w:hAnsi="Times New Roman"/>
          <w:bCs/>
        </w:rPr>
        <w:t xml:space="preserve"> The TWG members are listed below.</w:t>
      </w:r>
    </w:p>
    <w:p w:rsidR="00D5700C" w:rsidP="00690F56" w:rsidRDefault="00D5700C" w14:paraId="6B860495" w14:textId="0F6AAC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Style w:val="TableGrid"/>
        <w:tblW w:w="0" w:type="auto"/>
        <w:tblLook w:val="04A0" w:firstRow="1" w:lastRow="0" w:firstColumn="1" w:lastColumn="0" w:noHBand="0" w:noVBand="1"/>
      </w:tblPr>
      <w:tblGrid>
        <w:gridCol w:w="2800"/>
        <w:gridCol w:w="6465"/>
      </w:tblGrid>
      <w:tr w:rsidRPr="00EB08FF" w:rsidR="00EB08FF" w:rsidTr="00EB08FF" w14:paraId="5A1CE62E" w14:textId="77777777">
        <w:trPr>
          <w:tblHeader/>
        </w:trPr>
        <w:tc>
          <w:tcPr>
            <w:tcW w:w="2800" w:type="dxa"/>
            <w:shd w:val="clear" w:color="auto" w:fill="002060"/>
          </w:tcPr>
          <w:p w:rsidRPr="00EB08FF" w:rsidR="00EB08FF" w:rsidP="00EB08FF" w:rsidRDefault="00EB08FF" w14:paraId="4E3A11BA" w14:textId="77777777">
            <w:pPr>
              <w:keepNext/>
              <w:keepLines/>
              <w:rPr>
                <w:rFonts w:ascii="Times New Roman" w:hAnsi="Times New Roman" w:cs="Times New Roman"/>
                <w:b/>
              </w:rPr>
            </w:pPr>
            <w:r w:rsidRPr="00EB08FF">
              <w:rPr>
                <w:rFonts w:ascii="Times New Roman" w:hAnsi="Times New Roman" w:cs="Times New Roman"/>
                <w:b/>
              </w:rPr>
              <w:lastRenderedPageBreak/>
              <w:t>Name</w:t>
            </w:r>
          </w:p>
        </w:tc>
        <w:tc>
          <w:tcPr>
            <w:tcW w:w="6465" w:type="dxa"/>
            <w:shd w:val="clear" w:color="auto" w:fill="002060"/>
          </w:tcPr>
          <w:p w:rsidRPr="00EB08FF" w:rsidR="00EB08FF" w:rsidP="00EB08FF" w:rsidRDefault="00EB08FF" w14:paraId="24C6E5C6" w14:textId="5DF0FB0E">
            <w:pPr>
              <w:keepNext/>
              <w:keepLines/>
              <w:rPr>
                <w:rFonts w:ascii="Times New Roman" w:hAnsi="Times New Roman" w:cs="Times New Roman"/>
                <w:b/>
              </w:rPr>
            </w:pPr>
            <w:r>
              <w:rPr>
                <w:rFonts w:ascii="Times New Roman" w:hAnsi="Times New Roman" w:cs="Times New Roman"/>
                <w:b/>
              </w:rPr>
              <w:t xml:space="preserve">Affiliation </w:t>
            </w:r>
          </w:p>
        </w:tc>
      </w:tr>
      <w:tr w:rsidRPr="00EB08FF" w:rsidR="00EB08FF" w:rsidTr="00EB08FF" w14:paraId="2F0DA618" w14:textId="77777777">
        <w:tc>
          <w:tcPr>
            <w:tcW w:w="2800" w:type="dxa"/>
          </w:tcPr>
          <w:p w:rsidRPr="00EB08FF" w:rsidR="00EB08FF" w:rsidP="00EB08FF" w:rsidRDefault="00EB08FF" w14:paraId="68C516F5" w14:textId="403614E1">
            <w:pPr>
              <w:keepNext/>
              <w:keepLines/>
              <w:rPr>
                <w:rFonts w:ascii="Times New Roman" w:hAnsi="Times New Roman" w:cs="Times New Roman"/>
              </w:rPr>
            </w:pPr>
            <w:r w:rsidRPr="00EB08FF">
              <w:rPr>
                <w:rFonts w:ascii="Times New Roman" w:hAnsi="Times New Roman" w:cs="Times New Roman"/>
              </w:rPr>
              <w:t>Vic Toy, CIH, CSP, FAIHA </w:t>
            </w:r>
          </w:p>
        </w:tc>
        <w:tc>
          <w:tcPr>
            <w:tcW w:w="6465" w:type="dxa"/>
          </w:tcPr>
          <w:p w:rsidRPr="00EB08FF" w:rsidR="00EB08FF" w:rsidP="00EB08FF" w:rsidRDefault="00EB08FF" w14:paraId="53A187BC" w14:textId="77777777">
            <w:pPr>
              <w:keepNext/>
              <w:keepLines/>
              <w:rPr>
                <w:rFonts w:ascii="Times New Roman" w:hAnsi="Times New Roman" w:cs="Times New Roman"/>
              </w:rPr>
            </w:pPr>
            <w:r w:rsidRPr="00EB08FF">
              <w:rPr>
                <w:rFonts w:ascii="Times New Roman" w:hAnsi="Times New Roman" w:cs="Times New Roman"/>
              </w:rPr>
              <w:t>Principal, Insys OH&amp;S</w:t>
            </w:r>
          </w:p>
          <w:p w:rsidRPr="00EB08FF" w:rsidR="00EB08FF" w:rsidP="00EB08FF" w:rsidRDefault="00EB08FF" w14:paraId="76E11EC5" w14:textId="77777777">
            <w:pPr>
              <w:keepNext/>
              <w:keepLines/>
              <w:rPr>
                <w:rFonts w:ascii="Times New Roman" w:hAnsi="Times New Roman" w:cs="Times New Roman"/>
              </w:rPr>
            </w:pPr>
            <w:r w:rsidRPr="00EB08FF">
              <w:rPr>
                <w:rFonts w:ascii="Times New Roman" w:hAnsi="Times New Roman" w:cs="Times New Roman"/>
              </w:rPr>
              <w:t>Manager, Global Transformation and Strategy, Integrated Health Systems IBM (Retired)</w:t>
            </w:r>
          </w:p>
        </w:tc>
      </w:tr>
      <w:tr w:rsidRPr="00EB08FF" w:rsidR="00EB08FF" w:rsidTr="009979B7" w14:paraId="0A1A1754" w14:textId="77777777">
        <w:trPr>
          <w:trHeight w:val="701"/>
        </w:trPr>
        <w:tc>
          <w:tcPr>
            <w:tcW w:w="2800" w:type="dxa"/>
          </w:tcPr>
          <w:p w:rsidRPr="00EB08FF" w:rsidR="00EB08FF" w:rsidP="00EB08FF" w:rsidRDefault="00EB08FF" w14:paraId="39A9A68F" w14:textId="1CAD172B">
            <w:pPr>
              <w:keepNext/>
              <w:keepLines/>
              <w:rPr>
                <w:rFonts w:ascii="Times New Roman" w:hAnsi="Times New Roman" w:cs="Times New Roman"/>
              </w:rPr>
            </w:pPr>
            <w:r w:rsidRPr="00EB08FF">
              <w:rPr>
                <w:rFonts w:ascii="Times New Roman" w:hAnsi="Times New Roman" w:cs="Times New Roman"/>
              </w:rPr>
              <w:t>Kathy Seabrook, CSP, CFIOSH, EurOSHM</w:t>
            </w:r>
          </w:p>
          <w:p w:rsidRPr="00EB08FF" w:rsidR="00EB08FF" w:rsidP="00EB08FF" w:rsidRDefault="00EB08FF" w14:paraId="76846CB9" w14:textId="75CBD7AC">
            <w:pPr>
              <w:keepNext/>
              <w:keepLines/>
              <w:rPr>
                <w:rFonts w:ascii="Times New Roman" w:hAnsi="Times New Roman" w:cs="Times New Roman"/>
              </w:rPr>
            </w:pPr>
          </w:p>
        </w:tc>
        <w:tc>
          <w:tcPr>
            <w:tcW w:w="6465" w:type="dxa"/>
          </w:tcPr>
          <w:p w:rsidR="00EB08FF" w:rsidP="00EB08FF" w:rsidRDefault="00EB08FF" w14:paraId="5B9E8620" w14:textId="2E1E1188">
            <w:pPr>
              <w:keepNext/>
              <w:keepLines/>
              <w:rPr>
                <w:rFonts w:ascii="Times New Roman" w:hAnsi="Times New Roman" w:cs="Times New Roman"/>
              </w:rPr>
            </w:pPr>
            <w:r>
              <w:rPr>
                <w:rFonts w:ascii="Times New Roman" w:hAnsi="Times New Roman" w:cs="Times New Roman"/>
              </w:rPr>
              <w:t>President, Global Solutions, Inc.</w:t>
            </w:r>
          </w:p>
          <w:p w:rsidRPr="00EB08FF" w:rsidR="00EB08FF" w:rsidP="00EB08FF" w:rsidRDefault="00EB08FF" w14:paraId="4479C67B" w14:textId="00DC26B9">
            <w:pPr>
              <w:keepNext/>
              <w:keepLines/>
              <w:rPr>
                <w:rFonts w:ascii="Times New Roman" w:hAnsi="Times New Roman" w:cs="Times New Roman"/>
              </w:rPr>
            </w:pPr>
            <w:r w:rsidRPr="00EB08FF">
              <w:rPr>
                <w:rFonts w:ascii="Times New Roman" w:hAnsi="Times New Roman" w:cs="Times New Roman"/>
              </w:rPr>
              <w:t>Past President</w:t>
            </w:r>
            <w:r>
              <w:rPr>
                <w:rFonts w:ascii="Times New Roman" w:hAnsi="Times New Roman" w:cs="Times New Roman"/>
              </w:rPr>
              <w:t>,</w:t>
            </w:r>
            <w:r w:rsidRPr="00EB08FF">
              <w:rPr>
                <w:rFonts w:ascii="Times New Roman" w:hAnsi="Times New Roman" w:cs="Times New Roman"/>
              </w:rPr>
              <w:t xml:space="preserve"> American Society of Safety Engineers.  </w:t>
            </w:r>
          </w:p>
        </w:tc>
      </w:tr>
      <w:tr w:rsidRPr="00EB08FF" w:rsidR="00EB08FF" w:rsidTr="00EB08FF" w14:paraId="63643990" w14:textId="77777777">
        <w:tc>
          <w:tcPr>
            <w:tcW w:w="2800" w:type="dxa"/>
          </w:tcPr>
          <w:p w:rsidRPr="00EB08FF" w:rsidR="00EB08FF" w:rsidP="00EB08FF" w:rsidRDefault="00EB08FF" w14:paraId="25FDB268" w14:textId="33ADD6C3">
            <w:pPr>
              <w:keepNext/>
              <w:keepLines/>
              <w:rPr>
                <w:rFonts w:ascii="Times New Roman" w:hAnsi="Times New Roman" w:cs="Times New Roman"/>
              </w:rPr>
            </w:pPr>
            <w:r w:rsidRPr="00EB08FF">
              <w:rPr>
                <w:rFonts w:ascii="Times New Roman" w:hAnsi="Times New Roman" w:cs="Times New Roman"/>
              </w:rPr>
              <w:t>Linda Goldenhar, Ph.D.</w:t>
            </w:r>
            <w:r w:rsidRPr="00EB08FF">
              <w:rPr>
                <w:rFonts w:ascii="Times New Roman" w:hAnsi="Times New Roman"/>
              </w:rPr>
              <w:t xml:space="preserve"> </w:t>
            </w:r>
          </w:p>
          <w:p w:rsidRPr="00EB08FF" w:rsidR="00EB08FF" w:rsidP="00EB08FF" w:rsidRDefault="00EB08FF" w14:paraId="72F4B9CA" w14:textId="375E8CE9">
            <w:pPr>
              <w:keepNext/>
              <w:keepLines/>
              <w:rPr>
                <w:rFonts w:ascii="Times New Roman" w:hAnsi="Times New Roman" w:cs="Times New Roman"/>
              </w:rPr>
            </w:pPr>
          </w:p>
        </w:tc>
        <w:tc>
          <w:tcPr>
            <w:tcW w:w="6465" w:type="dxa"/>
          </w:tcPr>
          <w:p w:rsidRPr="00EB08FF" w:rsidR="00EB08FF" w:rsidP="00EB08FF" w:rsidRDefault="00EB08FF" w14:paraId="31886FA6" w14:textId="77777777">
            <w:pPr>
              <w:keepNext/>
              <w:keepLines/>
              <w:rPr>
                <w:rFonts w:ascii="Times New Roman" w:hAnsi="Times New Roman" w:cs="Times New Roman"/>
              </w:rPr>
            </w:pPr>
            <w:r w:rsidRPr="00EB08FF">
              <w:rPr>
                <w:rFonts w:ascii="Times New Roman" w:hAnsi="Times New Roman" w:cs="Times New Roman"/>
              </w:rPr>
              <w:t>Director, Research and Evaluation, The Center for Construction Research and Training (CPWR).</w:t>
            </w:r>
          </w:p>
        </w:tc>
      </w:tr>
      <w:tr w:rsidRPr="00EB08FF" w:rsidR="00EB08FF" w:rsidTr="009979B7" w14:paraId="6D2CAAB5" w14:textId="77777777">
        <w:trPr>
          <w:trHeight w:val="746"/>
        </w:trPr>
        <w:tc>
          <w:tcPr>
            <w:tcW w:w="2800" w:type="dxa"/>
          </w:tcPr>
          <w:p w:rsidRPr="00EB08FF" w:rsidR="00EB08FF" w:rsidP="00EB08FF" w:rsidRDefault="00EB08FF" w14:paraId="170128C6" w14:textId="0BFB351A">
            <w:pPr>
              <w:keepNext/>
              <w:keepLines/>
              <w:shd w:val="clear" w:color="auto" w:fill="FFFFFF"/>
              <w:rPr>
                <w:rFonts w:ascii="Times New Roman" w:hAnsi="Times New Roman" w:cs="Times New Roman"/>
              </w:rPr>
            </w:pPr>
            <w:r w:rsidRPr="00EB08FF">
              <w:rPr>
                <w:rFonts w:ascii="Times New Roman" w:hAnsi="Times New Roman" w:cs="Times New Roman"/>
              </w:rPr>
              <w:t>Jonathan Thomas, MS</w:t>
            </w:r>
          </w:p>
          <w:p w:rsidRPr="00EB08FF" w:rsidR="00EB08FF" w:rsidP="00EB08FF" w:rsidRDefault="00EB08FF" w14:paraId="3DDC3275" w14:textId="2F14CE35">
            <w:pPr>
              <w:keepNext/>
              <w:keepLines/>
              <w:shd w:val="clear" w:color="auto" w:fill="FFFFFF"/>
              <w:rPr>
                <w:rFonts w:ascii="Times New Roman" w:hAnsi="Times New Roman" w:cs="Times New Roman"/>
              </w:rPr>
            </w:pPr>
          </w:p>
        </w:tc>
        <w:tc>
          <w:tcPr>
            <w:tcW w:w="6465" w:type="dxa"/>
          </w:tcPr>
          <w:p w:rsidRPr="00EB08FF" w:rsidR="00EB08FF" w:rsidP="00EB08FF" w:rsidRDefault="00EB08FF" w14:paraId="1C2E74C0" w14:textId="1D6A8A1C">
            <w:pPr>
              <w:keepNext/>
              <w:keepLines/>
              <w:rPr>
                <w:rFonts w:ascii="Times New Roman" w:hAnsi="Times New Roman" w:cs="Times New Roman"/>
              </w:rPr>
            </w:pPr>
            <w:r w:rsidRPr="00EB08FF">
              <w:rPr>
                <w:rFonts w:ascii="Times New Roman" w:hAnsi="Times New Roman" w:cs="Times New Roman"/>
              </w:rPr>
              <w:t>Senior Director</w:t>
            </w:r>
            <w:r>
              <w:rPr>
                <w:rFonts w:ascii="Times New Roman" w:hAnsi="Times New Roman" w:cs="Times New Roman"/>
              </w:rPr>
              <w:t xml:space="preserve">, </w:t>
            </w:r>
            <w:r w:rsidRPr="00EB08FF">
              <w:rPr>
                <w:rFonts w:ascii="Times New Roman" w:hAnsi="Times New Roman" w:cs="Times New Roman"/>
              </w:rPr>
              <w:t>Research &amp; Survey Services</w:t>
            </w:r>
            <w:r>
              <w:rPr>
                <w:rFonts w:ascii="Times New Roman" w:hAnsi="Times New Roman" w:cs="Times New Roman"/>
              </w:rPr>
              <w:t xml:space="preserve">, </w:t>
            </w:r>
            <w:r w:rsidRPr="00EB08FF">
              <w:rPr>
                <w:rFonts w:ascii="Times New Roman" w:hAnsi="Times New Roman" w:cs="Times New Roman"/>
              </w:rPr>
              <w:t>National Safety Council</w:t>
            </w:r>
          </w:p>
        </w:tc>
      </w:tr>
      <w:tr w:rsidRPr="00EB08FF" w:rsidR="00EB08FF" w:rsidTr="009979B7" w14:paraId="227196EB" w14:textId="77777777">
        <w:trPr>
          <w:trHeight w:val="575"/>
        </w:trPr>
        <w:tc>
          <w:tcPr>
            <w:tcW w:w="2800" w:type="dxa"/>
          </w:tcPr>
          <w:p w:rsidRPr="00EB08FF" w:rsidR="00EB08FF" w:rsidP="00EB08FF" w:rsidRDefault="00EB08FF" w14:paraId="310FF955" w14:textId="1F9A7FBA">
            <w:pPr>
              <w:keepNext/>
              <w:keepLines/>
              <w:shd w:val="clear" w:color="auto" w:fill="FFFFFF"/>
              <w:rPr>
                <w:rFonts w:ascii="Times New Roman" w:hAnsi="Times New Roman" w:cs="Times New Roman"/>
              </w:rPr>
            </w:pPr>
            <w:r w:rsidRPr="00EB08FF">
              <w:rPr>
                <w:rFonts w:ascii="Times New Roman" w:hAnsi="Times New Roman" w:cs="Times New Roman"/>
              </w:rPr>
              <w:t>James Thornton, CSP, CIH</w:t>
            </w:r>
          </w:p>
        </w:tc>
        <w:tc>
          <w:tcPr>
            <w:tcW w:w="6465" w:type="dxa"/>
          </w:tcPr>
          <w:p w:rsidRPr="00EB08FF" w:rsidR="00EB08FF" w:rsidP="00EB08FF" w:rsidRDefault="00EB08FF" w14:paraId="4CDCFDEE" w14:textId="77777777">
            <w:pPr>
              <w:keepNext/>
              <w:keepLines/>
              <w:rPr>
                <w:rFonts w:ascii="Times New Roman" w:hAnsi="Times New Roman" w:cs="Times New Roman"/>
              </w:rPr>
            </w:pPr>
            <w:r w:rsidRPr="00EB08FF">
              <w:rPr>
                <w:rFonts w:ascii="Times New Roman" w:hAnsi="Times New Roman" w:cs="Times New Roman"/>
              </w:rPr>
              <w:t xml:space="preserve">Director, EH&amp;S At HII (Norfolk Naval Shipyard) (retired) </w:t>
            </w:r>
          </w:p>
          <w:p w:rsidRPr="00EB08FF" w:rsidR="00EB08FF" w:rsidP="00EB08FF" w:rsidRDefault="00EB08FF" w14:paraId="717490E2" w14:textId="5478F11B">
            <w:pPr>
              <w:keepNext/>
              <w:keepLines/>
              <w:rPr>
                <w:rFonts w:ascii="Times New Roman" w:hAnsi="Times New Roman" w:cs="Times New Roman"/>
              </w:rPr>
            </w:pPr>
            <w:r w:rsidRPr="00EB08FF">
              <w:rPr>
                <w:rFonts w:ascii="Times New Roman" w:hAnsi="Times New Roman" w:cs="Times New Roman"/>
              </w:rPr>
              <w:t xml:space="preserve"> </w:t>
            </w:r>
          </w:p>
        </w:tc>
      </w:tr>
    </w:tbl>
    <w:p w:rsidR="0060114B" w:rsidP="0060114B" w:rsidRDefault="0060114B" w14:paraId="425C0DB9" w14:textId="22B934AB">
      <w:pPr>
        <w:widowControl/>
        <w:autoSpaceDE/>
        <w:autoSpaceDN/>
        <w:adjustRightInd/>
        <w:rPr>
          <w:rFonts w:ascii="Times New Roman" w:hAnsi="Times New Roman" w:eastAsia="Calibri"/>
        </w:rPr>
      </w:pPr>
    </w:p>
    <w:p w:rsidRPr="00A47DA7" w:rsidR="00EE5486" w:rsidP="0060114B" w:rsidRDefault="00EE5486" w14:paraId="026493F2"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EE5486" w14:paraId="3D9804C1" w14:textId="66FCEA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There are no gifts or payments being made to respondents.</w:t>
      </w:r>
    </w:p>
    <w:p w:rsidRPr="00871CA6" w:rsidR="00EE5486" w:rsidP="00690F56" w:rsidRDefault="00EE5486" w14:paraId="0FB0D4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EE5486" w14:paraId="61F2ECC1" w14:textId="23605D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Information collected will be kept private to the extent permitted by law. DOL has subcontracted with ERG to collect the data. ERG will use its online survey provider, Qualtrics, to implement the survey among OHSMS-certified organizations. To access the survey population, ERG will work with OHSMS certification bodies and request they distribute the survey link to their OHSMS certification customers. ERG will see the names and other identifying information related to the respondents but will not be providing this to any DOL agency. Instead, ERG will replace identifying information with a unique respondent code that only ERG will retain. ERG will include an explanation of this process with the survey instrument.</w:t>
      </w:r>
    </w:p>
    <w:p w:rsidRPr="00871CA6" w:rsidR="00EE5486" w:rsidP="00690F56" w:rsidRDefault="00EE5486" w14:paraId="42F050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3F71900A" w14:textId="79F88A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D53DEB" w:rsidR="009979B7" w:rsidP="00690F56" w:rsidRDefault="009979B7" w14:paraId="4EDF34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EE5486" w:rsidR="00690F56" w:rsidP="00690F56" w:rsidRDefault="00EE5486" w14:paraId="02AFA701" w14:textId="08FE34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E5486">
        <w:rPr>
          <w:rFonts w:ascii="Times New Roman" w:hAnsi="Times New Roman"/>
          <w:bCs/>
        </w:rPr>
        <w:t>The survey does not involve any sensitive questions.</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39A7CEEB">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w:t>
      </w:r>
      <w:r w:rsidR="00C913F2">
        <w:rPr>
          <w:rFonts w:ascii="Times New Roman" w:hAnsi="Times New Roman"/>
          <w:b/>
          <w:bCs/>
        </w:rPr>
        <w:t>s</w:t>
      </w:r>
      <w:r w:rsidRPr="00D53DEB" w:rsidR="00690F56">
        <w:rPr>
          <w:rFonts w:ascii="Times New Roman" w:hAnsi="Times New Roman"/>
          <w:b/>
          <w:bCs/>
        </w:rPr>
        <w:t>, and explain the reasons for the variance.  General</w:t>
      </w:r>
      <w:r w:rsidR="00C913F2">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E60FB0" w:rsidR="006626FF" w:rsidP="006626FF" w:rsidRDefault="006626FF" w14:paraId="3CD4954E" w14:textId="0B31BECD">
      <w:pPr>
        <w:ind w:left="720"/>
        <w:jc w:val="center"/>
        <w:rPr>
          <w:rFonts w:ascii="Times New Roman" w:hAnsi="Times New Roman"/>
          <w:i/>
        </w:rPr>
      </w:pPr>
      <w:r w:rsidRPr="00E60FB0">
        <w:rPr>
          <w:rFonts w:ascii="Times New Roman" w:hAnsi="Times New Roman"/>
          <w:b/>
        </w:rPr>
        <w:t>Estimated Annualized Respondent Cost and Hour Burden</w:t>
      </w:r>
    </w:p>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E5486" w:rsidP="00EE5486" w:rsidRDefault="00EE5486" w14:paraId="7A4720CC" w14:textId="10D89840">
      <w:pPr>
        <w:rPr>
          <w:rFonts w:ascii="Times New Roman" w:hAnsi="Times New Roman"/>
        </w:rPr>
      </w:pPr>
      <w:r w:rsidRPr="00EE5486">
        <w:rPr>
          <w:rFonts w:ascii="Times New Roman" w:hAnsi="Times New Roman"/>
        </w:rPr>
        <w:fldChar w:fldCharType="begin"/>
      </w:r>
      <w:r w:rsidRPr="00EE5486">
        <w:rPr>
          <w:rFonts w:ascii="Times New Roman" w:hAnsi="Times New Roman"/>
        </w:rPr>
        <w:instrText xml:space="preserve"> REF _Ref531962827 \h  \* MERGEFORMAT </w:instrText>
      </w:r>
      <w:r w:rsidRPr="00EE5486">
        <w:rPr>
          <w:rFonts w:ascii="Times New Roman" w:hAnsi="Times New Roman"/>
        </w:rPr>
      </w:r>
      <w:r w:rsidRPr="00EE5486">
        <w:rPr>
          <w:rFonts w:ascii="Times New Roman" w:hAnsi="Times New Roman"/>
        </w:rPr>
        <w:fldChar w:fldCharType="separate"/>
      </w:r>
      <w:r w:rsidRPr="00EE5486">
        <w:rPr>
          <w:rFonts w:ascii="Times New Roman" w:hAnsi="Times New Roman"/>
        </w:rPr>
        <w:t xml:space="preserve">Table </w:t>
      </w:r>
      <w:r w:rsidRPr="00EE5486">
        <w:rPr>
          <w:rFonts w:ascii="Times New Roman" w:hAnsi="Times New Roman"/>
          <w:noProof/>
        </w:rPr>
        <w:t>1</w:t>
      </w:r>
      <w:r w:rsidRPr="00EE5486">
        <w:rPr>
          <w:rFonts w:ascii="Times New Roman" w:hAnsi="Times New Roman"/>
        </w:rPr>
        <w:fldChar w:fldCharType="end"/>
      </w:r>
      <w:r w:rsidRPr="00EE5486">
        <w:rPr>
          <w:rFonts w:ascii="Times New Roman" w:hAnsi="Times New Roman"/>
        </w:rPr>
        <w:t xml:space="preserve"> provides an estimate of the burden hours for this data collection, annualized over a three year collection period. Based on information provided to date from OHSMS certification bodies, DOL expects to collect responses from a maximum of 1,000 certified organizations, or 333 organizations on an annualized basis. However, this is potentially an overestimate since not all certification bodies have agreed to participate and the total number of certified organizations in the U.S. is unknown. Nevertheless, the estimates outlined below provide a conservative estimate of total response, and hence, burden. The estimated number of responses results in 500 burden hours based on our assumed average 30-minute response time, or 167 hours on an annualized basis.  </w:t>
      </w:r>
    </w:p>
    <w:p w:rsidRPr="00EE5486" w:rsidR="00341B37" w:rsidP="00EE5486" w:rsidRDefault="00341B37" w14:paraId="60557709" w14:textId="77777777">
      <w:pPr>
        <w:rPr>
          <w:rFonts w:ascii="Times New Roman" w:hAnsi="Times New Roman"/>
        </w:rPr>
      </w:pPr>
    </w:p>
    <w:p w:rsidRPr="00EE5486" w:rsidR="00341B37" w:rsidP="00341B37" w:rsidRDefault="00341B37" w14:paraId="6EC0DAFC" w14:textId="77777777">
      <w:pPr>
        <w:keepNext/>
        <w:rPr>
          <w:rFonts w:ascii="Times New Roman" w:hAnsi="Times New Roman"/>
          <w:b/>
          <w:bCs/>
          <w:sz w:val="20"/>
          <w:szCs w:val="20"/>
        </w:rPr>
      </w:pPr>
      <w:r w:rsidRPr="00EE5486">
        <w:rPr>
          <w:rFonts w:ascii="Times New Roman" w:hAnsi="Times New Roman"/>
          <w:b/>
          <w:bCs/>
          <w:sz w:val="20"/>
          <w:szCs w:val="20"/>
        </w:rPr>
        <w:t xml:space="preserve">Table </w:t>
      </w:r>
      <w:r w:rsidRPr="00EE5486">
        <w:rPr>
          <w:rFonts w:ascii="Times New Roman" w:hAnsi="Times New Roman"/>
          <w:b/>
          <w:bCs/>
          <w:sz w:val="20"/>
          <w:szCs w:val="20"/>
        </w:rPr>
        <w:fldChar w:fldCharType="begin"/>
      </w:r>
      <w:r w:rsidRPr="00EE5486">
        <w:rPr>
          <w:rFonts w:ascii="Times New Roman" w:hAnsi="Times New Roman"/>
          <w:b/>
          <w:bCs/>
          <w:sz w:val="20"/>
          <w:szCs w:val="20"/>
        </w:rPr>
        <w:instrText xml:space="preserve"> SEQ Table \* ARABIC </w:instrText>
      </w:r>
      <w:r w:rsidRPr="00EE5486">
        <w:rPr>
          <w:rFonts w:ascii="Times New Roman" w:hAnsi="Times New Roman"/>
          <w:b/>
          <w:bCs/>
          <w:sz w:val="20"/>
          <w:szCs w:val="20"/>
        </w:rPr>
        <w:fldChar w:fldCharType="separate"/>
      </w:r>
      <w:r w:rsidRPr="00EE5486">
        <w:rPr>
          <w:rFonts w:ascii="Times New Roman" w:hAnsi="Times New Roman"/>
          <w:b/>
          <w:bCs/>
          <w:noProof/>
          <w:sz w:val="20"/>
          <w:szCs w:val="20"/>
        </w:rPr>
        <w:t>1</w:t>
      </w:r>
      <w:r w:rsidRPr="00EE5486">
        <w:rPr>
          <w:rFonts w:ascii="Times New Roman" w:hAnsi="Times New Roman"/>
          <w:b/>
          <w:bCs/>
          <w:sz w:val="20"/>
          <w:szCs w:val="20"/>
        </w:rPr>
        <w:fldChar w:fldCharType="end"/>
      </w:r>
      <w:r w:rsidRPr="00EE5486">
        <w:rPr>
          <w:rFonts w:ascii="Times New Roman" w:hAnsi="Times New Roman"/>
          <w:b/>
          <w:bCs/>
          <w:sz w:val="20"/>
          <w:szCs w:val="20"/>
        </w:rPr>
        <w:t>. Estimated Annualized Respondent Hour and Cost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7"/>
        <w:gridCol w:w="1301"/>
        <w:gridCol w:w="1172"/>
        <w:gridCol w:w="1186"/>
        <w:gridCol w:w="1159"/>
        <w:gridCol w:w="1015"/>
        <w:gridCol w:w="927"/>
        <w:gridCol w:w="1013"/>
      </w:tblGrid>
      <w:tr w:rsidRPr="00EE5486" w:rsidR="00341B37" w:rsidTr="00513AE3" w14:paraId="7D42BDE9" w14:textId="77777777">
        <w:tc>
          <w:tcPr>
            <w:tcW w:w="1703" w:type="dxa"/>
            <w:shd w:val="clear" w:color="auto" w:fill="BFBFBF"/>
            <w:vAlign w:val="bottom"/>
          </w:tcPr>
          <w:p w:rsidRPr="00EE5486" w:rsidR="00341B37" w:rsidP="00513AE3" w:rsidRDefault="00341B37" w14:paraId="779DDED1" w14:textId="77777777">
            <w:pPr>
              <w:keepNext/>
              <w:keepLines/>
              <w:rPr>
                <w:rFonts w:ascii="Times New Roman" w:hAnsi="Times New Roman"/>
                <w:b/>
                <w:sz w:val="20"/>
                <w:szCs w:val="20"/>
              </w:rPr>
            </w:pPr>
            <w:r w:rsidRPr="00EE5486">
              <w:rPr>
                <w:rFonts w:ascii="Times New Roman" w:hAnsi="Times New Roman"/>
                <w:b/>
                <w:sz w:val="20"/>
                <w:szCs w:val="20"/>
              </w:rPr>
              <w:t>Collection</w:t>
            </w:r>
          </w:p>
        </w:tc>
        <w:tc>
          <w:tcPr>
            <w:tcW w:w="1323" w:type="dxa"/>
            <w:shd w:val="clear" w:color="auto" w:fill="BFBFBF"/>
            <w:vAlign w:val="bottom"/>
          </w:tcPr>
          <w:p w:rsidRPr="00EE5486" w:rsidR="00341B37" w:rsidP="00513AE3" w:rsidRDefault="00341B37" w14:paraId="7E7A0011" w14:textId="77777777">
            <w:pPr>
              <w:keepNext/>
              <w:keepLines/>
              <w:jc w:val="center"/>
              <w:rPr>
                <w:rFonts w:ascii="Times New Roman" w:hAnsi="Times New Roman"/>
                <w:b/>
                <w:sz w:val="20"/>
                <w:szCs w:val="20"/>
              </w:rPr>
            </w:pPr>
            <w:r w:rsidRPr="00EE5486">
              <w:rPr>
                <w:rFonts w:ascii="Times New Roman" w:hAnsi="Times New Roman"/>
                <w:b/>
                <w:sz w:val="20"/>
                <w:szCs w:val="20"/>
              </w:rPr>
              <w:t>Number of respondents</w:t>
            </w:r>
          </w:p>
        </w:tc>
        <w:tc>
          <w:tcPr>
            <w:tcW w:w="1172" w:type="dxa"/>
            <w:shd w:val="clear" w:color="auto" w:fill="BFBFBF"/>
            <w:vAlign w:val="bottom"/>
          </w:tcPr>
          <w:p w:rsidRPr="00EE5486" w:rsidR="00341B37" w:rsidP="00513AE3" w:rsidRDefault="00341B37" w14:paraId="29618E07" w14:textId="77777777">
            <w:pPr>
              <w:keepNext/>
              <w:keepLines/>
              <w:jc w:val="center"/>
              <w:rPr>
                <w:rFonts w:ascii="Times New Roman" w:hAnsi="Times New Roman"/>
                <w:b/>
                <w:sz w:val="20"/>
                <w:szCs w:val="20"/>
              </w:rPr>
            </w:pPr>
            <w:r w:rsidRPr="00EE5486">
              <w:rPr>
                <w:rFonts w:ascii="Times New Roman" w:hAnsi="Times New Roman"/>
                <w:b/>
                <w:sz w:val="20"/>
                <w:szCs w:val="20"/>
              </w:rPr>
              <w:t>Number of responses per respondent</w:t>
            </w:r>
          </w:p>
        </w:tc>
        <w:tc>
          <w:tcPr>
            <w:tcW w:w="1226" w:type="dxa"/>
            <w:shd w:val="clear" w:color="auto" w:fill="BFBFBF"/>
            <w:vAlign w:val="bottom"/>
          </w:tcPr>
          <w:p w:rsidRPr="00EE5486" w:rsidR="00341B37" w:rsidP="00513AE3" w:rsidRDefault="00341B37" w14:paraId="1E927424" w14:textId="77777777">
            <w:pPr>
              <w:keepNext/>
              <w:keepLines/>
              <w:jc w:val="center"/>
              <w:rPr>
                <w:rFonts w:ascii="Times New Roman" w:hAnsi="Times New Roman"/>
                <w:b/>
                <w:sz w:val="20"/>
                <w:szCs w:val="20"/>
              </w:rPr>
            </w:pPr>
            <w:r w:rsidRPr="00EE5486">
              <w:rPr>
                <w:rFonts w:ascii="Times New Roman" w:hAnsi="Times New Roman"/>
                <w:b/>
                <w:sz w:val="20"/>
                <w:szCs w:val="20"/>
              </w:rPr>
              <w:t>Total number of Responses</w:t>
            </w:r>
          </w:p>
        </w:tc>
        <w:tc>
          <w:tcPr>
            <w:tcW w:w="1221" w:type="dxa"/>
            <w:tcBorders>
              <w:bottom w:val="single" w:color="auto" w:sz="4" w:space="0"/>
            </w:tcBorders>
            <w:shd w:val="clear" w:color="auto" w:fill="BFBFBF"/>
            <w:vAlign w:val="bottom"/>
          </w:tcPr>
          <w:p w:rsidRPr="00EE5486" w:rsidR="00341B37" w:rsidP="00513AE3" w:rsidRDefault="00341B37" w14:paraId="737E5B7F" w14:textId="77777777">
            <w:pPr>
              <w:keepNext/>
              <w:keepLines/>
              <w:jc w:val="center"/>
              <w:rPr>
                <w:rFonts w:ascii="Times New Roman" w:hAnsi="Times New Roman"/>
                <w:b/>
                <w:sz w:val="20"/>
                <w:szCs w:val="20"/>
              </w:rPr>
            </w:pPr>
            <w:r w:rsidRPr="00EE5486">
              <w:rPr>
                <w:rFonts w:ascii="Times New Roman" w:hAnsi="Times New Roman"/>
                <w:b/>
                <w:sz w:val="20"/>
                <w:szCs w:val="20"/>
              </w:rPr>
              <w:t>Average burden Time per Response (in hours)</w:t>
            </w:r>
          </w:p>
        </w:tc>
        <w:tc>
          <w:tcPr>
            <w:tcW w:w="1082" w:type="dxa"/>
            <w:tcBorders>
              <w:bottom w:val="single" w:color="auto" w:sz="4" w:space="0"/>
            </w:tcBorders>
            <w:shd w:val="clear" w:color="auto" w:fill="BFBFBF"/>
            <w:vAlign w:val="bottom"/>
          </w:tcPr>
          <w:p w:rsidRPr="00EE5486" w:rsidR="00341B37" w:rsidP="00513AE3" w:rsidRDefault="00341B37" w14:paraId="51890FD8" w14:textId="77777777">
            <w:pPr>
              <w:keepNext/>
              <w:keepLines/>
              <w:jc w:val="center"/>
              <w:rPr>
                <w:rFonts w:ascii="Times New Roman" w:hAnsi="Times New Roman"/>
                <w:b/>
                <w:sz w:val="20"/>
                <w:szCs w:val="20"/>
              </w:rPr>
            </w:pPr>
            <w:r w:rsidRPr="00EE5486">
              <w:rPr>
                <w:rFonts w:ascii="Times New Roman" w:hAnsi="Times New Roman"/>
                <w:b/>
                <w:sz w:val="20"/>
                <w:szCs w:val="20"/>
              </w:rPr>
              <w:t>Total Burden Hours [a]</w:t>
            </w:r>
          </w:p>
        </w:tc>
        <w:tc>
          <w:tcPr>
            <w:tcW w:w="764" w:type="dxa"/>
            <w:tcBorders>
              <w:bottom w:val="single" w:color="auto" w:sz="4" w:space="0"/>
            </w:tcBorders>
            <w:shd w:val="clear" w:color="auto" w:fill="BFBFBF"/>
            <w:vAlign w:val="bottom"/>
          </w:tcPr>
          <w:p w:rsidRPr="00EE5486" w:rsidR="00341B37" w:rsidP="00513AE3" w:rsidRDefault="00341B37" w14:paraId="1231C34A" w14:textId="77777777">
            <w:pPr>
              <w:keepNext/>
              <w:keepLines/>
              <w:jc w:val="center"/>
              <w:rPr>
                <w:rFonts w:ascii="Times New Roman" w:hAnsi="Times New Roman"/>
                <w:b/>
                <w:sz w:val="20"/>
                <w:szCs w:val="20"/>
              </w:rPr>
            </w:pPr>
            <w:r w:rsidRPr="00EE5486">
              <w:rPr>
                <w:rFonts w:ascii="Times New Roman" w:hAnsi="Times New Roman"/>
                <w:b/>
                <w:sz w:val="20"/>
                <w:szCs w:val="20"/>
              </w:rPr>
              <w:t>Average Hourly Rate [b]</w:t>
            </w:r>
          </w:p>
        </w:tc>
        <w:tc>
          <w:tcPr>
            <w:tcW w:w="1085" w:type="dxa"/>
            <w:tcBorders>
              <w:bottom w:val="single" w:color="auto" w:sz="4" w:space="0"/>
            </w:tcBorders>
            <w:shd w:val="clear" w:color="auto" w:fill="BFBFBF"/>
            <w:vAlign w:val="bottom"/>
          </w:tcPr>
          <w:p w:rsidRPr="00EE5486" w:rsidR="00341B37" w:rsidP="00513AE3" w:rsidRDefault="00341B37" w14:paraId="1A1D9DFD" w14:textId="77777777">
            <w:pPr>
              <w:keepNext/>
              <w:keepLines/>
              <w:jc w:val="center"/>
              <w:rPr>
                <w:rFonts w:ascii="Times New Roman" w:hAnsi="Times New Roman"/>
                <w:b/>
                <w:sz w:val="20"/>
                <w:szCs w:val="20"/>
              </w:rPr>
            </w:pPr>
            <w:r w:rsidRPr="00EE5486">
              <w:rPr>
                <w:rFonts w:ascii="Times New Roman" w:hAnsi="Times New Roman"/>
                <w:b/>
                <w:sz w:val="20"/>
                <w:szCs w:val="20"/>
              </w:rPr>
              <w:t>Total Annual Cost</w:t>
            </w:r>
          </w:p>
        </w:tc>
      </w:tr>
      <w:tr w:rsidRPr="00EE5486" w:rsidR="00341B37" w:rsidTr="00513AE3" w14:paraId="618E284B" w14:textId="77777777">
        <w:tc>
          <w:tcPr>
            <w:tcW w:w="1703" w:type="dxa"/>
            <w:shd w:val="clear" w:color="auto" w:fill="auto"/>
            <w:vAlign w:val="center"/>
          </w:tcPr>
          <w:p w:rsidRPr="00EE5486" w:rsidR="00341B37" w:rsidP="00513AE3" w:rsidRDefault="00341B37" w14:paraId="047C8D08" w14:textId="77777777">
            <w:pPr>
              <w:keepNext/>
              <w:keepLines/>
              <w:rPr>
                <w:rFonts w:ascii="Times New Roman" w:hAnsi="Times New Roman"/>
                <w:sz w:val="20"/>
                <w:szCs w:val="20"/>
              </w:rPr>
            </w:pPr>
            <w:r w:rsidRPr="00EE5486">
              <w:rPr>
                <w:rFonts w:ascii="Times New Roman" w:hAnsi="Times New Roman"/>
                <w:sz w:val="20"/>
                <w:szCs w:val="20"/>
              </w:rPr>
              <w:t>Survey of OHSMS certified organizations</w:t>
            </w:r>
          </w:p>
        </w:tc>
        <w:tc>
          <w:tcPr>
            <w:tcW w:w="1323" w:type="dxa"/>
            <w:vAlign w:val="center"/>
          </w:tcPr>
          <w:p w:rsidRPr="00EE5486" w:rsidR="00341B37" w:rsidP="00513AE3" w:rsidRDefault="00341B37" w14:paraId="393B2946" w14:textId="77777777">
            <w:pPr>
              <w:keepNext/>
              <w:keepLines/>
              <w:jc w:val="center"/>
              <w:rPr>
                <w:rFonts w:ascii="Times New Roman" w:hAnsi="Times New Roman"/>
                <w:sz w:val="20"/>
                <w:szCs w:val="20"/>
              </w:rPr>
            </w:pPr>
            <w:r w:rsidRPr="00EE5486">
              <w:rPr>
                <w:rFonts w:ascii="Times New Roman" w:hAnsi="Times New Roman"/>
                <w:sz w:val="20"/>
                <w:szCs w:val="20"/>
              </w:rPr>
              <w:t>333</w:t>
            </w:r>
          </w:p>
        </w:tc>
        <w:tc>
          <w:tcPr>
            <w:tcW w:w="1172" w:type="dxa"/>
            <w:vAlign w:val="center"/>
          </w:tcPr>
          <w:p w:rsidRPr="00EE5486" w:rsidR="00341B37" w:rsidP="00513AE3" w:rsidRDefault="00341B37" w14:paraId="2DAB3334" w14:textId="77777777">
            <w:pPr>
              <w:keepNext/>
              <w:keepLines/>
              <w:jc w:val="center"/>
              <w:rPr>
                <w:rFonts w:ascii="Times New Roman" w:hAnsi="Times New Roman"/>
                <w:sz w:val="20"/>
                <w:szCs w:val="20"/>
              </w:rPr>
            </w:pPr>
            <w:r w:rsidRPr="00EE5486">
              <w:rPr>
                <w:rFonts w:ascii="Times New Roman" w:hAnsi="Times New Roman"/>
                <w:sz w:val="20"/>
                <w:szCs w:val="20"/>
              </w:rPr>
              <w:t>1</w:t>
            </w:r>
          </w:p>
        </w:tc>
        <w:tc>
          <w:tcPr>
            <w:tcW w:w="1226" w:type="dxa"/>
            <w:shd w:val="clear" w:color="auto" w:fill="auto"/>
            <w:vAlign w:val="center"/>
          </w:tcPr>
          <w:p w:rsidRPr="00EE5486" w:rsidR="00341B37" w:rsidP="00513AE3" w:rsidRDefault="00341B37" w14:paraId="1BD82464" w14:textId="77777777">
            <w:pPr>
              <w:keepNext/>
              <w:keepLines/>
              <w:jc w:val="center"/>
              <w:rPr>
                <w:rFonts w:ascii="Times New Roman" w:hAnsi="Times New Roman"/>
                <w:sz w:val="20"/>
                <w:szCs w:val="20"/>
              </w:rPr>
            </w:pPr>
            <w:r w:rsidRPr="00EE5486">
              <w:rPr>
                <w:rFonts w:ascii="Times New Roman" w:hAnsi="Times New Roman"/>
                <w:sz w:val="20"/>
                <w:szCs w:val="20"/>
              </w:rPr>
              <w:t>333</w:t>
            </w:r>
          </w:p>
        </w:tc>
        <w:tc>
          <w:tcPr>
            <w:tcW w:w="1221" w:type="dxa"/>
            <w:tcBorders>
              <w:top w:val="single" w:color="auto" w:sz="4" w:space="0"/>
              <w:bottom w:val="single" w:color="auto" w:sz="4" w:space="0"/>
            </w:tcBorders>
            <w:shd w:val="clear" w:color="auto" w:fill="auto"/>
            <w:vAlign w:val="center"/>
          </w:tcPr>
          <w:p w:rsidRPr="00EE5486" w:rsidR="00341B37" w:rsidP="00513AE3" w:rsidRDefault="00341B37" w14:paraId="4DF8C347" w14:textId="77777777">
            <w:pPr>
              <w:keepNext/>
              <w:keepLines/>
              <w:jc w:val="center"/>
              <w:rPr>
                <w:rFonts w:ascii="Times New Roman" w:hAnsi="Times New Roman"/>
                <w:sz w:val="20"/>
                <w:szCs w:val="20"/>
              </w:rPr>
            </w:pPr>
            <w:r w:rsidRPr="00EE5486">
              <w:rPr>
                <w:rFonts w:ascii="Times New Roman" w:hAnsi="Times New Roman"/>
                <w:sz w:val="20"/>
                <w:szCs w:val="20"/>
              </w:rPr>
              <w:t>0.5</w:t>
            </w:r>
          </w:p>
        </w:tc>
        <w:tc>
          <w:tcPr>
            <w:tcW w:w="1082" w:type="dxa"/>
            <w:tcBorders>
              <w:top w:val="single" w:color="auto" w:sz="4" w:space="0"/>
              <w:left w:val="nil"/>
              <w:bottom w:val="single" w:color="auto" w:sz="4" w:space="0"/>
              <w:right w:val="single" w:color="auto" w:sz="4" w:space="0"/>
            </w:tcBorders>
            <w:shd w:val="clear" w:color="auto" w:fill="auto"/>
            <w:vAlign w:val="center"/>
          </w:tcPr>
          <w:p w:rsidRPr="00EE5486" w:rsidR="00341B37" w:rsidP="00513AE3" w:rsidRDefault="00341B37" w14:paraId="5B686869" w14:textId="77777777">
            <w:pPr>
              <w:keepNext/>
              <w:keepLines/>
              <w:jc w:val="center"/>
              <w:rPr>
                <w:rFonts w:ascii="Times New Roman" w:hAnsi="Times New Roman"/>
                <w:sz w:val="20"/>
                <w:szCs w:val="20"/>
              </w:rPr>
            </w:pPr>
            <w:r w:rsidRPr="00EE5486">
              <w:rPr>
                <w:rFonts w:ascii="Times New Roman" w:hAnsi="Times New Roman"/>
                <w:color w:val="000000"/>
                <w:sz w:val="20"/>
                <w:szCs w:val="20"/>
              </w:rPr>
              <w:t>167</w:t>
            </w:r>
          </w:p>
        </w:tc>
        <w:tc>
          <w:tcPr>
            <w:tcW w:w="764" w:type="dxa"/>
            <w:tcBorders>
              <w:top w:val="single" w:color="auto" w:sz="4" w:space="0"/>
              <w:left w:val="single" w:color="auto" w:sz="4" w:space="0"/>
              <w:bottom w:val="single" w:color="auto" w:sz="4" w:space="0"/>
              <w:right w:val="single" w:color="auto" w:sz="4" w:space="0"/>
            </w:tcBorders>
            <w:vAlign w:val="center"/>
          </w:tcPr>
          <w:p w:rsidRPr="00EE5486" w:rsidR="00341B37" w:rsidP="00513AE3" w:rsidRDefault="00341B37" w14:paraId="4F7A7A61" w14:textId="77777777">
            <w:pPr>
              <w:keepNext/>
              <w:keepLines/>
              <w:jc w:val="center"/>
              <w:rPr>
                <w:rFonts w:ascii="Times New Roman" w:hAnsi="Times New Roman"/>
                <w:color w:val="000000"/>
                <w:sz w:val="20"/>
                <w:szCs w:val="22"/>
              </w:rPr>
            </w:pPr>
            <w:r w:rsidRPr="00EE5486">
              <w:rPr>
                <w:rFonts w:ascii="Times New Roman" w:hAnsi="Times New Roman"/>
                <w:color w:val="000000"/>
                <w:sz w:val="20"/>
                <w:szCs w:val="22"/>
              </w:rPr>
              <w:t>$</w:t>
            </w:r>
            <w:r>
              <w:rPr>
                <w:rFonts w:ascii="Times New Roman" w:hAnsi="Times New Roman"/>
                <w:color w:val="000000"/>
                <w:sz w:val="20"/>
                <w:szCs w:val="22"/>
              </w:rPr>
              <w:t>39.08</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rsidRPr="00EE5486" w:rsidR="00341B37" w:rsidP="00513AE3" w:rsidRDefault="00341B37" w14:paraId="28B5CD35" w14:textId="77777777">
            <w:pPr>
              <w:keepNext/>
              <w:keepLines/>
              <w:jc w:val="center"/>
              <w:rPr>
                <w:rFonts w:ascii="Times New Roman" w:hAnsi="Times New Roman"/>
                <w:sz w:val="20"/>
                <w:szCs w:val="20"/>
              </w:rPr>
            </w:pPr>
            <w:r w:rsidRPr="00EE5486">
              <w:rPr>
                <w:rFonts w:ascii="Times New Roman" w:hAnsi="Times New Roman"/>
                <w:color w:val="000000"/>
                <w:sz w:val="20"/>
                <w:szCs w:val="22"/>
              </w:rPr>
              <w:t>$</w:t>
            </w:r>
            <w:r>
              <w:rPr>
                <w:rFonts w:ascii="Times New Roman" w:hAnsi="Times New Roman"/>
                <w:color w:val="000000"/>
                <w:sz w:val="20"/>
                <w:szCs w:val="22"/>
              </w:rPr>
              <w:t>6,526</w:t>
            </w:r>
          </w:p>
        </w:tc>
      </w:tr>
      <w:tr w:rsidRPr="00EE5486" w:rsidR="00341B37" w:rsidTr="00513AE3" w14:paraId="70E8C2EC" w14:textId="77777777">
        <w:tc>
          <w:tcPr>
            <w:tcW w:w="1703" w:type="dxa"/>
            <w:shd w:val="clear" w:color="auto" w:fill="auto"/>
            <w:vAlign w:val="center"/>
          </w:tcPr>
          <w:p w:rsidRPr="00EE5486" w:rsidR="00341B37" w:rsidP="00513AE3" w:rsidRDefault="00341B37" w14:paraId="25ACAE5F" w14:textId="77777777">
            <w:pPr>
              <w:keepNext/>
              <w:keepLines/>
              <w:rPr>
                <w:rFonts w:ascii="Times New Roman" w:hAnsi="Times New Roman"/>
                <w:b/>
                <w:sz w:val="20"/>
                <w:szCs w:val="20"/>
              </w:rPr>
            </w:pPr>
            <w:r w:rsidRPr="00EE5486">
              <w:rPr>
                <w:rFonts w:ascii="Times New Roman" w:hAnsi="Times New Roman"/>
                <w:b/>
                <w:sz w:val="20"/>
                <w:szCs w:val="20"/>
              </w:rPr>
              <w:t>Totals</w:t>
            </w:r>
          </w:p>
        </w:tc>
        <w:tc>
          <w:tcPr>
            <w:tcW w:w="1323" w:type="dxa"/>
            <w:vAlign w:val="center"/>
          </w:tcPr>
          <w:p w:rsidRPr="00EE5486" w:rsidR="00341B37" w:rsidP="00513AE3" w:rsidRDefault="00341B37" w14:paraId="6CAA4647" w14:textId="77777777">
            <w:pPr>
              <w:keepNext/>
              <w:keepLines/>
              <w:jc w:val="center"/>
              <w:rPr>
                <w:rFonts w:ascii="Times New Roman" w:hAnsi="Times New Roman"/>
                <w:b/>
                <w:sz w:val="20"/>
                <w:szCs w:val="20"/>
              </w:rPr>
            </w:pPr>
            <w:r w:rsidRPr="00EE5486">
              <w:rPr>
                <w:rFonts w:ascii="Times New Roman" w:hAnsi="Times New Roman"/>
                <w:b/>
                <w:sz w:val="20"/>
                <w:szCs w:val="20"/>
              </w:rPr>
              <w:t>333</w:t>
            </w:r>
          </w:p>
        </w:tc>
        <w:tc>
          <w:tcPr>
            <w:tcW w:w="1172" w:type="dxa"/>
            <w:vAlign w:val="center"/>
          </w:tcPr>
          <w:p w:rsidRPr="00EE5486" w:rsidR="00341B37" w:rsidP="00513AE3" w:rsidRDefault="00341B37" w14:paraId="5B5714D7" w14:textId="77777777">
            <w:pPr>
              <w:keepNext/>
              <w:keepLines/>
              <w:jc w:val="center"/>
              <w:rPr>
                <w:rFonts w:ascii="Times New Roman" w:hAnsi="Times New Roman"/>
                <w:b/>
                <w:sz w:val="20"/>
                <w:szCs w:val="20"/>
              </w:rPr>
            </w:pPr>
            <w:r w:rsidRPr="00EE5486">
              <w:rPr>
                <w:rFonts w:ascii="Times New Roman" w:hAnsi="Times New Roman"/>
                <w:b/>
                <w:sz w:val="20"/>
                <w:szCs w:val="20"/>
              </w:rPr>
              <w:t>--</w:t>
            </w:r>
          </w:p>
        </w:tc>
        <w:tc>
          <w:tcPr>
            <w:tcW w:w="1226" w:type="dxa"/>
            <w:shd w:val="clear" w:color="auto" w:fill="auto"/>
            <w:vAlign w:val="center"/>
          </w:tcPr>
          <w:p w:rsidRPr="00EE5486" w:rsidR="00341B37" w:rsidP="00513AE3" w:rsidRDefault="00341B37" w14:paraId="36C77078" w14:textId="77777777">
            <w:pPr>
              <w:keepNext/>
              <w:keepLines/>
              <w:jc w:val="center"/>
              <w:rPr>
                <w:rFonts w:ascii="Times New Roman" w:hAnsi="Times New Roman"/>
                <w:b/>
                <w:sz w:val="20"/>
                <w:szCs w:val="20"/>
              </w:rPr>
            </w:pPr>
            <w:r w:rsidRPr="00EE5486">
              <w:rPr>
                <w:rFonts w:ascii="Times New Roman" w:hAnsi="Times New Roman"/>
                <w:b/>
                <w:sz w:val="20"/>
                <w:szCs w:val="20"/>
              </w:rPr>
              <w:t>333</w:t>
            </w:r>
          </w:p>
        </w:tc>
        <w:tc>
          <w:tcPr>
            <w:tcW w:w="1221" w:type="dxa"/>
            <w:shd w:val="clear" w:color="auto" w:fill="auto"/>
            <w:vAlign w:val="center"/>
          </w:tcPr>
          <w:p w:rsidRPr="00EE5486" w:rsidR="00341B37" w:rsidP="00513AE3" w:rsidRDefault="00341B37" w14:paraId="1C3288CF" w14:textId="77777777">
            <w:pPr>
              <w:keepNext/>
              <w:keepLines/>
              <w:jc w:val="center"/>
              <w:rPr>
                <w:rFonts w:ascii="Times New Roman" w:hAnsi="Times New Roman"/>
                <w:b/>
                <w:sz w:val="20"/>
                <w:szCs w:val="20"/>
              </w:rPr>
            </w:pPr>
            <w:r w:rsidRPr="00EE5486">
              <w:rPr>
                <w:rFonts w:ascii="Times New Roman" w:hAnsi="Times New Roman"/>
                <w:b/>
                <w:sz w:val="20"/>
                <w:szCs w:val="20"/>
              </w:rPr>
              <w:t>--</w:t>
            </w:r>
          </w:p>
        </w:tc>
        <w:tc>
          <w:tcPr>
            <w:tcW w:w="1082" w:type="dxa"/>
            <w:shd w:val="clear" w:color="auto" w:fill="auto"/>
            <w:vAlign w:val="center"/>
          </w:tcPr>
          <w:p w:rsidRPr="00EE5486" w:rsidR="00341B37" w:rsidP="00513AE3" w:rsidRDefault="00341B37" w14:paraId="59B71F2D" w14:textId="77777777">
            <w:pPr>
              <w:keepNext/>
              <w:keepLines/>
              <w:jc w:val="center"/>
              <w:rPr>
                <w:rFonts w:ascii="Times New Roman" w:hAnsi="Times New Roman"/>
                <w:b/>
                <w:sz w:val="20"/>
                <w:szCs w:val="20"/>
              </w:rPr>
            </w:pPr>
            <w:r w:rsidRPr="00EE5486">
              <w:rPr>
                <w:rFonts w:ascii="Times New Roman" w:hAnsi="Times New Roman"/>
                <w:b/>
                <w:sz w:val="20"/>
                <w:szCs w:val="20"/>
              </w:rPr>
              <w:t>167</w:t>
            </w:r>
          </w:p>
        </w:tc>
        <w:tc>
          <w:tcPr>
            <w:tcW w:w="764" w:type="dxa"/>
            <w:tcBorders>
              <w:right w:val="nil"/>
            </w:tcBorders>
            <w:vAlign w:val="center"/>
          </w:tcPr>
          <w:p w:rsidRPr="00EE5486" w:rsidR="00341B37" w:rsidP="00513AE3" w:rsidRDefault="00341B37" w14:paraId="6133E11B" w14:textId="77777777">
            <w:pPr>
              <w:keepNext/>
              <w:keepLines/>
              <w:jc w:val="center"/>
              <w:rPr>
                <w:rFonts w:ascii="Times New Roman" w:hAnsi="Times New Roman"/>
                <w:b/>
                <w:color w:val="000000"/>
                <w:sz w:val="20"/>
                <w:szCs w:val="22"/>
              </w:rPr>
            </w:pPr>
            <w:r w:rsidRPr="00EE5486">
              <w:rPr>
                <w:rFonts w:ascii="Times New Roman" w:hAnsi="Times New Roman"/>
                <w:b/>
                <w:sz w:val="20"/>
                <w:szCs w:val="20"/>
              </w:rPr>
              <w:t>--</w:t>
            </w:r>
          </w:p>
        </w:tc>
        <w:tc>
          <w:tcPr>
            <w:tcW w:w="1085" w:type="dxa"/>
            <w:tcBorders>
              <w:top w:val="single" w:color="auto" w:sz="4" w:space="0"/>
              <w:left w:val="nil"/>
              <w:bottom w:val="single" w:color="auto" w:sz="4" w:space="0"/>
              <w:right w:val="single" w:color="auto" w:sz="4" w:space="0"/>
            </w:tcBorders>
            <w:shd w:val="clear" w:color="auto" w:fill="auto"/>
            <w:vAlign w:val="center"/>
          </w:tcPr>
          <w:p w:rsidRPr="00EE5486" w:rsidR="00341B37" w:rsidP="00513AE3" w:rsidRDefault="00341B37" w14:paraId="1E4FA7E5" w14:textId="77777777">
            <w:pPr>
              <w:keepNext/>
              <w:keepLines/>
              <w:jc w:val="center"/>
              <w:rPr>
                <w:rFonts w:ascii="Times New Roman" w:hAnsi="Times New Roman"/>
                <w:b/>
                <w:sz w:val="20"/>
                <w:szCs w:val="20"/>
              </w:rPr>
            </w:pPr>
            <w:r w:rsidRPr="00EE5486">
              <w:rPr>
                <w:rFonts w:ascii="Times New Roman" w:hAnsi="Times New Roman"/>
                <w:b/>
                <w:color w:val="000000"/>
                <w:sz w:val="20"/>
                <w:szCs w:val="22"/>
              </w:rPr>
              <w:t>$</w:t>
            </w:r>
            <w:r>
              <w:rPr>
                <w:rFonts w:ascii="Times New Roman" w:hAnsi="Times New Roman"/>
                <w:b/>
                <w:color w:val="000000"/>
                <w:sz w:val="20"/>
                <w:szCs w:val="22"/>
              </w:rPr>
              <w:t>6,526</w:t>
            </w:r>
          </w:p>
        </w:tc>
      </w:tr>
    </w:tbl>
    <w:p w:rsidRPr="00EE5486" w:rsidR="00341B37" w:rsidP="00341B37" w:rsidRDefault="00341B37" w14:paraId="2C8AC38F" w14:textId="77777777">
      <w:pPr>
        <w:rPr>
          <w:rFonts w:ascii="Times New Roman" w:hAnsi="Times New Roman"/>
          <w:sz w:val="20"/>
        </w:rPr>
      </w:pPr>
      <w:r w:rsidRPr="00EE5486">
        <w:rPr>
          <w:rFonts w:ascii="Times New Roman" w:hAnsi="Times New Roman"/>
          <w:sz w:val="20"/>
        </w:rPr>
        <w:t>[a] Rounded up to nearest whole hour.</w:t>
      </w:r>
    </w:p>
    <w:p w:rsidRPr="00EE5486" w:rsidR="00341B37" w:rsidP="00341B37" w:rsidRDefault="00341B37" w14:paraId="627D071C" w14:textId="77777777">
      <w:pPr>
        <w:rPr>
          <w:rFonts w:ascii="Times New Roman" w:hAnsi="Times New Roman"/>
          <w:sz w:val="20"/>
        </w:rPr>
      </w:pPr>
      <w:r w:rsidRPr="00EE5486">
        <w:rPr>
          <w:rFonts w:ascii="Times New Roman" w:hAnsi="Times New Roman"/>
          <w:sz w:val="20"/>
        </w:rPr>
        <w:t xml:space="preserve">[b] Cost was calculated using the median </w:t>
      </w:r>
      <w:r>
        <w:rPr>
          <w:rFonts w:ascii="Times New Roman" w:hAnsi="Times New Roman"/>
          <w:sz w:val="20"/>
        </w:rPr>
        <w:t>annual wage</w:t>
      </w:r>
      <w:r w:rsidRPr="00EE5486">
        <w:rPr>
          <w:rFonts w:ascii="Times New Roman" w:hAnsi="Times New Roman"/>
          <w:sz w:val="20"/>
        </w:rPr>
        <w:t xml:space="preserve"> for Occupational Safety and Health Specialists in May </w:t>
      </w:r>
      <w:r>
        <w:rPr>
          <w:rFonts w:ascii="Times New Roman" w:hAnsi="Times New Roman"/>
          <w:sz w:val="20"/>
        </w:rPr>
        <w:t>2020</w:t>
      </w:r>
      <w:r w:rsidRPr="00EE5486">
        <w:rPr>
          <w:rFonts w:ascii="Times New Roman" w:hAnsi="Times New Roman"/>
          <w:sz w:val="20"/>
        </w:rPr>
        <w:t xml:space="preserve"> of </w:t>
      </w:r>
      <w:r>
        <w:rPr>
          <w:rFonts w:ascii="Times New Roman" w:hAnsi="Times New Roman"/>
          <w:sz w:val="20"/>
        </w:rPr>
        <w:t>$76,340</w:t>
      </w:r>
      <w:r w:rsidRPr="00EE5486">
        <w:rPr>
          <w:rFonts w:ascii="Times New Roman" w:hAnsi="Times New Roman"/>
          <w:sz w:val="20"/>
        </w:rPr>
        <w:t>, derived from here:</w:t>
      </w:r>
      <w:r>
        <w:rPr>
          <w:rFonts w:ascii="Times New Roman" w:hAnsi="Times New Roman"/>
          <w:sz w:val="20"/>
        </w:rPr>
        <w:t xml:space="preserve"> </w:t>
      </w:r>
      <w:hyperlink w:history="1" r:id="rId11">
        <w:r w:rsidRPr="00487B01">
          <w:rPr>
            <w:rStyle w:val="Hyperlink"/>
            <w:rFonts w:ascii="Times New Roman" w:hAnsi="Times New Roman"/>
            <w:sz w:val="20"/>
          </w:rPr>
          <w:t>https://www.bls.gov/ooh/healthcare/occupational-health-and-safety-specialists-and-technicians.htm</w:t>
        </w:r>
      </w:hyperlink>
      <w:r>
        <w:rPr>
          <w:rFonts w:ascii="Times New Roman" w:hAnsi="Times New Roman"/>
          <w:sz w:val="20"/>
        </w:rPr>
        <w:t xml:space="preserve">. The annual wage was then divided by 2,080 hours per year to get a median hourly wage of $36.70. </w:t>
      </w:r>
      <w:r w:rsidRPr="00EE5486">
        <w:rPr>
          <w:rFonts w:ascii="Times New Roman" w:hAnsi="Times New Roman"/>
          <w:sz w:val="20"/>
        </w:rPr>
        <w:t xml:space="preserve"> </w:t>
      </w:r>
      <w:r>
        <w:rPr>
          <w:rFonts w:ascii="Times New Roman" w:hAnsi="Times New Roman"/>
          <w:sz w:val="20"/>
        </w:rPr>
        <w:t>T</w:t>
      </w:r>
      <w:r w:rsidRPr="00EE5486">
        <w:rPr>
          <w:rFonts w:ascii="Times New Roman" w:hAnsi="Times New Roman"/>
          <w:sz w:val="20"/>
          <w:szCs w:val="20"/>
        </w:rPr>
        <w:t>o account for inflation from when this hourly rate was calculated, DOL adjusted the rate of $</w:t>
      </w:r>
      <w:r>
        <w:rPr>
          <w:rFonts w:ascii="Times New Roman" w:hAnsi="Times New Roman"/>
          <w:sz w:val="20"/>
          <w:szCs w:val="20"/>
        </w:rPr>
        <w:t>36.70</w:t>
      </w:r>
      <w:r w:rsidRPr="00EE5486">
        <w:rPr>
          <w:rFonts w:ascii="Times New Roman" w:hAnsi="Times New Roman"/>
          <w:sz w:val="20"/>
          <w:szCs w:val="20"/>
        </w:rPr>
        <w:t xml:space="preserve"> to $</w:t>
      </w:r>
      <w:r>
        <w:rPr>
          <w:rFonts w:ascii="Times New Roman" w:hAnsi="Times New Roman"/>
          <w:sz w:val="20"/>
          <w:szCs w:val="20"/>
        </w:rPr>
        <w:t>39.08</w:t>
      </w:r>
      <w:r w:rsidRPr="00EE5486">
        <w:rPr>
          <w:rFonts w:ascii="Times New Roman" w:hAnsi="Times New Roman"/>
          <w:sz w:val="20"/>
          <w:szCs w:val="20"/>
        </w:rPr>
        <w:t xml:space="preserve"> using </w:t>
      </w:r>
      <w:r w:rsidRPr="00EE5486">
        <w:rPr>
          <w:rFonts w:ascii="Times New Roman" w:hAnsi="Times New Roman"/>
          <w:sz w:val="20"/>
          <w:szCs w:val="20"/>
        </w:rPr>
        <w:lastRenderedPageBreak/>
        <w:t>changes in the Consumer Price Index between May 20</w:t>
      </w:r>
      <w:r>
        <w:rPr>
          <w:rFonts w:ascii="Times New Roman" w:hAnsi="Times New Roman"/>
          <w:sz w:val="20"/>
          <w:szCs w:val="20"/>
        </w:rPr>
        <w:t>20</w:t>
      </w:r>
      <w:r w:rsidRPr="00EE5486">
        <w:rPr>
          <w:rFonts w:ascii="Times New Roman" w:hAnsi="Times New Roman"/>
          <w:sz w:val="20"/>
          <w:szCs w:val="20"/>
        </w:rPr>
        <w:t xml:space="preserve"> and </w:t>
      </w:r>
      <w:r>
        <w:rPr>
          <w:rFonts w:ascii="Times New Roman" w:hAnsi="Times New Roman"/>
          <w:sz w:val="20"/>
          <w:szCs w:val="20"/>
        </w:rPr>
        <w:t xml:space="preserve">July 2021 </w:t>
      </w:r>
      <w:r w:rsidRPr="00EE5486">
        <w:rPr>
          <w:rFonts w:ascii="Times New Roman" w:hAnsi="Times New Roman"/>
          <w:sz w:val="20"/>
          <w:szCs w:val="20"/>
        </w:rPr>
        <w:t>(see</w:t>
      </w:r>
      <w:r>
        <w:rPr>
          <w:rFonts w:ascii="Times New Roman" w:hAnsi="Times New Roman"/>
          <w:sz w:val="20"/>
          <w:szCs w:val="20"/>
        </w:rPr>
        <w:t xml:space="preserve"> </w:t>
      </w:r>
      <w:hyperlink w:history="1" r:id="rId12">
        <w:r w:rsidRPr="000A7FCF">
          <w:rPr>
            <w:rStyle w:val="Hyperlink"/>
            <w:rFonts w:ascii="Times New Roman" w:hAnsi="Times New Roman"/>
            <w:sz w:val="20"/>
            <w:szCs w:val="20"/>
          </w:rPr>
          <w:t>https://www.bls.gov/data/inflation_calculator.htm</w:t>
        </w:r>
      </w:hyperlink>
      <w:r>
        <w:rPr>
          <w:rFonts w:ascii="Times New Roman" w:hAnsi="Times New Roman"/>
          <w:sz w:val="20"/>
          <w:szCs w:val="20"/>
        </w:rPr>
        <w:t>)</w:t>
      </w:r>
      <w:r w:rsidRPr="00EE5486">
        <w:rPr>
          <w:rFonts w:ascii="Times New Roman" w:hAnsi="Times New Roman"/>
          <w:sz w:val="20"/>
          <w:szCs w:val="20"/>
        </w:rPr>
        <w:t xml:space="preserve"> </w:t>
      </w:r>
    </w:p>
    <w:p w:rsidRPr="00F72D66" w:rsidR="00341B37" w:rsidP="00341B37" w:rsidRDefault="00341B37" w14:paraId="7186A5EB" w14:textId="77777777">
      <w:pPr>
        <w:widowControl/>
        <w:autoSpaceDE/>
        <w:autoSpaceDN/>
        <w:adjustRightInd/>
        <w:rPr>
          <w:rFonts w:ascii="Times New Roman" w:hAnsi="Times New Roman"/>
          <w:highlight w:val="yellow"/>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EE5486" w14:paraId="726D62FC" w14:textId="565B2D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There are no direct costs to respondents other than their time.</w:t>
      </w:r>
    </w:p>
    <w:p w:rsidRPr="00F4518C" w:rsidR="00EE5486" w:rsidP="00690F56" w:rsidRDefault="00EE5486" w14:paraId="02EE4E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E5486" w:rsidR="00EE5486" w:rsidP="00EE5486" w:rsidRDefault="00EE5486" w14:paraId="4FF34E6F" w14:textId="77777777">
      <w:pPr>
        <w:widowControl/>
        <w:autoSpaceDE/>
        <w:autoSpaceDN/>
        <w:adjustRightInd/>
        <w:spacing w:after="240"/>
        <w:ind w:firstLine="432"/>
        <w:rPr>
          <w:rFonts w:ascii="Times New Roman" w:hAnsi="Times New Roman"/>
          <w:szCs w:val="20"/>
        </w:rPr>
      </w:pPr>
      <w:r w:rsidRPr="00EE5486">
        <w:rPr>
          <w:rFonts w:ascii="Times New Roman" w:hAnsi="Times New Roman"/>
          <w:szCs w:val="20"/>
        </w:rPr>
        <w:t xml:space="preserve">The total annualized cost to the federal government is $101,715.07. Costs result from the following categories: </w:t>
      </w:r>
    </w:p>
    <w:p w:rsidRPr="00EE5486" w:rsidR="00EE5486" w:rsidP="00EE5486" w:rsidRDefault="00EE5486" w14:paraId="4414E87E" w14:textId="77777777">
      <w:pPr>
        <w:widowControl/>
        <w:autoSpaceDE/>
        <w:autoSpaceDN/>
        <w:adjustRightInd/>
        <w:spacing w:after="240"/>
        <w:ind w:firstLine="432"/>
        <w:rPr>
          <w:rFonts w:ascii="Times New Roman" w:hAnsi="Times New Roman"/>
          <w:szCs w:val="20"/>
        </w:rPr>
      </w:pPr>
      <w:r w:rsidRPr="00EE5486">
        <w:rPr>
          <w:rFonts w:ascii="Times New Roman" w:hAnsi="Times New Roman"/>
          <w:szCs w:val="20"/>
        </w:rPr>
        <w:lastRenderedPageBreak/>
        <w:t>The estimated cost to the federal government for the contractor to carry out the study is $247,478.00. Annualized, this comes to $82,492.67.</w:t>
      </w:r>
    </w:p>
    <w:p w:rsidRPr="00EE5486" w:rsidR="00EE5486" w:rsidP="00EE5486" w:rsidRDefault="00EE5486" w14:paraId="71280063" w14:textId="77777777">
      <w:pPr>
        <w:widowControl/>
        <w:autoSpaceDE/>
        <w:autoSpaceDN/>
        <w:adjustRightInd/>
        <w:spacing w:after="240"/>
        <w:ind w:firstLine="432"/>
        <w:rPr>
          <w:rFonts w:ascii="Times New Roman" w:hAnsi="Times New Roman"/>
          <w:szCs w:val="20"/>
        </w:rPr>
      </w:pPr>
      <w:r w:rsidRPr="00EE5486">
        <w:rPr>
          <w:rFonts w:ascii="Times New Roman" w:hAnsi="Times New Roman"/>
          <w:szCs w:val="20"/>
        </w:rPr>
        <w:t>The annual cost borne by DOL for federal technical staff to oversee the contract is estimated to be $19,222.40. We expect the annual level of effort to perform these duties will require 200 hours for one federal GS 14 step 2 employee based in Washington, D.C., earning $60.07 per hour.</w:t>
      </w:r>
      <w:r w:rsidRPr="00EE5486">
        <w:rPr>
          <w:rFonts w:ascii="Times New Roman" w:hAnsi="Times New Roman"/>
          <w:szCs w:val="20"/>
          <w:vertAlign w:val="superscript"/>
        </w:rPr>
        <w:footnoteReference w:id="1"/>
      </w:r>
      <w:r w:rsidRPr="00EE5486">
        <w:rPr>
          <w:rFonts w:ascii="Times New Roman" w:hAnsi="Times New Roman"/>
          <w:szCs w:val="20"/>
        </w:rPr>
        <w:t xml:space="preserve"> To account for fringe benefits and other overhead costs, the agency has applied a multiplication factor of 1.6:</w:t>
      </w:r>
    </w:p>
    <w:p w:rsidRPr="00EE5486" w:rsidR="00EE5486" w:rsidP="00EE5486" w:rsidRDefault="00EE5486" w14:paraId="26A3D545" w14:textId="77777777">
      <w:pPr>
        <w:widowControl/>
        <w:autoSpaceDE/>
        <w:autoSpaceDN/>
        <w:adjustRightInd/>
        <w:spacing w:after="240"/>
        <w:ind w:firstLine="432"/>
        <w:rPr>
          <w:rFonts w:ascii="Times New Roman" w:hAnsi="Times New Roman"/>
          <w:szCs w:val="20"/>
        </w:rPr>
      </w:pPr>
      <w:r w:rsidRPr="00EE5486">
        <w:rPr>
          <w:rFonts w:ascii="Times New Roman" w:hAnsi="Times New Roman"/>
          <w:szCs w:val="20"/>
        </w:rPr>
        <w:t>200 hours × $60.07 × 1.6 = $19,222.40</w:t>
      </w:r>
    </w:p>
    <w:p w:rsidRPr="00EE5486" w:rsidR="00EE5486" w:rsidP="00EE5486" w:rsidRDefault="00EE5486" w14:paraId="763982EB" w14:textId="77777777">
      <w:pPr>
        <w:widowControl/>
        <w:autoSpaceDE/>
        <w:autoSpaceDN/>
        <w:adjustRightInd/>
        <w:spacing w:after="240"/>
        <w:ind w:firstLine="432"/>
        <w:rPr>
          <w:rFonts w:ascii="Times New Roman" w:hAnsi="Times New Roman"/>
          <w:b/>
          <w:szCs w:val="20"/>
        </w:rPr>
      </w:pPr>
      <w:r w:rsidRPr="00EE5486">
        <w:rPr>
          <w:rFonts w:ascii="Times New Roman" w:hAnsi="Times New Roman"/>
          <w:b/>
          <w:szCs w:val="20"/>
        </w:rPr>
        <w:t>Thus the total annualized federal cost is $82,492.67 + $19,222.40 = $101,715.07.</w:t>
      </w: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EE5486" w14:paraId="5321AF4F" w14:textId="6D3E5E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This is a new information collection.</w:t>
      </w:r>
    </w:p>
    <w:p w:rsidRPr="00F4518C" w:rsidR="00EE5486" w:rsidP="00690F56" w:rsidRDefault="00EE5486" w14:paraId="0CCF4B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EE5486" w14:paraId="41B59CA5" w14:textId="2C8A22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 xml:space="preserve">DOL will develop tabulations and cross-tabulations of the collected data as needed. These will be summarized and presented as part of a full project report, </w:t>
      </w:r>
      <w:r w:rsidR="009979B7">
        <w:rPr>
          <w:rFonts w:ascii="Times New Roman" w:hAnsi="Times New Roman"/>
        </w:rPr>
        <w:t>expected to be completed in 2023</w:t>
      </w:r>
      <w:r w:rsidRPr="00EE5486">
        <w:rPr>
          <w:rFonts w:ascii="Times New Roman" w:hAnsi="Times New Roman"/>
        </w:rPr>
        <w:t>.</w:t>
      </w:r>
    </w:p>
    <w:p w:rsidRPr="00871CA6" w:rsidR="00EE5486" w:rsidP="00690F56" w:rsidRDefault="00EE5486" w14:paraId="12C324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F473DAE" w14:textId="343120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D53DEB" w:rsidR="009979B7" w:rsidP="00690F56" w:rsidRDefault="009979B7" w14:paraId="5BBFF2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EE5486" w14:paraId="1B1630F4" w14:textId="0CAC66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DOL will display the expiration date.</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0C3A92" w14:paraId="41EAB492" w14:textId="3C2706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D53DEB" w:rsidR="009979B7" w:rsidP="00690F56" w:rsidRDefault="009979B7" w14:paraId="403370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A47DA7" w:rsidR="000C3A92" w:rsidP="000C3A92" w:rsidRDefault="00EE5486" w14:paraId="641E1E6D" w14:textId="5B34C3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486">
        <w:rPr>
          <w:rFonts w:ascii="Times New Roman" w:hAnsi="Times New Roman"/>
        </w:rPr>
        <w:t>DOL is seeking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332F98" w:rsidRDefault="00332F98" w14:paraId="3E8CBCDA" w14:textId="77777777">
      <w:pPr>
        <w:rPr>
          <w:rFonts w:ascii="Times New Roman" w:hAnsi="Times New Roman"/>
        </w:rPr>
      </w:pPr>
    </w:p>
    <w:sectPr w:rsidRPr="00D53DEB" w:rsidR="00332F98"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E161" w16cid:durableId="236105F5"/>
  <w16cid:commentId w16cid:paraId="2A43D009" w16cid:durableId="236105F6"/>
  <w16cid:commentId w16cid:paraId="7A252768" w16cid:durableId="236105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508D9" w14:textId="77777777" w:rsidR="00B86104" w:rsidRDefault="00B86104">
      <w:r>
        <w:separator/>
      </w:r>
    </w:p>
  </w:endnote>
  <w:endnote w:type="continuationSeparator" w:id="0">
    <w:p w14:paraId="4F735D7F" w14:textId="77777777" w:rsidR="00B86104" w:rsidRDefault="00B8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7ABFFBEF"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17864">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3E1F" w14:textId="77777777" w:rsidR="00B86104" w:rsidRDefault="00B86104">
      <w:r>
        <w:separator/>
      </w:r>
    </w:p>
  </w:footnote>
  <w:footnote w:type="continuationSeparator" w:id="0">
    <w:p w14:paraId="6B110470" w14:textId="77777777" w:rsidR="00B86104" w:rsidRDefault="00B86104">
      <w:r>
        <w:continuationSeparator/>
      </w:r>
    </w:p>
  </w:footnote>
  <w:footnote w:id="1">
    <w:p w14:paraId="66D5AA0C" w14:textId="77777777" w:rsidR="00EE5486" w:rsidRDefault="00EE5486" w:rsidP="00EE5486">
      <w:pPr>
        <w:pStyle w:val="FootnoteText"/>
      </w:pPr>
      <w:r>
        <w:rPr>
          <w:rStyle w:val="FootnoteReference"/>
        </w:rPr>
        <w:footnoteRef/>
      </w:r>
      <w:r>
        <w:t xml:space="preserve"> </w:t>
      </w:r>
      <w:r w:rsidRPr="00317AEC">
        <w:t xml:space="preserve">See Office of Personnel Management </w:t>
      </w:r>
      <w:r>
        <w:t>2020</w:t>
      </w:r>
      <w:r w:rsidRPr="00317AEC">
        <w:t xml:space="preserve"> Hourly Salary Table at </w:t>
      </w:r>
      <w:r w:rsidRPr="00575DDF">
        <w:t>https://www.opm.gov/policy-data-oversight/pay-leave/salaries-wages/salary-tables/pdf/2020/DCB_h.pdf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8B7E" w14:textId="11C2D864" w:rsidR="004D2933" w:rsidRDefault="00741455">
    <w:pPr>
      <w:pStyle w:val="Header"/>
      <w:rPr>
        <w:rFonts w:ascii="Times New Roman" w:hAnsi="Times New Roman"/>
        <w:sz w:val="20"/>
        <w:szCs w:val="20"/>
      </w:rPr>
    </w:pPr>
    <w:r w:rsidRPr="00741455">
      <w:rPr>
        <w:rFonts w:ascii="Times New Roman" w:hAnsi="Times New Roman"/>
        <w:sz w:val="20"/>
        <w:szCs w:val="20"/>
      </w:rPr>
      <w:t xml:space="preserve">Survey to Collect Data on Use and Effectiveness of Voluntary Consensus Standards </w:t>
    </w:r>
  </w:p>
  <w:p w14:paraId="52F50703" w14:textId="174D5070"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741455">
      <w:rPr>
        <w:rFonts w:ascii="Times New Roman" w:hAnsi="Times New Roman"/>
        <w:sz w:val="20"/>
        <w:szCs w:val="20"/>
      </w:rPr>
      <w:t>1290</w:t>
    </w:r>
    <w:r w:rsidR="00F8164B" w:rsidRPr="00F8164B">
      <w:rPr>
        <w:rFonts w:ascii="Times New Roman" w:hAnsi="Times New Roman"/>
        <w:sz w:val="20"/>
        <w:szCs w:val="20"/>
      </w:rPr>
      <w:t>-</w:t>
    </w:r>
    <w:r w:rsidR="00741455">
      <w:rPr>
        <w:rFonts w:ascii="Times New Roman" w:hAnsi="Times New Roman"/>
        <w:sz w:val="20"/>
        <w:szCs w:val="20"/>
      </w:rPr>
      <w:t>0NEW</w:t>
    </w:r>
  </w:p>
  <w:p w14:paraId="1D1AD862" w14:textId="622A3590"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C913F2">
      <w:rPr>
        <w:rFonts w:ascii="Times New Roman" w:hAnsi="Times New Roman"/>
        <w:sz w:val="20"/>
        <w:szCs w:val="20"/>
      </w:rPr>
      <w:t>XX-XX-XXXX</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1F10"/>
    <w:multiLevelType w:val="hybridMultilevel"/>
    <w:tmpl w:val="E5DE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C566CDB"/>
    <w:multiLevelType w:val="hybridMultilevel"/>
    <w:tmpl w:val="2F80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B3657"/>
    <w:multiLevelType w:val="hybridMultilevel"/>
    <w:tmpl w:val="B670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01F28"/>
    <w:multiLevelType w:val="hybridMultilevel"/>
    <w:tmpl w:val="E1783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1"/>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3"/>
  </w:num>
  <w:num w:numId="9">
    <w:abstractNumId w:val="1"/>
  </w:num>
  <w:num w:numId="10">
    <w:abstractNumId w:val="12"/>
  </w:num>
  <w:num w:numId="11">
    <w:abstractNumId w:val="7"/>
  </w:num>
  <w:num w:numId="12">
    <w:abstractNumId w:val="10"/>
  </w:num>
  <w:num w:numId="13">
    <w:abstractNumId w:val="6"/>
  </w:num>
  <w:num w:numId="14">
    <w:abstractNumId w:val="14"/>
  </w:num>
  <w:num w:numId="15">
    <w:abstractNumId w:val="2"/>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0ABE"/>
    <w:rsid w:val="0007383F"/>
    <w:rsid w:val="00093AD4"/>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4271"/>
    <w:rsid w:val="002866AD"/>
    <w:rsid w:val="00286BE3"/>
    <w:rsid w:val="0029135D"/>
    <w:rsid w:val="00292951"/>
    <w:rsid w:val="00293CD1"/>
    <w:rsid w:val="002A3962"/>
    <w:rsid w:val="002A5972"/>
    <w:rsid w:val="002E238B"/>
    <w:rsid w:val="002E4200"/>
    <w:rsid w:val="00304132"/>
    <w:rsid w:val="00312124"/>
    <w:rsid w:val="00313820"/>
    <w:rsid w:val="00317864"/>
    <w:rsid w:val="0032649A"/>
    <w:rsid w:val="00332F98"/>
    <w:rsid w:val="00341B37"/>
    <w:rsid w:val="003430A6"/>
    <w:rsid w:val="003448FC"/>
    <w:rsid w:val="00352CC1"/>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2933"/>
    <w:rsid w:val="004D441E"/>
    <w:rsid w:val="004D46D1"/>
    <w:rsid w:val="004E1D9E"/>
    <w:rsid w:val="005164DC"/>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1930"/>
    <w:rsid w:val="006A4637"/>
    <w:rsid w:val="006C39F8"/>
    <w:rsid w:val="006E1A08"/>
    <w:rsid w:val="006F66F9"/>
    <w:rsid w:val="006F6E13"/>
    <w:rsid w:val="007010C5"/>
    <w:rsid w:val="007011F1"/>
    <w:rsid w:val="007127A1"/>
    <w:rsid w:val="00713ACE"/>
    <w:rsid w:val="00715F82"/>
    <w:rsid w:val="0071749C"/>
    <w:rsid w:val="007412B6"/>
    <w:rsid w:val="00741455"/>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71B1"/>
    <w:rsid w:val="009441E2"/>
    <w:rsid w:val="00963680"/>
    <w:rsid w:val="00964D3F"/>
    <w:rsid w:val="009700D9"/>
    <w:rsid w:val="00985C15"/>
    <w:rsid w:val="009979B7"/>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57F13"/>
    <w:rsid w:val="00A632EF"/>
    <w:rsid w:val="00A677E9"/>
    <w:rsid w:val="00A740AB"/>
    <w:rsid w:val="00A834BF"/>
    <w:rsid w:val="00A90769"/>
    <w:rsid w:val="00A973AA"/>
    <w:rsid w:val="00AA177A"/>
    <w:rsid w:val="00AB4DC3"/>
    <w:rsid w:val="00AC775D"/>
    <w:rsid w:val="00AD022F"/>
    <w:rsid w:val="00AD113F"/>
    <w:rsid w:val="00AD75AC"/>
    <w:rsid w:val="00AE6406"/>
    <w:rsid w:val="00AF2C11"/>
    <w:rsid w:val="00AF3788"/>
    <w:rsid w:val="00AF5262"/>
    <w:rsid w:val="00AF7928"/>
    <w:rsid w:val="00B35DAD"/>
    <w:rsid w:val="00B3768B"/>
    <w:rsid w:val="00B47443"/>
    <w:rsid w:val="00B5377A"/>
    <w:rsid w:val="00B6181C"/>
    <w:rsid w:val="00B63264"/>
    <w:rsid w:val="00B66231"/>
    <w:rsid w:val="00B86104"/>
    <w:rsid w:val="00BA6C9C"/>
    <w:rsid w:val="00BB3BEF"/>
    <w:rsid w:val="00BD34F2"/>
    <w:rsid w:val="00C02E4A"/>
    <w:rsid w:val="00C05B88"/>
    <w:rsid w:val="00C07F7F"/>
    <w:rsid w:val="00C12530"/>
    <w:rsid w:val="00C14429"/>
    <w:rsid w:val="00C247D8"/>
    <w:rsid w:val="00C34009"/>
    <w:rsid w:val="00C4763A"/>
    <w:rsid w:val="00C63D1E"/>
    <w:rsid w:val="00C64C26"/>
    <w:rsid w:val="00C667F3"/>
    <w:rsid w:val="00C712D2"/>
    <w:rsid w:val="00C77B5C"/>
    <w:rsid w:val="00C824C6"/>
    <w:rsid w:val="00C8275F"/>
    <w:rsid w:val="00C87068"/>
    <w:rsid w:val="00C913F2"/>
    <w:rsid w:val="00C9162F"/>
    <w:rsid w:val="00CA2F0A"/>
    <w:rsid w:val="00CB3579"/>
    <w:rsid w:val="00CC0731"/>
    <w:rsid w:val="00CC770C"/>
    <w:rsid w:val="00CD215D"/>
    <w:rsid w:val="00CD6628"/>
    <w:rsid w:val="00D2331B"/>
    <w:rsid w:val="00D36BB6"/>
    <w:rsid w:val="00D53DEB"/>
    <w:rsid w:val="00D5700C"/>
    <w:rsid w:val="00D57DE8"/>
    <w:rsid w:val="00D73AAD"/>
    <w:rsid w:val="00D75842"/>
    <w:rsid w:val="00D86FF7"/>
    <w:rsid w:val="00DB7B7C"/>
    <w:rsid w:val="00DD6DF0"/>
    <w:rsid w:val="00E0031C"/>
    <w:rsid w:val="00E0138A"/>
    <w:rsid w:val="00E0263D"/>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B08FF"/>
    <w:rsid w:val="00EC0B43"/>
    <w:rsid w:val="00EE5486"/>
    <w:rsid w:val="00F03C9D"/>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979B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EE5486"/>
    <w:rPr>
      <w:rFonts w:ascii="Times New Roman" w:hAnsi="Times New Roman"/>
      <w:sz w:val="20"/>
      <w:szCs w:val="20"/>
    </w:rPr>
  </w:style>
  <w:style w:type="character" w:customStyle="1" w:styleId="FootnoteTextChar">
    <w:name w:val="Footnote Text Char"/>
    <w:basedOn w:val="DefaultParagraphFont"/>
    <w:link w:val="FootnoteText"/>
    <w:rsid w:val="00EE5486"/>
  </w:style>
  <w:style w:type="table" w:styleId="TableGrid">
    <w:name w:val="Table Grid"/>
    <w:basedOn w:val="TableNormal"/>
    <w:uiPriority w:val="59"/>
    <w:rsid w:val="00EB08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08FF"/>
    <w:rPr>
      <w:color w:val="0000FF"/>
      <w:u w:val="single"/>
    </w:rPr>
  </w:style>
  <w:style w:type="paragraph" w:customStyle="1" w:styleId="H4Number">
    <w:name w:val="H4_Number"/>
    <w:basedOn w:val="Heading3"/>
    <w:next w:val="Normal"/>
    <w:link w:val="H4NumberChar"/>
    <w:qFormat/>
    <w:rsid w:val="009979B7"/>
    <w:pPr>
      <w:keepLines w:val="0"/>
      <w:widowControl/>
      <w:tabs>
        <w:tab w:val="left" w:pos="432"/>
      </w:tabs>
      <w:autoSpaceDE/>
      <w:autoSpaceDN/>
      <w:adjustRightInd/>
      <w:spacing w:before="0" w:after="120"/>
      <w:ind w:left="432" w:hanging="432"/>
      <w:outlineLvl w:val="3"/>
    </w:pPr>
    <w:rPr>
      <w:b/>
    </w:rPr>
  </w:style>
  <w:style w:type="character" w:customStyle="1" w:styleId="H4NumberChar">
    <w:name w:val="H4_Number Char"/>
    <w:basedOn w:val="Heading3Char"/>
    <w:link w:val="H4Number"/>
    <w:rsid w:val="009979B7"/>
    <w:rPr>
      <w:rFonts w:asciiTheme="majorHAnsi" w:eastAsiaTheme="majorEastAsia" w:hAnsiTheme="majorHAnsi" w:cstheme="majorBidi"/>
      <w:b/>
      <w:color w:val="1F4D78" w:themeColor="accent1" w:themeShade="7F"/>
      <w:sz w:val="24"/>
      <w:szCs w:val="24"/>
    </w:rPr>
  </w:style>
  <w:style w:type="character" w:customStyle="1" w:styleId="Heading3Char">
    <w:name w:val="Heading 3 Char"/>
    <w:basedOn w:val="DefaultParagraphFont"/>
    <w:link w:val="Heading3"/>
    <w:semiHidden/>
    <w:rsid w:val="009979B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bls.gov/data/inflation_calculator.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healthcare/occupational-health-and-safety-specialists-and-technician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FE45D26CF87A4397B71C64433FF945" ma:contentTypeVersion="2" ma:contentTypeDescription="Create a new document." ma:contentTypeScope="" ma:versionID="16665f5122cc0b45629564b76cc79fd8">
  <xsd:schema xmlns:xsd="http://www.w3.org/2001/XMLSchema" xmlns:xs="http://www.w3.org/2001/XMLSchema" xmlns:p="http://schemas.microsoft.com/office/2006/metadata/properties" xmlns:ns3="675fd1c6-c7a4-45a5-a5f8-bcb7c2c20f5e" targetNamespace="http://schemas.microsoft.com/office/2006/metadata/properties" ma:root="true" ma:fieldsID="8d969c17d97df33e8f2ebed914a32fa0" ns3:_="">
    <xsd:import namespace="675fd1c6-c7a4-45a5-a5f8-bcb7c2c20f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d1c6-c7a4-45a5-a5f8-bcb7c2c2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9F7C-132F-4418-BEC6-85D1D08D8D47}">
  <ds:schemaRefs>
    <ds:schemaRef ds:uri="http://schemas.microsoft.com/sharepoint/v3/contenttype/forms"/>
  </ds:schemaRefs>
</ds:datastoreItem>
</file>

<file path=customXml/itemProps2.xml><?xml version="1.0" encoding="utf-8"?>
<ds:datastoreItem xmlns:ds="http://schemas.openxmlformats.org/officeDocument/2006/customXml" ds:itemID="{6CBA14C5-3673-4931-B638-8C92F46DD3DA}">
  <ds:schemaRefs>
    <ds:schemaRef ds:uri="http://purl.org/dc/terms/"/>
    <ds:schemaRef ds:uri="http://schemas.microsoft.com/office/2006/documentManagement/types"/>
    <ds:schemaRef ds:uri="http://purl.org/dc/elements/1.1/"/>
    <ds:schemaRef ds:uri="675fd1c6-c7a4-45a5-a5f8-bcb7c2c20f5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279A7E6-69AF-48D8-A35C-AED26FF8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d1c6-c7a4-45a5-a5f8-bcb7c2c20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C8073-3261-496E-803F-362D579B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4248</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28813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Ferris, Meg - ASP</cp:lastModifiedBy>
  <cp:revision>2</cp:revision>
  <cp:lastPrinted>2020-02-19T15:46:00Z</cp:lastPrinted>
  <dcterms:created xsi:type="dcterms:W3CDTF">2021-09-07T15:56:00Z</dcterms:created>
  <dcterms:modified xsi:type="dcterms:W3CDTF">2021-09-07T15:56:00Z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0x0101002AFE45D26CF87A4397B71C64433FF945</vt:lpwstr>
  </property>
</Properties>
</file>