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2806" w:rsidP="00E777F1" w:rsidRDefault="00722806" w14:paraId="703E9A3F" w14:textId="77777777">
      <w:pPr>
        <w:tabs>
          <w:tab w:val="center" w:pos="4680"/>
        </w:tabs>
        <w:jc w:val="center"/>
        <w:rPr>
          <w:rFonts w:ascii="Times New Roman" w:hAnsi="Times New Roman"/>
          <w:b/>
          <w:bCs/>
        </w:rPr>
      </w:pPr>
      <w:r w:rsidRPr="003E2BA1">
        <w:rPr>
          <w:rFonts w:ascii="Times New Roman" w:hAnsi="Times New Roman"/>
          <w:b/>
          <w:bCs/>
        </w:rPr>
        <w:t>SUPPORTING STATEMENT</w:t>
      </w:r>
    </w:p>
    <w:p w:rsidRPr="003E2BA1" w:rsidR="00C73518" w:rsidP="00E777F1" w:rsidRDefault="00C73518" w14:paraId="2CB04FFC" w14:textId="77777777">
      <w:pPr>
        <w:tabs>
          <w:tab w:val="center" w:pos="4680"/>
        </w:tabs>
        <w:jc w:val="center"/>
        <w:rPr>
          <w:rFonts w:ascii="Times New Roman" w:hAnsi="Times New Roman"/>
          <w:b/>
          <w:bCs/>
        </w:rPr>
      </w:pPr>
      <w:r>
        <w:rPr>
          <w:rFonts w:ascii="Times New Roman" w:hAnsi="Times New Roman"/>
          <w:b/>
          <w:bCs/>
        </w:rPr>
        <w:t>Internal Revenue Service</w:t>
      </w:r>
    </w:p>
    <w:p w:rsidR="00E03CBD" w:rsidP="00E777F1" w:rsidRDefault="00E03CBD" w14:paraId="02F93C02" w14:textId="77777777">
      <w:pPr>
        <w:tabs>
          <w:tab w:val="center" w:pos="4680"/>
        </w:tabs>
        <w:jc w:val="center"/>
        <w:rPr>
          <w:rFonts w:ascii="Times New Roman" w:hAnsi="Times New Roman"/>
          <w:bCs/>
        </w:rPr>
      </w:pPr>
      <w:r>
        <w:rPr>
          <w:rFonts w:ascii="Times New Roman" w:hAnsi="Times New Roman"/>
          <w:bCs/>
        </w:rPr>
        <w:t>R</w:t>
      </w:r>
      <w:r w:rsidRPr="00E03CBD">
        <w:rPr>
          <w:rFonts w:ascii="Times New Roman" w:hAnsi="Times New Roman"/>
          <w:bCs/>
        </w:rPr>
        <w:t xml:space="preserve">epresentation of taxpayers before the Internal Revenue Service </w:t>
      </w:r>
    </w:p>
    <w:p w:rsidR="002B7239" w:rsidP="00E777F1" w:rsidRDefault="002B7239" w14:paraId="2E7FDAD1" w14:textId="77777777">
      <w:pPr>
        <w:tabs>
          <w:tab w:val="center" w:pos="4680"/>
        </w:tabs>
        <w:jc w:val="center"/>
        <w:rPr>
          <w:rFonts w:ascii="Times New Roman" w:hAnsi="Times New Roman"/>
          <w:bCs/>
        </w:rPr>
      </w:pPr>
      <w:r>
        <w:rPr>
          <w:rFonts w:ascii="Times New Roman" w:hAnsi="Times New Roman"/>
          <w:bCs/>
        </w:rPr>
        <w:t>Form 2848 and 2848 (SP)</w:t>
      </w:r>
    </w:p>
    <w:p w:rsidRPr="003E2BA1" w:rsidR="00722806" w:rsidP="00C73518" w:rsidRDefault="00FD1E10" w14:paraId="79FA3F58" w14:textId="77777777">
      <w:pPr>
        <w:tabs>
          <w:tab w:val="center" w:pos="4680"/>
        </w:tabs>
        <w:jc w:val="center"/>
        <w:rPr>
          <w:rFonts w:ascii="Times New Roman" w:hAnsi="Times New Roman"/>
          <w:b/>
          <w:bCs/>
        </w:rPr>
      </w:pPr>
      <w:r w:rsidRPr="003E2BA1">
        <w:rPr>
          <w:rFonts w:ascii="Times New Roman" w:hAnsi="Times New Roman"/>
          <w:b/>
          <w:bCs/>
        </w:rPr>
        <w:t>OMB 1545-0150</w:t>
      </w:r>
    </w:p>
    <w:p w:rsidRPr="003E2BA1" w:rsidR="00722806" w:rsidRDefault="00722806" w14:paraId="105D0563" w14:textId="77777777">
      <w:pPr>
        <w:rPr>
          <w:rFonts w:ascii="Times New Roman" w:hAnsi="Times New Roman"/>
          <w:b/>
          <w:bCs/>
        </w:rPr>
      </w:pPr>
    </w:p>
    <w:p w:rsidRPr="003E2BA1" w:rsidR="00722806" w:rsidRDefault="00722806" w14:paraId="5BA46887" w14:textId="77777777">
      <w:pPr>
        <w:pStyle w:val="Quick1"/>
        <w:numPr>
          <w:ilvl w:val="0"/>
          <w:numId w:val="1"/>
        </w:numPr>
        <w:tabs>
          <w:tab w:val="left" w:pos="-1440"/>
          <w:tab w:val="num" w:pos="720"/>
        </w:tabs>
        <w:rPr>
          <w:rFonts w:ascii="Times New Roman" w:hAnsi="Times New Roman"/>
          <w:b/>
        </w:rPr>
      </w:pPr>
      <w:r w:rsidRPr="003E2BA1">
        <w:rPr>
          <w:rFonts w:ascii="Times New Roman" w:hAnsi="Times New Roman"/>
          <w:b/>
          <w:u w:val="single"/>
        </w:rPr>
        <w:t>CIRCUMSTANCES NECESSITATING COLLECTION OF INFORMATION</w:t>
      </w:r>
    </w:p>
    <w:p w:rsidRPr="003E2BA1" w:rsidR="00722806" w:rsidRDefault="00722806" w14:paraId="4D4ADA69" w14:textId="77777777">
      <w:pPr>
        <w:rPr>
          <w:rFonts w:ascii="Times New Roman" w:hAnsi="Times New Roman"/>
        </w:rPr>
      </w:pPr>
    </w:p>
    <w:p w:rsidRPr="003E2BA1" w:rsidR="00722806" w:rsidRDefault="003E2BA1" w14:paraId="4BA9C00A" w14:textId="77777777">
      <w:pPr>
        <w:ind w:left="720"/>
        <w:rPr>
          <w:rFonts w:ascii="Times New Roman" w:hAnsi="Times New Roman"/>
        </w:rPr>
      </w:pPr>
      <w:r>
        <w:rPr>
          <w:rFonts w:ascii="Times New Roman" w:hAnsi="Times New Roman"/>
        </w:rPr>
        <w:t xml:space="preserve">Title </w:t>
      </w:r>
      <w:r w:rsidRPr="003E2BA1" w:rsidR="00722806">
        <w:rPr>
          <w:rFonts w:ascii="Times New Roman" w:hAnsi="Times New Roman"/>
        </w:rPr>
        <w:t xml:space="preserve">26 CFR 601, Subpart E, Conference and Practice Requirements, sets forth the rules for acting on behalf of a taxpayer, presenting written or oral statements of fact on behalf of the taxpayer, and receiving or inspecting confidential tax information concerning the taxpayer being represented. </w:t>
      </w:r>
    </w:p>
    <w:p w:rsidRPr="003E2BA1" w:rsidR="00722806" w:rsidRDefault="00722806" w14:paraId="4A392DED" w14:textId="77777777">
      <w:pPr>
        <w:rPr>
          <w:rFonts w:ascii="Times New Roman" w:hAnsi="Times New Roman"/>
        </w:rPr>
      </w:pPr>
    </w:p>
    <w:p w:rsidR="001B035D" w:rsidRDefault="001B035D" w14:paraId="0EA3C554" w14:textId="77777777">
      <w:pPr>
        <w:ind w:left="720"/>
        <w:rPr>
          <w:rFonts w:ascii="Times New Roman" w:hAnsi="Times New Roman"/>
        </w:rPr>
      </w:pPr>
      <w:r w:rsidRPr="001B035D">
        <w:rPr>
          <w:rFonts w:ascii="Times New Roman" w:hAnsi="Times New Roman"/>
        </w:rPr>
        <w:t>The rules prescribed in this subpart</w:t>
      </w:r>
      <w:r>
        <w:rPr>
          <w:rFonts w:ascii="Times New Roman" w:hAnsi="Times New Roman"/>
        </w:rPr>
        <w:t xml:space="preserve"> </w:t>
      </w:r>
      <w:r w:rsidRPr="001B035D">
        <w:rPr>
          <w:rFonts w:ascii="Times New Roman" w:hAnsi="Times New Roman"/>
        </w:rPr>
        <w:t>concern, among other things, the representation of taxpayers</w:t>
      </w:r>
      <w:r>
        <w:rPr>
          <w:rFonts w:ascii="Times New Roman" w:hAnsi="Times New Roman"/>
        </w:rPr>
        <w:t xml:space="preserve"> </w:t>
      </w:r>
      <w:r w:rsidRPr="001B035D">
        <w:rPr>
          <w:rFonts w:ascii="Times New Roman" w:hAnsi="Times New Roman"/>
        </w:rPr>
        <w:t>before the Internal Revenue Service under the</w:t>
      </w:r>
      <w:r>
        <w:rPr>
          <w:rFonts w:ascii="Times New Roman" w:hAnsi="Times New Roman"/>
        </w:rPr>
        <w:t xml:space="preserve"> </w:t>
      </w:r>
      <w:r w:rsidRPr="001B035D">
        <w:rPr>
          <w:rFonts w:ascii="Times New Roman" w:hAnsi="Times New Roman"/>
        </w:rPr>
        <w:t>authority of a power of attorney. These rules apply to all</w:t>
      </w:r>
      <w:r>
        <w:rPr>
          <w:rFonts w:ascii="Times New Roman" w:hAnsi="Times New Roman"/>
        </w:rPr>
        <w:t xml:space="preserve"> </w:t>
      </w:r>
      <w:r w:rsidRPr="001B035D">
        <w:rPr>
          <w:rFonts w:ascii="Times New Roman" w:hAnsi="Times New Roman"/>
        </w:rPr>
        <w:t>offices of the Internal Revenue Service in all matters</w:t>
      </w:r>
      <w:r>
        <w:rPr>
          <w:rFonts w:ascii="Times New Roman" w:hAnsi="Times New Roman"/>
        </w:rPr>
        <w:t xml:space="preserve"> </w:t>
      </w:r>
      <w:r w:rsidRPr="001B035D">
        <w:rPr>
          <w:rFonts w:ascii="Times New Roman" w:hAnsi="Times New Roman"/>
        </w:rPr>
        <w:t>under the jurisdiction of the Internal Revenue Service</w:t>
      </w:r>
      <w:r>
        <w:rPr>
          <w:rFonts w:ascii="Times New Roman" w:hAnsi="Times New Roman"/>
        </w:rPr>
        <w:t xml:space="preserve"> </w:t>
      </w:r>
      <w:r w:rsidRPr="001B035D">
        <w:rPr>
          <w:rFonts w:ascii="Times New Roman" w:hAnsi="Times New Roman"/>
        </w:rPr>
        <w:t>and apply to practice before the Internal Revenue</w:t>
      </w:r>
      <w:r>
        <w:rPr>
          <w:rFonts w:ascii="Times New Roman" w:hAnsi="Times New Roman"/>
        </w:rPr>
        <w:t xml:space="preserve"> </w:t>
      </w:r>
      <w:r w:rsidRPr="001B035D">
        <w:rPr>
          <w:rFonts w:ascii="Times New Roman" w:hAnsi="Times New Roman"/>
        </w:rPr>
        <w:t>Service</w:t>
      </w:r>
      <w:r>
        <w:rPr>
          <w:rFonts w:ascii="Times New Roman" w:hAnsi="Times New Roman"/>
        </w:rPr>
        <w:t xml:space="preserve">.  </w:t>
      </w:r>
    </w:p>
    <w:p w:rsidR="001B035D" w:rsidRDefault="001B035D" w14:paraId="3BD5CE08" w14:textId="77777777">
      <w:pPr>
        <w:ind w:left="720"/>
        <w:rPr>
          <w:rFonts w:ascii="Times New Roman" w:hAnsi="Times New Roman"/>
        </w:rPr>
      </w:pPr>
    </w:p>
    <w:p w:rsidR="001B035D" w:rsidP="001B035D" w:rsidRDefault="001B035D" w14:paraId="144DCA52" w14:textId="77777777">
      <w:pPr>
        <w:ind w:left="720"/>
        <w:rPr>
          <w:rFonts w:ascii="Times New Roman" w:hAnsi="Times New Roman"/>
        </w:rPr>
      </w:pPr>
      <w:r w:rsidRPr="001B035D">
        <w:rPr>
          <w:rFonts w:ascii="Times New Roman" w:hAnsi="Times New Roman"/>
        </w:rPr>
        <w:t>These rules detail the means by which a recognized</w:t>
      </w:r>
      <w:r>
        <w:rPr>
          <w:rFonts w:ascii="Times New Roman" w:hAnsi="Times New Roman"/>
        </w:rPr>
        <w:t xml:space="preserve"> </w:t>
      </w:r>
      <w:r w:rsidRPr="001B035D">
        <w:rPr>
          <w:rFonts w:ascii="Times New Roman" w:hAnsi="Times New Roman"/>
        </w:rPr>
        <w:t>representative is authorized to act on behalf of a</w:t>
      </w:r>
      <w:r>
        <w:rPr>
          <w:rFonts w:ascii="Times New Roman" w:hAnsi="Times New Roman"/>
        </w:rPr>
        <w:t xml:space="preserve"> </w:t>
      </w:r>
      <w:r w:rsidRPr="001B035D">
        <w:rPr>
          <w:rFonts w:ascii="Times New Roman" w:hAnsi="Times New Roman"/>
        </w:rPr>
        <w:t>taxpayer. Such authority must be evidenced by a power</w:t>
      </w:r>
      <w:r>
        <w:rPr>
          <w:rFonts w:ascii="Times New Roman" w:hAnsi="Times New Roman"/>
        </w:rPr>
        <w:t xml:space="preserve"> </w:t>
      </w:r>
      <w:r w:rsidRPr="001B035D">
        <w:rPr>
          <w:rFonts w:ascii="Times New Roman" w:hAnsi="Times New Roman"/>
        </w:rPr>
        <w:t>of attorney and declaration of representative filed with</w:t>
      </w:r>
      <w:r>
        <w:rPr>
          <w:rFonts w:ascii="Times New Roman" w:hAnsi="Times New Roman"/>
        </w:rPr>
        <w:t xml:space="preserve"> </w:t>
      </w:r>
      <w:r w:rsidRPr="001B035D">
        <w:rPr>
          <w:rFonts w:ascii="Times New Roman" w:hAnsi="Times New Roman"/>
        </w:rPr>
        <w:t>the appropriate office of the Internal Revenue Service. In</w:t>
      </w:r>
      <w:r>
        <w:rPr>
          <w:rFonts w:ascii="Times New Roman" w:hAnsi="Times New Roman"/>
        </w:rPr>
        <w:t xml:space="preserve"> </w:t>
      </w:r>
      <w:r w:rsidRPr="001B035D">
        <w:rPr>
          <w:rFonts w:ascii="Times New Roman" w:hAnsi="Times New Roman"/>
        </w:rPr>
        <w:t>general, a power of attorney must contain certain</w:t>
      </w:r>
      <w:r>
        <w:rPr>
          <w:rFonts w:ascii="Times New Roman" w:hAnsi="Times New Roman"/>
        </w:rPr>
        <w:t xml:space="preserve"> </w:t>
      </w:r>
      <w:r w:rsidRPr="001B035D">
        <w:rPr>
          <w:rFonts w:ascii="Times New Roman" w:hAnsi="Times New Roman"/>
        </w:rPr>
        <w:t>information concerning the taxpayer, the recognized</w:t>
      </w:r>
      <w:r>
        <w:rPr>
          <w:rFonts w:ascii="Times New Roman" w:hAnsi="Times New Roman"/>
        </w:rPr>
        <w:t xml:space="preserve"> </w:t>
      </w:r>
      <w:r w:rsidRPr="001B035D">
        <w:rPr>
          <w:rFonts w:ascii="Times New Roman" w:hAnsi="Times New Roman"/>
        </w:rPr>
        <w:t>representative, and the specific tax matter(s) for which</w:t>
      </w:r>
      <w:r>
        <w:rPr>
          <w:rFonts w:ascii="Times New Roman" w:hAnsi="Times New Roman"/>
        </w:rPr>
        <w:t xml:space="preserve"> </w:t>
      </w:r>
      <w:r w:rsidRPr="001B035D">
        <w:rPr>
          <w:rFonts w:ascii="Times New Roman" w:hAnsi="Times New Roman"/>
        </w:rPr>
        <w:t>the recognized repres</w:t>
      </w:r>
      <w:r>
        <w:rPr>
          <w:rFonts w:ascii="Times New Roman" w:hAnsi="Times New Roman"/>
        </w:rPr>
        <w:t xml:space="preserve">entative is authorized to act.  </w:t>
      </w:r>
      <w:r w:rsidRPr="00E03CBD" w:rsidR="00E03CBD">
        <w:rPr>
          <w:rFonts w:ascii="Times New Roman" w:hAnsi="Times New Roman"/>
        </w:rPr>
        <w:t>Sections 601.501 through 601.509</w:t>
      </w:r>
      <w:r w:rsidR="00E03CBD">
        <w:rPr>
          <w:rFonts w:ascii="Times New Roman" w:hAnsi="Times New Roman"/>
        </w:rPr>
        <w:t xml:space="preserve"> outline the conference and practice requirements.  </w:t>
      </w:r>
    </w:p>
    <w:p w:rsidR="001B035D" w:rsidRDefault="001B035D" w14:paraId="07577539" w14:textId="77777777">
      <w:pPr>
        <w:ind w:left="720"/>
        <w:rPr>
          <w:rFonts w:ascii="Times New Roman" w:hAnsi="Times New Roman"/>
        </w:rPr>
      </w:pPr>
    </w:p>
    <w:p w:rsidR="00612BB6" w:rsidRDefault="00E03CBD" w14:paraId="4138BF7C" w14:textId="77777777">
      <w:pPr>
        <w:ind w:left="720"/>
        <w:rPr>
          <w:rFonts w:ascii="Times New Roman" w:hAnsi="Times New Roman"/>
        </w:rPr>
      </w:pPr>
      <w:r>
        <w:rPr>
          <w:rFonts w:ascii="Times New Roman" w:hAnsi="Times New Roman"/>
        </w:rPr>
        <w:t xml:space="preserve">Section 601.504 provides the details for the requirements for filing a proper power of attorney.  </w:t>
      </w:r>
      <w:r w:rsidRPr="003E2BA1" w:rsidR="00722806">
        <w:rPr>
          <w:rFonts w:ascii="Times New Roman" w:hAnsi="Times New Roman"/>
        </w:rPr>
        <w:t>Form 2848</w:t>
      </w:r>
      <w:r>
        <w:rPr>
          <w:rFonts w:ascii="Times New Roman" w:hAnsi="Times New Roman"/>
        </w:rPr>
        <w:t xml:space="preserve"> and Form 2848(SP) </w:t>
      </w:r>
      <w:r w:rsidR="00D077C0">
        <w:rPr>
          <w:rFonts w:ascii="Times New Roman" w:hAnsi="Times New Roman"/>
        </w:rPr>
        <w:t xml:space="preserve">were created by the IRS to help </w:t>
      </w:r>
      <w:r w:rsidR="002C1B96">
        <w:rPr>
          <w:rFonts w:ascii="Times New Roman" w:hAnsi="Times New Roman"/>
        </w:rPr>
        <w:t xml:space="preserve">clarify the requirements outlined in 601.504.  </w:t>
      </w:r>
      <w:r w:rsidRPr="003E2BA1" w:rsidR="00722806">
        <w:rPr>
          <w:rFonts w:ascii="Times New Roman" w:hAnsi="Times New Roman"/>
        </w:rPr>
        <w:t xml:space="preserve"> </w:t>
      </w:r>
      <w:r w:rsidR="002C1B96">
        <w:rPr>
          <w:rFonts w:ascii="Times New Roman" w:hAnsi="Times New Roman"/>
        </w:rPr>
        <w:t>Taxpayers may use these or like-forms to provide IRS a power of attorney, as long as all relevant information (as outlined in 601.504) is included.</w:t>
      </w:r>
    </w:p>
    <w:p w:rsidR="00612BB6" w:rsidRDefault="00612BB6" w14:paraId="3916BF3B" w14:textId="77777777">
      <w:pPr>
        <w:ind w:left="720"/>
        <w:rPr>
          <w:rFonts w:ascii="Times New Roman" w:hAnsi="Times New Roman"/>
        </w:rPr>
      </w:pPr>
    </w:p>
    <w:p w:rsidRPr="003E2BA1" w:rsidR="00722806" w:rsidRDefault="00B806AF" w14:paraId="38B30357" w14:textId="77777777">
      <w:pPr>
        <w:ind w:left="720"/>
        <w:rPr>
          <w:rFonts w:ascii="Times New Roman" w:hAnsi="Times New Roman"/>
        </w:rPr>
      </w:pPr>
      <w:r>
        <w:rPr>
          <w:rFonts w:ascii="Times New Roman" w:hAnsi="Times New Roman"/>
        </w:rPr>
        <w:t>Title 31 CFR 330, Practice before the Department, regulates the practice of representatives of persons before the Department of the Treasury.</w:t>
      </w:r>
      <w:r w:rsidR="00D81F4E">
        <w:rPr>
          <w:rFonts w:ascii="Times New Roman" w:hAnsi="Times New Roman"/>
        </w:rPr>
        <w:t xml:space="preserve"> The requires that before admitting a representative to practice, that the representative demonstrate: good character, good reputation, necessary qualifications to enable the representative to provide to persons valuable service, and competency to advise and assist persons in presenting their cases.</w:t>
      </w:r>
      <w:r w:rsidR="002C1B96">
        <w:rPr>
          <w:rFonts w:ascii="Times New Roman" w:hAnsi="Times New Roman"/>
        </w:rPr>
        <w:t xml:space="preserve">      </w:t>
      </w:r>
    </w:p>
    <w:p w:rsidRPr="003E2BA1" w:rsidR="00722806" w:rsidRDefault="00722806" w14:paraId="4693F054" w14:textId="77777777">
      <w:pPr>
        <w:rPr>
          <w:rFonts w:ascii="Times New Roman" w:hAnsi="Times New Roman"/>
        </w:rPr>
      </w:pPr>
    </w:p>
    <w:p w:rsidRPr="003E2BA1" w:rsidR="00722806" w:rsidRDefault="00722806" w14:paraId="3477AA8C" w14:textId="77777777">
      <w:pPr>
        <w:tabs>
          <w:tab w:val="left" w:pos="-1440"/>
        </w:tabs>
        <w:ind w:left="720" w:hanging="720"/>
        <w:rPr>
          <w:rFonts w:ascii="Times New Roman" w:hAnsi="Times New Roman"/>
          <w:b/>
        </w:rPr>
      </w:pPr>
      <w:r w:rsidRPr="003E2BA1">
        <w:rPr>
          <w:rFonts w:ascii="Times New Roman" w:hAnsi="Times New Roman"/>
          <w:b/>
        </w:rPr>
        <w:t>2.</w:t>
      </w:r>
      <w:r w:rsidRPr="003E2BA1">
        <w:rPr>
          <w:rFonts w:ascii="Times New Roman" w:hAnsi="Times New Roman"/>
        </w:rPr>
        <w:tab/>
      </w:r>
      <w:r w:rsidRPr="003E2BA1">
        <w:rPr>
          <w:rFonts w:ascii="Times New Roman" w:hAnsi="Times New Roman"/>
          <w:b/>
          <w:u w:val="single"/>
        </w:rPr>
        <w:t>USE OF DATA</w:t>
      </w:r>
    </w:p>
    <w:p w:rsidRPr="003E2BA1" w:rsidR="00722806" w:rsidRDefault="00722806" w14:paraId="6DD68324" w14:textId="77777777">
      <w:pPr>
        <w:rPr>
          <w:rFonts w:ascii="Times New Roman" w:hAnsi="Times New Roman"/>
        </w:rPr>
      </w:pPr>
    </w:p>
    <w:p w:rsidRPr="003E2BA1" w:rsidR="002C1B96" w:rsidP="002C1B96" w:rsidRDefault="00722806" w14:paraId="5971E474" w14:textId="41DE7970">
      <w:pPr>
        <w:ind w:left="720"/>
        <w:rPr>
          <w:rFonts w:ascii="Times New Roman" w:hAnsi="Times New Roman"/>
        </w:rPr>
      </w:pPr>
      <w:r w:rsidRPr="003E2BA1">
        <w:rPr>
          <w:rFonts w:ascii="Times New Roman" w:hAnsi="Times New Roman"/>
        </w:rPr>
        <w:t xml:space="preserve">The </w:t>
      </w:r>
      <w:r w:rsidR="002C1B96">
        <w:rPr>
          <w:rFonts w:ascii="Times New Roman" w:hAnsi="Times New Roman"/>
        </w:rPr>
        <w:t xml:space="preserve">information collected </w:t>
      </w:r>
      <w:r w:rsidRPr="003E2BA1">
        <w:rPr>
          <w:rFonts w:ascii="Times New Roman" w:hAnsi="Times New Roman"/>
        </w:rPr>
        <w:t xml:space="preserve">by the IRS </w:t>
      </w:r>
      <w:r w:rsidR="002C1B96">
        <w:rPr>
          <w:rFonts w:ascii="Times New Roman" w:hAnsi="Times New Roman"/>
        </w:rPr>
        <w:t>will be used to set</w:t>
      </w:r>
      <w:r w:rsidRPr="003E2BA1" w:rsidR="002C1B96">
        <w:rPr>
          <w:rFonts w:ascii="Times New Roman" w:hAnsi="Times New Roman"/>
        </w:rPr>
        <w:t xml:space="preserve"> forth the rules for acting on behalf of a taxpayer, presenting written or oral statements of fact on behalf of the taxpayer, and receiving or inspecting confidential tax information concerning the taxpayer being represented. </w:t>
      </w:r>
      <w:r w:rsidR="00F31F5F">
        <w:rPr>
          <w:rFonts w:ascii="Times New Roman" w:hAnsi="Times New Roman"/>
        </w:rPr>
        <w:t>Affected taxpayers are i</w:t>
      </w:r>
      <w:r w:rsidRPr="00F31F5F" w:rsidR="00F31F5F">
        <w:rPr>
          <w:rFonts w:ascii="Times New Roman" w:hAnsi="Times New Roman"/>
        </w:rPr>
        <w:t xml:space="preserve">ndividuals or households, business or </w:t>
      </w:r>
      <w:r w:rsidRPr="00F31F5F" w:rsidR="00F31F5F">
        <w:rPr>
          <w:rFonts w:ascii="Times New Roman" w:hAnsi="Times New Roman"/>
        </w:rPr>
        <w:lastRenderedPageBreak/>
        <w:t xml:space="preserve">other for-profit organizations, not-for-profit institutions, </w:t>
      </w:r>
      <w:r w:rsidR="00F707BC">
        <w:rPr>
          <w:rFonts w:ascii="Times New Roman" w:hAnsi="Times New Roman"/>
        </w:rPr>
        <w:t xml:space="preserve">estate, trusts, </w:t>
      </w:r>
      <w:r w:rsidRPr="00F31F5F" w:rsidR="00F31F5F">
        <w:rPr>
          <w:rFonts w:ascii="Times New Roman" w:hAnsi="Times New Roman"/>
        </w:rPr>
        <w:t>and farms</w:t>
      </w:r>
      <w:r w:rsidR="008F5D69">
        <w:rPr>
          <w:rFonts w:ascii="Times New Roman" w:hAnsi="Times New Roman"/>
        </w:rPr>
        <w:t>.</w:t>
      </w:r>
    </w:p>
    <w:p w:rsidRPr="003E2BA1" w:rsidR="00722806" w:rsidP="002C1B96" w:rsidRDefault="00722806" w14:paraId="01561108" w14:textId="3E5907E5">
      <w:pPr>
        <w:ind w:left="720"/>
        <w:rPr>
          <w:rFonts w:ascii="Times New Roman" w:hAnsi="Times New Roman"/>
        </w:rPr>
      </w:pPr>
    </w:p>
    <w:p w:rsidRPr="003E2BA1" w:rsidR="00722806" w:rsidRDefault="00722806" w14:paraId="5DD8200B" w14:textId="77777777">
      <w:pPr>
        <w:tabs>
          <w:tab w:val="left" w:pos="-1440"/>
        </w:tabs>
        <w:ind w:left="720" w:hanging="720"/>
        <w:rPr>
          <w:rFonts w:ascii="Times New Roman" w:hAnsi="Times New Roman"/>
          <w:b/>
        </w:rPr>
      </w:pPr>
      <w:r w:rsidRPr="003E2BA1">
        <w:rPr>
          <w:rFonts w:ascii="Times New Roman" w:hAnsi="Times New Roman"/>
          <w:b/>
        </w:rPr>
        <w:t>3.</w:t>
      </w:r>
      <w:r w:rsidRPr="003E2BA1">
        <w:rPr>
          <w:rFonts w:ascii="Times New Roman" w:hAnsi="Times New Roman"/>
          <w:b/>
        </w:rPr>
        <w:tab/>
      </w:r>
      <w:r w:rsidRPr="003E2BA1">
        <w:rPr>
          <w:rFonts w:ascii="Times New Roman" w:hAnsi="Times New Roman"/>
          <w:b/>
          <w:u w:val="single"/>
        </w:rPr>
        <w:t>USE OF IMPROVED INFORMATION TECHNOLOGY TO REDUCE BURDEN</w:t>
      </w:r>
    </w:p>
    <w:p w:rsidRPr="003E2BA1" w:rsidR="00722806" w:rsidRDefault="00722806" w14:paraId="4752326B" w14:textId="77777777">
      <w:pPr>
        <w:rPr>
          <w:rFonts w:ascii="Times New Roman" w:hAnsi="Times New Roman"/>
        </w:rPr>
      </w:pPr>
    </w:p>
    <w:p w:rsidRPr="003E2BA1" w:rsidR="00722806" w:rsidRDefault="004D53A9" w14:paraId="376511CE" w14:textId="4E8155EB">
      <w:pPr>
        <w:ind w:left="720"/>
        <w:rPr>
          <w:rFonts w:ascii="Times New Roman" w:hAnsi="Times New Roman"/>
        </w:rPr>
      </w:pPr>
      <w:r>
        <w:rPr>
          <w:rFonts w:ascii="Times New Roman" w:hAnsi="Times New Roman"/>
        </w:rPr>
        <w:t>Taxpayers have various technologies available in communicating with the IRS depending on the particular circumstances</w:t>
      </w:r>
      <w:r w:rsidRPr="003E2BA1" w:rsidR="00722806">
        <w:rPr>
          <w:rFonts w:ascii="Times New Roman" w:hAnsi="Times New Roman"/>
        </w:rPr>
        <w:t>.</w:t>
      </w:r>
      <w:r>
        <w:rPr>
          <w:rFonts w:ascii="Times New Roman" w:hAnsi="Times New Roman"/>
        </w:rPr>
        <w:t xml:space="preserve">  A power of attorney must be maintained by IRS to enable representatives</w:t>
      </w:r>
      <w:r w:rsidR="007E1DAD">
        <w:rPr>
          <w:rFonts w:ascii="Times New Roman" w:hAnsi="Times New Roman"/>
        </w:rPr>
        <w:t xml:space="preserve"> quick and proper service.  Power of Attorney forms may be submitted to IRS via fax machine or postal carrier.  These addresses are provided to taxpayers in the instructions to Form 2848 and Form 2848(SP).  </w:t>
      </w:r>
      <w:r w:rsidR="00FF17BE">
        <w:rPr>
          <w:rFonts w:ascii="Times New Roman" w:hAnsi="Times New Roman"/>
        </w:rPr>
        <w:t>Additionally, Tax Pro Account (on IRS.gov) will allow tax professionals to initiate and sign POA forms online.</w:t>
      </w:r>
      <w:r>
        <w:rPr>
          <w:rFonts w:ascii="Times New Roman" w:hAnsi="Times New Roman"/>
        </w:rPr>
        <w:t xml:space="preserve"> </w:t>
      </w:r>
    </w:p>
    <w:p w:rsidRPr="003E2BA1" w:rsidR="00722806" w:rsidRDefault="00722806" w14:paraId="3B68EAFF" w14:textId="77777777">
      <w:pPr>
        <w:rPr>
          <w:rFonts w:ascii="Times New Roman" w:hAnsi="Times New Roman"/>
        </w:rPr>
      </w:pPr>
    </w:p>
    <w:p w:rsidRPr="003E2BA1" w:rsidR="00722806" w:rsidRDefault="00722806" w14:paraId="430C0656" w14:textId="77777777">
      <w:pPr>
        <w:pStyle w:val="Quick1"/>
        <w:numPr>
          <w:ilvl w:val="0"/>
          <w:numId w:val="2"/>
        </w:numPr>
        <w:tabs>
          <w:tab w:val="left" w:pos="-1440"/>
          <w:tab w:val="num" w:pos="720"/>
        </w:tabs>
        <w:rPr>
          <w:rFonts w:ascii="Times New Roman" w:hAnsi="Times New Roman"/>
          <w:b/>
        </w:rPr>
      </w:pPr>
      <w:r w:rsidRPr="003E2BA1">
        <w:rPr>
          <w:rFonts w:ascii="Times New Roman" w:hAnsi="Times New Roman"/>
          <w:b/>
          <w:u w:val="single"/>
        </w:rPr>
        <w:t>EFFORTS TO IDENTIFY DUPLICATION</w:t>
      </w:r>
    </w:p>
    <w:p w:rsidRPr="003E2BA1" w:rsidR="00722806" w:rsidRDefault="00722806" w14:paraId="3F5BF8F1" w14:textId="77777777">
      <w:pPr>
        <w:rPr>
          <w:rFonts w:ascii="Times New Roman" w:hAnsi="Times New Roman"/>
        </w:rPr>
      </w:pPr>
    </w:p>
    <w:p w:rsidRPr="003E2BA1" w:rsidR="00722806" w:rsidRDefault="00C73518" w14:paraId="466A1E60" w14:textId="77777777">
      <w:pPr>
        <w:ind w:left="720"/>
        <w:rPr>
          <w:rFonts w:ascii="Times New Roman" w:hAnsi="Times New Roman"/>
        </w:rPr>
      </w:pPr>
      <w:r w:rsidRPr="00C73518">
        <w:rPr>
          <w:rFonts w:ascii="Times New Roman" w:hAnsi="Times New Roman"/>
        </w:rPr>
        <w:t>The information obtained through this collection is unique and is not already available for use or adaptation from another source</w:t>
      </w:r>
      <w:r w:rsidRPr="003E2BA1" w:rsidR="00722806">
        <w:rPr>
          <w:rFonts w:ascii="Times New Roman" w:hAnsi="Times New Roman"/>
        </w:rPr>
        <w:t xml:space="preserve">. </w:t>
      </w:r>
    </w:p>
    <w:p w:rsidRPr="003E2BA1" w:rsidR="00722806" w:rsidRDefault="00722806" w14:paraId="701C2722" w14:textId="77777777">
      <w:pPr>
        <w:rPr>
          <w:rFonts w:ascii="Times New Roman" w:hAnsi="Times New Roman"/>
        </w:rPr>
      </w:pPr>
      <w:r w:rsidRPr="003E2BA1">
        <w:rPr>
          <w:rFonts w:ascii="Times New Roman" w:hAnsi="Times New Roman"/>
        </w:rPr>
        <w:t xml:space="preserve"> </w:t>
      </w:r>
    </w:p>
    <w:p w:rsidRPr="003E2BA1" w:rsidR="00722806" w:rsidRDefault="00722806" w14:paraId="03163087" w14:textId="77777777">
      <w:pPr>
        <w:tabs>
          <w:tab w:val="left" w:pos="-1440"/>
        </w:tabs>
        <w:ind w:left="720" w:hanging="720"/>
        <w:rPr>
          <w:rFonts w:ascii="Times New Roman" w:hAnsi="Times New Roman"/>
          <w:b/>
        </w:rPr>
      </w:pPr>
      <w:r w:rsidRPr="003E2BA1">
        <w:rPr>
          <w:rFonts w:ascii="Times New Roman" w:hAnsi="Times New Roman"/>
          <w:b/>
        </w:rPr>
        <w:t>5.</w:t>
      </w:r>
      <w:r w:rsidRPr="003E2BA1">
        <w:rPr>
          <w:rFonts w:ascii="Times New Roman" w:hAnsi="Times New Roman"/>
          <w:b/>
        </w:rPr>
        <w:tab/>
      </w:r>
      <w:r w:rsidRPr="003E2BA1">
        <w:rPr>
          <w:rFonts w:ascii="Times New Roman" w:hAnsi="Times New Roman"/>
          <w:b/>
          <w:u w:val="single"/>
        </w:rPr>
        <w:t>METHODS TO MINIMIZE BURDEN ON SMALL BUSINESSES OR OTHER</w:t>
      </w:r>
      <w:r w:rsidRPr="003E2BA1" w:rsidR="003E2BA1">
        <w:rPr>
          <w:rFonts w:ascii="Times New Roman" w:hAnsi="Times New Roman"/>
          <w:b/>
          <w:u w:val="single"/>
        </w:rPr>
        <w:t xml:space="preserve"> </w:t>
      </w:r>
      <w:r w:rsidRPr="003E2BA1">
        <w:rPr>
          <w:rFonts w:ascii="Times New Roman" w:hAnsi="Times New Roman"/>
          <w:b/>
          <w:u w:val="single"/>
        </w:rPr>
        <w:t>SMALL ENTITIES</w:t>
      </w:r>
    </w:p>
    <w:p w:rsidRPr="003E2BA1" w:rsidR="00722806" w:rsidRDefault="00722806" w14:paraId="0550512F" w14:textId="77777777">
      <w:pPr>
        <w:rPr>
          <w:rFonts w:ascii="Times New Roman" w:hAnsi="Times New Roman"/>
        </w:rPr>
      </w:pPr>
    </w:p>
    <w:p w:rsidRPr="003E2BA1" w:rsidR="00722806" w:rsidP="00AC4ECE" w:rsidRDefault="00AC4ECE" w14:paraId="75473D02" w14:textId="77777777">
      <w:pPr>
        <w:ind w:left="810"/>
        <w:rPr>
          <w:rFonts w:ascii="Times New Roman" w:hAnsi="Times New Roman"/>
        </w:rPr>
      </w:pPr>
      <w:r w:rsidRPr="00AC4ECE">
        <w:rPr>
          <w:rFonts w:ascii="Times New Roman" w:hAnsi="Times New Roman"/>
          <w:color w:val="000000"/>
        </w:rPr>
        <w:t xml:space="preserve">Small businesses should not be disadvantaged as the requirements are structured to request the </w:t>
      </w:r>
      <w:r>
        <w:rPr>
          <w:rFonts w:ascii="Times New Roman" w:hAnsi="Times New Roman"/>
          <w:color w:val="000000"/>
        </w:rPr>
        <w:t>l</w:t>
      </w:r>
      <w:r w:rsidRPr="00AC4ECE">
        <w:rPr>
          <w:rFonts w:ascii="Times New Roman" w:hAnsi="Times New Roman"/>
          <w:color w:val="000000"/>
        </w:rPr>
        <w:t>east amount of information and still satisfy the requirements of the statute and the needs of the Service.</w:t>
      </w:r>
    </w:p>
    <w:p w:rsidRPr="003E2BA1" w:rsidR="00722806" w:rsidRDefault="00722806" w14:paraId="48FC6AC1" w14:textId="77777777">
      <w:pPr>
        <w:rPr>
          <w:rFonts w:ascii="Times New Roman" w:hAnsi="Times New Roman"/>
        </w:rPr>
      </w:pPr>
    </w:p>
    <w:p w:rsidRPr="003E2BA1" w:rsidR="00722806" w:rsidRDefault="00722806" w14:paraId="1698548B" w14:textId="77777777">
      <w:pPr>
        <w:pStyle w:val="Quick1"/>
        <w:numPr>
          <w:ilvl w:val="0"/>
          <w:numId w:val="3"/>
        </w:numPr>
        <w:tabs>
          <w:tab w:val="left" w:pos="-1440"/>
          <w:tab w:val="num" w:pos="720"/>
        </w:tabs>
        <w:rPr>
          <w:rFonts w:ascii="Times New Roman" w:hAnsi="Times New Roman"/>
          <w:b/>
        </w:rPr>
      </w:pPr>
      <w:r w:rsidRPr="003E2BA1">
        <w:rPr>
          <w:rFonts w:ascii="Times New Roman" w:hAnsi="Times New Roman"/>
          <w:b/>
          <w:u w:val="single"/>
        </w:rPr>
        <w:t>CONSEQUENCES OF LESS FREQUENT COLLECTION ON FEDERAL PROGRAMS</w:t>
      </w:r>
      <w:r w:rsidRPr="003E2BA1">
        <w:rPr>
          <w:rFonts w:ascii="Times New Roman" w:hAnsi="Times New Roman"/>
          <w:b/>
        </w:rPr>
        <w:t xml:space="preserve"> </w:t>
      </w:r>
      <w:r w:rsidRPr="003E2BA1">
        <w:rPr>
          <w:rFonts w:ascii="Times New Roman" w:hAnsi="Times New Roman"/>
          <w:b/>
          <w:u w:val="single"/>
        </w:rPr>
        <w:t>OR POLICY ACTIVITIES</w:t>
      </w:r>
    </w:p>
    <w:p w:rsidRPr="003E2BA1" w:rsidR="00722806" w:rsidRDefault="00722806" w14:paraId="6CF01795" w14:textId="77777777">
      <w:pPr>
        <w:rPr>
          <w:rFonts w:ascii="Times New Roman" w:hAnsi="Times New Roman"/>
        </w:rPr>
      </w:pPr>
    </w:p>
    <w:p w:rsidRPr="003E2BA1" w:rsidR="00722806" w:rsidRDefault="004B2646" w14:paraId="51C5AD15" w14:textId="77777777">
      <w:pPr>
        <w:ind w:left="720"/>
        <w:rPr>
          <w:rFonts w:ascii="Times New Roman" w:hAnsi="Times New Roman"/>
        </w:rPr>
      </w:pPr>
      <w:bookmarkStart w:name="_Hlk53735283" w:id="0"/>
      <w:r w:rsidRPr="004B2646">
        <w:rPr>
          <w:rFonts w:ascii="Times New Roman" w:hAnsi="Times New Roman"/>
        </w:rPr>
        <w:t>Failure to collect the information will prevent taxpayers from properly complying and/or reporting with the requirements outlined</w:t>
      </w:r>
      <w:r w:rsidR="00D91E5C">
        <w:rPr>
          <w:rFonts w:ascii="Times New Roman" w:hAnsi="Times New Roman"/>
        </w:rPr>
        <w:t xml:space="preserve">. </w:t>
      </w:r>
    </w:p>
    <w:bookmarkEnd w:id="0"/>
    <w:p w:rsidRPr="003E2BA1" w:rsidR="00722806" w:rsidRDefault="00722806" w14:paraId="278DE582" w14:textId="77777777">
      <w:pPr>
        <w:rPr>
          <w:rFonts w:ascii="Times New Roman" w:hAnsi="Times New Roman"/>
        </w:rPr>
      </w:pPr>
    </w:p>
    <w:p w:rsidRPr="003E2BA1" w:rsidR="00722806" w:rsidRDefault="00722806" w14:paraId="09AA6EC4" w14:textId="77777777">
      <w:pPr>
        <w:tabs>
          <w:tab w:val="left" w:pos="-1440"/>
        </w:tabs>
        <w:ind w:left="720" w:hanging="720"/>
        <w:rPr>
          <w:rFonts w:ascii="Times New Roman" w:hAnsi="Times New Roman"/>
          <w:b/>
        </w:rPr>
      </w:pPr>
      <w:r w:rsidRPr="003E2BA1">
        <w:rPr>
          <w:rFonts w:ascii="Times New Roman" w:hAnsi="Times New Roman"/>
          <w:b/>
        </w:rPr>
        <w:t>7.</w:t>
      </w:r>
      <w:r w:rsidRPr="003E2BA1">
        <w:rPr>
          <w:rFonts w:ascii="Times New Roman" w:hAnsi="Times New Roman"/>
          <w:b/>
        </w:rPr>
        <w:tab/>
      </w:r>
      <w:r w:rsidRPr="003E2BA1">
        <w:rPr>
          <w:rFonts w:ascii="Times New Roman" w:hAnsi="Times New Roman"/>
          <w:b/>
          <w:u w:val="single"/>
        </w:rPr>
        <w:t>SPECIAL CIRCUMSTANCES REQUIRING DATA COLLECTION TO BE</w:t>
      </w:r>
      <w:r w:rsidRPr="003E2BA1" w:rsidR="003E2BA1">
        <w:rPr>
          <w:rFonts w:ascii="Times New Roman" w:hAnsi="Times New Roman"/>
          <w:b/>
          <w:u w:val="single"/>
        </w:rPr>
        <w:t xml:space="preserve"> </w:t>
      </w:r>
      <w:r w:rsidRPr="003E2BA1">
        <w:rPr>
          <w:rFonts w:ascii="Times New Roman" w:hAnsi="Times New Roman"/>
          <w:b/>
          <w:u w:val="single"/>
        </w:rPr>
        <w:t>INCONSISTENT WITH GUIDELINES IN 5 CFR 1320.5(d)(2)</w:t>
      </w:r>
    </w:p>
    <w:p w:rsidRPr="003E2BA1" w:rsidR="00722806" w:rsidRDefault="00722806" w14:paraId="6A681411" w14:textId="77777777">
      <w:pPr>
        <w:rPr>
          <w:rFonts w:ascii="Times New Roman" w:hAnsi="Times New Roman"/>
        </w:rPr>
      </w:pPr>
    </w:p>
    <w:p w:rsidRPr="003E2BA1" w:rsidR="00722806" w:rsidRDefault="004B2646" w14:paraId="35D6B93A" w14:textId="77777777">
      <w:pPr>
        <w:ind w:left="720"/>
        <w:rPr>
          <w:rFonts w:ascii="Times New Roman" w:hAnsi="Times New Roman"/>
        </w:rPr>
      </w:pPr>
      <w:r w:rsidRPr="004B2646">
        <w:rPr>
          <w:rFonts w:ascii="Times New Roman" w:hAnsi="Times New Roman"/>
        </w:rPr>
        <w:t>There are no special circumstances requiring data collection to be inconsistent with Guidelines in 5 CFR 1320.5(d)(2)</w:t>
      </w:r>
      <w:r w:rsidRPr="003E2BA1" w:rsidR="00722806">
        <w:rPr>
          <w:rFonts w:ascii="Times New Roman" w:hAnsi="Times New Roman"/>
        </w:rPr>
        <w:t>.</w:t>
      </w:r>
    </w:p>
    <w:p w:rsidRPr="003E2BA1" w:rsidR="005A79FE" w:rsidRDefault="005A79FE" w14:paraId="098CB2E0" w14:textId="77777777">
      <w:pPr>
        <w:ind w:left="720"/>
        <w:rPr>
          <w:rFonts w:ascii="Times New Roman" w:hAnsi="Times New Roman"/>
        </w:rPr>
      </w:pPr>
    </w:p>
    <w:p w:rsidRPr="003E2BA1" w:rsidR="00722806" w:rsidRDefault="00722806" w14:paraId="75B6F5D1" w14:textId="77777777">
      <w:pPr>
        <w:pStyle w:val="Quick1"/>
        <w:numPr>
          <w:ilvl w:val="0"/>
          <w:numId w:val="4"/>
        </w:numPr>
        <w:tabs>
          <w:tab w:val="left" w:pos="-1440"/>
          <w:tab w:val="num" w:pos="720"/>
        </w:tabs>
        <w:rPr>
          <w:rFonts w:ascii="Times New Roman" w:hAnsi="Times New Roman"/>
          <w:b/>
        </w:rPr>
      </w:pPr>
      <w:r w:rsidRPr="003E2BA1">
        <w:rPr>
          <w:rFonts w:ascii="Times New Roman" w:hAnsi="Times New Roman"/>
          <w:b/>
          <w:u w:val="single"/>
        </w:rPr>
        <w:t>CONSULTATION WITH INDIVIDUALS OUTSIDE OF THE AGENCY ON</w:t>
      </w:r>
      <w:r w:rsidRPr="003E2BA1" w:rsidR="003E2BA1">
        <w:rPr>
          <w:rFonts w:ascii="Times New Roman" w:hAnsi="Times New Roman"/>
          <w:b/>
          <w:u w:val="single"/>
        </w:rPr>
        <w:t xml:space="preserve"> </w:t>
      </w:r>
      <w:r w:rsidRPr="003E2BA1">
        <w:rPr>
          <w:rFonts w:ascii="Times New Roman" w:hAnsi="Times New Roman"/>
          <w:b/>
          <w:u w:val="single"/>
        </w:rPr>
        <w:t>AVAILABILITY OF DATA, FREQUENCY OF COLLECTION, CLARITY OF INSTRUCTIONS AND FORMS, AND DATA ELEMENTS</w:t>
      </w:r>
    </w:p>
    <w:p w:rsidRPr="003E2BA1" w:rsidR="00722806" w:rsidRDefault="00722806" w14:paraId="070146D8" w14:textId="77777777">
      <w:pPr>
        <w:rPr>
          <w:rFonts w:ascii="Times New Roman" w:hAnsi="Times New Roman"/>
        </w:rPr>
      </w:pPr>
    </w:p>
    <w:p w:rsidR="00900428" w:rsidP="002D5B17" w:rsidRDefault="00722806" w14:paraId="57077FF2" w14:textId="77777777">
      <w:pPr>
        <w:pStyle w:val="PlainText"/>
        <w:ind w:left="720"/>
        <w:rPr>
          <w:rFonts w:ascii="Times New Roman" w:hAnsi="Times New Roman"/>
          <w:sz w:val="24"/>
          <w:szCs w:val="24"/>
        </w:rPr>
      </w:pPr>
      <w:r w:rsidRPr="003E2BA1">
        <w:rPr>
          <w:rFonts w:ascii="Times New Roman" w:hAnsi="Times New Roman"/>
          <w:sz w:val="24"/>
          <w:szCs w:val="24"/>
        </w:rPr>
        <w:t xml:space="preserve">In response to the </w:t>
      </w:r>
      <w:r w:rsidRPr="003E2BA1">
        <w:rPr>
          <w:rFonts w:ascii="Times New Roman" w:hAnsi="Times New Roman"/>
          <w:b/>
          <w:bCs/>
          <w:sz w:val="24"/>
          <w:szCs w:val="24"/>
        </w:rPr>
        <w:t>Federal Register</w:t>
      </w:r>
      <w:r w:rsidRPr="003E2BA1">
        <w:rPr>
          <w:rFonts w:ascii="Times New Roman" w:hAnsi="Times New Roman"/>
          <w:sz w:val="24"/>
          <w:szCs w:val="24"/>
        </w:rPr>
        <w:t xml:space="preserve"> </w:t>
      </w:r>
      <w:r w:rsidRPr="003E2BA1">
        <w:rPr>
          <w:rFonts w:ascii="Times New Roman" w:hAnsi="Times New Roman"/>
          <w:b/>
          <w:sz w:val="24"/>
          <w:szCs w:val="24"/>
        </w:rPr>
        <w:t>Notice</w:t>
      </w:r>
      <w:r w:rsidRPr="003E2BA1">
        <w:rPr>
          <w:rFonts w:ascii="Times New Roman" w:hAnsi="Times New Roman"/>
          <w:sz w:val="24"/>
          <w:szCs w:val="24"/>
        </w:rPr>
        <w:t xml:space="preserve"> </w:t>
      </w:r>
      <w:r w:rsidRPr="003E2BA1">
        <w:rPr>
          <w:rFonts w:ascii="Times New Roman" w:hAnsi="Times New Roman"/>
          <w:b/>
          <w:sz w:val="24"/>
          <w:szCs w:val="24"/>
        </w:rPr>
        <w:t xml:space="preserve">dated </w:t>
      </w:r>
      <w:r w:rsidR="00D91E5C">
        <w:rPr>
          <w:rFonts w:ascii="Times New Roman" w:hAnsi="Times New Roman"/>
          <w:b/>
          <w:sz w:val="24"/>
          <w:szCs w:val="24"/>
        </w:rPr>
        <w:t>July 20, 2020</w:t>
      </w:r>
      <w:r w:rsidRPr="003E2BA1" w:rsidR="0048718A">
        <w:rPr>
          <w:rFonts w:ascii="Times New Roman" w:hAnsi="Times New Roman"/>
          <w:b/>
          <w:sz w:val="24"/>
          <w:szCs w:val="24"/>
        </w:rPr>
        <w:t xml:space="preserve">, </w:t>
      </w:r>
      <w:r w:rsidRPr="003E2BA1" w:rsidR="00E777F1">
        <w:rPr>
          <w:rFonts w:ascii="Times New Roman" w:hAnsi="Times New Roman"/>
          <w:b/>
          <w:sz w:val="24"/>
          <w:szCs w:val="24"/>
        </w:rPr>
        <w:t>(</w:t>
      </w:r>
      <w:r w:rsidR="00ED58ED">
        <w:rPr>
          <w:rFonts w:ascii="Times New Roman" w:hAnsi="Times New Roman"/>
          <w:b/>
          <w:sz w:val="24"/>
          <w:szCs w:val="24"/>
        </w:rPr>
        <w:t>8</w:t>
      </w:r>
      <w:r w:rsidR="00D91E5C">
        <w:rPr>
          <w:rFonts w:ascii="Times New Roman" w:hAnsi="Times New Roman"/>
          <w:b/>
          <w:sz w:val="24"/>
          <w:szCs w:val="24"/>
        </w:rPr>
        <w:t>5</w:t>
      </w:r>
      <w:r w:rsidRPr="003E2BA1" w:rsidR="0048718A">
        <w:rPr>
          <w:rFonts w:ascii="Times New Roman" w:hAnsi="Times New Roman"/>
          <w:b/>
          <w:sz w:val="24"/>
          <w:szCs w:val="24"/>
        </w:rPr>
        <w:t xml:space="preserve"> </w:t>
      </w:r>
      <w:r w:rsidRPr="003E2BA1" w:rsidR="00E777F1">
        <w:rPr>
          <w:rFonts w:ascii="Times New Roman" w:hAnsi="Times New Roman"/>
          <w:b/>
          <w:sz w:val="24"/>
          <w:szCs w:val="24"/>
        </w:rPr>
        <w:t>FR</w:t>
      </w:r>
      <w:r w:rsidRPr="003E2BA1" w:rsidR="0048718A">
        <w:rPr>
          <w:rFonts w:ascii="Times New Roman" w:hAnsi="Times New Roman"/>
          <w:b/>
          <w:sz w:val="24"/>
          <w:szCs w:val="24"/>
        </w:rPr>
        <w:t xml:space="preserve"> </w:t>
      </w:r>
      <w:r w:rsidR="00D91E5C">
        <w:rPr>
          <w:rFonts w:ascii="Times New Roman" w:hAnsi="Times New Roman"/>
          <w:b/>
          <w:sz w:val="24"/>
          <w:szCs w:val="24"/>
        </w:rPr>
        <w:t>43943</w:t>
      </w:r>
      <w:r w:rsidRPr="003E2BA1" w:rsidR="00E777F1">
        <w:rPr>
          <w:rFonts w:ascii="Times New Roman" w:hAnsi="Times New Roman"/>
          <w:b/>
          <w:sz w:val="24"/>
          <w:szCs w:val="24"/>
        </w:rPr>
        <w:t>)</w:t>
      </w:r>
      <w:r w:rsidRPr="003E2BA1">
        <w:rPr>
          <w:rFonts w:ascii="Times New Roman" w:hAnsi="Times New Roman"/>
          <w:sz w:val="24"/>
          <w:szCs w:val="24"/>
        </w:rPr>
        <w:t xml:space="preserve">, </w:t>
      </w:r>
      <w:r w:rsidR="00900428">
        <w:rPr>
          <w:rFonts w:ascii="Times New Roman" w:hAnsi="Times New Roman"/>
          <w:sz w:val="24"/>
          <w:szCs w:val="24"/>
        </w:rPr>
        <w:t>the IRS</w:t>
      </w:r>
    </w:p>
    <w:p w:rsidRPr="003E2BA1" w:rsidR="002D5B17" w:rsidP="002D5B17" w:rsidRDefault="00722806" w14:paraId="55C43896" w14:textId="77777777">
      <w:pPr>
        <w:pStyle w:val="PlainText"/>
        <w:ind w:left="720"/>
        <w:rPr>
          <w:rFonts w:ascii="Times New Roman" w:hAnsi="Times New Roman"/>
          <w:sz w:val="24"/>
          <w:szCs w:val="24"/>
        </w:rPr>
      </w:pPr>
      <w:r w:rsidRPr="003E2BA1">
        <w:rPr>
          <w:rFonts w:ascii="Times New Roman" w:hAnsi="Times New Roman"/>
          <w:sz w:val="24"/>
          <w:szCs w:val="24"/>
        </w:rPr>
        <w:t xml:space="preserve">received </w:t>
      </w:r>
      <w:r w:rsidR="00ED58ED">
        <w:rPr>
          <w:rFonts w:ascii="Times New Roman" w:hAnsi="Times New Roman"/>
          <w:sz w:val="24"/>
          <w:szCs w:val="24"/>
        </w:rPr>
        <w:t>no</w:t>
      </w:r>
      <w:r w:rsidRPr="003E2BA1" w:rsidR="00930A45">
        <w:rPr>
          <w:rFonts w:ascii="Times New Roman" w:hAnsi="Times New Roman"/>
          <w:sz w:val="24"/>
          <w:szCs w:val="24"/>
        </w:rPr>
        <w:t xml:space="preserve"> co</w:t>
      </w:r>
      <w:r w:rsidRPr="003E2BA1">
        <w:rPr>
          <w:rFonts w:ascii="Times New Roman" w:hAnsi="Times New Roman"/>
          <w:sz w:val="24"/>
          <w:szCs w:val="24"/>
        </w:rPr>
        <w:t xml:space="preserve">mments regarding </w:t>
      </w:r>
      <w:r w:rsidR="00ED58ED">
        <w:rPr>
          <w:rFonts w:ascii="Times New Roman" w:hAnsi="Times New Roman"/>
          <w:sz w:val="24"/>
          <w:szCs w:val="24"/>
        </w:rPr>
        <w:t>these forms</w:t>
      </w:r>
      <w:r w:rsidRPr="003E2BA1">
        <w:rPr>
          <w:rFonts w:ascii="Times New Roman" w:hAnsi="Times New Roman"/>
          <w:sz w:val="24"/>
          <w:szCs w:val="24"/>
        </w:rPr>
        <w:t>.</w:t>
      </w:r>
      <w:r w:rsidRPr="003E2BA1" w:rsidR="00930A45">
        <w:rPr>
          <w:rFonts w:ascii="Times New Roman" w:hAnsi="Times New Roman"/>
          <w:sz w:val="24"/>
          <w:szCs w:val="24"/>
        </w:rPr>
        <w:t xml:space="preserve"> </w:t>
      </w:r>
      <w:r w:rsidRPr="003E2BA1" w:rsidR="002D5B17">
        <w:rPr>
          <w:rFonts w:ascii="Times New Roman" w:hAnsi="Times New Roman"/>
          <w:sz w:val="24"/>
          <w:szCs w:val="24"/>
        </w:rPr>
        <w:t xml:space="preserve"> </w:t>
      </w:r>
    </w:p>
    <w:p w:rsidRPr="003E2BA1" w:rsidR="00722806" w:rsidRDefault="00722806" w14:paraId="63BBABE1" w14:textId="77777777">
      <w:pPr>
        <w:jc w:val="both"/>
        <w:rPr>
          <w:rFonts w:ascii="Times New Roman" w:hAnsi="Times New Roman"/>
        </w:rPr>
      </w:pPr>
      <w:r w:rsidRPr="003E2BA1">
        <w:rPr>
          <w:rFonts w:ascii="Times New Roman" w:hAnsi="Times New Roman"/>
        </w:rPr>
        <w:t xml:space="preserve"> </w:t>
      </w:r>
    </w:p>
    <w:p w:rsidRPr="003E2BA1" w:rsidR="00722806" w:rsidRDefault="00722806" w14:paraId="31BDCB54" w14:textId="77777777">
      <w:pPr>
        <w:tabs>
          <w:tab w:val="left" w:pos="-1440"/>
        </w:tabs>
        <w:ind w:left="720" w:hanging="720"/>
        <w:jc w:val="both"/>
        <w:rPr>
          <w:rFonts w:ascii="Times New Roman" w:hAnsi="Times New Roman"/>
          <w:b/>
        </w:rPr>
      </w:pPr>
      <w:r w:rsidRPr="003E2BA1">
        <w:rPr>
          <w:rFonts w:ascii="Times New Roman" w:hAnsi="Times New Roman"/>
          <w:b/>
        </w:rPr>
        <w:t>9.</w:t>
      </w:r>
      <w:r w:rsidRPr="003E2BA1">
        <w:rPr>
          <w:rFonts w:ascii="Times New Roman" w:hAnsi="Times New Roman"/>
          <w:b/>
        </w:rPr>
        <w:tab/>
      </w:r>
      <w:r w:rsidRPr="003E2BA1">
        <w:rPr>
          <w:rFonts w:ascii="Times New Roman" w:hAnsi="Times New Roman"/>
          <w:b/>
          <w:u w:val="single"/>
        </w:rPr>
        <w:t>EXPLANATION OF DECISION TO PROVIDE ANY PAYMENT OR GIFT TO RESPONDENTS</w:t>
      </w:r>
    </w:p>
    <w:p w:rsidRPr="003E2BA1" w:rsidR="00722806" w:rsidRDefault="00722806" w14:paraId="592E2144" w14:textId="77777777">
      <w:pPr>
        <w:jc w:val="both"/>
        <w:rPr>
          <w:rFonts w:ascii="Times New Roman" w:hAnsi="Times New Roman"/>
        </w:rPr>
      </w:pPr>
    </w:p>
    <w:p w:rsidRPr="003E2BA1" w:rsidR="00722806" w:rsidRDefault="004B2646" w14:paraId="59BF200B" w14:textId="77777777">
      <w:pPr>
        <w:ind w:left="720"/>
        <w:jc w:val="both"/>
        <w:rPr>
          <w:rFonts w:ascii="Times New Roman" w:hAnsi="Times New Roman"/>
        </w:rPr>
      </w:pPr>
      <w:r w:rsidRPr="004B2646">
        <w:rPr>
          <w:rFonts w:ascii="Times New Roman" w:hAnsi="Times New Roman"/>
        </w:rPr>
        <w:t>No payment or gift has been provided to any respondents</w:t>
      </w:r>
      <w:r w:rsidRPr="003E2BA1" w:rsidR="00722806">
        <w:rPr>
          <w:rFonts w:ascii="Times New Roman" w:hAnsi="Times New Roman"/>
        </w:rPr>
        <w:t>.</w:t>
      </w:r>
    </w:p>
    <w:p w:rsidRPr="003E2BA1" w:rsidR="00722806" w:rsidRDefault="00722806" w14:paraId="143D26E2" w14:textId="77777777">
      <w:pPr>
        <w:jc w:val="both"/>
        <w:rPr>
          <w:rFonts w:ascii="Times New Roman" w:hAnsi="Times New Roman"/>
        </w:rPr>
      </w:pPr>
    </w:p>
    <w:p w:rsidRPr="003E2BA1" w:rsidR="00722806" w:rsidRDefault="00722806" w14:paraId="09095A43" w14:textId="77777777">
      <w:pPr>
        <w:pStyle w:val="Quick1"/>
        <w:numPr>
          <w:ilvl w:val="0"/>
          <w:numId w:val="5"/>
        </w:numPr>
        <w:tabs>
          <w:tab w:val="left" w:pos="-1440"/>
          <w:tab w:val="num" w:pos="720"/>
        </w:tabs>
        <w:jc w:val="both"/>
        <w:rPr>
          <w:rFonts w:ascii="Times New Roman" w:hAnsi="Times New Roman"/>
          <w:b/>
        </w:rPr>
      </w:pPr>
      <w:r w:rsidRPr="003E2BA1">
        <w:rPr>
          <w:rFonts w:ascii="Times New Roman" w:hAnsi="Times New Roman"/>
          <w:b/>
          <w:u w:val="single"/>
        </w:rPr>
        <w:t>ASSURANCE OF CONFIDENTIALITY OF RESPONSES</w:t>
      </w:r>
    </w:p>
    <w:p w:rsidR="001923B2" w:rsidRDefault="001923B2" w14:paraId="46D86B9F" w14:textId="77777777">
      <w:pPr>
        <w:ind w:left="720"/>
        <w:jc w:val="both"/>
        <w:rPr>
          <w:rFonts w:ascii="Times New Roman" w:hAnsi="Times New Roman"/>
        </w:rPr>
      </w:pPr>
    </w:p>
    <w:p w:rsidRPr="003E2BA1" w:rsidR="00722806" w:rsidRDefault="00722806" w14:paraId="77A57DD6" w14:textId="77777777">
      <w:pPr>
        <w:ind w:left="720"/>
        <w:jc w:val="both"/>
        <w:rPr>
          <w:rFonts w:ascii="Times New Roman" w:hAnsi="Times New Roman"/>
        </w:rPr>
      </w:pPr>
      <w:r w:rsidRPr="003E2BA1">
        <w:rPr>
          <w:rFonts w:ascii="Times New Roman" w:hAnsi="Times New Roman"/>
        </w:rPr>
        <w:t>Generally, tax returns and tax return information are confidential as required by 26 USC 6103.</w:t>
      </w:r>
    </w:p>
    <w:p w:rsidR="00722806" w:rsidRDefault="00722806" w14:paraId="22D97B19" w14:textId="77777777">
      <w:pPr>
        <w:jc w:val="both"/>
        <w:rPr>
          <w:rFonts w:ascii="Times New Roman" w:hAnsi="Times New Roman"/>
        </w:rPr>
      </w:pPr>
    </w:p>
    <w:p w:rsidR="00AC4ECE" w:rsidRDefault="00AC4ECE" w14:paraId="0C542768" w14:textId="77777777">
      <w:pPr>
        <w:jc w:val="both"/>
        <w:rPr>
          <w:rFonts w:ascii="Times New Roman" w:hAnsi="Times New Roman"/>
        </w:rPr>
      </w:pPr>
    </w:p>
    <w:p w:rsidRPr="003E2BA1" w:rsidR="00AC4ECE" w:rsidRDefault="00AC4ECE" w14:paraId="13787289" w14:textId="77777777">
      <w:pPr>
        <w:jc w:val="both"/>
        <w:rPr>
          <w:rFonts w:ascii="Times New Roman" w:hAnsi="Times New Roman"/>
        </w:rPr>
      </w:pPr>
    </w:p>
    <w:p w:rsidRPr="003E2BA1" w:rsidR="00722806" w:rsidRDefault="00722806" w14:paraId="0ECEBCA0" w14:textId="77777777">
      <w:pPr>
        <w:tabs>
          <w:tab w:val="left" w:pos="-1440"/>
        </w:tabs>
        <w:ind w:left="720" w:hanging="720"/>
        <w:jc w:val="both"/>
        <w:rPr>
          <w:rFonts w:ascii="Times New Roman" w:hAnsi="Times New Roman"/>
          <w:b/>
          <w:u w:val="single"/>
        </w:rPr>
      </w:pPr>
      <w:r w:rsidRPr="003E2BA1">
        <w:rPr>
          <w:rFonts w:ascii="Times New Roman" w:hAnsi="Times New Roman"/>
          <w:b/>
        </w:rPr>
        <w:t>11.</w:t>
      </w:r>
      <w:r w:rsidRPr="003E2BA1">
        <w:rPr>
          <w:rFonts w:ascii="Times New Roman" w:hAnsi="Times New Roman"/>
          <w:b/>
        </w:rPr>
        <w:tab/>
      </w:r>
      <w:r w:rsidRPr="003E2BA1">
        <w:rPr>
          <w:rFonts w:ascii="Times New Roman" w:hAnsi="Times New Roman"/>
          <w:b/>
          <w:u w:val="single"/>
        </w:rPr>
        <w:t>JUSTIFICATION OF SENSITIVE QUESTIONS</w:t>
      </w:r>
    </w:p>
    <w:p w:rsidRPr="003E2BA1" w:rsidR="00722806" w:rsidRDefault="00722806" w14:paraId="2C270B36" w14:textId="77777777">
      <w:pPr>
        <w:jc w:val="both"/>
        <w:rPr>
          <w:rFonts w:ascii="Times New Roman" w:hAnsi="Times New Roman"/>
          <w:u w:val="single"/>
        </w:rPr>
      </w:pPr>
    </w:p>
    <w:p w:rsidRPr="003E2BA1" w:rsidR="005C6B96" w:rsidP="005C6B96" w:rsidRDefault="005C6B96" w14:paraId="70E5DC39" w14:textId="77777777">
      <w:pPr>
        <w:widowControl/>
        <w:autoSpaceDE/>
        <w:autoSpaceDN/>
        <w:adjustRightInd/>
        <w:ind w:left="720"/>
        <w:rPr>
          <w:rFonts w:ascii="Times New Roman" w:hAnsi="Times New Roman"/>
        </w:rPr>
      </w:pPr>
      <w:r w:rsidRPr="003E2BA1">
        <w:rPr>
          <w:rFonts w:ascii="Times New Roman" w:hAnsi="Times New Roman"/>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Pr="003E2BA1" w:rsidR="005C6B96" w:rsidP="005C6B96" w:rsidRDefault="005C6B96" w14:paraId="3D3E6D18" w14:textId="77777777">
      <w:pPr>
        <w:widowControl/>
        <w:autoSpaceDE/>
        <w:autoSpaceDN/>
        <w:adjustRightInd/>
        <w:rPr>
          <w:rFonts w:ascii="Times New Roman" w:hAnsi="Times New Roman"/>
        </w:rPr>
      </w:pPr>
    </w:p>
    <w:p w:rsidRPr="003E2BA1" w:rsidR="005C6B96" w:rsidP="005C6B96" w:rsidRDefault="005C6B96" w14:paraId="1EEC0B43" w14:textId="77777777">
      <w:pPr>
        <w:widowControl/>
        <w:autoSpaceDE/>
        <w:autoSpaceDN/>
        <w:adjustRightInd/>
        <w:ind w:left="720"/>
        <w:rPr>
          <w:rFonts w:ascii="Times New Roman" w:hAnsi="Times New Roman"/>
        </w:rPr>
      </w:pPr>
      <w:r w:rsidRPr="003E2BA1">
        <w:rPr>
          <w:rFonts w:ascii="Times New Roman" w:hAnsi="Times New Roman"/>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w:t>
      </w:r>
      <w:r w:rsidR="001923B2">
        <w:rPr>
          <w:rFonts w:ascii="Times New Roman" w:hAnsi="Times New Roman"/>
        </w:rPr>
        <w:t>Internal Revenue Service</w:t>
      </w:r>
      <w:r w:rsidRPr="003E2BA1">
        <w:rPr>
          <w:rFonts w:ascii="Times New Roman" w:hAnsi="Times New Roman"/>
        </w:rPr>
        <w:t xml:space="preserve"> PIAs can be found at </w:t>
      </w:r>
      <w:hyperlink w:history="1" r:id="rId7">
        <w:r w:rsidRPr="003E2BA1">
          <w:rPr>
            <w:rFonts w:ascii="Times New Roman" w:hAnsi="Times New Roman"/>
            <w:color w:val="0000FF"/>
            <w:u w:val="single"/>
          </w:rPr>
          <w:t>http://www.treasury.gov/privacy/PIAs/Pages/default.aspx</w:t>
        </w:r>
      </w:hyperlink>
      <w:r w:rsidRPr="003E2BA1">
        <w:rPr>
          <w:rFonts w:ascii="Times New Roman" w:hAnsi="Times New Roman"/>
        </w:rPr>
        <w:t>.</w:t>
      </w:r>
    </w:p>
    <w:p w:rsidRPr="003E2BA1" w:rsidR="005C6B96" w:rsidP="005C6B96" w:rsidRDefault="005C6B96" w14:paraId="6078BF23" w14:textId="77777777">
      <w:pPr>
        <w:widowControl/>
        <w:autoSpaceDE/>
        <w:autoSpaceDN/>
        <w:adjustRightInd/>
        <w:rPr>
          <w:rFonts w:ascii="Times New Roman" w:hAnsi="Times New Roman"/>
        </w:rPr>
      </w:pPr>
    </w:p>
    <w:p w:rsidRPr="003E2BA1" w:rsidR="005C6B96" w:rsidP="005C6B96" w:rsidRDefault="005C6B96" w14:paraId="13498B97" w14:textId="77777777">
      <w:pPr>
        <w:widowControl/>
        <w:autoSpaceDE/>
        <w:autoSpaceDN/>
        <w:adjustRightInd/>
        <w:ind w:left="720"/>
        <w:rPr>
          <w:rFonts w:ascii="Times New Roman" w:hAnsi="Times New Roman"/>
        </w:rPr>
      </w:pPr>
      <w:r w:rsidRPr="003E2BA1">
        <w:rPr>
          <w:rFonts w:ascii="Times New Roman" w:hAnsi="Times New Roman"/>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3E2BA1" w:rsidR="00722806" w:rsidRDefault="00722806" w14:paraId="077CEC96" w14:textId="77777777">
      <w:pPr>
        <w:jc w:val="both"/>
        <w:rPr>
          <w:rFonts w:ascii="Times New Roman" w:hAnsi="Times New Roman"/>
        </w:rPr>
      </w:pPr>
    </w:p>
    <w:p w:rsidRPr="003E2BA1" w:rsidR="00722806" w:rsidRDefault="00722806" w14:paraId="5E8CE9F7" w14:textId="77777777">
      <w:pPr>
        <w:tabs>
          <w:tab w:val="left" w:pos="-1440"/>
        </w:tabs>
        <w:ind w:left="720" w:hanging="720"/>
        <w:jc w:val="both"/>
        <w:rPr>
          <w:rFonts w:ascii="Times New Roman" w:hAnsi="Times New Roman"/>
          <w:b/>
          <w:u w:val="single"/>
        </w:rPr>
      </w:pPr>
      <w:r w:rsidRPr="003E2BA1">
        <w:rPr>
          <w:rFonts w:ascii="Times New Roman" w:hAnsi="Times New Roman"/>
          <w:b/>
        </w:rPr>
        <w:t>12.</w:t>
      </w:r>
      <w:r w:rsidRPr="003E2BA1">
        <w:rPr>
          <w:rFonts w:ascii="Times New Roman" w:hAnsi="Times New Roman"/>
          <w:b/>
        </w:rPr>
        <w:tab/>
      </w:r>
      <w:r w:rsidRPr="003E2BA1">
        <w:rPr>
          <w:rFonts w:ascii="Times New Roman" w:hAnsi="Times New Roman"/>
          <w:b/>
          <w:u w:val="single"/>
        </w:rPr>
        <w:t>ESTIMATED BURDEN OF INFORMATION COLLECTION</w:t>
      </w:r>
    </w:p>
    <w:p w:rsidRPr="003E2BA1" w:rsidR="00722806" w:rsidRDefault="00722806" w14:paraId="5EF8A0C4" w14:textId="77777777">
      <w:pPr>
        <w:jc w:val="both"/>
        <w:rPr>
          <w:rFonts w:ascii="Times New Roman" w:hAnsi="Times New Roman"/>
          <w:u w:val="single"/>
        </w:rPr>
      </w:pPr>
    </w:p>
    <w:p w:rsidRPr="003E2BA1" w:rsidR="00722806" w:rsidRDefault="00A961CB" w14:paraId="033C5899" w14:textId="77777777">
      <w:pPr>
        <w:ind w:left="720"/>
        <w:jc w:val="both"/>
        <w:rPr>
          <w:rFonts w:ascii="Times New Roman" w:hAnsi="Times New Roman"/>
        </w:rPr>
      </w:pPr>
      <w:r w:rsidRPr="00A961CB">
        <w:rPr>
          <w:rFonts w:ascii="Times New Roman" w:hAnsi="Times New Roman"/>
        </w:rPr>
        <w:t>The time needed to complete and file th</w:t>
      </w:r>
      <w:r>
        <w:rPr>
          <w:rFonts w:ascii="Times New Roman" w:hAnsi="Times New Roman"/>
        </w:rPr>
        <w:t>e</w:t>
      </w:r>
      <w:r w:rsidRPr="00A961CB">
        <w:rPr>
          <w:rFonts w:ascii="Times New Roman" w:hAnsi="Times New Roman"/>
        </w:rPr>
        <w:t xml:space="preserve"> form</w:t>
      </w:r>
      <w:r>
        <w:rPr>
          <w:rFonts w:ascii="Times New Roman" w:hAnsi="Times New Roman"/>
        </w:rPr>
        <w:t>s</w:t>
      </w:r>
      <w:r w:rsidRPr="00A961CB">
        <w:rPr>
          <w:rFonts w:ascii="Times New Roman" w:hAnsi="Times New Roman"/>
        </w:rPr>
        <w:t xml:space="preserve"> will vary depending on individual circumstances. The estimated burden for individual taxpayers filing this form is approved under OMB control number 1545-0074 and the estimated burden for business filers is approved under </w:t>
      </w:r>
      <w:proofErr w:type="gramStart"/>
      <w:r w:rsidRPr="00A961CB">
        <w:rPr>
          <w:rFonts w:ascii="Times New Roman" w:hAnsi="Times New Roman"/>
        </w:rPr>
        <w:t>1545-0123, and</w:t>
      </w:r>
      <w:proofErr w:type="gramEnd"/>
      <w:r w:rsidRPr="00A961CB">
        <w:rPr>
          <w:rFonts w:ascii="Times New Roman" w:hAnsi="Times New Roman"/>
        </w:rPr>
        <w:t xml:space="preserve"> are included in the estimates shown in the instructions for their individual or business income tax return. The estimated burden for all other taxpayers who file this form is shown below.</w:t>
      </w:r>
    </w:p>
    <w:p w:rsidR="00722806" w:rsidRDefault="00722806" w14:paraId="3D1F8D72" w14:textId="77777777">
      <w:pPr>
        <w:jc w:val="both"/>
        <w:rPr>
          <w:rFonts w:ascii="Times New Roman" w:hAnsi="Times New Roman"/>
        </w:rPr>
      </w:pPr>
    </w:p>
    <w:tbl>
      <w:tblPr>
        <w:tblW w:w="9973" w:type="dxa"/>
        <w:tblInd w:w="198" w:type="dxa"/>
        <w:tblLook w:val="04A0" w:firstRow="1" w:lastRow="0" w:firstColumn="1" w:lastColumn="0" w:noHBand="0" w:noVBand="1"/>
      </w:tblPr>
      <w:tblGrid>
        <w:gridCol w:w="1440"/>
        <w:gridCol w:w="1740"/>
        <w:gridCol w:w="1395"/>
        <w:gridCol w:w="1295"/>
        <w:gridCol w:w="1220"/>
        <w:gridCol w:w="1370"/>
        <w:gridCol w:w="1513"/>
      </w:tblGrid>
      <w:tr w:rsidRPr="001923B2" w:rsidR="001923B2" w:rsidTr="00884139" w14:paraId="314F3E85" w14:textId="77777777">
        <w:trPr>
          <w:trHeight w:val="765"/>
        </w:trPr>
        <w:tc>
          <w:tcPr>
            <w:tcW w:w="1440" w:type="dxa"/>
            <w:tcBorders>
              <w:top w:val="single" w:color="auto" w:sz="4" w:space="0"/>
              <w:left w:val="single" w:color="auto" w:sz="4" w:space="0"/>
              <w:bottom w:val="single" w:color="auto" w:sz="4" w:space="0"/>
              <w:right w:val="single" w:color="auto" w:sz="4" w:space="0"/>
            </w:tcBorders>
            <w:vAlign w:val="bottom"/>
          </w:tcPr>
          <w:p w:rsidRPr="001923B2" w:rsidR="001923B2" w:rsidP="001923B2" w:rsidRDefault="001923B2" w14:paraId="7E821A2A"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Authority</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923B2" w:rsidR="001923B2" w:rsidP="001923B2" w:rsidRDefault="001923B2" w14:paraId="6032C69A"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Form</w:t>
            </w:r>
          </w:p>
        </w:tc>
        <w:tc>
          <w:tcPr>
            <w:tcW w:w="1395" w:type="dxa"/>
            <w:tcBorders>
              <w:top w:val="single" w:color="auto" w:sz="4" w:space="0"/>
              <w:left w:val="nil"/>
              <w:bottom w:val="single" w:color="auto" w:sz="4" w:space="0"/>
              <w:right w:val="single" w:color="auto" w:sz="4" w:space="0"/>
            </w:tcBorders>
            <w:shd w:val="clear" w:color="auto" w:fill="auto"/>
            <w:vAlign w:val="bottom"/>
            <w:hideMark/>
          </w:tcPr>
          <w:p w:rsidRPr="001923B2" w:rsidR="001923B2" w:rsidP="001923B2" w:rsidRDefault="001923B2" w14:paraId="16F9D9D7"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 Respondents</w:t>
            </w:r>
          </w:p>
        </w:tc>
        <w:tc>
          <w:tcPr>
            <w:tcW w:w="1295" w:type="dxa"/>
            <w:tcBorders>
              <w:top w:val="single" w:color="auto" w:sz="4" w:space="0"/>
              <w:left w:val="nil"/>
              <w:bottom w:val="single" w:color="auto" w:sz="4" w:space="0"/>
              <w:right w:val="single" w:color="auto" w:sz="4" w:space="0"/>
            </w:tcBorders>
            <w:shd w:val="clear" w:color="auto" w:fill="auto"/>
            <w:vAlign w:val="bottom"/>
            <w:hideMark/>
          </w:tcPr>
          <w:p w:rsidRPr="001923B2" w:rsidR="001923B2" w:rsidP="001923B2" w:rsidRDefault="001923B2" w14:paraId="0A26C30F"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 Responses Per Respondent</w:t>
            </w:r>
          </w:p>
        </w:tc>
        <w:tc>
          <w:tcPr>
            <w:tcW w:w="1220" w:type="dxa"/>
            <w:tcBorders>
              <w:top w:val="single" w:color="auto" w:sz="4" w:space="0"/>
              <w:left w:val="nil"/>
              <w:bottom w:val="single" w:color="auto" w:sz="4" w:space="0"/>
              <w:right w:val="single" w:color="auto" w:sz="4" w:space="0"/>
            </w:tcBorders>
            <w:shd w:val="clear" w:color="auto" w:fill="auto"/>
            <w:vAlign w:val="bottom"/>
            <w:hideMark/>
          </w:tcPr>
          <w:p w:rsidRPr="001923B2" w:rsidR="001923B2" w:rsidP="001923B2" w:rsidRDefault="001923B2" w14:paraId="0C15C189"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 Annual Responses</w:t>
            </w:r>
          </w:p>
        </w:tc>
        <w:tc>
          <w:tcPr>
            <w:tcW w:w="1370" w:type="dxa"/>
            <w:tcBorders>
              <w:top w:val="single" w:color="auto" w:sz="4" w:space="0"/>
              <w:left w:val="nil"/>
              <w:bottom w:val="single" w:color="auto" w:sz="4" w:space="0"/>
              <w:right w:val="single" w:color="auto" w:sz="4" w:space="0"/>
            </w:tcBorders>
            <w:shd w:val="clear" w:color="auto" w:fill="auto"/>
            <w:vAlign w:val="bottom"/>
            <w:hideMark/>
          </w:tcPr>
          <w:p w:rsidRPr="001923B2" w:rsidR="001923B2" w:rsidP="001923B2" w:rsidRDefault="001923B2" w14:paraId="39AE6941"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Hours Per Response</w:t>
            </w:r>
          </w:p>
        </w:tc>
        <w:tc>
          <w:tcPr>
            <w:tcW w:w="1513" w:type="dxa"/>
            <w:tcBorders>
              <w:top w:val="single" w:color="auto" w:sz="4" w:space="0"/>
              <w:left w:val="nil"/>
              <w:bottom w:val="single" w:color="auto" w:sz="4" w:space="0"/>
              <w:right w:val="single" w:color="auto" w:sz="4" w:space="0"/>
            </w:tcBorders>
            <w:shd w:val="clear" w:color="auto" w:fill="auto"/>
            <w:vAlign w:val="bottom"/>
            <w:hideMark/>
          </w:tcPr>
          <w:p w:rsidRPr="001923B2" w:rsidR="001923B2" w:rsidP="001923B2" w:rsidRDefault="001923B2" w14:paraId="7308BD33"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Total Burden</w:t>
            </w:r>
          </w:p>
        </w:tc>
      </w:tr>
      <w:tr w:rsidRPr="001923B2" w:rsidR="001923B2" w:rsidTr="00884139" w14:paraId="33D93612" w14:textId="77777777">
        <w:trPr>
          <w:trHeight w:val="450"/>
        </w:trPr>
        <w:tc>
          <w:tcPr>
            <w:tcW w:w="1440" w:type="dxa"/>
            <w:tcBorders>
              <w:top w:val="nil"/>
              <w:left w:val="single" w:color="auto" w:sz="4" w:space="0"/>
              <w:bottom w:val="single" w:color="auto" w:sz="4" w:space="0"/>
              <w:right w:val="single" w:color="auto" w:sz="4" w:space="0"/>
            </w:tcBorders>
            <w:vAlign w:val="center"/>
          </w:tcPr>
          <w:p w:rsidRPr="001923B2" w:rsidR="001923B2" w:rsidP="001923B2" w:rsidRDefault="001923B2" w14:paraId="481E4ADC"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CFR 601.504</w:t>
            </w:r>
          </w:p>
        </w:tc>
        <w:tc>
          <w:tcPr>
            <w:tcW w:w="1740" w:type="dxa"/>
            <w:tcBorders>
              <w:top w:val="nil"/>
              <w:left w:val="single" w:color="auto" w:sz="4" w:space="0"/>
              <w:bottom w:val="single" w:color="auto" w:sz="4" w:space="0"/>
              <w:right w:val="single" w:color="auto" w:sz="4" w:space="0"/>
            </w:tcBorders>
            <w:shd w:val="clear" w:color="auto" w:fill="auto"/>
            <w:noWrap/>
            <w:vAlign w:val="center"/>
            <w:hideMark/>
          </w:tcPr>
          <w:p w:rsidRPr="001923B2" w:rsidR="001923B2" w:rsidP="001923B2" w:rsidRDefault="001923B2" w14:paraId="4D2AABE5"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2848</w:t>
            </w:r>
          </w:p>
        </w:tc>
        <w:tc>
          <w:tcPr>
            <w:tcW w:w="1395" w:type="dxa"/>
            <w:tcBorders>
              <w:top w:val="nil"/>
              <w:left w:val="nil"/>
              <w:bottom w:val="single" w:color="auto" w:sz="4" w:space="0"/>
              <w:right w:val="single" w:color="auto" w:sz="4" w:space="0"/>
            </w:tcBorders>
            <w:shd w:val="clear" w:color="auto" w:fill="auto"/>
            <w:noWrap/>
            <w:vAlign w:val="center"/>
            <w:hideMark/>
          </w:tcPr>
          <w:p w:rsidRPr="001923B2" w:rsidR="001923B2" w:rsidP="001923B2" w:rsidRDefault="001923B2" w14:paraId="79113F16"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458,333</w:t>
            </w:r>
          </w:p>
        </w:tc>
        <w:tc>
          <w:tcPr>
            <w:tcW w:w="1295" w:type="dxa"/>
            <w:tcBorders>
              <w:top w:val="nil"/>
              <w:left w:val="nil"/>
              <w:bottom w:val="single" w:color="auto" w:sz="4" w:space="0"/>
              <w:right w:val="single" w:color="auto" w:sz="4" w:space="0"/>
            </w:tcBorders>
            <w:shd w:val="clear" w:color="auto" w:fill="auto"/>
            <w:noWrap/>
            <w:vAlign w:val="center"/>
            <w:hideMark/>
          </w:tcPr>
          <w:p w:rsidRPr="001923B2" w:rsidR="001923B2" w:rsidP="001923B2" w:rsidRDefault="001923B2" w14:paraId="25AE3976"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1</w:t>
            </w:r>
          </w:p>
        </w:tc>
        <w:tc>
          <w:tcPr>
            <w:tcW w:w="1220" w:type="dxa"/>
            <w:tcBorders>
              <w:top w:val="nil"/>
              <w:left w:val="nil"/>
              <w:bottom w:val="single" w:color="auto" w:sz="4" w:space="0"/>
              <w:right w:val="single" w:color="auto" w:sz="4" w:space="0"/>
            </w:tcBorders>
            <w:shd w:val="clear" w:color="auto" w:fill="auto"/>
            <w:noWrap/>
            <w:vAlign w:val="center"/>
            <w:hideMark/>
          </w:tcPr>
          <w:p w:rsidRPr="001923B2" w:rsidR="001923B2" w:rsidP="001923B2" w:rsidRDefault="001923B2" w14:paraId="27DF311F"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458,333</w:t>
            </w:r>
          </w:p>
        </w:tc>
        <w:tc>
          <w:tcPr>
            <w:tcW w:w="1370" w:type="dxa"/>
            <w:tcBorders>
              <w:top w:val="nil"/>
              <w:left w:val="nil"/>
              <w:bottom w:val="single" w:color="auto" w:sz="4" w:space="0"/>
              <w:right w:val="single" w:color="auto" w:sz="4" w:space="0"/>
            </w:tcBorders>
            <w:shd w:val="clear" w:color="auto" w:fill="auto"/>
            <w:noWrap/>
            <w:vAlign w:val="center"/>
            <w:hideMark/>
          </w:tcPr>
          <w:p w:rsidRPr="001923B2" w:rsidR="001923B2" w:rsidP="001923B2" w:rsidRDefault="001923B2" w14:paraId="386C3027"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1.99</w:t>
            </w:r>
          </w:p>
        </w:tc>
        <w:tc>
          <w:tcPr>
            <w:tcW w:w="1513" w:type="dxa"/>
            <w:tcBorders>
              <w:top w:val="nil"/>
              <w:left w:val="nil"/>
              <w:bottom w:val="single" w:color="auto" w:sz="4" w:space="0"/>
              <w:right w:val="single" w:color="auto" w:sz="4" w:space="0"/>
            </w:tcBorders>
            <w:shd w:val="clear" w:color="auto" w:fill="auto"/>
            <w:noWrap/>
            <w:vAlign w:val="center"/>
            <w:hideMark/>
          </w:tcPr>
          <w:p w:rsidRPr="001923B2" w:rsidR="001923B2" w:rsidP="001923B2" w:rsidRDefault="001923B2" w14:paraId="2980235B"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912,083</w:t>
            </w:r>
          </w:p>
        </w:tc>
      </w:tr>
      <w:tr w:rsidRPr="001923B2" w:rsidR="001923B2" w:rsidTr="001923B2" w14:paraId="74EA8035" w14:textId="77777777">
        <w:trPr>
          <w:trHeight w:val="480"/>
        </w:trPr>
        <w:tc>
          <w:tcPr>
            <w:tcW w:w="1440" w:type="dxa"/>
            <w:tcBorders>
              <w:top w:val="single" w:color="auto" w:sz="4" w:space="0"/>
              <w:left w:val="single" w:color="auto" w:sz="4" w:space="0"/>
              <w:bottom w:val="single" w:color="auto" w:sz="4" w:space="0"/>
              <w:right w:val="single" w:color="auto" w:sz="4" w:space="0"/>
            </w:tcBorders>
            <w:vAlign w:val="center"/>
          </w:tcPr>
          <w:p w:rsidRPr="001923B2" w:rsidR="001923B2" w:rsidP="001923B2" w:rsidRDefault="001923B2" w14:paraId="2EFC2C7A"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CFR 601.504</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923B2" w:rsidR="001923B2" w:rsidP="001923B2" w:rsidRDefault="001923B2" w14:paraId="1B43194B"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2848(SP)</w:t>
            </w:r>
          </w:p>
        </w:tc>
        <w:tc>
          <w:tcPr>
            <w:tcW w:w="1395" w:type="dxa"/>
            <w:tcBorders>
              <w:top w:val="single" w:color="auto" w:sz="4" w:space="0"/>
              <w:left w:val="nil"/>
              <w:bottom w:val="single" w:color="auto" w:sz="4" w:space="0"/>
              <w:right w:val="single" w:color="auto" w:sz="4" w:space="0"/>
            </w:tcBorders>
            <w:shd w:val="clear" w:color="auto" w:fill="auto"/>
            <w:noWrap/>
            <w:vAlign w:val="center"/>
            <w:hideMark/>
          </w:tcPr>
          <w:p w:rsidRPr="001923B2" w:rsidR="001923B2" w:rsidP="001923B2" w:rsidRDefault="001923B2" w14:paraId="782E04F8"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80,000</w:t>
            </w:r>
          </w:p>
        </w:tc>
        <w:tc>
          <w:tcPr>
            <w:tcW w:w="1295" w:type="dxa"/>
            <w:tcBorders>
              <w:top w:val="single" w:color="auto" w:sz="4" w:space="0"/>
              <w:left w:val="nil"/>
              <w:bottom w:val="single" w:color="auto" w:sz="4" w:space="0"/>
              <w:right w:val="single" w:color="auto" w:sz="4" w:space="0"/>
            </w:tcBorders>
            <w:shd w:val="clear" w:color="auto" w:fill="auto"/>
            <w:noWrap/>
            <w:vAlign w:val="center"/>
            <w:hideMark/>
          </w:tcPr>
          <w:p w:rsidRPr="001923B2" w:rsidR="001923B2" w:rsidP="001923B2" w:rsidRDefault="001923B2" w14:paraId="18819D2D"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1</w:t>
            </w:r>
          </w:p>
        </w:tc>
        <w:tc>
          <w:tcPr>
            <w:tcW w:w="1220" w:type="dxa"/>
            <w:tcBorders>
              <w:top w:val="single" w:color="auto" w:sz="4" w:space="0"/>
              <w:left w:val="nil"/>
              <w:bottom w:val="single" w:color="auto" w:sz="4" w:space="0"/>
              <w:right w:val="single" w:color="auto" w:sz="4" w:space="0"/>
            </w:tcBorders>
            <w:shd w:val="clear" w:color="auto" w:fill="auto"/>
            <w:noWrap/>
            <w:vAlign w:val="center"/>
            <w:hideMark/>
          </w:tcPr>
          <w:p w:rsidRPr="001923B2" w:rsidR="001923B2" w:rsidP="001923B2" w:rsidRDefault="001923B2" w14:paraId="3F777D39"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80,000</w:t>
            </w:r>
          </w:p>
        </w:tc>
        <w:tc>
          <w:tcPr>
            <w:tcW w:w="1370" w:type="dxa"/>
            <w:tcBorders>
              <w:top w:val="single" w:color="auto" w:sz="4" w:space="0"/>
              <w:left w:val="nil"/>
              <w:bottom w:val="single" w:color="auto" w:sz="4" w:space="0"/>
              <w:right w:val="single" w:color="auto" w:sz="4" w:space="0"/>
            </w:tcBorders>
            <w:shd w:val="clear" w:color="auto" w:fill="auto"/>
            <w:noWrap/>
            <w:vAlign w:val="center"/>
            <w:hideMark/>
          </w:tcPr>
          <w:p w:rsidRPr="001923B2" w:rsidR="001923B2" w:rsidP="001923B2" w:rsidRDefault="001923B2" w14:paraId="660BBE2F"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2.26</w:t>
            </w:r>
          </w:p>
        </w:tc>
        <w:tc>
          <w:tcPr>
            <w:tcW w:w="1513" w:type="dxa"/>
            <w:tcBorders>
              <w:top w:val="single" w:color="auto" w:sz="4" w:space="0"/>
              <w:left w:val="nil"/>
              <w:bottom w:val="single" w:color="auto" w:sz="4" w:space="0"/>
              <w:right w:val="single" w:color="auto" w:sz="4" w:space="0"/>
            </w:tcBorders>
            <w:shd w:val="clear" w:color="auto" w:fill="auto"/>
            <w:noWrap/>
            <w:vAlign w:val="center"/>
            <w:hideMark/>
          </w:tcPr>
          <w:p w:rsidRPr="001923B2" w:rsidR="001923B2" w:rsidP="001923B2" w:rsidRDefault="001923B2" w14:paraId="6B8C000A" w14:textId="77777777">
            <w:pPr>
              <w:widowControl/>
              <w:autoSpaceDE/>
              <w:autoSpaceDN/>
              <w:adjustRightInd/>
              <w:jc w:val="center"/>
              <w:rPr>
                <w:rFonts w:ascii="Arial" w:hAnsi="Arial" w:cs="Arial"/>
                <w:color w:val="000000"/>
                <w:sz w:val="18"/>
                <w:szCs w:val="18"/>
              </w:rPr>
            </w:pPr>
            <w:r w:rsidRPr="001923B2">
              <w:rPr>
                <w:rFonts w:ascii="Arial" w:hAnsi="Arial" w:cs="Arial"/>
                <w:color w:val="000000"/>
                <w:sz w:val="18"/>
                <w:szCs w:val="18"/>
              </w:rPr>
              <w:t>180,800</w:t>
            </w:r>
          </w:p>
        </w:tc>
      </w:tr>
      <w:tr w:rsidRPr="001923B2" w:rsidR="001923B2" w:rsidTr="001923B2" w14:paraId="0B7E598C" w14:textId="77777777">
        <w:trPr>
          <w:trHeight w:val="480"/>
        </w:trPr>
        <w:tc>
          <w:tcPr>
            <w:tcW w:w="1440" w:type="dxa"/>
            <w:tcBorders>
              <w:top w:val="single" w:color="auto" w:sz="4" w:space="0"/>
              <w:left w:val="single" w:color="auto" w:sz="4" w:space="0"/>
              <w:bottom w:val="single" w:color="auto" w:sz="4" w:space="0"/>
              <w:right w:val="single" w:color="auto" w:sz="4" w:space="0"/>
            </w:tcBorders>
            <w:vAlign w:val="center"/>
          </w:tcPr>
          <w:p w:rsidRPr="001923B2" w:rsidR="001923B2" w:rsidP="001923B2" w:rsidRDefault="001923B2" w14:paraId="634565C4" w14:textId="77777777">
            <w:pPr>
              <w:widowControl/>
              <w:autoSpaceDE/>
              <w:autoSpaceDN/>
              <w:adjustRightInd/>
              <w:jc w:val="center"/>
              <w:rPr>
                <w:rFonts w:ascii="Arial" w:hAnsi="Arial" w:cs="Arial"/>
                <w:b/>
                <w:color w:val="000000"/>
                <w:sz w:val="18"/>
                <w:szCs w:val="18"/>
              </w:rPr>
            </w:pPr>
            <w:r w:rsidRPr="001923B2">
              <w:rPr>
                <w:rFonts w:ascii="Arial" w:hAnsi="Arial" w:cs="Arial"/>
                <w:b/>
                <w:color w:val="000000"/>
                <w:sz w:val="18"/>
                <w:szCs w:val="18"/>
              </w:rPr>
              <w:t>Totals</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923B2" w:rsidR="001923B2" w:rsidP="001923B2" w:rsidRDefault="001923B2" w14:paraId="785DFB6C" w14:textId="77777777">
            <w:pPr>
              <w:widowControl/>
              <w:autoSpaceDE/>
              <w:autoSpaceDN/>
              <w:adjustRightInd/>
              <w:jc w:val="center"/>
              <w:rPr>
                <w:rFonts w:ascii="Arial" w:hAnsi="Arial" w:cs="Arial"/>
                <w:b/>
                <w:color w:val="000000"/>
                <w:sz w:val="18"/>
                <w:szCs w:val="18"/>
              </w:rPr>
            </w:pPr>
          </w:p>
        </w:tc>
        <w:tc>
          <w:tcPr>
            <w:tcW w:w="1395" w:type="dxa"/>
            <w:tcBorders>
              <w:top w:val="single" w:color="auto" w:sz="4" w:space="0"/>
              <w:left w:val="nil"/>
              <w:bottom w:val="single" w:color="auto" w:sz="4" w:space="0"/>
              <w:right w:val="single" w:color="auto" w:sz="4" w:space="0"/>
            </w:tcBorders>
            <w:shd w:val="clear" w:color="auto" w:fill="auto"/>
            <w:noWrap/>
            <w:vAlign w:val="center"/>
          </w:tcPr>
          <w:p w:rsidRPr="001923B2" w:rsidR="001923B2" w:rsidP="001923B2" w:rsidRDefault="001923B2" w14:paraId="48835BAA" w14:textId="77777777">
            <w:pPr>
              <w:widowControl/>
              <w:autoSpaceDE/>
              <w:autoSpaceDN/>
              <w:adjustRightInd/>
              <w:jc w:val="center"/>
              <w:rPr>
                <w:rFonts w:ascii="Arial" w:hAnsi="Arial" w:cs="Arial"/>
                <w:b/>
                <w:color w:val="000000"/>
                <w:sz w:val="18"/>
                <w:szCs w:val="18"/>
              </w:rPr>
            </w:pPr>
            <w:r w:rsidRPr="001923B2">
              <w:rPr>
                <w:rFonts w:ascii="Arial" w:hAnsi="Arial" w:cs="Arial"/>
                <w:b/>
                <w:color w:val="000000"/>
                <w:sz w:val="18"/>
                <w:szCs w:val="18"/>
              </w:rPr>
              <w:t>538,333</w:t>
            </w:r>
          </w:p>
        </w:tc>
        <w:tc>
          <w:tcPr>
            <w:tcW w:w="1295" w:type="dxa"/>
            <w:tcBorders>
              <w:top w:val="single" w:color="auto" w:sz="4" w:space="0"/>
              <w:left w:val="nil"/>
              <w:bottom w:val="single" w:color="auto" w:sz="4" w:space="0"/>
              <w:right w:val="single" w:color="auto" w:sz="4" w:space="0"/>
            </w:tcBorders>
            <w:shd w:val="clear" w:color="auto" w:fill="auto"/>
            <w:noWrap/>
            <w:vAlign w:val="center"/>
          </w:tcPr>
          <w:p w:rsidRPr="001923B2" w:rsidR="001923B2" w:rsidP="001923B2" w:rsidRDefault="001923B2" w14:paraId="7260654B" w14:textId="77777777">
            <w:pPr>
              <w:widowControl/>
              <w:autoSpaceDE/>
              <w:autoSpaceDN/>
              <w:adjustRightInd/>
              <w:jc w:val="center"/>
              <w:rPr>
                <w:rFonts w:ascii="Arial" w:hAnsi="Arial" w:cs="Arial"/>
                <w:b/>
                <w:color w:val="000000"/>
                <w:sz w:val="18"/>
                <w:szCs w:val="18"/>
              </w:rPr>
            </w:pPr>
          </w:p>
        </w:tc>
        <w:tc>
          <w:tcPr>
            <w:tcW w:w="1220" w:type="dxa"/>
            <w:tcBorders>
              <w:top w:val="single" w:color="auto" w:sz="4" w:space="0"/>
              <w:left w:val="nil"/>
              <w:bottom w:val="single" w:color="auto" w:sz="4" w:space="0"/>
              <w:right w:val="single" w:color="auto" w:sz="4" w:space="0"/>
            </w:tcBorders>
            <w:shd w:val="clear" w:color="auto" w:fill="auto"/>
            <w:noWrap/>
            <w:vAlign w:val="center"/>
          </w:tcPr>
          <w:p w:rsidRPr="001923B2" w:rsidR="001923B2" w:rsidP="001923B2" w:rsidRDefault="001923B2" w14:paraId="771AD498" w14:textId="77777777">
            <w:pPr>
              <w:widowControl/>
              <w:autoSpaceDE/>
              <w:autoSpaceDN/>
              <w:adjustRightInd/>
              <w:jc w:val="center"/>
              <w:rPr>
                <w:rFonts w:ascii="Arial" w:hAnsi="Arial" w:cs="Arial"/>
                <w:b/>
                <w:color w:val="000000"/>
                <w:sz w:val="18"/>
                <w:szCs w:val="18"/>
              </w:rPr>
            </w:pPr>
            <w:r w:rsidRPr="001923B2">
              <w:rPr>
                <w:rFonts w:ascii="Arial" w:hAnsi="Arial" w:cs="Arial"/>
                <w:b/>
                <w:color w:val="000000"/>
                <w:sz w:val="18"/>
                <w:szCs w:val="18"/>
              </w:rPr>
              <w:t>538,333</w:t>
            </w:r>
          </w:p>
        </w:tc>
        <w:tc>
          <w:tcPr>
            <w:tcW w:w="1370" w:type="dxa"/>
            <w:tcBorders>
              <w:top w:val="single" w:color="auto" w:sz="4" w:space="0"/>
              <w:left w:val="nil"/>
              <w:bottom w:val="single" w:color="auto" w:sz="4" w:space="0"/>
              <w:right w:val="single" w:color="auto" w:sz="4" w:space="0"/>
            </w:tcBorders>
            <w:shd w:val="clear" w:color="auto" w:fill="auto"/>
            <w:noWrap/>
            <w:vAlign w:val="center"/>
          </w:tcPr>
          <w:p w:rsidRPr="001923B2" w:rsidR="001923B2" w:rsidP="001923B2" w:rsidRDefault="001923B2" w14:paraId="5B5AD037" w14:textId="77777777">
            <w:pPr>
              <w:widowControl/>
              <w:autoSpaceDE/>
              <w:autoSpaceDN/>
              <w:adjustRightInd/>
              <w:jc w:val="center"/>
              <w:rPr>
                <w:rFonts w:ascii="Arial" w:hAnsi="Arial" w:cs="Arial"/>
                <w:b/>
                <w:color w:val="000000"/>
                <w:sz w:val="18"/>
                <w:szCs w:val="18"/>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rsidRPr="001923B2" w:rsidR="001923B2" w:rsidP="001923B2" w:rsidRDefault="001923B2" w14:paraId="45F2B7B4" w14:textId="77777777">
            <w:pPr>
              <w:widowControl/>
              <w:autoSpaceDE/>
              <w:autoSpaceDN/>
              <w:adjustRightInd/>
              <w:jc w:val="center"/>
              <w:rPr>
                <w:rFonts w:ascii="Arial" w:hAnsi="Arial" w:cs="Arial"/>
                <w:b/>
                <w:color w:val="000000"/>
                <w:sz w:val="18"/>
                <w:szCs w:val="18"/>
              </w:rPr>
            </w:pPr>
            <w:r w:rsidRPr="001923B2">
              <w:rPr>
                <w:rFonts w:ascii="Arial" w:hAnsi="Arial" w:cs="Arial"/>
                <w:b/>
                <w:color w:val="000000"/>
                <w:sz w:val="18"/>
                <w:szCs w:val="18"/>
              </w:rPr>
              <w:t>1,092,883</w:t>
            </w:r>
          </w:p>
        </w:tc>
      </w:tr>
    </w:tbl>
    <w:p w:rsidR="000B5B3A" w:rsidRDefault="000B5B3A" w14:paraId="093E0B95" w14:textId="77777777">
      <w:pPr>
        <w:jc w:val="both"/>
        <w:rPr>
          <w:rFonts w:ascii="Times New Roman" w:hAnsi="Times New Roman"/>
        </w:rPr>
      </w:pPr>
    </w:p>
    <w:p w:rsidRPr="003E2BA1" w:rsidR="00722806" w:rsidP="003E2BA1" w:rsidRDefault="00722806" w14:paraId="2C4EFDB1" w14:textId="77777777">
      <w:pPr>
        <w:rPr>
          <w:rFonts w:ascii="Times New Roman" w:hAnsi="Times New Roman"/>
        </w:rPr>
      </w:pPr>
    </w:p>
    <w:p w:rsidR="00722806" w:rsidP="003E2BA1" w:rsidRDefault="00722806" w14:paraId="6D67295E" w14:textId="77777777">
      <w:pPr>
        <w:ind w:left="720"/>
        <w:rPr>
          <w:rFonts w:ascii="Times New Roman" w:hAnsi="Times New Roman"/>
        </w:rPr>
      </w:pPr>
      <w:r w:rsidRPr="003E2BA1">
        <w:rPr>
          <w:rFonts w:ascii="Times New Roman" w:hAnsi="Times New Roman"/>
        </w:rPr>
        <w:t>The following regulations impose no additional burden.  Please continue to assign OMB number 1545-0150 to these regulations.</w:t>
      </w:r>
    </w:p>
    <w:p w:rsidRPr="003E2BA1" w:rsidR="00A400F4" w:rsidP="00A81CFE" w:rsidRDefault="00A400F4" w14:paraId="29AAF296" w14:textId="77777777">
      <w:pPr>
        <w:ind w:left="720"/>
        <w:rPr>
          <w:rFonts w:ascii="Times New Roman" w:hAnsi="Times New Roman"/>
        </w:rPr>
      </w:pPr>
      <w:r w:rsidRPr="003E2BA1">
        <w:rPr>
          <w:rFonts w:ascii="Times New Roman" w:hAnsi="Times New Roman"/>
        </w:rPr>
        <w:t>601.50</w:t>
      </w:r>
      <w:r w:rsidR="00A81CFE">
        <w:rPr>
          <w:rFonts w:ascii="Times New Roman" w:hAnsi="Times New Roman"/>
        </w:rPr>
        <w:t>4</w:t>
      </w:r>
    </w:p>
    <w:p w:rsidRPr="003E2BA1" w:rsidR="00722806" w:rsidP="003E2BA1" w:rsidRDefault="00722806" w14:paraId="1E292CA7" w14:textId="77777777">
      <w:pPr>
        <w:rPr>
          <w:rFonts w:ascii="Times New Roman" w:hAnsi="Times New Roman"/>
        </w:rPr>
      </w:pPr>
    </w:p>
    <w:p w:rsidR="00A81CFE" w:rsidP="00A81CFE" w:rsidRDefault="00900428" w14:paraId="2CA2B313" w14:textId="77777777">
      <w:pPr>
        <w:ind w:left="720"/>
        <w:rPr>
          <w:rFonts w:ascii="Times New Roman" w:hAnsi="Times New Roman"/>
        </w:rPr>
      </w:pPr>
      <w:r>
        <w:rPr>
          <w:rFonts w:ascii="Times New Roman" w:hAnsi="Times New Roman"/>
        </w:rPr>
        <w:t>The IRS has</w:t>
      </w:r>
      <w:r w:rsidRPr="003E2BA1" w:rsidR="00722806">
        <w:rPr>
          <w:rFonts w:ascii="Times New Roman" w:hAnsi="Times New Roman"/>
        </w:rPr>
        <w:t xml:space="preserve"> reviewed the above regulations and have determined that the reporting requirements contained in them are entirely reflected on the form.  The justification appearing in item 1 of the supporting statement applies both to the regulations and to the form.</w:t>
      </w:r>
    </w:p>
    <w:p w:rsidR="00AC4ECE" w:rsidP="00A81CFE" w:rsidRDefault="00AC4ECE" w14:paraId="78BCA06A" w14:textId="77777777">
      <w:pPr>
        <w:ind w:left="720"/>
        <w:rPr>
          <w:rFonts w:ascii="Times New Roman" w:hAnsi="Times New Roman"/>
        </w:rPr>
      </w:pPr>
    </w:p>
    <w:p w:rsidR="00AC4ECE" w:rsidP="00A81CFE" w:rsidRDefault="00AC4ECE" w14:paraId="7762EB68" w14:textId="77777777">
      <w:pPr>
        <w:ind w:left="720"/>
        <w:rPr>
          <w:rFonts w:ascii="Times New Roman" w:hAnsi="Times New Roman"/>
        </w:rPr>
      </w:pPr>
      <w:r>
        <w:rPr>
          <w:rFonts w:ascii="Times New Roman" w:hAnsi="Times New Roman"/>
        </w:rPr>
        <w:t>The Privacy Act Notice can be found in the instructions for Form 2848 and 2848 (SP)</w:t>
      </w:r>
      <w:r w:rsidR="003C42D9">
        <w:rPr>
          <w:rFonts w:ascii="Times New Roman" w:hAnsi="Times New Roman"/>
        </w:rPr>
        <w:t>.</w:t>
      </w:r>
      <w:r w:rsidR="00E10835">
        <w:rPr>
          <w:rFonts w:ascii="Times New Roman" w:hAnsi="Times New Roman"/>
        </w:rPr>
        <w:t xml:space="preserve"> The PRA and time burden information in the instructions will be updated during the next revision cycle.   </w:t>
      </w:r>
    </w:p>
    <w:p w:rsidR="003C42D9" w:rsidP="00A81CFE" w:rsidRDefault="003C42D9" w14:paraId="28EDDA03" w14:textId="77777777">
      <w:pPr>
        <w:ind w:left="720"/>
        <w:rPr>
          <w:rFonts w:ascii="Times New Roman" w:hAnsi="Times New Roman"/>
        </w:rPr>
      </w:pPr>
    </w:p>
    <w:p w:rsidRPr="003E2BA1" w:rsidR="00722806" w:rsidP="00A81CFE" w:rsidRDefault="00722806" w14:paraId="47D167DA" w14:textId="77777777">
      <w:pPr>
        <w:rPr>
          <w:rFonts w:ascii="Times New Roman" w:hAnsi="Times New Roman"/>
          <w:b/>
        </w:rPr>
      </w:pPr>
      <w:r w:rsidRPr="003E2BA1">
        <w:rPr>
          <w:rFonts w:ascii="Times New Roman" w:hAnsi="Times New Roman"/>
          <w:b/>
        </w:rPr>
        <w:t>13.</w:t>
      </w:r>
      <w:r w:rsidR="003E2BA1">
        <w:rPr>
          <w:rFonts w:ascii="Times New Roman" w:hAnsi="Times New Roman"/>
          <w:b/>
        </w:rPr>
        <w:tab/>
      </w:r>
      <w:r w:rsidRPr="003E2BA1">
        <w:rPr>
          <w:rFonts w:ascii="Times New Roman" w:hAnsi="Times New Roman"/>
          <w:b/>
          <w:u w:val="single"/>
        </w:rPr>
        <w:t>ESTIMATED TOTAL ANNUAL COST BURDEN TO RESPONDENTS</w:t>
      </w:r>
    </w:p>
    <w:p w:rsidRPr="003E2BA1" w:rsidR="00722806" w:rsidP="003E2BA1" w:rsidRDefault="00722806" w14:paraId="4789E9F7" w14:textId="77777777">
      <w:pPr>
        <w:rPr>
          <w:rFonts w:ascii="Times New Roman" w:hAnsi="Times New Roman"/>
        </w:rPr>
      </w:pPr>
    </w:p>
    <w:p w:rsidR="00722806" w:rsidP="00D91E5C" w:rsidRDefault="00D91E5C" w14:paraId="10E1856C" w14:textId="77777777">
      <w:pPr>
        <w:ind w:left="720"/>
        <w:rPr>
          <w:rFonts w:ascii="Times New Roman" w:hAnsi="Times New Roman"/>
        </w:rPr>
      </w:pPr>
      <w:r>
        <w:rPr>
          <w:rFonts w:ascii="Times New Roman" w:hAnsi="Times New Roman"/>
        </w:rPr>
        <w:t>T</w:t>
      </w:r>
      <w:r w:rsidRPr="00D91E5C">
        <w:rPr>
          <w:rFonts w:ascii="Times New Roman" w:hAnsi="Times New Roman"/>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E2BA1" w:rsidR="00D91E5C" w:rsidP="00D91E5C" w:rsidRDefault="00D91E5C" w14:paraId="36C827CC" w14:textId="77777777">
      <w:pPr>
        <w:ind w:left="720"/>
        <w:rPr>
          <w:rFonts w:ascii="Times New Roman" w:hAnsi="Times New Roman"/>
        </w:rPr>
      </w:pPr>
    </w:p>
    <w:p w:rsidRPr="003E2BA1" w:rsidR="00722806" w:rsidP="003E2BA1" w:rsidRDefault="00722806" w14:paraId="37AB935A" w14:textId="77777777">
      <w:pPr>
        <w:tabs>
          <w:tab w:val="left" w:pos="-1440"/>
        </w:tabs>
        <w:ind w:left="720" w:hanging="720"/>
        <w:rPr>
          <w:rFonts w:ascii="Times New Roman" w:hAnsi="Times New Roman"/>
          <w:b/>
        </w:rPr>
      </w:pPr>
      <w:r w:rsidRPr="003E2BA1">
        <w:rPr>
          <w:rFonts w:ascii="Times New Roman" w:hAnsi="Times New Roman"/>
          <w:b/>
        </w:rPr>
        <w:t>14.</w:t>
      </w:r>
      <w:r w:rsidRPr="003E2BA1">
        <w:rPr>
          <w:rFonts w:ascii="Times New Roman" w:hAnsi="Times New Roman"/>
          <w:b/>
        </w:rPr>
        <w:tab/>
      </w:r>
      <w:r w:rsidRPr="003E2BA1">
        <w:rPr>
          <w:rFonts w:ascii="Times New Roman" w:hAnsi="Times New Roman"/>
          <w:b/>
          <w:u w:val="single"/>
        </w:rPr>
        <w:t>ESTIMATED ANNUALIZED COST TO THE FEDERAL GOVERNMENT</w:t>
      </w:r>
    </w:p>
    <w:p w:rsidRPr="003E2BA1" w:rsidR="00722806" w:rsidP="003E2BA1" w:rsidRDefault="00722806" w14:paraId="4C40C028" w14:textId="77777777">
      <w:pPr>
        <w:rPr>
          <w:rFonts w:ascii="Times New Roman" w:hAnsi="Times New Roman"/>
        </w:rPr>
      </w:pPr>
    </w:p>
    <w:p w:rsidRPr="00AC4ECE" w:rsidR="00D91E5C" w:rsidP="00D91E5C" w:rsidRDefault="00D91E5C" w14:paraId="6B189DEA" w14:textId="77777777">
      <w:pPr>
        <w:ind w:left="720"/>
        <w:rPr>
          <w:rFonts w:ascii="Times New Roman" w:hAnsi="Times New Roman"/>
        </w:rPr>
      </w:pPr>
      <w:r w:rsidRPr="00AC4ECE">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AC4ECE" w:rsidR="00D91E5C" w:rsidP="00D91E5C" w:rsidRDefault="00D91E5C" w14:paraId="2A6EFC9D" w14:textId="77777777">
      <w:pPr>
        <w:ind w:left="720"/>
        <w:rPr>
          <w:rFonts w:ascii="Times New Roman" w:hAnsi="Times New Roman"/>
        </w:rPr>
      </w:pPr>
    </w:p>
    <w:p w:rsidRPr="00AC4ECE" w:rsidR="00D91E5C" w:rsidP="00D91E5C" w:rsidRDefault="00D91E5C" w14:paraId="7EDDEE5F" w14:textId="77777777">
      <w:pPr>
        <w:ind w:left="720"/>
        <w:rPr>
          <w:rFonts w:ascii="Times New Roman" w:hAnsi="Times New Roman"/>
        </w:rPr>
      </w:pPr>
      <w:r w:rsidRPr="00AC4ECE">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proofErr w:type="gramStart"/>
      <w:r w:rsidRPr="00AC4ECE">
        <w:rPr>
          <w:rFonts w:ascii="Times New Roman" w:hAnsi="Times New Roman"/>
        </w:rPr>
        <w:t>as;</w:t>
      </w:r>
      <w:proofErr w:type="gramEnd"/>
      <w:r w:rsidRPr="00AC4ECE">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AC4ECE">
        <w:rPr>
          <w:rFonts w:ascii="Times New Roman" w:hAnsi="Times New Roman"/>
        </w:rPr>
        <w:t>libraries</w:t>
      </w:r>
      <w:proofErr w:type="gramEnd"/>
      <w:r w:rsidRPr="00AC4ECE">
        <w:rPr>
          <w:rFonts w:ascii="Times New Roman" w:hAnsi="Times New Roman"/>
        </w:rPr>
        <w:t xml:space="preserve"> and other outlets. The result is the Government cost estimate per product.</w:t>
      </w:r>
    </w:p>
    <w:p w:rsidRPr="00AC4ECE" w:rsidR="00D91E5C" w:rsidP="00D91E5C" w:rsidRDefault="00D91E5C" w14:paraId="230E9C76" w14:textId="77777777">
      <w:pPr>
        <w:ind w:left="720"/>
        <w:rPr>
          <w:rFonts w:ascii="Times New Roman" w:hAnsi="Times New Roman"/>
        </w:rPr>
      </w:pPr>
    </w:p>
    <w:p w:rsidRPr="00AC4ECE" w:rsidR="00D91E5C" w:rsidP="00D91E5C" w:rsidRDefault="00D91E5C" w14:paraId="02952EB7" w14:textId="77777777">
      <w:pPr>
        <w:ind w:left="720"/>
        <w:rPr>
          <w:rFonts w:ascii="Times New Roman" w:hAnsi="Times New Roman"/>
        </w:rPr>
      </w:pPr>
      <w:r w:rsidRPr="00AC4ECE">
        <w:rPr>
          <w:rFonts w:ascii="Times New Roman" w:hAnsi="Times New Roman"/>
        </w:rPr>
        <w:t>The government cost estimate for Form 2848 and 2848 (SP) is summarized in the table below. The IRS is currently in the process of revising the methodology it uses to estimate burden and costs. Once this methodology is complete, IRS will update this information collection to reflect a more precise estimate of burden and costs.</w:t>
      </w:r>
    </w:p>
    <w:p w:rsidRPr="00AC4ECE" w:rsidR="00D91E5C" w:rsidP="00D91E5C" w:rsidRDefault="00D91E5C" w14:paraId="302DDFC6" w14:textId="77777777">
      <w:pPr>
        <w:ind w:left="720"/>
        <w:rPr>
          <w:rFonts w:ascii="Times New Roman" w:hAnsi="Times New Roman"/>
        </w:rPr>
      </w:pPr>
    </w:p>
    <w:p w:rsidRPr="00832AE8" w:rsidR="00D91E5C" w:rsidP="00D91E5C" w:rsidRDefault="00D91E5C" w14:paraId="6AEE78BC" w14:textId="77777777">
      <w:pPr>
        <w:ind w:left="72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D91E5C" w:rsidTr="00860031" w14:paraId="4E64556C"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D91E5C" w:rsidP="00860031" w:rsidRDefault="00D91E5C" w14:paraId="599AB1EA" w14:textId="77777777">
            <w:pPr>
              <w:keepNext/>
              <w:keepLines/>
              <w:jc w:val="center"/>
              <w:rPr>
                <w:rFonts w:ascii="Arial Narrow" w:hAnsi="Arial Narrow"/>
                <w:b/>
                <w:sz w:val="18"/>
                <w:szCs w:val="18"/>
                <w:u w:val="single"/>
              </w:rPr>
            </w:pPr>
            <w:r>
              <w:rPr>
                <w:rFonts w:ascii="Arial Narrow" w:hAnsi="Arial Narrow"/>
                <w:b/>
                <w:sz w:val="18"/>
                <w:szCs w:val="18"/>
                <w:u w:val="single"/>
              </w:rPr>
              <w:lastRenderedPageBreak/>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D91E5C" w:rsidP="00860031" w:rsidRDefault="00D91E5C" w14:paraId="1EA85452"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D91E5C" w:rsidP="00860031" w:rsidRDefault="00D91E5C" w14:paraId="3AB7A05C"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D91E5C" w:rsidP="00860031" w:rsidRDefault="00D91E5C" w14:paraId="318FC9B5"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D91E5C" w:rsidP="00860031" w:rsidRDefault="00D91E5C" w14:paraId="7439E7E3"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D91E5C" w:rsidP="00860031" w:rsidRDefault="00D91E5C" w14:paraId="6C81E613"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D91E5C" w:rsidTr="00860031" w14:paraId="56EDD071" w14:textId="77777777">
        <w:tc>
          <w:tcPr>
            <w:tcW w:w="2358" w:type="dxa"/>
            <w:tcBorders>
              <w:top w:val="single" w:color="auto" w:sz="4" w:space="0"/>
              <w:left w:val="single" w:color="auto" w:sz="4" w:space="0"/>
              <w:bottom w:val="single" w:color="auto" w:sz="4" w:space="0"/>
              <w:right w:val="single" w:color="auto" w:sz="4" w:space="0"/>
            </w:tcBorders>
            <w:vAlign w:val="bottom"/>
          </w:tcPr>
          <w:p w:rsidR="00D91E5C" w:rsidP="00860031" w:rsidRDefault="00D91E5C" w14:paraId="7A2DE713" w14:textId="77777777">
            <w:pPr>
              <w:keepNext/>
              <w:keepLines/>
              <w:numPr>
                <w:ilvl w:val="12"/>
                <w:numId w:val="0"/>
              </w:numPr>
              <w:rPr>
                <w:rFonts w:ascii="Arial Narrow" w:hAnsi="Arial Narrow"/>
                <w:sz w:val="18"/>
                <w:szCs w:val="18"/>
              </w:rPr>
            </w:pPr>
            <w:r>
              <w:rPr>
                <w:rFonts w:ascii="Arial Narrow" w:hAnsi="Arial Narrow"/>
                <w:sz w:val="18"/>
                <w:szCs w:val="18"/>
              </w:rPr>
              <w:t>Form 2848</w:t>
            </w:r>
          </w:p>
        </w:tc>
        <w:tc>
          <w:tcPr>
            <w:tcW w:w="1980"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4E06B1BF" w14:textId="77777777">
            <w:pPr>
              <w:keepNext/>
              <w:keepLines/>
              <w:jc w:val="center"/>
              <w:rPr>
                <w:rFonts w:ascii="Arial Narrow" w:hAnsi="Arial Narrow"/>
                <w:sz w:val="18"/>
                <w:szCs w:val="18"/>
              </w:rPr>
            </w:pPr>
            <w:r>
              <w:rPr>
                <w:rFonts w:ascii="Arial Narrow" w:hAnsi="Arial Narrow"/>
                <w:sz w:val="18"/>
                <w:szCs w:val="18"/>
              </w:rPr>
              <w:t>$14,216</w:t>
            </w:r>
          </w:p>
        </w:tc>
        <w:tc>
          <w:tcPr>
            <w:tcW w:w="303" w:type="dxa"/>
            <w:tcBorders>
              <w:top w:val="single" w:color="auto" w:sz="4" w:space="0"/>
              <w:left w:val="single" w:color="auto" w:sz="4" w:space="0"/>
              <w:bottom w:val="single" w:color="auto" w:sz="4" w:space="0"/>
              <w:right w:val="single" w:color="auto" w:sz="4" w:space="0"/>
            </w:tcBorders>
          </w:tcPr>
          <w:p w:rsidR="00D91E5C" w:rsidP="00860031" w:rsidRDefault="00D91E5C" w14:paraId="71DDD150"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D91E5C" w:rsidP="00860031" w:rsidRDefault="00D91E5C" w14:paraId="65B3DD9A"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D91E5C" w:rsidP="00860031" w:rsidRDefault="00D91E5C" w14:paraId="40493A62"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5451887C" w14:textId="77777777">
            <w:pPr>
              <w:keepNext/>
              <w:keepLines/>
              <w:jc w:val="center"/>
              <w:rPr>
                <w:rFonts w:ascii="Arial Narrow" w:hAnsi="Arial Narrow"/>
                <w:sz w:val="18"/>
                <w:szCs w:val="18"/>
              </w:rPr>
            </w:pPr>
            <w:r>
              <w:rPr>
                <w:rFonts w:ascii="Arial Narrow" w:hAnsi="Arial Narrow"/>
                <w:sz w:val="18"/>
                <w:szCs w:val="18"/>
              </w:rPr>
              <w:t>$14,216</w:t>
            </w:r>
          </w:p>
        </w:tc>
      </w:tr>
      <w:tr w:rsidR="00D91E5C" w:rsidTr="00860031" w14:paraId="592C6ECA" w14:textId="77777777">
        <w:tc>
          <w:tcPr>
            <w:tcW w:w="2358" w:type="dxa"/>
            <w:tcBorders>
              <w:top w:val="single" w:color="auto" w:sz="4" w:space="0"/>
              <w:left w:val="single" w:color="auto" w:sz="4" w:space="0"/>
              <w:bottom w:val="single" w:color="auto" w:sz="4" w:space="0"/>
              <w:right w:val="single" w:color="auto" w:sz="4" w:space="0"/>
            </w:tcBorders>
            <w:vAlign w:val="bottom"/>
          </w:tcPr>
          <w:p w:rsidR="00D91E5C" w:rsidP="00860031" w:rsidRDefault="00D91E5C" w14:paraId="7C625F41" w14:textId="77777777">
            <w:pPr>
              <w:keepNext/>
              <w:keepLines/>
              <w:numPr>
                <w:ilvl w:val="12"/>
                <w:numId w:val="0"/>
              </w:numPr>
              <w:rPr>
                <w:rFonts w:ascii="Arial Narrow" w:hAnsi="Arial Narrow"/>
                <w:sz w:val="18"/>
                <w:szCs w:val="18"/>
              </w:rPr>
            </w:pPr>
            <w:r>
              <w:rPr>
                <w:rFonts w:ascii="Arial Narrow" w:hAnsi="Arial Narrow"/>
                <w:sz w:val="18"/>
                <w:szCs w:val="18"/>
              </w:rPr>
              <w:t>Instructions</w:t>
            </w:r>
          </w:p>
        </w:tc>
        <w:tc>
          <w:tcPr>
            <w:tcW w:w="1980"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64ED4981" w14:textId="77777777">
            <w:pPr>
              <w:keepNext/>
              <w:keepLines/>
              <w:jc w:val="center"/>
              <w:rPr>
                <w:rFonts w:ascii="Arial Narrow" w:hAnsi="Arial Narrow"/>
                <w:sz w:val="18"/>
                <w:szCs w:val="18"/>
              </w:rPr>
            </w:pPr>
            <w:r>
              <w:rPr>
                <w:rFonts w:ascii="Arial Narrow" w:hAnsi="Arial Narrow"/>
                <w:sz w:val="18"/>
                <w:szCs w:val="18"/>
              </w:rPr>
              <w:t>$2,734</w:t>
            </w:r>
          </w:p>
        </w:tc>
        <w:tc>
          <w:tcPr>
            <w:tcW w:w="303" w:type="dxa"/>
            <w:tcBorders>
              <w:top w:val="single" w:color="auto" w:sz="4" w:space="0"/>
              <w:left w:val="single" w:color="auto" w:sz="4" w:space="0"/>
              <w:bottom w:val="single" w:color="auto" w:sz="4" w:space="0"/>
              <w:right w:val="single" w:color="auto" w:sz="4" w:space="0"/>
            </w:tcBorders>
          </w:tcPr>
          <w:p w:rsidR="00D91E5C" w:rsidP="00860031" w:rsidRDefault="00D91E5C" w14:paraId="7E29D4AB"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D91E5C" w:rsidP="00860031" w:rsidRDefault="0004416D" w14:paraId="25D09929"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D91E5C" w:rsidP="00860031" w:rsidRDefault="00D91E5C" w14:paraId="4E90893E"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19EDF714" w14:textId="77777777">
            <w:pPr>
              <w:keepNext/>
              <w:keepLines/>
              <w:jc w:val="center"/>
              <w:rPr>
                <w:rFonts w:ascii="Arial Narrow" w:hAnsi="Arial Narrow"/>
                <w:sz w:val="18"/>
                <w:szCs w:val="18"/>
              </w:rPr>
            </w:pPr>
            <w:r>
              <w:rPr>
                <w:rFonts w:ascii="Arial Narrow" w:hAnsi="Arial Narrow"/>
                <w:sz w:val="18"/>
                <w:szCs w:val="18"/>
              </w:rPr>
              <w:t>$2,734</w:t>
            </w:r>
          </w:p>
        </w:tc>
      </w:tr>
      <w:tr w:rsidR="00D91E5C" w:rsidTr="00860031" w14:paraId="484E44EA" w14:textId="77777777">
        <w:tc>
          <w:tcPr>
            <w:tcW w:w="2358" w:type="dxa"/>
            <w:tcBorders>
              <w:top w:val="single" w:color="auto" w:sz="4" w:space="0"/>
              <w:left w:val="single" w:color="auto" w:sz="4" w:space="0"/>
              <w:bottom w:val="single" w:color="auto" w:sz="4" w:space="0"/>
              <w:right w:val="single" w:color="auto" w:sz="4" w:space="0"/>
            </w:tcBorders>
            <w:vAlign w:val="bottom"/>
          </w:tcPr>
          <w:p w:rsidR="00D91E5C" w:rsidP="00860031" w:rsidRDefault="00D91E5C" w14:paraId="18A321E3" w14:textId="77777777">
            <w:pPr>
              <w:keepNext/>
              <w:keepLines/>
              <w:numPr>
                <w:ilvl w:val="12"/>
                <w:numId w:val="0"/>
              </w:numPr>
              <w:rPr>
                <w:rFonts w:ascii="Arial Narrow" w:hAnsi="Arial Narrow"/>
                <w:sz w:val="18"/>
                <w:szCs w:val="18"/>
              </w:rPr>
            </w:pPr>
            <w:r>
              <w:rPr>
                <w:rFonts w:ascii="Arial Narrow" w:hAnsi="Arial Narrow"/>
                <w:sz w:val="18"/>
                <w:szCs w:val="18"/>
              </w:rPr>
              <w:t>Form 2848 (SP)</w:t>
            </w:r>
          </w:p>
        </w:tc>
        <w:tc>
          <w:tcPr>
            <w:tcW w:w="1980"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4557C786" w14:textId="77777777">
            <w:pPr>
              <w:keepNext/>
              <w:keepLines/>
              <w:jc w:val="center"/>
              <w:rPr>
                <w:rFonts w:ascii="Arial Narrow" w:hAnsi="Arial Narrow"/>
                <w:sz w:val="18"/>
                <w:szCs w:val="18"/>
              </w:rPr>
            </w:pPr>
            <w:r>
              <w:rPr>
                <w:rFonts w:ascii="Arial Narrow" w:hAnsi="Arial Narrow"/>
                <w:sz w:val="18"/>
                <w:szCs w:val="18"/>
              </w:rPr>
              <w:t>$14,216</w:t>
            </w:r>
          </w:p>
        </w:tc>
        <w:tc>
          <w:tcPr>
            <w:tcW w:w="303" w:type="dxa"/>
            <w:tcBorders>
              <w:top w:val="single" w:color="auto" w:sz="4" w:space="0"/>
              <w:left w:val="single" w:color="auto" w:sz="4" w:space="0"/>
              <w:bottom w:val="single" w:color="auto" w:sz="4" w:space="0"/>
              <w:right w:val="single" w:color="auto" w:sz="4" w:space="0"/>
            </w:tcBorders>
          </w:tcPr>
          <w:p w:rsidR="00D91E5C" w:rsidP="00860031" w:rsidRDefault="00D91E5C" w14:paraId="538E3326"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D91E5C" w:rsidP="00860031" w:rsidRDefault="0004416D" w14:paraId="114D1FFC"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D91E5C" w:rsidP="00860031" w:rsidRDefault="00D91E5C" w14:paraId="56D0BE98"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212CA1F7" w14:textId="77777777">
            <w:pPr>
              <w:keepNext/>
              <w:keepLines/>
              <w:jc w:val="center"/>
              <w:rPr>
                <w:rFonts w:ascii="Arial Narrow" w:hAnsi="Arial Narrow"/>
                <w:sz w:val="18"/>
                <w:szCs w:val="18"/>
              </w:rPr>
            </w:pPr>
            <w:r>
              <w:rPr>
                <w:rFonts w:ascii="Arial Narrow" w:hAnsi="Arial Narrow"/>
                <w:sz w:val="18"/>
                <w:szCs w:val="18"/>
              </w:rPr>
              <w:t>$14,216</w:t>
            </w:r>
          </w:p>
        </w:tc>
      </w:tr>
      <w:tr w:rsidR="00D91E5C" w:rsidTr="00860031" w14:paraId="64A15279" w14:textId="77777777">
        <w:tc>
          <w:tcPr>
            <w:tcW w:w="2358" w:type="dxa"/>
            <w:tcBorders>
              <w:top w:val="single" w:color="auto" w:sz="4" w:space="0"/>
              <w:left w:val="single" w:color="auto" w:sz="4" w:space="0"/>
              <w:bottom w:val="single" w:color="auto" w:sz="4" w:space="0"/>
              <w:right w:val="single" w:color="auto" w:sz="4" w:space="0"/>
            </w:tcBorders>
            <w:vAlign w:val="bottom"/>
          </w:tcPr>
          <w:p w:rsidR="00D91E5C" w:rsidP="00860031" w:rsidRDefault="00D91E5C" w14:paraId="7DB6AA15" w14:textId="77777777">
            <w:pPr>
              <w:keepNext/>
              <w:keepLines/>
              <w:numPr>
                <w:ilvl w:val="12"/>
                <w:numId w:val="0"/>
              </w:numPr>
              <w:rPr>
                <w:rFonts w:ascii="Arial Narrow" w:hAnsi="Arial Narrow"/>
                <w:sz w:val="18"/>
                <w:szCs w:val="18"/>
              </w:rPr>
            </w:pPr>
            <w:r>
              <w:rPr>
                <w:rFonts w:ascii="Arial Narrow" w:hAnsi="Arial Narrow"/>
                <w:sz w:val="18"/>
                <w:szCs w:val="18"/>
              </w:rPr>
              <w:t>Instructions</w:t>
            </w:r>
          </w:p>
        </w:tc>
        <w:tc>
          <w:tcPr>
            <w:tcW w:w="1980"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63A7E91A" w14:textId="77777777">
            <w:pPr>
              <w:keepNext/>
              <w:keepLines/>
              <w:jc w:val="center"/>
              <w:rPr>
                <w:rFonts w:ascii="Arial Narrow" w:hAnsi="Arial Narrow"/>
                <w:sz w:val="18"/>
                <w:szCs w:val="18"/>
              </w:rPr>
            </w:pPr>
            <w:r>
              <w:rPr>
                <w:rFonts w:ascii="Arial Narrow" w:hAnsi="Arial Narrow"/>
                <w:sz w:val="18"/>
                <w:szCs w:val="18"/>
              </w:rPr>
              <w:t>$2,734</w:t>
            </w:r>
          </w:p>
        </w:tc>
        <w:tc>
          <w:tcPr>
            <w:tcW w:w="303" w:type="dxa"/>
            <w:tcBorders>
              <w:top w:val="single" w:color="auto" w:sz="4" w:space="0"/>
              <w:left w:val="single" w:color="auto" w:sz="4" w:space="0"/>
              <w:bottom w:val="single" w:color="auto" w:sz="4" w:space="0"/>
              <w:right w:val="single" w:color="auto" w:sz="4" w:space="0"/>
            </w:tcBorders>
          </w:tcPr>
          <w:p w:rsidR="00D91E5C" w:rsidP="00860031" w:rsidRDefault="00D91E5C" w14:paraId="3BA685DA"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D91E5C" w:rsidP="00860031" w:rsidRDefault="0004416D" w14:paraId="7E69DC40"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D91E5C" w:rsidP="00860031" w:rsidRDefault="00D91E5C" w14:paraId="3E337E35"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D91E5C" w:rsidP="00860031" w:rsidRDefault="0004416D" w14:paraId="587D93F0" w14:textId="77777777">
            <w:pPr>
              <w:keepNext/>
              <w:keepLines/>
              <w:jc w:val="center"/>
              <w:rPr>
                <w:rFonts w:ascii="Arial Narrow" w:hAnsi="Arial Narrow"/>
                <w:sz w:val="18"/>
                <w:szCs w:val="18"/>
              </w:rPr>
            </w:pPr>
            <w:r>
              <w:rPr>
                <w:rFonts w:ascii="Arial Narrow" w:hAnsi="Arial Narrow"/>
                <w:sz w:val="18"/>
                <w:szCs w:val="18"/>
              </w:rPr>
              <w:t>$2,734</w:t>
            </w:r>
          </w:p>
        </w:tc>
      </w:tr>
      <w:tr w:rsidR="00D91E5C" w:rsidTr="00860031" w14:paraId="7E9440B4" w14:textId="77777777">
        <w:tc>
          <w:tcPr>
            <w:tcW w:w="2358" w:type="dxa"/>
            <w:tcBorders>
              <w:top w:val="single" w:color="auto" w:sz="4" w:space="0"/>
              <w:left w:val="single" w:color="auto" w:sz="4" w:space="0"/>
              <w:bottom w:val="single" w:color="auto" w:sz="4" w:space="0"/>
              <w:right w:val="single" w:color="auto" w:sz="4" w:space="0"/>
            </w:tcBorders>
            <w:hideMark/>
          </w:tcPr>
          <w:p w:rsidR="00D91E5C" w:rsidP="00860031" w:rsidRDefault="00D91E5C" w14:paraId="1BE5E891"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00D91E5C" w:rsidP="00860031" w:rsidRDefault="0004416D" w14:paraId="5E17B8C6" w14:textId="77777777">
            <w:pPr>
              <w:keepNext/>
              <w:keepLines/>
              <w:jc w:val="center"/>
              <w:rPr>
                <w:rFonts w:ascii="Arial Narrow" w:hAnsi="Arial Narrow"/>
                <w:b/>
                <w:sz w:val="18"/>
                <w:szCs w:val="18"/>
              </w:rPr>
            </w:pPr>
            <w:r>
              <w:rPr>
                <w:rFonts w:ascii="Arial Narrow" w:hAnsi="Arial Narrow"/>
                <w:b/>
                <w:sz w:val="18"/>
                <w:szCs w:val="18"/>
              </w:rPr>
              <w:t>$33,900</w:t>
            </w:r>
          </w:p>
        </w:tc>
        <w:tc>
          <w:tcPr>
            <w:tcW w:w="303" w:type="dxa"/>
            <w:tcBorders>
              <w:top w:val="single" w:color="auto" w:sz="4" w:space="0"/>
              <w:left w:val="single" w:color="auto" w:sz="4" w:space="0"/>
              <w:bottom w:val="single" w:color="auto" w:sz="4" w:space="0"/>
              <w:right w:val="single" w:color="auto" w:sz="4" w:space="0"/>
            </w:tcBorders>
          </w:tcPr>
          <w:p w:rsidR="00D91E5C" w:rsidP="00860031" w:rsidRDefault="00D91E5C" w14:paraId="4F186350"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D91E5C" w:rsidP="00860031" w:rsidRDefault="00D91E5C" w14:paraId="75A6D6AA" w14:textId="77777777">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D91E5C" w:rsidP="00860031" w:rsidRDefault="00D91E5C" w14:paraId="1C863976"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D91E5C" w:rsidP="00860031" w:rsidRDefault="0004416D" w14:paraId="64572787" w14:textId="77777777">
            <w:pPr>
              <w:keepNext/>
              <w:keepLines/>
              <w:jc w:val="center"/>
              <w:rPr>
                <w:rFonts w:ascii="Arial Narrow" w:hAnsi="Arial Narrow"/>
                <w:b/>
                <w:sz w:val="18"/>
                <w:szCs w:val="18"/>
              </w:rPr>
            </w:pPr>
            <w:r>
              <w:rPr>
                <w:rFonts w:ascii="Arial Narrow" w:hAnsi="Arial Narrow"/>
                <w:b/>
                <w:sz w:val="18"/>
                <w:szCs w:val="18"/>
              </w:rPr>
              <w:t>$33,900</w:t>
            </w:r>
          </w:p>
        </w:tc>
      </w:tr>
      <w:tr w:rsidR="00D91E5C" w:rsidTr="00860031" w14:paraId="7C091C30"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D91E5C" w:rsidP="00860031" w:rsidRDefault="00D91E5C" w14:paraId="1883315B" w14:textId="77777777">
            <w:pPr>
              <w:keepNext/>
              <w:keepLines/>
              <w:rPr>
                <w:rFonts w:ascii="Arial Narrow" w:hAnsi="Arial Narrow"/>
                <w:sz w:val="18"/>
                <w:szCs w:val="18"/>
              </w:rPr>
            </w:pPr>
            <w:r>
              <w:rPr>
                <w:rFonts w:ascii="Arial Narrow" w:hAnsi="Arial Narrow"/>
                <w:sz w:val="18"/>
                <w:szCs w:val="18"/>
              </w:rPr>
              <w:t>Table costs are based on 201</w:t>
            </w:r>
            <w:r w:rsidR="0004416D">
              <w:rPr>
                <w:rFonts w:ascii="Arial Narrow" w:hAnsi="Arial Narrow"/>
                <w:sz w:val="18"/>
                <w:szCs w:val="18"/>
              </w:rPr>
              <w:t>8</w:t>
            </w:r>
            <w:r>
              <w:rPr>
                <w:rFonts w:ascii="Arial Narrow" w:hAnsi="Arial Narrow"/>
                <w:sz w:val="18"/>
                <w:szCs w:val="18"/>
              </w:rPr>
              <w:t xml:space="preserve">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D91E5C" w:rsidTr="00860031" w14:paraId="71800F27"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D91E5C" w:rsidP="00860031" w:rsidRDefault="00D91E5C" w14:paraId="048B5D1F" w14:textId="77777777">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A961CB" w:rsidP="003E2BA1" w:rsidRDefault="00A961CB" w14:paraId="58D24167" w14:textId="77777777">
      <w:pPr>
        <w:ind w:left="720"/>
        <w:rPr>
          <w:rFonts w:ascii="Times New Roman" w:hAnsi="Times New Roman"/>
        </w:rPr>
      </w:pPr>
    </w:p>
    <w:p w:rsidR="00A961CB" w:rsidP="002F5BBE" w:rsidRDefault="00A961CB" w14:paraId="1523FE89" w14:textId="77777777">
      <w:pPr>
        <w:rPr>
          <w:rFonts w:ascii="Times New Roman" w:hAnsi="Times New Roman"/>
        </w:rPr>
      </w:pPr>
    </w:p>
    <w:p w:rsidRPr="003E2BA1" w:rsidR="00722806" w:rsidP="003E2BA1" w:rsidRDefault="00722806" w14:paraId="20E899C0" w14:textId="5AF117B0">
      <w:pPr>
        <w:ind w:left="720"/>
        <w:rPr>
          <w:rFonts w:ascii="Times New Roman" w:hAnsi="Times New Roman"/>
        </w:rPr>
      </w:pPr>
    </w:p>
    <w:p w:rsidRPr="003E2BA1" w:rsidR="00722806" w:rsidRDefault="00722806" w14:paraId="165F1546" w14:textId="77777777">
      <w:pPr>
        <w:jc w:val="both"/>
        <w:rPr>
          <w:rFonts w:ascii="Times New Roman" w:hAnsi="Times New Roman"/>
        </w:rPr>
      </w:pPr>
    </w:p>
    <w:p w:rsidRPr="003E2BA1" w:rsidR="00722806" w:rsidRDefault="00722806" w14:paraId="58BFCC96" w14:textId="77777777">
      <w:pPr>
        <w:pStyle w:val="Quick1"/>
        <w:numPr>
          <w:ilvl w:val="0"/>
          <w:numId w:val="6"/>
        </w:numPr>
        <w:tabs>
          <w:tab w:val="left" w:pos="-1440"/>
          <w:tab w:val="num" w:pos="720"/>
        </w:tabs>
        <w:jc w:val="both"/>
        <w:rPr>
          <w:rFonts w:ascii="Times New Roman" w:hAnsi="Times New Roman"/>
          <w:b/>
        </w:rPr>
      </w:pPr>
      <w:r w:rsidRPr="003E2BA1">
        <w:rPr>
          <w:rFonts w:ascii="Times New Roman" w:hAnsi="Times New Roman"/>
          <w:b/>
          <w:u w:val="single"/>
        </w:rPr>
        <w:t>REASONS FOR CHANGE IN BURDEN</w:t>
      </w:r>
    </w:p>
    <w:p w:rsidRPr="003E2BA1" w:rsidR="00722806" w:rsidRDefault="00722806" w14:paraId="51186C22" w14:textId="77777777">
      <w:pPr>
        <w:ind w:firstLine="720"/>
        <w:jc w:val="both"/>
        <w:rPr>
          <w:rFonts w:ascii="Times New Roman" w:hAnsi="Times New Roman"/>
        </w:rPr>
      </w:pPr>
    </w:p>
    <w:p w:rsidRPr="003E2BA1" w:rsidR="00722806" w:rsidP="00FF17BE" w:rsidRDefault="00FF17BE" w14:paraId="30F945CB" w14:textId="10BF9E4E">
      <w:pPr>
        <w:ind w:left="720"/>
        <w:jc w:val="both"/>
        <w:rPr>
          <w:rFonts w:ascii="Times New Roman" w:hAnsi="Times New Roman"/>
        </w:rPr>
      </w:pPr>
      <w:bookmarkStart w:name="_Hlk53735777" w:id="1"/>
      <w:r>
        <w:rPr>
          <w:rFonts w:ascii="Times New Roman" w:hAnsi="Times New Roman"/>
        </w:rPr>
        <w:t xml:space="preserve">The Tax Pro Account application is being launched to allow tax professionals with existing CAF numbers to initiate and sign POA online for processing. </w:t>
      </w:r>
      <w:r w:rsidR="000B5B3A">
        <w:rPr>
          <w:rFonts w:ascii="Times New Roman" w:hAnsi="Times New Roman"/>
        </w:rPr>
        <w:t xml:space="preserve">There are no </w:t>
      </w:r>
      <w:r>
        <w:rPr>
          <w:rFonts w:ascii="Times New Roman" w:hAnsi="Times New Roman"/>
        </w:rPr>
        <w:t xml:space="preserve">substantive </w:t>
      </w:r>
      <w:r w:rsidR="000B5B3A">
        <w:rPr>
          <w:rFonts w:ascii="Times New Roman" w:hAnsi="Times New Roman"/>
        </w:rPr>
        <w:t>changes from the previous approval.  This</w:t>
      </w:r>
      <w:r w:rsidR="002E79A2">
        <w:rPr>
          <w:rFonts w:ascii="Times New Roman" w:hAnsi="Times New Roman"/>
        </w:rPr>
        <w:t xml:space="preserve"> s</w:t>
      </w:r>
      <w:r w:rsidR="000B5B3A">
        <w:rPr>
          <w:rFonts w:ascii="Times New Roman" w:hAnsi="Times New Roman"/>
        </w:rPr>
        <w:t>ubmission is being made to</w:t>
      </w:r>
      <w:bookmarkEnd w:id="1"/>
      <w:r>
        <w:rPr>
          <w:rFonts w:ascii="Times New Roman" w:hAnsi="Times New Roman"/>
        </w:rPr>
        <w:t xml:space="preserve"> obtain OMB approval for the new electronic capability.</w:t>
      </w:r>
    </w:p>
    <w:p w:rsidRPr="003E2BA1" w:rsidR="0048718A" w:rsidRDefault="0048718A" w14:paraId="65F756BC" w14:textId="77777777">
      <w:pPr>
        <w:tabs>
          <w:tab w:val="left" w:pos="-1440"/>
        </w:tabs>
        <w:ind w:left="720" w:hanging="720"/>
        <w:rPr>
          <w:rFonts w:ascii="Times New Roman" w:hAnsi="Times New Roman"/>
          <w:b/>
        </w:rPr>
      </w:pPr>
    </w:p>
    <w:p w:rsidRPr="003E2BA1" w:rsidR="00722806" w:rsidRDefault="00722806" w14:paraId="5CC749E7" w14:textId="77777777">
      <w:pPr>
        <w:tabs>
          <w:tab w:val="left" w:pos="-1440"/>
        </w:tabs>
        <w:ind w:left="720" w:hanging="720"/>
        <w:rPr>
          <w:rFonts w:ascii="Times New Roman" w:hAnsi="Times New Roman"/>
          <w:b/>
        </w:rPr>
      </w:pPr>
      <w:r w:rsidRPr="003E2BA1">
        <w:rPr>
          <w:rFonts w:ascii="Times New Roman" w:hAnsi="Times New Roman"/>
          <w:b/>
        </w:rPr>
        <w:t>16.</w:t>
      </w:r>
      <w:r w:rsidRPr="003E2BA1">
        <w:rPr>
          <w:rFonts w:ascii="Times New Roman" w:hAnsi="Times New Roman"/>
          <w:b/>
        </w:rPr>
        <w:tab/>
      </w:r>
      <w:r w:rsidRPr="003E2BA1">
        <w:rPr>
          <w:rFonts w:ascii="Times New Roman" w:hAnsi="Times New Roman"/>
          <w:b/>
          <w:u w:val="single"/>
        </w:rPr>
        <w:t>PLANS FOR TABULATION, STATISTICAL ANALYSIS AND PUBLICATION</w:t>
      </w:r>
    </w:p>
    <w:p w:rsidRPr="003E2BA1" w:rsidR="00722806" w:rsidRDefault="00722806" w14:paraId="646B1A6D" w14:textId="77777777">
      <w:pPr>
        <w:rPr>
          <w:rFonts w:ascii="Times New Roman" w:hAnsi="Times New Roman"/>
        </w:rPr>
      </w:pPr>
    </w:p>
    <w:p w:rsidRPr="003E2BA1" w:rsidR="00722806" w:rsidRDefault="004B2646" w14:paraId="7BE1BCEF" w14:textId="77777777">
      <w:pPr>
        <w:ind w:left="720"/>
        <w:rPr>
          <w:rFonts w:ascii="Times New Roman" w:hAnsi="Times New Roman"/>
        </w:rPr>
      </w:pPr>
      <w:r w:rsidRPr="004B2646">
        <w:rPr>
          <w:rFonts w:ascii="Times New Roman" w:hAnsi="Times New Roman"/>
        </w:rPr>
        <w:t>There are no plans for tabulation, statistical analysis</w:t>
      </w:r>
      <w:r w:rsidR="0004416D">
        <w:rPr>
          <w:rFonts w:ascii="Times New Roman" w:hAnsi="Times New Roman"/>
        </w:rPr>
        <w:t>,</w:t>
      </w:r>
      <w:r w:rsidRPr="004B2646">
        <w:rPr>
          <w:rFonts w:ascii="Times New Roman" w:hAnsi="Times New Roman"/>
        </w:rPr>
        <w:t xml:space="preserve"> and publication</w:t>
      </w:r>
      <w:r w:rsidRPr="003E2BA1" w:rsidR="00722806">
        <w:rPr>
          <w:rFonts w:ascii="Times New Roman" w:hAnsi="Times New Roman"/>
        </w:rPr>
        <w:t>.</w:t>
      </w:r>
    </w:p>
    <w:p w:rsidRPr="003E2BA1" w:rsidR="00722806" w:rsidRDefault="00722806" w14:paraId="1E1A07E6" w14:textId="77777777">
      <w:pPr>
        <w:rPr>
          <w:rFonts w:ascii="Times New Roman" w:hAnsi="Times New Roman"/>
        </w:rPr>
      </w:pPr>
    </w:p>
    <w:p w:rsidRPr="003E2BA1" w:rsidR="00722806" w:rsidRDefault="00722806" w14:paraId="67ADCBC2" w14:textId="77777777">
      <w:pPr>
        <w:pStyle w:val="Quick1"/>
        <w:tabs>
          <w:tab w:val="left" w:pos="-1440"/>
          <w:tab w:val="num" w:pos="720"/>
        </w:tabs>
        <w:rPr>
          <w:rFonts w:ascii="Times New Roman" w:hAnsi="Times New Roman"/>
          <w:b/>
        </w:rPr>
      </w:pPr>
      <w:r w:rsidRPr="003E2BA1">
        <w:rPr>
          <w:rFonts w:ascii="Times New Roman" w:hAnsi="Times New Roman"/>
          <w:b/>
          <w:u w:val="single"/>
        </w:rPr>
        <w:t>REASONS WHY DISPLAYING THE OMB EXPIRATION DATE IS</w:t>
      </w:r>
      <w:r w:rsidRPr="003E2BA1" w:rsidR="003E2BA1">
        <w:rPr>
          <w:rFonts w:ascii="Times New Roman" w:hAnsi="Times New Roman"/>
          <w:b/>
          <w:u w:val="single"/>
        </w:rPr>
        <w:t xml:space="preserve"> </w:t>
      </w:r>
      <w:r w:rsidRPr="003E2BA1">
        <w:rPr>
          <w:rFonts w:ascii="Times New Roman" w:hAnsi="Times New Roman"/>
          <w:b/>
          <w:u w:val="single"/>
        </w:rPr>
        <w:t>INAPPROPRIATE</w:t>
      </w:r>
    </w:p>
    <w:p w:rsidRPr="003E2BA1" w:rsidR="00722806" w:rsidRDefault="00722806" w14:paraId="116EBD14" w14:textId="77777777">
      <w:pPr>
        <w:rPr>
          <w:rFonts w:ascii="Times New Roman" w:hAnsi="Times New Roman"/>
        </w:rPr>
      </w:pPr>
    </w:p>
    <w:p w:rsidRPr="001923B2" w:rsidR="001923B2" w:rsidP="001923B2" w:rsidRDefault="00900428" w14:paraId="60585572" w14:textId="77777777">
      <w:pPr>
        <w:ind w:left="720"/>
        <w:rPr>
          <w:rFonts w:ascii="Times New Roman" w:hAnsi="Times New Roman"/>
        </w:rPr>
      </w:pPr>
      <w:bookmarkStart w:name="_Hlk53735827" w:id="2"/>
      <w:r>
        <w:rPr>
          <w:rFonts w:ascii="Times New Roman" w:hAnsi="Times New Roman"/>
        </w:rPr>
        <w:t>The agency</w:t>
      </w:r>
      <w:r w:rsidRPr="001923B2" w:rsidR="001923B2">
        <w:rPr>
          <w:rFonts w:ascii="Times New Roman" w:hAnsi="Times New Roman"/>
        </w:rPr>
        <w:t xml:space="preserve"> believe</w:t>
      </w:r>
      <w:r>
        <w:rPr>
          <w:rFonts w:ascii="Times New Roman" w:hAnsi="Times New Roman"/>
        </w:rPr>
        <w:t>s</w:t>
      </w:r>
      <w:r w:rsidRPr="001923B2" w:rsidR="001923B2">
        <w:rPr>
          <w:rFonts w:ascii="Times New Roman" w:hAnsi="Times New Roman"/>
        </w:rPr>
        <w:t xml:space="preser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bookmarkEnd w:id="2"/>
    <w:p w:rsidRPr="003E2BA1" w:rsidR="00722806" w:rsidRDefault="00722806" w14:paraId="37D2E48F" w14:textId="77777777">
      <w:pPr>
        <w:rPr>
          <w:rFonts w:ascii="Times New Roman" w:hAnsi="Times New Roman"/>
        </w:rPr>
      </w:pPr>
    </w:p>
    <w:p w:rsidRPr="0004416D" w:rsidR="00722806" w:rsidRDefault="00722806" w14:paraId="30971C3D" w14:textId="77777777">
      <w:pPr>
        <w:pStyle w:val="Quick1"/>
        <w:tabs>
          <w:tab w:val="left" w:pos="-1440"/>
          <w:tab w:val="num" w:pos="720"/>
        </w:tabs>
        <w:rPr>
          <w:rFonts w:ascii="Times New Roman" w:hAnsi="Times New Roman"/>
          <w:b/>
        </w:rPr>
      </w:pPr>
      <w:r w:rsidRPr="003E2BA1">
        <w:rPr>
          <w:rFonts w:ascii="Times New Roman" w:hAnsi="Times New Roman"/>
          <w:b/>
          <w:u w:val="single"/>
        </w:rPr>
        <w:t>EXCEPTIONS TO THE CERTIFICATION STATEMENT</w:t>
      </w:r>
    </w:p>
    <w:p w:rsidRPr="003E2BA1" w:rsidR="0004416D" w:rsidP="000059DA" w:rsidRDefault="0004416D" w14:paraId="30232548" w14:textId="77777777">
      <w:pPr>
        <w:pStyle w:val="Quick1"/>
        <w:numPr>
          <w:ilvl w:val="0"/>
          <w:numId w:val="0"/>
        </w:numPr>
        <w:tabs>
          <w:tab w:val="left" w:pos="-1440"/>
        </w:tabs>
        <w:rPr>
          <w:rFonts w:ascii="Times New Roman" w:hAnsi="Times New Roman"/>
          <w:b/>
        </w:rPr>
      </w:pPr>
    </w:p>
    <w:p w:rsidRPr="003E2BA1" w:rsidR="00722806" w:rsidRDefault="004B2646" w14:paraId="4F59FBD2" w14:textId="77777777">
      <w:pPr>
        <w:ind w:left="720"/>
        <w:rPr>
          <w:rFonts w:ascii="Times New Roman" w:hAnsi="Times New Roman"/>
        </w:rPr>
      </w:pPr>
      <w:r w:rsidRPr="004B2646">
        <w:rPr>
          <w:rFonts w:ascii="Times New Roman" w:hAnsi="Times New Roman"/>
        </w:rPr>
        <w:t>There are no exceptions to the certification statement</w:t>
      </w:r>
      <w:r w:rsidRPr="003E2BA1" w:rsidR="00722806">
        <w:rPr>
          <w:rFonts w:ascii="Times New Roman" w:hAnsi="Times New Roman"/>
        </w:rPr>
        <w:t>.</w:t>
      </w:r>
    </w:p>
    <w:p w:rsidRPr="003E2BA1" w:rsidR="003E2BA1" w:rsidRDefault="003E2BA1" w14:paraId="4A1E77C3" w14:textId="77777777">
      <w:pPr>
        <w:rPr>
          <w:rFonts w:ascii="Times New Roman" w:hAnsi="Times New Roman"/>
          <w:b/>
          <w:bCs/>
          <w:u w:val="single"/>
        </w:rPr>
      </w:pPr>
    </w:p>
    <w:p w:rsidRPr="003E2BA1" w:rsidR="00722806" w:rsidRDefault="00722806" w14:paraId="0DE550D4" w14:textId="77777777">
      <w:pPr>
        <w:rPr>
          <w:rFonts w:ascii="Times New Roman" w:hAnsi="Times New Roman"/>
        </w:rPr>
      </w:pPr>
      <w:r w:rsidRPr="003E2BA1">
        <w:rPr>
          <w:rFonts w:ascii="Times New Roman" w:hAnsi="Times New Roman"/>
          <w:b/>
          <w:bCs/>
          <w:u w:val="single"/>
        </w:rPr>
        <w:t>Note:</w:t>
      </w:r>
      <w:r w:rsidRPr="003E2BA1">
        <w:rPr>
          <w:rFonts w:ascii="Times New Roman" w:hAnsi="Times New Roman"/>
        </w:rPr>
        <w:t xml:space="preserve">  The following paragraph applies to all of the collections of information in this submission:</w:t>
      </w:r>
    </w:p>
    <w:p w:rsidRPr="003E2BA1" w:rsidR="00722806" w:rsidP="001923B2" w:rsidRDefault="00722806" w14:paraId="315A9874" w14:textId="77777777">
      <w:pPr>
        <w:rPr>
          <w:rFonts w:ascii="Times New Roman" w:hAnsi="Times New Roman"/>
        </w:rPr>
      </w:pPr>
      <w:r w:rsidRPr="003E2BA1">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3E2BA1">
        <w:rPr>
          <w:rFonts w:ascii="Times New Roman" w:hAnsi="Times New Roman"/>
        </w:rPr>
        <w:tab/>
        <w:t xml:space="preserve">  </w:t>
      </w:r>
    </w:p>
    <w:sectPr w:rsidRPr="003E2BA1" w:rsidR="00722806" w:rsidSect="003E2BA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2BB4D" w14:textId="77777777" w:rsidR="003659AD" w:rsidRDefault="003659AD">
      <w:r>
        <w:separator/>
      </w:r>
    </w:p>
  </w:endnote>
  <w:endnote w:type="continuationSeparator" w:id="0">
    <w:p w14:paraId="5ECE7FAD" w14:textId="77777777" w:rsidR="003659AD" w:rsidRDefault="0036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680C" w14:textId="77777777" w:rsidR="00884139" w:rsidRDefault="0088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73F99" w14:textId="77777777" w:rsidR="003E2BA1" w:rsidRPr="003E2BA1" w:rsidRDefault="003E2BA1">
    <w:pPr>
      <w:pStyle w:val="Footer"/>
      <w:jc w:val="right"/>
      <w:rPr>
        <w:rFonts w:ascii="Times New Roman" w:hAnsi="Times New Roman"/>
      </w:rPr>
    </w:pPr>
    <w:r w:rsidRPr="003E2BA1">
      <w:rPr>
        <w:rFonts w:ascii="Times New Roman" w:hAnsi="Times New Roman"/>
      </w:rPr>
      <w:fldChar w:fldCharType="begin"/>
    </w:r>
    <w:r w:rsidRPr="003E2BA1">
      <w:rPr>
        <w:rFonts w:ascii="Times New Roman" w:hAnsi="Times New Roman"/>
      </w:rPr>
      <w:instrText xml:space="preserve"> PAGE   \* MERGEFORMAT </w:instrText>
    </w:r>
    <w:r w:rsidRPr="003E2BA1">
      <w:rPr>
        <w:rFonts w:ascii="Times New Roman" w:hAnsi="Times New Roman"/>
      </w:rPr>
      <w:fldChar w:fldCharType="separate"/>
    </w:r>
    <w:r w:rsidR="00884139">
      <w:rPr>
        <w:rFonts w:ascii="Times New Roman" w:hAnsi="Times New Roman"/>
        <w:noProof/>
      </w:rPr>
      <w:t>1</w:t>
    </w:r>
    <w:r w:rsidRPr="003E2BA1">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43A41" w14:textId="77777777" w:rsidR="00884139" w:rsidRDefault="0088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B7CD8" w14:textId="77777777" w:rsidR="003659AD" w:rsidRDefault="003659AD">
      <w:r>
        <w:separator/>
      </w:r>
    </w:p>
  </w:footnote>
  <w:footnote w:type="continuationSeparator" w:id="0">
    <w:p w14:paraId="3B79A3D1" w14:textId="77777777" w:rsidR="003659AD" w:rsidRDefault="0036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2FA0" w14:textId="77777777" w:rsidR="00884139" w:rsidRDefault="0088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2EB1B" w14:textId="77777777" w:rsidR="00884139" w:rsidRDefault="00884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F3C2E" w14:textId="77777777" w:rsidR="00884139" w:rsidRDefault="0088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06"/>
    <w:rsid w:val="000059DA"/>
    <w:rsid w:val="0004416D"/>
    <w:rsid w:val="000513CC"/>
    <w:rsid w:val="00071FD9"/>
    <w:rsid w:val="000B5B3A"/>
    <w:rsid w:val="00103CF0"/>
    <w:rsid w:val="001064BD"/>
    <w:rsid w:val="001923B2"/>
    <w:rsid w:val="001B035D"/>
    <w:rsid w:val="001E5D12"/>
    <w:rsid w:val="00215FA9"/>
    <w:rsid w:val="00237831"/>
    <w:rsid w:val="00245778"/>
    <w:rsid w:val="00263957"/>
    <w:rsid w:val="0028294D"/>
    <w:rsid w:val="00297F0F"/>
    <w:rsid w:val="002B7239"/>
    <w:rsid w:val="002C1B96"/>
    <w:rsid w:val="002C5DF0"/>
    <w:rsid w:val="002D5B17"/>
    <w:rsid w:val="002E79A2"/>
    <w:rsid w:val="002F5BBE"/>
    <w:rsid w:val="00363672"/>
    <w:rsid w:val="003659AD"/>
    <w:rsid w:val="003C42D9"/>
    <w:rsid w:val="003C68DF"/>
    <w:rsid w:val="003E2BA1"/>
    <w:rsid w:val="003F0A1E"/>
    <w:rsid w:val="0040255F"/>
    <w:rsid w:val="0045374D"/>
    <w:rsid w:val="0048718A"/>
    <w:rsid w:val="004B2646"/>
    <w:rsid w:val="004D53A9"/>
    <w:rsid w:val="00510A85"/>
    <w:rsid w:val="00542567"/>
    <w:rsid w:val="0057197A"/>
    <w:rsid w:val="00592BCA"/>
    <w:rsid w:val="005A79FE"/>
    <w:rsid w:val="005C58CC"/>
    <w:rsid w:val="005C6B96"/>
    <w:rsid w:val="00612BB6"/>
    <w:rsid w:val="006623FD"/>
    <w:rsid w:val="006A3C5C"/>
    <w:rsid w:val="00722806"/>
    <w:rsid w:val="00766D9D"/>
    <w:rsid w:val="007839B6"/>
    <w:rsid w:val="00786425"/>
    <w:rsid w:val="007E1DAD"/>
    <w:rsid w:val="007E4BAC"/>
    <w:rsid w:val="00810525"/>
    <w:rsid w:val="00860031"/>
    <w:rsid w:val="00872144"/>
    <w:rsid w:val="00884139"/>
    <w:rsid w:val="008F5D69"/>
    <w:rsid w:val="00900428"/>
    <w:rsid w:val="00930A45"/>
    <w:rsid w:val="00931948"/>
    <w:rsid w:val="0099199B"/>
    <w:rsid w:val="009B2266"/>
    <w:rsid w:val="009E298E"/>
    <w:rsid w:val="009F4930"/>
    <w:rsid w:val="00A13464"/>
    <w:rsid w:val="00A400F4"/>
    <w:rsid w:val="00A81CFE"/>
    <w:rsid w:val="00A86AE1"/>
    <w:rsid w:val="00A961CB"/>
    <w:rsid w:val="00AC4ECE"/>
    <w:rsid w:val="00AD710F"/>
    <w:rsid w:val="00B417E1"/>
    <w:rsid w:val="00B50BF3"/>
    <w:rsid w:val="00B806AF"/>
    <w:rsid w:val="00C403F7"/>
    <w:rsid w:val="00C73518"/>
    <w:rsid w:val="00CC7ADA"/>
    <w:rsid w:val="00CD18FC"/>
    <w:rsid w:val="00CD5236"/>
    <w:rsid w:val="00D03EFA"/>
    <w:rsid w:val="00D057C4"/>
    <w:rsid w:val="00D077C0"/>
    <w:rsid w:val="00D81F4E"/>
    <w:rsid w:val="00D91E5C"/>
    <w:rsid w:val="00E03CBD"/>
    <w:rsid w:val="00E10835"/>
    <w:rsid w:val="00E40D22"/>
    <w:rsid w:val="00E469D8"/>
    <w:rsid w:val="00E74734"/>
    <w:rsid w:val="00E777F1"/>
    <w:rsid w:val="00EB591A"/>
    <w:rsid w:val="00ED16FE"/>
    <w:rsid w:val="00ED58ED"/>
    <w:rsid w:val="00F31F5F"/>
    <w:rsid w:val="00F707BC"/>
    <w:rsid w:val="00F71DE3"/>
    <w:rsid w:val="00F83CDF"/>
    <w:rsid w:val="00FA08D5"/>
    <w:rsid w:val="00FD1E10"/>
    <w:rsid w:val="00F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F9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styleId="PlainText">
    <w:name w:val="Plain Text"/>
    <w:basedOn w:val="Normal"/>
    <w:link w:val="PlainTextChar"/>
    <w:uiPriority w:val="99"/>
    <w:unhideWhenUsed/>
    <w:rsid w:val="002D5B17"/>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2D5B17"/>
    <w:rPr>
      <w:rFonts w:ascii="Calibri" w:eastAsia="Calibri" w:hAnsi="Calibri"/>
      <w:sz w:val="22"/>
      <w:szCs w:val="21"/>
    </w:rPr>
  </w:style>
  <w:style w:type="paragraph" w:styleId="Header">
    <w:name w:val="header"/>
    <w:basedOn w:val="Normal"/>
    <w:link w:val="HeaderChar"/>
    <w:rsid w:val="003E2BA1"/>
    <w:pPr>
      <w:tabs>
        <w:tab w:val="center" w:pos="4680"/>
        <w:tab w:val="right" w:pos="9360"/>
      </w:tabs>
    </w:pPr>
  </w:style>
  <w:style w:type="character" w:customStyle="1" w:styleId="HeaderChar">
    <w:name w:val="Header Char"/>
    <w:link w:val="Header"/>
    <w:rsid w:val="003E2BA1"/>
    <w:rPr>
      <w:rFonts w:ascii="Courier" w:hAnsi="Courier"/>
      <w:sz w:val="24"/>
      <w:szCs w:val="24"/>
    </w:rPr>
  </w:style>
  <w:style w:type="paragraph" w:styleId="Footer">
    <w:name w:val="footer"/>
    <w:basedOn w:val="Normal"/>
    <w:link w:val="FooterChar"/>
    <w:uiPriority w:val="99"/>
    <w:rsid w:val="003E2BA1"/>
    <w:pPr>
      <w:tabs>
        <w:tab w:val="center" w:pos="4680"/>
        <w:tab w:val="right" w:pos="9360"/>
      </w:tabs>
    </w:pPr>
  </w:style>
  <w:style w:type="character" w:customStyle="1" w:styleId="FooterChar">
    <w:name w:val="Footer Char"/>
    <w:link w:val="Footer"/>
    <w:uiPriority w:val="99"/>
    <w:rsid w:val="003E2BA1"/>
    <w:rPr>
      <w:rFonts w:ascii="Courier" w:hAnsi="Courier"/>
      <w:sz w:val="24"/>
      <w:szCs w:val="24"/>
    </w:rPr>
  </w:style>
  <w:style w:type="character" w:styleId="CommentReference">
    <w:name w:val="annotation reference"/>
    <w:rsid w:val="003E2BA1"/>
    <w:rPr>
      <w:sz w:val="16"/>
      <w:szCs w:val="16"/>
    </w:rPr>
  </w:style>
  <w:style w:type="paragraph" w:styleId="CommentText">
    <w:name w:val="annotation text"/>
    <w:basedOn w:val="Normal"/>
    <w:link w:val="CommentTextChar"/>
    <w:rsid w:val="003E2BA1"/>
    <w:rPr>
      <w:sz w:val="20"/>
      <w:szCs w:val="20"/>
    </w:rPr>
  </w:style>
  <w:style w:type="character" w:customStyle="1" w:styleId="CommentTextChar">
    <w:name w:val="Comment Text Char"/>
    <w:link w:val="CommentText"/>
    <w:rsid w:val="003E2BA1"/>
    <w:rPr>
      <w:rFonts w:ascii="Courier" w:hAnsi="Courier"/>
    </w:rPr>
  </w:style>
  <w:style w:type="paragraph" w:styleId="CommentSubject">
    <w:name w:val="annotation subject"/>
    <w:basedOn w:val="CommentText"/>
    <w:next w:val="CommentText"/>
    <w:link w:val="CommentSubjectChar"/>
    <w:rsid w:val="003E2BA1"/>
    <w:rPr>
      <w:b/>
      <w:bCs/>
    </w:rPr>
  </w:style>
  <w:style w:type="character" w:customStyle="1" w:styleId="CommentSubjectChar">
    <w:name w:val="Comment Subject Char"/>
    <w:link w:val="CommentSubject"/>
    <w:rsid w:val="003E2BA1"/>
    <w:rPr>
      <w:rFonts w:ascii="Courier" w:hAnsi="Courier"/>
      <w:b/>
      <w:bCs/>
    </w:rPr>
  </w:style>
  <w:style w:type="paragraph" w:styleId="BalloonText">
    <w:name w:val="Balloon Text"/>
    <w:basedOn w:val="Normal"/>
    <w:link w:val="BalloonTextChar"/>
    <w:rsid w:val="003E2BA1"/>
    <w:rPr>
      <w:rFonts w:ascii="Tahoma" w:hAnsi="Tahoma" w:cs="Tahoma"/>
      <w:sz w:val="16"/>
      <w:szCs w:val="16"/>
    </w:rPr>
  </w:style>
  <w:style w:type="character" w:customStyle="1" w:styleId="BalloonTextChar">
    <w:name w:val="Balloon Text Char"/>
    <w:link w:val="BalloonText"/>
    <w:rsid w:val="003E2BA1"/>
    <w:rPr>
      <w:rFonts w:ascii="Tahoma" w:hAnsi="Tahoma" w:cs="Tahoma"/>
      <w:sz w:val="16"/>
      <w:szCs w:val="16"/>
    </w:rPr>
  </w:style>
  <w:style w:type="paragraph" w:styleId="Revision">
    <w:name w:val="Revision"/>
    <w:hidden/>
    <w:uiPriority w:val="99"/>
    <w:semiHidden/>
    <w:rsid w:val="009F493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73061">
      <w:bodyDiv w:val="1"/>
      <w:marLeft w:val="0"/>
      <w:marRight w:val="0"/>
      <w:marTop w:val="0"/>
      <w:marBottom w:val="0"/>
      <w:divBdr>
        <w:top w:val="none" w:sz="0" w:space="0" w:color="auto"/>
        <w:left w:val="none" w:sz="0" w:space="0" w:color="auto"/>
        <w:bottom w:val="none" w:sz="0" w:space="0" w:color="auto"/>
        <w:right w:val="none" w:sz="0" w:space="0" w:color="auto"/>
      </w:divBdr>
    </w:div>
    <w:div w:id="479276003">
      <w:bodyDiv w:val="1"/>
      <w:marLeft w:val="0"/>
      <w:marRight w:val="0"/>
      <w:marTop w:val="0"/>
      <w:marBottom w:val="0"/>
      <w:divBdr>
        <w:top w:val="none" w:sz="0" w:space="0" w:color="auto"/>
        <w:left w:val="none" w:sz="0" w:space="0" w:color="auto"/>
        <w:bottom w:val="none" w:sz="0" w:space="0" w:color="auto"/>
        <w:right w:val="none" w:sz="0" w:space="0" w:color="auto"/>
      </w:divBdr>
    </w:div>
    <w:div w:id="119210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2021-06-14T19:13:00Z</dcterms:created>
  <dcterms:modified xsi:type="dcterms:W3CDTF">2021-06-14T19:13:00Z</dcterms:modified>
</cp:coreProperties>
</file>