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A69A7" w:rsidP="00113610" w:rsidRDefault="00455C0F" w14:paraId="38B06D6D" w14:textId="5CF636F9">
      <w:pPr>
        <w:pStyle w:val="Title"/>
        <w:ind w:firstLine="720"/>
        <w:jc w:val="right"/>
        <w:rPr>
          <w:sz w:val="28"/>
          <w:szCs w:val="28"/>
        </w:rPr>
      </w:pPr>
      <w:r>
        <w:rPr>
          <w:sz w:val="28"/>
          <w:szCs w:val="28"/>
        </w:rPr>
        <w:t>August 3</w:t>
      </w:r>
      <w:r w:rsidR="00B3334F">
        <w:rPr>
          <w:sz w:val="28"/>
          <w:szCs w:val="28"/>
        </w:rPr>
        <w:t>, 2021</w:t>
      </w:r>
    </w:p>
    <w:p w:rsidR="001A69A7" w:rsidP="001A69A7" w:rsidRDefault="001A69A7" w14:paraId="6362D2C6" w14:textId="77777777">
      <w:pPr>
        <w:pStyle w:val="Title"/>
      </w:pPr>
    </w:p>
    <w:p w:rsidRPr="00113610" w:rsidR="000A6018" w:rsidP="001A69A7" w:rsidRDefault="00842E74" w14:paraId="613CF083" w14:textId="4C7BBABF">
      <w:pPr>
        <w:pStyle w:val="Title"/>
        <w:rPr>
          <w:color w:val="000000" w:themeColor="text1"/>
        </w:rPr>
      </w:pPr>
      <w:r>
        <w:t xml:space="preserve">Supporting </w:t>
      </w:r>
      <w:r w:rsidRPr="7CC58FE8">
        <w:rPr>
          <w:color w:val="000000" w:themeColor="text1"/>
        </w:rPr>
        <w:t xml:space="preserve">Statement for </w:t>
      </w:r>
    </w:p>
    <w:p w:rsidRPr="00113610" w:rsidR="00842E74" w:rsidP="001A69A7" w:rsidRDefault="00842E74" w14:paraId="79E3B1B8" w14:textId="77777777">
      <w:pPr>
        <w:pStyle w:val="Title"/>
        <w:rPr>
          <w:color w:val="000000" w:themeColor="text1"/>
        </w:rPr>
      </w:pPr>
      <w:r w:rsidRPr="00113610">
        <w:rPr>
          <w:color w:val="000000" w:themeColor="text1"/>
        </w:rPr>
        <w:t>Paperwork Reduction Act Submissions</w:t>
      </w:r>
    </w:p>
    <w:p w:rsidRPr="00113610" w:rsidR="00325880" w:rsidP="001A69A7" w:rsidRDefault="00325880" w14:paraId="2F25E1C5" w14:textId="77777777">
      <w:pPr>
        <w:pStyle w:val="Title"/>
        <w:rPr>
          <w:color w:val="000000" w:themeColor="text1"/>
          <w:sz w:val="28"/>
          <w:szCs w:val="28"/>
        </w:rPr>
      </w:pPr>
      <w:r w:rsidRPr="00113610">
        <w:rPr>
          <w:color w:val="000000" w:themeColor="text1"/>
        </w:rPr>
        <w:t>(Amended)</w:t>
      </w:r>
    </w:p>
    <w:p w:rsidRPr="00113610" w:rsidR="00842E74" w:rsidRDefault="00842E74" w14:paraId="5B531B35" w14:textId="77777777">
      <w:pPr>
        <w:tabs>
          <w:tab w:val="left" w:pos="-720"/>
        </w:tabs>
        <w:suppressAutoHyphens/>
        <w:rPr>
          <w:b/>
          <w:color w:val="000000" w:themeColor="text1"/>
          <w:sz w:val="28"/>
        </w:rPr>
      </w:pPr>
    </w:p>
    <w:p w:rsidRPr="00113610" w:rsidR="00842E74" w:rsidRDefault="00842E74" w14:paraId="1E479586" w14:textId="77777777">
      <w:pPr>
        <w:tabs>
          <w:tab w:val="left" w:pos="-720"/>
        </w:tabs>
        <w:suppressAutoHyphens/>
        <w:rPr>
          <w:b/>
          <w:color w:val="000000" w:themeColor="text1"/>
          <w:sz w:val="28"/>
        </w:rPr>
      </w:pPr>
      <w:r w:rsidRPr="00113610">
        <w:rPr>
          <w:b/>
          <w:color w:val="000000" w:themeColor="text1"/>
          <w:sz w:val="28"/>
        </w:rPr>
        <w:t>OMB Control Number:  1660</w:t>
      </w:r>
      <w:r w:rsidRPr="00113610" w:rsidR="0046431C">
        <w:rPr>
          <w:b/>
          <w:color w:val="000000" w:themeColor="text1"/>
          <w:sz w:val="28"/>
        </w:rPr>
        <w:t xml:space="preserve"> </w:t>
      </w:r>
      <w:r w:rsidRPr="00113610">
        <w:rPr>
          <w:b/>
          <w:color w:val="000000" w:themeColor="text1"/>
          <w:sz w:val="28"/>
        </w:rPr>
        <w:t>-</w:t>
      </w:r>
      <w:r w:rsidRPr="00113610" w:rsidR="0046431C">
        <w:rPr>
          <w:b/>
          <w:color w:val="000000" w:themeColor="text1"/>
          <w:sz w:val="28"/>
        </w:rPr>
        <w:t xml:space="preserve"> </w:t>
      </w:r>
      <w:r w:rsidRPr="00113610" w:rsidR="005C3CD2">
        <w:rPr>
          <w:b/>
          <w:color w:val="000000" w:themeColor="text1"/>
          <w:sz w:val="28"/>
        </w:rPr>
        <w:t>0086</w:t>
      </w:r>
    </w:p>
    <w:p w:rsidRPr="00113610" w:rsidR="00842E74" w:rsidRDefault="00842E74" w14:paraId="3B400448" w14:textId="77777777">
      <w:pPr>
        <w:tabs>
          <w:tab w:val="left" w:pos="-720"/>
        </w:tabs>
        <w:suppressAutoHyphens/>
        <w:rPr>
          <w:b/>
          <w:color w:val="000000" w:themeColor="text1"/>
          <w:sz w:val="28"/>
        </w:rPr>
      </w:pPr>
    </w:p>
    <w:p w:rsidR="00842E74" w:rsidRDefault="00842E74" w14:paraId="21F10664" w14:textId="657FFFB4">
      <w:pPr>
        <w:tabs>
          <w:tab w:val="left" w:pos="-720"/>
        </w:tabs>
        <w:suppressAutoHyphens/>
        <w:rPr>
          <w:b/>
          <w:sz w:val="28"/>
        </w:rPr>
      </w:pPr>
      <w:r>
        <w:rPr>
          <w:b/>
          <w:sz w:val="28"/>
        </w:rPr>
        <w:t xml:space="preserve">Title:  </w:t>
      </w:r>
      <w:r w:rsidR="00683BDB">
        <w:rPr>
          <w:b/>
          <w:sz w:val="28"/>
        </w:rPr>
        <w:t>National Flood Insurance Program – Mortgage Portfolio Protection Program (MPPP)</w:t>
      </w:r>
      <w:r w:rsidR="002A1F8C">
        <w:rPr>
          <w:b/>
          <w:sz w:val="28"/>
        </w:rPr>
        <w:t xml:space="preserve">; </w:t>
      </w:r>
      <w:r w:rsidR="009E57EA">
        <w:rPr>
          <w:b/>
          <w:sz w:val="28"/>
        </w:rPr>
        <w:t>Ask the Advocate Web Form</w:t>
      </w:r>
    </w:p>
    <w:p w:rsidR="00842E74" w:rsidRDefault="00842E74" w14:paraId="368EE1B3" w14:textId="77777777">
      <w:pPr>
        <w:tabs>
          <w:tab w:val="left" w:pos="-720"/>
        </w:tabs>
        <w:suppressAutoHyphens/>
        <w:rPr>
          <w:b/>
          <w:sz w:val="28"/>
        </w:rPr>
      </w:pPr>
    </w:p>
    <w:p w:rsidR="00EC3E38" w:rsidP="00AF1CD9" w:rsidRDefault="00842E74" w14:paraId="226E3A1D" w14:textId="7BD72A7F">
      <w:pPr>
        <w:tabs>
          <w:tab w:val="left" w:pos="-720"/>
        </w:tabs>
        <w:suppressAutoHyphens/>
        <w:rPr>
          <w:sz w:val="28"/>
        </w:rPr>
      </w:pPr>
      <w:r>
        <w:rPr>
          <w:b/>
          <w:sz w:val="28"/>
        </w:rPr>
        <w:t>Form Number(s):</w:t>
      </w:r>
      <w:r w:rsidR="00EC3E38">
        <w:rPr>
          <w:b/>
          <w:sz w:val="28"/>
        </w:rPr>
        <w:tab/>
        <w:t>Ask the Advocate web form (no form number)</w:t>
      </w:r>
    </w:p>
    <w:p w:rsidR="00842E74" w:rsidRDefault="00842E74" w14:paraId="0EC14BEF" w14:textId="77777777">
      <w:pPr>
        <w:tabs>
          <w:tab w:val="left" w:pos="-720"/>
        </w:tabs>
        <w:suppressAutoHyphens/>
      </w:pPr>
    </w:p>
    <w:p w:rsidR="00842E74" w:rsidRDefault="00842E74" w14:paraId="288ACB2B" w14:textId="77777777">
      <w:pPr>
        <w:pStyle w:val="Heading1"/>
      </w:pPr>
      <w:r>
        <w:t>General Instructions</w:t>
      </w:r>
    </w:p>
    <w:p w:rsidR="00842E74" w:rsidRDefault="00842E74" w14:paraId="6FA10510" w14:textId="77777777">
      <w:pPr>
        <w:tabs>
          <w:tab w:val="left" w:pos="-720"/>
        </w:tabs>
        <w:suppressAutoHyphens/>
      </w:pPr>
    </w:p>
    <w:p w:rsidR="00842E74" w:rsidP="3EF2A328" w:rsidRDefault="00842E74" w14:paraId="0F4C2BDB" w14:textId="7BB0FC44">
      <w:pPr>
        <w:suppressAutoHyphens/>
      </w:pPr>
      <w:r>
        <w:t>A Supporting Statement, including the text of the notice to the public required by 5 CFR 1320.5(a)(</w:t>
      </w:r>
      <w:r w:rsidR="2C7075FD">
        <w:t>1</w:t>
      </w:r>
      <w:r>
        <w:t>)(iv) and its actual or estimated date of publication in the Federal Register, must accompany each request for approval of a collection of information.  The Supporting Statement must be prepared in the format described below, and must contain the information specified in Section A below.  If an item is not applicable, provide a brief explanation.  When Item 17 or the OMB Form 83-I is checked “Yes”, Section B of the Supporting Statement must be completed.  OMB reserves the right to require the submission of additional information with resp</w:t>
      </w:r>
      <w:r w:rsidR="0082116E">
        <w:t>ect to any request for approval.</w:t>
      </w:r>
    </w:p>
    <w:p w:rsidR="00842E74" w:rsidRDefault="00842E74" w14:paraId="783B198B" w14:textId="77777777">
      <w:pPr>
        <w:tabs>
          <w:tab w:val="left" w:pos="-720"/>
        </w:tabs>
        <w:suppressAutoHyphens/>
      </w:pPr>
    </w:p>
    <w:p w:rsidR="00842E74" w:rsidP="00DB6E52" w:rsidRDefault="00842E74" w14:paraId="0E4FD10D" w14:textId="77777777">
      <w:pPr>
        <w:pStyle w:val="Heading1"/>
      </w:pPr>
      <w:r>
        <w:t>Specific Instructions</w:t>
      </w:r>
    </w:p>
    <w:p w:rsidR="00842E74" w:rsidP="00DB6E52" w:rsidRDefault="00842E74" w14:paraId="27139466" w14:textId="77777777">
      <w:pPr>
        <w:tabs>
          <w:tab w:val="left" w:pos="-720"/>
        </w:tabs>
        <w:suppressAutoHyphens/>
      </w:pPr>
    </w:p>
    <w:p w:rsidR="00842E74" w:rsidP="00DB6E52" w:rsidRDefault="00842E74" w14:paraId="3530DB22" w14:textId="77777777">
      <w:pPr>
        <w:pStyle w:val="Heading1"/>
        <w:rPr>
          <w:sz w:val="24"/>
        </w:rPr>
      </w:pPr>
      <w:r>
        <w:t>A.  Justification</w:t>
      </w:r>
    </w:p>
    <w:p w:rsidR="00842E74" w:rsidP="00DB6E52" w:rsidRDefault="00842E74" w14:paraId="2E53652B" w14:textId="77777777"/>
    <w:p w:rsidRPr="00684225" w:rsidR="00842E74" w:rsidP="003E152D" w:rsidRDefault="003E152D" w14:paraId="1976763E" w14:textId="77FA7144">
      <w:pPr>
        <w:pStyle w:val="ListParagraph"/>
        <w:ind w:left="0"/>
        <w:rPr>
          <w:b/>
          <w:bCs/>
          <w:color w:val="000000"/>
        </w:rPr>
      </w:pPr>
      <w:r>
        <w:rPr>
          <w:b/>
          <w:bCs/>
        </w:rPr>
        <w:t xml:space="preserve">1. Explain </w:t>
      </w:r>
      <w:r w:rsidRPr="00614102" w:rsidR="00842E74">
        <w:rPr>
          <w:b/>
          <w:bCs/>
        </w:rPr>
        <w:t>the circumstances that make the collection of information necessary</w:t>
      </w:r>
      <w:r w:rsidRPr="00614102" w:rsidR="00842E74">
        <w:rPr>
          <w:b/>
          <w:bCs/>
          <w:color w:val="000000"/>
        </w:rPr>
        <w:t>.</w:t>
      </w:r>
      <w:r w:rsidR="00684225">
        <w:rPr>
          <w:b/>
          <w:bCs/>
        </w:rPr>
        <w:t xml:space="preserve">  </w:t>
      </w:r>
      <w:r w:rsidRPr="00684225" w:rsidR="00842E74">
        <w:rPr>
          <w:b/>
          <w:bCs/>
        </w:rPr>
        <w:t>Identify any legal</w:t>
      </w:r>
      <w:r w:rsidRPr="00684225" w:rsidR="006A4787">
        <w:rPr>
          <w:b/>
          <w:bCs/>
        </w:rPr>
        <w:t xml:space="preserve"> </w:t>
      </w:r>
      <w:r w:rsidRPr="00684225" w:rsidR="00842E74">
        <w:rPr>
          <w:b/>
          <w:bCs/>
        </w:rPr>
        <w:t xml:space="preserve">or administrative requirements that necessitate the collection.  Attach a copy of the appropriate section of each statute and regulation mandating or authorizing the collection of information.  </w:t>
      </w:r>
      <w:r w:rsidRPr="00684225" w:rsidR="00842E74">
        <w:rPr>
          <w:b/>
          <w:bCs/>
          <w:color w:val="000000"/>
        </w:rPr>
        <w:t xml:space="preserve">Provide a detailed description of the nature and source of the information to be collected.   </w:t>
      </w:r>
    </w:p>
    <w:p w:rsidR="00283B9B" w:rsidP="00DB6E52" w:rsidRDefault="00283B9B" w14:paraId="70A2DDB8" w14:textId="77777777"/>
    <w:p w:rsidRPr="00DF6F9A" w:rsidR="00163F12" w:rsidP="00DB6E52" w:rsidRDefault="00163F12" w14:paraId="3320DAB3" w14:textId="77777777">
      <w:pPr>
        <w:rPr>
          <w:u w:val="single"/>
        </w:rPr>
      </w:pPr>
      <w:r w:rsidRPr="00DF6F9A">
        <w:rPr>
          <w:u w:val="single"/>
        </w:rPr>
        <w:t>Mortgage Portfolio Protection Program (MPPP)</w:t>
      </w:r>
    </w:p>
    <w:p w:rsidR="00163F12" w:rsidP="00DB6E52" w:rsidRDefault="00163F12" w14:paraId="0E72CC70" w14:textId="77777777"/>
    <w:p w:rsidR="00283B9B" w:rsidP="00DB6E52" w:rsidRDefault="00283B9B" w14:paraId="65199C22" w14:textId="6E276108">
      <w:r>
        <w:t xml:space="preserve">Federal lenders and </w:t>
      </w:r>
      <w:r w:rsidR="00605FA6">
        <w:t>F</w:t>
      </w:r>
      <w:r>
        <w:t>ederally</w:t>
      </w:r>
      <w:r w:rsidR="00605FA6">
        <w:t>-</w:t>
      </w:r>
      <w:r>
        <w:t xml:space="preserve">regulated or sponsored lending institutions may not make, increase, extend, or renew any loan secured by improved real property located in a special flood hazard area (SFHA) unless the building and any personal property securing the loan is covered by flood insurance for the life of the loan.  See Flood Disaster Protection Act of 1973 (FDPA) § 102 (Public Law 93-234; 42 U.S.C. </w:t>
      </w:r>
      <w:r w:rsidR="00605FA6">
        <w:t xml:space="preserve">§ </w:t>
      </w:r>
      <w:r>
        <w:t xml:space="preserve">4012a).  The Administrator of the Federal Emergency Management Agency (FEMA) carries out the National Flood Insurance Program (NFIP) to enable interested persons to purchase </w:t>
      </w:r>
      <w:r>
        <w:lastRenderedPageBreak/>
        <w:t xml:space="preserve">insurance against loss resulting from physical damage to or loss of real or personal property arising from flood in the United States.  See National Flood Insurance Act of 1968 (NFIA) (Public Law 90-448, title XIII; 42 U.S.C. </w:t>
      </w:r>
      <w:r w:rsidR="00605FA6">
        <w:t xml:space="preserve">§ </w:t>
      </w:r>
      <w:r>
        <w:t>4001 et seq.).</w:t>
      </w:r>
    </w:p>
    <w:p w:rsidR="00325880" w:rsidP="00DB6E52" w:rsidRDefault="00325880" w14:paraId="2287AE14" w14:textId="77777777"/>
    <w:p w:rsidR="00664FBA" w:rsidP="00DB6E52" w:rsidRDefault="00283B9B" w14:paraId="4A2DF40E" w14:textId="3E8CCF4A">
      <w:r>
        <w:t xml:space="preserve">In general, individual mortgagees subject to the requirements of the FDPA obtain and maintain flood insurance for their individual properties.  When individual mortgagees </w:t>
      </w:r>
      <w:r w:rsidR="1CE40BA1">
        <w:t>d</w:t>
      </w:r>
      <w:r>
        <w:t xml:space="preserve">o not obtain required flood insurance, the NFIP’s Mortgage Portfolio Protection program (MPPP) allows covered lenders to ensure compliance with the requirements of FDPA by making available special coverage for the lender’s entire mortgage portfolio.  See 44 CFR </w:t>
      </w:r>
      <w:r w:rsidR="00605FA6">
        <w:t xml:space="preserve">§ </w:t>
      </w:r>
      <w:r>
        <w:t>62.23(l).  In order sell MPPP policies, private insurance companies participating in the NFIP’s Write Your Own (WYO) Program must apply for and annually renew their election to voluntarily participate in the MPPP.</w:t>
      </w:r>
      <w:r w:rsidR="001353AC">
        <w:t xml:space="preserve"> </w:t>
      </w:r>
      <w:r w:rsidR="00605FA6">
        <w:t xml:space="preserve"> </w:t>
      </w:r>
      <w:r w:rsidR="001353AC">
        <w:t xml:space="preserve">WYO companies participating in the MPPP must provide a detailed implementation package, known as the Mortgage Portfolio Protection Program Agreement, </w:t>
      </w:r>
      <w:r w:rsidR="005D5E55">
        <w:t>to the lend</w:t>
      </w:r>
      <w:r w:rsidR="00466ED3">
        <w:t>ing companies</w:t>
      </w:r>
      <w:r w:rsidR="005D5E55">
        <w:t xml:space="preserve"> who are requesting insurance coverage and the lender must acknowledge receipt.</w:t>
      </w:r>
      <w:r>
        <w:t xml:space="preserve">  44 CFR </w:t>
      </w:r>
      <w:r w:rsidR="00605FA6">
        <w:t xml:space="preserve">§ </w:t>
      </w:r>
      <w:r>
        <w:t>62.23(l)(2).</w:t>
      </w:r>
    </w:p>
    <w:p w:rsidR="00325880" w:rsidP="00DB6E52" w:rsidRDefault="00325880" w14:paraId="5FF89F2A" w14:textId="77777777"/>
    <w:p w:rsidRPr="00DF6F9A" w:rsidR="00163F12" w:rsidP="00DB6E52" w:rsidRDefault="00163F12" w14:paraId="5FFF058B" w14:textId="24787185">
      <w:pPr>
        <w:rPr>
          <w:color w:val="000000" w:themeColor="text1"/>
          <w:u w:val="single"/>
        </w:rPr>
      </w:pPr>
      <w:r w:rsidRPr="00DF6F9A">
        <w:rPr>
          <w:color w:val="000000" w:themeColor="text1"/>
          <w:u w:val="single"/>
        </w:rPr>
        <w:t>Ask the Advocate Web</w:t>
      </w:r>
      <w:r w:rsidRPr="00DF6F9A" w:rsidR="0052230A">
        <w:rPr>
          <w:color w:val="000000" w:themeColor="text1"/>
          <w:u w:val="single"/>
        </w:rPr>
        <w:t xml:space="preserve"> F</w:t>
      </w:r>
      <w:r w:rsidRPr="00DF6F9A">
        <w:rPr>
          <w:color w:val="000000" w:themeColor="text1"/>
          <w:u w:val="single"/>
        </w:rPr>
        <w:t>orm</w:t>
      </w:r>
    </w:p>
    <w:p w:rsidR="00163F12" w:rsidP="00DB6E52" w:rsidRDefault="00163F12" w14:paraId="558485EE" w14:textId="77777777">
      <w:pPr>
        <w:rPr>
          <w:color w:val="000000" w:themeColor="text1"/>
        </w:rPr>
      </w:pPr>
    </w:p>
    <w:p w:rsidR="001F4AF0" w:rsidP="00DB6E52" w:rsidRDefault="001A7207" w14:paraId="75D21136" w14:textId="0F3D6385">
      <w:r w:rsidRPr="3C1104FC">
        <w:rPr>
          <w:color w:val="000000" w:themeColor="text1"/>
        </w:rPr>
        <w:t xml:space="preserve">Section 24 of the Homeowner Flood Insurance Affordability Act of 2014 </w:t>
      </w:r>
      <w:r>
        <w:t xml:space="preserve">(42 USC </w:t>
      </w:r>
      <w:r w:rsidR="00605FA6">
        <w:t xml:space="preserve">§ </w:t>
      </w:r>
      <w:r>
        <w:t>40</w:t>
      </w:r>
      <w:r w:rsidR="00AD661A">
        <w:t>33</w:t>
      </w:r>
      <w:r>
        <w:t>)</w:t>
      </w:r>
      <w:r w:rsidRPr="3C1104FC">
        <w:rPr>
          <w:color w:val="000000" w:themeColor="text1"/>
        </w:rPr>
        <w:t xml:space="preserve">, </w:t>
      </w:r>
      <w:hyperlink r:id="rId11">
        <w:r w:rsidRPr="3C1104FC">
          <w:rPr>
            <w:rStyle w:val="Hyperlink"/>
          </w:rPr>
          <w:t xml:space="preserve">Public Law 113–89, </w:t>
        </w:r>
        <w:r w:rsidRPr="3C1104FC" w:rsidR="00AA7ED2">
          <w:rPr>
            <w:rStyle w:val="Hyperlink"/>
          </w:rPr>
          <w:t>128 Stat. 1030</w:t>
        </w:r>
      </w:hyperlink>
      <w:r w:rsidRPr="3C1104FC" w:rsidR="00AA7ED2">
        <w:rPr>
          <w:color w:val="000000" w:themeColor="text1"/>
        </w:rPr>
        <w:t xml:space="preserve">, </w:t>
      </w:r>
      <w:r w:rsidR="001C135D">
        <w:t>require</w:t>
      </w:r>
      <w:r w:rsidR="00D00647">
        <w:t>s</w:t>
      </w:r>
      <w:r w:rsidR="001C135D">
        <w:t xml:space="preserve"> FEMA to </w:t>
      </w:r>
      <w:r w:rsidR="007B15F5">
        <w:t xml:space="preserve">designate </w:t>
      </w:r>
      <w:r w:rsidR="001C135D">
        <w:t xml:space="preserve">a </w:t>
      </w:r>
      <w:r w:rsidR="00B14C40">
        <w:t xml:space="preserve">Flood Insurance Advocate </w:t>
      </w:r>
      <w:r w:rsidRPr="3C1104FC" w:rsidR="007621E8">
        <w:rPr>
          <w:color w:val="000000" w:themeColor="text1"/>
        </w:rPr>
        <w:t>that would advocate</w:t>
      </w:r>
      <w:r w:rsidR="00DD3543">
        <w:t xml:space="preserve"> for the fair treatment of </w:t>
      </w:r>
      <w:r w:rsidR="007621E8">
        <w:t xml:space="preserve">NFIP </w:t>
      </w:r>
      <w:r w:rsidR="00DD3543">
        <w:t>policyholders and property owners by</w:t>
      </w:r>
      <w:r w:rsidR="007621E8">
        <w:t>: (1)</w:t>
      </w:r>
      <w:r w:rsidR="00DD3543">
        <w:t xml:space="preserve"> providing education and guidance on all aspects of the NFIP, </w:t>
      </w:r>
      <w:r w:rsidR="007621E8">
        <w:t xml:space="preserve">(2) </w:t>
      </w:r>
      <w:r w:rsidR="00DD3543">
        <w:t xml:space="preserve">identifying trends affecting the public, and </w:t>
      </w:r>
      <w:r w:rsidR="007621E8">
        <w:t xml:space="preserve">(3) </w:t>
      </w:r>
      <w:r w:rsidR="00DD3543">
        <w:t xml:space="preserve">making recommendations for </w:t>
      </w:r>
      <w:r w:rsidR="007621E8">
        <w:t xml:space="preserve">NFIP </w:t>
      </w:r>
      <w:r w:rsidR="00DD3543">
        <w:t>program improvements to FEMA leadership</w:t>
      </w:r>
      <w:r w:rsidR="001B5F8C">
        <w:t>.</w:t>
      </w:r>
      <w:r w:rsidR="001F4AF0">
        <w:t xml:space="preserve">  Pursuant to this authority, </w:t>
      </w:r>
      <w:r w:rsidR="00AA7ED2">
        <w:t xml:space="preserve">FEMA </w:t>
      </w:r>
      <w:r w:rsidR="000A4D35">
        <w:t xml:space="preserve">established </w:t>
      </w:r>
      <w:r w:rsidR="00AA7ED2">
        <w:t xml:space="preserve">the Office of the Flood Insurance Advocate </w:t>
      </w:r>
      <w:r w:rsidR="007621E8">
        <w:t xml:space="preserve">(OFIA) </w:t>
      </w:r>
      <w:r w:rsidR="00AA7ED2">
        <w:t>on December 22, 2014.</w:t>
      </w:r>
    </w:p>
    <w:p w:rsidR="001F4AF0" w:rsidP="00DB6E52" w:rsidRDefault="001F4AF0" w14:paraId="5BD2D16A" w14:textId="77777777"/>
    <w:p w:rsidR="00AA7ED2" w:rsidP="00DB6E52" w:rsidRDefault="0096487E" w14:paraId="01BBA14D" w14:textId="77C26EAF">
      <w:r>
        <w:t xml:space="preserve">Members of the public regularly contact OFIA </w:t>
      </w:r>
      <w:r w:rsidR="00D91FB1">
        <w:t>seeking assistance on the NFIP.</w:t>
      </w:r>
      <w:r w:rsidR="00B62EED">
        <w:t xml:space="preserve">  OFIA seeks to facilitate </w:t>
      </w:r>
      <w:r w:rsidR="001728C6">
        <w:t>the timely and effective management of these</w:t>
      </w:r>
      <w:r w:rsidR="001B5F8C">
        <w:t xml:space="preserve"> inquiries </w:t>
      </w:r>
      <w:r w:rsidR="007621E8">
        <w:t xml:space="preserve">by </w:t>
      </w:r>
      <w:r w:rsidR="001728C6">
        <w:t>creating</w:t>
      </w:r>
      <w:r w:rsidR="007621E8">
        <w:t xml:space="preserve"> a web</w:t>
      </w:r>
      <w:r w:rsidR="0052230A">
        <w:t xml:space="preserve"> </w:t>
      </w:r>
      <w:r w:rsidR="007621E8">
        <w:t xml:space="preserve">form on </w:t>
      </w:r>
      <w:r w:rsidR="00EF664A">
        <w:t>OFIA’s web page</w:t>
      </w:r>
      <w:r w:rsidR="007621E8">
        <w:t xml:space="preserve"> at </w:t>
      </w:r>
      <w:hyperlink r:id="rId12">
        <w:r w:rsidRPr="3C1104FC" w:rsidR="007621E8">
          <w:rPr>
            <w:rStyle w:val="Hyperlink"/>
          </w:rPr>
          <w:t>https://www.fema.gov/flood-insurance/advocate</w:t>
        </w:r>
      </w:hyperlink>
      <w:r w:rsidR="001B5F8C">
        <w:t>.  The web</w:t>
      </w:r>
      <w:r w:rsidR="0052230A">
        <w:t xml:space="preserve"> </w:t>
      </w:r>
      <w:r w:rsidR="001B5F8C">
        <w:t xml:space="preserve">form </w:t>
      </w:r>
      <w:r w:rsidR="008F39E0">
        <w:t>will allow</w:t>
      </w:r>
      <w:r w:rsidR="005A7382">
        <w:t xml:space="preserve"> users to provide information that includes</w:t>
      </w:r>
      <w:r w:rsidR="001B5F8C">
        <w:t xml:space="preserve"> all the data necessary </w:t>
      </w:r>
      <w:r w:rsidR="005A7382">
        <w:t>for OFIA to perform its Congressionally-mandated duties and responsibilities</w:t>
      </w:r>
      <w:r w:rsidR="001B5F8C">
        <w:t>.</w:t>
      </w:r>
    </w:p>
    <w:p w:rsidRPr="002E0B38" w:rsidR="00283B9B" w:rsidP="00DB6E52" w:rsidRDefault="00283B9B" w14:paraId="02467491" w14:textId="77777777"/>
    <w:p w:rsidR="00842E74" w:rsidP="00DB6E52" w:rsidRDefault="00842E74" w14:paraId="63F28CC1" w14:textId="77777777">
      <w:pPr>
        <w:rPr>
          <w:b/>
          <w:bCs/>
          <w:color w:val="000000"/>
          <w:spacing w:val="-3"/>
        </w:rPr>
      </w:pPr>
      <w:r>
        <w:rPr>
          <w:b/>
          <w:bCs/>
        </w:rPr>
        <w:fldChar w:fldCharType="begin"/>
      </w:r>
      <w:r>
        <w:rPr>
          <w:b/>
          <w:bCs/>
        </w:rPr>
        <w:instrText>ADVANCE \R 0.95</w:instrText>
      </w:r>
      <w:r>
        <w:rPr>
          <w:b/>
          <w:bCs/>
        </w:rPr>
        <w:fldChar w:fldCharType="end"/>
      </w:r>
      <w:r>
        <w:rPr>
          <w:b/>
          <w:bCs/>
        </w:rPr>
        <w:t xml:space="preserve">2.  Indicate how, by whom, and for what purpose the information is to be used.  Except for a new collection, indicate the actual use the agency has made of the information received from the current collection. </w:t>
      </w:r>
      <w:r>
        <w:rPr>
          <w:b/>
          <w:bCs/>
          <w:color w:val="0000FF"/>
        </w:rPr>
        <w:t xml:space="preserve"> </w:t>
      </w:r>
      <w:r>
        <w:rPr>
          <w:b/>
          <w:bCs/>
          <w:color w:val="000000"/>
        </w:rPr>
        <w:t>Provide a detailed description of: how the information will be shared, if applicable, and for</w:t>
      </w:r>
      <w:r>
        <w:rPr>
          <w:b/>
          <w:bCs/>
          <w:color w:val="0000FF"/>
        </w:rPr>
        <w:t xml:space="preserve"> </w:t>
      </w:r>
      <w:r>
        <w:rPr>
          <w:b/>
          <w:bCs/>
          <w:color w:val="000000"/>
        </w:rPr>
        <w:t xml:space="preserve">what programmatic purpose.       </w:t>
      </w:r>
    </w:p>
    <w:p w:rsidR="00842E74" w:rsidP="00DB6E52" w:rsidRDefault="00842E74" w14:paraId="6B0EBD27" w14:textId="77777777"/>
    <w:p w:rsidRPr="00DF6F9A" w:rsidR="002C01E9" w:rsidP="00DB6E52" w:rsidRDefault="002C01E9" w14:paraId="5DAFFE91" w14:textId="77777777">
      <w:pPr>
        <w:rPr>
          <w:u w:val="single"/>
        </w:rPr>
      </w:pPr>
      <w:r w:rsidRPr="00DF6F9A">
        <w:rPr>
          <w:u w:val="single"/>
        </w:rPr>
        <w:t>Mortgage Portfolio Protection Program (MPPP)</w:t>
      </w:r>
    </w:p>
    <w:p w:rsidR="002C01E9" w:rsidP="00DB6E52" w:rsidRDefault="002C01E9" w14:paraId="19767EF4" w14:textId="77777777"/>
    <w:p w:rsidR="0075791B" w:rsidP="00DB6E52" w:rsidRDefault="002E5A7A" w14:paraId="2F7B675F" w14:textId="43C5E1DC">
      <w:r>
        <w:t xml:space="preserve">A </w:t>
      </w:r>
      <w:r w:rsidR="00466ED3">
        <w:t>lending institution</w:t>
      </w:r>
      <w:r>
        <w:t xml:space="preserve"> that wishes to participate in t</w:t>
      </w:r>
      <w:r w:rsidR="003F68DF">
        <w:t>he MPPP</w:t>
      </w:r>
      <w:r>
        <w:t xml:space="preserve"> must review the information listed in the </w:t>
      </w:r>
      <w:r w:rsidR="003F68DF">
        <w:t xml:space="preserve">Mortgage Portfolio Protection Program </w:t>
      </w:r>
      <w:r w:rsidR="00283B9B">
        <w:t>Agreement, which</w:t>
      </w:r>
      <w:r w:rsidR="004409F3">
        <w:t xml:space="preserve"> includes </w:t>
      </w:r>
      <w:r w:rsidR="00283B9B">
        <w:t>five</w:t>
      </w:r>
      <w:r w:rsidR="004409F3">
        <w:t xml:space="preserve"> addendums.  These addendums are 1) the Initial Portfolio Review Mortgagor Notification Process, 2) MPPP Renewal/Expiration Mortgagor Notification Process, 3) Questions and Answers: Portfolio Review Considerations, 4) Questions and Answers: Other Considerations, and 5) Receipt for Materials.  </w:t>
      </w:r>
      <w:r w:rsidR="00283B9B">
        <w:t xml:space="preserve">The credit analyst must complete and </w:t>
      </w:r>
      <w:r w:rsidR="00283B9B">
        <w:lastRenderedPageBreak/>
        <w:t>return t</w:t>
      </w:r>
      <w:r w:rsidR="004409F3">
        <w:t>he Receipt for Materials.  This indicates that the respondent has received the material and agrees to comply with the guidelines and requirements contained within this material.</w:t>
      </w:r>
      <w:r w:rsidR="00845EDC">
        <w:t xml:space="preserve">  </w:t>
      </w:r>
    </w:p>
    <w:p w:rsidR="004C7138" w:rsidP="00DB6E52" w:rsidRDefault="004C7138" w14:paraId="2C397810" w14:textId="77777777"/>
    <w:p w:rsidR="00081062" w:rsidP="00DB6E52" w:rsidRDefault="00466ED3" w14:paraId="33BFBB68" w14:textId="1DB44922">
      <w:r>
        <w:t>The WYO</w:t>
      </w:r>
      <w:r w:rsidR="009B76DD">
        <w:t xml:space="preserve"> </w:t>
      </w:r>
      <w:r>
        <w:t xml:space="preserve">company </w:t>
      </w:r>
      <w:r w:rsidR="009B76DD">
        <w:t xml:space="preserve">will review the </w:t>
      </w:r>
      <w:r w:rsidR="00E6515C">
        <w:t xml:space="preserve">Financial Assistance/Subsidy </w:t>
      </w:r>
      <w:r w:rsidR="001D78DD">
        <w:t>Arrangement and</w:t>
      </w:r>
      <w:r w:rsidR="003F68DF">
        <w:t xml:space="preserve"> complete the </w:t>
      </w:r>
      <w:r w:rsidR="00E6515C">
        <w:t xml:space="preserve">Notice of Acceptance </w:t>
      </w:r>
      <w:r w:rsidR="003F68DF">
        <w:t xml:space="preserve">acknowledgement either agreeing to participate in the MPPP or electing to continue under just the WYO guidelines.  </w:t>
      </w:r>
      <w:r w:rsidR="00845EDC">
        <w:t>This allows FEMA to maintain a list of companies that are participating in the MPPP and can assure that insurance policies written under the MPPP are done so by appropriate WYO companies.</w:t>
      </w:r>
      <w:r w:rsidRPr="00081062" w:rsidR="00081062">
        <w:t xml:space="preserve"> </w:t>
      </w:r>
    </w:p>
    <w:p w:rsidR="003F68DF" w:rsidP="00DB6E52" w:rsidRDefault="003F68DF" w14:paraId="5D854418" w14:textId="57B024F9"/>
    <w:p w:rsidRPr="00DF6F9A" w:rsidR="001B5F8C" w:rsidP="00DB6E52" w:rsidRDefault="001B5F8C" w14:paraId="31871797" w14:textId="1A303354">
      <w:pPr>
        <w:rPr>
          <w:color w:val="000000" w:themeColor="text1"/>
          <w:u w:val="single"/>
        </w:rPr>
      </w:pPr>
      <w:r w:rsidRPr="00DF6F9A">
        <w:rPr>
          <w:color w:val="000000" w:themeColor="text1"/>
          <w:u w:val="single"/>
        </w:rPr>
        <w:t>Ask the Advocate Web</w:t>
      </w:r>
      <w:r w:rsidRPr="00DF6F9A" w:rsidR="0052230A">
        <w:rPr>
          <w:color w:val="000000" w:themeColor="text1"/>
          <w:u w:val="single"/>
        </w:rPr>
        <w:t xml:space="preserve"> Fo</w:t>
      </w:r>
      <w:r w:rsidRPr="00DF6F9A">
        <w:rPr>
          <w:color w:val="000000" w:themeColor="text1"/>
          <w:u w:val="single"/>
        </w:rPr>
        <w:t>rm</w:t>
      </w:r>
    </w:p>
    <w:p w:rsidR="001B5F8C" w:rsidP="00DB6E52" w:rsidRDefault="001B5F8C" w14:paraId="1B8752FB" w14:textId="2633A256"/>
    <w:p w:rsidR="00D90269" w:rsidP="00DB6E52" w:rsidRDefault="00996E88" w14:paraId="282F45CD" w14:textId="1439F280">
      <w:r>
        <w:t xml:space="preserve">Consumers </w:t>
      </w:r>
      <w:r w:rsidR="00D90269">
        <w:t xml:space="preserve">who </w:t>
      </w:r>
      <w:r>
        <w:t xml:space="preserve">submit an inquiry to OFIA </w:t>
      </w:r>
      <w:r w:rsidR="008F39E0">
        <w:t>will be</w:t>
      </w:r>
      <w:r>
        <w:t xml:space="preserve"> required to fill-out ten (10) informational fields on the </w:t>
      </w:r>
      <w:r w:rsidR="00A2225B">
        <w:t>proposed</w:t>
      </w:r>
      <w:r>
        <w:t xml:space="preserve"> Ask the Advocate web</w:t>
      </w:r>
      <w:r w:rsidR="0052230A">
        <w:t xml:space="preserve"> f</w:t>
      </w:r>
      <w:r>
        <w:t xml:space="preserve">orm.  </w:t>
      </w:r>
      <w:r w:rsidR="00D90269">
        <w:t xml:space="preserve">These fields include: (1) First name, (2) Last name, (3) Email address, (4) Confirm email address, (5) How did you hear of Advocate's office (pull-down list), (6) Contact role (list field), (7) State (pull-down list), (8) ZIP code, (9) Subject (of inquiry) and (10) Questions/Comment (regarding inquiry).  </w:t>
      </w:r>
      <w:r>
        <w:t>An eleventh (11</w:t>
      </w:r>
      <w:r w:rsidRPr="00A6587B">
        <w:rPr>
          <w:vertAlign w:val="superscript"/>
        </w:rPr>
        <w:t>th</w:t>
      </w:r>
      <w:r>
        <w:t>) field is a security CAPTCHA field intended to distinguish human from machine input</w:t>
      </w:r>
      <w:r w:rsidR="00D90269">
        <w:t xml:space="preserve"> </w:t>
      </w:r>
      <w:r>
        <w:t>as a way of thwarting spam and automated extraction of data from websites.</w:t>
      </w:r>
    </w:p>
    <w:p w:rsidR="00D90269" w:rsidP="00DB6E52" w:rsidRDefault="00D90269" w14:paraId="5D98FD66" w14:textId="77777777"/>
    <w:p w:rsidR="00996E88" w:rsidP="00DB6E52" w:rsidRDefault="00D90269" w14:paraId="25E77C1C" w14:textId="08FE2274">
      <w:r>
        <w:t>When a consumer submits this information, the d</w:t>
      </w:r>
      <w:r w:rsidR="00996E88">
        <w:t xml:space="preserve">ata </w:t>
      </w:r>
      <w:r w:rsidR="008F39E0">
        <w:t>will be</w:t>
      </w:r>
      <w:r w:rsidR="00996E88">
        <w:t xml:space="preserve"> collected and stored on </w:t>
      </w:r>
      <w:r>
        <w:t xml:space="preserve">OFIA’s </w:t>
      </w:r>
      <w:r w:rsidR="00605FA6">
        <w:t>Department of Homeland Security (</w:t>
      </w:r>
      <w:r w:rsidR="0052230A">
        <w:t>DHS</w:t>
      </w:r>
      <w:r w:rsidR="00605FA6">
        <w:t>)</w:t>
      </w:r>
      <w:r w:rsidR="0052230A">
        <w:t xml:space="preserve">/FEMA-approved </w:t>
      </w:r>
      <w:r w:rsidR="00996E88">
        <w:t xml:space="preserve">Customer Relationship Management (CRM) </w:t>
      </w:r>
      <w:r w:rsidR="00BB75CF">
        <w:t xml:space="preserve">cloud-based </w:t>
      </w:r>
      <w:r w:rsidR="0771A4CE">
        <w:t>environment</w:t>
      </w:r>
      <w:r w:rsidR="00996E88">
        <w:t xml:space="preserve"> hosted by Salesforce</w:t>
      </w:r>
      <w:r>
        <w:t>.</w:t>
      </w:r>
    </w:p>
    <w:p w:rsidR="00D90269" w:rsidP="00DB6E52" w:rsidRDefault="00D90269" w14:paraId="171E7F65" w14:textId="080A0263"/>
    <w:p w:rsidR="001B5F8C" w:rsidP="00DB6E52" w:rsidRDefault="00D90269" w14:paraId="7F674B0B" w14:textId="72E4C1F3">
      <w:r>
        <w:t xml:space="preserve">Once OFIA receives this information, </w:t>
      </w:r>
      <w:r w:rsidR="002B3D34">
        <w:t xml:space="preserve">the inquiry </w:t>
      </w:r>
      <w:r w:rsidR="008F39E0">
        <w:t>will be</w:t>
      </w:r>
      <w:r w:rsidR="002B3D34">
        <w:t xml:space="preserve"> assigned a system-generated “Case number”, and the</w:t>
      </w:r>
      <w:r w:rsidR="009865BC">
        <w:t>n the</w:t>
      </w:r>
      <w:r w:rsidR="002B3D34">
        <w:t xml:space="preserve"> case is then assigned to an OFIA Advocate Representative (FEMA employee).</w:t>
      </w:r>
      <w:r w:rsidR="00EE42A0">
        <w:t xml:space="preserve">  </w:t>
      </w:r>
      <w:r w:rsidR="002B3D34">
        <w:t>Using the data collected from the Ask the Advocate web</w:t>
      </w:r>
      <w:r w:rsidR="0052230A">
        <w:t xml:space="preserve"> </w:t>
      </w:r>
      <w:r w:rsidR="002B3D34">
        <w:t xml:space="preserve">form, the Advocate Representative will research the customer’s inquiry and offer education and guidance to help the customer navigate the NFIP process.  </w:t>
      </w:r>
    </w:p>
    <w:p w:rsidR="00773A93" w:rsidP="00DB6E52" w:rsidRDefault="00842E74" w14:paraId="0F62D6F4" w14:textId="77777777">
      <w:pPr>
        <w:rPr>
          <w:b/>
          <w:bCs/>
        </w:rPr>
      </w:pPr>
      <w:r>
        <w:rPr>
          <w:b/>
          <w:bCs/>
        </w:rPr>
        <w:fldChar w:fldCharType="begin"/>
      </w:r>
      <w:r>
        <w:rPr>
          <w:b/>
          <w:bCs/>
        </w:rPr>
        <w:instrText>ADVANCE \R 0.95</w:instrText>
      </w:r>
      <w:r>
        <w:rPr>
          <w:b/>
          <w:bCs/>
        </w:rPr>
        <w:fldChar w:fldCharType="end"/>
      </w:r>
    </w:p>
    <w:p w:rsidR="00842E74" w:rsidP="00DB6E52" w:rsidRDefault="00842E74" w14:paraId="5C923937" w14:textId="56297463">
      <w:pPr>
        <w:rPr>
          <w:b/>
          <w:bCs/>
        </w:rPr>
      </w:pPr>
      <w:r>
        <w:rPr>
          <w:b/>
          <w:bCs/>
        </w:rPr>
        <w:t xml:space="preserve">3.  Describe whether, and to what extent, the collection of information involves the use of automated, electronic, mechanical, or other technological collection techniques or other forms of information technology, e.g., permitting </w:t>
      </w:r>
      <w:r w:rsidR="00BF4DF2">
        <w:rPr>
          <w:b/>
          <w:bCs/>
        </w:rPr>
        <w:tab/>
      </w:r>
      <w:r>
        <w:rPr>
          <w:b/>
          <w:bCs/>
        </w:rPr>
        <w:t>electronic submission of responses, and the basis for the decision for adopting this means of collection.  Also describe any consideration of using</w:t>
      </w:r>
      <w:r w:rsidR="006A4787">
        <w:rPr>
          <w:b/>
          <w:bCs/>
        </w:rPr>
        <w:t xml:space="preserve"> </w:t>
      </w:r>
      <w:r>
        <w:rPr>
          <w:b/>
          <w:bCs/>
        </w:rPr>
        <w:t xml:space="preserve">information technology to reduce burden. </w:t>
      </w:r>
    </w:p>
    <w:p w:rsidR="00600F24" w:rsidP="00DB6E52" w:rsidRDefault="00600F24" w14:paraId="70A9CD6B" w14:textId="77777777">
      <w:pPr>
        <w:rPr>
          <w:b/>
          <w:bCs/>
        </w:rPr>
      </w:pPr>
    </w:p>
    <w:p w:rsidRPr="00DF6F9A" w:rsidR="002C01E9" w:rsidP="00DB6E52" w:rsidRDefault="002C01E9" w14:paraId="71F11BCC" w14:textId="77777777">
      <w:pPr>
        <w:rPr>
          <w:u w:val="single"/>
        </w:rPr>
      </w:pPr>
      <w:r w:rsidRPr="00DF6F9A">
        <w:rPr>
          <w:u w:val="single"/>
        </w:rPr>
        <w:t>Mortgage Portfolio Protection Program (MPPP)</w:t>
      </w:r>
    </w:p>
    <w:p w:rsidR="002C01E9" w:rsidP="00DB6E52" w:rsidRDefault="002C01E9" w14:paraId="0BD942C7" w14:textId="77777777">
      <w:pPr>
        <w:rPr>
          <w:color w:val="000000"/>
        </w:rPr>
      </w:pPr>
    </w:p>
    <w:p w:rsidR="00605FA6" w:rsidP="00DB6E52" w:rsidRDefault="5140825F" w14:paraId="715A5CED" w14:textId="083AEEA6">
      <w:pPr>
        <w:rPr>
          <w:color w:val="000000" w:themeColor="text1"/>
        </w:rPr>
      </w:pPr>
      <w:r w:rsidRPr="653583C1">
        <w:rPr>
          <w:color w:val="000000" w:themeColor="text1"/>
        </w:rPr>
        <w:t xml:space="preserve">The MPPP Agreement and the Arrangement can both be found </w:t>
      </w:r>
      <w:r w:rsidRPr="653583C1" w:rsidR="6EA12337">
        <w:rPr>
          <w:color w:val="000000" w:themeColor="text1"/>
        </w:rPr>
        <w:t>online</w:t>
      </w:r>
      <w:r w:rsidR="005C66A2">
        <w:rPr>
          <w:color w:val="000000" w:themeColor="text1"/>
        </w:rPr>
        <w:t>:</w:t>
      </w:r>
    </w:p>
    <w:p w:rsidRPr="00E104FF" w:rsidR="00605FA6" w:rsidP="00113610" w:rsidRDefault="00605FA6" w14:paraId="04A2602D" w14:textId="26DDB24F">
      <w:pPr>
        <w:pStyle w:val="ListParagraph"/>
        <w:numPr>
          <w:ilvl w:val="0"/>
          <w:numId w:val="18"/>
        </w:numPr>
        <w:rPr>
          <w:color w:val="000000" w:themeColor="text1"/>
        </w:rPr>
      </w:pPr>
      <w:r w:rsidRPr="1CD359A5">
        <w:rPr>
          <w:color w:val="000000" w:themeColor="text1"/>
        </w:rPr>
        <w:t xml:space="preserve">The Agreement: </w:t>
      </w:r>
      <w:hyperlink r:id="rId13">
        <w:r w:rsidRPr="1CD359A5">
          <w:rPr>
            <w:rStyle w:val="Hyperlink"/>
          </w:rPr>
          <w:t>https://www.fema.gov/sites/default/files/2020-05/MPPP_Guidelines_Requirements_2017FY.PDF</w:t>
        </w:r>
      </w:hyperlink>
      <w:r w:rsidRPr="1CD359A5" w:rsidR="005C66A2">
        <w:rPr>
          <w:color w:val="000000" w:themeColor="text1"/>
        </w:rPr>
        <w:t xml:space="preserve">, </w:t>
      </w:r>
      <w:r w:rsidRPr="1CD359A5" w:rsidR="660B3F02">
        <w:rPr>
          <w:color w:val="000000" w:themeColor="text1"/>
        </w:rPr>
        <w:t>and</w:t>
      </w:r>
    </w:p>
    <w:p w:rsidRPr="00113610" w:rsidR="00605FA6" w:rsidP="00113610" w:rsidRDefault="00605FA6" w14:paraId="58FD2834" w14:textId="77777777">
      <w:pPr>
        <w:pStyle w:val="ListParagraph"/>
        <w:numPr>
          <w:ilvl w:val="0"/>
          <w:numId w:val="18"/>
        </w:numPr>
        <w:rPr>
          <w:color w:val="000000" w:themeColor="text1"/>
        </w:rPr>
      </w:pPr>
      <w:r w:rsidRPr="1CD359A5">
        <w:rPr>
          <w:color w:val="000000" w:themeColor="text1"/>
        </w:rPr>
        <w:t>The Arrangement:</w:t>
      </w:r>
      <w:r w:rsidRPr="1CD359A5" w:rsidR="660B3F02">
        <w:rPr>
          <w:color w:val="000000" w:themeColor="text1"/>
        </w:rPr>
        <w:t xml:space="preserve"> </w:t>
      </w:r>
      <w:hyperlink r:id="rId14">
        <w:r w:rsidRPr="1CD359A5" w:rsidR="001839C8">
          <w:rPr>
            <w:rStyle w:val="Hyperlink"/>
          </w:rPr>
          <w:t>https://www.fema.gov/sites/default/files/2020-05/FY2020-WYO-Financial-Assistance-Subsidy-Arrangement.pdf</w:t>
        </w:r>
      </w:hyperlink>
      <w:r w:rsidRPr="1CD359A5" w:rsidR="006A7729">
        <w:rPr>
          <w:color w:val="000000" w:themeColor="text1"/>
        </w:rPr>
        <w:t>)</w:t>
      </w:r>
      <w:r w:rsidRPr="1CD359A5" w:rsidR="00600F24">
        <w:rPr>
          <w:color w:val="000000" w:themeColor="text1"/>
        </w:rPr>
        <w:t>.</w:t>
      </w:r>
      <w:r w:rsidRPr="1CD359A5" w:rsidR="00332739">
        <w:rPr>
          <w:color w:val="000000" w:themeColor="text1"/>
        </w:rPr>
        <w:t xml:space="preserve"> </w:t>
      </w:r>
      <w:r w:rsidRPr="1CD359A5" w:rsidR="00600F24">
        <w:rPr>
          <w:color w:val="000000" w:themeColor="text1"/>
        </w:rPr>
        <w:t xml:space="preserve"> </w:t>
      </w:r>
    </w:p>
    <w:p w:rsidRPr="0048143B" w:rsidR="00600F24" w:rsidP="00DB6E52" w:rsidRDefault="00283B9B" w14:paraId="3D3A64ED" w14:textId="154025F7">
      <w:r w:rsidRPr="00605FA6">
        <w:rPr>
          <w:color w:val="000000" w:themeColor="text1"/>
        </w:rPr>
        <w:lastRenderedPageBreak/>
        <w:t xml:space="preserve">A </w:t>
      </w:r>
      <w:r w:rsidRPr="00605FA6" w:rsidR="00600F24">
        <w:rPr>
          <w:color w:val="000000" w:themeColor="text1"/>
        </w:rPr>
        <w:t>WYO</w:t>
      </w:r>
      <w:r w:rsidRPr="3C1104FC" w:rsidR="00600F24">
        <w:rPr>
          <w:color w:val="000000" w:themeColor="text1"/>
        </w:rPr>
        <w:t xml:space="preserve"> company can print out the Notice of Acceptance page, sign it, and return it with original signature.  Credit Analysts wishing to obtain insurance coverage through the MPPP will download the Federal Assistance/Subsidy Arrangement, sign the Receipt for Materials, and return it with original signature.</w:t>
      </w:r>
      <w:r w:rsidRPr="0048143B" w:rsidR="00600F24">
        <w:t xml:space="preserve"> </w:t>
      </w:r>
      <w:r w:rsidR="00E56772">
        <w:t>Respondents may electronically sign the</w:t>
      </w:r>
      <w:r w:rsidR="00EC34DB">
        <w:t xml:space="preserve"> necessary documents.</w:t>
      </w:r>
    </w:p>
    <w:p w:rsidR="00850C7F" w:rsidP="00DB6E52" w:rsidRDefault="00850C7F" w14:paraId="49D73899" w14:textId="4D946970"/>
    <w:p w:rsidRPr="00DF6F9A" w:rsidR="001B5F8C" w:rsidP="00DB6E52" w:rsidRDefault="001B5F8C" w14:paraId="5E83E82B" w14:textId="7043AC01">
      <w:pPr>
        <w:rPr>
          <w:color w:val="000000" w:themeColor="text1"/>
          <w:u w:val="single"/>
        </w:rPr>
      </w:pPr>
      <w:r w:rsidRPr="00DF6F9A">
        <w:rPr>
          <w:color w:val="000000" w:themeColor="text1"/>
          <w:u w:val="single"/>
        </w:rPr>
        <w:t>Ask the Advocate Web</w:t>
      </w:r>
      <w:r w:rsidRPr="00DF6F9A" w:rsidR="0052230A">
        <w:rPr>
          <w:color w:val="000000" w:themeColor="text1"/>
          <w:u w:val="single"/>
        </w:rPr>
        <w:t xml:space="preserve"> F</w:t>
      </w:r>
      <w:r w:rsidRPr="00DF6F9A">
        <w:rPr>
          <w:color w:val="000000" w:themeColor="text1"/>
          <w:u w:val="single"/>
        </w:rPr>
        <w:t>orm</w:t>
      </w:r>
    </w:p>
    <w:p w:rsidR="001B5F8C" w:rsidP="00DB6E52" w:rsidRDefault="001B5F8C" w14:paraId="5D38939D" w14:textId="056E9650"/>
    <w:p w:rsidR="00EE42A0" w:rsidP="00DB6E52" w:rsidRDefault="00C20A70" w14:paraId="19FD84A2" w14:textId="7FE56404">
      <w:r>
        <w:t xml:space="preserve">The proposed </w:t>
      </w:r>
      <w:r w:rsidR="00B3672E">
        <w:t xml:space="preserve">information collection instrument will allow members of the public to submit responses </w:t>
      </w:r>
      <w:r w:rsidR="003337AD">
        <w:t xml:space="preserve">to FEMA electronically and ensure that FEMA receives the information necessary to </w:t>
      </w:r>
      <w:r w:rsidR="00C872CB">
        <w:t>promptly respond to the inquiry.</w:t>
      </w:r>
      <w:r w:rsidR="003337AD">
        <w:t xml:space="preserve"> </w:t>
      </w:r>
    </w:p>
    <w:p w:rsidRPr="00850C7F" w:rsidR="00EE42A0" w:rsidP="00DB6E52" w:rsidRDefault="00EE42A0" w14:paraId="2FF754D3" w14:textId="77777777"/>
    <w:p w:rsidR="00842E74" w:rsidP="00DB6E52" w:rsidRDefault="00842E74" w14:paraId="60A31FB8" w14:textId="77777777">
      <w:pPr>
        <w:rPr>
          <w:b/>
          <w:bCs/>
        </w:rPr>
      </w:pPr>
      <w:r>
        <w:fldChar w:fldCharType="begin"/>
      </w:r>
      <w:r>
        <w:instrText>ADVANCE \R 0.95</w:instrText>
      </w:r>
      <w:r>
        <w:fldChar w:fldCharType="end"/>
      </w:r>
      <w:r>
        <w:rPr>
          <w:b/>
          <w:bCs/>
        </w:rPr>
        <w:t xml:space="preserve">4.  Describe efforts to identify duplication.   Show specifically why any similar information already available cannot be used or modified for use for the purposes described in Item 2 above.  </w:t>
      </w:r>
    </w:p>
    <w:p w:rsidR="00842E74" w:rsidP="00DB6E52" w:rsidRDefault="00842E74" w14:paraId="6D04C363" w14:textId="77777777">
      <w:r>
        <w:fldChar w:fldCharType="begin"/>
      </w:r>
      <w:r>
        <w:instrText>ADVANCE \R 0.95</w:instrText>
      </w:r>
      <w:r>
        <w:fldChar w:fldCharType="end"/>
      </w:r>
    </w:p>
    <w:p w:rsidRPr="00516382" w:rsidR="00516382" w:rsidP="00DB6E52" w:rsidRDefault="00516382" w14:paraId="6AC89C3B" w14:textId="77777777">
      <w:r w:rsidRPr="00516382">
        <w:t>This information is not collected in any form, and therefore is not duplicated elsewhere.</w:t>
      </w:r>
    </w:p>
    <w:p w:rsidR="00516382" w:rsidP="00DB6E52" w:rsidRDefault="00516382" w14:paraId="2D1E7999" w14:textId="77777777"/>
    <w:p w:rsidR="00842E74" w:rsidP="00DB6E52" w:rsidRDefault="00842E74" w14:paraId="052BA74C" w14:textId="77777777">
      <w:pPr>
        <w:tabs>
          <w:tab w:val="left" w:pos="360"/>
        </w:tabs>
        <w:rPr>
          <w:b/>
          <w:bCs/>
        </w:rPr>
      </w:pPr>
      <w:r>
        <w:rPr>
          <w:b/>
          <w:bCs/>
        </w:rPr>
        <w:t xml:space="preserve">5.  </w:t>
      </w:r>
      <w:r w:rsidR="00BF4DF2">
        <w:rPr>
          <w:b/>
          <w:bCs/>
        </w:rPr>
        <w:tab/>
      </w:r>
      <w:r>
        <w:rPr>
          <w:b/>
          <w:bCs/>
        </w:rPr>
        <w:t>If the collection of information impacts small businesses or other small entities (Item 5 of OMB Form 83-I), describe any methods used to minimize.</w:t>
      </w:r>
    </w:p>
    <w:p w:rsidR="00842E74" w:rsidP="00DB6E52" w:rsidRDefault="00842E74" w14:paraId="76BDB160" w14:textId="77777777">
      <w:pPr>
        <w:rPr>
          <w:spacing w:val="-3"/>
        </w:rPr>
      </w:pPr>
    </w:p>
    <w:p w:rsidRPr="005C3CD2" w:rsidR="00516382" w:rsidP="00DB6E52" w:rsidRDefault="005C3CD2" w14:paraId="664A9480" w14:textId="77777777">
      <w:pPr>
        <w:rPr>
          <w:spacing w:val="-3"/>
        </w:rPr>
      </w:pPr>
      <w:r>
        <w:t>This information collection does not have an impact on small businesses or other small entities.</w:t>
      </w:r>
    </w:p>
    <w:p w:rsidR="00516382" w:rsidP="00DB6E52" w:rsidRDefault="00516382" w14:paraId="562FF09A" w14:textId="77777777">
      <w:pPr>
        <w:rPr>
          <w:spacing w:val="-3"/>
        </w:rPr>
      </w:pPr>
    </w:p>
    <w:p w:rsidR="00842E74" w:rsidP="00DB6E52" w:rsidRDefault="00842E74" w14:paraId="082E38B0" w14:textId="77777777">
      <w:pPr>
        <w:rPr>
          <w:b/>
          <w:bCs/>
        </w:rPr>
      </w:pPr>
      <w:r>
        <w:rPr>
          <w:b/>
          <w:bCs/>
        </w:rPr>
        <w:fldChar w:fldCharType="begin"/>
      </w:r>
      <w:r>
        <w:rPr>
          <w:b/>
          <w:bCs/>
        </w:rPr>
        <w:instrText>ADVANCE \R 0.95</w:instrText>
      </w:r>
      <w:r>
        <w:rPr>
          <w:b/>
          <w:bCs/>
        </w:rPr>
        <w:fldChar w:fldCharType="end"/>
      </w:r>
      <w:r>
        <w:rPr>
          <w:b/>
          <w:bCs/>
        </w:rPr>
        <w:t xml:space="preserve">6.  Describe the consequence to Federal/FEMA program or policy activities if the collection of information is not </w:t>
      </w:r>
      <w:proofErr w:type="gramStart"/>
      <w:r>
        <w:rPr>
          <w:b/>
          <w:bCs/>
        </w:rPr>
        <w:t>conducted, or</w:t>
      </w:r>
      <w:proofErr w:type="gramEnd"/>
      <w:r>
        <w:rPr>
          <w:b/>
          <w:bCs/>
        </w:rPr>
        <w:t xml:space="preserve"> is conducted less frequently</w:t>
      </w:r>
      <w:r w:rsidR="009F46CE">
        <w:rPr>
          <w:b/>
          <w:bCs/>
        </w:rPr>
        <w:t xml:space="preserve"> </w:t>
      </w:r>
      <w:r>
        <w:rPr>
          <w:b/>
          <w:bCs/>
        </w:rPr>
        <w:t xml:space="preserve">as well as any technical or legal obstacles to reducing burden.  </w:t>
      </w:r>
    </w:p>
    <w:p w:rsidR="00842E74" w:rsidP="00DB6E52" w:rsidRDefault="00842E74" w14:paraId="70416B43" w14:textId="77777777">
      <w:pPr>
        <w:rPr>
          <w:spacing w:val="-3"/>
        </w:rPr>
      </w:pPr>
    </w:p>
    <w:p w:rsidRPr="00DF6F9A" w:rsidR="001B5F8C" w:rsidP="00DB6E52" w:rsidRDefault="001B5F8C" w14:paraId="1FDB281A" w14:textId="77777777">
      <w:pPr>
        <w:rPr>
          <w:u w:val="single"/>
        </w:rPr>
      </w:pPr>
      <w:r w:rsidRPr="00DF6F9A">
        <w:rPr>
          <w:u w:val="single"/>
        </w:rPr>
        <w:t>Mortgage Portfolio Protection Program (MPPP)</w:t>
      </w:r>
    </w:p>
    <w:p w:rsidRPr="00651BF3" w:rsidR="001B5F8C" w:rsidP="00DB6E52" w:rsidRDefault="001B5F8C" w14:paraId="1016BBC0" w14:textId="77777777">
      <w:pPr>
        <w:rPr>
          <w:spacing w:val="-3"/>
        </w:rPr>
      </w:pPr>
    </w:p>
    <w:p w:rsidRPr="00651BF3" w:rsidR="005C3CD2" w:rsidP="00DB6E52" w:rsidRDefault="005C3CD2" w14:paraId="18BCD371" w14:textId="359E2C50">
      <w:pPr>
        <w:rPr>
          <w:spacing w:val="-3"/>
        </w:rPr>
      </w:pPr>
      <w:r w:rsidRPr="00651BF3">
        <w:rPr>
          <w:spacing w:val="-3"/>
        </w:rPr>
        <w:t>Without the MPPP, mortgage lenders wou</w:t>
      </w:r>
      <w:r w:rsidRPr="00651BF3" w:rsidR="009E32F5">
        <w:rPr>
          <w:spacing w:val="-3"/>
        </w:rPr>
        <w:t>ld not be able to obtain flood insurance on property where the normal flood insurance purchasing process is not followed by the owner of the property, and the lender’s interests would not be protected.</w:t>
      </w:r>
    </w:p>
    <w:p w:rsidRPr="00651BF3" w:rsidR="005C3CD2" w:rsidP="00DB6E52" w:rsidRDefault="005C3CD2" w14:paraId="1F085152" w14:textId="6E022A5D">
      <w:pPr>
        <w:rPr>
          <w:spacing w:val="-3"/>
        </w:rPr>
      </w:pPr>
    </w:p>
    <w:p w:rsidRPr="00DF6F9A" w:rsidR="001B5F8C" w:rsidP="00DB6E52" w:rsidRDefault="001B5F8C" w14:paraId="42920400" w14:textId="1B0F58A4">
      <w:pPr>
        <w:rPr>
          <w:color w:val="000000" w:themeColor="text1"/>
          <w:u w:val="single"/>
        </w:rPr>
      </w:pPr>
      <w:r w:rsidRPr="00DF6F9A">
        <w:rPr>
          <w:color w:val="000000" w:themeColor="text1"/>
          <w:u w:val="single"/>
        </w:rPr>
        <w:t>Ask the Advocate Web</w:t>
      </w:r>
      <w:r w:rsidRPr="00DF6F9A" w:rsidR="0052230A">
        <w:rPr>
          <w:color w:val="000000" w:themeColor="text1"/>
          <w:u w:val="single"/>
        </w:rPr>
        <w:t xml:space="preserve"> F</w:t>
      </w:r>
      <w:r w:rsidRPr="00DF6F9A">
        <w:rPr>
          <w:color w:val="000000" w:themeColor="text1"/>
          <w:u w:val="single"/>
        </w:rPr>
        <w:t>orm</w:t>
      </w:r>
    </w:p>
    <w:p w:rsidR="001B5F8C" w:rsidP="00DB6E52" w:rsidRDefault="001B5F8C" w14:paraId="642034AF" w14:textId="3D5DDB09"/>
    <w:p w:rsidR="005677C6" w:rsidP="00DB6E52" w:rsidRDefault="008F39E0" w14:paraId="2BB924B2" w14:textId="7080A221">
      <w:r>
        <w:t>Without the “Ask the Advocate” web</w:t>
      </w:r>
      <w:r w:rsidR="0052230A">
        <w:t xml:space="preserve"> </w:t>
      </w:r>
      <w:r>
        <w:t xml:space="preserve">form, </w:t>
      </w:r>
      <w:r w:rsidR="005677C6">
        <w:t>membe</w:t>
      </w:r>
      <w:r w:rsidR="00160095">
        <w:t xml:space="preserve">rs of the public will </w:t>
      </w:r>
      <w:r w:rsidR="00916434">
        <w:t>be less likely</w:t>
      </w:r>
      <w:r w:rsidR="00160095">
        <w:t xml:space="preserve"> </w:t>
      </w:r>
      <w:r w:rsidR="00916434">
        <w:t>to submit the</w:t>
      </w:r>
      <w:r w:rsidR="00DD2E3B">
        <w:t xml:space="preserve"> information </w:t>
      </w:r>
      <w:r w:rsidR="00916434">
        <w:t xml:space="preserve">necessary for </w:t>
      </w:r>
      <w:r w:rsidR="00EA39F0">
        <w:t xml:space="preserve">OFIA to </w:t>
      </w:r>
      <w:r w:rsidR="00916434">
        <w:t>provide</w:t>
      </w:r>
      <w:r w:rsidR="00EA39F0">
        <w:t xml:space="preserve"> a timely and fulsome response to their inquiry.</w:t>
      </w:r>
      <w:r w:rsidR="004D4B48">
        <w:t xml:space="preserve">  </w:t>
      </w:r>
      <w:r w:rsidR="00C31BF5">
        <w:t xml:space="preserve">Incomplete responses could </w:t>
      </w:r>
      <w:r w:rsidR="009B088E">
        <w:t xml:space="preserve">make it more likely </w:t>
      </w:r>
      <w:r w:rsidR="0048310F">
        <w:t xml:space="preserve">that OFIA will need seek additional </w:t>
      </w:r>
      <w:r w:rsidR="2DED7BC6">
        <w:t xml:space="preserve">information </w:t>
      </w:r>
      <w:r w:rsidR="0048310F">
        <w:t>from members of the public, thus delaying resolution of the inquiry.</w:t>
      </w:r>
      <w:r w:rsidR="002451E2">
        <w:t xml:space="preserve"> </w:t>
      </w:r>
    </w:p>
    <w:p w:rsidR="001B5F8C" w:rsidP="00DB6E52" w:rsidRDefault="001B5F8C" w14:paraId="66648EBB" w14:textId="1DF1A254"/>
    <w:p w:rsidR="00842E74" w:rsidP="00DB6E52" w:rsidRDefault="00842E74" w14:paraId="1D248444" w14:textId="77777777">
      <w:pPr>
        <w:rPr>
          <w:b/>
          <w:bCs/>
        </w:rPr>
      </w:pPr>
      <w:r>
        <w:rPr>
          <w:b/>
          <w:bCs/>
        </w:rPr>
        <w:fldChar w:fldCharType="begin"/>
      </w:r>
      <w:r>
        <w:rPr>
          <w:b/>
          <w:bCs/>
        </w:rPr>
        <w:instrText>ADVANCE \R 0.95</w:instrText>
      </w:r>
      <w:r>
        <w:rPr>
          <w:b/>
          <w:bCs/>
        </w:rPr>
        <w:fldChar w:fldCharType="end"/>
      </w:r>
      <w:r>
        <w:rPr>
          <w:b/>
          <w:bCs/>
        </w:rPr>
        <w:t>7.  Explain any special circumstances that would cause an information collection to be conducted in a manner:</w:t>
      </w:r>
    </w:p>
    <w:p w:rsidR="009E32F5" w:rsidP="00DB6E52" w:rsidRDefault="009E32F5" w14:paraId="1CF2F780" w14:textId="77777777">
      <w:pPr>
        <w:rPr>
          <w:b/>
          <w:bCs/>
        </w:rPr>
      </w:pPr>
    </w:p>
    <w:p w:rsidR="004C7138" w:rsidP="00DB6E52" w:rsidRDefault="003D0B26" w14:paraId="300DB853" w14:textId="77777777">
      <w:pPr>
        <w:rPr>
          <w:bCs/>
        </w:rPr>
      </w:pPr>
      <w:r w:rsidRPr="003D0B26">
        <w:rPr>
          <w:bCs/>
        </w:rPr>
        <w:lastRenderedPageBreak/>
        <w:t>The special circumstances contained in item 7(a) thru (h) in this supporting statement are not applicable to this information collection.</w:t>
      </w:r>
    </w:p>
    <w:p w:rsidRPr="003D0B26" w:rsidR="003D0B26" w:rsidP="00DB6E52" w:rsidRDefault="003D0B26" w14:paraId="1965254A" w14:textId="77777777">
      <w:pPr>
        <w:rPr>
          <w:bCs/>
        </w:rPr>
      </w:pPr>
    </w:p>
    <w:p w:rsidR="00232C69" w:rsidP="00DB6E52" w:rsidRDefault="00842E74" w14:paraId="58545941" w14:textId="77777777">
      <w:pPr>
        <w:numPr>
          <w:ilvl w:val="0"/>
          <w:numId w:val="11"/>
        </w:numPr>
        <w:rPr>
          <w:b/>
          <w:bCs/>
        </w:rPr>
      </w:pPr>
      <w:r>
        <w:rPr>
          <w:b/>
          <w:bCs/>
        </w:rPr>
        <w:fldChar w:fldCharType="begin"/>
      </w:r>
      <w:r>
        <w:rPr>
          <w:b/>
          <w:bCs/>
        </w:rPr>
        <w:instrText>ADVANCE \R 0.95</w:instrText>
      </w:r>
      <w:r>
        <w:rPr>
          <w:b/>
          <w:bCs/>
        </w:rPr>
        <w:fldChar w:fldCharType="end"/>
      </w:r>
      <w:r>
        <w:rPr>
          <w:b/>
          <w:bCs/>
        </w:rPr>
        <w:t>Requiring respondents to report information to the agency more</w:t>
      </w:r>
    </w:p>
    <w:p w:rsidR="00842E74" w:rsidP="00DB6E52" w:rsidRDefault="00842E74" w14:paraId="36F0F67E" w14:textId="77777777">
      <w:pPr>
        <w:rPr>
          <w:b/>
          <w:bCs/>
        </w:rPr>
      </w:pPr>
      <w:r>
        <w:rPr>
          <w:b/>
          <w:bCs/>
        </w:rPr>
        <w:t>often than quarterly.</w:t>
      </w:r>
    </w:p>
    <w:p w:rsidR="00CD0CD6" w:rsidP="00DB6E52" w:rsidRDefault="00842E74" w14:paraId="552D1E7B" w14:textId="77777777">
      <w:r>
        <w:fldChar w:fldCharType="begin"/>
      </w:r>
      <w:r>
        <w:instrText>ADVANCE \R 0.95</w:instrText>
      </w:r>
      <w:r>
        <w:fldChar w:fldCharType="end"/>
      </w:r>
    </w:p>
    <w:p w:rsidR="00232C69" w:rsidP="00DB6E52" w:rsidRDefault="00842E74" w14:paraId="3EF7454D" w14:textId="77777777">
      <w:pPr>
        <w:rPr>
          <w:b/>
          <w:bCs/>
        </w:rPr>
      </w:pPr>
      <w:r>
        <w:fldChar w:fldCharType="begin"/>
      </w:r>
      <w:r>
        <w:instrText>ADVANCE \R 0.95</w:instrText>
      </w:r>
      <w:r>
        <w:fldChar w:fldCharType="end"/>
      </w:r>
      <w:r w:rsidR="00CD0CD6">
        <w:tab/>
      </w:r>
      <w:r>
        <w:rPr>
          <w:b/>
          <w:bCs/>
        </w:rPr>
        <w:t>(b) Requiring respondents to prepare a written response to a</w:t>
      </w:r>
    </w:p>
    <w:p w:rsidR="00842E74" w:rsidP="00DB6E52" w:rsidRDefault="00232C69" w14:paraId="2F2A750A" w14:textId="77777777">
      <w:pPr>
        <w:rPr>
          <w:b/>
          <w:bCs/>
        </w:rPr>
      </w:pPr>
      <w:r>
        <w:rPr>
          <w:b/>
          <w:bCs/>
        </w:rPr>
        <w:t>col</w:t>
      </w:r>
      <w:r w:rsidR="00842E74">
        <w:rPr>
          <w:b/>
          <w:bCs/>
        </w:rPr>
        <w:t>lection of</w:t>
      </w:r>
      <w:r w:rsidR="0026549A">
        <w:rPr>
          <w:b/>
          <w:bCs/>
        </w:rPr>
        <w:t xml:space="preserve"> </w:t>
      </w:r>
      <w:r w:rsidR="00842E74">
        <w:rPr>
          <w:b/>
          <w:bCs/>
        </w:rPr>
        <w:t>information in fewer than 30 days after receipt of it.</w:t>
      </w:r>
    </w:p>
    <w:p w:rsidR="0000120D" w:rsidP="00DB6E52" w:rsidRDefault="00842E74" w14:paraId="0AD8C0DA" w14:textId="77777777">
      <w:r>
        <w:fldChar w:fldCharType="begin"/>
      </w:r>
      <w:r>
        <w:instrText>ADVANCE \R 0.95</w:instrText>
      </w:r>
      <w:r>
        <w:fldChar w:fldCharType="end"/>
      </w:r>
    </w:p>
    <w:p w:rsidR="00232C69" w:rsidP="00DB6E52" w:rsidRDefault="00842E74" w14:paraId="386B11DC" w14:textId="77777777">
      <w:pPr>
        <w:numPr>
          <w:ilvl w:val="0"/>
          <w:numId w:val="12"/>
        </w:numPr>
        <w:rPr>
          <w:b/>
          <w:bCs/>
        </w:rPr>
      </w:pPr>
      <w:r>
        <w:fldChar w:fldCharType="begin"/>
      </w:r>
      <w:r>
        <w:instrText>ADVANCE \R 0.95</w:instrText>
      </w:r>
      <w:r>
        <w:fldChar w:fldCharType="end"/>
      </w:r>
      <w:r>
        <w:rPr>
          <w:b/>
          <w:bCs/>
        </w:rPr>
        <w:t>Requiring respondents to submit more than an original and two</w:t>
      </w:r>
    </w:p>
    <w:p w:rsidR="00842E74" w:rsidP="00DB6E52" w:rsidRDefault="00842E74" w14:paraId="7E98F444" w14:textId="77777777">
      <w:pPr>
        <w:rPr>
          <w:b/>
          <w:bCs/>
        </w:rPr>
      </w:pPr>
      <w:r>
        <w:rPr>
          <w:b/>
          <w:bCs/>
        </w:rPr>
        <w:t>copies of any document.</w:t>
      </w:r>
    </w:p>
    <w:p w:rsidR="00842E74" w:rsidP="00DB6E52" w:rsidRDefault="00842E74" w14:paraId="4CDFE29E" w14:textId="77777777">
      <w:pPr>
        <w:rPr>
          <w:b/>
          <w:bCs/>
        </w:rPr>
      </w:pPr>
      <w:r>
        <w:rPr>
          <w:b/>
          <w:bCs/>
        </w:rPr>
        <w:fldChar w:fldCharType="begin"/>
      </w:r>
      <w:r>
        <w:rPr>
          <w:b/>
          <w:bCs/>
        </w:rPr>
        <w:instrText>ADVANCE \R 0.95</w:instrText>
      </w:r>
      <w:r>
        <w:rPr>
          <w:b/>
          <w:bCs/>
        </w:rPr>
        <w:fldChar w:fldCharType="end"/>
      </w:r>
    </w:p>
    <w:p w:rsidR="00232C69" w:rsidP="00DB6E52" w:rsidRDefault="00842E74" w14:paraId="4405A270" w14:textId="77777777">
      <w:pPr>
        <w:numPr>
          <w:ilvl w:val="0"/>
          <w:numId w:val="12"/>
        </w:numPr>
        <w:rPr>
          <w:b/>
          <w:bCs/>
        </w:rPr>
      </w:pPr>
      <w:r>
        <w:fldChar w:fldCharType="begin"/>
      </w:r>
      <w:r>
        <w:instrText>ADVANCE \R 0.95</w:instrText>
      </w:r>
      <w:r>
        <w:fldChar w:fldCharType="end"/>
      </w:r>
      <w:r>
        <w:rPr>
          <w:b/>
          <w:bCs/>
        </w:rPr>
        <w:t>Requiring respondents to retain records, other than health,</w:t>
      </w:r>
    </w:p>
    <w:p w:rsidR="00842E74" w:rsidP="00DB6E52" w:rsidRDefault="00842E74" w14:paraId="273570C4" w14:textId="77777777">
      <w:r>
        <w:rPr>
          <w:b/>
          <w:bCs/>
        </w:rPr>
        <w:t>medical, government contract, grant-in-aid, or tax records for more</w:t>
      </w:r>
      <w:r w:rsidR="00232C69">
        <w:rPr>
          <w:b/>
          <w:bCs/>
        </w:rPr>
        <w:t xml:space="preserve"> </w:t>
      </w:r>
      <w:r>
        <w:rPr>
          <w:b/>
          <w:bCs/>
        </w:rPr>
        <w:t>than three years</w:t>
      </w:r>
      <w:r>
        <w:t>.</w:t>
      </w:r>
    </w:p>
    <w:p w:rsidR="00842E74" w:rsidP="00DB6E52" w:rsidRDefault="00842E74" w14:paraId="4833CD05" w14:textId="77777777">
      <w:r>
        <w:fldChar w:fldCharType="begin"/>
      </w:r>
      <w:r>
        <w:instrText>ADVANCE \R 0.95</w:instrText>
      </w:r>
      <w:r>
        <w:fldChar w:fldCharType="end"/>
      </w:r>
    </w:p>
    <w:p w:rsidR="00232C69" w:rsidP="00DB6E52" w:rsidRDefault="00842E74" w14:paraId="064D0D0A" w14:textId="77777777">
      <w:pPr>
        <w:numPr>
          <w:ilvl w:val="0"/>
          <w:numId w:val="12"/>
        </w:numPr>
        <w:rPr>
          <w:b/>
          <w:bCs/>
        </w:rPr>
      </w:pPr>
      <w:r>
        <w:fldChar w:fldCharType="begin"/>
      </w:r>
      <w:r>
        <w:instrText>ADVANCE \R 0.95</w:instrText>
      </w:r>
      <w:r>
        <w:fldChar w:fldCharType="end"/>
      </w:r>
      <w:r>
        <w:rPr>
          <w:b/>
          <w:bCs/>
        </w:rPr>
        <w:t>In connection with a statistical survey, that is not designed to</w:t>
      </w:r>
    </w:p>
    <w:p w:rsidR="00842E74" w:rsidP="00DB6E52" w:rsidRDefault="00842E74" w14:paraId="54F9F267" w14:textId="77777777">
      <w:r>
        <w:rPr>
          <w:b/>
          <w:bCs/>
        </w:rPr>
        <w:t>produce valid and reliable results that can be generalized to the</w:t>
      </w:r>
      <w:r w:rsidR="00232C69">
        <w:rPr>
          <w:b/>
          <w:bCs/>
        </w:rPr>
        <w:t xml:space="preserve"> </w:t>
      </w:r>
      <w:r>
        <w:rPr>
          <w:b/>
          <w:bCs/>
        </w:rPr>
        <w:t>universe of study</w:t>
      </w:r>
      <w:r>
        <w:t>.</w:t>
      </w:r>
    </w:p>
    <w:p w:rsidR="00842E74" w:rsidP="00DB6E52" w:rsidRDefault="00842E74" w14:paraId="13D534FC" w14:textId="77777777">
      <w:r>
        <w:fldChar w:fldCharType="begin"/>
      </w:r>
      <w:r>
        <w:instrText>ADVANCE \R 0.95</w:instrText>
      </w:r>
      <w:r>
        <w:fldChar w:fldCharType="end"/>
      </w:r>
    </w:p>
    <w:p w:rsidR="00232C69" w:rsidP="00DB6E52" w:rsidRDefault="00842E74" w14:paraId="755E59AC" w14:textId="77777777">
      <w:pPr>
        <w:rPr>
          <w:b/>
          <w:bCs/>
        </w:rPr>
      </w:pPr>
      <w:r>
        <w:fldChar w:fldCharType="begin"/>
      </w:r>
      <w:r>
        <w:instrText>ADVANCE \R 0.95</w:instrText>
      </w:r>
      <w:r>
        <w:fldChar w:fldCharType="end"/>
      </w:r>
      <w:r w:rsidR="00CD0CD6">
        <w:tab/>
      </w:r>
      <w:r>
        <w:rPr>
          <w:b/>
          <w:bCs/>
        </w:rPr>
        <w:t>(f) Requiring the use of a statistical data classification that has not</w:t>
      </w:r>
      <w:r w:rsidR="00232C69">
        <w:rPr>
          <w:b/>
          <w:bCs/>
        </w:rPr>
        <w:t xml:space="preserve"> </w:t>
      </w:r>
    </w:p>
    <w:p w:rsidR="00842E74" w:rsidP="00DB6E52" w:rsidRDefault="00842E74" w14:paraId="3FA3092E" w14:textId="77777777">
      <w:pPr>
        <w:rPr>
          <w:b/>
          <w:bCs/>
        </w:rPr>
      </w:pPr>
      <w:r>
        <w:rPr>
          <w:b/>
          <w:bCs/>
        </w:rPr>
        <w:t>been reviewed and approved by OMB.</w:t>
      </w:r>
    </w:p>
    <w:p w:rsidR="00842E74" w:rsidP="00DB6E52" w:rsidRDefault="00842E74" w14:paraId="6CA4008D" w14:textId="77777777"/>
    <w:p w:rsidR="00232C69" w:rsidP="00DB6E52" w:rsidRDefault="00842E74" w14:paraId="6AB60F11" w14:textId="77777777">
      <w:pPr>
        <w:rPr>
          <w:b/>
          <w:bCs/>
        </w:rPr>
      </w:pPr>
      <w:r>
        <w:fldChar w:fldCharType="begin"/>
      </w:r>
      <w:r>
        <w:instrText>ADVANCE \R 0.95</w:instrText>
      </w:r>
      <w:r>
        <w:fldChar w:fldCharType="end"/>
      </w:r>
      <w:r w:rsidR="00CD0CD6">
        <w:tab/>
      </w:r>
      <w:r>
        <w:rPr>
          <w:b/>
          <w:bCs/>
        </w:rPr>
        <w:t>(g) That includes a pledge of confidentiality that is not supported by</w:t>
      </w:r>
    </w:p>
    <w:p w:rsidR="00842E74" w:rsidP="00DB6E52" w:rsidRDefault="00842E74" w14:paraId="656CE41A" w14:textId="77777777">
      <w:pPr>
        <w:rPr>
          <w:b/>
          <w:bCs/>
        </w:rPr>
      </w:pPr>
      <w:r>
        <w:rPr>
          <w:b/>
          <w:bCs/>
        </w:rPr>
        <w:t xml:space="preserve">authority established in statute or regulation, that is not supported by </w:t>
      </w:r>
      <w:r w:rsidR="0026549A">
        <w:rPr>
          <w:b/>
          <w:bCs/>
        </w:rPr>
        <w:tab/>
      </w:r>
      <w:r>
        <w:rPr>
          <w:b/>
          <w:bCs/>
        </w:rPr>
        <w:t>disclosure and data security policies that are consistent with the pledge, or which unnecessarily impedes sharing of data with other agencies for compatible confidential use.</w:t>
      </w:r>
    </w:p>
    <w:p w:rsidR="00842E74" w:rsidP="00DB6E52" w:rsidRDefault="00842E74" w14:paraId="1D77ACFD" w14:textId="77777777">
      <w:r>
        <w:fldChar w:fldCharType="begin"/>
      </w:r>
      <w:r>
        <w:instrText>ADVANCE \R 0.95</w:instrText>
      </w:r>
      <w:r>
        <w:fldChar w:fldCharType="end"/>
      </w:r>
    </w:p>
    <w:p w:rsidR="00842E74" w:rsidP="00DB6E52" w:rsidRDefault="00842E74" w14:paraId="13341CD6" w14:textId="77777777">
      <w:pPr>
        <w:rPr>
          <w:b/>
          <w:bCs/>
        </w:rPr>
      </w:pPr>
      <w:r>
        <w:fldChar w:fldCharType="begin"/>
      </w:r>
      <w:r>
        <w:instrText>ADVANCE \R 0.95</w:instrText>
      </w:r>
      <w:r>
        <w:fldChar w:fldCharType="end"/>
      </w:r>
      <w:r w:rsidR="00CD0CD6">
        <w:tab/>
      </w:r>
      <w:r>
        <w:rPr>
          <w:b/>
          <w:bCs/>
        </w:rPr>
        <w:t>(h) Requiring respondents to submit proprietary trade secret, or other confidential information unless the agency can demonstrate that it has instituted procedures to protect the information’s confidentiality to the extent permitted by law.</w:t>
      </w:r>
    </w:p>
    <w:p w:rsidR="00842E74" w:rsidP="00DB6E52" w:rsidRDefault="00842E74" w14:paraId="5142F6B0" w14:textId="77777777">
      <w:r>
        <w:fldChar w:fldCharType="begin"/>
      </w:r>
      <w:r>
        <w:instrText>ADVANCE \R 0.95</w:instrText>
      </w:r>
      <w:r>
        <w:fldChar w:fldCharType="end"/>
      </w:r>
    </w:p>
    <w:p w:rsidR="00842E74" w:rsidP="00DB6E52" w:rsidRDefault="00842E74" w14:paraId="10FE9994" w14:textId="77777777">
      <w:pPr>
        <w:rPr>
          <w:b/>
          <w:bCs/>
        </w:rPr>
      </w:pPr>
      <w:r>
        <w:rPr>
          <w:b/>
          <w:bCs/>
        </w:rPr>
        <w:fldChar w:fldCharType="begin"/>
      </w:r>
      <w:r>
        <w:rPr>
          <w:b/>
          <w:bCs/>
        </w:rPr>
        <w:instrText>ADVANCE \R 0.95</w:instrText>
      </w:r>
      <w:r>
        <w:rPr>
          <w:b/>
          <w:bCs/>
        </w:rPr>
        <w:fldChar w:fldCharType="end"/>
      </w:r>
      <w:r>
        <w:rPr>
          <w:b/>
          <w:bCs/>
        </w:rPr>
        <w:t xml:space="preserve">8.  Federal Register Notice: </w:t>
      </w:r>
    </w:p>
    <w:p w:rsidR="00842E74" w:rsidP="00DB6E52" w:rsidRDefault="00842E74" w14:paraId="12567BDD" w14:textId="77777777">
      <w:pPr>
        <w:rPr>
          <w:b/>
          <w:bCs/>
        </w:rPr>
      </w:pPr>
      <w:r>
        <w:rPr>
          <w:b/>
          <w:bCs/>
        </w:rPr>
        <w:fldChar w:fldCharType="begin"/>
      </w:r>
      <w:r>
        <w:rPr>
          <w:b/>
          <w:bCs/>
        </w:rPr>
        <w:instrText>ADVANCE \R 0.95</w:instrText>
      </w:r>
      <w:r>
        <w:rPr>
          <w:b/>
          <w:bCs/>
        </w:rPr>
        <w:fldChar w:fldCharType="end"/>
      </w:r>
    </w:p>
    <w:p w:rsidRPr="00773A93" w:rsidR="00842E74" w:rsidP="00773A93" w:rsidRDefault="00842E74" w14:paraId="1ADA9080" w14:textId="618E71F4">
      <w:pPr>
        <w:pStyle w:val="ListParagraph"/>
        <w:numPr>
          <w:ilvl w:val="0"/>
          <w:numId w:val="15"/>
        </w:numPr>
        <w:rPr>
          <w:b/>
          <w:bCs/>
        </w:rPr>
      </w:pPr>
      <w:r w:rsidRPr="00773A93">
        <w:rPr>
          <w:b/>
          <w:bCs/>
        </w:rPr>
        <w:fldChar w:fldCharType="begin"/>
      </w:r>
      <w:r w:rsidRPr="00773A93">
        <w:rPr>
          <w:b/>
          <w:bCs/>
        </w:rPr>
        <w:instrText>ADVANCE \R 0.95</w:instrText>
      </w:r>
      <w:r w:rsidRPr="00773A93">
        <w:rPr>
          <w:b/>
          <w:bCs/>
        </w:rPr>
        <w:fldChar w:fldCharType="end"/>
      </w:r>
      <w:r w:rsidRPr="00773A93">
        <w:rPr>
          <w:b/>
          <w:bCs/>
        </w:rPr>
        <w:t xml:space="preserve">Provide a copy and identify the date and page number of </w:t>
      </w:r>
      <w:proofErr w:type="gramStart"/>
      <w:r w:rsidRPr="00773A93">
        <w:rPr>
          <w:b/>
          <w:bCs/>
        </w:rPr>
        <w:t>publication</w:t>
      </w:r>
      <w:proofErr w:type="gramEnd"/>
      <w:r w:rsidRPr="00773A93">
        <w:rPr>
          <w:b/>
          <w:bCs/>
        </w:rPr>
        <w:t xml:space="preserve"> in the Federal Register of the agency’s notice soliciting comments on the</w:t>
      </w:r>
      <w:r w:rsidR="00773A93">
        <w:rPr>
          <w:b/>
          <w:bCs/>
        </w:rPr>
        <w:t xml:space="preserve"> </w:t>
      </w:r>
      <w:r w:rsidRPr="00773A93">
        <w:rPr>
          <w:b/>
          <w:bCs/>
        </w:rPr>
        <w:t>information collection prior to submission to OMB.  Summarize public</w:t>
      </w:r>
      <w:r w:rsidRPr="00773A93" w:rsidR="00232C69">
        <w:rPr>
          <w:b/>
          <w:bCs/>
        </w:rPr>
        <w:t xml:space="preserve"> </w:t>
      </w:r>
      <w:r w:rsidRPr="00773A93">
        <w:rPr>
          <w:b/>
          <w:bCs/>
        </w:rPr>
        <w:t>comments received in response to that notice and describe actions taken by</w:t>
      </w:r>
      <w:r w:rsidRPr="00773A93" w:rsidR="00232C69">
        <w:rPr>
          <w:b/>
          <w:bCs/>
        </w:rPr>
        <w:t xml:space="preserve"> </w:t>
      </w:r>
      <w:r w:rsidRPr="00773A93">
        <w:rPr>
          <w:b/>
          <w:bCs/>
        </w:rPr>
        <w:t>the agency in response to these comments.  Specifically address comments</w:t>
      </w:r>
      <w:r w:rsidRPr="00773A93" w:rsidR="00232C69">
        <w:rPr>
          <w:b/>
          <w:bCs/>
        </w:rPr>
        <w:t xml:space="preserve"> </w:t>
      </w:r>
      <w:r w:rsidRPr="00773A93">
        <w:rPr>
          <w:b/>
          <w:bCs/>
        </w:rPr>
        <w:t>received on cost and hour burden.</w:t>
      </w:r>
    </w:p>
    <w:p w:rsidR="3C1104FC" w:rsidP="3C1104FC" w:rsidRDefault="3C1104FC" w14:paraId="78635DB1" w14:textId="499D22F8">
      <w:pPr>
        <w:rPr>
          <w:color w:val="000000" w:themeColor="text1"/>
        </w:rPr>
      </w:pPr>
    </w:p>
    <w:p w:rsidRPr="00113610" w:rsidR="00157A70" w:rsidP="3C1104FC" w:rsidRDefault="00842E74" w14:paraId="7A99DC55" w14:textId="0DE749C5">
      <w:pPr>
        <w:rPr>
          <w:rStyle w:val="Hyperlink"/>
          <w:color w:val="000000" w:themeColor="text1"/>
          <w:u w:val="none"/>
        </w:rPr>
      </w:pPr>
      <w:r>
        <w:fldChar w:fldCharType="begin"/>
      </w:r>
      <w:r>
        <w:instrText>ADVANCE \R 0.95</w:instrText>
      </w:r>
      <w:r>
        <w:fldChar w:fldCharType="end"/>
      </w:r>
      <w:r w:rsidRPr="3C1104FC" w:rsidR="00157A70">
        <w:rPr>
          <w:color w:val="000000" w:themeColor="text1"/>
        </w:rPr>
        <w:t xml:space="preserve">A 60-day Federal Register Notice inviting public comments was published on </w:t>
      </w:r>
      <w:r w:rsidR="00437E9F">
        <w:rPr>
          <w:color w:val="000000" w:themeColor="text1"/>
        </w:rPr>
        <w:t xml:space="preserve">May 25, 2021, </w:t>
      </w:r>
      <w:r w:rsidR="002C5440">
        <w:rPr>
          <w:color w:val="000000" w:themeColor="text1"/>
        </w:rPr>
        <w:t xml:space="preserve">at </w:t>
      </w:r>
      <w:r w:rsidR="00437E9F">
        <w:t>86 FR 28122.</w:t>
      </w:r>
      <w:r w:rsidRPr="002C5440" w:rsidR="002C5440">
        <w:rPr>
          <w:color w:val="000000" w:themeColor="text1"/>
        </w:rPr>
        <w:t xml:space="preserve"> </w:t>
      </w:r>
      <w:r w:rsidRPr="3C1104FC" w:rsidR="002C5440">
        <w:rPr>
          <w:color w:val="000000" w:themeColor="text1"/>
        </w:rPr>
        <w:t>No comments were received.</w:t>
      </w:r>
    </w:p>
    <w:p w:rsidRPr="00113610" w:rsidR="3C1104FC" w:rsidP="3C1104FC" w:rsidRDefault="3C1104FC" w14:paraId="5CB37351" w14:textId="49A8DD1C">
      <w:pPr>
        <w:rPr>
          <w:rStyle w:val="Hyperlink"/>
          <w:color w:val="000000" w:themeColor="text1"/>
          <w:u w:val="none"/>
        </w:rPr>
      </w:pPr>
    </w:p>
    <w:p w:rsidRPr="00113610" w:rsidR="001F7BA1" w:rsidP="3C1104FC" w:rsidRDefault="001F7BA1" w14:paraId="3D777887" w14:textId="7484F24A">
      <w:pPr>
        <w:rPr>
          <w:rStyle w:val="Hyperlink"/>
          <w:color w:val="000000" w:themeColor="text1"/>
          <w:u w:val="none"/>
        </w:rPr>
      </w:pPr>
      <w:r w:rsidRPr="3C1104FC">
        <w:rPr>
          <w:color w:val="000000" w:themeColor="text1"/>
        </w:rPr>
        <w:t xml:space="preserve">A 30-day Federal Register Notice inviting public comments was published on </w:t>
      </w:r>
      <w:r w:rsidR="002C5440">
        <w:rPr>
          <w:color w:val="000000" w:themeColor="text1"/>
        </w:rPr>
        <w:t>August 3</w:t>
      </w:r>
      <w:r w:rsidR="00437E9F">
        <w:rPr>
          <w:color w:val="000000" w:themeColor="text1"/>
        </w:rPr>
        <w:t xml:space="preserve">, 2021, </w:t>
      </w:r>
      <w:r w:rsidR="002C5440">
        <w:t>at</w:t>
      </w:r>
      <w:r w:rsidR="00437E9F">
        <w:t xml:space="preserve"> 86 FR </w:t>
      </w:r>
      <w:r w:rsidR="002C5440">
        <w:t>41</w:t>
      </w:r>
      <w:r w:rsidR="00DD65EF">
        <w:t>855</w:t>
      </w:r>
      <w:r w:rsidRPr="3C1104FC">
        <w:rPr>
          <w:color w:val="000000" w:themeColor="text1"/>
        </w:rPr>
        <w:t xml:space="preserve">. </w:t>
      </w:r>
      <w:r w:rsidR="002C5440">
        <w:rPr>
          <w:color w:val="000000" w:themeColor="text1"/>
        </w:rPr>
        <w:t xml:space="preserve">The public comment period runs through September </w:t>
      </w:r>
      <w:r w:rsidR="00DD65EF">
        <w:rPr>
          <w:color w:val="000000" w:themeColor="text1"/>
        </w:rPr>
        <w:t>2</w:t>
      </w:r>
      <w:r w:rsidR="002C5440">
        <w:rPr>
          <w:color w:val="000000" w:themeColor="text1"/>
        </w:rPr>
        <w:t>, 2021.</w:t>
      </w:r>
    </w:p>
    <w:p w:rsidRPr="00113610" w:rsidR="00773A93" w:rsidP="00DB6E52" w:rsidRDefault="00842E74" w14:paraId="050B4F07" w14:textId="77777777">
      <w:pPr>
        <w:tabs>
          <w:tab w:val="left" w:pos="360"/>
        </w:tabs>
        <w:rPr>
          <w:color w:val="000000" w:themeColor="text1"/>
        </w:rPr>
      </w:pPr>
      <w:r w:rsidRPr="00113610">
        <w:rPr>
          <w:color w:val="000000" w:themeColor="text1"/>
        </w:rPr>
        <w:lastRenderedPageBreak/>
        <w:fldChar w:fldCharType="begin"/>
      </w:r>
      <w:r w:rsidRPr="00113610">
        <w:rPr>
          <w:color w:val="000000" w:themeColor="text1"/>
        </w:rPr>
        <w:instrText>ADVANCE \R 0.95</w:instrText>
      </w:r>
      <w:r w:rsidRPr="00113610">
        <w:rPr>
          <w:color w:val="000000" w:themeColor="text1"/>
        </w:rPr>
        <w:fldChar w:fldCharType="end"/>
      </w:r>
      <w:r w:rsidRPr="00113610">
        <w:rPr>
          <w:color w:val="000000" w:themeColor="text1"/>
        </w:rPr>
        <w:tab/>
      </w:r>
      <w:r w:rsidRPr="00113610">
        <w:rPr>
          <w:color w:val="000000" w:themeColor="text1"/>
        </w:rPr>
        <w:tab/>
      </w:r>
    </w:p>
    <w:p w:rsidRPr="00113610" w:rsidR="00842E74" w:rsidP="00773A93" w:rsidRDefault="00842E74" w14:paraId="1BA13FE3" w14:textId="0518CBD2">
      <w:pPr>
        <w:pStyle w:val="ListParagraph"/>
        <w:numPr>
          <w:ilvl w:val="0"/>
          <w:numId w:val="15"/>
        </w:numPr>
        <w:tabs>
          <w:tab w:val="left" w:pos="360"/>
        </w:tabs>
        <w:rPr>
          <w:b/>
          <w:bCs/>
          <w:color w:val="000000" w:themeColor="text1"/>
        </w:rPr>
      </w:pPr>
      <w:r w:rsidRPr="00113610">
        <w:rPr>
          <w:b/>
          <w:bCs/>
          <w:color w:val="000000" w:themeColor="text1"/>
        </w:rPr>
        <w:t xml:space="preserve">Describe efforts to consult with persons outside the agency to obtain their views on the availability of data, frequency of collection, the clarity of </w:t>
      </w:r>
      <w:r w:rsidRPr="00113610" w:rsidR="00232C69">
        <w:rPr>
          <w:b/>
          <w:bCs/>
          <w:color w:val="000000" w:themeColor="text1"/>
        </w:rPr>
        <w:t>ins</w:t>
      </w:r>
      <w:r w:rsidRPr="00113610">
        <w:rPr>
          <w:b/>
          <w:bCs/>
          <w:color w:val="000000" w:themeColor="text1"/>
        </w:rPr>
        <w:t>tructions and recordkeeping, disclosure, or reporting format (if any), and on the data elements to be recorded, disclosed, or reported.</w:t>
      </w:r>
    </w:p>
    <w:p w:rsidRPr="00113610" w:rsidR="002C01E9" w:rsidP="00DB6E52" w:rsidRDefault="002C01E9" w14:paraId="2032A91B" w14:textId="0D5F06FC">
      <w:pPr>
        <w:rPr>
          <w:color w:val="000000" w:themeColor="text1"/>
        </w:rPr>
      </w:pPr>
    </w:p>
    <w:p w:rsidRPr="00113610" w:rsidR="009865BC" w:rsidP="00DB6E52" w:rsidRDefault="005449A7" w14:paraId="4979CABA" w14:textId="7021F0FB">
      <w:pPr>
        <w:rPr>
          <w:color w:val="000000" w:themeColor="text1"/>
        </w:rPr>
      </w:pPr>
      <w:r w:rsidRPr="78462E6E">
        <w:rPr>
          <w:color w:val="000000" w:themeColor="text1"/>
        </w:rPr>
        <w:t xml:space="preserve">The </w:t>
      </w:r>
      <w:r w:rsidRPr="78462E6E" w:rsidR="00993489">
        <w:rPr>
          <w:color w:val="000000" w:themeColor="text1"/>
        </w:rPr>
        <w:t>National Flood Insurance Program</w:t>
      </w:r>
      <w:r w:rsidRPr="78462E6E">
        <w:rPr>
          <w:color w:val="000000" w:themeColor="text1"/>
        </w:rPr>
        <w:t xml:space="preserve"> routinely </w:t>
      </w:r>
      <w:r w:rsidRPr="78462E6E" w:rsidR="001A142B">
        <w:rPr>
          <w:color w:val="000000" w:themeColor="text1"/>
        </w:rPr>
        <w:t>meets</w:t>
      </w:r>
      <w:r w:rsidRPr="78462E6E">
        <w:rPr>
          <w:color w:val="000000" w:themeColor="text1"/>
        </w:rPr>
        <w:t xml:space="preserve"> with a wide range of participants at several insurance trade organization meetings (at least </w:t>
      </w:r>
      <w:r w:rsidRPr="78462E6E" w:rsidR="005E7292">
        <w:rPr>
          <w:color w:val="000000" w:themeColor="text1"/>
        </w:rPr>
        <w:t>four</w:t>
      </w:r>
      <w:r w:rsidRPr="78462E6E">
        <w:rPr>
          <w:color w:val="000000" w:themeColor="text1"/>
        </w:rPr>
        <w:t xml:space="preserve"> times a year) each year.  These trade organization meetings provide a forum for information to be exchanged related to all matters related to insurance.  Representative</w:t>
      </w:r>
      <w:r w:rsidRPr="78462E6E" w:rsidR="0AC2FDC0">
        <w:rPr>
          <w:color w:val="000000" w:themeColor="text1"/>
        </w:rPr>
        <w:t>s</w:t>
      </w:r>
      <w:r w:rsidRPr="78462E6E">
        <w:rPr>
          <w:color w:val="000000" w:themeColor="text1"/>
        </w:rPr>
        <w:t xml:space="preserve"> of </w:t>
      </w:r>
      <w:r w:rsidRPr="78462E6E" w:rsidR="3C13A128">
        <w:rPr>
          <w:color w:val="000000" w:themeColor="text1"/>
        </w:rPr>
        <w:t xml:space="preserve">the </w:t>
      </w:r>
      <w:r w:rsidRPr="78462E6E">
        <w:rPr>
          <w:color w:val="000000" w:themeColor="text1"/>
        </w:rPr>
        <w:t>NFIP also attend lender meetings and other related activities several times each year.  From these meetings FEMA learns of methods to</w:t>
      </w:r>
      <w:r w:rsidRPr="78462E6E" w:rsidR="00857B45">
        <w:rPr>
          <w:color w:val="000000" w:themeColor="text1"/>
        </w:rPr>
        <w:t xml:space="preserve"> better administer its program.</w:t>
      </w:r>
    </w:p>
    <w:p w:rsidRPr="00113610" w:rsidR="009865BC" w:rsidP="00DB6E52" w:rsidRDefault="009865BC" w14:paraId="524E6C36" w14:textId="77777777">
      <w:pPr>
        <w:rPr>
          <w:color w:val="000000" w:themeColor="text1"/>
        </w:rPr>
      </w:pPr>
    </w:p>
    <w:p w:rsidRPr="00773A93" w:rsidR="00842E74" w:rsidP="00773A93" w:rsidRDefault="00842E74" w14:paraId="7731B7B9" w14:textId="026253A7">
      <w:pPr>
        <w:pStyle w:val="ListParagraph"/>
        <w:numPr>
          <w:ilvl w:val="0"/>
          <w:numId w:val="15"/>
        </w:numPr>
        <w:tabs>
          <w:tab w:val="left" w:pos="360"/>
        </w:tabs>
        <w:rPr>
          <w:b/>
          <w:bCs/>
        </w:rPr>
      </w:pPr>
      <w:r w:rsidRPr="00773A93">
        <w:rPr>
          <w:b/>
          <w:bCs/>
        </w:rPr>
        <w:t>Describe consultations with representatives of those from whom information is to be obtained or those who must compile records. Consultation should occur at least once every three years, even if the collection of information activities is the same as in prior periods.  There may</w:t>
      </w:r>
      <w:r w:rsidRPr="00773A93" w:rsidR="00232C69">
        <w:rPr>
          <w:b/>
          <w:bCs/>
        </w:rPr>
        <w:t xml:space="preserve"> </w:t>
      </w:r>
      <w:r w:rsidRPr="00773A93">
        <w:rPr>
          <w:b/>
          <w:bCs/>
        </w:rPr>
        <w:t>be circumstances that may preclude consultation in a specific situation. These circumstances should be explained.</w:t>
      </w:r>
    </w:p>
    <w:p w:rsidR="002D0DA1" w:rsidP="00DB6E52" w:rsidRDefault="00842E74" w14:paraId="4962371B" w14:textId="77777777">
      <w:r>
        <w:t xml:space="preserve"> </w:t>
      </w:r>
    </w:p>
    <w:p w:rsidR="002D0DA1" w:rsidP="00DB6E52" w:rsidRDefault="005449A7" w14:paraId="57E8ED3C" w14:textId="017B6E93">
      <w:r>
        <w:t xml:space="preserve">Respondents to this information collection and </w:t>
      </w:r>
      <w:r w:rsidR="002D0DA1">
        <w:t xml:space="preserve">FEMA </w:t>
      </w:r>
      <w:r w:rsidR="00857B45">
        <w:t>meet each year</w:t>
      </w:r>
      <w:r w:rsidR="002D0DA1">
        <w:t xml:space="preserve"> </w:t>
      </w:r>
      <w:r w:rsidR="00857B45">
        <w:t>at a</w:t>
      </w:r>
      <w:r w:rsidR="002D0DA1">
        <w:t>n annual National Flood Insurance Program conference</w:t>
      </w:r>
      <w:r w:rsidR="00857B45">
        <w:t xml:space="preserve">.  This conference </w:t>
      </w:r>
      <w:r w:rsidR="002D0DA1">
        <w:t>provides a forum for comments, questions and concern</w:t>
      </w:r>
      <w:r w:rsidR="00857B45">
        <w:t xml:space="preserve">s to be presented and addressed.  </w:t>
      </w:r>
      <w:r w:rsidRPr="005449A7" w:rsidR="00857B45">
        <w:rPr>
          <w:bCs/>
          <w:iCs/>
        </w:rPr>
        <w:t>The NFIP</w:t>
      </w:r>
      <w:r w:rsidR="00857B45">
        <w:t xml:space="preserve"> is able to take the results and improve its customer service. </w:t>
      </w:r>
      <w:r w:rsidR="005E7292">
        <w:t xml:space="preserve"> </w:t>
      </w:r>
      <w:r w:rsidR="009B76DD">
        <w:t>FEMA also accepts comments via telephone at a toll-free number (</w:t>
      </w:r>
      <w:r w:rsidRPr="1261F84A" w:rsidR="4787879E">
        <w:rPr>
          <w:sz w:val="25"/>
          <w:szCs w:val="25"/>
        </w:rPr>
        <w:t>877) 336-2627</w:t>
      </w:r>
      <w:r w:rsidR="349D5E09">
        <w:t>.</w:t>
      </w:r>
    </w:p>
    <w:p w:rsidR="00842E74" w:rsidP="00DB6E52" w:rsidRDefault="00842E74" w14:paraId="1DE1FC41" w14:textId="77777777">
      <w:r>
        <w:t xml:space="preserve">         </w:t>
      </w:r>
    </w:p>
    <w:p w:rsidR="00842E74" w:rsidP="00DB6E52" w:rsidRDefault="00842E74" w14:paraId="0196FAD8" w14:textId="77777777">
      <w:pPr>
        <w:rPr>
          <w:b/>
          <w:bCs/>
        </w:rPr>
      </w:pPr>
      <w:r>
        <w:rPr>
          <w:b/>
          <w:bCs/>
        </w:rPr>
        <w:fldChar w:fldCharType="begin"/>
      </w:r>
      <w:r>
        <w:rPr>
          <w:b/>
          <w:bCs/>
        </w:rPr>
        <w:instrText>ADVANCE \R 0.95</w:instrText>
      </w:r>
      <w:r>
        <w:rPr>
          <w:b/>
          <w:bCs/>
        </w:rPr>
        <w:fldChar w:fldCharType="end"/>
      </w:r>
      <w:r>
        <w:rPr>
          <w:b/>
          <w:bCs/>
        </w:rPr>
        <w:t>9.  Explain any decision to provide any payment or gift to respondents, other than remuneration of contractors or grantees.</w:t>
      </w:r>
    </w:p>
    <w:p w:rsidR="00842E74" w:rsidP="00DB6E52" w:rsidRDefault="00842E74" w14:paraId="1821F0E9" w14:textId="77777777"/>
    <w:p w:rsidRPr="002D0DA1" w:rsidR="002D0DA1" w:rsidP="00DB6E52" w:rsidRDefault="002D0DA1" w14:paraId="6923D636" w14:textId="77777777">
      <w:r w:rsidRPr="002D0DA1">
        <w:t>FEMA does not provide payments or gifts to respondents in exchange for a benefit sought</w:t>
      </w:r>
      <w:r>
        <w:t>.</w:t>
      </w:r>
    </w:p>
    <w:p w:rsidR="002D0DA1" w:rsidP="00DB6E52" w:rsidRDefault="002D0DA1" w14:paraId="1EDDCA78" w14:textId="77777777"/>
    <w:p w:rsidR="00842E74" w:rsidP="00DB6E52" w:rsidRDefault="00C313FA" w14:paraId="3DAD2E84" w14:textId="77777777">
      <w:pPr>
        <w:tabs>
          <w:tab w:val="left" w:pos="360"/>
        </w:tabs>
        <w:rPr>
          <w:b/>
          <w:bCs/>
        </w:rPr>
      </w:pPr>
      <w:r>
        <w:rPr>
          <w:b/>
          <w:bCs/>
        </w:rPr>
        <w:t xml:space="preserve">10.  </w:t>
      </w:r>
      <w:r w:rsidR="00842E74">
        <w:rPr>
          <w:b/>
          <w:bCs/>
        </w:rPr>
        <w:t>Describe any assurance of confidentiality provided to respondents</w:t>
      </w:r>
      <w:r w:rsidR="0094233D">
        <w:rPr>
          <w:b/>
          <w:bCs/>
        </w:rPr>
        <w:t xml:space="preserve">. </w:t>
      </w:r>
      <w:r w:rsidR="00842E74">
        <w:rPr>
          <w:b/>
          <w:bCs/>
        </w:rPr>
        <w:t xml:space="preserve"> </w:t>
      </w:r>
      <w:r w:rsidR="0094233D">
        <w:rPr>
          <w:b/>
          <w:bCs/>
        </w:rPr>
        <w:t xml:space="preserve">Present </w:t>
      </w:r>
      <w:r w:rsidR="00842E74">
        <w:rPr>
          <w:b/>
          <w:bCs/>
        </w:rPr>
        <w:t xml:space="preserve">the basis for the assurance in statute, regulation, or agency policy.  </w:t>
      </w:r>
    </w:p>
    <w:p w:rsidR="00C313FA" w:rsidP="00DB6E52" w:rsidRDefault="00842E74" w14:paraId="37DE5E63" w14:textId="77777777">
      <w:pPr>
        <w:tabs>
          <w:tab w:val="left" w:pos="360"/>
        </w:tabs>
      </w:pPr>
      <w:r>
        <w:fldChar w:fldCharType="begin"/>
      </w:r>
      <w:r>
        <w:instrText>ADVANCE \R 0.95</w:instrText>
      </w:r>
      <w:r>
        <w:fldChar w:fldCharType="end"/>
      </w:r>
    </w:p>
    <w:p w:rsidRPr="004E10AB" w:rsidR="002C01E9" w:rsidP="00DB6E52" w:rsidRDefault="002C01E9" w14:paraId="528E385D" w14:textId="77777777">
      <w:pPr>
        <w:rPr>
          <w:u w:val="single"/>
        </w:rPr>
      </w:pPr>
      <w:r w:rsidRPr="004E10AB">
        <w:rPr>
          <w:u w:val="single"/>
        </w:rPr>
        <w:t>Mortgage Portfolio Protection Program (MPPP)</w:t>
      </w:r>
    </w:p>
    <w:p w:rsidR="002C01E9" w:rsidP="00DB6E52" w:rsidRDefault="002C01E9" w14:paraId="0966C9E4" w14:textId="77777777">
      <w:pPr>
        <w:tabs>
          <w:tab w:val="left" w:pos="360"/>
        </w:tabs>
      </w:pPr>
    </w:p>
    <w:p w:rsidRPr="002253D0" w:rsidR="002253D0" w:rsidP="00DB6E52" w:rsidRDefault="002253D0" w14:paraId="68D7CD09" w14:textId="35153388">
      <w:pPr>
        <w:tabs>
          <w:tab w:val="left" w:pos="360"/>
        </w:tabs>
      </w:pPr>
      <w:r w:rsidRPr="002253D0">
        <w:t xml:space="preserve">A Privacy Threshold Analysis (PTA) was approved by the DHS Privacy Office on November 4, 2013. However, an updated PTA Form has been completed on October 3, 2017 and is still pending review with FEMA/DHS Privacy.  </w:t>
      </w:r>
    </w:p>
    <w:p w:rsidRPr="002253D0" w:rsidR="002253D0" w:rsidP="00DB6E52" w:rsidRDefault="002253D0" w14:paraId="39E1C0A4" w14:textId="77777777">
      <w:pPr>
        <w:tabs>
          <w:tab w:val="left" w:pos="360"/>
        </w:tabs>
      </w:pPr>
    </w:p>
    <w:p w:rsidR="00F00C47" w:rsidP="00DB6E52" w:rsidRDefault="002253D0" w14:paraId="5C321FE8" w14:textId="1B019B3E">
      <w:pPr>
        <w:tabs>
          <w:tab w:val="left" w:pos="360"/>
        </w:tabs>
      </w:pPr>
      <w:r>
        <w:t>The Privacy Impact Assessment (PIA) is covered under the DHS/FEMA/PIA</w:t>
      </w:r>
      <w:r w:rsidR="00140550">
        <w:t xml:space="preserve">-050 National Flood Insurance Program (NFIP) PIVOT System, approved by DHS Privacy on </w:t>
      </w:r>
      <w:r w:rsidR="004C3C74">
        <w:t>March 28, 2018</w:t>
      </w:r>
      <w:r w:rsidR="00677C8D">
        <w:t xml:space="preserve">; the PIA appendix for PIVOT was updated </w:t>
      </w:r>
      <w:r w:rsidR="008B6DD6">
        <w:t>May 6, 2020</w:t>
      </w:r>
      <w:r w:rsidR="004C3C74">
        <w:t xml:space="preserve">. </w:t>
      </w:r>
    </w:p>
    <w:p w:rsidR="00F00C47" w:rsidP="00DB6E52" w:rsidRDefault="00F00C47" w14:paraId="140BFD0C" w14:textId="77777777">
      <w:pPr>
        <w:tabs>
          <w:tab w:val="left" w:pos="360"/>
        </w:tabs>
      </w:pPr>
    </w:p>
    <w:p w:rsidRPr="002253D0" w:rsidR="002253D0" w:rsidP="00DB6E52" w:rsidRDefault="002253D0" w14:paraId="24A81C69" w14:textId="2B6B9879">
      <w:pPr>
        <w:tabs>
          <w:tab w:val="left" w:pos="360"/>
        </w:tabs>
      </w:pPr>
      <w:r w:rsidRPr="002253D0">
        <w:lastRenderedPageBreak/>
        <w:t>Additionally, the System of Records Notice (SORN) is covered under DHS/FEMA-003 - National Flood Insurance Program Files,</w:t>
      </w:r>
      <w:r w:rsidRPr="002253D0">
        <w:rPr>
          <w:rFonts w:eastAsia="Calibri"/>
        </w:rPr>
        <w:t xml:space="preserve"> May 19, 2014</w:t>
      </w:r>
      <w:r w:rsidRPr="002253D0">
        <w:t>, 79 FR 28747.</w:t>
      </w:r>
    </w:p>
    <w:p w:rsidRPr="002253D0" w:rsidR="002253D0" w:rsidP="00DB6E52" w:rsidRDefault="002253D0" w14:paraId="6056B0E6" w14:textId="77777777">
      <w:pPr>
        <w:tabs>
          <w:tab w:val="left" w:pos="360"/>
        </w:tabs>
      </w:pPr>
    </w:p>
    <w:p w:rsidR="002253D0" w:rsidP="00DB6E52" w:rsidRDefault="002253D0" w14:paraId="78CD4FB4" w14:textId="59C52BA1">
      <w:pPr>
        <w:tabs>
          <w:tab w:val="left" w:pos="360"/>
        </w:tabs>
      </w:pPr>
      <w:r w:rsidRPr="002253D0">
        <w:t>There are no assurances of confidentiality provided to the respondents for this information collection.</w:t>
      </w:r>
    </w:p>
    <w:p w:rsidR="00A1530B" w:rsidP="00DB6E52" w:rsidRDefault="00A1530B" w14:paraId="757D405F" w14:textId="611B700D">
      <w:pPr>
        <w:tabs>
          <w:tab w:val="left" w:pos="360"/>
        </w:tabs>
      </w:pPr>
    </w:p>
    <w:p w:rsidRPr="004E10AB" w:rsidR="00A1530B" w:rsidP="00DB6E52" w:rsidRDefault="00A1530B" w14:paraId="55D969B3" w14:textId="1A881794">
      <w:pPr>
        <w:rPr>
          <w:color w:val="000000" w:themeColor="text1"/>
          <w:u w:val="single"/>
        </w:rPr>
      </w:pPr>
      <w:r w:rsidRPr="004E10AB">
        <w:rPr>
          <w:color w:val="000000" w:themeColor="text1"/>
          <w:u w:val="single"/>
        </w:rPr>
        <w:t>Ask the Advocate Web</w:t>
      </w:r>
      <w:r w:rsidRPr="004E10AB" w:rsidR="0052230A">
        <w:rPr>
          <w:color w:val="000000" w:themeColor="text1"/>
          <w:u w:val="single"/>
        </w:rPr>
        <w:t xml:space="preserve"> F</w:t>
      </w:r>
      <w:r w:rsidRPr="004E10AB">
        <w:rPr>
          <w:color w:val="000000" w:themeColor="text1"/>
          <w:u w:val="single"/>
        </w:rPr>
        <w:t>orm</w:t>
      </w:r>
    </w:p>
    <w:p w:rsidR="00A1530B" w:rsidP="00DB6E52" w:rsidRDefault="00A1530B" w14:paraId="010D0853" w14:textId="77777777">
      <w:pPr>
        <w:rPr>
          <w:color w:val="000000" w:themeColor="text1"/>
        </w:rPr>
      </w:pPr>
    </w:p>
    <w:p w:rsidRPr="002253D0" w:rsidR="0090045D" w:rsidP="00DB6E52" w:rsidRDefault="0090045D" w14:paraId="18C37E67" w14:textId="59B22204">
      <w:pPr>
        <w:tabs>
          <w:tab w:val="left" w:pos="360"/>
        </w:tabs>
      </w:pPr>
      <w:r>
        <w:t>A Privacy Threshold Analysis (PTA) for OFIA’s Ask the Advocate Web</w:t>
      </w:r>
      <w:r w:rsidR="0052230A">
        <w:t xml:space="preserve"> F</w:t>
      </w:r>
      <w:r>
        <w:t>orm was approved by the DHS Privacy Office on May 17, 2016.</w:t>
      </w:r>
    </w:p>
    <w:p w:rsidR="0090045D" w:rsidP="00DB6E52" w:rsidRDefault="0090045D" w14:paraId="43598660" w14:textId="2FD64763">
      <w:pPr>
        <w:rPr>
          <w:color w:val="000000" w:themeColor="text1"/>
        </w:rPr>
      </w:pPr>
    </w:p>
    <w:p w:rsidR="0090045D" w:rsidP="00DB6E52" w:rsidRDefault="0090045D" w14:paraId="20DA9904" w14:textId="6DAA8FBF">
      <w:r w:rsidRPr="6F8EE752">
        <w:rPr>
          <w:color w:val="000000" w:themeColor="text1"/>
        </w:rPr>
        <w:t xml:space="preserve">A Privacy Impact Assessment (PIA) was published on March 28, 2018, </w:t>
      </w:r>
      <w:hyperlink w:history="1" r:id="rId15">
        <w:r w:rsidRPr="6F8EE752">
          <w:rPr>
            <w:rStyle w:val="Hyperlink"/>
          </w:rPr>
          <w:t>DHS/FEMA/PIA-050</w:t>
        </w:r>
      </w:hyperlink>
      <w:r>
        <w:t xml:space="preserve"> [National Flood Insurance Program (NFIP) PIVOT System].</w:t>
      </w:r>
    </w:p>
    <w:p w:rsidR="0090045D" w:rsidP="00DB6E52" w:rsidRDefault="0090045D" w14:paraId="3EF54CD9" w14:textId="77777777">
      <w:pPr>
        <w:tabs>
          <w:tab w:val="left" w:pos="360"/>
        </w:tabs>
      </w:pPr>
    </w:p>
    <w:p w:rsidR="00F00C47" w:rsidP="00DB6E52" w:rsidRDefault="00F00C47" w14:paraId="46265C54" w14:textId="6CB3A61B">
      <w:pPr>
        <w:tabs>
          <w:tab w:val="left" w:pos="360"/>
        </w:tabs>
      </w:pPr>
      <w:r>
        <w:t>OFIA does not intend to disclose any customer personal information outside of DHS.  DHS may need to disclose the information outside of the Department</w:t>
      </w:r>
      <w:r w:rsidR="00892C7F">
        <w:t xml:space="preserve">, </w:t>
      </w:r>
      <w:r>
        <w:t xml:space="preserve">which will be consistent with </w:t>
      </w:r>
      <w:r w:rsidRPr="6F8EE752" w:rsidR="00892C7F">
        <w:rPr>
          <w:color w:val="000000" w:themeColor="text1"/>
        </w:rPr>
        <w:t>DHS/FEMA</w:t>
      </w:r>
      <w:r w:rsidRPr="6F8EE752">
        <w:rPr>
          <w:color w:val="000000" w:themeColor="text1"/>
        </w:rPr>
        <w:t>-003 National Flood Insurance Program Files System of Records</w:t>
      </w:r>
      <w:r w:rsidRPr="6F8EE752" w:rsidR="00892C7F">
        <w:rPr>
          <w:color w:val="000000" w:themeColor="text1"/>
        </w:rPr>
        <w:t xml:space="preserve"> Notice (SORN), published in the Federal Register at </w:t>
      </w:r>
      <w:r w:rsidR="00892C7F">
        <w:t xml:space="preserve">79 FR 28747 </w:t>
      </w:r>
      <w:r w:rsidRPr="6F8EE752" w:rsidR="00892C7F">
        <w:rPr>
          <w:color w:val="000000" w:themeColor="text1"/>
        </w:rPr>
        <w:t xml:space="preserve">on May 19, 2014 under Docket No. </w:t>
      </w:r>
      <w:hyperlink r:id="rId16">
        <w:r w:rsidRPr="6F8EE752" w:rsidR="00892C7F">
          <w:rPr>
            <w:rStyle w:val="Hyperlink"/>
          </w:rPr>
          <w:t>DHS-2014-0028</w:t>
        </w:r>
      </w:hyperlink>
      <w:r w:rsidRPr="6F8EE752" w:rsidR="00892C7F">
        <w:rPr>
          <w:color w:val="000000" w:themeColor="text1"/>
        </w:rPr>
        <w:t xml:space="preserve">.  </w:t>
      </w:r>
      <w:r w:rsidRPr="6F8EE752">
        <w:rPr>
          <w:lang w:val="en"/>
        </w:rPr>
        <w:t xml:space="preserve">The Department’s full list of system of records notices can be found on the Department's website at </w:t>
      </w:r>
      <w:hyperlink w:tgtFrame="_blank" w:history="1" r:id="rId17">
        <w:r w:rsidRPr="6F8EE752">
          <w:rPr>
            <w:rStyle w:val="Hyperlink"/>
            <w:lang w:val="en"/>
          </w:rPr>
          <w:t>http://www.dhs.gov/system-records-notices-sorns</w:t>
        </w:r>
      </w:hyperlink>
      <w:r w:rsidRPr="6F8EE752">
        <w:rPr>
          <w:lang w:val="en"/>
        </w:rPr>
        <w:t>.</w:t>
      </w:r>
    </w:p>
    <w:p w:rsidRPr="00A1530B" w:rsidR="00A1530B" w:rsidP="00DB6E52" w:rsidRDefault="00A1530B" w14:paraId="6FA7B8E4" w14:textId="77777777">
      <w:pPr>
        <w:rPr>
          <w:color w:val="000000" w:themeColor="text1"/>
        </w:rPr>
      </w:pPr>
    </w:p>
    <w:p w:rsidR="00842E74" w:rsidP="00DB6E52" w:rsidRDefault="00842E74" w14:paraId="777798A9" w14:textId="77777777">
      <w:pPr>
        <w:tabs>
          <w:tab w:val="left" w:pos="360"/>
        </w:tabs>
        <w:rPr>
          <w:b/>
          <w:bCs/>
        </w:rPr>
      </w:pPr>
      <w:r>
        <w:rPr>
          <w:b/>
          <w:bCs/>
        </w:rPr>
        <w:t xml:space="preserve">11.  Provide additional justification for any question </w:t>
      </w:r>
      <w:r w:rsidR="000E0572">
        <w:rPr>
          <w:b/>
          <w:bCs/>
        </w:rPr>
        <w:t>of</w:t>
      </w:r>
      <w:r>
        <w:rPr>
          <w:b/>
          <w:bCs/>
        </w:rPr>
        <w:t xml:space="preserve"> </w:t>
      </w:r>
      <w:r w:rsidR="000E0572">
        <w:rPr>
          <w:b/>
          <w:bCs/>
        </w:rPr>
        <w:t xml:space="preserve">a </w:t>
      </w:r>
      <w:r>
        <w:rPr>
          <w:b/>
          <w:bCs/>
        </w:rPr>
        <w:t xml:space="preserve">sensitive </w:t>
      </w:r>
      <w:r w:rsidR="000E0572">
        <w:rPr>
          <w:b/>
          <w:bCs/>
        </w:rPr>
        <w:t>nature</w:t>
      </w:r>
      <w:r>
        <w:rPr>
          <w:b/>
          <w:bCs/>
        </w:rPr>
        <w:t xml:space="preserve"> </w:t>
      </w:r>
      <w:r w:rsidR="000E0572">
        <w:rPr>
          <w:b/>
          <w:bCs/>
        </w:rPr>
        <w:t>(</w:t>
      </w:r>
      <w:r>
        <w:rPr>
          <w:b/>
          <w:bCs/>
        </w:rPr>
        <w:t>such as sexual behavior and attitudes, religious beliefs and other matters that are commonly considered private</w:t>
      </w:r>
      <w:r w:rsidR="000E0572">
        <w:rPr>
          <w:b/>
          <w:bCs/>
        </w:rPr>
        <w:t>)</w:t>
      </w:r>
      <w:r>
        <w:rPr>
          <w:b/>
          <w:bCs/>
        </w:rPr>
        <w:t xml:space="preserv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842E74" w:rsidP="00DB6E52" w:rsidRDefault="00842E74" w14:paraId="4228775E" w14:textId="77777777"/>
    <w:p w:rsidRPr="005D4A07" w:rsidR="005D4A07" w:rsidP="00DB6E52" w:rsidRDefault="005D4A07" w14:paraId="25782140" w14:textId="77777777">
      <w:r w:rsidRPr="005D4A07">
        <w:t>There are no questions of sensitive nature.</w:t>
      </w:r>
    </w:p>
    <w:p w:rsidR="005D4A07" w:rsidP="00DB6E52" w:rsidRDefault="005D4A07" w14:paraId="0CA04E66" w14:textId="77777777"/>
    <w:p w:rsidRPr="00113610" w:rsidR="00842E74" w:rsidP="00DB6E52" w:rsidRDefault="00842E74" w14:paraId="7CEC50BB" w14:textId="162271F4">
      <w:pPr>
        <w:rPr>
          <w:b/>
          <w:bCs/>
          <w:color w:val="000000" w:themeColor="text1"/>
        </w:rPr>
      </w:pPr>
      <w:r>
        <w:rPr>
          <w:b/>
          <w:bCs/>
        </w:rPr>
        <w:fldChar w:fldCharType="begin"/>
      </w:r>
      <w:r>
        <w:rPr>
          <w:b/>
          <w:bCs/>
        </w:rPr>
        <w:instrText>ADVANCE \R 0.95</w:instrText>
      </w:r>
      <w:r>
        <w:rPr>
          <w:b/>
          <w:bCs/>
        </w:rPr>
        <w:fldChar w:fldCharType="end"/>
      </w:r>
      <w:r>
        <w:rPr>
          <w:b/>
          <w:bCs/>
        </w:rPr>
        <w:fldChar w:fldCharType="begin"/>
      </w:r>
      <w:r>
        <w:rPr>
          <w:b/>
          <w:bCs/>
        </w:rPr>
        <w:instrText>ADVANCE \R 0.95</w:instrText>
      </w:r>
      <w:r>
        <w:rPr>
          <w:b/>
          <w:bCs/>
        </w:rPr>
        <w:fldChar w:fldCharType="end"/>
      </w:r>
      <w:r>
        <w:rPr>
          <w:b/>
          <w:bCs/>
        </w:rPr>
        <w:t xml:space="preserve">12. </w:t>
      </w:r>
      <w:r w:rsidR="00763992">
        <w:rPr>
          <w:b/>
          <w:bCs/>
        </w:rPr>
        <w:t xml:space="preserve"> </w:t>
      </w:r>
      <w:r>
        <w:rPr>
          <w:b/>
          <w:bCs/>
        </w:rPr>
        <w:t xml:space="preserve">Provide estimates </w:t>
      </w:r>
      <w:r w:rsidRPr="00113610">
        <w:rPr>
          <w:b/>
          <w:bCs/>
          <w:color w:val="000000" w:themeColor="text1"/>
        </w:rPr>
        <w:t>of the hour burden of the collection of information.  The statement should:</w:t>
      </w:r>
    </w:p>
    <w:p w:rsidRPr="00113610" w:rsidR="00842E74" w:rsidP="00DB6E52" w:rsidRDefault="00842E74" w14:paraId="10E2002F" w14:textId="77777777">
      <w:pPr>
        <w:rPr>
          <w:b/>
          <w:bCs/>
          <w:color w:val="000000" w:themeColor="text1"/>
        </w:rPr>
      </w:pPr>
      <w:r w:rsidRPr="00113610">
        <w:rPr>
          <w:b/>
          <w:bCs/>
          <w:color w:val="000000" w:themeColor="text1"/>
        </w:rPr>
        <w:fldChar w:fldCharType="begin"/>
      </w:r>
      <w:r w:rsidRPr="00113610">
        <w:rPr>
          <w:b/>
          <w:bCs/>
          <w:color w:val="000000" w:themeColor="text1"/>
        </w:rPr>
        <w:instrText>ADVANCE \R 0.95</w:instrText>
      </w:r>
      <w:r w:rsidRPr="00113610">
        <w:rPr>
          <w:b/>
          <w:bCs/>
          <w:color w:val="000000" w:themeColor="text1"/>
        </w:rPr>
        <w:fldChar w:fldCharType="end"/>
      </w:r>
      <w:r w:rsidRPr="00113610">
        <w:rPr>
          <w:b/>
          <w:bCs/>
          <w:color w:val="000000" w:themeColor="text1"/>
        </w:rPr>
        <w:t xml:space="preserve">                                       </w:t>
      </w:r>
    </w:p>
    <w:p w:rsidR="00842E74" w:rsidP="00DB6E52" w:rsidRDefault="00842E74" w14:paraId="492DD46E" w14:textId="003B1B4B">
      <w:pPr>
        <w:rPr>
          <w:b/>
          <w:bCs/>
        </w:rPr>
      </w:pPr>
      <w:r w:rsidRPr="00113610">
        <w:rPr>
          <w:b/>
          <w:bCs/>
          <w:color w:val="000000" w:themeColor="text1"/>
        </w:rPr>
        <w:fldChar w:fldCharType="begin"/>
      </w:r>
      <w:r w:rsidRPr="00113610">
        <w:rPr>
          <w:b/>
          <w:bCs/>
          <w:color w:val="000000" w:themeColor="text1"/>
        </w:rPr>
        <w:instrText>ADVANCE \R 0.95</w:instrText>
      </w:r>
      <w:r w:rsidRPr="00113610">
        <w:rPr>
          <w:b/>
          <w:bCs/>
          <w:color w:val="000000" w:themeColor="text1"/>
        </w:rPr>
        <w:fldChar w:fldCharType="end"/>
      </w:r>
      <w:r w:rsidRPr="00113610" w:rsidR="00920A21">
        <w:rPr>
          <w:b/>
          <w:bCs/>
          <w:color w:val="000000" w:themeColor="text1"/>
        </w:rPr>
        <w:tab/>
      </w:r>
      <w:r w:rsidRPr="00113610" w:rsidR="00763992">
        <w:rPr>
          <w:b/>
          <w:bCs/>
          <w:color w:val="000000" w:themeColor="text1"/>
        </w:rPr>
        <w:t xml:space="preserve">a. </w:t>
      </w:r>
      <w:r w:rsidRPr="00113610">
        <w:rPr>
          <w:b/>
          <w:bCs/>
          <w:color w:val="000000" w:themeColor="text1"/>
        </w:rPr>
        <w:t xml:space="preserve">Indicate the number </w:t>
      </w:r>
      <w:r>
        <w:rPr>
          <w:b/>
          <w:bCs/>
        </w:rPr>
        <w:t>of respondents, frequency of response, annual hour burden, and an explanation of how the burden was estimated</w:t>
      </w:r>
      <w:r w:rsidR="00FD6C8B">
        <w:rPr>
          <w:b/>
          <w:bCs/>
        </w:rPr>
        <w:t xml:space="preserve"> for each collection instrument (separately list each instrument and describe information as requested)</w:t>
      </w:r>
      <w:r>
        <w:rPr>
          <w:b/>
          <w:bCs/>
        </w:rPr>
        <w:t>.  Unless</w:t>
      </w:r>
      <w:r w:rsidR="04D8788F">
        <w:rPr>
          <w:b/>
          <w:bCs/>
        </w:rPr>
        <w:t xml:space="preserve"> </w:t>
      </w:r>
      <w:r w:rsidR="00920A21">
        <w:rPr>
          <w:b/>
          <w:bCs/>
        </w:rPr>
        <w:tab/>
      </w:r>
      <w:r>
        <w:rPr>
          <w:b/>
          <w:bCs/>
        </w:rPr>
        <w:t>directed to do so, agencies should not conduct special surveys to obtain</w:t>
      </w:r>
      <w:r w:rsidR="00232C69">
        <w:rPr>
          <w:b/>
          <w:bCs/>
        </w:rPr>
        <w:t xml:space="preserve"> </w:t>
      </w:r>
      <w:r>
        <w:rPr>
          <w:b/>
          <w:bCs/>
        </w:rPr>
        <w:t xml:space="preserve">information on which to base hour burden </w:t>
      </w:r>
      <w:r w:rsidR="00763992">
        <w:rPr>
          <w:b/>
          <w:bCs/>
        </w:rPr>
        <w:t>estimates.  Consultation with a</w:t>
      </w:r>
      <w:r w:rsidR="00FD6C8B">
        <w:rPr>
          <w:b/>
          <w:bCs/>
        </w:rPr>
        <w:t xml:space="preserve"> </w:t>
      </w:r>
      <w:r>
        <w:rPr>
          <w:b/>
          <w:bCs/>
        </w:rPr>
        <w:t>sample (fewer than 10) of potential respondents is desired.  If the hour</w:t>
      </w:r>
      <w:r w:rsidR="2C2464E6">
        <w:rPr>
          <w:b/>
          <w:bCs/>
        </w:rPr>
        <w:t xml:space="preserve"> </w:t>
      </w:r>
      <w:r w:rsidR="00920A21">
        <w:rPr>
          <w:b/>
          <w:bCs/>
        </w:rPr>
        <w:tab/>
      </w:r>
      <w:r>
        <w:rPr>
          <w:b/>
          <w:bCs/>
        </w:rPr>
        <w:t>burden on respondents is expected to vary widely because of differences in</w:t>
      </w:r>
      <w:r w:rsidR="00232C69">
        <w:rPr>
          <w:b/>
          <w:bCs/>
        </w:rPr>
        <w:t xml:space="preserve"> </w:t>
      </w:r>
      <w:r>
        <w:rPr>
          <w:b/>
          <w:bCs/>
        </w:rPr>
        <w:t>activity, size, or complexity, show the range of estimated hour burden, and explain the reasons for the variance.  Generally, estimates should not include</w:t>
      </w:r>
      <w:r w:rsidR="00232C69">
        <w:rPr>
          <w:b/>
          <w:bCs/>
        </w:rPr>
        <w:t xml:space="preserve"> </w:t>
      </w:r>
      <w:r>
        <w:rPr>
          <w:b/>
          <w:bCs/>
        </w:rPr>
        <w:t>burden hours for customary and usual business practices.</w:t>
      </w:r>
    </w:p>
    <w:p w:rsidR="005D4A07" w:rsidP="00DB6E52" w:rsidRDefault="005D4A07" w14:paraId="7E3B5321" w14:textId="77777777">
      <w:pPr>
        <w:rPr>
          <w:bCs/>
        </w:rPr>
      </w:pPr>
    </w:p>
    <w:p w:rsidRPr="004E10AB" w:rsidR="002C01E9" w:rsidP="00DB6E52" w:rsidRDefault="002C01E9" w14:paraId="2B453384" w14:textId="77777777">
      <w:pPr>
        <w:rPr>
          <w:u w:val="single"/>
        </w:rPr>
      </w:pPr>
      <w:r w:rsidRPr="004E10AB">
        <w:rPr>
          <w:u w:val="single"/>
        </w:rPr>
        <w:t>Mortgage Portfolio Protection Program (MPPP)</w:t>
      </w:r>
    </w:p>
    <w:p w:rsidR="002C01E9" w:rsidP="00DB6E52" w:rsidRDefault="002C01E9" w14:paraId="66B4B5C9" w14:textId="77777777">
      <w:pPr>
        <w:rPr>
          <w:bCs/>
        </w:rPr>
      </w:pPr>
    </w:p>
    <w:p w:rsidR="005D4A07" w:rsidP="00DB6E52" w:rsidRDefault="005F72BD" w14:paraId="44F10AA8" w14:textId="231F07B3">
      <w:pPr>
        <w:rPr>
          <w:bCs/>
        </w:rPr>
      </w:pPr>
      <w:r>
        <w:rPr>
          <w:bCs/>
        </w:rPr>
        <w:t xml:space="preserve">It is estimated that </w:t>
      </w:r>
      <w:r w:rsidR="005D4A07">
        <w:rPr>
          <w:bCs/>
        </w:rPr>
        <w:t xml:space="preserve">91 </w:t>
      </w:r>
      <w:r w:rsidR="009B76DD">
        <w:rPr>
          <w:bCs/>
        </w:rPr>
        <w:t xml:space="preserve">sales insurance agents </w:t>
      </w:r>
      <w:r w:rsidR="005D4A07">
        <w:rPr>
          <w:bCs/>
        </w:rPr>
        <w:t xml:space="preserve">will either acknowledge participation in the MPPP or elect to not participate.  It is estimated that reviewing the </w:t>
      </w:r>
      <w:r w:rsidR="00CB06C3">
        <w:rPr>
          <w:bCs/>
        </w:rPr>
        <w:t>Financial Assistance/Subsidy Arrangement</w:t>
      </w:r>
      <w:r w:rsidR="005D4A07">
        <w:rPr>
          <w:bCs/>
        </w:rPr>
        <w:t xml:space="preserve"> and completing the </w:t>
      </w:r>
      <w:r w:rsidR="00E6515C">
        <w:rPr>
          <w:bCs/>
        </w:rPr>
        <w:t xml:space="preserve">Notice of Acceptance </w:t>
      </w:r>
      <w:r w:rsidR="005D4A07">
        <w:rPr>
          <w:bCs/>
        </w:rPr>
        <w:t xml:space="preserve">acknowledgement will require </w:t>
      </w:r>
      <w:r w:rsidR="005E7292">
        <w:rPr>
          <w:bCs/>
        </w:rPr>
        <w:t>0</w:t>
      </w:r>
      <w:r w:rsidR="005D4A07">
        <w:rPr>
          <w:bCs/>
        </w:rPr>
        <w:t xml:space="preserve">.5 hours per respondent.  The total annual hours burden will be </w:t>
      </w:r>
      <w:r w:rsidR="005E7292">
        <w:rPr>
          <w:bCs/>
        </w:rPr>
        <w:t>0</w:t>
      </w:r>
      <w:r w:rsidR="005D4A07">
        <w:rPr>
          <w:bCs/>
        </w:rPr>
        <w:t xml:space="preserve">.5 hours times 91 companies = </w:t>
      </w:r>
      <w:r w:rsidR="003F68DF">
        <w:rPr>
          <w:bCs/>
        </w:rPr>
        <w:t>4</w:t>
      </w:r>
      <w:r w:rsidR="00922A7F">
        <w:rPr>
          <w:bCs/>
        </w:rPr>
        <w:t>6</w:t>
      </w:r>
      <w:r w:rsidR="003F68DF">
        <w:rPr>
          <w:bCs/>
        </w:rPr>
        <w:t xml:space="preserve"> hours</w:t>
      </w:r>
      <w:r w:rsidR="002B1586">
        <w:rPr>
          <w:bCs/>
        </w:rPr>
        <w:t xml:space="preserve"> (45.5 rounded up)</w:t>
      </w:r>
      <w:r w:rsidR="003F68DF">
        <w:rPr>
          <w:bCs/>
        </w:rPr>
        <w:t>.</w:t>
      </w:r>
    </w:p>
    <w:p w:rsidR="003F68DF" w:rsidP="00DB6E52" w:rsidRDefault="003F68DF" w14:paraId="6E3297A2" w14:textId="77777777">
      <w:pPr>
        <w:rPr>
          <w:bCs/>
        </w:rPr>
      </w:pPr>
    </w:p>
    <w:p w:rsidR="003F68DF" w:rsidP="00DB6E52" w:rsidRDefault="003F68DF" w14:paraId="25F0226E" w14:textId="22F15B3C">
      <w:pPr>
        <w:rPr>
          <w:bCs/>
        </w:rPr>
      </w:pPr>
      <w:r>
        <w:rPr>
          <w:bCs/>
        </w:rPr>
        <w:t xml:space="preserve">It is estimated that 250 </w:t>
      </w:r>
      <w:r w:rsidR="009B76DD">
        <w:rPr>
          <w:bCs/>
        </w:rPr>
        <w:t>credit analysts</w:t>
      </w:r>
      <w:r>
        <w:rPr>
          <w:bCs/>
        </w:rPr>
        <w:t xml:space="preserve"> will review the </w:t>
      </w:r>
      <w:r w:rsidR="00CB06C3">
        <w:rPr>
          <w:bCs/>
        </w:rPr>
        <w:t>Mortgage Portfolio Protection Program Agreement as part of their analysis</w:t>
      </w:r>
      <w:r w:rsidR="00E6515C">
        <w:rPr>
          <w:bCs/>
        </w:rPr>
        <w:t xml:space="preserve"> and </w:t>
      </w:r>
      <w:r>
        <w:rPr>
          <w:bCs/>
        </w:rPr>
        <w:t>acknowledge receipt of the information</w:t>
      </w:r>
      <w:r w:rsidR="00E6515C">
        <w:rPr>
          <w:bCs/>
        </w:rPr>
        <w:t xml:space="preserve"> through the Receipt for Materials</w:t>
      </w:r>
      <w:r>
        <w:rPr>
          <w:bCs/>
        </w:rPr>
        <w:t>.</w:t>
      </w:r>
      <w:r w:rsidR="008922AE">
        <w:rPr>
          <w:bCs/>
        </w:rPr>
        <w:t xml:space="preserve">  It is estimated that the review of the material and acknowledgement will require </w:t>
      </w:r>
      <w:r w:rsidR="005E7292">
        <w:rPr>
          <w:bCs/>
        </w:rPr>
        <w:t>0</w:t>
      </w:r>
      <w:r w:rsidR="008922AE">
        <w:rPr>
          <w:bCs/>
        </w:rPr>
        <w:t xml:space="preserve">.5 hours per respondent.  The total annual hours burden will be </w:t>
      </w:r>
      <w:r w:rsidR="005E7292">
        <w:rPr>
          <w:bCs/>
        </w:rPr>
        <w:t>0</w:t>
      </w:r>
      <w:r w:rsidR="008922AE">
        <w:rPr>
          <w:bCs/>
        </w:rPr>
        <w:t>.5 hours times 250 lenders = 125 hours.</w:t>
      </w:r>
    </w:p>
    <w:p w:rsidR="00651BF3" w:rsidP="00DB6E52" w:rsidRDefault="00651BF3" w14:paraId="07A04B0B" w14:textId="77777777">
      <w:pPr>
        <w:rPr>
          <w:color w:val="000000" w:themeColor="text1"/>
        </w:rPr>
      </w:pPr>
    </w:p>
    <w:p w:rsidRPr="004E10AB" w:rsidR="00B104B7" w:rsidP="00DB6E52" w:rsidRDefault="00B104B7" w14:paraId="1C2C283D" w14:textId="6B2F10B1">
      <w:pPr>
        <w:rPr>
          <w:color w:val="000000" w:themeColor="text1"/>
          <w:u w:val="single"/>
        </w:rPr>
      </w:pPr>
      <w:r w:rsidRPr="004E10AB">
        <w:rPr>
          <w:color w:val="000000" w:themeColor="text1"/>
          <w:u w:val="single"/>
        </w:rPr>
        <w:t>Ask the Advocate Web Form</w:t>
      </w:r>
    </w:p>
    <w:p w:rsidR="005D4A07" w:rsidP="00DB6E52" w:rsidRDefault="005D4A07" w14:paraId="0865A41D" w14:textId="65105AEA"/>
    <w:p w:rsidR="000332CA" w:rsidP="00DB6E52" w:rsidRDefault="000332CA" w14:paraId="07F8E47C" w14:textId="30FFA5E7">
      <w:r>
        <w:t>It is estimated that 700 policyholders/property owners (respondents) will complete this web form by filling in information in each field, which is estimated to take 0.08 hours (5 minutes) per response.  Therefore, the total hour burden to a</w:t>
      </w:r>
      <w:r w:rsidR="00452795">
        <w:t>ll</w:t>
      </w:r>
      <w:r>
        <w:t xml:space="preserve"> policyholder</w:t>
      </w:r>
      <w:r w:rsidR="00452795">
        <w:t>s</w:t>
      </w:r>
      <w:r>
        <w:t xml:space="preserve"> would be 700 x 0.08 hours = 56 hours.  </w:t>
      </w:r>
    </w:p>
    <w:p w:rsidR="00B104B7" w:rsidP="00DB6E52" w:rsidRDefault="00B104B7" w14:paraId="3F7CAA09" w14:textId="77777777">
      <w:pPr>
        <w:rPr>
          <w:bCs/>
        </w:rPr>
      </w:pPr>
    </w:p>
    <w:p w:rsidR="00842E74" w:rsidP="00DB6E52" w:rsidRDefault="00842E74" w14:paraId="3E55B152" w14:textId="77777777">
      <w:pPr>
        <w:rPr>
          <w:b/>
          <w:bCs/>
        </w:rPr>
      </w:pPr>
      <w:r>
        <w:fldChar w:fldCharType="begin"/>
      </w:r>
      <w:r>
        <w:instrText>ADVANCE \R 0.95</w:instrText>
      </w:r>
      <w:r>
        <w:fldChar w:fldCharType="end"/>
      </w:r>
      <w:r>
        <w:tab/>
      </w:r>
      <w:r>
        <w:rPr>
          <w:b/>
          <w:bCs/>
        </w:rPr>
        <w:t>b.  If this request for approval covers more than one form, provide separate hour burden estimates for each form and aggregate the hour burdens in Item 13 of OMB Form 83-I.</w:t>
      </w:r>
    </w:p>
    <w:p w:rsidR="00842E74" w:rsidP="00DB6E52" w:rsidRDefault="00842E74" w14:paraId="788066E2" w14:textId="77777777">
      <w:pPr>
        <w:rPr>
          <w:b/>
          <w:bCs/>
        </w:rPr>
      </w:pPr>
    </w:p>
    <w:p w:rsidR="00881E3A" w:rsidP="00DB6E52" w:rsidRDefault="00842E74" w14:paraId="70F7F2F8" w14:textId="27F7F3B6">
      <w:pPr>
        <w:rPr>
          <w:b/>
          <w:bCs/>
        </w:rPr>
      </w:pPr>
      <w:r>
        <w:rPr>
          <w:b/>
          <w:bCs/>
        </w:rPr>
        <w:tab/>
        <w:t>c.</w:t>
      </w:r>
      <w:r w:rsidR="006A4787">
        <w:rPr>
          <w:b/>
          <w:bCs/>
        </w:rPr>
        <w:t xml:space="preserve"> </w:t>
      </w:r>
      <w:r>
        <w:rPr>
          <w:b/>
          <w:bCs/>
        </w:rPr>
        <w:t xml:space="preserve">Provide </w:t>
      </w:r>
      <w:r w:rsidR="00763992">
        <w:rPr>
          <w:b/>
          <w:bCs/>
        </w:rPr>
        <w:t xml:space="preserve">an </w:t>
      </w:r>
      <w:r>
        <w:rPr>
          <w:b/>
          <w:bCs/>
        </w:rPr>
        <w:t>estimate of annualized cost to respondents for the hour burdens for collections of information, identifying and using appropriate</w:t>
      </w:r>
      <w:r w:rsidR="00232C69">
        <w:rPr>
          <w:b/>
          <w:bCs/>
        </w:rPr>
        <w:t xml:space="preserve"> </w:t>
      </w:r>
      <w:r>
        <w:rPr>
          <w:b/>
          <w:bCs/>
        </w:rPr>
        <w:t>wage rate</w:t>
      </w:r>
      <w:r w:rsidR="00763992">
        <w:rPr>
          <w:b/>
          <w:bCs/>
        </w:rPr>
        <w:t xml:space="preserve"> </w:t>
      </w:r>
      <w:r>
        <w:rPr>
          <w:b/>
          <w:bCs/>
        </w:rPr>
        <w:t>categories.</w:t>
      </w:r>
      <w:r w:rsidR="009B69D3">
        <w:rPr>
          <w:b/>
          <w:bCs/>
        </w:rPr>
        <w:t xml:space="preserve">  NOTE: The wage-rate category for each respondent must be multiplied by 1.4 and this total should be entered in the cell for “Avg. Hourly Wage Rate”.</w:t>
      </w:r>
      <w:r>
        <w:rPr>
          <w:b/>
          <w:bCs/>
        </w:rPr>
        <w:t xml:space="preserve">  The cost </w:t>
      </w:r>
      <w:r w:rsidR="006C04FF">
        <w:rPr>
          <w:b/>
          <w:bCs/>
        </w:rPr>
        <w:t xml:space="preserve">to the respondents </w:t>
      </w:r>
      <w:r>
        <w:rPr>
          <w:b/>
          <w:bCs/>
        </w:rPr>
        <w:t>of contracting out or</w:t>
      </w:r>
      <w:r w:rsidR="00232C69">
        <w:rPr>
          <w:b/>
          <w:bCs/>
        </w:rPr>
        <w:t xml:space="preserve"> </w:t>
      </w:r>
      <w:r>
        <w:rPr>
          <w:b/>
          <w:bCs/>
        </w:rPr>
        <w:t>paying outside parties for information collection activities should not be</w:t>
      </w:r>
      <w:r w:rsidR="00232C69">
        <w:rPr>
          <w:b/>
          <w:bCs/>
        </w:rPr>
        <w:t xml:space="preserve"> </w:t>
      </w:r>
      <w:r>
        <w:rPr>
          <w:b/>
          <w:bCs/>
        </w:rPr>
        <w:t>included here.  Instead this cost should be included in Item 1</w:t>
      </w:r>
      <w:r w:rsidR="006540F6">
        <w:rPr>
          <w:b/>
          <w:bCs/>
        </w:rPr>
        <w:t>3</w:t>
      </w:r>
      <w:r>
        <w:rPr>
          <w:b/>
          <w:bCs/>
        </w:rPr>
        <w:t>.</w:t>
      </w:r>
      <w:r w:rsidR="002253D0">
        <w:rPr>
          <w:b/>
          <w:bCs/>
        </w:rPr>
        <w:t xml:space="preserve"> </w:t>
      </w:r>
    </w:p>
    <w:p w:rsidR="00EC3E38" w:rsidRDefault="00EC3E38" w14:paraId="6E4D4BE8" w14:textId="16D43891">
      <w:pPr>
        <w:rPr>
          <w:bCs/>
        </w:rPr>
      </w:pPr>
      <w:r>
        <w:rPr>
          <w:bCs/>
        </w:rPr>
        <w:br w:type="page"/>
      </w:r>
    </w:p>
    <w:p w:rsidRPr="008A37C7" w:rsidR="002C01E9" w:rsidP="002253D0" w:rsidRDefault="002C01E9" w14:paraId="668AD9C8" w14:textId="77777777">
      <w:pPr>
        <w:rPr>
          <w:bCs/>
        </w:rPr>
      </w:pPr>
    </w:p>
    <w:tbl>
      <w:tblPr>
        <w:tblW w:w="9990" w:type="dxa"/>
        <w:tblInd w:w="-190" w:type="dxa"/>
        <w:tblLayout w:type="fixed"/>
        <w:tblCellMar>
          <w:left w:w="0" w:type="dxa"/>
          <w:right w:w="0" w:type="dxa"/>
        </w:tblCellMar>
        <w:tblLook w:val="04A0" w:firstRow="1" w:lastRow="0" w:firstColumn="1" w:lastColumn="0" w:noHBand="0" w:noVBand="1"/>
      </w:tblPr>
      <w:tblGrid>
        <w:gridCol w:w="1170"/>
        <w:gridCol w:w="1620"/>
        <w:gridCol w:w="900"/>
        <w:gridCol w:w="1080"/>
        <w:gridCol w:w="1080"/>
        <w:gridCol w:w="1170"/>
        <w:gridCol w:w="990"/>
        <w:gridCol w:w="810"/>
        <w:gridCol w:w="1170"/>
      </w:tblGrid>
      <w:tr w:rsidRPr="008A37C7" w:rsidR="00881E3A" w:rsidTr="00113610" w14:paraId="3C9F7C76" w14:textId="77777777">
        <w:trPr>
          <w:trHeight w:val="315"/>
        </w:trPr>
        <w:tc>
          <w:tcPr>
            <w:tcW w:w="9990" w:type="dxa"/>
            <w:gridSpan w:val="9"/>
            <w:tcBorders>
              <w:top w:val="single" w:color="auto" w:sz="8" w:space="0"/>
              <w:left w:val="single" w:color="auto" w:sz="8" w:space="0"/>
              <w:bottom w:val="single" w:color="auto" w:sz="8" w:space="0"/>
              <w:right w:val="single" w:color="000000" w:themeColor="text1" w:sz="8" w:space="0"/>
            </w:tcBorders>
            <w:noWrap/>
            <w:tcMar>
              <w:top w:w="0" w:type="dxa"/>
              <w:left w:w="108" w:type="dxa"/>
              <w:bottom w:w="0" w:type="dxa"/>
              <w:right w:w="108" w:type="dxa"/>
            </w:tcMar>
            <w:vAlign w:val="center"/>
            <w:hideMark/>
          </w:tcPr>
          <w:p w:rsidRPr="00113610" w:rsidR="00881E3A" w:rsidP="0085077B" w:rsidRDefault="00881E3A" w14:paraId="7331127F" w14:textId="77777777">
            <w:pPr>
              <w:jc w:val="center"/>
              <w:rPr>
                <w:rFonts w:eastAsia="Calibri"/>
                <w:b/>
                <w:bCs/>
                <w:color w:val="000000"/>
                <w:sz w:val="20"/>
                <w:szCs w:val="20"/>
              </w:rPr>
            </w:pPr>
            <w:r w:rsidRPr="00113610">
              <w:rPr>
                <w:rFonts w:eastAsia="Calibri"/>
                <w:b/>
                <w:bCs/>
                <w:color w:val="000000"/>
                <w:sz w:val="20"/>
                <w:szCs w:val="20"/>
              </w:rPr>
              <w:t>Estimated Annualized Burden Hours and Costs</w:t>
            </w:r>
          </w:p>
        </w:tc>
      </w:tr>
      <w:tr w:rsidRPr="008A37C7" w:rsidR="00881E3A" w:rsidTr="004F7334" w14:paraId="22379618" w14:textId="77777777">
        <w:trPr>
          <w:trHeight w:val="1215"/>
        </w:trPr>
        <w:tc>
          <w:tcPr>
            <w:tcW w:w="1170" w:type="dxa"/>
            <w:tcBorders>
              <w:top w:val="nil"/>
              <w:left w:val="single" w:color="auto" w:sz="8" w:space="0"/>
              <w:bottom w:val="single" w:color="auto" w:sz="8" w:space="0"/>
              <w:right w:val="single" w:color="auto" w:sz="8" w:space="0"/>
            </w:tcBorders>
            <w:shd w:val="clear" w:color="auto" w:fill="8EAADB" w:themeFill="accent1" w:themeFillTint="99"/>
            <w:tcMar>
              <w:top w:w="0" w:type="dxa"/>
              <w:left w:w="108" w:type="dxa"/>
              <w:bottom w:w="0" w:type="dxa"/>
              <w:right w:w="108" w:type="dxa"/>
            </w:tcMar>
            <w:vAlign w:val="center"/>
            <w:hideMark/>
          </w:tcPr>
          <w:p w:rsidRPr="00113610" w:rsidR="00881E3A" w:rsidP="0085077B" w:rsidRDefault="00881E3A" w14:paraId="4D768B1D" w14:textId="77777777">
            <w:pPr>
              <w:jc w:val="center"/>
              <w:rPr>
                <w:rFonts w:eastAsia="Calibri"/>
                <w:b/>
                <w:bCs/>
                <w:color w:val="000000"/>
                <w:sz w:val="18"/>
                <w:szCs w:val="18"/>
              </w:rPr>
            </w:pPr>
            <w:r w:rsidRPr="00113610">
              <w:rPr>
                <w:rFonts w:eastAsia="Calibri"/>
                <w:b/>
                <w:bCs/>
                <w:color w:val="000000"/>
                <w:sz w:val="18"/>
                <w:szCs w:val="18"/>
              </w:rPr>
              <w:t>Type of Respondent</w:t>
            </w:r>
          </w:p>
        </w:tc>
        <w:tc>
          <w:tcPr>
            <w:tcW w:w="1620" w:type="dxa"/>
            <w:tcBorders>
              <w:top w:val="nil"/>
              <w:left w:val="nil"/>
              <w:bottom w:val="single" w:color="auto" w:sz="8" w:space="0"/>
              <w:right w:val="single" w:color="auto" w:sz="8" w:space="0"/>
            </w:tcBorders>
            <w:shd w:val="clear" w:color="auto" w:fill="8EAADB" w:themeFill="accent1" w:themeFillTint="99"/>
            <w:tcMar>
              <w:top w:w="0" w:type="dxa"/>
              <w:left w:w="108" w:type="dxa"/>
              <w:bottom w:w="0" w:type="dxa"/>
              <w:right w:w="108" w:type="dxa"/>
            </w:tcMar>
            <w:vAlign w:val="center"/>
            <w:hideMark/>
          </w:tcPr>
          <w:p w:rsidRPr="00113610" w:rsidR="00881E3A" w:rsidP="0085077B" w:rsidRDefault="00881E3A" w14:paraId="57C3C5FA" w14:textId="77777777">
            <w:pPr>
              <w:jc w:val="center"/>
              <w:rPr>
                <w:rFonts w:eastAsia="Calibri"/>
                <w:b/>
                <w:bCs/>
                <w:color w:val="000000"/>
                <w:sz w:val="18"/>
                <w:szCs w:val="18"/>
              </w:rPr>
            </w:pPr>
            <w:r w:rsidRPr="00113610">
              <w:rPr>
                <w:rFonts w:eastAsia="Calibri"/>
                <w:b/>
                <w:bCs/>
                <w:color w:val="000000"/>
                <w:sz w:val="18"/>
                <w:szCs w:val="18"/>
              </w:rPr>
              <w:t>Form Name / Form Number</w:t>
            </w:r>
          </w:p>
        </w:tc>
        <w:tc>
          <w:tcPr>
            <w:tcW w:w="900" w:type="dxa"/>
            <w:tcBorders>
              <w:top w:val="nil"/>
              <w:left w:val="nil"/>
              <w:bottom w:val="single" w:color="auto" w:sz="8" w:space="0"/>
              <w:right w:val="single" w:color="auto" w:sz="8" w:space="0"/>
            </w:tcBorders>
            <w:shd w:val="clear" w:color="auto" w:fill="8EAADB" w:themeFill="accent1" w:themeFillTint="99"/>
            <w:tcMar>
              <w:top w:w="0" w:type="dxa"/>
              <w:left w:w="108" w:type="dxa"/>
              <w:bottom w:w="0" w:type="dxa"/>
              <w:right w:w="108" w:type="dxa"/>
            </w:tcMar>
            <w:vAlign w:val="center"/>
            <w:hideMark/>
          </w:tcPr>
          <w:p w:rsidRPr="00113610" w:rsidR="00881E3A" w:rsidP="0085077B" w:rsidRDefault="00881E3A" w14:paraId="0C8EFDFC" w14:textId="77777777">
            <w:pPr>
              <w:jc w:val="center"/>
              <w:rPr>
                <w:rFonts w:eastAsia="Calibri"/>
                <w:b/>
                <w:bCs/>
                <w:color w:val="000000"/>
                <w:sz w:val="18"/>
                <w:szCs w:val="18"/>
              </w:rPr>
            </w:pPr>
            <w:r w:rsidRPr="00113610">
              <w:rPr>
                <w:rFonts w:eastAsia="Calibri"/>
                <w:b/>
                <w:bCs/>
                <w:color w:val="000000"/>
                <w:sz w:val="18"/>
                <w:szCs w:val="18"/>
              </w:rPr>
              <w:t xml:space="preserve">No. of </w:t>
            </w:r>
            <w:proofErr w:type="spellStart"/>
            <w:r w:rsidRPr="00113610">
              <w:rPr>
                <w:rFonts w:eastAsia="Calibri"/>
                <w:b/>
                <w:bCs/>
                <w:color w:val="000000"/>
                <w:sz w:val="18"/>
                <w:szCs w:val="18"/>
              </w:rPr>
              <w:t>Respon</w:t>
            </w:r>
            <w:proofErr w:type="spellEnd"/>
            <w:r w:rsidRPr="00113610">
              <w:rPr>
                <w:rFonts w:eastAsia="Calibri"/>
                <w:b/>
                <w:bCs/>
                <w:color w:val="000000"/>
                <w:sz w:val="18"/>
                <w:szCs w:val="18"/>
              </w:rPr>
              <w:t>-dents</w:t>
            </w:r>
          </w:p>
        </w:tc>
        <w:tc>
          <w:tcPr>
            <w:tcW w:w="1080" w:type="dxa"/>
            <w:tcBorders>
              <w:top w:val="nil"/>
              <w:left w:val="nil"/>
              <w:bottom w:val="single" w:color="auto" w:sz="8" w:space="0"/>
              <w:right w:val="single" w:color="auto" w:sz="8" w:space="0"/>
            </w:tcBorders>
            <w:shd w:val="clear" w:color="auto" w:fill="8EAADB" w:themeFill="accent1" w:themeFillTint="99"/>
            <w:tcMar>
              <w:top w:w="0" w:type="dxa"/>
              <w:left w:w="108" w:type="dxa"/>
              <w:bottom w:w="0" w:type="dxa"/>
              <w:right w:w="108" w:type="dxa"/>
            </w:tcMar>
            <w:vAlign w:val="center"/>
            <w:hideMark/>
          </w:tcPr>
          <w:p w:rsidRPr="00113610" w:rsidR="00881E3A" w:rsidP="0085077B" w:rsidRDefault="00881E3A" w14:paraId="64B2712E" w14:textId="427A5B75">
            <w:pPr>
              <w:jc w:val="center"/>
              <w:rPr>
                <w:rFonts w:eastAsia="Calibri"/>
                <w:b/>
                <w:bCs/>
                <w:color w:val="000000"/>
                <w:sz w:val="18"/>
                <w:szCs w:val="18"/>
              </w:rPr>
            </w:pPr>
            <w:r w:rsidRPr="00113610">
              <w:rPr>
                <w:rFonts w:eastAsia="Calibri"/>
                <w:b/>
                <w:bCs/>
                <w:color w:val="000000"/>
                <w:sz w:val="18"/>
                <w:szCs w:val="18"/>
              </w:rPr>
              <w:t xml:space="preserve">No. of Responses per </w:t>
            </w:r>
            <w:proofErr w:type="spellStart"/>
            <w:r w:rsidRPr="00113610">
              <w:rPr>
                <w:rFonts w:eastAsia="Calibri"/>
                <w:b/>
                <w:bCs/>
                <w:color w:val="000000"/>
                <w:sz w:val="18"/>
                <w:szCs w:val="18"/>
              </w:rPr>
              <w:t>Respon</w:t>
            </w:r>
            <w:proofErr w:type="spellEnd"/>
            <w:r w:rsidRPr="00113610">
              <w:rPr>
                <w:rFonts w:eastAsia="Calibri"/>
                <w:b/>
                <w:bCs/>
                <w:color w:val="000000"/>
                <w:sz w:val="18"/>
                <w:szCs w:val="18"/>
              </w:rPr>
              <w:t>-dent</w:t>
            </w:r>
          </w:p>
        </w:tc>
        <w:tc>
          <w:tcPr>
            <w:tcW w:w="1080" w:type="dxa"/>
            <w:tcBorders>
              <w:top w:val="nil"/>
              <w:left w:val="nil"/>
              <w:bottom w:val="single" w:color="auto" w:sz="8" w:space="0"/>
              <w:right w:val="single" w:color="auto" w:sz="8" w:space="0"/>
            </w:tcBorders>
            <w:shd w:val="clear" w:color="auto" w:fill="8EAADB" w:themeFill="accent1" w:themeFillTint="99"/>
            <w:tcMar>
              <w:top w:w="0" w:type="dxa"/>
              <w:left w:w="108" w:type="dxa"/>
              <w:bottom w:w="0" w:type="dxa"/>
              <w:right w:w="108" w:type="dxa"/>
            </w:tcMar>
            <w:vAlign w:val="center"/>
            <w:hideMark/>
          </w:tcPr>
          <w:p w:rsidRPr="00113610" w:rsidR="00881E3A" w:rsidP="0085077B" w:rsidRDefault="00881E3A" w14:paraId="2CACDA3D" w14:textId="77777777">
            <w:pPr>
              <w:jc w:val="center"/>
              <w:rPr>
                <w:rFonts w:eastAsia="Calibri"/>
                <w:b/>
                <w:bCs/>
                <w:color w:val="000000"/>
                <w:sz w:val="18"/>
                <w:szCs w:val="18"/>
              </w:rPr>
            </w:pPr>
            <w:r w:rsidRPr="00113610">
              <w:rPr>
                <w:rFonts w:eastAsia="Calibri"/>
                <w:b/>
                <w:bCs/>
                <w:color w:val="000000"/>
                <w:sz w:val="18"/>
                <w:szCs w:val="18"/>
              </w:rPr>
              <w:t>Total No. of Responses</w:t>
            </w:r>
          </w:p>
        </w:tc>
        <w:tc>
          <w:tcPr>
            <w:tcW w:w="1170" w:type="dxa"/>
            <w:tcBorders>
              <w:top w:val="nil"/>
              <w:left w:val="nil"/>
              <w:bottom w:val="single" w:color="auto" w:sz="8" w:space="0"/>
              <w:right w:val="single" w:color="auto" w:sz="8" w:space="0"/>
            </w:tcBorders>
            <w:shd w:val="clear" w:color="auto" w:fill="8EAADB" w:themeFill="accent1" w:themeFillTint="99"/>
            <w:tcMar>
              <w:top w:w="0" w:type="dxa"/>
              <w:left w:w="108" w:type="dxa"/>
              <w:bottom w:w="0" w:type="dxa"/>
              <w:right w:w="108" w:type="dxa"/>
            </w:tcMar>
            <w:vAlign w:val="center"/>
            <w:hideMark/>
          </w:tcPr>
          <w:p w:rsidRPr="00113610" w:rsidR="00881E3A" w:rsidP="0085077B" w:rsidRDefault="00881E3A" w14:paraId="7E3D188B" w14:textId="77777777">
            <w:pPr>
              <w:jc w:val="center"/>
              <w:rPr>
                <w:rFonts w:eastAsia="Calibri"/>
                <w:b/>
                <w:bCs/>
                <w:color w:val="000000"/>
                <w:sz w:val="18"/>
                <w:szCs w:val="18"/>
              </w:rPr>
            </w:pPr>
            <w:r w:rsidRPr="00113610">
              <w:rPr>
                <w:rFonts w:eastAsia="Calibri"/>
                <w:b/>
                <w:bCs/>
                <w:color w:val="000000"/>
                <w:sz w:val="18"/>
                <w:szCs w:val="18"/>
              </w:rPr>
              <w:t>Avg. Burden per Response (in hours)</w:t>
            </w:r>
          </w:p>
        </w:tc>
        <w:tc>
          <w:tcPr>
            <w:tcW w:w="990" w:type="dxa"/>
            <w:tcBorders>
              <w:top w:val="nil"/>
              <w:left w:val="nil"/>
              <w:bottom w:val="single" w:color="auto" w:sz="8" w:space="0"/>
              <w:right w:val="single" w:color="auto" w:sz="8" w:space="0"/>
            </w:tcBorders>
            <w:shd w:val="clear" w:color="auto" w:fill="8EAADB" w:themeFill="accent1" w:themeFillTint="99"/>
            <w:tcMar>
              <w:top w:w="0" w:type="dxa"/>
              <w:left w:w="108" w:type="dxa"/>
              <w:bottom w:w="0" w:type="dxa"/>
              <w:right w:w="108" w:type="dxa"/>
            </w:tcMar>
            <w:vAlign w:val="center"/>
            <w:hideMark/>
          </w:tcPr>
          <w:p w:rsidRPr="00113610" w:rsidR="00881E3A" w:rsidP="0085077B" w:rsidRDefault="00881E3A" w14:paraId="08E38A28" w14:textId="77777777">
            <w:pPr>
              <w:jc w:val="center"/>
              <w:rPr>
                <w:rFonts w:eastAsia="Calibri"/>
                <w:b/>
                <w:bCs/>
                <w:color w:val="000000"/>
                <w:sz w:val="18"/>
                <w:szCs w:val="18"/>
              </w:rPr>
            </w:pPr>
            <w:r w:rsidRPr="00113610">
              <w:rPr>
                <w:rFonts w:eastAsia="Calibri"/>
                <w:b/>
                <w:bCs/>
                <w:color w:val="000000"/>
                <w:sz w:val="18"/>
                <w:szCs w:val="18"/>
              </w:rPr>
              <w:t>Total Annual Burden (in hours)</w:t>
            </w:r>
          </w:p>
        </w:tc>
        <w:tc>
          <w:tcPr>
            <w:tcW w:w="810" w:type="dxa"/>
            <w:tcBorders>
              <w:top w:val="nil"/>
              <w:left w:val="nil"/>
              <w:bottom w:val="single" w:color="auto" w:sz="8" w:space="0"/>
              <w:right w:val="single" w:color="auto" w:sz="8" w:space="0"/>
            </w:tcBorders>
            <w:shd w:val="clear" w:color="auto" w:fill="8EAADB" w:themeFill="accent1" w:themeFillTint="99"/>
            <w:tcMar>
              <w:top w:w="0" w:type="dxa"/>
              <w:left w:w="108" w:type="dxa"/>
              <w:bottom w:w="0" w:type="dxa"/>
              <w:right w:w="108" w:type="dxa"/>
            </w:tcMar>
            <w:vAlign w:val="center"/>
            <w:hideMark/>
          </w:tcPr>
          <w:p w:rsidRPr="00113610" w:rsidR="00881E3A" w:rsidP="0085077B" w:rsidRDefault="00881E3A" w14:paraId="1C37C52C" w14:textId="77777777">
            <w:pPr>
              <w:jc w:val="center"/>
              <w:rPr>
                <w:rFonts w:eastAsia="Calibri"/>
                <w:b/>
                <w:bCs/>
                <w:color w:val="000000"/>
                <w:sz w:val="18"/>
                <w:szCs w:val="18"/>
              </w:rPr>
            </w:pPr>
            <w:r w:rsidRPr="00113610">
              <w:rPr>
                <w:rFonts w:eastAsia="Calibri"/>
                <w:b/>
                <w:bCs/>
                <w:color w:val="000000"/>
                <w:sz w:val="18"/>
                <w:szCs w:val="18"/>
              </w:rPr>
              <w:t>Avg. Hourly Wage Rate</w:t>
            </w:r>
          </w:p>
        </w:tc>
        <w:tc>
          <w:tcPr>
            <w:tcW w:w="1170" w:type="dxa"/>
            <w:tcBorders>
              <w:top w:val="nil"/>
              <w:left w:val="nil"/>
              <w:bottom w:val="single" w:color="auto" w:sz="8" w:space="0"/>
              <w:right w:val="single" w:color="auto" w:sz="8" w:space="0"/>
            </w:tcBorders>
            <w:shd w:val="clear" w:color="auto" w:fill="8EAADB" w:themeFill="accent1" w:themeFillTint="99"/>
            <w:tcMar>
              <w:top w:w="0" w:type="dxa"/>
              <w:left w:w="108" w:type="dxa"/>
              <w:bottom w:w="0" w:type="dxa"/>
              <w:right w:w="108" w:type="dxa"/>
            </w:tcMar>
            <w:vAlign w:val="center"/>
            <w:hideMark/>
          </w:tcPr>
          <w:p w:rsidRPr="00113610" w:rsidR="00881E3A" w:rsidP="0085077B" w:rsidRDefault="00881E3A" w14:paraId="2293FC02" w14:textId="77777777">
            <w:pPr>
              <w:jc w:val="center"/>
              <w:rPr>
                <w:rFonts w:eastAsia="Calibri"/>
                <w:b/>
                <w:bCs/>
                <w:color w:val="000000"/>
                <w:sz w:val="18"/>
                <w:szCs w:val="18"/>
              </w:rPr>
            </w:pPr>
            <w:r w:rsidRPr="00113610">
              <w:rPr>
                <w:rFonts w:eastAsia="Calibri"/>
                <w:b/>
                <w:bCs/>
                <w:color w:val="000000"/>
                <w:sz w:val="18"/>
                <w:szCs w:val="18"/>
              </w:rPr>
              <w:t>Total Annual Respondent Cost</w:t>
            </w:r>
          </w:p>
        </w:tc>
      </w:tr>
      <w:tr w:rsidRPr="008A37C7" w:rsidR="00881E3A" w:rsidTr="008A4963" w14:paraId="7BEF4FB8" w14:textId="77777777">
        <w:trPr>
          <w:trHeight w:val="315"/>
        </w:trPr>
        <w:tc>
          <w:tcPr>
            <w:tcW w:w="117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113610" w:rsidR="00881E3A" w:rsidP="0085077B" w:rsidRDefault="00881E3A" w14:paraId="4985E77E" w14:textId="77777777">
            <w:pPr>
              <w:rPr>
                <w:rFonts w:eastAsia="Calibri"/>
                <w:color w:val="000000"/>
                <w:sz w:val="18"/>
                <w:szCs w:val="18"/>
              </w:rPr>
            </w:pPr>
            <w:r w:rsidRPr="00E104FF">
              <w:rPr>
                <w:rFonts w:eastAsia="Calibri"/>
                <w:color w:val="000000"/>
                <w:sz w:val="18"/>
                <w:szCs w:val="18"/>
              </w:rPr>
              <w:t>Business or other for-profit</w:t>
            </w:r>
          </w:p>
        </w:tc>
        <w:tc>
          <w:tcPr>
            <w:tcW w:w="162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113610" w:rsidR="00881E3A" w:rsidP="0085077B" w:rsidRDefault="00881E3A" w14:paraId="310E9F45" w14:textId="77777777">
            <w:pPr>
              <w:rPr>
                <w:rFonts w:eastAsia="Calibri"/>
                <w:color w:val="000000"/>
                <w:sz w:val="18"/>
                <w:szCs w:val="18"/>
              </w:rPr>
            </w:pPr>
            <w:r w:rsidRPr="00113610">
              <w:rPr>
                <w:rFonts w:eastAsia="Calibri"/>
                <w:sz w:val="18"/>
                <w:szCs w:val="18"/>
              </w:rPr>
              <w:t>Financial Assistance/Subsidy Arrangement Notice of Acceptance / No Form</w:t>
            </w:r>
          </w:p>
        </w:tc>
        <w:tc>
          <w:tcPr>
            <w:tcW w:w="90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113610" w:rsidR="00881E3A" w:rsidP="0085077B" w:rsidRDefault="00881E3A" w14:paraId="1900F362" w14:textId="77777777">
            <w:pPr>
              <w:jc w:val="center"/>
              <w:rPr>
                <w:rFonts w:eastAsia="Calibri"/>
                <w:color w:val="000000"/>
                <w:sz w:val="18"/>
                <w:szCs w:val="18"/>
              </w:rPr>
            </w:pPr>
            <w:r w:rsidRPr="00113610">
              <w:rPr>
                <w:rFonts w:eastAsia="Calibri"/>
                <w:color w:val="000000"/>
                <w:sz w:val="18"/>
                <w:szCs w:val="18"/>
              </w:rPr>
              <w:t>91</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113610" w:rsidR="00881E3A" w:rsidP="0085077B" w:rsidRDefault="00881E3A" w14:paraId="5485BDDC" w14:textId="77777777">
            <w:pPr>
              <w:jc w:val="center"/>
              <w:rPr>
                <w:rFonts w:eastAsia="Calibri"/>
                <w:color w:val="000000"/>
                <w:sz w:val="18"/>
                <w:szCs w:val="18"/>
              </w:rPr>
            </w:pPr>
            <w:r w:rsidRPr="00113610">
              <w:rPr>
                <w:rFonts w:eastAsia="Calibri"/>
                <w:sz w:val="18"/>
                <w:szCs w:val="18"/>
              </w:rPr>
              <w:t>1</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113610" w:rsidR="00881E3A" w:rsidP="0085077B" w:rsidRDefault="00881E3A" w14:paraId="29D170CC" w14:textId="77777777">
            <w:pPr>
              <w:jc w:val="center"/>
              <w:rPr>
                <w:rFonts w:eastAsia="Calibri"/>
                <w:color w:val="000000"/>
                <w:sz w:val="18"/>
                <w:szCs w:val="18"/>
              </w:rPr>
            </w:pPr>
            <w:r w:rsidRPr="00113610">
              <w:rPr>
                <w:rFonts w:eastAsia="Calibri"/>
                <w:color w:val="000000"/>
                <w:sz w:val="18"/>
                <w:szCs w:val="18"/>
              </w:rPr>
              <w:t>91</w:t>
            </w:r>
          </w:p>
        </w:tc>
        <w:tc>
          <w:tcPr>
            <w:tcW w:w="117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113610" w:rsidR="00881E3A" w:rsidP="0085077B" w:rsidRDefault="00881E3A" w14:paraId="62E10DB6" w14:textId="77777777">
            <w:pPr>
              <w:jc w:val="center"/>
              <w:rPr>
                <w:rFonts w:eastAsia="Calibri"/>
                <w:color w:val="000000"/>
                <w:sz w:val="18"/>
                <w:szCs w:val="18"/>
              </w:rPr>
            </w:pPr>
          </w:p>
          <w:p w:rsidRPr="00113610" w:rsidR="00881E3A" w:rsidP="0085077B" w:rsidRDefault="00881E3A" w14:paraId="6B404E70" w14:textId="70ABE482">
            <w:pPr>
              <w:jc w:val="center"/>
              <w:rPr>
                <w:rFonts w:eastAsia="Calibri"/>
                <w:color w:val="000000"/>
                <w:sz w:val="18"/>
                <w:szCs w:val="18"/>
              </w:rPr>
            </w:pPr>
            <w:r w:rsidRPr="00113610">
              <w:rPr>
                <w:rFonts w:eastAsia="Calibri"/>
                <w:color w:val="000000"/>
                <w:sz w:val="18"/>
                <w:szCs w:val="18"/>
              </w:rPr>
              <w:t>0.5</w:t>
            </w:r>
          </w:p>
        </w:tc>
        <w:tc>
          <w:tcPr>
            <w:tcW w:w="99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113610" w:rsidR="00881E3A" w:rsidP="0085077B" w:rsidRDefault="00881E3A" w14:paraId="1D0E18E6" w14:textId="77777777">
            <w:pPr>
              <w:jc w:val="center"/>
              <w:rPr>
                <w:rFonts w:eastAsia="Calibri"/>
                <w:color w:val="000000"/>
                <w:sz w:val="18"/>
                <w:szCs w:val="18"/>
              </w:rPr>
            </w:pPr>
            <w:r w:rsidRPr="00113610">
              <w:rPr>
                <w:rFonts w:eastAsia="Calibri"/>
                <w:color w:val="000000"/>
                <w:sz w:val="18"/>
                <w:szCs w:val="18"/>
              </w:rPr>
              <w:t xml:space="preserve">46 </w:t>
            </w:r>
          </w:p>
        </w:tc>
        <w:tc>
          <w:tcPr>
            <w:tcW w:w="81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113610" w:rsidR="00881E3A" w:rsidP="0085077B" w:rsidRDefault="00881E3A" w14:paraId="40DDECEC" w14:textId="0D6A42D8">
            <w:pPr>
              <w:jc w:val="center"/>
              <w:rPr>
                <w:rFonts w:eastAsia="Calibri"/>
                <w:color w:val="000000"/>
                <w:sz w:val="18"/>
                <w:szCs w:val="18"/>
              </w:rPr>
            </w:pPr>
            <w:r w:rsidRPr="00113610">
              <w:rPr>
                <w:rFonts w:eastAsia="Calibri"/>
                <w:color w:val="000000"/>
                <w:sz w:val="18"/>
                <w:szCs w:val="18"/>
              </w:rPr>
              <w:t>$4</w:t>
            </w:r>
            <w:r w:rsidR="0093639A">
              <w:rPr>
                <w:rFonts w:eastAsia="Calibri"/>
                <w:color w:val="000000"/>
                <w:sz w:val="18"/>
                <w:szCs w:val="18"/>
              </w:rPr>
              <w:t>6.72</w:t>
            </w:r>
          </w:p>
        </w:tc>
        <w:tc>
          <w:tcPr>
            <w:tcW w:w="117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hideMark/>
          </w:tcPr>
          <w:p w:rsidRPr="00113610" w:rsidR="00881E3A" w:rsidP="0085077B" w:rsidRDefault="00881E3A" w14:paraId="1CD6EA82" w14:textId="4093166F">
            <w:pPr>
              <w:jc w:val="center"/>
              <w:rPr>
                <w:rFonts w:eastAsia="Calibri"/>
                <w:color w:val="000000"/>
                <w:sz w:val="18"/>
                <w:szCs w:val="18"/>
              </w:rPr>
            </w:pPr>
            <w:r w:rsidRPr="00113610">
              <w:rPr>
                <w:rFonts w:eastAsia="Calibri"/>
                <w:color w:val="000000"/>
                <w:sz w:val="18"/>
                <w:szCs w:val="18"/>
              </w:rPr>
              <w:t>$2,</w:t>
            </w:r>
            <w:r w:rsidR="0093639A">
              <w:rPr>
                <w:rFonts w:eastAsia="Calibri"/>
                <w:color w:val="000000"/>
                <w:sz w:val="18"/>
                <w:szCs w:val="18"/>
              </w:rPr>
              <w:t>149</w:t>
            </w:r>
          </w:p>
        </w:tc>
      </w:tr>
      <w:tr w:rsidRPr="008A37C7" w:rsidR="00881E3A" w:rsidTr="008A4963" w14:paraId="3905F968" w14:textId="77777777">
        <w:trPr>
          <w:trHeight w:val="315"/>
        </w:trPr>
        <w:tc>
          <w:tcPr>
            <w:tcW w:w="117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113610" w:rsidR="00881E3A" w:rsidP="0085077B" w:rsidRDefault="00881E3A" w14:paraId="26D24586" w14:textId="77777777">
            <w:pPr>
              <w:rPr>
                <w:rFonts w:eastAsia="Calibri"/>
                <w:color w:val="000000"/>
                <w:sz w:val="18"/>
                <w:szCs w:val="18"/>
              </w:rPr>
            </w:pPr>
            <w:r w:rsidRPr="00E104FF">
              <w:rPr>
                <w:rFonts w:eastAsia="Calibri"/>
                <w:color w:val="000000"/>
                <w:sz w:val="18"/>
                <w:szCs w:val="18"/>
              </w:rPr>
              <w:t>Business or other for-profit</w:t>
            </w:r>
          </w:p>
        </w:tc>
        <w:tc>
          <w:tcPr>
            <w:tcW w:w="162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113610" w:rsidR="00881E3A" w:rsidP="0085077B" w:rsidRDefault="00881E3A" w14:paraId="6BC1ECEF" w14:textId="77777777">
            <w:pPr>
              <w:rPr>
                <w:rFonts w:eastAsia="Calibri"/>
                <w:color w:val="000000"/>
                <w:sz w:val="18"/>
                <w:szCs w:val="18"/>
              </w:rPr>
            </w:pPr>
            <w:r w:rsidRPr="00113610">
              <w:rPr>
                <w:rFonts w:eastAsia="Calibri"/>
                <w:sz w:val="18"/>
                <w:szCs w:val="18"/>
              </w:rPr>
              <w:t>Mortgage Portfolio Protection Program Agreement Receipt for Materials / No Form</w:t>
            </w:r>
          </w:p>
        </w:tc>
        <w:tc>
          <w:tcPr>
            <w:tcW w:w="90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113610" w:rsidR="00881E3A" w:rsidP="0085077B" w:rsidRDefault="00881E3A" w14:paraId="09AB8311" w14:textId="77777777">
            <w:pPr>
              <w:jc w:val="center"/>
              <w:rPr>
                <w:rFonts w:eastAsia="Calibri"/>
                <w:sz w:val="18"/>
                <w:szCs w:val="18"/>
              </w:rPr>
            </w:pPr>
            <w:r w:rsidRPr="00113610">
              <w:rPr>
                <w:rFonts w:eastAsia="Calibri"/>
                <w:sz w:val="18"/>
                <w:szCs w:val="18"/>
              </w:rPr>
              <w:t>250</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113610" w:rsidR="00881E3A" w:rsidP="0085077B" w:rsidRDefault="00881E3A" w14:paraId="13CFC891" w14:textId="77777777">
            <w:pPr>
              <w:jc w:val="center"/>
              <w:rPr>
                <w:rFonts w:eastAsia="Calibri"/>
                <w:sz w:val="18"/>
                <w:szCs w:val="18"/>
              </w:rPr>
            </w:pPr>
            <w:r w:rsidRPr="00113610">
              <w:rPr>
                <w:rFonts w:eastAsia="Calibri"/>
                <w:sz w:val="18"/>
                <w:szCs w:val="18"/>
              </w:rPr>
              <w:t>1</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113610" w:rsidR="00881E3A" w:rsidP="0085077B" w:rsidRDefault="00881E3A" w14:paraId="254E2EA8" w14:textId="77777777">
            <w:pPr>
              <w:jc w:val="center"/>
              <w:rPr>
                <w:rFonts w:eastAsia="Calibri"/>
                <w:sz w:val="18"/>
                <w:szCs w:val="18"/>
              </w:rPr>
            </w:pPr>
            <w:r w:rsidRPr="00113610">
              <w:rPr>
                <w:rFonts w:eastAsia="Calibri"/>
                <w:sz w:val="18"/>
                <w:szCs w:val="18"/>
              </w:rPr>
              <w:t>250</w:t>
            </w:r>
          </w:p>
        </w:tc>
        <w:tc>
          <w:tcPr>
            <w:tcW w:w="117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113610" w:rsidR="00881E3A" w:rsidP="0085077B" w:rsidRDefault="00881E3A" w14:paraId="43609D8D" w14:textId="77777777">
            <w:pPr>
              <w:jc w:val="center"/>
              <w:rPr>
                <w:rFonts w:eastAsia="Calibri"/>
                <w:color w:val="000000"/>
                <w:sz w:val="18"/>
                <w:szCs w:val="18"/>
              </w:rPr>
            </w:pPr>
          </w:p>
          <w:p w:rsidRPr="00113610" w:rsidR="00881E3A" w:rsidP="0085077B" w:rsidRDefault="00881E3A" w14:paraId="5EA194AA" w14:textId="4AAC5305">
            <w:pPr>
              <w:jc w:val="center"/>
              <w:rPr>
                <w:rFonts w:eastAsia="Calibri"/>
                <w:color w:val="000000"/>
                <w:sz w:val="18"/>
                <w:szCs w:val="18"/>
              </w:rPr>
            </w:pPr>
            <w:r w:rsidRPr="00113610">
              <w:rPr>
                <w:rFonts w:eastAsia="Calibri"/>
                <w:color w:val="000000"/>
                <w:sz w:val="18"/>
                <w:szCs w:val="18"/>
              </w:rPr>
              <w:t>0.5</w:t>
            </w:r>
          </w:p>
        </w:tc>
        <w:tc>
          <w:tcPr>
            <w:tcW w:w="99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113610" w:rsidR="00881E3A" w:rsidP="0085077B" w:rsidRDefault="00881E3A" w14:paraId="77D12F45" w14:textId="77777777">
            <w:pPr>
              <w:jc w:val="center"/>
              <w:rPr>
                <w:rFonts w:eastAsia="Calibri"/>
                <w:color w:val="000000"/>
                <w:sz w:val="18"/>
                <w:szCs w:val="18"/>
              </w:rPr>
            </w:pPr>
            <w:r w:rsidRPr="00113610">
              <w:rPr>
                <w:rFonts w:eastAsia="Calibri"/>
                <w:sz w:val="18"/>
                <w:szCs w:val="18"/>
              </w:rPr>
              <w:t>125</w:t>
            </w:r>
          </w:p>
        </w:tc>
        <w:tc>
          <w:tcPr>
            <w:tcW w:w="81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hideMark/>
          </w:tcPr>
          <w:p w:rsidRPr="00113610" w:rsidR="00881E3A" w:rsidP="0085077B" w:rsidRDefault="00881E3A" w14:paraId="2F0F7163" w14:textId="4FF9C85F">
            <w:pPr>
              <w:jc w:val="center"/>
              <w:rPr>
                <w:rFonts w:eastAsia="Calibri"/>
                <w:color w:val="000000"/>
                <w:sz w:val="18"/>
                <w:szCs w:val="18"/>
              </w:rPr>
            </w:pPr>
            <w:r w:rsidRPr="00113610">
              <w:rPr>
                <w:rFonts w:eastAsia="Calibri"/>
                <w:color w:val="000000"/>
                <w:sz w:val="18"/>
                <w:szCs w:val="18"/>
              </w:rPr>
              <w:t>$</w:t>
            </w:r>
            <w:r w:rsidR="00E44914">
              <w:rPr>
                <w:rFonts w:eastAsia="Calibri"/>
                <w:color w:val="000000"/>
                <w:sz w:val="18"/>
                <w:szCs w:val="18"/>
              </w:rPr>
              <w:t>60.</w:t>
            </w:r>
            <w:r w:rsidR="00AD2332">
              <w:rPr>
                <w:rFonts w:eastAsia="Calibri"/>
                <w:color w:val="000000"/>
                <w:sz w:val="18"/>
                <w:szCs w:val="18"/>
              </w:rPr>
              <w:t>07</w:t>
            </w:r>
          </w:p>
        </w:tc>
        <w:tc>
          <w:tcPr>
            <w:tcW w:w="117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113610" w:rsidR="00881E3A" w:rsidP="0085077B" w:rsidRDefault="00881E3A" w14:paraId="7E7DBE99" w14:textId="3C88D162">
            <w:pPr>
              <w:jc w:val="center"/>
              <w:rPr>
                <w:rFonts w:eastAsia="Calibri"/>
                <w:color w:val="000000"/>
                <w:sz w:val="18"/>
                <w:szCs w:val="18"/>
              </w:rPr>
            </w:pPr>
            <w:r w:rsidRPr="00113610">
              <w:rPr>
                <w:rFonts w:eastAsia="Calibri"/>
                <w:color w:val="000000"/>
                <w:sz w:val="18"/>
                <w:szCs w:val="18"/>
              </w:rPr>
              <w:t>$7,</w:t>
            </w:r>
            <w:r w:rsidR="00E44914">
              <w:rPr>
                <w:rFonts w:eastAsia="Calibri"/>
                <w:color w:val="000000"/>
                <w:sz w:val="18"/>
                <w:szCs w:val="18"/>
              </w:rPr>
              <w:t>5</w:t>
            </w:r>
            <w:r w:rsidR="00AD2332">
              <w:rPr>
                <w:rFonts w:eastAsia="Calibri"/>
                <w:color w:val="000000"/>
                <w:sz w:val="18"/>
                <w:szCs w:val="18"/>
              </w:rPr>
              <w:t>09</w:t>
            </w:r>
          </w:p>
        </w:tc>
      </w:tr>
      <w:tr w:rsidRPr="008A37C7" w:rsidR="00DC0A34" w:rsidTr="008A4963" w14:paraId="6E26E7AF" w14:textId="77777777">
        <w:trPr>
          <w:trHeight w:val="315"/>
        </w:trPr>
        <w:tc>
          <w:tcPr>
            <w:tcW w:w="117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rsidRPr="00113610" w:rsidR="00DC0A34" w:rsidP="0085077B" w:rsidRDefault="115F74FF" w14:paraId="3B2CD87C" w14:textId="549B6A38">
            <w:pPr>
              <w:rPr>
                <w:rFonts w:eastAsia="Calibri"/>
                <w:color w:val="000000"/>
                <w:sz w:val="18"/>
                <w:szCs w:val="18"/>
              </w:rPr>
            </w:pPr>
            <w:r w:rsidRPr="00E104FF">
              <w:rPr>
                <w:sz w:val="20"/>
                <w:szCs w:val="20"/>
              </w:rPr>
              <w:t>Individuals, households, businesses, or other for profit</w:t>
            </w:r>
          </w:p>
        </w:tc>
        <w:tc>
          <w:tcPr>
            <w:tcW w:w="1620" w:type="dxa"/>
            <w:tcBorders>
              <w:top w:val="nil"/>
              <w:left w:val="nil"/>
              <w:bottom w:val="single" w:color="auto" w:sz="8" w:space="0"/>
              <w:right w:val="single" w:color="auto" w:sz="8" w:space="0"/>
            </w:tcBorders>
            <w:tcMar>
              <w:top w:w="0" w:type="dxa"/>
              <w:left w:w="108" w:type="dxa"/>
              <w:bottom w:w="0" w:type="dxa"/>
              <w:right w:w="108" w:type="dxa"/>
            </w:tcMar>
            <w:vAlign w:val="center"/>
          </w:tcPr>
          <w:p w:rsidRPr="00113610" w:rsidR="00DC0A34" w:rsidP="0085077B" w:rsidRDefault="115F74FF" w14:paraId="4279EA7C" w14:textId="502F0112">
            <w:pPr>
              <w:rPr>
                <w:rFonts w:eastAsia="Calibri"/>
                <w:sz w:val="18"/>
                <w:szCs w:val="18"/>
              </w:rPr>
            </w:pPr>
            <w:r w:rsidRPr="00113610">
              <w:rPr>
                <w:rFonts w:eastAsia="Calibri"/>
                <w:sz w:val="18"/>
                <w:szCs w:val="18"/>
              </w:rPr>
              <w:t>Ask the Advocate web</w:t>
            </w:r>
            <w:r w:rsidRPr="00113610" w:rsidR="0052230A">
              <w:rPr>
                <w:rFonts w:eastAsia="Calibri"/>
                <w:sz w:val="18"/>
                <w:szCs w:val="18"/>
              </w:rPr>
              <w:t xml:space="preserve"> </w:t>
            </w:r>
            <w:r w:rsidRPr="00113610">
              <w:rPr>
                <w:rFonts w:eastAsia="Calibri"/>
                <w:sz w:val="18"/>
                <w:szCs w:val="18"/>
              </w:rPr>
              <w:t>form</w:t>
            </w:r>
          </w:p>
        </w:tc>
        <w:tc>
          <w:tcPr>
            <w:tcW w:w="900" w:type="dxa"/>
            <w:tcBorders>
              <w:top w:val="nil"/>
              <w:left w:val="nil"/>
              <w:bottom w:val="single" w:color="auto" w:sz="8" w:space="0"/>
              <w:right w:val="single" w:color="auto" w:sz="8" w:space="0"/>
            </w:tcBorders>
            <w:tcMar>
              <w:top w:w="0" w:type="dxa"/>
              <w:left w:w="108" w:type="dxa"/>
              <w:bottom w:w="0" w:type="dxa"/>
              <w:right w:w="108" w:type="dxa"/>
            </w:tcMar>
            <w:vAlign w:val="center"/>
          </w:tcPr>
          <w:p w:rsidRPr="00113610" w:rsidR="00DC0A34" w:rsidP="0085077B" w:rsidRDefault="000332CA" w14:paraId="5A255DEE" w14:textId="606803F7">
            <w:pPr>
              <w:jc w:val="center"/>
              <w:rPr>
                <w:rFonts w:eastAsia="Calibri"/>
                <w:sz w:val="18"/>
                <w:szCs w:val="18"/>
              </w:rPr>
            </w:pPr>
            <w:r w:rsidRPr="00113610">
              <w:rPr>
                <w:rFonts w:eastAsia="Calibri"/>
                <w:sz w:val="18"/>
                <w:szCs w:val="18"/>
              </w:rPr>
              <w:t>700</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rsidRPr="00113610" w:rsidR="00DC0A34" w:rsidP="0085077B" w:rsidRDefault="000332CA" w14:paraId="669146DB" w14:textId="116D0EA6">
            <w:pPr>
              <w:jc w:val="center"/>
              <w:rPr>
                <w:rFonts w:eastAsia="Calibri"/>
                <w:sz w:val="18"/>
                <w:szCs w:val="18"/>
              </w:rPr>
            </w:pPr>
            <w:r w:rsidRPr="00113610">
              <w:rPr>
                <w:rFonts w:eastAsia="Calibri"/>
                <w:sz w:val="18"/>
                <w:szCs w:val="18"/>
              </w:rPr>
              <w:t>1</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rsidRPr="00113610" w:rsidR="00DC0A34" w:rsidP="0085077B" w:rsidRDefault="000332CA" w14:paraId="6E581FC4" w14:textId="34731904">
            <w:pPr>
              <w:jc w:val="center"/>
              <w:rPr>
                <w:rFonts w:eastAsia="Calibri"/>
                <w:sz w:val="18"/>
                <w:szCs w:val="18"/>
              </w:rPr>
            </w:pPr>
            <w:r w:rsidRPr="00113610">
              <w:rPr>
                <w:rFonts w:eastAsia="Calibri"/>
                <w:sz w:val="18"/>
                <w:szCs w:val="18"/>
              </w:rPr>
              <w:t>700</w:t>
            </w:r>
          </w:p>
        </w:tc>
        <w:tc>
          <w:tcPr>
            <w:tcW w:w="1170" w:type="dxa"/>
            <w:tcBorders>
              <w:top w:val="nil"/>
              <w:left w:val="nil"/>
              <w:bottom w:val="single" w:color="auto" w:sz="8" w:space="0"/>
              <w:right w:val="single" w:color="auto" w:sz="8" w:space="0"/>
            </w:tcBorders>
            <w:tcMar>
              <w:top w:w="0" w:type="dxa"/>
              <w:left w:w="108" w:type="dxa"/>
              <w:bottom w:w="0" w:type="dxa"/>
              <w:right w:w="108" w:type="dxa"/>
            </w:tcMar>
            <w:vAlign w:val="center"/>
          </w:tcPr>
          <w:p w:rsidRPr="00113610" w:rsidR="00DC0A34" w:rsidP="0085077B" w:rsidRDefault="115F74FF" w14:paraId="45C784BC" w14:textId="6460BF90">
            <w:pPr>
              <w:jc w:val="center"/>
              <w:rPr>
                <w:rFonts w:eastAsia="Calibri"/>
                <w:color w:val="000000"/>
                <w:sz w:val="18"/>
                <w:szCs w:val="18"/>
              </w:rPr>
            </w:pPr>
            <w:r w:rsidRPr="00113610">
              <w:rPr>
                <w:rFonts w:eastAsia="Calibri"/>
                <w:color w:val="000000" w:themeColor="text1"/>
                <w:sz w:val="18"/>
                <w:szCs w:val="18"/>
              </w:rPr>
              <w:t>0.08</w:t>
            </w:r>
          </w:p>
        </w:tc>
        <w:tc>
          <w:tcPr>
            <w:tcW w:w="990" w:type="dxa"/>
            <w:tcBorders>
              <w:top w:val="nil"/>
              <w:left w:val="nil"/>
              <w:bottom w:val="single" w:color="auto" w:sz="8" w:space="0"/>
              <w:right w:val="single" w:color="auto" w:sz="8" w:space="0"/>
            </w:tcBorders>
            <w:tcMar>
              <w:top w:w="0" w:type="dxa"/>
              <w:left w:w="108" w:type="dxa"/>
              <w:bottom w:w="0" w:type="dxa"/>
              <w:right w:w="108" w:type="dxa"/>
            </w:tcMar>
            <w:vAlign w:val="center"/>
          </w:tcPr>
          <w:p w:rsidRPr="00113610" w:rsidR="00DC0A34" w:rsidP="0085077B" w:rsidRDefault="000332CA" w14:paraId="123BF4BF" w14:textId="3B148B9C">
            <w:pPr>
              <w:jc w:val="center"/>
              <w:rPr>
                <w:rFonts w:eastAsia="Calibri"/>
                <w:sz w:val="18"/>
                <w:szCs w:val="18"/>
              </w:rPr>
            </w:pPr>
            <w:r w:rsidRPr="00113610">
              <w:rPr>
                <w:rFonts w:eastAsia="Calibri"/>
                <w:sz w:val="18"/>
                <w:szCs w:val="18"/>
              </w:rPr>
              <w:t>56</w:t>
            </w:r>
          </w:p>
        </w:tc>
        <w:tc>
          <w:tcPr>
            <w:tcW w:w="81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113610" w:rsidR="00DC0A34" w:rsidP="0085077B" w:rsidRDefault="000332CA" w14:paraId="2128EBB3" w14:textId="6EA1DE90">
            <w:pPr>
              <w:jc w:val="center"/>
              <w:rPr>
                <w:rFonts w:eastAsia="Calibri"/>
                <w:color w:val="000000"/>
                <w:sz w:val="18"/>
                <w:szCs w:val="18"/>
              </w:rPr>
            </w:pPr>
            <w:r w:rsidRPr="00113610">
              <w:rPr>
                <w:rFonts w:eastAsia="Calibri"/>
                <w:color w:val="000000" w:themeColor="text1"/>
                <w:sz w:val="18"/>
                <w:szCs w:val="18"/>
              </w:rPr>
              <w:t>$3</w:t>
            </w:r>
            <w:r w:rsidR="00C32D7B">
              <w:rPr>
                <w:rFonts w:eastAsia="Calibri"/>
                <w:color w:val="000000" w:themeColor="text1"/>
                <w:sz w:val="18"/>
                <w:szCs w:val="18"/>
              </w:rPr>
              <w:t>9.</w:t>
            </w:r>
            <w:r w:rsidR="00983DA5">
              <w:rPr>
                <w:rFonts w:eastAsia="Calibri"/>
                <w:color w:val="000000" w:themeColor="text1"/>
                <w:sz w:val="18"/>
                <w:szCs w:val="18"/>
              </w:rPr>
              <w:t>25</w:t>
            </w:r>
          </w:p>
        </w:tc>
        <w:tc>
          <w:tcPr>
            <w:tcW w:w="117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113610" w:rsidR="00DC0A34" w:rsidP="0085077B" w:rsidRDefault="000332CA" w14:paraId="39E7013A" w14:textId="52E41FB1">
            <w:pPr>
              <w:jc w:val="center"/>
              <w:rPr>
                <w:rFonts w:eastAsia="Calibri"/>
                <w:color w:val="000000"/>
                <w:sz w:val="18"/>
                <w:szCs w:val="18"/>
              </w:rPr>
            </w:pPr>
            <w:r w:rsidRPr="00113610">
              <w:rPr>
                <w:rFonts w:eastAsia="Calibri"/>
                <w:color w:val="000000" w:themeColor="text1"/>
                <w:sz w:val="18"/>
                <w:szCs w:val="18"/>
              </w:rPr>
              <w:t>$2,</w:t>
            </w:r>
            <w:r w:rsidR="00983DA5">
              <w:rPr>
                <w:rFonts w:eastAsia="Calibri"/>
                <w:color w:val="000000" w:themeColor="text1"/>
                <w:sz w:val="18"/>
                <w:szCs w:val="18"/>
              </w:rPr>
              <w:t>198</w:t>
            </w:r>
          </w:p>
        </w:tc>
      </w:tr>
      <w:tr w:rsidRPr="008A37C7" w:rsidR="00881E3A" w:rsidTr="008A4963" w14:paraId="1896BFB1" w14:textId="77777777">
        <w:trPr>
          <w:trHeight w:val="315"/>
        </w:trPr>
        <w:tc>
          <w:tcPr>
            <w:tcW w:w="117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E104FF" w:rsidR="00881E3A" w:rsidP="0085077B" w:rsidRDefault="00881E3A" w14:paraId="353DCE25" w14:textId="77777777">
            <w:pPr>
              <w:jc w:val="center"/>
              <w:rPr>
                <w:rFonts w:eastAsia="Calibri"/>
                <w:b/>
                <w:bCs/>
                <w:color w:val="000000"/>
                <w:sz w:val="18"/>
                <w:szCs w:val="18"/>
              </w:rPr>
            </w:pPr>
            <w:r w:rsidRPr="00E104FF">
              <w:rPr>
                <w:rFonts w:eastAsia="Calibri"/>
                <w:b/>
                <w:bCs/>
                <w:color w:val="000000"/>
                <w:sz w:val="18"/>
                <w:szCs w:val="18"/>
              </w:rPr>
              <w:t>Total</w:t>
            </w:r>
          </w:p>
        </w:tc>
        <w:tc>
          <w:tcPr>
            <w:tcW w:w="1620" w:type="dxa"/>
            <w:tcBorders>
              <w:top w:val="nil"/>
              <w:left w:val="nil"/>
              <w:bottom w:val="single" w:color="auto" w:sz="8" w:space="0"/>
              <w:right w:val="single" w:color="auto" w:sz="8" w:space="0"/>
            </w:tcBorders>
            <w:shd w:val="clear" w:color="auto" w:fill="000000" w:themeFill="text1"/>
            <w:tcMar>
              <w:top w:w="0" w:type="dxa"/>
              <w:left w:w="108" w:type="dxa"/>
              <w:bottom w:w="0" w:type="dxa"/>
              <w:right w:w="108" w:type="dxa"/>
            </w:tcMar>
            <w:vAlign w:val="center"/>
            <w:hideMark/>
          </w:tcPr>
          <w:p w:rsidRPr="00113610" w:rsidR="00881E3A" w:rsidP="0085077B" w:rsidRDefault="00881E3A" w14:paraId="1F1A203C" w14:textId="77777777">
            <w:pPr>
              <w:jc w:val="center"/>
              <w:rPr>
                <w:rFonts w:eastAsia="Calibri"/>
                <w:color w:val="000000"/>
                <w:sz w:val="18"/>
                <w:szCs w:val="18"/>
              </w:rPr>
            </w:pPr>
            <w:r w:rsidRPr="00113610">
              <w:rPr>
                <w:rFonts w:eastAsia="Calibri"/>
                <w:color w:val="000000"/>
                <w:sz w:val="18"/>
                <w:szCs w:val="18"/>
              </w:rPr>
              <w:t> </w:t>
            </w:r>
          </w:p>
        </w:tc>
        <w:tc>
          <w:tcPr>
            <w:tcW w:w="90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113610" w:rsidR="00881E3A" w:rsidP="0085077B" w:rsidRDefault="0018773C" w14:paraId="48535984" w14:textId="03ABEE1B">
            <w:pPr>
              <w:jc w:val="center"/>
              <w:rPr>
                <w:rFonts w:eastAsia="Calibri"/>
                <w:b/>
                <w:bCs/>
                <w:color w:val="000000"/>
                <w:sz w:val="18"/>
                <w:szCs w:val="18"/>
              </w:rPr>
            </w:pPr>
            <w:r w:rsidRPr="00113610">
              <w:rPr>
                <w:rFonts w:eastAsia="Calibri"/>
                <w:b/>
                <w:bCs/>
                <w:color w:val="000000" w:themeColor="text1"/>
                <w:sz w:val="18"/>
                <w:szCs w:val="18"/>
              </w:rPr>
              <w:t>1,041</w:t>
            </w:r>
          </w:p>
        </w:tc>
        <w:tc>
          <w:tcPr>
            <w:tcW w:w="1080" w:type="dxa"/>
            <w:tcBorders>
              <w:top w:val="nil"/>
              <w:left w:val="nil"/>
              <w:bottom w:val="single" w:color="auto" w:sz="8" w:space="0"/>
              <w:right w:val="single" w:color="auto" w:sz="8" w:space="0"/>
            </w:tcBorders>
            <w:shd w:val="clear" w:color="auto" w:fill="000000" w:themeFill="text1"/>
            <w:tcMar>
              <w:top w:w="0" w:type="dxa"/>
              <w:left w:w="108" w:type="dxa"/>
              <w:bottom w:w="0" w:type="dxa"/>
              <w:right w:w="108" w:type="dxa"/>
            </w:tcMar>
            <w:vAlign w:val="center"/>
            <w:hideMark/>
          </w:tcPr>
          <w:p w:rsidRPr="00113610" w:rsidR="00881E3A" w:rsidP="0085077B" w:rsidRDefault="00881E3A" w14:paraId="409DEDE0" w14:textId="77777777">
            <w:pPr>
              <w:jc w:val="center"/>
              <w:rPr>
                <w:rFonts w:eastAsia="Calibri"/>
                <w:color w:val="000000"/>
                <w:sz w:val="18"/>
                <w:szCs w:val="18"/>
              </w:rPr>
            </w:pPr>
            <w:r w:rsidRPr="00113610">
              <w:rPr>
                <w:rFonts w:eastAsia="Calibri"/>
                <w:color w:val="000000"/>
                <w:sz w:val="18"/>
                <w:szCs w:val="18"/>
              </w:rPr>
              <w:t> </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113610" w:rsidR="00881E3A" w:rsidP="0085077B" w:rsidRDefault="0018773C" w14:paraId="05BB8AD0" w14:textId="03636700">
            <w:pPr>
              <w:jc w:val="center"/>
              <w:rPr>
                <w:rFonts w:eastAsia="Calibri"/>
                <w:b/>
                <w:bCs/>
                <w:color w:val="000000"/>
                <w:sz w:val="18"/>
                <w:szCs w:val="18"/>
              </w:rPr>
            </w:pPr>
            <w:r w:rsidRPr="00113610">
              <w:rPr>
                <w:rFonts w:eastAsia="Calibri"/>
                <w:b/>
                <w:bCs/>
                <w:color w:val="000000" w:themeColor="text1"/>
                <w:sz w:val="18"/>
                <w:szCs w:val="18"/>
              </w:rPr>
              <w:t>1,041</w:t>
            </w:r>
          </w:p>
        </w:tc>
        <w:tc>
          <w:tcPr>
            <w:tcW w:w="1170" w:type="dxa"/>
            <w:tcBorders>
              <w:top w:val="nil"/>
              <w:left w:val="nil"/>
              <w:bottom w:val="single" w:color="auto" w:sz="8" w:space="0"/>
              <w:right w:val="single" w:color="auto" w:sz="8" w:space="0"/>
            </w:tcBorders>
            <w:shd w:val="clear" w:color="auto" w:fill="000000" w:themeFill="text1"/>
            <w:tcMar>
              <w:top w:w="0" w:type="dxa"/>
              <w:left w:w="108" w:type="dxa"/>
              <w:bottom w:w="0" w:type="dxa"/>
              <w:right w:w="108" w:type="dxa"/>
            </w:tcMar>
            <w:vAlign w:val="center"/>
            <w:hideMark/>
          </w:tcPr>
          <w:p w:rsidRPr="00113610" w:rsidR="00881E3A" w:rsidP="0085077B" w:rsidRDefault="00881E3A" w14:paraId="06C8F847" w14:textId="77777777">
            <w:pPr>
              <w:jc w:val="center"/>
              <w:rPr>
                <w:rFonts w:eastAsia="Calibri"/>
                <w:color w:val="000000"/>
                <w:sz w:val="18"/>
                <w:szCs w:val="18"/>
              </w:rPr>
            </w:pPr>
            <w:r w:rsidRPr="00113610">
              <w:rPr>
                <w:rFonts w:eastAsia="Calibri"/>
                <w:color w:val="000000"/>
                <w:sz w:val="18"/>
                <w:szCs w:val="18"/>
              </w:rPr>
              <w:t> </w:t>
            </w:r>
          </w:p>
        </w:tc>
        <w:tc>
          <w:tcPr>
            <w:tcW w:w="99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113610" w:rsidR="00881E3A" w:rsidP="0085077B" w:rsidRDefault="0018773C" w14:paraId="66E95D6F" w14:textId="3792D4AE">
            <w:pPr>
              <w:jc w:val="center"/>
              <w:rPr>
                <w:rFonts w:eastAsia="Calibri"/>
                <w:b/>
                <w:bCs/>
                <w:color w:val="000000"/>
                <w:sz w:val="18"/>
                <w:szCs w:val="18"/>
              </w:rPr>
            </w:pPr>
            <w:r w:rsidRPr="00113610">
              <w:rPr>
                <w:rFonts w:eastAsia="Calibri"/>
                <w:b/>
                <w:bCs/>
                <w:color w:val="000000" w:themeColor="text1"/>
                <w:sz w:val="18"/>
                <w:szCs w:val="18"/>
              </w:rPr>
              <w:t>227</w:t>
            </w:r>
          </w:p>
        </w:tc>
        <w:tc>
          <w:tcPr>
            <w:tcW w:w="810" w:type="dxa"/>
            <w:tcBorders>
              <w:top w:val="nil"/>
              <w:left w:val="nil"/>
              <w:bottom w:val="single" w:color="auto" w:sz="8" w:space="0"/>
              <w:right w:val="single" w:color="auto" w:sz="8" w:space="0"/>
            </w:tcBorders>
            <w:shd w:val="clear" w:color="auto" w:fill="000000" w:themeFill="text1"/>
            <w:tcMar>
              <w:top w:w="0" w:type="dxa"/>
              <w:left w:w="108" w:type="dxa"/>
              <w:bottom w:w="0" w:type="dxa"/>
              <w:right w:w="108" w:type="dxa"/>
            </w:tcMar>
            <w:vAlign w:val="center"/>
            <w:hideMark/>
          </w:tcPr>
          <w:p w:rsidRPr="00113610" w:rsidR="00881E3A" w:rsidP="0085077B" w:rsidRDefault="00881E3A" w14:paraId="21B25A85" w14:textId="77777777">
            <w:pPr>
              <w:jc w:val="center"/>
              <w:rPr>
                <w:rFonts w:eastAsia="Calibri"/>
                <w:color w:val="000000"/>
                <w:sz w:val="18"/>
                <w:szCs w:val="18"/>
              </w:rPr>
            </w:pPr>
            <w:r w:rsidRPr="00113610">
              <w:rPr>
                <w:rFonts w:eastAsia="Calibri"/>
                <w:color w:val="000000"/>
                <w:sz w:val="18"/>
                <w:szCs w:val="18"/>
              </w:rPr>
              <w:t> </w:t>
            </w:r>
          </w:p>
        </w:tc>
        <w:tc>
          <w:tcPr>
            <w:tcW w:w="117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hideMark/>
          </w:tcPr>
          <w:p w:rsidRPr="00113610" w:rsidR="00881E3A" w:rsidP="0085077B" w:rsidRDefault="00881E3A" w14:paraId="52476912" w14:textId="14A09A00">
            <w:pPr>
              <w:jc w:val="center"/>
              <w:rPr>
                <w:rFonts w:eastAsia="Calibri"/>
                <w:b/>
                <w:bCs/>
                <w:color w:val="000000"/>
                <w:sz w:val="18"/>
                <w:szCs w:val="18"/>
              </w:rPr>
            </w:pPr>
            <w:r w:rsidRPr="00113610">
              <w:rPr>
                <w:rFonts w:eastAsia="Calibri"/>
                <w:b/>
                <w:bCs/>
                <w:color w:val="000000" w:themeColor="text1"/>
                <w:sz w:val="18"/>
                <w:szCs w:val="18"/>
              </w:rPr>
              <w:t>$</w:t>
            </w:r>
            <w:r w:rsidRPr="00113610" w:rsidR="000332CA">
              <w:rPr>
                <w:rFonts w:eastAsia="Calibri"/>
                <w:b/>
                <w:bCs/>
                <w:color w:val="000000" w:themeColor="text1"/>
                <w:sz w:val="18"/>
                <w:szCs w:val="18"/>
              </w:rPr>
              <w:t>1</w:t>
            </w:r>
            <w:r w:rsidR="00983DA5">
              <w:rPr>
                <w:rFonts w:eastAsia="Calibri"/>
                <w:b/>
                <w:bCs/>
                <w:color w:val="000000" w:themeColor="text1"/>
                <w:sz w:val="18"/>
                <w:szCs w:val="18"/>
              </w:rPr>
              <w:t>1,856</w:t>
            </w:r>
          </w:p>
        </w:tc>
      </w:tr>
    </w:tbl>
    <w:p w:rsidRPr="00BF0941" w:rsidR="00881E3A" w:rsidP="00881E3A" w:rsidRDefault="00881E3A" w14:paraId="68027026" w14:textId="77777777">
      <w:pPr>
        <w:rPr>
          <w:b/>
          <w:bCs/>
        </w:rPr>
      </w:pPr>
    </w:p>
    <w:p w:rsidRPr="00E52F54" w:rsidR="00D360E1" w:rsidP="00D360E1" w:rsidRDefault="00D360E1" w14:paraId="0468956C" w14:textId="0CC68A36">
      <w:pPr>
        <w:tabs>
          <w:tab w:val="left" w:pos="-720"/>
        </w:tabs>
        <w:suppressAutoHyphens/>
        <w:rPr>
          <w:b/>
        </w:rPr>
      </w:pPr>
      <w:r w:rsidRPr="00E52F54">
        <w:rPr>
          <w:b/>
        </w:rPr>
        <w:t>Instruction for Wage-rate category multiplier:  Take each non-loaded “Avg. Hourly Wage Rate” from the BLS website table and multiply that number by 1.4</w:t>
      </w:r>
      <w:r w:rsidR="00DA55FF">
        <w:rPr>
          <w:b/>
        </w:rPr>
        <w:t>5</w:t>
      </w:r>
      <w:r w:rsidR="00011843">
        <w:rPr>
          <w:b/>
        </w:rPr>
        <w:t>.</w:t>
      </w:r>
      <w:r w:rsidRPr="00E52F54">
        <w:rPr>
          <w:rStyle w:val="FootnoteReference"/>
          <w:b/>
        </w:rPr>
        <w:footnoteReference w:id="2"/>
      </w:r>
      <w:r w:rsidRPr="00E52F54">
        <w:rPr>
          <w:b/>
        </w:rPr>
        <w:t xml:space="preserve">  For example, a non-loaded BLS table wage rate of $42.51 would be multiplied by 1.4</w:t>
      </w:r>
      <w:r w:rsidR="00DA55FF">
        <w:rPr>
          <w:b/>
        </w:rPr>
        <w:t>5</w:t>
      </w:r>
      <w:r w:rsidRPr="00E52F54">
        <w:rPr>
          <w:b/>
        </w:rPr>
        <w:t>, and the entry for the “Avg. Hourly Wage Rate” would be $6</w:t>
      </w:r>
      <w:r w:rsidR="0028736B">
        <w:rPr>
          <w:b/>
        </w:rPr>
        <w:t>1</w:t>
      </w:r>
      <w:r w:rsidRPr="00E52F54">
        <w:rPr>
          <w:b/>
        </w:rPr>
        <w:t>.</w:t>
      </w:r>
      <w:r w:rsidR="0028736B">
        <w:rPr>
          <w:b/>
        </w:rPr>
        <w:t>64</w:t>
      </w:r>
      <w:r w:rsidRPr="00E52F54">
        <w:rPr>
          <w:b/>
        </w:rPr>
        <w:t>.</w:t>
      </w:r>
    </w:p>
    <w:p w:rsidR="00D360E1" w:rsidP="002C01E9" w:rsidRDefault="00D360E1" w14:paraId="00BA0D59" w14:textId="77777777">
      <w:pPr>
        <w:rPr>
          <w:u w:val="single"/>
        </w:rPr>
      </w:pPr>
    </w:p>
    <w:p w:rsidR="00D360E1" w:rsidP="002C01E9" w:rsidRDefault="00D360E1" w14:paraId="73F4763A" w14:textId="77777777">
      <w:pPr>
        <w:rPr>
          <w:u w:val="single"/>
        </w:rPr>
      </w:pPr>
    </w:p>
    <w:p w:rsidRPr="004E10AB" w:rsidR="002C01E9" w:rsidP="002C01E9" w:rsidRDefault="002C01E9" w14:paraId="2665E55D" w14:textId="7C9ED23D">
      <w:pPr>
        <w:rPr>
          <w:u w:val="single"/>
        </w:rPr>
      </w:pPr>
      <w:r w:rsidRPr="004E10AB">
        <w:rPr>
          <w:u w:val="single"/>
        </w:rPr>
        <w:t>Mortgage Portfolio Protection Program (MPPP)</w:t>
      </w:r>
    </w:p>
    <w:p w:rsidR="002C01E9" w:rsidP="000D23AC" w:rsidRDefault="002C01E9" w14:paraId="27746D0F" w14:textId="77777777"/>
    <w:p w:rsidR="00EB737E" w:rsidP="000D23AC" w:rsidRDefault="00EB737E" w14:paraId="40955139" w14:textId="2B19EA3F">
      <w:r>
        <w:t>According to the U.S. Department of Labor, Bureau of Labor Statistics website</w:t>
      </w:r>
      <w:r w:rsidR="00E131BE">
        <w:t>,</w:t>
      </w:r>
      <w:r>
        <w:t xml:space="preserve"> the </w:t>
      </w:r>
      <w:r w:rsidR="0080374E">
        <w:t xml:space="preserve">mean </w:t>
      </w:r>
      <w:r>
        <w:t xml:space="preserve">wage rate for </w:t>
      </w:r>
      <w:r w:rsidR="00B6411D">
        <w:t>Insurance Sales Agents</w:t>
      </w:r>
      <w:r w:rsidRPr="005F72BD">
        <w:t xml:space="preserve"> is</w:t>
      </w:r>
      <w:r w:rsidR="009A0631">
        <w:t xml:space="preserve"> $</w:t>
      </w:r>
      <w:r w:rsidR="007B6259">
        <w:t>32.22 per hour</w:t>
      </w:r>
      <w:r w:rsidR="00574765">
        <w:t>.</w:t>
      </w:r>
      <w:r w:rsidR="007B6259">
        <w:t xml:space="preserve"> </w:t>
      </w:r>
      <w:r w:rsidR="00712D93">
        <w:t xml:space="preserve"> </w:t>
      </w:r>
      <w:r w:rsidR="00574765">
        <w:t>T</w:t>
      </w:r>
      <w:r w:rsidR="007B6259">
        <w:t>he fully</w:t>
      </w:r>
      <w:r w:rsidR="00712D93">
        <w:t>-</w:t>
      </w:r>
      <w:r w:rsidR="007B6259">
        <w:t>loaded wage rate</w:t>
      </w:r>
      <w:r w:rsidRPr="005F72BD">
        <w:t xml:space="preserve"> </w:t>
      </w:r>
      <w:r w:rsidR="00574765">
        <w:t xml:space="preserve">is estimated to be </w:t>
      </w:r>
      <w:r w:rsidRPr="005F72BD" w:rsidR="005F72BD">
        <w:t>$</w:t>
      </w:r>
      <w:r w:rsidR="000438B8">
        <w:t>4</w:t>
      </w:r>
      <w:r w:rsidR="006B6564">
        <w:t>6</w:t>
      </w:r>
      <w:r w:rsidR="000438B8">
        <w:t>.</w:t>
      </w:r>
      <w:r w:rsidR="006B6564">
        <w:t>72</w:t>
      </w:r>
      <w:r w:rsidR="00127503">
        <w:t xml:space="preserve"> per hour</w:t>
      </w:r>
      <w:r w:rsidR="00574765">
        <w:t xml:space="preserve"> which </w:t>
      </w:r>
      <w:r w:rsidR="00C00C27">
        <w:t>i</w:t>
      </w:r>
      <w:r w:rsidR="00F429D7">
        <w:t>nclud</w:t>
      </w:r>
      <w:r w:rsidR="00574765">
        <w:t>es</w:t>
      </w:r>
      <w:r w:rsidR="00F429D7">
        <w:t xml:space="preserve"> the wage rate multiplier of </w:t>
      </w:r>
      <w:r w:rsidRPr="005F72BD" w:rsidR="005F72BD">
        <w:t>1.4</w:t>
      </w:r>
      <w:r w:rsidR="006B6564">
        <w:t>5</w:t>
      </w:r>
      <w:r w:rsidR="00127503">
        <w:t>.</w:t>
      </w:r>
      <w:r w:rsidRPr="005F72BD">
        <w:t xml:space="preserve"> </w:t>
      </w:r>
      <w:r w:rsidR="00127503">
        <w:t>T</w:t>
      </w:r>
      <w:r w:rsidRPr="005F72BD">
        <w:t xml:space="preserve">herefore, the estimated burden hour cost to respondents </w:t>
      </w:r>
      <w:r w:rsidR="00B6411D">
        <w:t>Insurance Sales Agents</w:t>
      </w:r>
      <w:r w:rsidRPr="005F72BD" w:rsidR="00B6411D">
        <w:t xml:space="preserve"> </w:t>
      </w:r>
      <w:r w:rsidRPr="005F72BD">
        <w:t>is estimated to be</w:t>
      </w:r>
      <w:r w:rsidR="002B1586">
        <w:t xml:space="preserve"> </w:t>
      </w:r>
      <w:r w:rsidRPr="005F72BD" w:rsidR="005F72BD">
        <w:t>$</w:t>
      </w:r>
      <w:r w:rsidR="00881E3A">
        <w:t>2,</w:t>
      </w:r>
      <w:r w:rsidR="0093639A">
        <w:t>149</w:t>
      </w:r>
      <w:r w:rsidR="00E54DDB">
        <w:t xml:space="preserve"> (46 burden hours x $4</w:t>
      </w:r>
      <w:r w:rsidR="006B6564">
        <w:t>6.72</w:t>
      </w:r>
      <w:r w:rsidR="00E54DDB">
        <w:t xml:space="preserve"> wage rate)</w:t>
      </w:r>
      <w:r w:rsidRPr="005F72BD">
        <w:t xml:space="preserve"> </w:t>
      </w:r>
      <w:r>
        <w:t>annually.</w:t>
      </w:r>
      <w:r w:rsidR="00BC0DE9">
        <w:rPr>
          <w:rStyle w:val="FootnoteReference"/>
        </w:rPr>
        <w:footnoteReference w:id="3"/>
      </w:r>
    </w:p>
    <w:p w:rsidR="00EB737E" w:rsidRDefault="00EB737E" w14:paraId="68286500" w14:textId="77777777">
      <w:pPr>
        <w:tabs>
          <w:tab w:val="left" w:pos="-720"/>
        </w:tabs>
        <w:suppressAutoHyphens/>
        <w:rPr>
          <w:sz w:val="26"/>
        </w:rPr>
      </w:pPr>
    </w:p>
    <w:p w:rsidR="00B6411D" w:rsidP="000D23AC" w:rsidRDefault="00F14E50" w14:paraId="70B79A59" w14:textId="1F5037CD">
      <w:r>
        <w:t>The</w:t>
      </w:r>
      <w:r w:rsidR="00B6411D">
        <w:t xml:space="preserve"> </w:t>
      </w:r>
      <w:r w:rsidR="00574765">
        <w:t xml:space="preserve">mean </w:t>
      </w:r>
      <w:r w:rsidR="00B6411D">
        <w:t xml:space="preserve">wage rate for </w:t>
      </w:r>
      <w:r w:rsidR="00764B20">
        <w:t>Credit Analyst</w:t>
      </w:r>
      <w:r w:rsidR="00574765">
        <w:t>s</w:t>
      </w:r>
      <w:r w:rsidRPr="005F72BD" w:rsidR="00B6411D">
        <w:t xml:space="preserve"> is </w:t>
      </w:r>
      <w:r w:rsidR="00574765">
        <w:t>$41.43 per h</w:t>
      </w:r>
      <w:r w:rsidR="00712D93">
        <w:t>our.  The fully-loaded wage rate is estimated to be</w:t>
      </w:r>
      <w:r w:rsidRPr="005F72BD" w:rsidR="00B6411D">
        <w:t xml:space="preserve"> $</w:t>
      </w:r>
      <w:r w:rsidR="0006107F">
        <w:t>60.</w:t>
      </w:r>
      <w:r w:rsidR="009B70A4">
        <w:t>07</w:t>
      </w:r>
      <w:r w:rsidR="00712D93">
        <w:t xml:space="preserve"> per hour,</w:t>
      </w:r>
      <w:r w:rsidRPr="005F72BD" w:rsidR="0030505C">
        <w:t xml:space="preserve"> </w:t>
      </w:r>
      <w:r w:rsidR="00712D93">
        <w:t xml:space="preserve">which </w:t>
      </w:r>
      <w:r w:rsidRPr="005F72BD" w:rsidR="00B6411D">
        <w:t>includ</w:t>
      </w:r>
      <w:r w:rsidR="00712D93">
        <w:t>es</w:t>
      </w:r>
      <w:r w:rsidRPr="005F72BD" w:rsidR="00B6411D">
        <w:t xml:space="preserve"> the wage rate multiplier</w:t>
      </w:r>
      <w:r w:rsidR="0095148C">
        <w:t xml:space="preserve"> of 1.4</w:t>
      </w:r>
      <w:r w:rsidR="006F6CCC">
        <w:t>5</w:t>
      </w:r>
      <w:r w:rsidR="0006107F">
        <w:t>.</w:t>
      </w:r>
      <w:r w:rsidRPr="005F72BD" w:rsidR="00B6411D">
        <w:t xml:space="preserve"> </w:t>
      </w:r>
      <w:r w:rsidR="0006107F">
        <w:lastRenderedPageBreak/>
        <w:t>T</w:t>
      </w:r>
      <w:r w:rsidRPr="005F72BD" w:rsidR="00B6411D">
        <w:t xml:space="preserve">herefore, the estimated burden hour cost to respondents </w:t>
      </w:r>
      <w:r w:rsidR="00764B20">
        <w:t>Credit Analyst</w:t>
      </w:r>
      <w:r w:rsidRPr="005F72BD" w:rsidR="00764B20">
        <w:t xml:space="preserve"> </w:t>
      </w:r>
      <w:r w:rsidRPr="005F72BD" w:rsidR="00B6411D">
        <w:t>is estimated to be $</w:t>
      </w:r>
      <w:r w:rsidR="00881E3A">
        <w:t>7,</w:t>
      </w:r>
      <w:r w:rsidR="00B327B4">
        <w:t>5</w:t>
      </w:r>
      <w:r w:rsidR="00720056">
        <w:t>09</w:t>
      </w:r>
      <w:r w:rsidRPr="005F72BD" w:rsidR="00B6411D">
        <w:t xml:space="preserve"> </w:t>
      </w:r>
      <w:r w:rsidR="00B6411D">
        <w:t>annually</w:t>
      </w:r>
      <w:r w:rsidR="0006107F">
        <w:t xml:space="preserve"> (125 burden hours x $60.</w:t>
      </w:r>
      <w:r w:rsidR="006F6CCC">
        <w:t>07</w:t>
      </w:r>
      <w:r w:rsidR="0006107F">
        <w:t xml:space="preserve"> wage rate)</w:t>
      </w:r>
      <w:r w:rsidR="00B6411D">
        <w:t>.</w:t>
      </w:r>
      <w:r w:rsidR="00BC0DE9">
        <w:rPr>
          <w:rStyle w:val="FootnoteReference"/>
        </w:rPr>
        <w:footnoteReference w:id="4"/>
      </w:r>
    </w:p>
    <w:p w:rsidR="002B1586" w:rsidP="000D23AC" w:rsidRDefault="002B1586" w14:paraId="5A3232A0" w14:textId="77777777"/>
    <w:p w:rsidR="000D23AC" w:rsidP="000D23AC" w:rsidRDefault="002B1586" w14:paraId="1E7FE569" w14:textId="60780CB4">
      <w:r>
        <w:t>The e</w:t>
      </w:r>
      <w:r w:rsidR="00881E3A">
        <w:t>stimated total</w:t>
      </w:r>
      <w:r>
        <w:t xml:space="preserve"> for the MPPP</w:t>
      </w:r>
      <w:r w:rsidR="00881E3A">
        <w:t xml:space="preserve"> is</w:t>
      </w:r>
      <w:r>
        <w:t xml:space="preserve"> </w:t>
      </w:r>
      <w:r w:rsidR="00881E3A">
        <w:t>$9,</w:t>
      </w:r>
      <w:r w:rsidR="002944E0">
        <w:t>658</w:t>
      </w:r>
      <w:r w:rsidR="003B0AAB">
        <w:t xml:space="preserve"> ($2,</w:t>
      </w:r>
      <w:r w:rsidR="002944E0">
        <w:t>149</w:t>
      </w:r>
      <w:r w:rsidR="003B0AAB">
        <w:t>+</w:t>
      </w:r>
      <w:r w:rsidR="00D40D1A">
        <w:t>$7,5</w:t>
      </w:r>
      <w:r w:rsidR="003F1A5D">
        <w:t>09</w:t>
      </w:r>
      <w:r w:rsidR="00D40D1A">
        <w:t>)</w:t>
      </w:r>
      <w:r>
        <w:t xml:space="preserve"> annually</w:t>
      </w:r>
      <w:r w:rsidR="00881E3A">
        <w:t>.</w:t>
      </w:r>
    </w:p>
    <w:p w:rsidR="004F7334" w:rsidP="000D23AC" w:rsidRDefault="004F7334" w14:paraId="788C5211" w14:textId="77777777"/>
    <w:p w:rsidRPr="004F7334" w:rsidR="000332CA" w:rsidP="000332CA" w:rsidRDefault="000332CA" w14:paraId="4E7F0C1E" w14:textId="05A33F5A">
      <w:r w:rsidRPr="004E10AB">
        <w:rPr>
          <w:color w:val="000000" w:themeColor="text1"/>
          <w:u w:val="single"/>
        </w:rPr>
        <w:t>Ask the Advocate Web Form</w:t>
      </w:r>
    </w:p>
    <w:p w:rsidRPr="00064602" w:rsidR="000332CA" w:rsidRDefault="000332CA" w14:paraId="44DFFE0C" w14:textId="6021DF02">
      <w:pPr>
        <w:tabs>
          <w:tab w:val="left" w:pos="-720"/>
        </w:tabs>
        <w:suppressAutoHyphens/>
      </w:pPr>
    </w:p>
    <w:p w:rsidRPr="009040E4" w:rsidR="00064602" w:rsidP="00064602" w:rsidRDefault="001D2D65" w14:paraId="3393AAD9" w14:textId="173EF908">
      <w:pPr>
        <w:tabs>
          <w:tab w:val="left" w:pos="-720"/>
        </w:tabs>
        <w:suppressAutoHyphens/>
      </w:pPr>
      <w:r>
        <w:t>T</w:t>
      </w:r>
      <w:r w:rsidR="000332CA">
        <w:t xml:space="preserve">he </w:t>
      </w:r>
      <w:r w:rsidR="0095148C">
        <w:t xml:space="preserve">mean hourly </w:t>
      </w:r>
      <w:r w:rsidR="000332CA">
        <w:t>wage rate for All Occupations (SOC 00-0000) is $</w:t>
      </w:r>
      <w:r w:rsidR="001B7649">
        <w:t>27.07</w:t>
      </w:r>
      <w:r w:rsidR="000332CA">
        <w:t>.  Including the wage rate multiplier of 1.4</w:t>
      </w:r>
      <w:r w:rsidR="00AD2332">
        <w:t>5</w:t>
      </w:r>
      <w:r w:rsidR="000332CA">
        <w:t>, the fully-loaded wage rate is $3</w:t>
      </w:r>
      <w:r w:rsidR="00C32D7B">
        <w:t>9</w:t>
      </w:r>
      <w:r w:rsidR="000332CA">
        <w:t>.</w:t>
      </w:r>
      <w:r w:rsidR="00E5354F">
        <w:t>25</w:t>
      </w:r>
      <w:r w:rsidR="000332CA">
        <w:t xml:space="preserve"> per hour.  </w:t>
      </w:r>
      <w:r w:rsidR="00064602">
        <w:t>Therefore, the amended annual burden hour cost is estimated to be $2,</w:t>
      </w:r>
      <w:r w:rsidR="00D206EA">
        <w:t>198</w:t>
      </w:r>
      <w:r w:rsidR="00064602">
        <w:t xml:space="preserve"> ($3</w:t>
      </w:r>
      <w:r w:rsidR="00FC4304">
        <w:t>9.</w:t>
      </w:r>
      <w:r w:rsidR="00E5354F">
        <w:t>25</w:t>
      </w:r>
      <w:r w:rsidR="00064602">
        <w:t xml:space="preserve"> x 56 hours).</w:t>
      </w:r>
      <w:r w:rsidR="00FF0A91">
        <w:rPr>
          <w:rStyle w:val="FootnoteReference"/>
        </w:rPr>
        <w:footnoteReference w:id="5"/>
      </w:r>
    </w:p>
    <w:p w:rsidRPr="00064602" w:rsidR="000332CA" w:rsidRDefault="000332CA" w14:paraId="39EECD4E" w14:textId="77777777">
      <w:pPr>
        <w:tabs>
          <w:tab w:val="left" w:pos="-720"/>
        </w:tabs>
        <w:suppressAutoHyphens/>
      </w:pPr>
    </w:p>
    <w:p w:rsidRPr="00064602" w:rsidR="000332CA" w:rsidRDefault="00064602" w14:paraId="0E7548F7" w14:textId="113E1C50">
      <w:pPr>
        <w:tabs>
          <w:tab w:val="left" w:pos="-720"/>
        </w:tabs>
        <w:suppressAutoHyphens/>
      </w:pPr>
      <w:r>
        <w:t>Combined</w:t>
      </w:r>
      <w:r w:rsidR="000332CA">
        <w:t xml:space="preserve">, the amended annual burden hour cost </w:t>
      </w:r>
      <w:r w:rsidR="00E96100">
        <w:t xml:space="preserve">for the MPPP and the “Ask the Advocate” web form </w:t>
      </w:r>
      <w:r w:rsidR="000332CA">
        <w:t xml:space="preserve">is estimated to be </w:t>
      </w:r>
      <w:r w:rsidR="00E96100">
        <w:t>($9,</w:t>
      </w:r>
      <w:r w:rsidR="00D206EA">
        <w:t>658</w:t>
      </w:r>
      <w:r w:rsidR="00E96100">
        <w:t xml:space="preserve"> + $2,</w:t>
      </w:r>
      <w:r w:rsidR="00D206EA">
        <w:t>198</w:t>
      </w:r>
      <w:r w:rsidR="00E96100">
        <w:t xml:space="preserve">) </w:t>
      </w:r>
      <w:r w:rsidR="000332CA">
        <w:t>$</w:t>
      </w:r>
      <w:r w:rsidR="009F67DD">
        <w:t>1</w:t>
      </w:r>
      <w:r w:rsidR="00983DA5">
        <w:t>1,856</w:t>
      </w:r>
      <w:r>
        <w:t>.</w:t>
      </w:r>
    </w:p>
    <w:p w:rsidRPr="00064602" w:rsidR="000332CA" w:rsidRDefault="000332CA" w14:paraId="6F3DC544" w14:textId="77777777">
      <w:pPr>
        <w:tabs>
          <w:tab w:val="left" w:pos="-720"/>
        </w:tabs>
        <w:suppressAutoHyphens/>
      </w:pPr>
    </w:p>
    <w:p w:rsidR="00842E74" w:rsidRDefault="00842E74" w14:paraId="6612C992" w14:textId="77777777">
      <w:pPr>
        <w:rPr>
          <w:b/>
          <w:bCs/>
        </w:rPr>
      </w:pPr>
      <w:r w:rsidRPr="00A6587B">
        <w:fldChar w:fldCharType="begin"/>
      </w:r>
      <w:r w:rsidRPr="00064602">
        <w:instrText>ADVANCE \R 0.95</w:instrText>
      </w:r>
      <w:r w:rsidRPr="00A6587B">
        <w:fldChar w:fldCharType="end"/>
      </w:r>
      <w:r w:rsidRPr="00064602">
        <w:rPr>
          <w:b/>
        </w:rPr>
        <w:t>13.</w:t>
      </w:r>
      <w:r w:rsidRPr="00CE46FF">
        <w:t xml:space="preserve">  </w:t>
      </w:r>
      <w:r w:rsidRPr="00CE46FF">
        <w:rPr>
          <w:b/>
          <w:bCs/>
        </w:rPr>
        <w:t>Provide an estimate of the total annual cost burden to respondents or recordkeepers resulting from the collection of</w:t>
      </w:r>
      <w:r>
        <w:rPr>
          <w:b/>
          <w:bCs/>
        </w:rPr>
        <w:t xml:space="preserve"> information.  The cost of purchasing or contracting out information collection services should be a part of this cost burden estimate.  </w:t>
      </w:r>
      <w:r w:rsidR="00E202DC">
        <w:rPr>
          <w:b/>
          <w:bCs/>
        </w:rPr>
        <w:t>(</w:t>
      </w:r>
      <w:r>
        <w:rPr>
          <w:b/>
          <w:bCs/>
        </w:rPr>
        <w:t>Do not include the cost of any hour burden shown in Items 12 and 14.</w:t>
      </w:r>
      <w:r w:rsidR="00E202DC">
        <w:rPr>
          <w:b/>
          <w:bCs/>
        </w:rPr>
        <w:t>)</w:t>
      </w:r>
    </w:p>
    <w:p w:rsidR="00361118" w:rsidP="00DD0BCE" w:rsidRDefault="00361118" w14:paraId="79CBD036" w14:textId="77777777">
      <w:pPr>
        <w:rPr>
          <w:b/>
          <w:bCs/>
        </w:rPr>
      </w:pPr>
    </w:p>
    <w:p w:rsidRPr="00113610" w:rsidR="000D23AC" w:rsidP="000D23AC" w:rsidRDefault="000D23AC" w14:paraId="1AFF9038" w14:textId="77777777">
      <w:pPr>
        <w:rPr>
          <w:b/>
          <w:bCs/>
          <w:color w:val="000000" w:themeColor="text1"/>
        </w:rPr>
      </w:pPr>
      <w:r w:rsidRPr="00113610">
        <w:rPr>
          <w:b/>
          <w:bCs/>
          <w:color w:val="000000" w:themeColor="text1"/>
        </w:rPr>
        <w:t>The cost estimates should be split into two components:</w:t>
      </w:r>
    </w:p>
    <w:p w:rsidRPr="00113610" w:rsidR="000D23AC" w:rsidP="000D23AC" w:rsidRDefault="000D23AC" w14:paraId="594C7DB3" w14:textId="77777777">
      <w:pPr>
        <w:rPr>
          <w:b/>
          <w:bCs/>
          <w:color w:val="000000" w:themeColor="text1"/>
        </w:rPr>
      </w:pPr>
    </w:p>
    <w:p w:rsidRPr="00113610" w:rsidR="000D23AC" w:rsidP="0003687E" w:rsidRDefault="000D23AC" w14:paraId="667F0F32" w14:textId="66A32E1E">
      <w:pPr>
        <w:pStyle w:val="ListParagraph"/>
        <w:numPr>
          <w:ilvl w:val="0"/>
          <w:numId w:val="14"/>
        </w:numPr>
        <w:rPr>
          <w:b/>
          <w:bCs/>
          <w:color w:val="000000" w:themeColor="text1"/>
        </w:rPr>
      </w:pPr>
      <w:r w:rsidRPr="00113610">
        <w:rPr>
          <w:b/>
          <w:bCs/>
          <w:color w:val="000000" w:themeColor="text1"/>
        </w:rPr>
        <w:t>Operation and Maintenance and purchase of services component.  These estimates should take into account cost associated with generating, maintaining, and disclosing or providing information.  Include descriptions of methods used to estimate major cost factors including system and technology acquisition, expected useful life of capital equipment, the discount rate(s), and the time period over which costs will be incurred.</w:t>
      </w:r>
    </w:p>
    <w:p w:rsidRPr="00113610" w:rsidR="0003687E" w:rsidP="0003687E" w:rsidRDefault="0003687E" w14:paraId="3376E2D5" w14:textId="77777777">
      <w:pPr>
        <w:pStyle w:val="ListParagraph"/>
        <w:ind w:left="1080"/>
        <w:rPr>
          <w:b/>
          <w:bCs/>
          <w:color w:val="000000" w:themeColor="text1"/>
        </w:rPr>
      </w:pPr>
    </w:p>
    <w:p w:rsidRPr="00113610" w:rsidR="000D23AC" w:rsidP="00651BF3" w:rsidRDefault="000D23AC" w14:paraId="72E8CDE8" w14:textId="68E828CC">
      <w:pPr>
        <w:ind w:left="1080" w:hanging="360"/>
        <w:rPr>
          <w:b/>
          <w:bCs/>
          <w:color w:val="000000" w:themeColor="text1"/>
        </w:rPr>
      </w:pPr>
      <w:r w:rsidRPr="00113610">
        <w:rPr>
          <w:b/>
          <w:bCs/>
          <w:color w:val="000000" w:themeColor="text1"/>
        </w:rPr>
        <w:t xml:space="preserve">b. </w:t>
      </w:r>
      <w:r w:rsidRPr="00113610" w:rsidR="00CE46FF">
        <w:rPr>
          <w:b/>
          <w:bCs/>
          <w:color w:val="000000" w:themeColor="text1"/>
        </w:rPr>
        <w:tab/>
      </w:r>
      <w:r w:rsidRPr="00113610">
        <w:rPr>
          <w:b/>
          <w:bCs/>
          <w:color w:val="000000" w:themeColor="text1"/>
        </w:rPr>
        <w:t>Capital and Start-up-Cost should include, among other items,</w:t>
      </w:r>
      <w:r w:rsidRPr="00113610" w:rsidR="00CE46FF">
        <w:rPr>
          <w:b/>
          <w:bCs/>
          <w:color w:val="000000" w:themeColor="text1"/>
        </w:rPr>
        <w:t xml:space="preserve"> </w:t>
      </w:r>
      <w:r w:rsidRPr="00113610">
        <w:rPr>
          <w:b/>
          <w:bCs/>
          <w:color w:val="000000" w:themeColor="text1"/>
        </w:rPr>
        <w:t xml:space="preserve">preparations for collecting information such as purchasing computers and software, monitoring sampling, drilling and testing equipment, and record storage facilities.  </w:t>
      </w:r>
    </w:p>
    <w:p w:rsidRPr="00113610" w:rsidR="00922A7F" w:rsidP="00922A7F" w:rsidRDefault="00922A7F" w14:paraId="683036E3" w14:textId="77777777">
      <w:pPr>
        <w:rPr>
          <w:color w:val="000000" w:themeColor="text1"/>
        </w:rPr>
      </w:pPr>
    </w:p>
    <w:p w:rsidRPr="00764B20" w:rsidR="00922A7F" w:rsidP="00922A7F" w:rsidRDefault="00922A7F" w14:paraId="1CB69B2D" w14:textId="77777777">
      <w:r w:rsidRPr="00764B20">
        <w:t>There are no record keeping, capital, start-up or maintenance costs associated with this information collection.</w:t>
      </w:r>
    </w:p>
    <w:p w:rsidR="00922A7F" w:rsidP="00922A7F" w:rsidRDefault="00922A7F" w14:paraId="246BD8BA" w14:textId="77777777">
      <w:pPr>
        <w:rPr>
          <w:b/>
          <w:bCs/>
        </w:rPr>
      </w:pPr>
    </w:p>
    <w:p w:rsidR="000D23AC" w:rsidP="000D23AC" w:rsidRDefault="00657DD5" w14:paraId="41A728B3" w14:textId="2DC7AE57">
      <w:r w:rsidRPr="00657DD5">
        <w:rPr>
          <w:b/>
          <w:bCs/>
        </w:rPr>
        <w:t xml:space="preserve">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have been incurred without this collection </w:t>
      </w:r>
      <w:r w:rsidRPr="00657DD5">
        <w:rPr>
          <w:b/>
          <w:bCs/>
        </w:rPr>
        <w:lastRenderedPageBreak/>
        <w:t>of information.  You may also aggregate cost estimates for Items 12, 13, and 14 in a single table.</w:t>
      </w:r>
    </w:p>
    <w:p w:rsidRPr="00E104FF" w:rsidR="000D23AC" w:rsidP="000D23AC" w:rsidRDefault="000D23AC" w14:paraId="452DFEAB" w14:textId="77777777">
      <w:pPr>
        <w:tabs>
          <w:tab w:val="left" w:pos="360"/>
        </w:tabs>
        <w:jc w:val="center"/>
        <w:rPr>
          <w:b/>
          <w:bCs/>
        </w:rPr>
      </w:pPr>
      <w:r w:rsidRPr="00E104FF">
        <w:rPr>
          <w:b/>
          <w:bCs/>
        </w:rPr>
        <w:t>Annual Cost to the Federal Government</w:t>
      </w:r>
    </w:p>
    <w:tbl>
      <w:tblPr>
        <w:tblW w:w="93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7680"/>
        <w:gridCol w:w="1666"/>
      </w:tblGrid>
      <w:tr w:rsidRPr="00113610" w:rsidR="000D23AC" w:rsidTr="004F7334" w14:paraId="5450962F" w14:textId="77777777">
        <w:trPr>
          <w:trHeight w:val="70"/>
        </w:trPr>
        <w:tc>
          <w:tcPr>
            <w:tcW w:w="7680" w:type="dxa"/>
            <w:shd w:val="clear" w:color="auto" w:fill="8EAADB" w:themeFill="accent1" w:themeFillTint="99"/>
            <w:noWrap/>
            <w:vAlign w:val="center"/>
          </w:tcPr>
          <w:p w:rsidRPr="00113610" w:rsidR="000D23AC" w:rsidP="0085077B" w:rsidRDefault="000D23AC" w14:paraId="108FCB81" w14:textId="77777777">
            <w:pPr>
              <w:jc w:val="center"/>
              <w:rPr>
                <w:b/>
                <w:bCs/>
                <w:sz w:val="20"/>
                <w:szCs w:val="20"/>
              </w:rPr>
            </w:pPr>
            <w:r w:rsidRPr="00113610">
              <w:rPr>
                <w:b/>
                <w:bCs/>
                <w:sz w:val="20"/>
                <w:szCs w:val="20"/>
              </w:rPr>
              <w:t>Item</w:t>
            </w:r>
          </w:p>
        </w:tc>
        <w:tc>
          <w:tcPr>
            <w:tcW w:w="1666" w:type="dxa"/>
            <w:shd w:val="clear" w:color="auto" w:fill="8EAADB" w:themeFill="accent1" w:themeFillTint="99"/>
            <w:noWrap/>
          </w:tcPr>
          <w:p w:rsidRPr="00113610" w:rsidR="000D23AC" w:rsidP="0085077B" w:rsidRDefault="000D23AC" w14:paraId="777EBE1F" w14:textId="77777777">
            <w:pPr>
              <w:jc w:val="center"/>
              <w:rPr>
                <w:b/>
                <w:bCs/>
                <w:sz w:val="20"/>
                <w:szCs w:val="20"/>
              </w:rPr>
            </w:pPr>
            <w:r w:rsidRPr="00113610">
              <w:rPr>
                <w:b/>
                <w:bCs/>
                <w:sz w:val="20"/>
                <w:szCs w:val="20"/>
              </w:rPr>
              <w:t>Cost ($)</w:t>
            </w:r>
          </w:p>
        </w:tc>
      </w:tr>
      <w:tr w:rsidRPr="00113610" w:rsidR="000D23AC" w:rsidTr="00DA70E3" w14:paraId="2E67FD3B" w14:textId="77777777">
        <w:trPr>
          <w:trHeight w:val="495"/>
        </w:trPr>
        <w:tc>
          <w:tcPr>
            <w:tcW w:w="7680" w:type="dxa"/>
          </w:tcPr>
          <w:p w:rsidRPr="00E104FF" w:rsidR="000D23AC" w:rsidP="0085077B" w:rsidRDefault="000D23AC" w14:paraId="329E6AB5" w14:textId="48EE1CBC">
            <w:pPr>
              <w:rPr>
                <w:sz w:val="20"/>
                <w:szCs w:val="20"/>
              </w:rPr>
            </w:pPr>
            <w:r w:rsidRPr="00113610">
              <w:rPr>
                <w:b/>
                <w:bCs/>
                <w:sz w:val="20"/>
                <w:szCs w:val="20"/>
              </w:rPr>
              <w:t>Contract Costs</w:t>
            </w:r>
            <w:r w:rsidRPr="00E104FF">
              <w:rPr>
                <w:sz w:val="20"/>
                <w:szCs w:val="20"/>
              </w:rPr>
              <w:t xml:space="preserve"> </w:t>
            </w:r>
            <w:r w:rsidRPr="00113610">
              <w:rPr>
                <w:sz w:val="20"/>
                <w:szCs w:val="20"/>
              </w:rPr>
              <w:t>[</w:t>
            </w:r>
            <w:r w:rsidR="00E96100">
              <w:rPr>
                <w:sz w:val="20"/>
                <w:szCs w:val="20"/>
              </w:rPr>
              <w:t>None</w:t>
            </w:r>
            <w:r w:rsidRPr="00113610">
              <w:rPr>
                <w:sz w:val="20"/>
                <w:szCs w:val="20"/>
              </w:rPr>
              <w:t>]</w:t>
            </w:r>
            <w:r w:rsidRPr="00E104FF">
              <w:rPr>
                <w:sz w:val="20"/>
                <w:szCs w:val="20"/>
              </w:rPr>
              <w:t xml:space="preserve"> </w:t>
            </w:r>
          </w:p>
        </w:tc>
        <w:tc>
          <w:tcPr>
            <w:tcW w:w="1666" w:type="dxa"/>
          </w:tcPr>
          <w:p w:rsidRPr="00E104FF" w:rsidR="000D23AC" w:rsidP="00113610" w:rsidRDefault="000D23AC" w14:paraId="02706F3C" w14:textId="16D0E323">
            <w:pPr>
              <w:jc w:val="right"/>
              <w:rPr>
                <w:sz w:val="20"/>
                <w:szCs w:val="20"/>
              </w:rPr>
            </w:pPr>
            <w:r w:rsidRPr="00E104FF">
              <w:rPr>
                <w:sz w:val="20"/>
                <w:szCs w:val="20"/>
              </w:rPr>
              <w:t> </w:t>
            </w:r>
            <w:r w:rsidR="001C7A35">
              <w:rPr>
                <w:sz w:val="20"/>
                <w:szCs w:val="20"/>
              </w:rPr>
              <w:t>$0</w:t>
            </w:r>
          </w:p>
        </w:tc>
      </w:tr>
      <w:tr w:rsidRPr="00113610" w:rsidR="000D23AC" w:rsidTr="00DA70E3" w14:paraId="1CAB0635" w14:textId="77777777">
        <w:trPr>
          <w:trHeight w:val="510"/>
        </w:trPr>
        <w:tc>
          <w:tcPr>
            <w:tcW w:w="7680" w:type="dxa"/>
          </w:tcPr>
          <w:p w:rsidR="00E96100" w:rsidP="00B058C1" w:rsidRDefault="000D23AC" w14:paraId="56B11C8C" w14:textId="77777777">
            <w:pPr>
              <w:rPr>
                <w:sz w:val="20"/>
                <w:szCs w:val="20"/>
              </w:rPr>
            </w:pPr>
            <w:r w:rsidRPr="00113610">
              <w:rPr>
                <w:b/>
                <w:bCs/>
                <w:sz w:val="20"/>
                <w:szCs w:val="20"/>
              </w:rPr>
              <w:t>Staff Salaries*</w:t>
            </w:r>
            <w:r w:rsidRPr="00E104FF">
              <w:rPr>
                <w:sz w:val="20"/>
                <w:szCs w:val="20"/>
              </w:rPr>
              <w:t xml:space="preserve"> </w:t>
            </w:r>
          </w:p>
          <w:p w:rsidRPr="00113610" w:rsidR="001C7A35" w:rsidP="00B058C1" w:rsidRDefault="002C01E9" w14:paraId="6AC21D5A" w14:textId="54C20B1B">
            <w:pPr>
              <w:rPr>
                <w:b/>
                <w:bCs/>
                <w:sz w:val="20"/>
                <w:szCs w:val="20"/>
                <w:u w:val="single"/>
              </w:rPr>
            </w:pPr>
            <w:r w:rsidRPr="00113610">
              <w:rPr>
                <w:b/>
                <w:bCs/>
                <w:sz w:val="20"/>
                <w:szCs w:val="20"/>
                <w:u w:val="single"/>
              </w:rPr>
              <w:t>Mortgage Portfolio Protection Program (MPPP)</w:t>
            </w:r>
          </w:p>
          <w:p w:rsidR="001C7A35" w:rsidP="00B058C1" w:rsidRDefault="00E96100" w14:paraId="0C528B09" w14:textId="3852A6CE">
            <w:pPr>
              <w:rPr>
                <w:sz w:val="20"/>
                <w:szCs w:val="20"/>
              </w:rPr>
            </w:pPr>
            <w:r>
              <w:rPr>
                <w:sz w:val="20"/>
                <w:szCs w:val="20"/>
              </w:rPr>
              <w:t>One (</w:t>
            </w:r>
            <w:r w:rsidRPr="00113610" w:rsidR="000D23AC">
              <w:rPr>
                <w:sz w:val="20"/>
                <w:szCs w:val="20"/>
              </w:rPr>
              <w:t>1</w:t>
            </w:r>
            <w:r>
              <w:rPr>
                <w:sz w:val="20"/>
                <w:szCs w:val="20"/>
              </w:rPr>
              <w:t>)</w:t>
            </w:r>
            <w:r w:rsidRPr="00113610" w:rsidR="000D23AC">
              <w:rPr>
                <w:sz w:val="20"/>
                <w:szCs w:val="20"/>
              </w:rPr>
              <w:t xml:space="preserve"> GS 12, step </w:t>
            </w:r>
            <w:r w:rsidR="001019DF">
              <w:rPr>
                <w:sz w:val="20"/>
                <w:szCs w:val="20"/>
              </w:rPr>
              <w:t>5</w:t>
            </w:r>
            <w:r w:rsidRPr="00113610" w:rsidR="000D23AC">
              <w:rPr>
                <w:sz w:val="20"/>
                <w:szCs w:val="20"/>
              </w:rPr>
              <w:t xml:space="preserve"> employee </w:t>
            </w:r>
            <w:r w:rsidRPr="00113610" w:rsidR="5C4D54D6">
              <w:rPr>
                <w:sz w:val="20"/>
                <w:szCs w:val="20"/>
              </w:rPr>
              <w:t xml:space="preserve">in Washington DC </w:t>
            </w:r>
            <w:r w:rsidRPr="00113610" w:rsidR="000D23AC">
              <w:rPr>
                <w:sz w:val="20"/>
                <w:szCs w:val="20"/>
              </w:rPr>
              <w:t xml:space="preserve">spending approximately 10% of time annually reviewing the acknowledgements and verifying ability to participate in MPPP for this data collection </w:t>
            </w:r>
            <w:r w:rsidR="001C7A35">
              <w:rPr>
                <w:sz w:val="20"/>
                <w:szCs w:val="20"/>
              </w:rPr>
              <w:t>(</w:t>
            </w:r>
            <w:r w:rsidRPr="00113610" w:rsidR="000D23AC">
              <w:rPr>
                <w:sz w:val="20"/>
                <w:szCs w:val="20"/>
              </w:rPr>
              <w:t>$</w:t>
            </w:r>
            <w:r w:rsidR="001019DF">
              <w:rPr>
                <w:sz w:val="20"/>
                <w:szCs w:val="20"/>
              </w:rPr>
              <w:t>98,827</w:t>
            </w:r>
            <w:r w:rsidRPr="00113610" w:rsidR="000D23AC">
              <w:rPr>
                <w:sz w:val="20"/>
                <w:szCs w:val="20"/>
              </w:rPr>
              <w:t xml:space="preserve"> x </w:t>
            </w:r>
            <w:r w:rsidR="001C7A35">
              <w:rPr>
                <w:sz w:val="20"/>
                <w:szCs w:val="20"/>
              </w:rPr>
              <w:t>0.10</w:t>
            </w:r>
            <w:r w:rsidRPr="00113610" w:rsidR="000D23AC">
              <w:rPr>
                <w:sz w:val="20"/>
                <w:szCs w:val="20"/>
              </w:rPr>
              <w:t xml:space="preserve"> x 1.4</w:t>
            </w:r>
            <w:r w:rsidR="001019DF">
              <w:rPr>
                <w:sz w:val="20"/>
                <w:szCs w:val="20"/>
              </w:rPr>
              <w:t>5</w:t>
            </w:r>
            <w:r w:rsidR="00AC4465">
              <w:rPr>
                <w:sz w:val="20"/>
                <w:szCs w:val="20"/>
                <w:vertAlign w:val="superscript"/>
              </w:rPr>
              <w:t>2</w:t>
            </w:r>
            <w:r w:rsidR="001C7A35">
              <w:rPr>
                <w:sz w:val="20"/>
                <w:szCs w:val="20"/>
              </w:rPr>
              <w:t>) equals</w:t>
            </w:r>
            <w:r w:rsidRPr="00113610" w:rsidR="000D23AC">
              <w:rPr>
                <w:sz w:val="20"/>
                <w:szCs w:val="20"/>
              </w:rPr>
              <w:t xml:space="preserve"> $</w:t>
            </w:r>
            <w:r w:rsidR="005033F7">
              <w:rPr>
                <w:sz w:val="20"/>
                <w:szCs w:val="20"/>
              </w:rPr>
              <w:t>14,330</w:t>
            </w:r>
            <w:r w:rsidR="007A2594">
              <w:rPr>
                <w:sz w:val="20"/>
                <w:szCs w:val="20"/>
              </w:rPr>
              <w:t>.</w:t>
            </w:r>
            <w:r w:rsidRPr="00113610" w:rsidR="000D23AC">
              <w:rPr>
                <w:sz w:val="20"/>
                <w:szCs w:val="20"/>
              </w:rPr>
              <w:t xml:space="preserve"> </w:t>
            </w:r>
          </w:p>
          <w:p w:rsidR="001C7A35" w:rsidP="00B058C1" w:rsidRDefault="00E96100" w14:paraId="5931BC45" w14:textId="3D7B9D62">
            <w:pPr>
              <w:rPr>
                <w:sz w:val="20"/>
                <w:szCs w:val="20"/>
              </w:rPr>
            </w:pPr>
            <w:r>
              <w:rPr>
                <w:sz w:val="20"/>
                <w:szCs w:val="20"/>
              </w:rPr>
              <w:t>One (</w:t>
            </w:r>
            <w:r w:rsidRPr="00113610" w:rsidR="000D23AC">
              <w:rPr>
                <w:sz w:val="20"/>
                <w:szCs w:val="20"/>
              </w:rPr>
              <w:t>1</w:t>
            </w:r>
            <w:r>
              <w:rPr>
                <w:sz w:val="20"/>
                <w:szCs w:val="20"/>
              </w:rPr>
              <w:t>)</w:t>
            </w:r>
            <w:r w:rsidRPr="00113610" w:rsidR="000D23AC">
              <w:rPr>
                <w:sz w:val="20"/>
                <w:szCs w:val="20"/>
              </w:rPr>
              <w:t xml:space="preserve"> GS 13, step </w:t>
            </w:r>
            <w:r w:rsidR="00946036">
              <w:rPr>
                <w:sz w:val="20"/>
                <w:szCs w:val="20"/>
              </w:rPr>
              <w:t>5</w:t>
            </w:r>
            <w:r w:rsidRPr="00113610" w:rsidR="000D23AC">
              <w:rPr>
                <w:sz w:val="20"/>
                <w:szCs w:val="20"/>
              </w:rPr>
              <w:t xml:space="preserve"> employee </w:t>
            </w:r>
            <w:r w:rsidRPr="00113610" w:rsidR="5C4D54D6">
              <w:rPr>
                <w:sz w:val="20"/>
                <w:szCs w:val="20"/>
              </w:rPr>
              <w:t xml:space="preserve">in Washington DC </w:t>
            </w:r>
            <w:r w:rsidRPr="00113610" w:rsidR="000D23AC">
              <w:rPr>
                <w:sz w:val="20"/>
                <w:szCs w:val="20"/>
              </w:rPr>
              <w:t xml:space="preserve">spending approximately 10% of time annually reviewing the acknowledgements and verifying ability to participate in MPPP for this data collection </w:t>
            </w:r>
            <w:r w:rsidR="001C7A35">
              <w:rPr>
                <w:sz w:val="20"/>
                <w:szCs w:val="20"/>
              </w:rPr>
              <w:t>(</w:t>
            </w:r>
            <w:r w:rsidRPr="00113610" w:rsidR="000D23AC">
              <w:rPr>
                <w:sz w:val="20"/>
                <w:szCs w:val="20"/>
              </w:rPr>
              <w:t>$</w:t>
            </w:r>
            <w:r w:rsidR="00946036">
              <w:rPr>
                <w:sz w:val="20"/>
                <w:szCs w:val="20"/>
              </w:rPr>
              <w:t>117,516</w:t>
            </w:r>
            <w:r w:rsidRPr="00113610" w:rsidR="5C4D54D6">
              <w:rPr>
                <w:sz w:val="20"/>
                <w:szCs w:val="20"/>
              </w:rPr>
              <w:t xml:space="preserve"> </w:t>
            </w:r>
            <w:r w:rsidRPr="00113610" w:rsidR="000D23AC">
              <w:rPr>
                <w:sz w:val="20"/>
                <w:szCs w:val="20"/>
              </w:rPr>
              <w:t xml:space="preserve">x </w:t>
            </w:r>
            <w:r w:rsidR="001C7A35">
              <w:rPr>
                <w:sz w:val="20"/>
                <w:szCs w:val="20"/>
              </w:rPr>
              <w:t xml:space="preserve">0.10 </w:t>
            </w:r>
            <w:r w:rsidRPr="00113610" w:rsidR="000D23AC">
              <w:rPr>
                <w:sz w:val="20"/>
                <w:szCs w:val="20"/>
              </w:rPr>
              <w:t>x 1.4</w:t>
            </w:r>
            <w:r w:rsidR="00946036">
              <w:rPr>
                <w:sz w:val="20"/>
                <w:szCs w:val="20"/>
              </w:rPr>
              <w:t>5</w:t>
            </w:r>
            <w:r w:rsidR="001C7A35">
              <w:rPr>
                <w:sz w:val="20"/>
                <w:szCs w:val="20"/>
              </w:rPr>
              <w:t xml:space="preserve">) equals </w:t>
            </w:r>
            <w:r w:rsidRPr="00113610" w:rsidR="000D23AC">
              <w:rPr>
                <w:sz w:val="20"/>
                <w:szCs w:val="20"/>
              </w:rPr>
              <w:t>$</w:t>
            </w:r>
            <w:r w:rsidR="0028141D">
              <w:rPr>
                <w:sz w:val="20"/>
                <w:szCs w:val="20"/>
              </w:rPr>
              <w:t>17,039</w:t>
            </w:r>
            <w:r w:rsidRPr="00113610" w:rsidR="00CE46FF">
              <w:rPr>
                <w:sz w:val="20"/>
                <w:szCs w:val="20"/>
              </w:rPr>
              <w:t xml:space="preserve">. </w:t>
            </w:r>
          </w:p>
          <w:p w:rsidR="00E96100" w:rsidP="00B058C1" w:rsidRDefault="00E96100" w14:paraId="0F21B536" w14:textId="48A07815">
            <w:pPr>
              <w:rPr>
                <w:sz w:val="20"/>
                <w:szCs w:val="20"/>
              </w:rPr>
            </w:pPr>
            <w:r>
              <w:rPr>
                <w:sz w:val="20"/>
                <w:szCs w:val="20"/>
              </w:rPr>
              <w:t>[$</w:t>
            </w:r>
            <w:r w:rsidR="00E13884">
              <w:rPr>
                <w:sz w:val="20"/>
                <w:szCs w:val="20"/>
              </w:rPr>
              <w:t>14,330</w:t>
            </w:r>
            <w:r>
              <w:rPr>
                <w:sz w:val="20"/>
                <w:szCs w:val="20"/>
              </w:rPr>
              <w:t xml:space="preserve"> + $</w:t>
            </w:r>
            <w:r w:rsidR="001C7A35">
              <w:rPr>
                <w:sz w:val="20"/>
                <w:szCs w:val="20"/>
              </w:rPr>
              <w:t>1</w:t>
            </w:r>
            <w:r w:rsidR="00E13884">
              <w:rPr>
                <w:sz w:val="20"/>
                <w:szCs w:val="20"/>
              </w:rPr>
              <w:t>7,039</w:t>
            </w:r>
            <w:r w:rsidR="001C7A35">
              <w:rPr>
                <w:sz w:val="20"/>
                <w:szCs w:val="20"/>
              </w:rPr>
              <w:t xml:space="preserve"> = </w:t>
            </w:r>
            <w:r>
              <w:rPr>
                <w:sz w:val="20"/>
                <w:szCs w:val="20"/>
              </w:rPr>
              <w:t>$</w:t>
            </w:r>
            <w:r w:rsidR="00E13884">
              <w:rPr>
                <w:sz w:val="20"/>
                <w:szCs w:val="20"/>
              </w:rPr>
              <w:t>31,369</w:t>
            </w:r>
            <w:r>
              <w:rPr>
                <w:sz w:val="20"/>
                <w:szCs w:val="20"/>
              </w:rPr>
              <w:t>]</w:t>
            </w:r>
          </w:p>
          <w:p w:rsidR="00E96100" w:rsidP="00B058C1" w:rsidRDefault="00E96100" w14:paraId="7A959E60" w14:textId="77777777">
            <w:pPr>
              <w:rPr>
                <w:sz w:val="20"/>
                <w:szCs w:val="20"/>
              </w:rPr>
            </w:pPr>
          </w:p>
          <w:p w:rsidRPr="00113610" w:rsidR="001C7A35" w:rsidP="00B058C1" w:rsidRDefault="00CE46FF" w14:paraId="14041579" w14:textId="3330F38F">
            <w:pPr>
              <w:rPr>
                <w:b/>
                <w:bCs/>
                <w:sz w:val="20"/>
                <w:szCs w:val="20"/>
                <w:u w:val="single"/>
              </w:rPr>
            </w:pPr>
            <w:r w:rsidRPr="00113610">
              <w:rPr>
                <w:b/>
                <w:bCs/>
                <w:sz w:val="20"/>
                <w:szCs w:val="20"/>
                <w:u w:val="single"/>
              </w:rPr>
              <w:t>Ask the Advocate web form,</w:t>
            </w:r>
          </w:p>
          <w:p w:rsidR="001C7A35" w:rsidP="00B058C1" w:rsidRDefault="001C7A35" w14:paraId="455D0646" w14:textId="64F03F84">
            <w:pPr>
              <w:rPr>
                <w:rFonts w:eastAsia="Calibri"/>
                <w:sz w:val="20"/>
                <w:szCs w:val="20"/>
              </w:rPr>
            </w:pPr>
            <w:r>
              <w:rPr>
                <w:rFonts w:eastAsia="Calibri"/>
                <w:sz w:val="20"/>
                <w:szCs w:val="20"/>
              </w:rPr>
              <w:t>One (</w:t>
            </w:r>
            <w:r w:rsidRPr="00113610" w:rsidR="00CE46FF">
              <w:rPr>
                <w:rFonts w:eastAsia="Calibri"/>
                <w:sz w:val="20"/>
                <w:szCs w:val="20"/>
              </w:rPr>
              <w:t>1</w:t>
            </w:r>
            <w:r>
              <w:rPr>
                <w:rFonts w:eastAsia="Calibri"/>
                <w:sz w:val="20"/>
                <w:szCs w:val="20"/>
              </w:rPr>
              <w:t>)</w:t>
            </w:r>
            <w:r w:rsidRPr="00113610" w:rsidR="00CE46FF">
              <w:rPr>
                <w:rFonts w:eastAsia="Calibri"/>
                <w:sz w:val="20"/>
                <w:szCs w:val="20"/>
              </w:rPr>
              <w:t xml:space="preserve"> GS 14 Step 5 employee </w:t>
            </w:r>
            <w:r w:rsidRPr="00113610" w:rsidR="0DC29630">
              <w:rPr>
                <w:rFonts w:eastAsia="Calibri"/>
                <w:sz w:val="20"/>
                <w:szCs w:val="20"/>
              </w:rPr>
              <w:t xml:space="preserve">in Washington, DC </w:t>
            </w:r>
            <w:r w:rsidRPr="00113610" w:rsidR="00CE46FF">
              <w:rPr>
                <w:rFonts w:eastAsia="Calibri"/>
                <w:sz w:val="20"/>
                <w:szCs w:val="20"/>
              </w:rPr>
              <w:t xml:space="preserve">spending approximately 20% of time annually </w:t>
            </w:r>
            <w:r w:rsidRPr="00113610" w:rsidR="00CE46FF">
              <w:rPr>
                <w:color w:val="000000" w:themeColor="text1"/>
                <w:sz w:val="20"/>
                <w:szCs w:val="20"/>
              </w:rPr>
              <w:t xml:space="preserve">monitoring the program, including quality review of </w:t>
            </w:r>
            <w:r w:rsidRPr="00113610" w:rsidR="0DC29630">
              <w:rPr>
                <w:color w:val="000000" w:themeColor="text1"/>
                <w:sz w:val="20"/>
                <w:szCs w:val="20"/>
              </w:rPr>
              <w:t>Salesforce data</w:t>
            </w:r>
            <w:r w:rsidRPr="00113610" w:rsidR="00CE46FF">
              <w:rPr>
                <w:color w:val="000000" w:themeColor="text1"/>
                <w:sz w:val="20"/>
                <w:szCs w:val="20"/>
              </w:rPr>
              <w:t xml:space="preserve"> and adherence to program guidelines </w:t>
            </w:r>
            <w:r w:rsidRPr="00113610" w:rsidR="00CE46FF">
              <w:rPr>
                <w:rFonts w:eastAsia="Calibri"/>
                <w:sz w:val="20"/>
                <w:szCs w:val="20"/>
              </w:rPr>
              <w:t>($13</w:t>
            </w:r>
            <w:r w:rsidR="007A2594">
              <w:rPr>
                <w:rFonts w:eastAsia="Calibri"/>
                <w:sz w:val="20"/>
                <w:szCs w:val="20"/>
              </w:rPr>
              <w:t>8,866</w:t>
            </w:r>
            <w:r w:rsidRPr="00113610" w:rsidR="00CE46FF">
              <w:rPr>
                <w:rFonts w:eastAsia="Calibri"/>
                <w:sz w:val="20"/>
                <w:szCs w:val="20"/>
              </w:rPr>
              <w:t xml:space="preserve"> x 0.20 x 1.4</w:t>
            </w:r>
            <w:r w:rsidR="007A2594">
              <w:rPr>
                <w:rFonts w:eastAsia="Calibri"/>
                <w:sz w:val="20"/>
                <w:szCs w:val="20"/>
              </w:rPr>
              <w:t>5</w:t>
            </w:r>
            <w:r w:rsidR="00AC4465">
              <w:rPr>
                <w:rFonts w:eastAsia="Calibri"/>
                <w:sz w:val="20"/>
                <w:szCs w:val="20"/>
                <w:vertAlign w:val="superscript"/>
              </w:rPr>
              <w:t>2</w:t>
            </w:r>
            <w:r>
              <w:rPr>
                <w:rFonts w:eastAsia="Calibri"/>
                <w:sz w:val="20"/>
                <w:szCs w:val="20"/>
              </w:rPr>
              <w:t>) equals</w:t>
            </w:r>
            <w:r w:rsidRPr="00113610" w:rsidR="00CE46FF">
              <w:rPr>
                <w:rFonts w:eastAsia="Calibri"/>
                <w:sz w:val="20"/>
                <w:szCs w:val="20"/>
              </w:rPr>
              <w:t xml:space="preserve"> $40,</w:t>
            </w:r>
            <w:r w:rsidR="005D1FA7">
              <w:rPr>
                <w:rFonts w:eastAsia="Calibri"/>
                <w:sz w:val="20"/>
                <w:szCs w:val="20"/>
              </w:rPr>
              <w:t>271</w:t>
            </w:r>
            <w:r w:rsidRPr="00113610" w:rsidR="0DC29630">
              <w:rPr>
                <w:rFonts w:eastAsia="Calibri"/>
                <w:sz w:val="20"/>
                <w:szCs w:val="20"/>
              </w:rPr>
              <w:t xml:space="preserve">. </w:t>
            </w:r>
          </w:p>
          <w:p w:rsidRPr="00E104FF" w:rsidR="00CE46FF" w:rsidP="00B058C1" w:rsidRDefault="0DC29630" w14:paraId="666A8F42" w14:textId="05CE9D54">
            <w:pPr>
              <w:rPr>
                <w:sz w:val="20"/>
                <w:szCs w:val="20"/>
              </w:rPr>
            </w:pPr>
            <w:r w:rsidRPr="00113610">
              <w:rPr>
                <w:rFonts w:eastAsia="Calibri"/>
                <w:sz w:val="20"/>
                <w:szCs w:val="20"/>
              </w:rPr>
              <w:t>As such, the</w:t>
            </w:r>
            <w:r w:rsidRPr="00113610" w:rsidR="00CE46FF">
              <w:rPr>
                <w:rFonts w:eastAsia="Calibri"/>
                <w:sz w:val="20"/>
                <w:szCs w:val="20"/>
              </w:rPr>
              <w:t xml:space="preserve"> total Staff Salaries cost for this collection would be </w:t>
            </w:r>
            <w:r w:rsidR="001C7A35">
              <w:rPr>
                <w:rFonts w:eastAsia="Calibri"/>
                <w:sz w:val="20"/>
                <w:szCs w:val="20"/>
              </w:rPr>
              <w:t>(</w:t>
            </w:r>
            <w:r w:rsidRPr="00113610" w:rsidR="00CE46FF">
              <w:rPr>
                <w:rFonts w:eastAsia="Calibri"/>
                <w:sz w:val="20"/>
                <w:szCs w:val="20"/>
              </w:rPr>
              <w:t>$</w:t>
            </w:r>
            <w:r w:rsidR="00B654E1">
              <w:rPr>
                <w:rFonts w:eastAsia="Calibri"/>
                <w:sz w:val="20"/>
                <w:szCs w:val="20"/>
              </w:rPr>
              <w:t>31,369</w:t>
            </w:r>
            <w:r w:rsidRPr="00113610" w:rsidR="00CE46FF">
              <w:rPr>
                <w:rFonts w:eastAsia="Calibri"/>
                <w:sz w:val="20"/>
                <w:szCs w:val="20"/>
              </w:rPr>
              <w:t xml:space="preserve"> + $</w:t>
            </w:r>
            <w:r w:rsidRPr="00113610">
              <w:rPr>
                <w:rFonts w:eastAsia="Calibri"/>
                <w:sz w:val="20"/>
                <w:szCs w:val="20"/>
              </w:rPr>
              <w:t>40,</w:t>
            </w:r>
            <w:r w:rsidR="00B654E1">
              <w:rPr>
                <w:rFonts w:eastAsia="Calibri"/>
                <w:sz w:val="20"/>
                <w:szCs w:val="20"/>
              </w:rPr>
              <w:t>271</w:t>
            </w:r>
            <w:r w:rsidR="001C7A35">
              <w:rPr>
                <w:rFonts w:eastAsia="Calibri"/>
                <w:sz w:val="20"/>
                <w:szCs w:val="20"/>
              </w:rPr>
              <w:t>)</w:t>
            </w:r>
            <w:r w:rsidRPr="00113610" w:rsidR="00CE46FF">
              <w:rPr>
                <w:rFonts w:eastAsia="Calibri"/>
                <w:sz w:val="20"/>
                <w:szCs w:val="20"/>
              </w:rPr>
              <w:t xml:space="preserve"> $</w:t>
            </w:r>
            <w:r w:rsidR="00BA3B8F">
              <w:rPr>
                <w:rFonts w:eastAsia="Calibri"/>
                <w:sz w:val="20"/>
                <w:szCs w:val="20"/>
              </w:rPr>
              <w:t>71,640</w:t>
            </w:r>
            <w:r w:rsidRPr="00113610" w:rsidR="00CE46FF">
              <w:rPr>
                <w:rFonts w:eastAsia="Calibri"/>
                <w:sz w:val="20"/>
                <w:szCs w:val="20"/>
              </w:rPr>
              <w:t>.</w:t>
            </w:r>
          </w:p>
        </w:tc>
        <w:tc>
          <w:tcPr>
            <w:tcW w:w="1666" w:type="dxa"/>
            <w:noWrap/>
          </w:tcPr>
          <w:p w:rsidRPr="00113610" w:rsidR="000D23AC" w:rsidP="00CE46FF" w:rsidRDefault="000D23AC" w14:paraId="2106CB1E" w14:textId="22D1FA3B">
            <w:pPr>
              <w:jc w:val="right"/>
              <w:rPr>
                <w:sz w:val="20"/>
                <w:szCs w:val="20"/>
              </w:rPr>
            </w:pPr>
            <w:r w:rsidRPr="00113610">
              <w:rPr>
                <w:sz w:val="20"/>
                <w:szCs w:val="20"/>
              </w:rPr>
              <w:t>$</w:t>
            </w:r>
            <w:r w:rsidR="00BA3B8F">
              <w:rPr>
                <w:sz w:val="20"/>
                <w:szCs w:val="20"/>
              </w:rPr>
              <w:t>71,640</w:t>
            </w:r>
          </w:p>
        </w:tc>
      </w:tr>
      <w:tr w:rsidRPr="00113610" w:rsidR="000D23AC" w:rsidTr="00DA70E3" w14:paraId="79160AD7" w14:textId="77777777">
        <w:trPr>
          <w:trHeight w:val="270"/>
        </w:trPr>
        <w:tc>
          <w:tcPr>
            <w:tcW w:w="7680" w:type="dxa"/>
            <w:noWrap/>
          </w:tcPr>
          <w:p w:rsidRPr="00113610" w:rsidR="000D23AC" w:rsidP="0085077B" w:rsidRDefault="000D23AC" w14:paraId="6819DD98" w14:textId="77777777">
            <w:pPr>
              <w:rPr>
                <w:sz w:val="20"/>
                <w:szCs w:val="20"/>
              </w:rPr>
            </w:pPr>
            <w:r w:rsidRPr="00113610">
              <w:rPr>
                <w:sz w:val="20"/>
                <w:szCs w:val="20"/>
              </w:rPr>
              <w:t xml:space="preserve">Facilities </w:t>
            </w:r>
            <w:r w:rsidRPr="00113610">
              <w:rPr>
                <w:b/>
                <w:sz w:val="20"/>
                <w:szCs w:val="20"/>
              </w:rPr>
              <w:t>[cost for renting, overhead, etc. for data collection activity]</w:t>
            </w:r>
          </w:p>
        </w:tc>
        <w:tc>
          <w:tcPr>
            <w:tcW w:w="1666" w:type="dxa"/>
            <w:noWrap/>
          </w:tcPr>
          <w:p w:rsidRPr="00113610" w:rsidR="000D23AC" w:rsidP="00CE46FF" w:rsidRDefault="001C7A35" w14:paraId="4356EEDA" w14:textId="6C795F28">
            <w:pPr>
              <w:jc w:val="right"/>
              <w:rPr>
                <w:sz w:val="20"/>
                <w:szCs w:val="20"/>
              </w:rPr>
            </w:pPr>
            <w:r>
              <w:rPr>
                <w:sz w:val="20"/>
                <w:szCs w:val="20"/>
              </w:rPr>
              <w:t>$0</w:t>
            </w:r>
          </w:p>
        </w:tc>
      </w:tr>
      <w:tr w:rsidRPr="00113610" w:rsidR="000D23AC" w:rsidTr="00DA70E3" w14:paraId="6C0E256E" w14:textId="77777777">
        <w:trPr>
          <w:trHeight w:val="240"/>
        </w:trPr>
        <w:tc>
          <w:tcPr>
            <w:tcW w:w="7680" w:type="dxa"/>
            <w:noWrap/>
          </w:tcPr>
          <w:p w:rsidRPr="00113610" w:rsidR="000D23AC" w:rsidP="0085077B" w:rsidRDefault="000D23AC" w14:paraId="5DAADEA7" w14:textId="77777777">
            <w:pPr>
              <w:rPr>
                <w:sz w:val="20"/>
                <w:szCs w:val="20"/>
              </w:rPr>
            </w:pPr>
            <w:r w:rsidRPr="00113610">
              <w:rPr>
                <w:sz w:val="20"/>
                <w:szCs w:val="20"/>
              </w:rPr>
              <w:t xml:space="preserve">Computer Hardware and Software </w:t>
            </w:r>
            <w:r w:rsidRPr="00113610">
              <w:rPr>
                <w:b/>
                <w:sz w:val="20"/>
                <w:szCs w:val="20"/>
              </w:rPr>
              <w:t>[cost of equipment annual lifecycle]</w:t>
            </w:r>
          </w:p>
        </w:tc>
        <w:tc>
          <w:tcPr>
            <w:tcW w:w="1666" w:type="dxa"/>
            <w:noWrap/>
          </w:tcPr>
          <w:p w:rsidRPr="00113610" w:rsidR="000D23AC" w:rsidP="00CE46FF" w:rsidRDefault="001C7A35" w14:paraId="7F2C92F1" w14:textId="07446471">
            <w:pPr>
              <w:jc w:val="right"/>
              <w:rPr>
                <w:sz w:val="20"/>
                <w:szCs w:val="20"/>
              </w:rPr>
            </w:pPr>
            <w:r>
              <w:rPr>
                <w:sz w:val="20"/>
                <w:szCs w:val="20"/>
              </w:rPr>
              <w:t>$0</w:t>
            </w:r>
          </w:p>
        </w:tc>
      </w:tr>
      <w:tr w:rsidRPr="00113610" w:rsidR="000D23AC" w:rsidTr="00DA70E3" w14:paraId="6B5AF407" w14:textId="77777777">
        <w:trPr>
          <w:trHeight w:val="255"/>
        </w:trPr>
        <w:tc>
          <w:tcPr>
            <w:tcW w:w="7680" w:type="dxa"/>
            <w:noWrap/>
          </w:tcPr>
          <w:p w:rsidRPr="00113610" w:rsidR="000D23AC" w:rsidP="0085077B" w:rsidRDefault="000D23AC" w14:paraId="75BECCCB" w14:textId="77777777">
            <w:pPr>
              <w:rPr>
                <w:sz w:val="20"/>
                <w:szCs w:val="20"/>
              </w:rPr>
            </w:pPr>
            <w:r w:rsidRPr="00113610">
              <w:rPr>
                <w:sz w:val="20"/>
                <w:szCs w:val="20"/>
              </w:rPr>
              <w:t xml:space="preserve">Equipment Maintenance </w:t>
            </w:r>
            <w:r w:rsidRPr="00113610">
              <w:rPr>
                <w:b/>
                <w:sz w:val="20"/>
                <w:szCs w:val="20"/>
              </w:rPr>
              <w:t>[cost of annual maintenance/service agreements for equipment]</w:t>
            </w:r>
          </w:p>
        </w:tc>
        <w:tc>
          <w:tcPr>
            <w:tcW w:w="1666" w:type="dxa"/>
            <w:noWrap/>
          </w:tcPr>
          <w:p w:rsidRPr="00113610" w:rsidR="000D23AC" w:rsidP="00CE46FF" w:rsidRDefault="001C7A35" w14:paraId="33C36DE0" w14:textId="65CDED88">
            <w:pPr>
              <w:jc w:val="right"/>
              <w:rPr>
                <w:sz w:val="20"/>
                <w:szCs w:val="20"/>
              </w:rPr>
            </w:pPr>
            <w:r>
              <w:rPr>
                <w:sz w:val="20"/>
                <w:szCs w:val="20"/>
              </w:rPr>
              <w:t>$0</w:t>
            </w:r>
          </w:p>
        </w:tc>
      </w:tr>
      <w:tr w:rsidRPr="00113610" w:rsidR="000D23AC" w:rsidTr="00DA70E3" w14:paraId="4F365C9E" w14:textId="77777777">
        <w:trPr>
          <w:trHeight w:val="255"/>
        </w:trPr>
        <w:tc>
          <w:tcPr>
            <w:tcW w:w="7680" w:type="dxa"/>
            <w:noWrap/>
          </w:tcPr>
          <w:p w:rsidRPr="00113610" w:rsidR="000D23AC" w:rsidP="0085077B" w:rsidRDefault="000D23AC" w14:paraId="1B509F97" w14:textId="77777777">
            <w:pPr>
              <w:rPr>
                <w:sz w:val="20"/>
                <w:szCs w:val="20"/>
              </w:rPr>
            </w:pPr>
            <w:r w:rsidRPr="00113610">
              <w:rPr>
                <w:sz w:val="20"/>
                <w:szCs w:val="20"/>
              </w:rPr>
              <w:t xml:space="preserve">Travel </w:t>
            </w:r>
          </w:p>
        </w:tc>
        <w:tc>
          <w:tcPr>
            <w:tcW w:w="1666" w:type="dxa"/>
            <w:noWrap/>
          </w:tcPr>
          <w:p w:rsidRPr="00E104FF" w:rsidR="000D23AC" w:rsidP="00CE46FF" w:rsidRDefault="001C7A35" w14:paraId="7F071ED2" w14:textId="281E7A3C">
            <w:pPr>
              <w:jc w:val="right"/>
              <w:rPr>
                <w:sz w:val="20"/>
                <w:szCs w:val="20"/>
              </w:rPr>
            </w:pPr>
            <w:r>
              <w:rPr>
                <w:sz w:val="20"/>
                <w:szCs w:val="20"/>
              </w:rPr>
              <w:t>$0</w:t>
            </w:r>
          </w:p>
        </w:tc>
      </w:tr>
      <w:tr w:rsidRPr="00113610" w:rsidR="000D23AC" w:rsidTr="00DA70E3" w14:paraId="300282ED" w14:textId="77777777">
        <w:trPr>
          <w:trHeight w:val="255"/>
        </w:trPr>
        <w:tc>
          <w:tcPr>
            <w:tcW w:w="7680" w:type="dxa"/>
            <w:noWrap/>
          </w:tcPr>
          <w:p w:rsidRPr="00113610" w:rsidR="000D23AC" w:rsidP="0085077B" w:rsidRDefault="000D23AC" w14:paraId="738BFCD3" w14:textId="1412A236">
            <w:pPr>
              <w:rPr>
                <w:sz w:val="20"/>
                <w:szCs w:val="20"/>
              </w:rPr>
            </w:pPr>
            <w:r w:rsidRPr="00113610">
              <w:rPr>
                <w:sz w:val="20"/>
                <w:szCs w:val="20"/>
              </w:rPr>
              <w:t xml:space="preserve">Printing </w:t>
            </w:r>
            <w:r w:rsidRPr="00113610" w:rsidR="002C01E9">
              <w:rPr>
                <w:sz w:val="20"/>
                <w:szCs w:val="20"/>
              </w:rPr>
              <w:t xml:space="preserve">Regarding Mortgage Portfolio Protection Program (MPPP), </w:t>
            </w:r>
            <w:r w:rsidRPr="00113610">
              <w:rPr>
                <w:b/>
                <w:sz w:val="20"/>
                <w:szCs w:val="20"/>
              </w:rPr>
              <w:t>1</w:t>
            </w:r>
            <w:r w:rsidR="00941A2E">
              <w:rPr>
                <w:b/>
                <w:sz w:val="20"/>
                <w:szCs w:val="20"/>
              </w:rPr>
              <w:t>,</w:t>
            </w:r>
            <w:r w:rsidRPr="00113610">
              <w:rPr>
                <w:b/>
                <w:sz w:val="20"/>
                <w:szCs w:val="20"/>
              </w:rPr>
              <w:t>000 documents x .29 each (50 copies of the MPPP Agreement to hand out if requested at meetings, etc.).</w:t>
            </w:r>
          </w:p>
        </w:tc>
        <w:tc>
          <w:tcPr>
            <w:tcW w:w="1666" w:type="dxa"/>
            <w:noWrap/>
          </w:tcPr>
          <w:p w:rsidRPr="00113610" w:rsidR="000D23AC" w:rsidP="00CE46FF" w:rsidRDefault="000D23AC" w14:paraId="5C6F2C47" w14:textId="344424FE">
            <w:pPr>
              <w:jc w:val="right"/>
              <w:rPr>
                <w:sz w:val="20"/>
                <w:szCs w:val="20"/>
              </w:rPr>
            </w:pPr>
            <w:r w:rsidRPr="00113610">
              <w:rPr>
                <w:sz w:val="20"/>
                <w:szCs w:val="20"/>
              </w:rPr>
              <w:t> $29</w:t>
            </w:r>
            <w:r w:rsidRPr="00113610" w:rsidR="00BC0DE9">
              <w:rPr>
                <w:sz w:val="20"/>
                <w:szCs w:val="20"/>
              </w:rPr>
              <w:t>0</w:t>
            </w:r>
          </w:p>
        </w:tc>
      </w:tr>
      <w:tr w:rsidRPr="00113610" w:rsidR="000D23AC" w:rsidTr="00DA70E3" w14:paraId="26BD04FC" w14:textId="77777777">
        <w:trPr>
          <w:trHeight w:val="255"/>
        </w:trPr>
        <w:tc>
          <w:tcPr>
            <w:tcW w:w="7680" w:type="dxa"/>
            <w:noWrap/>
          </w:tcPr>
          <w:p w:rsidRPr="00113610" w:rsidR="000D23AC" w:rsidP="0085077B" w:rsidRDefault="000D23AC" w14:paraId="6B657D7C" w14:textId="77777777">
            <w:pPr>
              <w:rPr>
                <w:sz w:val="20"/>
                <w:szCs w:val="20"/>
              </w:rPr>
            </w:pPr>
            <w:r w:rsidRPr="00113610">
              <w:rPr>
                <w:sz w:val="20"/>
                <w:szCs w:val="20"/>
              </w:rPr>
              <w:t xml:space="preserve">Postage </w:t>
            </w:r>
            <w:r w:rsidRPr="00113610">
              <w:rPr>
                <w:b/>
                <w:sz w:val="20"/>
                <w:szCs w:val="20"/>
              </w:rPr>
              <w:t>[annual number of data collection instruments x postage]</w:t>
            </w:r>
          </w:p>
        </w:tc>
        <w:tc>
          <w:tcPr>
            <w:tcW w:w="1666" w:type="dxa"/>
            <w:noWrap/>
          </w:tcPr>
          <w:p w:rsidRPr="00113610" w:rsidR="000D23AC" w:rsidP="00CE46FF" w:rsidRDefault="001C7A35" w14:paraId="2F8BF183" w14:textId="354BEBE8">
            <w:pPr>
              <w:jc w:val="right"/>
              <w:rPr>
                <w:sz w:val="20"/>
                <w:szCs w:val="20"/>
              </w:rPr>
            </w:pPr>
            <w:r>
              <w:rPr>
                <w:sz w:val="20"/>
                <w:szCs w:val="20"/>
              </w:rPr>
              <w:t>$0</w:t>
            </w:r>
          </w:p>
        </w:tc>
      </w:tr>
      <w:tr w:rsidRPr="00113610" w:rsidR="000D23AC" w:rsidTr="00DA70E3" w14:paraId="4967EC6C" w14:textId="77777777">
        <w:trPr>
          <w:trHeight w:val="255"/>
        </w:trPr>
        <w:tc>
          <w:tcPr>
            <w:tcW w:w="7680" w:type="dxa"/>
            <w:noWrap/>
          </w:tcPr>
          <w:p w:rsidRPr="00113610" w:rsidR="000D23AC" w:rsidP="0085077B" w:rsidRDefault="000D23AC" w14:paraId="3C74FB95" w14:textId="77777777">
            <w:pPr>
              <w:rPr>
                <w:sz w:val="20"/>
                <w:szCs w:val="20"/>
              </w:rPr>
            </w:pPr>
            <w:r w:rsidRPr="00113610">
              <w:rPr>
                <w:sz w:val="20"/>
                <w:szCs w:val="20"/>
              </w:rPr>
              <w:t>Other</w:t>
            </w:r>
          </w:p>
        </w:tc>
        <w:tc>
          <w:tcPr>
            <w:tcW w:w="1666" w:type="dxa"/>
            <w:noWrap/>
          </w:tcPr>
          <w:p w:rsidRPr="00113610" w:rsidR="000D23AC" w:rsidP="00CE46FF" w:rsidRDefault="001C7A35" w14:paraId="6EE45A45" w14:textId="3CA5EFA2">
            <w:pPr>
              <w:jc w:val="right"/>
              <w:rPr>
                <w:sz w:val="20"/>
                <w:szCs w:val="20"/>
              </w:rPr>
            </w:pPr>
            <w:r>
              <w:rPr>
                <w:sz w:val="20"/>
                <w:szCs w:val="20"/>
              </w:rPr>
              <w:t>$0</w:t>
            </w:r>
          </w:p>
        </w:tc>
      </w:tr>
      <w:tr w:rsidRPr="00113610" w:rsidR="000D23AC" w:rsidTr="00DA70E3" w14:paraId="531A87AA" w14:textId="77777777">
        <w:trPr>
          <w:trHeight w:val="270"/>
        </w:trPr>
        <w:tc>
          <w:tcPr>
            <w:tcW w:w="7680" w:type="dxa"/>
            <w:noWrap/>
          </w:tcPr>
          <w:p w:rsidRPr="00113610" w:rsidR="000D23AC" w:rsidP="0085077B" w:rsidRDefault="000D23AC" w14:paraId="32E5BFAE" w14:textId="77777777">
            <w:pPr>
              <w:rPr>
                <w:b/>
                <w:bCs/>
                <w:sz w:val="20"/>
                <w:szCs w:val="20"/>
              </w:rPr>
            </w:pPr>
            <w:r w:rsidRPr="00113610">
              <w:rPr>
                <w:b/>
                <w:bCs/>
                <w:sz w:val="20"/>
                <w:szCs w:val="20"/>
              </w:rPr>
              <w:t>Total</w:t>
            </w:r>
          </w:p>
        </w:tc>
        <w:tc>
          <w:tcPr>
            <w:tcW w:w="1666" w:type="dxa"/>
            <w:noWrap/>
          </w:tcPr>
          <w:p w:rsidRPr="00113610" w:rsidR="000D23AC" w:rsidP="00CE46FF" w:rsidRDefault="000D23AC" w14:paraId="32F744E3" w14:textId="761000B4">
            <w:pPr>
              <w:jc w:val="right"/>
              <w:rPr>
                <w:b/>
                <w:bCs/>
                <w:sz w:val="20"/>
                <w:szCs w:val="20"/>
              </w:rPr>
            </w:pPr>
            <w:r w:rsidRPr="00113610">
              <w:rPr>
                <w:b/>
                <w:bCs/>
                <w:sz w:val="20"/>
                <w:szCs w:val="20"/>
              </w:rPr>
              <w:t>$</w:t>
            </w:r>
            <w:r w:rsidR="00664352">
              <w:rPr>
                <w:b/>
                <w:bCs/>
                <w:sz w:val="20"/>
                <w:szCs w:val="20"/>
              </w:rPr>
              <w:t>71,930</w:t>
            </w:r>
          </w:p>
        </w:tc>
      </w:tr>
      <w:tr w:rsidRPr="00113610" w:rsidR="00DA70E3" w:rsidTr="00DA70E3" w14:paraId="4233F6B7" w14:textId="77777777">
        <w:trPr>
          <w:trHeight w:val="270"/>
        </w:trPr>
        <w:tc>
          <w:tcPr>
            <w:tcW w:w="9346" w:type="dxa"/>
            <w:gridSpan w:val="2"/>
            <w:noWrap/>
          </w:tcPr>
          <w:p w:rsidRPr="00DA70E3" w:rsidR="00DA70E3" w:rsidP="00AC4465" w:rsidRDefault="00DA70E3" w14:paraId="00BF7FC8" w14:textId="5EF7FF96">
            <w:pPr>
              <w:rPr>
                <w:sz w:val="18"/>
                <w:szCs w:val="18"/>
              </w:rPr>
            </w:pPr>
            <w:r w:rsidRPr="00DA70E3">
              <w:rPr>
                <w:sz w:val="18"/>
                <w:szCs w:val="18"/>
                <w:vertAlign w:val="superscript"/>
              </w:rPr>
              <w:t>1</w:t>
            </w:r>
            <w:r w:rsidRPr="00DA70E3">
              <w:rPr>
                <w:sz w:val="18"/>
                <w:szCs w:val="18"/>
              </w:rPr>
              <w:t xml:space="preserve"> Office of Personnel Management 2021 Pay and Leave Tables for the Washington-Baltimore-Arlington, DC-MD-VA-WV-PA locality. </w:t>
            </w:r>
            <w:r w:rsidR="00AC4465">
              <w:rPr>
                <w:sz w:val="18"/>
                <w:szCs w:val="18"/>
              </w:rPr>
              <w:t xml:space="preserve"> </w:t>
            </w:r>
            <w:r w:rsidRPr="00DA70E3">
              <w:rPr>
                <w:sz w:val="18"/>
                <w:szCs w:val="18"/>
              </w:rPr>
              <w:t xml:space="preserve">Available online at </w:t>
            </w:r>
            <w:hyperlink w:history="1" r:id="rId18">
              <w:r w:rsidRPr="00504B88">
                <w:rPr>
                  <w:rStyle w:val="Hyperlink"/>
                  <w:sz w:val="18"/>
                  <w:szCs w:val="18"/>
                </w:rPr>
                <w:t>https://www.opm.gov/policy-data-oversight/pay-leave/salaries-wages/salary-tables/21Tables/html/DCB.aspx</w:t>
              </w:r>
            </w:hyperlink>
            <w:r w:rsidRPr="00DA70E3">
              <w:rPr>
                <w:sz w:val="18"/>
                <w:szCs w:val="18"/>
              </w:rPr>
              <w:t>. Accessed April 1</w:t>
            </w:r>
            <w:r>
              <w:rPr>
                <w:sz w:val="18"/>
                <w:szCs w:val="18"/>
              </w:rPr>
              <w:t>3</w:t>
            </w:r>
            <w:r w:rsidRPr="00DA70E3">
              <w:rPr>
                <w:sz w:val="18"/>
                <w:szCs w:val="18"/>
              </w:rPr>
              <w:t>, 2021.</w:t>
            </w:r>
          </w:p>
          <w:p w:rsidRPr="00113610" w:rsidR="00DA70E3" w:rsidP="00AC4465" w:rsidRDefault="00DA70E3" w14:paraId="331B87C2" w14:textId="2038B458">
            <w:pPr>
              <w:rPr>
                <w:b/>
                <w:bCs/>
                <w:sz w:val="20"/>
                <w:szCs w:val="20"/>
              </w:rPr>
            </w:pPr>
            <w:r w:rsidRPr="00DA70E3">
              <w:rPr>
                <w:sz w:val="18"/>
                <w:szCs w:val="18"/>
                <w:vertAlign w:val="superscript"/>
              </w:rPr>
              <w:t>2</w:t>
            </w:r>
            <w:r w:rsidRPr="00DA70E3">
              <w:rPr>
                <w:sz w:val="18"/>
                <w:szCs w:val="18"/>
              </w:rPr>
              <w:t xml:space="preserve"> Wage rate includes a 1.4</w:t>
            </w:r>
            <w:r w:rsidR="00AC4465">
              <w:rPr>
                <w:sz w:val="18"/>
                <w:szCs w:val="18"/>
              </w:rPr>
              <w:t>5</w:t>
            </w:r>
            <w:r w:rsidRPr="00DA70E3">
              <w:rPr>
                <w:sz w:val="18"/>
                <w:szCs w:val="18"/>
              </w:rPr>
              <w:t xml:space="preserve"> multiplier to reflect the fully-loaded wage rate.</w:t>
            </w:r>
          </w:p>
        </w:tc>
      </w:tr>
    </w:tbl>
    <w:p w:rsidRPr="008A37C7" w:rsidR="006D6DC5" w:rsidP="000D23AC" w:rsidRDefault="006D6DC5" w14:paraId="1E7A35E9" w14:textId="77777777">
      <w:pPr>
        <w:tabs>
          <w:tab w:val="left" w:pos="-720"/>
        </w:tabs>
        <w:suppressAutoHyphens/>
        <w:rPr>
          <w:sz w:val="16"/>
          <w:szCs w:val="16"/>
        </w:rPr>
      </w:pPr>
    </w:p>
    <w:p w:rsidRPr="00657DD5" w:rsidR="00657DD5" w:rsidP="6F8EE752" w:rsidRDefault="00657DD5" w14:paraId="21F48A55" w14:textId="2532E045"/>
    <w:p w:rsidR="005E21C2" w:rsidP="00651BF3" w:rsidRDefault="00842E74" w14:paraId="3D6BABFB" w14:textId="2C3D4061">
      <w:pPr>
        <w:rPr>
          <w:b/>
        </w:rPr>
      </w:pPr>
      <w:r>
        <w:fldChar w:fldCharType="begin"/>
      </w:r>
      <w:r>
        <w:instrText>ADVANCE \R 0.95</w:instrText>
      </w:r>
      <w:r>
        <w:fldChar w:fldCharType="end"/>
      </w:r>
      <w:r w:rsidR="00677CAD">
        <w:fldChar w:fldCharType="begin"/>
      </w:r>
      <w:r w:rsidR="00677CAD">
        <w:instrText>ADVANCE \R 0.95</w:instrText>
      </w:r>
      <w:r w:rsidR="00677CAD">
        <w:fldChar w:fldCharType="end"/>
      </w:r>
      <w:r w:rsidRPr="00974EA8" w:rsidR="005E21C2">
        <w:rPr>
          <w:b/>
        </w:rPr>
        <w:t xml:space="preserve">15.  Explain the reasons for any program changes or adjustments reported in Items 13 or 14 of the OMB Form 83-I in a narrative form.  Present the </w:t>
      </w:r>
      <w:r w:rsidR="005E21C2">
        <w:rPr>
          <w:b/>
        </w:rPr>
        <w:t xml:space="preserve">itemized </w:t>
      </w:r>
      <w:r w:rsidRPr="00974EA8" w:rsidR="005E21C2">
        <w:rPr>
          <w:b/>
        </w:rPr>
        <w:t xml:space="preserve">changes in hour burden and cost burden according to program changes or adjustments in </w:t>
      </w:r>
      <w:r w:rsidR="005E21C2">
        <w:rPr>
          <w:b/>
        </w:rPr>
        <w:t>T</w:t>
      </w:r>
      <w:r w:rsidRPr="00974EA8" w:rsidR="005E21C2">
        <w:rPr>
          <w:b/>
        </w:rPr>
        <w:t>able 5.  Denote a program increase as a positive number, and a progra</w:t>
      </w:r>
      <w:r w:rsidR="005E21C2">
        <w:rPr>
          <w:b/>
        </w:rPr>
        <w:t>m decrease as a negative number</w:t>
      </w:r>
      <w:r w:rsidRPr="00974EA8" w:rsidR="005E21C2">
        <w:rPr>
          <w:b/>
        </w:rPr>
        <w:t xml:space="preserve">.  </w:t>
      </w:r>
    </w:p>
    <w:p w:rsidR="00651BF3" w:rsidP="00651BF3" w:rsidRDefault="00651BF3" w14:paraId="1BE0F940" w14:textId="77777777">
      <w:pPr>
        <w:pStyle w:val="NormalWeb"/>
        <w:spacing w:before="0" w:beforeAutospacing="0" w:after="0" w:afterAutospacing="0"/>
        <w:rPr>
          <w:i/>
          <w:sz w:val="20"/>
          <w:szCs w:val="20"/>
        </w:rPr>
      </w:pPr>
    </w:p>
    <w:p w:rsidRPr="003B1C2C" w:rsidR="005E21C2" w:rsidP="00651BF3" w:rsidRDefault="005E21C2" w14:paraId="66B19280" w14:textId="59679FF2">
      <w:pPr>
        <w:pStyle w:val="NormalWeb"/>
        <w:spacing w:before="0" w:beforeAutospacing="0" w:after="0" w:afterAutospacing="0"/>
        <w:rPr>
          <w:i/>
          <w:sz w:val="20"/>
          <w:szCs w:val="20"/>
        </w:rPr>
      </w:pPr>
      <w:r w:rsidRPr="003B1C2C">
        <w:rPr>
          <w:i/>
          <w:sz w:val="20"/>
          <w:szCs w:val="20"/>
        </w:rPr>
        <w:t xml:space="preserve">A </w:t>
      </w:r>
      <w:r w:rsidR="0018773C">
        <w:rPr>
          <w:b/>
          <w:bCs/>
          <w:i/>
          <w:sz w:val="20"/>
          <w:szCs w:val="20"/>
        </w:rPr>
        <w:t>“</w:t>
      </w:r>
      <w:r w:rsidRPr="003B1C2C">
        <w:rPr>
          <w:b/>
          <w:bCs/>
          <w:i/>
          <w:sz w:val="20"/>
          <w:szCs w:val="20"/>
        </w:rPr>
        <w:t>Program increase</w:t>
      </w:r>
      <w:r w:rsidR="0018773C">
        <w:rPr>
          <w:b/>
          <w:bCs/>
          <w:i/>
          <w:sz w:val="20"/>
          <w:szCs w:val="20"/>
        </w:rPr>
        <w:t>”</w:t>
      </w:r>
      <w:r w:rsidRPr="003B1C2C">
        <w:rPr>
          <w:i/>
          <w:sz w:val="20"/>
          <w:szCs w:val="20"/>
        </w:rPr>
        <w:t xml:space="preserve"> is an additional burden resulting from </w:t>
      </w:r>
      <w:proofErr w:type="gramStart"/>
      <w:r w:rsidRPr="003B1C2C">
        <w:rPr>
          <w:i/>
          <w:sz w:val="20"/>
          <w:szCs w:val="20"/>
        </w:rPr>
        <w:t>an</w:t>
      </w:r>
      <w:proofErr w:type="gramEnd"/>
      <w:r w:rsidR="005926EA">
        <w:rPr>
          <w:i/>
          <w:sz w:val="20"/>
          <w:szCs w:val="20"/>
        </w:rPr>
        <w:t xml:space="preserve"> federal government regulatory</w:t>
      </w:r>
      <w:r w:rsidRPr="003B1C2C">
        <w:rPr>
          <w:i/>
          <w:sz w:val="20"/>
          <w:szCs w:val="20"/>
        </w:rPr>
        <w:t xml:space="preserve"> action or directive</w:t>
      </w:r>
      <w:r w:rsidR="005926EA">
        <w:rPr>
          <w:i/>
          <w:sz w:val="20"/>
          <w:szCs w:val="20"/>
        </w:rPr>
        <w:t>.</w:t>
      </w:r>
      <w:r w:rsidRPr="003B1C2C">
        <w:rPr>
          <w:i/>
          <w:sz w:val="20"/>
          <w:szCs w:val="20"/>
        </w:rPr>
        <w:t xml:space="preserve"> (e.g., an increase in sample size or coverage, amount of information, reporting frequency, or expanded use of an</w:t>
      </w:r>
      <w:r w:rsidR="00A643EA">
        <w:rPr>
          <w:i/>
          <w:sz w:val="20"/>
          <w:szCs w:val="20"/>
        </w:rPr>
        <w:t xml:space="preserve"> </w:t>
      </w:r>
      <w:r w:rsidRPr="003B1C2C">
        <w:rPr>
          <w:i/>
          <w:sz w:val="20"/>
          <w:szCs w:val="20"/>
        </w:rPr>
        <w:t>existing form). This also includes previously in-use</w:t>
      </w:r>
      <w:r w:rsidR="00A643EA">
        <w:rPr>
          <w:i/>
          <w:sz w:val="20"/>
          <w:szCs w:val="20"/>
        </w:rPr>
        <w:t xml:space="preserve"> </w:t>
      </w:r>
      <w:r w:rsidRPr="003B1C2C">
        <w:rPr>
          <w:i/>
          <w:sz w:val="20"/>
          <w:szCs w:val="20"/>
        </w:rPr>
        <w:t>and unapproved information</w:t>
      </w:r>
      <w:r>
        <w:rPr>
          <w:i/>
          <w:sz w:val="20"/>
          <w:szCs w:val="20"/>
        </w:rPr>
        <w:t xml:space="preserve"> </w:t>
      </w:r>
      <w:r w:rsidRPr="003B1C2C">
        <w:rPr>
          <w:i/>
          <w:sz w:val="20"/>
          <w:szCs w:val="20"/>
        </w:rPr>
        <w:t>collections discovered during the ICB process, or during the fiscal</w:t>
      </w:r>
      <w:r w:rsidR="005926EA">
        <w:rPr>
          <w:i/>
          <w:sz w:val="20"/>
          <w:szCs w:val="20"/>
        </w:rPr>
        <w:t xml:space="preserve"> y</w:t>
      </w:r>
      <w:r w:rsidRPr="003B1C2C">
        <w:rPr>
          <w:i/>
          <w:sz w:val="20"/>
          <w:szCs w:val="20"/>
        </w:rPr>
        <w:t>ear, which</w:t>
      </w:r>
      <w:r>
        <w:rPr>
          <w:i/>
          <w:sz w:val="20"/>
          <w:szCs w:val="20"/>
        </w:rPr>
        <w:t xml:space="preserve"> </w:t>
      </w:r>
      <w:r w:rsidRPr="003B1C2C">
        <w:rPr>
          <w:i/>
          <w:sz w:val="20"/>
          <w:szCs w:val="20"/>
        </w:rPr>
        <w:t xml:space="preserve">will be in use during the next fiscal year. </w:t>
      </w:r>
    </w:p>
    <w:p w:rsidRPr="003B1C2C" w:rsidR="005E21C2" w:rsidP="00651BF3" w:rsidRDefault="005E21C2" w14:paraId="454E1BEE" w14:textId="1A8C9819">
      <w:pPr>
        <w:pStyle w:val="NormalWeb"/>
        <w:spacing w:before="0" w:beforeAutospacing="0" w:after="0" w:afterAutospacing="0"/>
        <w:rPr>
          <w:i/>
          <w:sz w:val="20"/>
          <w:szCs w:val="20"/>
        </w:rPr>
      </w:pPr>
      <w:r w:rsidRPr="003B1C2C">
        <w:rPr>
          <w:i/>
          <w:sz w:val="20"/>
          <w:szCs w:val="20"/>
        </w:rPr>
        <w:t xml:space="preserve">A </w:t>
      </w:r>
      <w:r w:rsidR="0018773C">
        <w:rPr>
          <w:b/>
          <w:bCs/>
          <w:i/>
          <w:sz w:val="20"/>
          <w:szCs w:val="20"/>
        </w:rPr>
        <w:t>“</w:t>
      </w:r>
      <w:r w:rsidRPr="003B1C2C">
        <w:rPr>
          <w:b/>
          <w:bCs/>
          <w:i/>
          <w:sz w:val="20"/>
          <w:szCs w:val="20"/>
        </w:rPr>
        <w:t>Program decrease</w:t>
      </w:r>
      <w:r w:rsidR="0018773C">
        <w:rPr>
          <w:b/>
          <w:bCs/>
          <w:i/>
          <w:sz w:val="20"/>
          <w:szCs w:val="20"/>
        </w:rPr>
        <w:t>”</w:t>
      </w:r>
      <w:r w:rsidRPr="003B1C2C">
        <w:rPr>
          <w:b/>
          <w:bCs/>
          <w:i/>
          <w:sz w:val="20"/>
          <w:szCs w:val="20"/>
        </w:rPr>
        <w:t xml:space="preserve">, </w:t>
      </w:r>
      <w:r w:rsidRPr="003B1C2C">
        <w:rPr>
          <w:i/>
          <w:sz w:val="20"/>
          <w:szCs w:val="20"/>
        </w:rPr>
        <w:t>is a reduction in burden because of: (1) the</w:t>
      </w:r>
      <w:r>
        <w:rPr>
          <w:i/>
          <w:sz w:val="20"/>
          <w:szCs w:val="20"/>
        </w:rPr>
        <w:t xml:space="preserve"> </w:t>
      </w:r>
      <w:r w:rsidR="00A643EA">
        <w:rPr>
          <w:i/>
          <w:sz w:val="20"/>
          <w:szCs w:val="20"/>
        </w:rPr>
        <w:t xml:space="preserve">discontinuation of an </w:t>
      </w:r>
      <w:r w:rsidRPr="003B1C2C">
        <w:rPr>
          <w:i/>
          <w:sz w:val="20"/>
          <w:szCs w:val="20"/>
        </w:rPr>
        <w:t>information collection; or (2) a change in an existing</w:t>
      </w:r>
      <w:r w:rsidR="00A643EA">
        <w:rPr>
          <w:i/>
          <w:sz w:val="20"/>
          <w:szCs w:val="20"/>
        </w:rPr>
        <w:t xml:space="preserve"> </w:t>
      </w:r>
      <w:r w:rsidRPr="003B1C2C">
        <w:rPr>
          <w:i/>
          <w:sz w:val="20"/>
          <w:szCs w:val="20"/>
        </w:rPr>
        <w:t>information collection by a Federal agency</w:t>
      </w:r>
      <w:r w:rsidR="00A643EA">
        <w:rPr>
          <w:i/>
          <w:sz w:val="20"/>
          <w:szCs w:val="20"/>
        </w:rPr>
        <w:t xml:space="preserve"> </w:t>
      </w:r>
      <w:r w:rsidRPr="003B1C2C">
        <w:rPr>
          <w:i/>
          <w:sz w:val="20"/>
          <w:szCs w:val="20"/>
        </w:rPr>
        <w:t xml:space="preserve">(e.g., the use of sampling (or smaller samples), a decrease in the amount of information requested (fewer questions), or a decrease in reporting frequency). </w:t>
      </w:r>
    </w:p>
    <w:p w:rsidR="00651BF3" w:rsidP="00651BF3" w:rsidRDefault="00651BF3" w14:paraId="4B1877DF" w14:textId="77777777">
      <w:pPr>
        <w:rPr>
          <w:b/>
          <w:i/>
          <w:sz w:val="20"/>
          <w:szCs w:val="20"/>
        </w:rPr>
      </w:pPr>
    </w:p>
    <w:p w:rsidRPr="008A37C7" w:rsidR="00651BF3" w:rsidP="00651BF3" w:rsidRDefault="005E21C2" w14:paraId="294F926B" w14:textId="36EA4B48">
      <w:pPr>
        <w:rPr>
          <w:i/>
          <w:sz w:val="20"/>
          <w:szCs w:val="20"/>
        </w:rPr>
      </w:pPr>
      <w:r w:rsidRPr="00A643EA">
        <w:rPr>
          <w:b/>
          <w:i/>
          <w:sz w:val="20"/>
          <w:szCs w:val="20"/>
        </w:rPr>
        <w:lastRenderedPageBreak/>
        <w:t xml:space="preserve"> </w:t>
      </w:r>
      <w:r w:rsidR="0018773C">
        <w:rPr>
          <w:b/>
          <w:bCs/>
          <w:i/>
          <w:sz w:val="20"/>
          <w:szCs w:val="20"/>
        </w:rPr>
        <w:t>“</w:t>
      </w:r>
      <w:r w:rsidRPr="00A643EA">
        <w:rPr>
          <w:b/>
          <w:bCs/>
          <w:i/>
          <w:sz w:val="20"/>
          <w:szCs w:val="20"/>
        </w:rPr>
        <w:t>Adjustment</w:t>
      </w:r>
      <w:r w:rsidR="0018773C">
        <w:rPr>
          <w:b/>
          <w:bCs/>
          <w:i/>
          <w:sz w:val="20"/>
          <w:szCs w:val="20"/>
        </w:rPr>
        <w:t>”</w:t>
      </w:r>
      <w:r w:rsidRPr="00A643EA">
        <w:rPr>
          <w:i/>
          <w:sz w:val="20"/>
          <w:szCs w:val="20"/>
        </w:rPr>
        <w:t xml:space="preserve"> denotes a change in burden hours due to factors over which the government has no control, such as population growth, or in factors which do not affect what information the government collects or changes in the methods used to estimate burden or correction of errors in burden estimates. </w:t>
      </w:r>
    </w:p>
    <w:p w:rsidRPr="00C216D8" w:rsidR="00C216D8" w:rsidP="00651BF3" w:rsidRDefault="00C216D8" w14:paraId="68C9202F" w14:textId="77777777">
      <w:pPr>
        <w:rPr>
          <w:i/>
          <w:sz w:val="20"/>
          <w:szCs w:val="20"/>
        </w:rPr>
      </w:pPr>
    </w:p>
    <w:tbl>
      <w:tblPr>
        <w:tblW w:w="9180" w:type="dxa"/>
        <w:jc w:val="center"/>
        <w:tblLook w:val="0000" w:firstRow="0" w:lastRow="0" w:firstColumn="0" w:lastColumn="0" w:noHBand="0" w:noVBand="0"/>
      </w:tblPr>
      <w:tblGrid>
        <w:gridCol w:w="1746"/>
        <w:gridCol w:w="1240"/>
        <w:gridCol w:w="960"/>
        <w:gridCol w:w="1260"/>
        <w:gridCol w:w="1394"/>
        <w:gridCol w:w="1363"/>
        <w:gridCol w:w="1218"/>
      </w:tblGrid>
      <w:tr w:rsidRPr="00C216D8" w:rsidR="00C216D8" w:rsidTr="00113610" w14:paraId="0D3DF7F6" w14:textId="77777777">
        <w:trPr>
          <w:trHeight w:val="270"/>
          <w:jc w:val="center"/>
        </w:trPr>
        <w:tc>
          <w:tcPr>
            <w:tcW w:w="9180" w:type="dxa"/>
            <w:gridSpan w:val="7"/>
            <w:tcBorders>
              <w:top w:val="single" w:color="auto" w:sz="8" w:space="0"/>
              <w:left w:val="single" w:color="auto" w:sz="8" w:space="0"/>
              <w:bottom w:val="single" w:color="auto" w:sz="8" w:space="0"/>
              <w:right w:val="single" w:color="000000" w:themeColor="text1" w:sz="8" w:space="0"/>
            </w:tcBorders>
            <w:shd w:val="clear" w:color="auto" w:fill="auto"/>
            <w:noWrap/>
            <w:vAlign w:val="bottom"/>
          </w:tcPr>
          <w:p w:rsidRPr="00C216D8" w:rsidR="00C216D8" w:rsidP="00C216D8" w:rsidRDefault="00C216D8" w14:paraId="06E4A942" w14:textId="77777777">
            <w:pPr>
              <w:spacing w:after="200" w:line="276" w:lineRule="auto"/>
              <w:jc w:val="center"/>
              <w:rPr>
                <w:rFonts w:eastAsia="Calibri"/>
                <w:b/>
                <w:bCs/>
                <w:sz w:val="18"/>
                <w:szCs w:val="18"/>
              </w:rPr>
            </w:pPr>
            <w:r w:rsidRPr="00C216D8">
              <w:rPr>
                <w:rFonts w:eastAsia="Calibri"/>
                <w:b/>
                <w:bCs/>
                <w:sz w:val="18"/>
                <w:szCs w:val="18"/>
              </w:rPr>
              <w:t>Itemized Changes in Annual Burden Hours</w:t>
            </w:r>
          </w:p>
        </w:tc>
      </w:tr>
      <w:tr w:rsidRPr="00C216D8" w:rsidR="00C216D8" w:rsidTr="004F7334" w14:paraId="0623614B" w14:textId="77777777">
        <w:trPr>
          <w:trHeight w:val="1455"/>
          <w:jc w:val="center"/>
        </w:trPr>
        <w:tc>
          <w:tcPr>
            <w:tcW w:w="1576" w:type="dxa"/>
            <w:tcBorders>
              <w:top w:val="nil"/>
              <w:left w:val="single" w:color="auto" w:sz="8" w:space="0"/>
              <w:bottom w:val="single" w:color="auto" w:sz="8" w:space="0"/>
              <w:right w:val="single" w:color="auto" w:sz="8" w:space="0"/>
            </w:tcBorders>
            <w:shd w:val="clear" w:color="auto" w:fill="8EAADB" w:themeFill="accent1" w:themeFillTint="99"/>
            <w:vAlign w:val="bottom"/>
          </w:tcPr>
          <w:p w:rsidRPr="00C216D8" w:rsidR="00C216D8" w:rsidP="00C216D8" w:rsidRDefault="00C216D8" w14:paraId="1D5E4793" w14:textId="77777777">
            <w:pPr>
              <w:spacing w:after="200" w:line="276" w:lineRule="auto"/>
              <w:jc w:val="center"/>
              <w:rPr>
                <w:rFonts w:eastAsia="Calibri"/>
                <w:b/>
                <w:bCs/>
                <w:sz w:val="18"/>
                <w:szCs w:val="18"/>
              </w:rPr>
            </w:pPr>
            <w:r w:rsidRPr="00C216D8">
              <w:rPr>
                <w:rFonts w:eastAsia="Calibri"/>
                <w:b/>
                <w:bCs/>
                <w:sz w:val="18"/>
                <w:szCs w:val="18"/>
              </w:rPr>
              <w:t>Data collection Activity/Instrument</w:t>
            </w:r>
          </w:p>
        </w:tc>
        <w:tc>
          <w:tcPr>
            <w:tcW w:w="1240" w:type="dxa"/>
            <w:tcBorders>
              <w:top w:val="nil"/>
              <w:left w:val="nil"/>
              <w:bottom w:val="single" w:color="auto" w:sz="8" w:space="0"/>
              <w:right w:val="single" w:color="auto" w:sz="8" w:space="0"/>
            </w:tcBorders>
            <w:shd w:val="clear" w:color="auto" w:fill="8EAADB" w:themeFill="accent1" w:themeFillTint="99"/>
            <w:vAlign w:val="bottom"/>
          </w:tcPr>
          <w:p w:rsidRPr="00C216D8" w:rsidR="00C216D8" w:rsidP="00C216D8" w:rsidRDefault="00C216D8" w14:paraId="44EC9683" w14:textId="77777777">
            <w:pPr>
              <w:spacing w:after="200" w:line="276" w:lineRule="auto"/>
              <w:jc w:val="center"/>
              <w:rPr>
                <w:rFonts w:eastAsia="Calibri"/>
                <w:b/>
                <w:bCs/>
                <w:sz w:val="18"/>
                <w:szCs w:val="18"/>
              </w:rPr>
            </w:pPr>
            <w:r w:rsidRPr="00C216D8">
              <w:rPr>
                <w:rFonts w:eastAsia="Calibri"/>
                <w:b/>
                <w:bCs/>
                <w:sz w:val="18"/>
                <w:szCs w:val="18"/>
              </w:rPr>
              <w:t xml:space="preserve">Program Change (hours currently on OMB Inventory) </w:t>
            </w:r>
          </w:p>
        </w:tc>
        <w:tc>
          <w:tcPr>
            <w:tcW w:w="960" w:type="dxa"/>
            <w:tcBorders>
              <w:top w:val="nil"/>
              <w:left w:val="nil"/>
              <w:bottom w:val="single" w:color="auto" w:sz="8" w:space="0"/>
              <w:right w:val="single" w:color="auto" w:sz="8" w:space="0"/>
            </w:tcBorders>
            <w:shd w:val="clear" w:color="auto" w:fill="8EAADB" w:themeFill="accent1" w:themeFillTint="99"/>
            <w:vAlign w:val="bottom"/>
          </w:tcPr>
          <w:p w:rsidRPr="00C216D8" w:rsidR="00C216D8" w:rsidP="00C216D8" w:rsidRDefault="00C216D8" w14:paraId="4356FDB3" w14:textId="77777777">
            <w:pPr>
              <w:spacing w:after="200" w:line="276" w:lineRule="auto"/>
              <w:jc w:val="center"/>
              <w:rPr>
                <w:rFonts w:eastAsia="Calibri"/>
                <w:b/>
                <w:bCs/>
                <w:sz w:val="18"/>
                <w:szCs w:val="18"/>
              </w:rPr>
            </w:pPr>
            <w:r w:rsidRPr="00C216D8">
              <w:rPr>
                <w:rFonts w:eastAsia="Calibri"/>
                <w:b/>
                <w:bCs/>
                <w:sz w:val="18"/>
                <w:szCs w:val="18"/>
              </w:rPr>
              <w:t xml:space="preserve">Program Change (New) </w:t>
            </w:r>
          </w:p>
        </w:tc>
        <w:tc>
          <w:tcPr>
            <w:tcW w:w="1260" w:type="dxa"/>
            <w:tcBorders>
              <w:top w:val="nil"/>
              <w:left w:val="nil"/>
              <w:bottom w:val="single" w:color="auto" w:sz="8" w:space="0"/>
              <w:right w:val="single" w:color="auto" w:sz="8" w:space="0"/>
            </w:tcBorders>
            <w:shd w:val="clear" w:color="auto" w:fill="8EAADB" w:themeFill="accent1" w:themeFillTint="99"/>
            <w:vAlign w:val="bottom"/>
          </w:tcPr>
          <w:p w:rsidRPr="00C216D8" w:rsidR="00C216D8" w:rsidP="00C216D8" w:rsidRDefault="00C216D8" w14:paraId="7B4F9B42" w14:textId="77777777">
            <w:pPr>
              <w:spacing w:after="200" w:line="276" w:lineRule="auto"/>
              <w:jc w:val="center"/>
              <w:rPr>
                <w:rFonts w:eastAsia="Calibri"/>
                <w:b/>
                <w:bCs/>
                <w:sz w:val="18"/>
                <w:szCs w:val="18"/>
              </w:rPr>
            </w:pPr>
            <w:r w:rsidRPr="00C216D8">
              <w:rPr>
                <w:rFonts w:eastAsia="Calibri"/>
                <w:b/>
                <w:bCs/>
                <w:sz w:val="18"/>
                <w:szCs w:val="18"/>
              </w:rPr>
              <w:t>Difference</w:t>
            </w:r>
          </w:p>
        </w:tc>
        <w:tc>
          <w:tcPr>
            <w:tcW w:w="1400" w:type="dxa"/>
            <w:tcBorders>
              <w:top w:val="nil"/>
              <w:left w:val="nil"/>
              <w:bottom w:val="single" w:color="auto" w:sz="8" w:space="0"/>
              <w:right w:val="single" w:color="auto" w:sz="8" w:space="0"/>
            </w:tcBorders>
            <w:shd w:val="clear" w:color="auto" w:fill="8EAADB" w:themeFill="accent1" w:themeFillTint="99"/>
            <w:vAlign w:val="bottom"/>
          </w:tcPr>
          <w:p w:rsidRPr="00C216D8" w:rsidR="00C216D8" w:rsidP="00C216D8" w:rsidRDefault="00C216D8" w14:paraId="38042E02" w14:textId="77777777">
            <w:pPr>
              <w:spacing w:after="200" w:line="276" w:lineRule="auto"/>
              <w:jc w:val="center"/>
              <w:rPr>
                <w:rFonts w:eastAsia="Calibri"/>
                <w:b/>
                <w:bCs/>
                <w:sz w:val="18"/>
                <w:szCs w:val="18"/>
              </w:rPr>
            </w:pPr>
            <w:r w:rsidRPr="00C216D8">
              <w:rPr>
                <w:rFonts w:eastAsia="Calibri"/>
                <w:b/>
                <w:bCs/>
                <w:sz w:val="18"/>
                <w:szCs w:val="18"/>
              </w:rPr>
              <w:t>Adjustment (hours currently on OMB Inventory)</w:t>
            </w:r>
          </w:p>
        </w:tc>
        <w:tc>
          <w:tcPr>
            <w:tcW w:w="1420" w:type="dxa"/>
            <w:tcBorders>
              <w:top w:val="nil"/>
              <w:left w:val="nil"/>
              <w:bottom w:val="single" w:color="auto" w:sz="8" w:space="0"/>
              <w:right w:val="single" w:color="auto" w:sz="8" w:space="0"/>
            </w:tcBorders>
            <w:shd w:val="clear" w:color="auto" w:fill="8EAADB" w:themeFill="accent1" w:themeFillTint="99"/>
            <w:vAlign w:val="bottom"/>
          </w:tcPr>
          <w:p w:rsidRPr="00C216D8" w:rsidR="00C216D8" w:rsidP="00C216D8" w:rsidRDefault="00C216D8" w14:paraId="1365E676" w14:textId="77777777">
            <w:pPr>
              <w:spacing w:after="200" w:line="276" w:lineRule="auto"/>
              <w:jc w:val="center"/>
              <w:rPr>
                <w:rFonts w:eastAsia="Calibri"/>
                <w:b/>
                <w:bCs/>
                <w:sz w:val="18"/>
                <w:szCs w:val="18"/>
              </w:rPr>
            </w:pPr>
            <w:r w:rsidRPr="00C216D8">
              <w:rPr>
                <w:rFonts w:eastAsia="Calibri"/>
                <w:b/>
                <w:bCs/>
                <w:sz w:val="18"/>
                <w:szCs w:val="18"/>
              </w:rPr>
              <w:t xml:space="preserve">Adjustment (New) </w:t>
            </w:r>
          </w:p>
        </w:tc>
        <w:tc>
          <w:tcPr>
            <w:tcW w:w="1324" w:type="dxa"/>
            <w:tcBorders>
              <w:top w:val="nil"/>
              <w:left w:val="nil"/>
              <w:bottom w:val="single" w:color="auto" w:sz="8" w:space="0"/>
              <w:right w:val="single" w:color="auto" w:sz="8" w:space="0"/>
            </w:tcBorders>
            <w:shd w:val="clear" w:color="auto" w:fill="8EAADB" w:themeFill="accent1" w:themeFillTint="99"/>
            <w:vAlign w:val="bottom"/>
          </w:tcPr>
          <w:p w:rsidRPr="00C216D8" w:rsidR="00C216D8" w:rsidP="00C216D8" w:rsidRDefault="00C216D8" w14:paraId="4746E747" w14:textId="77777777">
            <w:pPr>
              <w:spacing w:after="200" w:line="276" w:lineRule="auto"/>
              <w:jc w:val="center"/>
              <w:rPr>
                <w:rFonts w:eastAsia="Calibri"/>
                <w:b/>
                <w:bCs/>
                <w:sz w:val="18"/>
                <w:szCs w:val="18"/>
              </w:rPr>
            </w:pPr>
            <w:r w:rsidRPr="00C216D8">
              <w:rPr>
                <w:rFonts w:eastAsia="Calibri"/>
                <w:b/>
                <w:bCs/>
                <w:sz w:val="18"/>
                <w:szCs w:val="18"/>
              </w:rPr>
              <w:t>Difference</w:t>
            </w:r>
          </w:p>
        </w:tc>
      </w:tr>
      <w:tr w:rsidRPr="00C216D8" w:rsidR="00C216D8" w:rsidTr="00113610" w14:paraId="555A4A1E" w14:textId="77777777">
        <w:trPr>
          <w:trHeight w:val="270"/>
          <w:jc w:val="center"/>
        </w:trPr>
        <w:tc>
          <w:tcPr>
            <w:tcW w:w="1576" w:type="dxa"/>
            <w:tcBorders>
              <w:top w:val="nil"/>
              <w:left w:val="single" w:color="auto" w:sz="8" w:space="0"/>
              <w:bottom w:val="single" w:color="auto" w:sz="8" w:space="0"/>
              <w:right w:val="single" w:color="auto" w:sz="8" w:space="0"/>
            </w:tcBorders>
            <w:shd w:val="clear" w:color="auto" w:fill="auto"/>
            <w:vAlign w:val="bottom"/>
          </w:tcPr>
          <w:p w:rsidRPr="00C216D8" w:rsidR="00C216D8" w:rsidP="00C216D8" w:rsidRDefault="00C216D8" w14:paraId="16582D33" w14:textId="77777777">
            <w:pPr>
              <w:spacing w:after="200" w:line="276" w:lineRule="auto"/>
              <w:rPr>
                <w:rFonts w:eastAsia="Calibri"/>
                <w:sz w:val="18"/>
                <w:szCs w:val="18"/>
              </w:rPr>
            </w:pPr>
            <w:r w:rsidRPr="00C216D8">
              <w:rPr>
                <w:rFonts w:eastAsia="Calibri"/>
                <w:sz w:val="18"/>
                <w:szCs w:val="18"/>
              </w:rPr>
              <w:t>Financial Assistance/Subsidy Arrangement Notice of Acceptance / No Form</w:t>
            </w:r>
          </w:p>
        </w:tc>
        <w:tc>
          <w:tcPr>
            <w:tcW w:w="1240" w:type="dxa"/>
            <w:tcBorders>
              <w:top w:val="nil"/>
              <w:left w:val="nil"/>
              <w:bottom w:val="single" w:color="auto" w:sz="8" w:space="0"/>
              <w:right w:val="single" w:color="auto" w:sz="8" w:space="0"/>
            </w:tcBorders>
            <w:shd w:val="clear" w:color="auto" w:fill="auto"/>
            <w:vAlign w:val="bottom"/>
          </w:tcPr>
          <w:p w:rsidRPr="00C216D8" w:rsidR="00C216D8" w:rsidP="00C216D8" w:rsidRDefault="00C216D8" w14:paraId="4FCAC4C9" w14:textId="77777777">
            <w:pPr>
              <w:spacing w:after="200" w:line="276" w:lineRule="auto"/>
              <w:jc w:val="center"/>
              <w:rPr>
                <w:rFonts w:eastAsia="Calibri"/>
                <w:sz w:val="18"/>
                <w:szCs w:val="18"/>
              </w:rPr>
            </w:pPr>
          </w:p>
        </w:tc>
        <w:tc>
          <w:tcPr>
            <w:tcW w:w="960" w:type="dxa"/>
            <w:tcBorders>
              <w:top w:val="nil"/>
              <w:left w:val="nil"/>
              <w:bottom w:val="single" w:color="auto" w:sz="8" w:space="0"/>
              <w:right w:val="single" w:color="auto" w:sz="8" w:space="0"/>
            </w:tcBorders>
            <w:shd w:val="clear" w:color="auto" w:fill="auto"/>
            <w:vAlign w:val="bottom"/>
          </w:tcPr>
          <w:p w:rsidRPr="00C216D8" w:rsidR="00C216D8" w:rsidP="00C216D8" w:rsidRDefault="00C216D8" w14:paraId="30EC22E5" w14:textId="77777777">
            <w:pPr>
              <w:spacing w:after="200" w:line="276" w:lineRule="auto"/>
              <w:jc w:val="center"/>
              <w:rPr>
                <w:rFonts w:eastAsia="Calibri"/>
                <w:sz w:val="18"/>
                <w:szCs w:val="18"/>
              </w:rPr>
            </w:pPr>
          </w:p>
        </w:tc>
        <w:tc>
          <w:tcPr>
            <w:tcW w:w="1260" w:type="dxa"/>
            <w:tcBorders>
              <w:top w:val="nil"/>
              <w:left w:val="nil"/>
              <w:bottom w:val="single" w:color="auto" w:sz="8" w:space="0"/>
              <w:right w:val="single" w:color="auto" w:sz="8" w:space="0"/>
            </w:tcBorders>
            <w:shd w:val="clear" w:color="auto" w:fill="auto"/>
            <w:vAlign w:val="bottom"/>
          </w:tcPr>
          <w:p w:rsidRPr="00C216D8" w:rsidR="00C216D8" w:rsidP="00C216D8" w:rsidRDefault="00C216D8" w14:paraId="6E0376CB" w14:textId="77777777">
            <w:pPr>
              <w:spacing w:after="200" w:line="276" w:lineRule="auto"/>
              <w:jc w:val="center"/>
              <w:rPr>
                <w:rFonts w:eastAsia="Calibri"/>
                <w:sz w:val="18"/>
                <w:szCs w:val="18"/>
              </w:rPr>
            </w:pPr>
          </w:p>
        </w:tc>
        <w:tc>
          <w:tcPr>
            <w:tcW w:w="1400" w:type="dxa"/>
            <w:tcBorders>
              <w:top w:val="nil"/>
              <w:left w:val="nil"/>
              <w:bottom w:val="single" w:color="auto" w:sz="8" w:space="0"/>
              <w:right w:val="single" w:color="auto" w:sz="8" w:space="0"/>
            </w:tcBorders>
            <w:shd w:val="clear" w:color="auto" w:fill="auto"/>
            <w:vAlign w:val="bottom"/>
          </w:tcPr>
          <w:p w:rsidRPr="00C216D8" w:rsidR="00C216D8" w:rsidP="00C216D8" w:rsidRDefault="00C216D8" w14:paraId="15F12E27" w14:textId="77777777">
            <w:pPr>
              <w:spacing w:after="200" w:line="276" w:lineRule="auto"/>
              <w:jc w:val="center"/>
              <w:rPr>
                <w:rFonts w:eastAsia="Calibri"/>
                <w:sz w:val="18"/>
                <w:szCs w:val="18"/>
              </w:rPr>
            </w:pPr>
            <w:r w:rsidRPr="00C216D8">
              <w:rPr>
                <w:rFonts w:eastAsia="Calibri"/>
                <w:sz w:val="18"/>
                <w:szCs w:val="18"/>
              </w:rPr>
              <w:t>46</w:t>
            </w:r>
          </w:p>
        </w:tc>
        <w:tc>
          <w:tcPr>
            <w:tcW w:w="1420" w:type="dxa"/>
            <w:tcBorders>
              <w:top w:val="nil"/>
              <w:left w:val="nil"/>
              <w:bottom w:val="single" w:color="auto" w:sz="8" w:space="0"/>
              <w:right w:val="single" w:color="auto" w:sz="8" w:space="0"/>
            </w:tcBorders>
            <w:shd w:val="clear" w:color="auto" w:fill="auto"/>
            <w:vAlign w:val="bottom"/>
          </w:tcPr>
          <w:p w:rsidRPr="00C216D8" w:rsidR="00C216D8" w:rsidP="00C216D8" w:rsidRDefault="00C216D8" w14:paraId="608450ED" w14:textId="77777777">
            <w:pPr>
              <w:spacing w:after="200" w:line="276" w:lineRule="auto"/>
              <w:jc w:val="center"/>
              <w:rPr>
                <w:rFonts w:eastAsia="Calibri"/>
                <w:sz w:val="18"/>
                <w:szCs w:val="18"/>
              </w:rPr>
            </w:pPr>
            <w:r w:rsidRPr="00C216D8">
              <w:rPr>
                <w:rFonts w:eastAsia="Calibri"/>
                <w:sz w:val="18"/>
                <w:szCs w:val="18"/>
              </w:rPr>
              <w:t>46</w:t>
            </w:r>
          </w:p>
        </w:tc>
        <w:tc>
          <w:tcPr>
            <w:tcW w:w="1324" w:type="dxa"/>
            <w:tcBorders>
              <w:top w:val="nil"/>
              <w:left w:val="nil"/>
              <w:bottom w:val="single" w:color="auto" w:sz="8" w:space="0"/>
              <w:right w:val="single" w:color="auto" w:sz="8" w:space="0"/>
            </w:tcBorders>
            <w:shd w:val="clear" w:color="auto" w:fill="auto"/>
            <w:vAlign w:val="bottom"/>
          </w:tcPr>
          <w:p w:rsidRPr="00C216D8" w:rsidR="00C216D8" w:rsidP="00C216D8" w:rsidRDefault="00C216D8" w14:paraId="4F218E3B" w14:textId="77777777">
            <w:pPr>
              <w:spacing w:after="200" w:line="276" w:lineRule="auto"/>
              <w:jc w:val="center"/>
              <w:rPr>
                <w:rFonts w:eastAsia="Calibri"/>
                <w:sz w:val="18"/>
                <w:szCs w:val="18"/>
              </w:rPr>
            </w:pPr>
            <w:r w:rsidRPr="00C216D8">
              <w:rPr>
                <w:rFonts w:eastAsia="Calibri"/>
                <w:sz w:val="18"/>
                <w:szCs w:val="18"/>
              </w:rPr>
              <w:t> 0</w:t>
            </w:r>
          </w:p>
        </w:tc>
      </w:tr>
      <w:tr w:rsidRPr="00C216D8" w:rsidR="00C216D8" w:rsidTr="00113610" w14:paraId="2714C3EB" w14:textId="77777777">
        <w:trPr>
          <w:trHeight w:val="270"/>
          <w:jc w:val="center"/>
        </w:trPr>
        <w:tc>
          <w:tcPr>
            <w:tcW w:w="1576" w:type="dxa"/>
            <w:tcBorders>
              <w:top w:val="nil"/>
              <w:left w:val="single" w:color="auto" w:sz="8" w:space="0"/>
              <w:bottom w:val="single" w:color="auto" w:sz="8" w:space="0"/>
              <w:right w:val="single" w:color="auto" w:sz="8" w:space="0"/>
            </w:tcBorders>
            <w:shd w:val="clear" w:color="auto" w:fill="auto"/>
            <w:vAlign w:val="bottom"/>
          </w:tcPr>
          <w:p w:rsidRPr="00C216D8" w:rsidR="00C216D8" w:rsidP="00C216D8" w:rsidRDefault="00C216D8" w14:paraId="03DA5531" w14:textId="77777777">
            <w:pPr>
              <w:spacing w:after="200" w:line="276" w:lineRule="auto"/>
              <w:rPr>
                <w:rFonts w:eastAsia="Calibri"/>
                <w:sz w:val="18"/>
                <w:szCs w:val="18"/>
              </w:rPr>
            </w:pPr>
            <w:r w:rsidRPr="00C216D8">
              <w:rPr>
                <w:rFonts w:eastAsia="Calibri"/>
                <w:sz w:val="18"/>
                <w:szCs w:val="18"/>
              </w:rPr>
              <w:t>Mortgage Portfolio Protection Program Agreement Receipt for Materials / No Form</w:t>
            </w:r>
          </w:p>
        </w:tc>
        <w:tc>
          <w:tcPr>
            <w:tcW w:w="1240" w:type="dxa"/>
            <w:tcBorders>
              <w:top w:val="nil"/>
              <w:left w:val="nil"/>
              <w:bottom w:val="single" w:color="auto" w:sz="8" w:space="0"/>
              <w:right w:val="single" w:color="auto" w:sz="8" w:space="0"/>
            </w:tcBorders>
            <w:shd w:val="clear" w:color="auto" w:fill="auto"/>
            <w:vAlign w:val="bottom"/>
          </w:tcPr>
          <w:p w:rsidRPr="00C216D8" w:rsidR="00C216D8" w:rsidP="00C216D8" w:rsidRDefault="00C216D8" w14:paraId="6A02E8AD" w14:textId="77777777">
            <w:pPr>
              <w:spacing w:after="200" w:line="276" w:lineRule="auto"/>
              <w:jc w:val="center"/>
              <w:rPr>
                <w:rFonts w:eastAsia="Calibri"/>
                <w:sz w:val="18"/>
                <w:szCs w:val="18"/>
              </w:rPr>
            </w:pPr>
          </w:p>
        </w:tc>
        <w:tc>
          <w:tcPr>
            <w:tcW w:w="960" w:type="dxa"/>
            <w:tcBorders>
              <w:top w:val="nil"/>
              <w:left w:val="nil"/>
              <w:bottom w:val="single" w:color="auto" w:sz="8" w:space="0"/>
              <w:right w:val="single" w:color="auto" w:sz="8" w:space="0"/>
            </w:tcBorders>
            <w:shd w:val="clear" w:color="auto" w:fill="auto"/>
            <w:vAlign w:val="bottom"/>
          </w:tcPr>
          <w:p w:rsidRPr="00C216D8" w:rsidR="00C216D8" w:rsidP="00C216D8" w:rsidRDefault="00C216D8" w14:paraId="0CA537AD" w14:textId="77777777">
            <w:pPr>
              <w:spacing w:after="200" w:line="276" w:lineRule="auto"/>
              <w:jc w:val="center"/>
              <w:rPr>
                <w:rFonts w:eastAsia="Calibri"/>
                <w:sz w:val="18"/>
                <w:szCs w:val="18"/>
              </w:rPr>
            </w:pPr>
          </w:p>
        </w:tc>
        <w:tc>
          <w:tcPr>
            <w:tcW w:w="1260" w:type="dxa"/>
            <w:tcBorders>
              <w:top w:val="nil"/>
              <w:left w:val="nil"/>
              <w:bottom w:val="single" w:color="auto" w:sz="8" w:space="0"/>
              <w:right w:val="single" w:color="auto" w:sz="8" w:space="0"/>
            </w:tcBorders>
            <w:shd w:val="clear" w:color="auto" w:fill="auto"/>
            <w:vAlign w:val="bottom"/>
          </w:tcPr>
          <w:p w:rsidRPr="00C216D8" w:rsidR="00C216D8" w:rsidP="00C216D8" w:rsidRDefault="00C216D8" w14:paraId="3955A0DE" w14:textId="77777777">
            <w:pPr>
              <w:spacing w:after="200" w:line="276" w:lineRule="auto"/>
              <w:jc w:val="center"/>
              <w:rPr>
                <w:rFonts w:eastAsia="Calibri"/>
                <w:sz w:val="18"/>
                <w:szCs w:val="18"/>
              </w:rPr>
            </w:pPr>
          </w:p>
        </w:tc>
        <w:tc>
          <w:tcPr>
            <w:tcW w:w="1400" w:type="dxa"/>
            <w:tcBorders>
              <w:top w:val="nil"/>
              <w:left w:val="nil"/>
              <w:bottom w:val="single" w:color="auto" w:sz="8" w:space="0"/>
              <w:right w:val="single" w:color="auto" w:sz="8" w:space="0"/>
            </w:tcBorders>
            <w:shd w:val="clear" w:color="auto" w:fill="auto"/>
            <w:vAlign w:val="bottom"/>
          </w:tcPr>
          <w:p w:rsidRPr="00C216D8" w:rsidR="00C216D8" w:rsidP="00C216D8" w:rsidRDefault="00C216D8" w14:paraId="25094742" w14:textId="77777777">
            <w:pPr>
              <w:spacing w:after="200" w:line="276" w:lineRule="auto"/>
              <w:jc w:val="center"/>
              <w:rPr>
                <w:rFonts w:eastAsia="Calibri"/>
                <w:sz w:val="18"/>
                <w:szCs w:val="18"/>
              </w:rPr>
            </w:pPr>
            <w:r w:rsidRPr="00C216D8">
              <w:rPr>
                <w:rFonts w:eastAsia="Calibri"/>
                <w:sz w:val="18"/>
                <w:szCs w:val="18"/>
              </w:rPr>
              <w:t>125</w:t>
            </w:r>
          </w:p>
        </w:tc>
        <w:tc>
          <w:tcPr>
            <w:tcW w:w="1420" w:type="dxa"/>
            <w:tcBorders>
              <w:top w:val="nil"/>
              <w:left w:val="nil"/>
              <w:bottom w:val="single" w:color="auto" w:sz="8" w:space="0"/>
              <w:right w:val="single" w:color="auto" w:sz="8" w:space="0"/>
            </w:tcBorders>
            <w:shd w:val="clear" w:color="auto" w:fill="auto"/>
            <w:vAlign w:val="bottom"/>
          </w:tcPr>
          <w:p w:rsidRPr="00C216D8" w:rsidR="00C216D8" w:rsidP="00C216D8" w:rsidRDefault="00C216D8" w14:paraId="6FFF63F3" w14:textId="77777777">
            <w:pPr>
              <w:spacing w:after="200" w:line="276" w:lineRule="auto"/>
              <w:jc w:val="center"/>
              <w:rPr>
                <w:rFonts w:eastAsia="Calibri"/>
                <w:sz w:val="18"/>
                <w:szCs w:val="18"/>
              </w:rPr>
            </w:pPr>
            <w:r w:rsidRPr="00C216D8">
              <w:rPr>
                <w:rFonts w:eastAsia="Calibri"/>
                <w:sz w:val="18"/>
                <w:szCs w:val="18"/>
              </w:rPr>
              <w:t>125</w:t>
            </w:r>
          </w:p>
        </w:tc>
        <w:tc>
          <w:tcPr>
            <w:tcW w:w="1324" w:type="dxa"/>
            <w:tcBorders>
              <w:top w:val="nil"/>
              <w:left w:val="nil"/>
              <w:bottom w:val="single" w:color="auto" w:sz="8" w:space="0"/>
              <w:right w:val="single" w:color="auto" w:sz="8" w:space="0"/>
            </w:tcBorders>
            <w:shd w:val="clear" w:color="auto" w:fill="auto"/>
            <w:vAlign w:val="bottom"/>
          </w:tcPr>
          <w:p w:rsidRPr="00C216D8" w:rsidR="00C216D8" w:rsidP="00C216D8" w:rsidRDefault="00C216D8" w14:paraId="33AA4B3A" w14:textId="77777777">
            <w:pPr>
              <w:spacing w:after="200" w:line="276" w:lineRule="auto"/>
              <w:jc w:val="center"/>
              <w:rPr>
                <w:rFonts w:eastAsia="Calibri"/>
                <w:sz w:val="18"/>
                <w:szCs w:val="18"/>
              </w:rPr>
            </w:pPr>
            <w:r w:rsidRPr="00C216D8">
              <w:rPr>
                <w:rFonts w:eastAsia="Calibri"/>
                <w:sz w:val="18"/>
                <w:szCs w:val="18"/>
              </w:rPr>
              <w:t>0</w:t>
            </w:r>
          </w:p>
        </w:tc>
      </w:tr>
      <w:tr w:rsidRPr="00C216D8" w:rsidR="0018773C" w:rsidTr="00113610" w14:paraId="19D0114A" w14:textId="77777777">
        <w:trPr>
          <w:trHeight w:val="270"/>
          <w:jc w:val="center"/>
        </w:trPr>
        <w:tc>
          <w:tcPr>
            <w:tcW w:w="1576" w:type="dxa"/>
            <w:tcBorders>
              <w:top w:val="nil"/>
              <w:left w:val="single" w:color="auto" w:sz="8" w:space="0"/>
              <w:bottom w:val="single" w:color="auto" w:sz="8" w:space="0"/>
              <w:right w:val="single" w:color="auto" w:sz="8" w:space="0"/>
            </w:tcBorders>
            <w:shd w:val="clear" w:color="auto" w:fill="auto"/>
            <w:vAlign w:val="bottom"/>
          </w:tcPr>
          <w:p w:rsidRPr="00C216D8" w:rsidR="0018773C" w:rsidP="00C216D8" w:rsidRDefault="0018773C" w14:paraId="05B5A6D2" w14:textId="0C037D9E">
            <w:pPr>
              <w:spacing w:after="200" w:line="276" w:lineRule="auto"/>
              <w:rPr>
                <w:rFonts w:eastAsia="Calibri"/>
                <w:sz w:val="18"/>
                <w:szCs w:val="18"/>
              </w:rPr>
            </w:pPr>
            <w:r w:rsidRPr="6F8EE752">
              <w:rPr>
                <w:rFonts w:eastAsia="Calibri"/>
                <w:sz w:val="18"/>
                <w:szCs w:val="18"/>
              </w:rPr>
              <w:t>Ask the Advocate web form</w:t>
            </w:r>
          </w:p>
        </w:tc>
        <w:tc>
          <w:tcPr>
            <w:tcW w:w="1240" w:type="dxa"/>
            <w:tcBorders>
              <w:top w:val="nil"/>
              <w:left w:val="nil"/>
              <w:bottom w:val="single" w:color="auto" w:sz="8" w:space="0"/>
              <w:right w:val="single" w:color="auto" w:sz="8" w:space="0"/>
            </w:tcBorders>
            <w:shd w:val="clear" w:color="auto" w:fill="auto"/>
            <w:vAlign w:val="bottom"/>
          </w:tcPr>
          <w:p w:rsidRPr="0018773C" w:rsidR="0018773C" w:rsidP="00C216D8" w:rsidRDefault="0018773C" w14:paraId="24CD83CF" w14:textId="03BF4008">
            <w:pPr>
              <w:spacing w:after="200" w:line="276" w:lineRule="auto"/>
              <w:jc w:val="center"/>
              <w:rPr>
                <w:rFonts w:eastAsia="Calibri"/>
                <w:b/>
                <w:bCs/>
                <w:sz w:val="18"/>
                <w:szCs w:val="18"/>
              </w:rPr>
            </w:pPr>
            <w:r w:rsidRPr="6F8EE752">
              <w:rPr>
                <w:b/>
                <w:bCs/>
                <w:sz w:val="18"/>
                <w:szCs w:val="18"/>
              </w:rPr>
              <w:t>+56</w:t>
            </w:r>
          </w:p>
        </w:tc>
        <w:tc>
          <w:tcPr>
            <w:tcW w:w="960" w:type="dxa"/>
            <w:tcBorders>
              <w:top w:val="nil"/>
              <w:left w:val="nil"/>
              <w:bottom w:val="single" w:color="auto" w:sz="8" w:space="0"/>
              <w:right w:val="single" w:color="auto" w:sz="8" w:space="0"/>
            </w:tcBorders>
            <w:shd w:val="clear" w:color="auto" w:fill="auto"/>
            <w:vAlign w:val="bottom"/>
          </w:tcPr>
          <w:p w:rsidRPr="0018773C" w:rsidR="0018773C" w:rsidP="00C216D8" w:rsidRDefault="0018773C" w14:paraId="7B46548B" w14:textId="646FC167">
            <w:pPr>
              <w:spacing w:after="200" w:line="276" w:lineRule="auto"/>
              <w:jc w:val="center"/>
              <w:rPr>
                <w:rFonts w:eastAsia="Calibri"/>
                <w:b/>
                <w:bCs/>
                <w:sz w:val="18"/>
                <w:szCs w:val="18"/>
              </w:rPr>
            </w:pPr>
            <w:r w:rsidRPr="6F8EE752">
              <w:rPr>
                <w:b/>
                <w:bCs/>
                <w:sz w:val="18"/>
                <w:szCs w:val="18"/>
              </w:rPr>
              <w:t>+56</w:t>
            </w:r>
          </w:p>
        </w:tc>
        <w:tc>
          <w:tcPr>
            <w:tcW w:w="1260" w:type="dxa"/>
            <w:tcBorders>
              <w:top w:val="nil"/>
              <w:left w:val="nil"/>
              <w:bottom w:val="single" w:color="auto" w:sz="8" w:space="0"/>
              <w:right w:val="single" w:color="auto" w:sz="8" w:space="0"/>
            </w:tcBorders>
            <w:shd w:val="clear" w:color="auto" w:fill="auto"/>
            <w:vAlign w:val="bottom"/>
          </w:tcPr>
          <w:p w:rsidRPr="0018773C" w:rsidR="0018773C" w:rsidP="00C216D8" w:rsidRDefault="0018773C" w14:paraId="5426491D" w14:textId="6FD20294">
            <w:pPr>
              <w:spacing w:after="200" w:line="276" w:lineRule="auto"/>
              <w:jc w:val="center"/>
              <w:rPr>
                <w:rFonts w:eastAsia="Calibri"/>
                <w:b/>
                <w:bCs/>
                <w:sz w:val="18"/>
                <w:szCs w:val="18"/>
              </w:rPr>
            </w:pPr>
            <w:r w:rsidRPr="6F8EE752">
              <w:rPr>
                <w:b/>
                <w:bCs/>
                <w:sz w:val="18"/>
                <w:szCs w:val="18"/>
              </w:rPr>
              <w:t>+56</w:t>
            </w:r>
          </w:p>
        </w:tc>
        <w:tc>
          <w:tcPr>
            <w:tcW w:w="1400" w:type="dxa"/>
            <w:tcBorders>
              <w:top w:val="nil"/>
              <w:left w:val="nil"/>
              <w:bottom w:val="single" w:color="auto" w:sz="8" w:space="0"/>
              <w:right w:val="single" w:color="auto" w:sz="8" w:space="0"/>
            </w:tcBorders>
            <w:shd w:val="clear" w:color="auto" w:fill="auto"/>
            <w:vAlign w:val="bottom"/>
          </w:tcPr>
          <w:p w:rsidRPr="00C216D8" w:rsidR="0018773C" w:rsidP="00C216D8" w:rsidRDefault="0018773C" w14:paraId="5BCFB7AC" w14:textId="77777777">
            <w:pPr>
              <w:spacing w:after="200" w:line="276" w:lineRule="auto"/>
              <w:jc w:val="center"/>
              <w:rPr>
                <w:rFonts w:eastAsia="Calibri"/>
                <w:sz w:val="18"/>
                <w:szCs w:val="18"/>
              </w:rPr>
            </w:pPr>
          </w:p>
        </w:tc>
        <w:tc>
          <w:tcPr>
            <w:tcW w:w="1420" w:type="dxa"/>
            <w:tcBorders>
              <w:top w:val="nil"/>
              <w:left w:val="nil"/>
              <w:bottom w:val="single" w:color="auto" w:sz="8" w:space="0"/>
              <w:right w:val="single" w:color="auto" w:sz="8" w:space="0"/>
            </w:tcBorders>
            <w:shd w:val="clear" w:color="auto" w:fill="auto"/>
            <w:vAlign w:val="bottom"/>
          </w:tcPr>
          <w:p w:rsidRPr="00C216D8" w:rsidR="0018773C" w:rsidP="00C216D8" w:rsidRDefault="0018773C" w14:paraId="4AC62F07" w14:textId="77777777">
            <w:pPr>
              <w:spacing w:after="200" w:line="276" w:lineRule="auto"/>
              <w:jc w:val="center"/>
              <w:rPr>
                <w:rFonts w:eastAsia="Calibri"/>
                <w:sz w:val="18"/>
                <w:szCs w:val="18"/>
              </w:rPr>
            </w:pPr>
          </w:p>
        </w:tc>
        <w:tc>
          <w:tcPr>
            <w:tcW w:w="1324" w:type="dxa"/>
            <w:tcBorders>
              <w:top w:val="nil"/>
              <w:left w:val="nil"/>
              <w:bottom w:val="single" w:color="auto" w:sz="8" w:space="0"/>
              <w:right w:val="single" w:color="auto" w:sz="8" w:space="0"/>
            </w:tcBorders>
            <w:shd w:val="clear" w:color="auto" w:fill="auto"/>
            <w:vAlign w:val="bottom"/>
          </w:tcPr>
          <w:p w:rsidRPr="00C216D8" w:rsidR="0018773C" w:rsidP="00C216D8" w:rsidRDefault="0018773C" w14:paraId="30070ED0" w14:textId="77777777">
            <w:pPr>
              <w:spacing w:after="200" w:line="276" w:lineRule="auto"/>
              <w:jc w:val="center"/>
              <w:rPr>
                <w:rFonts w:eastAsia="Calibri"/>
                <w:sz w:val="18"/>
                <w:szCs w:val="18"/>
              </w:rPr>
            </w:pPr>
          </w:p>
        </w:tc>
      </w:tr>
      <w:tr w:rsidRPr="00C216D8" w:rsidR="00C216D8" w:rsidTr="00113610" w14:paraId="58738822" w14:textId="77777777">
        <w:trPr>
          <w:trHeight w:val="270"/>
          <w:jc w:val="center"/>
        </w:trPr>
        <w:tc>
          <w:tcPr>
            <w:tcW w:w="1576" w:type="dxa"/>
            <w:tcBorders>
              <w:top w:val="nil"/>
              <w:left w:val="single" w:color="auto" w:sz="8" w:space="0"/>
              <w:bottom w:val="single" w:color="auto" w:sz="8" w:space="0"/>
              <w:right w:val="single" w:color="auto" w:sz="8" w:space="0"/>
            </w:tcBorders>
            <w:shd w:val="clear" w:color="auto" w:fill="auto"/>
            <w:vAlign w:val="bottom"/>
          </w:tcPr>
          <w:p w:rsidRPr="00C216D8" w:rsidR="00C216D8" w:rsidP="00C216D8" w:rsidRDefault="00C216D8" w14:paraId="62ACCBA9" w14:textId="77777777">
            <w:pPr>
              <w:spacing w:after="200" w:line="276" w:lineRule="auto"/>
              <w:jc w:val="center"/>
              <w:rPr>
                <w:rFonts w:eastAsia="Calibri"/>
                <w:b/>
                <w:bCs/>
                <w:sz w:val="18"/>
                <w:szCs w:val="18"/>
              </w:rPr>
            </w:pPr>
            <w:r w:rsidRPr="00C216D8">
              <w:rPr>
                <w:rFonts w:eastAsia="Calibri"/>
                <w:b/>
                <w:bCs/>
                <w:sz w:val="18"/>
                <w:szCs w:val="18"/>
              </w:rPr>
              <w:t>Total(s)</w:t>
            </w:r>
          </w:p>
        </w:tc>
        <w:tc>
          <w:tcPr>
            <w:tcW w:w="1240" w:type="dxa"/>
            <w:tcBorders>
              <w:top w:val="nil"/>
              <w:left w:val="nil"/>
              <w:bottom w:val="single" w:color="auto" w:sz="8" w:space="0"/>
              <w:right w:val="single" w:color="auto" w:sz="8" w:space="0"/>
            </w:tcBorders>
            <w:shd w:val="clear" w:color="auto" w:fill="auto"/>
            <w:vAlign w:val="bottom"/>
          </w:tcPr>
          <w:p w:rsidRPr="0018773C" w:rsidR="00C216D8" w:rsidP="00C216D8" w:rsidRDefault="0018773C" w14:paraId="1A0E0291" w14:textId="62989091">
            <w:pPr>
              <w:spacing w:after="200" w:line="276" w:lineRule="auto"/>
              <w:jc w:val="center"/>
              <w:rPr>
                <w:rFonts w:eastAsia="Calibri"/>
                <w:b/>
                <w:bCs/>
                <w:sz w:val="18"/>
                <w:szCs w:val="18"/>
              </w:rPr>
            </w:pPr>
            <w:r w:rsidRPr="6F8EE752">
              <w:rPr>
                <w:b/>
                <w:bCs/>
                <w:sz w:val="18"/>
                <w:szCs w:val="18"/>
              </w:rPr>
              <w:t>+56</w:t>
            </w:r>
          </w:p>
        </w:tc>
        <w:tc>
          <w:tcPr>
            <w:tcW w:w="960" w:type="dxa"/>
            <w:tcBorders>
              <w:top w:val="nil"/>
              <w:left w:val="nil"/>
              <w:bottom w:val="single" w:color="auto" w:sz="8" w:space="0"/>
              <w:right w:val="single" w:color="auto" w:sz="8" w:space="0"/>
            </w:tcBorders>
            <w:shd w:val="clear" w:color="auto" w:fill="auto"/>
            <w:vAlign w:val="bottom"/>
          </w:tcPr>
          <w:p w:rsidRPr="0018773C" w:rsidR="00C216D8" w:rsidP="00C216D8" w:rsidRDefault="0018773C" w14:paraId="268524EE" w14:textId="31A86754">
            <w:pPr>
              <w:spacing w:after="200" w:line="276" w:lineRule="auto"/>
              <w:jc w:val="center"/>
              <w:rPr>
                <w:rFonts w:eastAsia="Calibri"/>
                <w:b/>
                <w:bCs/>
                <w:sz w:val="18"/>
                <w:szCs w:val="18"/>
              </w:rPr>
            </w:pPr>
            <w:r w:rsidRPr="6F8EE752">
              <w:rPr>
                <w:b/>
                <w:bCs/>
                <w:sz w:val="18"/>
                <w:szCs w:val="18"/>
              </w:rPr>
              <w:t>+56</w:t>
            </w:r>
          </w:p>
        </w:tc>
        <w:tc>
          <w:tcPr>
            <w:tcW w:w="1260" w:type="dxa"/>
            <w:tcBorders>
              <w:top w:val="nil"/>
              <w:left w:val="nil"/>
              <w:bottom w:val="single" w:color="auto" w:sz="8" w:space="0"/>
              <w:right w:val="single" w:color="auto" w:sz="8" w:space="0"/>
            </w:tcBorders>
            <w:shd w:val="clear" w:color="auto" w:fill="auto"/>
            <w:vAlign w:val="bottom"/>
          </w:tcPr>
          <w:p w:rsidRPr="0018773C" w:rsidR="00C216D8" w:rsidP="00C216D8" w:rsidRDefault="0018773C" w14:paraId="5CE69766" w14:textId="0B93C9BC">
            <w:pPr>
              <w:spacing w:after="200" w:line="276" w:lineRule="auto"/>
              <w:jc w:val="center"/>
              <w:rPr>
                <w:rFonts w:eastAsia="Calibri"/>
                <w:b/>
                <w:bCs/>
                <w:sz w:val="18"/>
                <w:szCs w:val="18"/>
              </w:rPr>
            </w:pPr>
            <w:r w:rsidRPr="6F8EE752">
              <w:rPr>
                <w:b/>
                <w:bCs/>
                <w:sz w:val="18"/>
                <w:szCs w:val="18"/>
              </w:rPr>
              <w:t>+56</w:t>
            </w:r>
          </w:p>
        </w:tc>
        <w:tc>
          <w:tcPr>
            <w:tcW w:w="1400" w:type="dxa"/>
            <w:tcBorders>
              <w:top w:val="nil"/>
              <w:left w:val="nil"/>
              <w:bottom w:val="single" w:color="auto" w:sz="8" w:space="0"/>
              <w:right w:val="single" w:color="auto" w:sz="8" w:space="0"/>
            </w:tcBorders>
            <w:shd w:val="clear" w:color="auto" w:fill="auto"/>
            <w:vAlign w:val="bottom"/>
          </w:tcPr>
          <w:p w:rsidRPr="00C216D8" w:rsidR="00C216D8" w:rsidP="00C216D8" w:rsidRDefault="00C216D8" w14:paraId="154B1533" w14:textId="77777777">
            <w:pPr>
              <w:spacing w:after="200" w:line="276" w:lineRule="auto"/>
              <w:jc w:val="center"/>
              <w:rPr>
                <w:rFonts w:eastAsia="Calibri"/>
                <w:b/>
                <w:bCs/>
                <w:sz w:val="18"/>
                <w:szCs w:val="18"/>
              </w:rPr>
            </w:pPr>
            <w:r w:rsidRPr="00C216D8">
              <w:rPr>
                <w:rFonts w:eastAsia="Calibri"/>
                <w:b/>
                <w:bCs/>
                <w:sz w:val="18"/>
                <w:szCs w:val="18"/>
              </w:rPr>
              <w:t>171 </w:t>
            </w:r>
          </w:p>
        </w:tc>
        <w:tc>
          <w:tcPr>
            <w:tcW w:w="1420" w:type="dxa"/>
            <w:tcBorders>
              <w:top w:val="nil"/>
              <w:left w:val="nil"/>
              <w:bottom w:val="single" w:color="auto" w:sz="8" w:space="0"/>
              <w:right w:val="single" w:color="auto" w:sz="8" w:space="0"/>
            </w:tcBorders>
            <w:shd w:val="clear" w:color="auto" w:fill="auto"/>
            <w:vAlign w:val="bottom"/>
          </w:tcPr>
          <w:p w:rsidRPr="00C216D8" w:rsidR="00C216D8" w:rsidP="00C216D8" w:rsidRDefault="00C216D8" w14:paraId="7C7903A4" w14:textId="77777777">
            <w:pPr>
              <w:spacing w:after="200" w:line="276" w:lineRule="auto"/>
              <w:jc w:val="center"/>
              <w:rPr>
                <w:rFonts w:eastAsia="Calibri"/>
                <w:b/>
                <w:bCs/>
                <w:sz w:val="18"/>
                <w:szCs w:val="18"/>
              </w:rPr>
            </w:pPr>
            <w:r w:rsidRPr="00C216D8">
              <w:rPr>
                <w:rFonts w:eastAsia="Calibri"/>
                <w:b/>
                <w:bCs/>
                <w:sz w:val="18"/>
                <w:szCs w:val="18"/>
              </w:rPr>
              <w:t>171 </w:t>
            </w:r>
          </w:p>
        </w:tc>
        <w:tc>
          <w:tcPr>
            <w:tcW w:w="1324" w:type="dxa"/>
            <w:tcBorders>
              <w:top w:val="nil"/>
              <w:left w:val="nil"/>
              <w:bottom w:val="single" w:color="auto" w:sz="8" w:space="0"/>
              <w:right w:val="single" w:color="auto" w:sz="8" w:space="0"/>
            </w:tcBorders>
            <w:shd w:val="clear" w:color="auto" w:fill="auto"/>
            <w:vAlign w:val="bottom"/>
          </w:tcPr>
          <w:p w:rsidRPr="00C216D8" w:rsidR="00C216D8" w:rsidP="00C216D8" w:rsidRDefault="00C216D8" w14:paraId="498D9AAC" w14:textId="77777777">
            <w:pPr>
              <w:spacing w:after="200" w:line="276" w:lineRule="auto"/>
              <w:jc w:val="center"/>
              <w:rPr>
                <w:rFonts w:eastAsia="Calibri"/>
                <w:b/>
                <w:bCs/>
                <w:sz w:val="18"/>
                <w:szCs w:val="18"/>
              </w:rPr>
            </w:pPr>
            <w:r w:rsidRPr="00C216D8">
              <w:rPr>
                <w:rFonts w:eastAsia="Calibri"/>
                <w:b/>
                <w:bCs/>
                <w:sz w:val="18"/>
                <w:szCs w:val="18"/>
              </w:rPr>
              <w:t> 0</w:t>
            </w:r>
          </w:p>
        </w:tc>
      </w:tr>
    </w:tbl>
    <w:p w:rsidR="002C01E9" w:rsidP="00651BF3" w:rsidRDefault="002C01E9" w14:paraId="15B93EF4" w14:textId="77777777">
      <w:pPr>
        <w:rPr>
          <w:rFonts w:eastAsia="Calibri"/>
          <w:b/>
          <w:bCs/>
          <w:i/>
          <w:sz w:val="22"/>
          <w:szCs w:val="22"/>
        </w:rPr>
      </w:pPr>
    </w:p>
    <w:p w:rsidR="00C216D8" w:rsidP="00033644" w:rsidRDefault="00C216D8" w14:paraId="633A5D69" w14:textId="31C1A58F">
      <w:pPr>
        <w:rPr>
          <w:rFonts w:eastAsia="Calibri"/>
          <w:b/>
          <w:bCs/>
          <w:i/>
          <w:sz w:val="22"/>
          <w:szCs w:val="22"/>
        </w:rPr>
      </w:pPr>
      <w:r w:rsidRPr="00C216D8">
        <w:rPr>
          <w:rFonts w:eastAsia="Calibri"/>
          <w:b/>
          <w:bCs/>
          <w:i/>
          <w:sz w:val="22"/>
          <w:szCs w:val="22"/>
        </w:rPr>
        <w:t>Explain:</w:t>
      </w:r>
    </w:p>
    <w:p w:rsidRPr="00C216D8" w:rsidR="00033644" w:rsidP="00651BF3" w:rsidRDefault="00033644" w14:paraId="6CF9200F" w14:textId="77777777">
      <w:pPr>
        <w:rPr>
          <w:rFonts w:eastAsia="Calibri"/>
          <w:b/>
          <w:bCs/>
          <w:i/>
          <w:sz w:val="22"/>
          <w:szCs w:val="22"/>
        </w:rPr>
      </w:pPr>
    </w:p>
    <w:p w:rsidRPr="00643647" w:rsidR="0018773C" w:rsidP="00033644" w:rsidRDefault="0018773C" w14:paraId="39A88E48" w14:textId="77777777">
      <w:pPr>
        <w:rPr>
          <w:u w:val="single"/>
        </w:rPr>
      </w:pPr>
      <w:r w:rsidRPr="00643647">
        <w:rPr>
          <w:u w:val="single"/>
        </w:rPr>
        <w:t>Mortgage Portfolio Protection Program (MPPP)</w:t>
      </w:r>
    </w:p>
    <w:p w:rsidR="0018773C" w:rsidP="00651BF3" w:rsidRDefault="0018773C" w14:paraId="1E64EF16" w14:textId="77777777">
      <w:pPr>
        <w:rPr>
          <w:rFonts w:eastAsia="Calibri"/>
          <w:bCs/>
        </w:rPr>
      </w:pPr>
    </w:p>
    <w:p w:rsidR="0018773C" w:rsidP="00651BF3" w:rsidRDefault="00C216D8" w14:paraId="44B4D8AB" w14:textId="5556E40B">
      <w:pPr>
        <w:rPr>
          <w:rFonts w:eastAsia="Calibri"/>
          <w:bCs/>
        </w:rPr>
      </w:pPr>
      <w:r w:rsidRPr="00C216D8">
        <w:rPr>
          <w:rFonts w:eastAsia="Calibri"/>
          <w:bCs/>
        </w:rPr>
        <w:t>There are no changes to the annual hour burden previously reported and there has been no change to the information being collected.</w:t>
      </w:r>
    </w:p>
    <w:p w:rsidR="00033644" w:rsidP="00033644" w:rsidRDefault="00033644" w14:paraId="663B7495" w14:textId="77777777">
      <w:pPr>
        <w:rPr>
          <w:color w:val="000000" w:themeColor="text1"/>
        </w:rPr>
      </w:pPr>
    </w:p>
    <w:p w:rsidRPr="00643647" w:rsidR="0018773C" w:rsidP="00033644" w:rsidRDefault="0018773C" w14:paraId="2C4B9EE0" w14:textId="57D374FA">
      <w:pPr>
        <w:rPr>
          <w:color w:val="000000" w:themeColor="text1"/>
          <w:u w:val="single"/>
        </w:rPr>
      </w:pPr>
      <w:r w:rsidRPr="00643647">
        <w:rPr>
          <w:color w:val="000000" w:themeColor="text1"/>
          <w:u w:val="single"/>
        </w:rPr>
        <w:t>Ask the Advocate Web Form</w:t>
      </w:r>
    </w:p>
    <w:p w:rsidR="0018773C" w:rsidP="6F8EE752" w:rsidRDefault="0018773C" w14:paraId="5C1DF98C" w14:textId="77777777">
      <w:pPr>
        <w:rPr>
          <w:rFonts w:eastAsia="Calibri"/>
        </w:rPr>
      </w:pPr>
    </w:p>
    <w:p w:rsidR="00033644" w:rsidP="6F8EE752" w:rsidRDefault="00033644" w14:paraId="565CE59E" w14:textId="335C0D29">
      <w:pPr>
        <w:rPr>
          <w:rFonts w:eastAsia="Calibri"/>
        </w:rPr>
      </w:pPr>
      <w:r w:rsidRPr="6F8EE752">
        <w:rPr>
          <w:rFonts w:eastAsia="Calibri"/>
        </w:rPr>
        <w:t xml:space="preserve">The time burden to complete this newly created web form is expected to take 0.08 hours (5 minutes).  Due to an increase in information collection, this yields a Program Increase in annual burden hours from 0 hours to 56 hours, or an increase of +56 hours.  </w:t>
      </w:r>
    </w:p>
    <w:p w:rsidRPr="00C216D8" w:rsidR="00C216D8" w:rsidP="6F8EE752" w:rsidRDefault="00C216D8" w14:paraId="189E53A6" w14:textId="77777777">
      <w:pPr>
        <w:rPr>
          <w:rFonts w:eastAsia="Calibri"/>
          <w:b/>
          <w:bCs/>
          <w:i/>
          <w:iCs/>
        </w:rPr>
      </w:pPr>
    </w:p>
    <w:p w:rsidR="00EC3E38" w:rsidRDefault="00EC3E38" w14:paraId="26C992A3" w14:textId="77777777">
      <w:pPr>
        <w:rPr>
          <w:rFonts w:eastAsia="Calibri"/>
          <w:b/>
          <w:bCs/>
          <w:i/>
        </w:rPr>
      </w:pPr>
      <w:r>
        <w:rPr>
          <w:rFonts w:eastAsia="Calibri"/>
          <w:b/>
          <w:bCs/>
          <w:i/>
        </w:rPr>
        <w:br w:type="page"/>
      </w:r>
    </w:p>
    <w:p w:rsidR="00C216D8" w:rsidP="00033644" w:rsidRDefault="00C216D8" w14:paraId="0CFBBF48" w14:textId="44D126C8">
      <w:pPr>
        <w:rPr>
          <w:rFonts w:eastAsia="Calibri"/>
          <w:b/>
          <w:bCs/>
          <w:i/>
        </w:rPr>
      </w:pPr>
      <w:r w:rsidRPr="00C216D8">
        <w:rPr>
          <w:rFonts w:eastAsia="Calibri"/>
          <w:b/>
          <w:bCs/>
          <w:i/>
        </w:rPr>
        <w:lastRenderedPageBreak/>
        <w:t>Itemized Changes in Annual Cost Burden</w:t>
      </w:r>
    </w:p>
    <w:p w:rsidRPr="00C216D8" w:rsidR="00033644" w:rsidP="00651BF3" w:rsidRDefault="00033644" w14:paraId="0B2BB22F" w14:textId="77777777">
      <w:pPr>
        <w:rPr>
          <w:rFonts w:eastAsia="Calibri"/>
          <w:b/>
          <w:bCs/>
          <w:i/>
        </w:rPr>
      </w:pPr>
    </w:p>
    <w:p w:rsidRPr="00C216D8" w:rsidR="00C216D8" w:rsidP="00C216D8" w:rsidRDefault="00C216D8" w14:paraId="30E5D492" w14:textId="77777777">
      <w:pPr>
        <w:spacing w:after="200" w:line="276" w:lineRule="auto"/>
        <w:rPr>
          <w:rFonts w:eastAsia="Calibri"/>
          <w:bCs/>
          <w:i/>
        </w:rPr>
      </w:pPr>
      <w:r w:rsidRPr="00C216D8">
        <w:rPr>
          <w:rFonts w:eastAsia="Calibri"/>
          <w:b/>
          <w:bCs/>
          <w:i/>
        </w:rPr>
        <w:t>Explain:</w:t>
      </w:r>
      <w:r w:rsidRPr="00C216D8">
        <w:rPr>
          <w:rFonts w:eastAsia="Calibri"/>
          <w:bCs/>
          <w:i/>
        </w:rPr>
        <w:t xml:space="preserve"> </w:t>
      </w:r>
    </w:p>
    <w:p w:rsidRPr="00643647" w:rsidR="00033644" w:rsidP="00033644" w:rsidRDefault="00033644" w14:paraId="2D8857EB" w14:textId="77777777">
      <w:pPr>
        <w:rPr>
          <w:u w:val="single"/>
        </w:rPr>
      </w:pPr>
      <w:r w:rsidRPr="00643647">
        <w:rPr>
          <w:u w:val="single"/>
        </w:rPr>
        <w:t>Mortgage Portfolio Protection Program (MPPP)</w:t>
      </w:r>
    </w:p>
    <w:p w:rsidR="00651BF3" w:rsidP="00033644" w:rsidRDefault="00651BF3" w14:paraId="2FCA58CF" w14:textId="77777777">
      <w:pPr>
        <w:pStyle w:val="NormalWeb"/>
        <w:spacing w:before="0" w:beforeAutospacing="0" w:after="0" w:afterAutospacing="0"/>
        <w:rPr>
          <w:bCs/>
        </w:rPr>
      </w:pPr>
    </w:p>
    <w:p w:rsidR="002253D0" w:rsidP="00651BF3" w:rsidRDefault="00C216D8" w14:paraId="0CB0BE1F" w14:textId="5BBDD48E">
      <w:pPr>
        <w:pStyle w:val="NormalWeb"/>
        <w:spacing w:before="0" w:beforeAutospacing="0" w:after="0" w:afterAutospacing="0"/>
      </w:pPr>
      <w:r w:rsidRPr="008A37C7">
        <w:rPr>
          <w:bCs/>
        </w:rPr>
        <w:t>There is no cost burden for this collection.</w:t>
      </w:r>
      <w:r w:rsidRPr="008A37C7">
        <w:rPr>
          <w:rFonts w:ascii="Calibri" w:hAnsi="Calibri" w:eastAsia="Calibri"/>
          <w:b/>
          <w:bCs/>
          <w:sz w:val="22"/>
          <w:szCs w:val="22"/>
          <w:highlight w:val="yellow"/>
        </w:rPr>
        <w:fldChar w:fldCharType="begin"/>
      </w:r>
      <w:r w:rsidRPr="008A37C7">
        <w:rPr>
          <w:rFonts w:ascii="Calibri" w:hAnsi="Calibri" w:eastAsia="Calibri"/>
          <w:b/>
          <w:bCs/>
          <w:sz w:val="22"/>
          <w:szCs w:val="22"/>
          <w:highlight w:val="yellow"/>
        </w:rPr>
        <w:instrText>ADVANCE \R 0.95</w:instrText>
      </w:r>
      <w:r w:rsidRPr="008A37C7">
        <w:rPr>
          <w:rFonts w:ascii="Calibri" w:hAnsi="Calibri" w:eastAsia="Calibri"/>
          <w:b/>
          <w:bCs/>
          <w:sz w:val="22"/>
          <w:szCs w:val="22"/>
          <w:highlight w:val="yellow"/>
        </w:rPr>
        <w:fldChar w:fldCharType="end"/>
      </w:r>
    </w:p>
    <w:p w:rsidR="00651BF3" w:rsidP="00033644" w:rsidRDefault="00651BF3" w14:paraId="0B82883E" w14:textId="77777777">
      <w:pPr>
        <w:rPr>
          <w:color w:val="000000" w:themeColor="text1"/>
        </w:rPr>
      </w:pPr>
    </w:p>
    <w:p w:rsidRPr="00643647" w:rsidR="00033644" w:rsidP="00651BF3" w:rsidRDefault="00033644" w14:paraId="2EADF674" w14:textId="00BDC6DC">
      <w:pPr>
        <w:rPr>
          <w:color w:val="000000" w:themeColor="text1"/>
          <w:u w:val="single"/>
        </w:rPr>
      </w:pPr>
      <w:r w:rsidRPr="00643647">
        <w:rPr>
          <w:color w:val="000000" w:themeColor="text1"/>
          <w:u w:val="single"/>
        </w:rPr>
        <w:t>Ask the Advocate Web Form</w:t>
      </w:r>
    </w:p>
    <w:p w:rsidR="00033644" w:rsidP="6F8EE752" w:rsidRDefault="00033644" w14:paraId="62D494F5" w14:textId="77777777">
      <w:pPr>
        <w:rPr>
          <w:rFonts w:eastAsia="Calibri"/>
        </w:rPr>
      </w:pPr>
    </w:p>
    <w:p w:rsidRPr="00C216D8" w:rsidR="00033644" w:rsidP="6F8EE752" w:rsidRDefault="00033644" w14:paraId="10636C86" w14:textId="57BBC0C2">
      <w:pPr>
        <w:rPr>
          <w:rFonts w:eastAsia="Calibri"/>
        </w:rPr>
      </w:pPr>
      <w:r w:rsidRPr="6F8EE752">
        <w:rPr>
          <w:rFonts w:eastAsia="Calibri"/>
        </w:rPr>
        <w:t>The expected increase in time burden (due to the introduction of a new web form) to complete this form yields a Program Increase in annual burden costs from $0 to $2,1</w:t>
      </w:r>
      <w:r w:rsidR="008F1BF9">
        <w:rPr>
          <w:rFonts w:eastAsia="Calibri"/>
        </w:rPr>
        <w:t>98</w:t>
      </w:r>
      <w:r w:rsidRPr="6F8EE752">
        <w:rPr>
          <w:rFonts w:eastAsia="Calibri"/>
        </w:rPr>
        <w:t>, or an increase of +$2,1</w:t>
      </w:r>
      <w:r w:rsidR="008F1BF9">
        <w:rPr>
          <w:rFonts w:eastAsia="Calibri"/>
        </w:rPr>
        <w:t>98</w:t>
      </w:r>
      <w:r w:rsidRPr="6F8EE752">
        <w:rPr>
          <w:rFonts w:eastAsia="Calibri"/>
        </w:rPr>
        <w:t xml:space="preserve">.  </w:t>
      </w:r>
    </w:p>
    <w:p w:rsidR="002253D0" w:rsidP="00922A7F" w:rsidRDefault="002253D0" w14:paraId="737A6E8B" w14:textId="77777777">
      <w:pPr>
        <w:rPr>
          <w:b/>
          <w:bCs/>
        </w:rPr>
      </w:pPr>
    </w:p>
    <w:p w:rsidRPr="007C29B2" w:rsidR="00922A7F" w:rsidP="00922A7F" w:rsidRDefault="00922A7F" w14:paraId="3AEFCF0B" w14:textId="77777777">
      <w:pPr>
        <w:rPr>
          <w:b/>
          <w:bCs/>
        </w:rPr>
      </w:pPr>
      <w:r w:rsidRPr="007C29B2">
        <w:rPr>
          <w:b/>
          <w:bCs/>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7C29B2" w:rsidR="00922A7F" w:rsidP="00922A7F" w:rsidRDefault="00922A7F" w14:paraId="1CE6BF47" w14:textId="77777777">
      <w:r w:rsidRPr="007C29B2">
        <w:fldChar w:fldCharType="begin"/>
      </w:r>
      <w:r w:rsidRPr="007C29B2">
        <w:instrText>ADVANCE \R 0.95</w:instrText>
      </w:r>
      <w:r w:rsidRPr="007C29B2">
        <w:fldChar w:fldCharType="end"/>
      </w:r>
    </w:p>
    <w:p w:rsidRPr="007C29B2" w:rsidR="00922A7F" w:rsidP="00922A7F" w:rsidRDefault="00922A7F" w14:paraId="5B44B7F2" w14:textId="77777777">
      <w:r w:rsidRPr="007C29B2">
        <w:t>FEMA does not intend to employ the use of statistics or the publication thereof for this information collection.</w:t>
      </w:r>
    </w:p>
    <w:p w:rsidRPr="007C29B2" w:rsidR="00922A7F" w:rsidP="00922A7F" w:rsidRDefault="00922A7F" w14:paraId="76519EBF" w14:textId="77777777"/>
    <w:p w:rsidRPr="007C29B2" w:rsidR="00922A7F" w:rsidP="00922A7F" w:rsidRDefault="00922A7F" w14:paraId="3443EB71" w14:textId="77777777">
      <w:pPr>
        <w:rPr>
          <w:b/>
          <w:bCs/>
        </w:rPr>
      </w:pPr>
      <w:r w:rsidRPr="007C29B2">
        <w:rPr>
          <w:b/>
          <w:bCs/>
        </w:rPr>
        <w:fldChar w:fldCharType="begin"/>
      </w:r>
      <w:r w:rsidRPr="007C29B2">
        <w:rPr>
          <w:b/>
          <w:bCs/>
        </w:rPr>
        <w:instrText>ADVANCE \R 0.95</w:instrText>
      </w:r>
      <w:r w:rsidRPr="007C29B2">
        <w:rPr>
          <w:b/>
          <w:bCs/>
        </w:rPr>
        <w:fldChar w:fldCharType="end"/>
      </w:r>
      <w:r w:rsidRPr="007C29B2">
        <w:rPr>
          <w:b/>
          <w:bCs/>
        </w:rPr>
        <w:t>17.  If seeking approval not to display the expiration date for OMB approval of the information collection, explain reasons that display would be inappropriate.</w:t>
      </w:r>
    </w:p>
    <w:p w:rsidRPr="007C29B2" w:rsidR="00922A7F" w:rsidP="00922A7F" w:rsidRDefault="00922A7F" w14:paraId="2CAC10D0" w14:textId="77777777">
      <w:pPr>
        <w:rPr>
          <w:b/>
          <w:bCs/>
        </w:rPr>
      </w:pPr>
    </w:p>
    <w:p w:rsidRPr="007C29B2" w:rsidR="00922A7F" w:rsidP="00922A7F" w:rsidRDefault="00922A7F" w14:paraId="600DCF55" w14:textId="77777777">
      <w:pPr>
        <w:rPr>
          <w:b/>
          <w:bCs/>
          <w:color w:val="000000"/>
        </w:rPr>
      </w:pPr>
      <w:r w:rsidRPr="007C29B2">
        <w:rPr>
          <w:color w:val="000000"/>
        </w:rPr>
        <w:t xml:space="preserve">FEMA </w:t>
      </w:r>
      <w:r w:rsidRPr="007C29B2">
        <w:t>will display the expiration date for OMB approval of this information collection.</w:t>
      </w:r>
      <w:r w:rsidRPr="007C29B2">
        <w:rPr>
          <w:b/>
          <w:bCs/>
          <w:color w:val="000000"/>
        </w:rPr>
        <w:fldChar w:fldCharType="begin"/>
      </w:r>
      <w:r w:rsidRPr="007C29B2">
        <w:rPr>
          <w:b/>
          <w:bCs/>
          <w:color w:val="000000"/>
        </w:rPr>
        <w:instrText>ADVANCE \R 0.95</w:instrText>
      </w:r>
      <w:r w:rsidRPr="007C29B2">
        <w:rPr>
          <w:b/>
          <w:bCs/>
          <w:color w:val="000000"/>
        </w:rPr>
        <w:fldChar w:fldCharType="end"/>
      </w:r>
    </w:p>
    <w:p w:rsidRPr="007C29B2" w:rsidR="00922A7F" w:rsidP="00922A7F" w:rsidRDefault="00922A7F" w14:paraId="0CD7CC92" w14:textId="77777777">
      <w:pPr>
        <w:rPr>
          <w:b/>
          <w:bCs/>
          <w:color w:val="000000"/>
        </w:rPr>
      </w:pPr>
    </w:p>
    <w:p w:rsidRPr="007C29B2" w:rsidR="00922A7F" w:rsidP="00922A7F" w:rsidRDefault="00922A7F" w14:paraId="4DCFA49A" w14:textId="77777777">
      <w:pPr>
        <w:rPr>
          <w:b/>
          <w:bCs/>
        </w:rPr>
      </w:pPr>
      <w:r w:rsidRPr="007C29B2">
        <w:rPr>
          <w:b/>
          <w:bCs/>
        </w:rPr>
        <w:fldChar w:fldCharType="begin"/>
      </w:r>
      <w:r w:rsidRPr="007C29B2">
        <w:rPr>
          <w:b/>
          <w:bCs/>
        </w:rPr>
        <w:instrText>ADVANCE \R 0.95</w:instrText>
      </w:r>
      <w:r w:rsidRPr="007C29B2">
        <w:rPr>
          <w:b/>
          <w:bCs/>
        </w:rPr>
        <w:fldChar w:fldCharType="end"/>
      </w:r>
      <w:r w:rsidRPr="007C29B2">
        <w:rPr>
          <w:b/>
          <w:bCs/>
        </w:rPr>
        <w:t>18.  Explain each exception to the certification statement identified in Item 19 “Certification for Paperwork Reduction Act Submissions,” of OMB Form 83-I.</w:t>
      </w:r>
    </w:p>
    <w:p w:rsidRPr="007C29B2" w:rsidR="00922A7F" w:rsidP="00922A7F" w:rsidRDefault="00922A7F" w14:paraId="31EA7E30" w14:textId="77777777">
      <w:pPr>
        <w:rPr>
          <w:b/>
          <w:bCs/>
        </w:rPr>
      </w:pPr>
    </w:p>
    <w:p w:rsidR="00922A7F" w:rsidP="00922A7F" w:rsidRDefault="00922A7F" w14:paraId="0BF7D3E7" w14:textId="77777777">
      <w:r w:rsidRPr="007C29B2">
        <w:rPr>
          <w:color w:val="000000"/>
        </w:rPr>
        <w:t xml:space="preserve">FEMA </w:t>
      </w:r>
      <w:r w:rsidRPr="007C29B2">
        <w:t>does not request an exception to the certification of this information collection.</w:t>
      </w:r>
    </w:p>
    <w:p w:rsidRPr="007C29B2" w:rsidR="00922A7F" w:rsidP="00922A7F" w:rsidRDefault="00922A7F" w14:paraId="3D88FDF0" w14:textId="77777777">
      <w:pPr>
        <w:rPr>
          <w:b/>
          <w:sz w:val="28"/>
        </w:rPr>
      </w:pPr>
    </w:p>
    <w:p w:rsidRPr="007C29B2" w:rsidR="00922A7F" w:rsidP="00922A7F" w:rsidRDefault="00922A7F" w14:paraId="4B82C2CB" w14:textId="77777777">
      <w:pPr>
        <w:tabs>
          <w:tab w:val="left" w:pos="-720"/>
        </w:tabs>
        <w:suppressAutoHyphens/>
        <w:rPr>
          <w:b/>
          <w:sz w:val="28"/>
        </w:rPr>
      </w:pPr>
      <w:r w:rsidRPr="007C29B2">
        <w:rPr>
          <w:b/>
          <w:sz w:val="28"/>
        </w:rPr>
        <w:t>B.  Collections of Information Employing Statistical Methods.</w:t>
      </w:r>
    </w:p>
    <w:p w:rsidRPr="00113610" w:rsidR="00922A7F" w:rsidP="00922A7F" w:rsidRDefault="00922A7F" w14:paraId="7277C115" w14:textId="77777777">
      <w:pPr>
        <w:tabs>
          <w:tab w:val="left" w:pos="-720"/>
        </w:tabs>
        <w:suppressAutoHyphens/>
        <w:rPr>
          <w:color w:val="000000" w:themeColor="text1"/>
        </w:rPr>
      </w:pPr>
    </w:p>
    <w:p w:rsidRPr="00113610" w:rsidR="008D08F6" w:rsidP="00922A7F" w:rsidRDefault="00922A7F" w14:paraId="77372C93" w14:textId="77777777">
      <w:pPr>
        <w:rPr>
          <w:b/>
          <w:color w:val="000000" w:themeColor="text1"/>
        </w:rPr>
      </w:pPr>
      <w:r w:rsidRPr="00113610">
        <w:rPr>
          <w:color w:val="000000" w:themeColor="text1"/>
        </w:rPr>
        <w:t>There is no statistical methodology involved in this collection.</w:t>
      </w:r>
      <w:r w:rsidRPr="00113610">
        <w:rPr>
          <w:color w:val="000000" w:themeColor="text1"/>
        </w:rPr>
        <w:fldChar w:fldCharType="begin"/>
      </w:r>
      <w:r w:rsidRPr="00113610">
        <w:rPr>
          <w:color w:val="000000" w:themeColor="text1"/>
        </w:rPr>
        <w:instrText>ADVANCE \R 0.95</w:instrText>
      </w:r>
      <w:r w:rsidRPr="00113610">
        <w:rPr>
          <w:color w:val="000000" w:themeColor="text1"/>
        </w:rPr>
        <w:fldChar w:fldCharType="end"/>
      </w:r>
      <w:r w:rsidRPr="00113610">
        <w:rPr>
          <w:color w:val="000000" w:themeColor="text1"/>
        </w:rPr>
        <w:fldChar w:fldCharType="begin"/>
      </w:r>
      <w:r w:rsidRPr="00113610">
        <w:rPr>
          <w:color w:val="000000" w:themeColor="text1"/>
        </w:rPr>
        <w:instrText>ADVANCE \R 0.95</w:instrText>
      </w:r>
      <w:r w:rsidRPr="00113610">
        <w:rPr>
          <w:color w:val="000000" w:themeColor="text1"/>
        </w:rPr>
        <w:fldChar w:fldCharType="end"/>
      </w:r>
      <w:r w:rsidRPr="00113610">
        <w:rPr>
          <w:color w:val="000000" w:themeColor="text1"/>
        </w:rPr>
        <w:tab/>
      </w:r>
    </w:p>
    <w:sectPr w:rsidRPr="00113610" w:rsidR="008D08F6">
      <w:footerReference w:type="even" r:id="rId19"/>
      <w:footerReference w:type="default" r:id="rId20"/>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C2F3A9" w14:textId="77777777" w:rsidR="00CD48A6" w:rsidRDefault="00CD48A6">
      <w:r>
        <w:separator/>
      </w:r>
    </w:p>
  </w:endnote>
  <w:endnote w:type="continuationSeparator" w:id="0">
    <w:p w14:paraId="110271FA" w14:textId="77777777" w:rsidR="00CD48A6" w:rsidRDefault="00CD48A6">
      <w:r>
        <w:continuationSeparator/>
      </w:r>
    </w:p>
  </w:endnote>
  <w:endnote w:type="continuationNotice" w:id="1">
    <w:p w14:paraId="66D98549" w14:textId="77777777" w:rsidR="00CD48A6" w:rsidRDefault="00CD48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CBC80F" w14:textId="77777777" w:rsidR="001C7A35" w:rsidRDefault="001C7A35" w:rsidP="005C41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4C6B992" w14:textId="77777777" w:rsidR="001C7A35" w:rsidRDefault="001C7A3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77573D" w14:textId="77777777" w:rsidR="001C7A35" w:rsidRDefault="001C7A35" w:rsidP="005C41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95A8D2A" w14:textId="77777777" w:rsidR="001C7A35" w:rsidRDefault="001C7A3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8E7A50" w14:textId="77777777" w:rsidR="00CD48A6" w:rsidRDefault="00CD48A6">
      <w:r>
        <w:separator/>
      </w:r>
    </w:p>
  </w:footnote>
  <w:footnote w:type="continuationSeparator" w:id="0">
    <w:p w14:paraId="6322497E" w14:textId="77777777" w:rsidR="00CD48A6" w:rsidRDefault="00CD48A6">
      <w:r>
        <w:continuationSeparator/>
      </w:r>
    </w:p>
  </w:footnote>
  <w:footnote w:type="continuationNotice" w:id="1">
    <w:p w14:paraId="49D8A637" w14:textId="77777777" w:rsidR="00CD48A6" w:rsidRDefault="00CD48A6"/>
  </w:footnote>
  <w:footnote w:id="2">
    <w:p w14:paraId="3B38F793" w14:textId="13F21C67" w:rsidR="00D360E1" w:rsidRPr="00A63842" w:rsidRDefault="00D360E1" w:rsidP="00D360E1">
      <w:pPr>
        <w:pStyle w:val="FootnoteText"/>
      </w:pPr>
      <w:r w:rsidRPr="00C216BD">
        <w:rPr>
          <w:rStyle w:val="FootnoteReference"/>
        </w:rPr>
        <w:footnoteRef/>
      </w:r>
      <w:r w:rsidRPr="00C216BD">
        <w:t xml:space="preserve"> Bureau of Labor Statistics</w:t>
      </w:r>
      <w:r w:rsidRPr="00A63842">
        <w:t xml:space="preserve">, </w:t>
      </w:r>
      <w:r>
        <w:t>t</w:t>
      </w:r>
      <w:r w:rsidRPr="00A63842">
        <w:t>he wage multiplier is calculated by dividing total compensation for all workers of $38.</w:t>
      </w:r>
      <w:r w:rsidR="006E300D">
        <w:t>6</w:t>
      </w:r>
      <w:r w:rsidRPr="00A63842">
        <w:t>0 by wages and salaries for all workers of $26.</w:t>
      </w:r>
      <w:r w:rsidR="006E300D">
        <w:t>53</w:t>
      </w:r>
      <w:r w:rsidRPr="00A63842">
        <w:t xml:space="preserve"> per hour yielding a benefits multiplier of approximately 1.4</w:t>
      </w:r>
      <w:r w:rsidR="00DA55FF">
        <w:t>5</w:t>
      </w:r>
      <w:r w:rsidRPr="00A63842">
        <w:t xml:space="preserve">.  Available at </w:t>
      </w:r>
      <w:hyperlink r:id="rId1" w:history="1">
        <w:r w:rsidRPr="00A63842">
          <w:rPr>
            <w:rStyle w:val="Hyperlink"/>
          </w:rPr>
          <w:t>https://www.bls.gov/news.release/pdf/ecec.pdf</w:t>
        </w:r>
      </w:hyperlink>
      <w:r w:rsidRPr="00A63842">
        <w:t xml:space="preserve">. Accessed </w:t>
      </w:r>
      <w:r w:rsidR="00241C73">
        <w:t>April</w:t>
      </w:r>
      <w:r w:rsidRPr="00A63842">
        <w:t xml:space="preserve"> </w:t>
      </w:r>
      <w:r w:rsidR="00241C73">
        <w:t>13</w:t>
      </w:r>
      <w:r w:rsidRPr="00A63842">
        <w:t>, 202</w:t>
      </w:r>
      <w:r w:rsidR="00241C73">
        <w:t>1</w:t>
      </w:r>
      <w:r w:rsidRPr="00A63842">
        <w:t> </w:t>
      </w:r>
    </w:p>
  </w:footnote>
  <w:footnote w:id="3">
    <w:p w14:paraId="2E60B890" w14:textId="1B045C81" w:rsidR="001C7A35" w:rsidRDefault="001C7A35">
      <w:pPr>
        <w:pStyle w:val="FootnoteText"/>
      </w:pPr>
      <w:r>
        <w:rPr>
          <w:rStyle w:val="FootnoteReference"/>
        </w:rPr>
        <w:footnoteRef/>
      </w:r>
      <w:r>
        <w:t xml:space="preserve"> Bureau of Labor Statistics May 20</w:t>
      </w:r>
      <w:r w:rsidR="00E54DDB">
        <w:t>20</w:t>
      </w:r>
      <w:r>
        <w:t xml:space="preserve"> National Occupational Employment and Wage Estimates</w:t>
      </w:r>
      <w:r w:rsidR="00D666C3">
        <w:t xml:space="preserve">, 41-3021 Insurance Sales Agents. </w:t>
      </w:r>
      <w:hyperlink r:id="rId2" w:history="1">
        <w:r w:rsidR="00B27FF1" w:rsidRPr="00B27FF1">
          <w:rPr>
            <w:rStyle w:val="Hyperlink"/>
          </w:rPr>
          <w:t>https://www.bls.gov/oes/2020/may/oes413021.htm</w:t>
        </w:r>
      </w:hyperlink>
    </w:p>
  </w:footnote>
  <w:footnote w:id="4">
    <w:p w14:paraId="4F954B65" w14:textId="55541699" w:rsidR="001C7A35" w:rsidRDefault="001C7A35">
      <w:pPr>
        <w:pStyle w:val="FootnoteText"/>
      </w:pPr>
      <w:r>
        <w:rPr>
          <w:rStyle w:val="FootnoteReference"/>
        </w:rPr>
        <w:footnoteRef/>
      </w:r>
      <w:r>
        <w:t xml:space="preserve"> Bureau of Labor Statistics May 20</w:t>
      </w:r>
      <w:r w:rsidR="00D666C3">
        <w:t>20</w:t>
      </w:r>
      <w:r>
        <w:t xml:space="preserve"> National Occupational Employment and Wage Estimates</w:t>
      </w:r>
      <w:r w:rsidR="00845C59">
        <w:t>, 13-2041 Credit Analysts.</w:t>
      </w:r>
      <w:r w:rsidR="0097372E">
        <w:t xml:space="preserve"> </w:t>
      </w:r>
      <w:r w:rsidR="00845C59">
        <w:t xml:space="preserve"> </w:t>
      </w:r>
      <w:hyperlink r:id="rId3" w:history="1">
        <w:r w:rsidR="0097372E" w:rsidRPr="00F20C46">
          <w:rPr>
            <w:rStyle w:val="Hyperlink"/>
          </w:rPr>
          <w:t>https://www.bls.gov/oes/2020/may/oes132041.htm</w:t>
        </w:r>
      </w:hyperlink>
      <w:r w:rsidR="0097372E">
        <w:t xml:space="preserve"> </w:t>
      </w:r>
    </w:p>
  </w:footnote>
  <w:footnote w:id="5">
    <w:p w14:paraId="6089A842" w14:textId="148AC7A6" w:rsidR="00FF0A91" w:rsidRDefault="00FF0A91">
      <w:pPr>
        <w:pStyle w:val="FootnoteText"/>
      </w:pPr>
      <w:r>
        <w:rPr>
          <w:rStyle w:val="FootnoteReference"/>
        </w:rPr>
        <w:footnoteRef/>
      </w:r>
      <w:r>
        <w:t xml:space="preserve"> Bureau of Labor Statistics May 2020 National Occupational Employment and Wage Estimates, 00-0000</w:t>
      </w:r>
      <w:r w:rsidR="003434AF">
        <w:t xml:space="preserve"> All Occupations.</w:t>
      </w:r>
      <w:r>
        <w:t xml:space="preserve"> </w:t>
      </w:r>
      <w:r w:rsidR="00AC4465">
        <w:t xml:space="preserve"> </w:t>
      </w:r>
      <w:hyperlink r:id="rId4" w:anchor="00-0000" w:history="1">
        <w:r w:rsidR="00AC4465" w:rsidRPr="00AC4465">
          <w:rPr>
            <w:rStyle w:val="Hyperlink"/>
          </w:rPr>
          <w:t>https://www.bls.gov/oes/2020/may/oes_nat.htm#00-0000</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FC23D2"/>
    <w:multiLevelType w:val="hybridMultilevel"/>
    <w:tmpl w:val="F46C7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2B0901"/>
    <w:multiLevelType w:val="hybridMultilevel"/>
    <w:tmpl w:val="71BEFE18"/>
    <w:lvl w:ilvl="0" w:tplc="E0B07710">
      <w:start w:val="13"/>
      <w:numFmt w:val="decimal"/>
      <w:lvlText w:val="%1."/>
      <w:lvlJc w:val="left"/>
      <w:pPr>
        <w:tabs>
          <w:tab w:val="num" w:pos="720"/>
        </w:tabs>
        <w:ind w:left="720" w:hanging="420"/>
      </w:pPr>
      <w:rPr>
        <w:rFonts w:hint="default"/>
      </w:rPr>
    </w:lvl>
    <w:lvl w:ilvl="1" w:tplc="9666381C">
      <w:start w:val="1"/>
      <w:numFmt w:val="lowerLetter"/>
      <w:lvlText w:val="%2."/>
      <w:lvlJc w:val="left"/>
      <w:pPr>
        <w:tabs>
          <w:tab w:val="num" w:pos="1380"/>
        </w:tabs>
        <w:ind w:left="1380" w:hanging="360"/>
      </w:pPr>
      <w:rPr>
        <w:rFonts w:hint="default"/>
      </w:r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2" w15:restartNumberingAfterBreak="0">
    <w:nsid w:val="1D090A14"/>
    <w:multiLevelType w:val="hybridMultilevel"/>
    <w:tmpl w:val="0696E2FC"/>
    <w:lvl w:ilvl="0" w:tplc="85DA87FE">
      <w:start w:val="1"/>
      <w:numFmt w:val="bullet"/>
      <w:lvlText w:val=""/>
      <w:lvlJc w:val="left"/>
      <w:pPr>
        <w:tabs>
          <w:tab w:val="num" w:pos="1080"/>
        </w:tabs>
        <w:ind w:left="864" w:hanging="144"/>
      </w:pPr>
      <w:rPr>
        <w:rFonts w:ascii="Symbol" w:hAnsi="Symbol" w:hint="default"/>
      </w:rPr>
    </w:lvl>
    <w:lvl w:ilvl="1" w:tplc="B3100A4C">
      <w:numFmt w:val="decimal"/>
      <w:lvlText w:val=""/>
      <w:lvlJc w:val="left"/>
    </w:lvl>
    <w:lvl w:ilvl="2" w:tplc="83F4ABBC">
      <w:numFmt w:val="decimal"/>
      <w:lvlText w:val=""/>
      <w:lvlJc w:val="left"/>
    </w:lvl>
    <w:lvl w:ilvl="3" w:tplc="C10A4194">
      <w:numFmt w:val="decimal"/>
      <w:lvlText w:val=""/>
      <w:lvlJc w:val="left"/>
    </w:lvl>
    <w:lvl w:ilvl="4" w:tplc="59F8F37A">
      <w:numFmt w:val="decimal"/>
      <w:lvlText w:val=""/>
      <w:lvlJc w:val="left"/>
    </w:lvl>
    <w:lvl w:ilvl="5" w:tplc="11009532">
      <w:numFmt w:val="decimal"/>
      <w:lvlText w:val=""/>
      <w:lvlJc w:val="left"/>
    </w:lvl>
    <w:lvl w:ilvl="6" w:tplc="0B8C47BA">
      <w:numFmt w:val="decimal"/>
      <w:lvlText w:val=""/>
      <w:lvlJc w:val="left"/>
    </w:lvl>
    <w:lvl w:ilvl="7" w:tplc="06180024">
      <w:numFmt w:val="decimal"/>
      <w:lvlText w:val=""/>
      <w:lvlJc w:val="left"/>
    </w:lvl>
    <w:lvl w:ilvl="8" w:tplc="B986C374">
      <w:numFmt w:val="decimal"/>
      <w:lvlText w:val=""/>
      <w:lvlJc w:val="left"/>
    </w:lvl>
  </w:abstractNum>
  <w:abstractNum w:abstractNumId="3" w15:restartNumberingAfterBreak="0">
    <w:nsid w:val="1EB12828"/>
    <w:multiLevelType w:val="hybridMultilevel"/>
    <w:tmpl w:val="05A62FA6"/>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1242FF"/>
    <w:multiLevelType w:val="hybridMultilevel"/>
    <w:tmpl w:val="0696E2FC"/>
    <w:lvl w:ilvl="0" w:tplc="1C148548">
      <w:start w:val="1"/>
      <w:numFmt w:val="bullet"/>
      <w:lvlText w:val=""/>
      <w:lvlJc w:val="left"/>
      <w:pPr>
        <w:tabs>
          <w:tab w:val="num" w:pos="1080"/>
        </w:tabs>
        <w:ind w:left="864" w:hanging="144"/>
      </w:pPr>
      <w:rPr>
        <w:rFonts w:ascii="Symbol" w:hAnsi="Symbol" w:hint="default"/>
      </w:rPr>
    </w:lvl>
    <w:lvl w:ilvl="1" w:tplc="9ED84AC0">
      <w:numFmt w:val="decimal"/>
      <w:lvlText w:val=""/>
      <w:lvlJc w:val="left"/>
    </w:lvl>
    <w:lvl w:ilvl="2" w:tplc="13867618">
      <w:numFmt w:val="decimal"/>
      <w:lvlText w:val=""/>
      <w:lvlJc w:val="left"/>
    </w:lvl>
    <w:lvl w:ilvl="3" w:tplc="F8A0DC3E">
      <w:numFmt w:val="decimal"/>
      <w:lvlText w:val=""/>
      <w:lvlJc w:val="left"/>
    </w:lvl>
    <w:lvl w:ilvl="4" w:tplc="C8B8F408">
      <w:numFmt w:val="decimal"/>
      <w:lvlText w:val=""/>
      <w:lvlJc w:val="left"/>
    </w:lvl>
    <w:lvl w:ilvl="5" w:tplc="8A2AE268">
      <w:numFmt w:val="decimal"/>
      <w:lvlText w:val=""/>
      <w:lvlJc w:val="left"/>
    </w:lvl>
    <w:lvl w:ilvl="6" w:tplc="75BC1104">
      <w:numFmt w:val="decimal"/>
      <w:lvlText w:val=""/>
      <w:lvlJc w:val="left"/>
    </w:lvl>
    <w:lvl w:ilvl="7" w:tplc="1FE268F4">
      <w:numFmt w:val="decimal"/>
      <w:lvlText w:val=""/>
      <w:lvlJc w:val="left"/>
    </w:lvl>
    <w:lvl w:ilvl="8" w:tplc="F932767E">
      <w:numFmt w:val="decimal"/>
      <w:lvlText w:val=""/>
      <w:lvlJc w:val="left"/>
    </w:lvl>
  </w:abstractNum>
  <w:abstractNum w:abstractNumId="5" w15:restartNumberingAfterBreak="0">
    <w:nsid w:val="29513184"/>
    <w:multiLevelType w:val="hybridMultilevel"/>
    <w:tmpl w:val="BAE22250"/>
    <w:lvl w:ilvl="0" w:tplc="DD6E495C">
      <w:start w:val="3"/>
      <w:numFmt w:val="low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2AF81A8C"/>
    <w:multiLevelType w:val="hybridMultilevel"/>
    <w:tmpl w:val="F5A2C9BE"/>
    <w:lvl w:ilvl="0" w:tplc="04090017">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37CC4EEF"/>
    <w:multiLevelType w:val="hybridMultilevel"/>
    <w:tmpl w:val="0696E2FC"/>
    <w:lvl w:ilvl="0" w:tplc="482E6A52">
      <w:start w:val="1"/>
      <w:numFmt w:val="bullet"/>
      <w:lvlText w:val=""/>
      <w:lvlJc w:val="left"/>
      <w:pPr>
        <w:tabs>
          <w:tab w:val="num" w:pos="1080"/>
        </w:tabs>
        <w:ind w:left="864" w:hanging="144"/>
      </w:pPr>
      <w:rPr>
        <w:rFonts w:ascii="Symbol" w:hAnsi="Symbol" w:hint="default"/>
      </w:rPr>
    </w:lvl>
    <w:lvl w:ilvl="1" w:tplc="3D240AE2">
      <w:numFmt w:val="decimal"/>
      <w:lvlText w:val=""/>
      <w:lvlJc w:val="left"/>
    </w:lvl>
    <w:lvl w:ilvl="2" w:tplc="EBCE05A6">
      <w:numFmt w:val="decimal"/>
      <w:lvlText w:val=""/>
      <w:lvlJc w:val="left"/>
    </w:lvl>
    <w:lvl w:ilvl="3" w:tplc="19BEE60A">
      <w:numFmt w:val="decimal"/>
      <w:lvlText w:val=""/>
      <w:lvlJc w:val="left"/>
    </w:lvl>
    <w:lvl w:ilvl="4" w:tplc="A48C4006">
      <w:numFmt w:val="decimal"/>
      <w:lvlText w:val=""/>
      <w:lvlJc w:val="left"/>
    </w:lvl>
    <w:lvl w:ilvl="5" w:tplc="7556E0FE">
      <w:numFmt w:val="decimal"/>
      <w:lvlText w:val=""/>
      <w:lvlJc w:val="left"/>
    </w:lvl>
    <w:lvl w:ilvl="6" w:tplc="FD2C4F56">
      <w:numFmt w:val="decimal"/>
      <w:lvlText w:val=""/>
      <w:lvlJc w:val="left"/>
    </w:lvl>
    <w:lvl w:ilvl="7" w:tplc="F31E7274">
      <w:numFmt w:val="decimal"/>
      <w:lvlText w:val=""/>
      <w:lvlJc w:val="left"/>
    </w:lvl>
    <w:lvl w:ilvl="8" w:tplc="6888A444">
      <w:numFmt w:val="decimal"/>
      <w:lvlText w:val=""/>
      <w:lvlJc w:val="left"/>
    </w:lvl>
  </w:abstractNum>
  <w:abstractNum w:abstractNumId="8" w15:restartNumberingAfterBreak="0">
    <w:nsid w:val="43560C2A"/>
    <w:multiLevelType w:val="hybridMultilevel"/>
    <w:tmpl w:val="83B0924A"/>
    <w:lvl w:ilvl="0" w:tplc="35A66F76">
      <w:start w:val="1"/>
      <w:numFmt w:val="lowerLetter"/>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9" w15:restartNumberingAfterBreak="0">
    <w:nsid w:val="49EE04FE"/>
    <w:multiLevelType w:val="hybridMultilevel"/>
    <w:tmpl w:val="0696E2FC"/>
    <w:lvl w:ilvl="0" w:tplc="9196A1D0">
      <w:start w:val="1"/>
      <w:numFmt w:val="bullet"/>
      <w:lvlText w:val=""/>
      <w:lvlJc w:val="left"/>
      <w:pPr>
        <w:tabs>
          <w:tab w:val="num" w:pos="1620"/>
        </w:tabs>
        <w:ind w:left="1404" w:hanging="144"/>
      </w:pPr>
      <w:rPr>
        <w:rFonts w:ascii="Symbol" w:hAnsi="Symbol" w:hint="default"/>
      </w:rPr>
    </w:lvl>
    <w:lvl w:ilvl="1" w:tplc="187E201C">
      <w:numFmt w:val="decimal"/>
      <w:lvlText w:val=""/>
      <w:lvlJc w:val="left"/>
    </w:lvl>
    <w:lvl w:ilvl="2" w:tplc="1ABADC1E">
      <w:numFmt w:val="decimal"/>
      <w:lvlText w:val=""/>
      <w:lvlJc w:val="left"/>
    </w:lvl>
    <w:lvl w:ilvl="3" w:tplc="E6FAA4CE">
      <w:numFmt w:val="decimal"/>
      <w:lvlText w:val=""/>
      <w:lvlJc w:val="left"/>
    </w:lvl>
    <w:lvl w:ilvl="4" w:tplc="08283428">
      <w:numFmt w:val="decimal"/>
      <w:lvlText w:val=""/>
      <w:lvlJc w:val="left"/>
    </w:lvl>
    <w:lvl w:ilvl="5" w:tplc="3788AB1E">
      <w:numFmt w:val="decimal"/>
      <w:lvlText w:val=""/>
      <w:lvlJc w:val="left"/>
    </w:lvl>
    <w:lvl w:ilvl="6" w:tplc="33B88598">
      <w:numFmt w:val="decimal"/>
      <w:lvlText w:val=""/>
      <w:lvlJc w:val="left"/>
    </w:lvl>
    <w:lvl w:ilvl="7" w:tplc="88BAB84A">
      <w:numFmt w:val="decimal"/>
      <w:lvlText w:val=""/>
      <w:lvlJc w:val="left"/>
    </w:lvl>
    <w:lvl w:ilvl="8" w:tplc="5EC4F84C">
      <w:numFmt w:val="decimal"/>
      <w:lvlText w:val=""/>
      <w:lvlJc w:val="left"/>
    </w:lvl>
  </w:abstractNum>
  <w:abstractNum w:abstractNumId="10" w15:restartNumberingAfterBreak="0">
    <w:nsid w:val="56F71A6F"/>
    <w:multiLevelType w:val="hybridMultilevel"/>
    <w:tmpl w:val="A4C6B1C0"/>
    <w:lvl w:ilvl="0" w:tplc="6A966D9A">
      <w:start w:val="1"/>
      <w:numFmt w:val="decimal"/>
      <w:lvlText w:val="%1."/>
      <w:lvlJc w:val="left"/>
      <w:pPr>
        <w:tabs>
          <w:tab w:val="num" w:pos="870"/>
        </w:tabs>
        <w:ind w:left="870" w:hanging="360"/>
      </w:pPr>
      <w:rPr>
        <w:rFonts w:hint="default"/>
      </w:rPr>
    </w:lvl>
    <w:lvl w:ilvl="1" w:tplc="3EA0F834">
      <w:numFmt w:val="decimal"/>
      <w:lvlText w:val=""/>
      <w:lvlJc w:val="left"/>
    </w:lvl>
    <w:lvl w:ilvl="2" w:tplc="835CCB6C">
      <w:numFmt w:val="decimal"/>
      <w:lvlText w:val=""/>
      <w:lvlJc w:val="left"/>
    </w:lvl>
    <w:lvl w:ilvl="3" w:tplc="7A6C0122">
      <w:numFmt w:val="decimal"/>
      <w:lvlText w:val=""/>
      <w:lvlJc w:val="left"/>
    </w:lvl>
    <w:lvl w:ilvl="4" w:tplc="EB88503C">
      <w:numFmt w:val="decimal"/>
      <w:lvlText w:val=""/>
      <w:lvlJc w:val="left"/>
    </w:lvl>
    <w:lvl w:ilvl="5" w:tplc="5F325CB2">
      <w:numFmt w:val="decimal"/>
      <w:lvlText w:val=""/>
      <w:lvlJc w:val="left"/>
    </w:lvl>
    <w:lvl w:ilvl="6" w:tplc="9348C38A">
      <w:numFmt w:val="decimal"/>
      <w:lvlText w:val=""/>
      <w:lvlJc w:val="left"/>
    </w:lvl>
    <w:lvl w:ilvl="7" w:tplc="0C66FE14">
      <w:numFmt w:val="decimal"/>
      <w:lvlText w:val=""/>
      <w:lvlJc w:val="left"/>
    </w:lvl>
    <w:lvl w:ilvl="8" w:tplc="FEB0426C">
      <w:numFmt w:val="decimal"/>
      <w:lvlText w:val=""/>
      <w:lvlJc w:val="left"/>
    </w:lvl>
  </w:abstractNum>
  <w:abstractNum w:abstractNumId="11" w15:restartNumberingAfterBreak="0">
    <w:nsid w:val="685B423E"/>
    <w:multiLevelType w:val="hybridMultilevel"/>
    <w:tmpl w:val="3DAAEE7A"/>
    <w:lvl w:ilvl="0" w:tplc="C99A9486">
      <w:start w:val="10"/>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8874F81"/>
    <w:multiLevelType w:val="hybridMultilevel"/>
    <w:tmpl w:val="ABEE6898"/>
    <w:lvl w:ilvl="0" w:tplc="FFBC5E8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71A63A9D"/>
    <w:multiLevelType w:val="hybridMultilevel"/>
    <w:tmpl w:val="A14ECF7E"/>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2BE2654"/>
    <w:multiLevelType w:val="hybridMultilevel"/>
    <w:tmpl w:val="B8E23D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8E11A7F"/>
    <w:multiLevelType w:val="hybridMultilevel"/>
    <w:tmpl w:val="3D7E9C1E"/>
    <w:lvl w:ilvl="0" w:tplc="7B0017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B77458B"/>
    <w:multiLevelType w:val="hybridMultilevel"/>
    <w:tmpl w:val="0696E2FC"/>
    <w:lvl w:ilvl="0" w:tplc="31CA787A">
      <w:start w:val="1"/>
      <w:numFmt w:val="bullet"/>
      <w:lvlText w:val=""/>
      <w:lvlJc w:val="left"/>
      <w:pPr>
        <w:tabs>
          <w:tab w:val="num" w:pos="1080"/>
        </w:tabs>
        <w:ind w:left="864" w:hanging="144"/>
      </w:pPr>
      <w:rPr>
        <w:rFonts w:ascii="Symbol" w:hAnsi="Symbol" w:hint="default"/>
      </w:rPr>
    </w:lvl>
    <w:lvl w:ilvl="1" w:tplc="8370D89E">
      <w:numFmt w:val="decimal"/>
      <w:lvlText w:val=""/>
      <w:lvlJc w:val="left"/>
    </w:lvl>
    <w:lvl w:ilvl="2" w:tplc="DD968192">
      <w:numFmt w:val="decimal"/>
      <w:lvlText w:val=""/>
      <w:lvlJc w:val="left"/>
    </w:lvl>
    <w:lvl w:ilvl="3" w:tplc="37B81BBE">
      <w:numFmt w:val="decimal"/>
      <w:lvlText w:val=""/>
      <w:lvlJc w:val="left"/>
    </w:lvl>
    <w:lvl w:ilvl="4" w:tplc="93780D7A">
      <w:numFmt w:val="decimal"/>
      <w:lvlText w:val=""/>
      <w:lvlJc w:val="left"/>
    </w:lvl>
    <w:lvl w:ilvl="5" w:tplc="7610BF02">
      <w:numFmt w:val="decimal"/>
      <w:lvlText w:val=""/>
      <w:lvlJc w:val="left"/>
    </w:lvl>
    <w:lvl w:ilvl="6" w:tplc="34B20128">
      <w:numFmt w:val="decimal"/>
      <w:lvlText w:val=""/>
      <w:lvlJc w:val="left"/>
    </w:lvl>
    <w:lvl w:ilvl="7" w:tplc="9B58E942">
      <w:numFmt w:val="decimal"/>
      <w:lvlText w:val=""/>
      <w:lvlJc w:val="left"/>
    </w:lvl>
    <w:lvl w:ilvl="8" w:tplc="3432BE90">
      <w:numFmt w:val="decimal"/>
      <w:lvlText w:val=""/>
      <w:lvlJc w:val="left"/>
    </w:lvl>
  </w:abstractNum>
  <w:abstractNum w:abstractNumId="17" w15:restartNumberingAfterBreak="0">
    <w:nsid w:val="7E73689B"/>
    <w:multiLevelType w:val="hybridMultilevel"/>
    <w:tmpl w:val="C624D4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7"/>
  </w:num>
  <w:num w:numId="3">
    <w:abstractNumId w:val="4"/>
  </w:num>
  <w:num w:numId="4">
    <w:abstractNumId w:val="16"/>
  </w:num>
  <w:num w:numId="5">
    <w:abstractNumId w:val="2"/>
  </w:num>
  <w:num w:numId="6">
    <w:abstractNumId w:val="9"/>
  </w:num>
  <w:num w:numId="7">
    <w:abstractNumId w:val="6"/>
  </w:num>
  <w:num w:numId="8">
    <w:abstractNumId w:val="11"/>
  </w:num>
  <w:num w:numId="9">
    <w:abstractNumId w:val="1"/>
  </w:num>
  <w:num w:numId="10">
    <w:abstractNumId w:val="14"/>
  </w:num>
  <w:num w:numId="11">
    <w:abstractNumId w:val="12"/>
  </w:num>
  <w:num w:numId="12">
    <w:abstractNumId w:val="5"/>
  </w:num>
  <w:num w:numId="13">
    <w:abstractNumId w:val="3"/>
  </w:num>
  <w:num w:numId="14">
    <w:abstractNumId w:val="15"/>
  </w:num>
  <w:num w:numId="15">
    <w:abstractNumId w:val="8"/>
  </w:num>
  <w:num w:numId="16">
    <w:abstractNumId w:val="17"/>
  </w:num>
  <w:num w:numId="17">
    <w:abstractNumId w:val="13"/>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D39"/>
    <w:rsid w:val="0000120D"/>
    <w:rsid w:val="00011843"/>
    <w:rsid w:val="00014F7C"/>
    <w:rsid w:val="00020610"/>
    <w:rsid w:val="0002071B"/>
    <w:rsid w:val="00030F34"/>
    <w:rsid w:val="000320D1"/>
    <w:rsid w:val="00033175"/>
    <w:rsid w:val="000332CA"/>
    <w:rsid w:val="00033644"/>
    <w:rsid w:val="0003687E"/>
    <w:rsid w:val="00037525"/>
    <w:rsid w:val="000412C5"/>
    <w:rsid w:val="000438B8"/>
    <w:rsid w:val="00044629"/>
    <w:rsid w:val="000505AB"/>
    <w:rsid w:val="00052986"/>
    <w:rsid w:val="00060384"/>
    <w:rsid w:val="0006107F"/>
    <w:rsid w:val="00064602"/>
    <w:rsid w:val="00073215"/>
    <w:rsid w:val="00073D0F"/>
    <w:rsid w:val="00081062"/>
    <w:rsid w:val="0008377C"/>
    <w:rsid w:val="000837ED"/>
    <w:rsid w:val="00083818"/>
    <w:rsid w:val="00083DBA"/>
    <w:rsid w:val="0009032C"/>
    <w:rsid w:val="000A17F2"/>
    <w:rsid w:val="000A4D35"/>
    <w:rsid w:val="000A6018"/>
    <w:rsid w:val="000B0C3D"/>
    <w:rsid w:val="000B2EB7"/>
    <w:rsid w:val="000B663F"/>
    <w:rsid w:val="000B7796"/>
    <w:rsid w:val="000C473C"/>
    <w:rsid w:val="000C74A3"/>
    <w:rsid w:val="000D1296"/>
    <w:rsid w:val="000D23AC"/>
    <w:rsid w:val="000E0572"/>
    <w:rsid w:val="000E3022"/>
    <w:rsid w:val="000F1EBE"/>
    <w:rsid w:val="000F4423"/>
    <w:rsid w:val="000F55B2"/>
    <w:rsid w:val="00101568"/>
    <w:rsid w:val="001019DF"/>
    <w:rsid w:val="00103274"/>
    <w:rsid w:val="00106F37"/>
    <w:rsid w:val="001073B1"/>
    <w:rsid w:val="00113610"/>
    <w:rsid w:val="00113C60"/>
    <w:rsid w:val="00114010"/>
    <w:rsid w:val="00116BB8"/>
    <w:rsid w:val="0012366D"/>
    <w:rsid w:val="00127503"/>
    <w:rsid w:val="001300A9"/>
    <w:rsid w:val="00132889"/>
    <w:rsid w:val="00134274"/>
    <w:rsid w:val="0013443D"/>
    <w:rsid w:val="00134D64"/>
    <w:rsid w:val="001353AC"/>
    <w:rsid w:val="00140550"/>
    <w:rsid w:val="00141E07"/>
    <w:rsid w:val="001502CB"/>
    <w:rsid w:val="0015054F"/>
    <w:rsid w:val="00152605"/>
    <w:rsid w:val="00155AE9"/>
    <w:rsid w:val="00156752"/>
    <w:rsid w:val="00157A70"/>
    <w:rsid w:val="00160095"/>
    <w:rsid w:val="00163F12"/>
    <w:rsid w:val="00164DB6"/>
    <w:rsid w:val="0016607C"/>
    <w:rsid w:val="00172476"/>
    <w:rsid w:val="001728C6"/>
    <w:rsid w:val="00175569"/>
    <w:rsid w:val="00176C6C"/>
    <w:rsid w:val="00180092"/>
    <w:rsid w:val="001807EA"/>
    <w:rsid w:val="0018177D"/>
    <w:rsid w:val="001820ED"/>
    <w:rsid w:val="00182A63"/>
    <w:rsid w:val="00182CBE"/>
    <w:rsid w:val="001839C8"/>
    <w:rsid w:val="00183D39"/>
    <w:rsid w:val="0018660E"/>
    <w:rsid w:val="0018773C"/>
    <w:rsid w:val="00195773"/>
    <w:rsid w:val="001A142B"/>
    <w:rsid w:val="001A2DBE"/>
    <w:rsid w:val="001A69A7"/>
    <w:rsid w:val="001A7207"/>
    <w:rsid w:val="001A793A"/>
    <w:rsid w:val="001B3FB1"/>
    <w:rsid w:val="001B4DBC"/>
    <w:rsid w:val="001B5F8C"/>
    <w:rsid w:val="001B7649"/>
    <w:rsid w:val="001B7BAA"/>
    <w:rsid w:val="001C135D"/>
    <w:rsid w:val="001C1EB7"/>
    <w:rsid w:val="001C2815"/>
    <w:rsid w:val="001C2C3F"/>
    <w:rsid w:val="001C7A35"/>
    <w:rsid w:val="001D2D65"/>
    <w:rsid w:val="001D49C1"/>
    <w:rsid w:val="001D78DD"/>
    <w:rsid w:val="001E3F00"/>
    <w:rsid w:val="001E5DA3"/>
    <w:rsid w:val="001F0502"/>
    <w:rsid w:val="001F2E19"/>
    <w:rsid w:val="001F4AF0"/>
    <w:rsid w:val="001F7BA1"/>
    <w:rsid w:val="0020059C"/>
    <w:rsid w:val="00202DDF"/>
    <w:rsid w:val="00203276"/>
    <w:rsid w:val="00203AA5"/>
    <w:rsid w:val="0022270D"/>
    <w:rsid w:val="002253D0"/>
    <w:rsid w:val="002273DB"/>
    <w:rsid w:val="00231AF1"/>
    <w:rsid w:val="00232C69"/>
    <w:rsid w:val="00233D68"/>
    <w:rsid w:val="00241C11"/>
    <w:rsid w:val="00241C73"/>
    <w:rsid w:val="00241E1F"/>
    <w:rsid w:val="002448AC"/>
    <w:rsid w:val="002451E2"/>
    <w:rsid w:val="00245FB5"/>
    <w:rsid w:val="00247A4A"/>
    <w:rsid w:val="0025243B"/>
    <w:rsid w:val="00253BC5"/>
    <w:rsid w:val="00257EA0"/>
    <w:rsid w:val="002637E5"/>
    <w:rsid w:val="0026549A"/>
    <w:rsid w:val="0027430F"/>
    <w:rsid w:val="0027662B"/>
    <w:rsid w:val="0028141D"/>
    <w:rsid w:val="00283B9B"/>
    <w:rsid w:val="00284795"/>
    <w:rsid w:val="0028736B"/>
    <w:rsid w:val="00290000"/>
    <w:rsid w:val="002944E0"/>
    <w:rsid w:val="00295EC6"/>
    <w:rsid w:val="002A1F8C"/>
    <w:rsid w:val="002A3B2B"/>
    <w:rsid w:val="002A4B95"/>
    <w:rsid w:val="002A68A0"/>
    <w:rsid w:val="002B1586"/>
    <w:rsid w:val="002B186C"/>
    <w:rsid w:val="002B3D34"/>
    <w:rsid w:val="002B414A"/>
    <w:rsid w:val="002B43BA"/>
    <w:rsid w:val="002B5778"/>
    <w:rsid w:val="002B6977"/>
    <w:rsid w:val="002C01E9"/>
    <w:rsid w:val="002C5440"/>
    <w:rsid w:val="002D02B7"/>
    <w:rsid w:val="002D0DA1"/>
    <w:rsid w:val="002D14DC"/>
    <w:rsid w:val="002D78AE"/>
    <w:rsid w:val="002E5A7A"/>
    <w:rsid w:val="002E5D97"/>
    <w:rsid w:val="002F19CB"/>
    <w:rsid w:val="002F651B"/>
    <w:rsid w:val="002F73BC"/>
    <w:rsid w:val="00301138"/>
    <w:rsid w:val="0030374B"/>
    <w:rsid w:val="00303E9D"/>
    <w:rsid w:val="00304358"/>
    <w:rsid w:val="0030505C"/>
    <w:rsid w:val="00305418"/>
    <w:rsid w:val="00305630"/>
    <w:rsid w:val="003076D8"/>
    <w:rsid w:val="00310C81"/>
    <w:rsid w:val="00314803"/>
    <w:rsid w:val="00315FB4"/>
    <w:rsid w:val="0031634A"/>
    <w:rsid w:val="00317B32"/>
    <w:rsid w:val="00320437"/>
    <w:rsid w:val="003228ED"/>
    <w:rsid w:val="00325880"/>
    <w:rsid w:val="00326497"/>
    <w:rsid w:val="00327145"/>
    <w:rsid w:val="00327E95"/>
    <w:rsid w:val="00332739"/>
    <w:rsid w:val="003337AD"/>
    <w:rsid w:val="00337435"/>
    <w:rsid w:val="0034006B"/>
    <w:rsid w:val="003434AF"/>
    <w:rsid w:val="003441C5"/>
    <w:rsid w:val="003470E2"/>
    <w:rsid w:val="00347D7F"/>
    <w:rsid w:val="0035407A"/>
    <w:rsid w:val="00354B5A"/>
    <w:rsid w:val="00355922"/>
    <w:rsid w:val="003563A3"/>
    <w:rsid w:val="00357FE9"/>
    <w:rsid w:val="00360543"/>
    <w:rsid w:val="00361118"/>
    <w:rsid w:val="00361EE7"/>
    <w:rsid w:val="003662F6"/>
    <w:rsid w:val="00366B0C"/>
    <w:rsid w:val="00372ED0"/>
    <w:rsid w:val="003827FA"/>
    <w:rsid w:val="003850B4"/>
    <w:rsid w:val="003851FA"/>
    <w:rsid w:val="00386622"/>
    <w:rsid w:val="00386F5C"/>
    <w:rsid w:val="003A091C"/>
    <w:rsid w:val="003A2F63"/>
    <w:rsid w:val="003A6739"/>
    <w:rsid w:val="003A6A35"/>
    <w:rsid w:val="003B0AAB"/>
    <w:rsid w:val="003B3662"/>
    <w:rsid w:val="003B5744"/>
    <w:rsid w:val="003C2104"/>
    <w:rsid w:val="003C2AF4"/>
    <w:rsid w:val="003C6924"/>
    <w:rsid w:val="003D0757"/>
    <w:rsid w:val="003D0B26"/>
    <w:rsid w:val="003D3E8D"/>
    <w:rsid w:val="003E152D"/>
    <w:rsid w:val="003E7F40"/>
    <w:rsid w:val="003F02DA"/>
    <w:rsid w:val="003F1A5D"/>
    <w:rsid w:val="003F449B"/>
    <w:rsid w:val="003F68DF"/>
    <w:rsid w:val="00403415"/>
    <w:rsid w:val="00403865"/>
    <w:rsid w:val="00411B3E"/>
    <w:rsid w:val="004129CD"/>
    <w:rsid w:val="00413856"/>
    <w:rsid w:val="00416362"/>
    <w:rsid w:val="00416638"/>
    <w:rsid w:val="004166CE"/>
    <w:rsid w:val="00424578"/>
    <w:rsid w:val="00434902"/>
    <w:rsid w:val="00437E9F"/>
    <w:rsid w:val="004409F3"/>
    <w:rsid w:val="00452795"/>
    <w:rsid w:val="00455C0F"/>
    <w:rsid w:val="00463B66"/>
    <w:rsid w:val="0046431C"/>
    <w:rsid w:val="004646FE"/>
    <w:rsid w:val="00465E3A"/>
    <w:rsid w:val="00466ED3"/>
    <w:rsid w:val="0046759A"/>
    <w:rsid w:val="0048310F"/>
    <w:rsid w:val="004842F4"/>
    <w:rsid w:val="00493C00"/>
    <w:rsid w:val="004A381D"/>
    <w:rsid w:val="004A7D5A"/>
    <w:rsid w:val="004B47CC"/>
    <w:rsid w:val="004B4F44"/>
    <w:rsid w:val="004C3C74"/>
    <w:rsid w:val="004C4948"/>
    <w:rsid w:val="004C7138"/>
    <w:rsid w:val="004D07C9"/>
    <w:rsid w:val="004D4B48"/>
    <w:rsid w:val="004D596C"/>
    <w:rsid w:val="004D6E85"/>
    <w:rsid w:val="004E10AB"/>
    <w:rsid w:val="004E1D16"/>
    <w:rsid w:val="004E6038"/>
    <w:rsid w:val="004E63A7"/>
    <w:rsid w:val="004E64EB"/>
    <w:rsid w:val="004E6947"/>
    <w:rsid w:val="004F2D03"/>
    <w:rsid w:val="004F712D"/>
    <w:rsid w:val="004F7334"/>
    <w:rsid w:val="00500C54"/>
    <w:rsid w:val="005025EC"/>
    <w:rsid w:val="005033F7"/>
    <w:rsid w:val="00504B88"/>
    <w:rsid w:val="00505422"/>
    <w:rsid w:val="005054B2"/>
    <w:rsid w:val="00512DE1"/>
    <w:rsid w:val="0051593B"/>
    <w:rsid w:val="00516382"/>
    <w:rsid w:val="0052230A"/>
    <w:rsid w:val="0052599D"/>
    <w:rsid w:val="005271D8"/>
    <w:rsid w:val="00530BB2"/>
    <w:rsid w:val="00541F3A"/>
    <w:rsid w:val="005449A7"/>
    <w:rsid w:val="0055163B"/>
    <w:rsid w:val="00554A17"/>
    <w:rsid w:val="00557E34"/>
    <w:rsid w:val="005649E9"/>
    <w:rsid w:val="005658CB"/>
    <w:rsid w:val="005677C6"/>
    <w:rsid w:val="00574765"/>
    <w:rsid w:val="00577315"/>
    <w:rsid w:val="00584B76"/>
    <w:rsid w:val="0058501A"/>
    <w:rsid w:val="005926EA"/>
    <w:rsid w:val="00592840"/>
    <w:rsid w:val="00595749"/>
    <w:rsid w:val="005A0EE6"/>
    <w:rsid w:val="005A1164"/>
    <w:rsid w:val="005A3226"/>
    <w:rsid w:val="005A3789"/>
    <w:rsid w:val="005A440F"/>
    <w:rsid w:val="005A7382"/>
    <w:rsid w:val="005B0344"/>
    <w:rsid w:val="005B6C84"/>
    <w:rsid w:val="005B78A9"/>
    <w:rsid w:val="005C0255"/>
    <w:rsid w:val="005C1D3A"/>
    <w:rsid w:val="005C3CD2"/>
    <w:rsid w:val="005C41F4"/>
    <w:rsid w:val="005C66A2"/>
    <w:rsid w:val="005C7214"/>
    <w:rsid w:val="005D1FA7"/>
    <w:rsid w:val="005D4A07"/>
    <w:rsid w:val="005D5E55"/>
    <w:rsid w:val="005E21C2"/>
    <w:rsid w:val="005E2FA1"/>
    <w:rsid w:val="005E7292"/>
    <w:rsid w:val="005F0197"/>
    <w:rsid w:val="005F2CAA"/>
    <w:rsid w:val="005F49EF"/>
    <w:rsid w:val="005F72BD"/>
    <w:rsid w:val="005F79C4"/>
    <w:rsid w:val="00600089"/>
    <w:rsid w:val="00600225"/>
    <w:rsid w:val="00600F24"/>
    <w:rsid w:val="0060271F"/>
    <w:rsid w:val="00605FA6"/>
    <w:rsid w:val="00610A63"/>
    <w:rsid w:val="00614102"/>
    <w:rsid w:val="006232C1"/>
    <w:rsid w:val="00623B04"/>
    <w:rsid w:val="00623C10"/>
    <w:rsid w:val="00633DA0"/>
    <w:rsid w:val="00643647"/>
    <w:rsid w:val="00645363"/>
    <w:rsid w:val="0064699E"/>
    <w:rsid w:val="00651BF3"/>
    <w:rsid w:val="006537EE"/>
    <w:rsid w:val="006540F6"/>
    <w:rsid w:val="00656BB2"/>
    <w:rsid w:val="00657DD5"/>
    <w:rsid w:val="00661114"/>
    <w:rsid w:val="0066138A"/>
    <w:rsid w:val="00664352"/>
    <w:rsid w:val="00664FBA"/>
    <w:rsid w:val="00667C77"/>
    <w:rsid w:val="00671720"/>
    <w:rsid w:val="00673158"/>
    <w:rsid w:val="00677293"/>
    <w:rsid w:val="00677C8D"/>
    <w:rsid w:val="00677CAD"/>
    <w:rsid w:val="00683BDB"/>
    <w:rsid w:val="00684225"/>
    <w:rsid w:val="00695437"/>
    <w:rsid w:val="00696AE8"/>
    <w:rsid w:val="00697456"/>
    <w:rsid w:val="00697557"/>
    <w:rsid w:val="006A1020"/>
    <w:rsid w:val="006A12F8"/>
    <w:rsid w:val="006A375E"/>
    <w:rsid w:val="006A4787"/>
    <w:rsid w:val="006A6154"/>
    <w:rsid w:val="006A7729"/>
    <w:rsid w:val="006B296C"/>
    <w:rsid w:val="006B6564"/>
    <w:rsid w:val="006B7DE7"/>
    <w:rsid w:val="006C04FF"/>
    <w:rsid w:val="006C3254"/>
    <w:rsid w:val="006C5E4A"/>
    <w:rsid w:val="006C6989"/>
    <w:rsid w:val="006D6DC5"/>
    <w:rsid w:val="006E24AC"/>
    <w:rsid w:val="006E300D"/>
    <w:rsid w:val="006E4F0E"/>
    <w:rsid w:val="006F03B6"/>
    <w:rsid w:val="006F2F9E"/>
    <w:rsid w:val="006F410C"/>
    <w:rsid w:val="006F447E"/>
    <w:rsid w:val="006F49E8"/>
    <w:rsid w:val="006F6CCC"/>
    <w:rsid w:val="00700AA8"/>
    <w:rsid w:val="00703100"/>
    <w:rsid w:val="00704D76"/>
    <w:rsid w:val="00706892"/>
    <w:rsid w:val="007072FE"/>
    <w:rsid w:val="00712D93"/>
    <w:rsid w:val="007148B0"/>
    <w:rsid w:val="00720056"/>
    <w:rsid w:val="007206AE"/>
    <w:rsid w:val="00723482"/>
    <w:rsid w:val="007263B4"/>
    <w:rsid w:val="0073009B"/>
    <w:rsid w:val="0073734A"/>
    <w:rsid w:val="007404A1"/>
    <w:rsid w:val="00740F51"/>
    <w:rsid w:val="007450F6"/>
    <w:rsid w:val="00751F45"/>
    <w:rsid w:val="00755E73"/>
    <w:rsid w:val="00756A89"/>
    <w:rsid w:val="0075791B"/>
    <w:rsid w:val="00761BFF"/>
    <w:rsid w:val="007621E8"/>
    <w:rsid w:val="00763992"/>
    <w:rsid w:val="00764B20"/>
    <w:rsid w:val="007672DB"/>
    <w:rsid w:val="00767B43"/>
    <w:rsid w:val="007709DE"/>
    <w:rsid w:val="0077186A"/>
    <w:rsid w:val="00771882"/>
    <w:rsid w:val="00772A0C"/>
    <w:rsid w:val="00773A93"/>
    <w:rsid w:val="00776A14"/>
    <w:rsid w:val="00776D19"/>
    <w:rsid w:val="007807C9"/>
    <w:rsid w:val="00787483"/>
    <w:rsid w:val="00792228"/>
    <w:rsid w:val="007A2594"/>
    <w:rsid w:val="007A761E"/>
    <w:rsid w:val="007B15F5"/>
    <w:rsid w:val="007B6259"/>
    <w:rsid w:val="007C2C26"/>
    <w:rsid w:val="007D141D"/>
    <w:rsid w:val="007D6CC6"/>
    <w:rsid w:val="007E2A98"/>
    <w:rsid w:val="007E520B"/>
    <w:rsid w:val="007F294A"/>
    <w:rsid w:val="007F6D01"/>
    <w:rsid w:val="008021B0"/>
    <w:rsid w:val="008032EF"/>
    <w:rsid w:val="0080374E"/>
    <w:rsid w:val="00805896"/>
    <w:rsid w:val="008119FD"/>
    <w:rsid w:val="00814BE9"/>
    <w:rsid w:val="0082116E"/>
    <w:rsid w:val="00822811"/>
    <w:rsid w:val="0082736D"/>
    <w:rsid w:val="0083693F"/>
    <w:rsid w:val="00842E74"/>
    <w:rsid w:val="008453CA"/>
    <w:rsid w:val="00845C59"/>
    <w:rsid w:val="00845EDC"/>
    <w:rsid w:val="008462C3"/>
    <w:rsid w:val="0085077B"/>
    <w:rsid w:val="00850C7F"/>
    <w:rsid w:val="00852056"/>
    <w:rsid w:val="008526C6"/>
    <w:rsid w:val="00853D17"/>
    <w:rsid w:val="0085560A"/>
    <w:rsid w:val="00857B45"/>
    <w:rsid w:val="0087045D"/>
    <w:rsid w:val="00870628"/>
    <w:rsid w:val="0087717F"/>
    <w:rsid w:val="00877531"/>
    <w:rsid w:val="00881E3A"/>
    <w:rsid w:val="00882FF9"/>
    <w:rsid w:val="00883BF5"/>
    <w:rsid w:val="00890881"/>
    <w:rsid w:val="008922AE"/>
    <w:rsid w:val="0089255B"/>
    <w:rsid w:val="00892C7F"/>
    <w:rsid w:val="00894BE1"/>
    <w:rsid w:val="00895CF2"/>
    <w:rsid w:val="008A3C56"/>
    <w:rsid w:val="008A4805"/>
    <w:rsid w:val="008A4963"/>
    <w:rsid w:val="008B10FE"/>
    <w:rsid w:val="008B189B"/>
    <w:rsid w:val="008B2C14"/>
    <w:rsid w:val="008B4C8C"/>
    <w:rsid w:val="008B6DD6"/>
    <w:rsid w:val="008C56BD"/>
    <w:rsid w:val="008D08F6"/>
    <w:rsid w:val="008D1E6D"/>
    <w:rsid w:val="008D27C0"/>
    <w:rsid w:val="008E79AB"/>
    <w:rsid w:val="008F0164"/>
    <w:rsid w:val="008F1BF9"/>
    <w:rsid w:val="008F39E0"/>
    <w:rsid w:val="008F5344"/>
    <w:rsid w:val="0090045D"/>
    <w:rsid w:val="0090080C"/>
    <w:rsid w:val="009037B0"/>
    <w:rsid w:val="0090478D"/>
    <w:rsid w:val="009139B5"/>
    <w:rsid w:val="00913E19"/>
    <w:rsid w:val="00916434"/>
    <w:rsid w:val="00920A21"/>
    <w:rsid w:val="009216DA"/>
    <w:rsid w:val="00922A7F"/>
    <w:rsid w:val="00924CF4"/>
    <w:rsid w:val="0092603C"/>
    <w:rsid w:val="00927478"/>
    <w:rsid w:val="00930CD1"/>
    <w:rsid w:val="00934767"/>
    <w:rsid w:val="0093589A"/>
    <w:rsid w:val="0093639A"/>
    <w:rsid w:val="00936956"/>
    <w:rsid w:val="00936ADB"/>
    <w:rsid w:val="009375F4"/>
    <w:rsid w:val="00940EAA"/>
    <w:rsid w:val="00941A2E"/>
    <w:rsid w:val="0094233D"/>
    <w:rsid w:val="00942E19"/>
    <w:rsid w:val="00944AE8"/>
    <w:rsid w:val="00944CDE"/>
    <w:rsid w:val="00946036"/>
    <w:rsid w:val="009462D2"/>
    <w:rsid w:val="00947C52"/>
    <w:rsid w:val="0095081D"/>
    <w:rsid w:val="0095148C"/>
    <w:rsid w:val="00956D5F"/>
    <w:rsid w:val="009577EB"/>
    <w:rsid w:val="0096487E"/>
    <w:rsid w:val="009719C2"/>
    <w:rsid w:val="0097372E"/>
    <w:rsid w:val="00973F3A"/>
    <w:rsid w:val="00974EA8"/>
    <w:rsid w:val="00983DA5"/>
    <w:rsid w:val="009865BC"/>
    <w:rsid w:val="009925CC"/>
    <w:rsid w:val="00993489"/>
    <w:rsid w:val="00996C42"/>
    <w:rsid w:val="00996E88"/>
    <w:rsid w:val="009976C9"/>
    <w:rsid w:val="00997C68"/>
    <w:rsid w:val="009A0631"/>
    <w:rsid w:val="009A1B79"/>
    <w:rsid w:val="009A23A9"/>
    <w:rsid w:val="009A4DE9"/>
    <w:rsid w:val="009B088E"/>
    <w:rsid w:val="009B26A8"/>
    <w:rsid w:val="009B2B2F"/>
    <w:rsid w:val="009B4798"/>
    <w:rsid w:val="009B4E88"/>
    <w:rsid w:val="009B69D3"/>
    <w:rsid w:val="009B70A4"/>
    <w:rsid w:val="009B76DD"/>
    <w:rsid w:val="009C13FB"/>
    <w:rsid w:val="009D3030"/>
    <w:rsid w:val="009D59D6"/>
    <w:rsid w:val="009D7DF2"/>
    <w:rsid w:val="009E32F5"/>
    <w:rsid w:val="009E477C"/>
    <w:rsid w:val="009E57EA"/>
    <w:rsid w:val="009F37C2"/>
    <w:rsid w:val="009F46CE"/>
    <w:rsid w:val="009F67DD"/>
    <w:rsid w:val="009F6C63"/>
    <w:rsid w:val="00A04797"/>
    <w:rsid w:val="00A1530B"/>
    <w:rsid w:val="00A21D22"/>
    <w:rsid w:val="00A2225B"/>
    <w:rsid w:val="00A236D1"/>
    <w:rsid w:val="00A31397"/>
    <w:rsid w:val="00A319AE"/>
    <w:rsid w:val="00A33E7C"/>
    <w:rsid w:val="00A37286"/>
    <w:rsid w:val="00A41026"/>
    <w:rsid w:val="00A41375"/>
    <w:rsid w:val="00A420B8"/>
    <w:rsid w:val="00A425EE"/>
    <w:rsid w:val="00A520C4"/>
    <w:rsid w:val="00A55272"/>
    <w:rsid w:val="00A57564"/>
    <w:rsid w:val="00A643EA"/>
    <w:rsid w:val="00A6587B"/>
    <w:rsid w:val="00A720DF"/>
    <w:rsid w:val="00A75B4D"/>
    <w:rsid w:val="00A80EEB"/>
    <w:rsid w:val="00A81984"/>
    <w:rsid w:val="00A821CD"/>
    <w:rsid w:val="00A9474C"/>
    <w:rsid w:val="00AA148D"/>
    <w:rsid w:val="00AA1D57"/>
    <w:rsid w:val="00AA5603"/>
    <w:rsid w:val="00AA7ED2"/>
    <w:rsid w:val="00AC2CC0"/>
    <w:rsid w:val="00AC38FE"/>
    <w:rsid w:val="00AC3D65"/>
    <w:rsid w:val="00AC4465"/>
    <w:rsid w:val="00AC69DE"/>
    <w:rsid w:val="00AD2332"/>
    <w:rsid w:val="00AD4844"/>
    <w:rsid w:val="00AD661A"/>
    <w:rsid w:val="00AD6B24"/>
    <w:rsid w:val="00AD71DC"/>
    <w:rsid w:val="00AE00E8"/>
    <w:rsid w:val="00AF1BC7"/>
    <w:rsid w:val="00AF1CD9"/>
    <w:rsid w:val="00AF70A0"/>
    <w:rsid w:val="00B05348"/>
    <w:rsid w:val="00B058C1"/>
    <w:rsid w:val="00B104B7"/>
    <w:rsid w:val="00B128A5"/>
    <w:rsid w:val="00B12D33"/>
    <w:rsid w:val="00B14C40"/>
    <w:rsid w:val="00B17445"/>
    <w:rsid w:val="00B27FF1"/>
    <w:rsid w:val="00B31108"/>
    <w:rsid w:val="00B327B4"/>
    <w:rsid w:val="00B3334F"/>
    <w:rsid w:val="00B3669D"/>
    <w:rsid w:val="00B3672E"/>
    <w:rsid w:val="00B37E84"/>
    <w:rsid w:val="00B40AA9"/>
    <w:rsid w:val="00B46321"/>
    <w:rsid w:val="00B52A32"/>
    <w:rsid w:val="00B56058"/>
    <w:rsid w:val="00B62033"/>
    <w:rsid w:val="00B62B66"/>
    <w:rsid w:val="00B62EED"/>
    <w:rsid w:val="00B6411D"/>
    <w:rsid w:val="00B654E1"/>
    <w:rsid w:val="00B666DB"/>
    <w:rsid w:val="00B70AC2"/>
    <w:rsid w:val="00B73A6F"/>
    <w:rsid w:val="00B749B0"/>
    <w:rsid w:val="00B75858"/>
    <w:rsid w:val="00B77E9C"/>
    <w:rsid w:val="00B85660"/>
    <w:rsid w:val="00B86E2C"/>
    <w:rsid w:val="00B870AD"/>
    <w:rsid w:val="00B908A3"/>
    <w:rsid w:val="00B92CB8"/>
    <w:rsid w:val="00B92EDC"/>
    <w:rsid w:val="00B956BE"/>
    <w:rsid w:val="00BA3B8F"/>
    <w:rsid w:val="00BA779D"/>
    <w:rsid w:val="00BB1AAF"/>
    <w:rsid w:val="00BB2CA1"/>
    <w:rsid w:val="00BB6D2E"/>
    <w:rsid w:val="00BB75CF"/>
    <w:rsid w:val="00BC0DE9"/>
    <w:rsid w:val="00BC555D"/>
    <w:rsid w:val="00BC65FC"/>
    <w:rsid w:val="00BC69B9"/>
    <w:rsid w:val="00BD6C23"/>
    <w:rsid w:val="00BD7D79"/>
    <w:rsid w:val="00BE1160"/>
    <w:rsid w:val="00BF0AB0"/>
    <w:rsid w:val="00BF19EE"/>
    <w:rsid w:val="00BF2C21"/>
    <w:rsid w:val="00BF3B83"/>
    <w:rsid w:val="00BF4DF2"/>
    <w:rsid w:val="00C00C27"/>
    <w:rsid w:val="00C03DEE"/>
    <w:rsid w:val="00C1497A"/>
    <w:rsid w:val="00C170F3"/>
    <w:rsid w:val="00C201AE"/>
    <w:rsid w:val="00C20A70"/>
    <w:rsid w:val="00C216D8"/>
    <w:rsid w:val="00C21D83"/>
    <w:rsid w:val="00C2629C"/>
    <w:rsid w:val="00C313FA"/>
    <w:rsid w:val="00C3147A"/>
    <w:rsid w:val="00C31BF5"/>
    <w:rsid w:val="00C32D7B"/>
    <w:rsid w:val="00C32E45"/>
    <w:rsid w:val="00C33AED"/>
    <w:rsid w:val="00C36F3F"/>
    <w:rsid w:val="00C37F23"/>
    <w:rsid w:val="00C40FD3"/>
    <w:rsid w:val="00C469AA"/>
    <w:rsid w:val="00C5229C"/>
    <w:rsid w:val="00C633DB"/>
    <w:rsid w:val="00C6579B"/>
    <w:rsid w:val="00C66FDC"/>
    <w:rsid w:val="00C67345"/>
    <w:rsid w:val="00C77B8B"/>
    <w:rsid w:val="00C8073A"/>
    <w:rsid w:val="00C872CB"/>
    <w:rsid w:val="00C91393"/>
    <w:rsid w:val="00C94212"/>
    <w:rsid w:val="00C95DDA"/>
    <w:rsid w:val="00CB06C3"/>
    <w:rsid w:val="00CB06DC"/>
    <w:rsid w:val="00CB1650"/>
    <w:rsid w:val="00CB49A4"/>
    <w:rsid w:val="00CB670F"/>
    <w:rsid w:val="00CC78CE"/>
    <w:rsid w:val="00CD0CD6"/>
    <w:rsid w:val="00CD15A8"/>
    <w:rsid w:val="00CD368D"/>
    <w:rsid w:val="00CD48A6"/>
    <w:rsid w:val="00CE3721"/>
    <w:rsid w:val="00CE46FF"/>
    <w:rsid w:val="00CF381B"/>
    <w:rsid w:val="00CF3FA6"/>
    <w:rsid w:val="00CF7551"/>
    <w:rsid w:val="00D003AA"/>
    <w:rsid w:val="00D00647"/>
    <w:rsid w:val="00D03223"/>
    <w:rsid w:val="00D04356"/>
    <w:rsid w:val="00D057CD"/>
    <w:rsid w:val="00D05A41"/>
    <w:rsid w:val="00D0704A"/>
    <w:rsid w:val="00D158A9"/>
    <w:rsid w:val="00D206EA"/>
    <w:rsid w:val="00D33E9D"/>
    <w:rsid w:val="00D345F1"/>
    <w:rsid w:val="00D35465"/>
    <w:rsid w:val="00D360E1"/>
    <w:rsid w:val="00D40D1A"/>
    <w:rsid w:val="00D40EA4"/>
    <w:rsid w:val="00D414DA"/>
    <w:rsid w:val="00D55AC2"/>
    <w:rsid w:val="00D61F7A"/>
    <w:rsid w:val="00D651AF"/>
    <w:rsid w:val="00D666C3"/>
    <w:rsid w:val="00D66874"/>
    <w:rsid w:val="00D6745D"/>
    <w:rsid w:val="00D72859"/>
    <w:rsid w:val="00D80BEF"/>
    <w:rsid w:val="00D861F7"/>
    <w:rsid w:val="00D90269"/>
    <w:rsid w:val="00D91FB1"/>
    <w:rsid w:val="00D951D4"/>
    <w:rsid w:val="00D956F6"/>
    <w:rsid w:val="00DA48B7"/>
    <w:rsid w:val="00DA50BB"/>
    <w:rsid w:val="00DA55FF"/>
    <w:rsid w:val="00DA6301"/>
    <w:rsid w:val="00DA6BB7"/>
    <w:rsid w:val="00DA70E3"/>
    <w:rsid w:val="00DA72BA"/>
    <w:rsid w:val="00DB084D"/>
    <w:rsid w:val="00DB0CDB"/>
    <w:rsid w:val="00DB5B61"/>
    <w:rsid w:val="00DB6E52"/>
    <w:rsid w:val="00DC0A34"/>
    <w:rsid w:val="00DC35FF"/>
    <w:rsid w:val="00DD0BCE"/>
    <w:rsid w:val="00DD1AB6"/>
    <w:rsid w:val="00DD2E3B"/>
    <w:rsid w:val="00DD3543"/>
    <w:rsid w:val="00DD5A36"/>
    <w:rsid w:val="00DD65EF"/>
    <w:rsid w:val="00DE0C43"/>
    <w:rsid w:val="00DE1906"/>
    <w:rsid w:val="00DE7B63"/>
    <w:rsid w:val="00DF1B53"/>
    <w:rsid w:val="00DF6F9A"/>
    <w:rsid w:val="00E014CA"/>
    <w:rsid w:val="00E0354C"/>
    <w:rsid w:val="00E104FF"/>
    <w:rsid w:val="00E10B92"/>
    <w:rsid w:val="00E131BE"/>
    <w:rsid w:val="00E13884"/>
    <w:rsid w:val="00E13E97"/>
    <w:rsid w:val="00E17F69"/>
    <w:rsid w:val="00E202DC"/>
    <w:rsid w:val="00E21F1B"/>
    <w:rsid w:val="00E26B3D"/>
    <w:rsid w:val="00E27C53"/>
    <w:rsid w:val="00E305D3"/>
    <w:rsid w:val="00E30CA2"/>
    <w:rsid w:val="00E31DA6"/>
    <w:rsid w:val="00E35FFB"/>
    <w:rsid w:val="00E44914"/>
    <w:rsid w:val="00E51BFE"/>
    <w:rsid w:val="00E5354F"/>
    <w:rsid w:val="00E54DDB"/>
    <w:rsid w:val="00E56772"/>
    <w:rsid w:val="00E571C6"/>
    <w:rsid w:val="00E616B3"/>
    <w:rsid w:val="00E61C7D"/>
    <w:rsid w:val="00E64EAA"/>
    <w:rsid w:val="00E6515C"/>
    <w:rsid w:val="00E66E69"/>
    <w:rsid w:val="00E66F50"/>
    <w:rsid w:val="00E7182F"/>
    <w:rsid w:val="00E75150"/>
    <w:rsid w:val="00E753E8"/>
    <w:rsid w:val="00E766E9"/>
    <w:rsid w:val="00E85166"/>
    <w:rsid w:val="00E863D5"/>
    <w:rsid w:val="00E87ACB"/>
    <w:rsid w:val="00E96100"/>
    <w:rsid w:val="00E9722E"/>
    <w:rsid w:val="00E978AD"/>
    <w:rsid w:val="00EA1A7C"/>
    <w:rsid w:val="00EA26CE"/>
    <w:rsid w:val="00EA39F0"/>
    <w:rsid w:val="00EB737E"/>
    <w:rsid w:val="00EC12E2"/>
    <w:rsid w:val="00EC34DB"/>
    <w:rsid w:val="00EC3E38"/>
    <w:rsid w:val="00EC706B"/>
    <w:rsid w:val="00ED24C1"/>
    <w:rsid w:val="00ED2B9E"/>
    <w:rsid w:val="00EE3B56"/>
    <w:rsid w:val="00EE42A0"/>
    <w:rsid w:val="00EE4510"/>
    <w:rsid w:val="00EF664A"/>
    <w:rsid w:val="00EF77B8"/>
    <w:rsid w:val="00F00C47"/>
    <w:rsid w:val="00F0447B"/>
    <w:rsid w:val="00F14E50"/>
    <w:rsid w:val="00F274AD"/>
    <w:rsid w:val="00F350B5"/>
    <w:rsid w:val="00F37B0E"/>
    <w:rsid w:val="00F429D7"/>
    <w:rsid w:val="00F446B9"/>
    <w:rsid w:val="00F4658E"/>
    <w:rsid w:val="00F51159"/>
    <w:rsid w:val="00F63636"/>
    <w:rsid w:val="00F642D5"/>
    <w:rsid w:val="00F73227"/>
    <w:rsid w:val="00F866B6"/>
    <w:rsid w:val="00F92018"/>
    <w:rsid w:val="00F926C4"/>
    <w:rsid w:val="00F96C13"/>
    <w:rsid w:val="00FA0ACA"/>
    <w:rsid w:val="00FA45F8"/>
    <w:rsid w:val="00FB1176"/>
    <w:rsid w:val="00FB2514"/>
    <w:rsid w:val="00FB459F"/>
    <w:rsid w:val="00FC0D36"/>
    <w:rsid w:val="00FC182A"/>
    <w:rsid w:val="00FC2E9D"/>
    <w:rsid w:val="00FC32F3"/>
    <w:rsid w:val="00FC427A"/>
    <w:rsid w:val="00FC4304"/>
    <w:rsid w:val="00FC4456"/>
    <w:rsid w:val="00FC6D8A"/>
    <w:rsid w:val="00FC7791"/>
    <w:rsid w:val="00FD2E4D"/>
    <w:rsid w:val="00FD603B"/>
    <w:rsid w:val="00FD6C8B"/>
    <w:rsid w:val="00FD720A"/>
    <w:rsid w:val="00FE1C6F"/>
    <w:rsid w:val="00FE2630"/>
    <w:rsid w:val="00FE2ECD"/>
    <w:rsid w:val="00FE4CB4"/>
    <w:rsid w:val="00FF0A91"/>
    <w:rsid w:val="00FF3106"/>
    <w:rsid w:val="00FF322E"/>
    <w:rsid w:val="00FF51DD"/>
    <w:rsid w:val="01716CBB"/>
    <w:rsid w:val="029A3BF7"/>
    <w:rsid w:val="02F84C62"/>
    <w:rsid w:val="038FFE72"/>
    <w:rsid w:val="0473AE34"/>
    <w:rsid w:val="04A45431"/>
    <w:rsid w:val="04B46018"/>
    <w:rsid w:val="04D8788F"/>
    <w:rsid w:val="052928F2"/>
    <w:rsid w:val="05FADE0A"/>
    <w:rsid w:val="066E5C17"/>
    <w:rsid w:val="06C4F953"/>
    <w:rsid w:val="06DFE818"/>
    <w:rsid w:val="0771A4CE"/>
    <w:rsid w:val="08077416"/>
    <w:rsid w:val="08C74FD9"/>
    <w:rsid w:val="091F8E44"/>
    <w:rsid w:val="093610CB"/>
    <w:rsid w:val="0A099DEB"/>
    <w:rsid w:val="0AC2FDC0"/>
    <w:rsid w:val="0B8B1758"/>
    <w:rsid w:val="0D091181"/>
    <w:rsid w:val="0D0DF6CF"/>
    <w:rsid w:val="0D5E28BB"/>
    <w:rsid w:val="0DC29630"/>
    <w:rsid w:val="0E50034A"/>
    <w:rsid w:val="0EE4DF5D"/>
    <w:rsid w:val="0F5F7508"/>
    <w:rsid w:val="10D29738"/>
    <w:rsid w:val="110C93F4"/>
    <w:rsid w:val="11287143"/>
    <w:rsid w:val="115F74FF"/>
    <w:rsid w:val="1261F84A"/>
    <w:rsid w:val="127ADF44"/>
    <w:rsid w:val="12AA2ABD"/>
    <w:rsid w:val="12C8DD8C"/>
    <w:rsid w:val="130B7317"/>
    <w:rsid w:val="14227674"/>
    <w:rsid w:val="14462431"/>
    <w:rsid w:val="1446B1CA"/>
    <w:rsid w:val="1499E52F"/>
    <w:rsid w:val="14B409AB"/>
    <w:rsid w:val="1635778C"/>
    <w:rsid w:val="168A89DE"/>
    <w:rsid w:val="177221B6"/>
    <w:rsid w:val="1869E756"/>
    <w:rsid w:val="194B7009"/>
    <w:rsid w:val="19949E55"/>
    <w:rsid w:val="19C575BE"/>
    <w:rsid w:val="19DFE23B"/>
    <w:rsid w:val="1A238366"/>
    <w:rsid w:val="1A974EE8"/>
    <w:rsid w:val="1ABA10E0"/>
    <w:rsid w:val="1B0B920C"/>
    <w:rsid w:val="1B61461F"/>
    <w:rsid w:val="1CB1C69D"/>
    <w:rsid w:val="1CCF26AC"/>
    <w:rsid w:val="1CD359A5"/>
    <w:rsid w:val="1CE40BA1"/>
    <w:rsid w:val="1CF9A2BC"/>
    <w:rsid w:val="1F55DF9A"/>
    <w:rsid w:val="1F651808"/>
    <w:rsid w:val="20736A6D"/>
    <w:rsid w:val="20B8F18A"/>
    <w:rsid w:val="21698553"/>
    <w:rsid w:val="220F3ACE"/>
    <w:rsid w:val="2329C883"/>
    <w:rsid w:val="2495B3F8"/>
    <w:rsid w:val="24CC8EA3"/>
    <w:rsid w:val="255D5E0C"/>
    <w:rsid w:val="25B8417E"/>
    <w:rsid w:val="266B0585"/>
    <w:rsid w:val="27514F55"/>
    <w:rsid w:val="27B98786"/>
    <w:rsid w:val="28ACEC27"/>
    <w:rsid w:val="298C63C1"/>
    <w:rsid w:val="2A3690D7"/>
    <w:rsid w:val="2A491E16"/>
    <w:rsid w:val="2A89DCF5"/>
    <w:rsid w:val="2B249222"/>
    <w:rsid w:val="2B283422"/>
    <w:rsid w:val="2B3074AE"/>
    <w:rsid w:val="2BC35EC1"/>
    <w:rsid w:val="2BEBE304"/>
    <w:rsid w:val="2C2464E6"/>
    <w:rsid w:val="2C565A6D"/>
    <w:rsid w:val="2C6E3AB2"/>
    <w:rsid w:val="2C7075FD"/>
    <w:rsid w:val="2D80BED8"/>
    <w:rsid w:val="2DED7BC6"/>
    <w:rsid w:val="2E5C32E4"/>
    <w:rsid w:val="2E7B31ED"/>
    <w:rsid w:val="2E7FEF96"/>
    <w:rsid w:val="2F3185D5"/>
    <w:rsid w:val="2FB057E7"/>
    <w:rsid w:val="3070E380"/>
    <w:rsid w:val="30764428"/>
    <w:rsid w:val="30BF9204"/>
    <w:rsid w:val="30F38DB6"/>
    <w:rsid w:val="3250A6AF"/>
    <w:rsid w:val="326A22B6"/>
    <w:rsid w:val="33B5AE86"/>
    <w:rsid w:val="349D5E09"/>
    <w:rsid w:val="353CC5E4"/>
    <w:rsid w:val="36FBEB82"/>
    <w:rsid w:val="37AB0948"/>
    <w:rsid w:val="37ED8ECD"/>
    <w:rsid w:val="37FA6D37"/>
    <w:rsid w:val="39942275"/>
    <w:rsid w:val="39CD272D"/>
    <w:rsid w:val="39FCB8AE"/>
    <w:rsid w:val="3A597639"/>
    <w:rsid w:val="3B218D8F"/>
    <w:rsid w:val="3B88F9AE"/>
    <w:rsid w:val="3C1104FC"/>
    <w:rsid w:val="3C13A128"/>
    <w:rsid w:val="3C18F282"/>
    <w:rsid w:val="3D83AD19"/>
    <w:rsid w:val="3E4C74C3"/>
    <w:rsid w:val="3E6E7418"/>
    <w:rsid w:val="3E77E739"/>
    <w:rsid w:val="3EB4CAB0"/>
    <w:rsid w:val="3EF2A328"/>
    <w:rsid w:val="3F1DD377"/>
    <w:rsid w:val="40DD6248"/>
    <w:rsid w:val="42279802"/>
    <w:rsid w:val="433ACAC5"/>
    <w:rsid w:val="43CEB98D"/>
    <w:rsid w:val="447C95CA"/>
    <w:rsid w:val="4487B547"/>
    <w:rsid w:val="448A3EB1"/>
    <w:rsid w:val="470DD604"/>
    <w:rsid w:val="472002C9"/>
    <w:rsid w:val="4787879E"/>
    <w:rsid w:val="490D973C"/>
    <w:rsid w:val="4922D82B"/>
    <w:rsid w:val="49A18388"/>
    <w:rsid w:val="49FBDF2A"/>
    <w:rsid w:val="4A9345EB"/>
    <w:rsid w:val="4C7E196E"/>
    <w:rsid w:val="4DE6786F"/>
    <w:rsid w:val="4E6CE0E0"/>
    <w:rsid w:val="4FA4B1FE"/>
    <w:rsid w:val="504151A4"/>
    <w:rsid w:val="50BB334C"/>
    <w:rsid w:val="50CBB80C"/>
    <w:rsid w:val="5140825F"/>
    <w:rsid w:val="5195B806"/>
    <w:rsid w:val="52040BF3"/>
    <w:rsid w:val="52D5D1BF"/>
    <w:rsid w:val="538E15E8"/>
    <w:rsid w:val="538E78C3"/>
    <w:rsid w:val="54945954"/>
    <w:rsid w:val="55445448"/>
    <w:rsid w:val="56C9BB85"/>
    <w:rsid w:val="57AC084A"/>
    <w:rsid w:val="57AFC3E3"/>
    <w:rsid w:val="588EE745"/>
    <w:rsid w:val="58CEDE83"/>
    <w:rsid w:val="5A1A8729"/>
    <w:rsid w:val="5A904158"/>
    <w:rsid w:val="5AF944B8"/>
    <w:rsid w:val="5B2A9A83"/>
    <w:rsid w:val="5B977888"/>
    <w:rsid w:val="5C4D54D6"/>
    <w:rsid w:val="5CDD7979"/>
    <w:rsid w:val="5DB312C1"/>
    <w:rsid w:val="5E5433F0"/>
    <w:rsid w:val="5E6DDD52"/>
    <w:rsid w:val="5FE4A184"/>
    <w:rsid w:val="600E6A84"/>
    <w:rsid w:val="60A8EC6F"/>
    <w:rsid w:val="615CA957"/>
    <w:rsid w:val="61C42AB7"/>
    <w:rsid w:val="629F46E5"/>
    <w:rsid w:val="62BCD115"/>
    <w:rsid w:val="6359BB1A"/>
    <w:rsid w:val="63F5BCCD"/>
    <w:rsid w:val="6425E8C7"/>
    <w:rsid w:val="64B05D0A"/>
    <w:rsid w:val="64DAD49F"/>
    <w:rsid w:val="64FBCB79"/>
    <w:rsid w:val="653583C1"/>
    <w:rsid w:val="65CD0E26"/>
    <w:rsid w:val="65F471D7"/>
    <w:rsid w:val="660B3F02"/>
    <w:rsid w:val="664E2B55"/>
    <w:rsid w:val="668963A1"/>
    <w:rsid w:val="674D4AD1"/>
    <w:rsid w:val="6782BBBE"/>
    <w:rsid w:val="6906690D"/>
    <w:rsid w:val="6B13279E"/>
    <w:rsid w:val="6B4EC0F0"/>
    <w:rsid w:val="6C1B171E"/>
    <w:rsid w:val="6C3E09CF"/>
    <w:rsid w:val="6C881DF9"/>
    <w:rsid w:val="6CE6982E"/>
    <w:rsid w:val="6D273E39"/>
    <w:rsid w:val="6E80BA92"/>
    <w:rsid w:val="6EA12337"/>
    <w:rsid w:val="6EF651DD"/>
    <w:rsid w:val="6F0FC3C7"/>
    <w:rsid w:val="6F8EE752"/>
    <w:rsid w:val="712AB7B3"/>
    <w:rsid w:val="714833CE"/>
    <w:rsid w:val="7168C0B3"/>
    <w:rsid w:val="721DC106"/>
    <w:rsid w:val="72430DCE"/>
    <w:rsid w:val="724D27AD"/>
    <w:rsid w:val="73093F90"/>
    <w:rsid w:val="734F8333"/>
    <w:rsid w:val="738A3605"/>
    <w:rsid w:val="748CAEDD"/>
    <w:rsid w:val="7495AEEE"/>
    <w:rsid w:val="74D6F7DD"/>
    <w:rsid w:val="75DFCA78"/>
    <w:rsid w:val="75F107D4"/>
    <w:rsid w:val="78462E6E"/>
    <w:rsid w:val="78DAC9C6"/>
    <w:rsid w:val="7A9CD00B"/>
    <w:rsid w:val="7AF7039A"/>
    <w:rsid w:val="7C4B69FC"/>
    <w:rsid w:val="7C873C53"/>
    <w:rsid w:val="7CC58FE8"/>
    <w:rsid w:val="7DAE3AE9"/>
    <w:rsid w:val="7DE6E27F"/>
    <w:rsid w:val="7DE73A5D"/>
    <w:rsid w:val="7E26B6D6"/>
    <w:rsid w:val="7E4D02BA"/>
    <w:rsid w:val="7E5F9286"/>
    <w:rsid w:val="7F0FFA71"/>
    <w:rsid w:val="7F26EA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8AD691"/>
  <w15:chartTrackingRefBased/>
  <w15:docId w15:val="{9E9C8CB4-C4EC-4E27-94B2-11B95C93D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tabs>
        <w:tab w:val="left" w:pos="-720"/>
      </w:tabs>
      <w:suppressAutoHyphens/>
      <w:outlineLvl w:val="0"/>
    </w:pPr>
    <w:rPr>
      <w:b/>
      <w:sz w:val="28"/>
      <w:szCs w:val="20"/>
    </w:rPr>
  </w:style>
  <w:style w:type="paragraph" w:styleId="Heading2">
    <w:name w:val="heading 2"/>
    <w:basedOn w:val="Normal"/>
    <w:next w:val="Normal"/>
    <w:qFormat/>
    <w:pPr>
      <w:keepNext/>
      <w:jc w:val="center"/>
      <w:outlineLvl w:val="1"/>
    </w:pPr>
    <w:rPr>
      <w:b/>
      <w:bCs/>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suppressAutoHyphens/>
      <w:jc w:val="center"/>
    </w:pPr>
    <w:rPr>
      <w:b/>
      <w:sz w:val="32"/>
      <w:szCs w:val="20"/>
    </w:rPr>
  </w:style>
  <w:style w:type="paragraph" w:styleId="BodyText3">
    <w:name w:val="Body Text 3"/>
    <w:basedOn w:val="Normal"/>
    <w:pPr>
      <w:shd w:val="pct25" w:color="auto" w:fill="auto"/>
      <w:tabs>
        <w:tab w:val="left" w:pos="-720"/>
        <w:tab w:val="left" w:pos="720"/>
      </w:tabs>
      <w:suppressAutoHyphens/>
    </w:pPr>
    <w:rPr>
      <w:sz w:val="26"/>
      <w:szCs w:val="20"/>
    </w:rPr>
  </w:style>
  <w:style w:type="character" w:styleId="Hyperlink">
    <w:name w:val="Hyperlink"/>
    <w:rPr>
      <w:color w:val="0000FF"/>
      <w:u w:val="single"/>
    </w:rPr>
  </w:style>
  <w:style w:type="paragraph" w:styleId="BodyText">
    <w:name w:val="Body Text"/>
    <w:basedOn w:val="Normal"/>
    <w:pPr>
      <w:shd w:val="pct25" w:color="auto" w:fill="FFFFFF"/>
      <w:tabs>
        <w:tab w:val="left" w:pos="-720"/>
      </w:tabs>
      <w:suppressAutoHyphens/>
    </w:pPr>
    <w:rPr>
      <w:sz w:val="26"/>
    </w:rPr>
  </w:style>
  <w:style w:type="paragraph" w:styleId="BodyTextIndent">
    <w:name w:val="Body Text Indent"/>
    <w:basedOn w:val="Normal"/>
    <w:pPr>
      <w:shd w:val="pct25" w:color="auto" w:fill="FFFFFF"/>
      <w:tabs>
        <w:tab w:val="left" w:pos="-720"/>
      </w:tabs>
      <w:suppressAutoHyphens/>
      <w:ind w:left="510"/>
    </w:pPr>
    <w:rPr>
      <w:sz w:val="26"/>
      <w:szCs w:val="20"/>
    </w:rPr>
  </w:style>
  <w:style w:type="paragraph" w:styleId="BodyText2">
    <w:name w:val="Body Text 2"/>
    <w:basedOn w:val="Normal"/>
    <w:pPr>
      <w:tabs>
        <w:tab w:val="left" w:pos="-720"/>
      </w:tabs>
      <w:suppressAutoHyphens/>
    </w:pPr>
    <w:rPr>
      <w:b/>
      <w:bCs/>
      <w:sz w:val="26"/>
    </w:rPr>
  </w:style>
  <w:style w:type="table" w:styleId="TableGrid">
    <w:name w:val="Table Grid"/>
    <w:basedOn w:val="TableNormal"/>
    <w:rsid w:val="00113C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C469AA"/>
    <w:rPr>
      <w:rFonts w:ascii="Tahoma" w:hAnsi="Tahoma" w:cs="Tahoma"/>
      <w:sz w:val="16"/>
      <w:szCs w:val="16"/>
    </w:rPr>
  </w:style>
  <w:style w:type="character" w:styleId="Strong">
    <w:name w:val="Strong"/>
    <w:qFormat/>
    <w:rsid w:val="00AD71DC"/>
    <w:rPr>
      <w:b/>
      <w:bCs/>
    </w:rPr>
  </w:style>
  <w:style w:type="paragraph" w:styleId="NormalWeb">
    <w:name w:val="Normal (Web)"/>
    <w:basedOn w:val="Normal"/>
    <w:rsid w:val="005271D8"/>
    <w:pPr>
      <w:spacing w:before="100" w:beforeAutospacing="1" w:after="100" w:afterAutospacing="1"/>
    </w:pPr>
  </w:style>
  <w:style w:type="paragraph" w:styleId="Header">
    <w:name w:val="header"/>
    <w:basedOn w:val="Normal"/>
    <w:rsid w:val="00A80EEB"/>
    <w:pPr>
      <w:tabs>
        <w:tab w:val="center" w:pos="4320"/>
        <w:tab w:val="right" w:pos="8640"/>
      </w:tabs>
    </w:pPr>
  </w:style>
  <w:style w:type="paragraph" w:styleId="DocumentMap">
    <w:name w:val="Document Map"/>
    <w:basedOn w:val="Normal"/>
    <w:semiHidden/>
    <w:rsid w:val="00A80EEB"/>
    <w:pPr>
      <w:shd w:val="clear" w:color="auto" w:fill="000080"/>
    </w:pPr>
    <w:rPr>
      <w:rFonts w:ascii="Tahoma" w:hAnsi="Tahoma" w:cs="Tahoma"/>
      <w:sz w:val="20"/>
      <w:szCs w:val="20"/>
    </w:rPr>
  </w:style>
  <w:style w:type="paragraph" w:customStyle="1" w:styleId="CM2">
    <w:name w:val="CM2"/>
    <w:basedOn w:val="Normal"/>
    <w:next w:val="Normal"/>
    <w:rsid w:val="00664FBA"/>
    <w:pPr>
      <w:autoSpaceDE w:val="0"/>
      <w:autoSpaceDN w:val="0"/>
      <w:adjustRightInd w:val="0"/>
      <w:spacing w:line="286" w:lineRule="atLeast"/>
    </w:pPr>
    <w:rPr>
      <w:rFonts w:ascii="Arial" w:hAnsi="Arial"/>
    </w:rPr>
  </w:style>
  <w:style w:type="paragraph" w:customStyle="1" w:styleId="CharCharCharCharCharCharCharCharCharCharCharChar1CharCharChar1Char">
    <w:name w:val="Char Char Char Char Char Char Char Char Char Char Char Char1 Char Char Char1 Char"/>
    <w:basedOn w:val="Normal"/>
    <w:autoRedefine/>
    <w:semiHidden/>
    <w:rsid w:val="00516382"/>
    <w:pPr>
      <w:widowControl w:val="0"/>
      <w:spacing w:before="80" w:after="80"/>
      <w:ind w:left="4320"/>
      <w:jc w:val="both"/>
    </w:pPr>
    <w:rPr>
      <w:rFonts w:cs="Arial"/>
      <w:bCs/>
    </w:rPr>
  </w:style>
  <w:style w:type="character" w:styleId="CommentReference">
    <w:name w:val="annotation reference"/>
    <w:uiPriority w:val="99"/>
    <w:rsid w:val="00B92CB8"/>
    <w:rPr>
      <w:sz w:val="16"/>
      <w:szCs w:val="16"/>
    </w:rPr>
  </w:style>
  <w:style w:type="paragraph" w:styleId="CommentText">
    <w:name w:val="annotation text"/>
    <w:basedOn w:val="Normal"/>
    <w:link w:val="CommentTextChar"/>
    <w:uiPriority w:val="99"/>
    <w:rsid w:val="00B92CB8"/>
    <w:rPr>
      <w:sz w:val="20"/>
      <w:szCs w:val="20"/>
    </w:rPr>
  </w:style>
  <w:style w:type="character" w:customStyle="1" w:styleId="CommentTextChar">
    <w:name w:val="Comment Text Char"/>
    <w:basedOn w:val="DefaultParagraphFont"/>
    <w:link w:val="CommentText"/>
    <w:uiPriority w:val="99"/>
    <w:rsid w:val="00B92CB8"/>
  </w:style>
  <w:style w:type="paragraph" w:styleId="CommentSubject">
    <w:name w:val="annotation subject"/>
    <w:basedOn w:val="CommentText"/>
    <w:next w:val="CommentText"/>
    <w:link w:val="CommentSubjectChar"/>
    <w:rsid w:val="00B92CB8"/>
    <w:rPr>
      <w:b/>
      <w:bCs/>
    </w:rPr>
  </w:style>
  <w:style w:type="character" w:customStyle="1" w:styleId="CommentSubjectChar">
    <w:name w:val="Comment Subject Char"/>
    <w:link w:val="CommentSubject"/>
    <w:rsid w:val="00B92CB8"/>
    <w:rPr>
      <w:b/>
      <w:bCs/>
    </w:rPr>
  </w:style>
  <w:style w:type="character" w:styleId="FollowedHyperlink">
    <w:name w:val="FollowedHyperlink"/>
    <w:rsid w:val="00D05A41"/>
    <w:rPr>
      <w:color w:val="800080"/>
      <w:u w:val="single"/>
    </w:rPr>
  </w:style>
  <w:style w:type="paragraph" w:styleId="Revision">
    <w:name w:val="Revision"/>
    <w:hidden/>
    <w:uiPriority w:val="99"/>
    <w:semiHidden/>
    <w:rsid w:val="00DE7B63"/>
    <w:rPr>
      <w:sz w:val="24"/>
      <w:szCs w:val="24"/>
    </w:rPr>
  </w:style>
  <w:style w:type="paragraph" w:styleId="FootnoteText">
    <w:name w:val="footnote text"/>
    <w:basedOn w:val="Normal"/>
    <w:link w:val="FootnoteTextChar"/>
    <w:uiPriority w:val="99"/>
    <w:rsid w:val="00942E19"/>
    <w:rPr>
      <w:sz w:val="20"/>
      <w:szCs w:val="20"/>
    </w:rPr>
  </w:style>
  <w:style w:type="character" w:customStyle="1" w:styleId="FootnoteTextChar">
    <w:name w:val="Footnote Text Char"/>
    <w:basedOn w:val="DefaultParagraphFont"/>
    <w:link w:val="FootnoteText"/>
    <w:uiPriority w:val="99"/>
    <w:rsid w:val="00942E19"/>
  </w:style>
  <w:style w:type="character" w:styleId="FootnoteReference">
    <w:name w:val="footnote reference"/>
    <w:uiPriority w:val="99"/>
    <w:rsid w:val="00942E19"/>
    <w:rPr>
      <w:vertAlign w:val="superscript"/>
    </w:rPr>
  </w:style>
  <w:style w:type="paragraph" w:styleId="ListParagraph">
    <w:name w:val="List Paragraph"/>
    <w:basedOn w:val="Normal"/>
    <w:uiPriority w:val="34"/>
    <w:qFormat/>
    <w:rsid w:val="0003687E"/>
    <w:pPr>
      <w:ind w:left="720"/>
      <w:contextualSpacing/>
    </w:pPr>
  </w:style>
  <w:style w:type="character" w:styleId="UnresolvedMention">
    <w:name w:val="Unresolved Mention"/>
    <w:basedOn w:val="DefaultParagraphFont"/>
    <w:uiPriority w:val="99"/>
    <w:unhideWhenUsed/>
    <w:rsid w:val="00AC3D65"/>
    <w:rPr>
      <w:color w:val="605E5C"/>
      <w:shd w:val="clear" w:color="auto" w:fill="E1DFDD"/>
    </w:rPr>
  </w:style>
  <w:style w:type="character" w:styleId="Mention">
    <w:name w:val="Mention"/>
    <w:basedOn w:val="DefaultParagraphFont"/>
    <w:uiPriority w:val="99"/>
    <w:unhideWhenUsed/>
    <w:rsid w:val="00A1530B"/>
    <w:rPr>
      <w:color w:val="2B579A"/>
      <w:shd w:val="clear" w:color="auto" w:fill="E6E6E6"/>
    </w:rPr>
  </w:style>
  <w:style w:type="table" w:customStyle="1" w:styleId="TableGrid2">
    <w:name w:val="Table Grid2"/>
    <w:basedOn w:val="TableNormal"/>
    <w:next w:val="TableGrid"/>
    <w:uiPriority w:val="39"/>
    <w:rsid w:val="006D6DC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305592">
      <w:bodyDiv w:val="1"/>
      <w:marLeft w:val="0"/>
      <w:marRight w:val="0"/>
      <w:marTop w:val="0"/>
      <w:marBottom w:val="0"/>
      <w:divBdr>
        <w:top w:val="none" w:sz="0" w:space="0" w:color="auto"/>
        <w:left w:val="none" w:sz="0" w:space="0" w:color="auto"/>
        <w:bottom w:val="none" w:sz="0" w:space="0" w:color="auto"/>
        <w:right w:val="none" w:sz="0" w:space="0" w:color="auto"/>
      </w:divBdr>
    </w:div>
    <w:div w:id="126554332">
      <w:bodyDiv w:val="1"/>
      <w:marLeft w:val="0"/>
      <w:marRight w:val="0"/>
      <w:marTop w:val="0"/>
      <w:marBottom w:val="0"/>
      <w:divBdr>
        <w:top w:val="none" w:sz="0" w:space="0" w:color="auto"/>
        <w:left w:val="none" w:sz="0" w:space="0" w:color="auto"/>
        <w:bottom w:val="none" w:sz="0" w:space="0" w:color="auto"/>
        <w:right w:val="none" w:sz="0" w:space="0" w:color="auto"/>
      </w:divBdr>
    </w:div>
    <w:div w:id="180164750">
      <w:bodyDiv w:val="1"/>
      <w:marLeft w:val="0"/>
      <w:marRight w:val="0"/>
      <w:marTop w:val="0"/>
      <w:marBottom w:val="0"/>
      <w:divBdr>
        <w:top w:val="none" w:sz="0" w:space="0" w:color="auto"/>
        <w:left w:val="none" w:sz="0" w:space="0" w:color="auto"/>
        <w:bottom w:val="none" w:sz="0" w:space="0" w:color="auto"/>
        <w:right w:val="none" w:sz="0" w:space="0" w:color="auto"/>
      </w:divBdr>
    </w:div>
    <w:div w:id="184710348">
      <w:bodyDiv w:val="1"/>
      <w:marLeft w:val="0"/>
      <w:marRight w:val="0"/>
      <w:marTop w:val="0"/>
      <w:marBottom w:val="0"/>
      <w:divBdr>
        <w:top w:val="none" w:sz="0" w:space="0" w:color="auto"/>
        <w:left w:val="none" w:sz="0" w:space="0" w:color="auto"/>
        <w:bottom w:val="none" w:sz="0" w:space="0" w:color="auto"/>
        <w:right w:val="none" w:sz="0" w:space="0" w:color="auto"/>
      </w:divBdr>
    </w:div>
    <w:div w:id="195969952">
      <w:bodyDiv w:val="1"/>
      <w:marLeft w:val="0"/>
      <w:marRight w:val="0"/>
      <w:marTop w:val="0"/>
      <w:marBottom w:val="0"/>
      <w:divBdr>
        <w:top w:val="none" w:sz="0" w:space="0" w:color="auto"/>
        <w:left w:val="none" w:sz="0" w:space="0" w:color="auto"/>
        <w:bottom w:val="none" w:sz="0" w:space="0" w:color="auto"/>
        <w:right w:val="none" w:sz="0" w:space="0" w:color="auto"/>
      </w:divBdr>
    </w:div>
    <w:div w:id="224881693">
      <w:bodyDiv w:val="1"/>
      <w:marLeft w:val="0"/>
      <w:marRight w:val="0"/>
      <w:marTop w:val="0"/>
      <w:marBottom w:val="0"/>
      <w:divBdr>
        <w:top w:val="none" w:sz="0" w:space="0" w:color="auto"/>
        <w:left w:val="none" w:sz="0" w:space="0" w:color="auto"/>
        <w:bottom w:val="none" w:sz="0" w:space="0" w:color="auto"/>
        <w:right w:val="none" w:sz="0" w:space="0" w:color="auto"/>
      </w:divBdr>
    </w:div>
    <w:div w:id="278414954">
      <w:bodyDiv w:val="1"/>
      <w:marLeft w:val="0"/>
      <w:marRight w:val="0"/>
      <w:marTop w:val="0"/>
      <w:marBottom w:val="0"/>
      <w:divBdr>
        <w:top w:val="none" w:sz="0" w:space="0" w:color="auto"/>
        <w:left w:val="none" w:sz="0" w:space="0" w:color="auto"/>
        <w:bottom w:val="none" w:sz="0" w:space="0" w:color="auto"/>
        <w:right w:val="none" w:sz="0" w:space="0" w:color="auto"/>
      </w:divBdr>
    </w:div>
    <w:div w:id="361831996">
      <w:bodyDiv w:val="1"/>
      <w:marLeft w:val="0"/>
      <w:marRight w:val="0"/>
      <w:marTop w:val="0"/>
      <w:marBottom w:val="0"/>
      <w:divBdr>
        <w:top w:val="none" w:sz="0" w:space="0" w:color="auto"/>
        <w:left w:val="none" w:sz="0" w:space="0" w:color="auto"/>
        <w:bottom w:val="none" w:sz="0" w:space="0" w:color="auto"/>
        <w:right w:val="none" w:sz="0" w:space="0" w:color="auto"/>
      </w:divBdr>
    </w:div>
    <w:div w:id="386420270">
      <w:bodyDiv w:val="1"/>
      <w:marLeft w:val="0"/>
      <w:marRight w:val="0"/>
      <w:marTop w:val="0"/>
      <w:marBottom w:val="0"/>
      <w:divBdr>
        <w:top w:val="none" w:sz="0" w:space="0" w:color="auto"/>
        <w:left w:val="none" w:sz="0" w:space="0" w:color="auto"/>
        <w:bottom w:val="none" w:sz="0" w:space="0" w:color="auto"/>
        <w:right w:val="none" w:sz="0" w:space="0" w:color="auto"/>
      </w:divBdr>
    </w:div>
    <w:div w:id="551772120">
      <w:bodyDiv w:val="1"/>
      <w:marLeft w:val="0"/>
      <w:marRight w:val="0"/>
      <w:marTop w:val="0"/>
      <w:marBottom w:val="0"/>
      <w:divBdr>
        <w:top w:val="none" w:sz="0" w:space="0" w:color="auto"/>
        <w:left w:val="none" w:sz="0" w:space="0" w:color="auto"/>
        <w:bottom w:val="none" w:sz="0" w:space="0" w:color="auto"/>
        <w:right w:val="none" w:sz="0" w:space="0" w:color="auto"/>
      </w:divBdr>
    </w:div>
    <w:div w:id="620648775">
      <w:bodyDiv w:val="1"/>
      <w:marLeft w:val="0"/>
      <w:marRight w:val="0"/>
      <w:marTop w:val="0"/>
      <w:marBottom w:val="0"/>
      <w:divBdr>
        <w:top w:val="none" w:sz="0" w:space="0" w:color="auto"/>
        <w:left w:val="none" w:sz="0" w:space="0" w:color="auto"/>
        <w:bottom w:val="none" w:sz="0" w:space="0" w:color="auto"/>
        <w:right w:val="none" w:sz="0" w:space="0" w:color="auto"/>
      </w:divBdr>
    </w:div>
    <w:div w:id="688411634">
      <w:bodyDiv w:val="1"/>
      <w:marLeft w:val="0"/>
      <w:marRight w:val="0"/>
      <w:marTop w:val="0"/>
      <w:marBottom w:val="0"/>
      <w:divBdr>
        <w:top w:val="none" w:sz="0" w:space="0" w:color="auto"/>
        <w:left w:val="none" w:sz="0" w:space="0" w:color="auto"/>
        <w:bottom w:val="none" w:sz="0" w:space="0" w:color="auto"/>
        <w:right w:val="none" w:sz="0" w:space="0" w:color="auto"/>
      </w:divBdr>
    </w:div>
    <w:div w:id="754934624">
      <w:bodyDiv w:val="1"/>
      <w:marLeft w:val="0"/>
      <w:marRight w:val="0"/>
      <w:marTop w:val="0"/>
      <w:marBottom w:val="0"/>
      <w:divBdr>
        <w:top w:val="none" w:sz="0" w:space="0" w:color="auto"/>
        <w:left w:val="none" w:sz="0" w:space="0" w:color="auto"/>
        <w:bottom w:val="none" w:sz="0" w:space="0" w:color="auto"/>
        <w:right w:val="none" w:sz="0" w:space="0" w:color="auto"/>
      </w:divBdr>
    </w:div>
    <w:div w:id="796871245">
      <w:bodyDiv w:val="1"/>
      <w:marLeft w:val="0"/>
      <w:marRight w:val="0"/>
      <w:marTop w:val="0"/>
      <w:marBottom w:val="0"/>
      <w:divBdr>
        <w:top w:val="none" w:sz="0" w:space="0" w:color="auto"/>
        <w:left w:val="none" w:sz="0" w:space="0" w:color="auto"/>
        <w:bottom w:val="none" w:sz="0" w:space="0" w:color="auto"/>
        <w:right w:val="none" w:sz="0" w:space="0" w:color="auto"/>
      </w:divBdr>
    </w:div>
    <w:div w:id="842666234">
      <w:bodyDiv w:val="1"/>
      <w:marLeft w:val="0"/>
      <w:marRight w:val="0"/>
      <w:marTop w:val="0"/>
      <w:marBottom w:val="0"/>
      <w:divBdr>
        <w:top w:val="none" w:sz="0" w:space="0" w:color="auto"/>
        <w:left w:val="none" w:sz="0" w:space="0" w:color="auto"/>
        <w:bottom w:val="none" w:sz="0" w:space="0" w:color="auto"/>
        <w:right w:val="none" w:sz="0" w:space="0" w:color="auto"/>
      </w:divBdr>
    </w:div>
    <w:div w:id="905263773">
      <w:bodyDiv w:val="1"/>
      <w:marLeft w:val="0"/>
      <w:marRight w:val="0"/>
      <w:marTop w:val="0"/>
      <w:marBottom w:val="0"/>
      <w:divBdr>
        <w:top w:val="none" w:sz="0" w:space="0" w:color="auto"/>
        <w:left w:val="none" w:sz="0" w:space="0" w:color="auto"/>
        <w:bottom w:val="none" w:sz="0" w:space="0" w:color="auto"/>
        <w:right w:val="none" w:sz="0" w:space="0" w:color="auto"/>
      </w:divBdr>
    </w:div>
    <w:div w:id="926378917">
      <w:bodyDiv w:val="1"/>
      <w:marLeft w:val="0"/>
      <w:marRight w:val="0"/>
      <w:marTop w:val="0"/>
      <w:marBottom w:val="0"/>
      <w:divBdr>
        <w:top w:val="none" w:sz="0" w:space="0" w:color="auto"/>
        <w:left w:val="none" w:sz="0" w:space="0" w:color="auto"/>
        <w:bottom w:val="none" w:sz="0" w:space="0" w:color="auto"/>
        <w:right w:val="none" w:sz="0" w:space="0" w:color="auto"/>
      </w:divBdr>
    </w:div>
    <w:div w:id="956332863">
      <w:bodyDiv w:val="1"/>
      <w:marLeft w:val="0"/>
      <w:marRight w:val="0"/>
      <w:marTop w:val="0"/>
      <w:marBottom w:val="0"/>
      <w:divBdr>
        <w:top w:val="none" w:sz="0" w:space="0" w:color="auto"/>
        <w:left w:val="none" w:sz="0" w:space="0" w:color="auto"/>
        <w:bottom w:val="none" w:sz="0" w:space="0" w:color="auto"/>
        <w:right w:val="none" w:sz="0" w:space="0" w:color="auto"/>
      </w:divBdr>
    </w:div>
    <w:div w:id="1023555686">
      <w:bodyDiv w:val="1"/>
      <w:marLeft w:val="0"/>
      <w:marRight w:val="0"/>
      <w:marTop w:val="0"/>
      <w:marBottom w:val="0"/>
      <w:divBdr>
        <w:top w:val="none" w:sz="0" w:space="0" w:color="auto"/>
        <w:left w:val="none" w:sz="0" w:space="0" w:color="auto"/>
        <w:bottom w:val="none" w:sz="0" w:space="0" w:color="auto"/>
        <w:right w:val="none" w:sz="0" w:space="0" w:color="auto"/>
      </w:divBdr>
    </w:div>
    <w:div w:id="1062219405">
      <w:bodyDiv w:val="1"/>
      <w:marLeft w:val="0"/>
      <w:marRight w:val="0"/>
      <w:marTop w:val="0"/>
      <w:marBottom w:val="0"/>
      <w:divBdr>
        <w:top w:val="none" w:sz="0" w:space="0" w:color="auto"/>
        <w:left w:val="none" w:sz="0" w:space="0" w:color="auto"/>
        <w:bottom w:val="none" w:sz="0" w:space="0" w:color="auto"/>
        <w:right w:val="none" w:sz="0" w:space="0" w:color="auto"/>
      </w:divBdr>
    </w:div>
    <w:div w:id="1101879059">
      <w:bodyDiv w:val="1"/>
      <w:marLeft w:val="0"/>
      <w:marRight w:val="0"/>
      <w:marTop w:val="0"/>
      <w:marBottom w:val="0"/>
      <w:divBdr>
        <w:top w:val="none" w:sz="0" w:space="0" w:color="auto"/>
        <w:left w:val="none" w:sz="0" w:space="0" w:color="auto"/>
        <w:bottom w:val="none" w:sz="0" w:space="0" w:color="auto"/>
        <w:right w:val="none" w:sz="0" w:space="0" w:color="auto"/>
      </w:divBdr>
    </w:div>
    <w:div w:id="1125346583">
      <w:bodyDiv w:val="1"/>
      <w:marLeft w:val="0"/>
      <w:marRight w:val="0"/>
      <w:marTop w:val="0"/>
      <w:marBottom w:val="0"/>
      <w:divBdr>
        <w:top w:val="none" w:sz="0" w:space="0" w:color="auto"/>
        <w:left w:val="none" w:sz="0" w:space="0" w:color="auto"/>
        <w:bottom w:val="none" w:sz="0" w:space="0" w:color="auto"/>
        <w:right w:val="none" w:sz="0" w:space="0" w:color="auto"/>
      </w:divBdr>
    </w:div>
    <w:div w:id="1130979951">
      <w:bodyDiv w:val="1"/>
      <w:marLeft w:val="0"/>
      <w:marRight w:val="0"/>
      <w:marTop w:val="0"/>
      <w:marBottom w:val="0"/>
      <w:divBdr>
        <w:top w:val="none" w:sz="0" w:space="0" w:color="auto"/>
        <w:left w:val="none" w:sz="0" w:space="0" w:color="auto"/>
        <w:bottom w:val="none" w:sz="0" w:space="0" w:color="auto"/>
        <w:right w:val="none" w:sz="0" w:space="0" w:color="auto"/>
      </w:divBdr>
    </w:div>
    <w:div w:id="1151796926">
      <w:bodyDiv w:val="1"/>
      <w:marLeft w:val="0"/>
      <w:marRight w:val="0"/>
      <w:marTop w:val="0"/>
      <w:marBottom w:val="0"/>
      <w:divBdr>
        <w:top w:val="none" w:sz="0" w:space="0" w:color="auto"/>
        <w:left w:val="none" w:sz="0" w:space="0" w:color="auto"/>
        <w:bottom w:val="none" w:sz="0" w:space="0" w:color="auto"/>
        <w:right w:val="none" w:sz="0" w:space="0" w:color="auto"/>
      </w:divBdr>
    </w:div>
    <w:div w:id="1196238548">
      <w:bodyDiv w:val="1"/>
      <w:marLeft w:val="0"/>
      <w:marRight w:val="0"/>
      <w:marTop w:val="0"/>
      <w:marBottom w:val="0"/>
      <w:divBdr>
        <w:top w:val="none" w:sz="0" w:space="0" w:color="auto"/>
        <w:left w:val="none" w:sz="0" w:space="0" w:color="auto"/>
        <w:bottom w:val="none" w:sz="0" w:space="0" w:color="auto"/>
        <w:right w:val="none" w:sz="0" w:space="0" w:color="auto"/>
      </w:divBdr>
    </w:div>
    <w:div w:id="1205210947">
      <w:bodyDiv w:val="1"/>
      <w:marLeft w:val="0"/>
      <w:marRight w:val="0"/>
      <w:marTop w:val="0"/>
      <w:marBottom w:val="0"/>
      <w:divBdr>
        <w:top w:val="none" w:sz="0" w:space="0" w:color="auto"/>
        <w:left w:val="none" w:sz="0" w:space="0" w:color="auto"/>
        <w:bottom w:val="none" w:sz="0" w:space="0" w:color="auto"/>
        <w:right w:val="none" w:sz="0" w:space="0" w:color="auto"/>
      </w:divBdr>
    </w:div>
    <w:div w:id="1290673045">
      <w:bodyDiv w:val="1"/>
      <w:marLeft w:val="0"/>
      <w:marRight w:val="0"/>
      <w:marTop w:val="0"/>
      <w:marBottom w:val="0"/>
      <w:divBdr>
        <w:top w:val="none" w:sz="0" w:space="0" w:color="auto"/>
        <w:left w:val="none" w:sz="0" w:space="0" w:color="auto"/>
        <w:bottom w:val="none" w:sz="0" w:space="0" w:color="auto"/>
        <w:right w:val="none" w:sz="0" w:space="0" w:color="auto"/>
      </w:divBdr>
    </w:div>
    <w:div w:id="1336373609">
      <w:bodyDiv w:val="1"/>
      <w:marLeft w:val="0"/>
      <w:marRight w:val="0"/>
      <w:marTop w:val="0"/>
      <w:marBottom w:val="0"/>
      <w:divBdr>
        <w:top w:val="none" w:sz="0" w:space="0" w:color="auto"/>
        <w:left w:val="none" w:sz="0" w:space="0" w:color="auto"/>
        <w:bottom w:val="none" w:sz="0" w:space="0" w:color="auto"/>
        <w:right w:val="none" w:sz="0" w:space="0" w:color="auto"/>
      </w:divBdr>
      <w:divsChild>
        <w:div w:id="2084524547">
          <w:marLeft w:val="60"/>
          <w:marRight w:val="0"/>
          <w:marTop w:val="96"/>
          <w:marBottom w:val="0"/>
          <w:divBdr>
            <w:top w:val="none" w:sz="0" w:space="0" w:color="auto"/>
            <w:left w:val="none" w:sz="0" w:space="0" w:color="auto"/>
            <w:bottom w:val="none" w:sz="0" w:space="0" w:color="auto"/>
            <w:right w:val="none" w:sz="0" w:space="0" w:color="auto"/>
          </w:divBdr>
        </w:div>
      </w:divsChild>
    </w:div>
    <w:div w:id="1386759260">
      <w:bodyDiv w:val="1"/>
      <w:marLeft w:val="0"/>
      <w:marRight w:val="0"/>
      <w:marTop w:val="0"/>
      <w:marBottom w:val="0"/>
      <w:divBdr>
        <w:top w:val="none" w:sz="0" w:space="0" w:color="auto"/>
        <w:left w:val="none" w:sz="0" w:space="0" w:color="auto"/>
        <w:bottom w:val="none" w:sz="0" w:space="0" w:color="auto"/>
        <w:right w:val="none" w:sz="0" w:space="0" w:color="auto"/>
      </w:divBdr>
    </w:div>
    <w:div w:id="1469401136">
      <w:bodyDiv w:val="1"/>
      <w:marLeft w:val="0"/>
      <w:marRight w:val="0"/>
      <w:marTop w:val="0"/>
      <w:marBottom w:val="0"/>
      <w:divBdr>
        <w:top w:val="none" w:sz="0" w:space="0" w:color="auto"/>
        <w:left w:val="none" w:sz="0" w:space="0" w:color="auto"/>
        <w:bottom w:val="none" w:sz="0" w:space="0" w:color="auto"/>
        <w:right w:val="none" w:sz="0" w:space="0" w:color="auto"/>
      </w:divBdr>
    </w:div>
    <w:div w:id="1512329609">
      <w:bodyDiv w:val="1"/>
      <w:marLeft w:val="0"/>
      <w:marRight w:val="0"/>
      <w:marTop w:val="0"/>
      <w:marBottom w:val="0"/>
      <w:divBdr>
        <w:top w:val="none" w:sz="0" w:space="0" w:color="auto"/>
        <w:left w:val="none" w:sz="0" w:space="0" w:color="auto"/>
        <w:bottom w:val="none" w:sz="0" w:space="0" w:color="auto"/>
        <w:right w:val="none" w:sz="0" w:space="0" w:color="auto"/>
      </w:divBdr>
    </w:div>
    <w:div w:id="1536238800">
      <w:bodyDiv w:val="1"/>
      <w:marLeft w:val="0"/>
      <w:marRight w:val="0"/>
      <w:marTop w:val="0"/>
      <w:marBottom w:val="0"/>
      <w:divBdr>
        <w:top w:val="none" w:sz="0" w:space="0" w:color="auto"/>
        <w:left w:val="none" w:sz="0" w:space="0" w:color="auto"/>
        <w:bottom w:val="none" w:sz="0" w:space="0" w:color="auto"/>
        <w:right w:val="none" w:sz="0" w:space="0" w:color="auto"/>
      </w:divBdr>
    </w:div>
    <w:div w:id="1558009461">
      <w:bodyDiv w:val="1"/>
      <w:marLeft w:val="0"/>
      <w:marRight w:val="0"/>
      <w:marTop w:val="0"/>
      <w:marBottom w:val="0"/>
      <w:divBdr>
        <w:top w:val="none" w:sz="0" w:space="0" w:color="auto"/>
        <w:left w:val="none" w:sz="0" w:space="0" w:color="auto"/>
        <w:bottom w:val="none" w:sz="0" w:space="0" w:color="auto"/>
        <w:right w:val="none" w:sz="0" w:space="0" w:color="auto"/>
      </w:divBdr>
    </w:div>
    <w:div w:id="1603226193">
      <w:bodyDiv w:val="1"/>
      <w:marLeft w:val="0"/>
      <w:marRight w:val="0"/>
      <w:marTop w:val="0"/>
      <w:marBottom w:val="0"/>
      <w:divBdr>
        <w:top w:val="none" w:sz="0" w:space="0" w:color="auto"/>
        <w:left w:val="none" w:sz="0" w:space="0" w:color="auto"/>
        <w:bottom w:val="none" w:sz="0" w:space="0" w:color="auto"/>
        <w:right w:val="none" w:sz="0" w:space="0" w:color="auto"/>
      </w:divBdr>
    </w:div>
    <w:div w:id="1636064884">
      <w:bodyDiv w:val="1"/>
      <w:marLeft w:val="0"/>
      <w:marRight w:val="0"/>
      <w:marTop w:val="0"/>
      <w:marBottom w:val="0"/>
      <w:divBdr>
        <w:top w:val="none" w:sz="0" w:space="0" w:color="auto"/>
        <w:left w:val="none" w:sz="0" w:space="0" w:color="auto"/>
        <w:bottom w:val="none" w:sz="0" w:space="0" w:color="auto"/>
        <w:right w:val="none" w:sz="0" w:space="0" w:color="auto"/>
      </w:divBdr>
    </w:div>
    <w:div w:id="1662349640">
      <w:bodyDiv w:val="1"/>
      <w:marLeft w:val="0"/>
      <w:marRight w:val="0"/>
      <w:marTop w:val="0"/>
      <w:marBottom w:val="0"/>
      <w:divBdr>
        <w:top w:val="none" w:sz="0" w:space="0" w:color="auto"/>
        <w:left w:val="none" w:sz="0" w:space="0" w:color="auto"/>
        <w:bottom w:val="none" w:sz="0" w:space="0" w:color="auto"/>
        <w:right w:val="none" w:sz="0" w:space="0" w:color="auto"/>
      </w:divBdr>
    </w:div>
    <w:div w:id="1920482183">
      <w:bodyDiv w:val="1"/>
      <w:marLeft w:val="0"/>
      <w:marRight w:val="0"/>
      <w:marTop w:val="0"/>
      <w:marBottom w:val="0"/>
      <w:divBdr>
        <w:top w:val="none" w:sz="0" w:space="0" w:color="auto"/>
        <w:left w:val="none" w:sz="0" w:space="0" w:color="auto"/>
        <w:bottom w:val="none" w:sz="0" w:space="0" w:color="auto"/>
        <w:right w:val="none" w:sz="0" w:space="0" w:color="auto"/>
      </w:divBdr>
    </w:div>
    <w:div w:id="1937322036">
      <w:bodyDiv w:val="1"/>
      <w:marLeft w:val="0"/>
      <w:marRight w:val="0"/>
      <w:marTop w:val="0"/>
      <w:marBottom w:val="0"/>
      <w:divBdr>
        <w:top w:val="none" w:sz="0" w:space="0" w:color="auto"/>
        <w:left w:val="none" w:sz="0" w:space="0" w:color="auto"/>
        <w:bottom w:val="none" w:sz="0" w:space="0" w:color="auto"/>
        <w:right w:val="none" w:sz="0" w:space="0" w:color="auto"/>
      </w:divBdr>
    </w:div>
    <w:div w:id="1979912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ema.gov/sites/default/files/2020-05/MPPP_Guidelines_Requirements_2017FY.PDF" TargetMode="External"/><Relationship Id="rId18" Type="http://schemas.openxmlformats.org/officeDocument/2006/relationships/hyperlink" Target="https://www.opm.gov/policy-data-oversight/pay-leave/salaries-wages/salary-tables/21Tables/html/DCB.aspx"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fema.gov/flood-insurance/advocate" TargetMode="External"/><Relationship Id="rId17" Type="http://schemas.openxmlformats.org/officeDocument/2006/relationships/hyperlink" Target="http://www.dhs.gov/system-records-notices-sorns" TargetMode="External"/><Relationship Id="rId2" Type="http://schemas.openxmlformats.org/officeDocument/2006/relationships/customXml" Target="../customXml/item2.xml"/><Relationship Id="rId16" Type="http://schemas.openxmlformats.org/officeDocument/2006/relationships/hyperlink" Target="https://www.federalregister.gov/documents/2014/05/19/2014-11386/privacy-act-of-1974-department-of-homeland-security-federal-emergency-management-agency-003-nationa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ongress.gov/113/plaws/publ89/PLAW-113publ89.pdf" TargetMode="External"/><Relationship Id="rId5" Type="http://schemas.openxmlformats.org/officeDocument/2006/relationships/numbering" Target="numbering.xml"/><Relationship Id="rId15" Type="http://schemas.openxmlformats.org/officeDocument/2006/relationships/hyperlink" Target="https://www.dhs.gov/publication/dhsfemapia-050-national-flood-insurance-program-nfip-pivot-system"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ema.gov/sites/default/files/2020-05/FY2020-WYO-Financial-Assistance-Subsidy-Arrangement.pdf"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bls.gov/oes/2020/may/oes132041.htm" TargetMode="External"/><Relationship Id="rId2" Type="http://schemas.openxmlformats.org/officeDocument/2006/relationships/hyperlink" Target="https://www.bls.gov/oes/2020/may/oes413021.htm" TargetMode="External"/><Relationship Id="rId1" Type="http://schemas.openxmlformats.org/officeDocument/2006/relationships/hyperlink" Target="https://www.bls.gov/news.release/pdf/ecec.pdf" TargetMode="External"/><Relationship Id="rId4" Type="http://schemas.openxmlformats.org/officeDocument/2006/relationships/hyperlink" Target="https://www.bls.gov/oes/2020/may/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D68D6125B1BD54DAA60C7256F5C0B54" ma:contentTypeVersion="2" ma:contentTypeDescription="Create a new document." ma:contentTypeScope="" ma:versionID="6b36e12df88cea41201d1e878b4bb32c">
  <xsd:schema xmlns:xsd="http://www.w3.org/2001/XMLSchema" xmlns:xs="http://www.w3.org/2001/XMLSchema" xmlns:p="http://schemas.microsoft.com/office/2006/metadata/properties" xmlns:ns2="5583a38e-5bd1-4cf9-b4f2-d9b49c295657" targetNamespace="http://schemas.microsoft.com/office/2006/metadata/properties" ma:root="true" ma:fieldsID="b6fd07b8d1365ebee649b9082c3e7293" ns2:_="">
    <xsd:import namespace="5583a38e-5bd1-4cf9-b4f2-d9b49c295657"/>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83a38e-5bd1-4cf9-b4f2-d9b49c2956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97A15C-E117-44A7-98DC-B61AA52300A8}">
  <ds:schemaRefs>
    <ds:schemaRef ds:uri="http://schemas.microsoft.com/sharepoint/v3/contenttype/forms"/>
  </ds:schemaRefs>
</ds:datastoreItem>
</file>

<file path=customXml/itemProps2.xml><?xml version="1.0" encoding="utf-8"?>
<ds:datastoreItem xmlns:ds="http://schemas.openxmlformats.org/officeDocument/2006/customXml" ds:itemID="{E02F9C37-1ECC-4F1A-A276-C55F87E6A4BD}">
  <ds:schemaRefs>
    <ds:schemaRef ds:uri="http://schemas.openxmlformats.org/officeDocument/2006/bibliography"/>
  </ds:schemaRefs>
</ds:datastoreItem>
</file>

<file path=customXml/itemProps3.xml><?xml version="1.0" encoding="utf-8"?>
<ds:datastoreItem xmlns:ds="http://schemas.openxmlformats.org/officeDocument/2006/customXml" ds:itemID="{7E4FD52C-48A5-4BC0-AEDE-3FD970BADC7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A1E8C7D-A8AE-4183-9245-0175C945B3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83a38e-5bd1-4cf9-b4f2-d9b49c2956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4279</Words>
  <Characters>25831</Characters>
  <Application>Microsoft Office Word</Application>
  <DocSecurity>0</DocSecurity>
  <Lines>215</Lines>
  <Paragraphs>60</Paragraphs>
  <ScaleCrop>false</ScaleCrop>
  <Company>FEMA</Company>
  <LinksUpToDate>false</LinksUpToDate>
  <CharactersWithSpaces>30050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 10/2003</dc:title>
  <dc:subject/>
  <dc:creator>FEMA Employee</dc:creator>
  <cp:keywords/>
  <cp:lastModifiedBy>Robinson, Krista</cp:lastModifiedBy>
  <cp:revision>2</cp:revision>
  <cp:lastPrinted>2018-02-12T19:46:00Z</cp:lastPrinted>
  <dcterms:created xsi:type="dcterms:W3CDTF">2021-08-04T18:03:00Z</dcterms:created>
  <dcterms:modified xsi:type="dcterms:W3CDTF">2021-08-04T18:03:00Z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0x010100AD68D6125B1BD54DAA60C7256F5C0B54</vt:lpwstr>
  </property>
</Properties>
</file>