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375E" w:rsidR="00B75135" w:rsidP="00AD381B" w:rsidRDefault="00EA1767" w14:paraId="5515AE2E" w14:textId="1C18F616">
      <w:pPr>
        <w:pStyle w:val="Header"/>
      </w:pPr>
      <w:r w:rsidRPr="00C875E8">
        <w:rPr>
          <w:rFonts w:ascii="Times New Roman" w:hAnsi="Times New Roman"/>
          <w:szCs w:val="24"/>
        </w:rPr>
        <w:t>Tracking and OMB Number:</w:t>
      </w:r>
      <w:r w:rsidR="0038257B">
        <w:rPr>
          <w:rFonts w:ascii="Times New Roman" w:hAnsi="Times New Roman"/>
          <w:szCs w:val="24"/>
        </w:rPr>
        <w:t xml:space="preserve"> </w:t>
      </w:r>
      <w:r w:rsidRPr="0038257B" w:rsidR="00847C6C">
        <w:rPr>
          <w:rFonts w:ascii="Times New Roman" w:hAnsi="Times New Roman"/>
          <w:szCs w:val="24"/>
        </w:rPr>
        <w:t>1810-</w:t>
      </w:r>
      <w:r w:rsidRPr="0038257B" w:rsidR="009A61E9">
        <w:rPr>
          <w:rFonts w:ascii="Times New Roman" w:hAnsi="Times New Roman"/>
          <w:szCs w:val="24"/>
        </w:rPr>
        <w:t>0684</w:t>
      </w:r>
    </w:p>
    <w:p w:rsidR="00EA1767" w:rsidP="006B4172" w:rsidRDefault="00EA1767" w14:paraId="7BED2EA1" w14:textId="5ACCE965">
      <w:pPr>
        <w:pStyle w:val="Header"/>
        <w:rPr>
          <w:rFonts w:ascii="Times New Roman" w:hAnsi="Times New Roman"/>
          <w:szCs w:val="24"/>
        </w:rPr>
      </w:pPr>
    </w:p>
    <w:p w:rsidRPr="00AD381B" w:rsidR="00A77F10" w:rsidP="006B4172" w:rsidRDefault="00A77F10" w14:paraId="2BB11082" w14:textId="77777777">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77777777">
      <w:pPr>
        <w:pStyle w:val="ListParagraph"/>
        <w:suppressAutoHyphens/>
        <w:spacing w:line="240" w:lineRule="exact"/>
        <w:rPr>
          <w:rFonts w:ascii="Times New Roman" w:hAnsi="Times New Roman"/>
          <w:szCs w:val="24"/>
        </w:rPr>
      </w:pPr>
    </w:p>
    <w:p w:rsidRPr="00BC564D" w:rsidR="00847C6C" w:rsidP="00BC564D" w:rsidRDefault="008700EC" w14:paraId="5E67702A" w14:textId="0FF6713E">
      <w:pPr>
        <w:pStyle w:val="ListParagraph"/>
        <w:suppressAutoHyphens/>
        <w:spacing w:line="240" w:lineRule="exact"/>
        <w:rPr>
          <w:rFonts w:ascii="Times New Roman" w:hAnsi="Times New Roman"/>
          <w:szCs w:val="24"/>
        </w:rPr>
      </w:pPr>
      <w:bookmarkStart w:name="_Hlk74207447" w:id="0"/>
      <w:r>
        <w:rPr>
          <w:rFonts w:ascii="Times New Roman" w:hAnsi="Times New Roman"/>
          <w:szCs w:val="24"/>
        </w:rPr>
        <w:t>This is a request for an extension with</w:t>
      </w:r>
      <w:r w:rsidR="00535101">
        <w:rPr>
          <w:rFonts w:ascii="Times New Roman" w:hAnsi="Times New Roman"/>
          <w:szCs w:val="24"/>
        </w:rPr>
        <w:t>out</w:t>
      </w:r>
      <w:r>
        <w:rPr>
          <w:rFonts w:ascii="Times New Roman" w:hAnsi="Times New Roman"/>
          <w:szCs w:val="24"/>
        </w:rPr>
        <w:t xml:space="preserve"> change for the 1810-</w:t>
      </w:r>
      <w:r w:rsidR="009A61E9">
        <w:rPr>
          <w:rFonts w:ascii="Times New Roman" w:hAnsi="Times New Roman"/>
          <w:szCs w:val="24"/>
        </w:rPr>
        <w:t xml:space="preserve">0684 </w:t>
      </w:r>
      <w:r w:rsidRPr="009A61E9" w:rsidR="009A61E9">
        <w:rPr>
          <w:rFonts w:ascii="Times New Roman" w:hAnsi="Times New Roman"/>
          <w:szCs w:val="24"/>
        </w:rPr>
        <w:t>High School Equivalency Program (HEP) Annual Performance Report</w:t>
      </w:r>
      <w:r w:rsidR="009A61E9">
        <w:rPr>
          <w:rFonts w:ascii="Times New Roman" w:hAnsi="Times New Roman"/>
          <w:szCs w:val="24"/>
        </w:rPr>
        <w:t xml:space="preserve"> collection.</w:t>
      </w:r>
      <w:bookmarkEnd w:id="0"/>
      <w:r>
        <w:rPr>
          <w:rFonts w:ascii="Times New Roman" w:hAnsi="Times New Roman"/>
          <w:szCs w:val="24"/>
        </w:rPr>
        <w:t xml:space="preserve"> </w:t>
      </w:r>
      <w:r w:rsidRPr="00BC564D" w:rsidR="00847C6C">
        <w:rPr>
          <w:rFonts w:ascii="Times New Roman" w:hAnsi="Times New Roman"/>
          <w:szCs w:val="24"/>
        </w:rPr>
        <w:t xml:space="preserve">The Office of Migrant Education (OME) is collecting information for the High School Equivalency Program (HEP) which is authorized under Title IV, Section 418A of the Higher Education Act of 1965, as amended by Section 408 of  the Higher Education Opportunity Act (HEOA)(20 U.S.C. 1070d-2) (special programs for students whose families are engaged in migrant and seasonal </w:t>
      </w:r>
      <w:proofErr w:type="spellStart"/>
      <w:r w:rsidRPr="00BC564D" w:rsidR="00847C6C">
        <w:rPr>
          <w:rFonts w:ascii="Times New Roman" w:hAnsi="Times New Roman"/>
          <w:szCs w:val="24"/>
        </w:rPr>
        <w:t>farmwork</w:t>
      </w:r>
      <w:proofErr w:type="spellEnd"/>
      <w:r w:rsidRPr="00BC564D" w:rsidR="00847C6C">
        <w:rPr>
          <w:rFonts w:ascii="Times New Roman" w:hAnsi="Times New Roman"/>
          <w:szCs w:val="24"/>
        </w:rPr>
        <w:t>) and 2 CFR 200.328  which requires that recipients of discretionary grants submit an Annual Performance Report (APR) to best inform improvements in program outcomes and productivity.</w:t>
      </w:r>
      <w:r w:rsidRPr="00BC564D" w:rsidR="00847C6C">
        <w:rPr>
          <w:rFonts w:ascii="Times New Roman" w:hAnsi="Times New Roman"/>
          <w:szCs w:val="24"/>
        </w:rPr>
        <w:tab/>
      </w:r>
    </w:p>
    <w:p w:rsidRPr="00BC564D" w:rsidR="00847C6C" w:rsidP="00BC564D" w:rsidRDefault="00847C6C" w14:paraId="4146EB33" w14:textId="77777777">
      <w:pPr>
        <w:pStyle w:val="ListParagraph"/>
        <w:suppressAutoHyphens/>
        <w:spacing w:line="240" w:lineRule="exact"/>
        <w:rPr>
          <w:rFonts w:ascii="Times New Roman" w:hAnsi="Times New Roman"/>
          <w:szCs w:val="24"/>
        </w:rPr>
      </w:pPr>
    </w:p>
    <w:p w:rsidRPr="00BC564D" w:rsidR="00847C6C" w:rsidP="00BC564D" w:rsidRDefault="00847C6C" w14:paraId="58B9EB9A" w14:textId="77777777">
      <w:pPr>
        <w:pStyle w:val="ListParagraph"/>
        <w:suppressAutoHyphens/>
        <w:spacing w:line="240" w:lineRule="exact"/>
        <w:rPr>
          <w:rFonts w:ascii="Times New Roman" w:hAnsi="Times New Roman"/>
          <w:szCs w:val="24"/>
        </w:rPr>
      </w:pPr>
      <w:r w:rsidRPr="00BC564D">
        <w:rPr>
          <w:rFonts w:ascii="Times New Roman" w:hAnsi="Times New Roman"/>
          <w:szCs w:val="24"/>
        </w:rPr>
        <w:t>Although the Education Department continues to use the generic 524B, OME is requesting to continue the use of a customized APR that goes beyond the generic 524B APR to facilitate the collection of more standardized and comprehensive data to inform Government Performance Results Act (GPRA) indicators, to improve the overall quality of data collected, and to increase the quality of data that can be used to inform policy decisions.</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7BED2EA9" w14:textId="77777777">
      <w:pPr>
        <w:suppressAutoHyphens/>
        <w:spacing w:line="240" w:lineRule="exact"/>
        <w:rPr>
          <w:rFonts w:ascii="Times New Roman" w:hAnsi="Times New Roman"/>
          <w:szCs w:val="24"/>
        </w:rPr>
      </w:pPr>
    </w:p>
    <w:p w:rsidRPr="00BC564D" w:rsidR="00847C6C" w:rsidP="00BC564D" w:rsidRDefault="00847C6C" w14:paraId="31C0F07B" w14:textId="77777777">
      <w:pPr>
        <w:pStyle w:val="ListParagraph"/>
        <w:suppressAutoHyphens/>
        <w:spacing w:line="240" w:lineRule="exact"/>
        <w:rPr>
          <w:rFonts w:ascii="Times New Roman" w:hAnsi="Times New Roman"/>
          <w:szCs w:val="24"/>
        </w:rPr>
      </w:pPr>
      <w:r w:rsidRPr="00BC564D">
        <w:rPr>
          <w:rFonts w:ascii="Times New Roman" w:hAnsi="Times New Roman"/>
          <w:szCs w:val="24"/>
        </w:rPr>
        <w:t xml:space="preserve">The OME staff will continue to collect information via the APR submitted by HEP grantees in compliance with 2 CFR 200.328.  APRs are submitted once a year and are used to monitor grantee progress.  We request a customized APR that goes beyond the generic 524B APR to facilitate the collection of more standardized and comprehensive data used to inform GPRA, improve the overall quality of data collected, and increase the quality of data that has been used for evaluation and to inform policy decisions.  </w:t>
      </w:r>
    </w:p>
    <w:p w:rsidRPr="00BC564D" w:rsidR="00847C6C" w:rsidP="00BC564D" w:rsidRDefault="00847C6C" w14:paraId="51D6723A" w14:textId="77777777">
      <w:pPr>
        <w:pStyle w:val="ListParagraph"/>
        <w:suppressAutoHyphens/>
        <w:spacing w:line="240" w:lineRule="exact"/>
        <w:rPr>
          <w:rFonts w:ascii="Times New Roman" w:hAnsi="Times New Roman"/>
          <w:szCs w:val="24"/>
        </w:rPr>
      </w:pPr>
    </w:p>
    <w:p w:rsidRPr="00BC564D" w:rsidR="00847C6C" w:rsidP="00BC564D" w:rsidRDefault="00847C6C" w14:paraId="2AE90937" w14:textId="77777777">
      <w:pPr>
        <w:pStyle w:val="ListParagraph"/>
        <w:suppressAutoHyphens/>
        <w:spacing w:line="240" w:lineRule="exact"/>
        <w:rPr>
          <w:rFonts w:ascii="Times New Roman" w:hAnsi="Times New Roman"/>
          <w:szCs w:val="24"/>
        </w:rPr>
      </w:pPr>
      <w:r w:rsidRPr="00BC564D">
        <w:rPr>
          <w:rFonts w:ascii="Times New Roman" w:hAnsi="Times New Roman"/>
          <w:szCs w:val="24"/>
        </w:rPr>
        <w:t xml:space="preserve">Using the information collected in the APR, OME has been able to develop decision rules to measure </w:t>
      </w:r>
      <w:proofErr w:type="gramStart"/>
      <w:r w:rsidRPr="00BC564D">
        <w:rPr>
          <w:rFonts w:ascii="Times New Roman" w:hAnsi="Times New Roman"/>
          <w:szCs w:val="24"/>
        </w:rPr>
        <w:t>whether or not</w:t>
      </w:r>
      <w:proofErr w:type="gramEnd"/>
      <w:r w:rsidRPr="00BC564D">
        <w:rPr>
          <w:rFonts w:ascii="Times New Roman" w:hAnsi="Times New Roman"/>
          <w:szCs w:val="24"/>
        </w:rPr>
        <w:t xml:space="preserve"> grantees have made substantial progress from year to year.  OME then requires grantees that have not made substantial progress to submit a corrective action plan, which includes benchmarks for improving their program performance.  As a result of this analysis, OME has been able to use objective data to determine discontinuation of funding for grantees that have continually failed to make substantial progress in accordance with the national performance measures for High School Equivalency Diploma attainment and placement, despite the provision of technical assistance by OME.</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Pr="00BC564D" w:rsidR="00847C6C" w:rsidP="00847C6C" w:rsidRDefault="00847C6C" w14:paraId="00FE6503" w14:textId="77777777">
      <w:pPr>
        <w:ind w:left="720"/>
        <w:rPr>
          <w:rFonts w:ascii="Times New Roman" w:hAnsi="Times New Roman"/>
          <w:szCs w:val="24"/>
        </w:rPr>
      </w:pPr>
      <w:r w:rsidRPr="00BC564D">
        <w:rPr>
          <w:rFonts w:ascii="Times New Roman" w:hAnsi="Times New Roman"/>
          <w:szCs w:val="24"/>
        </w:rPr>
        <w:t xml:space="preserve">The APR form will be collected via an electronic form accessible to grantees via the internet (i.e., HEP/CAMP listserv).  This submission format will ensure the timeliness of submission, accuracy of data, and reduce cost or burden associated with regular mail.  It will also limit the program office’s cost associated with data analysis.  All information collected in support of the APR will be collected in compliance with grantee evaluation requirements.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7F20AE62">
      <w:pPr>
        <w:pStyle w:val="ListParagraph"/>
        <w:tabs>
          <w:tab w:val="left" w:pos="-720"/>
        </w:tabs>
        <w:suppressAutoHyphens/>
        <w:contextualSpacing w:val="0"/>
        <w:rPr>
          <w:rFonts w:ascii="Times New Roman" w:hAnsi="Times New Roman"/>
          <w:b/>
          <w:szCs w:val="24"/>
        </w:rPr>
      </w:pPr>
    </w:p>
    <w:p w:rsidRPr="00BC564D" w:rsidR="00847C6C" w:rsidP="00847C6C" w:rsidRDefault="00847C6C" w14:paraId="552A4C5F" w14:textId="77777777">
      <w:pPr>
        <w:ind w:left="720"/>
        <w:rPr>
          <w:rFonts w:ascii="Times New Roman" w:hAnsi="Times New Roman"/>
          <w:szCs w:val="24"/>
        </w:rPr>
      </w:pPr>
      <w:r w:rsidRPr="00BC564D">
        <w:rPr>
          <w:rFonts w:ascii="Times New Roman" w:hAnsi="Times New Roman"/>
          <w:szCs w:val="24"/>
        </w:rPr>
        <w:t xml:space="preserve">There is no duplication of reporting on the HEP APR.  Data are reported annually covering the specified reporting period.  The information requested on the APR from HEP grantees is not collected or reported elsewhere.  </w:t>
      </w:r>
    </w:p>
    <w:p w:rsidRPr="00246FE9" w:rsidR="00847C6C" w:rsidP="00246FE9" w:rsidRDefault="00847C6C" w14:paraId="23CEF218"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7777777">
      <w:pPr>
        <w:pStyle w:val="ListParagraph"/>
        <w:contextualSpacing w:val="0"/>
        <w:rPr>
          <w:rFonts w:ascii="Times New Roman" w:hAnsi="Times New Roman"/>
          <w:szCs w:val="24"/>
        </w:rPr>
      </w:pPr>
    </w:p>
    <w:p w:rsidR="00AD381B" w:rsidP="00BC564D" w:rsidRDefault="00847C6C" w14:paraId="7BED2EB2" w14:textId="29B8B942">
      <w:pPr>
        <w:ind w:left="720"/>
        <w:rPr>
          <w:color w:val="FF0000"/>
          <w:sz w:val="22"/>
          <w:szCs w:val="22"/>
        </w:rPr>
      </w:pPr>
      <w:r w:rsidRPr="00BC564D">
        <w:rPr>
          <w:rFonts w:ascii="Times New Roman" w:hAnsi="Times New Roman"/>
          <w:szCs w:val="24"/>
        </w:rPr>
        <w:t xml:space="preserve">The data collection does not involve small businesses or other small entities. </w:t>
      </w:r>
      <w:r w:rsidRPr="00847C6C">
        <w:rPr>
          <w:color w:val="FF0000"/>
          <w:sz w:val="22"/>
          <w:szCs w:val="22"/>
        </w:rPr>
        <w:t xml:space="preserve"> </w:t>
      </w:r>
    </w:p>
    <w:p w:rsidRPr="00847C6C" w:rsidR="00BC564D" w:rsidP="00BC564D" w:rsidRDefault="00BC564D" w14:paraId="2EA7EB06" w14:textId="77777777">
      <w:pPr>
        <w:ind w:left="720"/>
        <w:rPr>
          <w:rFonts w:ascii="Times New Roman" w:hAnsi="Times New Roman"/>
          <w:color w:val="FF0000"/>
          <w:szCs w:val="24"/>
        </w:rPr>
      </w:pPr>
    </w:p>
    <w:p w:rsidR="00043C32" w:rsidP="00AD381B" w:rsidRDefault="00043C32" w14:paraId="7BED2EB3" w14:textId="6AD9912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847C6C" w:rsidP="00847C6C" w:rsidRDefault="00847C6C" w14:paraId="37A20265" w14:textId="5D42C152">
      <w:pPr>
        <w:pStyle w:val="ListParagraph"/>
        <w:tabs>
          <w:tab w:val="left" w:pos="-720"/>
        </w:tabs>
        <w:suppressAutoHyphens/>
        <w:contextualSpacing w:val="0"/>
        <w:rPr>
          <w:rFonts w:ascii="Times New Roman" w:hAnsi="Times New Roman"/>
          <w:b/>
          <w:szCs w:val="24"/>
        </w:rPr>
      </w:pPr>
    </w:p>
    <w:p w:rsidRPr="00BC564D" w:rsidR="00847C6C" w:rsidP="00847C6C" w:rsidRDefault="00847C6C" w14:paraId="2F0BD5E9" w14:textId="77777777">
      <w:pPr>
        <w:ind w:left="720"/>
        <w:rPr>
          <w:rFonts w:ascii="Times New Roman" w:hAnsi="Times New Roman"/>
          <w:szCs w:val="24"/>
        </w:rPr>
      </w:pPr>
      <w:r w:rsidRPr="00BC564D">
        <w:rPr>
          <w:rFonts w:ascii="Times New Roman" w:hAnsi="Times New Roman"/>
          <w:szCs w:val="24"/>
        </w:rPr>
        <w:t>The APR is a program performance reporting requirement of funded HEP projects, as stipulated in 2 CFR 200.328.  Annual reporting ensures each grantee provides a report that contains:</w:t>
      </w:r>
    </w:p>
    <w:p w:rsidRPr="00BC564D" w:rsidR="00847C6C" w:rsidP="00847C6C" w:rsidRDefault="00847C6C" w14:paraId="741A2974"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BC564D">
        <w:rPr>
          <w:rFonts w:ascii="Times New Roman" w:hAnsi="Times New Roman"/>
          <w:szCs w:val="24"/>
        </w:rPr>
        <w:t xml:space="preserve">A comparison of actual accomplishments to the program objectives of the Federal award and the project objectives established for the </w:t>
      </w:r>
      <w:proofErr w:type="gramStart"/>
      <w:r w:rsidRPr="00BC564D">
        <w:rPr>
          <w:rFonts w:ascii="Times New Roman" w:hAnsi="Times New Roman"/>
          <w:szCs w:val="24"/>
        </w:rPr>
        <w:t>period;</w:t>
      </w:r>
      <w:proofErr w:type="gramEnd"/>
    </w:p>
    <w:p w:rsidRPr="00BC564D" w:rsidR="00847C6C" w:rsidP="00847C6C" w:rsidRDefault="00847C6C" w14:paraId="2AB530DE"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BC564D">
        <w:rPr>
          <w:rFonts w:ascii="Times New Roman" w:hAnsi="Times New Roman"/>
          <w:szCs w:val="24"/>
        </w:rPr>
        <w:lastRenderedPageBreak/>
        <w:t>The reasons established goals were not met, if appropriate; and</w:t>
      </w:r>
    </w:p>
    <w:p w:rsidRPr="00BC564D" w:rsidR="00847C6C" w:rsidP="00847C6C" w:rsidRDefault="00847C6C" w14:paraId="04207384"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BC564D">
        <w:rPr>
          <w:rFonts w:ascii="Times New Roman" w:hAnsi="Times New Roman"/>
          <w:szCs w:val="24"/>
        </w:rPr>
        <w:t>Additional pertinent information including, when appropriate, analysis and explanation of cost overruns and high unit cost.</w:t>
      </w:r>
    </w:p>
    <w:p w:rsidRPr="00BC564D" w:rsidR="00847C6C" w:rsidP="00847C6C" w:rsidRDefault="00847C6C" w14:paraId="6BFC51A3" w14:textId="77777777">
      <w:pPr>
        <w:ind w:left="720"/>
        <w:rPr>
          <w:rFonts w:ascii="Times New Roman" w:hAnsi="Times New Roman"/>
          <w:szCs w:val="24"/>
        </w:rPr>
      </w:pPr>
    </w:p>
    <w:p w:rsidRPr="00847C6C" w:rsidR="00847C6C" w:rsidP="00847C6C" w:rsidRDefault="00847C6C" w14:paraId="49D4CD61" w14:textId="77777777">
      <w:pPr>
        <w:ind w:left="720"/>
        <w:rPr>
          <w:color w:val="FF0000"/>
          <w:sz w:val="22"/>
          <w:szCs w:val="22"/>
        </w:rPr>
      </w:pPr>
      <w:r w:rsidRPr="00BC564D">
        <w:rPr>
          <w:rFonts w:ascii="Times New Roman" w:hAnsi="Times New Roman"/>
          <w:szCs w:val="24"/>
        </w:rPr>
        <w:t>Less frequent or no annual reporting risks waste, inefficiency and/or lack of progress on desired indicators due to insufficient oversight.  In addition, OME would like to use data from the customized APR to improve the quality of the performance data.</w:t>
      </w:r>
      <w:r w:rsidRPr="00847C6C">
        <w:rPr>
          <w:color w:val="FF0000"/>
          <w:sz w:val="22"/>
          <w:szCs w:val="22"/>
        </w:rPr>
        <w:t xml:space="preserve">  </w:t>
      </w:r>
    </w:p>
    <w:p w:rsidRPr="00AD381B" w:rsidR="00847C6C" w:rsidP="00847C6C" w:rsidRDefault="00847C6C" w14:paraId="64FF3E74"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40A5B22">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77777777">
      <w:pPr>
        <w:pStyle w:val="ListParagraph"/>
        <w:rPr>
          <w:rFonts w:ascii="Times New Roman" w:hAnsi="Times New Roman"/>
          <w:b/>
          <w:szCs w:val="24"/>
        </w:rPr>
      </w:pPr>
    </w:p>
    <w:p w:rsidRPr="00BC564D" w:rsidR="00847C6C" w:rsidP="00847C6C" w:rsidRDefault="00847C6C" w14:paraId="57463B5B" w14:textId="77777777">
      <w:pPr>
        <w:ind w:left="720"/>
        <w:rPr>
          <w:rFonts w:ascii="Times New Roman" w:hAnsi="Times New Roman"/>
          <w:szCs w:val="24"/>
        </w:rPr>
      </w:pPr>
      <w:r w:rsidRPr="00BC564D">
        <w:rPr>
          <w:rFonts w:ascii="Times New Roman" w:hAnsi="Times New Roman"/>
          <w:szCs w:val="24"/>
        </w:rPr>
        <w:t xml:space="preserve">There is no special circumstance that would require the collection to be conducted in a manner inconsistent with OMB guidelines.  </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057EAB7D">
      <w:pPr>
        <w:tabs>
          <w:tab w:val="left" w:pos="-720"/>
        </w:tabs>
        <w:suppressAutoHyphens/>
        <w:ind w:left="720"/>
        <w:rPr>
          <w:rFonts w:ascii="Times New Roman" w:hAnsi="Times New Roman"/>
          <w:b/>
          <w:szCs w:val="24"/>
        </w:rPr>
      </w:pPr>
    </w:p>
    <w:p w:rsidR="003B13F6" w:rsidP="003B13F6" w:rsidRDefault="003B13F6" w14:paraId="072B8B76" w14:textId="3064039D">
      <w:pPr>
        <w:pStyle w:val="BodyText3"/>
        <w:spacing w:after="0"/>
        <w:ind w:left="720"/>
        <w:rPr>
          <w:b/>
          <w:szCs w:val="24"/>
        </w:rPr>
      </w:pPr>
      <w:r w:rsidRPr="00624D7F">
        <w:rPr>
          <w:sz w:val="24"/>
        </w:rPr>
        <w:t>The Department publish</w:t>
      </w:r>
      <w:r w:rsidR="00D701A4">
        <w:rPr>
          <w:sz w:val="24"/>
        </w:rPr>
        <w:t>ed</w:t>
      </w:r>
      <w:r w:rsidRPr="00624D7F">
        <w:rPr>
          <w:sz w:val="24"/>
        </w:rPr>
        <w:t xml:space="preserve"> a 60-</w:t>
      </w:r>
      <w:r w:rsidR="00D701A4">
        <w:rPr>
          <w:sz w:val="24"/>
        </w:rPr>
        <w:t>day Federal Register Notice on June 17, 2021</w:t>
      </w:r>
      <w:r w:rsidRPr="00624D7F">
        <w:rPr>
          <w:sz w:val="24"/>
        </w:rPr>
        <w:t>.</w:t>
      </w:r>
      <w:r w:rsidR="00D701A4">
        <w:rPr>
          <w:sz w:val="24"/>
        </w:rPr>
        <w:t xml:space="preserve"> There were no public comments received during the 60-day comment period. </w:t>
      </w:r>
      <w:r w:rsidR="00F27181">
        <w:rPr>
          <w:sz w:val="24"/>
        </w:rPr>
        <w:t xml:space="preserve">The Department </w:t>
      </w:r>
      <w:r w:rsidRPr="00624D7F" w:rsidR="00F27181">
        <w:rPr>
          <w:sz w:val="24"/>
        </w:rPr>
        <w:t>will</w:t>
      </w:r>
      <w:r w:rsidR="00F27181">
        <w:rPr>
          <w:sz w:val="24"/>
        </w:rPr>
        <w:t xml:space="preserve"> </w:t>
      </w:r>
      <w:proofErr w:type="spellStart"/>
      <w:r w:rsidR="00F27181">
        <w:rPr>
          <w:sz w:val="24"/>
        </w:rPr>
        <w:t>pulish</w:t>
      </w:r>
      <w:proofErr w:type="spellEnd"/>
      <w:r w:rsidR="00F27181">
        <w:rPr>
          <w:sz w:val="24"/>
        </w:rPr>
        <w:t xml:space="preserve"> a</w:t>
      </w:r>
      <w:r w:rsidR="00D701A4">
        <w:rPr>
          <w:sz w:val="24"/>
        </w:rPr>
        <w:t xml:space="preserve"> </w:t>
      </w:r>
      <w:r w:rsidRPr="00624D7F" w:rsidR="00D701A4">
        <w:rPr>
          <w:sz w:val="24"/>
        </w:rPr>
        <w:t xml:space="preserve">30-day Federal Register </w:t>
      </w:r>
      <w:r w:rsidR="00AE2940">
        <w:rPr>
          <w:sz w:val="24"/>
        </w:rPr>
        <w:t>N</w:t>
      </w:r>
      <w:r w:rsidRPr="00624D7F" w:rsidR="00D701A4">
        <w:rPr>
          <w:sz w:val="24"/>
        </w:rPr>
        <w:t>otice</w:t>
      </w:r>
      <w:r w:rsidR="00D701A4">
        <w:rPr>
          <w:sz w:val="24"/>
        </w:rPr>
        <w:t xml:space="preserve">. </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7777777">
      <w:pPr>
        <w:pStyle w:val="ListParagraph"/>
        <w:tabs>
          <w:tab w:val="left" w:pos="-720"/>
        </w:tabs>
        <w:suppressAutoHyphens/>
        <w:contextualSpacing w:val="0"/>
        <w:rPr>
          <w:rFonts w:ascii="Times New Roman" w:hAnsi="Times New Roman"/>
          <w:b/>
          <w:szCs w:val="24"/>
        </w:rPr>
      </w:pPr>
    </w:p>
    <w:p w:rsidRPr="00BC564D" w:rsidR="00316B95" w:rsidP="00316B95" w:rsidRDefault="00316B95" w14:paraId="682540A0" w14:textId="77777777">
      <w:pPr>
        <w:ind w:left="720"/>
        <w:rPr>
          <w:rFonts w:ascii="Times New Roman" w:hAnsi="Times New Roman"/>
          <w:szCs w:val="24"/>
        </w:rPr>
      </w:pPr>
      <w:r w:rsidRPr="00BC564D">
        <w:rPr>
          <w:rFonts w:ascii="Times New Roman" w:hAnsi="Times New Roman"/>
          <w:szCs w:val="24"/>
        </w:rPr>
        <w:t xml:space="preserve">There are no payments or gifts to grantees in support of the data collection.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 xml:space="preserve">If no PII will be collected, state that no </w:t>
      </w:r>
      <w:r w:rsidRPr="00D75313" w:rsidR="009767AF">
        <w:rPr>
          <w:rFonts w:ascii="Times New Roman" w:hAnsi="Times New Roman"/>
          <w:b/>
          <w:szCs w:val="24"/>
        </w:rPr>
        <w:lastRenderedPageBreak/>
        <w:t>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Pr="00BC564D" w:rsidR="00316B95" w:rsidP="00316B95" w:rsidRDefault="00316B95" w14:paraId="0973E076" w14:textId="77777777">
      <w:pPr>
        <w:ind w:left="720"/>
        <w:rPr>
          <w:rFonts w:ascii="Times New Roman" w:hAnsi="Times New Roman"/>
          <w:szCs w:val="24"/>
        </w:rPr>
      </w:pPr>
      <w:r w:rsidRPr="00BC564D">
        <w:rPr>
          <w:rFonts w:ascii="Times New Roman" w:hAnsi="Times New Roman"/>
          <w:szCs w:val="24"/>
        </w:rPr>
        <w:t xml:space="preserve">There are no assurances of confidentiality to grantees.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77777777">
      <w:pPr>
        <w:tabs>
          <w:tab w:val="left" w:pos="-720"/>
        </w:tabs>
        <w:suppressAutoHyphens/>
        <w:rPr>
          <w:rFonts w:ascii="Times New Roman" w:hAnsi="Times New Roman"/>
          <w:b/>
          <w:szCs w:val="24"/>
        </w:rPr>
      </w:pPr>
    </w:p>
    <w:p w:rsidRPr="00BC564D" w:rsidR="00316B95" w:rsidP="00316B95" w:rsidRDefault="00316B95" w14:paraId="6A4B5380" w14:textId="77777777">
      <w:pPr>
        <w:ind w:left="720"/>
        <w:rPr>
          <w:rFonts w:ascii="Times New Roman" w:hAnsi="Times New Roman"/>
          <w:szCs w:val="24"/>
        </w:rPr>
      </w:pPr>
      <w:r w:rsidRPr="00BC564D">
        <w:rPr>
          <w:rFonts w:ascii="Times New Roman" w:hAnsi="Times New Roman"/>
          <w:szCs w:val="24"/>
        </w:rPr>
        <w:t>There are no questions of a sensitive nature on the APR.</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Pr="008700EC" w:rsidR="00AE6BD1" w:rsidP="008700EC" w:rsidRDefault="00AE6BD1" w14:paraId="3DB3D989" w14:textId="0B6C083D">
      <w:pPr>
        <w:ind w:left="720"/>
        <w:rPr>
          <w:rFonts w:ascii="Times New Roman" w:hAnsi="Times New Roman"/>
          <w:szCs w:val="24"/>
        </w:rPr>
      </w:pPr>
      <w:r w:rsidRPr="008700EC">
        <w:rPr>
          <w:rFonts w:ascii="Times New Roman" w:hAnsi="Times New Roman"/>
          <w:szCs w:val="24"/>
        </w:rPr>
        <w:t xml:space="preserve">The average estimated burden per grantee is 23 hours, and the total estimated burden for all grantees is 1,173 hours (23 hours x 51 grantees).  The estimated burden per grantee </w:t>
      </w:r>
      <w:r w:rsidR="0019345D">
        <w:rPr>
          <w:rFonts w:ascii="Times New Roman" w:hAnsi="Times New Roman"/>
          <w:szCs w:val="24"/>
        </w:rPr>
        <w:t xml:space="preserve">will not change from the previous </w:t>
      </w:r>
      <w:proofErr w:type="spellStart"/>
      <w:r w:rsidR="0019345D">
        <w:rPr>
          <w:rFonts w:ascii="Times New Roman" w:hAnsi="Times New Roman"/>
          <w:szCs w:val="24"/>
        </w:rPr>
        <w:t>submisson</w:t>
      </w:r>
      <w:proofErr w:type="spellEnd"/>
      <w:r w:rsidRPr="008700EC">
        <w:rPr>
          <w:rFonts w:ascii="Times New Roman" w:hAnsi="Times New Roman"/>
          <w:szCs w:val="24"/>
        </w:rPr>
        <w:t xml:space="preserve"> </w:t>
      </w:r>
      <w:r w:rsidR="0019345D">
        <w:rPr>
          <w:rFonts w:ascii="Times New Roman" w:hAnsi="Times New Roman"/>
          <w:szCs w:val="24"/>
        </w:rPr>
        <w:t>(</w:t>
      </w:r>
      <w:proofErr w:type="spellStart"/>
      <w:r w:rsidR="0019345D">
        <w:rPr>
          <w:rFonts w:ascii="Times New Roman" w:hAnsi="Times New Roman"/>
          <w:szCs w:val="24"/>
        </w:rPr>
        <w:t>i.e</w:t>
      </w:r>
      <w:proofErr w:type="spellEnd"/>
      <w:r w:rsidR="0019345D">
        <w:rPr>
          <w:rFonts w:ascii="Times New Roman" w:hAnsi="Times New Roman"/>
          <w:szCs w:val="24"/>
        </w:rPr>
        <w:t xml:space="preserve">, </w:t>
      </w:r>
      <w:r w:rsidRPr="008700EC">
        <w:rPr>
          <w:rFonts w:ascii="Times New Roman" w:hAnsi="Times New Roman"/>
          <w:szCs w:val="24"/>
        </w:rPr>
        <w:t xml:space="preserve">1,173 hours).  </w:t>
      </w:r>
      <w:r w:rsidR="007B4BBF">
        <w:rPr>
          <w:rFonts w:ascii="Times New Roman" w:hAnsi="Times New Roman"/>
          <w:szCs w:val="24"/>
        </w:rPr>
        <w:t xml:space="preserve">This estimate will vary by grantee depending on their institutional process for completing the forms. </w:t>
      </w:r>
    </w:p>
    <w:p w:rsidR="00AE6BD1" w:rsidP="00AE6BD1" w:rsidRDefault="00AE6BD1" w14:paraId="37AD2513" w14:textId="4AA68B71">
      <w:pPr>
        <w:pStyle w:val="ListParagraph"/>
        <w:ind w:left="1440"/>
        <w:rPr>
          <w:color w:val="FF0000"/>
          <w:sz w:val="22"/>
          <w:szCs w:val="22"/>
        </w:rPr>
      </w:pPr>
    </w:p>
    <w:tbl>
      <w:tblPr>
        <w:tblStyle w:val="TableGridLight"/>
        <w:tblpPr w:leftFromText="180" w:rightFromText="180" w:vertAnchor="text" w:horzAnchor="margin" w:tblpXSpec="center" w:tblpY="174"/>
        <w:tblW w:w="8668" w:type="dxa"/>
        <w:tblLayout w:type="fixed"/>
        <w:tblLook w:val="0020" w:firstRow="1" w:lastRow="0" w:firstColumn="0" w:lastColumn="0" w:noHBand="0" w:noVBand="0"/>
      </w:tblPr>
      <w:tblGrid>
        <w:gridCol w:w="1323"/>
        <w:gridCol w:w="1253"/>
        <w:gridCol w:w="1062"/>
        <w:gridCol w:w="1313"/>
        <w:gridCol w:w="885"/>
        <w:gridCol w:w="1179"/>
        <w:gridCol w:w="1653"/>
      </w:tblGrid>
      <w:tr w:rsidRPr="00442E07" w:rsidR="00D152C2" w:rsidTr="00AD4AA5" w14:paraId="61BEB150" w14:textId="77777777">
        <w:trPr>
          <w:trHeight w:val="1788"/>
          <w:tblHeader/>
        </w:trPr>
        <w:tc>
          <w:tcPr>
            <w:tcW w:w="1323" w:type="dxa"/>
          </w:tcPr>
          <w:p w:rsidR="00170121" w:rsidP="0094376B" w:rsidRDefault="00170121" w14:paraId="25CDF61E" w14:textId="77777777">
            <w:pPr>
              <w:jc w:val="center"/>
              <w:rPr>
                <w:rFonts w:ascii="Times New Roman" w:hAnsi="Times New Roman"/>
                <w:sz w:val="20"/>
              </w:rPr>
            </w:pPr>
          </w:p>
          <w:p w:rsidR="00170121" w:rsidP="0094376B" w:rsidRDefault="00170121" w14:paraId="69679551" w14:textId="77777777">
            <w:pPr>
              <w:jc w:val="center"/>
              <w:rPr>
                <w:rFonts w:ascii="Times New Roman" w:hAnsi="Times New Roman"/>
                <w:sz w:val="20"/>
              </w:rPr>
            </w:pPr>
          </w:p>
          <w:p w:rsidRPr="007F6104" w:rsidR="00170121" w:rsidP="0094376B" w:rsidRDefault="00170121" w14:paraId="45D83C0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53" w:type="dxa"/>
          </w:tcPr>
          <w:p w:rsidRPr="007F6104" w:rsidR="00170121" w:rsidP="0094376B" w:rsidRDefault="00170121" w14:paraId="1383150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62" w:type="dxa"/>
          </w:tcPr>
          <w:p w:rsidR="00170121" w:rsidP="0094376B" w:rsidRDefault="00170121" w14:paraId="26CABADC" w14:textId="77777777">
            <w:pPr>
              <w:jc w:val="center"/>
              <w:rPr>
                <w:rFonts w:ascii="Times New Roman" w:hAnsi="Times New Roman"/>
                <w:sz w:val="20"/>
              </w:rPr>
            </w:pPr>
          </w:p>
          <w:p w:rsidR="00170121" w:rsidP="0094376B" w:rsidRDefault="00170121" w14:paraId="4A6F536D" w14:textId="77777777">
            <w:pPr>
              <w:jc w:val="center"/>
              <w:rPr>
                <w:rFonts w:ascii="Times New Roman" w:hAnsi="Times New Roman"/>
                <w:sz w:val="20"/>
              </w:rPr>
            </w:pPr>
          </w:p>
          <w:p w:rsidRPr="007F6104" w:rsidR="00170121" w:rsidP="0094376B" w:rsidRDefault="00170121" w14:paraId="2BE05DB5" w14:textId="77777777">
            <w:pPr>
              <w:jc w:val="center"/>
              <w:rPr>
                <w:rFonts w:ascii="Times New Roman" w:hAnsi="Times New Roman"/>
                <w:sz w:val="20"/>
              </w:rPr>
            </w:pPr>
            <w:r w:rsidRPr="007F6104">
              <w:rPr>
                <w:rFonts w:ascii="Times New Roman" w:hAnsi="Times New Roman"/>
                <w:sz w:val="20"/>
              </w:rPr>
              <w:t>Number of Responses</w:t>
            </w:r>
          </w:p>
        </w:tc>
        <w:tc>
          <w:tcPr>
            <w:tcW w:w="1313" w:type="dxa"/>
          </w:tcPr>
          <w:p w:rsidR="00170121" w:rsidP="0094376B" w:rsidRDefault="00170121" w14:paraId="5977ABD0" w14:textId="77777777">
            <w:pPr>
              <w:jc w:val="center"/>
              <w:rPr>
                <w:rFonts w:ascii="Times New Roman" w:hAnsi="Times New Roman"/>
                <w:sz w:val="20"/>
              </w:rPr>
            </w:pPr>
          </w:p>
          <w:p w:rsidRPr="007F6104" w:rsidR="00170121" w:rsidP="0094376B" w:rsidRDefault="00170121" w14:paraId="5F073A34" w14:textId="77777777">
            <w:pPr>
              <w:jc w:val="center"/>
              <w:rPr>
                <w:rFonts w:ascii="Times New Roman" w:hAnsi="Times New Roman"/>
                <w:sz w:val="20"/>
              </w:rPr>
            </w:pPr>
            <w:r w:rsidRPr="007F6104">
              <w:rPr>
                <w:rFonts w:ascii="Times New Roman" w:hAnsi="Times New Roman"/>
                <w:sz w:val="20"/>
              </w:rPr>
              <w:t>Average Burden Hours per Response</w:t>
            </w:r>
          </w:p>
        </w:tc>
        <w:tc>
          <w:tcPr>
            <w:tcW w:w="885" w:type="dxa"/>
          </w:tcPr>
          <w:p w:rsidR="00170121" w:rsidP="0094376B" w:rsidRDefault="00170121" w14:paraId="3350CF75" w14:textId="77777777">
            <w:pPr>
              <w:jc w:val="center"/>
              <w:rPr>
                <w:rFonts w:ascii="Times New Roman" w:hAnsi="Times New Roman"/>
                <w:sz w:val="20"/>
              </w:rPr>
            </w:pPr>
          </w:p>
          <w:p w:rsidRPr="007F6104" w:rsidR="00170121" w:rsidP="0094376B" w:rsidRDefault="00170121" w14:paraId="3E338AEE"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9" w:type="dxa"/>
          </w:tcPr>
          <w:p w:rsidR="00170121" w:rsidP="0094376B" w:rsidRDefault="00170121" w14:paraId="5A65949E" w14:textId="77777777">
            <w:pPr>
              <w:jc w:val="center"/>
              <w:rPr>
                <w:rFonts w:ascii="Times New Roman" w:hAnsi="Times New Roman"/>
                <w:sz w:val="20"/>
              </w:rPr>
            </w:pPr>
          </w:p>
          <w:p w:rsidR="00170121" w:rsidP="0094376B" w:rsidRDefault="00170121" w14:paraId="0603482B" w14:textId="77777777">
            <w:pPr>
              <w:jc w:val="center"/>
              <w:rPr>
                <w:rFonts w:ascii="Times New Roman" w:hAnsi="Times New Roman"/>
                <w:sz w:val="20"/>
              </w:rPr>
            </w:pPr>
          </w:p>
          <w:p w:rsidRPr="007F6104" w:rsidR="00170121" w:rsidP="0094376B" w:rsidRDefault="00170121" w14:paraId="46F45A22"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53" w:type="dxa"/>
          </w:tcPr>
          <w:p w:rsidR="00170121" w:rsidP="0094376B" w:rsidRDefault="00170121" w14:paraId="2732B341" w14:textId="77777777">
            <w:pPr>
              <w:jc w:val="center"/>
              <w:rPr>
                <w:rFonts w:ascii="Times New Roman" w:hAnsi="Times New Roman"/>
                <w:sz w:val="20"/>
              </w:rPr>
            </w:pPr>
          </w:p>
          <w:p w:rsidR="00170121" w:rsidP="0094376B" w:rsidRDefault="00170121" w14:paraId="5F13837A" w14:textId="77777777">
            <w:pPr>
              <w:jc w:val="center"/>
              <w:rPr>
                <w:rFonts w:ascii="Times New Roman" w:hAnsi="Times New Roman"/>
                <w:sz w:val="20"/>
              </w:rPr>
            </w:pPr>
          </w:p>
          <w:p w:rsidRPr="007F6104" w:rsidR="00170121" w:rsidP="0094376B" w:rsidRDefault="00170121" w14:paraId="0AA7C860"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D152C2" w:rsidTr="00AD4AA5" w14:paraId="24287D1D" w14:textId="77777777">
        <w:trPr>
          <w:trHeight w:val="349"/>
        </w:trPr>
        <w:tc>
          <w:tcPr>
            <w:tcW w:w="1323" w:type="dxa"/>
          </w:tcPr>
          <w:p w:rsidRPr="00442E07" w:rsidR="00170121" w:rsidP="0094376B" w:rsidRDefault="00AF2969" w14:paraId="6BA52ADE" w14:textId="63864F08">
            <w:pPr>
              <w:rPr>
                <w:rFonts w:ascii="Times New Roman" w:hAnsi="Times New Roman"/>
                <w:szCs w:val="24"/>
              </w:rPr>
            </w:pPr>
            <w:r>
              <w:rPr>
                <w:rFonts w:ascii="Times New Roman" w:hAnsi="Times New Roman"/>
                <w:szCs w:val="24"/>
              </w:rPr>
              <w:t>HEP APR</w:t>
            </w:r>
          </w:p>
        </w:tc>
        <w:tc>
          <w:tcPr>
            <w:tcW w:w="1253" w:type="dxa"/>
          </w:tcPr>
          <w:p w:rsidRPr="00442E07" w:rsidR="00170121" w:rsidP="0094376B" w:rsidRDefault="00AF2969" w14:paraId="3A6A7A90" w14:textId="42ECB2E5">
            <w:pPr>
              <w:rPr>
                <w:rFonts w:ascii="Times New Roman" w:hAnsi="Times New Roman"/>
                <w:szCs w:val="24"/>
              </w:rPr>
            </w:pPr>
            <w:r>
              <w:rPr>
                <w:rFonts w:ascii="Times New Roman" w:hAnsi="Times New Roman"/>
                <w:szCs w:val="24"/>
              </w:rPr>
              <w:t>51</w:t>
            </w:r>
          </w:p>
        </w:tc>
        <w:tc>
          <w:tcPr>
            <w:tcW w:w="1062" w:type="dxa"/>
          </w:tcPr>
          <w:p w:rsidRPr="00442E07" w:rsidR="00170121" w:rsidP="0094376B" w:rsidRDefault="00AF2969" w14:paraId="21ECC027" w14:textId="0686C621">
            <w:pPr>
              <w:jc w:val="center"/>
              <w:rPr>
                <w:rFonts w:ascii="Times New Roman" w:hAnsi="Times New Roman"/>
                <w:szCs w:val="24"/>
              </w:rPr>
            </w:pPr>
            <w:r>
              <w:rPr>
                <w:rFonts w:ascii="Times New Roman" w:hAnsi="Times New Roman"/>
                <w:szCs w:val="24"/>
              </w:rPr>
              <w:t>1 each</w:t>
            </w:r>
          </w:p>
        </w:tc>
        <w:tc>
          <w:tcPr>
            <w:tcW w:w="1313" w:type="dxa"/>
          </w:tcPr>
          <w:p w:rsidRPr="00442E07" w:rsidR="00170121" w:rsidP="0094376B" w:rsidRDefault="00AF2969" w14:paraId="129469D8" w14:textId="281EE4BE">
            <w:pPr>
              <w:jc w:val="center"/>
              <w:rPr>
                <w:rFonts w:ascii="Times New Roman" w:hAnsi="Times New Roman"/>
                <w:szCs w:val="24"/>
              </w:rPr>
            </w:pPr>
            <w:r>
              <w:rPr>
                <w:rFonts w:ascii="Times New Roman" w:hAnsi="Times New Roman"/>
                <w:szCs w:val="24"/>
              </w:rPr>
              <w:t>23</w:t>
            </w:r>
          </w:p>
        </w:tc>
        <w:tc>
          <w:tcPr>
            <w:tcW w:w="885" w:type="dxa"/>
          </w:tcPr>
          <w:p w:rsidRPr="00442E07" w:rsidR="00170121" w:rsidP="0094376B" w:rsidRDefault="00AF2969" w14:paraId="62AD367E" w14:textId="06586CD5">
            <w:pPr>
              <w:rPr>
                <w:rFonts w:ascii="Times New Roman" w:hAnsi="Times New Roman"/>
                <w:szCs w:val="24"/>
              </w:rPr>
            </w:pPr>
            <w:r>
              <w:rPr>
                <w:rFonts w:ascii="Times New Roman" w:hAnsi="Times New Roman"/>
                <w:szCs w:val="24"/>
              </w:rPr>
              <w:t>23</w:t>
            </w:r>
          </w:p>
        </w:tc>
        <w:tc>
          <w:tcPr>
            <w:tcW w:w="1179" w:type="dxa"/>
          </w:tcPr>
          <w:p w:rsidRPr="00442E07" w:rsidR="00170121" w:rsidP="0094376B" w:rsidRDefault="00AF2969" w14:paraId="2A10745D" w14:textId="352A84EF">
            <w:pPr>
              <w:rPr>
                <w:rFonts w:ascii="Times New Roman" w:hAnsi="Times New Roman"/>
                <w:szCs w:val="24"/>
              </w:rPr>
            </w:pPr>
            <w:r>
              <w:rPr>
                <w:rFonts w:ascii="Times New Roman" w:hAnsi="Times New Roman"/>
                <w:szCs w:val="24"/>
              </w:rPr>
              <w:t>$60.32</w:t>
            </w:r>
          </w:p>
        </w:tc>
        <w:tc>
          <w:tcPr>
            <w:tcW w:w="1653" w:type="dxa"/>
          </w:tcPr>
          <w:p w:rsidRPr="00442E07" w:rsidR="00170121" w:rsidP="0094376B" w:rsidRDefault="00AF2969" w14:paraId="544CDF89" w14:textId="2071FF94">
            <w:pPr>
              <w:rPr>
                <w:rFonts w:ascii="Times New Roman" w:hAnsi="Times New Roman"/>
                <w:szCs w:val="24"/>
              </w:rPr>
            </w:pPr>
            <w:r>
              <w:rPr>
                <w:rFonts w:ascii="Times New Roman" w:hAnsi="Times New Roman"/>
                <w:szCs w:val="24"/>
              </w:rPr>
              <w:t>$1,387/grantee</w:t>
            </w:r>
          </w:p>
        </w:tc>
      </w:tr>
      <w:tr w:rsidRPr="00442E07" w:rsidR="00D152C2" w:rsidTr="00AD4AA5" w14:paraId="3D3B326D" w14:textId="77777777">
        <w:trPr>
          <w:trHeight w:val="699"/>
        </w:trPr>
        <w:tc>
          <w:tcPr>
            <w:tcW w:w="1323" w:type="dxa"/>
          </w:tcPr>
          <w:p w:rsidRPr="00442E07" w:rsidR="00170121" w:rsidP="0094376B" w:rsidRDefault="00170121" w14:paraId="40547C0E" w14:textId="77777777">
            <w:pPr>
              <w:rPr>
                <w:rFonts w:ascii="Times New Roman" w:hAnsi="Times New Roman"/>
                <w:szCs w:val="24"/>
              </w:rPr>
            </w:pPr>
            <w:r>
              <w:rPr>
                <w:rFonts w:ascii="Times New Roman" w:hAnsi="Times New Roman"/>
                <w:szCs w:val="24"/>
              </w:rPr>
              <w:t>Annualized Totals</w:t>
            </w:r>
          </w:p>
        </w:tc>
        <w:tc>
          <w:tcPr>
            <w:tcW w:w="1253" w:type="dxa"/>
          </w:tcPr>
          <w:p w:rsidRPr="00442E07" w:rsidR="00170121" w:rsidP="0094376B" w:rsidRDefault="00170121" w14:paraId="0427F99C" w14:textId="0BD7D3D2">
            <w:pPr>
              <w:rPr>
                <w:rFonts w:ascii="Times New Roman" w:hAnsi="Times New Roman"/>
                <w:szCs w:val="24"/>
              </w:rPr>
            </w:pPr>
            <w:r>
              <w:rPr>
                <w:rFonts w:ascii="Times New Roman" w:hAnsi="Times New Roman"/>
                <w:szCs w:val="24"/>
              </w:rPr>
              <w:t>51</w:t>
            </w:r>
          </w:p>
        </w:tc>
        <w:tc>
          <w:tcPr>
            <w:tcW w:w="1062" w:type="dxa"/>
          </w:tcPr>
          <w:p w:rsidRPr="00442E07" w:rsidR="00170121" w:rsidP="0094376B" w:rsidRDefault="00AF2969" w14:paraId="0C9F84F5" w14:textId="7777D3B7">
            <w:pPr>
              <w:rPr>
                <w:rFonts w:ascii="Times New Roman" w:hAnsi="Times New Roman"/>
                <w:szCs w:val="24"/>
              </w:rPr>
            </w:pPr>
            <w:r>
              <w:rPr>
                <w:rFonts w:ascii="Times New Roman" w:hAnsi="Times New Roman"/>
                <w:szCs w:val="24"/>
              </w:rPr>
              <w:t>51 total</w:t>
            </w:r>
          </w:p>
        </w:tc>
        <w:tc>
          <w:tcPr>
            <w:tcW w:w="1313" w:type="dxa"/>
          </w:tcPr>
          <w:p w:rsidRPr="00442E07" w:rsidR="00170121" w:rsidP="0094376B" w:rsidRDefault="00AF2969" w14:paraId="5EBC4FB8" w14:textId="1C58E541">
            <w:pPr>
              <w:rPr>
                <w:rFonts w:ascii="Times New Roman" w:hAnsi="Times New Roman"/>
                <w:szCs w:val="24"/>
              </w:rPr>
            </w:pPr>
            <w:r>
              <w:rPr>
                <w:rFonts w:ascii="Times New Roman" w:hAnsi="Times New Roman"/>
                <w:szCs w:val="24"/>
              </w:rPr>
              <w:t>23</w:t>
            </w:r>
          </w:p>
        </w:tc>
        <w:tc>
          <w:tcPr>
            <w:tcW w:w="885" w:type="dxa"/>
          </w:tcPr>
          <w:p w:rsidRPr="00442E07" w:rsidR="00170121" w:rsidP="0094376B" w:rsidRDefault="00AF2969" w14:paraId="794B1FD4" w14:textId="5F358000">
            <w:pPr>
              <w:rPr>
                <w:rFonts w:ascii="Times New Roman" w:hAnsi="Times New Roman"/>
                <w:szCs w:val="24"/>
              </w:rPr>
            </w:pPr>
            <w:r>
              <w:rPr>
                <w:rFonts w:ascii="Times New Roman" w:hAnsi="Times New Roman"/>
                <w:szCs w:val="24"/>
              </w:rPr>
              <w:t>1,173</w:t>
            </w:r>
          </w:p>
        </w:tc>
        <w:tc>
          <w:tcPr>
            <w:tcW w:w="1179" w:type="dxa"/>
          </w:tcPr>
          <w:p w:rsidRPr="00442E07" w:rsidR="00170121" w:rsidP="0094376B" w:rsidRDefault="00AD4AA5" w14:paraId="52110DFD" w14:textId="716C06D1">
            <w:pPr>
              <w:rPr>
                <w:rFonts w:ascii="Times New Roman" w:hAnsi="Times New Roman"/>
                <w:szCs w:val="24"/>
              </w:rPr>
            </w:pPr>
            <w:r>
              <w:rPr>
                <w:rFonts w:ascii="Times New Roman" w:hAnsi="Times New Roman"/>
                <w:szCs w:val="24"/>
              </w:rPr>
              <w:t>$</w:t>
            </w:r>
            <w:r w:rsidR="00D152C2">
              <w:rPr>
                <w:rFonts w:ascii="Times New Roman" w:hAnsi="Times New Roman"/>
                <w:szCs w:val="24"/>
              </w:rPr>
              <w:t>60.32</w:t>
            </w:r>
          </w:p>
        </w:tc>
        <w:tc>
          <w:tcPr>
            <w:tcW w:w="1653" w:type="dxa"/>
          </w:tcPr>
          <w:p w:rsidRPr="00442E07" w:rsidR="00170121" w:rsidP="0094376B" w:rsidRDefault="00AD4AA5" w14:paraId="7352740E" w14:textId="3AC0F26D">
            <w:pPr>
              <w:rPr>
                <w:rFonts w:ascii="Times New Roman" w:hAnsi="Times New Roman"/>
                <w:szCs w:val="24"/>
              </w:rPr>
            </w:pPr>
            <w:r>
              <w:rPr>
                <w:rFonts w:ascii="Times New Roman" w:hAnsi="Times New Roman"/>
                <w:szCs w:val="24"/>
              </w:rPr>
              <w:t>$</w:t>
            </w:r>
            <w:r w:rsidR="00AF2969">
              <w:rPr>
                <w:rFonts w:ascii="Times New Roman" w:hAnsi="Times New Roman"/>
                <w:szCs w:val="24"/>
              </w:rPr>
              <w:t>70,755 total</w:t>
            </w:r>
          </w:p>
        </w:tc>
      </w:tr>
    </w:tbl>
    <w:p w:rsidRPr="00AE6BD1" w:rsidR="00170121" w:rsidP="00AE6BD1" w:rsidRDefault="00170121" w14:paraId="72403F6C" w14:textId="77777777">
      <w:pPr>
        <w:pStyle w:val="ListParagraph"/>
        <w:ind w:left="1440"/>
        <w:rPr>
          <w:color w:val="FF0000"/>
          <w:sz w:val="22"/>
          <w:szCs w:val="22"/>
        </w:rPr>
      </w:pPr>
    </w:p>
    <w:p w:rsidRPr="00AE6BD1" w:rsidR="00AE6BD1" w:rsidP="00AE6BD1" w:rsidRDefault="00AE6BD1" w14:paraId="449F43FE" w14:textId="77777777">
      <w:pPr>
        <w:pStyle w:val="ListParagraph"/>
        <w:ind w:left="1440"/>
        <w:rPr>
          <w:color w:val="FF0000"/>
          <w:sz w:val="22"/>
          <w:szCs w:val="22"/>
        </w:rPr>
      </w:pPr>
    </w:p>
    <w:p w:rsidR="00AE6BD1" w:rsidP="008700EC" w:rsidRDefault="007B4BBF" w14:paraId="2D003C8B" w14:textId="1018262B">
      <w:pPr>
        <w:ind w:left="720"/>
        <w:rPr>
          <w:rFonts w:ascii="Times New Roman" w:hAnsi="Times New Roman"/>
          <w:szCs w:val="24"/>
        </w:rPr>
      </w:pPr>
      <w:r>
        <w:rPr>
          <w:rFonts w:ascii="Times New Roman" w:hAnsi="Times New Roman"/>
          <w:szCs w:val="24"/>
        </w:rPr>
        <w:t>Based on the 2020 Occupational Employment and Wage Statistics for Postsecondary Education Administrators,</w:t>
      </w:r>
      <w:r w:rsidRPr="008700EC" w:rsidR="00AE6BD1">
        <w:rPr>
          <w:rFonts w:ascii="Times New Roman" w:hAnsi="Times New Roman"/>
          <w:szCs w:val="24"/>
        </w:rPr>
        <w:t xml:space="preserve"> the </w:t>
      </w:r>
      <w:r w:rsidRPr="008700EC">
        <w:rPr>
          <w:rFonts w:ascii="Times New Roman" w:hAnsi="Times New Roman"/>
          <w:szCs w:val="24"/>
        </w:rPr>
        <w:t>20</w:t>
      </w:r>
      <w:r>
        <w:rPr>
          <w:rFonts w:ascii="Times New Roman" w:hAnsi="Times New Roman"/>
          <w:szCs w:val="24"/>
        </w:rPr>
        <w:t>21</w:t>
      </w:r>
      <w:r w:rsidRPr="008700EC">
        <w:rPr>
          <w:rFonts w:ascii="Times New Roman" w:hAnsi="Times New Roman"/>
          <w:szCs w:val="24"/>
        </w:rPr>
        <w:t xml:space="preserve"> </w:t>
      </w:r>
      <w:r w:rsidRPr="008700EC" w:rsidR="00AE6BD1">
        <w:rPr>
          <w:rFonts w:ascii="Times New Roman" w:hAnsi="Times New Roman"/>
          <w:szCs w:val="24"/>
        </w:rPr>
        <w:t>General Schedule (GS) cost estimate of $</w:t>
      </w:r>
      <w:r w:rsidR="00D152C2">
        <w:rPr>
          <w:rFonts w:ascii="Times New Roman" w:hAnsi="Times New Roman"/>
          <w:szCs w:val="24"/>
        </w:rPr>
        <w:t>60</w:t>
      </w:r>
      <w:r w:rsidRPr="008700EC" w:rsidR="00AE6BD1">
        <w:rPr>
          <w:rFonts w:ascii="Times New Roman" w:hAnsi="Times New Roman"/>
          <w:szCs w:val="24"/>
        </w:rPr>
        <w:t>.</w:t>
      </w:r>
      <w:r w:rsidR="00D152C2">
        <w:rPr>
          <w:rFonts w:ascii="Times New Roman" w:hAnsi="Times New Roman"/>
          <w:szCs w:val="24"/>
        </w:rPr>
        <w:t>32</w:t>
      </w:r>
      <w:r w:rsidRPr="008700EC" w:rsidR="00D152C2">
        <w:rPr>
          <w:rFonts w:ascii="Times New Roman" w:hAnsi="Times New Roman"/>
          <w:szCs w:val="24"/>
        </w:rPr>
        <w:t xml:space="preserve"> </w:t>
      </w:r>
      <w:r w:rsidRPr="008700EC" w:rsidR="00AE6BD1">
        <w:rPr>
          <w:rFonts w:ascii="Times New Roman" w:hAnsi="Times New Roman"/>
          <w:szCs w:val="24"/>
        </w:rPr>
        <w:t>per hour (base pay scale, grade 1</w:t>
      </w:r>
      <w:r>
        <w:rPr>
          <w:rFonts w:ascii="Times New Roman" w:hAnsi="Times New Roman"/>
          <w:szCs w:val="24"/>
        </w:rPr>
        <w:t>4</w:t>
      </w:r>
      <w:r w:rsidRPr="008700EC" w:rsidR="00AE6BD1">
        <w:rPr>
          <w:rFonts w:ascii="Times New Roman" w:hAnsi="Times New Roman"/>
          <w:szCs w:val="24"/>
        </w:rPr>
        <w:t xml:space="preserve">, step </w:t>
      </w:r>
      <w:r>
        <w:rPr>
          <w:rFonts w:ascii="Times New Roman" w:hAnsi="Times New Roman"/>
          <w:szCs w:val="24"/>
        </w:rPr>
        <w:t>8</w:t>
      </w:r>
      <w:r w:rsidRPr="008700EC" w:rsidR="00AE6BD1">
        <w:rPr>
          <w:rFonts w:ascii="Times New Roman" w:hAnsi="Times New Roman"/>
          <w:szCs w:val="24"/>
        </w:rPr>
        <w:t>), the estimated cost burden per grantee would be about $</w:t>
      </w:r>
      <w:r w:rsidR="00D152C2">
        <w:rPr>
          <w:rFonts w:ascii="Times New Roman" w:hAnsi="Times New Roman"/>
          <w:szCs w:val="24"/>
        </w:rPr>
        <w:t>1,387</w:t>
      </w:r>
      <w:r w:rsidRPr="008700EC" w:rsidR="00AE6BD1">
        <w:rPr>
          <w:rFonts w:ascii="Times New Roman" w:hAnsi="Times New Roman"/>
          <w:szCs w:val="24"/>
        </w:rPr>
        <w:t>, with a total estimated cost burden for all 51 grantees of $</w:t>
      </w:r>
      <w:r w:rsidR="00D152C2">
        <w:rPr>
          <w:rFonts w:ascii="Times New Roman" w:hAnsi="Times New Roman"/>
          <w:szCs w:val="24"/>
        </w:rPr>
        <w:t>70,755</w:t>
      </w:r>
      <w:r w:rsidRPr="008700EC" w:rsidR="00AE6BD1">
        <w:rPr>
          <w:rFonts w:ascii="Times New Roman" w:hAnsi="Times New Roman"/>
          <w:szCs w:val="24"/>
        </w:rPr>
        <w:t xml:space="preserve"> for the </w:t>
      </w:r>
      <w:r w:rsidRPr="008700EC" w:rsidR="00D152C2">
        <w:rPr>
          <w:rFonts w:ascii="Times New Roman" w:hAnsi="Times New Roman"/>
          <w:szCs w:val="24"/>
        </w:rPr>
        <w:t>20</w:t>
      </w:r>
      <w:r w:rsidR="00D152C2">
        <w:rPr>
          <w:rFonts w:ascii="Times New Roman" w:hAnsi="Times New Roman"/>
          <w:szCs w:val="24"/>
        </w:rPr>
        <w:t>21</w:t>
      </w:r>
      <w:r w:rsidRPr="008700EC" w:rsidR="00D152C2">
        <w:rPr>
          <w:rFonts w:ascii="Times New Roman" w:hAnsi="Times New Roman"/>
          <w:szCs w:val="24"/>
        </w:rPr>
        <w:t xml:space="preserve"> </w:t>
      </w:r>
      <w:r w:rsidRPr="008700EC" w:rsidR="00AE6BD1">
        <w:rPr>
          <w:rFonts w:ascii="Times New Roman" w:hAnsi="Times New Roman"/>
          <w:szCs w:val="24"/>
        </w:rPr>
        <w:t xml:space="preserve">APR.  These estimated costs represent </w:t>
      </w:r>
      <w:proofErr w:type="spellStart"/>
      <w:proofErr w:type="gramStart"/>
      <w:r w:rsidRPr="008700EC" w:rsidR="00AE6BD1">
        <w:rPr>
          <w:rFonts w:ascii="Times New Roman" w:hAnsi="Times New Roman"/>
          <w:szCs w:val="24"/>
        </w:rPr>
        <w:t>a</w:t>
      </w:r>
      <w:proofErr w:type="spellEnd"/>
      <w:proofErr w:type="gramEnd"/>
      <w:r w:rsidRPr="008700EC" w:rsidR="00AE6BD1">
        <w:rPr>
          <w:rFonts w:ascii="Times New Roman" w:hAnsi="Times New Roman"/>
          <w:szCs w:val="24"/>
        </w:rPr>
        <w:t xml:space="preserve"> </w:t>
      </w:r>
      <w:r w:rsidR="00D152C2">
        <w:rPr>
          <w:rFonts w:ascii="Times New Roman" w:hAnsi="Times New Roman"/>
          <w:szCs w:val="24"/>
        </w:rPr>
        <w:t>increase</w:t>
      </w:r>
      <w:r w:rsidRPr="008700EC" w:rsidR="00D152C2">
        <w:rPr>
          <w:rFonts w:ascii="Times New Roman" w:hAnsi="Times New Roman"/>
          <w:szCs w:val="24"/>
        </w:rPr>
        <w:t xml:space="preserve"> </w:t>
      </w:r>
      <w:r w:rsidRPr="008700EC" w:rsidR="00AE6BD1">
        <w:rPr>
          <w:rFonts w:ascii="Times New Roman" w:hAnsi="Times New Roman"/>
          <w:szCs w:val="24"/>
        </w:rPr>
        <w:t xml:space="preserve">from the </w:t>
      </w:r>
      <w:r w:rsidR="00D152C2">
        <w:rPr>
          <w:rFonts w:ascii="Times New Roman" w:hAnsi="Times New Roman"/>
          <w:szCs w:val="24"/>
        </w:rPr>
        <w:t>previous</w:t>
      </w:r>
      <w:r w:rsidRPr="008700EC" w:rsidR="00D152C2">
        <w:rPr>
          <w:rFonts w:ascii="Times New Roman" w:hAnsi="Times New Roman"/>
          <w:szCs w:val="24"/>
        </w:rPr>
        <w:t xml:space="preserve"> </w:t>
      </w:r>
      <w:r w:rsidRPr="008700EC" w:rsidR="00AE6BD1">
        <w:rPr>
          <w:rFonts w:ascii="Times New Roman" w:hAnsi="Times New Roman"/>
          <w:szCs w:val="24"/>
        </w:rPr>
        <w:t xml:space="preserve">APR, because the </w:t>
      </w:r>
      <w:r w:rsidR="00D152C2">
        <w:rPr>
          <w:rFonts w:ascii="Times New Roman" w:hAnsi="Times New Roman"/>
          <w:szCs w:val="24"/>
        </w:rPr>
        <w:t>of the increase in annual rates</w:t>
      </w:r>
      <w:r w:rsidRPr="008700EC" w:rsidR="00AE6BD1">
        <w:rPr>
          <w:rFonts w:ascii="Times New Roman" w:hAnsi="Times New Roman"/>
          <w:szCs w:val="24"/>
        </w:rPr>
        <w:t xml:space="preserve">.  </w:t>
      </w:r>
    </w:p>
    <w:p w:rsidRPr="008700EC" w:rsidR="008700EC" w:rsidP="008700EC" w:rsidRDefault="008700EC" w14:paraId="4119D79C" w14:textId="77777777">
      <w:pPr>
        <w:ind w:left="720"/>
        <w:rPr>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8700EC" w:rsidR="00316B95" w:rsidP="00316B95" w:rsidRDefault="00043C32" w14:paraId="61F3DCC8" w14:textId="1259A39A">
      <w:pPr>
        <w:ind w:left="720"/>
        <w:rPr>
          <w:rFonts w:ascii="Times New Roman" w:hAnsi="Times New Roman"/>
          <w:szCs w:val="24"/>
        </w:rPr>
      </w:pPr>
      <w:r w:rsidRPr="00ED7195">
        <w:rPr>
          <w:rFonts w:ascii="Times New Roman" w:hAnsi="Times New Roman"/>
          <w:b/>
          <w:szCs w:val="24"/>
        </w:rPr>
        <w:tab/>
      </w:r>
      <w:r w:rsidRPr="008700EC" w:rsidR="00316B95">
        <w:rPr>
          <w:rFonts w:ascii="Times New Roman" w:hAnsi="Times New Roman"/>
          <w:szCs w:val="24"/>
        </w:rPr>
        <w:t>Total Annualized Capital/Startup Cost</w:t>
      </w:r>
      <w:r w:rsidRPr="008700EC" w:rsidR="00316B95">
        <w:rPr>
          <w:rFonts w:ascii="Times New Roman" w:hAnsi="Times New Roman"/>
          <w:szCs w:val="24"/>
        </w:rPr>
        <w:tab/>
        <w:t xml:space="preserve">: </w:t>
      </w:r>
      <w:r w:rsidRPr="008700EC" w:rsidR="00316B95">
        <w:rPr>
          <w:rFonts w:ascii="Times New Roman" w:hAnsi="Times New Roman"/>
          <w:szCs w:val="24"/>
        </w:rPr>
        <w:tab/>
        <w:t>0</w:t>
      </w:r>
    </w:p>
    <w:p w:rsidRPr="008700EC" w:rsidR="00316B95" w:rsidP="00316B95" w:rsidRDefault="00316B95" w14:paraId="6369D92B" w14:textId="7AF0B4CC">
      <w:pPr>
        <w:ind w:left="720"/>
        <w:rPr>
          <w:rFonts w:ascii="Times New Roman" w:hAnsi="Times New Roman"/>
          <w:szCs w:val="24"/>
        </w:rPr>
      </w:pPr>
      <w:r w:rsidRPr="008700EC">
        <w:rPr>
          <w:rFonts w:ascii="Times New Roman" w:hAnsi="Times New Roman"/>
          <w:szCs w:val="24"/>
        </w:rPr>
        <w:tab/>
        <w:t>Total Annual Costs (O&amp;M)</w:t>
      </w:r>
      <w:r w:rsidRPr="008700EC">
        <w:rPr>
          <w:rFonts w:ascii="Times New Roman" w:hAnsi="Times New Roman"/>
          <w:szCs w:val="24"/>
        </w:rPr>
        <w:tab/>
      </w:r>
      <w:r w:rsidRPr="008700EC">
        <w:rPr>
          <w:rFonts w:ascii="Times New Roman" w:hAnsi="Times New Roman"/>
          <w:szCs w:val="24"/>
        </w:rPr>
        <w:tab/>
        <w:t xml:space="preserve">: </w:t>
      </w:r>
      <w:r w:rsidRPr="008700EC">
        <w:rPr>
          <w:rFonts w:ascii="Times New Roman" w:hAnsi="Times New Roman"/>
          <w:szCs w:val="24"/>
        </w:rPr>
        <w:tab/>
      </w:r>
      <w:r w:rsidRPr="008700EC">
        <w:rPr>
          <w:rFonts w:ascii="Times New Roman" w:hAnsi="Times New Roman"/>
          <w:szCs w:val="24"/>
        </w:rPr>
        <w:tab/>
        <w:t>0</w:t>
      </w:r>
    </w:p>
    <w:p w:rsidRPr="008700EC" w:rsidR="00316B95" w:rsidP="00316B95" w:rsidRDefault="00316B95" w14:paraId="6EBD31C4" w14:textId="792F702B">
      <w:pPr>
        <w:ind w:left="720"/>
        <w:rPr>
          <w:rFonts w:ascii="Times New Roman" w:hAnsi="Times New Roman"/>
          <w:szCs w:val="24"/>
        </w:rPr>
      </w:pPr>
      <w:r w:rsidRPr="008700EC">
        <w:rPr>
          <w:rFonts w:ascii="Times New Roman" w:hAnsi="Times New Roman"/>
          <w:szCs w:val="24"/>
        </w:rPr>
        <w:tab/>
        <w:t>Total Annualized Costs Requested</w:t>
      </w:r>
      <w:r w:rsidRPr="008700EC">
        <w:rPr>
          <w:rFonts w:ascii="Times New Roman" w:hAnsi="Times New Roman"/>
          <w:szCs w:val="24"/>
        </w:rPr>
        <w:tab/>
        <w:t xml:space="preserve">: </w:t>
      </w:r>
      <w:r w:rsidRPr="008700EC">
        <w:rPr>
          <w:rFonts w:ascii="Times New Roman" w:hAnsi="Times New Roman"/>
          <w:szCs w:val="24"/>
        </w:rPr>
        <w:tab/>
      </w:r>
      <w:r w:rsidRPr="008700EC">
        <w:rPr>
          <w:rFonts w:ascii="Times New Roman" w:hAnsi="Times New Roman"/>
          <w:szCs w:val="24"/>
        </w:rPr>
        <w:tab/>
        <w:t>0</w:t>
      </w:r>
    </w:p>
    <w:p w:rsidR="00043C32" w:rsidP="008700EC" w:rsidRDefault="00043C32" w14:paraId="7BED2F3D" w14:textId="6B2B22AA">
      <w:pPr>
        <w:ind w:left="720"/>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6BD1" w:rsidP="00AE6BD1" w:rsidRDefault="00AE6BD1" w14:paraId="6E18A1AA" w14:textId="77777777">
      <w:pPr>
        <w:pStyle w:val="ListParagraph"/>
        <w:rPr>
          <w:color w:val="FF0000"/>
          <w:sz w:val="22"/>
          <w:szCs w:val="22"/>
        </w:rPr>
      </w:pPr>
    </w:p>
    <w:p w:rsidRPr="008700EC" w:rsidR="00AE6BD1" w:rsidP="008700EC" w:rsidRDefault="00AE6BD1" w14:paraId="36F647E2" w14:textId="2F0BADD5">
      <w:pPr>
        <w:ind w:left="720"/>
        <w:rPr>
          <w:rFonts w:ascii="Times New Roman" w:hAnsi="Times New Roman"/>
          <w:szCs w:val="24"/>
        </w:rPr>
      </w:pPr>
      <w:r w:rsidRPr="008700EC">
        <w:rPr>
          <w:rFonts w:ascii="Times New Roman" w:hAnsi="Times New Roman"/>
          <w:szCs w:val="24"/>
        </w:rPr>
        <w:t xml:space="preserve">The OME program staff will conduct the data collection for the 2021 APR.  There are currently 51 HEP grantees.  Assuming that the response for each grantee takes on average about 45 minutes of program office staff time to review the performance reports, and that each hour of program office staff time costs the federal government about $52.66 (2019 GS Washington locality scale, grade 13, step 5), the annualized federal cost will be about $2,014.25 (hourly rate x </w:t>
      </w:r>
      <w:proofErr w:type="gramStart"/>
      <w:r w:rsidRPr="008700EC">
        <w:rPr>
          <w:rFonts w:ascii="Times New Roman" w:hAnsi="Times New Roman"/>
          <w:szCs w:val="24"/>
        </w:rPr>
        <w:t>.75 hour</w:t>
      </w:r>
      <w:proofErr w:type="gramEnd"/>
      <w:r w:rsidRPr="008700EC">
        <w:rPr>
          <w:rFonts w:ascii="Times New Roman" w:hAnsi="Times New Roman"/>
          <w:szCs w:val="24"/>
        </w:rPr>
        <w:t xml:space="preserve"> x 51 grantees).  This represents a cost savings of $619.90 for the federal government, as OME used approximately one hour of program office staff time to review each APR in 2018, at a cost of $51.65 per hour (2018 GS Washington locality scale, grade 13, step 5), for an annualized cost of about $2,634.15 (hourly rate x 1 hour x 51 grantees).</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F27AAF" w:rsidP="008700EC" w:rsidRDefault="00316B95" w14:paraId="7BED2F59" w14:textId="1A96F77E">
      <w:pPr>
        <w:ind w:left="720"/>
        <w:rPr>
          <w:rFonts w:ascii="Times New Roman" w:hAnsi="Times New Roman"/>
          <w:szCs w:val="24"/>
        </w:rPr>
      </w:pPr>
      <w:r w:rsidRPr="008700EC">
        <w:rPr>
          <w:rFonts w:ascii="Times New Roman" w:hAnsi="Times New Roman"/>
          <w:szCs w:val="24"/>
        </w:rPr>
        <w:t>There are no changes to the</w:t>
      </w:r>
      <w:r w:rsidR="00D152C2">
        <w:rPr>
          <w:rFonts w:ascii="Times New Roman" w:hAnsi="Times New Roman"/>
          <w:szCs w:val="24"/>
        </w:rPr>
        <w:t xml:space="preserve"> upcoming</w:t>
      </w:r>
      <w:r w:rsidRPr="008700EC">
        <w:rPr>
          <w:rFonts w:ascii="Times New Roman" w:hAnsi="Times New Roman"/>
          <w:szCs w:val="24"/>
        </w:rPr>
        <w:t xml:space="preserve"> APR</w:t>
      </w:r>
      <w:r w:rsidR="00D152C2">
        <w:rPr>
          <w:rFonts w:ascii="Times New Roman" w:hAnsi="Times New Roman"/>
          <w:szCs w:val="24"/>
        </w:rPr>
        <w:t xml:space="preserve"> in estimated burden in the collection of data, new statute, or agency action</w:t>
      </w:r>
      <w:r w:rsidRPr="008700EC">
        <w:rPr>
          <w:rFonts w:ascii="Times New Roman" w:hAnsi="Times New Roman"/>
          <w:szCs w:val="24"/>
        </w:rPr>
        <w:t xml:space="preserve">. </w:t>
      </w:r>
      <w:r w:rsidRPr="00AF2969" w:rsidR="00AF2969">
        <w:rPr>
          <w:rFonts w:ascii="Times New Roman" w:hAnsi="Times New Roman"/>
          <w:szCs w:val="24"/>
        </w:rPr>
        <w:t xml:space="preserve"> </w:t>
      </w:r>
      <w:r w:rsidR="00AF2969">
        <w:rPr>
          <w:rFonts w:ascii="Times New Roman" w:hAnsi="Times New Roman"/>
          <w:szCs w:val="24"/>
        </w:rPr>
        <w:t>There is an adjustment to the total cost due to an update to estimated hourly wage rate for respondents.</w:t>
      </w:r>
    </w:p>
    <w:p w:rsidR="008700EC" w:rsidP="008700EC" w:rsidRDefault="008700EC" w14:paraId="061C1844" w14:textId="67BC4B77">
      <w:pPr>
        <w:ind w:left="720"/>
        <w:rPr>
          <w:rFonts w:ascii="Times New Roman" w:hAnsi="Times New Roman"/>
          <w:szCs w:val="24"/>
        </w:rPr>
      </w:pPr>
    </w:p>
    <w:tbl>
      <w:tblPr>
        <w:tblStyle w:val="TableGrid"/>
        <w:tblW w:w="9445" w:type="dxa"/>
        <w:tblLook w:val="04A0" w:firstRow="1" w:lastRow="0" w:firstColumn="1" w:lastColumn="0" w:noHBand="0" w:noVBand="1"/>
      </w:tblPr>
      <w:tblGrid>
        <w:gridCol w:w="2048"/>
        <w:gridCol w:w="2048"/>
        <w:gridCol w:w="2829"/>
        <w:gridCol w:w="2520"/>
      </w:tblGrid>
      <w:tr w:rsidR="008700EC" w:rsidTr="007D61DB" w14:paraId="5370AB7A" w14:textId="77777777">
        <w:tc>
          <w:tcPr>
            <w:tcW w:w="2048" w:type="dxa"/>
            <w:shd w:val="clear" w:color="auto" w:fill="D9D9D9" w:themeFill="background1" w:themeFillShade="D9"/>
          </w:tcPr>
          <w:p w:rsidRPr="008700EC" w:rsidR="008700EC" w:rsidP="007D61DB" w:rsidRDefault="008700EC" w14:paraId="710B5BB0" w14:textId="77777777">
            <w:pPr>
              <w:tabs>
                <w:tab w:val="left" w:pos="-720"/>
              </w:tabs>
              <w:suppressAutoHyphens/>
              <w:rPr>
                <w:rFonts w:ascii="Times New Roman" w:hAnsi="Times New Roman"/>
                <w:bCs/>
                <w:szCs w:val="24"/>
              </w:rPr>
            </w:pPr>
          </w:p>
        </w:tc>
        <w:tc>
          <w:tcPr>
            <w:tcW w:w="2048" w:type="dxa"/>
          </w:tcPr>
          <w:p w:rsidRPr="008700EC" w:rsidR="008700EC" w:rsidP="007D61DB" w:rsidRDefault="008700EC" w14:paraId="5BC96134" w14:textId="77777777">
            <w:pPr>
              <w:tabs>
                <w:tab w:val="left" w:pos="-720"/>
              </w:tabs>
              <w:suppressAutoHyphens/>
              <w:rPr>
                <w:rFonts w:ascii="Times New Roman" w:hAnsi="Times New Roman"/>
                <w:bCs/>
                <w:szCs w:val="24"/>
              </w:rPr>
            </w:pPr>
            <w:r w:rsidRPr="008700EC">
              <w:rPr>
                <w:rFonts w:ascii="Times New Roman" w:hAnsi="Times New Roman"/>
                <w:bCs/>
                <w:szCs w:val="24"/>
              </w:rPr>
              <w:t>Program Change Due to New Statute</w:t>
            </w:r>
          </w:p>
        </w:tc>
        <w:tc>
          <w:tcPr>
            <w:tcW w:w="2829" w:type="dxa"/>
          </w:tcPr>
          <w:p w:rsidRPr="008700EC" w:rsidR="008700EC" w:rsidP="007D61DB" w:rsidRDefault="008700EC" w14:paraId="57A2E1E1" w14:textId="77777777">
            <w:pPr>
              <w:tabs>
                <w:tab w:val="left" w:pos="-720"/>
              </w:tabs>
              <w:suppressAutoHyphens/>
              <w:rPr>
                <w:rFonts w:ascii="Times New Roman" w:hAnsi="Times New Roman"/>
                <w:bCs/>
                <w:szCs w:val="24"/>
              </w:rPr>
            </w:pPr>
            <w:r w:rsidRPr="008700EC">
              <w:rPr>
                <w:rFonts w:ascii="Times New Roman" w:hAnsi="Times New Roman"/>
                <w:bCs/>
                <w:szCs w:val="24"/>
              </w:rPr>
              <w:t>Program Change Due to Agency Discretion</w:t>
            </w:r>
          </w:p>
        </w:tc>
        <w:tc>
          <w:tcPr>
            <w:tcW w:w="2520" w:type="dxa"/>
          </w:tcPr>
          <w:p w:rsidRPr="008700EC" w:rsidR="008700EC" w:rsidP="007D61DB" w:rsidRDefault="008700EC" w14:paraId="1EC05459" w14:textId="77777777">
            <w:pPr>
              <w:tabs>
                <w:tab w:val="left" w:pos="-720"/>
              </w:tabs>
              <w:suppressAutoHyphens/>
              <w:rPr>
                <w:rFonts w:ascii="Times New Roman" w:hAnsi="Times New Roman"/>
                <w:bCs/>
                <w:szCs w:val="24"/>
              </w:rPr>
            </w:pPr>
            <w:r w:rsidRPr="008700EC">
              <w:rPr>
                <w:rFonts w:ascii="Times New Roman" w:hAnsi="Times New Roman"/>
                <w:bCs/>
                <w:szCs w:val="24"/>
              </w:rPr>
              <w:t>Change Due to Adjustment in Agency Estimate</w:t>
            </w:r>
          </w:p>
        </w:tc>
      </w:tr>
      <w:tr w:rsidR="008700EC" w:rsidTr="007D61DB" w14:paraId="3494C098" w14:textId="77777777">
        <w:tc>
          <w:tcPr>
            <w:tcW w:w="2048" w:type="dxa"/>
          </w:tcPr>
          <w:p w:rsidRPr="008700EC" w:rsidR="008700EC" w:rsidP="007D61DB" w:rsidRDefault="008700EC" w14:paraId="246F5CA9" w14:textId="77777777">
            <w:pPr>
              <w:tabs>
                <w:tab w:val="left" w:pos="-720"/>
              </w:tabs>
              <w:suppressAutoHyphens/>
              <w:rPr>
                <w:rFonts w:ascii="Times New Roman" w:hAnsi="Times New Roman"/>
                <w:bCs/>
                <w:szCs w:val="24"/>
              </w:rPr>
            </w:pPr>
            <w:r w:rsidRPr="008700EC">
              <w:rPr>
                <w:rFonts w:ascii="Times New Roman" w:hAnsi="Times New Roman"/>
                <w:bCs/>
                <w:szCs w:val="24"/>
              </w:rPr>
              <w:t>Total Burden</w:t>
            </w:r>
          </w:p>
        </w:tc>
        <w:tc>
          <w:tcPr>
            <w:tcW w:w="2048" w:type="dxa"/>
          </w:tcPr>
          <w:p w:rsidRPr="008700EC" w:rsidR="008700EC" w:rsidP="007D61DB" w:rsidRDefault="00D152C2" w14:paraId="5F42841A" w14:textId="5C1A0D5A">
            <w:pPr>
              <w:tabs>
                <w:tab w:val="left" w:pos="-720"/>
              </w:tabs>
              <w:suppressAutoHyphens/>
              <w:rPr>
                <w:rFonts w:ascii="Times New Roman" w:hAnsi="Times New Roman"/>
                <w:bCs/>
                <w:szCs w:val="24"/>
              </w:rPr>
            </w:pPr>
            <w:r>
              <w:rPr>
                <w:rFonts w:ascii="Times New Roman" w:hAnsi="Times New Roman"/>
                <w:bCs/>
                <w:szCs w:val="24"/>
              </w:rPr>
              <w:t>0 hours</w:t>
            </w:r>
          </w:p>
        </w:tc>
        <w:tc>
          <w:tcPr>
            <w:tcW w:w="2829" w:type="dxa"/>
          </w:tcPr>
          <w:p w:rsidRPr="008700EC" w:rsidR="008700EC" w:rsidP="007D61DB" w:rsidRDefault="00D152C2" w14:paraId="15D2C8F1" w14:textId="097D0947">
            <w:pPr>
              <w:tabs>
                <w:tab w:val="left" w:pos="-720"/>
              </w:tabs>
              <w:suppressAutoHyphens/>
              <w:rPr>
                <w:rFonts w:ascii="Times New Roman" w:hAnsi="Times New Roman"/>
                <w:bCs/>
                <w:szCs w:val="24"/>
              </w:rPr>
            </w:pPr>
            <w:r>
              <w:rPr>
                <w:rFonts w:ascii="Times New Roman" w:hAnsi="Times New Roman"/>
                <w:bCs/>
                <w:szCs w:val="24"/>
              </w:rPr>
              <w:t>0</w:t>
            </w:r>
            <w:r w:rsidR="008700EC">
              <w:rPr>
                <w:rFonts w:ascii="Times New Roman" w:hAnsi="Times New Roman"/>
                <w:bCs/>
                <w:szCs w:val="24"/>
              </w:rPr>
              <w:t xml:space="preserve"> hours</w:t>
            </w:r>
          </w:p>
        </w:tc>
        <w:tc>
          <w:tcPr>
            <w:tcW w:w="2520" w:type="dxa"/>
          </w:tcPr>
          <w:p w:rsidRPr="008700EC" w:rsidR="008700EC" w:rsidP="007D61DB" w:rsidRDefault="00D152C2" w14:paraId="527383D1" w14:textId="44D04F85">
            <w:pPr>
              <w:tabs>
                <w:tab w:val="left" w:pos="-720"/>
              </w:tabs>
              <w:suppressAutoHyphens/>
              <w:rPr>
                <w:rFonts w:ascii="Times New Roman" w:hAnsi="Times New Roman"/>
                <w:bCs/>
                <w:szCs w:val="24"/>
              </w:rPr>
            </w:pPr>
            <w:r>
              <w:rPr>
                <w:rFonts w:ascii="Times New Roman" w:hAnsi="Times New Roman"/>
                <w:bCs/>
                <w:szCs w:val="24"/>
              </w:rPr>
              <w:t>0 hours</w:t>
            </w:r>
          </w:p>
        </w:tc>
      </w:tr>
      <w:tr w:rsidR="008700EC" w:rsidTr="007D61DB" w14:paraId="3BBEA052" w14:textId="77777777">
        <w:tc>
          <w:tcPr>
            <w:tcW w:w="2048" w:type="dxa"/>
          </w:tcPr>
          <w:p w:rsidRPr="008700EC" w:rsidR="008700EC" w:rsidP="007D61DB" w:rsidRDefault="008700EC" w14:paraId="49AD4EA0" w14:textId="77777777">
            <w:pPr>
              <w:tabs>
                <w:tab w:val="left" w:pos="-720"/>
              </w:tabs>
              <w:suppressAutoHyphens/>
              <w:rPr>
                <w:rFonts w:ascii="Times New Roman" w:hAnsi="Times New Roman"/>
                <w:bCs/>
                <w:szCs w:val="24"/>
              </w:rPr>
            </w:pPr>
            <w:r w:rsidRPr="008700EC">
              <w:rPr>
                <w:rFonts w:ascii="Times New Roman" w:hAnsi="Times New Roman"/>
                <w:bCs/>
                <w:szCs w:val="24"/>
              </w:rPr>
              <w:t>Total Responses</w:t>
            </w:r>
          </w:p>
        </w:tc>
        <w:tc>
          <w:tcPr>
            <w:tcW w:w="2048" w:type="dxa"/>
          </w:tcPr>
          <w:p w:rsidRPr="008700EC" w:rsidR="008700EC" w:rsidP="007D61DB" w:rsidRDefault="00D152C2" w14:paraId="18AE2DF0" w14:textId="295E42D3">
            <w:pPr>
              <w:tabs>
                <w:tab w:val="left" w:pos="-720"/>
              </w:tabs>
              <w:suppressAutoHyphens/>
              <w:rPr>
                <w:rFonts w:ascii="Times New Roman" w:hAnsi="Times New Roman"/>
                <w:bCs/>
                <w:szCs w:val="24"/>
              </w:rPr>
            </w:pPr>
            <w:r>
              <w:rPr>
                <w:rFonts w:ascii="Times New Roman" w:hAnsi="Times New Roman"/>
                <w:bCs/>
                <w:szCs w:val="24"/>
              </w:rPr>
              <w:t>0 responses</w:t>
            </w:r>
          </w:p>
        </w:tc>
        <w:tc>
          <w:tcPr>
            <w:tcW w:w="2829" w:type="dxa"/>
          </w:tcPr>
          <w:p w:rsidRPr="008700EC" w:rsidR="008700EC" w:rsidP="007D61DB" w:rsidRDefault="00D152C2" w14:paraId="6D25138C" w14:textId="1CD9B17A">
            <w:pPr>
              <w:tabs>
                <w:tab w:val="left" w:pos="-720"/>
              </w:tabs>
              <w:suppressAutoHyphens/>
              <w:rPr>
                <w:rFonts w:ascii="Times New Roman" w:hAnsi="Times New Roman"/>
                <w:bCs/>
                <w:szCs w:val="24"/>
              </w:rPr>
            </w:pPr>
            <w:r>
              <w:rPr>
                <w:rFonts w:ascii="Times New Roman" w:hAnsi="Times New Roman"/>
                <w:bCs/>
                <w:szCs w:val="24"/>
              </w:rPr>
              <w:t>0 responses</w:t>
            </w:r>
          </w:p>
        </w:tc>
        <w:tc>
          <w:tcPr>
            <w:tcW w:w="2520" w:type="dxa"/>
          </w:tcPr>
          <w:p w:rsidRPr="008700EC" w:rsidR="008700EC" w:rsidP="007D61DB" w:rsidRDefault="00D152C2" w14:paraId="426BC703" w14:textId="4DB69E67">
            <w:pPr>
              <w:tabs>
                <w:tab w:val="left" w:pos="-720"/>
              </w:tabs>
              <w:suppressAutoHyphens/>
              <w:rPr>
                <w:rFonts w:ascii="Times New Roman" w:hAnsi="Times New Roman"/>
                <w:bCs/>
                <w:szCs w:val="24"/>
              </w:rPr>
            </w:pPr>
            <w:r>
              <w:rPr>
                <w:rFonts w:ascii="Times New Roman" w:hAnsi="Times New Roman"/>
                <w:bCs/>
                <w:szCs w:val="24"/>
              </w:rPr>
              <w:t>0 responses</w:t>
            </w:r>
          </w:p>
        </w:tc>
      </w:tr>
      <w:tr w:rsidR="008700EC" w:rsidTr="007D61DB" w14:paraId="02E2A9DE" w14:textId="77777777">
        <w:tc>
          <w:tcPr>
            <w:tcW w:w="2048" w:type="dxa"/>
          </w:tcPr>
          <w:p w:rsidRPr="008700EC" w:rsidR="008700EC" w:rsidP="007D61DB" w:rsidRDefault="008700EC" w14:paraId="1B1948A7" w14:textId="77777777">
            <w:pPr>
              <w:tabs>
                <w:tab w:val="left" w:pos="-720"/>
              </w:tabs>
              <w:suppressAutoHyphens/>
              <w:rPr>
                <w:rFonts w:ascii="Times New Roman" w:hAnsi="Times New Roman"/>
                <w:bCs/>
                <w:szCs w:val="24"/>
              </w:rPr>
            </w:pPr>
            <w:r w:rsidRPr="008700EC">
              <w:rPr>
                <w:rFonts w:ascii="Times New Roman" w:hAnsi="Times New Roman"/>
                <w:bCs/>
                <w:szCs w:val="24"/>
              </w:rPr>
              <w:t>Total Costs (if applicable)</w:t>
            </w:r>
          </w:p>
        </w:tc>
        <w:tc>
          <w:tcPr>
            <w:tcW w:w="2048" w:type="dxa"/>
          </w:tcPr>
          <w:p w:rsidRPr="008700EC" w:rsidR="008700EC" w:rsidP="007D61DB" w:rsidRDefault="00BD7BFD" w14:paraId="3404E07F" w14:textId="08939B99">
            <w:pPr>
              <w:tabs>
                <w:tab w:val="left" w:pos="-720"/>
              </w:tabs>
              <w:suppressAutoHyphens/>
              <w:rPr>
                <w:rFonts w:ascii="Times New Roman" w:hAnsi="Times New Roman"/>
                <w:bCs/>
                <w:szCs w:val="24"/>
              </w:rPr>
            </w:pPr>
            <w:r>
              <w:rPr>
                <w:rFonts w:ascii="Times New Roman" w:hAnsi="Times New Roman"/>
                <w:bCs/>
                <w:szCs w:val="24"/>
              </w:rPr>
              <w:t>$</w:t>
            </w:r>
            <w:r w:rsidR="00D152C2">
              <w:rPr>
                <w:rFonts w:ascii="Times New Roman" w:hAnsi="Times New Roman"/>
                <w:bCs/>
                <w:szCs w:val="24"/>
              </w:rPr>
              <w:t>0</w:t>
            </w:r>
          </w:p>
        </w:tc>
        <w:tc>
          <w:tcPr>
            <w:tcW w:w="2829" w:type="dxa"/>
          </w:tcPr>
          <w:p w:rsidRPr="008700EC" w:rsidR="008700EC" w:rsidP="007D61DB" w:rsidRDefault="00BD7BFD" w14:paraId="3A2539F6" w14:textId="21C4FBF9">
            <w:pPr>
              <w:tabs>
                <w:tab w:val="left" w:pos="-720"/>
              </w:tabs>
              <w:suppressAutoHyphens/>
              <w:rPr>
                <w:rFonts w:ascii="Times New Roman" w:hAnsi="Times New Roman"/>
                <w:bCs/>
                <w:szCs w:val="24"/>
              </w:rPr>
            </w:pPr>
            <w:r>
              <w:rPr>
                <w:rFonts w:ascii="Times New Roman" w:hAnsi="Times New Roman"/>
                <w:bCs/>
                <w:szCs w:val="24"/>
              </w:rPr>
              <w:t>$</w:t>
            </w:r>
            <w:r w:rsidR="00D152C2">
              <w:rPr>
                <w:rFonts w:ascii="Times New Roman" w:hAnsi="Times New Roman"/>
                <w:bCs/>
                <w:szCs w:val="24"/>
              </w:rPr>
              <w:t>0</w:t>
            </w:r>
          </w:p>
        </w:tc>
        <w:tc>
          <w:tcPr>
            <w:tcW w:w="2520" w:type="dxa"/>
          </w:tcPr>
          <w:p w:rsidRPr="008700EC" w:rsidR="008700EC" w:rsidP="007D61DB" w:rsidRDefault="00BD7BFD" w14:paraId="412D5355" w14:textId="3382F22A">
            <w:pPr>
              <w:tabs>
                <w:tab w:val="left" w:pos="-720"/>
              </w:tabs>
              <w:suppressAutoHyphens/>
              <w:rPr>
                <w:rFonts w:ascii="Times New Roman" w:hAnsi="Times New Roman"/>
                <w:bCs/>
                <w:szCs w:val="24"/>
              </w:rPr>
            </w:pPr>
            <w:r>
              <w:rPr>
                <w:rFonts w:ascii="Times New Roman" w:hAnsi="Times New Roman"/>
                <w:bCs/>
                <w:szCs w:val="24"/>
              </w:rPr>
              <w:t>$</w:t>
            </w:r>
            <w:r w:rsidR="00AF2969">
              <w:rPr>
                <w:rFonts w:ascii="Times New Roman" w:hAnsi="Times New Roman"/>
                <w:bCs/>
                <w:szCs w:val="24"/>
              </w:rPr>
              <w:t>70,755</w:t>
            </w:r>
          </w:p>
        </w:tc>
      </w:tr>
    </w:tbl>
    <w:p w:rsidRPr="008700EC" w:rsidR="008700EC" w:rsidP="008700EC" w:rsidRDefault="008700EC" w14:paraId="3DA7FFC1" w14:textId="77777777">
      <w:pPr>
        <w:ind w:left="720"/>
        <w:rPr>
          <w:rFonts w:ascii="Times New Roman" w:hAnsi="Times New Roman"/>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77777777">
      <w:pPr>
        <w:tabs>
          <w:tab w:val="left" w:pos="-720"/>
        </w:tabs>
        <w:suppressAutoHyphens/>
        <w:rPr>
          <w:rFonts w:ascii="Times New Roman" w:hAnsi="Times New Roman"/>
          <w:szCs w:val="24"/>
        </w:rPr>
      </w:pPr>
    </w:p>
    <w:p w:rsidRPr="00084C04" w:rsidR="00316B95" w:rsidP="008700EC" w:rsidRDefault="00316B95" w14:paraId="47281700" w14:textId="77777777">
      <w:pPr>
        <w:ind w:left="720"/>
        <w:rPr>
          <w:bCs/>
          <w:color w:val="FF0000"/>
          <w:sz w:val="22"/>
          <w:szCs w:val="22"/>
        </w:rPr>
      </w:pPr>
      <w:r w:rsidRPr="008700EC">
        <w:rPr>
          <w:rFonts w:ascii="Times New Roman" w:hAnsi="Times New Roman"/>
          <w:szCs w:val="24"/>
        </w:rPr>
        <w:t>OME will publish project profiles to ED.GOV that include information on each project, including the project types and characteristics, federal funding, and GPRA performance data. The project profiles will include a privacy protection methodology, approved by the Disclosure Review Board.</w:t>
      </w:r>
      <w:r w:rsidRPr="00084C04">
        <w:rPr>
          <w:bCs/>
          <w:color w:val="FF0000"/>
          <w:sz w:val="22"/>
          <w:szCs w:val="22"/>
        </w:rPr>
        <w:t xml:space="preserve"> </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7777777">
      <w:pPr>
        <w:tabs>
          <w:tab w:val="left" w:pos="-720"/>
        </w:tabs>
        <w:suppressAutoHyphens/>
        <w:ind w:left="360"/>
        <w:rPr>
          <w:rFonts w:ascii="Times New Roman" w:hAnsi="Times New Roman"/>
          <w:b/>
          <w:szCs w:val="24"/>
        </w:rPr>
      </w:pPr>
    </w:p>
    <w:p w:rsidRPr="008700EC" w:rsidR="00316B95" w:rsidP="008700EC" w:rsidRDefault="00316B95" w14:paraId="156928A8" w14:textId="77777777">
      <w:pPr>
        <w:ind w:left="720"/>
        <w:rPr>
          <w:rFonts w:ascii="Times New Roman" w:hAnsi="Times New Roman"/>
          <w:szCs w:val="24"/>
        </w:rPr>
      </w:pPr>
      <w:r w:rsidRPr="008700EC">
        <w:rPr>
          <w:rFonts w:ascii="Times New Roman" w:hAnsi="Times New Roman"/>
          <w:szCs w:val="24"/>
        </w:rPr>
        <w:t>The OMB number and expiration date will be displayed on the data collection form.</w:t>
      </w:r>
    </w:p>
    <w:p w:rsidRPr="00534B4A" w:rsidR="00534B4A" w:rsidP="008700EC" w:rsidRDefault="00534B4A" w14:paraId="7BED2F60" w14:textId="77777777">
      <w:pPr>
        <w:ind w:left="720"/>
        <w:rPr>
          <w:rFonts w:ascii="Times New Roman" w:hAnsi="Times New Roman"/>
          <w:szCs w:val="24"/>
        </w:rPr>
      </w:pPr>
    </w:p>
    <w:p w:rsidR="001C73C0" w:rsidP="00AD381B" w:rsidRDefault="00043C32" w14:paraId="7BED2F61" w14:textId="6813A15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16B95" w:rsidP="00316B95" w:rsidRDefault="00316B95" w14:paraId="54226618" w14:textId="67FED1FA">
      <w:pPr>
        <w:tabs>
          <w:tab w:val="left" w:pos="-720"/>
        </w:tabs>
        <w:suppressAutoHyphens/>
        <w:rPr>
          <w:rFonts w:ascii="Times New Roman" w:hAnsi="Times New Roman"/>
          <w:b/>
          <w:szCs w:val="24"/>
        </w:rPr>
      </w:pPr>
    </w:p>
    <w:p w:rsidRPr="00084C04" w:rsidR="00316B95" w:rsidP="008700EC" w:rsidRDefault="00316B95" w14:paraId="2EE51D71" w14:textId="77777777">
      <w:pPr>
        <w:ind w:left="720"/>
        <w:rPr>
          <w:rFonts w:ascii="Times New Roman" w:hAnsi="Times New Roman"/>
          <w:b/>
          <w:color w:val="FF0000"/>
          <w:szCs w:val="24"/>
        </w:rPr>
      </w:pPr>
      <w:r w:rsidRPr="008700EC">
        <w:rPr>
          <w:rFonts w:ascii="Times New Roman" w:hAnsi="Times New Roman"/>
          <w:szCs w:val="24"/>
        </w:rPr>
        <w:t>There are no exceptions to the certification statement.</w:t>
      </w:r>
    </w:p>
    <w:p w:rsidRPr="00316B95" w:rsidR="00316B95" w:rsidP="00316B95" w:rsidRDefault="00316B95" w14:paraId="35CA59D5" w14:textId="77777777">
      <w:pPr>
        <w:tabs>
          <w:tab w:val="left" w:pos="-720"/>
        </w:tabs>
        <w:suppressAutoHyphens/>
        <w:rPr>
          <w:rFonts w:ascii="Times New Roman" w:hAnsi="Times New Roman"/>
          <w:b/>
          <w:szCs w:val="24"/>
        </w:rPr>
      </w:pPr>
    </w:p>
    <w:sectPr w:rsidRPr="00316B95" w:rsidR="00316B95"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0087" w14:textId="77777777" w:rsidR="004A3781" w:rsidRDefault="004A3781" w:rsidP="00043C32">
      <w:r>
        <w:separator/>
      </w:r>
    </w:p>
  </w:endnote>
  <w:endnote w:type="continuationSeparator" w:id="0">
    <w:p w14:paraId="7C7A0971" w14:textId="77777777" w:rsidR="004A3781" w:rsidRDefault="004A3781"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AE2940">
    <w:pPr>
      <w:spacing w:before="140" w:line="100" w:lineRule="exact"/>
      <w:rPr>
        <w:sz w:val="10"/>
      </w:rPr>
    </w:pPr>
  </w:p>
  <w:p w14:paraId="7BED2F67" w14:textId="77777777" w:rsidR="00386054" w:rsidRDefault="00AE2940">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309A" w14:textId="77777777" w:rsidR="004A3781" w:rsidRDefault="004A3781" w:rsidP="00043C32">
      <w:r>
        <w:separator/>
      </w:r>
    </w:p>
  </w:footnote>
  <w:footnote w:type="continuationSeparator" w:id="0">
    <w:p w14:paraId="152E0344" w14:textId="77777777" w:rsidR="004A3781" w:rsidRDefault="004A3781"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A141A"/>
    <w:rsid w:val="00153522"/>
    <w:rsid w:val="001561D8"/>
    <w:rsid w:val="00170121"/>
    <w:rsid w:val="001824F3"/>
    <w:rsid w:val="0019345D"/>
    <w:rsid w:val="00193712"/>
    <w:rsid w:val="001A6AE0"/>
    <w:rsid w:val="001C73C0"/>
    <w:rsid w:val="001E79BD"/>
    <w:rsid w:val="002225CC"/>
    <w:rsid w:val="00224A3B"/>
    <w:rsid w:val="00240A39"/>
    <w:rsid w:val="00246FE9"/>
    <w:rsid w:val="00250100"/>
    <w:rsid w:val="00262A69"/>
    <w:rsid w:val="00270AF7"/>
    <w:rsid w:val="00295D0A"/>
    <w:rsid w:val="002A3221"/>
    <w:rsid w:val="002A3384"/>
    <w:rsid w:val="002B101E"/>
    <w:rsid w:val="002C3520"/>
    <w:rsid w:val="002E14E0"/>
    <w:rsid w:val="002F55E5"/>
    <w:rsid w:val="00316B95"/>
    <w:rsid w:val="0032078A"/>
    <w:rsid w:val="0032539E"/>
    <w:rsid w:val="0038257B"/>
    <w:rsid w:val="003860E4"/>
    <w:rsid w:val="003A74C0"/>
    <w:rsid w:val="003B13F6"/>
    <w:rsid w:val="003B1545"/>
    <w:rsid w:val="004114F6"/>
    <w:rsid w:val="00412915"/>
    <w:rsid w:val="00442E07"/>
    <w:rsid w:val="004A3781"/>
    <w:rsid w:val="0052073E"/>
    <w:rsid w:val="00534B4A"/>
    <w:rsid w:val="00535101"/>
    <w:rsid w:val="00575DDA"/>
    <w:rsid w:val="00581C11"/>
    <w:rsid w:val="0068567A"/>
    <w:rsid w:val="006A292A"/>
    <w:rsid w:val="006A38F7"/>
    <w:rsid w:val="006A4EBB"/>
    <w:rsid w:val="006B4172"/>
    <w:rsid w:val="006C220C"/>
    <w:rsid w:val="00713B69"/>
    <w:rsid w:val="00755D99"/>
    <w:rsid w:val="00756FD3"/>
    <w:rsid w:val="00765392"/>
    <w:rsid w:val="00790E3E"/>
    <w:rsid w:val="00795B79"/>
    <w:rsid w:val="007B4BBF"/>
    <w:rsid w:val="007C0A4C"/>
    <w:rsid w:val="007F6104"/>
    <w:rsid w:val="00800D30"/>
    <w:rsid w:val="00807D1A"/>
    <w:rsid w:val="00847C6C"/>
    <w:rsid w:val="008700EC"/>
    <w:rsid w:val="00874EFE"/>
    <w:rsid w:val="00882126"/>
    <w:rsid w:val="008933F1"/>
    <w:rsid w:val="008D0601"/>
    <w:rsid w:val="008D1F11"/>
    <w:rsid w:val="008E5919"/>
    <w:rsid w:val="008F7EF8"/>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61E9"/>
    <w:rsid w:val="009E3E86"/>
    <w:rsid w:val="00A118A2"/>
    <w:rsid w:val="00A23F26"/>
    <w:rsid w:val="00A4001C"/>
    <w:rsid w:val="00A40AAB"/>
    <w:rsid w:val="00A46D01"/>
    <w:rsid w:val="00A66E3E"/>
    <w:rsid w:val="00A70816"/>
    <w:rsid w:val="00A73590"/>
    <w:rsid w:val="00A7636D"/>
    <w:rsid w:val="00A77F10"/>
    <w:rsid w:val="00A9138E"/>
    <w:rsid w:val="00AC1C89"/>
    <w:rsid w:val="00AD381B"/>
    <w:rsid w:val="00AD4AA5"/>
    <w:rsid w:val="00AE2940"/>
    <w:rsid w:val="00AE6BD1"/>
    <w:rsid w:val="00AF2969"/>
    <w:rsid w:val="00AF5B5B"/>
    <w:rsid w:val="00AF5D1A"/>
    <w:rsid w:val="00B017F9"/>
    <w:rsid w:val="00B07213"/>
    <w:rsid w:val="00B10A05"/>
    <w:rsid w:val="00B54167"/>
    <w:rsid w:val="00B62E06"/>
    <w:rsid w:val="00B64B1D"/>
    <w:rsid w:val="00B75135"/>
    <w:rsid w:val="00B9671B"/>
    <w:rsid w:val="00BA1D31"/>
    <w:rsid w:val="00BC564D"/>
    <w:rsid w:val="00BD7BFD"/>
    <w:rsid w:val="00C03DF2"/>
    <w:rsid w:val="00C164D3"/>
    <w:rsid w:val="00C20670"/>
    <w:rsid w:val="00C224FD"/>
    <w:rsid w:val="00C2375E"/>
    <w:rsid w:val="00C53543"/>
    <w:rsid w:val="00C86713"/>
    <w:rsid w:val="00C875E8"/>
    <w:rsid w:val="00C92035"/>
    <w:rsid w:val="00CC2A72"/>
    <w:rsid w:val="00CC3FB5"/>
    <w:rsid w:val="00CD2067"/>
    <w:rsid w:val="00CD47BC"/>
    <w:rsid w:val="00CE4EF7"/>
    <w:rsid w:val="00D152C2"/>
    <w:rsid w:val="00D34984"/>
    <w:rsid w:val="00D36C35"/>
    <w:rsid w:val="00D701A4"/>
    <w:rsid w:val="00D75313"/>
    <w:rsid w:val="00D75603"/>
    <w:rsid w:val="00E16ACD"/>
    <w:rsid w:val="00E17134"/>
    <w:rsid w:val="00E25EBC"/>
    <w:rsid w:val="00E66550"/>
    <w:rsid w:val="00E877BF"/>
    <w:rsid w:val="00E9472D"/>
    <w:rsid w:val="00EA1767"/>
    <w:rsid w:val="00EB0929"/>
    <w:rsid w:val="00EB0FA5"/>
    <w:rsid w:val="00EC01DD"/>
    <w:rsid w:val="00EC35E3"/>
    <w:rsid w:val="00ED7195"/>
    <w:rsid w:val="00F0414F"/>
    <w:rsid w:val="00F070F3"/>
    <w:rsid w:val="00F27181"/>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BC564D"/>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BC56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7</cp:revision>
  <dcterms:created xsi:type="dcterms:W3CDTF">2021-06-10T13:12:00Z</dcterms:created>
  <dcterms:modified xsi:type="dcterms:W3CDTF">2021-08-17T14:19:00Z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