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21A8" w:rsidP="009422A9" w:rsidRDefault="00D021A8" w14:paraId="37973012" w14:textId="77777777">
      <w:pPr>
        <w:pStyle w:val="Title"/>
        <w:framePr w:w="6712" w:h="721" w:wrap="notBeside" w:hAnchor="page" w:vAnchor="page" w:x="2881" w:y="901" w:anchorLock="1"/>
        <w:rPr>
          <w:color w:val="000080"/>
          <w:sz w:val="28"/>
        </w:rPr>
      </w:pPr>
      <w:r>
        <w:rPr>
          <w:color w:val="000080"/>
          <w:sz w:val="28"/>
        </w:rPr>
        <w:t>United States Department of Education</w:t>
      </w:r>
    </w:p>
    <w:p w:rsidR="00DE55C1" w:rsidP="009422A9" w:rsidRDefault="00EA5C30" w14:paraId="3E1C02AC" w14:textId="23FF9ECE">
      <w:r>
        <w:rPr>
          <w:b/>
          <w:noProof/>
          <w:sz w:val="20"/>
        </w:rPr>
        <w:drawing>
          <wp:anchor distT="0" distB="0" distL="114300" distR="114300" simplePos="0" relativeHeight="251657728" behindDoc="0" locked="1" layoutInCell="1" allowOverlap="1" wp14:editId="36317FC6" wp14:anchorId="04212C0B">
            <wp:simplePos x="0" y="0"/>
            <wp:positionH relativeFrom="column">
              <wp:posOffset>0</wp:posOffset>
            </wp:positionH>
            <wp:positionV relativeFrom="page">
              <wp:posOffset>457200</wp:posOffset>
            </wp:positionV>
            <wp:extent cx="914400" cy="9144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p>
    <w:p w:rsidR="00FF5B7B" w:rsidP="009422A9" w:rsidRDefault="00B85C8A" w14:paraId="239B10DA" w14:textId="68947777">
      <w:r>
        <w:tab/>
      </w:r>
      <w:r>
        <w:tab/>
      </w:r>
      <w:r>
        <w:tab/>
      </w:r>
      <w:r>
        <w:tab/>
      </w:r>
      <w:r>
        <w:tab/>
      </w:r>
      <w:r>
        <w:tab/>
      </w:r>
      <w:r w:rsidR="005279E1">
        <w:t>June 28</w:t>
      </w:r>
      <w:r w:rsidRPr="002E7D01" w:rsidR="00E91111">
        <w:t>, 2021</w:t>
      </w:r>
    </w:p>
    <w:p w:rsidRPr="003E3C83" w:rsidR="0084346C" w:rsidRDefault="0084346C" w14:paraId="50A1E80B" w14:textId="77777777"/>
    <w:p w:rsidRPr="003E3C83" w:rsidR="00FF5B7B" w:rsidRDefault="00FF5B7B" w14:paraId="0EE24288" w14:textId="77777777">
      <w:r w:rsidRPr="003E3C83">
        <w:t>MEMORA</w:t>
      </w:r>
      <w:r>
        <w:t>N</w:t>
      </w:r>
      <w:r w:rsidRPr="003E3C83">
        <w:t>DUM</w:t>
      </w:r>
    </w:p>
    <w:p w:rsidRPr="003E3C83" w:rsidR="00FF5B7B" w:rsidRDefault="00FF5B7B" w14:paraId="191F0BE3" w14:textId="77777777"/>
    <w:p w:rsidRPr="003E3C83" w:rsidR="00FF5B7B" w:rsidRDefault="00FF5B7B" w14:paraId="5717CAF2" w14:textId="77777777">
      <w:r w:rsidRPr="003E3C83">
        <w:t>TO:</w:t>
      </w:r>
      <w:r w:rsidRPr="003E3C83">
        <w:tab/>
      </w:r>
      <w:r w:rsidRPr="003E3C83">
        <w:tab/>
      </w:r>
      <w:r w:rsidRPr="003E3C83">
        <w:tab/>
        <w:t>Lindsay Abate</w:t>
      </w:r>
    </w:p>
    <w:p w:rsidRPr="003E3C83" w:rsidR="00FF5B7B" w:rsidRDefault="00FF5B7B" w14:paraId="46D18AB1" w14:textId="77777777">
      <w:r w:rsidRPr="003E3C83">
        <w:tab/>
      </w:r>
      <w:r w:rsidRPr="003E3C83">
        <w:tab/>
      </w:r>
      <w:r w:rsidRPr="003E3C83">
        <w:tab/>
        <w:t>Office of Management and Budget Desk Officer</w:t>
      </w:r>
    </w:p>
    <w:p w:rsidRPr="003E3C83" w:rsidR="00FF5B7B" w:rsidRDefault="00FF5B7B" w14:paraId="6FC28DE7" w14:textId="77777777"/>
    <w:p w:rsidR="003A7886" w:rsidRDefault="00FF5B7B" w14:paraId="75C1E2C8" w14:textId="4DE0773A">
      <w:r w:rsidRPr="003E3C83">
        <w:t>FROM:</w:t>
      </w:r>
      <w:r w:rsidRPr="003E3C83">
        <w:tab/>
      </w:r>
      <w:r w:rsidRPr="003E3C83">
        <w:tab/>
      </w:r>
      <w:r w:rsidR="00796AF7">
        <w:t>Beatriz Ceja</w:t>
      </w:r>
    </w:p>
    <w:p w:rsidRPr="00FB613F" w:rsidR="00796AF7" w:rsidRDefault="00796AF7" w14:paraId="374ACB01" w14:textId="768E1BC7">
      <w:r>
        <w:tab/>
      </w:r>
      <w:r>
        <w:tab/>
      </w:r>
      <w:r>
        <w:tab/>
        <w:t>Senior Director, Institutional Service</w:t>
      </w:r>
    </w:p>
    <w:p w:rsidRPr="003E3C83" w:rsidR="00FF5B7B" w:rsidRDefault="00FF5B7B" w14:paraId="7421F601" w14:textId="2A25FE54"/>
    <w:p w:rsidRPr="003E3C83" w:rsidR="00FF5B7B" w:rsidRDefault="00FF5B7B" w14:paraId="55E788E9" w14:textId="77777777">
      <w:pPr>
        <w:ind w:left="2160" w:hanging="2160"/>
      </w:pPr>
      <w:r w:rsidRPr="003E3C83">
        <w:t>RE:</w:t>
      </w:r>
      <w:r w:rsidRPr="003E3C83">
        <w:tab/>
        <w:t>Emergency request for Paperwork Reduction Act (PRA) approval</w:t>
      </w:r>
    </w:p>
    <w:p w:rsidRPr="003E3C83" w:rsidR="00FF5B7B" w:rsidRDefault="00FF5B7B" w14:paraId="2E7C38EC" w14:textId="77777777">
      <w:pPr>
        <w:ind w:left="2160" w:hanging="2160"/>
      </w:pPr>
    </w:p>
    <w:p w:rsidRPr="003E3C83" w:rsidR="00FF5B7B" w:rsidRDefault="00FF5B7B" w14:paraId="6EA08D40" w14:textId="77777777">
      <w:pPr>
        <w:rPr>
          <w:rFonts w:eastAsia="Calibri"/>
        </w:rPr>
      </w:pPr>
    </w:p>
    <w:p w:rsidR="000F4CF3" w:rsidRDefault="00FF5B7B" w14:paraId="2057B016" w14:textId="2BFAE000">
      <w:r w:rsidRPr="18418925">
        <w:rPr>
          <w:rFonts w:eastAsia="Calibri"/>
        </w:rPr>
        <w:t xml:space="preserve">Pursuant to the Office of Management and Budget (OMB) procedures established at 5 CFR 1320, ED requests that the following </w:t>
      </w:r>
      <w:r w:rsidRPr="00F62852">
        <w:rPr>
          <w:rFonts w:eastAsia="Calibri"/>
        </w:rPr>
        <w:t>collection of information,</w:t>
      </w:r>
      <w:r w:rsidRPr="00F62852">
        <w:t xml:space="preserve"> </w:t>
      </w:r>
      <w:r w:rsidRPr="001076F5" w:rsidR="001076F5">
        <w:t>Endowment Excise Tax: Allocation Reduction Waiver</w:t>
      </w:r>
      <w:r w:rsidRPr="00F62852">
        <w:rPr>
          <w:rFonts w:eastAsia="Calibri"/>
        </w:rPr>
        <w:t xml:space="preserve">, be processed in accordance with section 1320.13 Emergency Processing. </w:t>
      </w:r>
      <w:r w:rsidRPr="00F62852" w:rsidR="00D01FE3">
        <w:rPr>
          <w:rFonts w:eastAsia="Calibri"/>
        </w:rPr>
        <w:t xml:space="preserve"> </w:t>
      </w:r>
      <w:r w:rsidR="00114B0B">
        <w:rPr>
          <w:rFonts w:eastAsia="Calibri"/>
        </w:rPr>
        <w:t xml:space="preserve">The U.S. Department of Education (the Department) </w:t>
      </w:r>
      <w:r w:rsidRPr="00F62852">
        <w:rPr>
          <w:rFonts w:eastAsia="Calibri"/>
        </w:rPr>
        <w:t>has determined that this information must be collected prior to the expiration of time periods established under Part 1320, and that this information</w:t>
      </w:r>
      <w:r w:rsidRPr="18418925">
        <w:rPr>
          <w:rFonts w:eastAsia="Calibri"/>
        </w:rPr>
        <w:t xml:space="preserve"> is essential to ED’s ability to effectively </w:t>
      </w:r>
      <w:r>
        <w:t>address the disruption</w:t>
      </w:r>
      <w:r w:rsidR="00BB296C">
        <w:t>s</w:t>
      </w:r>
      <w:r>
        <w:t xml:space="preserve"> posed by the Novel (new) Coronavirus (“2019-nCoV”).  </w:t>
      </w:r>
      <w:bookmarkStart w:name="_Hlk37342712" w:id="0"/>
      <w:bookmarkEnd w:id="0"/>
    </w:p>
    <w:p w:rsidR="00FF5B7B" w:rsidRDefault="00FF5B7B" w14:paraId="5F0AFBC1" w14:textId="679E8129"/>
    <w:p w:rsidR="004B5C69" w:rsidP="004B5C69" w:rsidRDefault="00E2273A" w14:paraId="1BB5ED16" w14:textId="393944C7">
      <w:r w:rsidRPr="00C17649">
        <w:rPr>
          <w:bCs/>
        </w:rPr>
        <w:t xml:space="preserve">The </w:t>
      </w:r>
      <w:r w:rsidRPr="00C17649">
        <w:rPr>
          <w:rFonts w:cs="Courier New"/>
        </w:rPr>
        <w:t>Coronavirus Response and Relief Supplemental Appropriations Act (CRRSAA) (P.L. 116-260), enacted on December 27, 2020, provide</w:t>
      </w:r>
      <w:r>
        <w:rPr>
          <w:rFonts w:cs="Courier New"/>
        </w:rPr>
        <w:t>d</w:t>
      </w:r>
      <w:r w:rsidRPr="00C17649">
        <w:rPr>
          <w:rFonts w:cs="Courier New"/>
        </w:rPr>
        <w:t xml:space="preserve"> $22.7 billion for assistance to institutions of higher education (IHEs) under the Higher Education Emergency Relief Fund (HEERF).  </w:t>
      </w:r>
      <w:r w:rsidRPr="008F0A1A" w:rsidR="00BE6E0A">
        <w:rPr>
          <w:rStyle w:val="normaltextrun1"/>
        </w:rPr>
        <w:t>Pursuant to section 314(d)(6)</w:t>
      </w:r>
      <w:r w:rsidR="00BE6E0A">
        <w:rPr>
          <w:rStyle w:val="normaltextrun1"/>
        </w:rPr>
        <w:t xml:space="preserve"> of CRRSAA</w:t>
      </w:r>
      <w:r w:rsidRPr="008F0A1A" w:rsidR="00BE6E0A">
        <w:rPr>
          <w:rStyle w:val="normaltextrun1"/>
        </w:rPr>
        <w:t>, any institution that was required or will be required to remit payment to the Internal Revenue Service for the excise tax paid on investment income of private colleges and universities under section 4968 of the Internal Revenue Code of 1986 for tax year 2019 must notify the Department</w:t>
      </w:r>
      <w:r w:rsidR="00114B0B">
        <w:rPr>
          <w:rStyle w:val="normaltextrun1"/>
        </w:rPr>
        <w:t xml:space="preserve"> </w:t>
      </w:r>
      <w:r w:rsidRPr="008F0A1A" w:rsidR="00BE6E0A">
        <w:rPr>
          <w:rStyle w:val="normaltextrun1"/>
        </w:rPr>
        <w:t>that it was required</w:t>
      </w:r>
      <w:r w:rsidRPr="008F0A1A" w:rsidR="00BE6E0A">
        <w:rPr>
          <w:rStyle w:val="normaltextrun1"/>
          <w:color w:val="0078D4"/>
          <w:u w:val="single"/>
        </w:rPr>
        <w:t xml:space="preserve"> </w:t>
      </w:r>
      <w:r w:rsidRPr="00114B0B" w:rsidR="00BE6E0A">
        <w:rPr>
          <w:rStyle w:val="normaltextrun1"/>
        </w:rPr>
        <w:t xml:space="preserve">or will be required </w:t>
      </w:r>
      <w:r w:rsidRPr="008F0A1A" w:rsidR="00BE6E0A">
        <w:rPr>
          <w:rStyle w:val="normaltextrun1"/>
        </w:rPr>
        <w:t>to remit such payment.</w:t>
      </w:r>
      <w:r w:rsidR="00FC79EC">
        <w:rPr>
          <w:rStyle w:val="normaltextrun1"/>
        </w:rPr>
        <w:t xml:space="preserve"> </w:t>
      </w:r>
      <w:r w:rsidRPr="008F0A1A" w:rsidR="00BE6E0A">
        <w:rPr>
          <w:rStyle w:val="eop"/>
        </w:rPr>
        <w:t> </w:t>
      </w:r>
      <w:r w:rsidR="00081669">
        <w:rPr>
          <w:rStyle w:val="eop"/>
        </w:rPr>
        <w:t xml:space="preserve">Further, these </w:t>
      </w:r>
      <w:r w:rsidR="007C4147">
        <w:rPr>
          <w:rStyle w:val="eop"/>
        </w:rPr>
        <w:t xml:space="preserve">IHEs must certify that the </w:t>
      </w:r>
      <w:r w:rsidRPr="00095646" w:rsidR="0099362B">
        <w:rPr>
          <w:rFonts w:cstheme="minorHAnsi"/>
        </w:rPr>
        <w:t xml:space="preserve">institution will not draw down more than 50% of its total allocation under CRRSAA section 314 prior to </w:t>
      </w:r>
      <w:r w:rsidRPr="00095646" w:rsidR="00095646">
        <w:rPr>
          <w:rFonts w:cstheme="minorHAnsi"/>
        </w:rPr>
        <w:t>requesting</w:t>
      </w:r>
      <w:r w:rsidRPr="00095646" w:rsidR="0099362B">
        <w:rPr>
          <w:rFonts w:cstheme="minorHAnsi"/>
        </w:rPr>
        <w:t xml:space="preserve"> a waiver under Section 314(d)(6)(B)</w:t>
      </w:r>
      <w:r w:rsidR="00F32D83">
        <w:rPr>
          <w:rFonts w:cstheme="minorHAnsi"/>
        </w:rPr>
        <w:t xml:space="preserve">, which permits </w:t>
      </w:r>
      <w:r w:rsidRPr="00F92A5E" w:rsidR="00F32D83">
        <w:t xml:space="preserve">the Secretary </w:t>
      </w:r>
      <w:r w:rsidR="00F32D83">
        <w:t>to</w:t>
      </w:r>
      <w:r w:rsidRPr="00F92A5E" w:rsidR="00F32D83">
        <w:t xml:space="preserve"> waive the requirements to reduce a grantee’s allocation, if upon application, an </w:t>
      </w:r>
      <w:r w:rsidR="00F32D83">
        <w:t>IHE</w:t>
      </w:r>
      <w:r w:rsidRPr="00F92A5E" w:rsidR="00F32D83">
        <w:t xml:space="preserve"> demonstrates need for the total amount of funds such institution is allocated under section 314(a)(1) of CRRSAA.</w:t>
      </w:r>
      <w:r w:rsidR="00F32D83">
        <w:t xml:space="preserve">  </w:t>
      </w:r>
      <w:r w:rsidRPr="00F92A5E" w:rsidR="004B5C69">
        <w:t>The proposed form provides institutions with the opportunity to request this waiver and collects data needed to evaluate their waiver request.</w:t>
      </w:r>
    </w:p>
    <w:p w:rsidR="00095646" w:rsidP="007C4147" w:rsidRDefault="00095646" w14:paraId="133E8799" w14:textId="2D55182B">
      <w:pPr>
        <w:pStyle w:val="paragraph"/>
        <w:textAlignment w:val="baseline"/>
        <w:rPr>
          <w:rFonts w:cstheme="minorHAnsi"/>
        </w:rPr>
      </w:pPr>
    </w:p>
    <w:p w:rsidR="006A0B0B" w:rsidP="002E7D01" w:rsidRDefault="00FF5B7B" w14:paraId="279A0AB2" w14:textId="69BA22F1">
      <w:r>
        <w:t>If this emergency collection is not approved, the Department</w:t>
      </w:r>
      <w:r w:rsidR="00FB75E8">
        <w:t xml:space="preserve"> will be unable to </w:t>
      </w:r>
      <w:r w:rsidR="006A0B0B">
        <w:t xml:space="preserve">receive and review waiver requests in a </w:t>
      </w:r>
      <w:r w:rsidR="00F70ABE">
        <w:t>timely manner</w:t>
      </w:r>
      <w:r w:rsidR="006A0B0B">
        <w:t>, delaying the release of funds to IHEs and students that are still recovering from the effects of the pandemic</w:t>
      </w:r>
      <w:r w:rsidR="00F70ABE">
        <w:t>.</w:t>
      </w:r>
    </w:p>
    <w:p w:rsidR="006A0B0B" w:rsidP="002E7D01" w:rsidRDefault="006A0B0B" w14:paraId="18A9089B" w14:textId="77777777"/>
    <w:p w:rsidR="00EA40F8" w:rsidP="002E7D01" w:rsidRDefault="00EA40F8" w14:paraId="6AEE4109" w14:textId="77777777"/>
    <w:p w:rsidRPr="00E52514" w:rsidR="00FF5B7B" w:rsidP="002E7D01" w:rsidRDefault="00FF5B7B" w14:paraId="7F6AA3C0" w14:textId="2669A7D3">
      <w:pPr>
        <w:rPr>
          <w:rFonts w:eastAsia="Calibri"/>
        </w:rPr>
      </w:pPr>
      <w:r w:rsidRPr="30C03D30">
        <w:rPr>
          <w:rFonts w:eastAsia="Calibri"/>
        </w:rPr>
        <w:lastRenderedPageBreak/>
        <w:t xml:space="preserve">Given the short timeframe, </w:t>
      </w:r>
      <w:r w:rsidRPr="30C03D30" w:rsidR="002A5103">
        <w:rPr>
          <w:rFonts w:eastAsia="Calibri"/>
        </w:rPr>
        <w:t>the Department</w:t>
      </w:r>
      <w:r w:rsidRPr="30C03D30">
        <w:rPr>
          <w:rFonts w:eastAsia="Calibri"/>
        </w:rPr>
        <w:t xml:space="preserve"> is unable to consult with the public prior to issuing the form</w:t>
      </w:r>
      <w:r w:rsidRPr="30C03D30" w:rsidR="009F6360">
        <w:rPr>
          <w:rFonts w:eastAsia="Calibri"/>
        </w:rPr>
        <w:t>.  H</w:t>
      </w:r>
      <w:r w:rsidRPr="30C03D30">
        <w:rPr>
          <w:rFonts w:eastAsia="Calibri"/>
        </w:rPr>
        <w:t>owever</w:t>
      </w:r>
      <w:r w:rsidRPr="30C03D30" w:rsidR="00380402">
        <w:rPr>
          <w:rFonts w:eastAsia="Calibri"/>
        </w:rPr>
        <w:t>,</w:t>
      </w:r>
      <w:r w:rsidRPr="30C03D30">
        <w:rPr>
          <w:rFonts w:eastAsia="Calibri"/>
        </w:rPr>
        <w:t xml:space="preserve"> </w:t>
      </w:r>
      <w:r w:rsidRPr="30C03D30" w:rsidR="002A5103">
        <w:rPr>
          <w:rFonts w:eastAsia="Calibri"/>
        </w:rPr>
        <w:t>the Department</w:t>
      </w:r>
      <w:r w:rsidRPr="30C03D30">
        <w:rPr>
          <w:rFonts w:eastAsia="Calibri"/>
        </w:rPr>
        <w:t xml:space="preserve"> has ample experience designing other similar forms in a way that is clear and minimizes burden.  We estimate that </w:t>
      </w:r>
      <w:r w:rsidRPr="30C03D30" w:rsidR="00EB4E21">
        <w:rPr>
          <w:rFonts w:eastAsia="Calibri"/>
        </w:rPr>
        <w:t xml:space="preserve">the </w:t>
      </w:r>
      <w:r w:rsidRPr="30C03D30" w:rsidR="00824351">
        <w:rPr>
          <w:rFonts w:eastAsia="Calibri"/>
        </w:rPr>
        <w:t>form</w:t>
      </w:r>
      <w:r w:rsidRPr="30C03D30" w:rsidR="00EB4E21">
        <w:rPr>
          <w:rFonts w:eastAsia="Calibri"/>
        </w:rPr>
        <w:t xml:space="preserve"> </w:t>
      </w:r>
      <w:r w:rsidRPr="30C03D30">
        <w:rPr>
          <w:rFonts w:eastAsia="Calibri"/>
        </w:rPr>
        <w:t xml:space="preserve">will require </w:t>
      </w:r>
      <w:r w:rsidR="003001F9">
        <w:rPr>
          <w:rFonts w:eastAsia="Calibri"/>
        </w:rPr>
        <w:t>1 hour</w:t>
      </w:r>
      <w:r w:rsidRPr="30C03D30" w:rsidR="00824351">
        <w:rPr>
          <w:rFonts w:eastAsia="Calibri"/>
        </w:rPr>
        <w:t xml:space="preserve"> </w:t>
      </w:r>
      <w:r w:rsidRPr="30C03D30" w:rsidR="00D01FE3">
        <w:rPr>
          <w:rFonts w:eastAsia="Calibri"/>
        </w:rPr>
        <w:t xml:space="preserve">per </w:t>
      </w:r>
      <w:r w:rsidRPr="30C03D30" w:rsidR="002A5103">
        <w:rPr>
          <w:rFonts w:eastAsia="Calibri"/>
        </w:rPr>
        <w:t>respondent</w:t>
      </w:r>
      <w:r w:rsidRPr="30C03D30">
        <w:rPr>
          <w:rFonts w:eastAsia="Calibri"/>
        </w:rPr>
        <w:t xml:space="preserve"> to complete.</w:t>
      </w:r>
    </w:p>
    <w:p w:rsidRPr="00E52514" w:rsidR="00343B2B" w:rsidRDefault="00343B2B" w14:paraId="6EA12296" w14:textId="77777777">
      <w:pPr>
        <w:rPr>
          <w:rFonts w:eastAsia="Calibri"/>
        </w:rPr>
      </w:pPr>
    </w:p>
    <w:p w:rsidRPr="003E3C83" w:rsidR="00FF5B7B" w:rsidRDefault="00404D11" w14:paraId="5236B59B" w14:textId="3A72CEE6">
      <w:pPr>
        <w:tabs>
          <w:tab w:val="left" w:pos="-720"/>
          <w:tab w:val="left" w:pos="0"/>
        </w:tabs>
        <w:suppressAutoHyphens/>
      </w:pPr>
      <w:r w:rsidRPr="00E52514">
        <w:t xml:space="preserve">The Department is requesting an emergency clearance from OMB by </w:t>
      </w:r>
      <w:r w:rsidR="00090985">
        <w:t>July 26</w:t>
      </w:r>
      <w:r w:rsidR="005C5A4D">
        <w:t xml:space="preserve"> </w:t>
      </w:r>
      <w:r>
        <w:t xml:space="preserve">and will publish an emergency notice with a </w:t>
      </w:r>
      <w:r w:rsidR="00824351">
        <w:t>6</w:t>
      </w:r>
      <w:r w:rsidR="000C4A1D">
        <w:t>0</w:t>
      </w:r>
      <w:r w:rsidR="00982337">
        <w:t xml:space="preserve"> </w:t>
      </w:r>
      <w:r>
        <w:t>day comment period as required by 5 CFR 1320.8(d) to solicit public comments on the regular information collection.</w:t>
      </w:r>
    </w:p>
    <w:sectPr w:rsidRPr="003E3C83" w:rsidR="00FF5B7B" w:rsidSect="00BB62E7">
      <w:footerReference w:type="default" r:id="rId11"/>
      <w:footerReference w:type="first" r:id="rId12"/>
      <w:pgSz w:w="12240" w:h="15840" w:code="1"/>
      <w:pgMar w:top="1440" w:right="1728" w:bottom="1440" w:left="1728"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88FFB" w14:textId="77777777" w:rsidR="00283D45" w:rsidRDefault="00283D45">
      <w:r>
        <w:separator/>
      </w:r>
    </w:p>
  </w:endnote>
  <w:endnote w:type="continuationSeparator" w:id="0">
    <w:p w14:paraId="3237DCAE" w14:textId="77777777" w:rsidR="00283D45" w:rsidRDefault="00283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C5922" w14:textId="77777777" w:rsidR="006751AE" w:rsidRDefault="006751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55C1">
      <w:rPr>
        <w:rStyle w:val="PageNumber"/>
        <w:noProof/>
      </w:rPr>
      <w:t>2</w:t>
    </w:r>
    <w:r>
      <w:rPr>
        <w:rStyle w:val="PageNumber"/>
      </w:rPr>
      <w:fldChar w:fldCharType="end"/>
    </w:r>
  </w:p>
  <w:p w14:paraId="3A145C3F" w14:textId="77777777" w:rsidR="006751AE" w:rsidRDefault="006751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40317" w14:textId="77777777" w:rsidR="00187B0D" w:rsidRPr="0009367B" w:rsidRDefault="00187B0D" w:rsidP="00187B0D">
    <w:pPr>
      <w:pStyle w:val="Footer"/>
      <w:jc w:val="center"/>
      <w:rPr>
        <w:color w:val="000080"/>
        <w:sz w:val="18"/>
      </w:rPr>
    </w:pPr>
    <w:r w:rsidRPr="0009367B">
      <w:rPr>
        <w:color w:val="000080"/>
        <w:sz w:val="18"/>
      </w:rPr>
      <w:t xml:space="preserve">400 MARYLAND AVE. SW, </w:t>
    </w:r>
    <w:smartTag w:uri="urn:schemas-microsoft-com:office:smarttags" w:element="City">
      <w:r w:rsidRPr="0009367B">
        <w:rPr>
          <w:color w:val="000080"/>
          <w:sz w:val="18"/>
        </w:rPr>
        <w:t>WASHINGTON</w:t>
      </w:r>
    </w:smartTag>
    <w:r w:rsidRPr="0009367B">
      <w:rPr>
        <w:color w:val="000080"/>
        <w:sz w:val="18"/>
      </w:rPr>
      <w:t xml:space="preserve">, </w:t>
    </w:r>
    <w:smartTag w:uri="urn:schemas-microsoft-com:office:smarttags" w:element="State">
      <w:r w:rsidRPr="0009367B">
        <w:rPr>
          <w:color w:val="000080"/>
          <w:sz w:val="18"/>
        </w:rPr>
        <w:t>DC</w:t>
      </w:r>
    </w:smartTag>
    <w:r w:rsidRPr="0009367B">
      <w:rPr>
        <w:color w:val="000080"/>
        <w:sz w:val="18"/>
      </w:rPr>
      <w:t xml:space="preserve">  </w:t>
    </w:r>
    <w:smartTag w:uri="urn:schemas-microsoft-com:office:smarttags" w:element="PostalCode">
      <w:r w:rsidRPr="0009367B">
        <w:rPr>
          <w:color w:val="000080"/>
          <w:sz w:val="18"/>
        </w:rPr>
        <w:t>20202</w:t>
      </w:r>
    </w:smartTag>
  </w:p>
  <w:p w14:paraId="4E6738A2" w14:textId="77777777" w:rsidR="000670B3" w:rsidRPr="0009367B" w:rsidRDefault="00090985" w:rsidP="000670B3">
    <w:pPr>
      <w:pStyle w:val="Footer"/>
      <w:jc w:val="center"/>
      <w:rPr>
        <w:color w:val="000080"/>
        <w:sz w:val="18"/>
      </w:rPr>
    </w:pPr>
    <w:hyperlink r:id="rId1" w:history="1">
      <w:r w:rsidR="000670B3" w:rsidRPr="0009367B">
        <w:rPr>
          <w:rStyle w:val="Hyperlink"/>
          <w:color w:val="000080"/>
          <w:sz w:val="18"/>
          <w:u w:val="none"/>
        </w:rPr>
        <w:t>www.ed.gov</w:t>
      </w:r>
    </w:hyperlink>
  </w:p>
  <w:p w14:paraId="68F4904A" w14:textId="77777777" w:rsidR="000670B3" w:rsidRPr="0009367B" w:rsidRDefault="000670B3" w:rsidP="000670B3">
    <w:pPr>
      <w:pStyle w:val="Footer"/>
      <w:jc w:val="center"/>
      <w:rPr>
        <w:color w:val="000080"/>
        <w:sz w:val="18"/>
      </w:rPr>
    </w:pPr>
  </w:p>
  <w:p w14:paraId="0950673D" w14:textId="77777777" w:rsidR="000670B3" w:rsidRPr="0009367B" w:rsidRDefault="000670B3" w:rsidP="000670B3">
    <w:pPr>
      <w:pStyle w:val="Footer"/>
      <w:jc w:val="center"/>
      <w:rPr>
        <w:color w:val="000080"/>
      </w:rPr>
    </w:pPr>
    <w:r>
      <w:rPr>
        <w:i/>
        <w:iCs/>
        <w:color w:val="000080"/>
        <w:sz w:val="18"/>
      </w:rPr>
      <w:t>The Department of Education’s</w:t>
    </w:r>
    <w:r w:rsidRPr="0009367B">
      <w:rPr>
        <w:i/>
        <w:iCs/>
        <w:color w:val="000080"/>
        <w:sz w:val="18"/>
      </w:rPr>
      <w:t xml:space="preserve"> mission is to promote student achievement and preparation for global competitiveness by fostering educational excellence and ensuring equal access.</w:t>
    </w:r>
  </w:p>
  <w:p w14:paraId="6C954867" w14:textId="77777777" w:rsidR="000670B3" w:rsidRDefault="00067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D8A20" w14:textId="77777777" w:rsidR="00283D45" w:rsidRDefault="00283D45">
      <w:r>
        <w:separator/>
      </w:r>
    </w:p>
  </w:footnote>
  <w:footnote w:type="continuationSeparator" w:id="0">
    <w:p w14:paraId="0BF761D0" w14:textId="77777777" w:rsidR="00283D45" w:rsidRDefault="00283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D3B58"/>
    <w:multiLevelType w:val="hybridMultilevel"/>
    <w:tmpl w:val="E2743CAA"/>
    <w:lvl w:ilvl="0" w:tplc="8F96E57E">
      <w:start w:val="1"/>
      <w:numFmt w:val="bullet"/>
      <w:lvlText w:val=""/>
      <w:lvlJc w:val="left"/>
      <w:pPr>
        <w:tabs>
          <w:tab w:val="num" w:pos="720"/>
        </w:tabs>
        <w:ind w:left="720" w:hanging="360"/>
      </w:pPr>
      <w:rPr>
        <w:rFonts w:ascii="Symbol" w:hAnsi="Symbol" w:hint="default"/>
        <w:sz w:val="20"/>
      </w:rPr>
    </w:lvl>
    <w:lvl w:ilvl="1" w:tplc="94FE444C" w:tentative="1">
      <w:start w:val="1"/>
      <w:numFmt w:val="bullet"/>
      <w:lvlText w:val="o"/>
      <w:lvlJc w:val="left"/>
      <w:pPr>
        <w:tabs>
          <w:tab w:val="num" w:pos="1440"/>
        </w:tabs>
        <w:ind w:left="1440" w:hanging="360"/>
      </w:pPr>
      <w:rPr>
        <w:rFonts w:ascii="Courier New" w:hAnsi="Courier New" w:hint="default"/>
        <w:sz w:val="20"/>
      </w:rPr>
    </w:lvl>
    <w:lvl w:ilvl="2" w:tplc="8278C3AA" w:tentative="1">
      <w:start w:val="1"/>
      <w:numFmt w:val="bullet"/>
      <w:lvlText w:val=""/>
      <w:lvlJc w:val="left"/>
      <w:pPr>
        <w:tabs>
          <w:tab w:val="num" w:pos="2160"/>
        </w:tabs>
        <w:ind w:left="2160" w:hanging="360"/>
      </w:pPr>
      <w:rPr>
        <w:rFonts w:ascii="Wingdings" w:hAnsi="Wingdings" w:hint="default"/>
        <w:sz w:val="20"/>
      </w:rPr>
    </w:lvl>
    <w:lvl w:ilvl="3" w:tplc="C9068DFE" w:tentative="1">
      <w:start w:val="1"/>
      <w:numFmt w:val="bullet"/>
      <w:lvlText w:val=""/>
      <w:lvlJc w:val="left"/>
      <w:pPr>
        <w:tabs>
          <w:tab w:val="num" w:pos="2880"/>
        </w:tabs>
        <w:ind w:left="2880" w:hanging="360"/>
      </w:pPr>
      <w:rPr>
        <w:rFonts w:ascii="Wingdings" w:hAnsi="Wingdings" w:hint="default"/>
        <w:sz w:val="20"/>
      </w:rPr>
    </w:lvl>
    <w:lvl w:ilvl="4" w:tplc="E6029D26" w:tentative="1">
      <w:start w:val="1"/>
      <w:numFmt w:val="bullet"/>
      <w:lvlText w:val=""/>
      <w:lvlJc w:val="left"/>
      <w:pPr>
        <w:tabs>
          <w:tab w:val="num" w:pos="3600"/>
        </w:tabs>
        <w:ind w:left="3600" w:hanging="360"/>
      </w:pPr>
      <w:rPr>
        <w:rFonts w:ascii="Wingdings" w:hAnsi="Wingdings" w:hint="default"/>
        <w:sz w:val="20"/>
      </w:rPr>
    </w:lvl>
    <w:lvl w:ilvl="5" w:tplc="5EAA25D0" w:tentative="1">
      <w:start w:val="1"/>
      <w:numFmt w:val="bullet"/>
      <w:lvlText w:val=""/>
      <w:lvlJc w:val="left"/>
      <w:pPr>
        <w:tabs>
          <w:tab w:val="num" w:pos="4320"/>
        </w:tabs>
        <w:ind w:left="4320" w:hanging="360"/>
      </w:pPr>
      <w:rPr>
        <w:rFonts w:ascii="Wingdings" w:hAnsi="Wingdings" w:hint="default"/>
        <w:sz w:val="20"/>
      </w:rPr>
    </w:lvl>
    <w:lvl w:ilvl="6" w:tplc="EA22E032" w:tentative="1">
      <w:start w:val="1"/>
      <w:numFmt w:val="bullet"/>
      <w:lvlText w:val=""/>
      <w:lvlJc w:val="left"/>
      <w:pPr>
        <w:tabs>
          <w:tab w:val="num" w:pos="5040"/>
        </w:tabs>
        <w:ind w:left="5040" w:hanging="360"/>
      </w:pPr>
      <w:rPr>
        <w:rFonts w:ascii="Wingdings" w:hAnsi="Wingdings" w:hint="default"/>
        <w:sz w:val="20"/>
      </w:rPr>
    </w:lvl>
    <w:lvl w:ilvl="7" w:tplc="7356411C" w:tentative="1">
      <w:start w:val="1"/>
      <w:numFmt w:val="bullet"/>
      <w:lvlText w:val=""/>
      <w:lvlJc w:val="left"/>
      <w:pPr>
        <w:tabs>
          <w:tab w:val="num" w:pos="5760"/>
        </w:tabs>
        <w:ind w:left="5760" w:hanging="360"/>
      </w:pPr>
      <w:rPr>
        <w:rFonts w:ascii="Wingdings" w:hAnsi="Wingdings" w:hint="default"/>
        <w:sz w:val="20"/>
      </w:rPr>
    </w:lvl>
    <w:lvl w:ilvl="8" w:tplc="1C3CA65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25A72"/>
    <w:multiLevelType w:val="hybridMultilevel"/>
    <w:tmpl w:val="049C3B48"/>
    <w:lvl w:ilvl="0" w:tplc="DC14A38E">
      <w:start w:val="1"/>
      <w:numFmt w:val="bullet"/>
      <w:lvlText w:val="□"/>
      <w:lvlJc w:val="left"/>
      <w:pPr>
        <w:tabs>
          <w:tab w:val="num" w:pos="360"/>
        </w:tabs>
        <w:ind w:left="360" w:hanging="360"/>
      </w:pPr>
      <w:rPr>
        <w:rFonts w:ascii="Courier New" w:hAnsi="Courier New"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D061901"/>
    <w:multiLevelType w:val="hybridMultilevel"/>
    <w:tmpl w:val="F5A681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E82218E"/>
    <w:multiLevelType w:val="hybridMultilevel"/>
    <w:tmpl w:val="DB7CA1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4736FB"/>
    <w:multiLevelType w:val="hybridMultilevel"/>
    <w:tmpl w:val="9D9C172C"/>
    <w:lvl w:ilvl="0" w:tplc="92E01D8A">
      <w:start w:val="1"/>
      <w:numFmt w:val="decimal"/>
      <w:lvlText w:val="%1."/>
      <w:lvlJc w:val="left"/>
      <w:pPr>
        <w:tabs>
          <w:tab w:val="num" w:pos="360"/>
        </w:tabs>
        <w:ind w:left="360" w:hanging="360"/>
      </w:pPr>
    </w:lvl>
    <w:lvl w:ilvl="1" w:tplc="8BFCCF62">
      <w:start w:val="1"/>
      <w:numFmt w:val="lowerLetter"/>
      <w:lvlText w:val="%2."/>
      <w:lvlJc w:val="left"/>
      <w:pPr>
        <w:tabs>
          <w:tab w:val="num" w:pos="1080"/>
        </w:tabs>
        <w:ind w:left="1080" w:hanging="360"/>
      </w:pPr>
    </w:lvl>
    <w:lvl w:ilvl="2" w:tplc="7A102184">
      <w:start w:val="1"/>
      <w:numFmt w:val="lowerRoman"/>
      <w:lvlText w:val="%3."/>
      <w:lvlJc w:val="right"/>
      <w:pPr>
        <w:tabs>
          <w:tab w:val="num" w:pos="1800"/>
        </w:tabs>
        <w:ind w:left="1800" w:hanging="180"/>
      </w:pPr>
    </w:lvl>
    <w:lvl w:ilvl="3" w:tplc="45BA5EFA">
      <w:start w:val="1"/>
      <w:numFmt w:val="decimal"/>
      <w:lvlText w:val="%4."/>
      <w:lvlJc w:val="left"/>
      <w:pPr>
        <w:tabs>
          <w:tab w:val="num" w:pos="2520"/>
        </w:tabs>
        <w:ind w:left="2520" w:hanging="360"/>
      </w:pPr>
    </w:lvl>
    <w:lvl w:ilvl="4" w:tplc="189445E0">
      <w:start w:val="1"/>
      <w:numFmt w:val="lowerLetter"/>
      <w:lvlText w:val="%5."/>
      <w:lvlJc w:val="left"/>
      <w:pPr>
        <w:tabs>
          <w:tab w:val="num" w:pos="3240"/>
        </w:tabs>
        <w:ind w:left="3240" w:hanging="360"/>
      </w:pPr>
    </w:lvl>
    <w:lvl w:ilvl="5" w:tplc="2A7407A6">
      <w:start w:val="1"/>
      <w:numFmt w:val="lowerRoman"/>
      <w:lvlText w:val="%6."/>
      <w:lvlJc w:val="right"/>
      <w:pPr>
        <w:tabs>
          <w:tab w:val="num" w:pos="3960"/>
        </w:tabs>
        <w:ind w:left="3960" w:hanging="180"/>
      </w:pPr>
    </w:lvl>
    <w:lvl w:ilvl="6" w:tplc="E26CC590">
      <w:start w:val="1"/>
      <w:numFmt w:val="decimal"/>
      <w:lvlText w:val="%7."/>
      <w:lvlJc w:val="left"/>
      <w:pPr>
        <w:tabs>
          <w:tab w:val="num" w:pos="4680"/>
        </w:tabs>
        <w:ind w:left="4680" w:hanging="360"/>
      </w:pPr>
    </w:lvl>
    <w:lvl w:ilvl="7" w:tplc="B58C6DC0">
      <w:start w:val="1"/>
      <w:numFmt w:val="lowerLetter"/>
      <w:lvlText w:val="%8."/>
      <w:lvlJc w:val="left"/>
      <w:pPr>
        <w:tabs>
          <w:tab w:val="num" w:pos="5400"/>
        </w:tabs>
        <w:ind w:left="5400" w:hanging="360"/>
      </w:pPr>
    </w:lvl>
    <w:lvl w:ilvl="8" w:tplc="BCC0B6A8">
      <w:start w:val="1"/>
      <w:numFmt w:val="lowerRoman"/>
      <w:lvlText w:val="%9."/>
      <w:lvlJc w:val="right"/>
      <w:pPr>
        <w:tabs>
          <w:tab w:val="num" w:pos="6120"/>
        </w:tabs>
        <w:ind w:left="6120" w:hanging="180"/>
      </w:pPr>
    </w:lvl>
  </w:abstractNum>
  <w:abstractNum w:abstractNumId="5" w15:restartNumberingAfterBreak="0">
    <w:nsid w:val="22775E3D"/>
    <w:multiLevelType w:val="hybridMultilevel"/>
    <w:tmpl w:val="245E98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3D84CAD"/>
    <w:multiLevelType w:val="hybridMultilevel"/>
    <w:tmpl w:val="9D9C17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336E2E"/>
    <w:multiLevelType w:val="hybridMultilevel"/>
    <w:tmpl w:val="6E0A170A"/>
    <w:lvl w:ilvl="0" w:tplc="8B3E54C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5E67F9"/>
    <w:multiLevelType w:val="hybridMultilevel"/>
    <w:tmpl w:val="FC3E6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DA281D"/>
    <w:multiLevelType w:val="hybridMultilevel"/>
    <w:tmpl w:val="2C76F3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9C2AD8"/>
    <w:multiLevelType w:val="hybridMultilevel"/>
    <w:tmpl w:val="DA2E95A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A72780C"/>
    <w:multiLevelType w:val="hybridMultilevel"/>
    <w:tmpl w:val="5F9C80EA"/>
    <w:lvl w:ilvl="0" w:tplc="205E16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285E59"/>
    <w:multiLevelType w:val="hybridMultilevel"/>
    <w:tmpl w:val="5C6C1FD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E807EF2"/>
    <w:multiLevelType w:val="hybridMultilevel"/>
    <w:tmpl w:val="3BB2690E"/>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0DF7198"/>
    <w:multiLevelType w:val="hybridMultilevel"/>
    <w:tmpl w:val="761A541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49344C"/>
    <w:multiLevelType w:val="hybridMultilevel"/>
    <w:tmpl w:val="05CA6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FF0532"/>
    <w:multiLevelType w:val="hybridMultilevel"/>
    <w:tmpl w:val="3F0032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751AA6"/>
    <w:multiLevelType w:val="hybridMultilevel"/>
    <w:tmpl w:val="3724B3CA"/>
    <w:lvl w:ilvl="0" w:tplc="997EED0C">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4C61F4"/>
    <w:multiLevelType w:val="hybridMultilevel"/>
    <w:tmpl w:val="27B46A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410773A"/>
    <w:multiLevelType w:val="hybridMultilevel"/>
    <w:tmpl w:val="87BCC7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B67F9A"/>
    <w:multiLevelType w:val="hybridMultilevel"/>
    <w:tmpl w:val="3F00329A"/>
    <w:lvl w:ilvl="0" w:tplc="E628401A">
      <w:start w:val="1"/>
      <w:numFmt w:val="decimal"/>
      <w:lvlText w:val="%1."/>
      <w:lvlJc w:val="left"/>
      <w:pPr>
        <w:tabs>
          <w:tab w:val="num" w:pos="360"/>
        </w:tabs>
        <w:ind w:left="360" w:hanging="360"/>
      </w:pPr>
    </w:lvl>
    <w:lvl w:ilvl="1" w:tplc="8FEE42CC">
      <w:start w:val="1"/>
      <w:numFmt w:val="lowerLetter"/>
      <w:lvlText w:val="%2."/>
      <w:lvlJc w:val="left"/>
      <w:pPr>
        <w:tabs>
          <w:tab w:val="num" w:pos="1080"/>
        </w:tabs>
        <w:ind w:left="1080" w:hanging="360"/>
      </w:pPr>
    </w:lvl>
    <w:lvl w:ilvl="2" w:tplc="DA241838">
      <w:start w:val="1"/>
      <w:numFmt w:val="lowerRoman"/>
      <w:lvlText w:val="%3."/>
      <w:lvlJc w:val="right"/>
      <w:pPr>
        <w:tabs>
          <w:tab w:val="num" w:pos="1800"/>
        </w:tabs>
        <w:ind w:left="1800" w:hanging="180"/>
      </w:pPr>
    </w:lvl>
    <w:lvl w:ilvl="3" w:tplc="9B6873FC">
      <w:start w:val="1"/>
      <w:numFmt w:val="decimal"/>
      <w:lvlText w:val="%4."/>
      <w:lvlJc w:val="left"/>
      <w:pPr>
        <w:tabs>
          <w:tab w:val="num" w:pos="2520"/>
        </w:tabs>
        <w:ind w:left="2520" w:hanging="360"/>
      </w:pPr>
    </w:lvl>
    <w:lvl w:ilvl="4" w:tplc="104A675E">
      <w:start w:val="1"/>
      <w:numFmt w:val="lowerLetter"/>
      <w:lvlText w:val="%5."/>
      <w:lvlJc w:val="left"/>
      <w:pPr>
        <w:tabs>
          <w:tab w:val="num" w:pos="3240"/>
        </w:tabs>
        <w:ind w:left="3240" w:hanging="360"/>
      </w:pPr>
    </w:lvl>
    <w:lvl w:ilvl="5" w:tplc="2222EC1C">
      <w:start w:val="1"/>
      <w:numFmt w:val="lowerRoman"/>
      <w:lvlText w:val="%6."/>
      <w:lvlJc w:val="right"/>
      <w:pPr>
        <w:tabs>
          <w:tab w:val="num" w:pos="3960"/>
        </w:tabs>
        <w:ind w:left="3960" w:hanging="180"/>
      </w:pPr>
    </w:lvl>
    <w:lvl w:ilvl="6" w:tplc="AA701532">
      <w:start w:val="1"/>
      <w:numFmt w:val="decimal"/>
      <w:lvlText w:val="%7."/>
      <w:lvlJc w:val="left"/>
      <w:pPr>
        <w:tabs>
          <w:tab w:val="num" w:pos="4680"/>
        </w:tabs>
        <w:ind w:left="4680" w:hanging="360"/>
      </w:pPr>
    </w:lvl>
    <w:lvl w:ilvl="7" w:tplc="9DE4E2CE">
      <w:start w:val="1"/>
      <w:numFmt w:val="lowerLetter"/>
      <w:lvlText w:val="%8."/>
      <w:lvlJc w:val="left"/>
      <w:pPr>
        <w:tabs>
          <w:tab w:val="num" w:pos="5400"/>
        </w:tabs>
        <w:ind w:left="5400" w:hanging="360"/>
      </w:pPr>
    </w:lvl>
    <w:lvl w:ilvl="8" w:tplc="75388952">
      <w:start w:val="1"/>
      <w:numFmt w:val="lowerRoman"/>
      <w:lvlText w:val="%9."/>
      <w:lvlJc w:val="right"/>
      <w:pPr>
        <w:tabs>
          <w:tab w:val="num" w:pos="6120"/>
        </w:tabs>
        <w:ind w:left="6120" w:hanging="180"/>
      </w:pPr>
    </w:lvl>
  </w:abstractNum>
  <w:abstractNum w:abstractNumId="21" w15:restartNumberingAfterBreak="0">
    <w:nsid w:val="6D32729B"/>
    <w:multiLevelType w:val="hybridMultilevel"/>
    <w:tmpl w:val="E19473E8"/>
    <w:lvl w:ilvl="0" w:tplc="0409000F">
      <w:start w:val="1"/>
      <w:numFmt w:val="decimal"/>
      <w:lvlText w:val="%1."/>
      <w:lvlJc w:val="left"/>
      <w:pPr>
        <w:tabs>
          <w:tab w:val="num" w:pos="789"/>
        </w:tabs>
        <w:ind w:left="789" w:hanging="360"/>
      </w:pPr>
    </w:lvl>
    <w:lvl w:ilvl="1" w:tplc="04090019" w:tentative="1">
      <w:start w:val="1"/>
      <w:numFmt w:val="lowerLetter"/>
      <w:lvlText w:val="%2."/>
      <w:lvlJc w:val="left"/>
      <w:pPr>
        <w:tabs>
          <w:tab w:val="num" w:pos="1509"/>
        </w:tabs>
        <w:ind w:left="1509" w:hanging="360"/>
      </w:pPr>
    </w:lvl>
    <w:lvl w:ilvl="2" w:tplc="0409001B" w:tentative="1">
      <w:start w:val="1"/>
      <w:numFmt w:val="lowerRoman"/>
      <w:lvlText w:val="%3."/>
      <w:lvlJc w:val="right"/>
      <w:pPr>
        <w:tabs>
          <w:tab w:val="num" w:pos="2229"/>
        </w:tabs>
        <w:ind w:left="2229" w:hanging="180"/>
      </w:pPr>
    </w:lvl>
    <w:lvl w:ilvl="3" w:tplc="0409000F" w:tentative="1">
      <w:start w:val="1"/>
      <w:numFmt w:val="decimal"/>
      <w:lvlText w:val="%4."/>
      <w:lvlJc w:val="left"/>
      <w:pPr>
        <w:tabs>
          <w:tab w:val="num" w:pos="2949"/>
        </w:tabs>
        <w:ind w:left="2949" w:hanging="360"/>
      </w:pPr>
    </w:lvl>
    <w:lvl w:ilvl="4" w:tplc="04090019" w:tentative="1">
      <w:start w:val="1"/>
      <w:numFmt w:val="lowerLetter"/>
      <w:lvlText w:val="%5."/>
      <w:lvlJc w:val="left"/>
      <w:pPr>
        <w:tabs>
          <w:tab w:val="num" w:pos="3669"/>
        </w:tabs>
        <w:ind w:left="3669" w:hanging="360"/>
      </w:pPr>
    </w:lvl>
    <w:lvl w:ilvl="5" w:tplc="0409001B" w:tentative="1">
      <w:start w:val="1"/>
      <w:numFmt w:val="lowerRoman"/>
      <w:lvlText w:val="%6."/>
      <w:lvlJc w:val="right"/>
      <w:pPr>
        <w:tabs>
          <w:tab w:val="num" w:pos="4389"/>
        </w:tabs>
        <w:ind w:left="4389" w:hanging="180"/>
      </w:pPr>
    </w:lvl>
    <w:lvl w:ilvl="6" w:tplc="0409000F" w:tentative="1">
      <w:start w:val="1"/>
      <w:numFmt w:val="decimal"/>
      <w:lvlText w:val="%7."/>
      <w:lvlJc w:val="left"/>
      <w:pPr>
        <w:tabs>
          <w:tab w:val="num" w:pos="5109"/>
        </w:tabs>
        <w:ind w:left="5109" w:hanging="360"/>
      </w:pPr>
    </w:lvl>
    <w:lvl w:ilvl="7" w:tplc="04090019" w:tentative="1">
      <w:start w:val="1"/>
      <w:numFmt w:val="lowerLetter"/>
      <w:lvlText w:val="%8."/>
      <w:lvlJc w:val="left"/>
      <w:pPr>
        <w:tabs>
          <w:tab w:val="num" w:pos="5829"/>
        </w:tabs>
        <w:ind w:left="5829" w:hanging="360"/>
      </w:pPr>
    </w:lvl>
    <w:lvl w:ilvl="8" w:tplc="0409001B" w:tentative="1">
      <w:start w:val="1"/>
      <w:numFmt w:val="lowerRoman"/>
      <w:lvlText w:val="%9."/>
      <w:lvlJc w:val="right"/>
      <w:pPr>
        <w:tabs>
          <w:tab w:val="num" w:pos="6549"/>
        </w:tabs>
        <w:ind w:left="6549" w:hanging="180"/>
      </w:pPr>
    </w:lvl>
  </w:abstractNum>
  <w:abstractNum w:abstractNumId="22" w15:restartNumberingAfterBreak="0">
    <w:nsid w:val="6DAC33C6"/>
    <w:multiLevelType w:val="hybridMultilevel"/>
    <w:tmpl w:val="CB7C097E"/>
    <w:lvl w:ilvl="0" w:tplc="3848933A">
      <w:start w:val="1"/>
      <w:numFmt w:val="bullet"/>
      <w:lvlText w:val=""/>
      <w:lvlJc w:val="left"/>
      <w:pPr>
        <w:tabs>
          <w:tab w:val="num" w:pos="2160"/>
        </w:tabs>
        <w:ind w:left="216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CC5621"/>
    <w:multiLevelType w:val="hybridMultilevel"/>
    <w:tmpl w:val="F6D26E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F487287"/>
    <w:multiLevelType w:val="hybridMultilevel"/>
    <w:tmpl w:val="C59A49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3E26C16"/>
    <w:multiLevelType w:val="hybridMultilevel"/>
    <w:tmpl w:val="DB68BF78"/>
    <w:lvl w:ilvl="0" w:tplc="D5B63F60">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5"/>
  </w:num>
  <w:num w:numId="4">
    <w:abstractNumId w:val="17"/>
  </w:num>
  <w:num w:numId="5">
    <w:abstractNumId w:val="0"/>
  </w:num>
  <w:num w:numId="6">
    <w:abstractNumId w:val="14"/>
  </w:num>
  <w:num w:numId="7">
    <w:abstractNumId w:val="2"/>
  </w:num>
  <w:num w:numId="8">
    <w:abstractNumId w:val="10"/>
  </w:num>
  <w:num w:numId="9">
    <w:abstractNumId w:val="19"/>
  </w:num>
  <w:num w:numId="10">
    <w:abstractNumId w:val="7"/>
  </w:num>
  <w:num w:numId="11">
    <w:abstractNumId w:val="8"/>
  </w:num>
  <w:num w:numId="12">
    <w:abstractNumId w:val="6"/>
  </w:num>
  <w:num w:numId="13">
    <w:abstractNumId w:val="12"/>
  </w:num>
  <w:num w:numId="14">
    <w:abstractNumId w:val="5"/>
  </w:num>
  <w:num w:numId="15">
    <w:abstractNumId w:val="24"/>
  </w:num>
  <w:num w:numId="16">
    <w:abstractNumId w:val="3"/>
  </w:num>
  <w:num w:numId="17">
    <w:abstractNumId w:val="13"/>
  </w:num>
  <w:num w:numId="18">
    <w:abstractNumId w:val="16"/>
  </w:num>
  <w:num w:numId="19">
    <w:abstractNumId w:val="9"/>
  </w:num>
  <w:num w:numId="20">
    <w:abstractNumId w:val="21"/>
  </w:num>
  <w:num w:numId="21">
    <w:abstractNumId w:val="25"/>
  </w:num>
  <w:num w:numId="22">
    <w:abstractNumId w:val="20"/>
  </w:num>
  <w:num w:numId="23">
    <w:abstractNumId w:val="1"/>
  </w:num>
  <w:num w:numId="24">
    <w:abstractNumId w:val="4"/>
  </w:num>
  <w:num w:numId="25">
    <w:abstractNumId w:val="23"/>
  </w:num>
  <w:num w:numId="26">
    <w:abstractNumId w:val="18"/>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78"/>
    <w:rsid w:val="00005BE8"/>
    <w:rsid w:val="000316B0"/>
    <w:rsid w:val="00031B79"/>
    <w:rsid w:val="000342BE"/>
    <w:rsid w:val="00041F73"/>
    <w:rsid w:val="00044FB6"/>
    <w:rsid w:val="00045970"/>
    <w:rsid w:val="00053C4D"/>
    <w:rsid w:val="00055EB2"/>
    <w:rsid w:val="00056D1B"/>
    <w:rsid w:val="000670B3"/>
    <w:rsid w:val="00076B21"/>
    <w:rsid w:val="00081669"/>
    <w:rsid w:val="00086F88"/>
    <w:rsid w:val="00090985"/>
    <w:rsid w:val="00094678"/>
    <w:rsid w:val="00095646"/>
    <w:rsid w:val="00097D7D"/>
    <w:rsid w:val="000A13CD"/>
    <w:rsid w:val="000A6D72"/>
    <w:rsid w:val="000C4A1D"/>
    <w:rsid w:val="000C4F4D"/>
    <w:rsid w:val="000E0EA1"/>
    <w:rsid w:val="000E630E"/>
    <w:rsid w:val="000F4CF3"/>
    <w:rsid w:val="00101478"/>
    <w:rsid w:val="001076F5"/>
    <w:rsid w:val="00114B0B"/>
    <w:rsid w:val="00136B9A"/>
    <w:rsid w:val="001516A6"/>
    <w:rsid w:val="00172EBD"/>
    <w:rsid w:val="00182A7D"/>
    <w:rsid w:val="00187B0D"/>
    <w:rsid w:val="0019779E"/>
    <w:rsid w:val="001A1E3D"/>
    <w:rsid w:val="001C54EC"/>
    <w:rsid w:val="001C711E"/>
    <w:rsid w:val="001D7138"/>
    <w:rsid w:val="001E19DD"/>
    <w:rsid w:val="001F2DA2"/>
    <w:rsid w:val="001F6049"/>
    <w:rsid w:val="001F63EF"/>
    <w:rsid w:val="002005EB"/>
    <w:rsid w:val="00200F01"/>
    <w:rsid w:val="002227B8"/>
    <w:rsid w:val="00226DE4"/>
    <w:rsid w:val="002319C5"/>
    <w:rsid w:val="00234D8B"/>
    <w:rsid w:val="00244316"/>
    <w:rsid w:val="002752DC"/>
    <w:rsid w:val="00283D45"/>
    <w:rsid w:val="00290B31"/>
    <w:rsid w:val="002974FD"/>
    <w:rsid w:val="002A15E5"/>
    <w:rsid w:val="002A5103"/>
    <w:rsid w:val="002B3EDA"/>
    <w:rsid w:val="002B4815"/>
    <w:rsid w:val="002C36F5"/>
    <w:rsid w:val="002C6AA7"/>
    <w:rsid w:val="002D0038"/>
    <w:rsid w:val="002D1B86"/>
    <w:rsid w:val="002E7D01"/>
    <w:rsid w:val="002F4BB8"/>
    <w:rsid w:val="003001F9"/>
    <w:rsid w:val="00300924"/>
    <w:rsid w:val="00307958"/>
    <w:rsid w:val="00307B44"/>
    <w:rsid w:val="00310216"/>
    <w:rsid w:val="00313A49"/>
    <w:rsid w:val="00314115"/>
    <w:rsid w:val="0032089B"/>
    <w:rsid w:val="00322A3B"/>
    <w:rsid w:val="00323D00"/>
    <w:rsid w:val="00343B2B"/>
    <w:rsid w:val="00354F8A"/>
    <w:rsid w:val="00361D0C"/>
    <w:rsid w:val="00364337"/>
    <w:rsid w:val="00377A50"/>
    <w:rsid w:val="00380135"/>
    <w:rsid w:val="00380402"/>
    <w:rsid w:val="003808FA"/>
    <w:rsid w:val="00392BAB"/>
    <w:rsid w:val="00396DB4"/>
    <w:rsid w:val="003A7886"/>
    <w:rsid w:val="003B0C1D"/>
    <w:rsid w:val="003B3111"/>
    <w:rsid w:val="003C0444"/>
    <w:rsid w:val="003C597D"/>
    <w:rsid w:val="003D33F8"/>
    <w:rsid w:val="003E24F1"/>
    <w:rsid w:val="00404D11"/>
    <w:rsid w:val="004104CA"/>
    <w:rsid w:val="0041207F"/>
    <w:rsid w:val="00417A70"/>
    <w:rsid w:val="00433B9D"/>
    <w:rsid w:val="00443B56"/>
    <w:rsid w:val="0047154F"/>
    <w:rsid w:val="00477892"/>
    <w:rsid w:val="00490E21"/>
    <w:rsid w:val="004915D8"/>
    <w:rsid w:val="004B5C69"/>
    <w:rsid w:val="004B71D8"/>
    <w:rsid w:val="004C1CA9"/>
    <w:rsid w:val="004E4F6C"/>
    <w:rsid w:val="004F695F"/>
    <w:rsid w:val="00501791"/>
    <w:rsid w:val="0050353E"/>
    <w:rsid w:val="0052307A"/>
    <w:rsid w:val="005279E1"/>
    <w:rsid w:val="005309DE"/>
    <w:rsid w:val="00555FAD"/>
    <w:rsid w:val="0055702D"/>
    <w:rsid w:val="005723D5"/>
    <w:rsid w:val="005758B9"/>
    <w:rsid w:val="00594263"/>
    <w:rsid w:val="005A3F87"/>
    <w:rsid w:val="005B2A99"/>
    <w:rsid w:val="005B35B0"/>
    <w:rsid w:val="005B61BF"/>
    <w:rsid w:val="005C5A4D"/>
    <w:rsid w:val="005E3708"/>
    <w:rsid w:val="0060441C"/>
    <w:rsid w:val="00604507"/>
    <w:rsid w:val="00604711"/>
    <w:rsid w:val="006107D4"/>
    <w:rsid w:val="006168A6"/>
    <w:rsid w:val="00625091"/>
    <w:rsid w:val="00634C99"/>
    <w:rsid w:val="00656173"/>
    <w:rsid w:val="00661C43"/>
    <w:rsid w:val="006751AE"/>
    <w:rsid w:val="00675DA5"/>
    <w:rsid w:val="00680C55"/>
    <w:rsid w:val="006A0B0B"/>
    <w:rsid w:val="006A10A9"/>
    <w:rsid w:val="006A4095"/>
    <w:rsid w:val="006B27CC"/>
    <w:rsid w:val="006B3BC0"/>
    <w:rsid w:val="006E212B"/>
    <w:rsid w:val="006E7597"/>
    <w:rsid w:val="006F27EA"/>
    <w:rsid w:val="006F44A2"/>
    <w:rsid w:val="00716649"/>
    <w:rsid w:val="00720BE6"/>
    <w:rsid w:val="007212A5"/>
    <w:rsid w:val="0072321F"/>
    <w:rsid w:val="0072511E"/>
    <w:rsid w:val="007423BB"/>
    <w:rsid w:val="0074574D"/>
    <w:rsid w:val="00770596"/>
    <w:rsid w:val="00771119"/>
    <w:rsid w:val="007746AC"/>
    <w:rsid w:val="00784A7E"/>
    <w:rsid w:val="0079246D"/>
    <w:rsid w:val="00794FC3"/>
    <w:rsid w:val="00796AF7"/>
    <w:rsid w:val="00797809"/>
    <w:rsid w:val="00797F6F"/>
    <w:rsid w:val="007B05E7"/>
    <w:rsid w:val="007B515E"/>
    <w:rsid w:val="007C4147"/>
    <w:rsid w:val="007C6566"/>
    <w:rsid w:val="007F3ECF"/>
    <w:rsid w:val="00805E61"/>
    <w:rsid w:val="00807BBE"/>
    <w:rsid w:val="00810565"/>
    <w:rsid w:val="00814301"/>
    <w:rsid w:val="008153AC"/>
    <w:rsid w:val="00824351"/>
    <w:rsid w:val="00827E36"/>
    <w:rsid w:val="00835149"/>
    <w:rsid w:val="00837A11"/>
    <w:rsid w:val="00843328"/>
    <w:rsid w:val="0084346C"/>
    <w:rsid w:val="008459F2"/>
    <w:rsid w:val="00851678"/>
    <w:rsid w:val="00854289"/>
    <w:rsid w:val="0085616D"/>
    <w:rsid w:val="00865843"/>
    <w:rsid w:val="008661AF"/>
    <w:rsid w:val="008935B4"/>
    <w:rsid w:val="0089478B"/>
    <w:rsid w:val="00897AB7"/>
    <w:rsid w:val="008B0582"/>
    <w:rsid w:val="008B05D2"/>
    <w:rsid w:val="008F350D"/>
    <w:rsid w:val="009016B5"/>
    <w:rsid w:val="00913B1D"/>
    <w:rsid w:val="00916946"/>
    <w:rsid w:val="009344BD"/>
    <w:rsid w:val="00936AFA"/>
    <w:rsid w:val="009422A9"/>
    <w:rsid w:val="00950223"/>
    <w:rsid w:val="0095200C"/>
    <w:rsid w:val="00976291"/>
    <w:rsid w:val="0098074F"/>
    <w:rsid w:val="00982337"/>
    <w:rsid w:val="00983D01"/>
    <w:rsid w:val="0099362B"/>
    <w:rsid w:val="009B2634"/>
    <w:rsid w:val="009C3188"/>
    <w:rsid w:val="009D6CB2"/>
    <w:rsid w:val="009E4BBE"/>
    <w:rsid w:val="009E6616"/>
    <w:rsid w:val="009E7618"/>
    <w:rsid w:val="009E7DE4"/>
    <w:rsid w:val="009F16B5"/>
    <w:rsid w:val="009F1E8A"/>
    <w:rsid w:val="009F489E"/>
    <w:rsid w:val="009F6360"/>
    <w:rsid w:val="00A253BF"/>
    <w:rsid w:val="00A326AF"/>
    <w:rsid w:val="00A46737"/>
    <w:rsid w:val="00A4796C"/>
    <w:rsid w:val="00A545CE"/>
    <w:rsid w:val="00A745F1"/>
    <w:rsid w:val="00A804A8"/>
    <w:rsid w:val="00A827C9"/>
    <w:rsid w:val="00A867E1"/>
    <w:rsid w:val="00A91106"/>
    <w:rsid w:val="00A92CEF"/>
    <w:rsid w:val="00A93DA6"/>
    <w:rsid w:val="00A95A06"/>
    <w:rsid w:val="00AA0DBE"/>
    <w:rsid w:val="00AA31F5"/>
    <w:rsid w:val="00AB38BF"/>
    <w:rsid w:val="00AB4B9B"/>
    <w:rsid w:val="00AB6027"/>
    <w:rsid w:val="00AC0C8B"/>
    <w:rsid w:val="00AC253C"/>
    <w:rsid w:val="00AC62CB"/>
    <w:rsid w:val="00AD0CCF"/>
    <w:rsid w:val="00AD4010"/>
    <w:rsid w:val="00AE3AAF"/>
    <w:rsid w:val="00AE42A5"/>
    <w:rsid w:val="00AE6A69"/>
    <w:rsid w:val="00AF320A"/>
    <w:rsid w:val="00AF5E3F"/>
    <w:rsid w:val="00B1682B"/>
    <w:rsid w:val="00B20D75"/>
    <w:rsid w:val="00B31656"/>
    <w:rsid w:val="00B33828"/>
    <w:rsid w:val="00B4621D"/>
    <w:rsid w:val="00B52710"/>
    <w:rsid w:val="00B567C3"/>
    <w:rsid w:val="00B6650D"/>
    <w:rsid w:val="00B85C8A"/>
    <w:rsid w:val="00B92D67"/>
    <w:rsid w:val="00BA65BE"/>
    <w:rsid w:val="00BB19C0"/>
    <w:rsid w:val="00BB296C"/>
    <w:rsid w:val="00BB62E7"/>
    <w:rsid w:val="00BC042C"/>
    <w:rsid w:val="00BD09DE"/>
    <w:rsid w:val="00BD36B6"/>
    <w:rsid w:val="00BD7DE7"/>
    <w:rsid w:val="00BE3D65"/>
    <w:rsid w:val="00BE4D3D"/>
    <w:rsid w:val="00BE6E0A"/>
    <w:rsid w:val="00BE6E15"/>
    <w:rsid w:val="00C05EAB"/>
    <w:rsid w:val="00C10959"/>
    <w:rsid w:val="00C141C8"/>
    <w:rsid w:val="00C14FB1"/>
    <w:rsid w:val="00C15148"/>
    <w:rsid w:val="00C16A45"/>
    <w:rsid w:val="00C31CEB"/>
    <w:rsid w:val="00C3289E"/>
    <w:rsid w:val="00C36229"/>
    <w:rsid w:val="00C4448C"/>
    <w:rsid w:val="00C512F4"/>
    <w:rsid w:val="00C55F7F"/>
    <w:rsid w:val="00C60A29"/>
    <w:rsid w:val="00C66D47"/>
    <w:rsid w:val="00C83E34"/>
    <w:rsid w:val="00C84F5C"/>
    <w:rsid w:val="00C95551"/>
    <w:rsid w:val="00CA07D9"/>
    <w:rsid w:val="00CA3ADA"/>
    <w:rsid w:val="00CA5B49"/>
    <w:rsid w:val="00CA615C"/>
    <w:rsid w:val="00CB1C65"/>
    <w:rsid w:val="00CC49AD"/>
    <w:rsid w:val="00CD1D23"/>
    <w:rsid w:val="00CE05EA"/>
    <w:rsid w:val="00CE5420"/>
    <w:rsid w:val="00CE5D7D"/>
    <w:rsid w:val="00D01FE3"/>
    <w:rsid w:val="00D021A8"/>
    <w:rsid w:val="00D212A9"/>
    <w:rsid w:val="00D25D57"/>
    <w:rsid w:val="00D262A0"/>
    <w:rsid w:val="00D361D3"/>
    <w:rsid w:val="00D40788"/>
    <w:rsid w:val="00D43C9D"/>
    <w:rsid w:val="00D50C89"/>
    <w:rsid w:val="00D52F9B"/>
    <w:rsid w:val="00D5322E"/>
    <w:rsid w:val="00D60DDE"/>
    <w:rsid w:val="00D61FE5"/>
    <w:rsid w:val="00D62D1A"/>
    <w:rsid w:val="00D71BEB"/>
    <w:rsid w:val="00D805E4"/>
    <w:rsid w:val="00D934C3"/>
    <w:rsid w:val="00D95C89"/>
    <w:rsid w:val="00DA57BF"/>
    <w:rsid w:val="00DB3EF7"/>
    <w:rsid w:val="00DB5767"/>
    <w:rsid w:val="00DC5620"/>
    <w:rsid w:val="00DD7476"/>
    <w:rsid w:val="00DE55C1"/>
    <w:rsid w:val="00DF014E"/>
    <w:rsid w:val="00DF3BEA"/>
    <w:rsid w:val="00DF4F71"/>
    <w:rsid w:val="00E02CFD"/>
    <w:rsid w:val="00E04243"/>
    <w:rsid w:val="00E20984"/>
    <w:rsid w:val="00E2273A"/>
    <w:rsid w:val="00E4623D"/>
    <w:rsid w:val="00E4695E"/>
    <w:rsid w:val="00E52514"/>
    <w:rsid w:val="00E54338"/>
    <w:rsid w:val="00E56D47"/>
    <w:rsid w:val="00E56EA5"/>
    <w:rsid w:val="00E752BB"/>
    <w:rsid w:val="00E91111"/>
    <w:rsid w:val="00E92B66"/>
    <w:rsid w:val="00EA40F8"/>
    <w:rsid w:val="00EA5C30"/>
    <w:rsid w:val="00EB4E21"/>
    <w:rsid w:val="00EC59A8"/>
    <w:rsid w:val="00EC6721"/>
    <w:rsid w:val="00ED251D"/>
    <w:rsid w:val="00ED7B20"/>
    <w:rsid w:val="00EE43F4"/>
    <w:rsid w:val="00EE4723"/>
    <w:rsid w:val="00EF2FB9"/>
    <w:rsid w:val="00EF58D2"/>
    <w:rsid w:val="00F0093A"/>
    <w:rsid w:val="00F04D0C"/>
    <w:rsid w:val="00F124F9"/>
    <w:rsid w:val="00F239B7"/>
    <w:rsid w:val="00F32D83"/>
    <w:rsid w:val="00F50097"/>
    <w:rsid w:val="00F53339"/>
    <w:rsid w:val="00F62852"/>
    <w:rsid w:val="00F70ABE"/>
    <w:rsid w:val="00F92A5E"/>
    <w:rsid w:val="00FB482F"/>
    <w:rsid w:val="00FB4975"/>
    <w:rsid w:val="00FB5674"/>
    <w:rsid w:val="00FB7191"/>
    <w:rsid w:val="00FB75E8"/>
    <w:rsid w:val="00FC113D"/>
    <w:rsid w:val="00FC242E"/>
    <w:rsid w:val="00FC3B8E"/>
    <w:rsid w:val="00FC79EC"/>
    <w:rsid w:val="00FD17C6"/>
    <w:rsid w:val="00FD273C"/>
    <w:rsid w:val="00FE2807"/>
    <w:rsid w:val="00FF5B7B"/>
    <w:rsid w:val="0A105C10"/>
    <w:rsid w:val="0B2DE93F"/>
    <w:rsid w:val="18418925"/>
    <w:rsid w:val="2462D271"/>
    <w:rsid w:val="30C03D30"/>
    <w:rsid w:val="40E429E3"/>
    <w:rsid w:val="5FF59F78"/>
    <w:rsid w:val="77EBD616"/>
    <w:rsid w:val="7ED77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2E867C14"/>
  <w15:chartTrackingRefBased/>
  <w15:docId w15:val="{01BEC77E-44D0-463E-A370-731360E0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A45"/>
    <w:rPr>
      <w:sz w:val="24"/>
      <w:szCs w:val="24"/>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b/>
      <w:bCs/>
      <w:sz w:val="28"/>
      <w:u w:val="single"/>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jc w:val="center"/>
      <w:outlineLvl w:val="6"/>
    </w:pPr>
    <w:rPr>
      <w:b/>
      <w:bCs/>
      <w:szCs w:val="32"/>
    </w:rPr>
  </w:style>
  <w:style w:type="paragraph" w:styleId="Heading8">
    <w:name w:val="heading 8"/>
    <w:basedOn w:val="Normal"/>
    <w:next w:val="Normal"/>
    <w:qFormat/>
    <w:rsid w:val="00C4448C"/>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BodyText"/>
    <w:next w:val="Date"/>
    <w:pPr>
      <w:keepLines/>
      <w:framePr w:w="8640" w:h="1440" w:wrap="notBeside" w:vAnchor="page" w:hAnchor="margin" w:xAlign="center" w:y="889"/>
      <w:spacing w:after="40" w:line="240" w:lineRule="atLeast"/>
      <w:jc w:val="center"/>
    </w:pPr>
    <w:rPr>
      <w:rFonts w:ascii="Garamond" w:hAnsi="Garamond"/>
      <w:caps/>
      <w:spacing w:val="75"/>
      <w:kern w:val="18"/>
      <w:sz w:val="21"/>
      <w:szCs w:val="20"/>
    </w:rPr>
  </w:style>
  <w:style w:type="paragraph" w:styleId="BodyText">
    <w:name w:val="Body Text"/>
    <w:basedOn w:val="Normal"/>
    <w:pPr>
      <w:spacing w:after="120"/>
    </w:pPr>
  </w:style>
  <w:style w:type="paragraph" w:styleId="Date">
    <w:name w:val="Date"/>
    <w:basedOn w:val="Normal"/>
    <w:next w:val="Normal"/>
  </w:style>
  <w:style w:type="paragraph" w:styleId="Title">
    <w:name w:val="Title"/>
    <w:basedOn w:val="Normal"/>
    <w:qFormat/>
    <w:pPr>
      <w:spacing w:after="120"/>
      <w:jc w:val="center"/>
    </w:pPr>
    <w:rPr>
      <w:smallCaps/>
      <w:sz w:val="26"/>
      <w:szCs w:val="20"/>
    </w:rPr>
  </w:style>
  <w:style w:type="paragraph" w:styleId="Header">
    <w:name w:val="header"/>
    <w:aliases w:val="H1"/>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ignature">
    <w:name w:val="Signature"/>
    <w:basedOn w:val="Normal"/>
    <w:next w:val="Normal"/>
    <w:pPr>
      <w:keepNext/>
      <w:spacing w:before="880" w:line="240" w:lineRule="atLeast"/>
      <w:ind w:left="4565"/>
    </w:pPr>
    <w:rPr>
      <w:rFonts w:ascii="Garamond" w:hAnsi="Garamond"/>
      <w:kern w:val="18"/>
      <w:sz w:val="20"/>
      <w:szCs w:val="20"/>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rPr>
      <w:sz w:val="23"/>
    </w:rPr>
  </w:style>
  <w:style w:type="character" w:styleId="PageNumber">
    <w:name w:val="page number"/>
    <w:basedOn w:val="DefaultParagraphFont"/>
  </w:style>
  <w:style w:type="character" w:styleId="FollowedHyperlink">
    <w:name w:val="FollowedHyperlink"/>
    <w:rPr>
      <w:color w:val="800080"/>
      <w:u w:val="single"/>
    </w:rPr>
  </w:style>
  <w:style w:type="paragraph" w:styleId="NormalWeb">
    <w:name w:val="Normal (Web)"/>
    <w:basedOn w:val="Normal"/>
    <w:next w:val="Normal"/>
    <w:rPr>
      <w:rFonts w:eastAsia="Arial Unicode MS"/>
      <w:color w:val="000000"/>
      <w:szCs w:val="18"/>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3">
    <w:name w:val="Body Text 3"/>
    <w:basedOn w:val="Normal"/>
    <w:rPr>
      <w:color w:val="000000"/>
    </w:rPr>
  </w:style>
  <w:style w:type="paragraph" w:styleId="BodyTextIndent">
    <w:name w:val="Body Text Indent"/>
    <w:basedOn w:val="Normal"/>
    <w:pPr>
      <w:ind w:left="2160" w:hanging="2160"/>
    </w:pPr>
    <w:rPr>
      <w:b/>
      <w:bCs/>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CE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Normal"/>
    <w:rsid w:val="00392BAB"/>
    <w:pPr>
      <w:spacing w:before="160"/>
      <w:ind w:left="1080" w:hanging="360"/>
    </w:pPr>
  </w:style>
  <w:style w:type="character" w:styleId="CommentReference">
    <w:name w:val="annotation reference"/>
    <w:semiHidden/>
    <w:rsid w:val="00AA0DBE"/>
    <w:rPr>
      <w:sz w:val="16"/>
      <w:szCs w:val="16"/>
    </w:rPr>
  </w:style>
  <w:style w:type="paragraph" w:styleId="CommentText">
    <w:name w:val="annotation text"/>
    <w:basedOn w:val="Normal"/>
    <w:semiHidden/>
    <w:rsid w:val="00AA0DBE"/>
    <w:rPr>
      <w:sz w:val="20"/>
      <w:szCs w:val="20"/>
    </w:rPr>
  </w:style>
  <w:style w:type="paragraph" w:styleId="CommentSubject">
    <w:name w:val="annotation subject"/>
    <w:basedOn w:val="CommentText"/>
    <w:next w:val="CommentText"/>
    <w:semiHidden/>
    <w:rsid w:val="00AA0DBE"/>
    <w:rPr>
      <w:b/>
      <w:bCs/>
    </w:rPr>
  </w:style>
  <w:style w:type="character" w:customStyle="1" w:styleId="HTMLPreformattedChar">
    <w:name w:val="HTML Preformatted Char"/>
    <w:link w:val="HTMLPreformatted"/>
    <w:uiPriority w:val="99"/>
    <w:rsid w:val="000F4CF3"/>
    <w:rPr>
      <w:rFonts w:ascii="Arial Unicode MS" w:eastAsia="Arial Unicode MS" w:hAnsi="Arial Unicode MS" w:cs="Arial Unicode MS"/>
    </w:rPr>
  </w:style>
  <w:style w:type="paragraph" w:customStyle="1" w:styleId="Default">
    <w:name w:val="Default"/>
    <w:rsid w:val="00290B31"/>
    <w:pPr>
      <w:autoSpaceDE w:val="0"/>
      <w:autoSpaceDN w:val="0"/>
      <w:adjustRightInd w:val="0"/>
    </w:pPr>
    <w:rPr>
      <w:color w:val="000000"/>
      <w:sz w:val="24"/>
      <w:szCs w:val="24"/>
    </w:rPr>
  </w:style>
  <w:style w:type="paragraph" w:customStyle="1" w:styleId="lbexindent">
    <w:name w:val="lbexindent"/>
    <w:basedOn w:val="Normal"/>
    <w:rsid w:val="00BD7DE7"/>
    <w:pPr>
      <w:spacing w:before="100" w:beforeAutospacing="1" w:after="100" w:afterAutospacing="1"/>
      <w:ind w:firstLine="480"/>
    </w:pPr>
  </w:style>
  <w:style w:type="character" w:customStyle="1" w:styleId="normaltextrun1">
    <w:name w:val="normaltextrun1"/>
    <w:basedOn w:val="DefaultParagraphFont"/>
    <w:rsid w:val="00CA07D9"/>
  </w:style>
  <w:style w:type="character" w:customStyle="1" w:styleId="eop">
    <w:name w:val="eop"/>
    <w:basedOn w:val="DefaultParagraphFont"/>
    <w:rsid w:val="00CA07D9"/>
  </w:style>
  <w:style w:type="character" w:customStyle="1" w:styleId="spellingerror">
    <w:name w:val="spellingerror"/>
    <w:basedOn w:val="DefaultParagraphFont"/>
    <w:rsid w:val="00784A7E"/>
  </w:style>
  <w:style w:type="paragraph" w:customStyle="1" w:styleId="paragraph">
    <w:name w:val="paragraph"/>
    <w:basedOn w:val="Normal"/>
    <w:rsid w:val="00BE6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203381">
      <w:bodyDiv w:val="1"/>
      <w:marLeft w:val="0"/>
      <w:marRight w:val="0"/>
      <w:marTop w:val="0"/>
      <w:marBottom w:val="0"/>
      <w:divBdr>
        <w:top w:val="none" w:sz="0" w:space="0" w:color="auto"/>
        <w:left w:val="none" w:sz="0" w:space="0" w:color="auto"/>
        <w:bottom w:val="none" w:sz="0" w:space="0" w:color="auto"/>
        <w:right w:val="none" w:sz="0" w:space="0" w:color="auto"/>
      </w:divBdr>
    </w:div>
    <w:div w:id="1300069378">
      <w:bodyDiv w:val="1"/>
      <w:marLeft w:val="0"/>
      <w:marRight w:val="0"/>
      <w:marTop w:val="0"/>
      <w:marBottom w:val="0"/>
      <w:divBdr>
        <w:top w:val="none" w:sz="0" w:space="0" w:color="auto"/>
        <w:left w:val="none" w:sz="0" w:space="0" w:color="auto"/>
        <w:bottom w:val="none" w:sz="0" w:space="0" w:color="auto"/>
        <w:right w:val="none" w:sz="0" w:space="0" w:color="auto"/>
      </w:divBdr>
      <w:divsChild>
        <w:div w:id="1407609455">
          <w:marLeft w:val="0"/>
          <w:marRight w:val="0"/>
          <w:marTop w:val="0"/>
          <w:marBottom w:val="0"/>
          <w:divBdr>
            <w:top w:val="none" w:sz="0" w:space="0" w:color="auto"/>
            <w:left w:val="none" w:sz="0" w:space="0" w:color="auto"/>
            <w:bottom w:val="none" w:sz="0" w:space="0" w:color="auto"/>
            <w:right w:val="none" w:sz="0" w:space="0" w:color="auto"/>
          </w:divBdr>
        </w:div>
      </w:divsChild>
    </w:div>
    <w:div w:id="1477798195">
      <w:bodyDiv w:val="1"/>
      <w:marLeft w:val="0"/>
      <w:marRight w:val="0"/>
      <w:marTop w:val="0"/>
      <w:marBottom w:val="0"/>
      <w:divBdr>
        <w:top w:val="none" w:sz="0" w:space="0" w:color="auto"/>
        <w:left w:val="none" w:sz="0" w:space="0" w:color="auto"/>
        <w:bottom w:val="none" w:sz="0" w:space="0" w:color="auto"/>
        <w:right w:val="none" w:sz="0" w:space="0" w:color="auto"/>
      </w:divBdr>
    </w:div>
    <w:div w:id="1731541198">
      <w:bodyDiv w:val="1"/>
      <w:marLeft w:val="0"/>
      <w:marRight w:val="0"/>
      <w:marTop w:val="0"/>
      <w:marBottom w:val="0"/>
      <w:divBdr>
        <w:top w:val="none" w:sz="0" w:space="0" w:color="auto"/>
        <w:left w:val="none" w:sz="0" w:space="0" w:color="auto"/>
        <w:bottom w:val="none" w:sz="0" w:space="0" w:color="auto"/>
        <w:right w:val="none" w:sz="0" w:space="0" w:color="auto"/>
      </w:divBdr>
    </w:div>
    <w:div w:id="2027244195">
      <w:bodyDiv w:val="1"/>
      <w:marLeft w:val="0"/>
      <w:marRight w:val="0"/>
      <w:marTop w:val="0"/>
      <w:marBottom w:val="0"/>
      <w:divBdr>
        <w:top w:val="none" w:sz="0" w:space="0" w:color="auto"/>
        <w:left w:val="none" w:sz="0" w:space="0" w:color="auto"/>
        <w:bottom w:val="none" w:sz="0" w:space="0" w:color="auto"/>
        <w:right w:val="none" w:sz="0" w:space="0" w:color="auto"/>
      </w:divBdr>
      <w:divsChild>
        <w:div w:id="2102599095">
          <w:marLeft w:val="0"/>
          <w:marRight w:val="0"/>
          <w:marTop w:val="0"/>
          <w:marBottom w:val="0"/>
          <w:divBdr>
            <w:top w:val="none" w:sz="0" w:space="0" w:color="auto"/>
            <w:left w:val="none" w:sz="0" w:space="0" w:color="auto"/>
            <w:bottom w:val="none" w:sz="0" w:space="0" w:color="auto"/>
            <w:right w:val="none" w:sz="0" w:space="0" w:color="auto"/>
          </w:divBdr>
          <w:divsChild>
            <w:div w:id="2060128661">
              <w:marLeft w:val="0"/>
              <w:marRight w:val="0"/>
              <w:marTop w:val="0"/>
              <w:marBottom w:val="0"/>
              <w:divBdr>
                <w:top w:val="none" w:sz="0" w:space="0" w:color="auto"/>
                <w:left w:val="none" w:sz="0" w:space="0" w:color="auto"/>
                <w:bottom w:val="single" w:sz="18" w:space="0" w:color="990000"/>
                <w:right w:val="none" w:sz="0" w:space="0" w:color="auto"/>
              </w:divBdr>
              <w:divsChild>
                <w:div w:id="2099519380">
                  <w:marLeft w:val="0"/>
                  <w:marRight w:val="0"/>
                  <w:marTop w:val="0"/>
                  <w:marBottom w:val="0"/>
                  <w:divBdr>
                    <w:top w:val="none" w:sz="0" w:space="0" w:color="auto"/>
                    <w:left w:val="none" w:sz="0" w:space="0" w:color="auto"/>
                    <w:bottom w:val="none" w:sz="0" w:space="0" w:color="auto"/>
                    <w:right w:val="none" w:sz="0" w:space="0" w:color="auto"/>
                  </w:divBdr>
                  <w:divsChild>
                    <w:div w:id="1231387293">
                      <w:marLeft w:val="0"/>
                      <w:marRight w:val="0"/>
                      <w:marTop w:val="0"/>
                      <w:marBottom w:val="0"/>
                      <w:divBdr>
                        <w:top w:val="none" w:sz="0" w:space="0" w:color="auto"/>
                        <w:left w:val="none" w:sz="0" w:space="0" w:color="auto"/>
                        <w:bottom w:val="none" w:sz="0" w:space="0" w:color="auto"/>
                        <w:right w:val="none" w:sz="0" w:space="0" w:color="auto"/>
                      </w:divBdr>
                      <w:divsChild>
                        <w:div w:id="2041273773">
                          <w:marLeft w:val="0"/>
                          <w:marRight w:val="0"/>
                          <w:marTop w:val="0"/>
                          <w:marBottom w:val="0"/>
                          <w:divBdr>
                            <w:top w:val="none" w:sz="0" w:space="0" w:color="auto"/>
                            <w:left w:val="none" w:sz="0" w:space="0" w:color="auto"/>
                            <w:bottom w:val="none" w:sz="0" w:space="0" w:color="auto"/>
                            <w:right w:val="none" w:sz="0" w:space="0" w:color="auto"/>
                          </w:divBdr>
                          <w:divsChild>
                            <w:div w:id="125262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ed.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les.Browne\Documents\OCTAE%20Letterhead\LETTERHEAD--OCTA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da9067b2b138b6903785e3fe8c8754c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8eb90a11087cf5390e6756a6d6f6560"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EventHashCode" minOccurs="0"/>
                <xsd:element ref="ns4:MediaServiceGenerationTim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7F8BBD-7E75-4822-8C34-563D96A648AF}">
  <ds:schemaRefs>
    <ds:schemaRef ds:uri="http://schemas.microsoft.com/sharepoint/v3/contenttype/forms"/>
  </ds:schemaRefs>
</ds:datastoreItem>
</file>

<file path=customXml/itemProps2.xml><?xml version="1.0" encoding="utf-8"?>
<ds:datastoreItem xmlns:ds="http://schemas.openxmlformats.org/officeDocument/2006/customXml" ds:itemID="{52FC33F2-FF4D-4766-B9C7-95E9E9D0A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441058-20CE-4C85-B0C8-D8948DB552FD}">
  <ds:schemaRefs>
    <ds:schemaRef ds:uri="02e41e38-1731-4866-b09a-6257d8bc047f"/>
    <ds:schemaRef ds:uri="http://purl.org/dc/dcmitype/"/>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 ds:uri="f87c7b8b-c0e7-4b77-a067-2c707fd1239f"/>
    <ds:schemaRef ds:uri="http://purl.org/dc/terms/"/>
  </ds:schemaRefs>
</ds:datastoreItem>
</file>

<file path=docProps/app.xml><?xml version="1.0" encoding="utf-8"?>
<Properties xmlns="http://schemas.openxmlformats.org/officeDocument/2006/extended-properties" xmlns:vt="http://schemas.openxmlformats.org/officeDocument/2006/docPropsVTypes">
  <Template>LETTERHEAD--OCTAE</Template>
  <TotalTime>140</TotalTime>
  <Pages>2</Pages>
  <Words>438</Words>
  <Characters>2436</Characters>
  <Application>Microsoft Office Word</Application>
  <DocSecurity>0</DocSecurity>
  <Lines>20</Lines>
  <Paragraphs>5</Paragraphs>
  <ScaleCrop>false</ScaleCrop>
  <Company>U.S. Department of Education</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EDUCATION</dc:title>
  <dc:subject/>
  <dc:creator>Browne, Charles</dc:creator>
  <cp:keywords/>
  <cp:lastModifiedBy>Lauren Kennedy</cp:lastModifiedBy>
  <cp:revision>31</cp:revision>
  <cp:lastPrinted>2009-06-01T19:58:00Z</cp:lastPrinted>
  <dcterms:created xsi:type="dcterms:W3CDTF">2021-04-26T13:05:00Z</dcterms:created>
  <dcterms:modified xsi:type="dcterms:W3CDTF">2021-06-28T17:29:00Z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