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20C2A" w:rsidR="00794663" w:rsidP="00794663" w:rsidRDefault="00794663" w14:paraId="071A8806" w14:textId="77777777">
      <w:pPr>
        <w:jc w:val="center"/>
        <w:rPr>
          <w:szCs w:val="26"/>
        </w:rPr>
      </w:pPr>
      <w:r w:rsidRPr="00220C2A">
        <w:rPr>
          <w:szCs w:val="26"/>
        </w:rPr>
        <w:t>UNITED STATES OF AMERICA</w:t>
      </w:r>
    </w:p>
    <w:p w:rsidRPr="00220C2A" w:rsidR="00794663" w:rsidP="00794663" w:rsidRDefault="00794663" w14:paraId="1FE1003C" w14:textId="77777777">
      <w:pPr>
        <w:jc w:val="center"/>
        <w:rPr>
          <w:szCs w:val="26"/>
        </w:rPr>
      </w:pPr>
      <w:r w:rsidRPr="00220C2A">
        <w:rPr>
          <w:szCs w:val="26"/>
        </w:rPr>
        <w:t>FEDERAL ENERGY REGULATORY COMMISSION</w:t>
      </w:r>
    </w:p>
    <w:p w:rsidRPr="00220C2A" w:rsidR="00794663" w:rsidP="00794663" w:rsidRDefault="00794663" w14:paraId="15D2BE2A" w14:textId="77777777">
      <w:pPr>
        <w:rPr>
          <w:szCs w:val="26"/>
        </w:rPr>
      </w:pPr>
    </w:p>
    <w:p w:rsidRPr="00220C2A" w:rsidR="00794663" w:rsidP="00794663" w:rsidRDefault="00794663" w14:paraId="50D605DB" w14:textId="61625C16">
      <w:pPr>
        <w:jc w:val="center"/>
        <w:rPr>
          <w:szCs w:val="26"/>
        </w:rPr>
      </w:pPr>
      <w:r w:rsidRPr="00220C2A">
        <w:rPr>
          <w:szCs w:val="26"/>
        </w:rPr>
        <w:t>[Docket No. IC</w:t>
      </w:r>
      <w:r w:rsidRPr="00220C2A" w:rsidR="00F7561E">
        <w:rPr>
          <w:szCs w:val="26"/>
        </w:rPr>
        <w:t>2</w:t>
      </w:r>
      <w:r w:rsidRPr="00220C2A" w:rsidR="00503DBF">
        <w:rPr>
          <w:szCs w:val="26"/>
        </w:rPr>
        <w:t>1</w:t>
      </w:r>
      <w:r w:rsidRPr="00220C2A" w:rsidR="00F7561E">
        <w:rPr>
          <w:szCs w:val="26"/>
        </w:rPr>
        <w:t>-</w:t>
      </w:r>
      <w:r w:rsidRPr="00220C2A" w:rsidR="00DB7316">
        <w:rPr>
          <w:szCs w:val="26"/>
        </w:rPr>
        <w:t>1</w:t>
      </w:r>
      <w:r w:rsidRPr="00220C2A" w:rsidR="00AE5EA4">
        <w:rPr>
          <w:szCs w:val="26"/>
        </w:rPr>
        <w:t>6</w:t>
      </w:r>
      <w:r w:rsidRPr="00220C2A">
        <w:rPr>
          <w:szCs w:val="26"/>
        </w:rPr>
        <w:t>-000]</w:t>
      </w:r>
    </w:p>
    <w:p w:rsidRPr="00220C2A" w:rsidR="00794663" w:rsidP="00794663" w:rsidRDefault="00794663" w14:paraId="3DAB9007" w14:textId="77777777">
      <w:pPr>
        <w:rPr>
          <w:szCs w:val="26"/>
        </w:rPr>
      </w:pPr>
    </w:p>
    <w:p w:rsidRPr="00220C2A" w:rsidR="00794663" w:rsidP="00794663" w:rsidRDefault="00794663" w14:paraId="067AE651" w14:textId="2B1E762D">
      <w:pPr>
        <w:jc w:val="center"/>
        <w:rPr>
          <w:szCs w:val="26"/>
        </w:rPr>
      </w:pPr>
      <w:r w:rsidRPr="00220C2A">
        <w:rPr>
          <w:szCs w:val="26"/>
        </w:rPr>
        <w:t>COMMISSION INFORMATION COLLECTION ACTIVITIES (FERC-</w:t>
      </w:r>
      <w:r w:rsidRPr="00220C2A" w:rsidR="00AE5EA4">
        <w:rPr>
          <w:szCs w:val="26"/>
        </w:rPr>
        <w:t>582</w:t>
      </w:r>
      <w:r w:rsidRPr="00220C2A">
        <w:rPr>
          <w:szCs w:val="26"/>
        </w:rPr>
        <w:t>);</w:t>
      </w:r>
    </w:p>
    <w:p w:rsidRPr="00220C2A" w:rsidR="00794663" w:rsidP="00794663" w:rsidRDefault="00794663" w14:paraId="33E26ECB" w14:textId="430AEBA2">
      <w:pPr>
        <w:jc w:val="center"/>
        <w:rPr>
          <w:szCs w:val="26"/>
        </w:rPr>
      </w:pPr>
      <w:r w:rsidRPr="00220C2A">
        <w:rPr>
          <w:szCs w:val="26"/>
        </w:rPr>
        <w:t>COMMENT REQUEST; EXTENSION</w:t>
      </w:r>
    </w:p>
    <w:p w:rsidRPr="00220C2A" w:rsidR="00794663" w:rsidP="00794663" w:rsidRDefault="00794663" w14:paraId="10C13286" w14:textId="77777777">
      <w:pPr>
        <w:rPr>
          <w:szCs w:val="26"/>
        </w:rPr>
      </w:pPr>
    </w:p>
    <w:p w:rsidR="008478D2" w:rsidP="00D37B1D" w:rsidRDefault="00D37B1D" w14:paraId="19865836" w14:textId="00DA4013">
      <w:pPr>
        <w:jc w:val="center"/>
        <w:rPr>
          <w:szCs w:val="26"/>
        </w:rPr>
      </w:pPr>
      <w:r w:rsidRPr="00D37B1D">
        <w:rPr>
          <w:szCs w:val="26"/>
        </w:rPr>
        <w:t>(June 17, 2021)</w:t>
      </w:r>
    </w:p>
    <w:p w:rsidRPr="00D37B1D" w:rsidR="00D37B1D" w:rsidP="00D37B1D" w:rsidRDefault="00D37B1D" w14:paraId="4FD8CA34" w14:textId="77777777">
      <w:pPr>
        <w:rPr>
          <w:szCs w:val="26"/>
        </w:rPr>
      </w:pPr>
    </w:p>
    <w:p w:rsidRPr="00220C2A" w:rsidR="00794663" w:rsidP="00794663" w:rsidRDefault="00794663" w14:paraId="3610ACFF" w14:textId="77777777">
      <w:pPr>
        <w:rPr>
          <w:szCs w:val="26"/>
        </w:rPr>
      </w:pPr>
      <w:r w:rsidRPr="00220C2A">
        <w:rPr>
          <w:b/>
          <w:szCs w:val="26"/>
        </w:rPr>
        <w:t>AGENCY:</w:t>
      </w:r>
      <w:r w:rsidRPr="00220C2A">
        <w:rPr>
          <w:szCs w:val="26"/>
        </w:rPr>
        <w:t xml:space="preserve">  Federal Energy Regulatory Commission.</w:t>
      </w:r>
    </w:p>
    <w:p w:rsidRPr="00220C2A" w:rsidR="00794663" w:rsidP="00794663" w:rsidRDefault="00794663" w14:paraId="38C98283" w14:textId="77777777">
      <w:pPr>
        <w:rPr>
          <w:szCs w:val="26"/>
        </w:rPr>
      </w:pPr>
    </w:p>
    <w:p w:rsidRPr="00220C2A" w:rsidR="00794663" w:rsidP="00794663" w:rsidRDefault="00794663" w14:paraId="25A0A732" w14:textId="14FE77FA">
      <w:pPr>
        <w:spacing w:line="480" w:lineRule="auto"/>
        <w:rPr>
          <w:szCs w:val="26"/>
        </w:rPr>
      </w:pPr>
      <w:r w:rsidRPr="00220C2A">
        <w:rPr>
          <w:b/>
          <w:szCs w:val="26"/>
        </w:rPr>
        <w:t>ACTION:</w:t>
      </w:r>
      <w:r w:rsidRPr="00220C2A">
        <w:rPr>
          <w:szCs w:val="26"/>
        </w:rPr>
        <w:t xml:space="preserve">  Notice of information collection and request for comments.</w:t>
      </w:r>
    </w:p>
    <w:p w:rsidRPr="00220C2A" w:rsidR="004E3713" w:rsidP="004E3713" w:rsidRDefault="00794663" w14:paraId="1F3AE735" w14:textId="66188808">
      <w:pPr>
        <w:spacing w:line="480" w:lineRule="auto"/>
        <w:rPr>
          <w:rFonts w:eastAsia="Calibri"/>
          <w:szCs w:val="26"/>
        </w:rPr>
      </w:pPr>
      <w:r w:rsidRPr="00220C2A">
        <w:rPr>
          <w:b/>
          <w:szCs w:val="26"/>
        </w:rPr>
        <w:t>SUMMARY:</w:t>
      </w:r>
      <w:r w:rsidRPr="00220C2A">
        <w:rPr>
          <w:szCs w:val="26"/>
        </w:rPr>
        <w:t xml:space="preserve">  In compliance with the requirements of the Paperwork Reduction Act of 1995, the Federal Energy Regulatory Commission (Commission or FERC) is soliciting public comment on a re</w:t>
      </w:r>
      <w:r w:rsidRPr="00220C2A" w:rsidR="00E4588B">
        <w:rPr>
          <w:szCs w:val="26"/>
        </w:rPr>
        <w:t>newal</w:t>
      </w:r>
      <w:r w:rsidRPr="00220C2A">
        <w:rPr>
          <w:szCs w:val="26"/>
        </w:rPr>
        <w:t xml:space="preserve"> </w:t>
      </w:r>
      <w:r w:rsidRPr="00220C2A" w:rsidR="00E4588B">
        <w:rPr>
          <w:szCs w:val="26"/>
        </w:rPr>
        <w:t>of currently approved</w:t>
      </w:r>
      <w:r w:rsidRPr="00220C2A">
        <w:rPr>
          <w:szCs w:val="26"/>
        </w:rPr>
        <w:t xml:space="preserve"> information collection</w:t>
      </w:r>
      <w:r w:rsidRPr="00220C2A" w:rsidR="00DB7316">
        <w:t xml:space="preserve"> </w:t>
      </w:r>
      <w:r w:rsidRPr="00220C2A" w:rsidR="00AF6A50">
        <w:t xml:space="preserve">FERC </w:t>
      </w:r>
      <w:r w:rsidRPr="00220C2A" w:rsidR="00AE5EA4">
        <w:t>582</w:t>
      </w:r>
      <w:r w:rsidRPr="00220C2A" w:rsidR="00AF6A50">
        <w:t xml:space="preserve"> (</w:t>
      </w:r>
      <w:r w:rsidRPr="00220C2A" w:rsidR="00AE5EA4">
        <w:t>Electric Fees, Annual Charges, Waivers, and Exemptions</w:t>
      </w:r>
      <w:r w:rsidRPr="00220C2A" w:rsidR="00AF6A50">
        <w:t>)</w:t>
      </w:r>
      <w:r w:rsidRPr="00220C2A" w:rsidR="00BE0529">
        <w:rPr>
          <w:szCs w:val="26"/>
        </w:rPr>
        <w:t>,</w:t>
      </w:r>
      <w:r w:rsidRPr="00220C2A" w:rsidR="00BE0529">
        <w:rPr>
          <w:rFonts w:eastAsia="Calibri"/>
          <w:szCs w:val="26"/>
        </w:rPr>
        <w:t xml:space="preserve"> which will be submitted to the Office of Management and Budget (OMB) for review.</w:t>
      </w:r>
    </w:p>
    <w:p w:rsidRPr="00220C2A" w:rsidR="004E3713" w:rsidP="004E3713" w:rsidRDefault="004E3713" w14:paraId="31C49F04" w14:textId="7DC83E33">
      <w:pPr>
        <w:spacing w:line="480" w:lineRule="auto"/>
        <w:rPr>
          <w:szCs w:val="26"/>
        </w:rPr>
      </w:pPr>
      <w:r w:rsidRPr="00220C2A">
        <w:rPr>
          <w:b/>
          <w:szCs w:val="26"/>
        </w:rPr>
        <w:t>DATES:</w:t>
      </w:r>
      <w:r w:rsidRPr="00220C2A">
        <w:rPr>
          <w:szCs w:val="26"/>
        </w:rPr>
        <w:t xml:space="preserve">  Comments on the collection of information are due</w:t>
      </w:r>
      <w:r w:rsidRPr="00220C2A">
        <w:rPr>
          <w:b/>
          <w:szCs w:val="26"/>
        </w:rPr>
        <w:t xml:space="preserve"> [</w:t>
      </w:r>
      <w:r w:rsidRPr="00220C2A" w:rsidR="00DF4B69">
        <w:rPr>
          <w:b/>
          <w:szCs w:val="26"/>
        </w:rPr>
        <w:t xml:space="preserve">Insert Date </w:t>
      </w:r>
      <w:r w:rsidRPr="00220C2A" w:rsidR="00BE0529">
        <w:rPr>
          <w:b/>
          <w:szCs w:val="26"/>
        </w:rPr>
        <w:t>3</w:t>
      </w:r>
      <w:r w:rsidRPr="00220C2A">
        <w:rPr>
          <w:b/>
          <w:szCs w:val="26"/>
        </w:rPr>
        <w:t xml:space="preserve">0 days after </w:t>
      </w:r>
      <w:r w:rsidRPr="00220C2A" w:rsidR="00A54C23">
        <w:rPr>
          <w:b/>
          <w:szCs w:val="26"/>
        </w:rPr>
        <w:t xml:space="preserve">date of </w:t>
      </w:r>
      <w:r w:rsidRPr="00220C2A">
        <w:rPr>
          <w:b/>
          <w:szCs w:val="26"/>
        </w:rPr>
        <w:t>publication in the Federal Register].</w:t>
      </w:r>
    </w:p>
    <w:p w:rsidRPr="00220C2A" w:rsidR="00BE0529" w:rsidP="00BE0529" w:rsidRDefault="004E3713" w14:paraId="3A477DF8" w14:textId="09D9ACE2">
      <w:pPr>
        <w:spacing w:line="480" w:lineRule="auto"/>
      </w:pPr>
      <w:r w:rsidRPr="00220C2A">
        <w:rPr>
          <w:b/>
          <w:szCs w:val="26"/>
        </w:rPr>
        <w:t>ADDRESSES:</w:t>
      </w:r>
      <w:r w:rsidRPr="00220C2A">
        <w:rPr>
          <w:szCs w:val="26"/>
        </w:rPr>
        <w:t xml:space="preserve">  </w:t>
      </w:r>
      <w:r w:rsidRPr="00220C2A" w:rsidR="00BE0529">
        <w:rPr>
          <w:iCs/>
          <w:szCs w:val="26"/>
        </w:rPr>
        <w:t xml:space="preserve">Send written comments on </w:t>
      </w:r>
      <w:r w:rsidRPr="00220C2A" w:rsidR="00D31647">
        <w:rPr>
          <w:iCs/>
          <w:szCs w:val="26"/>
        </w:rPr>
        <w:t>FERC-</w:t>
      </w:r>
      <w:r w:rsidRPr="00220C2A" w:rsidR="00AE5EA4">
        <w:rPr>
          <w:iCs/>
          <w:szCs w:val="26"/>
        </w:rPr>
        <w:t>582</w:t>
      </w:r>
      <w:r w:rsidRPr="00220C2A" w:rsidR="00D31647">
        <w:rPr>
          <w:iCs/>
          <w:szCs w:val="26"/>
        </w:rPr>
        <w:t xml:space="preserve"> </w:t>
      </w:r>
      <w:r w:rsidRPr="00220C2A" w:rsidR="00BE0529">
        <w:rPr>
          <w:iCs/>
          <w:szCs w:val="26"/>
        </w:rPr>
        <w:t xml:space="preserve">to OMB through </w:t>
      </w:r>
      <w:hyperlink w:history="1" r:id="rId12">
        <w:r w:rsidRPr="00220C2A" w:rsidR="00BE0529">
          <w:rPr>
            <w:color w:val="0000FF"/>
            <w:szCs w:val="26"/>
            <w:u w:val="single"/>
          </w:rPr>
          <w:t>www.reginfo.gov/public/do/PRAMain</w:t>
        </w:r>
      </w:hyperlink>
      <w:r w:rsidRPr="00220C2A" w:rsidR="00BE0529">
        <w:rPr>
          <w:iCs/>
          <w:szCs w:val="26"/>
        </w:rPr>
        <w:t>.  Attention:  Federal Energy Regulatory Commission Desk Officer.  Please identify the OMB Control Number (1902-0</w:t>
      </w:r>
      <w:r w:rsidRPr="00220C2A" w:rsidR="00AE5EA4">
        <w:rPr>
          <w:iCs/>
          <w:szCs w:val="26"/>
        </w:rPr>
        <w:t>132</w:t>
      </w:r>
      <w:r w:rsidRPr="00220C2A" w:rsidR="00BE0529">
        <w:rPr>
          <w:iCs/>
          <w:szCs w:val="26"/>
        </w:rPr>
        <w:t>) in the subject line of your comments.  Comments</w:t>
      </w:r>
      <w:r w:rsidRPr="00220C2A" w:rsidR="00BE0529">
        <w:rPr>
          <w:szCs w:val="26"/>
        </w:rPr>
        <w:t xml:space="preserve"> should be sent </w:t>
      </w:r>
      <w:bookmarkStart w:name="_Hlk35891527" w:id="0"/>
      <w:r w:rsidRPr="00220C2A" w:rsidR="00BE0529">
        <w:rPr>
          <w:szCs w:val="26"/>
        </w:rPr>
        <w:t>within 30 days of publication of this notice</w:t>
      </w:r>
      <w:r w:rsidRPr="00220C2A" w:rsidR="00D31647">
        <w:rPr>
          <w:szCs w:val="26"/>
        </w:rPr>
        <w:t xml:space="preserve"> </w:t>
      </w:r>
      <w:r w:rsidRPr="00220C2A" w:rsidR="00BE0529">
        <w:rPr>
          <w:szCs w:val="26"/>
        </w:rPr>
        <w:t xml:space="preserve"> to </w:t>
      </w:r>
      <w:bookmarkStart w:name="_Hlk38028221" w:id="1"/>
      <w:r w:rsidRPr="00220C2A" w:rsidR="00BE0529">
        <w:rPr>
          <w:szCs w:val="26"/>
        </w:rPr>
        <w:fldChar w:fldCharType="begin"/>
      </w:r>
      <w:r w:rsidRPr="00220C2A" w:rsidR="00BE0529">
        <w:rPr>
          <w:szCs w:val="26"/>
        </w:rPr>
        <w:instrText xml:space="preserve"> HYPERLINK "http://www.reginfo.gov/public/do/PRAMain" </w:instrText>
      </w:r>
      <w:r w:rsidRPr="00220C2A" w:rsidR="00BE0529">
        <w:rPr>
          <w:szCs w:val="26"/>
        </w:rPr>
        <w:fldChar w:fldCharType="separate"/>
      </w:r>
      <w:r w:rsidRPr="00220C2A" w:rsidR="00BE0529">
        <w:rPr>
          <w:color w:val="0000FF"/>
          <w:szCs w:val="26"/>
          <w:u w:val="single"/>
        </w:rPr>
        <w:t>www.reginfo.gov/public/do/PRAMain</w:t>
      </w:r>
      <w:r w:rsidRPr="00220C2A" w:rsidR="00BE0529">
        <w:rPr>
          <w:szCs w:val="26"/>
        </w:rPr>
        <w:fldChar w:fldCharType="end"/>
      </w:r>
      <w:r w:rsidRPr="00220C2A" w:rsidR="00BE0529">
        <w:rPr>
          <w:szCs w:val="26"/>
        </w:rPr>
        <w:t>.</w:t>
      </w:r>
      <w:bookmarkEnd w:id="0"/>
      <w:bookmarkEnd w:id="1"/>
    </w:p>
    <w:p w:rsidRPr="00220C2A" w:rsidR="00D31647" w:rsidP="00D31647" w:rsidRDefault="00706C45" w14:paraId="1106585D" w14:textId="2AE49C81">
      <w:pPr>
        <w:spacing w:line="480" w:lineRule="auto"/>
        <w:rPr>
          <w:szCs w:val="26"/>
        </w:rPr>
      </w:pPr>
      <w:r w:rsidRPr="00220C2A">
        <w:rPr>
          <w:szCs w:val="26"/>
        </w:rPr>
        <w:t xml:space="preserve">Please submit copies of your comments to the Commission.  </w:t>
      </w:r>
      <w:r w:rsidRPr="00220C2A" w:rsidR="004E3713">
        <w:rPr>
          <w:szCs w:val="26"/>
        </w:rPr>
        <w:t xml:space="preserve">You may submit </w:t>
      </w:r>
      <w:r w:rsidRPr="00220C2A">
        <w:rPr>
          <w:szCs w:val="26"/>
        </w:rPr>
        <w:t xml:space="preserve">copies of your </w:t>
      </w:r>
      <w:r w:rsidRPr="00220C2A" w:rsidR="004E3713">
        <w:rPr>
          <w:szCs w:val="26"/>
        </w:rPr>
        <w:t xml:space="preserve">comments </w:t>
      </w:r>
      <w:r w:rsidRPr="00220C2A" w:rsidR="00F7561E">
        <w:rPr>
          <w:szCs w:val="26"/>
        </w:rPr>
        <w:t>(</w:t>
      </w:r>
      <w:r w:rsidRPr="00220C2A" w:rsidR="004E3713">
        <w:rPr>
          <w:szCs w:val="26"/>
        </w:rPr>
        <w:t>identified by Docket No. IC</w:t>
      </w:r>
      <w:r w:rsidRPr="00220C2A" w:rsidR="00F7561E">
        <w:rPr>
          <w:szCs w:val="26"/>
        </w:rPr>
        <w:t>2</w:t>
      </w:r>
      <w:r w:rsidRPr="00220C2A" w:rsidR="00503DBF">
        <w:rPr>
          <w:szCs w:val="26"/>
        </w:rPr>
        <w:t>1</w:t>
      </w:r>
      <w:r w:rsidRPr="00220C2A" w:rsidR="004E3713">
        <w:rPr>
          <w:szCs w:val="26"/>
        </w:rPr>
        <w:t>-</w:t>
      </w:r>
      <w:r w:rsidRPr="00220C2A" w:rsidR="001F7713">
        <w:rPr>
          <w:szCs w:val="26"/>
        </w:rPr>
        <w:t>1</w:t>
      </w:r>
      <w:r w:rsidRPr="00220C2A" w:rsidR="00AE5EA4">
        <w:rPr>
          <w:szCs w:val="26"/>
        </w:rPr>
        <w:t>6</w:t>
      </w:r>
      <w:r w:rsidRPr="00220C2A" w:rsidR="004E3713">
        <w:rPr>
          <w:szCs w:val="26"/>
        </w:rPr>
        <w:t>-</w:t>
      </w:r>
      <w:r w:rsidRPr="00220C2A" w:rsidR="00EB499B">
        <w:rPr>
          <w:szCs w:val="26"/>
        </w:rPr>
        <w:t>000</w:t>
      </w:r>
      <w:r w:rsidRPr="00220C2A" w:rsidR="00F7561E">
        <w:rPr>
          <w:szCs w:val="26"/>
        </w:rPr>
        <w:t>)</w:t>
      </w:r>
      <w:r w:rsidRPr="00220C2A" w:rsidR="004E3713">
        <w:rPr>
          <w:szCs w:val="26"/>
        </w:rPr>
        <w:t xml:space="preserve"> by </w:t>
      </w:r>
      <w:r w:rsidRPr="00220C2A" w:rsidR="001777DC">
        <w:rPr>
          <w:szCs w:val="26"/>
        </w:rPr>
        <w:t xml:space="preserve">one </w:t>
      </w:r>
      <w:r w:rsidRPr="00220C2A" w:rsidR="004E3713">
        <w:rPr>
          <w:szCs w:val="26"/>
        </w:rPr>
        <w:t>of the following methods:</w:t>
      </w:r>
    </w:p>
    <w:p w:rsidRPr="00220C2A" w:rsidR="00D31647" w:rsidP="00D31647" w:rsidRDefault="00D31647" w14:paraId="368E47D8" w14:textId="2560E38D">
      <w:pPr>
        <w:spacing w:line="480" w:lineRule="auto"/>
        <w:rPr>
          <w:szCs w:val="26"/>
        </w:rPr>
      </w:pPr>
      <w:r w:rsidRPr="00220C2A">
        <w:lastRenderedPageBreak/>
        <w:t xml:space="preserve">Electronic filing through </w:t>
      </w:r>
      <w:hyperlink w:history="1" r:id="rId13">
        <w:r w:rsidRPr="00220C2A">
          <w:rPr>
            <w:rStyle w:val="Hyperlink"/>
          </w:rPr>
          <w:t>http://www.ferc.gov</w:t>
        </w:r>
      </w:hyperlink>
      <w:r w:rsidRPr="00220C2A">
        <w:t>, is preferred.</w:t>
      </w:r>
    </w:p>
    <w:p w:rsidRPr="00220C2A" w:rsidR="00D31647" w:rsidP="00D31647" w:rsidRDefault="00D31647" w14:paraId="0B67009D" w14:textId="77777777">
      <w:pPr>
        <w:pStyle w:val="ListParagraph"/>
        <w:numPr>
          <w:ilvl w:val="0"/>
          <w:numId w:val="8"/>
        </w:numPr>
        <w:spacing w:line="480" w:lineRule="auto"/>
      </w:pPr>
      <w:r w:rsidRPr="00220C2A">
        <w:t xml:space="preserve">Electronic Filing: Documents must be filed in acceptable native applications and print-to-PDF, but not in scanned or picture format. </w:t>
      </w:r>
    </w:p>
    <w:p w:rsidRPr="00220C2A" w:rsidR="00D31647" w:rsidP="00D31647" w:rsidRDefault="00D31647" w14:paraId="098F4408" w14:textId="77777777">
      <w:pPr>
        <w:pStyle w:val="ListParagraph"/>
        <w:numPr>
          <w:ilvl w:val="0"/>
          <w:numId w:val="8"/>
        </w:numPr>
        <w:spacing w:line="480" w:lineRule="auto"/>
      </w:pPr>
      <w:r w:rsidRPr="00220C2A">
        <w:t>For those unable to file electronically, comments may be filed by USPS mail or by hand (including courier) delivery.</w:t>
      </w:r>
    </w:p>
    <w:p w:rsidRPr="00220C2A" w:rsidR="00D31647" w:rsidP="00AC4A34" w:rsidRDefault="00D31647" w14:paraId="583194D6" w14:textId="77777777">
      <w:pPr>
        <w:pStyle w:val="ListParagraph"/>
        <w:numPr>
          <w:ilvl w:val="1"/>
          <w:numId w:val="8"/>
        </w:numPr>
        <w:spacing w:line="480" w:lineRule="auto"/>
      </w:pPr>
      <w:r w:rsidRPr="00220C2A">
        <w:t>Mail via U.S. Postal Service Only: Addressed to: Federal Energy Regulatory Commission, Secretary of the Commission, 888 First Street, N.E., Washington, DC 20426.</w:t>
      </w:r>
    </w:p>
    <w:p w:rsidRPr="00220C2A" w:rsidR="00910883" w:rsidP="00AC4A34" w:rsidRDefault="00D31647" w14:paraId="7CAD82A3" w14:textId="05BACDC5">
      <w:pPr>
        <w:pStyle w:val="ListParagraph"/>
        <w:numPr>
          <w:ilvl w:val="1"/>
          <w:numId w:val="8"/>
        </w:numPr>
        <w:spacing w:line="480" w:lineRule="auto"/>
        <w:rPr>
          <w:szCs w:val="26"/>
        </w:rPr>
      </w:pPr>
      <w:r w:rsidRPr="00220C2A">
        <w:t>Hand (including courier) delivery: Deliver to: Federal Energy Regulatory Commission, 12225 Wilkins Avenue, Rockville, MD 20852.</w:t>
      </w:r>
    </w:p>
    <w:p w:rsidRPr="00220C2A" w:rsidR="00BE0529" w:rsidP="00BE0529" w:rsidRDefault="00E4588B" w14:paraId="4DECCD60" w14:textId="7A0BC09C">
      <w:pPr>
        <w:spacing w:line="480" w:lineRule="auto"/>
        <w:rPr>
          <w:szCs w:val="26"/>
        </w:rPr>
      </w:pPr>
      <w:bookmarkStart w:name="OLE_LINK1" w:id="2"/>
      <w:r w:rsidRPr="00220C2A">
        <w:rPr>
          <w:i/>
        </w:rPr>
        <w:t>Instructions</w:t>
      </w:r>
      <w:r w:rsidRPr="00220C2A" w:rsidR="00E72628">
        <w:rPr>
          <w:iCs/>
        </w:rPr>
        <w:t>:</w:t>
      </w:r>
      <w:r w:rsidRPr="00220C2A" w:rsidR="00BE0529">
        <w:rPr>
          <w:i/>
        </w:rPr>
        <w:t xml:space="preserve"> </w:t>
      </w:r>
      <w:r w:rsidRPr="00220C2A" w:rsidR="00FB1D8E">
        <w:rPr>
          <w:i/>
        </w:rPr>
        <w:t xml:space="preserve"> </w:t>
      </w:r>
      <w:r w:rsidRPr="00220C2A" w:rsidR="00BE0529">
        <w:rPr>
          <w:iCs/>
        </w:rPr>
        <w:t xml:space="preserve">OMB submissions </w:t>
      </w:r>
      <w:r w:rsidRPr="00220C2A" w:rsidR="00BE0529">
        <w:t>must be formatted and filed in accordance with submission guidelines at</w:t>
      </w:r>
      <w:r w:rsidRPr="00220C2A" w:rsidR="00BE0529">
        <w:rPr>
          <w:i/>
          <w:szCs w:val="26"/>
        </w:rPr>
        <w:t xml:space="preserve"> </w:t>
      </w:r>
      <w:hyperlink w:history="1" r:id="rId14">
        <w:r w:rsidRPr="00220C2A" w:rsidR="00BE0529">
          <w:rPr>
            <w:color w:val="0000FF"/>
            <w:szCs w:val="26"/>
            <w:u w:val="single"/>
          </w:rPr>
          <w:t>www.reginfo.gov/public/do/PRAMain</w:t>
        </w:r>
      </w:hyperlink>
      <w:r w:rsidRPr="00220C2A" w:rsidR="00BE0529">
        <w:rPr>
          <w:color w:val="0000FF"/>
          <w:szCs w:val="26"/>
          <w:u w:val="single"/>
        </w:rPr>
        <w:t>.</w:t>
      </w:r>
      <w:r w:rsidRPr="00220C2A" w:rsidR="00BE0529">
        <w:rPr>
          <w:szCs w:val="26"/>
        </w:rPr>
        <w:t xml:space="preserve">  Using the search function under the “Currently Under Review” field, select Federal Energy Regulatory Commission; click “submit,” and select “comment” to the right of the subject collection.</w:t>
      </w:r>
    </w:p>
    <w:p w:rsidRPr="00B5113D" w:rsidR="00BE0529" w:rsidP="00BE0529" w:rsidRDefault="00BE0529" w14:paraId="108FAA54" w14:textId="77777777">
      <w:pPr>
        <w:spacing w:line="480" w:lineRule="auto"/>
        <w:rPr>
          <w:sz w:val="24"/>
        </w:rPr>
      </w:pPr>
      <w:r w:rsidRPr="00220C2A">
        <w:rPr>
          <w:i/>
          <w:iCs/>
        </w:rPr>
        <w:t>FERC submissions</w:t>
      </w:r>
      <w:r w:rsidRPr="00220C2A">
        <w:t xml:space="preserve"> </w:t>
      </w:r>
      <w:bookmarkStart w:name="_Hlk38028397" w:id="3"/>
      <w:r w:rsidRPr="00220C2A">
        <w:t>must be formatted and filed in accordance with submission guidelines at</w:t>
      </w:r>
      <w:bookmarkEnd w:id="3"/>
      <w:r w:rsidRPr="00220C2A">
        <w:t xml:space="preserve">: </w:t>
      </w:r>
      <w:hyperlink w:history="1" r:id="rId15">
        <w:r w:rsidRPr="00220C2A">
          <w:rPr>
            <w:color w:val="0000FF"/>
            <w:u w:val="single"/>
          </w:rPr>
          <w:t>http://www.ferc.gov</w:t>
        </w:r>
      </w:hyperlink>
      <w:r w:rsidRPr="00220C2A">
        <w:t>.  For user assistance, contact FERC Online Support by e-mail at ferconlinesupport@ferc.gov, or by phone at: (866) 208-3676 (toll-free).</w:t>
      </w:r>
    </w:p>
    <w:p w:rsidRPr="00220C2A" w:rsidR="00E4588B" w:rsidP="00BE0529" w:rsidRDefault="00BE0529" w14:paraId="3F7DA643" w14:textId="498D3E3E">
      <w:pPr>
        <w:spacing w:line="480" w:lineRule="auto"/>
      </w:pPr>
      <w:r w:rsidRPr="00220C2A">
        <w:rPr>
          <w:i/>
        </w:rPr>
        <w:t>Docket</w:t>
      </w:r>
      <w:r w:rsidRPr="00220C2A">
        <w:rPr>
          <w:iCs/>
        </w:rPr>
        <w:t xml:space="preserve">:  </w:t>
      </w:r>
      <w:r w:rsidRPr="00220C2A">
        <w:t xml:space="preserve">Users interested in receiving automatic notification of activity in this docket or in viewing/downloading comments and issuances in this docket may do so at </w:t>
      </w:r>
      <w:hyperlink w:history="1" r:id="rId16">
        <w:r w:rsidRPr="00220C2A" w:rsidR="00811B15">
          <w:rPr>
            <w:rStyle w:val="Hyperlink"/>
          </w:rPr>
          <w:t>https://www.ferc.gov/ferc-online/overview</w:t>
        </w:r>
      </w:hyperlink>
      <w:r w:rsidRPr="00220C2A" w:rsidR="00811B15">
        <w:t xml:space="preserve">. </w:t>
      </w:r>
    </w:p>
    <w:bookmarkEnd w:id="2"/>
    <w:p w:rsidRPr="00220C2A" w:rsidR="004E3713" w:rsidP="004E3713" w:rsidRDefault="004E3713" w14:paraId="667827D6" w14:textId="38D33DD7">
      <w:pPr>
        <w:spacing w:line="480" w:lineRule="auto"/>
        <w:rPr>
          <w:szCs w:val="26"/>
        </w:rPr>
      </w:pPr>
      <w:r w:rsidRPr="00220C2A">
        <w:rPr>
          <w:b/>
          <w:szCs w:val="26"/>
        </w:rPr>
        <w:t>FOR FURTHER INFORMATION</w:t>
      </w:r>
      <w:r w:rsidRPr="00220C2A" w:rsidR="007E4A0C">
        <w:rPr>
          <w:b/>
          <w:szCs w:val="26"/>
        </w:rPr>
        <w:t xml:space="preserve"> CONTACT</w:t>
      </w:r>
      <w:r w:rsidRPr="00220C2A">
        <w:rPr>
          <w:b/>
          <w:szCs w:val="26"/>
        </w:rPr>
        <w:t>:</w:t>
      </w:r>
      <w:r w:rsidRPr="00220C2A">
        <w:rPr>
          <w:szCs w:val="26"/>
        </w:rPr>
        <w:t xml:space="preserve">  Ellen Brown may be reached by e-mail at </w:t>
      </w:r>
      <w:hyperlink w:history="1" r:id="rId17">
        <w:r w:rsidRPr="00220C2A">
          <w:rPr>
            <w:rStyle w:val="Hyperlink"/>
            <w:szCs w:val="26"/>
          </w:rPr>
          <w:t>DataClearance@FERC.gov</w:t>
        </w:r>
      </w:hyperlink>
      <w:r w:rsidRPr="00220C2A">
        <w:rPr>
          <w:szCs w:val="26"/>
        </w:rPr>
        <w:t>, telephone at (202) 502-8663.</w:t>
      </w:r>
    </w:p>
    <w:p w:rsidRPr="00220C2A" w:rsidR="00AE5EA4" w:rsidP="00AE5EA4" w:rsidRDefault="00AE5EA4" w14:paraId="72AFF9A9" w14:textId="615D6DAA">
      <w:pPr>
        <w:spacing w:line="480" w:lineRule="auto"/>
      </w:pPr>
      <w:r w:rsidRPr="00220C2A">
        <w:rPr>
          <w:b/>
        </w:rPr>
        <w:lastRenderedPageBreak/>
        <w:t>SUPPLEMENTARY INFORMATION:</w:t>
      </w:r>
    </w:p>
    <w:p w:rsidRPr="00220C2A" w:rsidR="00AE5EA4" w:rsidP="00AE5EA4" w:rsidRDefault="00AE5EA4" w14:paraId="6409B770" w14:textId="77777777">
      <w:pPr>
        <w:spacing w:line="480" w:lineRule="auto"/>
      </w:pPr>
      <w:r w:rsidRPr="00220C2A">
        <w:rPr>
          <w:i/>
        </w:rPr>
        <w:t xml:space="preserve">Title: </w:t>
      </w:r>
      <w:bookmarkStart w:name="_Hlk68514260" w:id="4"/>
      <w:r w:rsidRPr="00220C2A">
        <w:t xml:space="preserve">FERC-582, </w:t>
      </w:r>
      <w:bookmarkStart w:name="_Hlk74758144" w:id="5"/>
      <w:r w:rsidRPr="00220C2A">
        <w:t>Electric Fees, Annual Charges, Waivers, and Exemptions</w:t>
      </w:r>
      <w:bookmarkEnd w:id="4"/>
      <w:bookmarkEnd w:id="5"/>
      <w:r w:rsidRPr="00220C2A">
        <w:t>.</w:t>
      </w:r>
    </w:p>
    <w:p w:rsidRPr="00220C2A" w:rsidR="00AE5EA4" w:rsidP="00AE5EA4" w:rsidRDefault="00AE5EA4" w14:paraId="63CF2504" w14:textId="77777777">
      <w:pPr>
        <w:spacing w:line="480" w:lineRule="auto"/>
      </w:pPr>
      <w:r w:rsidRPr="00220C2A">
        <w:rPr>
          <w:i/>
        </w:rPr>
        <w:t>OMB Control No.:</w:t>
      </w:r>
      <w:r w:rsidRPr="00220C2A">
        <w:t xml:space="preserve"> 1902-0132</w:t>
      </w:r>
    </w:p>
    <w:p w:rsidRPr="00220C2A" w:rsidR="00AE5EA4" w:rsidP="00AE5EA4" w:rsidRDefault="00AE5EA4" w14:paraId="1CCC08C9" w14:textId="492FD5D1">
      <w:pPr>
        <w:spacing w:line="480" w:lineRule="auto"/>
      </w:pPr>
      <w:r w:rsidRPr="00220C2A">
        <w:rPr>
          <w:i/>
        </w:rPr>
        <w:t>Type of Request:</w:t>
      </w:r>
      <w:r w:rsidRPr="00220C2A">
        <w:t xml:space="preserve"> Three-year extension of the FERC-582 information collection requirements with no changes to the current reporting requirements.</w:t>
      </w:r>
    </w:p>
    <w:p w:rsidRPr="00220C2A" w:rsidR="00AE5EA4" w:rsidP="00AE5EA4" w:rsidRDefault="00AE5EA4" w14:paraId="5A79C3EF" w14:textId="77777777">
      <w:pPr>
        <w:spacing w:line="480" w:lineRule="auto"/>
        <w:rPr>
          <w:szCs w:val="20"/>
        </w:rPr>
      </w:pPr>
      <w:r w:rsidRPr="00220C2A">
        <w:rPr>
          <w:i/>
          <w:szCs w:val="26"/>
        </w:rPr>
        <w:t>Abstract:</w:t>
      </w:r>
      <w:r w:rsidRPr="00220C2A">
        <w:rPr>
          <w:i/>
          <w:szCs w:val="20"/>
        </w:rPr>
        <w:t xml:space="preserve">  </w:t>
      </w:r>
      <w:r w:rsidRPr="00220C2A">
        <w:rPr>
          <w:szCs w:val="20"/>
        </w:rPr>
        <w:t>The information required by FERC-582 is contained in Title 18 Code of Federal Regulations (CFR) Parts 381</w:t>
      </w:r>
      <w:bookmarkStart w:name="_Ref267481754" w:id="6"/>
      <w:r w:rsidRPr="00220C2A">
        <w:rPr>
          <w:b/>
          <w:szCs w:val="26"/>
          <w:vertAlign w:val="superscript"/>
        </w:rPr>
        <w:footnoteReference w:id="2"/>
      </w:r>
      <w:bookmarkEnd w:id="6"/>
      <w:r w:rsidRPr="00220C2A">
        <w:rPr>
          <w:szCs w:val="20"/>
        </w:rPr>
        <w:t xml:space="preserve"> and 382</w:t>
      </w:r>
      <w:bookmarkStart w:name="_Ref267481784" w:id="7"/>
      <w:r w:rsidRPr="00220C2A">
        <w:rPr>
          <w:b/>
          <w:szCs w:val="26"/>
          <w:vertAlign w:val="superscript"/>
        </w:rPr>
        <w:footnoteReference w:id="3"/>
      </w:r>
      <w:bookmarkEnd w:id="7"/>
      <w:r w:rsidRPr="00220C2A">
        <w:rPr>
          <w:szCs w:val="20"/>
        </w:rPr>
        <w:t>.</w:t>
      </w:r>
    </w:p>
    <w:p w:rsidRPr="00220C2A" w:rsidR="00AE5EA4" w:rsidP="00AE5EA4" w:rsidRDefault="00AE5EA4" w14:paraId="0C5E9B84" w14:textId="5EF84BDF">
      <w:pPr>
        <w:spacing w:line="480" w:lineRule="auto"/>
        <w:ind w:firstLine="720"/>
      </w:pPr>
      <w:r w:rsidRPr="00220C2A">
        <w:t>The Commission uses the FERC-582 to implement the statutory provisions of the Independent Offices Appropriation Act of 1952 (IOAA)</w:t>
      </w:r>
      <w:r w:rsidRPr="00220C2A">
        <w:rPr>
          <w:b/>
          <w:szCs w:val="26"/>
          <w:vertAlign w:val="superscript"/>
        </w:rPr>
        <w:footnoteReference w:id="4"/>
      </w:r>
      <w:r w:rsidRPr="00220C2A">
        <w:t xml:space="preserve"> which authorizes the Commission to establish fees for its services.  In addition, the Omnibus Budget Reconciliation Act of 1986 (OBRA)</w:t>
      </w:r>
      <w:r w:rsidRPr="00220C2A">
        <w:rPr>
          <w:b/>
          <w:szCs w:val="26"/>
          <w:vertAlign w:val="superscript"/>
        </w:rPr>
        <w:footnoteReference w:id="5"/>
      </w:r>
      <w:r w:rsidRPr="00220C2A">
        <w:t xml:space="preserve"> authorizes the Commission to assess and collect fees and annual charges in any fiscal year in amounts equal to all the costs incurred by the Commission in that fiscal year.</w:t>
      </w:r>
    </w:p>
    <w:p w:rsidRPr="00220C2A" w:rsidR="00AE5EA4" w:rsidP="00AE5EA4" w:rsidRDefault="00AE5EA4" w14:paraId="2480DBD0" w14:textId="51119153">
      <w:pPr>
        <w:widowControl w:val="0"/>
        <w:spacing w:line="480" w:lineRule="auto"/>
        <w:ind w:firstLine="810"/>
        <w:contextualSpacing/>
        <w:rPr>
          <w:szCs w:val="26"/>
        </w:rPr>
      </w:pPr>
      <w:r w:rsidRPr="00220C2A">
        <w:rPr>
          <w:szCs w:val="26"/>
        </w:rPr>
        <w:t>To comply with the FERC-582, respondents submit to the Commission the sum of the megawatt-hours (MWh) of all unbundled transmission (including MWh delivered in wheeling transactions and MWh delivered in exchange transactions) and the megawatt-hours of all bundled wholesale power sales (to the extent the bundled wholesale power sales were not separately reported as unbundled transmission).  The data collected in the FERC-582 are drawn directly from the FERC Form 1</w:t>
      </w:r>
      <w:r w:rsidR="001E07F4">
        <w:rPr>
          <w:szCs w:val="26"/>
        </w:rPr>
        <w:t xml:space="preserve"> </w:t>
      </w:r>
      <w:r w:rsidRPr="00220C2A">
        <w:rPr>
          <w:szCs w:val="26"/>
        </w:rPr>
        <w:t xml:space="preserve">(Annual Report of </w:t>
      </w:r>
      <w:r w:rsidRPr="00220C2A">
        <w:rPr>
          <w:szCs w:val="26"/>
        </w:rPr>
        <w:lastRenderedPageBreak/>
        <w:t>Major Electric Utilities, Licensees and Others)</w:t>
      </w:r>
      <w:r w:rsidRPr="00220C2A">
        <w:rPr>
          <w:b/>
          <w:szCs w:val="26"/>
          <w:vertAlign w:val="superscript"/>
        </w:rPr>
        <w:footnoteReference w:id="6"/>
      </w:r>
      <w:r w:rsidRPr="00220C2A">
        <w:rPr>
          <w:szCs w:val="26"/>
        </w:rPr>
        <w:t xml:space="preserve"> transmission data.  The Commission sums the costs of its electric regulatory program and subtracts all electric regulatory program filing fee collections to determine the total collectible electric regulatory program costs.  Then, the Commission uses the data submitted under FERC-582 to determine the total megawatt-hours of transmission of electric energy in interstate commerce.  Respondents (public utilities and power marketers) subject to these annual charges must submit FERC-582 data to the Commission by April 30 of each year</w:t>
      </w:r>
      <w:r w:rsidRPr="00220C2A">
        <w:rPr>
          <w:b/>
          <w:szCs w:val="26"/>
          <w:vertAlign w:val="superscript"/>
        </w:rPr>
        <w:footnoteReference w:id="7"/>
      </w:r>
      <w:r w:rsidRPr="00220C2A">
        <w:rPr>
          <w:szCs w:val="26"/>
        </w:rPr>
        <w:t>.  The Commission issues bills for annual charges to respondents.  Then, respondents must pay the charges within 45 days of the Commission’s issuance of the bill.</w:t>
      </w:r>
    </w:p>
    <w:p w:rsidRPr="00220C2A" w:rsidR="00581755" w:rsidP="00AE5EA4" w:rsidRDefault="00AE5EA4" w14:paraId="23D35C16" w14:textId="77777777">
      <w:pPr>
        <w:spacing w:line="480" w:lineRule="auto"/>
        <w:ind w:firstLine="720"/>
        <w:rPr>
          <w:szCs w:val="26"/>
        </w:rPr>
      </w:pPr>
      <w:r w:rsidRPr="00220C2A">
        <w:rPr>
          <w:szCs w:val="26"/>
        </w:rPr>
        <w:t>Respondents file requests for waivers and exemptions of fees and charges</w:t>
      </w:r>
      <w:r w:rsidRPr="00220C2A">
        <w:rPr>
          <w:b/>
          <w:szCs w:val="26"/>
          <w:vertAlign w:val="superscript"/>
        </w:rPr>
        <w:footnoteReference w:id="8"/>
      </w:r>
      <w:r w:rsidRPr="00220C2A">
        <w:rPr>
          <w:szCs w:val="26"/>
        </w:rPr>
        <w:t xml:space="preserve"> based on need.  The Commission’s staff uses the filer’s financial information to evaluate the request for a waiver or exemption of the obligation to pay a fee or an annual charge.</w:t>
      </w:r>
    </w:p>
    <w:p w:rsidRPr="00220C2A" w:rsidR="00AE5EA4" w:rsidP="00581755" w:rsidRDefault="00581755" w14:paraId="7E7D91A0" w14:textId="7F19B413">
      <w:pPr>
        <w:spacing w:line="480" w:lineRule="auto"/>
        <w:rPr>
          <w:szCs w:val="26"/>
        </w:rPr>
      </w:pPr>
      <w:r w:rsidRPr="00220C2A">
        <w:rPr>
          <w:szCs w:val="26"/>
        </w:rPr>
        <w:t>The 60-day notice published to the Federal Register on April 16, 2021 and received no comments.</w:t>
      </w:r>
      <w:r w:rsidRPr="00220C2A" w:rsidR="0003123A">
        <w:rPr>
          <w:rStyle w:val="FootnoteReference"/>
        </w:rPr>
        <w:footnoteReference w:id="9"/>
      </w:r>
    </w:p>
    <w:p w:rsidRPr="00220C2A" w:rsidR="00AE5EA4" w:rsidP="00AE5EA4" w:rsidRDefault="00AE5EA4" w14:paraId="3248A9E0" w14:textId="473F2C7F">
      <w:pPr>
        <w:spacing w:line="480" w:lineRule="auto"/>
        <w:rPr>
          <w:i/>
        </w:rPr>
      </w:pPr>
      <w:r w:rsidRPr="00220C2A">
        <w:rPr>
          <w:i/>
        </w:rPr>
        <w:lastRenderedPageBreak/>
        <w:t>Estimate of Annual Burden</w:t>
      </w:r>
      <w:r w:rsidRPr="00220C2A">
        <w:rPr>
          <w:b/>
          <w:i/>
          <w:szCs w:val="26"/>
          <w:vertAlign w:val="superscript"/>
        </w:rPr>
        <w:footnoteReference w:id="10"/>
      </w:r>
      <w:r w:rsidRPr="00220C2A">
        <w:rPr>
          <w:i/>
        </w:rPr>
        <w:t xml:space="preserve">: </w:t>
      </w:r>
      <w:r w:rsidR="00ED62F2">
        <w:rPr>
          <w:iCs/>
        </w:rPr>
        <w:t>T</w:t>
      </w:r>
      <w:r w:rsidRPr="00220C2A">
        <w:t>he Commission estimates the burden and cost</w:t>
      </w:r>
      <w:r w:rsidRPr="00220C2A">
        <w:rPr>
          <w:b/>
          <w:szCs w:val="26"/>
          <w:vertAlign w:val="superscript"/>
        </w:rPr>
        <w:footnoteReference w:id="11"/>
      </w:r>
      <w:r w:rsidRPr="00220C2A">
        <w:t xml:space="preserve"> for this information collection as follows.</w:t>
      </w:r>
    </w:p>
    <w:tbl>
      <w:tblPr>
        <w:tblStyle w:val="TableGrid"/>
        <w:tblW w:w="0" w:type="auto"/>
        <w:tblInd w:w="0" w:type="dxa"/>
        <w:tblLook w:val="04A0" w:firstRow="1" w:lastRow="0" w:firstColumn="1" w:lastColumn="0" w:noHBand="0" w:noVBand="1"/>
      </w:tblPr>
      <w:tblGrid>
        <w:gridCol w:w="1665"/>
        <w:gridCol w:w="1676"/>
        <w:gridCol w:w="1463"/>
        <w:gridCol w:w="1398"/>
        <w:gridCol w:w="1519"/>
        <w:gridCol w:w="1629"/>
      </w:tblGrid>
      <w:tr w:rsidRPr="00220C2A" w:rsidR="00AE5EA4" w:rsidTr="003749A6" w14:paraId="1571E1FC" w14:textId="77777777">
        <w:trPr>
          <w:trHeight w:val="485"/>
        </w:trPr>
        <w:tc>
          <w:tcPr>
            <w:tcW w:w="0" w:type="auto"/>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20C2A" w:rsidR="00AE5EA4" w:rsidP="003E7379" w:rsidRDefault="00AE5EA4" w14:paraId="28A9CEDE" w14:textId="77777777">
            <w:pPr>
              <w:jc w:val="center"/>
              <w:rPr>
                <w:i/>
              </w:rPr>
            </w:pPr>
            <w:r w:rsidRPr="00220C2A">
              <w:rPr>
                <w:b/>
              </w:rPr>
              <w:t>FERC-582,</w:t>
            </w:r>
            <w:r w:rsidRPr="00220C2A">
              <w:t xml:space="preserve"> </w:t>
            </w:r>
            <w:r w:rsidRPr="00220C2A">
              <w:rPr>
                <w:b/>
              </w:rPr>
              <w:t>Electric Fees, Annual Charges, Waivers, and Exemptions Docket No. IC21-16-000</w:t>
            </w:r>
            <w:r w:rsidRPr="00220C2A">
              <w:rPr>
                <w:b/>
                <w:szCs w:val="26"/>
                <w:vertAlign w:val="superscript"/>
              </w:rPr>
              <w:footnoteReference w:id="12"/>
            </w:r>
          </w:p>
        </w:tc>
      </w:tr>
      <w:tr w:rsidRPr="00220C2A" w:rsidR="00AE5EA4" w:rsidTr="003749A6" w14:paraId="232B3B58" w14:textId="77777777">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20C2A" w:rsidR="00AE5EA4" w:rsidP="00AE5EA4" w:rsidRDefault="00AE5EA4" w14:paraId="4CF73106" w14:textId="77777777">
            <w:pPr>
              <w:jc w:val="center"/>
              <w:rPr>
                <w:b/>
              </w:rPr>
            </w:pPr>
            <w:r w:rsidRPr="00220C2A">
              <w:rPr>
                <w:b/>
              </w:rPr>
              <w:t>No. of Respondents</w:t>
            </w:r>
          </w:p>
          <w:p w:rsidRPr="00220C2A" w:rsidR="00AE5EA4" w:rsidP="00AE5EA4" w:rsidRDefault="00AE5EA4" w14:paraId="4220A106" w14:textId="77777777">
            <w:pPr>
              <w:jc w:val="center"/>
              <w:rPr>
                <w:i/>
              </w:rPr>
            </w:pPr>
            <w:r w:rsidRPr="00220C2A">
              <w:rPr>
                <w:b/>
              </w:rPr>
              <w:t>(1)</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220C2A" w:rsidR="00AE5EA4" w:rsidP="00AE5EA4" w:rsidRDefault="00AE5EA4" w14:paraId="78CE47F5" w14:textId="77777777">
            <w:pPr>
              <w:jc w:val="center"/>
              <w:rPr>
                <w:b/>
              </w:rPr>
            </w:pPr>
            <w:r w:rsidRPr="00220C2A">
              <w:rPr>
                <w:b/>
              </w:rPr>
              <w:t>Annual No. of Responses Per Respondent</w:t>
            </w:r>
          </w:p>
          <w:p w:rsidRPr="00220C2A" w:rsidR="00AE5EA4" w:rsidP="00AE5EA4" w:rsidRDefault="00AE5EA4" w14:paraId="1CAB679C" w14:textId="77777777">
            <w:pPr>
              <w:jc w:val="center"/>
              <w:rPr>
                <w:i/>
              </w:rPr>
            </w:pPr>
            <w:r w:rsidRPr="00220C2A">
              <w:rPr>
                <w:b/>
              </w:rPr>
              <w:t>(2)</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220C2A" w:rsidR="00AE5EA4" w:rsidP="00AE5EA4" w:rsidRDefault="00AE5EA4" w14:paraId="76B28AD5" w14:textId="77777777">
            <w:pPr>
              <w:jc w:val="center"/>
              <w:rPr>
                <w:b/>
              </w:rPr>
            </w:pPr>
            <w:r w:rsidRPr="00220C2A">
              <w:rPr>
                <w:b/>
              </w:rPr>
              <w:t>Total No. of Responses</w:t>
            </w:r>
          </w:p>
          <w:p w:rsidRPr="00220C2A" w:rsidR="00AE5EA4" w:rsidP="00AE5EA4" w:rsidRDefault="00AE5EA4" w14:paraId="3A85124D" w14:textId="77777777">
            <w:pPr>
              <w:jc w:val="center"/>
              <w:rPr>
                <w:i/>
              </w:rPr>
            </w:pPr>
            <w:r w:rsidRPr="00220C2A">
              <w:rPr>
                <w:b/>
              </w:rPr>
              <w:t>(1)x(2)=(3)</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220C2A" w:rsidR="00AE5EA4" w:rsidP="00AE5EA4" w:rsidRDefault="00AE5EA4" w14:paraId="1E1BF6CE" w14:textId="77777777">
            <w:pPr>
              <w:jc w:val="center"/>
              <w:rPr>
                <w:b/>
              </w:rPr>
            </w:pPr>
            <w:r w:rsidRPr="00220C2A">
              <w:rPr>
                <w:b/>
              </w:rPr>
              <w:t>Average Burden &amp; Cost per Response</w:t>
            </w:r>
          </w:p>
          <w:p w:rsidRPr="00220C2A" w:rsidR="00AE5EA4" w:rsidP="00AE5EA4" w:rsidRDefault="00AE5EA4" w14:paraId="31D806B7" w14:textId="77777777">
            <w:pPr>
              <w:jc w:val="center"/>
              <w:rPr>
                <w:i/>
              </w:rPr>
            </w:pPr>
            <w:r w:rsidRPr="00220C2A">
              <w:rPr>
                <w:b/>
              </w:rPr>
              <w:t>(4)</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220C2A" w:rsidR="00AE5EA4" w:rsidP="00AE5EA4" w:rsidRDefault="00AE5EA4" w14:paraId="47867811" w14:textId="77777777">
            <w:pPr>
              <w:jc w:val="center"/>
              <w:rPr>
                <w:b/>
              </w:rPr>
            </w:pPr>
            <w:r w:rsidRPr="00220C2A">
              <w:rPr>
                <w:b/>
              </w:rPr>
              <w:t>Total Annual Burden Hrs. &amp; Cost</w:t>
            </w:r>
          </w:p>
          <w:p w:rsidRPr="00220C2A" w:rsidR="00AE5EA4" w:rsidP="00AE5EA4" w:rsidRDefault="00AE5EA4" w14:paraId="0CB8F900" w14:textId="77777777">
            <w:pPr>
              <w:jc w:val="center"/>
              <w:rPr>
                <w:i/>
              </w:rPr>
            </w:pPr>
            <w:r w:rsidRPr="00220C2A">
              <w:rPr>
                <w:b/>
              </w:rPr>
              <w:t>(3)*(4)=(5)</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220C2A" w:rsidR="00AE5EA4" w:rsidP="00AE5EA4" w:rsidRDefault="00AE5EA4" w14:paraId="2F3519CB" w14:textId="77777777">
            <w:pPr>
              <w:jc w:val="center"/>
              <w:rPr>
                <w:i/>
              </w:rPr>
            </w:pPr>
            <w:r w:rsidRPr="00220C2A">
              <w:rPr>
                <w:b/>
              </w:rPr>
              <w:t>Cost per Respondent (5)/(1)=(5)</w:t>
            </w:r>
          </w:p>
        </w:tc>
      </w:tr>
      <w:tr w:rsidRPr="00220C2A" w:rsidR="00AE5EA4" w:rsidTr="003749A6" w14:paraId="69FF6D8A" w14:textId="77777777">
        <w:tc>
          <w:tcPr>
            <w:tcW w:w="0" w:type="auto"/>
            <w:tcBorders>
              <w:top w:val="single" w:color="auto" w:sz="4" w:space="0"/>
              <w:left w:val="single" w:color="auto" w:sz="4" w:space="0"/>
              <w:bottom w:val="single" w:color="auto" w:sz="4" w:space="0"/>
              <w:right w:val="single" w:color="auto" w:sz="4" w:space="0"/>
            </w:tcBorders>
            <w:vAlign w:val="bottom"/>
            <w:hideMark/>
          </w:tcPr>
          <w:p w:rsidRPr="00220C2A" w:rsidR="00AE5EA4" w:rsidP="00AE5EA4" w:rsidRDefault="00AE5EA4" w14:paraId="4C905418" w14:textId="77777777">
            <w:pPr>
              <w:jc w:val="right"/>
              <w:rPr>
                <w:iCs/>
              </w:rPr>
            </w:pPr>
            <w:r w:rsidRPr="00220C2A">
              <w:rPr>
                <w:iCs/>
              </w:rPr>
              <w:t>53</w:t>
            </w:r>
          </w:p>
        </w:tc>
        <w:tc>
          <w:tcPr>
            <w:tcW w:w="0" w:type="auto"/>
            <w:tcBorders>
              <w:top w:val="single" w:color="auto" w:sz="4" w:space="0"/>
              <w:left w:val="single" w:color="auto" w:sz="4" w:space="0"/>
              <w:bottom w:val="single" w:color="auto" w:sz="4" w:space="0"/>
              <w:right w:val="single" w:color="auto" w:sz="4" w:space="0"/>
            </w:tcBorders>
            <w:vAlign w:val="bottom"/>
            <w:hideMark/>
          </w:tcPr>
          <w:p w:rsidRPr="00220C2A" w:rsidR="00AE5EA4" w:rsidP="00AE5EA4" w:rsidRDefault="00AE5EA4" w14:paraId="57F6EE3D" w14:textId="77777777">
            <w:pPr>
              <w:jc w:val="right"/>
              <w:rPr>
                <w:i/>
              </w:rPr>
            </w:pPr>
            <w:r w:rsidRPr="00220C2A">
              <w:t>1</w:t>
            </w:r>
          </w:p>
        </w:tc>
        <w:tc>
          <w:tcPr>
            <w:tcW w:w="0" w:type="auto"/>
            <w:tcBorders>
              <w:top w:val="single" w:color="auto" w:sz="4" w:space="0"/>
              <w:left w:val="single" w:color="auto" w:sz="4" w:space="0"/>
              <w:bottom w:val="single" w:color="auto" w:sz="4" w:space="0"/>
              <w:right w:val="single" w:color="auto" w:sz="4" w:space="0"/>
            </w:tcBorders>
            <w:vAlign w:val="bottom"/>
            <w:hideMark/>
          </w:tcPr>
          <w:p w:rsidRPr="00220C2A" w:rsidR="00AE5EA4" w:rsidP="00AE5EA4" w:rsidRDefault="00AE5EA4" w14:paraId="371E8BFA" w14:textId="77777777">
            <w:pPr>
              <w:jc w:val="right"/>
              <w:rPr>
                <w:iCs/>
              </w:rPr>
            </w:pPr>
            <w:r w:rsidRPr="00220C2A">
              <w:rPr>
                <w:iCs/>
              </w:rPr>
              <w:t>53</w:t>
            </w:r>
          </w:p>
        </w:tc>
        <w:tc>
          <w:tcPr>
            <w:tcW w:w="0" w:type="auto"/>
            <w:tcBorders>
              <w:top w:val="single" w:color="auto" w:sz="4" w:space="0"/>
              <w:left w:val="single" w:color="auto" w:sz="4" w:space="0"/>
              <w:bottom w:val="single" w:color="auto" w:sz="4" w:space="0"/>
              <w:right w:val="single" w:color="auto" w:sz="4" w:space="0"/>
            </w:tcBorders>
            <w:vAlign w:val="bottom"/>
            <w:hideMark/>
          </w:tcPr>
          <w:p w:rsidRPr="00220C2A" w:rsidR="00AE5EA4" w:rsidP="00AE5EA4" w:rsidRDefault="00AE5EA4" w14:paraId="29ECCC4A" w14:textId="77777777">
            <w:pPr>
              <w:jc w:val="right"/>
            </w:pPr>
            <w:r w:rsidRPr="00220C2A">
              <w:t>2.39 hrs.;</w:t>
            </w:r>
          </w:p>
          <w:p w:rsidRPr="00220C2A" w:rsidR="00AE5EA4" w:rsidP="00AE5EA4" w:rsidRDefault="00AE5EA4" w14:paraId="7C65FDE2" w14:textId="77777777">
            <w:pPr>
              <w:jc w:val="right"/>
              <w:rPr>
                <w:i/>
              </w:rPr>
            </w:pPr>
            <w:r w:rsidRPr="00220C2A">
              <w:t>$198.37</w:t>
            </w:r>
          </w:p>
        </w:tc>
        <w:tc>
          <w:tcPr>
            <w:tcW w:w="0" w:type="auto"/>
            <w:tcBorders>
              <w:top w:val="single" w:color="auto" w:sz="4" w:space="0"/>
              <w:left w:val="single" w:color="auto" w:sz="4" w:space="0"/>
              <w:bottom w:val="single" w:color="auto" w:sz="4" w:space="0"/>
              <w:right w:val="single" w:color="auto" w:sz="4" w:space="0"/>
            </w:tcBorders>
            <w:vAlign w:val="bottom"/>
            <w:hideMark/>
          </w:tcPr>
          <w:p w:rsidRPr="00220C2A" w:rsidR="00AE5EA4" w:rsidP="00AE5EA4" w:rsidRDefault="00AE5EA4" w14:paraId="6FC9C07C" w14:textId="77777777">
            <w:pPr>
              <w:jc w:val="right"/>
            </w:pPr>
            <w:r w:rsidRPr="00220C2A">
              <w:t>126.67 hrs.;</w:t>
            </w:r>
          </w:p>
          <w:p w:rsidRPr="00220C2A" w:rsidR="00AE5EA4" w:rsidP="00AE5EA4" w:rsidRDefault="00AE5EA4" w14:paraId="29EA38C7" w14:textId="77777777">
            <w:pPr>
              <w:jc w:val="right"/>
              <w:rPr>
                <w:i/>
              </w:rPr>
            </w:pPr>
            <w:r w:rsidRPr="00220C2A">
              <w:t>$10,513.61</w:t>
            </w:r>
          </w:p>
        </w:tc>
        <w:tc>
          <w:tcPr>
            <w:tcW w:w="0" w:type="auto"/>
            <w:tcBorders>
              <w:top w:val="single" w:color="auto" w:sz="4" w:space="0"/>
              <w:left w:val="single" w:color="auto" w:sz="4" w:space="0"/>
              <w:bottom w:val="single" w:color="auto" w:sz="4" w:space="0"/>
              <w:right w:val="single" w:color="auto" w:sz="4" w:space="0"/>
            </w:tcBorders>
            <w:vAlign w:val="bottom"/>
            <w:hideMark/>
          </w:tcPr>
          <w:p w:rsidRPr="00220C2A" w:rsidR="00AE5EA4" w:rsidP="00AE5EA4" w:rsidRDefault="00AE5EA4" w14:paraId="1990FB25" w14:textId="77777777">
            <w:pPr>
              <w:jc w:val="right"/>
              <w:rPr>
                <w:i/>
              </w:rPr>
            </w:pPr>
            <w:r w:rsidRPr="00220C2A">
              <w:t>$198.37</w:t>
            </w:r>
          </w:p>
        </w:tc>
      </w:tr>
    </w:tbl>
    <w:p w:rsidRPr="00220C2A" w:rsidR="00AE5EA4" w:rsidP="00B1030F" w:rsidRDefault="00AE5EA4" w14:paraId="06B855A1" w14:textId="77777777">
      <w:pPr>
        <w:spacing w:line="480" w:lineRule="auto"/>
        <w:rPr>
          <w:iCs/>
          <w:szCs w:val="26"/>
        </w:rPr>
      </w:pPr>
    </w:p>
    <w:p w:rsidRPr="00220C2A" w:rsidR="00B1030F" w:rsidP="00B1030F" w:rsidRDefault="00B1030F" w14:paraId="213BE06F" w14:textId="23517313">
      <w:pPr>
        <w:spacing w:line="480" w:lineRule="auto"/>
        <w:rPr>
          <w:szCs w:val="26"/>
        </w:rPr>
      </w:pPr>
      <w:r w:rsidRPr="00220C2A">
        <w:rPr>
          <w:i/>
          <w:szCs w:val="26"/>
        </w:rPr>
        <w:t xml:space="preserve">Comments:  </w:t>
      </w:r>
      <w:r w:rsidRPr="00220C2A">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r w:rsidRPr="00220C2A">
        <w:rPr>
          <w:szCs w:val="26"/>
        </w:rPr>
        <w:lastRenderedPageBreak/>
        <w:t xml:space="preserve">collection of information on those who are to respond, including the use of automated collection techniques or other forms of information technology.  </w:t>
      </w:r>
    </w:p>
    <w:p w:rsidRPr="00220C2A" w:rsidR="00964A22" w:rsidP="007E4A0C" w:rsidRDefault="00964A22" w14:paraId="3119682A" w14:textId="333EA518">
      <w:pPr>
        <w:tabs>
          <w:tab w:val="left" w:pos="5040"/>
        </w:tabs>
      </w:pPr>
    </w:p>
    <w:p w:rsidRPr="00220C2A" w:rsidR="007E4A0C" w:rsidP="00964A22" w:rsidRDefault="007E4A0C" w14:paraId="0550650F" w14:textId="435A2986">
      <w:pPr>
        <w:rPr>
          <w:szCs w:val="26"/>
        </w:rPr>
      </w:pPr>
    </w:p>
    <w:p w:rsidRPr="00220C2A" w:rsidR="007E4A0C" w:rsidP="00964A22" w:rsidRDefault="007E4A0C" w14:paraId="74F7D2B1" w14:textId="2A9EB2D7">
      <w:pPr>
        <w:rPr>
          <w:szCs w:val="26"/>
        </w:rPr>
      </w:pPr>
    </w:p>
    <w:p w:rsidRPr="00220C2A" w:rsidR="007E4A0C" w:rsidP="00964A22" w:rsidRDefault="007E4A0C" w14:paraId="253FAA1D" w14:textId="08CC7851">
      <w:pPr>
        <w:rPr>
          <w:szCs w:val="26"/>
        </w:rPr>
      </w:pPr>
    </w:p>
    <w:p w:rsidRPr="00220C2A" w:rsidR="007E4A0C" w:rsidP="007E4A0C" w:rsidRDefault="007E4A0C" w14:paraId="27305E1F" w14:textId="0F2BF2DC">
      <w:pPr>
        <w:ind w:firstLine="2174"/>
        <w:jc w:val="center"/>
      </w:pPr>
      <w:r w:rsidRPr="00220C2A">
        <w:t xml:space="preserve">       Kimberly D. Bose,</w:t>
      </w:r>
    </w:p>
    <w:p w:rsidRPr="00220C2A" w:rsidR="007E4A0C" w:rsidP="007E4A0C" w:rsidRDefault="007E4A0C" w14:paraId="59846A34" w14:textId="37876607">
      <w:pPr>
        <w:tabs>
          <w:tab w:val="left" w:pos="5040"/>
        </w:tabs>
        <w:ind w:firstLine="2174"/>
        <w:jc w:val="center"/>
      </w:pPr>
      <w:r w:rsidRPr="00220C2A">
        <w:t xml:space="preserve">       Secretary.</w:t>
      </w:r>
    </w:p>
    <w:p w:rsidRPr="00220C2A" w:rsidR="007E4A0C" w:rsidP="00964A22" w:rsidRDefault="007E4A0C" w14:paraId="026A4EDA" w14:textId="77777777">
      <w:pPr>
        <w:rPr>
          <w:szCs w:val="26"/>
        </w:rPr>
      </w:pPr>
    </w:p>
    <w:sectPr w:rsidRPr="00220C2A" w:rsidR="007E4A0C" w:rsidSect="00DF4B6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BA222" w14:textId="77777777" w:rsidR="0010737B" w:rsidRDefault="0010737B" w:rsidP="003B29FB">
      <w:r>
        <w:separator/>
      </w:r>
    </w:p>
  </w:endnote>
  <w:endnote w:type="continuationSeparator" w:id="0">
    <w:p w14:paraId="75EA35F3" w14:textId="77777777" w:rsidR="0010737B" w:rsidRDefault="0010737B" w:rsidP="003B29FB">
      <w:r>
        <w:continuationSeparator/>
      </w:r>
    </w:p>
  </w:endnote>
  <w:endnote w:type="continuationNotice" w:id="1">
    <w:p w14:paraId="5B6318F6" w14:textId="77777777" w:rsidR="0010737B" w:rsidRDefault="00107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2D7CB" w14:textId="77777777" w:rsidR="00792914" w:rsidRDefault="00792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BDA63" w14:textId="77777777" w:rsidR="00792914" w:rsidRDefault="007929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3D458" w14:textId="77777777" w:rsidR="00792914" w:rsidRDefault="00792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CF87D" w14:textId="77777777" w:rsidR="0010737B" w:rsidRDefault="0010737B" w:rsidP="003B29FB">
      <w:r>
        <w:separator/>
      </w:r>
    </w:p>
  </w:footnote>
  <w:footnote w:type="continuationSeparator" w:id="0">
    <w:p w14:paraId="7B0A1E84" w14:textId="77777777" w:rsidR="0010737B" w:rsidRDefault="0010737B" w:rsidP="003B29FB">
      <w:r>
        <w:continuationSeparator/>
      </w:r>
    </w:p>
  </w:footnote>
  <w:footnote w:type="continuationNotice" w:id="1">
    <w:p w14:paraId="48334CBE" w14:textId="77777777" w:rsidR="0010737B" w:rsidRDefault="0010737B"/>
  </w:footnote>
  <w:footnote w:id="2">
    <w:p w14:paraId="157D47EF" w14:textId="77777777" w:rsidR="00AE5EA4" w:rsidRPr="00220C2A" w:rsidRDefault="00AE5EA4" w:rsidP="00AE5EA4">
      <w:pPr>
        <w:pStyle w:val="FootnoteText"/>
        <w:rPr>
          <w:rFonts w:eastAsiaTheme="minorHAnsi"/>
          <w:sz w:val="26"/>
          <w:szCs w:val="26"/>
        </w:rPr>
      </w:pPr>
      <w:r w:rsidRPr="00220C2A">
        <w:rPr>
          <w:rStyle w:val="FootnoteReference"/>
        </w:rPr>
        <w:footnoteRef/>
      </w:r>
      <w:r w:rsidRPr="00220C2A">
        <w:rPr>
          <w:sz w:val="26"/>
          <w:szCs w:val="26"/>
        </w:rPr>
        <w:t xml:space="preserve"> 18 CFR, Sections 381.105, 381.106, 381.108, 381.302, and 381.305</w:t>
      </w:r>
    </w:p>
  </w:footnote>
  <w:footnote w:id="3">
    <w:p w14:paraId="023D682E" w14:textId="77777777" w:rsidR="00AE5EA4" w:rsidRPr="00220C2A" w:rsidRDefault="00AE5EA4" w:rsidP="00AE5EA4">
      <w:pPr>
        <w:pStyle w:val="FootnoteText"/>
        <w:rPr>
          <w:sz w:val="26"/>
          <w:szCs w:val="26"/>
        </w:rPr>
      </w:pPr>
      <w:r w:rsidRPr="00220C2A">
        <w:rPr>
          <w:rStyle w:val="FootnoteReference"/>
        </w:rPr>
        <w:footnoteRef/>
      </w:r>
      <w:r w:rsidRPr="00220C2A">
        <w:rPr>
          <w:sz w:val="26"/>
          <w:szCs w:val="26"/>
        </w:rPr>
        <w:t xml:space="preserve"> 18 CFR, Sections 382.102, 382.103, 382.105, 382.106, and 382.201</w:t>
      </w:r>
    </w:p>
  </w:footnote>
  <w:footnote w:id="4">
    <w:p w14:paraId="08D263B6" w14:textId="77777777" w:rsidR="00AE5EA4" w:rsidRPr="00220C2A" w:rsidRDefault="00AE5EA4" w:rsidP="00AE5EA4">
      <w:pPr>
        <w:pStyle w:val="FootnoteText"/>
        <w:rPr>
          <w:sz w:val="26"/>
          <w:szCs w:val="26"/>
        </w:rPr>
      </w:pPr>
      <w:r w:rsidRPr="00220C2A">
        <w:rPr>
          <w:rStyle w:val="FootnoteReference"/>
        </w:rPr>
        <w:footnoteRef/>
      </w:r>
      <w:r w:rsidRPr="00220C2A">
        <w:rPr>
          <w:sz w:val="26"/>
          <w:szCs w:val="26"/>
        </w:rPr>
        <w:t xml:space="preserve"> 31 USC 9701</w:t>
      </w:r>
    </w:p>
  </w:footnote>
  <w:footnote w:id="5">
    <w:p w14:paraId="0A47FD09" w14:textId="77777777" w:rsidR="00AE5EA4" w:rsidRPr="00220C2A" w:rsidRDefault="00AE5EA4" w:rsidP="00AE5EA4">
      <w:pPr>
        <w:pStyle w:val="FootnoteText"/>
        <w:rPr>
          <w:sz w:val="26"/>
          <w:szCs w:val="26"/>
        </w:rPr>
      </w:pPr>
      <w:r w:rsidRPr="00220C2A">
        <w:rPr>
          <w:rStyle w:val="FootnoteReference"/>
        </w:rPr>
        <w:footnoteRef/>
      </w:r>
      <w:r w:rsidRPr="00220C2A">
        <w:rPr>
          <w:sz w:val="26"/>
          <w:szCs w:val="26"/>
        </w:rPr>
        <w:t xml:space="preserve"> 42 USC 7178</w:t>
      </w:r>
    </w:p>
  </w:footnote>
  <w:footnote w:id="6">
    <w:p w14:paraId="06C30A6C" w14:textId="77777777" w:rsidR="00AE5EA4" w:rsidRPr="00220C2A" w:rsidRDefault="00AE5EA4" w:rsidP="00AE5EA4">
      <w:pPr>
        <w:pStyle w:val="FootnoteText"/>
        <w:rPr>
          <w:sz w:val="26"/>
          <w:szCs w:val="26"/>
        </w:rPr>
      </w:pPr>
      <w:r w:rsidRPr="00220C2A">
        <w:rPr>
          <w:rStyle w:val="FootnoteReference"/>
        </w:rPr>
        <w:footnoteRef/>
      </w:r>
      <w:r w:rsidRPr="00220C2A">
        <w:t xml:space="preserve"> </w:t>
      </w:r>
      <w:r w:rsidRPr="00220C2A">
        <w:rPr>
          <w:sz w:val="26"/>
          <w:szCs w:val="26"/>
        </w:rPr>
        <w:t>OMB Control No. 1902-0021, described in 18 CFR 141.1</w:t>
      </w:r>
    </w:p>
  </w:footnote>
  <w:footnote w:id="7">
    <w:p w14:paraId="03737263" w14:textId="77777777" w:rsidR="00AE5EA4" w:rsidRPr="00220C2A" w:rsidRDefault="00AE5EA4" w:rsidP="00AE5EA4">
      <w:pPr>
        <w:pStyle w:val="FootnoteText"/>
        <w:rPr>
          <w:sz w:val="26"/>
          <w:szCs w:val="26"/>
        </w:rPr>
      </w:pPr>
      <w:r w:rsidRPr="00220C2A">
        <w:rPr>
          <w:rStyle w:val="FootnoteReference"/>
        </w:rPr>
        <w:footnoteRef/>
      </w:r>
      <w:r w:rsidRPr="00220C2A">
        <w:rPr>
          <w:sz w:val="26"/>
          <w:szCs w:val="26"/>
        </w:rPr>
        <w:t xml:space="preserve"> 18 CFR 382.201</w:t>
      </w:r>
    </w:p>
  </w:footnote>
  <w:footnote w:id="8">
    <w:p w14:paraId="7EF7DF6C" w14:textId="77777777" w:rsidR="00AE5EA4" w:rsidRPr="00220C2A" w:rsidRDefault="00AE5EA4" w:rsidP="00AE5EA4">
      <w:pPr>
        <w:pStyle w:val="FootnoteText"/>
        <w:rPr>
          <w:sz w:val="26"/>
          <w:szCs w:val="26"/>
        </w:rPr>
      </w:pPr>
      <w:r w:rsidRPr="00220C2A">
        <w:rPr>
          <w:rStyle w:val="FootnoteReference"/>
        </w:rPr>
        <w:footnoteRef/>
      </w:r>
      <w:r w:rsidRPr="00220C2A">
        <w:rPr>
          <w:sz w:val="26"/>
          <w:szCs w:val="26"/>
        </w:rPr>
        <w:t xml:space="preserve"> 18 CFR Parts 381 and 382</w:t>
      </w:r>
    </w:p>
  </w:footnote>
  <w:footnote w:id="9">
    <w:p w14:paraId="0A8DB68E" w14:textId="367A5CB4" w:rsidR="0003123A" w:rsidRPr="00220C2A" w:rsidRDefault="0003123A">
      <w:pPr>
        <w:pStyle w:val="FootnoteText"/>
      </w:pPr>
      <w:r w:rsidRPr="00220C2A">
        <w:rPr>
          <w:rStyle w:val="FootnoteReference"/>
        </w:rPr>
        <w:footnoteRef/>
      </w:r>
      <w:r w:rsidRPr="00220C2A">
        <w:t xml:space="preserve"> </w:t>
      </w:r>
      <w:r w:rsidR="00CB6518">
        <w:rPr>
          <w:sz w:val="26"/>
          <w:szCs w:val="26"/>
        </w:rPr>
        <w:t>86 FR 20133</w:t>
      </w:r>
    </w:p>
  </w:footnote>
  <w:footnote w:id="10">
    <w:p w14:paraId="06432E46" w14:textId="77777777" w:rsidR="00AE5EA4" w:rsidRPr="00220C2A" w:rsidRDefault="00AE5EA4" w:rsidP="00AE5EA4">
      <w:pPr>
        <w:pStyle w:val="FootnoteText"/>
        <w:rPr>
          <w:sz w:val="26"/>
          <w:szCs w:val="26"/>
        </w:rPr>
      </w:pPr>
      <w:r w:rsidRPr="00220C2A">
        <w:rPr>
          <w:rStyle w:val="FootnoteReference"/>
        </w:rPr>
        <w:footnoteRef/>
      </w:r>
      <w:r w:rsidRPr="00220C2A">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CFR Part 1320.</w:t>
      </w:r>
    </w:p>
  </w:footnote>
  <w:footnote w:id="11">
    <w:p w14:paraId="5A52DF90" w14:textId="77777777" w:rsidR="00AE5EA4" w:rsidRPr="00220C2A" w:rsidRDefault="00AE5EA4" w:rsidP="00AE5EA4">
      <w:pPr>
        <w:pStyle w:val="FootnoteText"/>
        <w:rPr>
          <w:rFonts w:asciiTheme="minorHAnsi" w:hAnsiTheme="minorHAnsi" w:cstheme="minorBidi"/>
          <w:sz w:val="20"/>
        </w:rPr>
      </w:pPr>
      <w:r w:rsidRPr="00220C2A">
        <w:rPr>
          <w:rStyle w:val="FootnoteReference"/>
        </w:rPr>
        <w:footnoteRef/>
      </w:r>
      <w:r w:rsidRPr="00220C2A">
        <w:t xml:space="preserve"> </w:t>
      </w:r>
      <w:r w:rsidRPr="00220C2A">
        <w:rPr>
          <w:sz w:val="26"/>
          <w:szCs w:val="26"/>
        </w:rPr>
        <w:t>The Commission staff estimates that the average respondent for this collection is similarly situated to the Commission, in terms of salary plus benefits.  Based on FERC’s 2020 annual average of $172,329 (for salary plus benefits), the average hourly cost is $83/hour.</w:t>
      </w:r>
    </w:p>
  </w:footnote>
  <w:footnote w:id="12">
    <w:p w14:paraId="385770A1" w14:textId="77777777" w:rsidR="00AE5EA4" w:rsidRDefault="00AE5EA4" w:rsidP="00AE5EA4">
      <w:pPr>
        <w:pStyle w:val="FootnoteText"/>
      </w:pPr>
      <w:r w:rsidRPr="00220C2A">
        <w:rPr>
          <w:rStyle w:val="FootnoteReference"/>
        </w:rPr>
        <w:footnoteRef/>
      </w:r>
      <w:r w:rsidRPr="00220C2A">
        <w:t xml:space="preserve"> </w:t>
      </w:r>
      <w:r w:rsidRPr="00220C2A">
        <w:rPr>
          <w:sz w:val="26"/>
          <w:szCs w:val="26"/>
        </w:rPr>
        <w:t>This includes requirements of 18 CFR 381.105 (methods of payment), 381.106 (waiver), 381.108 (exemption), 381.302 (declaratory order), 381.303 (review of DOE remedial order), 381.304 (DOE denial of adjustment), and 381.305 (OGC interpretation).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0F566" w14:textId="77777777" w:rsidR="00792914" w:rsidRDefault="00792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A1907" w14:textId="2C047834" w:rsidR="006B0822" w:rsidRDefault="00D37B1D" w:rsidP="00AC4A34">
    <w:pPr>
      <w:pStyle w:val="Header"/>
      <w:jc w:val="right"/>
    </w:pPr>
    <w:sdt>
      <w:sdtPr>
        <w:id w:val="-1913149317"/>
        <w:docPartObj>
          <w:docPartGallery w:val="Page Numbers (Top of Page)"/>
          <w:docPartUnique/>
        </w:docPartObj>
      </w:sdtPr>
      <w:sdtEndPr>
        <w:rPr>
          <w:noProof/>
        </w:rPr>
      </w:sdtEndPr>
      <w:sdtContent>
        <w:r w:rsidR="006B0822" w:rsidRPr="004E2FB0">
          <w:t>Docket No</w:t>
        </w:r>
        <w:r w:rsidR="006B0822" w:rsidRPr="007219DE">
          <w:t>. IC2</w:t>
        </w:r>
        <w:r w:rsidR="006B0822" w:rsidRPr="0070024F">
          <w:t>1</w:t>
        </w:r>
        <w:r w:rsidR="006B0822" w:rsidRPr="007219DE">
          <w:t>-</w:t>
        </w:r>
        <w:r w:rsidR="00094B67">
          <w:t>1</w:t>
        </w:r>
        <w:r w:rsidR="00AE5EA4">
          <w:t>6</w:t>
        </w:r>
        <w:r w:rsidR="006B0822" w:rsidRPr="007219DE">
          <w:t>-000</w:t>
        </w:r>
        <w:r w:rsidR="006B0822">
          <w:tab/>
        </w:r>
        <w:r w:rsidR="00B43B87">
          <w:tab/>
        </w:r>
        <w:r w:rsidR="006B0822">
          <w:fldChar w:fldCharType="begin"/>
        </w:r>
        <w:r w:rsidR="006B0822">
          <w:instrText xml:space="preserve"> PAGE   \* MERGEFORMAT </w:instrText>
        </w:r>
        <w:r w:rsidR="006B0822">
          <w:fldChar w:fldCharType="separate"/>
        </w:r>
        <w:r w:rsidR="006B0822">
          <w:rPr>
            <w:noProof/>
          </w:rPr>
          <w:t>2</w:t>
        </w:r>
        <w:r w:rsidR="006B0822">
          <w:rPr>
            <w:noProof/>
          </w:rPr>
          <w:fldChar w:fldCharType="end"/>
        </w:r>
      </w:sdtContent>
    </w:sdt>
  </w:p>
  <w:p w14:paraId="3ADA0C13" w14:textId="0333F351" w:rsidR="006B0822" w:rsidRDefault="006B0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4EB8A" w14:textId="4097AE4A" w:rsidR="006B0822" w:rsidRDefault="006B0822">
    <w:pPr>
      <w:pStyle w:val="Header"/>
    </w:pPr>
    <w:r>
      <w:rPr>
        <w:noProof/>
      </w:rPr>
      <mc:AlternateContent>
        <mc:Choice Requires="wps">
          <w:drawing>
            <wp:anchor distT="0" distB="0" distL="114300" distR="114300" simplePos="0" relativeHeight="251658242" behindDoc="0" locked="0" layoutInCell="0" allowOverlap="1" wp14:anchorId="1606363C" wp14:editId="0711398A">
              <wp:simplePos x="0" y="0"/>
              <wp:positionH relativeFrom="page">
                <wp:posOffset>0</wp:posOffset>
              </wp:positionH>
              <wp:positionV relativeFrom="page">
                <wp:posOffset>190500</wp:posOffset>
              </wp:positionV>
              <wp:extent cx="7772400" cy="266700"/>
              <wp:effectExtent l="0" t="0" r="0" b="0"/>
              <wp:wrapNone/>
              <wp:docPr id="3" name="MSIPCM1f4e45378febd951af600c74"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BC5F2F" w14:textId="5C8A1F28" w:rsidR="006B0822" w:rsidRPr="007C30A0" w:rsidRDefault="006B0822" w:rsidP="007C30A0">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606363C" id="_x0000_t202" coordsize="21600,21600" o:spt="202" path="m,l,21600r21600,l21600,xe">
              <v:stroke joinstyle="miter"/>
              <v:path gradientshapeok="t" o:connecttype="rect"/>
            </v:shapetype>
            <v:shape id="MSIPCM1f4e45378febd951af600c74" o:spid="_x0000_s1026" type="#_x0000_t202" alt="{&quot;HashCode&quot;:-175139966,&quot;Height&quot;:792.0,&quot;Width&quot;:612.0,&quot;Placement&quot;:&quot;Header&quot;,&quot;Index&quot;:&quot;FirstPage&quot;,&quot;Section&quot;:1,&quot;Top&quot;:0.0,&quot;Left&quot;:0.0}" style="position:absolute;margin-left:0;margin-top:15pt;width:612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h+rAIAAEgFAAAOAAAAZHJzL2Uyb0RvYy54bWysVE1v2zAMvQ/YfxB02GmL7XzYTVanyFJ0&#10;K5C2AdKhZ0WWYgO2pEpK7W7Yfx8ly2nR7TTsIlMk/Ug+kjq/6JoaPTFtKilynIxijJigsqjEIcff&#10;768+nWFkLBEFqaVgOX5mBl8s3787b9WCjWUp64JpBCDCLFqV49JatYgiQ0vWEDOSigkwcqkbYuGq&#10;D1GhSQvoTR2N4ziNWqkLpSVlxoD2sjfipcfnnFF7x7lhFtU5htysP7U/9+6MludkcdBElRUNaZB/&#10;yKIhlYCgJ6hLYgk66uoPqKaiWhrJ7YjKJpKcV5T5GqCaJH5Tza4kivlagByjTjSZ/wdLb5+2GlVF&#10;jicYCdJAi25219v1TcKnbDqbZGec7Yv5LCE8jWOaTTEqmKHA4M8Pj0dpP38jplzLgvW3xackmyWT&#10;+TxNPwY7qw6lDdZsPh7FwfBQFbYM+jR50W9rQlnDxPDPAENgUHo5AFyLgnUBoP9cVdrYLTmEZILf&#10;DoYApjN4JkF7L1XQxKeUNowPUUH5yw1Hq8wCONopYMl2X2QHQz7oDShdzzuuG/eFbiKww5g9n0aL&#10;dRZRUGZZNp7GYKJgG6dpBjLARy9/K8j9K5MNckKONWTtJ4o8bYztXQcXF0zIq6qu/fjWArU5Tiez&#10;2P9wsgB4LSCGq6HP1Um223ehsL0snqEuLfu1MIp6BjfEsahhDyBf2G17BwevJQSRQcKolPrH3/TO&#10;H8YTrBi1sFc5No9HohlG9bWAwZ0n06lbRH8BQb/W7getODZrCSubwOuhqBedr60HkWvZPMDqr1w0&#10;MBFBIWaO7SCuLdzAAE8HZauVl2HlFLEbsVPUQTsaHaX33QPRKvBuoWO3ctg8snhDf+/bN2B1tJJX&#10;vjeO2J7NwDesq+9ueFrce/D67r1eHsDlbwAAAP//AwBQSwMEFAAGAAgAAAAhAGg7lXbbAAAABwEA&#10;AA8AAABkcnMvZG93bnJldi54bWxMj8FOwzAMhu9IvENkJG4soSDKuqYTAu2ChETHLtyyxrQViVM1&#10;WVveHu8EJ9v6rc+fy+3inZhwjH0gDbcrBQKpCbanVsPhY3fzCCImQ9a4QKjhByNsq8uL0hQ2zFTj&#10;tE+tYAjFwmjoUhoKKWPToTdxFQYkzr7C6E3icWylHc3McO9kptSD9KYnvtCZAZ87bL73J8+U9cvr&#10;kt7y9xBdvZsn/3nI60Hr66vlaQMi4ZL+luGsz+pQsdMxnMhG4TTwI0nDneJ6TrPsnrujhjxTIKtS&#10;/vevfgEAAP//AwBQSwECLQAUAAYACAAAACEAtoM4kv4AAADhAQAAEwAAAAAAAAAAAAAAAAAAAAAA&#10;W0NvbnRlbnRfVHlwZXNdLnhtbFBLAQItABQABgAIAAAAIQA4/SH/1gAAAJQBAAALAAAAAAAAAAAA&#10;AAAAAC8BAABfcmVscy8ucmVsc1BLAQItABQABgAIAAAAIQCPqyh+rAIAAEgFAAAOAAAAAAAAAAAA&#10;AAAAAC4CAABkcnMvZTJvRG9jLnhtbFBLAQItABQABgAIAAAAIQBoO5V22wAAAAcBAAAPAAAAAAAA&#10;AAAAAAAAAAYFAABkcnMvZG93bnJldi54bWxQSwUGAAAAAAQABADzAAAADgYAAAAA&#10;" o:allowincell="f" filled="f" stroked="f" strokeweight=".5pt">
              <v:textbox inset=",0,,0">
                <w:txbxContent>
                  <w:p w14:paraId="53BC5F2F" w14:textId="5C8A1F28" w:rsidR="006B0822" w:rsidRPr="007C30A0" w:rsidRDefault="006B0822" w:rsidP="007C30A0">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F0CC7"/>
    <w:multiLevelType w:val="hybridMultilevel"/>
    <w:tmpl w:val="DBB40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5223B"/>
    <w:multiLevelType w:val="hybridMultilevel"/>
    <w:tmpl w:val="DBA2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4D875D6"/>
    <w:multiLevelType w:val="hybridMultilevel"/>
    <w:tmpl w:val="DC6CBC4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2D22A2"/>
    <w:multiLevelType w:val="hybridMultilevel"/>
    <w:tmpl w:val="ABE03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2"/>
  </w:num>
  <w:num w:numId="4">
    <w:abstractNumId w:val="5"/>
  </w:num>
  <w:num w:numId="5">
    <w:abstractNumId w:val="1"/>
  </w:num>
  <w:num w:numId="6">
    <w:abstractNumId w:val="2"/>
  </w:num>
  <w:num w:numId="7">
    <w:abstractNumId w:val="6"/>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63"/>
    <w:rsid w:val="0000266D"/>
    <w:rsid w:val="00011FB5"/>
    <w:rsid w:val="0001496D"/>
    <w:rsid w:val="0002119A"/>
    <w:rsid w:val="00022DBB"/>
    <w:rsid w:val="00024F24"/>
    <w:rsid w:val="00025C53"/>
    <w:rsid w:val="000308EF"/>
    <w:rsid w:val="0003123A"/>
    <w:rsid w:val="000315F5"/>
    <w:rsid w:val="000518A2"/>
    <w:rsid w:val="00053244"/>
    <w:rsid w:val="0005491F"/>
    <w:rsid w:val="00062FD5"/>
    <w:rsid w:val="0007116A"/>
    <w:rsid w:val="00081CB8"/>
    <w:rsid w:val="0008609F"/>
    <w:rsid w:val="00094B67"/>
    <w:rsid w:val="00096854"/>
    <w:rsid w:val="000A418D"/>
    <w:rsid w:val="000A551A"/>
    <w:rsid w:val="000F272E"/>
    <w:rsid w:val="0010737B"/>
    <w:rsid w:val="001129AA"/>
    <w:rsid w:val="00112E57"/>
    <w:rsid w:val="00127448"/>
    <w:rsid w:val="001311B7"/>
    <w:rsid w:val="00131DEA"/>
    <w:rsid w:val="00146881"/>
    <w:rsid w:val="001475D4"/>
    <w:rsid w:val="00167A86"/>
    <w:rsid w:val="00173CA3"/>
    <w:rsid w:val="001777DC"/>
    <w:rsid w:val="00186C2C"/>
    <w:rsid w:val="001A1468"/>
    <w:rsid w:val="001A3128"/>
    <w:rsid w:val="001B1C97"/>
    <w:rsid w:val="001B207F"/>
    <w:rsid w:val="001E07F4"/>
    <w:rsid w:val="001E396E"/>
    <w:rsid w:val="001E4E42"/>
    <w:rsid w:val="001F7713"/>
    <w:rsid w:val="00220C2A"/>
    <w:rsid w:val="00231A26"/>
    <w:rsid w:val="00241573"/>
    <w:rsid w:val="00257D36"/>
    <w:rsid w:val="00264E27"/>
    <w:rsid w:val="002701BA"/>
    <w:rsid w:val="002823BF"/>
    <w:rsid w:val="002836AC"/>
    <w:rsid w:val="0029053F"/>
    <w:rsid w:val="002A5F18"/>
    <w:rsid w:val="002C393B"/>
    <w:rsid w:val="002E1429"/>
    <w:rsid w:val="002F0A84"/>
    <w:rsid w:val="002F3236"/>
    <w:rsid w:val="002F7661"/>
    <w:rsid w:val="00312CEF"/>
    <w:rsid w:val="003268EE"/>
    <w:rsid w:val="00351412"/>
    <w:rsid w:val="003566B1"/>
    <w:rsid w:val="00364232"/>
    <w:rsid w:val="0036496C"/>
    <w:rsid w:val="00366789"/>
    <w:rsid w:val="003812E3"/>
    <w:rsid w:val="00395DD9"/>
    <w:rsid w:val="003A79FD"/>
    <w:rsid w:val="003B29FB"/>
    <w:rsid w:val="003B4C2B"/>
    <w:rsid w:val="003B555A"/>
    <w:rsid w:val="003B7027"/>
    <w:rsid w:val="003C127D"/>
    <w:rsid w:val="003C4E85"/>
    <w:rsid w:val="003D2070"/>
    <w:rsid w:val="003E7379"/>
    <w:rsid w:val="004076EC"/>
    <w:rsid w:val="004204D7"/>
    <w:rsid w:val="0042066C"/>
    <w:rsid w:val="00423226"/>
    <w:rsid w:val="004254F2"/>
    <w:rsid w:val="004313D5"/>
    <w:rsid w:val="00442967"/>
    <w:rsid w:val="00465EEC"/>
    <w:rsid w:val="00472314"/>
    <w:rsid w:val="00473FFF"/>
    <w:rsid w:val="00484DEB"/>
    <w:rsid w:val="004B2BA4"/>
    <w:rsid w:val="004D17F8"/>
    <w:rsid w:val="004E2FB0"/>
    <w:rsid w:val="004E3713"/>
    <w:rsid w:val="004F33CA"/>
    <w:rsid w:val="00503DBF"/>
    <w:rsid w:val="005068D1"/>
    <w:rsid w:val="00511DC3"/>
    <w:rsid w:val="005441EB"/>
    <w:rsid w:val="00550E9B"/>
    <w:rsid w:val="00570C05"/>
    <w:rsid w:val="005745B3"/>
    <w:rsid w:val="005759BD"/>
    <w:rsid w:val="00581755"/>
    <w:rsid w:val="00587D18"/>
    <w:rsid w:val="005922F1"/>
    <w:rsid w:val="00593F21"/>
    <w:rsid w:val="00597DAA"/>
    <w:rsid w:val="005B22D0"/>
    <w:rsid w:val="005B2A79"/>
    <w:rsid w:val="005D236C"/>
    <w:rsid w:val="006002E6"/>
    <w:rsid w:val="00621371"/>
    <w:rsid w:val="0063152F"/>
    <w:rsid w:val="00661FC3"/>
    <w:rsid w:val="00665AB3"/>
    <w:rsid w:val="00670FAF"/>
    <w:rsid w:val="00687C68"/>
    <w:rsid w:val="006948AC"/>
    <w:rsid w:val="006A692D"/>
    <w:rsid w:val="006B0822"/>
    <w:rsid w:val="006B1354"/>
    <w:rsid w:val="006B4F0D"/>
    <w:rsid w:val="006C7623"/>
    <w:rsid w:val="006D6D65"/>
    <w:rsid w:val="006F04B8"/>
    <w:rsid w:val="006F2190"/>
    <w:rsid w:val="0070024F"/>
    <w:rsid w:val="00706C45"/>
    <w:rsid w:val="00717629"/>
    <w:rsid w:val="007219DE"/>
    <w:rsid w:val="0075719D"/>
    <w:rsid w:val="00780EED"/>
    <w:rsid w:val="0079002F"/>
    <w:rsid w:val="00791623"/>
    <w:rsid w:val="00792914"/>
    <w:rsid w:val="00794663"/>
    <w:rsid w:val="007A2535"/>
    <w:rsid w:val="007A30F7"/>
    <w:rsid w:val="007A3197"/>
    <w:rsid w:val="007A6A95"/>
    <w:rsid w:val="007B1E5F"/>
    <w:rsid w:val="007B2872"/>
    <w:rsid w:val="007C30A0"/>
    <w:rsid w:val="007D571F"/>
    <w:rsid w:val="007E05B2"/>
    <w:rsid w:val="007E4A0C"/>
    <w:rsid w:val="007F0A13"/>
    <w:rsid w:val="008012F5"/>
    <w:rsid w:val="00806A01"/>
    <w:rsid w:val="008109BD"/>
    <w:rsid w:val="00811B15"/>
    <w:rsid w:val="0081790E"/>
    <w:rsid w:val="0082249B"/>
    <w:rsid w:val="00833713"/>
    <w:rsid w:val="0084620B"/>
    <w:rsid w:val="008478D2"/>
    <w:rsid w:val="00852B15"/>
    <w:rsid w:val="008614F2"/>
    <w:rsid w:val="008716FA"/>
    <w:rsid w:val="00871AC1"/>
    <w:rsid w:val="00883FF9"/>
    <w:rsid w:val="00893AF9"/>
    <w:rsid w:val="00896FD7"/>
    <w:rsid w:val="008A46AD"/>
    <w:rsid w:val="008B2142"/>
    <w:rsid w:val="008C4FC4"/>
    <w:rsid w:val="008C7F23"/>
    <w:rsid w:val="008D20FF"/>
    <w:rsid w:val="008E27D9"/>
    <w:rsid w:val="008F7687"/>
    <w:rsid w:val="008F785F"/>
    <w:rsid w:val="009051DC"/>
    <w:rsid w:val="00910883"/>
    <w:rsid w:val="00912B86"/>
    <w:rsid w:val="009130A7"/>
    <w:rsid w:val="00917388"/>
    <w:rsid w:val="00920039"/>
    <w:rsid w:val="009215AF"/>
    <w:rsid w:val="00932FB7"/>
    <w:rsid w:val="00934564"/>
    <w:rsid w:val="0095777B"/>
    <w:rsid w:val="009646A0"/>
    <w:rsid w:val="00964A22"/>
    <w:rsid w:val="00984421"/>
    <w:rsid w:val="00987B8C"/>
    <w:rsid w:val="00995791"/>
    <w:rsid w:val="009A399C"/>
    <w:rsid w:val="009E59D7"/>
    <w:rsid w:val="00A1596F"/>
    <w:rsid w:val="00A20C57"/>
    <w:rsid w:val="00A23541"/>
    <w:rsid w:val="00A246E7"/>
    <w:rsid w:val="00A3264B"/>
    <w:rsid w:val="00A34F73"/>
    <w:rsid w:val="00A41B88"/>
    <w:rsid w:val="00A54C23"/>
    <w:rsid w:val="00A60763"/>
    <w:rsid w:val="00A759FA"/>
    <w:rsid w:val="00A75ADA"/>
    <w:rsid w:val="00AA34A3"/>
    <w:rsid w:val="00AB3C7B"/>
    <w:rsid w:val="00AB48DA"/>
    <w:rsid w:val="00AC4A34"/>
    <w:rsid w:val="00AC7981"/>
    <w:rsid w:val="00AD1402"/>
    <w:rsid w:val="00AE2DEF"/>
    <w:rsid w:val="00AE5EA4"/>
    <w:rsid w:val="00AF6A50"/>
    <w:rsid w:val="00B05BBA"/>
    <w:rsid w:val="00B1030F"/>
    <w:rsid w:val="00B22C21"/>
    <w:rsid w:val="00B33F20"/>
    <w:rsid w:val="00B35B79"/>
    <w:rsid w:val="00B3782D"/>
    <w:rsid w:val="00B43B87"/>
    <w:rsid w:val="00B46664"/>
    <w:rsid w:val="00B50690"/>
    <w:rsid w:val="00B5113D"/>
    <w:rsid w:val="00B57E5D"/>
    <w:rsid w:val="00B83038"/>
    <w:rsid w:val="00B844CF"/>
    <w:rsid w:val="00B922FD"/>
    <w:rsid w:val="00B94DBD"/>
    <w:rsid w:val="00B96868"/>
    <w:rsid w:val="00BA699D"/>
    <w:rsid w:val="00BC3454"/>
    <w:rsid w:val="00BD393B"/>
    <w:rsid w:val="00BD7C61"/>
    <w:rsid w:val="00BE0529"/>
    <w:rsid w:val="00BF5F40"/>
    <w:rsid w:val="00C0632C"/>
    <w:rsid w:val="00C46738"/>
    <w:rsid w:val="00C57D75"/>
    <w:rsid w:val="00C66D59"/>
    <w:rsid w:val="00C72703"/>
    <w:rsid w:val="00C74F4E"/>
    <w:rsid w:val="00C85B0C"/>
    <w:rsid w:val="00CB16FE"/>
    <w:rsid w:val="00CB3A27"/>
    <w:rsid w:val="00CB6518"/>
    <w:rsid w:val="00CC0DAA"/>
    <w:rsid w:val="00CC18E2"/>
    <w:rsid w:val="00CC40C3"/>
    <w:rsid w:val="00CE1512"/>
    <w:rsid w:val="00CE1C7F"/>
    <w:rsid w:val="00CF4C54"/>
    <w:rsid w:val="00D23082"/>
    <w:rsid w:val="00D31647"/>
    <w:rsid w:val="00D35412"/>
    <w:rsid w:val="00D37B1D"/>
    <w:rsid w:val="00D64F44"/>
    <w:rsid w:val="00D651FD"/>
    <w:rsid w:val="00D70C5C"/>
    <w:rsid w:val="00D7698C"/>
    <w:rsid w:val="00DB7316"/>
    <w:rsid w:val="00DC10E6"/>
    <w:rsid w:val="00DD77B4"/>
    <w:rsid w:val="00DE3AC5"/>
    <w:rsid w:val="00DE6E94"/>
    <w:rsid w:val="00DF4B69"/>
    <w:rsid w:val="00E031BF"/>
    <w:rsid w:val="00E237C2"/>
    <w:rsid w:val="00E26855"/>
    <w:rsid w:val="00E26ABB"/>
    <w:rsid w:val="00E4588B"/>
    <w:rsid w:val="00E4694F"/>
    <w:rsid w:val="00E535B8"/>
    <w:rsid w:val="00E5742E"/>
    <w:rsid w:val="00E57AB0"/>
    <w:rsid w:val="00E66F2E"/>
    <w:rsid w:val="00E70324"/>
    <w:rsid w:val="00E72628"/>
    <w:rsid w:val="00E7333B"/>
    <w:rsid w:val="00E77220"/>
    <w:rsid w:val="00EB4046"/>
    <w:rsid w:val="00EB499B"/>
    <w:rsid w:val="00ED62F2"/>
    <w:rsid w:val="00EE198F"/>
    <w:rsid w:val="00EE49FE"/>
    <w:rsid w:val="00EF2008"/>
    <w:rsid w:val="00F12008"/>
    <w:rsid w:val="00F1351F"/>
    <w:rsid w:val="00F40FE9"/>
    <w:rsid w:val="00F50936"/>
    <w:rsid w:val="00F56397"/>
    <w:rsid w:val="00F64AC9"/>
    <w:rsid w:val="00F66294"/>
    <w:rsid w:val="00F7561E"/>
    <w:rsid w:val="00F80267"/>
    <w:rsid w:val="00F93FA4"/>
    <w:rsid w:val="00F964F3"/>
    <w:rsid w:val="00FA0BD0"/>
    <w:rsid w:val="00FA13EE"/>
    <w:rsid w:val="00FA194B"/>
    <w:rsid w:val="00FA56BC"/>
    <w:rsid w:val="00FB1D8E"/>
    <w:rsid w:val="00FC40B0"/>
    <w:rsid w:val="00FF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B1F316"/>
  <w15:docId w15:val="{C3ACCFEB-867C-4D2A-B01B-573F9D26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66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3713"/>
    <w:rPr>
      <w:color w:val="0000FF"/>
      <w:u w:val="single"/>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3B29FB"/>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ft"/>
    <w:basedOn w:val="Normal"/>
    <w:link w:val="FootnoteTextChar2"/>
    <w:qFormat/>
    <w:rsid w:val="003B29FB"/>
    <w:rPr>
      <w:sz w:val="22"/>
      <w:szCs w:val="20"/>
    </w:rPr>
  </w:style>
  <w:style w:type="character" w:customStyle="1" w:styleId="FootnoteTextChar">
    <w:name w:val="Footnote Text Char"/>
    <w:aliases w:val="Footnote Text Char1 Char Char1,Footnote Text MRP Char,Footnote Text Char1 Char Char Char,Footnote Text Char1 Char1 Char,Footnote Text Char3 Char,fn1 Char"/>
    <w:basedOn w:val="DefaultParagraphFont"/>
    <w:rsid w:val="003B29FB"/>
    <w:rPr>
      <w:rFonts w:ascii="Times New Roman" w:eastAsia="Times New Roman" w:hAnsi="Times New Roman" w:cs="Times New Roman"/>
      <w:sz w:val="20"/>
      <w:szCs w:val="20"/>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link w:val="FootnoteText"/>
    <w:rsid w:val="003B29FB"/>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B2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2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B22D0"/>
    <w:rPr>
      <w:sz w:val="16"/>
      <w:szCs w:val="16"/>
    </w:rPr>
  </w:style>
  <w:style w:type="paragraph" w:styleId="CommentText">
    <w:name w:val="annotation text"/>
    <w:basedOn w:val="Normal"/>
    <w:link w:val="CommentTextChar"/>
    <w:uiPriority w:val="99"/>
    <w:semiHidden/>
    <w:unhideWhenUsed/>
    <w:rsid w:val="005B22D0"/>
    <w:rPr>
      <w:sz w:val="20"/>
      <w:szCs w:val="20"/>
    </w:rPr>
  </w:style>
  <w:style w:type="character" w:customStyle="1" w:styleId="CommentTextChar">
    <w:name w:val="Comment Text Char"/>
    <w:basedOn w:val="DefaultParagraphFont"/>
    <w:link w:val="CommentText"/>
    <w:uiPriority w:val="99"/>
    <w:semiHidden/>
    <w:rsid w:val="005B22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2D0"/>
    <w:rPr>
      <w:b/>
      <w:bCs/>
    </w:rPr>
  </w:style>
  <w:style w:type="character" w:customStyle="1" w:styleId="CommentSubjectChar">
    <w:name w:val="Comment Subject Char"/>
    <w:basedOn w:val="CommentTextChar"/>
    <w:link w:val="CommentSubject"/>
    <w:uiPriority w:val="99"/>
    <w:semiHidden/>
    <w:rsid w:val="005B22D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4B69"/>
    <w:pPr>
      <w:tabs>
        <w:tab w:val="center" w:pos="4680"/>
        <w:tab w:val="right" w:pos="9360"/>
      </w:tabs>
    </w:pPr>
  </w:style>
  <w:style w:type="character" w:customStyle="1" w:styleId="HeaderChar">
    <w:name w:val="Header Char"/>
    <w:basedOn w:val="DefaultParagraphFont"/>
    <w:link w:val="Header"/>
    <w:uiPriority w:val="99"/>
    <w:rsid w:val="00DF4B69"/>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F4B69"/>
    <w:pPr>
      <w:tabs>
        <w:tab w:val="center" w:pos="4680"/>
        <w:tab w:val="right" w:pos="9360"/>
      </w:tabs>
    </w:pPr>
  </w:style>
  <w:style w:type="character" w:customStyle="1" w:styleId="FooterChar">
    <w:name w:val="Footer Char"/>
    <w:basedOn w:val="DefaultParagraphFont"/>
    <w:link w:val="Footer"/>
    <w:uiPriority w:val="99"/>
    <w:rsid w:val="00DF4B6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1777DC"/>
    <w:rPr>
      <w:color w:val="954F72" w:themeColor="followedHyperlink"/>
      <w:u w:val="single"/>
    </w:rPr>
  </w:style>
  <w:style w:type="character" w:styleId="UnresolvedMention">
    <w:name w:val="Unresolved Mention"/>
    <w:basedOn w:val="DefaultParagraphFont"/>
    <w:uiPriority w:val="99"/>
    <w:semiHidden/>
    <w:unhideWhenUsed/>
    <w:rsid w:val="007E05B2"/>
    <w:rPr>
      <w:color w:val="605E5C"/>
      <w:shd w:val="clear" w:color="auto" w:fill="E1DFDD"/>
    </w:rPr>
  </w:style>
  <w:style w:type="paragraph" w:styleId="ListParagraph">
    <w:name w:val="List Paragraph"/>
    <w:basedOn w:val="Normal"/>
    <w:uiPriority w:val="34"/>
    <w:qFormat/>
    <w:rsid w:val="00022DBB"/>
    <w:pPr>
      <w:ind w:left="720"/>
      <w:contextualSpacing/>
    </w:pPr>
  </w:style>
  <w:style w:type="paragraph" w:customStyle="1" w:styleId="Default">
    <w:name w:val="Default"/>
    <w:rsid w:val="007219D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204D7"/>
    <w:pPr>
      <w:spacing w:after="0" w:line="240" w:lineRule="auto"/>
    </w:pPr>
    <w:rPr>
      <w:rFonts w:ascii="Times New Roman" w:eastAsia="Times New Roman" w:hAnsi="Times New Roman" w:cs="Times New Roman"/>
      <w:sz w:val="26"/>
      <w:szCs w:val="24"/>
    </w:rPr>
  </w:style>
  <w:style w:type="table" w:styleId="TableGrid">
    <w:name w:val="Table Grid"/>
    <w:basedOn w:val="TableNormal"/>
    <w:uiPriority w:val="39"/>
    <w:rsid w:val="00AE5E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9">
      <w:bodyDiv w:val="1"/>
      <w:marLeft w:val="0"/>
      <w:marRight w:val="0"/>
      <w:marTop w:val="0"/>
      <w:marBottom w:val="0"/>
      <w:divBdr>
        <w:top w:val="none" w:sz="0" w:space="0" w:color="auto"/>
        <w:left w:val="none" w:sz="0" w:space="0" w:color="auto"/>
        <w:bottom w:val="none" w:sz="0" w:space="0" w:color="auto"/>
        <w:right w:val="none" w:sz="0" w:space="0" w:color="auto"/>
      </w:divBdr>
    </w:div>
    <w:div w:id="51662873">
      <w:bodyDiv w:val="1"/>
      <w:marLeft w:val="0"/>
      <w:marRight w:val="0"/>
      <w:marTop w:val="0"/>
      <w:marBottom w:val="0"/>
      <w:divBdr>
        <w:top w:val="none" w:sz="0" w:space="0" w:color="auto"/>
        <w:left w:val="none" w:sz="0" w:space="0" w:color="auto"/>
        <w:bottom w:val="none" w:sz="0" w:space="0" w:color="auto"/>
        <w:right w:val="none" w:sz="0" w:space="0" w:color="auto"/>
      </w:divBdr>
    </w:div>
    <w:div w:id="181171000">
      <w:bodyDiv w:val="1"/>
      <w:marLeft w:val="0"/>
      <w:marRight w:val="0"/>
      <w:marTop w:val="0"/>
      <w:marBottom w:val="0"/>
      <w:divBdr>
        <w:top w:val="none" w:sz="0" w:space="0" w:color="auto"/>
        <w:left w:val="none" w:sz="0" w:space="0" w:color="auto"/>
        <w:bottom w:val="none" w:sz="0" w:space="0" w:color="auto"/>
        <w:right w:val="none" w:sz="0" w:space="0" w:color="auto"/>
      </w:divBdr>
    </w:div>
    <w:div w:id="860707488">
      <w:bodyDiv w:val="1"/>
      <w:marLeft w:val="0"/>
      <w:marRight w:val="0"/>
      <w:marTop w:val="0"/>
      <w:marBottom w:val="0"/>
      <w:divBdr>
        <w:top w:val="none" w:sz="0" w:space="0" w:color="auto"/>
        <w:left w:val="none" w:sz="0" w:space="0" w:color="auto"/>
        <w:bottom w:val="none" w:sz="0" w:space="0" w:color="auto"/>
        <w:right w:val="none" w:sz="0" w:space="0" w:color="auto"/>
      </w:divBdr>
    </w:div>
    <w:div w:id="936868465">
      <w:bodyDiv w:val="1"/>
      <w:marLeft w:val="0"/>
      <w:marRight w:val="0"/>
      <w:marTop w:val="0"/>
      <w:marBottom w:val="0"/>
      <w:divBdr>
        <w:top w:val="none" w:sz="0" w:space="0" w:color="auto"/>
        <w:left w:val="none" w:sz="0" w:space="0" w:color="auto"/>
        <w:bottom w:val="none" w:sz="0" w:space="0" w:color="auto"/>
        <w:right w:val="none" w:sz="0" w:space="0" w:color="auto"/>
      </w:divBdr>
    </w:div>
    <w:div w:id="1025254605">
      <w:bodyDiv w:val="1"/>
      <w:marLeft w:val="0"/>
      <w:marRight w:val="0"/>
      <w:marTop w:val="0"/>
      <w:marBottom w:val="0"/>
      <w:divBdr>
        <w:top w:val="none" w:sz="0" w:space="0" w:color="auto"/>
        <w:left w:val="none" w:sz="0" w:space="0" w:color="auto"/>
        <w:bottom w:val="none" w:sz="0" w:space="0" w:color="auto"/>
        <w:right w:val="none" w:sz="0" w:space="0" w:color="auto"/>
      </w:divBdr>
    </w:div>
    <w:div w:id="1159346370">
      <w:bodyDiv w:val="1"/>
      <w:marLeft w:val="0"/>
      <w:marRight w:val="0"/>
      <w:marTop w:val="0"/>
      <w:marBottom w:val="0"/>
      <w:divBdr>
        <w:top w:val="none" w:sz="0" w:space="0" w:color="auto"/>
        <w:left w:val="none" w:sz="0" w:space="0" w:color="auto"/>
        <w:bottom w:val="none" w:sz="0" w:space="0" w:color="auto"/>
        <w:right w:val="none" w:sz="0" w:space="0" w:color="auto"/>
      </w:divBdr>
    </w:div>
    <w:div w:id="1677808819">
      <w:bodyDiv w:val="1"/>
      <w:marLeft w:val="0"/>
      <w:marRight w:val="0"/>
      <w:marTop w:val="0"/>
      <w:marBottom w:val="0"/>
      <w:divBdr>
        <w:top w:val="none" w:sz="0" w:space="0" w:color="auto"/>
        <w:left w:val="none" w:sz="0" w:space="0" w:color="auto"/>
        <w:bottom w:val="none" w:sz="0" w:space="0" w:color="auto"/>
        <w:right w:val="none" w:sz="0" w:space="0" w:color="auto"/>
      </w:divBdr>
    </w:div>
    <w:div w:id="1685747444">
      <w:bodyDiv w:val="1"/>
      <w:marLeft w:val="0"/>
      <w:marRight w:val="0"/>
      <w:marTop w:val="0"/>
      <w:marBottom w:val="0"/>
      <w:divBdr>
        <w:top w:val="none" w:sz="0" w:space="0" w:color="auto"/>
        <w:left w:val="none" w:sz="0" w:space="0" w:color="auto"/>
        <w:bottom w:val="none" w:sz="0" w:space="0" w:color="auto"/>
        <w:right w:val="none" w:sz="0" w:space="0" w:color="auto"/>
      </w:divBdr>
    </w:div>
    <w:div w:id="1748919892">
      <w:bodyDiv w:val="1"/>
      <w:marLeft w:val="0"/>
      <w:marRight w:val="0"/>
      <w:marTop w:val="0"/>
      <w:marBottom w:val="0"/>
      <w:divBdr>
        <w:top w:val="none" w:sz="0" w:space="0" w:color="auto"/>
        <w:left w:val="none" w:sz="0" w:space="0" w:color="auto"/>
        <w:bottom w:val="none" w:sz="0" w:space="0" w:color="auto"/>
        <w:right w:val="none" w:sz="0" w:space="0" w:color="auto"/>
      </w:divBdr>
    </w:div>
    <w:div w:id="1753815881">
      <w:bodyDiv w:val="1"/>
      <w:marLeft w:val="0"/>
      <w:marRight w:val="0"/>
      <w:marTop w:val="0"/>
      <w:marBottom w:val="0"/>
      <w:divBdr>
        <w:top w:val="none" w:sz="0" w:space="0" w:color="auto"/>
        <w:left w:val="none" w:sz="0" w:space="0" w:color="auto"/>
        <w:bottom w:val="none" w:sz="0" w:space="0" w:color="auto"/>
        <w:right w:val="none" w:sz="0" w:space="0" w:color="auto"/>
      </w:divBdr>
    </w:div>
    <w:div w:id="1795638810">
      <w:bodyDiv w:val="1"/>
      <w:marLeft w:val="0"/>
      <w:marRight w:val="0"/>
      <w:marTop w:val="0"/>
      <w:marBottom w:val="0"/>
      <w:divBdr>
        <w:top w:val="none" w:sz="0" w:space="0" w:color="auto"/>
        <w:left w:val="none" w:sz="0" w:space="0" w:color="auto"/>
        <w:bottom w:val="none" w:sz="0" w:space="0" w:color="auto"/>
        <w:right w:val="none" w:sz="0" w:space="0" w:color="auto"/>
      </w:divBdr>
    </w:div>
    <w:div w:id="2086950158">
      <w:bodyDiv w:val="1"/>
      <w:marLeft w:val="0"/>
      <w:marRight w:val="0"/>
      <w:marTop w:val="0"/>
      <w:marBottom w:val="0"/>
      <w:divBdr>
        <w:top w:val="none" w:sz="0" w:space="0" w:color="auto"/>
        <w:left w:val="none" w:sz="0" w:space="0" w:color="auto"/>
        <w:bottom w:val="none" w:sz="0" w:space="0" w:color="auto"/>
        <w:right w:val="none" w:sz="0" w:space="0" w:color="auto"/>
      </w:divBdr>
    </w:div>
    <w:div w:id="21214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erc.gov/ferc-online/overvie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D1211447-C4F6-42EE-ACC9-2AF08EEA09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B7EB46E-7819-4154-829E-3B8E294AA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A71C13-7B15-4D47-A34C-EF426D9B90D3}">
  <ds:schemaRefs>
    <ds:schemaRef ds:uri="http://schemas.microsoft.com/sharepoint/v3/contenttype/forms"/>
  </ds:schemaRefs>
</ds:datastoreItem>
</file>

<file path=customXml/itemProps4.xml><?xml version="1.0" encoding="utf-8"?>
<ds:datastoreItem xmlns:ds="http://schemas.openxmlformats.org/officeDocument/2006/customXml" ds:itemID="{E5D72A18-A279-4F4D-866A-03F88D93BF53}">
  <ds:schemaRefs>
    <ds:schemaRef ds:uri="http://schemas.openxmlformats.org/officeDocument/2006/bibliography"/>
  </ds:schemaRefs>
</ds:datastoreItem>
</file>

<file path=customXml/itemProps5.xml><?xml version="1.0" encoding="utf-8"?>
<ds:datastoreItem xmlns:ds="http://schemas.openxmlformats.org/officeDocument/2006/customXml" ds:itemID="{48B948BF-03C3-4E96-AA1A-77F7349B893B}">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TotalTime>13</ap:TotalTime>
  <ap:Pages>6</ap:Pages>
  <ap:Words>1019</ap:Words>
  <ap:Characters>5810</ap:Characters>
  <ap:Application>Microsoft Office Word</ap:Application>
  <ap:DocSecurity>0</ap:DocSecurity>
  <ap:Lines>48</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6816</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2021-06-17T18:05:00.0000000Z</dcterms:created>
  <dcterms:modified xsi:type="dcterms:W3CDTF">2021-06-17T18:45:00.0000000Z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