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33DF7A5D">
      <w:pPr>
        <w:jc w:val="center"/>
      </w:pPr>
      <w:r w:rsidRPr="00980E58">
        <w:t>[</w:t>
      </w:r>
      <w:r w:rsidRPr="004A0455">
        <w:t xml:space="preserve">Docket No. </w:t>
      </w:r>
      <w:r w:rsidRPr="004A0455" w:rsidR="00613169">
        <w:t>IC</w:t>
      </w:r>
      <w:r w:rsidRPr="004A0455" w:rsidR="00FB078F">
        <w:t>21</w:t>
      </w:r>
      <w:r w:rsidRPr="004A0455" w:rsidR="00613169">
        <w:t>-</w:t>
      </w:r>
      <w:r w:rsidR="003B38F3">
        <w:t>15</w:t>
      </w:r>
      <w:r w:rsidRPr="004A0455" w:rsidR="00613169">
        <w:t>-000</w:t>
      </w:r>
      <w:r w:rsidRPr="00980E58">
        <w:t>]</w:t>
      </w:r>
    </w:p>
    <w:p w:rsidR="00A2604E" w:rsidP="00A2604E" w:rsidRDefault="00A2604E" w14:paraId="4D16FE54" w14:textId="77777777"/>
    <w:p w:rsidR="00A2604E" w:rsidP="00A2604E" w:rsidRDefault="00A2604E" w14:paraId="0627AE31" w14:textId="40D8F4DB">
      <w:pPr>
        <w:jc w:val="center"/>
      </w:pPr>
      <w:r>
        <w:t>COMMISSION INFORMATION COLLECTION ACTIVITIES (FERC-</w:t>
      </w:r>
      <w:r w:rsidR="0071596F">
        <w:t>716</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325FFC" w:rsidRDefault="00325FFC" w14:paraId="692D2676" w14:textId="26E1BF01">
      <w:pPr>
        <w:jc w:val="center"/>
      </w:pPr>
      <w:r w:rsidRPr="00325FFC">
        <w:t>(April 14, 2021)</w:t>
      </w:r>
    </w:p>
    <w:p w:rsidRPr="00325FFC" w:rsidR="00325FFC" w:rsidP="00325FFC" w:rsidRDefault="00325FFC" w14:paraId="3D69489A"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009E2D84" w:rsidP="00A2604E" w:rsidRDefault="00A2604E" w14:paraId="559E119F" w14:textId="1C92163A">
      <w:pPr>
        <w:spacing w:line="480" w:lineRule="auto"/>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F37B05" w:rsidR="009E2D84">
        <w:t xml:space="preserve">FERC-716 </w:t>
      </w:r>
      <w:r w:rsidR="009E2D84">
        <w:t>(</w:t>
      </w:r>
      <w:r w:rsidRPr="00F37B05" w:rsidR="009E2D84">
        <w:t>Good Faith Requests for Transmission Service and Good Faith Responses by Transmitting Utilities Under Sections 211(a) and 213(a) of the Federal Power Act (FPA)</w:t>
      </w:r>
      <w:r w:rsidR="009E2D84">
        <w:t>)</w:t>
      </w:r>
    </w:p>
    <w:p w:rsidRPr="00524164" w:rsidR="00A2604E" w:rsidP="00A2604E" w:rsidRDefault="00A2604E" w14:paraId="5C5B574A" w14:textId="063ECB42">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255FC0D3">
      <w:pPr>
        <w:spacing w:line="480" w:lineRule="auto"/>
      </w:pPr>
      <w:r w:rsidRPr="00524164">
        <w:rPr>
          <w:b/>
        </w:rPr>
        <w:t>ADDRESSES:</w:t>
      </w:r>
      <w:r w:rsidRPr="00524164">
        <w:t xml:space="preserve">  </w:t>
      </w:r>
      <w:bookmarkStart w:name="OLE_LINK1" w:id="1"/>
      <w:r w:rsidRPr="0042765E" w:rsidR="0042765E">
        <w:t xml:space="preserve">You may submit copies of your comments (identified by Docket No. </w:t>
      </w:r>
      <w:r w:rsidRPr="003B38F3" w:rsidR="0042765E">
        <w:t>IC21-</w:t>
      </w:r>
      <w:r w:rsidRPr="003B38F3" w:rsidR="003B38F3">
        <w:t>15</w:t>
      </w:r>
      <w:r w:rsidRPr="003B38F3"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w:t>
      </w:r>
      <w:bookmarkStart w:name="_GoBack" w:id="2"/>
      <w:bookmarkEnd w:id="2"/>
      <w:r w:rsidRPr="0042765E">
        <w:t>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F37B05" w:rsidR="00F37B05" w:rsidP="00F37B05" w:rsidRDefault="00F37B05" w14:paraId="130D21AD" w14:textId="77777777">
      <w:pPr>
        <w:spacing w:line="480" w:lineRule="auto"/>
      </w:pPr>
      <w:r w:rsidRPr="00F37B05">
        <w:rPr>
          <w:b/>
        </w:rPr>
        <w:t>SUPPLEMENTARY INFORMATION:</w:t>
      </w:r>
      <w:r w:rsidRPr="00F37B05">
        <w:t xml:space="preserve">  </w:t>
      </w:r>
    </w:p>
    <w:p w:rsidRPr="00F37B05" w:rsidR="00F37B05" w:rsidP="00F37B05" w:rsidRDefault="00F37B05" w14:paraId="79D19C92" w14:textId="77777777">
      <w:pPr>
        <w:spacing w:line="480" w:lineRule="auto"/>
        <w:rPr>
          <w:i/>
        </w:rPr>
      </w:pPr>
      <w:r w:rsidRPr="00F37B05">
        <w:rPr>
          <w:i/>
        </w:rPr>
        <w:t xml:space="preserve">Title: </w:t>
      </w:r>
      <w:bookmarkStart w:name="_Hlk68521470" w:id="3"/>
      <w:r w:rsidRPr="00F37B05">
        <w:t>FERC-716, Good Faith Requests for Transmission Service and Good Faith Responses by Transmitting Utilities Under Sections 211(a) and 213(a) of the Federal Power Act (FPA)</w:t>
      </w:r>
      <w:bookmarkEnd w:id="3"/>
    </w:p>
    <w:p w:rsidRPr="00F37B05" w:rsidR="00F37B05" w:rsidP="00F37B05" w:rsidRDefault="00F37B05" w14:paraId="79708C1D" w14:textId="77777777">
      <w:pPr>
        <w:spacing w:line="480" w:lineRule="auto"/>
      </w:pPr>
      <w:r w:rsidRPr="00F37B05">
        <w:rPr>
          <w:i/>
        </w:rPr>
        <w:t>OMB Control No.:</w:t>
      </w:r>
      <w:r w:rsidRPr="00F37B05">
        <w:t xml:space="preserve"> 1902-0170</w:t>
      </w:r>
    </w:p>
    <w:p w:rsidRPr="00F37B05" w:rsidR="00F37B05" w:rsidP="00F37B05" w:rsidRDefault="00F37B05" w14:paraId="6DBC3722" w14:textId="77777777">
      <w:pPr>
        <w:spacing w:line="480" w:lineRule="auto"/>
      </w:pPr>
      <w:r w:rsidRPr="00F37B05">
        <w:rPr>
          <w:i/>
        </w:rPr>
        <w:t>Type of Request:</w:t>
      </w:r>
      <w:r w:rsidRPr="00F37B05">
        <w:t xml:space="preserve"> Three-year extension of the FERC-716 information collection requirements with no changes to the current reporting requirements. </w:t>
      </w:r>
    </w:p>
    <w:p w:rsidRPr="00F37B05" w:rsidR="00F37B05" w:rsidP="00F37B05" w:rsidRDefault="00F37B05" w14:paraId="689C0444" w14:textId="77777777">
      <w:pPr>
        <w:spacing w:line="480" w:lineRule="auto"/>
        <w:rPr>
          <w:bCs/>
          <w:szCs w:val="26"/>
        </w:rPr>
      </w:pPr>
      <w:r w:rsidRPr="00F37B05">
        <w:rPr>
          <w:i/>
        </w:rPr>
        <w:t xml:space="preserve">Abstract: </w:t>
      </w:r>
      <w:r w:rsidRPr="00F37B05">
        <w:rPr>
          <w:bCs/>
          <w:szCs w:val="26"/>
        </w:rPr>
        <w:t xml:space="preserve">The Commission uses the information collected under the requirements of FERC-716 to implement the statutory provisions of sections 211 and section 213 of the </w:t>
      </w:r>
      <w:r w:rsidRPr="00F37B05">
        <w:rPr>
          <w:bCs/>
          <w:szCs w:val="26"/>
        </w:rPr>
        <w:lastRenderedPageBreak/>
        <w:t xml:space="preserve">Federal Power Act as amended and added by the Energy Policy Act 1992.  FERC-716 also includes the requirement to file a section 211 request if the negotiations between the transmission requestor and the transmitting utility are unsuccessful. For the initial process, the information is not filed with the Commission.  However, the request and response may be analyzed as a part of a section 211 action.  The Commission may order transmission services under the authority of FPA 211. </w:t>
      </w:r>
    </w:p>
    <w:p w:rsidRPr="00F37B05" w:rsidR="00F37B05" w:rsidP="00F37B05" w:rsidRDefault="00F37B05" w14:paraId="445C9AB7" w14:textId="77777777">
      <w:pPr>
        <w:spacing w:line="480" w:lineRule="auto"/>
      </w:pPr>
      <w:r w:rsidRPr="00F37B05">
        <w:rPr>
          <w:bCs/>
          <w:szCs w:val="26"/>
        </w:rPr>
        <w:tab/>
        <w:t>The Commission’s regulations in the Code of Federal Regulations (CFR), 18 CFR 2.20, provide standards by which the Commission determines if and when a valid good faith request for transmission has been made under section 211 of the FPA.  By developing the standards, the Commission sought to encourage an open exchange of data with a reasonable degree of specificity and completeness between the party requesting transmission services and the transmitting utility.  As a result, 18 CFR 2.20 identifies 12 components of a good faith estimate and 5 components of a reply to a good faith request.</w:t>
      </w:r>
    </w:p>
    <w:p w:rsidRPr="00F37B05" w:rsidR="00F37B05" w:rsidP="00F37B05" w:rsidRDefault="00F37B05" w14:paraId="2FA83B8B" w14:textId="77777777">
      <w:pPr>
        <w:spacing w:line="480" w:lineRule="auto"/>
      </w:pPr>
      <w:r w:rsidRPr="00F37B05">
        <w:rPr>
          <w:i/>
        </w:rPr>
        <w:t xml:space="preserve">Type of Respondents: </w:t>
      </w:r>
      <w:r w:rsidRPr="00F37B05">
        <w:t xml:space="preserve">Transmission Requestors and Transmitting Utilities </w:t>
      </w:r>
    </w:p>
    <w:p w:rsidR="00F37B05" w:rsidP="00F37B05" w:rsidRDefault="00F37B05" w14:paraId="64010DE6" w14:textId="10F13293">
      <w:pPr>
        <w:spacing w:line="480" w:lineRule="auto"/>
      </w:pPr>
      <w:r w:rsidRPr="00F37B05">
        <w:rPr>
          <w:i/>
        </w:rPr>
        <w:t>Estimate of Annual Burden</w:t>
      </w:r>
      <w:r w:rsidRPr="00F37B05">
        <w:rPr>
          <w:b/>
          <w:i/>
          <w:szCs w:val="26"/>
          <w:vertAlign w:val="superscript"/>
        </w:rPr>
        <w:footnoteReference w:id="2"/>
      </w:r>
      <w:r w:rsidRPr="00F37B05">
        <w:rPr>
          <w:i/>
        </w:rPr>
        <w:t xml:space="preserve">: </w:t>
      </w:r>
      <w:r w:rsidRPr="00F37B05">
        <w:t>The Commission estimates the annual public reporting burden for the information collection as:</w:t>
      </w:r>
    </w:p>
    <w:p w:rsidR="00325FFC" w:rsidP="00F37B05" w:rsidRDefault="00325FFC" w14:paraId="102DED0D" w14:textId="302FE309">
      <w:pPr>
        <w:spacing w:line="480" w:lineRule="auto"/>
      </w:pPr>
    </w:p>
    <w:p w:rsidRPr="00F37B05" w:rsidR="00325FFC" w:rsidP="00F37B05" w:rsidRDefault="00325FFC" w14:paraId="3825ABFC" w14:textId="77777777">
      <w:pPr>
        <w:spacing w:line="480" w:lineRule="auto"/>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367"/>
        <w:gridCol w:w="1623"/>
        <w:gridCol w:w="1409"/>
        <w:gridCol w:w="1198"/>
        <w:gridCol w:w="1429"/>
        <w:gridCol w:w="1234"/>
      </w:tblGrid>
      <w:tr w:rsidRPr="00F37B05" w:rsidR="00F37B05" w:rsidTr="0023460C" w14:paraId="01DDDDED" w14:textId="77777777">
        <w:trPr>
          <w:cantSplit/>
        </w:trPr>
        <w:tc>
          <w:tcPr>
            <w:tcW w:w="5000" w:type="pct"/>
            <w:gridSpan w:val="7"/>
            <w:tcBorders>
              <w:bottom w:val="single" w:color="auto" w:sz="4" w:space="0"/>
            </w:tcBorders>
            <w:shd w:val="clear" w:color="auto" w:fill="D9D9D9"/>
          </w:tcPr>
          <w:p w:rsidRPr="00F37B05" w:rsidR="00F37B05" w:rsidP="00F37B05" w:rsidRDefault="00F37B05" w14:paraId="177F188F" w14:textId="77777777">
            <w:pPr>
              <w:jc w:val="center"/>
              <w:rPr>
                <w:rFonts w:eastAsia="Calibri"/>
                <w:b/>
                <w:sz w:val="20"/>
                <w:szCs w:val="20"/>
              </w:rPr>
            </w:pPr>
            <w:r w:rsidRPr="00F37B05">
              <w:rPr>
                <w:rFonts w:eastAsia="Calibri"/>
                <w:b/>
                <w:sz w:val="20"/>
                <w:szCs w:val="20"/>
              </w:rPr>
              <w:lastRenderedPageBreak/>
              <w:t>FERC-716 (Good Faith Requests for Transmission Service and Good Faith Responses by Transmitting Utilities Under Sections 211(a) and 213(a) of the Federal Power Act (FPA))</w:t>
            </w:r>
          </w:p>
        </w:tc>
      </w:tr>
      <w:tr w:rsidRPr="00F37B05" w:rsidR="00F37B05" w:rsidTr="00156E2E" w14:paraId="5E94D802" w14:textId="77777777">
        <w:trPr>
          <w:cantSplit/>
        </w:trPr>
        <w:tc>
          <w:tcPr>
            <w:tcW w:w="878" w:type="pct"/>
            <w:shd w:val="clear" w:color="auto" w:fill="D9D9D9"/>
          </w:tcPr>
          <w:p w:rsidRPr="00F37B05" w:rsidR="00F37B05" w:rsidP="00F37B05" w:rsidRDefault="00F37B05" w14:paraId="37977483" w14:textId="77777777">
            <w:pPr>
              <w:jc w:val="center"/>
              <w:rPr>
                <w:rFonts w:eastAsia="Calibri"/>
                <w:b/>
                <w:sz w:val="20"/>
                <w:szCs w:val="20"/>
              </w:rPr>
            </w:pPr>
          </w:p>
        </w:tc>
        <w:tc>
          <w:tcPr>
            <w:tcW w:w="682" w:type="pct"/>
            <w:shd w:val="clear" w:color="auto" w:fill="D9D9D9"/>
            <w:vAlign w:val="bottom"/>
          </w:tcPr>
          <w:p w:rsidRPr="00F37B05" w:rsidR="00F37B05" w:rsidP="00F37B05" w:rsidRDefault="00F37B05" w14:paraId="485D8DE6" w14:textId="77777777">
            <w:pPr>
              <w:jc w:val="center"/>
              <w:rPr>
                <w:rFonts w:eastAsia="Calibri"/>
                <w:b/>
                <w:sz w:val="20"/>
                <w:szCs w:val="20"/>
              </w:rPr>
            </w:pPr>
            <w:r w:rsidRPr="00F37B05">
              <w:rPr>
                <w:rFonts w:eastAsia="Calibri"/>
                <w:b/>
                <w:sz w:val="20"/>
                <w:szCs w:val="20"/>
              </w:rPr>
              <w:t>Number of Respondents</w:t>
            </w:r>
            <w:r w:rsidRPr="00F37B05">
              <w:rPr>
                <w:rFonts w:eastAsia="Calibri"/>
                <w:b/>
                <w:sz w:val="20"/>
                <w:szCs w:val="20"/>
              </w:rPr>
              <w:br/>
              <w:t>(1)</w:t>
            </w:r>
          </w:p>
        </w:tc>
        <w:tc>
          <w:tcPr>
            <w:tcW w:w="810" w:type="pct"/>
            <w:shd w:val="clear" w:color="auto" w:fill="D9D9D9"/>
            <w:vAlign w:val="bottom"/>
          </w:tcPr>
          <w:p w:rsidRPr="00F37B05" w:rsidR="00F37B05" w:rsidP="00F37B05" w:rsidRDefault="00F37B05" w14:paraId="481985E6" w14:textId="77777777">
            <w:pPr>
              <w:jc w:val="center"/>
              <w:rPr>
                <w:rFonts w:eastAsia="Calibri"/>
                <w:b/>
                <w:sz w:val="20"/>
                <w:szCs w:val="20"/>
              </w:rPr>
            </w:pPr>
            <w:r w:rsidRPr="00F37B05">
              <w:rPr>
                <w:rFonts w:eastAsia="Calibri"/>
                <w:b/>
                <w:sz w:val="20"/>
                <w:szCs w:val="20"/>
              </w:rPr>
              <w:t>Annual Number of Responses per Respondent</w:t>
            </w:r>
          </w:p>
          <w:p w:rsidRPr="00F37B05" w:rsidR="00F37B05" w:rsidP="00F37B05" w:rsidRDefault="00F37B05" w14:paraId="16329E20" w14:textId="77777777">
            <w:pPr>
              <w:jc w:val="center"/>
              <w:rPr>
                <w:rFonts w:eastAsia="Calibri"/>
                <w:b/>
                <w:sz w:val="20"/>
                <w:szCs w:val="20"/>
              </w:rPr>
            </w:pPr>
            <w:r w:rsidRPr="00F37B05">
              <w:rPr>
                <w:rFonts w:eastAsia="Calibri"/>
                <w:b/>
                <w:sz w:val="20"/>
                <w:szCs w:val="20"/>
              </w:rPr>
              <w:t>(2)</w:t>
            </w:r>
          </w:p>
        </w:tc>
        <w:tc>
          <w:tcPr>
            <w:tcW w:w="703" w:type="pct"/>
            <w:shd w:val="clear" w:color="auto" w:fill="D9D9D9"/>
            <w:vAlign w:val="bottom"/>
          </w:tcPr>
          <w:p w:rsidRPr="00F37B05" w:rsidR="00F37B05" w:rsidP="00F37B05" w:rsidRDefault="00F37B05" w14:paraId="2EE8F5BC" w14:textId="77777777">
            <w:pPr>
              <w:jc w:val="center"/>
              <w:rPr>
                <w:rFonts w:eastAsia="Calibri"/>
                <w:b/>
                <w:sz w:val="20"/>
                <w:szCs w:val="20"/>
              </w:rPr>
            </w:pPr>
            <w:r w:rsidRPr="00F37B05">
              <w:rPr>
                <w:rFonts w:eastAsia="Calibri"/>
                <w:b/>
                <w:sz w:val="20"/>
                <w:szCs w:val="20"/>
              </w:rPr>
              <w:t>Total Number of Responses (1)*(2)=(3)</w:t>
            </w:r>
          </w:p>
        </w:tc>
        <w:tc>
          <w:tcPr>
            <w:tcW w:w="598" w:type="pct"/>
            <w:shd w:val="clear" w:color="auto" w:fill="D9D9D9"/>
            <w:vAlign w:val="bottom"/>
          </w:tcPr>
          <w:p w:rsidRPr="00F37B05" w:rsidR="00F37B05" w:rsidP="00F37B05" w:rsidRDefault="00F37B05" w14:paraId="3A280B68" w14:textId="77777777">
            <w:pPr>
              <w:jc w:val="center"/>
              <w:rPr>
                <w:rFonts w:eastAsia="Calibri"/>
                <w:b/>
                <w:sz w:val="20"/>
                <w:szCs w:val="20"/>
              </w:rPr>
            </w:pPr>
            <w:r w:rsidRPr="00F37B05">
              <w:rPr>
                <w:rFonts w:eastAsia="Calibri"/>
                <w:b/>
                <w:sz w:val="20"/>
                <w:szCs w:val="20"/>
              </w:rPr>
              <w:t>Average Burden &amp; Cost Per Response</w:t>
            </w:r>
            <w:r w:rsidRPr="00F37B05">
              <w:rPr>
                <w:rFonts w:eastAsia="Calibri"/>
                <w:b/>
                <w:sz w:val="20"/>
                <w:szCs w:val="20"/>
                <w:vertAlign w:val="superscript"/>
              </w:rPr>
              <w:footnoteReference w:id="3"/>
            </w:r>
          </w:p>
          <w:p w:rsidRPr="00F37B05" w:rsidR="00F37B05" w:rsidP="00F37B05" w:rsidRDefault="00F37B05" w14:paraId="2D4A7404" w14:textId="77777777">
            <w:pPr>
              <w:jc w:val="center"/>
              <w:rPr>
                <w:rFonts w:eastAsia="Calibri"/>
                <w:b/>
                <w:sz w:val="20"/>
                <w:szCs w:val="20"/>
              </w:rPr>
            </w:pPr>
            <w:r w:rsidRPr="00F37B05">
              <w:rPr>
                <w:rFonts w:eastAsia="Calibri"/>
                <w:b/>
                <w:sz w:val="20"/>
                <w:szCs w:val="20"/>
              </w:rPr>
              <w:t>(4)</w:t>
            </w:r>
          </w:p>
        </w:tc>
        <w:tc>
          <w:tcPr>
            <w:tcW w:w="713" w:type="pct"/>
            <w:shd w:val="clear" w:color="auto" w:fill="D9D9D9"/>
            <w:vAlign w:val="bottom"/>
          </w:tcPr>
          <w:p w:rsidRPr="00F37B05" w:rsidR="00F37B05" w:rsidP="00F37B05" w:rsidRDefault="00F37B05" w14:paraId="1C519220" w14:textId="2C9FF3BA">
            <w:pPr>
              <w:jc w:val="center"/>
              <w:rPr>
                <w:rFonts w:eastAsia="Calibri"/>
                <w:b/>
                <w:sz w:val="20"/>
                <w:szCs w:val="20"/>
              </w:rPr>
            </w:pPr>
            <w:r w:rsidRPr="00F37B05">
              <w:rPr>
                <w:rFonts w:eastAsia="Calibri"/>
                <w:b/>
                <w:sz w:val="20"/>
                <w:szCs w:val="20"/>
              </w:rPr>
              <w:t>Total Annual Burden Hours &amp; Total Annual Cost</w:t>
            </w:r>
            <w:r w:rsidR="007B2BAE">
              <w:rPr>
                <w:rFonts w:eastAsia="Calibri"/>
                <w:b/>
                <w:sz w:val="20"/>
                <w:szCs w:val="20"/>
              </w:rPr>
              <w:t xml:space="preserve"> ($)</w:t>
            </w:r>
          </w:p>
          <w:p w:rsidRPr="00F37B05" w:rsidR="00F37B05" w:rsidP="00F37B05" w:rsidRDefault="00F37B05" w14:paraId="005F92D8" w14:textId="77777777">
            <w:pPr>
              <w:jc w:val="center"/>
              <w:rPr>
                <w:rFonts w:eastAsia="Calibri"/>
                <w:b/>
                <w:sz w:val="20"/>
                <w:szCs w:val="20"/>
              </w:rPr>
            </w:pPr>
            <w:r w:rsidRPr="00F37B05">
              <w:rPr>
                <w:rFonts w:eastAsia="Calibri"/>
                <w:b/>
                <w:sz w:val="20"/>
                <w:szCs w:val="20"/>
              </w:rPr>
              <w:t>(3)*(4)=(5)</w:t>
            </w:r>
          </w:p>
        </w:tc>
        <w:tc>
          <w:tcPr>
            <w:tcW w:w="616" w:type="pct"/>
            <w:shd w:val="clear" w:color="auto" w:fill="D9D9D9"/>
            <w:vAlign w:val="bottom"/>
          </w:tcPr>
          <w:p w:rsidRPr="00F37B05" w:rsidR="00F37B05" w:rsidP="00F37B05" w:rsidRDefault="00F37B05" w14:paraId="6D912B4D" w14:textId="77777777">
            <w:pPr>
              <w:jc w:val="center"/>
              <w:rPr>
                <w:rFonts w:eastAsia="Calibri"/>
                <w:b/>
                <w:sz w:val="20"/>
                <w:szCs w:val="20"/>
              </w:rPr>
            </w:pPr>
            <w:r w:rsidRPr="00F37B05">
              <w:rPr>
                <w:rFonts w:eastAsia="Calibri"/>
                <w:b/>
                <w:sz w:val="20"/>
                <w:szCs w:val="20"/>
              </w:rPr>
              <w:t>Cost per Respondent</w:t>
            </w:r>
          </w:p>
          <w:p w:rsidRPr="00F37B05" w:rsidR="00F37B05" w:rsidP="00F37B05" w:rsidRDefault="00F37B05" w14:paraId="75372A13" w14:textId="77777777">
            <w:pPr>
              <w:jc w:val="center"/>
              <w:rPr>
                <w:rFonts w:eastAsia="Calibri"/>
                <w:b/>
                <w:sz w:val="20"/>
                <w:szCs w:val="20"/>
              </w:rPr>
            </w:pPr>
            <w:r w:rsidRPr="00F37B05">
              <w:rPr>
                <w:rFonts w:eastAsia="Calibri"/>
                <w:b/>
                <w:sz w:val="20"/>
                <w:szCs w:val="20"/>
              </w:rPr>
              <w:t xml:space="preserve"> ($)</w:t>
            </w:r>
          </w:p>
          <w:p w:rsidRPr="00F37B05" w:rsidR="00F37B05" w:rsidP="00F37B05" w:rsidRDefault="00F37B05" w14:paraId="605601ED" w14:textId="77777777">
            <w:pPr>
              <w:jc w:val="center"/>
              <w:rPr>
                <w:rFonts w:eastAsia="Calibri"/>
                <w:b/>
                <w:sz w:val="20"/>
                <w:szCs w:val="20"/>
              </w:rPr>
            </w:pPr>
            <w:r w:rsidRPr="00F37B05">
              <w:rPr>
                <w:rFonts w:eastAsia="Calibri"/>
                <w:b/>
                <w:sz w:val="20"/>
                <w:szCs w:val="20"/>
              </w:rPr>
              <w:t>(5)÷(1)</w:t>
            </w:r>
          </w:p>
        </w:tc>
      </w:tr>
      <w:tr w:rsidRPr="00F37B05" w:rsidR="00F37B05" w:rsidTr="00156E2E" w14:paraId="4D68ADA8" w14:textId="77777777">
        <w:trPr>
          <w:cantSplit/>
        </w:trPr>
        <w:tc>
          <w:tcPr>
            <w:tcW w:w="878" w:type="pct"/>
          </w:tcPr>
          <w:p w:rsidRPr="00F37B05" w:rsidR="00F37B05" w:rsidP="00F37B05" w:rsidRDefault="00F37B05" w14:paraId="0F2FA8AF" w14:textId="77777777">
            <w:pPr>
              <w:rPr>
                <w:rFonts w:eastAsia="Calibri"/>
                <w:sz w:val="20"/>
                <w:szCs w:val="20"/>
              </w:rPr>
            </w:pPr>
            <w:r w:rsidRPr="00F37B05">
              <w:rPr>
                <w:rFonts w:eastAsia="Calibri"/>
                <w:sz w:val="20"/>
                <w:szCs w:val="20"/>
              </w:rPr>
              <w:t>Information exchange between parties</w:t>
            </w:r>
          </w:p>
        </w:tc>
        <w:tc>
          <w:tcPr>
            <w:tcW w:w="682" w:type="pct"/>
          </w:tcPr>
          <w:p w:rsidRPr="00F37B05" w:rsidR="00F37B05" w:rsidP="00F37B05" w:rsidRDefault="00156E2E" w14:paraId="326700E4" w14:textId="3FD0B5CD">
            <w:pPr>
              <w:jc w:val="right"/>
              <w:rPr>
                <w:rFonts w:eastAsia="Calibri"/>
                <w:sz w:val="20"/>
                <w:szCs w:val="20"/>
              </w:rPr>
            </w:pPr>
            <w:r>
              <w:rPr>
                <w:rFonts w:eastAsia="Calibri"/>
                <w:sz w:val="20"/>
                <w:szCs w:val="20"/>
              </w:rPr>
              <w:t>6</w:t>
            </w:r>
          </w:p>
        </w:tc>
        <w:tc>
          <w:tcPr>
            <w:tcW w:w="810" w:type="pct"/>
          </w:tcPr>
          <w:p w:rsidRPr="00F37B05" w:rsidR="00F37B05" w:rsidP="00F37B05" w:rsidRDefault="00F37B05" w14:paraId="3499F0F6" w14:textId="77777777">
            <w:pPr>
              <w:jc w:val="right"/>
              <w:rPr>
                <w:rFonts w:eastAsia="Calibri"/>
                <w:sz w:val="20"/>
                <w:szCs w:val="20"/>
              </w:rPr>
            </w:pPr>
            <w:r w:rsidRPr="00F37B05">
              <w:rPr>
                <w:rFonts w:eastAsia="Calibri"/>
                <w:sz w:val="20"/>
                <w:szCs w:val="20"/>
              </w:rPr>
              <w:t>1</w:t>
            </w:r>
          </w:p>
        </w:tc>
        <w:tc>
          <w:tcPr>
            <w:tcW w:w="703" w:type="pct"/>
          </w:tcPr>
          <w:p w:rsidRPr="00F37B05" w:rsidR="00F37B05" w:rsidP="00F37B05" w:rsidRDefault="00156E2E" w14:paraId="10BDE7CF" w14:textId="7FAD9CF8">
            <w:pPr>
              <w:jc w:val="right"/>
              <w:rPr>
                <w:rFonts w:eastAsia="Calibri"/>
                <w:sz w:val="20"/>
                <w:szCs w:val="20"/>
              </w:rPr>
            </w:pPr>
            <w:r>
              <w:rPr>
                <w:rFonts w:eastAsia="Calibri"/>
                <w:sz w:val="20"/>
                <w:szCs w:val="20"/>
              </w:rPr>
              <w:t>6</w:t>
            </w:r>
          </w:p>
        </w:tc>
        <w:tc>
          <w:tcPr>
            <w:tcW w:w="598" w:type="pct"/>
          </w:tcPr>
          <w:p w:rsidRPr="00F37B05" w:rsidR="00F37B05" w:rsidP="00F37B05" w:rsidRDefault="00F37B05" w14:paraId="6072ACE4" w14:textId="77777777">
            <w:pPr>
              <w:jc w:val="right"/>
              <w:rPr>
                <w:rFonts w:eastAsia="Calibri"/>
                <w:sz w:val="20"/>
                <w:szCs w:val="20"/>
              </w:rPr>
            </w:pPr>
            <w:r w:rsidRPr="00F37B05">
              <w:rPr>
                <w:rFonts w:eastAsia="Calibri"/>
                <w:sz w:val="20"/>
                <w:szCs w:val="20"/>
              </w:rPr>
              <w:t>100 hrs.;</w:t>
            </w:r>
          </w:p>
          <w:p w:rsidRPr="00F37B05" w:rsidR="00F37B05" w:rsidP="00F37B05" w:rsidRDefault="00F37B05" w14:paraId="2A5F859D" w14:textId="4F38BA58">
            <w:pPr>
              <w:jc w:val="right"/>
              <w:rPr>
                <w:rFonts w:eastAsia="Calibri"/>
                <w:sz w:val="20"/>
                <w:szCs w:val="20"/>
              </w:rPr>
            </w:pPr>
            <w:r w:rsidRPr="00F37B05">
              <w:rPr>
                <w:rFonts w:eastAsia="Calibri"/>
                <w:sz w:val="20"/>
                <w:szCs w:val="20"/>
              </w:rPr>
              <w:t>$</w:t>
            </w:r>
            <w:r w:rsidR="00893C9F">
              <w:rPr>
                <w:rFonts w:eastAsia="Calibri"/>
                <w:sz w:val="20"/>
                <w:szCs w:val="20"/>
              </w:rPr>
              <w:t>8,300</w:t>
            </w:r>
          </w:p>
        </w:tc>
        <w:tc>
          <w:tcPr>
            <w:tcW w:w="713" w:type="pct"/>
          </w:tcPr>
          <w:p w:rsidRPr="00F37B05" w:rsidR="00F37B05" w:rsidP="00F37B05" w:rsidRDefault="00F37B05" w14:paraId="2D95A942" w14:textId="57610D94">
            <w:pPr>
              <w:jc w:val="right"/>
              <w:rPr>
                <w:rFonts w:eastAsia="Calibri"/>
                <w:sz w:val="20"/>
                <w:szCs w:val="20"/>
              </w:rPr>
            </w:pPr>
            <w:r w:rsidRPr="00F37B05">
              <w:rPr>
                <w:rFonts w:eastAsia="Calibri"/>
                <w:sz w:val="20"/>
                <w:szCs w:val="20"/>
              </w:rPr>
              <w:t xml:space="preserve"> </w:t>
            </w:r>
            <w:r w:rsidR="00156E2E">
              <w:rPr>
                <w:rFonts w:eastAsia="Calibri"/>
                <w:sz w:val="20"/>
                <w:szCs w:val="20"/>
              </w:rPr>
              <w:t>6</w:t>
            </w:r>
            <w:r w:rsidRPr="00F37B05">
              <w:rPr>
                <w:rFonts w:eastAsia="Calibri"/>
                <w:sz w:val="20"/>
                <w:szCs w:val="20"/>
              </w:rPr>
              <w:t>00 hrs.;</w:t>
            </w:r>
          </w:p>
          <w:p w:rsidRPr="00F37B05" w:rsidR="00F37B05" w:rsidP="00F37B05" w:rsidRDefault="00F37B05" w14:paraId="618B1EEB" w14:textId="676D17EF">
            <w:pPr>
              <w:jc w:val="right"/>
              <w:rPr>
                <w:rFonts w:eastAsia="Calibri"/>
                <w:sz w:val="20"/>
                <w:szCs w:val="20"/>
              </w:rPr>
            </w:pPr>
            <w:r w:rsidRPr="00F37B05">
              <w:rPr>
                <w:rFonts w:eastAsia="Calibri"/>
                <w:sz w:val="20"/>
                <w:szCs w:val="20"/>
              </w:rPr>
              <w:t>$</w:t>
            </w:r>
            <w:r w:rsidR="00156E2E">
              <w:rPr>
                <w:rFonts w:eastAsia="Calibri"/>
                <w:sz w:val="20"/>
                <w:szCs w:val="20"/>
              </w:rPr>
              <w:t>49,800</w:t>
            </w:r>
            <w:r w:rsidRPr="00F37B05">
              <w:rPr>
                <w:rFonts w:eastAsia="Calibri"/>
                <w:sz w:val="20"/>
                <w:szCs w:val="20"/>
              </w:rPr>
              <w:t xml:space="preserve"> </w:t>
            </w:r>
          </w:p>
        </w:tc>
        <w:tc>
          <w:tcPr>
            <w:tcW w:w="616" w:type="pct"/>
          </w:tcPr>
          <w:p w:rsidRPr="00F37B05" w:rsidR="00F37B05" w:rsidP="00F37B05" w:rsidRDefault="00F37B05" w14:paraId="312E0453" w14:textId="0FFE655B">
            <w:pPr>
              <w:jc w:val="right"/>
              <w:rPr>
                <w:rFonts w:eastAsia="Calibri"/>
                <w:sz w:val="20"/>
                <w:szCs w:val="20"/>
              </w:rPr>
            </w:pPr>
            <w:r w:rsidRPr="00F37B05">
              <w:rPr>
                <w:rFonts w:eastAsia="Calibri"/>
                <w:sz w:val="20"/>
                <w:szCs w:val="20"/>
              </w:rPr>
              <w:t>$</w:t>
            </w:r>
            <w:r w:rsidR="00893C9F">
              <w:rPr>
                <w:rFonts w:eastAsia="Calibri"/>
                <w:sz w:val="20"/>
                <w:szCs w:val="20"/>
              </w:rPr>
              <w:t>8,300</w:t>
            </w:r>
            <w:r w:rsidRPr="00F37B05">
              <w:rPr>
                <w:rFonts w:eastAsia="Calibri"/>
                <w:sz w:val="20"/>
                <w:szCs w:val="20"/>
              </w:rPr>
              <w:t xml:space="preserve"> </w:t>
            </w:r>
          </w:p>
        </w:tc>
      </w:tr>
      <w:tr w:rsidRPr="00F37B05" w:rsidR="00F37B05" w:rsidTr="00156E2E" w14:paraId="0B53D6E2" w14:textId="77777777">
        <w:trPr>
          <w:cantSplit/>
        </w:trPr>
        <w:tc>
          <w:tcPr>
            <w:tcW w:w="878" w:type="pct"/>
          </w:tcPr>
          <w:p w:rsidRPr="00F37B05" w:rsidR="00F37B05" w:rsidP="00F37B05" w:rsidRDefault="00F37B05" w14:paraId="43DAE723" w14:textId="77777777">
            <w:pPr>
              <w:rPr>
                <w:rFonts w:eastAsia="Calibri"/>
                <w:sz w:val="20"/>
                <w:szCs w:val="20"/>
              </w:rPr>
            </w:pPr>
            <w:r w:rsidRPr="00F37B05">
              <w:rPr>
                <w:rFonts w:eastAsia="Calibri"/>
                <w:sz w:val="20"/>
                <w:szCs w:val="20"/>
              </w:rPr>
              <w:t>Application submitted to FERC if parties’ negotiations are unsuccessful</w:t>
            </w:r>
          </w:p>
        </w:tc>
        <w:tc>
          <w:tcPr>
            <w:tcW w:w="682" w:type="pct"/>
          </w:tcPr>
          <w:p w:rsidRPr="00F37B05" w:rsidR="00F37B05" w:rsidP="00F37B05" w:rsidRDefault="00156E2E" w14:paraId="3FE21324" w14:textId="2D237538">
            <w:pPr>
              <w:jc w:val="right"/>
              <w:rPr>
                <w:rFonts w:eastAsia="Calibri"/>
                <w:sz w:val="20"/>
                <w:szCs w:val="20"/>
              </w:rPr>
            </w:pPr>
            <w:r>
              <w:rPr>
                <w:rFonts w:eastAsia="Calibri"/>
                <w:sz w:val="20"/>
                <w:szCs w:val="20"/>
              </w:rPr>
              <w:t>6</w:t>
            </w:r>
          </w:p>
        </w:tc>
        <w:tc>
          <w:tcPr>
            <w:tcW w:w="810" w:type="pct"/>
          </w:tcPr>
          <w:p w:rsidRPr="00F37B05" w:rsidR="00F37B05" w:rsidP="00F37B05" w:rsidRDefault="00F37B05" w14:paraId="5F05155B" w14:textId="77777777">
            <w:pPr>
              <w:jc w:val="right"/>
              <w:rPr>
                <w:rFonts w:eastAsia="Calibri"/>
                <w:sz w:val="20"/>
                <w:szCs w:val="20"/>
              </w:rPr>
            </w:pPr>
            <w:r w:rsidRPr="00F37B05">
              <w:rPr>
                <w:rFonts w:eastAsia="Calibri"/>
                <w:sz w:val="20"/>
                <w:szCs w:val="20"/>
              </w:rPr>
              <w:t>1</w:t>
            </w:r>
          </w:p>
        </w:tc>
        <w:tc>
          <w:tcPr>
            <w:tcW w:w="703" w:type="pct"/>
          </w:tcPr>
          <w:p w:rsidRPr="00F37B05" w:rsidR="00F37B05" w:rsidP="00F37B05" w:rsidRDefault="00156E2E" w14:paraId="6111369F" w14:textId="3F8FE1C5">
            <w:pPr>
              <w:jc w:val="right"/>
              <w:rPr>
                <w:rFonts w:eastAsia="Calibri"/>
                <w:sz w:val="20"/>
                <w:szCs w:val="20"/>
              </w:rPr>
            </w:pPr>
            <w:r>
              <w:rPr>
                <w:rFonts w:eastAsia="Calibri"/>
                <w:sz w:val="20"/>
                <w:szCs w:val="20"/>
              </w:rPr>
              <w:t>6</w:t>
            </w:r>
          </w:p>
        </w:tc>
        <w:tc>
          <w:tcPr>
            <w:tcW w:w="598" w:type="pct"/>
          </w:tcPr>
          <w:p w:rsidRPr="00F37B05" w:rsidR="00F37B05" w:rsidP="00F37B05" w:rsidRDefault="00F37B05" w14:paraId="6C69678C" w14:textId="77777777">
            <w:pPr>
              <w:jc w:val="right"/>
              <w:rPr>
                <w:rFonts w:eastAsia="Calibri"/>
                <w:sz w:val="20"/>
                <w:szCs w:val="20"/>
              </w:rPr>
            </w:pPr>
            <w:r w:rsidRPr="00F37B05">
              <w:rPr>
                <w:rFonts w:eastAsia="Calibri"/>
                <w:sz w:val="20"/>
                <w:szCs w:val="20"/>
              </w:rPr>
              <w:t>2.5 hrs.;</w:t>
            </w:r>
          </w:p>
          <w:p w:rsidRPr="00F37B05" w:rsidR="00F37B05" w:rsidP="00F37B05" w:rsidRDefault="00893C9F" w14:paraId="22B65461" w14:textId="00315E71">
            <w:pPr>
              <w:jc w:val="right"/>
              <w:rPr>
                <w:rFonts w:eastAsia="Calibri"/>
                <w:sz w:val="20"/>
                <w:szCs w:val="20"/>
              </w:rPr>
            </w:pPr>
            <w:r>
              <w:rPr>
                <w:rFonts w:eastAsia="Calibri"/>
                <w:sz w:val="20"/>
                <w:szCs w:val="20"/>
              </w:rPr>
              <w:t>$207.50</w:t>
            </w:r>
          </w:p>
        </w:tc>
        <w:tc>
          <w:tcPr>
            <w:tcW w:w="713" w:type="pct"/>
          </w:tcPr>
          <w:p w:rsidRPr="00F37B05" w:rsidR="00F37B05" w:rsidP="00F37B05" w:rsidRDefault="00156E2E" w14:paraId="47CFE414" w14:textId="2F95EB3B">
            <w:pPr>
              <w:jc w:val="right"/>
              <w:rPr>
                <w:rFonts w:eastAsia="Calibri"/>
                <w:sz w:val="20"/>
                <w:szCs w:val="20"/>
              </w:rPr>
            </w:pPr>
            <w:r>
              <w:rPr>
                <w:rFonts w:eastAsia="Calibri"/>
                <w:sz w:val="20"/>
                <w:szCs w:val="20"/>
              </w:rPr>
              <w:t>15</w:t>
            </w:r>
            <w:r w:rsidRPr="00F37B05" w:rsidR="00F37B05">
              <w:rPr>
                <w:rFonts w:eastAsia="Calibri"/>
                <w:sz w:val="20"/>
                <w:szCs w:val="20"/>
              </w:rPr>
              <w:t xml:space="preserve"> hrs.;</w:t>
            </w:r>
          </w:p>
          <w:p w:rsidRPr="00F37B05" w:rsidR="00F37B05" w:rsidP="00F37B05" w:rsidRDefault="00F37B05" w14:paraId="0D6DC11D" w14:textId="37481EBA">
            <w:pPr>
              <w:jc w:val="right"/>
              <w:rPr>
                <w:rFonts w:eastAsia="Calibri"/>
                <w:sz w:val="20"/>
                <w:szCs w:val="20"/>
              </w:rPr>
            </w:pPr>
            <w:r w:rsidRPr="00F37B05">
              <w:rPr>
                <w:rFonts w:eastAsia="Calibri"/>
                <w:sz w:val="20"/>
                <w:szCs w:val="20"/>
              </w:rPr>
              <w:t>$</w:t>
            </w:r>
            <w:r w:rsidR="00156E2E">
              <w:rPr>
                <w:rFonts w:eastAsia="Calibri"/>
                <w:sz w:val="20"/>
                <w:szCs w:val="20"/>
              </w:rPr>
              <w:t>1,245</w:t>
            </w:r>
          </w:p>
        </w:tc>
        <w:tc>
          <w:tcPr>
            <w:tcW w:w="616" w:type="pct"/>
          </w:tcPr>
          <w:p w:rsidRPr="00F37B05" w:rsidR="00F37B05" w:rsidP="00F37B05" w:rsidRDefault="00F37B05" w14:paraId="469633F3" w14:textId="085A1CFF">
            <w:pPr>
              <w:jc w:val="right"/>
              <w:rPr>
                <w:rFonts w:eastAsia="Calibri"/>
                <w:sz w:val="20"/>
                <w:szCs w:val="20"/>
              </w:rPr>
            </w:pPr>
            <w:r w:rsidRPr="00F37B05">
              <w:rPr>
                <w:rFonts w:eastAsia="Calibri"/>
                <w:sz w:val="20"/>
                <w:szCs w:val="20"/>
              </w:rPr>
              <w:t>$</w:t>
            </w:r>
            <w:r w:rsidR="00893C9F">
              <w:rPr>
                <w:rFonts w:eastAsia="Calibri"/>
                <w:sz w:val="20"/>
                <w:szCs w:val="20"/>
              </w:rPr>
              <w:t>207.50</w:t>
            </w:r>
          </w:p>
        </w:tc>
      </w:tr>
      <w:tr w:rsidRPr="00F37B05" w:rsidR="00F37B05" w:rsidTr="00156E2E" w14:paraId="718B804A" w14:textId="77777777">
        <w:trPr>
          <w:cantSplit/>
          <w:trHeight w:val="485"/>
        </w:trPr>
        <w:tc>
          <w:tcPr>
            <w:tcW w:w="878" w:type="pct"/>
            <w:tcBorders>
              <w:bottom w:val="single" w:color="auto" w:sz="4" w:space="0"/>
            </w:tcBorders>
          </w:tcPr>
          <w:p w:rsidRPr="00F37B05" w:rsidR="00F37B05" w:rsidP="00F37B05" w:rsidRDefault="00F37B05" w14:paraId="2A675B45" w14:textId="77777777">
            <w:pPr>
              <w:rPr>
                <w:rFonts w:eastAsia="Calibri"/>
                <w:b/>
                <w:sz w:val="20"/>
                <w:szCs w:val="20"/>
              </w:rPr>
            </w:pPr>
            <w:r w:rsidRPr="00F37B05">
              <w:rPr>
                <w:rFonts w:eastAsia="Calibri"/>
                <w:b/>
                <w:sz w:val="20"/>
                <w:szCs w:val="20"/>
              </w:rPr>
              <w:t>TOTAL</w:t>
            </w:r>
          </w:p>
        </w:tc>
        <w:tc>
          <w:tcPr>
            <w:tcW w:w="1492" w:type="pct"/>
            <w:gridSpan w:val="2"/>
            <w:tcBorders>
              <w:bottom w:val="single" w:color="auto" w:sz="4" w:space="0"/>
            </w:tcBorders>
            <w:shd w:val="clear" w:color="auto" w:fill="D9D9D9"/>
          </w:tcPr>
          <w:p w:rsidRPr="00F37B05" w:rsidR="00F37B05" w:rsidP="00F37B05" w:rsidRDefault="00F37B05" w14:paraId="5A251E43" w14:textId="77777777">
            <w:pPr>
              <w:jc w:val="right"/>
              <w:rPr>
                <w:rFonts w:eastAsia="Calibri"/>
                <w:sz w:val="20"/>
                <w:szCs w:val="20"/>
              </w:rPr>
            </w:pPr>
          </w:p>
        </w:tc>
        <w:tc>
          <w:tcPr>
            <w:tcW w:w="703" w:type="pct"/>
            <w:tcBorders>
              <w:bottom w:val="single" w:color="auto" w:sz="4" w:space="0"/>
            </w:tcBorders>
            <w:shd w:val="clear" w:color="auto" w:fill="auto"/>
          </w:tcPr>
          <w:p w:rsidRPr="00F37B05" w:rsidR="00F37B05" w:rsidP="00F37B05" w:rsidRDefault="00156E2E" w14:paraId="5D06D305" w14:textId="55D59121">
            <w:pPr>
              <w:jc w:val="right"/>
              <w:rPr>
                <w:rFonts w:eastAsia="Calibri"/>
                <w:sz w:val="20"/>
                <w:szCs w:val="20"/>
              </w:rPr>
            </w:pPr>
            <w:r>
              <w:rPr>
                <w:rFonts w:eastAsia="Calibri"/>
                <w:sz w:val="20"/>
                <w:szCs w:val="20"/>
              </w:rPr>
              <w:t>12</w:t>
            </w:r>
          </w:p>
        </w:tc>
        <w:tc>
          <w:tcPr>
            <w:tcW w:w="598" w:type="pct"/>
            <w:tcBorders>
              <w:bottom w:val="single" w:color="auto" w:sz="4" w:space="0"/>
            </w:tcBorders>
            <w:shd w:val="clear" w:color="auto" w:fill="D9D9D9"/>
          </w:tcPr>
          <w:p w:rsidRPr="00F37B05" w:rsidR="00F37B05" w:rsidP="00F37B05" w:rsidRDefault="00F37B05" w14:paraId="69DA491F" w14:textId="77777777">
            <w:pPr>
              <w:jc w:val="right"/>
              <w:rPr>
                <w:rFonts w:eastAsia="Calibri"/>
                <w:sz w:val="20"/>
                <w:szCs w:val="20"/>
              </w:rPr>
            </w:pPr>
          </w:p>
        </w:tc>
        <w:tc>
          <w:tcPr>
            <w:tcW w:w="713" w:type="pct"/>
            <w:tcBorders>
              <w:bottom w:val="single" w:color="auto" w:sz="4" w:space="0"/>
            </w:tcBorders>
          </w:tcPr>
          <w:p w:rsidRPr="00F37B05" w:rsidR="00F37B05" w:rsidP="00F37B05" w:rsidRDefault="00156E2E" w14:paraId="76341016" w14:textId="279D0D6F">
            <w:pPr>
              <w:jc w:val="right"/>
              <w:rPr>
                <w:rFonts w:eastAsia="Calibri"/>
                <w:sz w:val="20"/>
                <w:szCs w:val="20"/>
              </w:rPr>
            </w:pPr>
            <w:r>
              <w:rPr>
                <w:rFonts w:eastAsia="Calibri"/>
                <w:sz w:val="20"/>
                <w:szCs w:val="20"/>
              </w:rPr>
              <w:t>615</w:t>
            </w:r>
            <w:r w:rsidRPr="00F37B05" w:rsidR="00F37B05">
              <w:rPr>
                <w:rFonts w:eastAsia="Calibri"/>
                <w:sz w:val="20"/>
                <w:szCs w:val="20"/>
              </w:rPr>
              <w:t xml:space="preserve"> hrs.;</w:t>
            </w:r>
          </w:p>
          <w:p w:rsidRPr="00F37B05" w:rsidR="00F37B05" w:rsidP="00F37B05" w:rsidRDefault="00F37B05" w14:paraId="465A166D" w14:textId="393B5A39">
            <w:pPr>
              <w:jc w:val="right"/>
              <w:rPr>
                <w:rFonts w:eastAsia="Calibri"/>
                <w:sz w:val="20"/>
                <w:szCs w:val="20"/>
              </w:rPr>
            </w:pPr>
            <w:r w:rsidRPr="00F37B05">
              <w:rPr>
                <w:rFonts w:eastAsia="Calibri"/>
                <w:sz w:val="20"/>
                <w:szCs w:val="20"/>
              </w:rPr>
              <w:t>$</w:t>
            </w:r>
            <w:r w:rsidR="00156E2E">
              <w:rPr>
                <w:rFonts w:eastAsia="Calibri"/>
                <w:sz w:val="20"/>
                <w:szCs w:val="20"/>
              </w:rPr>
              <w:t>51,045</w:t>
            </w:r>
          </w:p>
        </w:tc>
        <w:tc>
          <w:tcPr>
            <w:tcW w:w="616" w:type="pct"/>
            <w:tcBorders>
              <w:bottom w:val="single" w:color="auto" w:sz="4" w:space="0"/>
            </w:tcBorders>
          </w:tcPr>
          <w:p w:rsidRPr="00F37B05" w:rsidR="00F37B05" w:rsidP="00F37B05" w:rsidRDefault="005D206B" w14:paraId="091B25F3" w14:textId="20178B70">
            <w:pPr>
              <w:jc w:val="right"/>
              <w:rPr>
                <w:rFonts w:eastAsia="Calibri"/>
                <w:sz w:val="20"/>
                <w:szCs w:val="20"/>
              </w:rPr>
            </w:pPr>
            <w:r>
              <w:rPr>
                <w:rFonts w:eastAsia="Calibri"/>
                <w:sz w:val="20"/>
                <w:szCs w:val="20"/>
              </w:rPr>
              <w:t>$8,507.50</w:t>
            </w:r>
          </w:p>
        </w:tc>
      </w:tr>
    </w:tbl>
    <w:p w:rsidR="00292A4C" w:rsidP="00AE1F12" w:rsidRDefault="00292A4C" w14:paraId="74BFDCED" w14:textId="77777777">
      <w:pPr>
        <w:spacing w:line="480" w:lineRule="auto"/>
        <w:rPr>
          <w:i/>
        </w:rPr>
      </w:pPr>
    </w:p>
    <w:p w:rsidR="00881405" w:rsidP="00AE1F12"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00853ABC" w:rsidP="00325FFC" w:rsidRDefault="00AE1F12" w14:paraId="212DCDEF" w14:textId="6AC90EF5">
      <w:pPr>
        <w:ind w:firstLine="2174"/>
        <w:jc w:val="center"/>
      </w:pPr>
      <w:r w:rsidRPr="00AB4DBF">
        <w:t>Secretary.</w:t>
      </w:r>
    </w:p>
    <w:sectPr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04DFB" w14:textId="77777777" w:rsidR="00093F79" w:rsidRDefault="00093F79" w:rsidP="00B01B16">
      <w:r>
        <w:separator/>
      </w:r>
    </w:p>
  </w:endnote>
  <w:endnote w:type="continuationSeparator" w:id="0">
    <w:p w14:paraId="03195204" w14:textId="77777777" w:rsidR="00093F79" w:rsidRDefault="00093F79" w:rsidP="00B01B16">
      <w:r>
        <w:continuationSeparator/>
      </w:r>
    </w:p>
  </w:endnote>
  <w:endnote w:type="continuationNotice" w:id="1">
    <w:p w14:paraId="36C3F99E" w14:textId="77777777" w:rsidR="00093F79" w:rsidRDefault="0009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A693" w14:textId="77777777" w:rsidR="00411C21" w:rsidRDefault="0041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549C" w14:textId="77777777" w:rsidR="00411C21" w:rsidRDefault="00411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9E05" w14:textId="77777777" w:rsidR="00411C21" w:rsidRDefault="0041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B507" w14:textId="77777777" w:rsidR="00093F79" w:rsidRDefault="00093F79" w:rsidP="00B01B16">
      <w:r>
        <w:separator/>
      </w:r>
    </w:p>
  </w:footnote>
  <w:footnote w:type="continuationSeparator" w:id="0">
    <w:p w14:paraId="4BE1B943" w14:textId="77777777" w:rsidR="00093F79" w:rsidRDefault="00093F79" w:rsidP="00B01B16">
      <w:r>
        <w:continuationSeparator/>
      </w:r>
    </w:p>
  </w:footnote>
  <w:footnote w:type="continuationNotice" w:id="1">
    <w:p w14:paraId="1A2E1E53" w14:textId="77777777" w:rsidR="00093F79" w:rsidRDefault="00093F79"/>
  </w:footnote>
  <w:footnote w:id="2">
    <w:p w14:paraId="0FC58CC0" w14:textId="77777777" w:rsidR="00F37B05" w:rsidRDefault="00F37B05" w:rsidP="00156E2E">
      <w:pPr>
        <w:pStyle w:val="FootnoteText"/>
        <w:rPr>
          <w:sz w:val="26"/>
          <w:szCs w:val="26"/>
        </w:rPr>
      </w:pPr>
      <w:r w:rsidRPr="003A0507">
        <w:rPr>
          <w:rStyle w:val="FootnoteReference"/>
        </w:rPr>
        <w:footnoteRef/>
      </w:r>
      <w:r w:rsidRPr="003A0507">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14:paraId="28B54A96" w14:textId="77777777" w:rsidR="00F37B05" w:rsidRPr="003A0507" w:rsidRDefault="00F37B05" w:rsidP="00F37B05">
      <w:pPr>
        <w:pStyle w:val="FootnoteText"/>
        <w:ind w:firstLine="720"/>
        <w:rPr>
          <w:sz w:val="26"/>
          <w:szCs w:val="26"/>
        </w:rPr>
      </w:pPr>
    </w:p>
  </w:footnote>
  <w:footnote w:id="3">
    <w:p w14:paraId="4DFB361B" w14:textId="7F8ADB1E" w:rsidR="00F37B05" w:rsidRPr="003A0507" w:rsidRDefault="00F37B05" w:rsidP="00156E2E">
      <w:pPr>
        <w:pStyle w:val="FootnoteText"/>
        <w:rPr>
          <w:sz w:val="26"/>
          <w:szCs w:val="26"/>
        </w:rPr>
      </w:pPr>
      <w:r w:rsidRPr="003A0507">
        <w:rPr>
          <w:rStyle w:val="FootnoteReference"/>
        </w:rPr>
        <w:footnoteRef/>
      </w:r>
      <w:r w:rsidRPr="003A0507">
        <w:rPr>
          <w:sz w:val="26"/>
          <w:szCs w:val="26"/>
        </w:rPr>
        <w:t xml:space="preserve"> The estimates for cost per response are derived using the following formula: Average Burden Hours per Response</w:t>
      </w:r>
      <w:r w:rsidR="00893C9F">
        <w:rPr>
          <w:sz w:val="26"/>
          <w:szCs w:val="26"/>
        </w:rPr>
        <w:t xml:space="preserve"> x</w:t>
      </w:r>
      <w:r w:rsidRPr="003A0507">
        <w:rPr>
          <w:sz w:val="26"/>
          <w:szCs w:val="26"/>
        </w:rPr>
        <w:t xml:space="preserve"> </w:t>
      </w:r>
      <w:r w:rsidR="00893C9F">
        <w:rPr>
          <w:sz w:val="26"/>
          <w:szCs w:val="26"/>
        </w:rPr>
        <w:t>$83/h</w:t>
      </w:r>
      <w:r w:rsidRPr="003A0507">
        <w:rPr>
          <w:sz w:val="26"/>
          <w:szCs w:val="26"/>
        </w:rPr>
        <w:t>our = Average Cost per Response.  The cost per hour figure is the FERC 20</w:t>
      </w:r>
      <w:r w:rsidR="000A6164">
        <w:rPr>
          <w:sz w:val="26"/>
          <w:szCs w:val="26"/>
        </w:rPr>
        <w:t>20</w:t>
      </w:r>
      <w:r w:rsidRPr="003A0507">
        <w:rPr>
          <w:sz w:val="26"/>
          <w:szCs w:val="26"/>
        </w:rPr>
        <w:t xml:space="preserve"> average salary plus benefits.  Subject matter experts found that industry employment costs closely resemble FERC’s regarding the FERC-716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317B" w14:textId="77777777" w:rsidR="00411C21" w:rsidRDefault="00411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772058"/>
      <w:docPartObj>
        <w:docPartGallery w:val="Page Numbers (Top of Page)"/>
        <w:docPartUnique/>
      </w:docPartObj>
    </w:sdtPr>
    <w:sdtEndPr>
      <w:rPr>
        <w:noProof/>
      </w:rPr>
    </w:sdtEndPr>
    <w:sdtContent>
      <w:p w14:paraId="12C0F198" w14:textId="1D752B33" w:rsidR="00411C21" w:rsidRDefault="00411C21">
        <w:pPr>
          <w:pStyle w:val="Header"/>
        </w:pPr>
        <w:r w:rsidRPr="00980E58">
          <w:t xml:space="preserve">Docket No. </w:t>
        </w:r>
        <w:r w:rsidRPr="00974530">
          <w:t>I</w:t>
        </w:r>
        <w:r>
          <w:t>C21</w:t>
        </w:r>
        <w:r w:rsidRPr="00974530">
          <w:t>-</w:t>
        </w:r>
        <w:r>
          <w:t>15</w:t>
        </w:r>
        <w:r w:rsidRPr="00974530">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79B7AC0" w:rsidR="00F82EE1" w:rsidRPr="00411C21" w:rsidRDefault="00F82EE1" w:rsidP="00411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83AA" w14:textId="77777777" w:rsidR="00411C21" w:rsidRDefault="0041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2427"/>
    <w:rsid w:val="0008692A"/>
    <w:rsid w:val="00093F79"/>
    <w:rsid w:val="000A0250"/>
    <w:rsid w:val="000A6164"/>
    <w:rsid w:val="000A6F37"/>
    <w:rsid w:val="000A7E68"/>
    <w:rsid w:val="000B5C78"/>
    <w:rsid w:val="000D318C"/>
    <w:rsid w:val="000D456C"/>
    <w:rsid w:val="000E2568"/>
    <w:rsid w:val="000F606E"/>
    <w:rsid w:val="00116326"/>
    <w:rsid w:val="00125991"/>
    <w:rsid w:val="0015445B"/>
    <w:rsid w:val="00156BBB"/>
    <w:rsid w:val="00156E2E"/>
    <w:rsid w:val="001600DF"/>
    <w:rsid w:val="00164215"/>
    <w:rsid w:val="00171725"/>
    <w:rsid w:val="0017684C"/>
    <w:rsid w:val="00177704"/>
    <w:rsid w:val="00181BF7"/>
    <w:rsid w:val="00184A26"/>
    <w:rsid w:val="00184B43"/>
    <w:rsid w:val="0019402A"/>
    <w:rsid w:val="00197435"/>
    <w:rsid w:val="001A6645"/>
    <w:rsid w:val="001A6AD6"/>
    <w:rsid w:val="001B78B8"/>
    <w:rsid w:val="001C7064"/>
    <w:rsid w:val="001D578A"/>
    <w:rsid w:val="001F1CDF"/>
    <w:rsid w:val="00202E41"/>
    <w:rsid w:val="002131D0"/>
    <w:rsid w:val="00224BF8"/>
    <w:rsid w:val="0024309C"/>
    <w:rsid w:val="00253F98"/>
    <w:rsid w:val="00257CC2"/>
    <w:rsid w:val="00266431"/>
    <w:rsid w:val="00292A4C"/>
    <w:rsid w:val="00297211"/>
    <w:rsid w:val="002C3223"/>
    <w:rsid w:val="002C3579"/>
    <w:rsid w:val="002D17E5"/>
    <w:rsid w:val="002E06A0"/>
    <w:rsid w:val="002E6DAA"/>
    <w:rsid w:val="002F4401"/>
    <w:rsid w:val="00301E3D"/>
    <w:rsid w:val="00303516"/>
    <w:rsid w:val="00306318"/>
    <w:rsid w:val="00311D90"/>
    <w:rsid w:val="00312918"/>
    <w:rsid w:val="00314219"/>
    <w:rsid w:val="003149BC"/>
    <w:rsid w:val="00325FFC"/>
    <w:rsid w:val="00336AD9"/>
    <w:rsid w:val="00343195"/>
    <w:rsid w:val="00365468"/>
    <w:rsid w:val="003658A2"/>
    <w:rsid w:val="003673EC"/>
    <w:rsid w:val="00373A2E"/>
    <w:rsid w:val="00376525"/>
    <w:rsid w:val="00397ABE"/>
    <w:rsid w:val="003A2C3F"/>
    <w:rsid w:val="003B38F3"/>
    <w:rsid w:val="003B435C"/>
    <w:rsid w:val="003B5B0B"/>
    <w:rsid w:val="003C08DE"/>
    <w:rsid w:val="003C3E7A"/>
    <w:rsid w:val="003D28D2"/>
    <w:rsid w:val="003E1657"/>
    <w:rsid w:val="003E1B5A"/>
    <w:rsid w:val="003E40B2"/>
    <w:rsid w:val="003E44AD"/>
    <w:rsid w:val="003F0FE7"/>
    <w:rsid w:val="003F2E32"/>
    <w:rsid w:val="003F570B"/>
    <w:rsid w:val="00411B62"/>
    <w:rsid w:val="00411C21"/>
    <w:rsid w:val="004177CD"/>
    <w:rsid w:val="0042688C"/>
    <w:rsid w:val="0042765E"/>
    <w:rsid w:val="00427AE5"/>
    <w:rsid w:val="00443282"/>
    <w:rsid w:val="004562F1"/>
    <w:rsid w:val="004628F2"/>
    <w:rsid w:val="00471921"/>
    <w:rsid w:val="00491543"/>
    <w:rsid w:val="004A0455"/>
    <w:rsid w:val="004A661D"/>
    <w:rsid w:val="004C0BC3"/>
    <w:rsid w:val="004C70C8"/>
    <w:rsid w:val="004E683E"/>
    <w:rsid w:val="00524164"/>
    <w:rsid w:val="00527733"/>
    <w:rsid w:val="00531000"/>
    <w:rsid w:val="005401E0"/>
    <w:rsid w:val="00544424"/>
    <w:rsid w:val="0054746C"/>
    <w:rsid w:val="00565830"/>
    <w:rsid w:val="00565B5E"/>
    <w:rsid w:val="00566B5F"/>
    <w:rsid w:val="00587D1F"/>
    <w:rsid w:val="005953A1"/>
    <w:rsid w:val="005A2F24"/>
    <w:rsid w:val="005A6119"/>
    <w:rsid w:val="005B4DA4"/>
    <w:rsid w:val="005C180F"/>
    <w:rsid w:val="005C77BE"/>
    <w:rsid w:val="005D206B"/>
    <w:rsid w:val="005D238D"/>
    <w:rsid w:val="005E0B1A"/>
    <w:rsid w:val="005E45C6"/>
    <w:rsid w:val="006128A5"/>
    <w:rsid w:val="00613169"/>
    <w:rsid w:val="0062572C"/>
    <w:rsid w:val="00630E07"/>
    <w:rsid w:val="0063784F"/>
    <w:rsid w:val="00637F43"/>
    <w:rsid w:val="00644A1B"/>
    <w:rsid w:val="006536D8"/>
    <w:rsid w:val="00654399"/>
    <w:rsid w:val="00654BA4"/>
    <w:rsid w:val="0066195A"/>
    <w:rsid w:val="00664931"/>
    <w:rsid w:val="006670C8"/>
    <w:rsid w:val="006841A7"/>
    <w:rsid w:val="00693721"/>
    <w:rsid w:val="00694C22"/>
    <w:rsid w:val="006963BC"/>
    <w:rsid w:val="006970F4"/>
    <w:rsid w:val="006A2E15"/>
    <w:rsid w:val="006E7CBB"/>
    <w:rsid w:val="006F7028"/>
    <w:rsid w:val="006F749E"/>
    <w:rsid w:val="007024F1"/>
    <w:rsid w:val="00713417"/>
    <w:rsid w:val="00714EDD"/>
    <w:rsid w:val="0071596F"/>
    <w:rsid w:val="00723505"/>
    <w:rsid w:val="007263B9"/>
    <w:rsid w:val="0075009F"/>
    <w:rsid w:val="00781E6A"/>
    <w:rsid w:val="007B1F57"/>
    <w:rsid w:val="007B2BAE"/>
    <w:rsid w:val="007B4938"/>
    <w:rsid w:val="007E3706"/>
    <w:rsid w:val="007F4CD3"/>
    <w:rsid w:val="007F61C2"/>
    <w:rsid w:val="008018DB"/>
    <w:rsid w:val="00803CA2"/>
    <w:rsid w:val="00807CAC"/>
    <w:rsid w:val="008115BF"/>
    <w:rsid w:val="00816942"/>
    <w:rsid w:val="008212DA"/>
    <w:rsid w:val="00824D81"/>
    <w:rsid w:val="00835322"/>
    <w:rsid w:val="00853ABC"/>
    <w:rsid w:val="00871D53"/>
    <w:rsid w:val="00871DCE"/>
    <w:rsid w:val="00881405"/>
    <w:rsid w:val="0089069F"/>
    <w:rsid w:val="00893C9F"/>
    <w:rsid w:val="00895B40"/>
    <w:rsid w:val="00895DA2"/>
    <w:rsid w:val="00897359"/>
    <w:rsid w:val="008A7371"/>
    <w:rsid w:val="008B7EC5"/>
    <w:rsid w:val="008D25B7"/>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95921"/>
    <w:rsid w:val="009A1B08"/>
    <w:rsid w:val="009C3CB9"/>
    <w:rsid w:val="009C4A13"/>
    <w:rsid w:val="009C745D"/>
    <w:rsid w:val="009E2D84"/>
    <w:rsid w:val="009F7DE3"/>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A516A"/>
    <w:rsid w:val="00AA5B0E"/>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11D16"/>
    <w:rsid w:val="00B24588"/>
    <w:rsid w:val="00B447D7"/>
    <w:rsid w:val="00B61016"/>
    <w:rsid w:val="00B71BAA"/>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58D5"/>
    <w:rsid w:val="00C1124F"/>
    <w:rsid w:val="00C1686C"/>
    <w:rsid w:val="00C30DED"/>
    <w:rsid w:val="00C367A6"/>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72BC"/>
    <w:rsid w:val="00DA529F"/>
    <w:rsid w:val="00DB5AAE"/>
    <w:rsid w:val="00DB6882"/>
    <w:rsid w:val="00DC5017"/>
    <w:rsid w:val="00DC5129"/>
    <w:rsid w:val="00DD7F1B"/>
    <w:rsid w:val="00E12A7A"/>
    <w:rsid w:val="00E27FD6"/>
    <w:rsid w:val="00E41DB9"/>
    <w:rsid w:val="00E762BB"/>
    <w:rsid w:val="00E8661B"/>
    <w:rsid w:val="00E9084E"/>
    <w:rsid w:val="00E962E6"/>
    <w:rsid w:val="00EA689F"/>
    <w:rsid w:val="00EC1434"/>
    <w:rsid w:val="00EC72B0"/>
    <w:rsid w:val="00EF33BE"/>
    <w:rsid w:val="00EF4F97"/>
    <w:rsid w:val="00F126FC"/>
    <w:rsid w:val="00F12983"/>
    <w:rsid w:val="00F15359"/>
    <w:rsid w:val="00F245A2"/>
    <w:rsid w:val="00F309CB"/>
    <w:rsid w:val="00F33EEE"/>
    <w:rsid w:val="00F37B05"/>
    <w:rsid w:val="00F44A0E"/>
    <w:rsid w:val="00F4763C"/>
    <w:rsid w:val="00F540BA"/>
    <w:rsid w:val="00F64069"/>
    <w:rsid w:val="00F64D6D"/>
    <w:rsid w:val="00F82EE1"/>
    <w:rsid w:val="00F93134"/>
    <w:rsid w:val="00FB078F"/>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5e8733a2-e908-454b-85cf-c9d17e1d0943"/>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98BE53-EF32-41E9-BE00-FA2032264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6B22B0A8-CE17-497C-BB43-EE3B7B3839D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8</ap:TotalTime>
  <ap:Pages>4</ap:Pages>
  <ap:Words>816</ap:Words>
  <ap:Characters>4653</ap:Characters>
  <ap:Application>Microsoft Office Word</ap:Application>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5459</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2021-04-13T21:14:00.0000000Z</dcterms:created>
  <dcterms:modified xsi:type="dcterms:W3CDTF">2021-04-14T12:30:00.0000000Z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