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79B4" w:rsidR="009E118C" w:rsidP="00FA2F70" w:rsidRDefault="009E118C" w14:paraId="5E07C9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Pr="00934DD3" w:rsidR="00934DD3" w:rsidP="00934DD3" w:rsidRDefault="0050120C" w14:paraId="2EF83506" w14:textId="77777777">
      <w:pPr>
        <w:pStyle w:val="Heading1"/>
        <w:spacing w:line="240" w:lineRule="auto"/>
        <w:jc w:val="center"/>
        <w:rPr>
          <w:color w:val="000000"/>
        </w:rPr>
      </w:pPr>
      <w:r w:rsidRPr="00C879B4">
        <w:rPr>
          <w:color w:val="000000"/>
        </w:rPr>
        <w:t>Title</w:t>
      </w:r>
      <w:r w:rsidR="00294E98">
        <w:rPr>
          <w:color w:val="000000"/>
        </w:rPr>
        <w:t>:</w:t>
      </w:r>
      <w:r w:rsidR="00934DD3">
        <w:rPr>
          <w:color w:val="000000"/>
        </w:rPr>
        <w:t xml:space="preserve">  </w:t>
      </w:r>
      <w:r w:rsidRPr="00934DD3" w:rsidR="00934DD3">
        <w:rPr>
          <w:color w:val="000000"/>
        </w:rPr>
        <w:t>Single Family Premium Collection Subsystem- Periodic (SFPCS-P)</w:t>
      </w:r>
    </w:p>
    <w:p w:rsidRPr="00C879B4" w:rsidR="009E118C" w:rsidP="00FA2F70" w:rsidRDefault="0050120C" w14:paraId="11D0B1F0" w14:textId="685DBA5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445F32">
        <w:rPr>
          <w:rFonts w:ascii="Helvetica" w:hAnsi="Helvetica"/>
          <w:b/>
          <w:color w:val="000000"/>
          <w:sz w:val="24"/>
        </w:rPr>
        <w:t>0536</w:t>
      </w:r>
    </w:p>
    <w:p w:rsidRPr="00C879B4" w:rsidR="009E118C" w:rsidP="00FA2F70" w:rsidRDefault="00934DD3" w14:paraId="0E46F1AC" w14:textId="613DB5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Forms: None</w:t>
      </w:r>
    </w:p>
    <w:p w:rsidRPr="00C879B4" w:rsidR="009E118C" w:rsidP="00FA2F70" w:rsidRDefault="009E118C" w14:paraId="52B210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143A6C1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2051D1B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66D14BA3" w14:textId="77777777">
        <w:tc>
          <w:tcPr>
            <w:tcW w:w="9360" w:type="dxa"/>
            <w:shd w:val="clear" w:color="auto" w:fill="auto"/>
          </w:tcPr>
          <w:p w:rsidR="00FA2F70" w:rsidP="001B4FB5" w:rsidRDefault="00FA2F70" w14:paraId="7DE698F7" w14:textId="6417798B">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Pr="00C879B4" w:rsidR="003C0FD9" w:rsidP="001B4FB5" w:rsidRDefault="003C0FD9" w14:paraId="739EC487" w14:textId="77777777">
            <w:pPr>
              <w:spacing w:after="0" w:line="240" w:lineRule="auto"/>
              <w:rPr>
                <w:rFonts w:ascii="Times New Roman" w:hAnsi="Times New Roman"/>
                <w:b/>
                <w:color w:val="000000"/>
                <w:sz w:val="24"/>
                <w:szCs w:val="24"/>
              </w:rPr>
            </w:pPr>
          </w:p>
          <w:p w:rsidRPr="00C879B4" w:rsidR="00FA2F70" w:rsidP="00934DD3" w:rsidRDefault="003C0FD9" w14:paraId="12872CE0" w14:textId="59379D4D">
            <w:pPr>
              <w:overflowPunct w:val="0"/>
              <w:autoSpaceDE w:val="0"/>
              <w:autoSpaceDN w:val="0"/>
              <w:adjustRightInd w:val="0"/>
              <w:spacing w:after="0" w:line="240" w:lineRule="auto"/>
              <w:ind w:left="360"/>
              <w:rPr>
                <w:rFonts w:ascii="Courier" w:hAnsi="Courier"/>
                <w:color w:val="000000"/>
                <w:sz w:val="24"/>
              </w:rPr>
            </w:pPr>
            <w:r>
              <w:rPr>
                <w:rFonts w:ascii="Times New Roman" w:hAnsi="Times New Roman"/>
                <w:sz w:val="24"/>
                <w:szCs w:val="20"/>
              </w:rPr>
              <w:t>The Federal Credit Reform Act of 1990</w:t>
            </w:r>
            <w:r w:rsidR="00EF07A6">
              <w:rPr>
                <w:rFonts w:ascii="Times New Roman" w:hAnsi="Times New Roman"/>
                <w:sz w:val="24"/>
                <w:szCs w:val="20"/>
              </w:rPr>
              <w:t xml:space="preserve">, </w:t>
            </w:r>
            <w:r w:rsidR="00EF07A6">
              <w:rPr>
                <w:rFonts w:ascii="Times New Roman" w:hAnsi="Times New Roman"/>
                <w:color w:val="000000"/>
                <w:spacing w:val="6"/>
                <w:sz w:val="24"/>
                <w:szCs w:val="24"/>
              </w:rPr>
              <w:t>2 U.S.C. 661</w:t>
            </w:r>
            <w:r w:rsidR="00EE0663">
              <w:rPr>
                <w:rFonts w:ascii="Times New Roman" w:hAnsi="Times New Roman"/>
                <w:color w:val="000000"/>
                <w:spacing w:val="6"/>
                <w:sz w:val="24"/>
                <w:szCs w:val="24"/>
              </w:rPr>
              <w:t>,</w:t>
            </w:r>
            <w:r w:rsidR="00EF07A6">
              <w:rPr>
                <w:rFonts w:ascii="Times New Roman" w:hAnsi="Times New Roman"/>
                <w:color w:val="000000"/>
                <w:spacing w:val="6"/>
                <w:sz w:val="24"/>
                <w:szCs w:val="24"/>
              </w:rPr>
              <w:t xml:space="preserve"> </w:t>
            </w:r>
            <w:r w:rsidRPr="00EE0663" w:rsidR="00EF07A6">
              <w:rPr>
                <w:rFonts w:ascii="Times New Roman" w:hAnsi="Times New Roman"/>
                <w:i/>
                <w:iCs/>
                <w:color w:val="000000"/>
                <w:spacing w:val="6"/>
                <w:sz w:val="24"/>
                <w:szCs w:val="24"/>
              </w:rPr>
              <w:t>et seq</w:t>
            </w:r>
            <w:r w:rsidR="00EE0663">
              <w:rPr>
                <w:rFonts w:ascii="Times New Roman" w:hAnsi="Times New Roman"/>
                <w:color w:val="000000"/>
                <w:spacing w:val="6"/>
                <w:sz w:val="24"/>
                <w:szCs w:val="24"/>
              </w:rPr>
              <w:t>.</w:t>
            </w:r>
            <w:r w:rsidR="00EF07A6">
              <w:rPr>
                <w:rFonts w:ascii="Times New Roman" w:hAnsi="Times New Roman"/>
                <w:color w:val="000000"/>
                <w:spacing w:val="6"/>
                <w:sz w:val="24"/>
                <w:szCs w:val="24"/>
              </w:rPr>
              <w:t>,</w:t>
            </w:r>
            <w:r>
              <w:rPr>
                <w:rFonts w:ascii="Times New Roman" w:hAnsi="Times New Roman"/>
                <w:sz w:val="24"/>
                <w:szCs w:val="20"/>
              </w:rPr>
              <w:t xml:space="preserve"> requires FHA to report case level mortgage insurance premium payment information for each endorsement beginning with FY 1991.  Section 24 CFR 203.264 requires mortgagees to pay the periodic mortgage insurance premium (MIP) that is due for insured mortgages on or before the tenth day of each month.  Section 24 CFR 203.269 allows the Commissioner to require that the MIP be remitted electronically.</w:t>
            </w:r>
          </w:p>
        </w:tc>
      </w:tr>
      <w:tr w:rsidRPr="00C879B4" w:rsidR="00FA2F70" w:rsidTr="00D35DDB" w14:paraId="3942FA4B" w14:textId="77777777">
        <w:tc>
          <w:tcPr>
            <w:tcW w:w="9360" w:type="dxa"/>
            <w:shd w:val="clear" w:color="auto" w:fill="auto"/>
          </w:tcPr>
          <w:p w:rsidRPr="00C879B4" w:rsidR="00FA2F70" w:rsidP="001B4FB5" w:rsidRDefault="00FA2F70" w14:paraId="064FAA4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5988ED0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5FE193ED" w14:textId="77777777">
        <w:tc>
          <w:tcPr>
            <w:tcW w:w="9360" w:type="dxa"/>
            <w:shd w:val="clear" w:color="auto" w:fill="auto"/>
          </w:tcPr>
          <w:p w:rsidRPr="00C879B4" w:rsidR="00FA2F70" w:rsidP="001B4FB5" w:rsidRDefault="00FA2F70" w14:paraId="74FB1BC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C879B4" w:rsidR="00FA2F70" w:rsidP="001B4FB5" w:rsidRDefault="00FA2F70" w14:paraId="6066B95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28F49432" w14:textId="77777777">
        <w:tc>
          <w:tcPr>
            <w:tcW w:w="9360" w:type="dxa"/>
            <w:shd w:val="clear" w:color="auto" w:fill="auto"/>
          </w:tcPr>
          <w:p w:rsidR="003C0FD9" w:rsidP="003C0FD9" w:rsidRDefault="003C0FD9" w14:paraId="7B4CFF7B" w14:textId="77777777">
            <w:pPr>
              <w:overflowPunct w:val="0"/>
              <w:autoSpaceDE w:val="0"/>
              <w:autoSpaceDN w:val="0"/>
              <w:adjustRightInd w:val="0"/>
              <w:spacing w:after="0" w:line="240" w:lineRule="auto"/>
              <w:ind w:left="360"/>
              <w:rPr>
                <w:rFonts w:ascii="Times New Roman" w:hAnsi="Times New Roman"/>
                <w:sz w:val="24"/>
                <w:szCs w:val="20"/>
              </w:rPr>
            </w:pPr>
            <w:r>
              <w:rPr>
                <w:rFonts w:ascii="Times New Roman" w:hAnsi="Times New Roman"/>
                <w:sz w:val="24"/>
                <w:szCs w:val="20"/>
              </w:rPr>
              <w:t xml:space="preserve">FHA lenders provide the subject information to facilitate electronic transmission of periodic payments of MIP via the Automated Clearing House (ACH) system.  Pay.gov processes payments electronically (electronic funds transfer or EFT) through the Automated Clearing House (ACH) using a checking account debit. The Federal Reserve Bank of Cleveland, which maintains the Pay.gov system, is used for the ACH debit.  Pay.gov </w:t>
            </w:r>
            <w:r>
              <w:rPr>
                <w:rFonts w:ascii="Times New Roman" w:hAnsi="Times New Roman"/>
                <w:sz w:val="24"/>
                <w:szCs w:val="24"/>
              </w:rPr>
              <w:t xml:space="preserve">is managed by the Bureau of the Fiscal Service of the U.S. Department of the Treasury.  </w:t>
            </w:r>
          </w:p>
          <w:p w:rsidR="003C0FD9" w:rsidP="003C0FD9" w:rsidRDefault="003C0FD9" w14:paraId="53F20FB6" w14:textId="77777777">
            <w:pPr>
              <w:overflowPunct w:val="0"/>
              <w:autoSpaceDE w:val="0"/>
              <w:autoSpaceDN w:val="0"/>
              <w:adjustRightInd w:val="0"/>
              <w:spacing w:after="0" w:line="240" w:lineRule="auto"/>
              <w:rPr>
                <w:rFonts w:ascii="Times New Roman" w:hAnsi="Times New Roman"/>
                <w:sz w:val="24"/>
                <w:szCs w:val="20"/>
              </w:rPr>
            </w:pPr>
          </w:p>
          <w:p w:rsidR="003C0FD9" w:rsidP="003C0FD9" w:rsidRDefault="003C0FD9" w14:paraId="0851A70A" w14:textId="6AEBF9F7">
            <w:pPr>
              <w:overflowPunct w:val="0"/>
              <w:autoSpaceDE w:val="0"/>
              <w:autoSpaceDN w:val="0"/>
              <w:adjustRightInd w:val="0"/>
              <w:spacing w:after="0" w:line="240" w:lineRule="auto"/>
              <w:ind w:left="360"/>
              <w:rPr>
                <w:rFonts w:ascii="Times New Roman" w:hAnsi="Times New Roman"/>
                <w:sz w:val="24"/>
                <w:szCs w:val="20"/>
              </w:rPr>
            </w:pPr>
            <w:r>
              <w:rPr>
                <w:rFonts w:ascii="Times New Roman" w:hAnsi="Times New Roman"/>
                <w:sz w:val="24"/>
                <w:szCs w:val="20"/>
              </w:rPr>
              <w:t xml:space="preserve">Case level detail of all MIP payments is submitted when the MIP is paid including information related to underlying loan which is covered by OMB </w:t>
            </w:r>
            <w:r w:rsidR="00B223D4">
              <w:rPr>
                <w:rFonts w:ascii="Times New Roman" w:hAnsi="Times New Roman"/>
                <w:sz w:val="24"/>
                <w:szCs w:val="20"/>
              </w:rPr>
              <w:t xml:space="preserve">Collection </w:t>
            </w:r>
            <w:r>
              <w:rPr>
                <w:rFonts w:ascii="Times New Roman" w:hAnsi="Times New Roman"/>
                <w:sz w:val="24"/>
                <w:szCs w:val="20"/>
              </w:rPr>
              <w:t>2502-0059</w:t>
            </w:r>
            <w:r w:rsidR="00B223D4">
              <w:rPr>
                <w:rFonts w:ascii="Times New Roman" w:hAnsi="Times New Roman"/>
                <w:sz w:val="24"/>
                <w:szCs w:val="20"/>
              </w:rPr>
              <w:t>, which expires</w:t>
            </w:r>
            <w:r w:rsidR="00A6429B">
              <w:rPr>
                <w:rFonts w:ascii="Times New Roman" w:hAnsi="Times New Roman"/>
                <w:sz w:val="24"/>
                <w:szCs w:val="20"/>
              </w:rPr>
              <w:t xml:space="preserve"> on</w:t>
            </w:r>
            <w:r w:rsidR="00B223D4">
              <w:rPr>
                <w:rFonts w:ascii="Times New Roman" w:hAnsi="Times New Roman"/>
                <w:sz w:val="24"/>
                <w:szCs w:val="20"/>
              </w:rPr>
              <w:t xml:space="preserve"> 12/31/2023</w:t>
            </w:r>
            <w:r>
              <w:rPr>
                <w:rFonts w:ascii="Times New Roman" w:hAnsi="Times New Roman"/>
                <w:sz w:val="24"/>
                <w:szCs w:val="20"/>
              </w:rPr>
              <w:t xml:space="preserve">.  The mortgagee pays each MIP in twelve equal monthly installments.  Each monthly installment is due to the FHA Commissioner no later than the tenth day of each month, beginning in the month in which the mortgagor is required to make the first monthly mortgage payment.  </w:t>
            </w:r>
          </w:p>
          <w:p w:rsidRPr="00C879B4" w:rsidR="00FA2F70" w:rsidP="001B4FB5" w:rsidRDefault="00FA2F70" w14:paraId="6BF4C9F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49E6140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3C0FD9" w14:paraId="50C65A20" w14:textId="77777777">
        <w:tc>
          <w:tcPr>
            <w:tcW w:w="9252" w:type="dxa"/>
            <w:shd w:val="clear" w:color="auto" w:fill="auto"/>
          </w:tcPr>
          <w:p w:rsidRPr="00C879B4" w:rsidR="00FA2F70" w:rsidP="001B4FB5" w:rsidRDefault="00FA2F70" w14:paraId="1A9C71B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7EC46E3F" w14:textId="77777777">
            <w:pPr>
              <w:spacing w:after="0" w:line="240" w:lineRule="auto"/>
              <w:rPr>
                <w:rFonts w:ascii="Times New Roman" w:hAnsi="Times New Roman"/>
                <w:b/>
                <w:color w:val="000000"/>
                <w:sz w:val="24"/>
                <w:szCs w:val="24"/>
              </w:rPr>
            </w:pPr>
          </w:p>
        </w:tc>
      </w:tr>
      <w:tr w:rsidRPr="00C879B4" w:rsidR="00FA2F70" w:rsidTr="003C0FD9" w14:paraId="1350A998" w14:textId="77777777">
        <w:tc>
          <w:tcPr>
            <w:tcW w:w="9252" w:type="dxa"/>
            <w:shd w:val="clear" w:color="auto" w:fill="auto"/>
          </w:tcPr>
          <w:p w:rsidRPr="00C879B4" w:rsidR="00FA2F70" w:rsidP="001B4FB5" w:rsidRDefault="00FA2F70" w14:paraId="647C658C" w14:textId="77777777">
            <w:pPr>
              <w:spacing w:after="0" w:line="240" w:lineRule="auto"/>
              <w:rPr>
                <w:rFonts w:ascii="Times New Roman" w:hAnsi="Times New Roman"/>
                <w:b/>
                <w:color w:val="000000"/>
                <w:sz w:val="24"/>
                <w:szCs w:val="24"/>
              </w:rPr>
            </w:pPr>
          </w:p>
        </w:tc>
      </w:tr>
    </w:tbl>
    <w:p w:rsidR="003C0FD9" w:rsidP="003C0FD9" w:rsidRDefault="003C0FD9" w14:paraId="1D514E1C" w14:textId="7BA8B0E7">
      <w:pPr>
        <w:pStyle w:val="BodyTextIndent"/>
        <w:ind w:firstLine="0"/>
      </w:pPr>
      <w:r>
        <w:lastRenderedPageBreak/>
        <w:t xml:space="preserve">All information is submitted electronically via the Automated Clearing House (ACH). Copies of select screen shots are attached.  Data is provided from mortgagee’s records through an automated upload process, which electronically confirms record information with HUD\FHA records to validate payment of MIP by mortgagor to mortgagee, and then identifies amount of payment for Treasury to extract from mortgagee. Portions of data used to identify accounts, mortgagors, and properties are already approved under Lender Activities utilizing </w:t>
      </w:r>
      <w:r w:rsidR="00A6429B">
        <w:t>OMB C</w:t>
      </w:r>
      <w:r>
        <w:t>ollection 2502-0005</w:t>
      </w:r>
      <w:r w:rsidR="00A6429B">
        <w:t>, which expire</w:t>
      </w:r>
      <w:r w:rsidR="00F96F4A">
        <w:t>s</w:t>
      </w:r>
      <w:r w:rsidR="00A6429B">
        <w:t xml:space="preserve"> on 10/31/2022</w:t>
      </w:r>
      <w:r>
        <w:t xml:space="preserve">.  The data submitted to validate MIP is being requested through this collection. </w:t>
      </w:r>
    </w:p>
    <w:p w:rsidRPr="00C879B4" w:rsidR="00FA2F70" w:rsidP="00FA2F70" w:rsidRDefault="00FA2F70" w14:paraId="1886D7C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09AF7496" w14:textId="77777777">
        <w:tc>
          <w:tcPr>
            <w:tcW w:w="9360" w:type="dxa"/>
            <w:shd w:val="clear" w:color="auto" w:fill="auto"/>
          </w:tcPr>
          <w:p w:rsidRPr="00C879B4" w:rsidR="00FA2F70" w:rsidP="001B4FB5" w:rsidRDefault="00FA2F70" w14:paraId="080FCF0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FA2F70" w:rsidP="001B4FB5" w:rsidRDefault="00FA2F70" w14:paraId="6186C138" w14:textId="77777777">
            <w:pPr>
              <w:spacing w:after="0" w:line="240" w:lineRule="auto"/>
              <w:rPr>
                <w:rFonts w:ascii="Times New Roman" w:hAnsi="Times New Roman"/>
                <w:b/>
                <w:color w:val="000000"/>
                <w:sz w:val="24"/>
                <w:szCs w:val="24"/>
              </w:rPr>
            </w:pPr>
          </w:p>
        </w:tc>
      </w:tr>
      <w:tr w:rsidRPr="00C879B4" w:rsidR="00FA2F70" w:rsidTr="00D35DDB" w14:paraId="612410B6" w14:textId="77777777">
        <w:tc>
          <w:tcPr>
            <w:tcW w:w="9360" w:type="dxa"/>
            <w:shd w:val="clear" w:color="auto" w:fill="auto"/>
          </w:tcPr>
          <w:p w:rsidRPr="00C879B4" w:rsidR="00FA2F70" w:rsidP="001B4FB5" w:rsidRDefault="003C0FD9" w14:paraId="2B185FE8" w14:textId="5D256A32">
            <w:pPr>
              <w:spacing w:after="0" w:line="240" w:lineRule="auto"/>
              <w:rPr>
                <w:rFonts w:ascii="Times New Roman" w:hAnsi="Times New Roman"/>
                <w:b/>
                <w:color w:val="000000"/>
                <w:sz w:val="24"/>
                <w:szCs w:val="24"/>
              </w:rPr>
            </w:pPr>
            <w:r>
              <w:rPr>
                <w:rFonts w:ascii="Times New Roman" w:hAnsi="Times New Roman"/>
                <w:sz w:val="24"/>
                <w:szCs w:val="20"/>
              </w:rPr>
              <w:t>No duplicate data exists.  The data is not available from other sources</w:t>
            </w:r>
            <w:r w:rsidR="00934DD3">
              <w:rPr>
                <w:rFonts w:ascii="Times New Roman" w:hAnsi="Times New Roman"/>
                <w:sz w:val="24"/>
                <w:szCs w:val="20"/>
              </w:rPr>
              <w:t>.</w:t>
            </w:r>
          </w:p>
        </w:tc>
      </w:tr>
    </w:tbl>
    <w:p w:rsidRPr="00C879B4" w:rsidR="00FA2F70" w:rsidP="00FA2F70" w:rsidRDefault="00FA2F70" w14:paraId="3FA1F04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67EE9432" w14:textId="77777777">
        <w:tc>
          <w:tcPr>
            <w:tcW w:w="9360" w:type="dxa"/>
            <w:shd w:val="clear" w:color="auto" w:fill="auto"/>
          </w:tcPr>
          <w:p w:rsidRPr="00C879B4" w:rsidR="00FA2F70" w:rsidP="001B4FB5" w:rsidRDefault="00FA2F70" w14:paraId="428ADB2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64067CCC" w14:textId="77777777">
            <w:pPr>
              <w:spacing w:after="0" w:line="240" w:lineRule="auto"/>
              <w:rPr>
                <w:rFonts w:ascii="Times New Roman" w:hAnsi="Times New Roman"/>
                <w:b/>
                <w:color w:val="000000"/>
                <w:sz w:val="24"/>
                <w:szCs w:val="24"/>
              </w:rPr>
            </w:pPr>
          </w:p>
        </w:tc>
      </w:tr>
      <w:tr w:rsidRPr="00C879B4" w:rsidR="00FA2F70" w:rsidTr="00D35DDB" w14:paraId="219E1273" w14:textId="77777777">
        <w:tc>
          <w:tcPr>
            <w:tcW w:w="9360" w:type="dxa"/>
            <w:shd w:val="clear" w:color="auto" w:fill="auto"/>
          </w:tcPr>
          <w:p w:rsidR="003C0FD9" w:rsidP="003C0FD9" w:rsidRDefault="003C0FD9" w14:paraId="511668C5" w14:textId="77777777">
            <w:pPr>
              <w:overflowPunct w:val="0"/>
              <w:autoSpaceDE w:val="0"/>
              <w:autoSpaceDN w:val="0"/>
              <w:adjustRightInd w:val="0"/>
              <w:spacing w:after="0" w:line="240" w:lineRule="auto"/>
              <w:ind w:left="360" w:hanging="360"/>
              <w:rPr>
                <w:rFonts w:ascii="Times New Roman" w:hAnsi="Times New Roman"/>
                <w:sz w:val="24"/>
                <w:szCs w:val="24"/>
              </w:rPr>
            </w:pPr>
            <w:r>
              <w:rPr>
                <w:rFonts w:ascii="Times New Roman" w:hAnsi="Times New Roman"/>
                <w:sz w:val="24"/>
                <w:szCs w:val="24"/>
              </w:rPr>
              <w:t>The collection of this information does not impact on small businesses or other small entities.</w:t>
            </w:r>
          </w:p>
          <w:p w:rsidR="003C0FD9" w:rsidP="003C0FD9" w:rsidRDefault="003C0FD9" w14:paraId="63BE3C15" w14:textId="40ABB898">
            <w:pPr>
              <w:pStyle w:val="BodyTextIndent"/>
              <w:rPr>
                <w:szCs w:val="24"/>
              </w:rPr>
            </w:pPr>
            <w:r>
              <w:rPr>
                <w:szCs w:val="24"/>
              </w:rPr>
              <w:t>Mortgagors affiliated with these programs are not small businesses, or small entities.</w:t>
            </w:r>
          </w:p>
          <w:p w:rsidRPr="00C879B4" w:rsidR="00FA2F70" w:rsidP="001B4FB5" w:rsidRDefault="00FA2F70" w14:paraId="46B82631" w14:textId="77777777">
            <w:pPr>
              <w:spacing w:after="0" w:line="240" w:lineRule="auto"/>
              <w:rPr>
                <w:rFonts w:ascii="Times New Roman" w:hAnsi="Times New Roman"/>
                <w:b/>
                <w:color w:val="000000"/>
                <w:sz w:val="24"/>
                <w:szCs w:val="24"/>
              </w:rPr>
            </w:pPr>
          </w:p>
        </w:tc>
      </w:tr>
    </w:tbl>
    <w:p w:rsidRPr="00C879B4" w:rsidR="00FA2F70" w:rsidP="00FA2F70" w:rsidRDefault="00FA2F70" w14:paraId="483687C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A76C0E" w14:paraId="4A602948" w14:textId="77777777">
        <w:tc>
          <w:tcPr>
            <w:tcW w:w="9252" w:type="dxa"/>
            <w:shd w:val="clear" w:color="auto" w:fill="auto"/>
          </w:tcPr>
          <w:p w:rsidRPr="00C879B4" w:rsidR="00FA2F70" w:rsidP="001B4FB5" w:rsidRDefault="00FA2F70" w14:paraId="6F042B3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0DF9FCB3" w14:textId="77777777">
            <w:pPr>
              <w:spacing w:after="0" w:line="240" w:lineRule="auto"/>
              <w:rPr>
                <w:rFonts w:ascii="Times New Roman" w:hAnsi="Times New Roman"/>
                <w:b/>
                <w:color w:val="000000"/>
                <w:sz w:val="24"/>
                <w:szCs w:val="24"/>
              </w:rPr>
            </w:pPr>
          </w:p>
        </w:tc>
      </w:tr>
      <w:tr w:rsidRPr="00C879B4" w:rsidR="00FA2F70" w:rsidTr="00A76C0E" w14:paraId="6FC90FEB" w14:textId="77777777">
        <w:tc>
          <w:tcPr>
            <w:tcW w:w="9252" w:type="dxa"/>
            <w:shd w:val="clear" w:color="auto" w:fill="auto"/>
          </w:tcPr>
          <w:p w:rsidR="003C0FD9" w:rsidP="002B277F" w:rsidRDefault="003C0FD9" w14:paraId="59CDC5BE" w14:textId="1F888E5F">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If the detailed MIP collection data is not gathered, FHA will not </w:t>
            </w:r>
            <w:proofErr w:type="gramStart"/>
            <w:r>
              <w:rPr>
                <w:rFonts w:ascii="Times New Roman" w:hAnsi="Times New Roman"/>
                <w:sz w:val="24"/>
                <w:szCs w:val="24"/>
              </w:rPr>
              <w:t>be in compliance with</w:t>
            </w:r>
            <w:proofErr w:type="gramEnd"/>
            <w:r>
              <w:rPr>
                <w:rFonts w:ascii="Times New Roman" w:hAnsi="Times New Roman"/>
                <w:sz w:val="24"/>
                <w:szCs w:val="24"/>
              </w:rPr>
              <w:t xml:space="preserve"> the Credit Reform Act and proper funds transmission cannot be accomplished.</w:t>
            </w:r>
          </w:p>
          <w:p w:rsidR="00095AEB" w:rsidP="002B277F" w:rsidRDefault="00095AEB" w14:paraId="54CAA395" w14:textId="7CF2797F">
            <w:pPr>
              <w:overflowPunct w:val="0"/>
              <w:autoSpaceDE w:val="0"/>
              <w:autoSpaceDN w:val="0"/>
              <w:adjustRightInd w:val="0"/>
              <w:spacing w:after="0" w:line="240" w:lineRule="auto"/>
              <w:rPr>
                <w:rFonts w:ascii="Times New Roman" w:hAnsi="Times New Roman"/>
                <w:sz w:val="24"/>
                <w:szCs w:val="24"/>
              </w:rPr>
            </w:pPr>
          </w:p>
          <w:p w:rsidR="00095AEB" w:rsidP="002B277F" w:rsidRDefault="00095AEB" w14:paraId="7D2BEC54" w14:textId="191641A3">
            <w:pPr>
              <w:overflowPunct w:val="0"/>
              <w:autoSpaceDE w:val="0"/>
              <w:autoSpaceDN w:val="0"/>
              <w:adjustRightInd w:val="0"/>
              <w:spacing w:after="0" w:line="240" w:lineRule="auto"/>
              <w:rPr>
                <w:rFonts w:ascii="Times New Roman" w:hAnsi="Times New Roman"/>
                <w:sz w:val="24"/>
                <w:szCs w:val="24"/>
              </w:rPr>
            </w:pPr>
          </w:p>
          <w:p w:rsidRPr="00C879B4" w:rsidR="00095AEB" w:rsidP="00095AEB" w:rsidRDefault="00095AEB" w14:paraId="5980B886"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7</w:t>
            </w:r>
            <w:r w:rsidRPr="00C879B4">
              <w:rPr>
                <w:rFonts w:ascii="Times New Roman" w:hAnsi="Times New Roman"/>
                <w:b/>
                <w:color w:val="000000"/>
                <w:sz w:val="24"/>
                <w:szCs w:val="24"/>
              </w:rPr>
              <w:t>. Explain any special circumstances that would cause an information collection to be conducted in a manner: (PLEASE ANSWER EACH BULLET SEPARATELY)</w:t>
            </w:r>
          </w:p>
          <w:p w:rsidRPr="00C879B4" w:rsidR="00095AEB" w:rsidP="00095AEB" w:rsidRDefault="00095AEB" w14:paraId="3A33CFCF" w14:textId="77777777">
            <w:pPr>
              <w:spacing w:after="0" w:line="240" w:lineRule="auto"/>
              <w:rPr>
                <w:rFonts w:ascii="Times New Roman" w:hAnsi="Times New Roman"/>
                <w:b/>
                <w:color w:val="000000"/>
                <w:sz w:val="24"/>
                <w:szCs w:val="24"/>
              </w:rPr>
            </w:pPr>
          </w:p>
          <w:p w:rsidRPr="00C879B4" w:rsidR="00095AEB" w:rsidP="00095AEB" w:rsidRDefault="00095AEB" w14:paraId="70B81DF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report information to the agency more often than quarterly; </w:t>
            </w:r>
          </w:p>
          <w:p w:rsidR="00095AEB" w:rsidP="00095AEB" w:rsidRDefault="00095AEB" w14:paraId="6261E6BD" w14:textId="77777777">
            <w:pPr>
              <w:rPr>
                <w:rFonts w:ascii="Times New Roman" w:hAnsi="Times New Roman"/>
                <w:sz w:val="24"/>
                <w:szCs w:val="24"/>
              </w:rPr>
            </w:pPr>
          </w:p>
          <w:p w:rsidR="008E4061" w:rsidP="008E4061" w:rsidRDefault="008E4061" w14:paraId="05418653" w14:textId="77777777">
            <w:pPr>
              <w:rPr>
                <w:rFonts w:ascii="Times New Roman" w:hAnsi="Times New Roman"/>
                <w:sz w:val="24"/>
                <w:szCs w:val="24"/>
              </w:rPr>
            </w:pPr>
            <w:r>
              <w:rPr>
                <w:rFonts w:ascii="Times New Roman" w:hAnsi="Times New Roman"/>
                <w:sz w:val="24"/>
                <w:szCs w:val="24"/>
              </w:rPr>
              <w:t xml:space="preserve">Mortgagees are required to submit MIP data </w:t>
            </w:r>
            <w:proofErr w:type="gramStart"/>
            <w:r>
              <w:rPr>
                <w:rFonts w:ascii="Times New Roman" w:hAnsi="Times New Roman"/>
                <w:sz w:val="24"/>
                <w:szCs w:val="24"/>
              </w:rPr>
              <w:t>on a monthly basis</w:t>
            </w:r>
            <w:proofErr w:type="gramEnd"/>
            <w:r>
              <w:rPr>
                <w:rFonts w:ascii="Times New Roman" w:hAnsi="Times New Roman"/>
                <w:sz w:val="24"/>
                <w:szCs w:val="24"/>
              </w:rPr>
              <w:t xml:space="preserve"> when they make their payments through ACH to meet their mortgage insurance contract obligations.  24 CFR § 203.264 Payment of periodic MIP indicates: “The mortgagee shall pay each MIP in twelve equal monthly installments. Each monthly installment shall be due and payable to the Commissioner no later than the tenth day of each month, beginning in the month in which the mortgagor is required to make the first monthly mortgage payment. This will be effective for amortization beginning on or after September 1, 1996.”  </w:t>
            </w:r>
          </w:p>
          <w:p w:rsidR="008E4061" w:rsidP="008E4061" w:rsidRDefault="008E4061" w14:paraId="2CE5888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prepare a written response to a collection of information in fewer than 30 days after receipt of it; </w:t>
            </w:r>
          </w:p>
          <w:p w:rsidRPr="00C879B4" w:rsidR="008E4061" w:rsidP="008E4061" w:rsidRDefault="008E4061" w14:paraId="7CB263AC"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None</w:t>
            </w:r>
          </w:p>
          <w:p w:rsidRPr="00C879B4" w:rsidR="008E4061" w:rsidP="008E4061" w:rsidRDefault="008E4061" w14:paraId="3DCAC3FE" w14:textId="77777777">
            <w:pPr>
              <w:spacing w:after="0" w:line="240" w:lineRule="auto"/>
              <w:rPr>
                <w:rFonts w:ascii="Times New Roman" w:hAnsi="Times New Roman"/>
                <w:color w:val="000000"/>
                <w:sz w:val="24"/>
                <w:szCs w:val="24"/>
              </w:rPr>
            </w:pPr>
          </w:p>
          <w:p w:rsidR="00095AEB" w:rsidP="002B277F" w:rsidRDefault="00095AEB" w14:paraId="05E0CC15" w14:textId="1C01E825">
            <w:pPr>
              <w:overflowPunct w:val="0"/>
              <w:autoSpaceDE w:val="0"/>
              <w:autoSpaceDN w:val="0"/>
              <w:adjustRightInd w:val="0"/>
              <w:spacing w:after="0" w:line="240" w:lineRule="auto"/>
              <w:rPr>
                <w:rFonts w:ascii="Times New Roman" w:hAnsi="Times New Roman"/>
                <w:sz w:val="24"/>
                <w:szCs w:val="24"/>
              </w:rPr>
            </w:pPr>
          </w:p>
          <w:p w:rsidR="00095AEB" w:rsidP="002B277F" w:rsidRDefault="00095AEB" w14:paraId="103394DB" w14:textId="25E25EFE">
            <w:pPr>
              <w:overflowPunct w:val="0"/>
              <w:autoSpaceDE w:val="0"/>
              <w:autoSpaceDN w:val="0"/>
              <w:adjustRightInd w:val="0"/>
              <w:spacing w:after="0" w:line="240" w:lineRule="auto"/>
              <w:rPr>
                <w:rFonts w:ascii="Times New Roman" w:hAnsi="Times New Roman"/>
                <w:sz w:val="24"/>
                <w:szCs w:val="24"/>
              </w:rPr>
            </w:pPr>
          </w:p>
          <w:p w:rsidR="00095AEB" w:rsidP="002B277F" w:rsidRDefault="00095AEB" w14:paraId="416A7C56" w14:textId="2D30CCE7">
            <w:pPr>
              <w:overflowPunct w:val="0"/>
              <w:autoSpaceDE w:val="0"/>
              <w:autoSpaceDN w:val="0"/>
              <w:adjustRightInd w:val="0"/>
              <w:spacing w:after="0" w:line="240" w:lineRule="auto"/>
              <w:rPr>
                <w:rFonts w:ascii="Times New Roman" w:hAnsi="Times New Roman"/>
                <w:sz w:val="24"/>
                <w:szCs w:val="24"/>
              </w:rPr>
            </w:pPr>
          </w:p>
          <w:p w:rsidRPr="00C879B4" w:rsidR="00FA2F70" w:rsidP="001B4FB5" w:rsidRDefault="00FA2F70" w14:paraId="661C8938" w14:textId="77777777">
            <w:pPr>
              <w:spacing w:after="0" w:line="240" w:lineRule="auto"/>
              <w:rPr>
                <w:rFonts w:ascii="Times New Roman" w:hAnsi="Times New Roman"/>
                <w:b/>
                <w:color w:val="000000"/>
                <w:sz w:val="24"/>
                <w:szCs w:val="24"/>
              </w:rPr>
            </w:pPr>
          </w:p>
        </w:tc>
      </w:tr>
      <w:tr w:rsidRPr="00C879B4" w:rsidR="00FA2F70" w:rsidTr="00A76C0E" w14:paraId="4FC91254" w14:textId="77777777">
        <w:trPr>
          <w:trHeight w:val="7470"/>
        </w:trPr>
        <w:tc>
          <w:tcPr>
            <w:tcW w:w="9252" w:type="dxa"/>
            <w:shd w:val="clear" w:color="auto" w:fill="auto"/>
          </w:tcPr>
          <w:p w:rsidRPr="00C879B4" w:rsidR="00695EEE" w:rsidP="001B4FB5" w:rsidRDefault="00FA2F70" w14:paraId="502D069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lastRenderedPageBreak/>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submit more than an original and two copies of any document; </w:t>
            </w:r>
          </w:p>
          <w:p w:rsidR="00695EEE" w:rsidP="001B4FB5" w:rsidRDefault="003C0FD9" w14:paraId="6A639371" w14:textId="16C2C620">
            <w:pPr>
              <w:spacing w:after="0" w:line="240" w:lineRule="auto"/>
              <w:rPr>
                <w:rFonts w:ascii="Times New Roman" w:hAnsi="Times New Roman"/>
                <w:color w:val="000000"/>
                <w:sz w:val="24"/>
                <w:szCs w:val="24"/>
              </w:rPr>
            </w:pPr>
            <w:r>
              <w:rPr>
                <w:rFonts w:ascii="Times New Roman" w:hAnsi="Times New Roman"/>
                <w:color w:val="000000"/>
                <w:sz w:val="24"/>
                <w:szCs w:val="24"/>
              </w:rPr>
              <w:t>None</w:t>
            </w:r>
          </w:p>
          <w:p w:rsidRPr="00C879B4" w:rsidR="003C0FD9" w:rsidP="001B4FB5" w:rsidRDefault="003C0FD9" w14:paraId="493766CE" w14:textId="77777777">
            <w:pPr>
              <w:spacing w:after="0" w:line="240" w:lineRule="auto"/>
              <w:rPr>
                <w:rFonts w:ascii="Times New Roman" w:hAnsi="Times New Roman"/>
                <w:color w:val="000000"/>
                <w:sz w:val="24"/>
                <w:szCs w:val="24"/>
              </w:rPr>
            </w:pPr>
          </w:p>
          <w:p w:rsidRPr="00C879B4" w:rsidR="00FA2F70" w:rsidP="001B4FB5" w:rsidRDefault="00FA2F70" w14:paraId="091C512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retain records, other than health, medical, government contract, grant-in-aid, or tax records, for more than three years; </w:t>
            </w:r>
          </w:p>
          <w:p w:rsidR="003C0FD9" w:rsidP="003C0FD9" w:rsidRDefault="003C0FD9" w14:paraId="793C4720" w14:textId="77777777">
            <w:pPr>
              <w:rPr>
                <w:rFonts w:ascii="Times New Roman" w:hAnsi="Times New Roman"/>
                <w:sz w:val="24"/>
                <w:szCs w:val="24"/>
              </w:rPr>
            </w:pPr>
            <w:r>
              <w:rPr>
                <w:rFonts w:ascii="Times New Roman" w:hAnsi="Times New Roman"/>
                <w:sz w:val="24"/>
                <w:szCs w:val="24"/>
              </w:rPr>
              <w:t xml:space="preserve">Mortgagees must maintain their loan documents, including documents that validate MIP for at least 7 years. </w:t>
            </w:r>
          </w:p>
          <w:p w:rsidR="003C0FD9" w:rsidP="003C0FD9" w:rsidRDefault="003C0FD9" w14:paraId="3D06189C" w14:textId="47EA0E88">
            <w:pPr>
              <w:rPr>
                <w:rFonts w:ascii="Times New Roman" w:hAnsi="Times New Roman"/>
                <w:sz w:val="24"/>
                <w:szCs w:val="24"/>
              </w:rPr>
            </w:pPr>
            <w:r>
              <w:rPr>
                <w:rFonts w:ascii="Times New Roman" w:hAnsi="Times New Roman"/>
                <w:sz w:val="24"/>
                <w:szCs w:val="24"/>
              </w:rPr>
              <w:t>None</w:t>
            </w:r>
          </w:p>
          <w:p w:rsidR="00FA2F70" w:rsidP="001B4FB5" w:rsidRDefault="00FA2F70" w14:paraId="3D8D2258" w14:textId="23EFF580">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in</w:t>
            </w:r>
            <w:proofErr w:type="gramEnd"/>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003C0FD9" w:rsidP="001B4FB5" w:rsidRDefault="003C0FD9" w14:paraId="47A9F110" w14:textId="730E7829">
            <w:pPr>
              <w:spacing w:after="0" w:line="240" w:lineRule="auto"/>
              <w:rPr>
                <w:rFonts w:ascii="Times New Roman" w:hAnsi="Times New Roman"/>
                <w:color w:val="000000"/>
                <w:sz w:val="24"/>
                <w:szCs w:val="24"/>
              </w:rPr>
            </w:pPr>
            <w:r>
              <w:rPr>
                <w:rFonts w:ascii="Times New Roman" w:hAnsi="Times New Roman"/>
                <w:color w:val="000000"/>
                <w:sz w:val="24"/>
                <w:szCs w:val="24"/>
              </w:rPr>
              <w:t>None</w:t>
            </w:r>
          </w:p>
          <w:p w:rsidRPr="00C879B4" w:rsidR="003C0FD9" w:rsidP="001B4FB5" w:rsidRDefault="003C0FD9" w14:paraId="0D24B575" w14:textId="77777777">
            <w:pPr>
              <w:spacing w:after="0" w:line="240" w:lineRule="auto"/>
              <w:rPr>
                <w:rFonts w:ascii="Times New Roman" w:hAnsi="Times New Roman"/>
                <w:color w:val="000000"/>
                <w:sz w:val="24"/>
                <w:szCs w:val="24"/>
              </w:rPr>
            </w:pPr>
          </w:p>
          <w:p w:rsidRPr="00C879B4" w:rsidR="00FA2F70" w:rsidP="001B4FB5" w:rsidRDefault="00FA2F70" w14:paraId="6A6B651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the use of a statistical data classification that has not been reviewed and approved by OMB; </w:t>
            </w:r>
          </w:p>
          <w:p w:rsidR="00D35DDB" w:rsidP="001B4FB5" w:rsidRDefault="003C0FD9" w14:paraId="3511ABAC" w14:textId="7DD82C04">
            <w:pPr>
              <w:spacing w:after="0" w:line="240" w:lineRule="auto"/>
              <w:rPr>
                <w:rFonts w:ascii="Times New Roman" w:hAnsi="Times New Roman"/>
                <w:color w:val="000000"/>
                <w:sz w:val="24"/>
                <w:szCs w:val="24"/>
              </w:rPr>
            </w:pPr>
            <w:r>
              <w:rPr>
                <w:rFonts w:ascii="Times New Roman" w:hAnsi="Times New Roman"/>
                <w:color w:val="000000"/>
                <w:sz w:val="24"/>
                <w:szCs w:val="24"/>
              </w:rPr>
              <w:t>None</w:t>
            </w:r>
          </w:p>
          <w:p w:rsidRPr="00C879B4" w:rsidR="003C0FD9" w:rsidP="001B4FB5" w:rsidRDefault="003C0FD9" w14:paraId="691D98E0" w14:textId="77777777">
            <w:pPr>
              <w:spacing w:after="0" w:line="240" w:lineRule="auto"/>
              <w:rPr>
                <w:rFonts w:ascii="Times New Roman" w:hAnsi="Times New Roman"/>
                <w:color w:val="000000"/>
                <w:sz w:val="24"/>
                <w:szCs w:val="24"/>
              </w:rPr>
            </w:pPr>
          </w:p>
          <w:p w:rsidRPr="00C879B4" w:rsidR="00FA2F70" w:rsidP="001B4FB5" w:rsidRDefault="00FA2F70" w14:paraId="01F3C58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P="001B4FB5" w:rsidRDefault="003C0FD9" w14:paraId="7FEE3A16" w14:textId="111D9037">
            <w:pPr>
              <w:spacing w:after="0" w:line="240" w:lineRule="auto"/>
              <w:rPr>
                <w:rFonts w:ascii="Times New Roman" w:hAnsi="Times New Roman"/>
                <w:color w:val="000000"/>
                <w:sz w:val="24"/>
                <w:szCs w:val="24"/>
              </w:rPr>
            </w:pPr>
            <w:r>
              <w:rPr>
                <w:rFonts w:ascii="Times New Roman" w:hAnsi="Times New Roman"/>
                <w:color w:val="000000"/>
                <w:sz w:val="24"/>
                <w:szCs w:val="24"/>
              </w:rPr>
              <w:t>None</w:t>
            </w:r>
          </w:p>
          <w:p w:rsidRPr="00C879B4" w:rsidR="003C0FD9" w:rsidP="001B4FB5" w:rsidRDefault="003C0FD9" w14:paraId="36324295" w14:textId="77777777">
            <w:pPr>
              <w:spacing w:after="0" w:line="240" w:lineRule="auto"/>
              <w:rPr>
                <w:rFonts w:ascii="Times New Roman" w:hAnsi="Times New Roman"/>
                <w:color w:val="000000"/>
                <w:sz w:val="24"/>
                <w:szCs w:val="24"/>
              </w:rPr>
            </w:pPr>
          </w:p>
          <w:p w:rsidRPr="00C879B4" w:rsidR="00FA2F70" w:rsidP="001B4FB5" w:rsidRDefault="00FA2F70" w14:paraId="713760F7"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C879B4" w:rsidR="00FA2F70" w:rsidP="001B4FB5" w:rsidRDefault="00FA2F70" w14:paraId="748FE820" w14:textId="77777777">
            <w:pPr>
              <w:spacing w:after="0" w:line="240" w:lineRule="auto"/>
              <w:rPr>
                <w:rFonts w:ascii="Times New Roman" w:hAnsi="Times New Roman"/>
                <w:b/>
                <w:color w:val="000000"/>
                <w:sz w:val="24"/>
                <w:szCs w:val="24"/>
              </w:rPr>
            </w:pPr>
          </w:p>
        </w:tc>
      </w:tr>
      <w:tr w:rsidRPr="00C879B4" w:rsidR="00FA2F70" w:rsidTr="00A76C0E" w14:paraId="40073C62" w14:textId="77777777">
        <w:tc>
          <w:tcPr>
            <w:tcW w:w="9252" w:type="dxa"/>
            <w:shd w:val="clear" w:color="auto" w:fill="auto"/>
          </w:tcPr>
          <w:p w:rsidRPr="003C0FD9" w:rsidR="00FA2F70" w:rsidP="001B4FB5" w:rsidRDefault="003C0FD9" w14:paraId="6FD10059" w14:textId="5C3E70C0">
            <w:pPr>
              <w:spacing w:after="0" w:line="240" w:lineRule="auto"/>
              <w:rPr>
                <w:rFonts w:ascii="Times New Roman" w:hAnsi="Times New Roman"/>
                <w:bCs/>
                <w:color w:val="000000"/>
                <w:sz w:val="24"/>
                <w:szCs w:val="24"/>
              </w:rPr>
            </w:pPr>
            <w:r w:rsidRPr="003C0FD9">
              <w:rPr>
                <w:rFonts w:ascii="Times New Roman" w:hAnsi="Times New Roman"/>
                <w:bCs/>
                <w:color w:val="000000"/>
                <w:sz w:val="24"/>
                <w:szCs w:val="24"/>
              </w:rPr>
              <w:t>None</w:t>
            </w:r>
          </w:p>
        </w:tc>
      </w:tr>
    </w:tbl>
    <w:p w:rsidRPr="00C879B4" w:rsidR="00FA2F70" w:rsidP="00FA2F70" w:rsidRDefault="00FA2F70" w14:paraId="70A464B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E12A57" w14:paraId="345DB89F" w14:textId="77777777">
        <w:tc>
          <w:tcPr>
            <w:tcW w:w="9252" w:type="dxa"/>
            <w:shd w:val="clear" w:color="auto" w:fill="auto"/>
          </w:tcPr>
          <w:p w:rsidR="0021340A" w:rsidP="001B4FB5" w:rsidRDefault="0021340A" w14:paraId="6DB90756" w14:textId="20BB2F7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proofErr w:type="gramStart"/>
            <w:r w:rsidRPr="00C879B4">
              <w:rPr>
                <w:rFonts w:ascii="Times New Roman" w:hAnsi="Times New Roman"/>
                <w:b/>
                <w:color w:val="000000"/>
                <w:sz w:val="24"/>
                <w:szCs w:val="24"/>
              </w:rPr>
              <w:t>publication</w:t>
            </w:r>
            <w:proofErr w:type="gramEnd"/>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Pr="005A33E0">
              <w:rPr>
                <w:rFonts w:ascii="Times New Roman" w:hAnsi="Times New Roman"/>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C879B4">
              <w:rPr>
                <w:rFonts w:ascii="Times New Roman" w:hAnsi="Times New Roman"/>
                <w:b/>
                <w:color w:val="000000"/>
                <w:sz w:val="24"/>
                <w:szCs w:val="24"/>
              </w:rPr>
              <w:t xml:space="preserve"> </w:t>
            </w:r>
          </w:p>
          <w:p w:rsidR="00934DD3" w:rsidP="001B4FB5" w:rsidRDefault="00934DD3" w14:paraId="48198868" w14:textId="1692C7E3">
            <w:pPr>
              <w:spacing w:after="0" w:line="240" w:lineRule="auto"/>
              <w:rPr>
                <w:rFonts w:ascii="Times New Roman" w:hAnsi="Times New Roman"/>
                <w:b/>
                <w:color w:val="000000"/>
                <w:sz w:val="24"/>
                <w:szCs w:val="24"/>
              </w:rPr>
            </w:pPr>
          </w:p>
          <w:p w:rsidRPr="00C879B4" w:rsidR="00934DD3" w:rsidP="001B4FB5" w:rsidRDefault="00934DD3" w14:paraId="180B1B98" w14:textId="77777777">
            <w:pPr>
              <w:spacing w:after="0" w:line="240" w:lineRule="auto"/>
              <w:rPr>
                <w:rFonts w:ascii="Times New Roman" w:hAnsi="Times New Roman"/>
                <w:b/>
                <w:color w:val="000000"/>
                <w:sz w:val="24"/>
                <w:szCs w:val="24"/>
              </w:rPr>
            </w:pPr>
          </w:p>
          <w:p w:rsidR="009B0365" w:rsidP="009B0365" w:rsidRDefault="009B0365" w14:paraId="5839D9F4" w14:textId="76F2DF1F">
            <w:pPr>
              <w:spacing w:after="0" w:line="240" w:lineRule="auto"/>
              <w:rPr>
                <w:rFonts w:ascii="Times New Roman" w:hAnsi="Times New Roman"/>
                <w:color w:val="000000"/>
              </w:rPr>
            </w:pPr>
          </w:p>
          <w:p w:rsidRPr="00C879B4" w:rsidR="00934DD3" w:rsidP="009B0365" w:rsidRDefault="00934DD3" w14:paraId="20E8DEE1" w14:textId="77777777">
            <w:pPr>
              <w:spacing w:after="0" w:line="240" w:lineRule="auto"/>
              <w:rPr>
                <w:rFonts w:ascii="Times New Roman" w:hAnsi="Times New Roman"/>
                <w:color w:val="000000"/>
              </w:rPr>
            </w:pPr>
          </w:p>
          <w:p w:rsidR="00FA2F70" w:rsidP="001B4FB5" w:rsidRDefault="00FA2F70" w14:paraId="22DB34AB" w14:textId="2067D21E">
            <w:pPr>
              <w:spacing w:after="0" w:line="240" w:lineRule="auto"/>
              <w:rPr>
                <w:rFonts w:ascii="Times New Roman" w:hAnsi="Times New Roman"/>
                <w:sz w:val="24"/>
                <w:szCs w:val="20"/>
              </w:rPr>
            </w:pPr>
          </w:p>
          <w:p w:rsidRPr="00C879B4" w:rsidR="00934DD3" w:rsidP="001B4FB5" w:rsidRDefault="00934DD3" w14:paraId="3E6B45B3" w14:textId="5E66A52A">
            <w:pPr>
              <w:spacing w:after="0" w:line="240" w:lineRule="auto"/>
              <w:rPr>
                <w:rFonts w:ascii="Times New Roman" w:hAnsi="Times New Roman"/>
                <w:b/>
                <w:color w:val="000000"/>
                <w:sz w:val="24"/>
                <w:szCs w:val="24"/>
              </w:rPr>
            </w:pPr>
          </w:p>
        </w:tc>
      </w:tr>
      <w:tr w:rsidRPr="00C879B4" w:rsidR="00FA2F70" w:rsidTr="00E12A57" w14:paraId="7FFC91D4" w14:textId="77777777">
        <w:tc>
          <w:tcPr>
            <w:tcW w:w="9252" w:type="dxa"/>
            <w:shd w:val="clear" w:color="auto" w:fill="auto"/>
          </w:tcPr>
          <w:p w:rsidR="00934DD3" w:rsidP="00934DD3" w:rsidRDefault="00934DD3" w14:paraId="44375655" w14:textId="45149420">
            <w:pPr>
              <w:spacing w:after="0" w:line="240" w:lineRule="auto"/>
              <w:rPr>
                <w:rFonts w:ascii="Times New Roman" w:hAnsi="Times New Roman"/>
                <w:color w:val="000000"/>
                <w:sz w:val="24"/>
                <w:szCs w:val="24"/>
              </w:rPr>
            </w:pPr>
            <w:r w:rsidRPr="00FF66E1">
              <w:rPr>
                <w:rFonts w:ascii="Times New Roman" w:hAnsi="Times New Roman"/>
                <w:sz w:val="24"/>
                <w:szCs w:val="20"/>
              </w:rPr>
              <w:lastRenderedPageBreak/>
              <w:t xml:space="preserve">In accordance with 5 CFR 1320.8(d), a 60-day Federal Register Notice soliciting public comments was announced in the Federal Register on </w:t>
            </w:r>
            <w:r w:rsidR="00413885">
              <w:rPr>
                <w:rFonts w:ascii="Times New Roman" w:hAnsi="Times New Roman"/>
                <w:sz w:val="24"/>
                <w:szCs w:val="20"/>
              </w:rPr>
              <w:t>June 23, 2021</w:t>
            </w:r>
            <w:r w:rsidRPr="00A565FC">
              <w:rPr>
                <w:rFonts w:ascii="Times New Roman" w:hAnsi="Times New Roman"/>
                <w:sz w:val="24"/>
                <w:szCs w:val="20"/>
              </w:rPr>
              <w:t xml:space="preserve">, Volume </w:t>
            </w:r>
            <w:r w:rsidR="00413885">
              <w:rPr>
                <w:rFonts w:ascii="Times New Roman" w:hAnsi="Times New Roman"/>
                <w:sz w:val="24"/>
                <w:szCs w:val="20"/>
              </w:rPr>
              <w:t>86</w:t>
            </w:r>
            <w:r w:rsidRPr="00A565FC">
              <w:rPr>
                <w:rFonts w:ascii="Times New Roman" w:hAnsi="Times New Roman"/>
                <w:sz w:val="24"/>
                <w:szCs w:val="20"/>
              </w:rPr>
              <w:t xml:space="preserve">, Page </w:t>
            </w:r>
            <w:r w:rsidR="00413885">
              <w:rPr>
                <w:rFonts w:ascii="Times New Roman" w:hAnsi="Times New Roman"/>
                <w:sz w:val="24"/>
                <w:szCs w:val="20"/>
              </w:rPr>
              <w:t>32965</w:t>
            </w:r>
            <w:r w:rsidRPr="00A565FC">
              <w:rPr>
                <w:rFonts w:ascii="Times New Roman" w:hAnsi="Times New Roman"/>
                <w:sz w:val="24"/>
                <w:szCs w:val="20"/>
              </w:rPr>
              <w:t>.</w:t>
            </w:r>
            <w:r w:rsidRPr="00FF66E1">
              <w:rPr>
                <w:rFonts w:ascii="Times New Roman" w:hAnsi="Times New Roman"/>
                <w:sz w:val="24"/>
                <w:szCs w:val="20"/>
              </w:rPr>
              <w:t xml:space="preserve">  No comments </w:t>
            </w:r>
            <w:r>
              <w:rPr>
                <w:rFonts w:ascii="Times New Roman" w:hAnsi="Times New Roman"/>
                <w:color w:val="000000"/>
                <w:sz w:val="24"/>
                <w:szCs w:val="24"/>
              </w:rPr>
              <w:t xml:space="preserve">were </w:t>
            </w:r>
            <w:r w:rsidRPr="001B1B03">
              <w:rPr>
                <w:rFonts w:ascii="Times New Roman" w:hAnsi="Times New Roman"/>
                <w:color w:val="000000"/>
                <w:sz w:val="24"/>
                <w:szCs w:val="24"/>
              </w:rPr>
              <w:t>received.</w:t>
            </w:r>
          </w:p>
          <w:p w:rsidR="00934DD3" w:rsidP="00934DD3" w:rsidRDefault="00934DD3" w14:paraId="19F7C19D" w14:textId="77777777">
            <w:pPr>
              <w:spacing w:after="0" w:line="240" w:lineRule="auto"/>
              <w:rPr>
                <w:rFonts w:ascii="Times New Roman" w:hAnsi="Times New Roman"/>
                <w:color w:val="000000"/>
                <w:sz w:val="24"/>
                <w:szCs w:val="24"/>
              </w:rPr>
            </w:pPr>
          </w:p>
          <w:p w:rsidR="00934DD3" w:rsidP="00934DD3" w:rsidRDefault="00934DD3" w14:paraId="50CB697E" w14:textId="60FCEA58">
            <w:pPr>
              <w:spacing w:after="0" w:line="240" w:lineRule="auto"/>
              <w:rPr>
                <w:rFonts w:ascii="Times New Roman" w:hAnsi="Times New Roman" w:eastAsia="Calibri"/>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8F3A53">
              <w:rPr>
                <w:rFonts w:ascii="Times New Roman" w:hAnsi="Times New Roman" w:eastAsia="Calibri"/>
                <w:color w:val="000000"/>
                <w:sz w:val="24"/>
                <w:szCs w:val="24"/>
              </w:rPr>
              <w:t>October 20, 2021</w:t>
            </w:r>
            <w:r w:rsidRPr="009245BB">
              <w:rPr>
                <w:rFonts w:ascii="Times New Roman" w:hAnsi="Times New Roman" w:eastAsia="Calibri"/>
                <w:color w:val="000000"/>
                <w:sz w:val="24"/>
                <w:szCs w:val="24"/>
              </w:rPr>
              <w:t xml:space="preserve">, Volume </w:t>
            </w:r>
            <w:r w:rsidR="008F3A53">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8F3A53">
              <w:rPr>
                <w:rFonts w:ascii="Times New Roman" w:hAnsi="Times New Roman" w:eastAsia="Calibri"/>
                <w:color w:val="000000"/>
                <w:sz w:val="24"/>
                <w:szCs w:val="24"/>
              </w:rPr>
              <w:t>58088</w:t>
            </w:r>
            <w:r w:rsidRPr="009245BB">
              <w:rPr>
                <w:rFonts w:ascii="Times New Roman" w:hAnsi="Times New Roman" w:eastAsia="Calibri"/>
                <w:color w:val="000000"/>
                <w:sz w:val="24"/>
                <w:szCs w:val="24"/>
              </w:rPr>
              <w:t>.  No comments were received</w:t>
            </w:r>
            <w:r>
              <w:rPr>
                <w:rFonts w:ascii="Times New Roman" w:hAnsi="Times New Roman" w:eastAsia="Calibri"/>
                <w:color w:val="000000"/>
                <w:sz w:val="24"/>
                <w:szCs w:val="24"/>
              </w:rPr>
              <w:t>.</w:t>
            </w:r>
          </w:p>
          <w:p w:rsidR="003C0FD9" w:rsidP="003C0FD9" w:rsidRDefault="003C0FD9" w14:paraId="364B3005" w14:textId="230879D3">
            <w:pPr>
              <w:spacing w:after="0" w:line="240" w:lineRule="auto"/>
              <w:ind w:left="720"/>
              <w:rPr>
                <w:rFonts w:ascii="Times New Roman" w:hAnsi="Times New Roman"/>
                <w:sz w:val="24"/>
              </w:rPr>
            </w:pPr>
            <w:r>
              <w:rPr>
                <w:rFonts w:ascii="Times New Roman" w:hAnsi="Times New Roman"/>
                <w:sz w:val="24"/>
              </w:rPr>
              <w:t xml:space="preserve"> </w:t>
            </w:r>
          </w:p>
          <w:p w:rsidR="00FA2F70" w:rsidP="003C0FD9" w:rsidRDefault="003C0FD9" w14:paraId="1BC8E6D5" w14:textId="69519A40">
            <w:pPr>
              <w:rPr>
                <w:rFonts w:ascii="Times New Roman" w:hAnsi="Times New Roman"/>
                <w:sz w:val="24"/>
              </w:rPr>
            </w:pPr>
            <w:bookmarkStart w:name="_Hlk70345283" w:id="0"/>
            <w:r>
              <w:rPr>
                <w:rFonts w:ascii="Times New Roman" w:hAnsi="Times New Roman"/>
                <w:sz w:val="24"/>
              </w:rPr>
              <w:t xml:space="preserve">A copy of both published notices </w:t>
            </w:r>
            <w:r w:rsidR="00934DD3">
              <w:rPr>
                <w:rFonts w:ascii="Times New Roman" w:hAnsi="Times New Roman"/>
                <w:sz w:val="24"/>
              </w:rPr>
              <w:t>is</w:t>
            </w:r>
            <w:r>
              <w:rPr>
                <w:rFonts w:ascii="Times New Roman" w:hAnsi="Times New Roman"/>
                <w:sz w:val="24"/>
              </w:rPr>
              <w:t xml:space="preserve"> included in this package</w:t>
            </w:r>
            <w:bookmarkEnd w:id="0"/>
            <w:r>
              <w:rPr>
                <w:rFonts w:ascii="Times New Roman" w:hAnsi="Times New Roman"/>
                <w:sz w:val="24"/>
              </w:rPr>
              <w:t>.</w:t>
            </w:r>
          </w:p>
          <w:p w:rsidRPr="007440EA" w:rsidR="007440EA" w:rsidP="007440EA" w:rsidRDefault="007440EA" w14:paraId="3931C634" w14:textId="77777777">
            <w:pPr>
              <w:spacing w:after="160" w:line="259" w:lineRule="auto"/>
              <w:rPr>
                <w:rFonts w:asciiTheme="minorHAnsi" w:hAnsiTheme="minorHAnsi" w:eastAsiaTheme="minorHAnsi" w:cstheme="minorBidi"/>
              </w:rPr>
            </w:pPr>
            <w:r w:rsidRPr="007440EA">
              <w:rPr>
                <w:rFonts w:ascii="Times New Roman" w:hAnsi="Times New Roman" w:eastAsia="Calibri" w:cstheme="minorBidi"/>
                <w:sz w:val="24"/>
                <w:szCs w:val="24"/>
              </w:rPr>
              <w:t>Consultation was made with the following representatives listed below:</w:t>
            </w:r>
          </w:p>
          <w:p w:rsidRPr="005A33E0" w:rsidR="006E65B9" w:rsidP="003C0FD9" w:rsidRDefault="006E65B9" w14:paraId="2561F952" w14:textId="5AE2DD9D">
            <w:pPr>
              <w:rPr>
                <w:rFonts w:ascii="Times New Roman" w:hAnsi="Times New Roman" w:eastAsia="Calibri"/>
                <w:sz w:val="24"/>
                <w:szCs w:val="24"/>
              </w:rPr>
            </w:pPr>
            <w:r w:rsidRPr="005A33E0">
              <w:rPr>
                <w:rFonts w:ascii="Times New Roman" w:hAnsi="Times New Roman" w:eastAsia="Calibri"/>
                <w:sz w:val="24"/>
                <w:szCs w:val="24"/>
              </w:rPr>
              <w:t xml:space="preserve">Respondents to the </w:t>
            </w:r>
            <w:proofErr w:type="gramStart"/>
            <w:r w:rsidRPr="005A33E0">
              <w:rPr>
                <w:rFonts w:ascii="Times New Roman" w:hAnsi="Times New Roman" w:eastAsia="Calibri"/>
                <w:sz w:val="24"/>
                <w:szCs w:val="24"/>
              </w:rPr>
              <w:t>Single Family</w:t>
            </w:r>
            <w:proofErr w:type="gramEnd"/>
            <w:r w:rsidRPr="005A33E0">
              <w:rPr>
                <w:rFonts w:ascii="Times New Roman" w:hAnsi="Times New Roman" w:eastAsia="Calibri"/>
                <w:sz w:val="24"/>
                <w:szCs w:val="24"/>
              </w:rPr>
              <w:t xml:space="preserve"> Premium Collections Subsystem -Periodic (SFPCS-P) are contacted on a monthly basis (12 times a year)</w:t>
            </w:r>
            <w:r w:rsidRPr="005A33E0" w:rsidR="004A4DB5">
              <w:rPr>
                <w:rFonts w:ascii="Times New Roman" w:hAnsi="Times New Roman" w:eastAsia="Calibri"/>
                <w:sz w:val="24"/>
                <w:szCs w:val="24"/>
              </w:rPr>
              <w:t xml:space="preserve"> on a consultation basis regarding the FHA loan and payment data collected from interfacing upstream systems. This consultation is completed to reconcile </w:t>
            </w:r>
            <w:r w:rsidRPr="005A33E0" w:rsidR="00874B8D">
              <w:rPr>
                <w:rFonts w:ascii="Times New Roman" w:hAnsi="Times New Roman" w:eastAsia="Calibri"/>
                <w:sz w:val="24"/>
                <w:szCs w:val="24"/>
              </w:rPr>
              <w:t xml:space="preserve">Respondent </w:t>
            </w:r>
            <w:r w:rsidRPr="005A33E0" w:rsidR="004A4DB5">
              <w:rPr>
                <w:rFonts w:ascii="Times New Roman" w:hAnsi="Times New Roman" w:eastAsia="Calibri"/>
                <w:sz w:val="24"/>
                <w:szCs w:val="24"/>
              </w:rPr>
              <w:t xml:space="preserve">FHA portfolios </w:t>
            </w:r>
            <w:r w:rsidRPr="005A33E0" w:rsidR="00874B8D">
              <w:rPr>
                <w:rFonts w:ascii="Times New Roman" w:hAnsi="Times New Roman" w:eastAsia="Calibri"/>
                <w:sz w:val="24"/>
                <w:szCs w:val="24"/>
              </w:rPr>
              <w:t>as</w:t>
            </w:r>
            <w:r w:rsidRPr="005A33E0" w:rsidR="004A4DB5">
              <w:rPr>
                <w:rFonts w:ascii="Times New Roman" w:hAnsi="Times New Roman" w:eastAsia="Calibri"/>
                <w:sz w:val="24"/>
                <w:szCs w:val="24"/>
              </w:rPr>
              <w:t xml:space="preserve"> FHA approved lenders to ensure adequate adherence to FHA Mortgage Insurance Policy requirements such as reducing delinquent MIP and reconciling other exceptions within their portfolios. Revisions to FHA Policy, collections procedures, as well as </w:t>
            </w:r>
            <w:r w:rsidRPr="005A33E0" w:rsidR="00874B8D">
              <w:rPr>
                <w:rFonts w:ascii="Times New Roman" w:hAnsi="Times New Roman" w:eastAsia="Calibri"/>
                <w:sz w:val="24"/>
                <w:szCs w:val="24"/>
              </w:rPr>
              <w:t xml:space="preserve">system improvements are derived from the feedback from FHA industry Respondents. </w:t>
            </w:r>
          </w:p>
          <w:p w:rsidRPr="005A33E0" w:rsidR="00934DD3" w:rsidP="003C0FD9" w:rsidRDefault="00CC0CD5" w14:paraId="6A98963A" w14:textId="34C930CD">
            <w:pPr>
              <w:rPr>
                <w:rFonts w:ascii="Times New Roman" w:hAnsi="Times New Roman" w:eastAsia="Calibri"/>
                <w:sz w:val="24"/>
                <w:szCs w:val="24"/>
              </w:rPr>
            </w:pPr>
            <w:r w:rsidRPr="005A33E0">
              <w:rPr>
                <w:rFonts w:ascii="Times New Roman" w:hAnsi="Times New Roman" w:eastAsia="Calibri"/>
                <w:b/>
                <w:bCs/>
                <w:sz w:val="24"/>
                <w:szCs w:val="24"/>
              </w:rPr>
              <w:t>Tyler McGee</w:t>
            </w:r>
            <w:r w:rsidRPr="005A33E0">
              <w:rPr>
                <w:rFonts w:ascii="Times New Roman" w:hAnsi="Times New Roman" w:eastAsia="Calibri"/>
                <w:sz w:val="24"/>
                <w:szCs w:val="24"/>
              </w:rPr>
              <w:t xml:space="preserve"> -</w:t>
            </w:r>
            <w:proofErr w:type="spellStart"/>
            <w:r w:rsidRPr="005A33E0">
              <w:rPr>
                <w:rFonts w:ascii="Times New Roman" w:hAnsi="Times New Roman" w:eastAsia="Calibri"/>
                <w:sz w:val="24"/>
                <w:szCs w:val="24"/>
              </w:rPr>
              <w:t>Round</w:t>
            </w:r>
            <w:r w:rsidRPr="005A33E0" w:rsidR="009664F3">
              <w:rPr>
                <w:rFonts w:ascii="Times New Roman" w:hAnsi="Times New Roman" w:eastAsia="Calibri"/>
                <w:sz w:val="24"/>
                <w:szCs w:val="24"/>
              </w:rPr>
              <w:t>P</w:t>
            </w:r>
            <w:r w:rsidRPr="005A33E0">
              <w:rPr>
                <w:rFonts w:ascii="Times New Roman" w:hAnsi="Times New Roman" w:eastAsia="Calibri"/>
                <w:sz w:val="24"/>
                <w:szCs w:val="24"/>
              </w:rPr>
              <w:t>oint</w:t>
            </w:r>
            <w:proofErr w:type="spellEnd"/>
            <w:r w:rsidRPr="005A33E0" w:rsidR="009664F3">
              <w:rPr>
                <w:rFonts w:ascii="Times New Roman" w:hAnsi="Times New Roman" w:eastAsia="Calibri"/>
                <w:sz w:val="24"/>
                <w:szCs w:val="24"/>
              </w:rPr>
              <w:t xml:space="preserve"> Mortgage</w:t>
            </w:r>
            <w:r w:rsidRPr="005A33E0">
              <w:rPr>
                <w:rFonts w:ascii="Times New Roman" w:hAnsi="Times New Roman" w:eastAsia="Calibri"/>
                <w:sz w:val="24"/>
                <w:szCs w:val="24"/>
              </w:rPr>
              <w:br/>
            </w:r>
            <w:r w:rsidRPr="005A33E0">
              <w:rPr>
                <w:rFonts w:ascii="Times New Roman" w:hAnsi="Times New Roman" w:eastAsia="Calibri"/>
                <w:b/>
                <w:bCs/>
                <w:sz w:val="24"/>
                <w:szCs w:val="24"/>
              </w:rPr>
              <w:t>Vice President Escrow</w:t>
            </w:r>
            <w:r w:rsidRPr="005A33E0">
              <w:rPr>
                <w:rFonts w:ascii="Times New Roman" w:hAnsi="Times New Roman" w:eastAsia="Calibri"/>
                <w:sz w:val="24"/>
                <w:szCs w:val="24"/>
              </w:rPr>
              <w:t xml:space="preserve"> </w:t>
            </w:r>
            <w:r w:rsidRPr="005A33E0">
              <w:rPr>
                <w:rFonts w:ascii="Times New Roman" w:hAnsi="Times New Roman" w:eastAsia="Calibri"/>
                <w:sz w:val="24"/>
                <w:szCs w:val="24"/>
              </w:rPr>
              <w:br/>
              <w:t xml:space="preserve">Individual NMLS ID # 1441283 </w:t>
            </w:r>
            <w:r w:rsidRPr="005A33E0">
              <w:rPr>
                <w:rFonts w:ascii="Times New Roman" w:hAnsi="Times New Roman" w:eastAsia="Calibri"/>
                <w:sz w:val="24"/>
                <w:szCs w:val="24"/>
              </w:rPr>
              <w:br/>
            </w:r>
            <w:hyperlink w:history="1" r:id="rId10">
              <w:r w:rsidRPr="005A33E0">
                <w:rPr>
                  <w:rStyle w:val="Hyperlink"/>
                  <w:rFonts w:ascii="Times New Roman" w:hAnsi="Times New Roman" w:eastAsia="Calibri"/>
                  <w:sz w:val="24"/>
                  <w:szCs w:val="24"/>
                </w:rPr>
                <w:t>Tyler.McGee@roundpointmortgage.com</w:t>
              </w:r>
            </w:hyperlink>
            <w:r w:rsidRPr="005A33E0">
              <w:rPr>
                <w:rFonts w:ascii="Times New Roman" w:hAnsi="Times New Roman" w:eastAsia="Calibri"/>
                <w:sz w:val="24"/>
                <w:szCs w:val="24"/>
              </w:rPr>
              <w:t xml:space="preserve"> </w:t>
            </w:r>
            <w:r w:rsidRPr="005A33E0">
              <w:rPr>
                <w:rFonts w:ascii="Times New Roman" w:hAnsi="Times New Roman" w:eastAsia="Calibri"/>
                <w:sz w:val="24"/>
                <w:szCs w:val="24"/>
              </w:rPr>
              <w:br/>
              <w:t xml:space="preserve">Ph: (704) 426-8756 </w:t>
            </w:r>
            <w:r w:rsidRPr="005A33E0">
              <w:rPr>
                <w:rFonts w:ascii="Times New Roman" w:hAnsi="Times New Roman" w:eastAsia="Calibri"/>
                <w:sz w:val="24"/>
                <w:szCs w:val="24"/>
              </w:rPr>
              <w:br/>
              <w:t>Fax: (702) 943-8544</w:t>
            </w:r>
          </w:p>
          <w:p w:rsidRPr="005A33E0" w:rsidR="009664F3" w:rsidP="003C0FD9" w:rsidRDefault="009664F3" w14:paraId="6E3ED5B0" w14:textId="77777777">
            <w:pPr>
              <w:rPr>
                <w:rFonts w:ascii="Times New Roman" w:hAnsi="Times New Roman" w:eastAsia="Calibri"/>
                <w:sz w:val="24"/>
                <w:szCs w:val="24"/>
              </w:rPr>
            </w:pPr>
            <w:r w:rsidRPr="005A33E0">
              <w:rPr>
                <w:rFonts w:ascii="Times New Roman" w:hAnsi="Times New Roman" w:eastAsia="Calibri"/>
                <w:b/>
                <w:bCs/>
                <w:sz w:val="24"/>
                <w:szCs w:val="24"/>
              </w:rPr>
              <w:t>Jessica Dilks</w:t>
            </w:r>
            <w:r w:rsidRPr="005A33E0">
              <w:rPr>
                <w:rFonts w:ascii="Times New Roman" w:hAnsi="Times New Roman" w:eastAsia="Calibri"/>
                <w:sz w:val="24"/>
                <w:szCs w:val="24"/>
              </w:rPr>
              <w:br/>
            </w:r>
            <w:r w:rsidRPr="005A33E0">
              <w:rPr>
                <w:rFonts w:ascii="Times New Roman" w:hAnsi="Times New Roman" w:eastAsia="Calibri"/>
                <w:b/>
                <w:bCs/>
                <w:sz w:val="24"/>
                <w:szCs w:val="24"/>
              </w:rPr>
              <w:t>Financial Operations Manager- U.S. Mortgage of Florida</w:t>
            </w:r>
            <w:r w:rsidRPr="005A33E0">
              <w:rPr>
                <w:rFonts w:ascii="Times New Roman" w:hAnsi="Times New Roman" w:eastAsia="Calibri"/>
                <w:sz w:val="24"/>
                <w:szCs w:val="24"/>
              </w:rPr>
              <w:br/>
              <w:t>Email:</w:t>
            </w:r>
            <w:hyperlink w:history="1" r:id="rId11">
              <w:r w:rsidRPr="005A33E0">
                <w:rPr>
                  <w:rStyle w:val="Hyperlink"/>
                  <w:rFonts w:ascii="Times New Roman" w:hAnsi="Times New Roman" w:eastAsia="Calibri"/>
                  <w:sz w:val="24"/>
                  <w:szCs w:val="24"/>
                </w:rPr>
                <w:t>jessica@usmtg.com</w:t>
              </w:r>
            </w:hyperlink>
            <w:r w:rsidRPr="005A33E0">
              <w:rPr>
                <w:rFonts w:ascii="Times New Roman" w:hAnsi="Times New Roman" w:eastAsia="Calibri"/>
                <w:sz w:val="24"/>
                <w:szCs w:val="24"/>
              </w:rPr>
              <w:br/>
              <w:t>Phone:</w:t>
            </w:r>
            <w:hyperlink w:history="1" r:id="rId12">
              <w:r w:rsidRPr="005A33E0">
                <w:rPr>
                  <w:rStyle w:val="Hyperlink"/>
                  <w:rFonts w:ascii="Times New Roman" w:hAnsi="Times New Roman" w:eastAsia="Calibri"/>
                  <w:sz w:val="24"/>
                  <w:szCs w:val="24"/>
                </w:rPr>
                <w:t>561-886-0300 Ext 1108</w:t>
              </w:r>
            </w:hyperlink>
            <w:r w:rsidRPr="005A33E0">
              <w:rPr>
                <w:rFonts w:ascii="Times New Roman" w:hAnsi="Times New Roman" w:eastAsia="Calibri"/>
                <w:sz w:val="24"/>
                <w:szCs w:val="24"/>
              </w:rPr>
              <w:t> • Fax:</w:t>
            </w:r>
            <w:hyperlink w:history="1" r:id="rId13">
              <w:r w:rsidRPr="005A33E0">
                <w:rPr>
                  <w:rStyle w:val="Hyperlink"/>
                  <w:rFonts w:ascii="Times New Roman" w:hAnsi="Times New Roman" w:eastAsia="Calibri"/>
                  <w:sz w:val="24"/>
                  <w:szCs w:val="24"/>
                </w:rPr>
                <w:t>561-886-0301</w:t>
              </w:r>
            </w:hyperlink>
          </w:p>
          <w:p w:rsidRPr="005A33E0" w:rsidR="001F7208" w:rsidP="005A33E0" w:rsidRDefault="001F7208" w14:paraId="2D118665" w14:textId="77777777">
            <w:pPr>
              <w:spacing w:after="0" w:line="240" w:lineRule="auto"/>
              <w:rPr>
                <w:rFonts w:ascii="Times New Roman" w:hAnsi="Times New Roman" w:eastAsia="Calibri"/>
                <w:b/>
                <w:bCs/>
                <w:sz w:val="24"/>
                <w:szCs w:val="24"/>
              </w:rPr>
            </w:pPr>
            <w:r w:rsidRPr="005A33E0">
              <w:rPr>
                <w:rFonts w:ascii="Times New Roman" w:hAnsi="Times New Roman" w:eastAsia="Calibri"/>
                <w:b/>
                <w:bCs/>
                <w:sz w:val="24"/>
                <w:szCs w:val="24"/>
              </w:rPr>
              <w:t>Cindy Mills</w:t>
            </w:r>
          </w:p>
          <w:p w:rsidRPr="003C0FD9" w:rsidR="001F7208" w:rsidP="005A33E0" w:rsidRDefault="001F7208" w14:paraId="0A808860" w14:textId="510810CE">
            <w:pPr>
              <w:spacing w:after="0" w:line="240" w:lineRule="auto"/>
              <w:rPr>
                <w:rFonts w:ascii="Times New Roman" w:hAnsi="Times New Roman" w:eastAsia="Calibri"/>
              </w:rPr>
            </w:pPr>
            <w:r w:rsidRPr="005A33E0">
              <w:rPr>
                <w:rFonts w:ascii="Times New Roman" w:hAnsi="Times New Roman" w:eastAsia="Calibri"/>
                <w:b/>
                <w:bCs/>
                <w:sz w:val="24"/>
                <w:szCs w:val="24"/>
              </w:rPr>
              <w:t>Member Service Team Captain</w:t>
            </w:r>
            <w:r w:rsidRPr="005A33E0" w:rsidR="00EC2952">
              <w:rPr>
                <w:rFonts w:ascii="Times New Roman" w:hAnsi="Times New Roman" w:eastAsia="Calibri"/>
                <w:b/>
                <w:bCs/>
                <w:sz w:val="24"/>
                <w:szCs w:val="24"/>
              </w:rPr>
              <w:t>- Mortgage Center NMLS#: 282701</w:t>
            </w:r>
            <w:r w:rsidRPr="005A33E0">
              <w:rPr>
                <w:rFonts w:ascii="Times New Roman" w:hAnsi="Times New Roman" w:eastAsia="Calibri"/>
                <w:sz w:val="24"/>
                <w:szCs w:val="24"/>
              </w:rPr>
              <w:br/>
              <w:t>26555 Evergreen Rd., Ste. 900 | Southfield, MI 48076</w:t>
            </w:r>
            <w:r w:rsidRPr="005A33E0">
              <w:rPr>
                <w:rFonts w:ascii="Times New Roman" w:hAnsi="Times New Roman" w:eastAsia="Calibri"/>
                <w:sz w:val="24"/>
                <w:szCs w:val="24"/>
              </w:rPr>
              <w:br/>
            </w:r>
            <w:r w:rsidRPr="005A33E0">
              <w:rPr>
                <w:rFonts w:ascii="Times New Roman" w:hAnsi="Times New Roman" w:eastAsia="Calibri"/>
                <w:b/>
                <w:bCs/>
                <w:sz w:val="24"/>
                <w:szCs w:val="24"/>
              </w:rPr>
              <w:t>P:</w:t>
            </w:r>
            <w:r w:rsidRPr="005A33E0">
              <w:rPr>
                <w:rFonts w:ascii="Times New Roman" w:hAnsi="Times New Roman" w:eastAsia="Calibri"/>
                <w:sz w:val="24"/>
                <w:szCs w:val="24"/>
              </w:rPr>
              <w:t xml:space="preserve"> 800-353-4449 x9433</w:t>
            </w:r>
            <w:r w:rsidRPr="005A33E0">
              <w:rPr>
                <w:rFonts w:ascii="Times New Roman" w:hAnsi="Times New Roman" w:eastAsia="Calibri"/>
                <w:sz w:val="24"/>
                <w:szCs w:val="24"/>
              </w:rPr>
              <w:br/>
            </w:r>
            <w:r w:rsidRPr="005A33E0">
              <w:rPr>
                <w:rFonts w:ascii="Times New Roman" w:hAnsi="Times New Roman" w:eastAsia="Calibri"/>
                <w:b/>
                <w:bCs/>
                <w:sz w:val="24"/>
                <w:szCs w:val="24"/>
              </w:rPr>
              <w:t>F:</w:t>
            </w:r>
            <w:r w:rsidRPr="005A33E0">
              <w:rPr>
                <w:rFonts w:ascii="Times New Roman" w:hAnsi="Times New Roman" w:eastAsia="Calibri"/>
                <w:sz w:val="24"/>
                <w:szCs w:val="24"/>
              </w:rPr>
              <w:t xml:space="preserve"> 844-724-2210</w:t>
            </w:r>
            <w:r w:rsidRPr="005A33E0">
              <w:rPr>
                <w:rFonts w:ascii="Times New Roman" w:hAnsi="Times New Roman" w:eastAsia="Calibri"/>
                <w:sz w:val="24"/>
                <w:szCs w:val="24"/>
              </w:rPr>
              <w:br/>
            </w:r>
          </w:p>
        </w:tc>
      </w:tr>
      <w:tr w:rsidRPr="00C879B4" w:rsidR="0021340A" w:rsidTr="00E12A57" w14:paraId="34753BE5" w14:textId="77777777">
        <w:tc>
          <w:tcPr>
            <w:tcW w:w="9252" w:type="dxa"/>
            <w:shd w:val="clear" w:color="auto" w:fill="auto"/>
          </w:tcPr>
          <w:p w:rsidRPr="00C879B4" w:rsidR="0021340A" w:rsidP="001B4FB5" w:rsidRDefault="0021340A" w14:paraId="4305BF4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proofErr w:type="spellStart"/>
            <w:r w:rsidRPr="00C879B4">
              <w:rPr>
                <w:rFonts w:ascii="Times New Roman" w:hAnsi="Times New Roman"/>
                <w:b/>
                <w:color w:val="000000"/>
                <w:sz w:val="24"/>
                <w:szCs w:val="24"/>
              </w:rPr>
              <w:t>reenumeration</w:t>
            </w:r>
            <w:proofErr w:type="spellEnd"/>
            <w:r w:rsidRPr="00C879B4">
              <w:rPr>
                <w:rFonts w:ascii="Times New Roman" w:hAnsi="Times New Roman"/>
                <w:b/>
                <w:color w:val="000000"/>
                <w:sz w:val="24"/>
                <w:szCs w:val="24"/>
              </w:rPr>
              <w:t xml:space="preserve"> of contractors or grantees. </w:t>
            </w:r>
          </w:p>
          <w:p w:rsidRPr="00C879B4" w:rsidR="0021340A" w:rsidP="001B4FB5" w:rsidRDefault="0021340A" w14:paraId="4E8737D1" w14:textId="77777777">
            <w:pPr>
              <w:spacing w:after="0" w:line="240" w:lineRule="auto"/>
              <w:rPr>
                <w:rFonts w:ascii="Times New Roman" w:hAnsi="Times New Roman"/>
                <w:color w:val="000000"/>
                <w:sz w:val="24"/>
                <w:szCs w:val="24"/>
              </w:rPr>
            </w:pPr>
          </w:p>
        </w:tc>
      </w:tr>
      <w:tr w:rsidRPr="00C879B4" w:rsidR="0021340A" w:rsidTr="00E12A57" w14:paraId="3D3B55EF" w14:textId="77777777">
        <w:tc>
          <w:tcPr>
            <w:tcW w:w="9252" w:type="dxa"/>
            <w:shd w:val="clear" w:color="auto" w:fill="auto"/>
          </w:tcPr>
          <w:p w:rsidR="003C0FD9" w:rsidP="00E12A57" w:rsidRDefault="003C0FD9" w14:paraId="57F777D3" w14:textId="77777777">
            <w:pPr>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There are no gifts or any payments to respondents.</w:t>
            </w:r>
          </w:p>
          <w:p w:rsidRPr="00C879B4" w:rsidR="0021340A" w:rsidP="001B4FB5" w:rsidRDefault="0021340A" w14:paraId="10879A69" w14:textId="77777777">
            <w:pPr>
              <w:spacing w:after="0" w:line="240" w:lineRule="auto"/>
              <w:rPr>
                <w:rFonts w:ascii="Times New Roman" w:hAnsi="Times New Roman"/>
                <w:color w:val="000000"/>
                <w:sz w:val="24"/>
                <w:szCs w:val="24"/>
              </w:rPr>
            </w:pPr>
          </w:p>
        </w:tc>
      </w:tr>
      <w:tr w:rsidRPr="00C879B4" w:rsidR="0021340A" w:rsidTr="00E12A57" w14:paraId="6372BCF1" w14:textId="77777777">
        <w:tc>
          <w:tcPr>
            <w:tcW w:w="9252" w:type="dxa"/>
            <w:shd w:val="clear" w:color="auto" w:fill="auto"/>
          </w:tcPr>
          <w:p w:rsidRPr="00C879B4" w:rsidR="0021340A" w:rsidP="001B4FB5" w:rsidRDefault="0021340A" w14:paraId="7E3F0EC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21340A" w:rsidP="001B4FB5" w:rsidRDefault="0021340A" w14:paraId="54267C13" w14:textId="77777777">
            <w:pPr>
              <w:spacing w:after="0" w:line="240" w:lineRule="auto"/>
              <w:rPr>
                <w:rFonts w:ascii="Times New Roman" w:hAnsi="Times New Roman"/>
                <w:b/>
                <w:color w:val="000000"/>
                <w:sz w:val="24"/>
                <w:szCs w:val="24"/>
              </w:rPr>
            </w:pPr>
          </w:p>
        </w:tc>
      </w:tr>
      <w:tr w:rsidRPr="00C879B4" w:rsidR="0021340A" w:rsidTr="00E12A57" w14:paraId="50E6A8AD" w14:textId="77777777">
        <w:tc>
          <w:tcPr>
            <w:tcW w:w="9252" w:type="dxa"/>
            <w:shd w:val="clear" w:color="auto" w:fill="auto"/>
          </w:tcPr>
          <w:p w:rsidR="0021340A" w:rsidP="001B4FB5" w:rsidRDefault="00163285" w14:paraId="4CF5E7C1" w14:textId="5F7CE04E">
            <w:pPr>
              <w:spacing w:after="0" w:line="240" w:lineRule="auto"/>
              <w:rPr>
                <w:rFonts w:ascii="Times New Roman" w:hAnsi="Times New Roman"/>
                <w:sz w:val="24"/>
                <w:szCs w:val="20"/>
              </w:rPr>
            </w:pPr>
            <w:r w:rsidRPr="00163285">
              <w:rPr>
                <w:rFonts w:ascii="Times New Roman" w:hAnsi="Times New Roman"/>
                <w:sz w:val="24"/>
                <w:szCs w:val="20"/>
              </w:rPr>
              <w:lastRenderedPageBreak/>
              <w:t xml:space="preserve">HUD assures confidentiality for the information collected and maintained by the system.  Mortgage insurance files and financial documentation generally fall under the confidentiality provisions of the Privacy Act and Freedom of Information Act.  </w:t>
            </w:r>
            <w:bookmarkStart w:name="_Hlk73446284" w:id="1"/>
            <w:r w:rsidR="00846D3B">
              <w:rPr>
                <w:rFonts w:ascii="Times New Roman" w:hAnsi="Times New Roman"/>
                <w:sz w:val="24"/>
                <w:szCs w:val="20"/>
              </w:rPr>
              <w:t xml:space="preserve">Based on the authority in </w:t>
            </w:r>
            <w:r w:rsidR="00EF07A6">
              <w:rPr>
                <w:rFonts w:ascii="Times New Roman" w:hAnsi="Times New Roman"/>
                <w:sz w:val="24"/>
                <w:szCs w:val="20"/>
              </w:rPr>
              <w:t>t</w:t>
            </w:r>
            <w:r w:rsidRPr="00163285">
              <w:rPr>
                <w:rFonts w:ascii="Times New Roman" w:hAnsi="Times New Roman"/>
                <w:sz w:val="24"/>
                <w:szCs w:val="20"/>
              </w:rPr>
              <w:t xml:space="preserve">he Housing and Community Development Act of 1987, 42 U.S.C. 3543(a), </w:t>
            </w:r>
            <w:r w:rsidR="00846D3B">
              <w:rPr>
                <w:rFonts w:ascii="Times New Roman" w:hAnsi="Times New Roman"/>
                <w:sz w:val="24"/>
                <w:szCs w:val="20"/>
              </w:rPr>
              <w:t xml:space="preserve">and as set forth in 24 CFR 200.1110 and 203.35, HUD </w:t>
            </w:r>
            <w:r w:rsidRPr="00163285">
              <w:rPr>
                <w:rFonts w:ascii="Times New Roman" w:hAnsi="Times New Roman"/>
                <w:sz w:val="24"/>
                <w:szCs w:val="20"/>
              </w:rPr>
              <w:t>requires persons applying for a federally insured or guaranteed loan to furnish his/her Social Security Number (SSN).</w:t>
            </w:r>
            <w:r w:rsidRPr="00163285">
              <w:rPr>
                <w:rFonts w:ascii="Times New Roman" w:hAnsi="Times New Roman"/>
                <w:b/>
                <w:bCs/>
                <w:sz w:val="24"/>
                <w:szCs w:val="20"/>
              </w:rPr>
              <w:t xml:space="preserve">  </w:t>
            </w:r>
            <w:bookmarkEnd w:id="1"/>
            <w:r w:rsidRPr="00163285">
              <w:rPr>
                <w:rFonts w:ascii="Times New Roman" w:hAnsi="Times New Roman"/>
                <w:sz w:val="24"/>
                <w:szCs w:val="20"/>
              </w:rPr>
              <w:t>The inclusion of SSN is considered a confidential matter.  A Privacy Act Statement is printed on the appropriate form HUD-92900-A.  The SSNs generated by the system was initially collected by this form</w:t>
            </w:r>
            <w:r w:rsidR="005A33E0">
              <w:rPr>
                <w:rFonts w:ascii="Times New Roman" w:hAnsi="Times New Roman"/>
                <w:sz w:val="24"/>
                <w:szCs w:val="20"/>
              </w:rPr>
              <w:t>.</w:t>
            </w:r>
          </w:p>
          <w:p w:rsidRPr="00C879B4" w:rsidR="005A33E0" w:rsidP="001B4FB5" w:rsidRDefault="005A33E0" w14:paraId="43C753CD" w14:textId="5C8A9EAB">
            <w:pPr>
              <w:spacing w:after="0" w:line="240" w:lineRule="auto"/>
              <w:rPr>
                <w:rFonts w:ascii="Times New Roman" w:hAnsi="Times New Roman"/>
                <w:b/>
                <w:color w:val="000000"/>
                <w:sz w:val="24"/>
                <w:szCs w:val="24"/>
              </w:rPr>
            </w:pPr>
          </w:p>
        </w:tc>
      </w:tr>
      <w:tr w:rsidRPr="00C879B4" w:rsidR="0021340A" w:rsidTr="003C0FD9" w14:paraId="167B877C" w14:textId="77777777">
        <w:tc>
          <w:tcPr>
            <w:tcW w:w="9252" w:type="dxa"/>
            <w:shd w:val="clear" w:color="auto" w:fill="auto"/>
          </w:tcPr>
          <w:p w:rsidR="0021340A" w:rsidP="001B4FB5" w:rsidRDefault="0021340A" w14:paraId="636C48F5" w14:textId="78325848">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12A57" w:rsidP="00E12A57" w:rsidRDefault="00E12A57" w14:paraId="12850797" w14:textId="77777777">
            <w:pPr>
              <w:overflowPunct w:val="0"/>
              <w:autoSpaceDE w:val="0"/>
              <w:autoSpaceDN w:val="0"/>
              <w:adjustRightInd w:val="0"/>
              <w:spacing w:after="0" w:line="240" w:lineRule="auto"/>
              <w:rPr>
                <w:rFonts w:ascii="Times New Roman" w:hAnsi="Times New Roman"/>
                <w:sz w:val="24"/>
                <w:szCs w:val="20"/>
              </w:rPr>
            </w:pPr>
          </w:p>
          <w:p w:rsidR="003C0FD9" w:rsidP="00E12A57" w:rsidRDefault="003C0FD9" w14:paraId="62C353CF" w14:textId="7D3FC567">
            <w:pPr>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There are no sensitive questions involved in this collection.</w:t>
            </w:r>
          </w:p>
          <w:p w:rsidRPr="00C879B4" w:rsidR="00B62C5B" w:rsidP="001B4FB5" w:rsidRDefault="00B62C5B" w14:paraId="4C37CD26" w14:textId="77777777">
            <w:pPr>
              <w:spacing w:after="0" w:line="240" w:lineRule="auto"/>
              <w:rPr>
                <w:rFonts w:ascii="Times New Roman" w:hAnsi="Times New Roman"/>
                <w:b/>
                <w:color w:val="000000"/>
                <w:sz w:val="24"/>
                <w:szCs w:val="24"/>
              </w:rPr>
            </w:pPr>
          </w:p>
          <w:p w:rsidRPr="00C879B4" w:rsidR="00B62C5B" w:rsidP="00B62C5B" w:rsidRDefault="00B62C5B" w14:paraId="13C6051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2EBE3ED7" w14:textId="77777777">
            <w:pPr>
              <w:spacing w:after="0" w:line="240" w:lineRule="auto"/>
              <w:rPr>
                <w:rFonts w:ascii="Times New Roman" w:hAnsi="Times New Roman"/>
                <w:b/>
                <w:color w:val="000000"/>
                <w:sz w:val="24"/>
                <w:szCs w:val="24"/>
              </w:rPr>
            </w:pPr>
          </w:p>
          <w:p w:rsidRPr="00C879B4" w:rsidR="00B62C5B" w:rsidP="00B62C5B" w:rsidRDefault="00B62C5B" w14:paraId="537D7EC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10751C0B" w14:textId="77777777">
            <w:pPr>
              <w:spacing w:after="0" w:line="240" w:lineRule="auto"/>
              <w:rPr>
                <w:rFonts w:ascii="Times New Roman" w:hAnsi="Times New Roman"/>
                <w:color w:val="000000"/>
                <w:sz w:val="24"/>
                <w:szCs w:val="24"/>
              </w:rPr>
            </w:pPr>
          </w:p>
          <w:p w:rsidRPr="00C879B4" w:rsidR="00B62C5B" w:rsidP="00B62C5B" w:rsidRDefault="00B62C5B" w14:paraId="77C1889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56A2FF32" w14:textId="77777777">
            <w:pPr>
              <w:spacing w:after="0" w:line="240" w:lineRule="auto"/>
              <w:rPr>
                <w:rFonts w:ascii="Times New Roman" w:hAnsi="Times New Roman"/>
                <w:color w:val="000000"/>
                <w:sz w:val="24"/>
                <w:szCs w:val="24"/>
              </w:rPr>
            </w:pPr>
          </w:p>
          <w:p w:rsidRPr="00C879B4" w:rsidR="0021340A" w:rsidP="002C7DF4" w:rsidRDefault="00B62C5B" w14:paraId="46250D49"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21340A" w:rsidTr="003C0FD9" w14:paraId="2B8E5C19" w14:textId="77777777">
        <w:tc>
          <w:tcPr>
            <w:tcW w:w="9252" w:type="dxa"/>
            <w:shd w:val="clear" w:color="auto" w:fill="auto"/>
          </w:tcPr>
          <w:p w:rsidRPr="00C879B4" w:rsidR="0021340A" w:rsidP="001B4FB5" w:rsidRDefault="0021340A" w14:paraId="1C094AFC" w14:textId="77777777">
            <w:pPr>
              <w:spacing w:after="0" w:line="240" w:lineRule="auto"/>
              <w:rPr>
                <w:rFonts w:ascii="Times New Roman" w:hAnsi="Times New Roman"/>
                <w:b/>
                <w:color w:val="000000"/>
                <w:sz w:val="24"/>
                <w:szCs w:val="24"/>
              </w:rPr>
            </w:pPr>
          </w:p>
        </w:tc>
      </w:tr>
    </w:tbl>
    <w:p w:rsidR="003C0FD9" w:rsidP="003C0FD9" w:rsidRDefault="003C0FD9" w14:paraId="272277E0" w14:textId="77777777">
      <w:pPr>
        <w:keepNext/>
        <w:overflowPunct w:val="0"/>
        <w:autoSpaceDE w:val="0"/>
        <w:autoSpaceDN w:val="0"/>
        <w:adjustRightInd w:val="0"/>
        <w:spacing w:after="0" w:line="240" w:lineRule="auto"/>
        <w:ind w:left="360" w:hanging="360"/>
        <w:rPr>
          <w:rFonts w:ascii="Times New Roman" w:hAnsi="Times New Roman"/>
          <w:sz w:val="24"/>
          <w:szCs w:val="20"/>
        </w:rPr>
      </w:pPr>
      <w:r>
        <w:rPr>
          <w:rFonts w:ascii="Times New Roman" w:hAnsi="Times New Roman"/>
          <w:sz w:val="24"/>
          <w:szCs w:val="20"/>
        </w:rPr>
        <w:t xml:space="preserve">Respondent Estimated Burden: </w:t>
      </w:r>
    </w:p>
    <w:p w:rsidR="003C0FD9" w:rsidP="003C0FD9" w:rsidRDefault="003C0FD9" w14:paraId="705DA2D7" w14:textId="77777777">
      <w:pPr>
        <w:keepNext/>
        <w:overflowPunct w:val="0"/>
        <w:autoSpaceDE w:val="0"/>
        <w:autoSpaceDN w:val="0"/>
        <w:adjustRightInd w:val="0"/>
        <w:spacing w:after="0" w:line="240" w:lineRule="auto"/>
        <w:rPr>
          <w:rFonts w:ascii="Times New Roman" w:hAnsi="Times New Roman"/>
          <w:sz w:val="24"/>
          <w:szCs w:val="20"/>
        </w:rPr>
      </w:pPr>
    </w:p>
    <w:p w:rsidR="003C0FD9" w:rsidP="003C0FD9" w:rsidRDefault="003C0FD9" w14:paraId="533D0379" w14:textId="77777777">
      <w:pPr>
        <w:overflowPunct w:val="0"/>
        <w:autoSpaceDE w:val="0"/>
        <w:autoSpaceDN w:val="0"/>
        <w:adjustRightInd w:val="0"/>
        <w:spacing w:after="0" w:line="240" w:lineRule="auto"/>
        <w:ind w:left="360"/>
        <w:rPr>
          <w:rFonts w:ascii="Times New Roman" w:hAnsi="Times New Roman"/>
          <w:sz w:val="24"/>
          <w:szCs w:val="20"/>
        </w:rPr>
      </w:pPr>
      <w:r>
        <w:rPr>
          <w:rFonts w:ascii="Times New Roman" w:hAnsi="Times New Roman"/>
          <w:sz w:val="24"/>
          <w:szCs w:val="20"/>
        </w:rPr>
        <w:t xml:space="preserve">Number of respondents varies depending upon lenders holding mortgages requiring periodic insurance premium payments.  Participating lenders hold a widely varied number of mortgages; some hold only a few, and some hold well over a million.  </w:t>
      </w:r>
    </w:p>
    <w:p w:rsidR="003C0FD9" w:rsidP="003C0FD9" w:rsidRDefault="003C0FD9" w14:paraId="66BB0C0D" w14:textId="77777777">
      <w:pPr>
        <w:overflowPunct w:val="0"/>
        <w:autoSpaceDE w:val="0"/>
        <w:autoSpaceDN w:val="0"/>
        <w:adjustRightInd w:val="0"/>
        <w:spacing w:after="0" w:line="240" w:lineRule="auto"/>
        <w:ind w:left="360"/>
        <w:rPr>
          <w:rFonts w:ascii="Times New Roman" w:hAnsi="Times New Roman"/>
          <w:sz w:val="24"/>
          <w:szCs w:val="20"/>
        </w:rPr>
      </w:pPr>
    </w:p>
    <w:p w:rsidR="003C0FD9" w:rsidP="003C0FD9" w:rsidRDefault="003C0FD9" w14:paraId="30CA396C" w14:textId="77777777">
      <w:pPr>
        <w:ind w:left="360"/>
        <w:rPr>
          <w:rFonts w:ascii="Times New Roman" w:hAnsi="Times New Roman"/>
          <w:sz w:val="24"/>
          <w:szCs w:val="24"/>
        </w:rPr>
      </w:pPr>
      <w:r>
        <w:rPr>
          <w:rFonts w:ascii="Times New Roman" w:hAnsi="Times New Roman"/>
          <w:sz w:val="24"/>
          <w:szCs w:val="24"/>
        </w:rPr>
        <w:t xml:space="preserve">All periodic (monthly) mortgage insurance premium payments are sent electronically to HUD, either through the Internet using the FHA Connection or through </w:t>
      </w:r>
      <w:proofErr w:type="gramStart"/>
      <w:r>
        <w:rPr>
          <w:rFonts w:ascii="Times New Roman" w:hAnsi="Times New Roman"/>
          <w:sz w:val="24"/>
          <w:szCs w:val="24"/>
        </w:rPr>
        <w:t>CPU to CPU</w:t>
      </w:r>
      <w:proofErr w:type="gramEnd"/>
      <w:r>
        <w:rPr>
          <w:rFonts w:ascii="Times New Roman" w:hAnsi="Times New Roman"/>
          <w:sz w:val="24"/>
          <w:szCs w:val="24"/>
        </w:rPr>
        <w:t xml:space="preserve"> batch file transmissions, and processed using Pay.gov, a secure government-wide collection portal managed by the Bureau of the Fiscal Service of the U.S. Department of the Treasury. </w:t>
      </w:r>
      <w:r>
        <w:rPr>
          <w:rFonts w:ascii="Times New Roman" w:hAnsi="Times New Roman"/>
          <w:sz w:val="24"/>
          <w:szCs w:val="24"/>
        </w:rPr>
        <w:lastRenderedPageBreak/>
        <w:t>Pay.gov processes a payment electronically (electronic funds transfer or EFT) through the Automated Clearing House (ACH) using a checking account debit.</w:t>
      </w:r>
    </w:p>
    <w:p w:rsidRPr="00C879B4" w:rsidR="00FA2F70" w:rsidP="00FA2F70" w:rsidRDefault="00FA2F70" w14:paraId="0F6FE78D" w14:textId="77777777">
      <w:pPr>
        <w:spacing w:after="0" w:line="240" w:lineRule="auto"/>
        <w:rPr>
          <w:rFonts w:ascii="Times New Roman" w:hAnsi="Times New Roman"/>
          <w:b/>
          <w:color w:val="000000"/>
          <w:sz w:val="24"/>
          <w:szCs w:val="24"/>
        </w:rPr>
      </w:pPr>
    </w:p>
    <w:tbl>
      <w:tblPr>
        <w:tblW w:w="9990" w:type="dxa"/>
        <w:tblInd w:w="-72" w:type="dxa"/>
        <w:tblLayout w:type="fixed"/>
        <w:tblLook w:val="04A0" w:firstRow="1" w:lastRow="0" w:firstColumn="1" w:lastColumn="0" w:noHBand="0" w:noVBand="1"/>
      </w:tblPr>
      <w:tblGrid>
        <w:gridCol w:w="1350"/>
        <w:gridCol w:w="900"/>
        <w:gridCol w:w="1261"/>
        <w:gridCol w:w="1097"/>
        <w:gridCol w:w="1184"/>
        <w:gridCol w:w="1048"/>
        <w:gridCol w:w="900"/>
        <w:gridCol w:w="990"/>
        <w:gridCol w:w="1260"/>
      </w:tblGrid>
      <w:tr w:rsidRPr="00C879B4" w:rsidR="006C1F71" w:rsidTr="00294E98" w14:paraId="38DEE4BA" w14:textId="77777777">
        <w:tc>
          <w:tcPr>
            <w:tcW w:w="1350" w:type="dxa"/>
          </w:tcPr>
          <w:p w:rsidRPr="00C879B4" w:rsidR="006C1F71" w:rsidP="001B4FB5" w:rsidRDefault="006C1F71" w14:paraId="5312D61A" w14:textId="77777777">
            <w:pPr>
              <w:spacing w:after="0" w:line="240" w:lineRule="auto"/>
              <w:rPr>
                <w:rFonts w:ascii="Times New Roman" w:hAnsi="Times New Roman"/>
                <w:b/>
                <w:color w:val="000000"/>
                <w:sz w:val="24"/>
                <w:szCs w:val="24"/>
              </w:rPr>
            </w:pPr>
          </w:p>
        </w:tc>
        <w:tc>
          <w:tcPr>
            <w:tcW w:w="8640" w:type="dxa"/>
            <w:gridSpan w:val="8"/>
            <w:shd w:val="clear" w:color="auto" w:fill="auto"/>
          </w:tcPr>
          <w:p w:rsidRPr="00C879B4" w:rsidR="006C1F71" w:rsidP="006B76CD" w:rsidRDefault="006C1F71" w14:paraId="14AC8109"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rsidRPr="00C879B4" w:rsidR="006C1F71" w:rsidTr="00294E98" w14:paraId="589906BE" w14:textId="77777777">
        <w:tc>
          <w:tcPr>
            <w:tcW w:w="1350" w:type="dxa"/>
            <w:tcBorders>
              <w:bottom w:val="single" w:color="auto" w:sz="4" w:space="0"/>
            </w:tcBorders>
          </w:tcPr>
          <w:p w:rsidRPr="00C879B4" w:rsidR="006C1F71" w:rsidP="001B4FB5" w:rsidRDefault="006C1F71" w14:paraId="59F97EB9" w14:textId="77777777">
            <w:pPr>
              <w:spacing w:after="0" w:line="240" w:lineRule="auto"/>
              <w:rPr>
                <w:rFonts w:ascii="Times New Roman" w:hAnsi="Times New Roman"/>
                <w:b/>
                <w:color w:val="000000"/>
                <w:sz w:val="24"/>
                <w:szCs w:val="24"/>
              </w:rPr>
            </w:pPr>
          </w:p>
        </w:tc>
        <w:tc>
          <w:tcPr>
            <w:tcW w:w="8640" w:type="dxa"/>
            <w:gridSpan w:val="8"/>
            <w:tcBorders>
              <w:bottom w:val="single" w:color="auto" w:sz="4" w:space="0"/>
            </w:tcBorders>
            <w:shd w:val="clear" w:color="auto" w:fill="auto"/>
          </w:tcPr>
          <w:p w:rsidRPr="00C879B4" w:rsidR="006C1F71" w:rsidP="005A7FAF" w:rsidRDefault="005A7FAF" w14:paraId="537F602A" w14:textId="77777777">
            <w:pPr>
              <w:spacing w:after="0" w:line="240" w:lineRule="auto"/>
              <w:jc w:val="center"/>
              <w:rPr>
                <w:rFonts w:ascii="Times New Roman" w:hAnsi="Times New Roman"/>
                <w:b/>
                <w:color w:val="000000"/>
                <w:sz w:val="24"/>
                <w:szCs w:val="24"/>
              </w:rPr>
            </w:pPr>
            <w:r w:rsidRPr="005A7FAF">
              <w:rPr>
                <w:rFonts w:ascii="Arial" w:hAnsi="Arial" w:cs="Arial"/>
                <w:color w:val="000000"/>
                <w:sz w:val="18"/>
                <w:szCs w:val="18"/>
              </w:rPr>
              <w:t>Estimated Annualized Burden Hours and Costs</w:t>
            </w:r>
          </w:p>
        </w:tc>
      </w:tr>
      <w:tr w:rsidRPr="00C879B4" w:rsidR="006C1F71" w:rsidTr="00294E98" w14:paraId="1BA6820C"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01A49EEA" w14:textId="77777777">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Type of Respondent</w:t>
            </w:r>
          </w:p>
        </w:tc>
        <w:tc>
          <w:tcPr>
            <w:tcW w:w="900"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23711C19" w14:textId="77777777">
            <w:pPr>
              <w:ind w:right="-108"/>
              <w:jc w:val="center"/>
              <w:rPr>
                <w:rFonts w:ascii="Helvetica" w:hAnsi="Helvetica"/>
                <w:b/>
                <w:bCs/>
                <w:color w:val="000000"/>
                <w:sz w:val="18"/>
              </w:rPr>
            </w:pPr>
          </w:p>
          <w:p w:rsidRPr="00C879B4" w:rsidR="006C1F71" w:rsidP="006C1F71" w:rsidRDefault="006C1F71" w14:paraId="454FC18D"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261"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1FC114BB"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097"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4D450547"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6BE8493C"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48"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494E77D6"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62581C17"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693A85E7"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052FF02C"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60" w:type="dxa"/>
            <w:tcBorders>
              <w:top w:val="single" w:color="auto" w:sz="4" w:space="0"/>
              <w:left w:val="single" w:color="auto" w:sz="4" w:space="0"/>
              <w:bottom w:val="single" w:color="auto" w:sz="4" w:space="0"/>
              <w:right w:val="single" w:color="auto" w:sz="4" w:space="0"/>
            </w:tcBorders>
          </w:tcPr>
          <w:p w:rsidR="006C1F71" w:rsidP="006C1F71" w:rsidRDefault="006C1F71" w14:paraId="1B1D8820" w14:textId="77777777">
            <w:pPr>
              <w:ind w:right="-108"/>
              <w:jc w:val="center"/>
              <w:rPr>
                <w:rFonts w:ascii="Helvetica" w:hAnsi="Helvetica"/>
                <w:b/>
                <w:bCs/>
                <w:color w:val="000000"/>
                <w:sz w:val="18"/>
              </w:rPr>
            </w:pPr>
          </w:p>
          <w:p w:rsidRPr="00C879B4" w:rsidR="006C1F71" w:rsidP="006C1F71" w:rsidRDefault="006C1F71" w14:paraId="56FBF9A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6C1F71" w:rsidTr="00294E98" w14:paraId="08514ECC"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7440EA" w:rsidR="006C1F71" w:rsidP="00B106EA" w:rsidRDefault="007440EA" w14:paraId="5DD7C72C" w14:textId="649295D4">
            <w:pPr>
              <w:rPr>
                <w:rFonts w:ascii="Helvetica" w:hAnsi="Helvetica" w:cs="Helvetica"/>
                <w:bCs/>
                <w:color w:val="000000"/>
                <w:sz w:val="18"/>
                <w:szCs w:val="18"/>
              </w:rPr>
            </w:pPr>
            <w:r w:rsidRPr="007440EA">
              <w:rPr>
                <w:rFonts w:ascii="Helvetica" w:hAnsi="Helvetica" w:cs="Helvetica"/>
                <w:sz w:val="18"/>
                <w:szCs w:val="18"/>
              </w:rPr>
              <w:t>Mortgage Insurance Premium</w:t>
            </w:r>
            <w:r>
              <w:rPr>
                <w:rFonts w:ascii="Helvetica" w:hAnsi="Helvetica" w:cs="Helvetica"/>
                <w:sz w:val="18"/>
                <w:szCs w:val="18"/>
              </w:rPr>
              <w:t>s</w:t>
            </w:r>
            <w:r w:rsidRPr="007440EA">
              <w:rPr>
                <w:rFonts w:ascii="Helvetica" w:hAnsi="Helvetica" w:cs="Helvetica"/>
                <w:sz w:val="18"/>
                <w:szCs w:val="18"/>
              </w:rPr>
              <w:t xml:space="preserve"> </w:t>
            </w:r>
            <w:r>
              <w:rPr>
                <w:rFonts w:ascii="Helvetica" w:hAnsi="Helvetica" w:cs="Helvetica"/>
                <w:sz w:val="18"/>
                <w:szCs w:val="18"/>
              </w:rPr>
              <w:t>(</w:t>
            </w:r>
            <w:r w:rsidRPr="007440EA" w:rsidR="003C0FD9">
              <w:rPr>
                <w:rFonts w:ascii="Helvetica" w:hAnsi="Helvetica" w:cs="Helvetica"/>
                <w:bCs/>
                <w:color w:val="000000"/>
                <w:sz w:val="18"/>
                <w:szCs w:val="18"/>
              </w:rPr>
              <w:t>MIPs</w:t>
            </w:r>
            <w:r>
              <w:rPr>
                <w:rFonts w:ascii="Helvetica" w:hAnsi="Helvetica" w:cs="Helvetica"/>
                <w:bCs/>
                <w:color w:val="000000"/>
                <w:sz w:val="18"/>
                <w:szCs w:val="18"/>
              </w:rPr>
              <w:t>)</w:t>
            </w:r>
          </w:p>
        </w:tc>
        <w:tc>
          <w:tcPr>
            <w:tcW w:w="900" w:type="dxa"/>
            <w:tcBorders>
              <w:top w:val="single" w:color="auto" w:sz="4" w:space="0"/>
              <w:left w:val="single" w:color="auto" w:sz="4" w:space="0"/>
              <w:bottom w:val="single" w:color="auto" w:sz="4" w:space="0"/>
              <w:right w:val="single" w:color="auto" w:sz="4" w:space="0"/>
            </w:tcBorders>
            <w:shd w:val="clear" w:color="auto" w:fill="D9D9D9"/>
          </w:tcPr>
          <w:p w:rsidRPr="00C879B4" w:rsidR="006C1F71" w:rsidP="007440EA" w:rsidRDefault="003C0FD9" w14:paraId="3A00C165" w14:textId="14B76E60">
            <w:pPr>
              <w:rPr>
                <w:rFonts w:ascii="Helvetica" w:hAnsi="Helvetica"/>
                <w:bCs/>
                <w:color w:val="000000"/>
                <w:sz w:val="18"/>
              </w:rPr>
            </w:pPr>
            <w:r>
              <w:rPr>
                <w:rFonts w:ascii="Helvetica" w:hAnsi="Helvetica"/>
                <w:bCs/>
                <w:color w:val="000000"/>
                <w:sz w:val="18"/>
              </w:rPr>
              <w:t>OMB 2052-</w:t>
            </w:r>
            <w:r w:rsidR="00445F32">
              <w:rPr>
                <w:rFonts w:ascii="Helvetica" w:hAnsi="Helvetica"/>
                <w:bCs/>
                <w:color w:val="000000"/>
                <w:sz w:val="18"/>
              </w:rPr>
              <w:t>0536</w:t>
            </w:r>
          </w:p>
        </w:tc>
        <w:tc>
          <w:tcPr>
            <w:tcW w:w="1261"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7440EA" w:rsidRDefault="00445F32" w14:paraId="4A08146F" w14:textId="5454AC90">
            <w:pPr>
              <w:jc w:val="center"/>
              <w:rPr>
                <w:rFonts w:ascii="Helvetica" w:hAnsi="Helvetica"/>
                <w:bCs/>
                <w:color w:val="000000"/>
                <w:sz w:val="18"/>
              </w:rPr>
            </w:pPr>
            <w:r>
              <w:rPr>
                <w:rFonts w:ascii="Helvetica" w:hAnsi="Helvetica"/>
                <w:bCs/>
                <w:color w:val="000000"/>
                <w:sz w:val="18"/>
              </w:rPr>
              <w:t>730</w:t>
            </w:r>
          </w:p>
        </w:tc>
        <w:tc>
          <w:tcPr>
            <w:tcW w:w="1097" w:type="dxa"/>
            <w:tcBorders>
              <w:top w:val="single" w:color="auto" w:sz="4" w:space="0"/>
              <w:left w:val="single" w:color="auto" w:sz="4" w:space="0"/>
              <w:bottom w:val="single" w:color="auto" w:sz="4" w:space="0"/>
              <w:right w:val="single" w:color="auto" w:sz="4" w:space="0"/>
            </w:tcBorders>
            <w:vAlign w:val="center"/>
          </w:tcPr>
          <w:p w:rsidRPr="00C879B4" w:rsidR="006C1F71" w:rsidP="007440EA" w:rsidRDefault="00445F32" w14:paraId="3304D0E0" w14:textId="220638D5">
            <w:pPr>
              <w:jc w:val="center"/>
              <w:rPr>
                <w:rFonts w:ascii="Helvetica" w:hAnsi="Helvetica"/>
                <w:bCs/>
                <w:color w:val="000000"/>
                <w:sz w:val="18"/>
              </w:rPr>
            </w:pPr>
            <w:r>
              <w:rPr>
                <w:rFonts w:ascii="Helvetica" w:hAnsi="Helvetica"/>
                <w:bCs/>
                <w:color w:val="000000"/>
                <w:sz w:val="18"/>
              </w:rPr>
              <w:t>12</w:t>
            </w: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7440EA" w:rsidRDefault="00445F32" w14:paraId="5ACDE017" w14:textId="668AD4D5">
            <w:pPr>
              <w:jc w:val="center"/>
              <w:rPr>
                <w:rFonts w:ascii="Helvetica" w:hAnsi="Helvetica"/>
                <w:bCs/>
                <w:color w:val="000000"/>
                <w:sz w:val="18"/>
              </w:rPr>
            </w:pPr>
            <w:r>
              <w:rPr>
                <w:rFonts w:ascii="Helvetica" w:hAnsi="Helvetica"/>
                <w:bCs/>
                <w:color w:val="000000"/>
                <w:sz w:val="18"/>
              </w:rPr>
              <w:t>8</w:t>
            </w:r>
            <w:r w:rsidR="007440EA">
              <w:rPr>
                <w:rFonts w:ascii="Helvetica" w:hAnsi="Helvetica"/>
                <w:bCs/>
                <w:color w:val="000000"/>
                <w:sz w:val="18"/>
              </w:rPr>
              <w:t>,</w:t>
            </w:r>
            <w:r>
              <w:rPr>
                <w:rFonts w:ascii="Helvetica" w:hAnsi="Helvetica"/>
                <w:bCs/>
                <w:color w:val="000000"/>
                <w:sz w:val="18"/>
              </w:rPr>
              <w:t>760</w:t>
            </w:r>
          </w:p>
        </w:tc>
        <w:tc>
          <w:tcPr>
            <w:tcW w:w="1048" w:type="dxa"/>
            <w:tcBorders>
              <w:top w:val="single" w:color="auto" w:sz="4" w:space="0"/>
              <w:left w:val="single" w:color="auto" w:sz="4" w:space="0"/>
              <w:bottom w:val="single" w:color="auto" w:sz="4" w:space="0"/>
              <w:right w:val="single" w:color="auto" w:sz="4" w:space="0"/>
            </w:tcBorders>
            <w:vAlign w:val="center"/>
          </w:tcPr>
          <w:p w:rsidRPr="00C879B4" w:rsidR="006C1F71" w:rsidP="007440EA" w:rsidRDefault="00445F32" w14:paraId="271AAD78" w14:textId="254BBF02">
            <w:pPr>
              <w:jc w:val="center"/>
              <w:rPr>
                <w:rFonts w:ascii="Helvetica" w:hAnsi="Helvetica"/>
                <w:bCs/>
                <w:color w:val="000000"/>
                <w:sz w:val="18"/>
              </w:rPr>
            </w:pPr>
            <w:r>
              <w:rPr>
                <w:rFonts w:ascii="Helvetica" w:hAnsi="Helvetica"/>
                <w:bCs/>
                <w:color w:val="000000"/>
                <w:sz w:val="18"/>
              </w:rPr>
              <w:t>.15</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7440EA" w:rsidRDefault="00445F32" w14:paraId="457DA9A3" w14:textId="7713E204">
            <w:pPr>
              <w:jc w:val="center"/>
              <w:rPr>
                <w:rFonts w:ascii="Helvetica" w:hAnsi="Helvetica"/>
                <w:bCs/>
                <w:color w:val="000000"/>
                <w:sz w:val="18"/>
              </w:rPr>
            </w:pPr>
            <w:r>
              <w:rPr>
                <w:rFonts w:ascii="Helvetica" w:hAnsi="Helvetica"/>
                <w:bCs/>
                <w:color w:val="000000"/>
                <w:sz w:val="18"/>
              </w:rPr>
              <w:t>1</w:t>
            </w:r>
            <w:r w:rsidR="007440EA">
              <w:rPr>
                <w:rFonts w:ascii="Helvetica" w:hAnsi="Helvetica"/>
                <w:bCs/>
                <w:color w:val="000000"/>
                <w:sz w:val="18"/>
              </w:rPr>
              <w:t>,</w:t>
            </w:r>
            <w:r>
              <w:rPr>
                <w:rFonts w:ascii="Helvetica" w:hAnsi="Helvetica"/>
                <w:bCs/>
                <w:color w:val="000000"/>
                <w:sz w:val="18"/>
              </w:rPr>
              <w:t>314</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6C1F71" w:rsidP="007440EA" w:rsidRDefault="007440EA" w14:paraId="00E1B247" w14:textId="50D2B035">
            <w:pPr>
              <w:jc w:val="center"/>
              <w:rPr>
                <w:rFonts w:ascii="Helvetica" w:hAnsi="Helvetica"/>
                <w:bCs/>
                <w:color w:val="000000"/>
                <w:sz w:val="18"/>
              </w:rPr>
            </w:pPr>
            <w:r>
              <w:rPr>
                <w:rFonts w:ascii="Helvetica" w:hAnsi="Helvetica"/>
                <w:bCs/>
                <w:color w:val="000000"/>
                <w:sz w:val="18"/>
              </w:rPr>
              <w:t>$</w:t>
            </w:r>
            <w:r w:rsidR="00445F32">
              <w:rPr>
                <w:rFonts w:ascii="Helvetica" w:hAnsi="Helvetica"/>
                <w:bCs/>
                <w:color w:val="000000"/>
                <w:sz w:val="18"/>
              </w:rPr>
              <w:t>36.99</w:t>
            </w:r>
          </w:p>
        </w:tc>
        <w:tc>
          <w:tcPr>
            <w:tcW w:w="1260" w:type="dxa"/>
            <w:tcBorders>
              <w:top w:val="single" w:color="auto" w:sz="4" w:space="0"/>
              <w:left w:val="single" w:color="auto" w:sz="4" w:space="0"/>
              <w:bottom w:val="single" w:color="auto" w:sz="4" w:space="0"/>
              <w:right w:val="single" w:color="auto" w:sz="4" w:space="0"/>
            </w:tcBorders>
          </w:tcPr>
          <w:p w:rsidR="007440EA" w:rsidP="007440EA" w:rsidRDefault="007440EA" w14:paraId="5B9A7CAE" w14:textId="77777777">
            <w:pPr>
              <w:jc w:val="center"/>
              <w:rPr>
                <w:rFonts w:ascii="Helvetica" w:hAnsi="Helvetica"/>
                <w:bCs/>
                <w:color w:val="000000"/>
                <w:sz w:val="18"/>
              </w:rPr>
            </w:pPr>
          </w:p>
          <w:p w:rsidRPr="00C879B4" w:rsidR="006C1F71" w:rsidP="007440EA" w:rsidRDefault="00445F32" w14:paraId="6D80FC05" w14:textId="7D3F42B3">
            <w:pPr>
              <w:jc w:val="center"/>
              <w:rPr>
                <w:rFonts w:ascii="Helvetica" w:hAnsi="Helvetica"/>
                <w:bCs/>
                <w:color w:val="000000"/>
                <w:sz w:val="18"/>
              </w:rPr>
            </w:pPr>
            <w:r>
              <w:rPr>
                <w:rFonts w:ascii="Helvetica" w:hAnsi="Helvetica"/>
                <w:bCs/>
                <w:color w:val="000000"/>
                <w:sz w:val="18"/>
              </w:rPr>
              <w:t>$48,60</w:t>
            </w:r>
            <w:r w:rsidR="007440EA">
              <w:rPr>
                <w:rFonts w:ascii="Helvetica" w:hAnsi="Helvetica"/>
                <w:bCs/>
                <w:color w:val="000000"/>
                <w:sz w:val="18"/>
              </w:rPr>
              <w:t>4.86</w:t>
            </w:r>
          </w:p>
        </w:tc>
      </w:tr>
      <w:tr w:rsidRPr="00C879B4" w:rsidR="006C1F71" w:rsidTr="00E8026F" w14:paraId="19F5D93C"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01854AA2" w14:textId="77777777">
            <w:pPr>
              <w:rPr>
                <w:rFonts w:ascii="Helvetica" w:hAnsi="Helvetica"/>
                <w:b/>
                <w:bCs/>
                <w:color w:val="000000"/>
                <w:sz w:val="18"/>
              </w:rPr>
            </w:pPr>
            <w:r w:rsidRPr="00C879B4">
              <w:rPr>
                <w:rFonts w:ascii="Helvetica" w:hAnsi="Helvetica"/>
                <w:b/>
                <w:bCs/>
                <w:color w:val="000000"/>
                <w:sz w:val="18"/>
              </w:rPr>
              <w:t>TOTALS</w:t>
            </w:r>
          </w:p>
        </w:tc>
        <w:tc>
          <w:tcPr>
            <w:tcW w:w="900" w:type="dxa"/>
            <w:tcBorders>
              <w:top w:val="single" w:color="auto" w:sz="4" w:space="0"/>
              <w:left w:val="single" w:color="auto" w:sz="4" w:space="0"/>
              <w:bottom w:val="single" w:color="auto" w:sz="4" w:space="0"/>
              <w:right w:val="single" w:color="auto" w:sz="4" w:space="0"/>
            </w:tcBorders>
            <w:shd w:val="clear" w:color="auto" w:fill="000000"/>
          </w:tcPr>
          <w:p w:rsidRPr="00C879B4" w:rsidR="006C1F71" w:rsidP="00B106EA" w:rsidRDefault="006C1F71" w14:paraId="718CDAD3" w14:textId="77777777">
            <w:pPr>
              <w:jc w:val="center"/>
              <w:rPr>
                <w:rFonts w:ascii="Helvetica" w:hAnsi="Helvetica"/>
                <w:bCs/>
                <w:color w:val="000000"/>
                <w:sz w:val="18"/>
              </w:rPr>
            </w:pPr>
          </w:p>
        </w:tc>
        <w:tc>
          <w:tcPr>
            <w:tcW w:w="1261" w:type="dxa"/>
            <w:tcBorders>
              <w:top w:val="single" w:color="auto" w:sz="4" w:space="0"/>
              <w:left w:val="single" w:color="auto" w:sz="4" w:space="0"/>
              <w:bottom w:val="single" w:color="auto" w:sz="4" w:space="0"/>
              <w:right w:val="single" w:color="auto" w:sz="4" w:space="0"/>
            </w:tcBorders>
            <w:shd w:val="clear" w:color="auto" w:fill="D9D9D9"/>
            <w:vAlign w:val="center"/>
          </w:tcPr>
          <w:p w:rsidRPr="007440EA" w:rsidR="006C1F71" w:rsidP="00B106EA" w:rsidRDefault="007440EA" w14:paraId="43B3D6C6" w14:textId="34CC7936">
            <w:pPr>
              <w:jc w:val="center"/>
              <w:rPr>
                <w:rFonts w:ascii="Helvetica" w:hAnsi="Helvetica"/>
                <w:b/>
                <w:color w:val="000000"/>
                <w:sz w:val="18"/>
              </w:rPr>
            </w:pPr>
            <w:r w:rsidRPr="007440EA">
              <w:rPr>
                <w:rFonts w:ascii="Helvetica" w:hAnsi="Helvetica"/>
                <w:b/>
                <w:color w:val="000000"/>
                <w:sz w:val="18"/>
              </w:rPr>
              <w:t>730</w:t>
            </w:r>
          </w:p>
        </w:tc>
        <w:tc>
          <w:tcPr>
            <w:tcW w:w="1097"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6543548D" w14:textId="77777777">
            <w:pPr>
              <w:jc w:val="center"/>
              <w:rPr>
                <w:rFonts w:ascii="Helvetica" w:hAnsi="Helvetica"/>
                <w:bCs/>
                <w:color w:val="000000"/>
                <w:sz w:val="18"/>
              </w:rPr>
            </w:pP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7440EA" w:rsidR="006C1F71" w:rsidP="00B106EA" w:rsidRDefault="007440EA" w14:paraId="630F9144" w14:textId="5FF940EF">
            <w:pPr>
              <w:jc w:val="center"/>
              <w:rPr>
                <w:rFonts w:ascii="Helvetica" w:hAnsi="Helvetica"/>
                <w:b/>
                <w:color w:val="000000"/>
                <w:sz w:val="18"/>
              </w:rPr>
            </w:pPr>
            <w:r w:rsidRPr="007440EA">
              <w:rPr>
                <w:rFonts w:ascii="Helvetica" w:hAnsi="Helvetica"/>
                <w:b/>
                <w:color w:val="000000"/>
                <w:sz w:val="18"/>
              </w:rPr>
              <w:t>8,760</w:t>
            </w:r>
          </w:p>
        </w:tc>
        <w:tc>
          <w:tcPr>
            <w:tcW w:w="1048"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6744DB0E" w14:textId="77777777">
            <w:pPr>
              <w:jc w:val="center"/>
              <w:rPr>
                <w:rFonts w:ascii="Helvetica" w:hAnsi="Helvetica"/>
                <w:bCs/>
                <w:color w:val="000000"/>
                <w:sz w:val="18"/>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7440EA" w:rsidR="006C1F71" w:rsidP="00B106EA" w:rsidRDefault="007440EA" w14:paraId="5794A3DE" w14:textId="4E2BF1A2">
            <w:pPr>
              <w:jc w:val="center"/>
              <w:rPr>
                <w:rFonts w:ascii="Helvetica" w:hAnsi="Helvetica"/>
                <w:b/>
                <w:color w:val="000000"/>
                <w:sz w:val="18"/>
              </w:rPr>
            </w:pPr>
            <w:r w:rsidRPr="007440EA">
              <w:rPr>
                <w:rFonts w:ascii="Helvetica" w:hAnsi="Helvetica"/>
                <w:b/>
                <w:color w:val="000000"/>
                <w:sz w:val="18"/>
              </w:rPr>
              <w:t>1,314</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7440EA" w:rsidR="006C1F71" w:rsidP="00B106EA" w:rsidRDefault="006C1F71" w14:paraId="7C5F582E" w14:textId="77777777">
            <w:pPr>
              <w:jc w:val="right"/>
              <w:rPr>
                <w:rFonts w:ascii="Helvetica" w:hAnsi="Helvetica"/>
                <w:b/>
                <w:color w:val="000000"/>
                <w:sz w:val="18"/>
              </w:rPr>
            </w:pPr>
          </w:p>
        </w:tc>
        <w:tc>
          <w:tcPr>
            <w:tcW w:w="1260" w:type="dxa"/>
            <w:tcBorders>
              <w:top w:val="single" w:color="auto" w:sz="4" w:space="0"/>
              <w:left w:val="single" w:color="auto" w:sz="4" w:space="0"/>
              <w:bottom w:val="single" w:color="auto" w:sz="4" w:space="0"/>
              <w:right w:val="single" w:color="auto" w:sz="4" w:space="0"/>
            </w:tcBorders>
          </w:tcPr>
          <w:p w:rsidRPr="007440EA" w:rsidR="006C1F71" w:rsidP="00B106EA" w:rsidRDefault="007440EA" w14:paraId="70C6E96C" w14:textId="4F028B0E">
            <w:pPr>
              <w:jc w:val="right"/>
              <w:rPr>
                <w:rFonts w:ascii="Helvetica" w:hAnsi="Helvetica"/>
                <w:b/>
                <w:color w:val="000000"/>
                <w:sz w:val="18"/>
              </w:rPr>
            </w:pPr>
            <w:r w:rsidRPr="007440EA">
              <w:rPr>
                <w:rFonts w:ascii="Helvetica" w:hAnsi="Helvetica"/>
                <w:b/>
                <w:color w:val="000000"/>
                <w:sz w:val="18"/>
              </w:rPr>
              <w:t>$48,604.86</w:t>
            </w:r>
          </w:p>
        </w:tc>
      </w:tr>
    </w:tbl>
    <w:p w:rsidR="006B76CD" w:rsidP="006B76CD" w:rsidRDefault="006B76CD" w14:paraId="079B9629" w14:textId="77777777">
      <w:pPr>
        <w:spacing w:after="0"/>
        <w:rPr>
          <w:sz w:val="16"/>
          <w:szCs w:val="16"/>
        </w:rPr>
      </w:pPr>
      <w:r w:rsidRPr="009B69D3">
        <w:rPr>
          <w:sz w:val="16"/>
          <w:szCs w:val="16"/>
        </w:rPr>
        <w:t xml:space="preserve">Note: The “Avg. Hourly Wage Rate” for each respondent includes a </w:t>
      </w:r>
      <w:bookmarkStart w:name="_Hlk70345829" w:id="2"/>
      <w:r w:rsidRPr="009B69D3">
        <w:rPr>
          <w:sz w:val="16"/>
          <w:szCs w:val="16"/>
        </w:rPr>
        <w:t>1.4</w:t>
      </w:r>
      <w:r>
        <w:rPr>
          <w:sz w:val="16"/>
          <w:szCs w:val="16"/>
        </w:rPr>
        <w:t>6</w:t>
      </w:r>
      <w:r w:rsidRPr="009B69D3">
        <w:rPr>
          <w:sz w:val="16"/>
          <w:szCs w:val="16"/>
        </w:rPr>
        <w:t xml:space="preserve"> multiplier to r</w:t>
      </w:r>
      <w:r>
        <w:rPr>
          <w:sz w:val="16"/>
          <w:szCs w:val="16"/>
        </w:rPr>
        <w:t xml:space="preserve">eflect a </w:t>
      </w:r>
      <w:proofErr w:type="gramStart"/>
      <w:r>
        <w:rPr>
          <w:sz w:val="16"/>
          <w:szCs w:val="16"/>
        </w:rPr>
        <w:t>fully-loaded</w:t>
      </w:r>
      <w:proofErr w:type="gramEnd"/>
      <w:r>
        <w:rPr>
          <w:sz w:val="16"/>
          <w:szCs w:val="16"/>
        </w:rPr>
        <w:t xml:space="preserve"> wage rate</w:t>
      </w:r>
      <w:bookmarkEnd w:id="2"/>
      <w:r>
        <w:rPr>
          <w:sz w:val="16"/>
          <w:szCs w:val="16"/>
        </w:rPr>
        <w:t xml:space="preserve">. </w:t>
      </w:r>
    </w:p>
    <w:p w:rsidR="006B76CD" w:rsidP="006B76CD" w:rsidRDefault="006B76CD" w14:paraId="76DC61AE" w14:textId="2B070A88">
      <w:pPr>
        <w:spacing w:after="0" w:line="240" w:lineRule="auto"/>
        <w:ind w:left="-450" w:firstLine="450"/>
        <w:rPr>
          <w:sz w:val="16"/>
          <w:szCs w:val="16"/>
        </w:rPr>
      </w:pPr>
      <w:r>
        <w:rPr>
          <w:sz w:val="16"/>
          <w:szCs w:val="16"/>
        </w:rPr>
        <w:t>“Type of Respondent” should be entered exactly as chosen in Question 3 of the OMB Form 83-I</w:t>
      </w:r>
    </w:p>
    <w:p w:rsidRPr="009B69D3" w:rsidR="00DE071F" w:rsidP="006B76CD" w:rsidRDefault="00DE071F" w14:paraId="482BD6CD" w14:textId="77777777">
      <w:pPr>
        <w:spacing w:after="0" w:line="240" w:lineRule="auto"/>
        <w:ind w:left="-450" w:firstLine="450"/>
        <w:rPr>
          <w:sz w:val="16"/>
          <w:szCs w:val="16"/>
        </w:rPr>
      </w:pPr>
    </w:p>
    <w:p w:rsidRPr="00DE071F" w:rsidR="00445F32" w:rsidP="00DE071F" w:rsidRDefault="00445F32" w14:paraId="628DCD33" w14:textId="41AC227B">
      <w:pPr>
        <w:ind w:left="360"/>
        <w:jc w:val="both"/>
        <w:rPr>
          <w:rFonts w:ascii="Times New Roman" w:hAnsi="Times New Roman"/>
          <w:sz w:val="20"/>
          <w:szCs w:val="20"/>
        </w:rPr>
      </w:pPr>
      <w:r w:rsidRPr="00DE071F">
        <w:rPr>
          <w:rFonts w:ascii="Times New Roman" w:hAnsi="Times New Roman"/>
          <w:sz w:val="20"/>
          <w:szCs w:val="20"/>
        </w:rPr>
        <w:t xml:space="preserve">Hourly rate is based on an estimate of the annual salary of loan officer, listed in the </w:t>
      </w:r>
      <w:r w:rsidRPr="00DE071F" w:rsidR="00DE071F">
        <w:rPr>
          <w:rFonts w:ascii="Times New Roman" w:hAnsi="Times New Roman"/>
          <w:sz w:val="20"/>
          <w:szCs w:val="20"/>
        </w:rPr>
        <w:t>US Department of Labor, Bureau of Labor Statistics website, www.</w:t>
      </w:r>
      <w:r w:rsidRPr="00DE071F">
        <w:rPr>
          <w:rFonts w:ascii="Times New Roman" w:hAnsi="Times New Roman"/>
          <w:sz w:val="20"/>
          <w:szCs w:val="20"/>
        </w:rPr>
        <w:t>bls.gov</w:t>
      </w:r>
      <w:r w:rsidRPr="00DE071F" w:rsidR="00DE071F">
        <w:rPr>
          <w:rFonts w:ascii="Times New Roman" w:hAnsi="Times New Roman"/>
          <w:sz w:val="20"/>
          <w:szCs w:val="20"/>
        </w:rPr>
        <w:t>,</w:t>
      </w:r>
      <w:r w:rsidRPr="00DE071F">
        <w:rPr>
          <w:rFonts w:ascii="Times New Roman" w:hAnsi="Times New Roman"/>
          <w:sz w:val="20"/>
          <w:szCs w:val="20"/>
        </w:rPr>
        <w:t xml:space="preserve"> at $76,930 or $36.99/hour</w:t>
      </w:r>
      <w:r w:rsidR="005A33E0">
        <w:rPr>
          <w:rFonts w:ascii="Times New Roman" w:hAnsi="Times New Roman"/>
          <w:sz w:val="20"/>
          <w:szCs w:val="20"/>
        </w:rPr>
        <w:t>.</w:t>
      </w:r>
    </w:p>
    <w:p w:rsidR="006B76CD" w:rsidP="006B76CD" w:rsidRDefault="006B76CD" w14:paraId="7F9C58A7" w14:textId="77777777">
      <w:pPr>
        <w:tabs>
          <w:tab w:val="left" w:pos="-720"/>
        </w:tabs>
        <w:suppressAutoHyphens/>
        <w:spacing w:after="0" w:line="240" w:lineRule="auto"/>
        <w:rPr>
          <w:rFonts w:ascii="Times New Roman" w:hAnsi="Times New Roman"/>
          <w:b/>
          <w:sz w:val="24"/>
          <w:szCs w:val="24"/>
        </w:rPr>
      </w:pPr>
    </w:p>
    <w:p w:rsidRPr="006625E7" w:rsidR="006B76CD" w:rsidP="006B76CD" w:rsidRDefault="006B76CD" w14:paraId="0B7F5DBD" w14:textId="1C0490A6">
      <w:pPr>
        <w:tabs>
          <w:tab w:val="left" w:pos="-720"/>
        </w:tabs>
        <w:suppressAutoHyphens/>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4">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sidR="00666FF7">
        <w:rPr>
          <w:rFonts w:ascii="Times New Roman" w:hAnsi="Times New Roman"/>
          <w:sz w:val="24"/>
          <w:szCs w:val="24"/>
        </w:rPr>
        <w:t>Loan Officer (</w:t>
      </w:r>
      <w:r w:rsidR="00934D18">
        <w:rPr>
          <w:rFonts w:ascii="Times New Roman" w:hAnsi="Times New Roman"/>
          <w:sz w:val="24"/>
          <w:szCs w:val="24"/>
        </w:rPr>
        <w:t>Business and Financial</w:t>
      </w:r>
      <w:r w:rsidR="00666FF7">
        <w:rPr>
          <w:rFonts w:ascii="Times New Roman" w:hAnsi="Times New Roman"/>
          <w:sz w:val="24"/>
          <w:szCs w:val="24"/>
        </w:rPr>
        <w:t>)</w:t>
      </w:r>
      <w:r w:rsidR="005A33E0">
        <w:rPr>
          <w:rFonts w:ascii="Times New Roman" w:hAnsi="Times New Roman"/>
          <w:sz w:val="24"/>
          <w:szCs w:val="24"/>
        </w:rPr>
        <w:t xml:space="preserve"> </w:t>
      </w:r>
      <w:r w:rsidRPr="006625E7">
        <w:rPr>
          <w:rFonts w:ascii="Times New Roman" w:hAnsi="Times New Roman"/>
          <w:sz w:val="24"/>
          <w:szCs w:val="24"/>
        </w:rPr>
        <w:t xml:space="preserve">is estimated to be </w:t>
      </w:r>
      <w:r w:rsidR="00666FF7">
        <w:rPr>
          <w:rFonts w:ascii="Times New Roman" w:hAnsi="Times New Roman"/>
          <w:sz w:val="24"/>
          <w:szCs w:val="24"/>
        </w:rPr>
        <w:t>$36.99</w:t>
      </w:r>
      <w:r w:rsidR="005A33E0">
        <w:rPr>
          <w:rFonts w:ascii="Times New Roman" w:hAnsi="Times New Roman"/>
          <w:sz w:val="24"/>
          <w:szCs w:val="24"/>
        </w:rPr>
        <w:t xml:space="preserve"> </w:t>
      </w:r>
      <w:r w:rsidRPr="006625E7">
        <w:rPr>
          <w:rFonts w:ascii="Times New Roman" w:hAnsi="Times New Roman"/>
          <w:sz w:val="24"/>
          <w:szCs w:val="24"/>
        </w:rPr>
        <w:t xml:space="preserve">per hour including the wage rate multiplier, therefore, the estimated burden hour cost to respondents </w:t>
      </w:r>
      <w:r w:rsidR="00666FF7">
        <w:rPr>
          <w:rFonts w:ascii="Times New Roman" w:hAnsi="Times New Roman"/>
          <w:sz w:val="24"/>
          <w:szCs w:val="24"/>
        </w:rPr>
        <w:t>Loan Officer</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6625E7">
        <w:rPr>
          <w:rFonts w:ascii="Times New Roman" w:hAnsi="Times New Roman"/>
          <w:color w:val="0000FF"/>
          <w:sz w:val="24"/>
          <w:szCs w:val="24"/>
        </w:rPr>
        <w:t xml:space="preserve">be </w:t>
      </w:r>
      <w:r w:rsidR="00666FF7">
        <w:rPr>
          <w:rFonts w:ascii="Times New Roman" w:hAnsi="Times New Roman"/>
          <w:color w:val="0000FF"/>
          <w:sz w:val="24"/>
          <w:szCs w:val="24"/>
        </w:rPr>
        <w:t>$48,604.86</w:t>
      </w:r>
      <w:r w:rsidRPr="006625E7">
        <w:rPr>
          <w:rFonts w:ascii="Times New Roman" w:hAnsi="Times New Roman"/>
          <w:color w:val="0000FF"/>
          <w:sz w:val="24"/>
          <w:szCs w:val="24"/>
        </w:rPr>
        <w:t xml:space="preserve"> </w:t>
      </w:r>
      <w:r w:rsidRPr="006625E7">
        <w:rPr>
          <w:rFonts w:ascii="Times New Roman" w:hAnsi="Times New Roman"/>
          <w:sz w:val="24"/>
          <w:szCs w:val="24"/>
        </w:rPr>
        <w:t>annually.</w:t>
      </w:r>
    </w:p>
    <w:p w:rsidRPr="00C879B4" w:rsidR="00FA2F70" w:rsidP="00FA2F70" w:rsidRDefault="00FA2F70" w14:paraId="303BDFEC"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18A99527" w14:textId="77777777">
        <w:tc>
          <w:tcPr>
            <w:tcW w:w="9360" w:type="dxa"/>
            <w:shd w:val="clear" w:color="auto" w:fill="auto"/>
          </w:tcPr>
          <w:p w:rsidRPr="00C879B4" w:rsidR="0021340A" w:rsidP="001B4FB5" w:rsidRDefault="0021340A" w14:paraId="040A266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1470ADDE" w14:textId="77777777">
            <w:pPr>
              <w:spacing w:after="0" w:line="240" w:lineRule="auto"/>
              <w:rPr>
                <w:rFonts w:ascii="Times New Roman" w:hAnsi="Times New Roman"/>
                <w:b/>
                <w:color w:val="000000"/>
                <w:sz w:val="24"/>
                <w:szCs w:val="24"/>
              </w:rPr>
            </w:pPr>
          </w:p>
          <w:p w:rsidRPr="00C879B4" w:rsidR="0021340A" w:rsidP="001B4FB5" w:rsidRDefault="0021340A" w14:paraId="41CACCB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879B4">
              <w:rPr>
                <w:rFonts w:ascii="Times New Roman" w:hAnsi="Times New Roman"/>
                <w:color w:val="000000"/>
                <w:sz w:val="24"/>
                <w:szCs w:val="24"/>
              </w:rPr>
              <w:t>take into account</w:t>
            </w:r>
            <w:proofErr w:type="gramEnd"/>
            <w:r w:rsidRPr="00C879B4">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C879B4">
              <w:rPr>
                <w:rFonts w:ascii="Times New Roman" w:hAnsi="Times New Roman"/>
                <w:color w:val="000000"/>
                <w:sz w:val="24"/>
                <w:szCs w:val="24"/>
              </w:rPr>
              <w:t>time period</w:t>
            </w:r>
            <w:proofErr w:type="gramEnd"/>
            <w:r w:rsidRPr="00C879B4">
              <w:rPr>
                <w:rFonts w:ascii="Times New Roman" w:hAnsi="Times New Roman"/>
                <w:color w:val="000000"/>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C879B4">
              <w:rPr>
                <w:rFonts w:ascii="Times New Roman" w:hAnsi="Times New Roman"/>
                <w:color w:val="000000"/>
                <w:sz w:val="24"/>
                <w:szCs w:val="24"/>
              </w:rPr>
              <w:t>drilling</w:t>
            </w:r>
            <w:proofErr w:type="gramEnd"/>
            <w:r w:rsidRPr="00C879B4">
              <w:rPr>
                <w:rFonts w:ascii="Times New Roman" w:hAnsi="Times New Roman"/>
                <w:color w:val="000000"/>
                <w:sz w:val="24"/>
                <w:szCs w:val="24"/>
              </w:rPr>
              <w:t xml:space="preserve"> and testing equipment; and record storage facilities. </w:t>
            </w:r>
          </w:p>
          <w:p w:rsidRPr="00C879B4" w:rsidR="0021340A" w:rsidP="001B4FB5" w:rsidRDefault="0021340A" w14:paraId="1C1BF1EE" w14:textId="77777777">
            <w:pPr>
              <w:spacing w:after="0" w:line="240" w:lineRule="auto"/>
              <w:rPr>
                <w:rFonts w:ascii="Times New Roman" w:hAnsi="Times New Roman"/>
                <w:color w:val="000000"/>
                <w:sz w:val="24"/>
                <w:szCs w:val="24"/>
              </w:rPr>
            </w:pPr>
          </w:p>
          <w:p w:rsidRPr="00C879B4" w:rsidR="0021340A" w:rsidP="001B4FB5" w:rsidRDefault="0021340A" w14:paraId="771CF77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C879B4">
              <w:rPr>
                <w:rFonts w:ascii="Times New Roman" w:hAnsi="Times New Roman"/>
                <w:color w:val="000000"/>
                <w:sz w:val="24"/>
                <w:szCs w:val="24"/>
              </w:rPr>
              <w:t>process</w:t>
            </w:r>
            <w:proofErr w:type="gramEnd"/>
            <w:r w:rsidRPr="00C879B4">
              <w:rPr>
                <w:rFonts w:ascii="Times New Roman" w:hAnsi="Times New Roman"/>
                <w:color w:val="000000"/>
                <w:sz w:val="24"/>
                <w:szCs w:val="24"/>
              </w:rPr>
              <w:t xml:space="preserve"> and use existing economic </w:t>
            </w:r>
            <w:r w:rsidRPr="00C879B4">
              <w:rPr>
                <w:rFonts w:ascii="Times New Roman" w:hAnsi="Times New Roman"/>
                <w:color w:val="000000"/>
                <w:sz w:val="24"/>
                <w:szCs w:val="24"/>
              </w:rPr>
              <w:lastRenderedPageBreak/>
              <w:t xml:space="preserve">or regulatory impact analysis associated with the rulemaking containing the information collection, as appropriate. </w:t>
            </w:r>
          </w:p>
          <w:p w:rsidRPr="00C879B4" w:rsidR="0021340A" w:rsidP="001B4FB5" w:rsidRDefault="0021340A" w14:paraId="2D4DD543" w14:textId="77777777">
            <w:pPr>
              <w:spacing w:after="0" w:line="240" w:lineRule="auto"/>
              <w:rPr>
                <w:rFonts w:ascii="Times New Roman" w:hAnsi="Times New Roman"/>
                <w:color w:val="000000"/>
                <w:sz w:val="24"/>
                <w:szCs w:val="24"/>
              </w:rPr>
            </w:pPr>
          </w:p>
          <w:p w:rsidR="0021340A" w:rsidP="001B4FB5" w:rsidRDefault="0021340A" w14:paraId="3C33AFBA"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3910FF" w:rsidP="001B4FB5" w:rsidRDefault="003910FF" w14:paraId="03F9B4BE" w14:textId="77777777">
            <w:pPr>
              <w:spacing w:after="0" w:line="240" w:lineRule="auto"/>
              <w:rPr>
                <w:rFonts w:ascii="Times New Roman" w:hAnsi="Times New Roman"/>
                <w:color w:val="000000"/>
                <w:sz w:val="24"/>
                <w:szCs w:val="24"/>
              </w:rPr>
            </w:pPr>
          </w:p>
          <w:p w:rsidRPr="00607852" w:rsidR="003910FF" w:rsidP="001B4FB5" w:rsidRDefault="003910FF" w14:paraId="4BE48405" w14:textId="2AFDA624">
            <w:pPr>
              <w:spacing w:after="0" w:line="240" w:lineRule="auto"/>
              <w:rPr>
                <w:rFonts w:ascii="Times New Roman" w:hAnsi="Times New Roman"/>
                <w:color w:val="000000"/>
                <w:sz w:val="24"/>
                <w:szCs w:val="24"/>
              </w:rPr>
            </w:pPr>
            <w:r>
              <w:rPr>
                <w:rFonts w:ascii="Times New Roman" w:hAnsi="Times New Roman"/>
                <w:sz w:val="24"/>
                <w:szCs w:val="24"/>
              </w:rPr>
              <w:t>There are no record keeping, capital, start-up or maintenance costs associated with this information collection.</w:t>
            </w:r>
          </w:p>
        </w:tc>
      </w:tr>
      <w:tr w:rsidRPr="00C879B4" w:rsidR="0021340A" w:rsidTr="00D35DDB" w14:paraId="6C632AD8" w14:textId="77777777">
        <w:tc>
          <w:tcPr>
            <w:tcW w:w="9360" w:type="dxa"/>
            <w:shd w:val="clear" w:color="auto" w:fill="auto"/>
          </w:tcPr>
          <w:p w:rsidRPr="00C879B4" w:rsidR="0021340A" w:rsidP="001B4FB5" w:rsidRDefault="0021340A" w14:paraId="3CCBAAC5" w14:textId="77777777">
            <w:pPr>
              <w:spacing w:after="0" w:line="240" w:lineRule="auto"/>
              <w:rPr>
                <w:rFonts w:ascii="Times New Roman" w:hAnsi="Times New Roman"/>
                <w:b/>
                <w:color w:val="000000"/>
                <w:sz w:val="24"/>
                <w:szCs w:val="24"/>
              </w:rPr>
            </w:pPr>
          </w:p>
        </w:tc>
      </w:tr>
    </w:tbl>
    <w:p w:rsidRPr="00C879B4" w:rsidR="0021340A" w:rsidP="00FA2F70" w:rsidRDefault="0021340A" w14:paraId="336F9429"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1340A" w:rsidTr="00D35DDB" w14:paraId="40AF3093" w14:textId="77777777">
        <w:tc>
          <w:tcPr>
            <w:tcW w:w="9360" w:type="dxa"/>
            <w:tcBorders>
              <w:top w:val="nil"/>
              <w:left w:val="nil"/>
              <w:bottom w:val="nil"/>
              <w:right w:val="nil"/>
            </w:tcBorders>
            <w:shd w:val="clear" w:color="auto" w:fill="auto"/>
          </w:tcPr>
          <w:p w:rsidR="000646B7" w:rsidP="001B4FB5" w:rsidRDefault="0021340A" w14:paraId="5A93ADC1" w14:textId="77777777">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646B7" w:rsidP="001B4FB5" w:rsidRDefault="000646B7" w14:paraId="6E7D9C2D" w14:textId="77777777">
            <w:pPr>
              <w:spacing w:after="0" w:line="240" w:lineRule="auto"/>
              <w:rPr>
                <w:rFonts w:ascii="Times New Roman" w:hAnsi="Times New Roman"/>
                <w:color w:val="000000"/>
                <w:sz w:val="24"/>
                <w:szCs w:val="24"/>
              </w:rPr>
            </w:pPr>
          </w:p>
          <w:p w:rsidR="00FE4C4B" w:rsidP="00887B0A" w:rsidRDefault="00CE5335" w14:paraId="48BE8896" w14:textId="28D5A0A8">
            <w:pPr>
              <w:overflowPunct w:val="0"/>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Federal Government Costs: Salient CGRT is now providing on-going support of the A80B Pay.gov operations at no additional cost. </w:t>
            </w:r>
            <w:r w:rsidR="005A33E0">
              <w:rPr>
                <w:rFonts w:ascii="Times New Roman" w:hAnsi="Times New Roman"/>
                <w:sz w:val="24"/>
                <w:szCs w:val="24"/>
              </w:rPr>
              <w:t xml:space="preserve">The U.S. Department of </w:t>
            </w:r>
            <w:r>
              <w:rPr>
                <w:rFonts w:ascii="Times New Roman" w:hAnsi="Times New Roman"/>
                <w:sz w:val="24"/>
                <w:szCs w:val="24"/>
              </w:rPr>
              <w:t xml:space="preserve">Treasury estimated we saved them $4 million </w:t>
            </w:r>
            <w:r>
              <w:rPr>
                <w:rFonts w:ascii="Times New Roman" w:hAnsi="Times New Roman"/>
                <w:bCs/>
                <w:sz w:val="24"/>
                <w:szCs w:val="24"/>
              </w:rPr>
              <w:t>annually</w:t>
            </w:r>
            <w:r w:rsidR="00FE4C4B">
              <w:rPr>
                <w:rFonts w:ascii="Times New Roman" w:hAnsi="Times New Roman"/>
                <w:bCs/>
                <w:sz w:val="24"/>
                <w:szCs w:val="24"/>
              </w:rPr>
              <w:t>.</w:t>
            </w:r>
          </w:p>
          <w:p w:rsidR="00FE4C4B" w:rsidP="00887B0A" w:rsidRDefault="00FE4C4B" w14:paraId="7781625D" w14:textId="39A7862B">
            <w:pPr>
              <w:overflowPunct w:val="0"/>
              <w:autoSpaceDE w:val="0"/>
              <w:autoSpaceDN w:val="0"/>
              <w:adjustRightInd w:val="0"/>
              <w:spacing w:after="0" w:line="240" w:lineRule="auto"/>
              <w:rPr>
                <w:rFonts w:ascii="Times New Roman" w:hAnsi="Times New Roman"/>
                <w:bCs/>
                <w:sz w:val="24"/>
                <w:szCs w:val="24"/>
              </w:rPr>
            </w:pPr>
          </w:p>
          <w:p w:rsidR="00FE4C4B" w:rsidP="00887B0A" w:rsidRDefault="00FE4C4B" w14:paraId="6AD2E72D" w14:textId="77777777">
            <w:pPr>
              <w:overflowPunct w:val="0"/>
              <w:autoSpaceDE w:val="0"/>
              <w:autoSpaceDN w:val="0"/>
              <w:adjustRightInd w:val="0"/>
              <w:spacing w:after="0" w:line="240" w:lineRule="auto"/>
              <w:rPr>
                <w:rFonts w:ascii="Times New Roman" w:hAnsi="Times New Roman"/>
                <w:sz w:val="24"/>
                <w:szCs w:val="24"/>
              </w:rPr>
            </w:pPr>
          </w:p>
          <w:p w:rsidRPr="00C879B4" w:rsidR="00294E98" w:rsidP="001B4FB5" w:rsidRDefault="00294E98" w14:paraId="63DD6D18" w14:textId="77777777">
            <w:pPr>
              <w:spacing w:after="0" w:line="240" w:lineRule="auto"/>
              <w:rPr>
                <w:rFonts w:ascii="Times New Roman" w:hAnsi="Times New Roman"/>
                <w:color w:val="000000"/>
                <w:sz w:val="24"/>
                <w:szCs w:val="24"/>
              </w:rPr>
            </w:pPr>
          </w:p>
        </w:tc>
      </w:tr>
    </w:tbl>
    <w:p w:rsidRPr="000646B7" w:rsidR="000646B7" w:rsidP="000646B7" w:rsidRDefault="000646B7" w14:paraId="1BE73EBD"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48A2DFBA" w14:textId="77777777">
        <w:trPr>
          <w:trHeight w:val="70"/>
        </w:trPr>
        <w:tc>
          <w:tcPr>
            <w:tcW w:w="7680" w:type="dxa"/>
            <w:shd w:val="clear" w:color="auto" w:fill="A5A5A5"/>
            <w:noWrap/>
            <w:vAlign w:val="center"/>
          </w:tcPr>
          <w:p w:rsidRPr="000646B7" w:rsidR="000646B7" w:rsidP="000646B7" w:rsidRDefault="000646B7" w14:paraId="115E8924"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72BFF18F"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21E35B0B" w14:textId="77777777">
        <w:trPr>
          <w:trHeight w:val="495"/>
        </w:trPr>
        <w:tc>
          <w:tcPr>
            <w:tcW w:w="7680" w:type="dxa"/>
          </w:tcPr>
          <w:p w:rsidR="009F6A58" w:rsidP="009F6A58" w:rsidRDefault="000646B7" w14:paraId="5DAFF8D3" w14:textId="77777777">
            <w:pPr>
              <w:rPr>
                <w:rFonts w:ascii="Times New Roman" w:hAnsi="Times New Roman" w:eastAsia="Calibri"/>
                <w:sz w:val="18"/>
                <w:szCs w:val="18"/>
              </w:rPr>
            </w:pPr>
            <w:r w:rsidRPr="000646B7">
              <w:rPr>
                <w:rFonts w:ascii="Times New Roman" w:hAnsi="Times New Roman" w:eastAsia="Calibri"/>
                <w:sz w:val="18"/>
                <w:szCs w:val="18"/>
              </w:rPr>
              <w:t>Contract Costs</w:t>
            </w:r>
          </w:p>
          <w:p w:rsidRPr="009F6A58" w:rsidR="009F6A58" w:rsidP="009F6A58" w:rsidRDefault="000646B7" w14:paraId="3B0D17A5" w14:textId="7BC55DE4">
            <w:pPr>
              <w:rPr>
                <w:rFonts w:ascii="Times New Roman" w:hAnsi="Times New Roman" w:eastAsia="Calibri"/>
                <w:b/>
                <w:sz w:val="18"/>
                <w:szCs w:val="18"/>
              </w:rPr>
            </w:pPr>
            <w:r w:rsidRPr="000646B7">
              <w:rPr>
                <w:rFonts w:ascii="Times New Roman" w:hAnsi="Times New Roman" w:eastAsia="Calibri"/>
                <w:sz w:val="18"/>
                <w:szCs w:val="18"/>
              </w:rPr>
              <w:t xml:space="preserve"> </w:t>
            </w:r>
            <w:r w:rsidRPr="009F6A58" w:rsidR="009F6A58">
              <w:rPr>
                <w:rFonts w:ascii="Times New Roman" w:hAnsi="Times New Roman" w:eastAsia="Calibri"/>
                <w:b/>
                <w:sz w:val="18"/>
                <w:szCs w:val="18"/>
              </w:rPr>
              <w:t xml:space="preserve">A80B (12Months) $1,823,547.60 </w:t>
            </w:r>
          </w:p>
          <w:p w:rsidRPr="009F6A58" w:rsidR="009F6A58" w:rsidP="009F6A58" w:rsidRDefault="009F6A58" w14:paraId="0050F2D5" w14:textId="77777777">
            <w:pPr>
              <w:rPr>
                <w:rFonts w:ascii="Times New Roman" w:hAnsi="Times New Roman" w:eastAsia="Calibri"/>
                <w:b/>
                <w:sz w:val="18"/>
                <w:szCs w:val="18"/>
              </w:rPr>
            </w:pPr>
            <w:r w:rsidRPr="009F6A58">
              <w:rPr>
                <w:rFonts w:ascii="Times New Roman" w:hAnsi="Times New Roman" w:eastAsia="Calibri"/>
                <w:b/>
                <w:sz w:val="18"/>
                <w:szCs w:val="18"/>
              </w:rPr>
              <w:t xml:space="preserve">Monthly Burn </w:t>
            </w:r>
            <w:proofErr w:type="gramStart"/>
            <w:r w:rsidRPr="009F6A58">
              <w:rPr>
                <w:rFonts w:ascii="Times New Roman" w:hAnsi="Times New Roman" w:eastAsia="Calibri"/>
                <w:b/>
                <w:sz w:val="18"/>
                <w:szCs w:val="18"/>
              </w:rPr>
              <w:t>Rate(</w:t>
            </w:r>
            <w:proofErr w:type="gramEnd"/>
            <w:r w:rsidRPr="009F6A58">
              <w:rPr>
                <w:rFonts w:ascii="Times New Roman" w:hAnsi="Times New Roman" w:eastAsia="Calibri"/>
                <w:b/>
                <w:sz w:val="18"/>
                <w:szCs w:val="18"/>
              </w:rPr>
              <w:t>Firm Fixed Price)</w:t>
            </w:r>
          </w:p>
          <w:p w:rsidRPr="009F6A58" w:rsidR="009F6A58" w:rsidP="009F6A58" w:rsidRDefault="009F6A58" w14:paraId="3C807958" w14:textId="77777777">
            <w:pPr>
              <w:rPr>
                <w:rFonts w:ascii="Times New Roman" w:hAnsi="Times New Roman" w:eastAsia="Calibri"/>
                <w:b/>
                <w:sz w:val="18"/>
                <w:szCs w:val="18"/>
              </w:rPr>
            </w:pPr>
            <w:r w:rsidRPr="009F6A58">
              <w:rPr>
                <w:rFonts w:ascii="Times New Roman" w:hAnsi="Times New Roman" w:eastAsia="Calibri"/>
                <w:b/>
                <w:sz w:val="18"/>
                <w:szCs w:val="18"/>
              </w:rPr>
              <w:t xml:space="preserve">$182,354.76 </w:t>
            </w:r>
          </w:p>
          <w:p w:rsidRPr="000646B7" w:rsidR="000646B7" w:rsidP="000646B7" w:rsidRDefault="005A33E0" w14:paraId="2B6DC840" w14:textId="0FC25D5A">
            <w:pPr>
              <w:rPr>
                <w:rFonts w:ascii="Times New Roman" w:hAnsi="Times New Roman" w:eastAsia="Calibri"/>
                <w:sz w:val="18"/>
                <w:szCs w:val="18"/>
              </w:rPr>
            </w:pPr>
            <w:r>
              <w:rPr>
                <w:rFonts w:ascii="Times New Roman" w:hAnsi="Times New Roman" w:eastAsia="Calibri"/>
                <w:sz w:val="18"/>
                <w:szCs w:val="18"/>
              </w:rPr>
              <w:t>For maintenance of the system and technical support.</w:t>
            </w:r>
          </w:p>
        </w:tc>
        <w:tc>
          <w:tcPr>
            <w:tcW w:w="1518" w:type="dxa"/>
          </w:tcPr>
          <w:p w:rsidRPr="000646B7" w:rsidR="000646B7" w:rsidP="000646B7" w:rsidRDefault="000646B7" w14:paraId="2DA80562" w14:textId="3D673960">
            <w:pPr>
              <w:rPr>
                <w:rFonts w:ascii="Times New Roman" w:hAnsi="Times New Roman" w:eastAsia="Calibri"/>
                <w:sz w:val="18"/>
                <w:szCs w:val="18"/>
              </w:rPr>
            </w:pPr>
            <w:r w:rsidRPr="000646B7">
              <w:rPr>
                <w:rFonts w:ascii="Times New Roman" w:hAnsi="Times New Roman" w:eastAsia="Calibri"/>
                <w:sz w:val="18"/>
                <w:szCs w:val="18"/>
              </w:rPr>
              <w:t> </w:t>
            </w:r>
            <w:r w:rsidR="009F6A58">
              <w:rPr>
                <w:rFonts w:ascii="Times New Roman" w:hAnsi="Times New Roman" w:eastAsia="Calibri"/>
                <w:sz w:val="18"/>
                <w:szCs w:val="18"/>
              </w:rPr>
              <w:t>$1,823,547.60</w:t>
            </w:r>
          </w:p>
        </w:tc>
      </w:tr>
      <w:tr w:rsidRPr="000646B7" w:rsidR="000646B7" w:rsidTr="00AA5516" w14:paraId="0FCBC96F" w14:textId="77777777">
        <w:trPr>
          <w:trHeight w:val="510"/>
        </w:trPr>
        <w:tc>
          <w:tcPr>
            <w:tcW w:w="7680" w:type="dxa"/>
          </w:tcPr>
          <w:p w:rsidR="000646B7" w:rsidP="000646B7" w:rsidRDefault="000646B7" w14:paraId="1764F35E" w14:textId="7BE29D26">
            <w:pPr>
              <w:rPr>
                <w:rFonts w:ascii="Times New Roman" w:hAnsi="Times New Roman" w:eastAsia="Calibri"/>
                <w:b/>
                <w:bCs/>
                <w:sz w:val="18"/>
                <w:szCs w:val="18"/>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w:t>
            </w:r>
            <w:r w:rsidR="006D762D">
              <w:rPr>
                <w:rFonts w:ascii="Times New Roman" w:hAnsi="Times New Roman" w:eastAsia="Calibri"/>
                <w:b/>
                <w:bCs/>
                <w:sz w:val="18"/>
                <w:szCs w:val="18"/>
              </w:rPr>
              <w:t>10</w:t>
            </w:r>
            <w:r w:rsidR="00074C5C">
              <w:rPr>
                <w:rFonts w:ascii="Times New Roman" w:hAnsi="Times New Roman" w:eastAsia="Calibri"/>
                <w:b/>
                <w:bCs/>
                <w:sz w:val="18"/>
                <w:szCs w:val="18"/>
              </w:rPr>
              <w:t xml:space="preserve"> </w:t>
            </w:r>
            <w:r w:rsidRPr="000646B7">
              <w:rPr>
                <w:rFonts w:ascii="Times New Roman" w:hAnsi="Times New Roman" w:eastAsia="Calibri"/>
                <w:b/>
                <w:bCs/>
                <w:sz w:val="18"/>
                <w:szCs w:val="18"/>
              </w:rPr>
              <w:t xml:space="preserve">of GS </w:t>
            </w:r>
            <w:proofErr w:type="gramStart"/>
            <w:r w:rsidR="006D762D">
              <w:rPr>
                <w:rFonts w:ascii="Times New Roman" w:hAnsi="Times New Roman" w:eastAsia="Calibri"/>
                <w:b/>
                <w:bCs/>
                <w:sz w:val="18"/>
                <w:szCs w:val="18"/>
              </w:rPr>
              <w:t>12</w:t>
            </w:r>
            <w:r w:rsidRPr="000646B7" w:rsidR="006D762D">
              <w:rPr>
                <w:rFonts w:ascii="Times New Roman" w:hAnsi="Times New Roman" w:eastAsia="Calibri"/>
                <w:b/>
                <w:bCs/>
                <w:sz w:val="18"/>
                <w:szCs w:val="18"/>
              </w:rPr>
              <w:t xml:space="preserve"> </w:t>
            </w:r>
            <w:r w:rsidRPr="000646B7">
              <w:rPr>
                <w:rFonts w:ascii="Times New Roman" w:hAnsi="Times New Roman" w:eastAsia="Calibri"/>
                <w:b/>
                <w:bCs/>
                <w:sz w:val="18"/>
                <w:szCs w:val="18"/>
              </w:rPr>
              <w:t>,</w:t>
            </w:r>
            <w:proofErr w:type="gramEnd"/>
            <w:r w:rsidRPr="000646B7">
              <w:rPr>
                <w:rFonts w:ascii="Times New Roman" w:hAnsi="Times New Roman" w:eastAsia="Calibri"/>
                <w:b/>
                <w:bCs/>
                <w:sz w:val="18"/>
                <w:szCs w:val="18"/>
              </w:rPr>
              <w:t xml:space="preserve"> step</w:t>
            </w:r>
            <w:r w:rsidR="006D762D">
              <w:rPr>
                <w:rFonts w:ascii="Times New Roman" w:hAnsi="Times New Roman" w:eastAsia="Calibri"/>
                <w:b/>
                <w:bCs/>
                <w:sz w:val="18"/>
                <w:szCs w:val="18"/>
              </w:rPr>
              <w:t xml:space="preserve"> 1</w:t>
            </w:r>
            <w:r w:rsidRPr="000646B7">
              <w:rPr>
                <w:rFonts w:ascii="Times New Roman" w:hAnsi="Times New Roman" w:eastAsia="Calibri"/>
                <w:b/>
                <w:bCs/>
                <w:sz w:val="18"/>
                <w:szCs w:val="18"/>
              </w:rPr>
              <w:t xml:space="preserve"> employees spending approximately </w:t>
            </w:r>
            <w:r w:rsidR="002276A6">
              <w:rPr>
                <w:rFonts w:ascii="Times New Roman" w:hAnsi="Times New Roman" w:eastAsia="Calibri"/>
                <w:b/>
                <w:bCs/>
                <w:sz w:val="18"/>
                <w:szCs w:val="18"/>
              </w:rPr>
              <w:t>50</w:t>
            </w:r>
            <w:r w:rsidRPr="000646B7" w:rsidR="002276A6">
              <w:rPr>
                <w:rFonts w:ascii="Times New Roman" w:hAnsi="Times New Roman" w:eastAsia="Calibri"/>
                <w:b/>
                <w:bCs/>
                <w:sz w:val="18"/>
                <w:szCs w:val="18"/>
              </w:rPr>
              <w:t xml:space="preserve">% </w:t>
            </w:r>
            <w:r w:rsidRPr="000646B7">
              <w:rPr>
                <w:rFonts w:ascii="Times New Roman" w:hAnsi="Times New Roman" w:eastAsia="Calibri"/>
                <w:b/>
                <w:bCs/>
                <w:sz w:val="18"/>
                <w:szCs w:val="18"/>
              </w:rPr>
              <w:t>of time annually ….(description)……… for this data collection] [</w:t>
            </w:r>
            <w:r>
              <w:rPr>
                <w:rFonts w:ascii="Times New Roman" w:hAnsi="Times New Roman" w:eastAsia="Calibri"/>
                <w:b/>
                <w:bCs/>
                <w:sz w:val="18"/>
                <w:szCs w:val="18"/>
              </w:rPr>
              <w:t>S</w:t>
            </w:r>
            <w:r w:rsidRPr="000646B7">
              <w:rPr>
                <w:rFonts w:ascii="Times New Roman" w:hAnsi="Times New Roman" w:eastAsia="Calibri"/>
                <w:b/>
                <w:bCs/>
                <w:sz w:val="18"/>
                <w:szCs w:val="18"/>
              </w:rPr>
              <w:t>how calculations for this here</w:t>
            </w:r>
            <w:r>
              <w:rPr>
                <w:rFonts w:ascii="Times New Roman" w:hAnsi="Times New Roman" w:eastAsia="Calibri"/>
                <w:b/>
                <w:bCs/>
                <w:sz w:val="18"/>
                <w:szCs w:val="18"/>
              </w:rPr>
              <w:t xml:space="preserve">. </w:t>
            </w:r>
            <w:r w:rsidRPr="005A33E0">
              <w:rPr>
                <w:rFonts w:ascii="Times New Roman" w:hAnsi="Times New Roman" w:eastAsia="Calibri"/>
                <w:b/>
                <w:bCs/>
                <w:sz w:val="18"/>
                <w:szCs w:val="18"/>
              </w:rPr>
              <w:t>For example,</w:t>
            </w:r>
            <w:r w:rsidRPr="00AA5516">
              <w:rPr>
                <w:rFonts w:ascii="Times New Roman" w:hAnsi="Times New Roman" w:eastAsia="Calibri"/>
              </w:rPr>
              <w:t xml:space="preserve"> </w:t>
            </w:r>
            <w:bookmarkStart w:name="_Hlk522191515" w:id="3"/>
            <w:r w:rsidRPr="00526ADC" w:rsidR="00526ADC">
              <w:rPr>
                <w:rFonts w:ascii="Times New Roman" w:hAnsi="Times New Roman" w:eastAsia="Calibri"/>
                <w:b/>
                <w:bCs/>
                <w:sz w:val="18"/>
                <w:szCs w:val="18"/>
              </w:rPr>
              <w:t xml:space="preserve">1 </w:t>
            </w:r>
            <w:r w:rsidR="002C7DF4">
              <w:rPr>
                <w:rFonts w:ascii="Times New Roman" w:hAnsi="Times New Roman" w:eastAsia="Calibri"/>
                <w:b/>
                <w:bCs/>
                <w:sz w:val="18"/>
                <w:szCs w:val="18"/>
              </w:rPr>
              <w:t xml:space="preserve">(GS-12, Step 1) </w:t>
            </w:r>
            <w:r w:rsidRPr="00526ADC" w:rsidR="00526ADC">
              <w:rPr>
                <w:rFonts w:ascii="Times New Roman" w:hAnsi="Times New Roman" w:eastAsia="Calibri"/>
                <w:b/>
                <w:bCs/>
                <w:sz w:val="18"/>
                <w:szCs w:val="18"/>
              </w:rPr>
              <w:t>x $8</w:t>
            </w:r>
            <w:r w:rsidR="00B021DA">
              <w:rPr>
                <w:rFonts w:ascii="Times New Roman" w:hAnsi="Times New Roman" w:eastAsia="Calibri"/>
                <w:b/>
                <w:bCs/>
                <w:sz w:val="18"/>
                <w:szCs w:val="18"/>
              </w:rPr>
              <w:t>7</w:t>
            </w:r>
            <w:r w:rsidRPr="00526ADC" w:rsidR="00526ADC">
              <w:rPr>
                <w:rFonts w:ascii="Times New Roman" w:hAnsi="Times New Roman" w:eastAsia="Calibri"/>
                <w:b/>
                <w:bCs/>
                <w:sz w:val="18"/>
                <w:szCs w:val="18"/>
              </w:rPr>
              <w:t>,</w:t>
            </w:r>
            <w:r w:rsidR="00B021DA">
              <w:rPr>
                <w:rFonts w:ascii="Times New Roman" w:hAnsi="Times New Roman" w:eastAsia="Calibri"/>
                <w:b/>
                <w:bCs/>
                <w:sz w:val="18"/>
                <w:szCs w:val="18"/>
              </w:rPr>
              <w:t>198</w:t>
            </w:r>
            <w:r w:rsidRPr="00526ADC" w:rsidR="00526ADC">
              <w:rPr>
                <w:rFonts w:ascii="Times New Roman" w:hAnsi="Times New Roman" w:eastAsia="Calibri"/>
                <w:b/>
                <w:bCs/>
                <w:sz w:val="18"/>
                <w:szCs w:val="18"/>
              </w:rPr>
              <w:t>.00 = $</w:t>
            </w:r>
            <w:r w:rsidR="00B021DA">
              <w:rPr>
                <w:rFonts w:ascii="Times New Roman" w:hAnsi="Times New Roman" w:eastAsia="Calibri"/>
                <w:b/>
                <w:bCs/>
                <w:sz w:val="18"/>
                <w:szCs w:val="18"/>
              </w:rPr>
              <w:t>87,198</w:t>
            </w:r>
            <w:r w:rsidRPr="00526ADC" w:rsidR="00526ADC">
              <w:rPr>
                <w:rFonts w:ascii="Times New Roman" w:hAnsi="Times New Roman" w:eastAsia="Calibri"/>
                <w:b/>
                <w:bCs/>
                <w:sz w:val="18"/>
                <w:szCs w:val="18"/>
              </w:rPr>
              <w:t xml:space="preserve"> x 1.46 (wage rate multiplier) = $</w:t>
            </w:r>
            <w:r w:rsidR="00B021DA">
              <w:rPr>
                <w:rFonts w:ascii="Times New Roman" w:hAnsi="Times New Roman" w:eastAsia="Calibri"/>
                <w:b/>
                <w:bCs/>
                <w:sz w:val="18"/>
                <w:szCs w:val="18"/>
              </w:rPr>
              <w:t>127,309.08</w:t>
            </w:r>
            <w:r w:rsidRPr="00526ADC" w:rsidR="00526ADC">
              <w:rPr>
                <w:rFonts w:ascii="Times New Roman" w:hAnsi="Times New Roman" w:eastAsia="Calibri"/>
                <w:b/>
                <w:bCs/>
                <w:sz w:val="18"/>
                <w:szCs w:val="18"/>
              </w:rPr>
              <w:t xml:space="preserve"> (</w:t>
            </w:r>
            <w:proofErr w:type="gramStart"/>
            <w:r w:rsidRPr="00526ADC" w:rsidR="00526ADC">
              <w:rPr>
                <w:rFonts w:ascii="Times New Roman" w:hAnsi="Times New Roman" w:eastAsia="Calibri"/>
                <w:b/>
                <w:bCs/>
                <w:sz w:val="18"/>
                <w:szCs w:val="18"/>
              </w:rPr>
              <w:t>fully-loaded</w:t>
            </w:r>
            <w:proofErr w:type="gramEnd"/>
            <w:r w:rsidRPr="00526ADC" w:rsidR="00526ADC">
              <w:rPr>
                <w:rFonts w:ascii="Times New Roman" w:hAnsi="Times New Roman" w:eastAsia="Calibri"/>
                <w:b/>
                <w:bCs/>
                <w:sz w:val="18"/>
                <w:szCs w:val="18"/>
              </w:rPr>
              <w:t>) x .50 (50% of time spent) = $</w:t>
            </w:r>
            <w:r w:rsidR="00B021DA">
              <w:rPr>
                <w:rFonts w:ascii="Times New Roman" w:hAnsi="Times New Roman" w:eastAsia="Calibri"/>
                <w:b/>
                <w:bCs/>
                <w:sz w:val="18"/>
                <w:szCs w:val="18"/>
              </w:rPr>
              <w:t>63,654.54</w:t>
            </w:r>
            <w:r w:rsidRPr="000646B7">
              <w:rPr>
                <w:rFonts w:ascii="Times New Roman" w:hAnsi="Times New Roman" w:eastAsia="Calibri"/>
                <w:b/>
                <w:bCs/>
                <w:sz w:val="18"/>
                <w:szCs w:val="18"/>
              </w:rPr>
              <w:t>]</w:t>
            </w:r>
            <w:bookmarkEnd w:id="3"/>
          </w:p>
          <w:p w:rsidRPr="00AA5516" w:rsidR="00B021DA" w:rsidP="000646B7" w:rsidRDefault="00444021" w14:paraId="2A2871B1" w14:textId="26811916">
            <w:pPr>
              <w:rPr>
                <w:rFonts w:ascii="Times New Roman" w:hAnsi="Times New Roman" w:eastAsia="Calibri"/>
              </w:rPr>
            </w:pPr>
            <w:r>
              <w:rPr>
                <w:rFonts w:ascii="Times New Roman" w:hAnsi="Times New Roman" w:eastAsia="Calibri"/>
                <w:b/>
                <w:bCs/>
              </w:rPr>
              <w:t>$</w:t>
            </w:r>
            <w:r w:rsidR="00B021DA">
              <w:rPr>
                <w:rFonts w:ascii="Times New Roman" w:hAnsi="Times New Roman" w:eastAsia="Calibri"/>
                <w:b/>
                <w:bCs/>
              </w:rPr>
              <w:t>63,654.54</w:t>
            </w:r>
            <w:r>
              <w:rPr>
                <w:rFonts w:ascii="Times New Roman" w:hAnsi="Times New Roman" w:eastAsia="Calibri"/>
                <w:b/>
                <w:bCs/>
              </w:rPr>
              <w:t xml:space="preserve"> (wage calculation)</w:t>
            </w:r>
            <w:r w:rsidR="00B021DA">
              <w:rPr>
                <w:rFonts w:ascii="Times New Roman" w:hAnsi="Times New Roman" w:eastAsia="Calibri"/>
                <w:b/>
                <w:bCs/>
              </w:rPr>
              <w:t xml:space="preserve"> x 10 (number of staff within Program Area)</w:t>
            </w:r>
            <w:r w:rsidR="005A33E0">
              <w:rPr>
                <w:rFonts w:ascii="Times New Roman" w:hAnsi="Times New Roman" w:eastAsia="Calibri"/>
                <w:b/>
                <w:bCs/>
              </w:rPr>
              <w:t xml:space="preserve"> </w:t>
            </w:r>
            <w:r w:rsidR="00B021DA">
              <w:rPr>
                <w:rFonts w:ascii="Times New Roman" w:hAnsi="Times New Roman" w:eastAsia="Calibri"/>
                <w:b/>
                <w:bCs/>
              </w:rPr>
              <w:t>= $636,545.40</w:t>
            </w:r>
          </w:p>
        </w:tc>
        <w:tc>
          <w:tcPr>
            <w:tcW w:w="1518" w:type="dxa"/>
            <w:noWrap/>
          </w:tcPr>
          <w:p w:rsidRPr="000646B7" w:rsidR="000646B7" w:rsidP="000646B7" w:rsidRDefault="000646B7" w14:paraId="6C9E4BB8" w14:textId="6F71301C">
            <w:pPr>
              <w:rPr>
                <w:rFonts w:ascii="Times New Roman" w:hAnsi="Times New Roman" w:eastAsia="Calibri"/>
                <w:sz w:val="18"/>
                <w:szCs w:val="18"/>
              </w:rPr>
            </w:pPr>
            <w:r w:rsidRPr="000646B7">
              <w:rPr>
                <w:rFonts w:ascii="Times New Roman" w:hAnsi="Times New Roman" w:eastAsia="Calibri"/>
                <w:sz w:val="18"/>
                <w:szCs w:val="18"/>
              </w:rPr>
              <w:t> </w:t>
            </w:r>
            <w:r w:rsidR="00B021DA">
              <w:rPr>
                <w:rFonts w:ascii="Times New Roman" w:hAnsi="Times New Roman" w:eastAsia="Calibri"/>
                <w:sz w:val="18"/>
                <w:szCs w:val="18"/>
              </w:rPr>
              <w:t>$636,545.40</w:t>
            </w:r>
          </w:p>
        </w:tc>
      </w:tr>
      <w:tr w:rsidRPr="000646B7" w:rsidR="000646B7" w:rsidTr="00AA5516" w14:paraId="15DDAE85" w14:textId="77777777">
        <w:trPr>
          <w:trHeight w:val="270"/>
        </w:trPr>
        <w:tc>
          <w:tcPr>
            <w:tcW w:w="7680" w:type="dxa"/>
            <w:noWrap/>
          </w:tcPr>
          <w:p w:rsidRPr="000646B7" w:rsidR="000646B7" w:rsidP="000646B7" w:rsidRDefault="000646B7" w14:paraId="17FB56E8"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0646B7" w:rsidRDefault="000646B7" w14:paraId="2041C2DF" w14:textId="5F5664B1">
            <w:pPr>
              <w:rPr>
                <w:rFonts w:ascii="Times New Roman" w:hAnsi="Times New Roman" w:eastAsia="Calibri"/>
                <w:sz w:val="18"/>
                <w:szCs w:val="18"/>
              </w:rPr>
            </w:pPr>
            <w:r w:rsidRPr="000646B7">
              <w:rPr>
                <w:rFonts w:ascii="Times New Roman" w:hAnsi="Times New Roman" w:eastAsia="Calibri"/>
                <w:sz w:val="18"/>
                <w:szCs w:val="18"/>
              </w:rPr>
              <w:t> </w:t>
            </w:r>
            <w:r w:rsidR="00444021">
              <w:rPr>
                <w:rFonts w:ascii="Times New Roman" w:hAnsi="Times New Roman" w:eastAsia="Calibri"/>
                <w:sz w:val="18"/>
                <w:szCs w:val="18"/>
              </w:rPr>
              <w:t>N/A</w:t>
            </w:r>
          </w:p>
        </w:tc>
      </w:tr>
      <w:tr w:rsidRPr="000646B7" w:rsidR="000646B7" w:rsidTr="00AA5516" w14:paraId="374DF9BB" w14:textId="77777777">
        <w:trPr>
          <w:trHeight w:val="240"/>
        </w:trPr>
        <w:tc>
          <w:tcPr>
            <w:tcW w:w="7680" w:type="dxa"/>
            <w:noWrap/>
          </w:tcPr>
          <w:p w:rsidRPr="000646B7" w:rsidR="000646B7" w:rsidP="000646B7" w:rsidRDefault="000646B7" w14:paraId="747CDF0F"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0646B7" w:rsidRDefault="000646B7" w14:paraId="75862BDF" w14:textId="580AB537">
            <w:pPr>
              <w:rPr>
                <w:rFonts w:ascii="Times New Roman" w:hAnsi="Times New Roman" w:eastAsia="Calibri"/>
                <w:sz w:val="18"/>
                <w:szCs w:val="18"/>
              </w:rPr>
            </w:pPr>
            <w:r w:rsidRPr="000646B7">
              <w:rPr>
                <w:rFonts w:ascii="Times New Roman" w:hAnsi="Times New Roman" w:eastAsia="Calibri"/>
                <w:sz w:val="18"/>
                <w:szCs w:val="18"/>
              </w:rPr>
              <w:t> </w:t>
            </w:r>
            <w:r w:rsidR="00444021">
              <w:rPr>
                <w:rFonts w:ascii="Times New Roman" w:hAnsi="Times New Roman" w:eastAsia="Calibri"/>
                <w:sz w:val="18"/>
                <w:szCs w:val="18"/>
              </w:rPr>
              <w:t>N/A</w:t>
            </w:r>
          </w:p>
        </w:tc>
      </w:tr>
      <w:tr w:rsidRPr="000646B7" w:rsidR="000646B7" w:rsidTr="00AA5516" w14:paraId="7AB4E3F4" w14:textId="77777777">
        <w:trPr>
          <w:trHeight w:val="255"/>
        </w:trPr>
        <w:tc>
          <w:tcPr>
            <w:tcW w:w="7680" w:type="dxa"/>
            <w:noWrap/>
          </w:tcPr>
          <w:p w:rsidRPr="000646B7" w:rsidR="000646B7" w:rsidP="000646B7" w:rsidRDefault="000646B7" w14:paraId="45724E2E"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0646B7" w:rsidRDefault="000646B7" w14:paraId="4D2E0CFB" w14:textId="27BFC64B">
            <w:pPr>
              <w:rPr>
                <w:rFonts w:ascii="Times New Roman" w:hAnsi="Times New Roman" w:eastAsia="Calibri"/>
                <w:sz w:val="18"/>
                <w:szCs w:val="18"/>
              </w:rPr>
            </w:pPr>
            <w:r w:rsidRPr="000646B7">
              <w:rPr>
                <w:rFonts w:ascii="Times New Roman" w:hAnsi="Times New Roman" w:eastAsia="Calibri"/>
                <w:sz w:val="18"/>
                <w:szCs w:val="18"/>
              </w:rPr>
              <w:t> </w:t>
            </w:r>
            <w:r w:rsidR="00444021">
              <w:rPr>
                <w:rFonts w:ascii="Times New Roman" w:hAnsi="Times New Roman" w:eastAsia="Calibri"/>
                <w:sz w:val="18"/>
                <w:szCs w:val="18"/>
              </w:rPr>
              <w:t>N/A</w:t>
            </w:r>
          </w:p>
        </w:tc>
      </w:tr>
      <w:tr w:rsidRPr="000646B7" w:rsidR="000646B7" w:rsidTr="00AA5516" w14:paraId="1FE2D88B" w14:textId="77777777">
        <w:trPr>
          <w:trHeight w:val="255"/>
        </w:trPr>
        <w:tc>
          <w:tcPr>
            <w:tcW w:w="7680" w:type="dxa"/>
            <w:noWrap/>
          </w:tcPr>
          <w:p w:rsidRPr="000646B7" w:rsidR="000646B7" w:rsidP="000646B7" w:rsidRDefault="000646B7" w14:paraId="089A01A1" w14:textId="77777777">
            <w:pPr>
              <w:rPr>
                <w:rFonts w:ascii="Times New Roman" w:hAnsi="Times New Roman" w:eastAsia="Calibri"/>
                <w:sz w:val="18"/>
                <w:szCs w:val="18"/>
              </w:rPr>
            </w:pPr>
            <w:r w:rsidRPr="000646B7">
              <w:rPr>
                <w:rFonts w:ascii="Times New Roman" w:hAnsi="Times New Roman" w:eastAsia="Calibri"/>
                <w:sz w:val="18"/>
                <w:szCs w:val="18"/>
              </w:rPr>
              <w:lastRenderedPageBreak/>
              <w:t xml:space="preserve">Travel </w:t>
            </w:r>
          </w:p>
        </w:tc>
        <w:tc>
          <w:tcPr>
            <w:tcW w:w="1518" w:type="dxa"/>
            <w:noWrap/>
          </w:tcPr>
          <w:p w:rsidRPr="000646B7" w:rsidR="000646B7" w:rsidP="000646B7" w:rsidRDefault="000646B7" w14:paraId="173D25E1" w14:textId="31C97A99">
            <w:pPr>
              <w:rPr>
                <w:rFonts w:ascii="Times New Roman" w:hAnsi="Times New Roman" w:eastAsia="Calibri"/>
                <w:sz w:val="18"/>
                <w:szCs w:val="18"/>
              </w:rPr>
            </w:pPr>
            <w:r w:rsidRPr="000646B7">
              <w:rPr>
                <w:rFonts w:ascii="Times New Roman" w:hAnsi="Times New Roman" w:eastAsia="Calibri"/>
                <w:sz w:val="18"/>
                <w:szCs w:val="18"/>
              </w:rPr>
              <w:t> </w:t>
            </w:r>
            <w:r w:rsidR="00444021">
              <w:rPr>
                <w:rFonts w:ascii="Times New Roman" w:hAnsi="Times New Roman" w:eastAsia="Calibri"/>
                <w:sz w:val="18"/>
                <w:szCs w:val="18"/>
              </w:rPr>
              <w:t>N/A</w:t>
            </w:r>
          </w:p>
        </w:tc>
      </w:tr>
      <w:tr w:rsidRPr="000646B7" w:rsidR="000646B7" w:rsidTr="00AA5516" w14:paraId="256026BE" w14:textId="77777777">
        <w:trPr>
          <w:trHeight w:val="255"/>
        </w:trPr>
        <w:tc>
          <w:tcPr>
            <w:tcW w:w="7680" w:type="dxa"/>
            <w:noWrap/>
          </w:tcPr>
          <w:p w:rsidRPr="000646B7" w:rsidR="000646B7" w:rsidP="000646B7" w:rsidRDefault="000646B7" w14:paraId="5C9A21FD"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0646B7" w:rsidRDefault="000646B7" w14:paraId="2016CA6B" w14:textId="144EBB9D">
            <w:pPr>
              <w:rPr>
                <w:rFonts w:ascii="Times New Roman" w:hAnsi="Times New Roman" w:eastAsia="Calibri"/>
                <w:sz w:val="18"/>
                <w:szCs w:val="18"/>
              </w:rPr>
            </w:pPr>
            <w:r w:rsidRPr="000646B7">
              <w:rPr>
                <w:rFonts w:ascii="Times New Roman" w:hAnsi="Times New Roman" w:eastAsia="Calibri"/>
                <w:sz w:val="18"/>
                <w:szCs w:val="18"/>
              </w:rPr>
              <w:t> </w:t>
            </w:r>
            <w:r w:rsidR="00444021">
              <w:rPr>
                <w:rFonts w:ascii="Times New Roman" w:hAnsi="Times New Roman" w:eastAsia="Calibri"/>
                <w:sz w:val="18"/>
                <w:szCs w:val="18"/>
              </w:rPr>
              <w:t>N/A</w:t>
            </w:r>
          </w:p>
        </w:tc>
      </w:tr>
      <w:tr w:rsidRPr="000646B7" w:rsidR="000646B7" w:rsidTr="00AA5516" w14:paraId="4981721F" w14:textId="77777777">
        <w:trPr>
          <w:trHeight w:val="255"/>
        </w:trPr>
        <w:tc>
          <w:tcPr>
            <w:tcW w:w="7680" w:type="dxa"/>
            <w:noWrap/>
          </w:tcPr>
          <w:p w:rsidRPr="000646B7" w:rsidR="000646B7" w:rsidP="000646B7" w:rsidRDefault="000646B7" w14:paraId="74BAFF84"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44E96982" w14:textId="118ABAB3">
            <w:pPr>
              <w:rPr>
                <w:rFonts w:ascii="Times New Roman" w:hAnsi="Times New Roman" w:eastAsia="Calibri"/>
                <w:sz w:val="18"/>
                <w:szCs w:val="18"/>
              </w:rPr>
            </w:pPr>
            <w:r w:rsidRPr="000646B7">
              <w:rPr>
                <w:rFonts w:ascii="Times New Roman" w:hAnsi="Times New Roman" w:eastAsia="Calibri"/>
                <w:sz w:val="18"/>
                <w:szCs w:val="18"/>
              </w:rPr>
              <w:t> </w:t>
            </w:r>
            <w:r w:rsidR="00444021">
              <w:rPr>
                <w:rFonts w:ascii="Times New Roman" w:hAnsi="Times New Roman" w:eastAsia="Calibri"/>
                <w:sz w:val="18"/>
                <w:szCs w:val="18"/>
              </w:rPr>
              <w:t>N/A</w:t>
            </w:r>
          </w:p>
        </w:tc>
      </w:tr>
      <w:tr w:rsidRPr="000646B7" w:rsidR="000646B7" w:rsidTr="00AA5516" w14:paraId="777BB070" w14:textId="77777777">
        <w:trPr>
          <w:trHeight w:val="255"/>
        </w:trPr>
        <w:tc>
          <w:tcPr>
            <w:tcW w:w="7680" w:type="dxa"/>
            <w:noWrap/>
          </w:tcPr>
          <w:p w:rsidRPr="000646B7" w:rsidR="000646B7" w:rsidP="000646B7" w:rsidRDefault="000646B7" w14:paraId="0603FD8F"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622318CF"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0CE61368" w14:textId="77777777">
        <w:trPr>
          <w:trHeight w:val="270"/>
        </w:trPr>
        <w:tc>
          <w:tcPr>
            <w:tcW w:w="7680" w:type="dxa"/>
            <w:noWrap/>
          </w:tcPr>
          <w:p w:rsidRPr="000646B7" w:rsidR="000646B7" w:rsidP="000646B7" w:rsidRDefault="000646B7" w14:paraId="5F2CA076"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0646B7" w:rsidRDefault="000646B7" w14:paraId="4E14BEBC" w14:textId="1BC3CBB7">
            <w:pPr>
              <w:rPr>
                <w:rFonts w:ascii="Times New Roman" w:hAnsi="Times New Roman" w:eastAsia="Calibri"/>
                <w:b/>
                <w:bCs/>
                <w:sz w:val="18"/>
                <w:szCs w:val="18"/>
              </w:rPr>
            </w:pPr>
            <w:r w:rsidRPr="000646B7">
              <w:rPr>
                <w:rFonts w:ascii="Times New Roman" w:hAnsi="Times New Roman" w:eastAsia="Calibri"/>
                <w:b/>
                <w:bCs/>
                <w:sz w:val="18"/>
                <w:szCs w:val="18"/>
              </w:rPr>
              <w:t>$</w:t>
            </w:r>
            <w:r w:rsidR="00186B2B">
              <w:rPr>
                <w:rFonts w:ascii="Times New Roman" w:hAnsi="Times New Roman" w:eastAsia="Calibri"/>
                <w:b/>
                <w:bCs/>
                <w:sz w:val="18"/>
                <w:szCs w:val="18"/>
              </w:rPr>
              <w:t>2,460,093.00</w:t>
            </w:r>
          </w:p>
        </w:tc>
      </w:tr>
    </w:tbl>
    <w:p w:rsidRPr="000646B7" w:rsidR="000646B7" w:rsidP="000646B7" w:rsidRDefault="000646B7" w14:paraId="71833FD7"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proofErr w:type="gramStart"/>
      <w:r w:rsidRPr="000646B7">
        <w:rPr>
          <w:rFonts w:eastAsia="Calibri"/>
          <w:sz w:val="16"/>
          <w:szCs w:val="16"/>
        </w:rPr>
        <w:t>fully-loaded</w:t>
      </w:r>
      <w:proofErr w:type="gramEnd"/>
      <w:r w:rsidRPr="000646B7">
        <w:rPr>
          <w:rFonts w:eastAsia="Calibri"/>
          <w:sz w:val="16"/>
          <w:szCs w:val="16"/>
        </w:rPr>
        <w:t xml:space="preserve"> wage rate.</w:t>
      </w:r>
    </w:p>
    <w:p w:rsidRPr="00C879B4" w:rsidR="00D35DDB" w:rsidP="00FA2F70" w:rsidRDefault="00D35DDB" w14:paraId="34EA341A"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7A7636" w14:paraId="33CB170D" w14:textId="77777777">
        <w:tc>
          <w:tcPr>
            <w:tcW w:w="9252" w:type="dxa"/>
            <w:shd w:val="clear" w:color="auto" w:fill="auto"/>
          </w:tcPr>
          <w:p w:rsidRPr="00C879B4" w:rsidR="00560E48" w:rsidP="00FE4C4B" w:rsidRDefault="0021340A" w14:paraId="2D55131D" w14:textId="5A0C14C5">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tc>
      </w:tr>
      <w:tr w:rsidRPr="00C879B4" w:rsidR="0021340A" w:rsidTr="007A7636" w14:paraId="662086A3" w14:textId="77777777">
        <w:tc>
          <w:tcPr>
            <w:tcW w:w="9252" w:type="dxa"/>
            <w:shd w:val="clear" w:color="auto" w:fill="auto"/>
          </w:tcPr>
          <w:p w:rsidRPr="00C879B4" w:rsidR="00887B0A" w:rsidP="001B4FB5" w:rsidRDefault="00887B0A" w14:paraId="11402D8F" w14:textId="0E656B00">
            <w:pPr>
              <w:spacing w:after="0" w:line="240" w:lineRule="auto"/>
              <w:rPr>
                <w:rFonts w:ascii="Times New Roman" w:hAnsi="Times New Roman"/>
                <w:b/>
                <w:color w:val="000000"/>
                <w:sz w:val="24"/>
                <w:szCs w:val="24"/>
              </w:rPr>
            </w:pPr>
          </w:p>
        </w:tc>
      </w:tr>
    </w:tbl>
    <w:p w:rsidR="007A7636" w:rsidP="005E09CE" w:rsidRDefault="007A7636" w14:paraId="29229E24" w14:textId="77777777">
      <w:pPr>
        <w:pStyle w:val="BodyTextIndent"/>
        <w:ind w:firstLine="0"/>
        <w:jc w:val="both"/>
        <w:rPr>
          <w:szCs w:val="24"/>
        </w:rPr>
      </w:pPr>
      <w:r>
        <w:t xml:space="preserve">This is a revision of a currently approved collection.  Information on the number of respondents and responses is based on actual HUD data for the past year. As indicated in other areas of this Supporting Statement, the number of MIPs requiring validation varies depending on the number of mortgagees holding loans that require Mortgage Insurance Premium payments.  Actual HUD \ FHA data is used to help estimate these numbers. </w:t>
      </w:r>
    </w:p>
    <w:p w:rsidR="007A7636" w:rsidP="005E09CE" w:rsidRDefault="007A7636" w14:paraId="301984ED" w14:textId="77777777">
      <w:pPr>
        <w:spacing w:after="0"/>
        <w:ind w:left="720"/>
        <w:contextualSpacing/>
        <w:jc w:val="both"/>
        <w:rPr>
          <w:szCs w:val="24"/>
        </w:rPr>
      </w:pPr>
    </w:p>
    <w:p w:rsidR="007A7636" w:rsidP="005E09CE" w:rsidRDefault="007A7636" w14:paraId="5E0D3443" w14:textId="578F6319">
      <w:pPr>
        <w:spacing w:after="0"/>
        <w:ind w:left="360"/>
        <w:contextualSpacing/>
        <w:jc w:val="both"/>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amount</w:t>
      </w:r>
      <w:proofErr w:type="gramEnd"/>
      <w:r>
        <w:rPr>
          <w:rFonts w:ascii="Times New Roman" w:hAnsi="Times New Roman"/>
          <w:sz w:val="24"/>
          <w:szCs w:val="24"/>
        </w:rPr>
        <w:t xml:space="preserve"> of respondents changes from year to year because it is based on the number of active FHA lenders.  The number of respondent</w:t>
      </w:r>
      <w:r w:rsidR="005E09CE">
        <w:rPr>
          <w:rFonts w:ascii="Times New Roman" w:hAnsi="Times New Roman"/>
          <w:sz w:val="24"/>
          <w:szCs w:val="24"/>
        </w:rPr>
        <w:t>s</w:t>
      </w:r>
      <w:r>
        <w:rPr>
          <w:rFonts w:ascii="Times New Roman" w:hAnsi="Times New Roman"/>
          <w:sz w:val="24"/>
          <w:szCs w:val="24"/>
        </w:rPr>
        <w:t xml:space="preserve"> increased slightly from the prior reporting due </w:t>
      </w:r>
      <w:r w:rsidR="004C1E5C">
        <w:rPr>
          <w:rFonts w:ascii="Times New Roman" w:hAnsi="Times New Roman"/>
          <w:sz w:val="24"/>
          <w:szCs w:val="24"/>
        </w:rPr>
        <w:t xml:space="preserve">to an </w:t>
      </w:r>
      <w:r>
        <w:rPr>
          <w:rFonts w:ascii="Times New Roman" w:hAnsi="Times New Roman"/>
          <w:sz w:val="24"/>
          <w:szCs w:val="24"/>
        </w:rPr>
        <w:t>increase</w:t>
      </w:r>
      <w:r w:rsidR="004C1E5C">
        <w:rPr>
          <w:rFonts w:ascii="Times New Roman" w:hAnsi="Times New Roman"/>
          <w:sz w:val="24"/>
          <w:szCs w:val="24"/>
        </w:rPr>
        <w:t xml:space="preserve"> in the number</w:t>
      </w:r>
      <w:r>
        <w:rPr>
          <w:rFonts w:ascii="Times New Roman" w:hAnsi="Times New Roman"/>
          <w:sz w:val="24"/>
          <w:szCs w:val="24"/>
        </w:rPr>
        <w:t xml:space="preserve"> of lenders submitting MIP payments.  </w:t>
      </w:r>
    </w:p>
    <w:p w:rsidRPr="00C879B4" w:rsidR="00FA2F70" w:rsidP="00FA2F70" w:rsidRDefault="00FA2F70" w14:paraId="08DA0431"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107"/>
        <w:gridCol w:w="9145"/>
      </w:tblGrid>
      <w:tr w:rsidRPr="00C879B4" w:rsidR="00FE4C4B" w:rsidTr="008F4927" w14:paraId="17B2D95A" w14:textId="77777777">
        <w:tc>
          <w:tcPr>
            <w:tcW w:w="9360" w:type="dxa"/>
            <w:gridSpan w:val="2"/>
            <w:shd w:val="clear" w:color="auto" w:fill="auto"/>
          </w:tcPr>
          <w:p w:rsidRPr="00C879B4" w:rsidR="00FE4C4B" w:rsidP="008F4927" w:rsidRDefault="00FE4C4B" w14:paraId="1C85AE7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FE4C4B" w:rsidP="008F4927" w:rsidRDefault="00FE4C4B" w14:paraId="4F840B50" w14:textId="77777777">
            <w:pPr>
              <w:spacing w:after="0" w:line="240" w:lineRule="auto"/>
              <w:rPr>
                <w:rFonts w:ascii="Times New Roman" w:hAnsi="Times New Roman"/>
                <w:b/>
                <w:color w:val="000000"/>
                <w:sz w:val="24"/>
                <w:szCs w:val="24"/>
              </w:rPr>
            </w:pPr>
          </w:p>
        </w:tc>
      </w:tr>
      <w:tr w:rsidRPr="00C879B4" w:rsidR="00FE4C4B" w:rsidTr="008F4927" w14:paraId="3CE34A71" w14:textId="77777777">
        <w:trPr>
          <w:gridBefore w:val="1"/>
          <w:wBefore w:w="108" w:type="dxa"/>
        </w:trPr>
        <w:tc>
          <w:tcPr>
            <w:tcW w:w="9252" w:type="dxa"/>
            <w:shd w:val="clear" w:color="auto" w:fill="auto"/>
          </w:tcPr>
          <w:p w:rsidRPr="00A21F79" w:rsidR="00FE4C4B" w:rsidP="008F4927" w:rsidRDefault="00FE4C4B" w14:paraId="43490AA4" w14:textId="77777777">
            <w:pPr>
              <w:spacing w:after="0" w:line="240" w:lineRule="auto"/>
              <w:rPr>
                <w:rFonts w:ascii="Times New Roman" w:hAnsi="Times New Roman" w:eastAsia="Arial Unicode MS"/>
                <w:color w:val="000000"/>
                <w:sz w:val="24"/>
                <w:szCs w:val="24"/>
              </w:rPr>
            </w:pPr>
            <w:r>
              <w:rPr>
                <w:rFonts w:ascii="Times New Roman" w:hAnsi="Times New Roman" w:eastAsia="Arial Unicode MS"/>
                <w:color w:val="000000"/>
                <w:sz w:val="24"/>
                <w:szCs w:val="24"/>
              </w:rPr>
              <w:t>T</w:t>
            </w:r>
            <w:r w:rsidRPr="00A21F79">
              <w:rPr>
                <w:rFonts w:ascii="Times New Roman" w:hAnsi="Times New Roman" w:eastAsia="Arial Unicode MS"/>
                <w:color w:val="000000"/>
                <w:sz w:val="24"/>
                <w:szCs w:val="24"/>
              </w:rPr>
              <w:t>his information</w:t>
            </w:r>
            <w:r>
              <w:rPr>
                <w:rFonts w:ascii="Times New Roman" w:hAnsi="Times New Roman" w:eastAsia="Arial Unicode MS"/>
                <w:color w:val="000000"/>
                <w:sz w:val="24"/>
                <w:szCs w:val="24"/>
              </w:rPr>
              <w:t xml:space="preserve"> </w:t>
            </w:r>
            <w:r w:rsidRPr="00A21F79">
              <w:rPr>
                <w:rFonts w:ascii="Times New Roman" w:hAnsi="Times New Roman" w:eastAsia="Arial Unicode MS"/>
                <w:color w:val="000000"/>
                <w:sz w:val="24"/>
                <w:szCs w:val="24"/>
              </w:rPr>
              <w:t>collection will not be published for statistical purposes.</w:t>
            </w:r>
          </w:p>
          <w:p w:rsidRPr="00C879B4" w:rsidR="00FE4C4B" w:rsidP="008F4927" w:rsidRDefault="00FE4C4B" w14:paraId="642A1137" w14:textId="77777777">
            <w:pPr>
              <w:spacing w:after="0" w:line="240" w:lineRule="auto"/>
              <w:rPr>
                <w:rFonts w:ascii="Times New Roman" w:hAnsi="Times New Roman"/>
                <w:b/>
                <w:color w:val="000000"/>
                <w:sz w:val="24"/>
                <w:szCs w:val="24"/>
              </w:rPr>
            </w:pPr>
          </w:p>
        </w:tc>
      </w:tr>
      <w:tr w:rsidRPr="00A21F79" w:rsidR="00FE4C4B" w:rsidTr="008F4927" w14:paraId="6AEF14D1" w14:textId="77777777">
        <w:trPr>
          <w:gridBefore w:val="1"/>
          <w:wBefore w:w="108" w:type="dxa"/>
        </w:trPr>
        <w:tc>
          <w:tcPr>
            <w:tcW w:w="9252" w:type="dxa"/>
            <w:shd w:val="clear" w:color="auto" w:fill="auto"/>
          </w:tcPr>
          <w:p w:rsidRPr="00C879B4" w:rsidR="00FE4C4B" w:rsidP="008F4927" w:rsidRDefault="00FE4C4B" w14:paraId="76AB944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FE4C4B" w:rsidP="008F4927" w:rsidRDefault="00FE4C4B" w14:paraId="2F63A58F" w14:textId="77777777">
            <w:pPr>
              <w:spacing w:after="0" w:line="240" w:lineRule="auto"/>
              <w:rPr>
                <w:rFonts w:ascii="Times New Roman" w:hAnsi="Times New Roman"/>
                <w:color w:val="000000"/>
                <w:sz w:val="24"/>
                <w:szCs w:val="24"/>
              </w:rPr>
            </w:pPr>
          </w:p>
          <w:p w:rsidRPr="00A21F79" w:rsidR="00FE4C4B" w:rsidP="008F4927" w:rsidRDefault="00FE4C4B" w14:paraId="1CD322E9" w14:textId="77777777">
            <w:pPr>
              <w:spacing w:after="0" w:line="240" w:lineRule="auto"/>
              <w:rPr>
                <w:rFonts w:ascii="Times New Roman" w:hAnsi="Times New Roman"/>
                <w:color w:val="000000"/>
                <w:sz w:val="24"/>
                <w:szCs w:val="24"/>
              </w:rPr>
            </w:pPr>
            <w:r w:rsidRPr="00A21F79">
              <w:rPr>
                <w:rFonts w:ascii="Times New Roman" w:hAnsi="Times New Roman"/>
                <w:color w:val="000000"/>
                <w:sz w:val="24"/>
                <w:szCs w:val="24"/>
              </w:rPr>
              <w:t xml:space="preserve">HUD will display the expiration date for </w:t>
            </w:r>
            <w:r>
              <w:rPr>
                <w:rFonts w:ascii="Times New Roman" w:hAnsi="Times New Roman"/>
                <w:color w:val="000000"/>
                <w:sz w:val="24"/>
                <w:szCs w:val="24"/>
              </w:rPr>
              <w:t>O</w:t>
            </w:r>
            <w:r w:rsidRPr="00A21F79">
              <w:rPr>
                <w:rFonts w:ascii="Times New Roman" w:hAnsi="Times New Roman"/>
                <w:color w:val="000000"/>
                <w:sz w:val="24"/>
                <w:szCs w:val="24"/>
              </w:rPr>
              <w:t>MB approval of this information collection.</w:t>
            </w:r>
          </w:p>
        </w:tc>
      </w:tr>
      <w:tr w:rsidRPr="00C879B4" w:rsidR="00FE4C4B" w:rsidTr="008F4927" w14:paraId="6E1DAC69" w14:textId="77777777">
        <w:trPr>
          <w:gridBefore w:val="1"/>
          <w:wBefore w:w="108" w:type="dxa"/>
        </w:trPr>
        <w:tc>
          <w:tcPr>
            <w:tcW w:w="9252" w:type="dxa"/>
            <w:shd w:val="clear" w:color="auto" w:fill="auto"/>
          </w:tcPr>
          <w:p w:rsidRPr="00C879B4" w:rsidR="00FE4C4B" w:rsidP="008F4927" w:rsidRDefault="00FE4C4B" w14:paraId="70FE7D66" w14:textId="77777777">
            <w:pPr>
              <w:spacing w:after="0" w:line="240" w:lineRule="auto"/>
              <w:rPr>
                <w:rFonts w:ascii="Times New Roman" w:hAnsi="Times New Roman"/>
                <w:color w:val="000000"/>
                <w:sz w:val="24"/>
                <w:szCs w:val="24"/>
              </w:rPr>
            </w:pPr>
          </w:p>
        </w:tc>
      </w:tr>
      <w:tr w:rsidRPr="00A21F79" w:rsidR="00FE4C4B" w:rsidTr="008F4927" w14:paraId="7F1C7FE4" w14:textId="77777777">
        <w:trPr>
          <w:gridBefore w:val="1"/>
          <w:wBefore w:w="108" w:type="dxa"/>
        </w:trPr>
        <w:tc>
          <w:tcPr>
            <w:tcW w:w="9252" w:type="dxa"/>
            <w:shd w:val="clear" w:color="auto" w:fill="auto"/>
          </w:tcPr>
          <w:p w:rsidR="00FE4C4B" w:rsidP="008F4927" w:rsidRDefault="00FE4C4B" w14:paraId="036C29D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FE4C4B" w:rsidP="008F4927" w:rsidRDefault="00FE4C4B" w14:paraId="678CD92A" w14:textId="77777777">
            <w:pPr>
              <w:spacing w:after="0" w:line="240" w:lineRule="auto"/>
              <w:rPr>
                <w:rFonts w:ascii="Times New Roman" w:hAnsi="Times New Roman"/>
                <w:b/>
                <w:color w:val="000000"/>
                <w:sz w:val="24"/>
                <w:szCs w:val="24"/>
              </w:rPr>
            </w:pPr>
          </w:p>
          <w:p w:rsidRPr="00A21F79" w:rsidR="00FE4C4B" w:rsidP="008F4927" w:rsidRDefault="00FE4C4B" w14:paraId="217420D6" w14:textId="2A58151E">
            <w:pPr>
              <w:spacing w:after="0" w:line="240" w:lineRule="auto"/>
              <w:rPr>
                <w:rFonts w:ascii="Times New Roman" w:hAnsi="Times New Roman"/>
                <w:bCs/>
                <w:color w:val="000000"/>
                <w:sz w:val="24"/>
                <w:szCs w:val="24"/>
              </w:rPr>
            </w:pPr>
            <w:r w:rsidRPr="00A21F79">
              <w:rPr>
                <w:rFonts w:ascii="Times New Roman" w:hAnsi="Times New Roman"/>
                <w:bCs/>
                <w:color w:val="000000"/>
                <w:sz w:val="24"/>
                <w:szCs w:val="24"/>
              </w:rPr>
              <w:t>HUD does not request an</w:t>
            </w:r>
            <w:r>
              <w:rPr>
                <w:rFonts w:ascii="Times New Roman" w:hAnsi="Times New Roman"/>
                <w:bCs/>
                <w:color w:val="000000"/>
                <w:sz w:val="24"/>
                <w:szCs w:val="24"/>
              </w:rPr>
              <w:t xml:space="preserve"> </w:t>
            </w:r>
            <w:r w:rsidRPr="00A21F79">
              <w:rPr>
                <w:rFonts w:ascii="Times New Roman" w:hAnsi="Times New Roman"/>
                <w:bCs/>
                <w:color w:val="000000"/>
                <w:sz w:val="24"/>
                <w:szCs w:val="24"/>
              </w:rPr>
              <w:t>exception to the certification of this information collectio</w:t>
            </w:r>
            <w:r w:rsidR="00533E9C">
              <w:rPr>
                <w:rFonts w:ascii="Times New Roman" w:hAnsi="Times New Roman"/>
                <w:bCs/>
                <w:color w:val="000000"/>
                <w:sz w:val="24"/>
                <w:szCs w:val="24"/>
              </w:rPr>
              <w:t>n</w:t>
            </w:r>
            <w:r>
              <w:rPr>
                <w:rFonts w:ascii="Times New Roman" w:hAnsi="Times New Roman"/>
                <w:bCs/>
                <w:color w:val="000000"/>
                <w:sz w:val="24"/>
                <w:szCs w:val="24"/>
              </w:rPr>
              <w:t>.</w:t>
            </w:r>
          </w:p>
        </w:tc>
      </w:tr>
      <w:tr w:rsidRPr="00C879B4" w:rsidR="00FE4C4B" w:rsidTr="008F4927" w14:paraId="1DD874F3" w14:textId="77777777">
        <w:trPr>
          <w:gridBefore w:val="1"/>
          <w:wBefore w:w="108" w:type="dxa"/>
        </w:trPr>
        <w:tc>
          <w:tcPr>
            <w:tcW w:w="9252" w:type="dxa"/>
            <w:shd w:val="clear" w:color="auto" w:fill="auto"/>
          </w:tcPr>
          <w:p w:rsidR="00FE4C4B" w:rsidP="008F4927" w:rsidRDefault="00FE4C4B" w14:paraId="036338FB" w14:textId="77777777">
            <w:pPr>
              <w:spacing w:after="0" w:line="256" w:lineRule="auto"/>
              <w:rPr>
                <w:rFonts w:ascii="Times New Roman" w:hAnsi="Times New Roman"/>
                <w:b/>
                <w:bCs/>
                <w:sz w:val="24"/>
                <w:szCs w:val="24"/>
              </w:rPr>
            </w:pPr>
          </w:p>
          <w:p w:rsidRPr="006C72B8" w:rsidR="00FE4C4B" w:rsidP="008F4927" w:rsidRDefault="00FE4C4B" w14:paraId="108D9F12" w14:textId="77777777">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Pr="006C72B8" w:rsidR="00FE4C4B" w:rsidP="008F4927" w:rsidRDefault="00FE4C4B" w14:paraId="241C3D9F" w14:textId="77777777">
            <w:pPr>
              <w:spacing w:after="0" w:line="256" w:lineRule="auto"/>
              <w:rPr>
                <w:rFonts w:ascii="Times New Roman" w:hAnsi="Times New Roman"/>
                <w:sz w:val="24"/>
                <w:szCs w:val="24"/>
              </w:rPr>
            </w:pPr>
          </w:p>
          <w:p w:rsidRPr="00C879B4" w:rsidR="00FE4C4B" w:rsidP="008F4927" w:rsidRDefault="00FE4C4B" w14:paraId="6A74CC8F" w14:textId="77777777">
            <w:pPr>
              <w:spacing w:after="0" w:line="240" w:lineRule="auto"/>
              <w:rPr>
                <w:rFonts w:ascii="Times New Roman" w:hAnsi="Times New Roman"/>
                <w:b/>
                <w:color w:val="000000"/>
                <w:sz w:val="24"/>
                <w:szCs w:val="24"/>
              </w:rPr>
            </w:pPr>
            <w:r w:rsidRPr="006C72B8">
              <w:rPr>
                <w:rFonts w:ascii="Times New Roman" w:hAnsi="Times New Roman"/>
                <w:sz w:val="24"/>
                <w:szCs w:val="24"/>
              </w:rPr>
              <w:t>There is no statistical methodology involved in this collection.</w:t>
            </w:r>
          </w:p>
        </w:tc>
      </w:tr>
    </w:tbl>
    <w:p w:rsidRPr="00C879B4" w:rsidR="00FE4C4B" w:rsidP="00FE4C4B" w:rsidRDefault="00FE4C4B" w14:paraId="140B5071" w14:textId="77777777">
      <w:pPr>
        <w:spacing w:after="0" w:line="240" w:lineRule="auto"/>
        <w:rPr>
          <w:rFonts w:ascii="Times New Roman" w:hAnsi="Times New Roman"/>
          <w:color w:val="000000"/>
          <w:sz w:val="24"/>
          <w:szCs w:val="24"/>
        </w:rPr>
      </w:pPr>
    </w:p>
    <w:p w:rsidRPr="00C879B4" w:rsidR="00075224" w:rsidP="00FA2F70" w:rsidRDefault="00075224" w14:paraId="7245E69C" w14:textId="77777777">
      <w:pPr>
        <w:spacing w:after="0" w:line="240" w:lineRule="auto"/>
        <w:rPr>
          <w:rFonts w:ascii="Times New Roman" w:hAnsi="Times New Roman"/>
          <w:color w:val="000000"/>
          <w:sz w:val="24"/>
          <w:szCs w:val="24"/>
        </w:rPr>
      </w:pPr>
    </w:p>
    <w:sectPr w:rsidRPr="00C879B4" w:rsidR="00075224" w:rsidSect="00075224">
      <w:footerReference w:type="even" r:id="rId15"/>
      <w:footerReference w:type="default" r:id="rId16"/>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25B7" w14:textId="77777777" w:rsidR="00897899" w:rsidRDefault="00897899" w:rsidP="00075224">
      <w:pPr>
        <w:spacing w:after="0" w:line="240" w:lineRule="auto"/>
      </w:pPr>
      <w:r>
        <w:separator/>
      </w:r>
    </w:p>
  </w:endnote>
  <w:endnote w:type="continuationSeparator" w:id="0">
    <w:p w14:paraId="3159EA44" w14:textId="77777777" w:rsidR="00897899" w:rsidRDefault="00897899"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88B3"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810E4D7"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B144"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1FB541F7"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EBD8" w14:textId="77777777" w:rsidR="00897899" w:rsidRDefault="00897899" w:rsidP="00075224">
      <w:pPr>
        <w:spacing w:after="0" w:line="240" w:lineRule="auto"/>
      </w:pPr>
      <w:r>
        <w:separator/>
      </w:r>
    </w:p>
  </w:footnote>
  <w:footnote w:type="continuationSeparator" w:id="0">
    <w:p w14:paraId="057404ED" w14:textId="77777777" w:rsidR="00897899" w:rsidRDefault="00897899"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3"/>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646B7"/>
    <w:rsid w:val="00073BCC"/>
    <w:rsid w:val="00074C5C"/>
    <w:rsid w:val="00075224"/>
    <w:rsid w:val="00095AEB"/>
    <w:rsid w:val="000A06E9"/>
    <w:rsid w:val="000B4874"/>
    <w:rsid w:val="000C62BB"/>
    <w:rsid w:val="000D7FD0"/>
    <w:rsid w:val="0010169A"/>
    <w:rsid w:val="00124FE1"/>
    <w:rsid w:val="00141190"/>
    <w:rsid w:val="00163285"/>
    <w:rsid w:val="00164BAE"/>
    <w:rsid w:val="00167FD2"/>
    <w:rsid w:val="00174045"/>
    <w:rsid w:val="00186B2B"/>
    <w:rsid w:val="00191447"/>
    <w:rsid w:val="001A7509"/>
    <w:rsid w:val="001B4FB5"/>
    <w:rsid w:val="001C6560"/>
    <w:rsid w:val="001D4D6A"/>
    <w:rsid w:val="001F7208"/>
    <w:rsid w:val="0021340A"/>
    <w:rsid w:val="002276A6"/>
    <w:rsid w:val="00266A5E"/>
    <w:rsid w:val="00276A7E"/>
    <w:rsid w:val="00286E2B"/>
    <w:rsid w:val="0029110D"/>
    <w:rsid w:val="00294E98"/>
    <w:rsid w:val="00296DF2"/>
    <w:rsid w:val="002B25E0"/>
    <w:rsid w:val="002B277F"/>
    <w:rsid w:val="002C7DF4"/>
    <w:rsid w:val="00320358"/>
    <w:rsid w:val="003910FF"/>
    <w:rsid w:val="00393535"/>
    <w:rsid w:val="00395BEC"/>
    <w:rsid w:val="00397DF1"/>
    <w:rsid w:val="003C0FD9"/>
    <w:rsid w:val="003C400F"/>
    <w:rsid w:val="003D05AE"/>
    <w:rsid w:val="003D3048"/>
    <w:rsid w:val="003F4D24"/>
    <w:rsid w:val="00413885"/>
    <w:rsid w:val="00444021"/>
    <w:rsid w:val="00445F32"/>
    <w:rsid w:val="004939BF"/>
    <w:rsid w:val="004A4DB5"/>
    <w:rsid w:val="004C1E5C"/>
    <w:rsid w:val="004C35D6"/>
    <w:rsid w:val="004D0A64"/>
    <w:rsid w:val="0050120C"/>
    <w:rsid w:val="00526ADC"/>
    <w:rsid w:val="00533E9C"/>
    <w:rsid w:val="00542073"/>
    <w:rsid w:val="00560E48"/>
    <w:rsid w:val="00566A56"/>
    <w:rsid w:val="00566B76"/>
    <w:rsid w:val="005A33E0"/>
    <w:rsid w:val="005A6EB8"/>
    <w:rsid w:val="005A7FAF"/>
    <w:rsid w:val="005D21A4"/>
    <w:rsid w:val="005E09CE"/>
    <w:rsid w:val="00607852"/>
    <w:rsid w:val="0066398E"/>
    <w:rsid w:val="00666CF0"/>
    <w:rsid w:val="00666FF7"/>
    <w:rsid w:val="006717F4"/>
    <w:rsid w:val="00695086"/>
    <w:rsid w:val="00695EEE"/>
    <w:rsid w:val="006B76CD"/>
    <w:rsid w:val="006C1F71"/>
    <w:rsid w:val="006D762D"/>
    <w:rsid w:val="006E65B9"/>
    <w:rsid w:val="006F4678"/>
    <w:rsid w:val="006F78EC"/>
    <w:rsid w:val="00711F61"/>
    <w:rsid w:val="00741B05"/>
    <w:rsid w:val="007440EA"/>
    <w:rsid w:val="0075410C"/>
    <w:rsid w:val="00760CC6"/>
    <w:rsid w:val="00762876"/>
    <w:rsid w:val="00797FB9"/>
    <w:rsid w:val="007A7636"/>
    <w:rsid w:val="007B309B"/>
    <w:rsid w:val="007B6131"/>
    <w:rsid w:val="007D1BE7"/>
    <w:rsid w:val="00846D3B"/>
    <w:rsid w:val="0086173D"/>
    <w:rsid w:val="008748E2"/>
    <w:rsid w:val="00874B8D"/>
    <w:rsid w:val="00887B0A"/>
    <w:rsid w:val="00897899"/>
    <w:rsid w:val="008A4A60"/>
    <w:rsid w:val="008D1F24"/>
    <w:rsid w:val="008E4061"/>
    <w:rsid w:val="008E634C"/>
    <w:rsid w:val="008F3A53"/>
    <w:rsid w:val="00922458"/>
    <w:rsid w:val="00934001"/>
    <w:rsid w:val="00934D18"/>
    <w:rsid w:val="00934DD3"/>
    <w:rsid w:val="009419D6"/>
    <w:rsid w:val="009512CC"/>
    <w:rsid w:val="009664F3"/>
    <w:rsid w:val="00975418"/>
    <w:rsid w:val="009814CB"/>
    <w:rsid w:val="00982371"/>
    <w:rsid w:val="009864A2"/>
    <w:rsid w:val="009A3A5E"/>
    <w:rsid w:val="009A4FD6"/>
    <w:rsid w:val="009B0365"/>
    <w:rsid w:val="009B6239"/>
    <w:rsid w:val="009D60B4"/>
    <w:rsid w:val="009E118C"/>
    <w:rsid w:val="009F199C"/>
    <w:rsid w:val="009F6A58"/>
    <w:rsid w:val="00A2523A"/>
    <w:rsid w:val="00A33DED"/>
    <w:rsid w:val="00A352F3"/>
    <w:rsid w:val="00A6429B"/>
    <w:rsid w:val="00A6656E"/>
    <w:rsid w:val="00A76C0E"/>
    <w:rsid w:val="00A80199"/>
    <w:rsid w:val="00A935E1"/>
    <w:rsid w:val="00AA04EA"/>
    <w:rsid w:val="00AA5516"/>
    <w:rsid w:val="00AE2E96"/>
    <w:rsid w:val="00B004A7"/>
    <w:rsid w:val="00B021DA"/>
    <w:rsid w:val="00B106EA"/>
    <w:rsid w:val="00B223D4"/>
    <w:rsid w:val="00B62C5B"/>
    <w:rsid w:val="00B7253E"/>
    <w:rsid w:val="00B808BC"/>
    <w:rsid w:val="00BB0F74"/>
    <w:rsid w:val="00C7653B"/>
    <w:rsid w:val="00C879B4"/>
    <w:rsid w:val="00C97650"/>
    <w:rsid w:val="00CB45ED"/>
    <w:rsid w:val="00CC0CD5"/>
    <w:rsid w:val="00CE3057"/>
    <w:rsid w:val="00CE5335"/>
    <w:rsid w:val="00CF512D"/>
    <w:rsid w:val="00D127E8"/>
    <w:rsid w:val="00D30784"/>
    <w:rsid w:val="00D35DDB"/>
    <w:rsid w:val="00D720B2"/>
    <w:rsid w:val="00DA2A63"/>
    <w:rsid w:val="00DA4B54"/>
    <w:rsid w:val="00DB7657"/>
    <w:rsid w:val="00DC1E6C"/>
    <w:rsid w:val="00DE071F"/>
    <w:rsid w:val="00DE2ACB"/>
    <w:rsid w:val="00DF2C79"/>
    <w:rsid w:val="00E12A57"/>
    <w:rsid w:val="00E53DE7"/>
    <w:rsid w:val="00E8026F"/>
    <w:rsid w:val="00E86DA1"/>
    <w:rsid w:val="00EA7C8E"/>
    <w:rsid w:val="00EC2952"/>
    <w:rsid w:val="00EE0663"/>
    <w:rsid w:val="00EF07A6"/>
    <w:rsid w:val="00EF54ED"/>
    <w:rsid w:val="00F17541"/>
    <w:rsid w:val="00F76C22"/>
    <w:rsid w:val="00F96F4A"/>
    <w:rsid w:val="00FA2F70"/>
    <w:rsid w:val="00FE1CC8"/>
    <w:rsid w:val="00FE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876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3C0FD9"/>
    <w:pPr>
      <w:ind w:left="720"/>
      <w:contextualSpacing/>
    </w:pPr>
  </w:style>
  <w:style w:type="paragraph" w:styleId="BodyTextIndent">
    <w:name w:val="Body Text Indent"/>
    <w:basedOn w:val="Normal"/>
    <w:link w:val="BodyTextIndentChar"/>
    <w:semiHidden/>
    <w:unhideWhenUsed/>
    <w:rsid w:val="003C0FD9"/>
    <w:pPr>
      <w:overflowPunct w:val="0"/>
      <w:autoSpaceDE w:val="0"/>
      <w:autoSpaceDN w:val="0"/>
      <w:adjustRightInd w:val="0"/>
      <w:spacing w:after="0" w:line="240" w:lineRule="auto"/>
      <w:ind w:left="360" w:hanging="360"/>
    </w:pPr>
    <w:rPr>
      <w:rFonts w:ascii="Times New Roman" w:hAnsi="Times New Roman"/>
      <w:sz w:val="24"/>
      <w:szCs w:val="20"/>
    </w:rPr>
  </w:style>
  <w:style w:type="character" w:customStyle="1" w:styleId="BodyTextIndentChar">
    <w:name w:val="Body Text Indent Char"/>
    <w:basedOn w:val="DefaultParagraphFont"/>
    <w:link w:val="BodyTextIndent"/>
    <w:semiHidden/>
    <w:rsid w:val="003C0FD9"/>
    <w:rPr>
      <w:rFonts w:ascii="Times New Roman" w:hAnsi="Times New Roman"/>
      <w:sz w:val="24"/>
    </w:rPr>
  </w:style>
  <w:style w:type="character" w:styleId="CommentReference">
    <w:name w:val="annotation reference"/>
    <w:basedOn w:val="DefaultParagraphFont"/>
    <w:uiPriority w:val="99"/>
    <w:semiHidden/>
    <w:unhideWhenUsed/>
    <w:rsid w:val="00FE4C4B"/>
    <w:rPr>
      <w:sz w:val="16"/>
      <w:szCs w:val="16"/>
    </w:rPr>
  </w:style>
  <w:style w:type="paragraph" w:styleId="CommentText">
    <w:name w:val="annotation text"/>
    <w:basedOn w:val="Normal"/>
    <w:link w:val="CommentTextChar"/>
    <w:uiPriority w:val="99"/>
    <w:semiHidden/>
    <w:unhideWhenUsed/>
    <w:rsid w:val="00FE4C4B"/>
    <w:pPr>
      <w:spacing w:line="240" w:lineRule="auto"/>
    </w:pPr>
    <w:rPr>
      <w:sz w:val="20"/>
      <w:szCs w:val="20"/>
    </w:rPr>
  </w:style>
  <w:style w:type="character" w:customStyle="1" w:styleId="CommentTextChar">
    <w:name w:val="Comment Text Char"/>
    <w:basedOn w:val="DefaultParagraphFont"/>
    <w:link w:val="CommentText"/>
    <w:uiPriority w:val="99"/>
    <w:semiHidden/>
    <w:rsid w:val="00FE4C4B"/>
  </w:style>
  <w:style w:type="paragraph" w:styleId="CommentSubject">
    <w:name w:val="annotation subject"/>
    <w:basedOn w:val="CommentText"/>
    <w:next w:val="CommentText"/>
    <w:link w:val="CommentSubjectChar"/>
    <w:uiPriority w:val="99"/>
    <w:semiHidden/>
    <w:unhideWhenUsed/>
    <w:rsid w:val="00FE4C4B"/>
    <w:rPr>
      <w:b/>
      <w:bCs/>
    </w:rPr>
  </w:style>
  <w:style w:type="character" w:customStyle="1" w:styleId="CommentSubjectChar">
    <w:name w:val="Comment Subject Char"/>
    <w:basedOn w:val="CommentTextChar"/>
    <w:link w:val="CommentSubject"/>
    <w:uiPriority w:val="99"/>
    <w:semiHidden/>
    <w:rsid w:val="00FE4C4B"/>
    <w:rPr>
      <w:b/>
      <w:bCs/>
    </w:rPr>
  </w:style>
  <w:style w:type="character" w:styleId="UnresolvedMention">
    <w:name w:val="Unresolved Mention"/>
    <w:basedOn w:val="DefaultParagraphFont"/>
    <w:uiPriority w:val="99"/>
    <w:semiHidden/>
    <w:unhideWhenUsed/>
    <w:rsid w:val="00CC0CD5"/>
    <w:rPr>
      <w:color w:val="605E5C"/>
      <w:shd w:val="clear" w:color="auto" w:fill="E1DFDD"/>
    </w:rPr>
  </w:style>
  <w:style w:type="character" w:styleId="FollowedHyperlink">
    <w:name w:val="FollowedHyperlink"/>
    <w:basedOn w:val="DefaultParagraphFont"/>
    <w:uiPriority w:val="99"/>
    <w:semiHidden/>
    <w:unhideWhenUsed/>
    <w:rsid w:val="00934D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706">
      <w:bodyDiv w:val="1"/>
      <w:marLeft w:val="0"/>
      <w:marRight w:val="0"/>
      <w:marTop w:val="0"/>
      <w:marBottom w:val="0"/>
      <w:divBdr>
        <w:top w:val="none" w:sz="0" w:space="0" w:color="auto"/>
        <w:left w:val="none" w:sz="0" w:space="0" w:color="auto"/>
        <w:bottom w:val="none" w:sz="0" w:space="0" w:color="auto"/>
        <w:right w:val="none" w:sz="0" w:space="0" w:color="auto"/>
      </w:divBdr>
    </w:div>
    <w:div w:id="353506100">
      <w:bodyDiv w:val="1"/>
      <w:marLeft w:val="0"/>
      <w:marRight w:val="0"/>
      <w:marTop w:val="0"/>
      <w:marBottom w:val="0"/>
      <w:divBdr>
        <w:top w:val="none" w:sz="0" w:space="0" w:color="auto"/>
        <w:left w:val="none" w:sz="0" w:space="0" w:color="auto"/>
        <w:bottom w:val="none" w:sz="0" w:space="0" w:color="auto"/>
        <w:right w:val="none" w:sz="0" w:space="0" w:color="auto"/>
      </w:divBdr>
    </w:div>
    <w:div w:id="468134989">
      <w:bodyDiv w:val="1"/>
      <w:marLeft w:val="0"/>
      <w:marRight w:val="0"/>
      <w:marTop w:val="0"/>
      <w:marBottom w:val="0"/>
      <w:divBdr>
        <w:top w:val="none" w:sz="0" w:space="0" w:color="auto"/>
        <w:left w:val="none" w:sz="0" w:space="0" w:color="auto"/>
        <w:bottom w:val="none" w:sz="0" w:space="0" w:color="auto"/>
        <w:right w:val="none" w:sz="0" w:space="0" w:color="auto"/>
      </w:divBdr>
    </w:div>
    <w:div w:id="488519835">
      <w:bodyDiv w:val="1"/>
      <w:marLeft w:val="0"/>
      <w:marRight w:val="0"/>
      <w:marTop w:val="0"/>
      <w:marBottom w:val="0"/>
      <w:divBdr>
        <w:top w:val="none" w:sz="0" w:space="0" w:color="auto"/>
        <w:left w:val="none" w:sz="0" w:space="0" w:color="auto"/>
        <w:bottom w:val="none" w:sz="0" w:space="0" w:color="auto"/>
        <w:right w:val="none" w:sz="0" w:space="0" w:color="auto"/>
      </w:divBdr>
    </w:div>
    <w:div w:id="515703296">
      <w:bodyDiv w:val="1"/>
      <w:marLeft w:val="0"/>
      <w:marRight w:val="0"/>
      <w:marTop w:val="0"/>
      <w:marBottom w:val="0"/>
      <w:divBdr>
        <w:top w:val="none" w:sz="0" w:space="0" w:color="auto"/>
        <w:left w:val="none" w:sz="0" w:space="0" w:color="auto"/>
        <w:bottom w:val="none" w:sz="0" w:space="0" w:color="auto"/>
        <w:right w:val="none" w:sz="0" w:space="0" w:color="auto"/>
      </w:divBdr>
    </w:div>
    <w:div w:id="551692022">
      <w:bodyDiv w:val="1"/>
      <w:marLeft w:val="0"/>
      <w:marRight w:val="0"/>
      <w:marTop w:val="0"/>
      <w:marBottom w:val="0"/>
      <w:divBdr>
        <w:top w:val="none" w:sz="0" w:space="0" w:color="auto"/>
        <w:left w:val="none" w:sz="0" w:space="0" w:color="auto"/>
        <w:bottom w:val="none" w:sz="0" w:space="0" w:color="auto"/>
        <w:right w:val="none" w:sz="0" w:space="0" w:color="auto"/>
      </w:divBdr>
    </w:div>
    <w:div w:id="617182040">
      <w:bodyDiv w:val="1"/>
      <w:marLeft w:val="0"/>
      <w:marRight w:val="0"/>
      <w:marTop w:val="0"/>
      <w:marBottom w:val="0"/>
      <w:divBdr>
        <w:top w:val="none" w:sz="0" w:space="0" w:color="auto"/>
        <w:left w:val="none" w:sz="0" w:space="0" w:color="auto"/>
        <w:bottom w:val="none" w:sz="0" w:space="0" w:color="auto"/>
        <w:right w:val="none" w:sz="0" w:space="0" w:color="auto"/>
      </w:divBdr>
    </w:div>
    <w:div w:id="687365905">
      <w:bodyDiv w:val="1"/>
      <w:marLeft w:val="0"/>
      <w:marRight w:val="0"/>
      <w:marTop w:val="0"/>
      <w:marBottom w:val="0"/>
      <w:divBdr>
        <w:top w:val="none" w:sz="0" w:space="0" w:color="auto"/>
        <w:left w:val="none" w:sz="0" w:space="0" w:color="auto"/>
        <w:bottom w:val="none" w:sz="0" w:space="0" w:color="auto"/>
        <w:right w:val="none" w:sz="0" w:space="0" w:color="auto"/>
      </w:divBdr>
    </w:div>
    <w:div w:id="925646875">
      <w:bodyDiv w:val="1"/>
      <w:marLeft w:val="0"/>
      <w:marRight w:val="0"/>
      <w:marTop w:val="0"/>
      <w:marBottom w:val="0"/>
      <w:divBdr>
        <w:top w:val="none" w:sz="0" w:space="0" w:color="auto"/>
        <w:left w:val="none" w:sz="0" w:space="0" w:color="auto"/>
        <w:bottom w:val="none" w:sz="0" w:space="0" w:color="auto"/>
        <w:right w:val="none" w:sz="0" w:space="0" w:color="auto"/>
      </w:divBdr>
    </w:div>
    <w:div w:id="975792802">
      <w:bodyDiv w:val="1"/>
      <w:marLeft w:val="0"/>
      <w:marRight w:val="0"/>
      <w:marTop w:val="0"/>
      <w:marBottom w:val="0"/>
      <w:divBdr>
        <w:top w:val="none" w:sz="0" w:space="0" w:color="auto"/>
        <w:left w:val="none" w:sz="0" w:space="0" w:color="auto"/>
        <w:bottom w:val="none" w:sz="0" w:space="0" w:color="auto"/>
        <w:right w:val="none" w:sz="0" w:space="0" w:color="auto"/>
      </w:divBdr>
    </w:div>
    <w:div w:id="1008944248">
      <w:bodyDiv w:val="1"/>
      <w:marLeft w:val="0"/>
      <w:marRight w:val="0"/>
      <w:marTop w:val="0"/>
      <w:marBottom w:val="0"/>
      <w:divBdr>
        <w:top w:val="none" w:sz="0" w:space="0" w:color="auto"/>
        <w:left w:val="none" w:sz="0" w:space="0" w:color="auto"/>
        <w:bottom w:val="none" w:sz="0" w:space="0" w:color="auto"/>
        <w:right w:val="none" w:sz="0" w:space="0" w:color="auto"/>
      </w:divBdr>
    </w:div>
    <w:div w:id="1073429251">
      <w:bodyDiv w:val="1"/>
      <w:marLeft w:val="0"/>
      <w:marRight w:val="0"/>
      <w:marTop w:val="0"/>
      <w:marBottom w:val="0"/>
      <w:divBdr>
        <w:top w:val="none" w:sz="0" w:space="0" w:color="auto"/>
        <w:left w:val="none" w:sz="0" w:space="0" w:color="auto"/>
        <w:bottom w:val="none" w:sz="0" w:space="0" w:color="auto"/>
        <w:right w:val="none" w:sz="0" w:space="0" w:color="auto"/>
      </w:divBdr>
    </w:div>
    <w:div w:id="1213230006">
      <w:bodyDiv w:val="1"/>
      <w:marLeft w:val="0"/>
      <w:marRight w:val="0"/>
      <w:marTop w:val="0"/>
      <w:marBottom w:val="0"/>
      <w:divBdr>
        <w:top w:val="none" w:sz="0" w:space="0" w:color="auto"/>
        <w:left w:val="none" w:sz="0" w:space="0" w:color="auto"/>
        <w:bottom w:val="none" w:sz="0" w:space="0" w:color="auto"/>
        <w:right w:val="none" w:sz="0" w:space="0" w:color="auto"/>
      </w:divBdr>
    </w:div>
    <w:div w:id="1232422007">
      <w:bodyDiv w:val="1"/>
      <w:marLeft w:val="0"/>
      <w:marRight w:val="0"/>
      <w:marTop w:val="0"/>
      <w:marBottom w:val="0"/>
      <w:divBdr>
        <w:top w:val="none" w:sz="0" w:space="0" w:color="auto"/>
        <w:left w:val="none" w:sz="0" w:space="0" w:color="auto"/>
        <w:bottom w:val="none" w:sz="0" w:space="0" w:color="auto"/>
        <w:right w:val="none" w:sz="0" w:space="0" w:color="auto"/>
      </w:divBdr>
    </w:div>
    <w:div w:id="1321226801">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487894091">
      <w:bodyDiv w:val="1"/>
      <w:marLeft w:val="0"/>
      <w:marRight w:val="0"/>
      <w:marTop w:val="0"/>
      <w:marBottom w:val="0"/>
      <w:divBdr>
        <w:top w:val="none" w:sz="0" w:space="0" w:color="auto"/>
        <w:left w:val="none" w:sz="0" w:space="0" w:color="auto"/>
        <w:bottom w:val="none" w:sz="0" w:space="0" w:color="auto"/>
        <w:right w:val="none" w:sz="0" w:space="0" w:color="auto"/>
      </w:divBdr>
    </w:div>
    <w:div w:id="1533030964">
      <w:bodyDiv w:val="1"/>
      <w:marLeft w:val="0"/>
      <w:marRight w:val="0"/>
      <w:marTop w:val="0"/>
      <w:marBottom w:val="0"/>
      <w:divBdr>
        <w:top w:val="none" w:sz="0" w:space="0" w:color="auto"/>
        <w:left w:val="none" w:sz="0" w:space="0" w:color="auto"/>
        <w:bottom w:val="none" w:sz="0" w:space="0" w:color="auto"/>
        <w:right w:val="none" w:sz="0" w:space="0" w:color="auto"/>
      </w:divBdr>
    </w:div>
    <w:div w:id="1683507169">
      <w:bodyDiv w:val="1"/>
      <w:marLeft w:val="0"/>
      <w:marRight w:val="0"/>
      <w:marTop w:val="0"/>
      <w:marBottom w:val="0"/>
      <w:divBdr>
        <w:top w:val="none" w:sz="0" w:space="0" w:color="auto"/>
        <w:left w:val="none" w:sz="0" w:space="0" w:color="auto"/>
        <w:bottom w:val="none" w:sz="0" w:space="0" w:color="auto"/>
        <w:right w:val="none" w:sz="0" w:space="0" w:color="auto"/>
      </w:divBdr>
    </w:div>
    <w:div w:id="1716924992">
      <w:bodyDiv w:val="1"/>
      <w:marLeft w:val="0"/>
      <w:marRight w:val="0"/>
      <w:marTop w:val="0"/>
      <w:marBottom w:val="0"/>
      <w:divBdr>
        <w:top w:val="none" w:sz="0" w:space="0" w:color="auto"/>
        <w:left w:val="none" w:sz="0" w:space="0" w:color="auto"/>
        <w:bottom w:val="none" w:sz="0" w:space="0" w:color="auto"/>
        <w:right w:val="none" w:sz="0" w:space="0" w:color="auto"/>
      </w:divBdr>
    </w:div>
    <w:div w:id="1959755672">
      <w:bodyDiv w:val="1"/>
      <w:marLeft w:val="0"/>
      <w:marRight w:val="0"/>
      <w:marTop w:val="0"/>
      <w:marBottom w:val="0"/>
      <w:divBdr>
        <w:top w:val="none" w:sz="0" w:space="0" w:color="auto"/>
        <w:left w:val="none" w:sz="0" w:space="0" w:color="auto"/>
        <w:bottom w:val="none" w:sz="0" w:space="0" w:color="auto"/>
        <w:right w:val="none" w:sz="0" w:space="0" w:color="auto"/>
      </w:divBdr>
    </w:div>
    <w:div w:id="2025479462">
      <w:bodyDiv w:val="1"/>
      <w:marLeft w:val="0"/>
      <w:marRight w:val="0"/>
      <w:marTop w:val="0"/>
      <w:marBottom w:val="0"/>
      <w:divBdr>
        <w:top w:val="none" w:sz="0" w:space="0" w:color="auto"/>
        <w:left w:val="none" w:sz="0" w:space="0" w:color="auto"/>
        <w:bottom w:val="none" w:sz="0" w:space="0" w:color="auto"/>
        <w:right w:val="none" w:sz="0" w:space="0" w:color="auto"/>
      </w:divBdr>
    </w:div>
    <w:div w:id="2072774405">
      <w:bodyDiv w:val="1"/>
      <w:marLeft w:val="0"/>
      <w:marRight w:val="0"/>
      <w:marTop w:val="0"/>
      <w:marBottom w:val="0"/>
      <w:divBdr>
        <w:top w:val="none" w:sz="0" w:space="0" w:color="auto"/>
        <w:left w:val="none" w:sz="0" w:space="0" w:color="auto"/>
        <w:bottom w:val="none" w:sz="0" w:space="0" w:color="auto"/>
        <w:right w:val="none" w:sz="0" w:space="0" w:color="auto"/>
      </w:divBdr>
    </w:div>
    <w:div w:id="212422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561-886-03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561-886-0300%20%20Ext%20110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ssica@usmt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yler.McGee@roundpointmortgag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BA276-0C6D-46B9-AC2A-15FE413FBC58}">
  <ds:schemaRefs>
    <ds:schemaRef ds:uri="http://schemas.microsoft.com/sharepoint/v3/contenttype/forms"/>
  </ds:schemaRefs>
</ds:datastoreItem>
</file>

<file path=customXml/itemProps2.xml><?xml version="1.0" encoding="utf-8"?>
<ds:datastoreItem xmlns:ds="http://schemas.openxmlformats.org/officeDocument/2006/customXml" ds:itemID="{7D53BBB3-107C-4E01-A7DC-71416BDDE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0155E9-05BD-4625-B4F6-9985C4F1C3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2021-10-20T13:24:00Z</dcterms:created>
  <dcterms:modified xsi:type="dcterms:W3CDTF">2021-10-20T13:24:00Z</dcterms:modified>
</cp:coreProperties>
</file>