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B545C9" w14:paraId="5F10D136" w14:textId="323C6051">
      <w:pPr>
        <w:spacing w:after="0" w:line="240" w:lineRule="auto"/>
        <w:jc w:val="center"/>
        <w:rPr>
          <w:rFonts w:ascii="Arial" w:hAnsi="Arial" w:eastAsia="Times New Roman" w:cs="Arial"/>
          <w:b/>
          <w:sz w:val="24"/>
          <w:szCs w:val="24"/>
        </w:rPr>
      </w:pPr>
      <w:r>
        <w:rPr>
          <w:rFonts w:ascii="Arial" w:hAnsi="Arial" w:eastAsia="Times New Roman" w:cs="Arial"/>
          <w:b/>
          <w:sz w:val="24"/>
          <w:szCs w:val="24"/>
        </w:rPr>
        <w:t>VA LOAN ELECTRONIC REPORTING INTERFACE (VALERI) SYSTEM</w:t>
      </w:r>
    </w:p>
    <w:p w:rsidR="00463D10" w:rsidP="00463D10" w:rsidRDefault="00463D10" w14:paraId="6A0B8E21" w14:textId="67981D5F">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 2900-</w:t>
      </w:r>
      <w:r w:rsidRPr="00B962F8" w:rsidR="00B962F8">
        <w:rPr>
          <w:rFonts w:ascii="Arial" w:hAnsi="Arial" w:eastAsia="Times New Roman" w:cs="Arial"/>
          <w:b/>
          <w:sz w:val="24"/>
          <w:szCs w:val="24"/>
        </w:rPr>
        <w:t>0</w:t>
      </w:r>
      <w:r w:rsidR="00B545C9">
        <w:rPr>
          <w:rFonts w:ascii="Arial" w:hAnsi="Arial" w:eastAsia="Times New Roman" w:cs="Arial"/>
          <w:b/>
          <w:sz w:val="24"/>
          <w:szCs w:val="24"/>
        </w:rPr>
        <w:t>021</w:t>
      </w:r>
      <w:r w:rsidRPr="00B962F8">
        <w:rPr>
          <w:rFonts w:ascii="Arial" w:hAnsi="Arial" w:eastAsia="Times New Roman" w:cs="Arial"/>
          <w:b/>
          <w:sz w:val="24"/>
          <w:szCs w:val="24"/>
        </w:rPr>
        <w:br/>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F4337A"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F4337A">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A46642" w:rsidR="00B545C9" w:rsidP="00463D10" w:rsidRDefault="00B545C9" w14:paraId="58DD363E" w14:textId="489CBBD1">
      <w:pPr>
        <w:spacing w:after="0" w:line="240" w:lineRule="auto"/>
        <w:ind w:left="720"/>
        <w:rPr>
          <w:rFonts w:ascii="Arial" w:hAnsi="Arial" w:eastAsia="Times New Roman" w:cs="Arial"/>
          <w:color w:val="C00000"/>
          <w:sz w:val="24"/>
          <w:szCs w:val="24"/>
        </w:rPr>
      </w:pPr>
    </w:p>
    <w:p w:rsidR="00C56007" w:rsidP="00C56007" w:rsidRDefault="00C04026" w14:paraId="23E4EB55" w14:textId="06C2D77D">
      <w:pPr>
        <w:spacing w:after="0" w:line="240" w:lineRule="auto"/>
        <w:ind w:left="720" w:firstLine="720"/>
        <w:rPr>
          <w:rFonts w:ascii="Arial" w:hAnsi="Arial" w:eastAsia="Times New Roman" w:cs="Arial"/>
          <w:sz w:val="24"/>
          <w:szCs w:val="24"/>
        </w:rPr>
      </w:pPr>
      <w:bookmarkStart w:name="_Hlk29830155" w:id="0"/>
      <w:r>
        <w:rPr>
          <w:rFonts w:ascii="Arial" w:hAnsi="Arial" w:eastAsia="Times New Roman" w:cs="Arial"/>
          <w:sz w:val="24"/>
          <w:szCs w:val="24"/>
        </w:rPr>
        <w:t>VA is submitting a revision to this already-approved information collection to account for new data collection requirements associated with the COVID-19 Refund Modification. Much like VA’s temporary COVID-19 Veterans Assistance Partial Claim Payment program (COVID-VAPCP), s</w:t>
      </w:r>
      <w:r w:rsidRPr="004B6D51">
        <w:rPr>
          <w:rFonts w:ascii="Arial" w:hAnsi="Arial" w:eastAsia="Times New Roman" w:cs="Arial"/>
          <w:sz w:val="24"/>
          <w:szCs w:val="24"/>
        </w:rPr>
        <w:t>ervicers who offer the COVID-19 Refund Modification</w:t>
      </w:r>
      <w:r>
        <w:rPr>
          <w:rFonts w:ascii="Arial" w:hAnsi="Arial" w:eastAsia="Times New Roman" w:cs="Arial"/>
          <w:sz w:val="24"/>
          <w:szCs w:val="24"/>
        </w:rPr>
        <w:t xml:space="preserve"> are required to report information related to selecting this home retention option to VA electronically. </w:t>
      </w:r>
      <w:r w:rsidR="00C56007">
        <w:rPr>
          <w:rFonts w:ascii="Arial" w:hAnsi="Arial" w:eastAsia="Times New Roman" w:cs="Arial"/>
          <w:sz w:val="24"/>
          <w:szCs w:val="24"/>
        </w:rPr>
        <w:t xml:space="preserve">This revision would add new data elements to the Partial Claim event report that would </w:t>
      </w:r>
      <w:r w:rsidR="00C56007">
        <w:rPr>
          <w:rFonts w:ascii="Arial" w:hAnsi="Arial" w:eastAsia="Times New Roman" w:cs="Arial"/>
          <w:sz w:val="24"/>
          <w:szCs w:val="24"/>
        </w:rPr>
        <w:t xml:space="preserve">enable VA to appropriately identify the event being reported as a COVID-19 Refund, rather than a COVID-VAPCP, and collect information regarding any principal amounts included in the COVID-19 Refund. </w:t>
      </w:r>
    </w:p>
    <w:p w:rsidR="00683755" w:rsidP="00006244" w:rsidRDefault="00683755" w14:paraId="47B96B1A" w14:textId="77777777">
      <w:pPr>
        <w:spacing w:after="0" w:line="240" w:lineRule="auto"/>
        <w:ind w:left="720" w:firstLine="720"/>
        <w:rPr>
          <w:rFonts w:ascii="Arial" w:hAnsi="Arial" w:eastAsia="Times New Roman" w:cs="Arial"/>
          <w:sz w:val="24"/>
          <w:szCs w:val="24"/>
        </w:rPr>
      </w:pPr>
    </w:p>
    <w:p w:rsidR="00407D50" w:rsidP="00006244" w:rsidRDefault="00F4337A" w14:paraId="5F63A381" w14:textId="744679F6">
      <w:pPr>
        <w:spacing w:after="0" w:line="240" w:lineRule="auto"/>
        <w:ind w:left="720" w:firstLine="720"/>
        <w:rPr>
          <w:rFonts w:ascii="Arial" w:hAnsi="Arial" w:eastAsia="Times New Roman" w:cs="Arial"/>
          <w:sz w:val="24"/>
          <w:szCs w:val="24"/>
        </w:rPr>
      </w:pPr>
      <w:r w:rsidRPr="00F4337A">
        <w:rPr>
          <w:rFonts w:ascii="Arial" w:hAnsi="Arial" w:eastAsia="Times New Roman"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CFR 36.4300 require specific, critical information be provided to VA and without the collection of such documentation and data, the number of foreclosures of VA-guaranteed loans and homeless Veterans would increase.</w:t>
      </w:r>
      <w:r w:rsidR="001F5BEA">
        <w:rPr>
          <w:rFonts w:ascii="Arial" w:hAnsi="Arial" w:eastAsia="Times New Roman" w:cs="Arial"/>
          <w:sz w:val="24"/>
          <w:szCs w:val="24"/>
        </w:rPr>
        <w:t xml:space="preserve"> </w:t>
      </w:r>
      <w:r w:rsidR="004F35DE">
        <w:rPr>
          <w:rFonts w:ascii="Arial" w:hAnsi="Arial" w:eastAsia="Times New Roman" w:cs="Arial"/>
          <w:sz w:val="24"/>
          <w:szCs w:val="24"/>
        </w:rPr>
        <w:t xml:space="preserve"> </w:t>
      </w:r>
      <w:r w:rsidR="00EC4AE9">
        <w:rPr>
          <w:rFonts w:ascii="Arial" w:hAnsi="Arial" w:eastAsia="Times New Roman" w:cs="Arial"/>
          <w:sz w:val="24"/>
          <w:szCs w:val="24"/>
        </w:rPr>
        <w:t xml:space="preserve">Federal Regulation under 38 CFR 36.4807 also requires </w:t>
      </w:r>
      <w:r w:rsidR="00AC1ADB">
        <w:rPr>
          <w:rFonts w:ascii="Arial" w:hAnsi="Arial" w:eastAsia="Times New Roman" w:cs="Arial"/>
          <w:sz w:val="24"/>
          <w:szCs w:val="24"/>
        </w:rPr>
        <w:t xml:space="preserve">servicers to report information consistent with the partial claim payment </w:t>
      </w:r>
      <w:r w:rsidR="009850B6">
        <w:rPr>
          <w:rFonts w:ascii="Arial" w:hAnsi="Arial" w:eastAsia="Times New Roman" w:cs="Arial"/>
          <w:sz w:val="24"/>
          <w:szCs w:val="24"/>
        </w:rPr>
        <w:t>home retention option</w:t>
      </w:r>
      <w:r w:rsidR="00AC1ADB">
        <w:rPr>
          <w:rFonts w:ascii="Arial" w:hAnsi="Arial" w:eastAsia="Times New Roman" w:cs="Arial"/>
          <w:sz w:val="24"/>
          <w:szCs w:val="24"/>
        </w:rPr>
        <w:t xml:space="preserve"> authorized under 38 CFR 36.4800 </w:t>
      </w:r>
      <w:r w:rsidRPr="002F0563" w:rsidR="00AC1ADB">
        <w:rPr>
          <w:rFonts w:ascii="Arial" w:hAnsi="Arial" w:eastAsia="Times New Roman" w:cs="Arial"/>
          <w:i/>
          <w:iCs/>
          <w:sz w:val="24"/>
          <w:szCs w:val="24"/>
        </w:rPr>
        <w:t>et seq</w:t>
      </w:r>
      <w:r w:rsidR="00AC1ADB">
        <w:rPr>
          <w:rFonts w:ascii="Arial" w:hAnsi="Arial" w:eastAsia="Times New Roman" w:cs="Arial"/>
          <w:sz w:val="24"/>
          <w:szCs w:val="24"/>
        </w:rPr>
        <w:t>.</w:t>
      </w:r>
    </w:p>
    <w:bookmarkEnd w:id="0"/>
    <w:p w:rsidRPr="00B962F8" w:rsidR="00A46642" w:rsidP="00463D10" w:rsidRDefault="00A46642" w14:paraId="2A8B4E00"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00B962F8" w:rsidP="00463D10" w:rsidRDefault="00B545C9" w14:paraId="1FBB3EB9" w14:textId="7F6F5738">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This information is provided by loan servicers. VA has moved toward placing greater reliance on private-sector servicing in accordance with VA guidelines, with VA using advanced technology to oversee holder actions.</w:t>
      </w:r>
    </w:p>
    <w:p w:rsidR="00B545C9" w:rsidP="00463D10" w:rsidRDefault="00B545C9" w14:paraId="09E27474"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B545C9" w:rsidP="00B545C9" w:rsidRDefault="00B545C9" w14:paraId="123A8855" w14:textId="77777777">
      <w:pPr>
        <w:ind w:left="720"/>
        <w:rPr>
          <w:rFonts w:ascii="Arial" w:hAnsi="Arial" w:eastAsia="Times New Roman" w:cs="Arial"/>
          <w:sz w:val="24"/>
          <w:szCs w:val="24"/>
        </w:rPr>
      </w:pPr>
      <w:r w:rsidRPr="00B545C9">
        <w:rPr>
          <w:rFonts w:ascii="Arial" w:hAnsi="Arial" w:eastAsia="Times New Roman" w:cs="Arial"/>
          <w:sz w:val="24"/>
          <w:szCs w:val="24"/>
        </w:rPr>
        <w:t xml:space="preserve">The Agency has adopted advances in telecommunications and other technology to minimize the impact to the industry.  A new internet-based reporting system has replaced the following OMB-approved forms:  26-6850, 26-6850a, and </w:t>
      </w:r>
    </w:p>
    <w:p w:rsidRPr="00B545C9" w:rsidR="00B545C9" w:rsidP="00B545C9" w:rsidRDefault="00B545C9" w14:paraId="28833A92" w14:textId="4D6AB8A6">
      <w:pPr>
        <w:ind w:left="720"/>
        <w:rPr>
          <w:rFonts w:ascii="Arial" w:hAnsi="Arial" w:eastAsia="Times New Roman" w:cs="Arial"/>
          <w:sz w:val="24"/>
          <w:szCs w:val="24"/>
        </w:rPr>
      </w:pPr>
      <w:r w:rsidRPr="00B545C9">
        <w:rPr>
          <w:rFonts w:ascii="Arial" w:hAnsi="Arial" w:eastAsia="Times New Roman" w:cs="Arial"/>
          <w:sz w:val="24"/>
          <w:szCs w:val="24"/>
        </w:rPr>
        <w:t>26-6851 (OMB Collection #2900-0021), 26-567 (OMB Collection #2900-0131), 26-8903 (OMB Collection #2900-0381), 26-1874 and 26-1874a (OMB Collection #2900-0362), and 26-8778 (OMB Collection #2900-0251).</w:t>
      </w:r>
    </w:p>
    <w:p w:rsidR="00B962F8" w:rsidP="00B962F8" w:rsidRDefault="00B962F8" w14:paraId="621EA1AD" w14:textId="77777777">
      <w:pPr>
        <w:spacing w:after="0" w:line="240" w:lineRule="auto"/>
        <w:ind w:left="720"/>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00B962F8" w:rsidP="00463D10" w:rsidRDefault="00B545C9" w14:paraId="3862D76A" w14:textId="114777AD">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There is no duplication of information involved.  </w:t>
      </w:r>
    </w:p>
    <w:p w:rsidR="00B545C9" w:rsidP="00463D10" w:rsidRDefault="00B545C9" w14:paraId="7DC6E7E8"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00B962F8" w:rsidP="00463D10" w:rsidRDefault="00B545C9" w14:paraId="361A05DD" w14:textId="68FBE951">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The collection of information does not involve small businesses.</w:t>
      </w:r>
    </w:p>
    <w:p w:rsidR="00B545C9" w:rsidP="00463D10" w:rsidRDefault="00B545C9" w14:paraId="2332B380"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B962F8" w:rsidP="00B962F8" w:rsidRDefault="00B545C9" w14:paraId="5E6B6562" w14:textId="0B441ADB">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Certain portions of this information collection consist of a monthly reporting burden </w:t>
      </w:r>
      <w:r w:rsidR="00BA7D2B">
        <w:rPr>
          <w:rFonts w:ascii="Arial" w:hAnsi="Arial" w:eastAsia="Times New Roman" w:cs="Arial"/>
          <w:sz w:val="24"/>
          <w:szCs w:val="24"/>
        </w:rPr>
        <w:t xml:space="preserve">of </w:t>
      </w:r>
      <w:r w:rsidRPr="00B545C9">
        <w:rPr>
          <w:rFonts w:ascii="Arial" w:hAnsi="Arial" w:eastAsia="Times New Roman" w:cs="Arial"/>
          <w:sz w:val="24"/>
          <w:szCs w:val="24"/>
        </w:rPr>
        <w:t>a servicer's portfolio.  This collection is necessary in order for VA to responsibly meet its obligations to oversee loan holder actions.</w:t>
      </w:r>
    </w:p>
    <w:p w:rsidR="00B545C9" w:rsidP="00B962F8" w:rsidRDefault="00B545C9" w14:paraId="0B3242C6"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B962F8" w:rsidP="00B545C9" w:rsidRDefault="00B545C9" w14:paraId="1FE4AC40" w14:textId="594AD2D6">
      <w:pPr>
        <w:spacing w:after="0" w:line="240" w:lineRule="auto"/>
        <w:ind w:left="720"/>
        <w:rPr>
          <w:rFonts w:ascii="Arial" w:hAnsi="Arial" w:eastAsia="Times New Roman" w:cs="Arial"/>
          <w:bCs/>
          <w:sz w:val="24"/>
          <w:szCs w:val="24"/>
        </w:rPr>
      </w:pPr>
      <w:r w:rsidRPr="00B545C9">
        <w:rPr>
          <w:rFonts w:ascii="Arial" w:hAnsi="Arial" w:eastAsia="Times New Roman" w:cs="Arial"/>
          <w:bCs/>
          <w:sz w:val="24"/>
          <w:szCs w:val="24"/>
        </w:rPr>
        <w:t>There are no special circumstances that require the collection to be conducted in a manner inconsistent with the guidelines in 5 CFR 1320.6.</w:t>
      </w:r>
    </w:p>
    <w:p w:rsidR="00B545C9" w:rsidP="00B545C9" w:rsidRDefault="00B545C9" w14:paraId="268747DE" w14:textId="77777777">
      <w:pPr>
        <w:spacing w:after="0" w:line="240" w:lineRule="auto"/>
        <w:ind w:left="720"/>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w:t>
      </w:r>
      <w:r>
        <w:rPr>
          <w:rFonts w:ascii="Arial" w:hAnsi="Arial" w:eastAsia="Times New Roman" w:cs="Arial"/>
          <w:b/>
          <w:sz w:val="24"/>
          <w:szCs w:val="24"/>
        </w:rPr>
        <w:lastRenderedPageBreak/>
        <w:t>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B962F8" w:rsidP="00463D10" w:rsidRDefault="009D7697" w14:paraId="06547EDB" w14:textId="4531591E">
      <w:pPr>
        <w:spacing w:after="0" w:line="240" w:lineRule="auto"/>
        <w:ind w:left="720"/>
        <w:contextualSpacing/>
        <w:rPr>
          <w:rFonts w:ascii="Arial" w:hAnsi="Arial" w:eastAsia="Times New Roman" w:cs="Arial"/>
          <w:sz w:val="24"/>
          <w:szCs w:val="24"/>
        </w:rPr>
      </w:pPr>
      <w:r w:rsidRPr="009D7697">
        <w:rPr>
          <w:rFonts w:ascii="Arial" w:hAnsi="Arial" w:eastAsia="Times New Roman" w:cs="Arial"/>
          <w:sz w:val="24"/>
          <w:szCs w:val="24"/>
        </w:rPr>
        <w:t xml:space="preserve">VA is requesting emergency processing </w:t>
      </w:r>
      <w:r>
        <w:rPr>
          <w:rFonts w:ascii="Arial" w:hAnsi="Arial" w:eastAsia="Times New Roman" w:cs="Arial"/>
          <w:sz w:val="24"/>
          <w:szCs w:val="24"/>
        </w:rPr>
        <w:t xml:space="preserve">under 5 CFR 1320.13 for the revision of this </w:t>
      </w:r>
      <w:r w:rsidRPr="009D7697">
        <w:rPr>
          <w:rFonts w:ascii="Arial" w:hAnsi="Arial" w:eastAsia="Times New Roman" w:cs="Arial"/>
          <w:sz w:val="24"/>
          <w:szCs w:val="24"/>
        </w:rPr>
        <w:t xml:space="preserve">information collection as VA anticipates tens of thousands of Veterans will be exiting forbearance in the coming months and will require the COVID-19 Refund Modification to help avoid foreclosure of their homes.  </w:t>
      </w:r>
    </w:p>
    <w:p w:rsidR="009D7697" w:rsidP="00463D10" w:rsidRDefault="009D7697" w14:paraId="11EAF003"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545C9" w14:paraId="6A0B8E50" w14:textId="756BEB1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hAnsi="Arial" w:eastAsia="Times New Roman" w:cs="Arial"/>
          <w:sz w:val="24"/>
          <w:szCs w:val="24"/>
        </w:rPr>
        <w:t>– VA (55VA26) are contained in the Privacy Act Issuances, 20</w:t>
      </w:r>
      <w:r w:rsidR="00A45DC4">
        <w:rPr>
          <w:rFonts w:ascii="Arial" w:hAnsi="Arial" w:eastAsia="Times New Roman" w:cs="Arial"/>
          <w:sz w:val="24"/>
          <w:szCs w:val="24"/>
        </w:rPr>
        <w:t>14</w:t>
      </w:r>
      <w:r w:rsidRPr="00B962F8" w:rsid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5E4D6D" w:rsidP="005E4D6D" w:rsidRDefault="00B545C9" w14:paraId="3B5B0765" w14:textId="6F136482">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No questions of a sensitive nature are contained on the form.</w:t>
      </w:r>
    </w:p>
    <w:p w:rsidR="00B545C9" w:rsidP="00463D10" w:rsidRDefault="00B545C9" w14:paraId="7142A1D0"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B962F8"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229E0249">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005E4D6D">
        <w:rPr>
          <w:rFonts w:ascii="Arial" w:hAnsi="Arial" w:eastAsia="Times New Roman" w:cs="Arial"/>
          <w:sz w:val="24"/>
          <w:szCs w:val="24"/>
        </w:rPr>
        <w:t>967</w:t>
      </w:r>
    </w:p>
    <w:p w:rsidRPr="005E4D6D" w:rsidR="005E4D6D" w:rsidP="005E4D6D" w:rsidRDefault="005E4D6D" w14:paraId="4B85859D" w14:textId="77777777">
      <w:pPr>
        <w:tabs>
          <w:tab w:val="left" w:pos="480"/>
          <w:tab w:val="right" w:pos="8640"/>
        </w:tabs>
        <w:spacing w:after="0" w:line="240" w:lineRule="auto"/>
        <w:ind w:left="1080" w:right="684"/>
        <w:contextualSpacing/>
        <w:rPr>
          <w:rFonts w:ascii="Arial" w:hAnsi="Arial" w:eastAsia="Times New Roman" w:cs="Arial"/>
          <w:i/>
          <w:sz w:val="24"/>
          <w:szCs w:val="24"/>
        </w:rPr>
      </w:pPr>
    </w:p>
    <w:p w:rsidRPr="00B962F8" w:rsidR="00463D10" w:rsidP="00463D10" w:rsidRDefault="00463D10" w14:paraId="6A0B8E5B" w14:textId="01757DDB">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B962F8" w:rsidR="00B962F8">
        <w:rPr>
          <w:rFonts w:ascii="Arial" w:hAnsi="Arial" w:eastAsia="Times New Roman" w:cs="Arial"/>
          <w:sz w:val="24"/>
          <w:szCs w:val="24"/>
        </w:rPr>
        <w:t>one-time</w:t>
      </w:r>
    </w:p>
    <w:p w:rsidR="00463D10" w:rsidP="00463D10" w:rsidRDefault="00463D10" w14:paraId="6A0B8E5C" w14:textId="77777777">
      <w:pPr>
        <w:spacing w:after="0" w:line="240" w:lineRule="auto"/>
        <w:ind w:left="720"/>
        <w:rPr>
          <w:rFonts w:ascii="Arial" w:hAnsi="Arial" w:eastAsia="Times New Roman" w:cs="Arial"/>
          <w:sz w:val="24"/>
          <w:szCs w:val="24"/>
        </w:rPr>
      </w:pPr>
    </w:p>
    <w:p w:rsidR="005E4D6D" w:rsidP="00BC50DC" w:rsidRDefault="00463D10" w14:paraId="3E7708AA" w14:textId="4F6FA980">
      <w:pPr>
        <w:numPr>
          <w:ilvl w:val="0"/>
          <w:numId w:val="3"/>
        </w:numPr>
        <w:spacing w:after="0" w:line="240" w:lineRule="auto"/>
        <w:contextualSpacing/>
        <w:rPr>
          <w:rFonts w:ascii="Arial" w:hAnsi="Arial" w:eastAsia="Times New Roman" w:cs="Arial"/>
          <w:sz w:val="24"/>
          <w:szCs w:val="24"/>
        </w:rPr>
      </w:pPr>
      <w:r w:rsidRPr="00454809">
        <w:rPr>
          <w:rFonts w:ascii="Arial" w:hAnsi="Arial" w:eastAsia="Times New Roman" w:cs="Arial"/>
          <w:sz w:val="24"/>
          <w:szCs w:val="24"/>
        </w:rPr>
        <w:t xml:space="preserve">Annual Burden Hours:  </w:t>
      </w:r>
      <w:r w:rsidRPr="00454809" w:rsidR="005E4D6D">
        <w:rPr>
          <w:rFonts w:ascii="Arial" w:hAnsi="Arial" w:eastAsia="Times New Roman" w:cs="Arial"/>
          <w:sz w:val="24"/>
          <w:szCs w:val="24"/>
        </w:rPr>
        <w:t>70</w:t>
      </w:r>
      <w:r w:rsidRPr="00454809" w:rsidR="00B962F8">
        <w:rPr>
          <w:rFonts w:ascii="Arial" w:hAnsi="Arial" w:eastAsia="Times New Roman" w:cs="Arial"/>
          <w:sz w:val="24"/>
          <w:szCs w:val="24"/>
        </w:rPr>
        <w:t xml:space="preserve"> hours</w:t>
      </w:r>
    </w:p>
    <w:p w:rsidRPr="00454809" w:rsidR="00454809" w:rsidP="00454809" w:rsidRDefault="00454809" w14:paraId="09C677D5" w14:textId="77777777">
      <w:pPr>
        <w:spacing w:after="0" w:line="240" w:lineRule="auto"/>
        <w:contextualSpacing/>
        <w:rPr>
          <w:rFonts w:ascii="Arial" w:hAnsi="Arial" w:eastAsia="Times New Roman" w:cs="Arial"/>
          <w:sz w:val="24"/>
          <w:szCs w:val="24"/>
        </w:rPr>
      </w:pPr>
    </w:p>
    <w:p w:rsidR="00B962F8" w:rsidP="00255A1C" w:rsidRDefault="00463D10" w14:paraId="5D85F478" w14:textId="4994DF61">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lastRenderedPageBreak/>
        <w:t xml:space="preserve">Estimated Completion Time:  </w:t>
      </w:r>
      <w:r w:rsidR="00B545C9">
        <w:rPr>
          <w:rFonts w:ascii="Arial" w:hAnsi="Arial" w:eastAsia="Times New Roman" w:cs="Arial"/>
          <w:sz w:val="24"/>
          <w:szCs w:val="24"/>
        </w:rPr>
        <w:t xml:space="preserve">1 </w:t>
      </w:r>
      <w:r w:rsidR="008A7F13">
        <w:rPr>
          <w:rFonts w:ascii="Arial" w:hAnsi="Arial" w:eastAsia="Times New Roman" w:cs="Arial"/>
          <w:sz w:val="24"/>
          <w:szCs w:val="24"/>
        </w:rPr>
        <w:t>minute</w:t>
      </w:r>
    </w:p>
    <w:p w:rsidR="00B962F8" w:rsidP="00B962F8" w:rsidRDefault="00B962F8" w14:paraId="7700984D" w14:textId="77777777">
      <w:pPr>
        <w:pStyle w:val="ListParagraph"/>
        <w:rPr>
          <w:rFonts w:ascii="Arial" w:hAnsi="Arial" w:cs="Arial"/>
          <w:color w:val="C00000"/>
          <w:sz w:val="24"/>
          <w:szCs w:val="24"/>
        </w:rPr>
      </w:pPr>
    </w:p>
    <w:p w:rsidRPr="00A13FA4" w:rsidR="00A13FA4" w:rsidP="00A13FA4" w:rsidRDefault="005E4D6D" w14:paraId="25BD75BB" w14:textId="1519A254">
      <w:pPr>
        <w:pStyle w:val="ListParagraph"/>
        <w:numPr>
          <w:ilvl w:val="0"/>
          <w:numId w:val="3"/>
        </w:numPr>
        <w:rPr>
          <w:rFonts w:ascii="Arial" w:hAnsi="Arial" w:cs="Arial"/>
          <w:sz w:val="24"/>
          <w:szCs w:val="24"/>
        </w:rPr>
      </w:pPr>
      <w:r w:rsidRPr="00A13FA4">
        <w:rPr>
          <w:rFonts w:ascii="Arial" w:hAnsi="Arial" w:cs="Arial"/>
          <w:sz w:val="24"/>
          <w:szCs w:val="24"/>
        </w:rPr>
        <w:t xml:space="preserve">The respondent population is composed of </w:t>
      </w:r>
      <w:r w:rsidRPr="00A13FA4" w:rsidR="00A46642">
        <w:rPr>
          <w:rFonts w:ascii="Arial" w:hAnsi="Arial" w:cs="Arial"/>
          <w:sz w:val="24"/>
          <w:szCs w:val="24"/>
        </w:rPr>
        <w:t>loan servicers</w:t>
      </w:r>
      <w:r w:rsidRPr="00A13FA4">
        <w:rPr>
          <w:rFonts w:ascii="Arial" w:hAnsi="Arial" w:cs="Arial"/>
          <w:sz w:val="24"/>
          <w:szCs w:val="24"/>
        </w:rPr>
        <w:t>.</w:t>
      </w:r>
      <w:r w:rsidR="00A13FA4">
        <w:rPr>
          <w:rFonts w:ascii="Arial" w:hAnsi="Arial" w:cs="Arial"/>
          <w:sz w:val="24"/>
          <w:szCs w:val="24"/>
        </w:rPr>
        <w:t xml:space="preserve"> </w:t>
      </w:r>
      <w:bookmarkStart w:name="_Hlk29831604" w:id="1"/>
      <w:r w:rsidRPr="00A13FA4" w:rsidR="00A13FA4">
        <w:rPr>
          <w:rFonts w:ascii="Arial" w:hAnsi="Arial" w:cs="Arial"/>
          <w:sz w:val="24"/>
          <w:szCs w:val="24"/>
        </w:rPr>
        <w:t xml:space="preserve">VBA used general wage data for Loan Officers to estimate the respondents’ costs associated with completing the information collection. </w:t>
      </w:r>
      <w:r w:rsidR="00A13FA4">
        <w:rPr>
          <w:rFonts w:ascii="Arial" w:hAnsi="Arial" w:cs="Arial"/>
          <w:sz w:val="24"/>
          <w:szCs w:val="24"/>
        </w:rPr>
        <w:t>Data i</w:t>
      </w:r>
      <w:r w:rsidRPr="00A13FA4" w:rsidR="00A13FA4">
        <w:rPr>
          <w:rFonts w:ascii="Arial" w:hAnsi="Arial" w:cs="Arial"/>
          <w:sz w:val="24"/>
          <w:szCs w:val="24"/>
        </w:rPr>
        <w:t>ncludes mortgage loan officers and agents, collection analysts, loan servicing officers, and loan underwriters.</w:t>
      </w:r>
    </w:p>
    <w:p w:rsidR="00B962F8" w:rsidP="00B962F8" w:rsidRDefault="00B962F8" w14:paraId="760B89F0" w14:textId="19A98344">
      <w:pPr>
        <w:spacing w:before="240" w:after="240" w:line="240" w:lineRule="auto"/>
        <w:contextualSpacing/>
        <w:rPr>
          <w:rFonts w:ascii="Arial" w:hAnsi="Arial" w:cs="Arial"/>
          <w:sz w:val="24"/>
          <w:szCs w:val="24"/>
        </w:rPr>
      </w:pPr>
      <w:bookmarkStart w:name="_Hlk29831637" w:id="2"/>
      <w:bookmarkEnd w:id="1"/>
      <w:r w:rsidRPr="00B962F8">
        <w:rPr>
          <w:rFonts w:ascii="Arial" w:hAnsi="Arial" w:cs="Arial"/>
          <w:sz w:val="24"/>
          <w:szCs w:val="24"/>
        </w:rPr>
        <w:t>The Bureau of Labor Statistics gathers information on full-time wage and salary workers.  Accordingly, the median weekly earnings of full-time wage and salary worker is $</w:t>
      </w:r>
      <w:r w:rsidR="00AF0F81">
        <w:rPr>
          <w:rFonts w:ascii="Arial" w:hAnsi="Arial" w:cs="Arial"/>
          <w:sz w:val="24"/>
          <w:szCs w:val="24"/>
        </w:rPr>
        <w:t>1,</w:t>
      </w:r>
      <w:r w:rsidR="00E11370">
        <w:rPr>
          <w:rFonts w:ascii="Arial" w:hAnsi="Arial" w:cs="Arial"/>
          <w:sz w:val="24"/>
          <w:szCs w:val="24"/>
        </w:rPr>
        <w:t>465.60</w:t>
      </w:r>
      <w:r w:rsidRPr="00B962F8">
        <w:rPr>
          <w:rFonts w:ascii="Arial" w:hAnsi="Arial" w:cs="Arial"/>
          <w:sz w:val="24"/>
          <w:szCs w:val="24"/>
        </w:rPr>
        <w:t>. Assuming a forty (40) hour work week, the median hourly wage is $</w:t>
      </w:r>
      <w:r w:rsidR="00F4337A">
        <w:rPr>
          <w:rFonts w:ascii="Arial" w:hAnsi="Arial" w:cs="Arial"/>
          <w:sz w:val="24"/>
          <w:szCs w:val="24"/>
        </w:rPr>
        <w:t>3</w:t>
      </w:r>
      <w:r w:rsidR="00E11370">
        <w:rPr>
          <w:rFonts w:ascii="Arial" w:hAnsi="Arial" w:cs="Arial"/>
          <w:sz w:val="24"/>
          <w:szCs w:val="24"/>
        </w:rPr>
        <w:t>6</w:t>
      </w:r>
      <w:r w:rsidR="00F4337A">
        <w:rPr>
          <w:rFonts w:ascii="Arial" w:hAnsi="Arial" w:cs="Arial"/>
          <w:sz w:val="24"/>
          <w:szCs w:val="24"/>
        </w:rPr>
        <w:t>.</w:t>
      </w:r>
      <w:r w:rsidR="00631315">
        <w:rPr>
          <w:rFonts w:ascii="Arial" w:hAnsi="Arial" w:cs="Arial"/>
          <w:sz w:val="24"/>
          <w:szCs w:val="24"/>
        </w:rPr>
        <w:t>99</w:t>
      </w:r>
      <w:r w:rsidRPr="00B962F8">
        <w:rPr>
          <w:rFonts w:ascii="Arial" w:hAnsi="Arial" w:cs="Arial"/>
          <w:sz w:val="24"/>
          <w:szCs w:val="24"/>
        </w:rPr>
        <w:t>.</w:t>
      </w:r>
    </w:p>
    <w:p w:rsidRPr="00E11370" w:rsidR="009F18E0" w:rsidP="00B962F8" w:rsidRDefault="009F18E0" w14:paraId="06A894F1" w14:textId="77777777">
      <w:pPr>
        <w:spacing w:before="240" w:after="240" w:line="240" w:lineRule="auto"/>
        <w:contextualSpacing/>
        <w:rPr>
          <w:rFonts w:ascii="Arial" w:hAnsi="Arial" w:cs="Arial"/>
          <w:sz w:val="24"/>
          <w:szCs w:val="24"/>
        </w:rPr>
      </w:pPr>
    </w:p>
    <w:p w:rsidRPr="00E11370" w:rsidR="00255A1C" w:rsidP="00B962F8" w:rsidRDefault="00B962F8" w14:paraId="6BF23EB0" w14:textId="57BBEFEC">
      <w:pPr>
        <w:spacing w:before="240" w:after="240" w:line="240" w:lineRule="auto"/>
        <w:contextualSpacing/>
        <w:rPr>
          <w:rFonts w:ascii="Arial" w:hAnsi="Arial" w:cs="Arial"/>
          <w:sz w:val="24"/>
          <w:szCs w:val="24"/>
        </w:rPr>
      </w:pPr>
      <w:r w:rsidRPr="00E11370">
        <w:rPr>
          <w:rFonts w:ascii="Arial" w:hAnsi="Arial" w:cs="Arial"/>
          <w:sz w:val="24"/>
          <w:szCs w:val="24"/>
        </w:rPr>
        <w:t xml:space="preserve">The general wage code </w:t>
      </w:r>
      <w:r w:rsidRPr="00E11370" w:rsidR="00F4337A">
        <w:rPr>
          <w:rFonts w:ascii="Arial" w:hAnsi="Arial" w:cs="Arial"/>
          <w:sz w:val="24"/>
          <w:szCs w:val="24"/>
        </w:rPr>
        <w:t>13</w:t>
      </w:r>
      <w:r w:rsidRPr="00E11370">
        <w:rPr>
          <w:rFonts w:ascii="Arial" w:hAnsi="Arial" w:cs="Arial"/>
          <w:sz w:val="24"/>
          <w:szCs w:val="24"/>
        </w:rPr>
        <w:t>-</w:t>
      </w:r>
      <w:r w:rsidRPr="00E11370" w:rsidR="00F4337A">
        <w:rPr>
          <w:rFonts w:ascii="Arial" w:hAnsi="Arial" w:cs="Arial"/>
          <w:sz w:val="24"/>
          <w:szCs w:val="24"/>
        </w:rPr>
        <w:t>2072</w:t>
      </w:r>
      <w:r w:rsidRPr="00E11370">
        <w:rPr>
          <w:rFonts w:ascii="Arial" w:hAnsi="Arial" w:cs="Arial"/>
          <w:sz w:val="24"/>
          <w:szCs w:val="24"/>
        </w:rPr>
        <w:t xml:space="preserve"> for “</w:t>
      </w:r>
      <w:r w:rsidRPr="00E11370" w:rsidR="00F4337A">
        <w:rPr>
          <w:rFonts w:ascii="Arial" w:hAnsi="Arial" w:cs="Arial"/>
          <w:sz w:val="24"/>
          <w:szCs w:val="24"/>
        </w:rPr>
        <w:t>Loan Officers</w:t>
      </w:r>
      <w:r w:rsidRPr="00E11370">
        <w:rPr>
          <w:rFonts w:ascii="Arial" w:hAnsi="Arial" w:cs="Arial"/>
          <w:sz w:val="24"/>
          <w:szCs w:val="24"/>
        </w:rPr>
        <w:t xml:space="preserve">” may be found by clicking this link: </w:t>
      </w:r>
      <w:hyperlink w:history="1" r:id="rId11">
        <w:r w:rsidRPr="00E11370" w:rsidR="00E11370">
          <w:rPr>
            <w:rStyle w:val="Hyperlink"/>
            <w:rFonts w:ascii="Arial" w:hAnsi="Arial" w:cs="Arial"/>
            <w:sz w:val="24"/>
            <w:szCs w:val="24"/>
          </w:rPr>
          <w:t>https://www.bls.gov/oes/current/oes_</w:t>
        </w:r>
        <w:r w:rsidRPr="00E11370" w:rsidR="00E11370">
          <w:rPr>
            <w:rStyle w:val="Hyperlink"/>
            <w:rFonts w:ascii="Arial" w:hAnsi="Arial" w:cs="Arial"/>
            <w:sz w:val="24"/>
            <w:szCs w:val="24"/>
          </w:rPr>
          <w:t>n</w:t>
        </w:r>
        <w:r w:rsidRPr="00E11370" w:rsidR="00E11370">
          <w:rPr>
            <w:rStyle w:val="Hyperlink"/>
            <w:rFonts w:ascii="Arial" w:hAnsi="Arial" w:cs="Arial"/>
            <w:sz w:val="24"/>
            <w:szCs w:val="24"/>
          </w:rPr>
          <w:t>at.htm</w:t>
        </w:r>
      </w:hyperlink>
      <w:r w:rsidRPr="00E11370" w:rsidR="00E11370">
        <w:rPr>
          <w:rFonts w:ascii="Arial" w:hAnsi="Arial" w:cs="Arial"/>
          <w:sz w:val="24"/>
          <w:szCs w:val="24"/>
        </w:rPr>
        <w:t>, May 20</w:t>
      </w:r>
      <w:r w:rsidR="00631315">
        <w:rPr>
          <w:rFonts w:ascii="Arial" w:hAnsi="Arial" w:cs="Arial"/>
          <w:sz w:val="24"/>
          <w:szCs w:val="24"/>
        </w:rPr>
        <w:t>20</w:t>
      </w:r>
      <w:r w:rsidRPr="00E11370">
        <w:rPr>
          <w:rFonts w:ascii="Arial" w:hAnsi="Arial" w:cs="Arial"/>
          <w:sz w:val="24"/>
          <w:szCs w:val="24"/>
        </w:rPr>
        <w:t>.</w:t>
      </w:r>
    </w:p>
    <w:bookmarkEnd w:id="2"/>
    <w:p w:rsidRPr="006041A3" w:rsidR="00B962F8" w:rsidP="00B962F8" w:rsidRDefault="00B962F8" w14:paraId="0FCD4284" w14:textId="77777777">
      <w:pPr>
        <w:spacing w:before="240" w:after="240" w:line="240" w:lineRule="auto"/>
        <w:contextualSpacing/>
        <w:rPr>
          <w:rFonts w:ascii="Arial" w:hAnsi="Arial" w:eastAsia="Times New Roman" w:cs="Arial"/>
          <w:b/>
          <w:sz w:val="24"/>
          <w:szCs w:val="24"/>
        </w:rPr>
      </w:pPr>
    </w:p>
    <w:p w:rsidRPr="006041A3" w:rsidR="00255A1C" w:rsidP="00255A1C" w:rsidRDefault="00255A1C" w14:paraId="475BD8A7" w14:textId="2E3FFC9A">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F4337A">
        <w:rPr>
          <w:rFonts w:ascii="Arial" w:hAnsi="Arial" w:cs="Arial"/>
          <w:sz w:val="24"/>
          <w:szCs w:val="24"/>
        </w:rPr>
        <w:t>2,</w:t>
      </w:r>
      <w:r w:rsidR="00E11370">
        <w:rPr>
          <w:rFonts w:ascii="Arial" w:hAnsi="Arial" w:cs="Arial"/>
          <w:sz w:val="24"/>
          <w:szCs w:val="24"/>
        </w:rPr>
        <w:t>5</w:t>
      </w:r>
      <w:r w:rsidR="004E2A35">
        <w:rPr>
          <w:rFonts w:ascii="Arial" w:hAnsi="Arial" w:cs="Arial"/>
          <w:sz w:val="24"/>
          <w:szCs w:val="24"/>
        </w:rPr>
        <w:t>89</w:t>
      </w:r>
      <w:r w:rsidRPr="009F18E0">
        <w:rPr>
          <w:rFonts w:ascii="Arial" w:hAnsi="Arial" w:cs="Arial"/>
          <w:sz w:val="24"/>
          <w:szCs w:val="24"/>
        </w:rPr>
        <w:t xml:space="preserve"> (</w:t>
      </w:r>
      <w:r w:rsidR="00832CD2">
        <w:rPr>
          <w:rFonts w:ascii="Arial" w:hAnsi="Arial" w:cs="Arial"/>
          <w:sz w:val="24"/>
          <w:szCs w:val="24"/>
        </w:rPr>
        <w:t>70</w:t>
      </w:r>
      <w:r w:rsidRPr="009F18E0" w:rsidR="009F18E0">
        <w:rPr>
          <w:rFonts w:ascii="Arial" w:hAnsi="Arial" w:cs="Arial"/>
          <w:sz w:val="24"/>
          <w:szCs w:val="24"/>
        </w:rPr>
        <w:t xml:space="preserve"> </w:t>
      </w:r>
      <w:r w:rsidRPr="009F18E0">
        <w:rPr>
          <w:rFonts w:ascii="Arial" w:hAnsi="Arial" w:cs="Arial"/>
          <w:sz w:val="24"/>
          <w:szCs w:val="24"/>
        </w:rPr>
        <w:t>burden hours x $</w:t>
      </w:r>
      <w:r w:rsidR="00E11370">
        <w:rPr>
          <w:rFonts w:ascii="Arial" w:hAnsi="Arial" w:cs="Arial"/>
          <w:sz w:val="24"/>
          <w:szCs w:val="24"/>
        </w:rPr>
        <w:t>36.</w:t>
      </w:r>
      <w:r w:rsidR="004E2A35">
        <w:rPr>
          <w:rFonts w:ascii="Arial" w:hAnsi="Arial" w:cs="Arial"/>
          <w:sz w:val="24"/>
          <w:szCs w:val="24"/>
        </w:rPr>
        <w:t>99</w:t>
      </w:r>
      <w:r w:rsidRPr="009F18E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000339AA" w:rsidP="009F18E0" w:rsidRDefault="009F18E0" w14:paraId="29BA21F4" w14:textId="77777777">
      <w:pPr>
        <w:pStyle w:val="BodyText"/>
        <w:ind w:left="720"/>
        <w:rPr>
          <w:rFonts w:ascii="Arial" w:hAnsi="Arial" w:cs="Arial"/>
          <w:color w:val="auto"/>
          <w:szCs w:val="24"/>
        </w:rPr>
      </w:pPr>
      <w:r w:rsidRPr="009F18E0">
        <w:rPr>
          <w:rFonts w:ascii="Arial" w:hAnsi="Arial" w:cs="Arial"/>
          <w:color w:val="auto"/>
          <w:szCs w:val="24"/>
        </w:rPr>
        <w:t>Estimated Costs to the Federal Government are accessible through this link</w:t>
      </w:r>
      <w:r w:rsidR="000339AA">
        <w:rPr>
          <w:rFonts w:ascii="Arial" w:hAnsi="Arial" w:cs="Arial"/>
          <w:color w:val="auto"/>
          <w:szCs w:val="24"/>
        </w:rPr>
        <w:t>:</w:t>
      </w:r>
    </w:p>
    <w:p w:rsidR="004814CC" w:rsidP="009F18E0" w:rsidRDefault="00E47DA0" w14:paraId="31E7E048" w14:textId="29D6E382">
      <w:pPr>
        <w:pStyle w:val="BodyText"/>
        <w:ind w:left="720"/>
        <w:rPr>
          <w:rFonts w:ascii="Arial" w:hAnsi="Arial" w:cs="Arial"/>
          <w:color w:val="C00000"/>
          <w:szCs w:val="24"/>
        </w:rPr>
      </w:pPr>
      <w:hyperlink w:history="1" r:id="rId12">
        <w:r w:rsidRPr="001366C6" w:rsidR="000339AA">
          <w:rPr>
            <w:rStyle w:val="Hyperlink"/>
            <w:rFonts w:ascii="Arial" w:hAnsi="Arial" w:cs="Arial"/>
            <w:szCs w:val="24"/>
          </w:rPr>
          <w:t>https://www.opm.gov/policy-data-oversight/pay-leave/salaries-wages/salary-tables/pdf/2021/GS_h.pdf</w:t>
        </w:r>
      </w:hyperlink>
    </w:p>
    <w:p w:rsidRPr="00125F42" w:rsidR="000339AA" w:rsidP="009F18E0" w:rsidRDefault="000339AA" w14:paraId="0AB70956" w14:textId="77777777">
      <w:pPr>
        <w:pStyle w:val="BodyText"/>
        <w:ind w:left="720"/>
        <w:rPr>
          <w:rStyle w:val="Hyperlink"/>
          <w:color w:val="C00000"/>
        </w:rPr>
      </w:pPr>
    </w:p>
    <w:p w:rsidRPr="00125F42" w:rsidR="006D11F3" w:rsidP="006D11F3" w:rsidRDefault="006D11F3" w14:paraId="1BA4D6F4" w14:textId="505F6581">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tbl>
      <w:tblPr>
        <w:tblpPr w:leftFromText="180" w:rightFromText="180" w:vertAnchor="text" w:horzAnchor="margin" w:tblpXSpec="right" w:tblpY="-144"/>
        <w:tblW w:w="9985" w:type="dxa"/>
        <w:tblLook w:val="04A0" w:firstRow="1" w:lastRow="0" w:firstColumn="1" w:lastColumn="0" w:noHBand="0" w:noVBand="1"/>
      </w:tblPr>
      <w:tblGrid>
        <w:gridCol w:w="1346"/>
        <w:gridCol w:w="1184"/>
        <w:gridCol w:w="1231"/>
        <w:gridCol w:w="1231"/>
        <w:gridCol w:w="1638"/>
        <w:gridCol w:w="1785"/>
        <w:gridCol w:w="1570"/>
      </w:tblGrid>
      <w:tr w:rsidRPr="008F6593" w:rsidR="009F18E0" w:rsidTr="006D2973" w14:paraId="738B07CD" w14:textId="77777777">
        <w:trPr>
          <w:trHeight w:val="492"/>
        </w:trPr>
        <w:tc>
          <w:tcPr>
            <w:tcW w:w="134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973"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lastRenderedPageBreak/>
              <w:t>Grade</w:t>
            </w:r>
          </w:p>
        </w:tc>
        <w:tc>
          <w:tcPr>
            <w:tcW w:w="1184"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Step</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Burden Time</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Hourly Rate</w:t>
            </w:r>
          </w:p>
        </w:tc>
        <w:tc>
          <w:tcPr>
            <w:tcW w:w="1638"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9F18E0" w:rsidTr="006D2973" w14:paraId="23626014" w14:textId="77777777">
        <w:trPr>
          <w:trHeight w:val="288"/>
        </w:trPr>
        <w:tc>
          <w:tcPr>
            <w:tcW w:w="1346" w:type="dxa"/>
            <w:tcBorders>
              <w:top w:val="nil"/>
              <w:left w:val="single" w:color="auto" w:sz="4" w:space="0"/>
              <w:bottom w:val="single" w:color="auto" w:sz="4" w:space="0"/>
              <w:right w:val="single" w:color="auto" w:sz="4" w:space="0"/>
            </w:tcBorders>
            <w:shd w:val="clear" w:color="auto" w:fill="auto"/>
            <w:vAlign w:val="bottom"/>
            <w:hideMark/>
          </w:tcPr>
          <w:p w:rsidRPr="006D2973" w:rsidR="009F18E0" w:rsidP="00280FD7" w:rsidRDefault="009F18E0" w14:paraId="37B729E7" w14:textId="6DC94380">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Pr="006D2973" w:rsidR="008430FD">
              <w:rPr>
                <w:rFonts w:ascii="Arial" w:hAnsi="Arial" w:eastAsia="Times New Roman" w:cs="Arial"/>
                <w:color w:val="000000"/>
                <w:sz w:val="24"/>
                <w:szCs w:val="24"/>
              </w:rPr>
              <w:t>2</w:t>
            </w:r>
          </w:p>
        </w:tc>
        <w:tc>
          <w:tcPr>
            <w:tcW w:w="1184"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8430FD" w14:paraId="08CF4216" w14:textId="76A3E0AA">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00964113">
              <w:rPr>
                <w:rFonts w:ascii="Arial" w:hAnsi="Arial" w:eastAsia="Times New Roman" w:cs="Arial"/>
                <w:color w:val="000000"/>
                <w:sz w:val="24"/>
                <w:szCs w:val="24"/>
              </w:rPr>
              <w:t>0</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9F18E0" w14:paraId="30C5D15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 min</w:t>
            </w:r>
          </w:p>
          <w:p w:rsidRPr="006D2973" w:rsidR="008430FD" w:rsidP="00280FD7" w:rsidRDefault="008430FD" w14:paraId="1226FE31" w14:textId="0EA62CB1">
            <w:pPr>
              <w:spacing w:after="0" w:line="240" w:lineRule="auto"/>
              <w:jc w:val="center"/>
              <w:rPr>
                <w:rFonts w:ascii="Arial" w:hAnsi="Arial" w:eastAsia="Times New Roman" w:cs="Arial"/>
                <w:color w:val="000000"/>
                <w:sz w:val="18"/>
                <w:szCs w:val="18"/>
              </w:rPr>
            </w:pPr>
            <w:r w:rsidRPr="006D2973">
              <w:rPr>
                <w:rFonts w:ascii="Arial" w:hAnsi="Arial" w:eastAsia="Times New Roman" w:cs="Arial"/>
                <w:color w:val="000000"/>
                <w:sz w:val="18"/>
                <w:szCs w:val="18"/>
              </w:rPr>
              <w:t>(0.02)</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9F18E0" w:rsidRDefault="009F18E0" w14:paraId="7CF25A1D" w14:textId="0AE166C4">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41.63</w:t>
            </w:r>
          </w:p>
        </w:tc>
        <w:tc>
          <w:tcPr>
            <w:tcW w:w="1638" w:type="dxa"/>
            <w:tcBorders>
              <w:top w:val="nil"/>
              <w:left w:val="nil"/>
              <w:bottom w:val="single" w:color="auto" w:sz="4" w:space="0"/>
              <w:right w:val="single" w:color="auto" w:sz="4" w:space="0"/>
            </w:tcBorders>
            <w:shd w:val="clear" w:color="auto" w:fill="auto"/>
            <w:vAlign w:val="bottom"/>
            <w:hideMark/>
          </w:tcPr>
          <w:p w:rsidR="009F18E0" w:rsidP="009F18E0" w:rsidRDefault="008430FD" w14:paraId="6E4CEF14" w14:textId="38D3367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0.</w:t>
            </w:r>
            <w:r w:rsidR="00964113">
              <w:rPr>
                <w:rFonts w:ascii="Arial" w:hAnsi="Arial" w:eastAsia="Times New Roman" w:cs="Arial"/>
                <w:color w:val="000000"/>
                <w:sz w:val="24"/>
                <w:szCs w:val="24"/>
              </w:rPr>
              <w:t>83</w:t>
            </w:r>
          </w:p>
          <w:p w:rsidRPr="008430FD" w:rsidR="008430FD" w:rsidP="009F18E0" w:rsidRDefault="008430FD" w14:paraId="78781334" w14:textId="65995DCD">
            <w:pPr>
              <w:spacing w:after="0" w:line="240" w:lineRule="auto"/>
              <w:jc w:val="center"/>
              <w:rPr>
                <w:rFonts w:ascii="Arial" w:hAnsi="Arial" w:eastAsia="Times New Roman" w:cs="Arial"/>
                <w:color w:val="000000"/>
                <w:sz w:val="18"/>
                <w:szCs w:val="18"/>
              </w:rPr>
            </w:pPr>
            <w:r w:rsidRPr="008430FD">
              <w:rPr>
                <w:rFonts w:ascii="Arial" w:hAnsi="Arial" w:eastAsia="Times New Roman" w:cs="Arial"/>
                <w:color w:val="000000"/>
                <w:sz w:val="18"/>
                <w:szCs w:val="18"/>
              </w:rPr>
              <w:t>(</w:t>
            </w:r>
            <w:r w:rsidR="00964113">
              <w:rPr>
                <w:rFonts w:ascii="Arial" w:hAnsi="Arial" w:eastAsia="Times New Roman" w:cs="Arial"/>
                <w:color w:val="000000"/>
                <w:sz w:val="18"/>
                <w:szCs w:val="18"/>
              </w:rPr>
              <w:t>41.63</w:t>
            </w:r>
            <w:r w:rsidRPr="008430FD">
              <w:rPr>
                <w:rFonts w:ascii="Arial" w:hAnsi="Arial" w:eastAsia="Times New Roman" w:cs="Arial"/>
                <w:color w:val="000000"/>
                <w:sz w:val="18"/>
                <w:szCs w:val="18"/>
              </w:rPr>
              <w:t xml:space="preserve"> x 0.02) </w:t>
            </w:r>
          </w:p>
        </w:tc>
        <w:tc>
          <w:tcPr>
            <w:tcW w:w="1785"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832CD2" w14:paraId="318597B8" w14:textId="3D9C538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967</w:t>
            </w:r>
            <w:r w:rsidRPr="008F6593" w:rsidR="009F18E0">
              <w:rPr>
                <w:rFonts w:ascii="Arial" w:hAnsi="Arial" w:eastAsia="Times New Roman" w:cs="Arial"/>
                <w:color w:val="000000"/>
                <w:sz w:val="24"/>
                <w:szCs w:val="24"/>
              </w:rPr>
              <w:t xml:space="preserve"> </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6D1A41FC" w14:textId="6F6F887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805</w:t>
            </w:r>
            <w:r w:rsidR="008430FD">
              <w:rPr>
                <w:rFonts w:ascii="Arial" w:hAnsi="Arial" w:eastAsia="Times New Roman" w:cs="Arial"/>
                <w:color w:val="000000"/>
                <w:sz w:val="24"/>
                <w:szCs w:val="24"/>
              </w:rPr>
              <w:t>.</w:t>
            </w:r>
            <w:r w:rsidR="00964113">
              <w:rPr>
                <w:rFonts w:ascii="Arial" w:hAnsi="Arial" w:eastAsia="Times New Roman" w:cs="Arial"/>
                <w:color w:val="000000"/>
                <w:sz w:val="24"/>
                <w:szCs w:val="24"/>
              </w:rPr>
              <w:t>12</w:t>
            </w:r>
          </w:p>
        </w:tc>
      </w:tr>
      <w:tr w:rsidRPr="008F6593" w:rsidR="009F18E0" w:rsidTr="006D2973" w14:paraId="5FCD214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280FD7" w:rsidR="009F18E0" w:rsidP="00280FD7" w:rsidRDefault="009F18E0" w14:paraId="100C98BD" w14:textId="44C0095C">
            <w:pPr>
              <w:spacing w:after="0" w:line="240" w:lineRule="auto"/>
              <w:rPr>
                <w:rFonts w:ascii="Arial" w:hAnsi="Arial" w:eastAsia="Times New Roman" w:cs="Arial"/>
                <w:b/>
                <w:bCs/>
                <w:color w:val="000000"/>
                <w:sz w:val="24"/>
                <w:szCs w:val="24"/>
              </w:rPr>
            </w:pPr>
            <w:r w:rsidRPr="00280FD7">
              <w:rPr>
                <w:rFonts w:ascii="Arial" w:hAnsi="Arial" w:eastAsia="Times New Roman" w:cs="Arial"/>
                <w:b/>
                <w:bCs/>
                <w:color w:val="000000"/>
                <w:sz w:val="24"/>
                <w:szCs w:val="24"/>
              </w:rPr>
              <w:t xml:space="preserve">Overhead at </w:t>
            </w:r>
            <w:r w:rsidR="00964113">
              <w:rPr>
                <w:rFonts w:ascii="Arial" w:hAnsi="Arial" w:eastAsia="Times New Roman" w:cs="Arial"/>
                <w:b/>
                <w:bCs/>
                <w:color w:val="000000"/>
                <w:sz w:val="24"/>
                <w:szCs w:val="24"/>
              </w:rPr>
              <w:t>10</w:t>
            </w:r>
            <w:r w:rsidRPr="00280FD7" w:rsidR="00280FD7">
              <w:rPr>
                <w:rFonts w:ascii="Arial" w:hAnsi="Arial" w:eastAsia="Times New Roman" w:cs="Arial"/>
                <w:b/>
                <w:bCs/>
                <w:color w:val="000000"/>
                <w:sz w:val="24"/>
                <w:szCs w:val="24"/>
              </w:rPr>
              <w:t>0</w:t>
            </w:r>
            <w:r w:rsidRPr="00280FD7">
              <w:rPr>
                <w:rFonts w:ascii="Arial" w:hAnsi="Arial" w:eastAsia="Times New Roman" w:cs="Arial"/>
                <w:b/>
                <w:bCs/>
                <w:color w:val="000000"/>
                <w:sz w:val="24"/>
                <w:szCs w:val="24"/>
              </w:rPr>
              <w:t>% Salary</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4E4C4A59" w14:textId="2F157FEF">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805</w:t>
            </w:r>
            <w:r w:rsidR="008430FD">
              <w:rPr>
                <w:rFonts w:ascii="Arial" w:hAnsi="Arial" w:eastAsia="Times New Roman" w:cs="Arial"/>
                <w:color w:val="000000"/>
                <w:sz w:val="24"/>
                <w:szCs w:val="24"/>
              </w:rPr>
              <w:t>.</w:t>
            </w:r>
            <w:r w:rsidR="00964113">
              <w:rPr>
                <w:rFonts w:ascii="Arial" w:hAnsi="Arial" w:eastAsia="Times New Roman" w:cs="Arial"/>
                <w:color w:val="000000"/>
                <w:sz w:val="24"/>
                <w:szCs w:val="24"/>
              </w:rPr>
              <w:t>12</w:t>
            </w:r>
            <w:r w:rsidRPr="008F6593">
              <w:rPr>
                <w:rFonts w:ascii="Arial" w:hAnsi="Arial" w:eastAsia="Times New Roman" w:cs="Arial"/>
                <w:color w:val="000000"/>
                <w:sz w:val="24"/>
                <w:szCs w:val="24"/>
              </w:rPr>
              <w:t xml:space="preserve"> </w:t>
            </w:r>
          </w:p>
        </w:tc>
      </w:tr>
      <w:tr w:rsidRPr="008F6593" w:rsidR="00964113" w:rsidTr="00AB1A2F" w14:paraId="156F0E20" w14:textId="77777777">
        <w:trPr>
          <w:trHeight w:val="347"/>
        </w:trPr>
        <w:tc>
          <w:tcPr>
            <w:tcW w:w="99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64113" w:rsidR="00964113" w:rsidP="00964113" w:rsidRDefault="00964113" w14:paraId="72C1F208" w14:textId="44C7472B">
            <w:pPr>
              <w:spacing w:after="0" w:line="240" w:lineRule="auto"/>
              <w:rPr>
                <w:rFonts w:ascii="Arial" w:hAnsi="Arial" w:eastAsia="Times New Roman" w:cs="Arial"/>
                <w:i/>
                <w:iCs/>
                <w:color w:val="000000"/>
                <w:sz w:val="18"/>
                <w:szCs w:val="18"/>
              </w:rPr>
            </w:pPr>
            <w:r w:rsidRPr="00964113">
              <w:rPr>
                <w:rFonts w:ascii="Arial" w:hAnsi="Arial" w:eastAsia="Times New Roman" w:cs="Arial"/>
                <w:i/>
                <w:iCs/>
                <w:color w:val="000000"/>
                <w:sz w:val="18"/>
                <w:szCs w:val="18"/>
              </w:rPr>
              <w:t xml:space="preserve">Note: </w:t>
            </w:r>
            <w:r>
              <w:rPr>
                <w:rFonts w:ascii="Arial" w:hAnsi="Arial" w:eastAsia="Times New Roman" w:cs="Arial"/>
                <w:i/>
                <w:iCs/>
                <w:color w:val="000000"/>
                <w:sz w:val="18"/>
                <w:szCs w:val="18"/>
              </w:rPr>
              <w:t xml:space="preserve"> GS-12</w:t>
            </w:r>
            <w:r w:rsidR="00D41D1C">
              <w:rPr>
                <w:rFonts w:ascii="Arial" w:hAnsi="Arial" w:eastAsia="Times New Roman" w:cs="Arial"/>
                <w:i/>
                <w:iCs/>
                <w:color w:val="000000"/>
                <w:sz w:val="18"/>
                <w:szCs w:val="18"/>
              </w:rPr>
              <w:t xml:space="preserve"> completes 90% of the time.</w:t>
            </w:r>
            <w:r>
              <w:rPr>
                <w:rFonts w:ascii="Arial" w:hAnsi="Arial" w:eastAsia="Times New Roman" w:cs="Arial"/>
                <w:i/>
                <w:iCs/>
                <w:color w:val="000000"/>
                <w:sz w:val="18"/>
                <w:szCs w:val="18"/>
              </w:rPr>
              <w:t xml:space="preserve"> </w:t>
            </w:r>
            <w:r w:rsidRPr="00964113">
              <w:rPr>
                <w:rFonts w:ascii="Arial" w:hAnsi="Arial" w:eastAsia="Times New Roman" w:cs="Arial"/>
                <w:i/>
                <w:iCs/>
                <w:color w:val="000000"/>
                <w:sz w:val="18"/>
                <w:szCs w:val="18"/>
              </w:rPr>
              <w:t xml:space="preserve">On occasion GS-13 or GS-14 </w:t>
            </w:r>
            <w:r>
              <w:rPr>
                <w:rFonts w:ascii="Arial" w:hAnsi="Arial" w:eastAsia="Times New Roman" w:cs="Arial"/>
                <w:i/>
                <w:iCs/>
                <w:color w:val="000000"/>
                <w:sz w:val="18"/>
                <w:szCs w:val="18"/>
              </w:rPr>
              <w:t>may complete</w:t>
            </w:r>
            <w:r w:rsidR="00D41D1C">
              <w:rPr>
                <w:rFonts w:ascii="Arial" w:hAnsi="Arial" w:eastAsia="Times New Roman" w:cs="Arial"/>
                <w:i/>
                <w:iCs/>
                <w:color w:val="000000"/>
                <w:sz w:val="18"/>
                <w:szCs w:val="18"/>
              </w:rPr>
              <w:t xml:space="preserve">. </w:t>
            </w:r>
            <w:r>
              <w:rPr>
                <w:rFonts w:ascii="Arial" w:hAnsi="Arial" w:eastAsia="Times New Roman" w:cs="Arial"/>
                <w:i/>
                <w:iCs/>
                <w:color w:val="000000"/>
                <w:sz w:val="18"/>
                <w:szCs w:val="18"/>
              </w:rPr>
              <w:t xml:space="preserve"> </w:t>
            </w:r>
          </w:p>
        </w:tc>
      </w:tr>
      <w:tr w:rsidRPr="008F6593" w:rsidR="009F18E0" w:rsidTr="006D2973" w14:paraId="0FDC3F6C" w14:textId="77777777">
        <w:trPr>
          <w:trHeight w:val="587"/>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2A5DB5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9F18E0" w:rsidTr="006D2973" w14:paraId="44D92DB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0F79C929"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4E26E2D7" w14:textId="29B5536F">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454809">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805.12</w:t>
            </w:r>
            <w:r w:rsidRPr="008F6593">
              <w:rPr>
                <w:rFonts w:ascii="Arial" w:hAnsi="Arial" w:eastAsia="Times New Roman" w:cs="Arial"/>
                <w:color w:val="000000"/>
                <w:sz w:val="24"/>
                <w:szCs w:val="24"/>
              </w:rPr>
              <w:t xml:space="preserve"> </w:t>
            </w:r>
          </w:p>
        </w:tc>
      </w:tr>
      <w:tr w:rsidRPr="008F6593" w:rsidR="009F18E0" w:rsidTr="006D2973" w14:paraId="385DAC32"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5ABCB17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13F1A543" w14:textId="6C57326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8430FD">
              <w:rPr>
                <w:rFonts w:ascii="Arial" w:hAnsi="Arial" w:eastAsia="Times New Roman" w:cs="Arial"/>
                <w:color w:val="000000"/>
                <w:sz w:val="24"/>
                <w:szCs w:val="24"/>
              </w:rPr>
              <w:t>0</w:t>
            </w:r>
          </w:p>
        </w:tc>
      </w:tr>
      <w:tr w:rsidRPr="008F6593" w:rsidR="009F18E0" w:rsidTr="006D2973" w14:paraId="0F68F6BD"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7CA3BE1F"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30C1A1CD" w14:textId="1B27A832">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805.12</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49A48281" w14:textId="77777777">
      <w:pPr>
        <w:pStyle w:val="BodyText"/>
        <w:ind w:left="720"/>
        <w:rPr>
          <w:rFonts w:ascii="Arial" w:hAnsi="Arial" w:cs="Arial"/>
          <w:color w:val="C00000"/>
          <w:szCs w:val="24"/>
        </w:rPr>
      </w:pPr>
    </w:p>
    <w:p w:rsidRPr="00A45DC4" w:rsidR="000513C4" w:rsidP="000513C4" w:rsidRDefault="000513C4" w14:paraId="4FBAEF8F" w14:textId="22FDDB29">
      <w:pPr>
        <w:pStyle w:val="BodyText"/>
        <w:ind w:left="720"/>
        <w:rPr>
          <w:rStyle w:val="Hyperlink"/>
          <w:rFonts w:ascii="Arial" w:hAnsi="Arial" w:cs="Arial"/>
          <w:color w:val="auto"/>
          <w:szCs w:val="24"/>
        </w:rPr>
      </w:pPr>
      <w:r w:rsidRPr="00A45DC4">
        <w:rPr>
          <w:rFonts w:ascii="Arial" w:hAnsi="Arial" w:cs="Arial"/>
          <w:color w:val="auto"/>
          <w:szCs w:val="24"/>
        </w:rPr>
        <w:t>The</w:t>
      </w:r>
      <w:r w:rsidRPr="00A45DC4">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6C7A43" w:rsidP="008E4494" w:rsidRDefault="00531B3A" w14:paraId="48DC1D5B" w14:textId="4C210FED">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VA does not </w:t>
      </w:r>
      <w:r w:rsidR="00DD292C">
        <w:rPr>
          <w:rFonts w:ascii="Arial" w:hAnsi="Arial" w:eastAsia="Times New Roman" w:cs="Arial"/>
          <w:sz w:val="24"/>
          <w:szCs w:val="24"/>
        </w:rPr>
        <w:t>estimate</w:t>
      </w:r>
      <w:r>
        <w:rPr>
          <w:rFonts w:ascii="Arial" w:hAnsi="Arial" w:eastAsia="Times New Roman" w:cs="Arial"/>
          <w:sz w:val="24"/>
          <w:szCs w:val="24"/>
        </w:rPr>
        <w:t xml:space="preserve"> any change in the average burden per response</w:t>
      </w:r>
      <w:r w:rsidR="00DD292C">
        <w:rPr>
          <w:rFonts w:ascii="Arial" w:hAnsi="Arial" w:eastAsia="Times New Roman" w:cs="Arial"/>
          <w:sz w:val="24"/>
          <w:szCs w:val="24"/>
        </w:rPr>
        <w:t xml:space="preserve"> as servicers are already required to report activity on every VA-guaranteed loan in their servicing portfolio, regardless of the home retention option pursued. The amendment to this information collection associated </w:t>
      </w:r>
      <w:r w:rsidR="001A4FAE">
        <w:rPr>
          <w:rFonts w:ascii="Arial" w:hAnsi="Arial" w:eastAsia="Times New Roman" w:cs="Arial"/>
          <w:sz w:val="24"/>
          <w:szCs w:val="24"/>
        </w:rPr>
        <w:t>with the COVID-19 Refund Modification</w:t>
      </w:r>
      <w:r w:rsidR="00DD292C">
        <w:rPr>
          <w:rFonts w:ascii="Arial" w:hAnsi="Arial" w:eastAsia="Times New Roman" w:cs="Arial"/>
          <w:sz w:val="24"/>
          <w:szCs w:val="24"/>
        </w:rPr>
        <w:t xml:space="preserve"> </w:t>
      </w:r>
      <w:r w:rsidR="00E9721C">
        <w:rPr>
          <w:rFonts w:ascii="Arial" w:hAnsi="Arial" w:eastAsia="Times New Roman" w:cs="Arial"/>
          <w:sz w:val="24"/>
          <w:szCs w:val="24"/>
        </w:rPr>
        <w:t>merely</w:t>
      </w:r>
      <w:r w:rsidR="00DD292C">
        <w:rPr>
          <w:rFonts w:ascii="Arial" w:hAnsi="Arial" w:eastAsia="Times New Roman" w:cs="Arial"/>
          <w:sz w:val="24"/>
          <w:szCs w:val="24"/>
        </w:rPr>
        <w:t xml:space="preserve"> </w:t>
      </w:r>
      <w:r w:rsidRPr="00E9721C" w:rsidR="00DD292C">
        <w:rPr>
          <w:rFonts w:ascii="Arial" w:hAnsi="Arial" w:eastAsia="Times New Roman" w:cs="Arial"/>
          <w:sz w:val="24"/>
          <w:szCs w:val="24"/>
        </w:rPr>
        <w:t xml:space="preserve">adds </w:t>
      </w:r>
      <w:r w:rsidRPr="00E9721C" w:rsidR="001A4FAE">
        <w:rPr>
          <w:rFonts w:ascii="Arial" w:hAnsi="Arial" w:eastAsia="Times New Roman" w:cs="Arial"/>
          <w:sz w:val="24"/>
          <w:szCs w:val="24"/>
        </w:rPr>
        <w:t xml:space="preserve">additional data elements </w:t>
      </w:r>
      <w:r w:rsidRPr="00E9721C" w:rsidR="00DD292C">
        <w:rPr>
          <w:rFonts w:ascii="Arial" w:hAnsi="Arial" w:eastAsia="Times New Roman" w:cs="Arial"/>
          <w:sz w:val="24"/>
          <w:szCs w:val="24"/>
        </w:rPr>
        <w:t xml:space="preserve">to </w:t>
      </w:r>
      <w:r w:rsidRPr="00E9721C" w:rsidR="00E9721C">
        <w:rPr>
          <w:rFonts w:ascii="Arial" w:hAnsi="Arial" w:eastAsia="Times New Roman" w:cs="Arial"/>
          <w:sz w:val="24"/>
          <w:szCs w:val="24"/>
        </w:rPr>
        <w:t>existing loss mitigation events to facilitate reporting</w:t>
      </w:r>
      <w:r w:rsidR="00157F56">
        <w:rPr>
          <w:rFonts w:ascii="Arial" w:hAnsi="Arial" w:eastAsia="Times New Roman" w:cs="Arial"/>
          <w:sz w:val="24"/>
          <w:szCs w:val="24"/>
        </w:rPr>
        <w:t xml:space="preserve"> and oversight of this home retention option</w:t>
      </w:r>
      <w:r w:rsidR="00002142">
        <w:rPr>
          <w:rFonts w:ascii="Arial" w:hAnsi="Arial" w:eastAsia="Times New Roman" w:cs="Arial"/>
          <w:sz w:val="24"/>
          <w:szCs w:val="24"/>
        </w:rPr>
        <w:t>, as well as payment of the COVID-19 Refund</w:t>
      </w:r>
      <w:r w:rsidRPr="00E9721C" w:rsidR="0053063B">
        <w:rPr>
          <w:rFonts w:ascii="Arial" w:hAnsi="Arial" w:eastAsia="Times New Roman" w:cs="Arial"/>
          <w:sz w:val="24"/>
          <w:szCs w:val="24"/>
        </w:rPr>
        <w:t>.</w:t>
      </w:r>
    </w:p>
    <w:p w:rsidRPr="004814CC" w:rsidR="00A014C3" w:rsidP="00B9372E" w:rsidRDefault="00A014C3" w14:paraId="2FD66596"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0F7B91" w:rsidRDefault="00E47DA0" w14:paraId="6A0B8E98" w14:textId="77777777"/>
    <w:sectPr w:rsidR="000F7B91" w:rsidSect="000339AA">
      <w:headerReference w:type="default" r:id="rId13"/>
      <w:footerReference w:type="default" r:id="rId14"/>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2D4E3" w14:textId="77777777" w:rsidR="00F12045" w:rsidRDefault="00F12045" w:rsidP="005F453F">
      <w:pPr>
        <w:spacing w:after="0" w:line="240" w:lineRule="auto"/>
      </w:pPr>
      <w:r>
        <w:separator/>
      </w:r>
    </w:p>
  </w:endnote>
  <w:endnote w:type="continuationSeparator" w:id="0">
    <w:p w14:paraId="04D275CE" w14:textId="77777777" w:rsidR="00F12045" w:rsidRDefault="00F12045"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07CF7" w14:textId="77777777" w:rsidR="00F12045" w:rsidRDefault="00F12045" w:rsidP="005F453F">
      <w:pPr>
        <w:spacing w:after="0" w:line="240" w:lineRule="auto"/>
      </w:pPr>
      <w:r>
        <w:separator/>
      </w:r>
    </w:p>
  </w:footnote>
  <w:footnote w:type="continuationSeparator" w:id="0">
    <w:p w14:paraId="14A304B8" w14:textId="77777777" w:rsidR="00F12045" w:rsidRDefault="00F12045"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2142"/>
    <w:rsid w:val="00006244"/>
    <w:rsid w:val="000339AA"/>
    <w:rsid w:val="0004118A"/>
    <w:rsid w:val="000513C4"/>
    <w:rsid w:val="00051D09"/>
    <w:rsid w:val="00071411"/>
    <w:rsid w:val="00086B78"/>
    <w:rsid w:val="00125F42"/>
    <w:rsid w:val="001269E4"/>
    <w:rsid w:val="001451EE"/>
    <w:rsid w:val="00157F56"/>
    <w:rsid w:val="001A4FAE"/>
    <w:rsid w:val="001F5BEA"/>
    <w:rsid w:val="00206E36"/>
    <w:rsid w:val="00215DC3"/>
    <w:rsid w:val="0024516C"/>
    <w:rsid w:val="00255A1C"/>
    <w:rsid w:val="00280FD7"/>
    <w:rsid w:val="002C2AC4"/>
    <w:rsid w:val="002F0563"/>
    <w:rsid w:val="0030566B"/>
    <w:rsid w:val="00344A7B"/>
    <w:rsid w:val="003C58C5"/>
    <w:rsid w:val="003E5ED9"/>
    <w:rsid w:val="00407D50"/>
    <w:rsid w:val="00421F04"/>
    <w:rsid w:val="00454809"/>
    <w:rsid w:val="004557DA"/>
    <w:rsid w:val="00463D10"/>
    <w:rsid w:val="004814CC"/>
    <w:rsid w:val="00497657"/>
    <w:rsid w:val="004A5FFB"/>
    <w:rsid w:val="004B6D51"/>
    <w:rsid w:val="004C2042"/>
    <w:rsid w:val="004C29C2"/>
    <w:rsid w:val="004E2A35"/>
    <w:rsid w:val="004F35DE"/>
    <w:rsid w:val="00526A58"/>
    <w:rsid w:val="005272B9"/>
    <w:rsid w:val="0053063B"/>
    <w:rsid w:val="00531B3A"/>
    <w:rsid w:val="00555AD2"/>
    <w:rsid w:val="005E3A05"/>
    <w:rsid w:val="005E4D6D"/>
    <w:rsid w:val="005F453F"/>
    <w:rsid w:val="005F7370"/>
    <w:rsid w:val="00631315"/>
    <w:rsid w:val="00646C5F"/>
    <w:rsid w:val="00683755"/>
    <w:rsid w:val="006C7A43"/>
    <w:rsid w:val="006D11F3"/>
    <w:rsid w:val="006D2973"/>
    <w:rsid w:val="0078683A"/>
    <w:rsid w:val="007977A3"/>
    <w:rsid w:val="007B6983"/>
    <w:rsid w:val="007E0666"/>
    <w:rsid w:val="007F0162"/>
    <w:rsid w:val="00832CD2"/>
    <w:rsid w:val="008430FD"/>
    <w:rsid w:val="00865F97"/>
    <w:rsid w:val="008A2A7A"/>
    <w:rsid w:val="008A7F13"/>
    <w:rsid w:val="008E4494"/>
    <w:rsid w:val="008F2C88"/>
    <w:rsid w:val="008F4CE8"/>
    <w:rsid w:val="00955D82"/>
    <w:rsid w:val="00964113"/>
    <w:rsid w:val="009850B6"/>
    <w:rsid w:val="00997793"/>
    <w:rsid w:val="009B45BA"/>
    <w:rsid w:val="009D5BAC"/>
    <w:rsid w:val="009D7697"/>
    <w:rsid w:val="009F18E0"/>
    <w:rsid w:val="009F23EF"/>
    <w:rsid w:val="00A014C3"/>
    <w:rsid w:val="00A13FA4"/>
    <w:rsid w:val="00A2152D"/>
    <w:rsid w:val="00A45DC4"/>
    <w:rsid w:val="00A46642"/>
    <w:rsid w:val="00A70E7E"/>
    <w:rsid w:val="00A92A5E"/>
    <w:rsid w:val="00AA212B"/>
    <w:rsid w:val="00AC1ADB"/>
    <w:rsid w:val="00AD2C75"/>
    <w:rsid w:val="00AE799C"/>
    <w:rsid w:val="00AF0F81"/>
    <w:rsid w:val="00B44935"/>
    <w:rsid w:val="00B545C9"/>
    <w:rsid w:val="00B572A2"/>
    <w:rsid w:val="00B82092"/>
    <w:rsid w:val="00B90E79"/>
    <w:rsid w:val="00B9372E"/>
    <w:rsid w:val="00B962F8"/>
    <w:rsid w:val="00BA7D2B"/>
    <w:rsid w:val="00BE1E6A"/>
    <w:rsid w:val="00BE5216"/>
    <w:rsid w:val="00BF1095"/>
    <w:rsid w:val="00C04026"/>
    <w:rsid w:val="00C17DA8"/>
    <w:rsid w:val="00C331FE"/>
    <w:rsid w:val="00C33BAE"/>
    <w:rsid w:val="00C56007"/>
    <w:rsid w:val="00C728B5"/>
    <w:rsid w:val="00CB7E10"/>
    <w:rsid w:val="00CD7F48"/>
    <w:rsid w:val="00CF6A9C"/>
    <w:rsid w:val="00D41C84"/>
    <w:rsid w:val="00D41D1C"/>
    <w:rsid w:val="00D55F0F"/>
    <w:rsid w:val="00DB6F48"/>
    <w:rsid w:val="00DD292C"/>
    <w:rsid w:val="00DE3E87"/>
    <w:rsid w:val="00E11370"/>
    <w:rsid w:val="00E11ADD"/>
    <w:rsid w:val="00E42ED3"/>
    <w:rsid w:val="00E45518"/>
    <w:rsid w:val="00E47DA0"/>
    <w:rsid w:val="00E9721C"/>
    <w:rsid w:val="00EC0EBB"/>
    <w:rsid w:val="00EC4AE9"/>
    <w:rsid w:val="00F1030C"/>
    <w:rsid w:val="00F12045"/>
    <w:rsid w:val="00F4337A"/>
    <w:rsid w:val="00F43544"/>
    <w:rsid w:val="00F6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customXml/itemProps2.xml><?xml version="1.0" encoding="utf-8"?>
<ds:datastoreItem xmlns:ds="http://schemas.openxmlformats.org/officeDocument/2006/customXml" ds:itemID="{DAF3A9D9-9099-4FB3-AC21-0292F9A0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3D495-5A20-4447-B955-3ACB3272BD50}">
  <ds:schemaRefs>
    <ds:schemaRef ds:uri="http://purl.org/dc/elements/1.1/"/>
    <ds:schemaRef ds:uri="http://schemas.microsoft.com/office/2006/metadata/properties"/>
    <ds:schemaRef ds:uri="http://purl.org/dc/dcmitype/"/>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77dce447-0566-47ff-8c07-c9b85fda5322"/>
    <ds:schemaRef ds:uri="d1dd4dc1-eb0c-486e-b049-4a6a8dc97852"/>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 VALERI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VALERI</dc:title>
  <dc:subject/>
  <dc:creator>Hopkins, Rodney, VBAVACO</dc:creator>
  <cp:keywords/>
  <dc:description/>
  <cp:lastModifiedBy>Li, Stephanie, VBAVACO</cp:lastModifiedBy>
  <cp:revision>21</cp:revision>
  <cp:lastPrinted>2020-01-09T17:29:00Z</cp:lastPrinted>
  <dcterms:created xsi:type="dcterms:W3CDTF">2021-06-21T16:13:00Z</dcterms:created>
  <dcterms:modified xsi:type="dcterms:W3CDTF">2021-06-23T17:08:00Z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