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613BCE11" w14:textId="77777777">
      <w:pPr>
        <w:jc w:val="center"/>
      </w:pPr>
    </w:p>
    <w:p w:rsidR="00933321" w:rsidRDefault="00933321" w14:paraId="4E5D4CA6" w14:textId="77777777">
      <w:pPr>
        <w:jc w:val="center"/>
      </w:pPr>
    </w:p>
    <w:p w:rsidR="00933321" w:rsidRDefault="00933321" w14:paraId="6C525A6A" w14:textId="77777777">
      <w:pPr>
        <w:jc w:val="center"/>
      </w:pPr>
      <w:r>
        <w:t>OMB SUPPORTING STATEMENT</w:t>
      </w:r>
    </w:p>
    <w:p w:rsidR="00933321" w:rsidRDefault="00933321" w14:paraId="2E6373BE" w14:textId="77777777"/>
    <w:p w:rsidRPr="009B6B61" w:rsidR="009B6B61" w:rsidP="009B6B61" w:rsidRDefault="005922B8" w14:paraId="385C14C5" w14:textId="21FE849E">
      <w:pPr>
        <w:widowControl w:val="0"/>
        <w:tabs>
          <w:tab w:val="left" w:pos="-1440"/>
        </w:tabs>
        <w:ind w:left="1440" w:hanging="1440"/>
        <w:rPr>
          <w:i/>
          <w:snapToGrid w:val="0"/>
          <w:sz w:val="22"/>
          <w:szCs w:val="22"/>
        </w:rPr>
      </w:pPr>
      <w:r>
        <w:t xml:space="preserve">RI 30-10 </w:t>
      </w:r>
      <w:r w:rsidR="009423BC">
        <w:t xml:space="preserve">- </w:t>
      </w:r>
      <w:r w:rsidRPr="005922B8">
        <w:rPr>
          <w:i/>
        </w:rPr>
        <w:t>Disabled Dependent Questionnaire</w:t>
      </w:r>
    </w:p>
    <w:p w:rsidR="00933321" w:rsidRDefault="00933321" w14:paraId="3F958DC0" w14:textId="77777777"/>
    <w:p w:rsidR="00933321" w:rsidRDefault="00933321" w14:paraId="676BE3D4" w14:textId="77777777">
      <w:pPr>
        <w:numPr>
          <w:ilvl w:val="0"/>
          <w:numId w:val="1"/>
        </w:numPr>
      </w:pPr>
      <w:r>
        <w:t>Justification</w:t>
      </w:r>
    </w:p>
    <w:p w:rsidR="00933321" w:rsidRDefault="00933321" w14:paraId="31101721" w14:textId="03277337"/>
    <w:p w:rsidRPr="00741061" w:rsidR="00FE6C11" w:rsidP="00FE6C11" w:rsidRDefault="00FE6C11" w14:paraId="3B40398A" w14:textId="77777777">
      <w:pPr>
        <w:pStyle w:val="ListParagraph"/>
        <w:numPr>
          <w:ilvl w:val="0"/>
          <w:numId w:val="2"/>
        </w:numPr>
        <w:shd w:val="pct25" w:color="auto" w:fill="auto"/>
        <w:tabs>
          <w:tab w:val="left" w:pos="-720"/>
        </w:tabs>
        <w:suppressAutoHyphens/>
      </w:pP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FE6C11" w:rsidRDefault="00FE6C11" w14:paraId="1B7BADD2" w14:textId="77777777"/>
    <w:p w:rsidR="00933321" w:rsidP="00FE6C11" w:rsidRDefault="000B116B" w14:paraId="51542208" w14:textId="044FCCDA">
      <w:pPr>
        <w:pStyle w:val="ListParagraph"/>
        <w:tabs>
          <w:tab w:val="left" w:pos="-720"/>
        </w:tabs>
        <w:suppressAutoHyphens/>
      </w:pPr>
      <w:r>
        <w:t>Title 5, U. S. Code, Sections 8341(a)(4)(B) and 8441(4)(B) provide survivor benefits for unmarried, dependent children, regardless of age, who are incapable of self-support because of mental or physical disability incurred before age 18.  Section 8901(5)(B), which defines the family members who are eligible for health benefits coverage, includes any unmarried, dependent children, regardless of age, who are incapable of self-support because of mental or physical disability which existed before age 22. RI 30-10 is designed to collect information about the disabled child’s ability to earn a living and to obtain medical facts about the disability.</w:t>
      </w:r>
    </w:p>
    <w:p w:rsidR="000B116B" w:rsidRDefault="000B116B" w14:paraId="23AA6CF7" w14:textId="28BD1579">
      <w:pPr>
        <w:ind w:left="360"/>
      </w:pPr>
    </w:p>
    <w:p w:rsidRPr="00741061" w:rsidR="00FE6C11" w:rsidP="00FE6C11" w:rsidRDefault="00FE6C11" w14:paraId="4D65FE23" w14:textId="77777777">
      <w:pPr>
        <w:pStyle w:val="ListParagraph"/>
        <w:numPr>
          <w:ilvl w:val="0"/>
          <w:numId w:val="2"/>
        </w:numPr>
        <w:shd w:val="pct25" w:color="auto" w:fill="auto"/>
        <w:tabs>
          <w:tab w:val="left" w:pos="-720"/>
        </w:tabs>
        <w:suppressAutoHyphens/>
      </w:pPr>
      <w:bookmarkStart w:name="_Hlk71712465" w:id="0"/>
      <w:r w:rsidRPr="00741061">
        <w:t xml:space="preserve">Indicate how, by whom, and for what purpose the information is to be used.  Except for a new collection, indicate the actual use the agency has made of the information received from the current collection. </w:t>
      </w:r>
    </w:p>
    <w:bookmarkEnd w:id="0"/>
    <w:p w:rsidR="00FE6C11" w:rsidRDefault="00FE6C11" w14:paraId="78ED947A" w14:textId="77777777">
      <w:pPr>
        <w:ind w:left="360"/>
      </w:pPr>
    </w:p>
    <w:p w:rsidR="00933321" w:rsidP="00FE6C11" w:rsidRDefault="005172B2" w14:paraId="5C231453" w14:textId="197F9D52">
      <w:pPr>
        <w:pStyle w:val="ListParagraph"/>
        <w:tabs>
          <w:tab w:val="left" w:pos="-720"/>
        </w:tabs>
        <w:suppressAutoHyphens/>
      </w:pPr>
      <w:r>
        <w:t xml:space="preserve">The information collected is used by the Office of Personnel Management (OPM) to determine whether to pay benefits and include the individual as a family member for health benefits coverage.  The person applying is asked about the disabled person’s wage-earning capability, and the attending physician is asked to describe the disability and give other information about the disability and its effect on the person’s ability to make a living.  If the information is not collected, OPM cannot determine eligibility or pay benefits, as required by law.  </w:t>
      </w:r>
    </w:p>
    <w:p w:rsidR="007D1502" w:rsidP="007D1502" w:rsidRDefault="007D1502" w14:paraId="48CF90C3" w14:textId="4FC30870">
      <w:pPr>
        <w:ind w:left="360"/>
      </w:pPr>
    </w:p>
    <w:p w:rsidRPr="00741061" w:rsidR="00FE6C11" w:rsidP="00FE6C11" w:rsidRDefault="00FE6C11" w14:paraId="40CA2DFD" w14:textId="77777777">
      <w:pPr>
        <w:pStyle w:val="ListParagraph"/>
        <w:numPr>
          <w:ilvl w:val="0"/>
          <w:numId w:val="2"/>
        </w:numPr>
        <w:shd w:val="pct25" w:color="auto" w:fill="auto"/>
        <w:tabs>
          <w:tab w:val="left" w:pos="-720"/>
        </w:tabs>
        <w:suppressAutoHyphens/>
      </w:pPr>
      <w:bookmarkStart w:name="_Hlk71712502" w:id="1"/>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bookmarkEnd w:id="1"/>
    <w:p w:rsidR="00FE6C11" w:rsidP="00FE6C11" w:rsidRDefault="00FE6C11" w14:paraId="08278CA1" w14:textId="77777777"/>
    <w:p w:rsidR="00933321" w:rsidP="00FE6C11" w:rsidRDefault="00AB130D" w14:paraId="5DF17629" w14:textId="7F4A245B">
      <w:pPr>
        <w:pStyle w:val="ListParagraph"/>
        <w:tabs>
          <w:tab w:val="left" w:pos="-720"/>
        </w:tabs>
        <w:suppressAutoHyphens/>
      </w:pPr>
      <w:r w:rsidRPr="00AB130D">
        <w:rPr>
          <w:szCs w:val="24"/>
        </w:rPr>
        <w:t>The information collected is detailed and can only be obtained from the respondents.</w:t>
      </w:r>
      <w:r w:rsidR="00180165">
        <w:rPr>
          <w:szCs w:val="24"/>
        </w:rPr>
        <w:t xml:space="preserve"> </w:t>
      </w:r>
      <w:r w:rsidRPr="00AB130D">
        <w:rPr>
          <w:szCs w:val="24"/>
        </w:rPr>
        <w:t xml:space="preserve">New methods of information technology would do little to reduce the burden on the </w:t>
      </w:r>
      <w:r w:rsidR="00180165">
        <w:rPr>
          <w:szCs w:val="24"/>
        </w:rPr>
        <w:t>r</w:t>
      </w:r>
      <w:r w:rsidRPr="00AB130D">
        <w:rPr>
          <w:szCs w:val="24"/>
        </w:rPr>
        <w:t>espondents; they must sign the questionnaire and take it to their physician.  However, this form is available on our website in a pdf fillable format</w:t>
      </w:r>
      <w:r w:rsidR="00FE6C11">
        <w:rPr>
          <w:szCs w:val="24"/>
        </w:rPr>
        <w:t xml:space="preserve"> </w:t>
      </w:r>
      <w:r w:rsidRPr="00F537B2" w:rsidR="00FE6C11">
        <w:rPr>
          <w:sz w:val="22"/>
          <w:szCs w:val="22"/>
        </w:rPr>
        <w:t xml:space="preserve">on our website at </w:t>
      </w:r>
      <w:hyperlink w:history="1" r:id="rId5">
        <w:r w:rsidRPr="000153BF" w:rsidR="00FE6C11">
          <w:rPr>
            <w:rStyle w:val="Hyperlink"/>
            <w:sz w:val="22"/>
            <w:szCs w:val="22"/>
          </w:rPr>
          <w:t>www.opm.gov/forms</w:t>
        </w:r>
      </w:hyperlink>
      <w:r w:rsidRPr="00AB130D">
        <w:rPr>
          <w:szCs w:val="24"/>
        </w:rPr>
        <w:t xml:space="preserve"> and meets our GPEA requirements.</w:t>
      </w:r>
    </w:p>
    <w:p w:rsidR="00933321" w:rsidRDefault="00933321" w14:paraId="134EDD43" w14:textId="132E28EC">
      <w:pPr>
        <w:ind w:left="360"/>
      </w:pPr>
    </w:p>
    <w:p w:rsidRPr="00741061" w:rsidR="00E757EF" w:rsidP="00E757EF" w:rsidRDefault="00E757EF" w14:paraId="06024A24" w14:textId="1DED9B89">
      <w:pPr>
        <w:pStyle w:val="ListParagraph"/>
        <w:numPr>
          <w:ilvl w:val="0"/>
          <w:numId w:val="2"/>
        </w:numPr>
        <w:shd w:val="pct25" w:color="auto" w:fill="auto"/>
        <w:tabs>
          <w:tab w:val="left" w:pos="-720"/>
        </w:tabs>
        <w:suppressAutoHyphens/>
      </w:pPr>
      <w:bookmarkStart w:name="_Hlk71712780" w:id="2"/>
      <w:r w:rsidRPr="00741061">
        <w:t xml:space="preserve">Describe efforts to identify duplication. Show specifically why any similar information already available cannot be used or modified for use for the purposes described in Item 2 above. </w:t>
      </w:r>
    </w:p>
    <w:bookmarkEnd w:id="2"/>
    <w:p w:rsidR="00FE6C11" w:rsidRDefault="00FE6C11" w14:paraId="6CE49097" w14:textId="77777777">
      <w:pPr>
        <w:ind w:left="360"/>
      </w:pPr>
    </w:p>
    <w:p w:rsidR="00933321" w:rsidP="00FE6C11" w:rsidRDefault="00E132F8" w14:paraId="538B0910" w14:textId="58A68C1B">
      <w:pPr>
        <w:pStyle w:val="ListParagraph"/>
        <w:tabs>
          <w:tab w:val="left" w:pos="-720"/>
        </w:tabs>
        <w:suppressAutoHyphens/>
      </w:pPr>
      <w:r>
        <w:t>The questionnaires are filed individually because there is no other way to obtain this information.  Duplication is minimized.</w:t>
      </w:r>
    </w:p>
    <w:p w:rsidR="00FE6C11" w:rsidP="00FE6C11" w:rsidRDefault="00FE6C11" w14:paraId="0859CE64" w14:textId="784F78FD">
      <w:pPr>
        <w:pStyle w:val="ListParagraph"/>
        <w:tabs>
          <w:tab w:val="left" w:pos="-720"/>
        </w:tabs>
        <w:suppressAutoHyphens/>
      </w:pPr>
    </w:p>
    <w:bookmarkStart w:name="_Hlk71719285" w:id="3"/>
    <w:bookmarkStart w:name="_Hlk73090691" w:id="4"/>
    <w:p w:rsidRPr="00741061" w:rsidR="00E757EF" w:rsidP="00E757EF" w:rsidRDefault="00E757EF" w14:paraId="167BDDF9"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w:t>
      </w:r>
      <w:r>
        <w:br/>
      </w:r>
      <w:r w:rsidRPr="00741061">
        <w:t>(Item 5 of OMB Form 83-I), describe any methods used to minimize.</w:t>
      </w:r>
    </w:p>
    <w:p w:rsidR="00E757EF" w:rsidP="00E757EF" w:rsidRDefault="00E757EF" w14:paraId="28FF600B" w14:textId="77777777">
      <w:pPr>
        <w:ind w:left="720"/>
      </w:pPr>
      <w:r w:rsidRPr="00741061">
        <w:tab/>
      </w:r>
    </w:p>
    <w:p w:rsidR="00E757EF" w:rsidP="00E757EF" w:rsidRDefault="00E757EF" w14:paraId="68143D84" w14:textId="77777777">
      <w:pPr>
        <w:ind w:left="720"/>
      </w:pPr>
      <w:r>
        <w:t xml:space="preserve">This information collection request has no impact on small businesses </w:t>
      </w:r>
      <w:bookmarkStart w:name="_Hlk71713003" w:id="5"/>
      <w:r>
        <w:t>and organizations.</w:t>
      </w:r>
      <w:bookmarkEnd w:id="5"/>
    </w:p>
    <w:p w:rsidR="00E757EF" w:rsidP="00E757EF" w:rsidRDefault="00E757EF" w14:paraId="6B88E1A5" w14:textId="77777777"/>
    <w:p w:rsidRPr="00741061" w:rsidR="00E757EF" w:rsidP="00E757EF" w:rsidRDefault="00E757EF" w14:paraId="7D4557F8" w14:textId="77777777">
      <w:pPr>
        <w:pStyle w:val="ListParagraph"/>
        <w:numPr>
          <w:ilvl w:val="0"/>
          <w:numId w:val="2"/>
        </w:numPr>
        <w:shd w:val="pct25" w:color="auto" w:fill="auto"/>
        <w:tabs>
          <w:tab w:val="left" w:pos="-720"/>
        </w:tabs>
        <w:suppressAutoHyphens/>
      </w:pPr>
      <w:bookmarkStart w:name="_Hlk71713113" w:id="6"/>
      <w:bookmarkEnd w:id="3"/>
      <w:r w:rsidRPr="00741061">
        <w:t>Describe the consequence to Federal/DHS program or policy activities if the collection of information is not conducted, or is conducted less frequently, as well as any technical or legal obstacles to reducing burden.</w:t>
      </w:r>
    </w:p>
    <w:bookmarkEnd w:id="6"/>
    <w:bookmarkEnd w:id="4"/>
    <w:p w:rsidR="00E757EF" w:rsidP="003F0418" w:rsidRDefault="00E757EF" w14:paraId="76FB148F" w14:textId="59E9617D">
      <w:pPr>
        <w:ind w:left="720"/>
      </w:pPr>
    </w:p>
    <w:p w:rsidR="00E757EF" w:rsidP="00E757EF" w:rsidRDefault="00E757EF" w14:paraId="4E1ABD86" w14:textId="4F326626">
      <w:pPr>
        <w:pStyle w:val="ListParagraph"/>
        <w:tabs>
          <w:tab w:val="left" w:pos="-720"/>
        </w:tabs>
        <w:suppressAutoHyphens/>
      </w:pPr>
      <w:r>
        <w:t>This information collection is performed as needed to pay benefits or enroll eligible persons.  Less frequent collection would delay the payment of survivor annuities or health benefits enrollment provided by law.</w:t>
      </w:r>
    </w:p>
    <w:p w:rsidR="00933321" w:rsidP="00A2752A" w:rsidRDefault="00933321" w14:paraId="626C0BC3" w14:textId="2329FCD4"/>
    <w:p w:rsidR="003F0418" w:rsidP="003F0418" w:rsidRDefault="003F0418" w14:paraId="71DBD393" w14:textId="77777777">
      <w:pPr>
        <w:pStyle w:val="ListParagraph"/>
        <w:numPr>
          <w:ilvl w:val="0"/>
          <w:numId w:val="2"/>
        </w:numPr>
        <w:shd w:val="pct25" w:color="auto" w:fill="auto"/>
        <w:tabs>
          <w:tab w:val="left" w:pos="-720"/>
        </w:tabs>
        <w:suppressAutoHyphens/>
      </w:pPr>
      <w:bookmarkStart w:name="_Hlk71713413" w:id="7"/>
      <w:r w:rsidRPr="009B7453">
        <w:t>Explain any special circumstances that would cause an information collection to be conducted in a manner:</w:t>
      </w:r>
      <w:r>
        <w:t xml:space="preserve">  </w:t>
      </w:r>
    </w:p>
    <w:p w:rsidR="003F0418" w:rsidP="00756E46" w:rsidRDefault="003F0418" w14:paraId="1950A458" w14:textId="77777777">
      <w:pPr>
        <w:pStyle w:val="ListParagraph"/>
        <w:numPr>
          <w:ilvl w:val="0"/>
          <w:numId w:val="4"/>
        </w:numPr>
        <w:shd w:val="pct25" w:color="auto" w:fill="auto"/>
        <w:tabs>
          <w:tab w:val="left" w:pos="-720"/>
        </w:tabs>
        <w:suppressAutoHyphens/>
        <w:ind w:left="720"/>
      </w:pPr>
      <w:r>
        <w:t xml:space="preserve">requiring respondents to report information to the agency more often than </w:t>
      </w:r>
      <w:proofErr w:type="gramStart"/>
      <w:r>
        <w:t>quarterly;</w:t>
      </w:r>
      <w:proofErr w:type="gramEnd"/>
    </w:p>
    <w:p w:rsidR="003F0418" w:rsidP="00756E46" w:rsidRDefault="003F0418" w14:paraId="45BD73D9" w14:textId="77777777">
      <w:pPr>
        <w:pStyle w:val="ListParagraph"/>
        <w:numPr>
          <w:ilvl w:val="0"/>
          <w:numId w:val="4"/>
        </w:numPr>
        <w:shd w:val="pct25" w:color="auto" w:fill="auto"/>
        <w:tabs>
          <w:tab w:val="left" w:pos="-720"/>
        </w:tabs>
        <w:suppressAutoHyphens/>
        <w:ind w:left="720"/>
      </w:pPr>
      <w:r>
        <w:t xml:space="preserve">requiring respondents to prepare a written response to a collection of information in fewer than 30 days after receipt of </w:t>
      </w:r>
      <w:proofErr w:type="gramStart"/>
      <w:r>
        <w:t>it;</w:t>
      </w:r>
      <w:proofErr w:type="gramEnd"/>
    </w:p>
    <w:p w:rsidR="003F0418" w:rsidP="00756E46" w:rsidRDefault="003F0418" w14:paraId="1012284C" w14:textId="77777777">
      <w:pPr>
        <w:pStyle w:val="ListParagraph"/>
        <w:numPr>
          <w:ilvl w:val="0"/>
          <w:numId w:val="4"/>
        </w:numPr>
        <w:shd w:val="pct25" w:color="auto" w:fill="auto"/>
        <w:tabs>
          <w:tab w:val="left" w:pos="-720"/>
        </w:tabs>
        <w:suppressAutoHyphens/>
        <w:ind w:left="720"/>
      </w:pPr>
      <w:r>
        <w:t xml:space="preserve">requiring respondents to submit more than an original and two copies of any </w:t>
      </w:r>
      <w:proofErr w:type="gramStart"/>
      <w:r>
        <w:t>document;</w:t>
      </w:r>
      <w:proofErr w:type="gramEnd"/>
      <w:r>
        <w:t xml:space="preserve"> </w:t>
      </w:r>
    </w:p>
    <w:p w:rsidR="003F0418" w:rsidP="00756E46" w:rsidRDefault="003F0418" w14:paraId="23A0A4A2" w14:textId="77777777">
      <w:pPr>
        <w:pStyle w:val="ListParagraph"/>
        <w:numPr>
          <w:ilvl w:val="0"/>
          <w:numId w:val="4"/>
        </w:numPr>
        <w:shd w:val="pct25" w:color="auto" w:fill="auto"/>
        <w:tabs>
          <w:tab w:val="left" w:pos="-720"/>
        </w:tabs>
        <w:suppressAutoHyphens/>
        <w:ind w:left="720"/>
      </w:pPr>
      <w:r>
        <w:t xml:space="preserve">requiring respondents to retain records, other than health, medical, government contract, grant-in-aid, or tax records, for more than three </w:t>
      </w:r>
      <w:proofErr w:type="gramStart"/>
      <w:r>
        <w:t>years;</w:t>
      </w:r>
      <w:proofErr w:type="gramEnd"/>
    </w:p>
    <w:p w:rsidR="003F0418" w:rsidP="00756E46" w:rsidRDefault="003F0418" w14:paraId="64D89718" w14:textId="77777777">
      <w:pPr>
        <w:pStyle w:val="ListParagraph"/>
        <w:numPr>
          <w:ilvl w:val="0"/>
          <w:numId w:val="4"/>
        </w:numPr>
        <w:shd w:val="pct25" w:color="auto" w:fill="auto"/>
        <w:tabs>
          <w:tab w:val="left" w:pos="-720"/>
        </w:tabs>
        <w:suppressAutoHyphens/>
        <w:ind w:left="720"/>
      </w:pPr>
      <w:r>
        <w:t xml:space="preserve">in connection with a statistical survey, that is not designed to produce valid and reliable results that can be generalized to the universe of </w:t>
      </w:r>
      <w:proofErr w:type="gramStart"/>
      <w:r>
        <w:t>study;</w:t>
      </w:r>
      <w:proofErr w:type="gramEnd"/>
      <w:r>
        <w:t xml:space="preserve"> </w:t>
      </w:r>
    </w:p>
    <w:p w:rsidR="003F0418" w:rsidP="00756E46" w:rsidRDefault="003F0418" w14:paraId="64294F0E" w14:textId="77777777">
      <w:pPr>
        <w:pStyle w:val="ListParagraph"/>
        <w:numPr>
          <w:ilvl w:val="0"/>
          <w:numId w:val="4"/>
        </w:numPr>
        <w:shd w:val="pct25" w:color="auto" w:fill="auto"/>
        <w:tabs>
          <w:tab w:val="left" w:pos="-720"/>
        </w:tabs>
        <w:suppressAutoHyphens/>
        <w:ind w:left="720"/>
      </w:pPr>
      <w:r>
        <w:t xml:space="preserve">requiring the use of statistical data classification that has not been reviewed and approved by </w:t>
      </w:r>
      <w:proofErr w:type="gramStart"/>
      <w:r>
        <w:t>OMB;</w:t>
      </w:r>
      <w:proofErr w:type="gramEnd"/>
      <w:r>
        <w:t xml:space="preserve"> </w:t>
      </w:r>
    </w:p>
    <w:p w:rsidR="003F0418" w:rsidP="00756E46" w:rsidRDefault="003F0418" w14:paraId="1FCAB609" w14:textId="77777777">
      <w:pPr>
        <w:pStyle w:val="ListParagraph"/>
        <w:numPr>
          <w:ilvl w:val="0"/>
          <w:numId w:val="4"/>
        </w:numPr>
        <w:shd w:val="pct25" w:color="auto" w:fill="auto"/>
        <w:tabs>
          <w:tab w:val="left" w:pos="-720"/>
        </w:tabs>
        <w:suppressAutoHyphens/>
        <w:ind w:left="720"/>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Pr="00741061" w:rsidR="003F0418" w:rsidP="00756E46" w:rsidRDefault="003F0418" w14:paraId="3EB64AF7" w14:textId="77777777">
      <w:pPr>
        <w:pStyle w:val="ListParagraph"/>
        <w:numPr>
          <w:ilvl w:val="0"/>
          <w:numId w:val="4"/>
        </w:numPr>
        <w:shd w:val="pct25" w:color="auto" w:fill="auto"/>
        <w:tabs>
          <w:tab w:val="left" w:pos="-720"/>
        </w:tabs>
        <w:suppressAutoHyphens/>
        <w:ind w:left="720"/>
      </w:pPr>
      <w:r>
        <w:t>requiring respondents to submit proprietary trade secrets, or other confidential information unless the agency can demonstrate that it has instituted procedures to protect the information’s confidentiality to the extent permitted by law.</w:t>
      </w:r>
    </w:p>
    <w:bookmarkEnd w:id="7"/>
    <w:p w:rsidR="003F0418" w:rsidP="00756E46" w:rsidRDefault="003F0418" w14:paraId="1CD51068" w14:textId="77777777"/>
    <w:p w:rsidR="00E757EF" w:rsidP="00E757EF" w:rsidRDefault="00E757EF" w14:paraId="2EC607BA" w14:textId="77777777">
      <w:pPr>
        <w:ind w:left="720"/>
      </w:pPr>
      <w:r>
        <w:t>There are no special circumstances involved in the collection of this information.</w:t>
      </w:r>
    </w:p>
    <w:p w:rsidR="003F0418" w:rsidP="003F0418" w:rsidRDefault="003F0418" w14:paraId="60FD1975" w14:textId="77777777">
      <w:pPr>
        <w:pStyle w:val="ListParagraph"/>
        <w:tabs>
          <w:tab w:val="left" w:pos="-720"/>
        </w:tabs>
        <w:suppressAutoHyphens/>
      </w:pPr>
    </w:p>
    <w:p w:rsidRPr="00741061" w:rsidR="003F0418" w:rsidP="003F0418" w:rsidRDefault="003F0418" w14:paraId="4979B47B" w14:textId="77777777">
      <w:pPr>
        <w:pStyle w:val="ListParagraph"/>
        <w:numPr>
          <w:ilvl w:val="0"/>
          <w:numId w:val="2"/>
        </w:numPr>
        <w:shd w:val="pct25" w:color="auto" w:fill="auto"/>
        <w:tabs>
          <w:tab w:val="left" w:pos="-720"/>
        </w:tabs>
        <w:suppressAutoHyphens/>
      </w:pPr>
      <w:bookmarkStart w:name="_Hlk71713534" w:id="8"/>
      <w:bookmarkStart w:name="_Hlk73090860" w:id="9"/>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t xml:space="preserve">the </w:t>
      </w:r>
      <w:r w:rsidRPr="00741061">
        <w:t>publication in the Federal Register of the agency’s notice soliciting comments on the information collection prior to submission to OMB</w:t>
      </w:r>
      <w:r>
        <w:t>.</w:t>
      </w:r>
    </w:p>
    <w:bookmarkEnd w:id="8"/>
    <w:p w:rsidR="00933321" w:rsidRDefault="00933321" w14:paraId="7D1C97AF" w14:textId="77777777"/>
    <w:p w:rsidR="003F0418" w:rsidP="003F0418" w:rsidRDefault="003F0418" w14:paraId="6504E399" w14:textId="77777777">
      <w:pPr>
        <w:pStyle w:val="ListParagraph"/>
        <w:tabs>
          <w:tab w:val="left" w:pos="-720"/>
        </w:tabs>
        <w:suppressAutoHyphens/>
      </w:pPr>
      <w:r>
        <w:t>On April 2, 2021, a 60 Day Federal Register Notice was published at 86 FR 17418. No comments were received.</w:t>
      </w:r>
      <w:r w:rsidRPr="00741061">
        <w:t xml:space="preserve">  </w:t>
      </w:r>
    </w:p>
    <w:bookmarkEnd w:id="9"/>
    <w:p w:rsidR="003F0418" w:rsidP="003F0418" w:rsidRDefault="003F0418" w14:paraId="10E0FAE6" w14:textId="079C52E1">
      <w:pPr>
        <w:pStyle w:val="ListParagraph"/>
        <w:tabs>
          <w:tab w:val="left" w:pos="-720"/>
        </w:tabs>
        <w:suppressAutoHyphens/>
      </w:pPr>
    </w:p>
    <w:p w:rsidR="003F0418" w:rsidP="003F0418" w:rsidRDefault="003F0418" w14:paraId="1324439A" w14:textId="77777777">
      <w:pPr>
        <w:pStyle w:val="ListParagraph"/>
        <w:tabs>
          <w:tab w:val="left" w:pos="-720"/>
        </w:tabs>
        <w:suppressAutoHyphens/>
      </w:pPr>
    </w:p>
    <w:p w:rsidR="003F0418" w:rsidP="003F0418" w:rsidRDefault="003F0418" w14:paraId="5CE55543" w14:textId="77777777">
      <w:pPr>
        <w:pStyle w:val="ListParagraph"/>
        <w:tabs>
          <w:tab w:val="left" w:pos="-720"/>
        </w:tabs>
        <w:suppressAutoHyphens/>
      </w:pPr>
    </w:p>
    <w:p w:rsidRPr="00741061" w:rsidR="00E757EF" w:rsidP="00E757EF" w:rsidRDefault="00E757EF" w14:paraId="79C168F5" w14:textId="77777777">
      <w:pPr>
        <w:pStyle w:val="ListParagraph"/>
        <w:numPr>
          <w:ilvl w:val="0"/>
          <w:numId w:val="2"/>
        </w:numPr>
        <w:shd w:val="pct25" w:color="auto" w:fill="auto"/>
        <w:tabs>
          <w:tab w:val="left" w:pos="-720"/>
        </w:tabs>
        <w:suppressAutoHyphens/>
        <w:ind w:right="-288"/>
      </w:pPr>
      <w:bookmarkStart w:name="_Hlk71713873" w:id="10"/>
      <w:bookmarkStart w:name="_Hlk73091097" w:id="11"/>
      <w:r w:rsidRPr="00741061">
        <w:lastRenderedPageBreak/>
        <w:t>Explain any decision to provide any payment or gift to respondents, other than remuneration of contractors or grantees.</w:t>
      </w:r>
    </w:p>
    <w:bookmarkEnd w:id="10"/>
    <w:p w:rsidRPr="00741061" w:rsidR="00E757EF" w:rsidP="00E757EF" w:rsidRDefault="00E757EF" w14:paraId="0BE46E6D" w14:textId="77777777">
      <w:pPr>
        <w:tabs>
          <w:tab w:val="left" w:pos="-720"/>
        </w:tabs>
        <w:suppressAutoHyphens/>
        <w:ind w:right="-288"/>
      </w:pPr>
    </w:p>
    <w:p w:rsidRPr="00741061" w:rsidR="00E757EF" w:rsidP="00E757EF" w:rsidRDefault="00E757EF" w14:paraId="556D02F8" w14:textId="77777777">
      <w:pPr>
        <w:tabs>
          <w:tab w:val="left" w:pos="-720"/>
        </w:tabs>
        <w:suppressAutoHyphens/>
        <w:ind w:left="720" w:right="-576"/>
      </w:pPr>
      <w:bookmarkStart w:name="_Hlk71713947" w:id="12"/>
      <w:r w:rsidRPr="00741061">
        <w:t>No gifts or payments of any kind have been provided to any individuals who are connected to this collection.</w:t>
      </w:r>
    </w:p>
    <w:p w:rsidR="00E757EF" w:rsidP="00E757EF" w:rsidRDefault="00E757EF" w14:paraId="5217C6D9" w14:textId="77777777">
      <w:pPr>
        <w:ind w:left="720" w:right="-288"/>
      </w:pPr>
    </w:p>
    <w:p w:rsidRPr="00741061" w:rsidR="00E757EF" w:rsidP="00E757EF" w:rsidRDefault="00E757EF" w14:paraId="75345C1A"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bookmarkEnd w:id="12"/>
    <w:bookmarkEnd w:id="11"/>
    <w:p w:rsidR="00E757EF" w:rsidP="00E757EF" w:rsidRDefault="00E757EF" w14:paraId="74BE5983" w14:textId="77777777">
      <w:pPr>
        <w:ind w:left="720" w:right="-288"/>
      </w:pPr>
    </w:p>
    <w:p w:rsidR="00E757EF" w:rsidP="00E757EF" w:rsidRDefault="00E757EF" w14:paraId="457CF166" w14:textId="77777777">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E757EF" w:rsidP="00E757EF" w:rsidRDefault="00E757EF" w14:paraId="3BD04901" w14:textId="77777777"/>
    <w:p w:rsidR="00E757EF" w:rsidP="00E757EF" w:rsidRDefault="00E757EF" w14:paraId="0F953511" w14:textId="510F49CB">
      <w:pPr>
        <w:pStyle w:val="ListParagraph"/>
        <w:numPr>
          <w:ilvl w:val="0"/>
          <w:numId w:val="2"/>
        </w:numPr>
        <w:shd w:val="pct25" w:color="auto" w:fill="auto"/>
        <w:tabs>
          <w:tab w:val="left" w:pos="-720"/>
        </w:tabs>
        <w:suppressAutoHyphens/>
      </w:pPr>
      <w:bookmarkStart w:name="_Hlk71714001" w:id="13"/>
      <w:bookmarkStart w:name="_Hlk73091140" w:id="14"/>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bookmarkEnd w:id="14"/>
    <w:p w:rsidR="00EE3697" w:rsidP="00EE3697" w:rsidRDefault="00EE3697" w14:paraId="35BFEA2A" w14:textId="1E871963">
      <w:pPr>
        <w:tabs>
          <w:tab w:val="left" w:pos="-720"/>
        </w:tabs>
        <w:suppressAutoHyphens/>
        <w:ind w:left="720"/>
      </w:pPr>
    </w:p>
    <w:p w:rsidR="00EE3697" w:rsidP="00EE3697" w:rsidRDefault="00EE3697" w14:paraId="0F6A31FC" w14:textId="77777777">
      <w:pPr>
        <w:tabs>
          <w:tab w:val="left" w:pos="-720"/>
        </w:tabs>
        <w:suppressAutoHyphens/>
      </w:pPr>
      <w:r>
        <w:tab/>
        <w:t xml:space="preserve">The information collection does not include questions of a sensitive nature, such as </w:t>
      </w:r>
    </w:p>
    <w:p w:rsidR="00EE3697" w:rsidP="00EE3697" w:rsidRDefault="00EE3697" w14:paraId="36F1CD7F" w14:textId="77777777">
      <w:pPr>
        <w:tabs>
          <w:tab w:val="left" w:pos="-720"/>
        </w:tabs>
        <w:suppressAutoHyphens/>
      </w:pPr>
      <w:r>
        <w:tab/>
        <w:t xml:space="preserve">sexual behavior and attitudes, religious beliefs, and other matters that are commonly </w:t>
      </w:r>
    </w:p>
    <w:p w:rsidR="00EE3697" w:rsidP="00EE3697" w:rsidRDefault="00EE3697" w14:paraId="180EFA35" w14:textId="4CB12363">
      <w:pPr>
        <w:tabs>
          <w:tab w:val="left" w:pos="-720"/>
        </w:tabs>
        <w:suppressAutoHyphens/>
        <w:ind w:left="720"/>
      </w:pPr>
      <w:r>
        <w:t xml:space="preserve">considered private. However, RI 30-10 does collect information regarding the disabled child’s medical condition. The information is needed so that OPM can determine whether the child is disabled within the meaning of the law. The respondent is aware that OPM needs the medical documentation and assists in the transaction by taking the </w:t>
      </w:r>
    </w:p>
    <w:p w:rsidR="00E757EF" w:rsidP="00EE3697" w:rsidRDefault="00EE3697" w14:paraId="239349DB" w14:textId="412A8A78">
      <w:pPr>
        <w:tabs>
          <w:tab w:val="left" w:pos="-720"/>
        </w:tabs>
        <w:suppressAutoHyphens/>
        <w:ind w:left="720"/>
      </w:pPr>
      <w:r>
        <w:t>RI 30-10 to the child’s physician to obtain the required medical documentation.</w:t>
      </w:r>
    </w:p>
    <w:p w:rsidR="00EE3697" w:rsidP="00EE3697" w:rsidRDefault="00EE3697" w14:paraId="1A516F61" w14:textId="77777777">
      <w:pPr>
        <w:tabs>
          <w:tab w:val="left" w:pos="-720"/>
        </w:tabs>
        <w:suppressAutoHyphens/>
        <w:ind w:left="720"/>
      </w:pPr>
    </w:p>
    <w:p w:rsidRPr="00741061" w:rsidR="00E757EF" w:rsidP="00E757EF" w:rsidRDefault="00E757EF" w14:paraId="64852EBF" w14:textId="77777777">
      <w:pPr>
        <w:pStyle w:val="ListParagraph"/>
        <w:shd w:val="pct25" w:color="auto" w:fill="FFFFFF"/>
        <w:tabs>
          <w:tab w:val="left" w:pos="-720"/>
        </w:tabs>
        <w:suppressAutoHyphens/>
        <w:ind w:left="288"/>
      </w:pPr>
      <w:bookmarkStart w:name="_Hlk73091181" w:id="15"/>
      <w:r w:rsidRPr="00741061">
        <w:t>12. Provide estimates of the hour burden of the collection of information.  The statement</w:t>
      </w:r>
      <w:r>
        <w:br/>
        <w:t xml:space="preserve">     </w:t>
      </w:r>
      <w:r w:rsidRPr="00741061">
        <w:t xml:space="preserve"> should:</w:t>
      </w:r>
    </w:p>
    <w:p w:rsidRPr="00741061" w:rsidR="00E757EF" w:rsidP="00E757EF" w:rsidRDefault="00E757EF" w14:paraId="645F4D92" w14:textId="77777777">
      <w:pPr>
        <w:pStyle w:val="ListParagraph"/>
        <w:tabs>
          <w:tab w:val="left" w:pos="-720"/>
        </w:tabs>
        <w:suppressAutoHyphens/>
      </w:pPr>
    </w:p>
    <w:p w:rsidR="00E757EF" w:rsidP="00E757EF" w:rsidRDefault="00E757EF" w14:paraId="372FC15E" w14:textId="77777777">
      <w:pPr>
        <w:pStyle w:val="ListParagraph"/>
        <w:shd w:val="pct25" w:color="auto" w:fill="auto"/>
        <w:tabs>
          <w:tab w:val="left" w:pos="-720"/>
        </w:tabs>
        <w:suppressAutoHyphens/>
        <w:ind w:left="1440" w:hanging="720"/>
      </w:pPr>
      <w:r>
        <w:t xml:space="preserve">a. </w:t>
      </w:r>
      <w:r>
        <w:tab/>
      </w:r>
      <w:r w:rsidRPr="00741061">
        <w:t>Indicate the number of respondents, frequency of response, annual hour burden,</w:t>
      </w:r>
      <w:r>
        <w:br/>
      </w:r>
      <w:r w:rsidRPr="00741061">
        <w:t>and</w:t>
      </w:r>
      <w:r>
        <w:t xml:space="preserve"> </w:t>
      </w:r>
      <w:r w:rsidRPr="00741061">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E757EF" w:rsidP="00E757EF" w:rsidRDefault="00E757EF" w14:paraId="3E19F922" w14:textId="77777777">
      <w:pPr>
        <w:pStyle w:val="ListParagraph"/>
        <w:shd w:val="pct25" w:color="auto" w:fill="auto"/>
        <w:tabs>
          <w:tab w:val="left" w:pos="-720"/>
        </w:tabs>
        <w:suppressAutoHyphens/>
        <w:ind w:left="1440" w:hanging="720"/>
      </w:pPr>
      <w:r w:rsidRPr="00741061">
        <w:t xml:space="preserve">b.  </w:t>
      </w:r>
      <w:r>
        <w:tab/>
      </w:r>
      <w:r w:rsidRPr="00741061">
        <w:t>If this request for approval covers more than one form, provide separate hour</w:t>
      </w:r>
      <w:r>
        <w:br/>
      </w:r>
      <w:r w:rsidRPr="00741061">
        <w:t>burden estimates for each form and aggregate the hour burdens in Item 13 of OMB Form 83-I.</w:t>
      </w:r>
      <w:r>
        <w:t xml:space="preserve"> </w:t>
      </w:r>
    </w:p>
    <w:p w:rsidR="00A10BE7" w:rsidP="00EE3697" w:rsidRDefault="00E757EF" w14:paraId="4761ECD4" w14:textId="11A18A37">
      <w:pPr>
        <w:pStyle w:val="ListParagraph"/>
        <w:shd w:val="pct25" w:color="auto" w:fill="auto"/>
        <w:tabs>
          <w:tab w:val="left" w:pos="-720"/>
        </w:tabs>
        <w:suppressAutoHyphens/>
        <w:ind w:left="1440" w:hanging="720"/>
      </w:pPr>
      <w:r>
        <w:t xml:space="preserve">c. </w:t>
      </w:r>
      <w:r>
        <w:tab/>
      </w:r>
      <w:r w:rsidRPr="00741061">
        <w:t>Provide estimates of annualized cost to respondents for the hour burdens for</w:t>
      </w:r>
      <w:r>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bookmarkEnd w:id="13"/>
    </w:p>
    <w:bookmarkEnd w:id="15"/>
    <w:p w:rsidR="00EE35E7" w:rsidP="00EE3697" w:rsidRDefault="0029772F" w14:paraId="12C75503" w14:textId="7429162C">
      <w:pPr>
        <w:spacing w:before="240"/>
        <w:ind w:left="720"/>
      </w:pPr>
      <w:r>
        <w:lastRenderedPageBreak/>
        <w:t>Approximately 2,500 Disabled Dependent Questionnaires will be processed each year.</w:t>
      </w:r>
      <w:r w:rsidR="00317723">
        <w:t xml:space="preserve"> </w:t>
      </w:r>
      <w:r w:rsidR="00EE3697">
        <w:br/>
      </w:r>
      <w:r>
        <w:t>RI 30-10 requires approximately 60 minutes for completing.  The annual burden of</w:t>
      </w:r>
      <w:r w:rsidR="00850F99">
        <w:br/>
      </w:r>
      <w:r>
        <w:t>2,500 hours is estimated.</w:t>
      </w:r>
      <w:r w:rsidR="00317723">
        <w:t xml:space="preserve"> We estimate that respondents pay $100 to $150 to obtain needed medical records and physician’s statements. They do not necessarily have to get a special medical evaluation to fulfill the OPM requirements.</w:t>
      </w:r>
      <w:r w:rsidR="00EE35E7">
        <w:br/>
      </w:r>
    </w:p>
    <w:tbl>
      <w:tblPr>
        <w:tblStyle w:val="TableGrid"/>
        <w:tblW w:w="0" w:type="auto"/>
        <w:tblInd w:w="720" w:type="dxa"/>
        <w:tblLook w:val="04A0" w:firstRow="1" w:lastRow="0" w:firstColumn="1" w:lastColumn="0" w:noHBand="0" w:noVBand="1"/>
      </w:tblPr>
      <w:tblGrid>
        <w:gridCol w:w="1306"/>
        <w:gridCol w:w="919"/>
        <w:gridCol w:w="1230"/>
        <w:gridCol w:w="1156"/>
        <w:gridCol w:w="1038"/>
        <w:gridCol w:w="886"/>
        <w:gridCol w:w="939"/>
        <w:gridCol w:w="1156"/>
      </w:tblGrid>
      <w:tr w:rsidR="008869F8" w:rsidTr="00703260" w14:paraId="075ED66C" w14:textId="77777777">
        <w:tc>
          <w:tcPr>
            <w:tcW w:w="1346" w:type="dxa"/>
            <w:shd w:val="clear" w:color="auto" w:fill="D9D9D9" w:themeFill="background1" w:themeFillShade="D9"/>
          </w:tcPr>
          <w:p w:rsidRPr="008869F8" w:rsidR="00EE35E7" w:rsidP="00EE35E7" w:rsidRDefault="00723DAF" w14:paraId="04151F52" w14:textId="77777777">
            <w:pPr>
              <w:spacing w:before="240"/>
              <w:rPr>
                <w:rFonts w:ascii="Arial" w:hAnsi="Arial" w:cs="Arial"/>
                <w:b/>
                <w:sz w:val="16"/>
                <w:szCs w:val="16"/>
              </w:rPr>
            </w:pPr>
            <w:r w:rsidRPr="008869F8">
              <w:rPr>
                <w:rFonts w:ascii="Arial" w:hAnsi="Arial" w:cs="Arial"/>
                <w:b/>
                <w:sz w:val="16"/>
                <w:szCs w:val="16"/>
              </w:rPr>
              <w:t>Form Name</w:t>
            </w:r>
          </w:p>
        </w:tc>
        <w:tc>
          <w:tcPr>
            <w:tcW w:w="967" w:type="dxa"/>
            <w:shd w:val="clear" w:color="auto" w:fill="D9D9D9" w:themeFill="background1" w:themeFillShade="D9"/>
          </w:tcPr>
          <w:p w:rsidRPr="008869F8" w:rsidR="00EE35E7" w:rsidP="00EE35E7" w:rsidRDefault="00723DAF" w14:paraId="395F4E5A" w14:textId="7777777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EE35E7" w:rsidP="00EE35E7" w:rsidRDefault="00723DAF" w14:paraId="184DAA10" w14:textId="77777777">
            <w:pPr>
              <w:spacing w:before="240"/>
              <w:rPr>
                <w:rFonts w:ascii="Arial" w:hAnsi="Arial" w:cs="Arial"/>
                <w:b/>
                <w:sz w:val="16"/>
                <w:szCs w:val="16"/>
              </w:rPr>
            </w:pPr>
            <w:r w:rsidRPr="008869F8">
              <w:rPr>
                <w:rFonts w:ascii="Arial" w:hAnsi="Arial" w:cs="Arial"/>
                <w:b/>
                <w:sz w:val="16"/>
                <w:szCs w:val="16"/>
              </w:rPr>
              <w:t>No. of Respondents</w:t>
            </w:r>
          </w:p>
        </w:tc>
        <w:tc>
          <w:tcPr>
            <w:tcW w:w="1163" w:type="dxa"/>
            <w:shd w:val="clear" w:color="auto" w:fill="D9D9D9" w:themeFill="background1" w:themeFillShade="D9"/>
          </w:tcPr>
          <w:p w:rsidRPr="008869F8" w:rsidR="00EE35E7" w:rsidP="00EE35E7" w:rsidRDefault="00723DAF" w14:paraId="7681F9B5"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065" w:type="dxa"/>
            <w:shd w:val="clear" w:color="auto" w:fill="D9D9D9" w:themeFill="background1" w:themeFillShade="D9"/>
          </w:tcPr>
          <w:p w:rsidRPr="008869F8" w:rsidR="00EE35E7" w:rsidP="002A25A7" w:rsidRDefault="00723DAF" w14:paraId="7355830C" w14:textId="77777777">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939" w:type="dxa"/>
            <w:shd w:val="clear" w:color="auto" w:fill="D9D9D9" w:themeFill="background1" w:themeFillShade="D9"/>
          </w:tcPr>
          <w:p w:rsidRPr="008869F8" w:rsidR="00EE35E7" w:rsidP="00EE35E7" w:rsidRDefault="00723DAF" w14:paraId="32914B96" w14:textId="7777777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983" w:type="dxa"/>
            <w:shd w:val="clear" w:color="auto" w:fill="D9D9D9" w:themeFill="background1" w:themeFillShade="D9"/>
          </w:tcPr>
          <w:p w:rsidRPr="008869F8" w:rsidR="00EE35E7" w:rsidP="00EE35E7" w:rsidRDefault="00723DAF" w14:paraId="0B0D8672" w14:textId="7777777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63" w:type="dxa"/>
            <w:shd w:val="clear" w:color="auto" w:fill="D9D9D9" w:themeFill="background1" w:themeFillShade="D9"/>
          </w:tcPr>
          <w:p w:rsidRPr="008869F8" w:rsidR="00EE35E7" w:rsidP="00EE35E7" w:rsidRDefault="00723DAF" w14:paraId="20EB8BCC" w14:textId="7777777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703260" w14:paraId="2B6D3ACF" w14:textId="77777777">
        <w:tc>
          <w:tcPr>
            <w:tcW w:w="1346" w:type="dxa"/>
          </w:tcPr>
          <w:p w:rsidRPr="008869F8" w:rsidR="00EE35E7" w:rsidP="00EE35E7" w:rsidRDefault="00703260" w14:paraId="5C54A162" w14:textId="77777777">
            <w:pPr>
              <w:spacing w:before="240"/>
              <w:rPr>
                <w:sz w:val="18"/>
                <w:szCs w:val="18"/>
              </w:rPr>
            </w:pPr>
            <w:r>
              <w:rPr>
                <w:sz w:val="18"/>
                <w:szCs w:val="18"/>
              </w:rPr>
              <w:t>Disabled Dependent Questionnaire</w:t>
            </w:r>
          </w:p>
        </w:tc>
        <w:tc>
          <w:tcPr>
            <w:tcW w:w="967" w:type="dxa"/>
          </w:tcPr>
          <w:p w:rsidRPr="008869F8" w:rsidR="00EE35E7" w:rsidP="00EE35E7" w:rsidRDefault="00703260" w14:paraId="35C016A0" w14:textId="77777777">
            <w:pPr>
              <w:spacing w:before="240"/>
              <w:rPr>
                <w:sz w:val="18"/>
                <w:szCs w:val="18"/>
              </w:rPr>
            </w:pPr>
            <w:r>
              <w:rPr>
                <w:sz w:val="18"/>
                <w:szCs w:val="18"/>
              </w:rPr>
              <w:t>RI 30-10</w:t>
            </w:r>
          </w:p>
        </w:tc>
        <w:tc>
          <w:tcPr>
            <w:tcW w:w="1230" w:type="dxa"/>
          </w:tcPr>
          <w:p w:rsidRPr="008869F8" w:rsidR="00EE35E7" w:rsidP="008869F8" w:rsidRDefault="00703260" w14:paraId="2530D2CA" w14:textId="77777777">
            <w:pPr>
              <w:spacing w:before="240"/>
              <w:jc w:val="right"/>
              <w:rPr>
                <w:sz w:val="18"/>
                <w:szCs w:val="18"/>
              </w:rPr>
            </w:pPr>
            <w:r>
              <w:rPr>
                <w:sz w:val="18"/>
                <w:szCs w:val="18"/>
              </w:rPr>
              <w:t>2,5</w:t>
            </w:r>
            <w:r w:rsidR="008869F8">
              <w:rPr>
                <w:sz w:val="18"/>
                <w:szCs w:val="18"/>
              </w:rPr>
              <w:t>00</w:t>
            </w:r>
          </w:p>
        </w:tc>
        <w:tc>
          <w:tcPr>
            <w:tcW w:w="1163" w:type="dxa"/>
          </w:tcPr>
          <w:p w:rsidRPr="008869F8" w:rsidR="00EE35E7" w:rsidP="008869F8" w:rsidRDefault="008869F8" w14:paraId="5D1360FA" w14:textId="77777777">
            <w:pPr>
              <w:spacing w:before="240"/>
              <w:jc w:val="right"/>
              <w:rPr>
                <w:sz w:val="18"/>
                <w:szCs w:val="18"/>
              </w:rPr>
            </w:pPr>
            <w:r>
              <w:rPr>
                <w:sz w:val="18"/>
                <w:szCs w:val="18"/>
              </w:rPr>
              <w:t>1</w:t>
            </w:r>
          </w:p>
        </w:tc>
        <w:tc>
          <w:tcPr>
            <w:tcW w:w="1065" w:type="dxa"/>
          </w:tcPr>
          <w:p w:rsidRPr="008869F8" w:rsidR="00EE35E7" w:rsidP="00703260" w:rsidRDefault="00703260" w14:paraId="4B7C4F9B" w14:textId="77777777">
            <w:pPr>
              <w:spacing w:before="240"/>
              <w:jc w:val="right"/>
              <w:rPr>
                <w:sz w:val="18"/>
                <w:szCs w:val="18"/>
              </w:rPr>
            </w:pPr>
            <w:r>
              <w:rPr>
                <w:sz w:val="18"/>
                <w:szCs w:val="18"/>
              </w:rPr>
              <w:t>1</w:t>
            </w:r>
            <w:r w:rsidR="002149DF">
              <w:rPr>
                <w:sz w:val="18"/>
                <w:szCs w:val="18"/>
              </w:rPr>
              <w:t xml:space="preserve"> </w:t>
            </w:r>
            <w:r>
              <w:rPr>
                <w:sz w:val="18"/>
                <w:szCs w:val="18"/>
              </w:rPr>
              <w:t>hour</w:t>
            </w:r>
          </w:p>
        </w:tc>
        <w:tc>
          <w:tcPr>
            <w:tcW w:w="939" w:type="dxa"/>
          </w:tcPr>
          <w:p w:rsidRPr="008869F8" w:rsidR="00EE35E7" w:rsidP="008869F8" w:rsidRDefault="00703260" w14:paraId="7B06BFA7" w14:textId="77777777">
            <w:pPr>
              <w:spacing w:before="240"/>
              <w:jc w:val="right"/>
              <w:rPr>
                <w:sz w:val="18"/>
                <w:szCs w:val="18"/>
              </w:rPr>
            </w:pPr>
            <w:r>
              <w:rPr>
                <w:sz w:val="18"/>
                <w:szCs w:val="18"/>
              </w:rPr>
              <w:t>2,5</w:t>
            </w:r>
            <w:r w:rsidR="008869F8">
              <w:rPr>
                <w:sz w:val="18"/>
                <w:szCs w:val="18"/>
              </w:rPr>
              <w:t>00</w:t>
            </w:r>
          </w:p>
        </w:tc>
        <w:tc>
          <w:tcPr>
            <w:tcW w:w="983" w:type="dxa"/>
          </w:tcPr>
          <w:p w:rsidRPr="008869F8" w:rsidR="00EE35E7" w:rsidP="002A25A7" w:rsidRDefault="002A25A7" w14:paraId="4CF35B69" w14:textId="400B1CEB">
            <w:pPr>
              <w:spacing w:before="240"/>
              <w:jc w:val="center"/>
              <w:rPr>
                <w:sz w:val="18"/>
                <w:szCs w:val="18"/>
              </w:rPr>
            </w:pPr>
            <w:r>
              <w:rPr>
                <w:sz w:val="18"/>
                <w:szCs w:val="18"/>
              </w:rPr>
              <w:t>$</w:t>
            </w:r>
            <w:r w:rsidR="00E757EF">
              <w:rPr>
                <w:sz w:val="18"/>
                <w:szCs w:val="18"/>
              </w:rPr>
              <w:t>21.5</w:t>
            </w:r>
            <w:r w:rsidR="00433131">
              <w:rPr>
                <w:sz w:val="18"/>
                <w:szCs w:val="18"/>
              </w:rPr>
              <w:t>0</w:t>
            </w:r>
          </w:p>
        </w:tc>
        <w:tc>
          <w:tcPr>
            <w:tcW w:w="1163" w:type="dxa"/>
          </w:tcPr>
          <w:p w:rsidRPr="008869F8" w:rsidR="00EE35E7" w:rsidP="002A25A7" w:rsidRDefault="002A25A7" w14:paraId="2F069ACB" w14:textId="3F3075D9">
            <w:pPr>
              <w:spacing w:before="240"/>
              <w:jc w:val="center"/>
              <w:rPr>
                <w:sz w:val="18"/>
                <w:szCs w:val="18"/>
              </w:rPr>
            </w:pPr>
            <w:bookmarkStart w:name="_Hlk71720714" w:id="16"/>
            <w:r>
              <w:rPr>
                <w:sz w:val="18"/>
                <w:szCs w:val="18"/>
              </w:rPr>
              <w:t>$</w:t>
            </w:r>
            <w:r w:rsidR="00317723">
              <w:rPr>
                <w:sz w:val="18"/>
                <w:szCs w:val="18"/>
              </w:rPr>
              <w:t>67,187.50</w:t>
            </w:r>
            <w:bookmarkEnd w:id="16"/>
          </w:p>
        </w:tc>
      </w:tr>
    </w:tbl>
    <w:p w:rsidR="00EE3697" w:rsidP="00EE3697" w:rsidRDefault="00317723" w14:paraId="79CBF3A0" w14:textId="59BA3556">
      <w:pPr>
        <w:spacing w:before="240"/>
        <w:ind w:left="720"/>
      </w:pPr>
      <w:bookmarkStart w:name="_Hlk73091610" w:id="17"/>
      <w:r>
        <w:t xml:space="preserve">The Total Annual Respondent Cost is </w:t>
      </w:r>
      <w:r w:rsidRPr="00317723">
        <w:t>$67,187.50</w:t>
      </w:r>
      <w:r>
        <w:t>.</w:t>
      </w:r>
      <w:r w:rsidR="001304F3">
        <w:t xml:space="preserve"> </w:t>
      </w:r>
      <w:bookmarkEnd w:id="17"/>
    </w:p>
    <w:p w:rsidR="00EE3697" w:rsidP="00EE3697" w:rsidRDefault="00EE3697" w14:paraId="32E1F6FE" w14:textId="77777777">
      <w:pPr>
        <w:spacing w:before="240"/>
        <w:ind w:left="720"/>
      </w:pPr>
    </w:p>
    <w:p w:rsidRPr="00741061" w:rsidR="00317723" w:rsidP="00317723" w:rsidRDefault="00317723" w14:paraId="06C23661" w14:textId="77777777">
      <w:pPr>
        <w:pStyle w:val="ListParagraph"/>
        <w:shd w:val="pct25" w:color="auto" w:fill="auto"/>
        <w:tabs>
          <w:tab w:val="left" w:pos="-720"/>
        </w:tabs>
        <w:suppressAutoHyphens/>
        <w:ind w:left="288"/>
      </w:pPr>
      <w:bookmarkStart w:name="_Hlk71714559" w:id="18"/>
      <w:r w:rsidRPr="00741061">
        <w:t>13.   Provide an estimate of the total annual cost burden to respondents or record-keepers</w:t>
      </w:r>
      <w:r>
        <w:br/>
        <w:t xml:space="preserve">       </w:t>
      </w:r>
      <w:r w:rsidRPr="00741061">
        <w:t xml:space="preserve"> resulting from the collection of information.  (Do not include the cost of any hour burden</w:t>
      </w:r>
      <w:r>
        <w:br/>
        <w:t xml:space="preserve">       </w:t>
      </w:r>
      <w:r w:rsidRPr="00741061">
        <w:t xml:space="preserve"> shown in Items 12 and 14.)</w:t>
      </w:r>
    </w:p>
    <w:p w:rsidRPr="00741061" w:rsidR="00317723" w:rsidP="00317723" w:rsidRDefault="00317723" w14:paraId="63ACE61A" w14:textId="77777777">
      <w:pPr>
        <w:pStyle w:val="ListParagraph"/>
        <w:shd w:val="pct25" w:color="auto" w:fill="auto"/>
        <w:tabs>
          <w:tab w:val="left" w:pos="-720"/>
        </w:tabs>
        <w:suppressAutoHyphens/>
      </w:pPr>
    </w:p>
    <w:p w:rsidRPr="00741061" w:rsidR="00317723" w:rsidP="00317723" w:rsidRDefault="00317723" w14:paraId="7B045C7E" w14:textId="02A6C87C">
      <w:pPr>
        <w:pStyle w:val="ListParagraph"/>
        <w:shd w:val="pct25" w:color="auto" w:fill="auto"/>
        <w:tabs>
          <w:tab w:val="left" w:pos="-720"/>
          <w:tab w:val="left" w:pos="810"/>
        </w:tabs>
        <w:suppressAutoHyphens/>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741061">
        <w:t>time period</w:t>
      </w:r>
      <w:proofErr w:type="gramEnd"/>
      <w:r w:rsidRPr="00741061">
        <w:t xml:space="preserve"> over which costs will be incurred. Capital and start-up costs include, among other items, preparations for collecting information such as purchasing computers and software; monitoring, sampling, </w:t>
      </w:r>
      <w:proofErr w:type="gramStart"/>
      <w:r w:rsidRPr="00741061">
        <w:t>drilling</w:t>
      </w:r>
      <w:proofErr w:type="gramEnd"/>
      <w:r w:rsidRPr="00741061">
        <w:t xml:space="preserve"> and testing equipment; and record storage facilities.</w:t>
      </w:r>
    </w:p>
    <w:p w:rsidRPr="00741061" w:rsidR="00317723" w:rsidP="00317723" w:rsidRDefault="00317723" w14:paraId="715D40EF" w14:textId="77777777">
      <w:pPr>
        <w:pStyle w:val="ListParagraph"/>
        <w:shd w:val="pct25" w:color="auto" w:fill="FFFFFF"/>
        <w:tabs>
          <w:tab w:val="left" w:pos="-720"/>
        </w:tabs>
        <w:suppressAutoHyphens/>
      </w:pPr>
    </w:p>
    <w:p w:rsidRPr="00741061" w:rsidR="00317723" w:rsidP="00317723" w:rsidRDefault="00317723" w14:paraId="21911812" w14:textId="6A2CA53F">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w:t>
      </w:r>
      <w:r w:rsidR="00756E46">
        <w:t xml:space="preserve"> </w:t>
      </w:r>
      <w:r w:rsidRPr="00741061">
        <w:t>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317723" w:rsidP="00317723" w:rsidRDefault="00317723" w14:paraId="56553F22" w14:textId="77777777">
      <w:pPr>
        <w:pStyle w:val="ListParagraph"/>
        <w:shd w:val="pct25" w:color="auto" w:fill="FFFFFF"/>
        <w:tabs>
          <w:tab w:val="left" w:pos="-720"/>
        </w:tabs>
        <w:suppressAutoHyphens/>
      </w:pPr>
    </w:p>
    <w:p w:rsidRPr="00741061" w:rsidR="00317723" w:rsidP="00317723" w:rsidRDefault="00317723" w14:paraId="1F63D7F7" w14:textId="77777777">
      <w:pPr>
        <w:pStyle w:val="ListParagraph"/>
        <w:shd w:val="pct25" w:color="auto" w:fill="FFFFFF"/>
        <w:tabs>
          <w:tab w:val="left" w:pos="-720"/>
        </w:tabs>
        <w:suppressAutoHyphens/>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bookmarkEnd w:id="18"/>
    <w:p w:rsidR="00957EE5" w:rsidP="007E2B7D" w:rsidRDefault="00957EE5" w14:paraId="7D5CB8F1" w14:textId="77777777">
      <w:pPr>
        <w:spacing w:before="240"/>
      </w:pPr>
    </w:p>
    <w:p w:rsidR="00317723" w:rsidP="00317723" w:rsidRDefault="00317723" w14:paraId="0FA7E19A" w14:textId="1E3183A5">
      <w:pPr>
        <w:pStyle w:val="ListParagraph"/>
        <w:tabs>
          <w:tab w:val="left" w:pos="-720"/>
        </w:tabs>
        <w:suppressAutoHyphens/>
        <w:ind w:left="288"/>
      </w:pPr>
      <w:r>
        <w:tab/>
      </w:r>
      <w:bookmarkStart w:name="_Hlk73092276" w:id="19"/>
      <w:r w:rsidR="00933321">
        <w:t>There is no change in the respondent burden.</w:t>
      </w:r>
    </w:p>
    <w:p w:rsidR="00317723" w:rsidP="00756E46" w:rsidRDefault="00317723" w14:paraId="2DEE011F" w14:textId="55C2C179">
      <w:pPr>
        <w:spacing w:before="240"/>
        <w:ind w:left="288"/>
      </w:pPr>
      <w:bookmarkStart w:name="_Hlk71714616" w:id="20"/>
      <w:bookmarkStart w:name="_Hlk73091773" w:id="21"/>
      <w:bookmarkStart w:name="_Hlk73092245" w:id="22"/>
      <w:bookmarkEnd w:id="19"/>
      <w:r w:rsidRPr="00F6791D">
        <w:rPr>
          <w:highlight w:val="lightGray"/>
        </w:rPr>
        <w:lastRenderedPageBreak/>
        <w:t>14. Provide estimates of annualized cost to the Federal Government. Also, provide a</w:t>
      </w:r>
      <w:r w:rsidR="00756E46">
        <w:rPr>
          <w:highlight w:val="lightGray"/>
        </w:rPr>
        <w:tab/>
      </w:r>
      <w:r w:rsidR="00756E46">
        <w:rPr>
          <w:highlight w:val="lightGray"/>
        </w:rPr>
        <w:tab/>
      </w:r>
      <w:r>
        <w:rPr>
          <w:highlight w:val="lightGray"/>
        </w:rPr>
        <w:br/>
        <w:t xml:space="preserve">      </w:t>
      </w:r>
      <w:r w:rsidRPr="00F6791D">
        <w:rPr>
          <w:highlight w:val="lightGray"/>
        </w:rPr>
        <w:t xml:space="preserve"> description of the method used to estimate cost, which should include quantification of</w:t>
      </w:r>
      <w:r w:rsidR="00756E46">
        <w:rPr>
          <w:highlight w:val="lightGray"/>
        </w:rPr>
        <w:tab/>
      </w:r>
      <w:r>
        <w:rPr>
          <w:highlight w:val="lightGray"/>
        </w:rPr>
        <w:br/>
        <w:t xml:space="preserve">      </w:t>
      </w:r>
      <w:r w:rsidRPr="00F6791D">
        <w:rPr>
          <w:highlight w:val="lightGray"/>
        </w:rPr>
        <w:t xml:space="preserve"> hours, operational expenses (such as equipment, overhead, printing and support staff),</w:t>
      </w:r>
      <w:r w:rsidR="00756E46">
        <w:rPr>
          <w:highlight w:val="lightGray"/>
        </w:rPr>
        <w:tab/>
      </w:r>
      <w:r>
        <w:rPr>
          <w:highlight w:val="lightGray"/>
        </w:rPr>
        <w:br/>
        <w:t xml:space="preserve">      </w:t>
      </w:r>
      <w:r w:rsidRPr="00F6791D">
        <w:rPr>
          <w:highlight w:val="lightGray"/>
        </w:rPr>
        <w:t xml:space="preserve"> and any other expense that would have been incurred without this collection of</w:t>
      </w:r>
      <w:r w:rsidR="00756E46">
        <w:rPr>
          <w:highlight w:val="lightGray"/>
        </w:rPr>
        <w:tab/>
      </w:r>
      <w:r w:rsidR="00756E46">
        <w:rPr>
          <w:highlight w:val="lightGray"/>
        </w:rPr>
        <w:tab/>
      </w:r>
      <w:r>
        <w:rPr>
          <w:highlight w:val="lightGray"/>
        </w:rPr>
        <w:br/>
        <w:t xml:space="preserve">      </w:t>
      </w:r>
      <w:r w:rsidRPr="00F6791D">
        <w:rPr>
          <w:highlight w:val="lightGray"/>
        </w:rPr>
        <w:t xml:space="preserve"> information. You may also aggregate cost estimates for Items 12, 13, and 14 in a single</w:t>
      </w:r>
      <w:r w:rsidR="00756E46">
        <w:rPr>
          <w:highlight w:val="lightGray"/>
        </w:rPr>
        <w:tab/>
      </w:r>
      <w:r>
        <w:rPr>
          <w:highlight w:val="lightGray"/>
        </w:rPr>
        <w:br/>
        <w:t xml:space="preserve">      </w:t>
      </w:r>
      <w:r w:rsidRPr="00F6791D">
        <w:rPr>
          <w:highlight w:val="lightGray"/>
        </w:rPr>
        <w:t xml:space="preserve"> table</w:t>
      </w:r>
      <w:r>
        <w:rPr>
          <w:highlight w:val="lightGray"/>
        </w:rPr>
        <w:t>.</w:t>
      </w:r>
      <w:r>
        <w:rPr>
          <w:highlight w:val="lightGray"/>
        </w:rPr>
        <w:tab/>
      </w:r>
      <w:bookmarkEnd w:id="21"/>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r>
        <w:rPr>
          <w:highlight w:val="lightGray"/>
        </w:rPr>
        <w:tab/>
      </w:r>
      <w:bookmarkEnd w:id="20"/>
    </w:p>
    <w:bookmarkEnd w:id="22"/>
    <w:p w:rsidR="00E473D8" w:rsidP="00E473D8" w:rsidRDefault="00264A07" w14:paraId="2A420217" w14:textId="77777777">
      <w:pPr>
        <w:ind w:left="288"/>
      </w:pPr>
      <w:r>
        <w:tab/>
      </w:r>
    </w:p>
    <w:p w:rsidR="00DC397F" w:rsidP="00E473D8" w:rsidRDefault="00EF5FE6" w14:paraId="18500F6F" w14:textId="4A1C126D">
      <w:pPr>
        <w:ind w:left="288" w:firstLine="432"/>
      </w:pPr>
      <w:r>
        <w:t>The annualized cost to the Federal government is $7,725.  This cost was determined by</w:t>
      </w:r>
      <w:r w:rsidR="00264A07">
        <w:br/>
        <w:t xml:space="preserve">      </w:t>
      </w:r>
      <w:r>
        <w:t xml:space="preserve"> employee salary hours devoted to the program, forms cost, and overhead.</w:t>
      </w:r>
    </w:p>
    <w:p w:rsidR="00E473D8" w:rsidP="00E473D8" w:rsidRDefault="00E473D8" w14:paraId="31FBB518" w14:textId="77777777">
      <w:pPr>
        <w:ind w:left="288" w:firstLine="432"/>
      </w:pPr>
    </w:p>
    <w:p w:rsidRPr="00741061" w:rsidR="00DC397F" w:rsidP="00DC397F" w:rsidRDefault="00DC397F" w14:paraId="1622E0AC" w14:textId="77777777">
      <w:pPr>
        <w:pStyle w:val="ListParagraph"/>
        <w:shd w:val="pct25" w:color="auto" w:fill="auto"/>
        <w:tabs>
          <w:tab w:val="left" w:pos="-720"/>
        </w:tabs>
        <w:suppressAutoHyphens/>
        <w:ind w:left="288"/>
      </w:pPr>
      <w:bookmarkStart w:name="_Hlk71714941" w:id="23"/>
      <w:bookmarkStart w:name="_Hlk73092326" w:id="24"/>
      <w:r w:rsidRPr="00741061">
        <w:t>15.  Explain the reasons for any program changes or adjustments reported in Items 13 or 14 of</w:t>
      </w:r>
      <w:r>
        <w:br/>
        <w:t xml:space="preserve">      </w:t>
      </w:r>
      <w:r w:rsidRPr="00741061">
        <w:t xml:space="preserve"> the OMB Form 83-I.  Changes in hour burden, i.e., program changes or adjustments made</w:t>
      </w:r>
      <w:r>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br/>
        <w:t xml:space="preserve">      </w:t>
      </w:r>
      <w:r w:rsidRPr="00741061">
        <w:t xml:space="preserve"> result of deliberate Federal government action.  All new collections and any subsequent</w:t>
      </w:r>
      <w:r>
        <w:br/>
        <w:t xml:space="preserve">      </w:t>
      </w:r>
      <w:r w:rsidRPr="00741061">
        <w:t xml:space="preserve"> revisions of existing collections (e.g., the addition or deletion of questions) are recorded</w:t>
      </w:r>
      <w:r>
        <w:br/>
        <w:t xml:space="preserve">      </w:t>
      </w:r>
      <w:r w:rsidRPr="00741061">
        <w:t xml:space="preserve"> as program changes.  An adjustment is a change that is not the result of a deliberate</w:t>
      </w:r>
      <w:r>
        <w:br/>
        <w:t xml:space="preserve">       </w:t>
      </w:r>
      <w:r w:rsidRPr="00741061">
        <w:t>Federal government action.  These changes that result from new estimates or actions not</w:t>
      </w:r>
      <w:r>
        <w:br/>
        <w:t xml:space="preserve">      </w:t>
      </w:r>
      <w:r w:rsidRPr="00741061">
        <w:t xml:space="preserve"> controllable by the Federal government are recorded as adjustments. </w:t>
      </w:r>
    </w:p>
    <w:p w:rsidRPr="00741061" w:rsidR="00DC397F" w:rsidP="00DC397F" w:rsidRDefault="00DC397F" w14:paraId="5311EE7D" w14:textId="77777777">
      <w:pPr>
        <w:pStyle w:val="ListParagraph"/>
        <w:tabs>
          <w:tab w:val="left" w:pos="-720"/>
        </w:tabs>
        <w:suppressAutoHyphens/>
      </w:pPr>
    </w:p>
    <w:p w:rsidR="00DC397F" w:rsidP="00DC397F" w:rsidRDefault="00DC397F" w14:paraId="71F7209A" w14:textId="027D3236">
      <w:pPr>
        <w:pStyle w:val="ListParagraph"/>
        <w:tabs>
          <w:tab w:val="left" w:pos="-720"/>
        </w:tabs>
        <w:suppressAutoHyphens/>
      </w:pPr>
      <w:r>
        <w:t>This Information Collection Request (ICR) has been revised to update the display of the OMB control number.</w:t>
      </w:r>
      <w:r w:rsidR="00287D27">
        <w:t xml:space="preserve"> Under Part B, the term “Physician” has been changed to “Licensed Healthcare Professional.”</w:t>
      </w:r>
    </w:p>
    <w:p w:rsidR="00DC397F" w:rsidP="00DC397F" w:rsidRDefault="00DC397F" w14:paraId="30AAA311" w14:textId="77777777">
      <w:pPr>
        <w:pStyle w:val="ListParagraph"/>
        <w:tabs>
          <w:tab w:val="left" w:pos="-720"/>
        </w:tabs>
        <w:suppressAutoHyphens/>
      </w:pPr>
    </w:p>
    <w:p w:rsidR="00DC397F" w:rsidP="00DC397F" w:rsidRDefault="00DC397F" w14:paraId="1D3E850A" w14:textId="77777777">
      <w:pPr>
        <w:pStyle w:val="ListParagraph"/>
        <w:tabs>
          <w:tab w:val="left" w:pos="-720"/>
        </w:tabs>
        <w:suppressAutoHyphens/>
      </w:pPr>
      <w:r>
        <w:t>There is no change in the hour or cost burden.</w:t>
      </w:r>
    </w:p>
    <w:bookmarkEnd w:id="24"/>
    <w:p w:rsidRPr="00741061" w:rsidR="00DC397F" w:rsidP="00DC397F" w:rsidRDefault="00DC397F" w14:paraId="02829D83" w14:textId="77777777">
      <w:pPr>
        <w:pStyle w:val="ListParagraph"/>
        <w:tabs>
          <w:tab w:val="left" w:pos="-720"/>
        </w:tabs>
        <w:suppressAutoHyphens/>
      </w:pPr>
    </w:p>
    <w:p w:rsidRPr="00741061" w:rsidR="00DC397F" w:rsidP="00DC397F" w:rsidRDefault="00DC397F" w14:paraId="67E16C00" w14:textId="77777777">
      <w:pPr>
        <w:pStyle w:val="ListParagraph"/>
        <w:shd w:val="pct25" w:color="auto" w:fill="auto"/>
        <w:tabs>
          <w:tab w:val="left" w:pos="-720"/>
        </w:tabs>
        <w:suppressAutoHyphens/>
        <w:ind w:left="288"/>
      </w:pPr>
      <w:bookmarkStart w:name="_Hlk73092388" w:id="25"/>
      <w:r w:rsidRPr="00741061">
        <w:t xml:space="preserve">16.  For collections of information whose results will be published, outline plans for </w:t>
      </w:r>
      <w:r>
        <w:br/>
        <w:t xml:space="preserve">       </w:t>
      </w:r>
      <w:r w:rsidRPr="00741061">
        <w:t>tabulation and publication.  Address any complex analytical techniques that will be used.</w:t>
      </w:r>
      <w:r>
        <w:br/>
        <w:t xml:space="preserve">     </w:t>
      </w:r>
      <w:r w:rsidRPr="00741061">
        <w:t xml:space="preserve">  Provide the time schedule for the entire project, including beginning and ending dates of</w:t>
      </w:r>
      <w:r>
        <w:br/>
        <w:t xml:space="preserve">      </w:t>
      </w:r>
      <w:r w:rsidRPr="00741061">
        <w:t xml:space="preserve"> the collection of information, completion of report, publication dates, and other actions. </w:t>
      </w:r>
    </w:p>
    <w:bookmarkEnd w:id="23"/>
    <w:p w:rsidRPr="00741061" w:rsidR="00DC397F" w:rsidP="00DC397F" w:rsidRDefault="00DC397F" w14:paraId="4DF92BCB" w14:textId="77777777">
      <w:pPr>
        <w:pStyle w:val="ListParagraph"/>
      </w:pPr>
    </w:p>
    <w:p w:rsidR="00DC397F" w:rsidP="00DC397F" w:rsidRDefault="00DC397F" w14:paraId="6B11FBE3" w14:textId="77777777">
      <w:pPr>
        <w:pStyle w:val="ListParagraph"/>
      </w:pPr>
      <w:r w:rsidRPr="00741061">
        <w:t>No information collected from the form will be published.</w:t>
      </w:r>
    </w:p>
    <w:p w:rsidRPr="00741061" w:rsidR="00DC397F" w:rsidP="00DC397F" w:rsidRDefault="00DC397F" w14:paraId="2BF917F2" w14:textId="77777777">
      <w:pPr>
        <w:pStyle w:val="ListParagraph"/>
      </w:pPr>
    </w:p>
    <w:p w:rsidRPr="00741061" w:rsidR="00DC397F" w:rsidP="00DC397F" w:rsidRDefault="00DC397F" w14:paraId="0E1868B9" w14:textId="77777777">
      <w:pPr>
        <w:pStyle w:val="ListParagraph"/>
        <w:shd w:val="pct25" w:color="auto" w:fill="auto"/>
        <w:tabs>
          <w:tab w:val="left" w:pos="-720"/>
        </w:tabs>
        <w:suppressAutoHyphens/>
        <w:ind w:left="288"/>
      </w:pPr>
      <w:bookmarkStart w:name="_Hlk71715000" w:id="26"/>
      <w:r w:rsidRPr="00741061">
        <w:t>17.  If seeking approval to not display the expiration date for OMB approval of the</w:t>
      </w:r>
      <w:r>
        <w:br/>
        <w:t xml:space="preserve">      </w:t>
      </w:r>
      <w:r w:rsidRPr="00741061">
        <w:t xml:space="preserve"> information collection, explain reasons that display would be inappropriate.</w:t>
      </w:r>
    </w:p>
    <w:bookmarkEnd w:id="26"/>
    <w:p w:rsidR="00DC397F" w:rsidP="00DC397F" w:rsidRDefault="00DC397F" w14:paraId="59763176" w14:textId="77777777">
      <w:pPr>
        <w:spacing w:before="240"/>
        <w:ind w:left="720"/>
      </w:pPr>
      <w:r w:rsidRPr="008A0DCF">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w:t>
      </w:r>
      <w:proofErr w:type="gramStart"/>
      <w:r w:rsidRPr="008A0DCF">
        <w:t>intranet</w:t>
      </w:r>
      <w:proofErr w:type="gramEnd"/>
      <w:r w:rsidRPr="008A0DCF">
        <w:t xml:space="preserve">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w:t>
      </w:r>
      <w:r w:rsidRPr="008A0DCF">
        <w:lastRenderedPageBreak/>
        <w:t>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DC397F" w:rsidP="00DC397F" w:rsidRDefault="00DC397F" w14:paraId="265454CF" w14:textId="77777777">
      <w:pPr>
        <w:pStyle w:val="ListParagraph"/>
        <w:tabs>
          <w:tab w:val="left" w:pos="-720"/>
        </w:tabs>
        <w:suppressAutoHyphens/>
      </w:pPr>
    </w:p>
    <w:p w:rsidRPr="00741061" w:rsidR="00DC397F" w:rsidP="00DC397F" w:rsidRDefault="00DC397F" w14:paraId="0110824E" w14:textId="2A9F1C09">
      <w:pPr>
        <w:pStyle w:val="ListParagraph"/>
        <w:shd w:val="pct25" w:color="auto" w:fill="auto"/>
        <w:tabs>
          <w:tab w:val="left" w:pos="-720"/>
        </w:tabs>
        <w:suppressAutoHyphens/>
        <w:ind w:left="288"/>
      </w:pPr>
      <w:bookmarkStart w:name="_Hlk71715172" w:id="27"/>
      <w:r w:rsidRPr="00741061">
        <w:t>18.  Explain each exception to the certification statement identified in Item 19 “Certification</w:t>
      </w:r>
      <w:r>
        <w:br/>
        <w:t xml:space="preserve">      </w:t>
      </w:r>
      <w:r w:rsidRPr="00741061">
        <w:t xml:space="preserve"> for Paperwork Reduction Act Submissions,” of OMB Form 83-I.</w:t>
      </w:r>
      <w:bookmarkEnd w:id="27"/>
    </w:p>
    <w:p w:rsidR="00DC397F" w:rsidP="00DC397F" w:rsidRDefault="00DC397F" w14:paraId="71638DB3" w14:textId="77777777">
      <w:pPr>
        <w:spacing w:before="240"/>
        <w:ind w:left="720"/>
      </w:pPr>
      <w:r>
        <w:t>There are no exceptions to the certification statement.</w:t>
      </w:r>
    </w:p>
    <w:bookmarkEnd w:id="25"/>
    <w:p w:rsidRPr="00741061" w:rsidR="00A10BE7" w:rsidP="00DC397F" w:rsidRDefault="00A10BE7" w14:paraId="0E01225A" w14:textId="77777777">
      <w:pPr>
        <w:tabs>
          <w:tab w:val="left" w:pos="-720"/>
        </w:tabs>
        <w:suppressAutoHyphens/>
      </w:pPr>
    </w:p>
    <w:sectPr w:rsidRPr="00741061"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0"/>
    <w:lvl w:ilvl="0">
      <w:start w:val="1"/>
      <w:numFmt w:val="decimal"/>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4EE72E0E"/>
    <w:multiLevelType w:val="singleLevel"/>
    <w:tmpl w:val="57722588"/>
    <w:lvl w:ilvl="0">
      <w:start w:val="1"/>
      <w:numFmt w:val="decimal"/>
      <w:lvlText w:val="%1."/>
      <w:lvlJc w:val="left"/>
      <w:pPr>
        <w:tabs>
          <w:tab w:val="num" w:pos="720"/>
        </w:tabs>
        <w:ind w:left="720" w:hanging="360"/>
      </w:pPr>
      <w:rPr>
        <w:rFonts w:hint="default"/>
      </w:rPr>
    </w:lvl>
  </w:abstractNum>
  <w:abstractNum w:abstractNumId="3"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1"/>
  </w:num>
  <w:num w:numId="2">
    <w:abstractNumId w:val="4"/>
  </w:num>
  <w:num w:numId="3">
    <w:abstractNumId w:val="0"/>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B116B"/>
    <w:rsid w:val="000F2435"/>
    <w:rsid w:val="001304F3"/>
    <w:rsid w:val="0013799B"/>
    <w:rsid w:val="00180165"/>
    <w:rsid w:val="001D5EE6"/>
    <w:rsid w:val="002056A0"/>
    <w:rsid w:val="002149DF"/>
    <w:rsid w:val="0022611B"/>
    <w:rsid w:val="00264A07"/>
    <w:rsid w:val="00287D27"/>
    <w:rsid w:val="0029772F"/>
    <w:rsid w:val="002A25A7"/>
    <w:rsid w:val="002C1F76"/>
    <w:rsid w:val="002C52D2"/>
    <w:rsid w:val="003016AB"/>
    <w:rsid w:val="00317723"/>
    <w:rsid w:val="00332AC9"/>
    <w:rsid w:val="003531FA"/>
    <w:rsid w:val="003B3C6B"/>
    <w:rsid w:val="003F0418"/>
    <w:rsid w:val="003F0958"/>
    <w:rsid w:val="00433131"/>
    <w:rsid w:val="00461DF9"/>
    <w:rsid w:val="00463DB1"/>
    <w:rsid w:val="004B5395"/>
    <w:rsid w:val="004B7139"/>
    <w:rsid w:val="00513374"/>
    <w:rsid w:val="005172B2"/>
    <w:rsid w:val="0055724B"/>
    <w:rsid w:val="005922B8"/>
    <w:rsid w:val="005B457D"/>
    <w:rsid w:val="006270E7"/>
    <w:rsid w:val="00665692"/>
    <w:rsid w:val="00667D8F"/>
    <w:rsid w:val="006B4621"/>
    <w:rsid w:val="006E05CF"/>
    <w:rsid w:val="006E63EA"/>
    <w:rsid w:val="006F2B3E"/>
    <w:rsid w:val="006F3205"/>
    <w:rsid w:val="00703260"/>
    <w:rsid w:val="00723DAF"/>
    <w:rsid w:val="00725964"/>
    <w:rsid w:val="007323C2"/>
    <w:rsid w:val="0075370D"/>
    <w:rsid w:val="00756E46"/>
    <w:rsid w:val="007579D2"/>
    <w:rsid w:val="007678A9"/>
    <w:rsid w:val="0078525D"/>
    <w:rsid w:val="00785DBB"/>
    <w:rsid w:val="007D1502"/>
    <w:rsid w:val="007E0CA7"/>
    <w:rsid w:val="007E2B7D"/>
    <w:rsid w:val="00850F99"/>
    <w:rsid w:val="00857989"/>
    <w:rsid w:val="008869F8"/>
    <w:rsid w:val="008C38B4"/>
    <w:rsid w:val="00921989"/>
    <w:rsid w:val="00933321"/>
    <w:rsid w:val="009423BC"/>
    <w:rsid w:val="00957EE5"/>
    <w:rsid w:val="00993A7C"/>
    <w:rsid w:val="00996461"/>
    <w:rsid w:val="009B6B61"/>
    <w:rsid w:val="009B7453"/>
    <w:rsid w:val="009E3188"/>
    <w:rsid w:val="00A10BE7"/>
    <w:rsid w:val="00A1458A"/>
    <w:rsid w:val="00A2752A"/>
    <w:rsid w:val="00A65744"/>
    <w:rsid w:val="00A85030"/>
    <w:rsid w:val="00AB130D"/>
    <w:rsid w:val="00AB6875"/>
    <w:rsid w:val="00BA1768"/>
    <w:rsid w:val="00BE2F13"/>
    <w:rsid w:val="00C34D5B"/>
    <w:rsid w:val="00CA3BCE"/>
    <w:rsid w:val="00D25BFD"/>
    <w:rsid w:val="00D26CA7"/>
    <w:rsid w:val="00D36669"/>
    <w:rsid w:val="00D570AB"/>
    <w:rsid w:val="00D6401C"/>
    <w:rsid w:val="00D708B5"/>
    <w:rsid w:val="00D840DF"/>
    <w:rsid w:val="00DB5807"/>
    <w:rsid w:val="00DC397F"/>
    <w:rsid w:val="00E132F8"/>
    <w:rsid w:val="00E16FE7"/>
    <w:rsid w:val="00E473D8"/>
    <w:rsid w:val="00E54E94"/>
    <w:rsid w:val="00E71269"/>
    <w:rsid w:val="00E75690"/>
    <w:rsid w:val="00E757EF"/>
    <w:rsid w:val="00E93455"/>
    <w:rsid w:val="00EB14B8"/>
    <w:rsid w:val="00ED296C"/>
    <w:rsid w:val="00EE35E7"/>
    <w:rsid w:val="00EE3697"/>
    <w:rsid w:val="00EF5963"/>
    <w:rsid w:val="00EF5FE6"/>
    <w:rsid w:val="00F03B3A"/>
    <w:rsid w:val="00F30321"/>
    <w:rsid w:val="00F60B26"/>
    <w:rsid w:val="00F71E60"/>
    <w:rsid w:val="00F9149F"/>
    <w:rsid w:val="00F950D7"/>
    <w:rsid w:val="00FA102C"/>
    <w:rsid w:val="00FC7E12"/>
    <w:rsid w:val="00FE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EFAC1"/>
  <w15:docId w15:val="{3813909C-814D-4EB2-BDF4-D7010693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styleId="BalloonText">
    <w:name w:val="Balloon Text"/>
    <w:basedOn w:val="Normal"/>
    <w:link w:val="BalloonTextChar"/>
    <w:uiPriority w:val="99"/>
    <w:semiHidden/>
    <w:unhideWhenUsed/>
    <w:rsid w:val="000F2435"/>
    <w:rPr>
      <w:rFonts w:ascii="Tahoma" w:hAnsi="Tahoma" w:cs="Tahoma"/>
      <w:sz w:val="16"/>
      <w:szCs w:val="16"/>
    </w:rPr>
  </w:style>
  <w:style w:type="character" w:customStyle="1" w:styleId="BalloonTextChar">
    <w:name w:val="Balloon Text Char"/>
    <w:basedOn w:val="DefaultParagraphFont"/>
    <w:link w:val="BalloonText"/>
    <w:uiPriority w:val="99"/>
    <w:semiHidden/>
    <w:rsid w:val="000F2435"/>
    <w:rPr>
      <w:rFonts w:ascii="Tahoma" w:hAnsi="Tahoma" w:cs="Tahoma"/>
      <w:sz w:val="16"/>
      <w:szCs w:val="16"/>
    </w:rPr>
  </w:style>
  <w:style w:type="character" w:styleId="Hyperlink">
    <w:name w:val="Hyperlink"/>
    <w:basedOn w:val="DefaultParagraphFont"/>
    <w:uiPriority w:val="99"/>
    <w:unhideWhenUsed/>
    <w:rsid w:val="00FE6C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pm.gov/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2300</Words>
  <Characters>13087</Characters>
  <Application>Microsoft Office Word</Application>
  <DocSecurity>0</DocSecurity>
  <Lines>319</Lines>
  <Paragraphs>119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11</cp:revision>
  <cp:lastPrinted>2018-02-02T13:29:00Z</cp:lastPrinted>
  <dcterms:created xsi:type="dcterms:W3CDTF">2021-05-12T18:18:00Z</dcterms:created>
  <dcterms:modified xsi:type="dcterms:W3CDTF">2021-05-28T15:22:00Z</dcterms:modified>
</cp:coreProperties>
</file>